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60FE8" w14:textId="77777777" w:rsidR="00D32ABC" w:rsidRPr="009F01E1" w:rsidRDefault="00D32ABC" w:rsidP="00D32ABC">
      <w:pPr>
        <w:pStyle w:val="BBAuthorName"/>
        <w:rPr>
          <w:i w:val="0"/>
          <w:iCs/>
        </w:rPr>
      </w:pPr>
      <w:bookmarkStart w:id="0" w:name="_Hlk57467589"/>
      <w:r w:rsidRPr="009F01E1">
        <w:rPr>
          <w:i w:val="0"/>
          <w:iCs/>
        </w:rPr>
        <w:t>SUPPORTING INFORMATION</w:t>
      </w:r>
    </w:p>
    <w:bookmarkEnd w:id="0"/>
    <w:p w14:paraId="06BCF626" w14:textId="6B36AA99" w:rsidR="00D32ABC" w:rsidRDefault="00134038" w:rsidP="00D32ABC">
      <w:pPr>
        <w:pStyle w:val="BATitle"/>
      </w:pPr>
      <w:r>
        <w:rPr>
          <w:rFonts w:cs="Arial"/>
          <w:bCs/>
          <w:szCs w:val="24"/>
          <w:lang w:val="en-GB"/>
        </w:rPr>
        <w:t>Rapid fabrication and screening of tailored functional 3D biomaterials – part 2</w:t>
      </w:r>
    </w:p>
    <w:p w14:paraId="1A3BD27E" w14:textId="77777777" w:rsidR="00D32ABC" w:rsidRDefault="00D32ABC" w:rsidP="00D32ABC">
      <w:pPr>
        <w:pStyle w:val="BBAuthorName"/>
      </w:pPr>
      <w:bookmarkStart w:id="1" w:name="_Hlk57466776"/>
      <w:r>
        <w:t>Antonio Conde-</w:t>
      </w:r>
      <w:proofErr w:type="gramStart"/>
      <w:r>
        <w:t>González,‡</w:t>
      </w:r>
      <w:proofErr w:type="gramEnd"/>
      <w:r>
        <w:t xml:space="preserve"> Michael Glinka,‡</w:t>
      </w:r>
      <w:r>
        <w:rPr>
          <w:vertAlign w:val="superscript"/>
        </w:rPr>
        <w:t xml:space="preserve"> </w:t>
      </w:r>
      <w:r>
        <w:t xml:space="preserve">Deepanjalee Dutta,‡ </w:t>
      </w:r>
      <w:r>
        <w:rPr>
          <w:vertAlign w:val="superscript"/>
        </w:rPr>
        <w:t xml:space="preserve"> </w:t>
      </w:r>
      <w:r>
        <w:t xml:space="preserve">Robert Wallace, Anthony Callanan, Richard O.C. </w:t>
      </w:r>
      <w:proofErr w:type="spellStart"/>
      <w:r>
        <w:t>Oreffo</w:t>
      </w:r>
      <w:proofErr w:type="spellEnd"/>
      <w:r>
        <w:t>,* and Mark Bradley*</w:t>
      </w:r>
      <w:bookmarkEnd w:id="1"/>
    </w:p>
    <w:p w14:paraId="0406F894" w14:textId="77777777" w:rsidR="00D32ABC" w:rsidRPr="00F403D0" w:rsidRDefault="00D32ABC" w:rsidP="00D32ABC">
      <w:pPr>
        <w:spacing w:after="0" w:line="240" w:lineRule="auto"/>
        <w:rPr>
          <w:rFonts w:ascii="Arial" w:hAnsi="Arial" w:cs="Arial"/>
          <w:i/>
          <w:iCs/>
          <w:szCs w:val="24"/>
          <w:lang w:val="en-US"/>
        </w:rPr>
      </w:pPr>
    </w:p>
    <w:p w14:paraId="7B5BE90A" w14:textId="77777777" w:rsidR="00D32ABC" w:rsidRDefault="00D32ABC" w:rsidP="00D32ABC">
      <w:pPr>
        <w:rPr>
          <w:lang w:val="en-US"/>
        </w:rPr>
      </w:pPr>
    </w:p>
    <w:p w14:paraId="10081195" w14:textId="77777777" w:rsidR="00D32ABC" w:rsidRDefault="00D32ABC" w:rsidP="00D32ABC">
      <w:pPr>
        <w:rPr>
          <w:lang w:val="en-US"/>
        </w:rPr>
      </w:pPr>
    </w:p>
    <w:p w14:paraId="209738CE" w14:textId="77777777" w:rsidR="00D32ABC" w:rsidRDefault="00D32ABC" w:rsidP="00D32ABC">
      <w:pPr>
        <w:rPr>
          <w:lang w:val="en-US"/>
        </w:rPr>
      </w:pPr>
    </w:p>
    <w:p w14:paraId="646AE8BC" w14:textId="77777777" w:rsidR="00D32ABC" w:rsidRPr="00F403D0" w:rsidRDefault="00D32ABC" w:rsidP="00D32ABC">
      <w:pPr>
        <w:jc w:val="center"/>
        <w:rPr>
          <w:rFonts w:cs="Arial"/>
        </w:rPr>
      </w:pPr>
      <w:r>
        <w:rPr>
          <w:rFonts w:ascii="Arial" w:hAnsi="Arial" w:cs="Arial"/>
          <w:noProof/>
          <w:lang w:eastAsia="en-GB"/>
        </w:rPr>
        <w:drawing>
          <wp:inline distT="0" distB="0" distL="0" distR="0" wp14:anchorId="307E7B09" wp14:editId="7F42C8A1">
            <wp:extent cx="3600000" cy="2180769"/>
            <wp:effectExtent l="0" t="0" r="0" b="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6"/>
                    <a:stretch>
                      <a:fillRect/>
                    </a:stretch>
                  </pic:blipFill>
                  <pic:spPr>
                    <a:xfrm>
                      <a:off x="0" y="0"/>
                      <a:ext cx="3600000" cy="2180769"/>
                    </a:xfrm>
                    <a:prstGeom prst="rect">
                      <a:avLst/>
                    </a:prstGeom>
                  </pic:spPr>
                </pic:pic>
              </a:graphicData>
            </a:graphic>
          </wp:inline>
        </w:drawing>
      </w:r>
    </w:p>
    <w:p w14:paraId="746F7373" w14:textId="77777777" w:rsidR="00D32ABC" w:rsidRPr="001D40D5" w:rsidRDefault="00D32ABC" w:rsidP="00D32ABC">
      <w:pPr>
        <w:rPr>
          <w:rFonts w:cs="Arial"/>
          <w:lang w:val="en-US"/>
        </w:rPr>
      </w:pPr>
      <w:r w:rsidRPr="00F403D0">
        <w:rPr>
          <w:b/>
          <w:bCs/>
        </w:rPr>
        <w:t xml:space="preserve">Figure </w:t>
      </w:r>
      <w:r>
        <w:rPr>
          <w:b/>
          <w:bCs/>
        </w:rPr>
        <w:t>S</w:t>
      </w:r>
      <w:r w:rsidRPr="00F403D0">
        <w:rPr>
          <w:b/>
          <w:bCs/>
        </w:rPr>
        <w:fldChar w:fldCharType="begin"/>
      </w:r>
      <w:r w:rsidRPr="00F403D0">
        <w:rPr>
          <w:b/>
          <w:bCs/>
        </w:rPr>
        <w:instrText xml:space="preserve"> SEQ Figure \* ARABIC </w:instrText>
      </w:r>
      <w:r w:rsidRPr="00F403D0">
        <w:rPr>
          <w:b/>
          <w:bCs/>
        </w:rPr>
        <w:fldChar w:fldCharType="separate"/>
      </w:r>
      <w:r>
        <w:rPr>
          <w:b/>
          <w:bCs/>
          <w:noProof/>
        </w:rPr>
        <w:t>1</w:t>
      </w:r>
      <w:r w:rsidRPr="00F403D0">
        <w:rPr>
          <w:b/>
          <w:bCs/>
        </w:rPr>
        <w:fldChar w:fldCharType="end"/>
      </w:r>
      <w:r>
        <w:t>. Pore connectivity density</w:t>
      </w:r>
      <w:r w:rsidRPr="000F3CA8">
        <w:t xml:space="preserve"> (</w:t>
      </w:r>
      <w:r>
        <w:rPr>
          <w:rFonts w:cs="Arial"/>
        </w:rPr>
        <w:t>µ</w:t>
      </w:r>
      <w:r>
        <w:t>m</w:t>
      </w:r>
      <w:r w:rsidRPr="00F403D0">
        <w:rPr>
          <w:vertAlign w:val="superscript"/>
        </w:rPr>
        <w:t>-3</w:t>
      </w:r>
      <w:r>
        <w:t>)</w:t>
      </w:r>
      <w:r w:rsidRPr="000F3CA8">
        <w:t xml:space="preserve"> calculated with </w:t>
      </w:r>
      <w:r>
        <w:t xml:space="preserve">Euler characteristic </w:t>
      </w:r>
      <w:r w:rsidRPr="000F3CA8">
        <w:t xml:space="preserve">(using ImageJ – </w:t>
      </w:r>
      <w:proofErr w:type="spellStart"/>
      <w:r w:rsidRPr="000F3CA8">
        <w:t>BoneJ</w:t>
      </w:r>
      <w:proofErr w:type="spellEnd"/>
      <w:r w:rsidRPr="000F3CA8">
        <w:t>)</w:t>
      </w:r>
      <w:r>
        <w:t xml:space="preserve"> for scaffolds with medium (MPS) and high (MPS) porosity for polymers 1 to 6. </w:t>
      </w:r>
      <w:r w:rsidRPr="000F3CA8">
        <w:rPr>
          <w:rFonts w:cs="Arial"/>
          <w:lang w:val="en-US"/>
        </w:rPr>
        <w:t>Mean ± SD, n=</w:t>
      </w:r>
      <w:r>
        <w:rPr>
          <w:rFonts w:cs="Arial"/>
          <w:lang w:val="en-US"/>
        </w:rPr>
        <w:t>2</w:t>
      </w:r>
      <w:r w:rsidRPr="000F3CA8">
        <w:rPr>
          <w:rFonts w:cs="Arial"/>
          <w:lang w:val="en-US"/>
        </w:rPr>
        <w:t>.</w:t>
      </w:r>
      <w:r>
        <w:rPr>
          <w:rFonts w:cs="Arial"/>
          <w:lang w:val="en-US"/>
        </w:rPr>
        <w:t xml:space="preserve"> </w:t>
      </w:r>
    </w:p>
    <w:p w14:paraId="72ACE5FB" w14:textId="77777777" w:rsidR="00D32ABC" w:rsidRPr="00D74187" w:rsidRDefault="00D32ABC" w:rsidP="00D32ABC">
      <w:pPr>
        <w:jc w:val="center"/>
        <w:rPr>
          <w:lang w:val="en-US"/>
        </w:rPr>
      </w:pPr>
      <w:r>
        <w:rPr>
          <w:noProof/>
          <w:lang w:eastAsia="en-GB"/>
        </w:rPr>
        <w:lastRenderedPageBreak/>
        <w:drawing>
          <wp:inline distT="0" distB="0" distL="0" distR="0" wp14:anchorId="4017C9D1" wp14:editId="6BA61E2E">
            <wp:extent cx="4425696" cy="3078480"/>
            <wp:effectExtent l="0" t="0" r="0" b="0"/>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pic:nvPicPr>
                  <pic:blipFill>
                    <a:blip r:embed="rId7"/>
                    <a:stretch>
                      <a:fillRect/>
                    </a:stretch>
                  </pic:blipFill>
                  <pic:spPr>
                    <a:xfrm>
                      <a:off x="0" y="0"/>
                      <a:ext cx="4425696" cy="3078480"/>
                    </a:xfrm>
                    <a:prstGeom prst="rect">
                      <a:avLst/>
                    </a:prstGeom>
                  </pic:spPr>
                </pic:pic>
              </a:graphicData>
            </a:graphic>
          </wp:inline>
        </w:drawing>
      </w:r>
    </w:p>
    <w:p w14:paraId="6DFFBAE7" w14:textId="77777777" w:rsidR="00D32ABC" w:rsidRDefault="00D32ABC" w:rsidP="00D32ABC">
      <w:pPr>
        <w:rPr>
          <w:rFonts w:cs="Arial"/>
          <w:lang w:val="en-US"/>
        </w:rPr>
      </w:pPr>
      <w:r w:rsidRPr="00D74187">
        <w:rPr>
          <w:b/>
          <w:bCs/>
        </w:rPr>
        <w:t>Figure S</w:t>
      </w:r>
      <w:r w:rsidRPr="00D74187">
        <w:rPr>
          <w:b/>
          <w:bCs/>
        </w:rPr>
        <w:fldChar w:fldCharType="begin"/>
      </w:r>
      <w:r w:rsidRPr="00D74187">
        <w:rPr>
          <w:b/>
          <w:bCs/>
        </w:rPr>
        <w:instrText xml:space="preserve"> SEQ Figure \* ARABIC </w:instrText>
      </w:r>
      <w:r w:rsidRPr="00D74187">
        <w:rPr>
          <w:b/>
          <w:bCs/>
        </w:rPr>
        <w:fldChar w:fldCharType="separate"/>
      </w:r>
      <w:r>
        <w:rPr>
          <w:b/>
          <w:bCs/>
          <w:noProof/>
        </w:rPr>
        <w:t>2</w:t>
      </w:r>
      <w:r w:rsidRPr="00D74187">
        <w:rPr>
          <w:b/>
          <w:bCs/>
        </w:rPr>
        <w:fldChar w:fldCharType="end"/>
      </w:r>
      <w:r>
        <w:t>. Pore size distribution (</w:t>
      </w:r>
      <w:r>
        <w:rPr>
          <w:rFonts w:cs="Arial"/>
        </w:rPr>
        <w:t>µ</w:t>
      </w:r>
      <w:r>
        <w:t xml:space="preserve">m) </w:t>
      </w:r>
      <w:r>
        <w:rPr>
          <w:rFonts w:cs="Arial"/>
          <w:szCs w:val="20"/>
        </w:rPr>
        <w:t>calculated with computed spheres that fitted the pore space (</w:t>
      </w:r>
      <w:r w:rsidRPr="000F3CA8">
        <w:t xml:space="preserve">using ImageJ – </w:t>
      </w:r>
      <w:proofErr w:type="spellStart"/>
      <w:r w:rsidRPr="000F3CA8">
        <w:t>BoneJ</w:t>
      </w:r>
      <w:proofErr w:type="spellEnd"/>
      <w:r>
        <w:t>)</w:t>
      </w:r>
      <w:r w:rsidRPr="00B65EDA">
        <w:t xml:space="preserve"> </w:t>
      </w:r>
      <w:r>
        <w:t xml:space="preserve">for scaffolds with medium (MPS) and high (MPS) porosity of polymers 1 to 6. </w:t>
      </w:r>
      <w:r w:rsidRPr="000F3CA8">
        <w:rPr>
          <w:rFonts w:cs="Arial"/>
          <w:lang w:val="en-US"/>
        </w:rPr>
        <w:t>Mean ± SD, n=</w:t>
      </w:r>
      <w:r>
        <w:rPr>
          <w:rFonts w:cs="Arial"/>
          <w:lang w:val="en-US"/>
        </w:rPr>
        <w:t>2</w:t>
      </w:r>
      <w:r w:rsidRPr="000F3CA8">
        <w:rPr>
          <w:rFonts w:cs="Arial"/>
          <w:lang w:val="en-US"/>
        </w:rPr>
        <w:t>.</w:t>
      </w:r>
      <w:r>
        <w:rPr>
          <w:rFonts w:cs="Arial"/>
          <w:lang w:val="en-US"/>
        </w:rPr>
        <w:t xml:space="preserve"> </w:t>
      </w:r>
    </w:p>
    <w:p w14:paraId="06B21F57" w14:textId="77777777" w:rsidR="00D32ABC" w:rsidRDefault="00D32ABC" w:rsidP="00D32ABC">
      <w:pPr>
        <w:autoSpaceDE w:val="0"/>
        <w:autoSpaceDN w:val="0"/>
        <w:adjustRightInd w:val="0"/>
        <w:spacing w:after="0" w:line="240" w:lineRule="auto"/>
        <w:rPr>
          <w:rFonts w:ascii="Arial" w:hAnsi="Arial" w:cs="Arial"/>
        </w:rPr>
      </w:pPr>
    </w:p>
    <w:p w14:paraId="7A6903F9" w14:textId="77777777" w:rsidR="00D32ABC" w:rsidRPr="00F403D0" w:rsidRDefault="00D32ABC" w:rsidP="00D32ABC">
      <w:pPr>
        <w:rPr>
          <w:rFonts w:cs="Arial"/>
        </w:rPr>
      </w:pPr>
    </w:p>
    <w:p w14:paraId="29CA7094" w14:textId="77777777" w:rsidR="00D32ABC" w:rsidRPr="00F403D0" w:rsidRDefault="00D32ABC" w:rsidP="00D32ABC">
      <w:pPr>
        <w:spacing w:line="480" w:lineRule="auto"/>
        <w:rPr>
          <w:rFonts w:ascii="Arial" w:hAnsi="Arial" w:cs="Arial"/>
          <w:szCs w:val="24"/>
          <w:lang w:val="en-US"/>
        </w:rPr>
      </w:pPr>
      <w:r w:rsidRPr="00F403D0">
        <w:rPr>
          <w:rFonts w:ascii="Arial" w:hAnsi="Arial" w:cs="Arial"/>
          <w:noProof/>
          <w:szCs w:val="24"/>
          <w:lang w:eastAsia="en-GB"/>
        </w:rPr>
        <w:drawing>
          <wp:inline distT="0" distB="0" distL="0" distR="0" wp14:anchorId="5EE0C0F2" wp14:editId="6F56F607">
            <wp:extent cx="5731510" cy="39173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chanical properties all.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917315"/>
                    </a:xfrm>
                    <a:prstGeom prst="rect">
                      <a:avLst/>
                    </a:prstGeom>
                  </pic:spPr>
                </pic:pic>
              </a:graphicData>
            </a:graphic>
          </wp:inline>
        </w:drawing>
      </w:r>
    </w:p>
    <w:p w14:paraId="564DA0D3" w14:textId="77777777" w:rsidR="00D32ABC" w:rsidRDefault="00D32ABC" w:rsidP="00D32ABC">
      <w:pPr>
        <w:rPr>
          <w:lang w:val="en-US"/>
        </w:rPr>
      </w:pPr>
      <w:r w:rsidRPr="00D74187">
        <w:rPr>
          <w:b/>
          <w:bCs/>
        </w:rPr>
        <w:t>Figure S</w:t>
      </w:r>
      <w:r w:rsidRPr="00D74187">
        <w:rPr>
          <w:b/>
          <w:bCs/>
        </w:rPr>
        <w:fldChar w:fldCharType="begin"/>
      </w:r>
      <w:r w:rsidRPr="00D74187">
        <w:rPr>
          <w:b/>
          <w:bCs/>
        </w:rPr>
        <w:instrText xml:space="preserve"> SEQ Figure \* ARABIC </w:instrText>
      </w:r>
      <w:r w:rsidRPr="00D74187">
        <w:rPr>
          <w:b/>
          <w:bCs/>
        </w:rPr>
        <w:fldChar w:fldCharType="separate"/>
      </w:r>
      <w:r>
        <w:rPr>
          <w:b/>
          <w:bCs/>
          <w:noProof/>
        </w:rPr>
        <w:t>3</w:t>
      </w:r>
      <w:r w:rsidRPr="00D74187">
        <w:rPr>
          <w:b/>
          <w:bCs/>
        </w:rPr>
        <w:fldChar w:fldCharType="end"/>
      </w:r>
      <w:r w:rsidRPr="003219B7">
        <w:rPr>
          <w:b/>
          <w:bCs/>
        </w:rPr>
        <w:t>.</w:t>
      </w:r>
      <w:r w:rsidRPr="00F403D0">
        <w:rPr>
          <w:b/>
          <w:bCs/>
        </w:rPr>
        <w:t xml:space="preserve"> </w:t>
      </w:r>
      <w:r w:rsidRPr="00F403D0">
        <w:t xml:space="preserve">Indentation </w:t>
      </w:r>
      <w:r>
        <w:t>moduli</w:t>
      </w:r>
      <w:r w:rsidRPr="00F403D0">
        <w:t xml:space="preserve"> for the porous scaffolds (MPS and HPS) and their non-porous controls (CPS). Macro-indentation approach using an Instron mechanical test equipment </w:t>
      </w:r>
      <w:r w:rsidRPr="00F403D0">
        <w:lastRenderedPageBreak/>
        <w:t>(model 3367) equipped with a flat indenter (</w:t>
      </w:r>
      <w:r w:rsidRPr="00EE3371">
        <w:t>Ø</w:t>
      </w:r>
      <w:r w:rsidRPr="00F403D0">
        <w:t xml:space="preserve"> = 1mm). Indentation </w:t>
      </w:r>
      <w:r>
        <w:t>moduli</w:t>
      </w:r>
      <w:r w:rsidRPr="00F403D0">
        <w:t xml:space="preserve"> w</w:t>
      </w:r>
      <w:r>
        <w:t xml:space="preserve">ere </w:t>
      </w:r>
      <w:r w:rsidRPr="00F403D0">
        <w:t>calculated from the gradient of the load-displacement curves using a linea</w:t>
      </w:r>
      <w:r>
        <w:t>r</w:t>
      </w:r>
      <w:r w:rsidRPr="00F403D0">
        <w:t xml:space="preserve"> model locally between 0%-5%, 5%-10%, 10%-15% and 15%-20% of strain for polymers 1 (A), 2 (B), 3 (C), 4 (D), 5 (E) and 6 (F). One-way </w:t>
      </w:r>
      <w:r w:rsidRPr="00F403D0">
        <w:rPr>
          <w:rFonts w:hint="eastAsia"/>
          <w:lang w:val="en-US"/>
        </w:rPr>
        <w:t xml:space="preserve">ANOVA with Bonferroni post-test (* p </w:t>
      </w:r>
      <w:r w:rsidRPr="00F403D0">
        <w:rPr>
          <w:rFonts w:hint="eastAsia"/>
          <w:lang w:val="en-US"/>
        </w:rPr>
        <w:t>≤</w:t>
      </w:r>
      <w:r w:rsidRPr="00F403D0">
        <w:rPr>
          <w:rFonts w:hint="eastAsia"/>
          <w:lang w:val="en-US"/>
        </w:rPr>
        <w:t xml:space="preserve"> 0.05, ** p </w:t>
      </w:r>
      <w:r w:rsidRPr="00F403D0">
        <w:rPr>
          <w:rFonts w:hint="eastAsia"/>
          <w:lang w:val="en-US"/>
        </w:rPr>
        <w:t>≤</w:t>
      </w:r>
      <w:r w:rsidRPr="00F403D0">
        <w:rPr>
          <w:rFonts w:hint="eastAsia"/>
          <w:lang w:val="en-US"/>
        </w:rPr>
        <w:t xml:space="preserve"> 0.01, *** p </w:t>
      </w:r>
      <w:r w:rsidRPr="00F403D0">
        <w:rPr>
          <w:rFonts w:hint="eastAsia"/>
          <w:lang w:val="en-US"/>
        </w:rPr>
        <w:t>≤</w:t>
      </w:r>
      <w:r w:rsidRPr="00F403D0">
        <w:rPr>
          <w:rFonts w:hint="eastAsia"/>
          <w:lang w:val="en-US"/>
        </w:rPr>
        <w:t xml:space="preserve"> 0.001 and **** p </w:t>
      </w:r>
      <w:r w:rsidRPr="00F403D0">
        <w:rPr>
          <w:rFonts w:hint="eastAsia"/>
          <w:lang w:val="en-US"/>
        </w:rPr>
        <w:t>≤</w:t>
      </w:r>
      <w:r w:rsidRPr="00F403D0">
        <w:rPr>
          <w:rFonts w:hint="eastAsia"/>
          <w:lang w:val="en-US"/>
        </w:rPr>
        <w:t xml:space="preserve"> 0.0001). Mean </w:t>
      </w:r>
      <w:r w:rsidRPr="00EE3371">
        <w:rPr>
          <w:lang w:val="en-US"/>
        </w:rPr>
        <w:t>±</w:t>
      </w:r>
      <w:r w:rsidRPr="00F403D0">
        <w:rPr>
          <w:lang w:val="en-US"/>
        </w:rPr>
        <w:t xml:space="preserve"> SD, n=4.</w:t>
      </w:r>
    </w:p>
    <w:p w14:paraId="7B1FAE4B" w14:textId="77777777" w:rsidR="00D32ABC" w:rsidRDefault="00D32ABC" w:rsidP="00D32ABC">
      <w:pPr>
        <w:rPr>
          <w:lang w:val="en-US"/>
        </w:rPr>
      </w:pPr>
    </w:p>
    <w:p w14:paraId="096E65D1" w14:textId="77777777" w:rsidR="00D32ABC" w:rsidRDefault="00D32ABC" w:rsidP="00D32ABC">
      <w:pPr>
        <w:rPr>
          <w:lang w:val="en-US"/>
        </w:rPr>
      </w:pPr>
    </w:p>
    <w:p w14:paraId="6B44AC0F" w14:textId="77777777" w:rsidR="00D32ABC" w:rsidRPr="00E01846" w:rsidRDefault="00D32ABC" w:rsidP="00D32ABC">
      <w:pPr>
        <w:rPr>
          <w:lang w:val="en-US"/>
        </w:rPr>
      </w:pPr>
    </w:p>
    <w:p w14:paraId="4489B0F0" w14:textId="77777777" w:rsidR="00D32ABC" w:rsidRPr="00F403D0" w:rsidRDefault="00D32ABC" w:rsidP="00D32ABC">
      <w:pPr>
        <w:spacing w:line="480" w:lineRule="auto"/>
        <w:jc w:val="center"/>
        <w:rPr>
          <w:rFonts w:ascii="Arial" w:hAnsi="Arial" w:cs="Arial"/>
          <w:szCs w:val="24"/>
          <w:lang w:val="en-US"/>
        </w:rPr>
      </w:pPr>
      <w:r>
        <w:rPr>
          <w:rFonts w:ascii="Arial" w:hAnsi="Arial" w:cs="Arial"/>
          <w:noProof/>
          <w:szCs w:val="24"/>
          <w:lang w:eastAsia="en-GB"/>
        </w:rPr>
        <w:drawing>
          <wp:inline distT="0" distB="0" distL="0" distR="0" wp14:anchorId="76295CE1" wp14:editId="2BDD2B23">
            <wp:extent cx="5169408" cy="2682240"/>
            <wp:effectExtent l="0" t="0" r="0" b="0"/>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histogram&#10;&#10;Description automatically generated"/>
                    <pic:cNvPicPr/>
                  </pic:nvPicPr>
                  <pic:blipFill>
                    <a:blip r:embed="rId9"/>
                    <a:stretch>
                      <a:fillRect/>
                    </a:stretch>
                  </pic:blipFill>
                  <pic:spPr>
                    <a:xfrm>
                      <a:off x="0" y="0"/>
                      <a:ext cx="5169408" cy="2682240"/>
                    </a:xfrm>
                    <a:prstGeom prst="rect">
                      <a:avLst/>
                    </a:prstGeom>
                  </pic:spPr>
                </pic:pic>
              </a:graphicData>
            </a:graphic>
          </wp:inline>
        </w:drawing>
      </w:r>
    </w:p>
    <w:p w14:paraId="7155B9D5" w14:textId="77777777" w:rsidR="00D32ABC" w:rsidRPr="00F403D0" w:rsidRDefault="00D32ABC" w:rsidP="00D32ABC">
      <w:pPr>
        <w:rPr>
          <w:lang w:val="en-US"/>
        </w:rPr>
      </w:pPr>
      <w:r w:rsidRPr="00D74187">
        <w:rPr>
          <w:b/>
          <w:bCs/>
        </w:rPr>
        <w:t>Figure S</w:t>
      </w:r>
      <w:r w:rsidRPr="00D74187">
        <w:rPr>
          <w:b/>
          <w:bCs/>
        </w:rPr>
        <w:fldChar w:fldCharType="begin"/>
      </w:r>
      <w:r w:rsidRPr="00D74187">
        <w:rPr>
          <w:b/>
          <w:bCs/>
        </w:rPr>
        <w:instrText xml:space="preserve"> SEQ Figure \* ARABIC </w:instrText>
      </w:r>
      <w:r w:rsidRPr="00D74187">
        <w:rPr>
          <w:b/>
          <w:bCs/>
        </w:rPr>
        <w:fldChar w:fldCharType="separate"/>
      </w:r>
      <w:r>
        <w:rPr>
          <w:b/>
          <w:bCs/>
          <w:noProof/>
        </w:rPr>
        <w:t>4</w:t>
      </w:r>
      <w:r w:rsidRPr="00D74187">
        <w:rPr>
          <w:b/>
          <w:bCs/>
        </w:rPr>
        <w:fldChar w:fldCharType="end"/>
      </w:r>
      <w:r>
        <w:t>.</w:t>
      </w:r>
      <w:r w:rsidRPr="00F403D0">
        <w:t xml:space="preserve"> Load relaxation (%) calculated as the percentage reduction of load at maximum strain (20% strain) for 5 min, from the load-time curves obtained by macro-indentation. </w:t>
      </w:r>
      <w:r w:rsidRPr="000F3CA8">
        <w:t xml:space="preserve">One-way </w:t>
      </w:r>
      <w:r w:rsidRPr="000F3CA8">
        <w:rPr>
          <w:lang w:val="en-US"/>
        </w:rPr>
        <w:t>ANOVA with Bonferroni post-test (* p ≤ 0.05, ** p ≤ 0.01, *** p ≤ 0.001 and **** p ≤ 0.0001). Mean ± SD, n=4.</w:t>
      </w:r>
    </w:p>
    <w:p w14:paraId="00C707A2" w14:textId="77777777" w:rsidR="00D32ABC" w:rsidRDefault="00D32ABC" w:rsidP="00D32ABC">
      <w:pPr>
        <w:spacing w:line="480" w:lineRule="auto"/>
        <w:rPr>
          <w:rFonts w:ascii="Arial" w:hAnsi="Arial" w:cs="Arial"/>
          <w:szCs w:val="24"/>
          <w:lang w:val="en-US"/>
        </w:rPr>
      </w:pPr>
    </w:p>
    <w:p w14:paraId="6E7C9103" w14:textId="77777777" w:rsidR="00D32ABC" w:rsidRPr="00F403D0" w:rsidRDefault="00D32ABC" w:rsidP="00D32ABC">
      <w:pPr>
        <w:spacing w:line="480" w:lineRule="auto"/>
        <w:jc w:val="center"/>
        <w:rPr>
          <w:rFonts w:ascii="Arial" w:hAnsi="Arial" w:cs="Arial"/>
          <w:szCs w:val="24"/>
          <w:lang w:val="en-US"/>
        </w:rPr>
      </w:pPr>
      <w:r w:rsidRPr="00F403D0">
        <w:rPr>
          <w:rFonts w:ascii="Arial" w:hAnsi="Arial" w:cs="Arial"/>
          <w:noProof/>
          <w:szCs w:val="24"/>
          <w:lang w:eastAsia="en-GB"/>
        </w:rPr>
        <w:drawing>
          <wp:inline distT="0" distB="0" distL="0" distR="0" wp14:anchorId="5ECC99E1" wp14:editId="6A384778">
            <wp:extent cx="4320000" cy="2008757"/>
            <wp:effectExtent l="0" t="0" r="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2008757"/>
                    </a:xfrm>
                    <a:prstGeom prst="rect">
                      <a:avLst/>
                    </a:prstGeom>
                  </pic:spPr>
                </pic:pic>
              </a:graphicData>
            </a:graphic>
          </wp:inline>
        </w:drawing>
      </w:r>
    </w:p>
    <w:p w14:paraId="3BD42504" w14:textId="77777777" w:rsidR="00D32ABC" w:rsidRPr="00F403D0" w:rsidRDefault="00D32ABC" w:rsidP="00D32ABC">
      <w:r w:rsidRPr="00D74187">
        <w:rPr>
          <w:b/>
          <w:bCs/>
        </w:rPr>
        <w:lastRenderedPageBreak/>
        <w:t>Figure S</w:t>
      </w:r>
      <w:r w:rsidRPr="00D74187">
        <w:rPr>
          <w:b/>
          <w:bCs/>
        </w:rPr>
        <w:fldChar w:fldCharType="begin"/>
      </w:r>
      <w:r w:rsidRPr="00D74187">
        <w:rPr>
          <w:b/>
          <w:bCs/>
        </w:rPr>
        <w:instrText xml:space="preserve"> SEQ Figure \* ARABIC </w:instrText>
      </w:r>
      <w:r w:rsidRPr="00D74187">
        <w:rPr>
          <w:b/>
          <w:bCs/>
        </w:rPr>
        <w:fldChar w:fldCharType="separate"/>
      </w:r>
      <w:r>
        <w:rPr>
          <w:b/>
          <w:bCs/>
          <w:noProof/>
        </w:rPr>
        <w:t>5</w:t>
      </w:r>
      <w:r w:rsidRPr="00D74187">
        <w:rPr>
          <w:b/>
          <w:bCs/>
        </w:rPr>
        <w:fldChar w:fldCharType="end"/>
      </w:r>
      <w:r w:rsidRPr="00D74187">
        <w:rPr>
          <w:b/>
          <w:bCs/>
        </w:rPr>
        <w:t>.</w:t>
      </w:r>
      <w:r>
        <w:rPr>
          <w:b/>
          <w:bCs/>
        </w:rPr>
        <w:t xml:space="preserve"> </w:t>
      </w:r>
      <w:r w:rsidRPr="00F403D0">
        <w:t>Calibration curve of the number of FSSCs correlated to fluorescence intensity (</w:t>
      </w:r>
      <w:proofErr w:type="spellStart"/>
      <w:r w:rsidRPr="00F403D0">
        <w:t>alamarBlue</w:t>
      </w:r>
      <w:proofErr w:type="spellEnd"/>
      <w:r w:rsidRPr="00F403D0">
        <w:t>™). Cells were counted using a haemocytometer and seeded in a tissue culture 96-well plate</w:t>
      </w:r>
      <w:r>
        <w:t xml:space="preserve"> with basal medium</w:t>
      </w:r>
      <w:r w:rsidRPr="00F403D0">
        <w:t xml:space="preserve">. </w:t>
      </w:r>
      <w:proofErr w:type="spellStart"/>
      <w:r w:rsidRPr="00F403D0">
        <w:t>AlamarBlue</w:t>
      </w:r>
      <w:proofErr w:type="spellEnd"/>
      <w:r w:rsidRPr="00F403D0">
        <w:t xml:space="preserve">™ in </w:t>
      </w:r>
      <w:r>
        <w:t xml:space="preserve">basal </w:t>
      </w:r>
      <w:proofErr w:type="spellStart"/>
      <w:proofErr w:type="gramStart"/>
      <w:r w:rsidRPr="00F403D0">
        <w:t>medi</w:t>
      </w:r>
      <w:proofErr w:type="spellEnd"/>
      <w:r w:rsidRPr="00F403D0">
        <w:t>(</w:t>
      </w:r>
      <w:proofErr w:type="gramEnd"/>
      <w:r w:rsidRPr="00F403D0">
        <w:t xml:space="preserve">10% v/v) was added to the wells 2 hours after seeding to ensure cell attachment to the plate. Incubation was performed for 4 hours in a humidified atmosphere (37 °C and 5% CO2). </w:t>
      </w:r>
      <w:r>
        <w:t>The s</w:t>
      </w:r>
      <w:r w:rsidRPr="00F403D0">
        <w:t>upernatant was collected and, subsequently, fluorescence was read in a microplate reader (</w:t>
      </w:r>
      <w:proofErr w:type="spellStart"/>
      <w:r w:rsidRPr="00F403D0">
        <w:t>λ</w:t>
      </w:r>
      <w:r w:rsidRPr="00F403D0">
        <w:rPr>
          <w:vertAlign w:val="subscript"/>
        </w:rPr>
        <w:t>ex</w:t>
      </w:r>
      <w:proofErr w:type="spellEnd"/>
      <w:r w:rsidRPr="00F403D0">
        <w:rPr>
          <w:vertAlign w:val="subscript"/>
        </w:rPr>
        <w:t>/</w:t>
      </w:r>
      <w:proofErr w:type="spellStart"/>
      <w:r w:rsidRPr="00F403D0">
        <w:rPr>
          <w:vertAlign w:val="subscript"/>
        </w:rPr>
        <w:t>em</w:t>
      </w:r>
      <w:proofErr w:type="spellEnd"/>
      <w:r w:rsidRPr="00F403D0">
        <w:rPr>
          <w:vertAlign w:val="subscript"/>
        </w:rPr>
        <w:t xml:space="preserve"> </w:t>
      </w:r>
      <w:r w:rsidRPr="00F403D0">
        <w:t>= 530/590 nm). Mean ± SD, n=3.</w:t>
      </w:r>
    </w:p>
    <w:p w14:paraId="549CD24F" w14:textId="77777777" w:rsidR="00D32ABC" w:rsidRPr="00F403D0" w:rsidRDefault="00D32ABC" w:rsidP="00D32ABC">
      <w:pPr>
        <w:spacing w:line="480" w:lineRule="auto"/>
        <w:rPr>
          <w:rFonts w:ascii="Arial" w:hAnsi="Arial" w:cs="Arial"/>
          <w:szCs w:val="24"/>
          <w:lang w:val="en-US"/>
        </w:rPr>
      </w:pPr>
    </w:p>
    <w:p w14:paraId="1F3D01F5" w14:textId="77777777" w:rsidR="00D32ABC" w:rsidRPr="00F403D0" w:rsidRDefault="00D32ABC" w:rsidP="00D32ABC">
      <w:pPr>
        <w:spacing w:line="480" w:lineRule="auto"/>
        <w:jc w:val="center"/>
        <w:rPr>
          <w:rFonts w:ascii="Arial" w:hAnsi="Arial" w:cs="Arial"/>
          <w:szCs w:val="24"/>
          <w:lang w:val="en-US"/>
        </w:rPr>
      </w:pPr>
      <w:r w:rsidRPr="00F403D0">
        <w:rPr>
          <w:rFonts w:ascii="Arial" w:hAnsi="Arial" w:cs="Arial"/>
          <w:noProof/>
          <w:szCs w:val="24"/>
          <w:lang w:eastAsia="en-GB"/>
        </w:rPr>
        <w:drawing>
          <wp:inline distT="0" distB="0" distL="0" distR="0" wp14:anchorId="0C1AB4AB" wp14:editId="7791B113">
            <wp:extent cx="5040000" cy="3848961"/>
            <wp:effectExtent l="0" t="0" r="8255"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000" cy="3848961"/>
                    </a:xfrm>
                    <a:prstGeom prst="rect">
                      <a:avLst/>
                    </a:prstGeom>
                  </pic:spPr>
                </pic:pic>
              </a:graphicData>
            </a:graphic>
          </wp:inline>
        </w:drawing>
      </w:r>
    </w:p>
    <w:p w14:paraId="0280E501" w14:textId="77777777" w:rsidR="00D32ABC" w:rsidRPr="00F403D0" w:rsidRDefault="00D32ABC" w:rsidP="00D32ABC">
      <w:r w:rsidRPr="00D74187">
        <w:rPr>
          <w:b/>
          <w:bCs/>
        </w:rPr>
        <w:t>Figure S</w:t>
      </w:r>
      <w:r w:rsidRPr="00D74187">
        <w:rPr>
          <w:b/>
          <w:bCs/>
        </w:rPr>
        <w:fldChar w:fldCharType="begin"/>
      </w:r>
      <w:r w:rsidRPr="00D74187">
        <w:rPr>
          <w:b/>
          <w:bCs/>
        </w:rPr>
        <w:instrText xml:space="preserve"> SEQ Figure \* ARABIC </w:instrText>
      </w:r>
      <w:r w:rsidRPr="00D74187">
        <w:rPr>
          <w:b/>
          <w:bCs/>
        </w:rPr>
        <w:fldChar w:fldCharType="separate"/>
      </w:r>
      <w:r>
        <w:rPr>
          <w:b/>
          <w:bCs/>
          <w:noProof/>
        </w:rPr>
        <w:t>6</w:t>
      </w:r>
      <w:r w:rsidRPr="00D74187">
        <w:rPr>
          <w:b/>
          <w:bCs/>
        </w:rPr>
        <w:fldChar w:fldCharType="end"/>
      </w:r>
      <w:r>
        <w:t>.</w:t>
      </w:r>
      <w:r>
        <w:rPr>
          <w:b/>
          <w:bCs/>
        </w:rPr>
        <w:t xml:space="preserve"> </w:t>
      </w:r>
      <w:r w:rsidRPr="00F403D0">
        <w:t xml:space="preserve">FBMSCs proliferation on </w:t>
      </w:r>
      <w:r>
        <w:t xml:space="preserve">the </w:t>
      </w:r>
      <w:r w:rsidRPr="00F403D0">
        <w:t xml:space="preserve">3D polymer arrays. Fold change of fluorescence between day 0 (10,000 cells/well) and the scaffolds at day 2, 7 and 21 </w:t>
      </w:r>
      <w:bookmarkStart w:id="2" w:name="_Hlk26210780"/>
      <w:r w:rsidRPr="00F403D0">
        <w:t>(</w:t>
      </w:r>
      <w:r w:rsidRPr="00F403D0">
        <w:rPr>
          <w:szCs w:val="24"/>
          <w:lang w:val="en-US"/>
        </w:rPr>
        <w:t>n=3 biological replicates with 4 technical replicates</w:t>
      </w:r>
      <w:bookmarkEnd w:id="2"/>
      <w:r w:rsidRPr="00F403D0">
        <w:t xml:space="preserve">). </w:t>
      </w:r>
      <w:r>
        <w:t xml:space="preserve">FBMSCs were cultured in basal medium. </w:t>
      </w:r>
      <w:r w:rsidRPr="00F403D0">
        <w:t xml:space="preserve">Two-way ANOVA with Bonferroni post-test (* p </w:t>
      </w:r>
      <w:r w:rsidRPr="00F403D0">
        <w:rPr>
          <w:rFonts w:hint="eastAsia"/>
        </w:rPr>
        <w:t>≤</w:t>
      </w:r>
      <w:r w:rsidRPr="00F403D0">
        <w:t xml:space="preserve"> 0.05, ** p </w:t>
      </w:r>
      <w:r w:rsidRPr="00F403D0">
        <w:rPr>
          <w:rFonts w:hint="eastAsia"/>
        </w:rPr>
        <w:t>≤</w:t>
      </w:r>
      <w:r w:rsidRPr="00F403D0">
        <w:t xml:space="preserve"> 0.01, *** p </w:t>
      </w:r>
      <w:r w:rsidRPr="00F403D0">
        <w:rPr>
          <w:rFonts w:hint="eastAsia"/>
        </w:rPr>
        <w:t>≤</w:t>
      </w:r>
      <w:r w:rsidRPr="00F403D0">
        <w:t xml:space="preserve"> 0.001 and **** p </w:t>
      </w:r>
      <w:r w:rsidRPr="00F403D0">
        <w:rPr>
          <w:rFonts w:hint="eastAsia"/>
        </w:rPr>
        <w:t>≤</w:t>
      </w:r>
      <w:r w:rsidRPr="00F403D0">
        <w:t xml:space="preserve"> 0.0001) was carried out between day 2 and day 21. Mean ± SD.</w:t>
      </w:r>
    </w:p>
    <w:p w14:paraId="25DE1867" w14:textId="77777777" w:rsidR="00D32ABC" w:rsidRPr="00F403D0" w:rsidRDefault="00D32ABC" w:rsidP="00D32ABC">
      <w:pPr>
        <w:spacing w:line="480" w:lineRule="auto"/>
        <w:jc w:val="center"/>
        <w:rPr>
          <w:rFonts w:ascii="Arial" w:hAnsi="Arial" w:cs="Arial"/>
          <w:b/>
        </w:rPr>
      </w:pPr>
      <w:r w:rsidRPr="00F403D0">
        <w:rPr>
          <w:rFonts w:ascii="Arial" w:hAnsi="Arial" w:cs="Arial"/>
          <w:noProof/>
          <w:lang w:eastAsia="en-GB"/>
        </w:rPr>
        <w:lastRenderedPageBreak/>
        <w:drawing>
          <wp:inline distT="0" distB="0" distL="0" distR="0" wp14:anchorId="2B432582" wp14:editId="4A02AC97">
            <wp:extent cx="4320000" cy="3999326"/>
            <wp:effectExtent l="0" t="0" r="0" b="0"/>
            <wp:docPr id="12" name="Picture 1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4320000" cy="3999326"/>
                    </a:xfrm>
                    <a:prstGeom prst="rect">
                      <a:avLst/>
                    </a:prstGeom>
                  </pic:spPr>
                </pic:pic>
              </a:graphicData>
            </a:graphic>
          </wp:inline>
        </w:drawing>
      </w:r>
    </w:p>
    <w:p w14:paraId="545AF45F" w14:textId="77777777" w:rsidR="00D32ABC" w:rsidRPr="00F403D0" w:rsidRDefault="00D32ABC" w:rsidP="00D32ABC">
      <w:r w:rsidRPr="00D74187">
        <w:rPr>
          <w:b/>
        </w:rPr>
        <w:t>Figure S</w:t>
      </w:r>
      <w:r w:rsidRPr="00D74187">
        <w:rPr>
          <w:b/>
        </w:rPr>
        <w:fldChar w:fldCharType="begin"/>
      </w:r>
      <w:r w:rsidRPr="00D74187">
        <w:rPr>
          <w:b/>
        </w:rPr>
        <w:instrText xml:space="preserve"> SEQ Figure \* ARABIC </w:instrText>
      </w:r>
      <w:r w:rsidRPr="00D74187">
        <w:rPr>
          <w:b/>
        </w:rPr>
        <w:fldChar w:fldCharType="separate"/>
      </w:r>
      <w:r>
        <w:rPr>
          <w:b/>
          <w:noProof/>
        </w:rPr>
        <w:t>7</w:t>
      </w:r>
      <w:r w:rsidRPr="00D74187">
        <w:rPr>
          <w:b/>
        </w:rPr>
        <w:fldChar w:fldCharType="end"/>
      </w:r>
      <w:r w:rsidRPr="00D74187">
        <w:rPr>
          <w:b/>
        </w:rPr>
        <w:t>.</w:t>
      </w:r>
      <w:r w:rsidRPr="00F403D0">
        <w:rPr>
          <w:lang w:val="en-US"/>
        </w:rPr>
        <w:t xml:space="preserve"> FBMSCs total collagen on </w:t>
      </w:r>
      <w:r>
        <w:rPr>
          <w:lang w:val="en-US"/>
        </w:rPr>
        <w:t xml:space="preserve">the </w:t>
      </w:r>
      <w:r w:rsidRPr="00F403D0">
        <w:rPr>
          <w:lang w:val="en-US"/>
        </w:rPr>
        <w:t>3D polymer arrays. Fold change of absorbance (</w:t>
      </w:r>
      <w:proofErr w:type="spellStart"/>
      <w:r w:rsidRPr="00F403D0">
        <w:rPr>
          <w:lang w:val="en-US"/>
        </w:rPr>
        <w:t>picro-sirius</w:t>
      </w:r>
      <w:proofErr w:type="spellEnd"/>
      <w:r w:rsidRPr="00F403D0">
        <w:rPr>
          <w:lang w:val="en-US"/>
        </w:rPr>
        <w:t xml:space="preserve"> red staining of collagen) between the TC control and the 3D scaffolds after 21 days of incubation</w:t>
      </w:r>
      <w:r>
        <w:rPr>
          <w:lang w:val="en-US"/>
        </w:rPr>
        <w:t xml:space="preserve"> in basal medium</w:t>
      </w:r>
      <w:r w:rsidRPr="00F403D0">
        <w:rPr>
          <w:lang w:val="en-US"/>
        </w:rPr>
        <w:t xml:space="preserve"> </w:t>
      </w:r>
      <w:r w:rsidRPr="00F403D0">
        <w:t>(</w:t>
      </w:r>
      <w:r w:rsidRPr="00F403D0">
        <w:rPr>
          <w:szCs w:val="24"/>
          <w:lang w:val="en-US"/>
        </w:rPr>
        <w:t>n=3 biological replicates with 3 technical replicates</w:t>
      </w:r>
      <w:r w:rsidRPr="00F403D0">
        <w:t>)</w:t>
      </w:r>
      <w:r w:rsidRPr="00F403D0">
        <w:rPr>
          <w:lang w:val="en-US"/>
        </w:rPr>
        <w:t xml:space="preserve">. Two-way ANOVA with Bonferroni post-test (* p </w:t>
      </w:r>
      <w:r w:rsidRPr="00F403D0">
        <w:rPr>
          <w:rFonts w:hint="eastAsia"/>
          <w:lang w:val="en-US"/>
        </w:rPr>
        <w:t>≤</w:t>
      </w:r>
      <w:r w:rsidRPr="00F403D0">
        <w:rPr>
          <w:lang w:val="en-US"/>
        </w:rPr>
        <w:t xml:space="preserve"> 0.05, ** p </w:t>
      </w:r>
      <w:r w:rsidRPr="00F403D0">
        <w:rPr>
          <w:rFonts w:hint="eastAsia"/>
          <w:lang w:val="en-US"/>
        </w:rPr>
        <w:t>≤</w:t>
      </w:r>
      <w:r w:rsidRPr="00F403D0">
        <w:rPr>
          <w:lang w:val="en-US"/>
        </w:rPr>
        <w:t xml:space="preserve"> 0.01, *** p </w:t>
      </w:r>
      <w:r w:rsidRPr="00F403D0">
        <w:rPr>
          <w:rFonts w:hint="eastAsia"/>
          <w:lang w:val="en-US"/>
        </w:rPr>
        <w:t>≤</w:t>
      </w:r>
      <w:r w:rsidRPr="00F403D0">
        <w:rPr>
          <w:lang w:val="en-US"/>
        </w:rPr>
        <w:t xml:space="preserve"> 0.001 and **** p </w:t>
      </w:r>
      <w:r w:rsidRPr="00F403D0">
        <w:rPr>
          <w:rFonts w:hint="eastAsia"/>
          <w:lang w:val="en-US"/>
        </w:rPr>
        <w:t>≤</w:t>
      </w:r>
      <w:r w:rsidRPr="00F403D0">
        <w:rPr>
          <w:lang w:val="en-US"/>
        </w:rPr>
        <w:t xml:space="preserve"> 0.0001) was carried out between the control (TC) and the scaffolds. Mean ± SD.</w:t>
      </w:r>
    </w:p>
    <w:p w14:paraId="405DBFE5" w14:textId="77777777" w:rsidR="00D32ABC" w:rsidRPr="00F403D0" w:rsidRDefault="00D32ABC" w:rsidP="00D32ABC">
      <w:pPr>
        <w:spacing w:line="480" w:lineRule="auto"/>
        <w:rPr>
          <w:rFonts w:ascii="Arial" w:hAnsi="Arial" w:cs="Arial"/>
        </w:rPr>
      </w:pPr>
    </w:p>
    <w:p w14:paraId="679796CC" w14:textId="77777777" w:rsidR="00D32ABC" w:rsidRPr="00F403D0" w:rsidRDefault="00D32ABC" w:rsidP="00D32ABC">
      <w:pPr>
        <w:spacing w:line="480" w:lineRule="auto"/>
        <w:rPr>
          <w:rFonts w:ascii="Arial" w:hAnsi="Arial" w:cs="Arial"/>
        </w:rPr>
      </w:pPr>
    </w:p>
    <w:p w14:paraId="3D80EB73" w14:textId="77777777" w:rsidR="00D32ABC" w:rsidRPr="00F403D0" w:rsidRDefault="00D32ABC" w:rsidP="00D32ABC">
      <w:pPr>
        <w:spacing w:line="480" w:lineRule="auto"/>
        <w:rPr>
          <w:rFonts w:ascii="Arial" w:hAnsi="Arial" w:cs="Arial"/>
        </w:rPr>
      </w:pPr>
    </w:p>
    <w:p w14:paraId="15D55E5E" w14:textId="77777777" w:rsidR="00D32ABC" w:rsidRPr="00F403D0" w:rsidRDefault="00D32ABC" w:rsidP="00D32ABC">
      <w:pPr>
        <w:spacing w:line="480" w:lineRule="auto"/>
        <w:rPr>
          <w:rFonts w:ascii="Arial" w:hAnsi="Arial" w:cs="Arial"/>
        </w:rPr>
      </w:pPr>
    </w:p>
    <w:p w14:paraId="3591E97B" w14:textId="77777777" w:rsidR="00D32ABC" w:rsidRPr="00F403D0" w:rsidRDefault="00D32ABC" w:rsidP="00D32ABC">
      <w:pPr>
        <w:spacing w:line="480" w:lineRule="auto"/>
        <w:jc w:val="center"/>
        <w:rPr>
          <w:rFonts w:ascii="Arial" w:hAnsi="Arial" w:cs="Arial"/>
        </w:rPr>
      </w:pPr>
      <w:r w:rsidRPr="00F403D0">
        <w:rPr>
          <w:rFonts w:ascii="Arial" w:hAnsi="Arial" w:cs="Arial"/>
          <w:noProof/>
          <w:lang w:eastAsia="en-GB"/>
        </w:rPr>
        <w:lastRenderedPageBreak/>
        <w:drawing>
          <wp:inline distT="0" distB="0" distL="0" distR="0" wp14:anchorId="63A3F7D1" wp14:editId="2466FA66">
            <wp:extent cx="5040000" cy="3848961"/>
            <wp:effectExtent l="0" t="0" r="0"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0" cy="3848961"/>
                    </a:xfrm>
                    <a:prstGeom prst="rect">
                      <a:avLst/>
                    </a:prstGeom>
                  </pic:spPr>
                </pic:pic>
              </a:graphicData>
            </a:graphic>
          </wp:inline>
        </w:drawing>
      </w:r>
    </w:p>
    <w:p w14:paraId="39B6E967" w14:textId="77777777" w:rsidR="00D32ABC" w:rsidRPr="00F403D0" w:rsidRDefault="00D32ABC" w:rsidP="00D32ABC">
      <w:r w:rsidRPr="00D74187">
        <w:rPr>
          <w:b/>
          <w:bCs/>
        </w:rPr>
        <w:t>Figure S</w:t>
      </w:r>
      <w:r w:rsidRPr="00D74187">
        <w:rPr>
          <w:b/>
          <w:bCs/>
        </w:rPr>
        <w:fldChar w:fldCharType="begin"/>
      </w:r>
      <w:r w:rsidRPr="00D74187">
        <w:rPr>
          <w:b/>
          <w:bCs/>
        </w:rPr>
        <w:instrText xml:space="preserve"> SEQ Figure \* ARABIC </w:instrText>
      </w:r>
      <w:r w:rsidRPr="00D74187">
        <w:rPr>
          <w:b/>
          <w:bCs/>
        </w:rPr>
        <w:fldChar w:fldCharType="separate"/>
      </w:r>
      <w:r>
        <w:rPr>
          <w:b/>
          <w:bCs/>
          <w:noProof/>
        </w:rPr>
        <w:t>8</w:t>
      </w:r>
      <w:r w:rsidRPr="00D74187">
        <w:rPr>
          <w:b/>
          <w:bCs/>
        </w:rPr>
        <w:fldChar w:fldCharType="end"/>
      </w:r>
      <w:r w:rsidRPr="00D74187">
        <w:rPr>
          <w:b/>
          <w:bCs/>
        </w:rPr>
        <w:t>.</w:t>
      </w:r>
      <w:r w:rsidRPr="00F403D0">
        <w:t xml:space="preserve"> FBMSCs alkaline phosphatase (ALP) on </w:t>
      </w:r>
      <w:r>
        <w:t xml:space="preserve">the </w:t>
      </w:r>
      <w:r w:rsidRPr="00F403D0">
        <w:t>3D polymer arrays. Fold change of absorbance (chromogenic enzymatic cleavage of phosphatase substrate) between the TC control at day 2 and the scaffolds at day 2, 7 and 21 (</w:t>
      </w:r>
      <w:r w:rsidRPr="00F403D0">
        <w:rPr>
          <w:szCs w:val="24"/>
          <w:lang w:val="en-US"/>
        </w:rPr>
        <w:t>n=</w:t>
      </w:r>
      <w:r>
        <w:rPr>
          <w:szCs w:val="24"/>
          <w:lang w:val="en-US"/>
        </w:rPr>
        <w:t>2</w:t>
      </w:r>
      <w:r w:rsidRPr="00F403D0">
        <w:rPr>
          <w:szCs w:val="24"/>
          <w:lang w:val="en-US"/>
        </w:rPr>
        <w:t xml:space="preserve"> biological replicates with </w:t>
      </w:r>
      <w:r>
        <w:rPr>
          <w:szCs w:val="24"/>
          <w:lang w:val="en-US"/>
        </w:rPr>
        <w:t>4</w:t>
      </w:r>
      <w:r w:rsidRPr="00F403D0">
        <w:rPr>
          <w:szCs w:val="24"/>
          <w:lang w:val="en-US"/>
        </w:rPr>
        <w:t xml:space="preserve"> technical replicates</w:t>
      </w:r>
      <w:r w:rsidRPr="00F403D0">
        <w:t xml:space="preserve">). </w:t>
      </w:r>
      <w:r>
        <w:t xml:space="preserve">FBMSCs were cultured in basal medium. </w:t>
      </w:r>
      <w:r w:rsidRPr="00F403D0">
        <w:t xml:space="preserve">Two-way ANOVA with Bonferroni post-test (* p </w:t>
      </w:r>
      <w:r w:rsidRPr="00F403D0">
        <w:rPr>
          <w:rFonts w:hint="eastAsia"/>
        </w:rPr>
        <w:t>≤</w:t>
      </w:r>
      <w:r w:rsidRPr="00F403D0">
        <w:t xml:space="preserve"> 0.05, ** p </w:t>
      </w:r>
      <w:r w:rsidRPr="00F403D0">
        <w:rPr>
          <w:rFonts w:hint="eastAsia"/>
        </w:rPr>
        <w:t>≤</w:t>
      </w:r>
      <w:r w:rsidRPr="00F403D0">
        <w:t xml:space="preserve"> 0.01, *** p </w:t>
      </w:r>
      <w:r w:rsidRPr="00F403D0">
        <w:rPr>
          <w:rFonts w:hint="eastAsia"/>
        </w:rPr>
        <w:t>≤</w:t>
      </w:r>
      <w:r w:rsidRPr="00F403D0">
        <w:t xml:space="preserve"> 0.001 and **** p </w:t>
      </w:r>
      <w:r w:rsidRPr="00F403D0">
        <w:rPr>
          <w:rFonts w:hint="eastAsia"/>
        </w:rPr>
        <w:t>≤</w:t>
      </w:r>
      <w:r w:rsidRPr="00F403D0">
        <w:t xml:space="preserve"> 0.0001) was carried out between the control (TC) and the scaffolds. Mean ± SD.</w:t>
      </w:r>
    </w:p>
    <w:p w14:paraId="3924E677" w14:textId="77777777" w:rsidR="00D32ABC" w:rsidRPr="00F403D0" w:rsidRDefault="00D32ABC" w:rsidP="00D32ABC">
      <w:pPr>
        <w:spacing w:line="480" w:lineRule="auto"/>
        <w:rPr>
          <w:rFonts w:ascii="Arial" w:hAnsi="Arial" w:cs="Arial"/>
          <w:lang w:val="en-US"/>
        </w:rPr>
      </w:pPr>
    </w:p>
    <w:p w14:paraId="57AA3919" w14:textId="77777777" w:rsidR="00D32ABC" w:rsidRPr="00F403D0" w:rsidRDefault="00D32ABC" w:rsidP="00D32ABC">
      <w:pPr>
        <w:spacing w:line="480" w:lineRule="auto"/>
        <w:rPr>
          <w:rFonts w:ascii="Arial" w:hAnsi="Arial" w:cs="Arial"/>
          <w:lang w:val="en-US"/>
        </w:rPr>
      </w:pPr>
    </w:p>
    <w:p w14:paraId="385D5411" w14:textId="77777777" w:rsidR="00D32ABC" w:rsidRPr="00F403D0" w:rsidRDefault="00D32ABC" w:rsidP="00D32ABC">
      <w:pPr>
        <w:spacing w:line="480" w:lineRule="auto"/>
        <w:rPr>
          <w:rFonts w:ascii="Arial" w:hAnsi="Arial" w:cs="Arial"/>
          <w:lang w:val="en-US"/>
        </w:rPr>
      </w:pPr>
    </w:p>
    <w:p w14:paraId="6F6EDDCD" w14:textId="77777777" w:rsidR="00D32ABC" w:rsidRPr="00F403D0" w:rsidRDefault="00D32ABC" w:rsidP="00D32ABC">
      <w:pPr>
        <w:spacing w:line="480" w:lineRule="auto"/>
        <w:rPr>
          <w:rFonts w:ascii="Arial" w:hAnsi="Arial" w:cs="Arial"/>
          <w:lang w:val="en-US"/>
        </w:rPr>
      </w:pPr>
    </w:p>
    <w:p w14:paraId="0B3FE235" w14:textId="77777777" w:rsidR="00D32ABC" w:rsidRPr="00F403D0" w:rsidRDefault="00D32ABC" w:rsidP="00D32ABC">
      <w:pPr>
        <w:spacing w:line="480" w:lineRule="auto"/>
        <w:rPr>
          <w:rFonts w:ascii="Arial" w:hAnsi="Arial" w:cs="Arial"/>
          <w:lang w:val="en-US"/>
        </w:rPr>
      </w:pPr>
    </w:p>
    <w:p w14:paraId="2CD5D1EA" w14:textId="77777777" w:rsidR="00D32ABC" w:rsidRPr="00F403D0" w:rsidRDefault="00D32ABC" w:rsidP="00D32ABC">
      <w:pPr>
        <w:spacing w:line="480" w:lineRule="auto"/>
        <w:rPr>
          <w:rFonts w:ascii="Arial" w:hAnsi="Arial" w:cs="Arial"/>
          <w:lang w:val="en-US"/>
        </w:rPr>
      </w:pPr>
    </w:p>
    <w:p w14:paraId="21E2BC80" w14:textId="77777777" w:rsidR="00D32ABC" w:rsidRPr="00F403D0" w:rsidRDefault="00D32ABC" w:rsidP="00D32ABC">
      <w:pPr>
        <w:spacing w:line="480" w:lineRule="auto"/>
        <w:rPr>
          <w:rFonts w:ascii="Arial" w:hAnsi="Arial" w:cs="Arial"/>
          <w:lang w:val="en-US"/>
        </w:rPr>
      </w:pPr>
    </w:p>
    <w:p w14:paraId="126640B6" w14:textId="77777777" w:rsidR="00D32ABC" w:rsidRPr="00F403D0" w:rsidRDefault="00D32ABC" w:rsidP="00D32ABC">
      <w:pPr>
        <w:spacing w:line="480" w:lineRule="auto"/>
        <w:rPr>
          <w:rFonts w:ascii="Arial" w:hAnsi="Arial" w:cs="Arial"/>
          <w:szCs w:val="20"/>
          <w:lang w:val="en-US"/>
        </w:rPr>
      </w:pPr>
      <w:r w:rsidRPr="00F403D0">
        <w:rPr>
          <w:rFonts w:ascii="Arial" w:hAnsi="Arial" w:cs="Arial"/>
          <w:noProof/>
          <w:szCs w:val="20"/>
          <w:lang w:eastAsia="en-GB"/>
        </w:rPr>
        <w:lastRenderedPageBreak/>
        <w:drawing>
          <wp:inline distT="0" distB="0" distL="0" distR="0" wp14:anchorId="1DA0DCFE" wp14:editId="3F4AD01E">
            <wp:extent cx="5723890" cy="3016250"/>
            <wp:effectExtent l="0" t="0" r="0" b="0"/>
            <wp:docPr id="9" name="Picture 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3890" cy="3016250"/>
                    </a:xfrm>
                    <a:prstGeom prst="rect">
                      <a:avLst/>
                    </a:prstGeom>
                    <a:noFill/>
                    <a:ln>
                      <a:noFill/>
                    </a:ln>
                  </pic:spPr>
                </pic:pic>
              </a:graphicData>
            </a:graphic>
          </wp:inline>
        </w:drawing>
      </w:r>
    </w:p>
    <w:p w14:paraId="77CD4128" w14:textId="77777777" w:rsidR="00D32ABC" w:rsidRPr="00F403D0" w:rsidRDefault="00D32ABC" w:rsidP="00D32ABC">
      <w:pPr>
        <w:rPr>
          <w:highlight w:val="yellow"/>
        </w:rPr>
      </w:pPr>
      <w:r w:rsidRPr="00D74187">
        <w:rPr>
          <w:b/>
          <w:bCs/>
        </w:rPr>
        <w:t>Figure S</w:t>
      </w:r>
      <w:r w:rsidRPr="00D74187">
        <w:rPr>
          <w:b/>
          <w:bCs/>
        </w:rPr>
        <w:fldChar w:fldCharType="begin"/>
      </w:r>
      <w:r w:rsidRPr="00D74187">
        <w:rPr>
          <w:b/>
          <w:bCs/>
        </w:rPr>
        <w:instrText xml:space="preserve"> SEQ Figure \* ARABIC </w:instrText>
      </w:r>
      <w:r w:rsidRPr="00D74187">
        <w:rPr>
          <w:b/>
          <w:bCs/>
        </w:rPr>
        <w:fldChar w:fldCharType="separate"/>
      </w:r>
      <w:r>
        <w:rPr>
          <w:b/>
          <w:bCs/>
          <w:noProof/>
        </w:rPr>
        <w:t>9</w:t>
      </w:r>
      <w:r w:rsidRPr="00D74187">
        <w:rPr>
          <w:b/>
          <w:bCs/>
        </w:rPr>
        <w:fldChar w:fldCharType="end"/>
      </w:r>
      <w:r w:rsidRPr="00D74187">
        <w:rPr>
          <w:b/>
          <w:bCs/>
        </w:rPr>
        <w:t>.</w:t>
      </w:r>
      <w:r w:rsidRPr="00F403D0">
        <w:t xml:space="preserve"> Analysis of FBMSCs behaviour on the 3D polymer scaffolds</w:t>
      </w:r>
      <w:r>
        <w:t xml:space="preserve"> (polymers 1-6 with no (control) and medium (orange) and high porosities (blue/green))</w:t>
      </w:r>
      <w:r w:rsidRPr="00F403D0">
        <w:t>. FBMSCs behaviour on the polymers (proliferation rate at day 21, total collagen at day 21 and alkaline phosphatase at day 7) were compared with mechanical properties (indentation and relaxation load) and scaffold 3D structure (pore size and porosity). Each property interrogated was normalised (%) with the highest value identified (Table S2).</w:t>
      </w:r>
    </w:p>
    <w:p w14:paraId="1849A0D5" w14:textId="77777777" w:rsidR="00D32ABC" w:rsidRPr="00F403D0" w:rsidRDefault="00D32ABC" w:rsidP="00D32ABC">
      <w:pPr>
        <w:pStyle w:val="Caption"/>
        <w:spacing w:line="480" w:lineRule="auto"/>
        <w:rPr>
          <w:rFonts w:cs="Arial"/>
          <w:highlight w:val="yellow"/>
        </w:rPr>
      </w:pPr>
    </w:p>
    <w:p w14:paraId="5BABC440" w14:textId="77777777" w:rsidR="00D32ABC" w:rsidRPr="00F403D0" w:rsidRDefault="00D32ABC" w:rsidP="00D32ABC">
      <w:pPr>
        <w:pStyle w:val="Caption"/>
        <w:spacing w:line="480" w:lineRule="auto"/>
        <w:rPr>
          <w:rFonts w:cs="Arial"/>
          <w:highlight w:val="yellow"/>
        </w:rPr>
      </w:pPr>
    </w:p>
    <w:p w14:paraId="67949FEB" w14:textId="77777777" w:rsidR="00D32ABC" w:rsidRPr="00F403D0" w:rsidRDefault="00D32ABC" w:rsidP="00D32ABC">
      <w:r w:rsidRPr="00D74187">
        <w:rPr>
          <w:b/>
          <w:bCs/>
        </w:rPr>
        <w:t>Table S</w:t>
      </w:r>
      <w:r w:rsidRPr="00D74187">
        <w:rPr>
          <w:b/>
          <w:bCs/>
        </w:rPr>
        <w:fldChar w:fldCharType="begin"/>
      </w:r>
      <w:r w:rsidRPr="00D74187">
        <w:rPr>
          <w:b/>
          <w:bCs/>
        </w:rPr>
        <w:instrText xml:space="preserve"> SEQ Table \* ARABIC </w:instrText>
      </w:r>
      <w:r w:rsidRPr="00D74187">
        <w:rPr>
          <w:b/>
          <w:bCs/>
        </w:rPr>
        <w:fldChar w:fldCharType="separate"/>
      </w:r>
      <w:r>
        <w:rPr>
          <w:b/>
          <w:bCs/>
          <w:noProof/>
        </w:rPr>
        <w:t>2</w:t>
      </w:r>
      <w:r w:rsidRPr="00D74187">
        <w:rPr>
          <w:b/>
          <w:bCs/>
        </w:rPr>
        <w:fldChar w:fldCharType="end"/>
      </w:r>
      <w:r>
        <w:t>.</w:t>
      </w:r>
      <w:r w:rsidRPr="00F403D0">
        <w:t xml:space="preserve"> Analysis of FBMSCs behaviour on the 3D polymer scaffolds. Highest and lowest value of each property interrogated i.e. proliferation, total collagen (COL), alkaline phosphatase (ALP), indentation modulus, relaxation load, pore size and porosity. </w:t>
      </w:r>
    </w:p>
    <w:tbl>
      <w:tblPr>
        <w:tblStyle w:val="TableGrid"/>
        <w:tblW w:w="0" w:type="auto"/>
        <w:jc w:val="center"/>
        <w:tblLook w:val="04A0" w:firstRow="1" w:lastRow="0" w:firstColumn="1" w:lastColumn="0" w:noHBand="0" w:noVBand="1"/>
      </w:tblPr>
      <w:tblGrid>
        <w:gridCol w:w="5286"/>
        <w:gridCol w:w="1244"/>
        <w:gridCol w:w="1164"/>
      </w:tblGrid>
      <w:tr w:rsidR="00D32ABC" w:rsidRPr="00EE3371" w14:paraId="0C214B05" w14:textId="77777777" w:rsidTr="0074382E">
        <w:trPr>
          <w:jc w:val="center"/>
        </w:trPr>
        <w:tc>
          <w:tcPr>
            <w:tcW w:w="0" w:type="auto"/>
            <w:vAlign w:val="center"/>
          </w:tcPr>
          <w:p w14:paraId="4BC7DDF3" w14:textId="77777777" w:rsidR="00D32ABC" w:rsidRPr="00F403D0" w:rsidRDefault="00D32ABC" w:rsidP="0074382E">
            <w:pPr>
              <w:jc w:val="center"/>
              <w:rPr>
                <w:rFonts w:ascii="Arial" w:hAnsi="Arial" w:cs="Arial"/>
                <w:b/>
                <w:bCs/>
                <w:szCs w:val="20"/>
                <w:lang w:val="en-US"/>
              </w:rPr>
            </w:pPr>
            <w:r w:rsidRPr="00F403D0">
              <w:rPr>
                <w:rFonts w:ascii="Arial" w:hAnsi="Arial" w:cs="Arial"/>
                <w:b/>
                <w:bCs/>
                <w:szCs w:val="20"/>
                <w:lang w:val="en-US"/>
              </w:rPr>
              <w:t>Property</w:t>
            </w:r>
          </w:p>
        </w:tc>
        <w:tc>
          <w:tcPr>
            <w:tcW w:w="0" w:type="auto"/>
            <w:vAlign w:val="center"/>
          </w:tcPr>
          <w:p w14:paraId="4D9A9C7A" w14:textId="77777777" w:rsidR="00D32ABC" w:rsidRPr="00F403D0" w:rsidRDefault="00D32ABC" w:rsidP="0074382E">
            <w:pPr>
              <w:jc w:val="center"/>
              <w:rPr>
                <w:rFonts w:ascii="Arial" w:hAnsi="Arial" w:cs="Arial"/>
                <w:b/>
                <w:bCs/>
                <w:szCs w:val="20"/>
                <w:lang w:val="en-US"/>
              </w:rPr>
            </w:pPr>
            <w:r w:rsidRPr="00F403D0">
              <w:rPr>
                <w:rFonts w:ascii="Arial" w:hAnsi="Arial" w:cs="Arial"/>
                <w:b/>
                <w:bCs/>
                <w:szCs w:val="20"/>
                <w:lang w:val="en-US"/>
              </w:rPr>
              <w:t>Highest</w:t>
            </w:r>
          </w:p>
        </w:tc>
        <w:tc>
          <w:tcPr>
            <w:tcW w:w="0" w:type="auto"/>
            <w:vAlign w:val="center"/>
          </w:tcPr>
          <w:p w14:paraId="3F71CF0F" w14:textId="77777777" w:rsidR="00D32ABC" w:rsidRPr="00F403D0" w:rsidRDefault="00D32ABC" w:rsidP="0074382E">
            <w:pPr>
              <w:jc w:val="center"/>
              <w:rPr>
                <w:rFonts w:ascii="Arial" w:hAnsi="Arial" w:cs="Arial"/>
                <w:b/>
                <w:bCs/>
                <w:szCs w:val="20"/>
                <w:lang w:val="en-US"/>
              </w:rPr>
            </w:pPr>
            <w:r w:rsidRPr="00F403D0">
              <w:rPr>
                <w:rFonts w:ascii="Arial" w:hAnsi="Arial" w:cs="Arial"/>
                <w:b/>
                <w:bCs/>
                <w:szCs w:val="20"/>
                <w:lang w:val="en-US"/>
              </w:rPr>
              <w:t>Lowest</w:t>
            </w:r>
          </w:p>
        </w:tc>
      </w:tr>
      <w:tr w:rsidR="00D32ABC" w:rsidRPr="00EE3371" w14:paraId="1AC70FEB" w14:textId="77777777" w:rsidTr="0074382E">
        <w:trPr>
          <w:jc w:val="center"/>
        </w:trPr>
        <w:tc>
          <w:tcPr>
            <w:tcW w:w="0" w:type="auto"/>
            <w:vAlign w:val="center"/>
          </w:tcPr>
          <w:p w14:paraId="7447A6C0" w14:textId="77777777" w:rsidR="00D32ABC" w:rsidRPr="00F403D0" w:rsidRDefault="00D32ABC" w:rsidP="0074382E">
            <w:pPr>
              <w:jc w:val="center"/>
              <w:rPr>
                <w:rFonts w:ascii="Arial" w:hAnsi="Arial" w:cs="Arial"/>
                <w:szCs w:val="20"/>
                <w:lang w:val="en-US"/>
              </w:rPr>
            </w:pPr>
            <w:r w:rsidRPr="00F403D0">
              <w:rPr>
                <w:rFonts w:ascii="Arial" w:hAnsi="Arial" w:cs="Arial"/>
                <w:szCs w:val="20"/>
                <w:lang w:val="en-US"/>
              </w:rPr>
              <w:t>Proliferation (between day 0 and 21)</w:t>
            </w:r>
          </w:p>
        </w:tc>
        <w:tc>
          <w:tcPr>
            <w:tcW w:w="0" w:type="auto"/>
            <w:vAlign w:val="center"/>
          </w:tcPr>
          <w:p w14:paraId="7BD50CD5" w14:textId="77777777" w:rsidR="00D32ABC" w:rsidRPr="00F403D0" w:rsidRDefault="00D32ABC" w:rsidP="0074382E">
            <w:pPr>
              <w:jc w:val="center"/>
              <w:rPr>
                <w:rFonts w:ascii="Arial" w:hAnsi="Arial" w:cs="Arial"/>
                <w:szCs w:val="20"/>
                <w:lang w:val="en-US"/>
              </w:rPr>
            </w:pPr>
            <w:r w:rsidRPr="00F403D0">
              <w:rPr>
                <w:rFonts w:ascii="Arial" w:hAnsi="Arial" w:cs="Arial"/>
                <w:szCs w:val="20"/>
                <w:lang w:val="en-US"/>
              </w:rPr>
              <w:t>8.7-fold</w:t>
            </w:r>
          </w:p>
        </w:tc>
        <w:tc>
          <w:tcPr>
            <w:tcW w:w="0" w:type="auto"/>
            <w:vAlign w:val="center"/>
          </w:tcPr>
          <w:p w14:paraId="375A3599" w14:textId="77777777" w:rsidR="00D32ABC" w:rsidRPr="00F403D0" w:rsidRDefault="00D32ABC" w:rsidP="0074382E">
            <w:pPr>
              <w:jc w:val="center"/>
              <w:rPr>
                <w:rFonts w:ascii="Arial" w:hAnsi="Arial" w:cs="Arial"/>
                <w:szCs w:val="20"/>
                <w:lang w:val="en-US"/>
              </w:rPr>
            </w:pPr>
            <w:r w:rsidRPr="00F403D0">
              <w:rPr>
                <w:rFonts w:ascii="Arial" w:hAnsi="Arial" w:cs="Arial"/>
                <w:szCs w:val="20"/>
                <w:lang w:val="en-US"/>
              </w:rPr>
              <w:t>1.9-fold</w:t>
            </w:r>
          </w:p>
        </w:tc>
      </w:tr>
      <w:tr w:rsidR="00D32ABC" w:rsidRPr="00EE3371" w14:paraId="0B89C3C6" w14:textId="77777777" w:rsidTr="0074382E">
        <w:trPr>
          <w:jc w:val="center"/>
        </w:trPr>
        <w:tc>
          <w:tcPr>
            <w:tcW w:w="0" w:type="auto"/>
            <w:vAlign w:val="center"/>
          </w:tcPr>
          <w:p w14:paraId="61BA5BF9" w14:textId="77777777" w:rsidR="00D32ABC" w:rsidRPr="00F403D0" w:rsidRDefault="00D32ABC" w:rsidP="0074382E">
            <w:pPr>
              <w:jc w:val="center"/>
              <w:rPr>
                <w:rFonts w:ascii="Arial" w:hAnsi="Arial" w:cs="Arial"/>
                <w:szCs w:val="20"/>
                <w:lang w:val="en-US"/>
              </w:rPr>
            </w:pPr>
            <w:r w:rsidRPr="00F403D0">
              <w:rPr>
                <w:rFonts w:ascii="Arial" w:hAnsi="Arial" w:cs="Arial"/>
                <w:szCs w:val="20"/>
                <w:lang w:val="en-US"/>
              </w:rPr>
              <w:t>COL (between TC day 21 and scaffolds day 21)</w:t>
            </w:r>
          </w:p>
        </w:tc>
        <w:tc>
          <w:tcPr>
            <w:tcW w:w="0" w:type="auto"/>
            <w:vAlign w:val="center"/>
          </w:tcPr>
          <w:p w14:paraId="456742BD" w14:textId="77777777" w:rsidR="00D32ABC" w:rsidRPr="00F403D0" w:rsidRDefault="00D32ABC" w:rsidP="0074382E">
            <w:pPr>
              <w:jc w:val="center"/>
              <w:rPr>
                <w:rFonts w:ascii="Arial" w:hAnsi="Arial" w:cs="Arial"/>
                <w:szCs w:val="20"/>
                <w:lang w:val="en-US"/>
              </w:rPr>
            </w:pPr>
            <w:r w:rsidRPr="00F403D0">
              <w:rPr>
                <w:rFonts w:ascii="Arial" w:hAnsi="Arial" w:cs="Arial"/>
                <w:szCs w:val="20"/>
                <w:lang w:val="en-US"/>
              </w:rPr>
              <w:t>4.8-fold</w:t>
            </w:r>
          </w:p>
        </w:tc>
        <w:tc>
          <w:tcPr>
            <w:tcW w:w="0" w:type="auto"/>
            <w:vAlign w:val="center"/>
          </w:tcPr>
          <w:p w14:paraId="257819FD" w14:textId="77777777" w:rsidR="00D32ABC" w:rsidRPr="00F403D0" w:rsidRDefault="00D32ABC" w:rsidP="0074382E">
            <w:pPr>
              <w:jc w:val="center"/>
              <w:rPr>
                <w:rFonts w:ascii="Arial" w:hAnsi="Arial" w:cs="Arial"/>
                <w:szCs w:val="20"/>
                <w:lang w:val="en-US"/>
              </w:rPr>
            </w:pPr>
            <w:r w:rsidRPr="00F403D0">
              <w:rPr>
                <w:rFonts w:ascii="Arial" w:hAnsi="Arial" w:cs="Arial"/>
                <w:szCs w:val="20"/>
                <w:lang w:val="en-US"/>
              </w:rPr>
              <w:t>0.8-fold</w:t>
            </w:r>
          </w:p>
        </w:tc>
      </w:tr>
      <w:tr w:rsidR="00D32ABC" w:rsidRPr="00EE3371" w14:paraId="3A27F421" w14:textId="77777777" w:rsidTr="0074382E">
        <w:trPr>
          <w:jc w:val="center"/>
        </w:trPr>
        <w:tc>
          <w:tcPr>
            <w:tcW w:w="0" w:type="auto"/>
            <w:vAlign w:val="center"/>
          </w:tcPr>
          <w:p w14:paraId="3F2833A2" w14:textId="77777777" w:rsidR="00D32ABC" w:rsidRPr="00F403D0" w:rsidRDefault="00D32ABC" w:rsidP="0074382E">
            <w:pPr>
              <w:jc w:val="center"/>
              <w:rPr>
                <w:rFonts w:ascii="Arial" w:hAnsi="Arial" w:cs="Arial"/>
                <w:szCs w:val="20"/>
                <w:lang w:val="en-US"/>
              </w:rPr>
            </w:pPr>
            <w:r w:rsidRPr="00F403D0">
              <w:rPr>
                <w:rFonts w:ascii="Arial" w:hAnsi="Arial" w:cs="Arial"/>
                <w:szCs w:val="20"/>
                <w:lang w:val="en-US"/>
              </w:rPr>
              <w:t>ALP (between TC day 2 and scaffolds day 7)</w:t>
            </w:r>
          </w:p>
        </w:tc>
        <w:tc>
          <w:tcPr>
            <w:tcW w:w="0" w:type="auto"/>
            <w:vAlign w:val="center"/>
          </w:tcPr>
          <w:p w14:paraId="0451AA3E" w14:textId="77777777" w:rsidR="00D32ABC" w:rsidRPr="00F403D0" w:rsidRDefault="00D32ABC" w:rsidP="0074382E">
            <w:pPr>
              <w:jc w:val="center"/>
              <w:rPr>
                <w:rFonts w:ascii="Arial" w:hAnsi="Arial" w:cs="Arial"/>
                <w:szCs w:val="20"/>
                <w:lang w:val="en-US"/>
              </w:rPr>
            </w:pPr>
            <w:r w:rsidRPr="00F403D0">
              <w:rPr>
                <w:rFonts w:ascii="Arial" w:hAnsi="Arial" w:cs="Arial"/>
                <w:szCs w:val="20"/>
                <w:lang w:val="en-US"/>
              </w:rPr>
              <w:t>4.0-fold</w:t>
            </w:r>
          </w:p>
        </w:tc>
        <w:tc>
          <w:tcPr>
            <w:tcW w:w="0" w:type="auto"/>
            <w:vAlign w:val="center"/>
          </w:tcPr>
          <w:p w14:paraId="4BFCBE93" w14:textId="77777777" w:rsidR="00D32ABC" w:rsidRPr="00F403D0" w:rsidRDefault="00D32ABC" w:rsidP="0074382E">
            <w:pPr>
              <w:jc w:val="center"/>
              <w:rPr>
                <w:rFonts w:ascii="Arial" w:hAnsi="Arial" w:cs="Arial"/>
                <w:szCs w:val="20"/>
                <w:lang w:val="en-US"/>
              </w:rPr>
            </w:pPr>
            <w:r w:rsidRPr="00F403D0">
              <w:rPr>
                <w:rFonts w:ascii="Arial" w:hAnsi="Arial" w:cs="Arial"/>
                <w:szCs w:val="20"/>
                <w:lang w:val="en-US"/>
              </w:rPr>
              <w:t>0-fold</w:t>
            </w:r>
          </w:p>
        </w:tc>
      </w:tr>
      <w:tr w:rsidR="00D32ABC" w:rsidRPr="00EE3371" w14:paraId="73C2BDC8" w14:textId="77777777" w:rsidTr="0074382E">
        <w:trPr>
          <w:jc w:val="center"/>
        </w:trPr>
        <w:tc>
          <w:tcPr>
            <w:tcW w:w="0" w:type="auto"/>
            <w:vAlign w:val="center"/>
          </w:tcPr>
          <w:p w14:paraId="29CD70F4" w14:textId="77777777" w:rsidR="00D32ABC" w:rsidRPr="00F403D0" w:rsidRDefault="00D32ABC" w:rsidP="0074382E">
            <w:pPr>
              <w:jc w:val="center"/>
              <w:rPr>
                <w:rFonts w:ascii="Arial" w:hAnsi="Arial" w:cs="Arial"/>
                <w:szCs w:val="20"/>
                <w:lang w:val="en-US"/>
              </w:rPr>
            </w:pPr>
            <w:r w:rsidRPr="00F403D0">
              <w:rPr>
                <w:rFonts w:ascii="Arial" w:hAnsi="Arial" w:cs="Arial"/>
                <w:szCs w:val="20"/>
                <w:lang w:val="en-US"/>
              </w:rPr>
              <w:t>Indentation modulus</w:t>
            </w:r>
          </w:p>
        </w:tc>
        <w:tc>
          <w:tcPr>
            <w:tcW w:w="0" w:type="auto"/>
            <w:vAlign w:val="center"/>
          </w:tcPr>
          <w:p w14:paraId="497307BF" w14:textId="77777777" w:rsidR="00D32ABC" w:rsidRPr="00F403D0" w:rsidRDefault="00D32ABC" w:rsidP="0074382E">
            <w:pPr>
              <w:jc w:val="center"/>
              <w:rPr>
                <w:rFonts w:ascii="Arial" w:hAnsi="Arial" w:cs="Arial"/>
                <w:szCs w:val="20"/>
                <w:lang w:val="en-US"/>
              </w:rPr>
            </w:pPr>
            <w:r w:rsidRPr="00F403D0">
              <w:rPr>
                <w:rFonts w:ascii="Arial" w:hAnsi="Arial" w:cs="Arial"/>
                <w:szCs w:val="20"/>
                <w:lang w:val="en-US"/>
              </w:rPr>
              <w:t>96.4 MPa</w:t>
            </w:r>
          </w:p>
        </w:tc>
        <w:tc>
          <w:tcPr>
            <w:tcW w:w="0" w:type="auto"/>
            <w:vAlign w:val="center"/>
          </w:tcPr>
          <w:p w14:paraId="5CFD12AF" w14:textId="77777777" w:rsidR="00D32ABC" w:rsidRPr="00F403D0" w:rsidRDefault="00D32ABC" w:rsidP="0074382E">
            <w:pPr>
              <w:jc w:val="center"/>
              <w:rPr>
                <w:rFonts w:ascii="Arial" w:hAnsi="Arial" w:cs="Arial"/>
                <w:szCs w:val="20"/>
                <w:lang w:val="en-US"/>
              </w:rPr>
            </w:pPr>
            <w:r w:rsidRPr="00F403D0">
              <w:rPr>
                <w:rFonts w:ascii="Arial" w:hAnsi="Arial" w:cs="Arial"/>
                <w:szCs w:val="20"/>
                <w:lang w:val="en-US"/>
              </w:rPr>
              <w:t>22.8 kPa</w:t>
            </w:r>
          </w:p>
        </w:tc>
      </w:tr>
      <w:tr w:rsidR="00D32ABC" w:rsidRPr="00EE3371" w14:paraId="4DC4BB6D" w14:textId="77777777" w:rsidTr="0074382E">
        <w:trPr>
          <w:jc w:val="center"/>
        </w:trPr>
        <w:tc>
          <w:tcPr>
            <w:tcW w:w="0" w:type="auto"/>
            <w:vAlign w:val="center"/>
          </w:tcPr>
          <w:p w14:paraId="10F78550" w14:textId="77777777" w:rsidR="00D32ABC" w:rsidRPr="00F403D0" w:rsidRDefault="00D32ABC" w:rsidP="0074382E">
            <w:pPr>
              <w:jc w:val="center"/>
              <w:rPr>
                <w:rFonts w:ascii="Arial" w:hAnsi="Arial" w:cs="Arial"/>
                <w:szCs w:val="20"/>
                <w:lang w:val="en-US"/>
              </w:rPr>
            </w:pPr>
            <w:r w:rsidRPr="00F403D0">
              <w:rPr>
                <w:rFonts w:ascii="Arial" w:hAnsi="Arial" w:cs="Arial"/>
                <w:szCs w:val="20"/>
                <w:lang w:val="en-US"/>
              </w:rPr>
              <w:t>Relaxation load</w:t>
            </w:r>
          </w:p>
        </w:tc>
        <w:tc>
          <w:tcPr>
            <w:tcW w:w="0" w:type="auto"/>
            <w:vAlign w:val="center"/>
          </w:tcPr>
          <w:p w14:paraId="02C21805" w14:textId="77777777" w:rsidR="00D32ABC" w:rsidRPr="00F403D0" w:rsidRDefault="00D32ABC" w:rsidP="0074382E">
            <w:pPr>
              <w:jc w:val="center"/>
              <w:rPr>
                <w:rFonts w:ascii="Arial" w:hAnsi="Arial" w:cs="Arial"/>
                <w:szCs w:val="20"/>
                <w:lang w:val="en-US"/>
              </w:rPr>
            </w:pPr>
            <w:r w:rsidRPr="00F403D0">
              <w:rPr>
                <w:rFonts w:ascii="Arial" w:hAnsi="Arial" w:cs="Arial"/>
                <w:szCs w:val="20"/>
                <w:lang w:val="en-US"/>
              </w:rPr>
              <w:t>53.1%</w:t>
            </w:r>
          </w:p>
        </w:tc>
        <w:tc>
          <w:tcPr>
            <w:tcW w:w="0" w:type="auto"/>
            <w:vAlign w:val="center"/>
          </w:tcPr>
          <w:p w14:paraId="6B203601" w14:textId="77777777" w:rsidR="00D32ABC" w:rsidRPr="00F403D0" w:rsidRDefault="00D32ABC" w:rsidP="0074382E">
            <w:pPr>
              <w:jc w:val="center"/>
              <w:rPr>
                <w:rFonts w:ascii="Arial" w:hAnsi="Arial" w:cs="Arial"/>
                <w:szCs w:val="20"/>
                <w:lang w:val="en-US"/>
              </w:rPr>
            </w:pPr>
            <w:r w:rsidRPr="00F403D0">
              <w:rPr>
                <w:rFonts w:ascii="Arial" w:hAnsi="Arial" w:cs="Arial"/>
                <w:szCs w:val="20"/>
                <w:lang w:val="en-US"/>
              </w:rPr>
              <w:t>3.9%</w:t>
            </w:r>
          </w:p>
        </w:tc>
      </w:tr>
      <w:tr w:rsidR="00D32ABC" w:rsidRPr="00EE3371" w14:paraId="078CAB50" w14:textId="77777777" w:rsidTr="0074382E">
        <w:trPr>
          <w:jc w:val="center"/>
        </w:trPr>
        <w:tc>
          <w:tcPr>
            <w:tcW w:w="0" w:type="auto"/>
            <w:vAlign w:val="center"/>
          </w:tcPr>
          <w:p w14:paraId="0F572722" w14:textId="77777777" w:rsidR="00D32ABC" w:rsidRPr="00F403D0" w:rsidRDefault="00D32ABC" w:rsidP="0074382E">
            <w:pPr>
              <w:jc w:val="center"/>
              <w:rPr>
                <w:rFonts w:ascii="Arial" w:hAnsi="Arial" w:cs="Arial"/>
                <w:szCs w:val="20"/>
                <w:lang w:val="en-US"/>
              </w:rPr>
            </w:pPr>
            <w:r w:rsidRPr="00F403D0">
              <w:rPr>
                <w:rFonts w:ascii="Arial" w:hAnsi="Arial" w:cs="Arial"/>
                <w:szCs w:val="20"/>
                <w:lang w:val="en-US"/>
              </w:rPr>
              <w:t>Pore size</w:t>
            </w:r>
          </w:p>
        </w:tc>
        <w:tc>
          <w:tcPr>
            <w:tcW w:w="0" w:type="auto"/>
            <w:vAlign w:val="center"/>
          </w:tcPr>
          <w:p w14:paraId="1D84F15C" w14:textId="77777777" w:rsidR="00D32ABC" w:rsidRPr="00F403D0" w:rsidRDefault="00D32ABC" w:rsidP="0074382E">
            <w:pPr>
              <w:jc w:val="center"/>
              <w:rPr>
                <w:rFonts w:ascii="Arial" w:hAnsi="Arial" w:cs="Arial"/>
                <w:szCs w:val="20"/>
                <w:lang w:val="en-US"/>
              </w:rPr>
            </w:pPr>
            <w:r w:rsidRPr="00F403D0">
              <w:rPr>
                <w:rFonts w:ascii="Arial" w:hAnsi="Arial" w:cs="Arial"/>
                <w:szCs w:val="20"/>
                <w:lang w:val="en-US"/>
              </w:rPr>
              <w:t>175.3 µm</w:t>
            </w:r>
          </w:p>
        </w:tc>
        <w:tc>
          <w:tcPr>
            <w:tcW w:w="0" w:type="auto"/>
            <w:vAlign w:val="center"/>
          </w:tcPr>
          <w:p w14:paraId="102C1E22" w14:textId="77777777" w:rsidR="00D32ABC" w:rsidRPr="00F403D0" w:rsidRDefault="00D32ABC" w:rsidP="0074382E">
            <w:pPr>
              <w:jc w:val="center"/>
              <w:rPr>
                <w:rFonts w:ascii="Arial" w:hAnsi="Arial" w:cs="Arial"/>
                <w:szCs w:val="20"/>
                <w:lang w:val="en-US"/>
              </w:rPr>
            </w:pPr>
            <w:r w:rsidRPr="00F403D0">
              <w:rPr>
                <w:rFonts w:ascii="Arial" w:hAnsi="Arial" w:cs="Arial"/>
                <w:szCs w:val="20"/>
                <w:lang w:val="en-US"/>
              </w:rPr>
              <w:t>2 µm</w:t>
            </w:r>
          </w:p>
        </w:tc>
      </w:tr>
      <w:tr w:rsidR="00D32ABC" w:rsidRPr="00EE3371" w14:paraId="299497C0" w14:textId="77777777" w:rsidTr="0074382E">
        <w:trPr>
          <w:jc w:val="center"/>
        </w:trPr>
        <w:tc>
          <w:tcPr>
            <w:tcW w:w="0" w:type="auto"/>
            <w:vAlign w:val="center"/>
          </w:tcPr>
          <w:p w14:paraId="3A94CEF1" w14:textId="77777777" w:rsidR="00D32ABC" w:rsidRPr="00F403D0" w:rsidDel="00DB427A" w:rsidRDefault="00D32ABC" w:rsidP="0074382E">
            <w:pPr>
              <w:jc w:val="center"/>
              <w:rPr>
                <w:rFonts w:ascii="Arial" w:hAnsi="Arial" w:cs="Arial"/>
                <w:szCs w:val="20"/>
                <w:lang w:val="en-US"/>
              </w:rPr>
            </w:pPr>
            <w:r w:rsidRPr="00F403D0">
              <w:rPr>
                <w:rFonts w:ascii="Arial" w:hAnsi="Arial" w:cs="Arial"/>
                <w:szCs w:val="20"/>
                <w:lang w:val="en-US"/>
              </w:rPr>
              <w:t>Porosity</w:t>
            </w:r>
          </w:p>
        </w:tc>
        <w:tc>
          <w:tcPr>
            <w:tcW w:w="0" w:type="auto"/>
            <w:vAlign w:val="center"/>
          </w:tcPr>
          <w:p w14:paraId="79D3B3D6" w14:textId="77777777" w:rsidR="00D32ABC" w:rsidRPr="00F403D0" w:rsidDel="00DB427A" w:rsidRDefault="00D32ABC" w:rsidP="0074382E">
            <w:pPr>
              <w:jc w:val="center"/>
              <w:rPr>
                <w:rFonts w:ascii="Arial" w:hAnsi="Arial" w:cs="Arial"/>
                <w:szCs w:val="20"/>
                <w:lang w:val="en-US"/>
              </w:rPr>
            </w:pPr>
            <w:r w:rsidRPr="00F403D0">
              <w:rPr>
                <w:rFonts w:ascii="Arial" w:hAnsi="Arial" w:cs="Arial"/>
                <w:szCs w:val="20"/>
                <w:lang w:val="en-US"/>
              </w:rPr>
              <w:t>82.4%</w:t>
            </w:r>
          </w:p>
        </w:tc>
        <w:tc>
          <w:tcPr>
            <w:tcW w:w="0" w:type="auto"/>
            <w:vAlign w:val="center"/>
          </w:tcPr>
          <w:p w14:paraId="49A7131A" w14:textId="77777777" w:rsidR="00D32ABC" w:rsidRPr="00F403D0" w:rsidRDefault="00D32ABC" w:rsidP="0074382E">
            <w:pPr>
              <w:jc w:val="center"/>
              <w:rPr>
                <w:rFonts w:ascii="Arial" w:hAnsi="Arial" w:cs="Arial"/>
                <w:szCs w:val="20"/>
                <w:lang w:val="en-US"/>
              </w:rPr>
            </w:pPr>
            <w:r w:rsidRPr="00F403D0">
              <w:rPr>
                <w:rFonts w:ascii="Arial" w:hAnsi="Arial" w:cs="Arial"/>
                <w:szCs w:val="20"/>
                <w:lang w:val="en-US"/>
              </w:rPr>
              <w:t>0%</w:t>
            </w:r>
          </w:p>
        </w:tc>
      </w:tr>
    </w:tbl>
    <w:p w14:paraId="448E6948" w14:textId="77777777" w:rsidR="00D32ABC" w:rsidRDefault="00D32ABC" w:rsidP="00D32ABC">
      <w:pPr>
        <w:pStyle w:val="Caption"/>
        <w:spacing w:line="480" w:lineRule="auto"/>
        <w:rPr>
          <w:rFonts w:cs="Arial"/>
          <w:highlight w:val="yellow"/>
        </w:rPr>
      </w:pPr>
    </w:p>
    <w:p w14:paraId="2669C267" w14:textId="77777777" w:rsidR="00D32ABC" w:rsidRDefault="00D32ABC" w:rsidP="00D32ABC">
      <w:pPr>
        <w:rPr>
          <w:highlight w:val="yellow"/>
        </w:rPr>
      </w:pPr>
    </w:p>
    <w:p w14:paraId="4253BBB0" w14:textId="77777777" w:rsidR="00D32ABC" w:rsidRDefault="00D32ABC" w:rsidP="00D32ABC">
      <w:pPr>
        <w:rPr>
          <w:highlight w:val="yellow"/>
        </w:rPr>
      </w:pPr>
    </w:p>
    <w:p w14:paraId="215439B6" w14:textId="77777777" w:rsidR="00D32ABC" w:rsidRDefault="00D32ABC" w:rsidP="00D32ABC">
      <w:pPr>
        <w:rPr>
          <w:highlight w:val="yellow"/>
        </w:rPr>
      </w:pPr>
    </w:p>
    <w:p w14:paraId="3736CEBD" w14:textId="77777777" w:rsidR="00D32ABC" w:rsidRDefault="00D32ABC" w:rsidP="00D32ABC">
      <w:pPr>
        <w:rPr>
          <w:highlight w:val="yellow"/>
        </w:rPr>
      </w:pPr>
    </w:p>
    <w:p w14:paraId="4CA5F769" w14:textId="77777777" w:rsidR="00D32ABC" w:rsidRDefault="00D32ABC" w:rsidP="00D32ABC">
      <w:pPr>
        <w:rPr>
          <w:highlight w:val="yellow"/>
        </w:rPr>
      </w:pPr>
      <w:r>
        <w:rPr>
          <w:noProof/>
        </w:rPr>
        <w:lastRenderedPageBreak/>
        <w:drawing>
          <wp:inline distT="0" distB="0" distL="0" distR="0" wp14:anchorId="341EF28E" wp14:editId="224BFB64">
            <wp:extent cx="5759450" cy="1628775"/>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5"/>
                    <a:stretch>
                      <a:fillRect/>
                    </a:stretch>
                  </pic:blipFill>
                  <pic:spPr>
                    <a:xfrm>
                      <a:off x="0" y="0"/>
                      <a:ext cx="5759450" cy="1628775"/>
                    </a:xfrm>
                    <a:prstGeom prst="rect">
                      <a:avLst/>
                    </a:prstGeom>
                  </pic:spPr>
                </pic:pic>
              </a:graphicData>
            </a:graphic>
          </wp:inline>
        </w:drawing>
      </w:r>
    </w:p>
    <w:p w14:paraId="16114D51" w14:textId="77777777" w:rsidR="00D32ABC" w:rsidRPr="00F403D0" w:rsidRDefault="00D32ABC" w:rsidP="00D32ABC">
      <w:r w:rsidRPr="00D74187">
        <w:rPr>
          <w:b/>
          <w:bCs/>
        </w:rPr>
        <w:t>Figure S</w:t>
      </w:r>
      <w:r w:rsidRPr="00D74187">
        <w:rPr>
          <w:b/>
          <w:bCs/>
        </w:rPr>
        <w:fldChar w:fldCharType="begin"/>
      </w:r>
      <w:r w:rsidRPr="00D74187">
        <w:rPr>
          <w:b/>
          <w:bCs/>
        </w:rPr>
        <w:instrText xml:space="preserve"> SEQ Figure \* ARABIC </w:instrText>
      </w:r>
      <w:r w:rsidRPr="00D74187">
        <w:rPr>
          <w:b/>
          <w:bCs/>
        </w:rPr>
        <w:fldChar w:fldCharType="separate"/>
      </w:r>
      <w:r>
        <w:rPr>
          <w:b/>
          <w:bCs/>
          <w:noProof/>
        </w:rPr>
        <w:t>10</w:t>
      </w:r>
      <w:r w:rsidRPr="00D74187">
        <w:rPr>
          <w:b/>
          <w:bCs/>
        </w:rPr>
        <w:fldChar w:fldCharType="end"/>
      </w:r>
      <w:r>
        <w:t>.</w:t>
      </w:r>
      <w:r w:rsidRPr="00F403D0">
        <w:t xml:space="preserve"> Analysis of FBMSCs behaviour on the 3D polymer </w:t>
      </w:r>
      <w:r>
        <w:t xml:space="preserve">array for polymers 2 and 3 with high porosity. A) </w:t>
      </w:r>
      <w:r w:rsidRPr="00F403D0">
        <w:t>Fold change of fluorescence between day 0 (10,000 cells/well) and the scaffolds at day 21 (</w:t>
      </w:r>
      <w:r w:rsidRPr="00F403D0">
        <w:rPr>
          <w:szCs w:val="24"/>
          <w:lang w:val="en-US"/>
        </w:rPr>
        <w:t>n=3 biological replicates with 4 technical replicates</w:t>
      </w:r>
      <w:r w:rsidRPr="00F403D0">
        <w:t>).</w:t>
      </w:r>
      <w:r>
        <w:t xml:space="preserve"> B) </w:t>
      </w:r>
      <w:r w:rsidRPr="00F403D0">
        <w:rPr>
          <w:lang w:val="en-US"/>
        </w:rPr>
        <w:t>Fold change of absorbance (</w:t>
      </w:r>
      <w:proofErr w:type="spellStart"/>
      <w:r w:rsidRPr="00F403D0">
        <w:rPr>
          <w:lang w:val="en-US"/>
        </w:rPr>
        <w:t>picro-sirius</w:t>
      </w:r>
      <w:proofErr w:type="spellEnd"/>
      <w:r w:rsidRPr="00F403D0">
        <w:rPr>
          <w:lang w:val="en-US"/>
        </w:rPr>
        <w:t xml:space="preserve"> red staining of collagen) between the TC control and the 3D scaffolds after 21 days of incubation</w:t>
      </w:r>
      <w:r>
        <w:rPr>
          <w:lang w:val="en-US"/>
        </w:rPr>
        <w:t xml:space="preserve"> in basal medium</w:t>
      </w:r>
      <w:r w:rsidRPr="00F403D0">
        <w:rPr>
          <w:lang w:val="en-US"/>
        </w:rPr>
        <w:t xml:space="preserve"> </w:t>
      </w:r>
      <w:r w:rsidRPr="00F403D0">
        <w:t>(</w:t>
      </w:r>
      <w:r w:rsidRPr="00F403D0">
        <w:rPr>
          <w:szCs w:val="24"/>
          <w:lang w:val="en-US"/>
        </w:rPr>
        <w:t>n=3 biological replicates with 3 technical replicates</w:t>
      </w:r>
      <w:r w:rsidRPr="00F403D0">
        <w:t>)</w:t>
      </w:r>
      <w:r w:rsidRPr="00F403D0">
        <w:rPr>
          <w:lang w:val="en-US"/>
        </w:rPr>
        <w:t>.</w:t>
      </w:r>
      <w:r>
        <w:rPr>
          <w:lang w:val="en-US"/>
        </w:rPr>
        <w:t xml:space="preserve"> C) </w:t>
      </w:r>
      <w:r w:rsidRPr="00F403D0">
        <w:t>Fold change of absorbance (chromogenic enzymatic cleavage of phosphatase substrate) between the TC control at day 2 and the scaffolds at day 7 (</w:t>
      </w:r>
      <w:r w:rsidRPr="00F403D0">
        <w:rPr>
          <w:szCs w:val="24"/>
          <w:lang w:val="en-US"/>
        </w:rPr>
        <w:t>n=</w:t>
      </w:r>
      <w:r>
        <w:rPr>
          <w:szCs w:val="24"/>
          <w:lang w:val="en-US"/>
        </w:rPr>
        <w:t>2</w:t>
      </w:r>
      <w:r w:rsidRPr="00F403D0">
        <w:rPr>
          <w:szCs w:val="24"/>
          <w:lang w:val="en-US"/>
        </w:rPr>
        <w:t xml:space="preserve"> biological replicates with </w:t>
      </w:r>
      <w:r>
        <w:rPr>
          <w:szCs w:val="24"/>
          <w:lang w:val="en-US"/>
        </w:rPr>
        <w:t>4</w:t>
      </w:r>
      <w:r w:rsidRPr="00F403D0">
        <w:rPr>
          <w:szCs w:val="24"/>
          <w:lang w:val="en-US"/>
        </w:rPr>
        <w:t xml:space="preserve"> technical replicates</w:t>
      </w:r>
      <w:r w:rsidRPr="00F403D0">
        <w:t xml:space="preserve">). </w:t>
      </w:r>
      <w:r>
        <w:t>FBMSCs were cultured in basal medium. One</w:t>
      </w:r>
      <w:r w:rsidRPr="00F403D0">
        <w:t xml:space="preserve">-way ANOVA with Bonferroni post-test (** p </w:t>
      </w:r>
      <w:r w:rsidRPr="00F403D0">
        <w:rPr>
          <w:rFonts w:hint="eastAsia"/>
        </w:rPr>
        <w:t>≤</w:t>
      </w:r>
      <w:r w:rsidRPr="00F403D0">
        <w:t xml:space="preserve"> 0.01</w:t>
      </w:r>
      <w:r>
        <w:t xml:space="preserve"> </w:t>
      </w:r>
      <w:r w:rsidRPr="00F403D0">
        <w:t xml:space="preserve">and **** p </w:t>
      </w:r>
      <w:r w:rsidRPr="00F403D0">
        <w:rPr>
          <w:rFonts w:hint="eastAsia"/>
        </w:rPr>
        <w:t>≤</w:t>
      </w:r>
      <w:r w:rsidRPr="00F403D0">
        <w:t xml:space="preserve"> 0.0001). </w:t>
      </w:r>
      <w:r>
        <w:t>T</w:t>
      </w:r>
      <w:r w:rsidRPr="00F403D0">
        <w:t>issue culture plates (TC)</w:t>
      </w:r>
      <w:r>
        <w:t xml:space="preserve"> were used as a control.</w:t>
      </w:r>
      <w:r w:rsidRPr="00F403D0">
        <w:t xml:space="preserve"> Mean ± SD.</w:t>
      </w:r>
    </w:p>
    <w:p w14:paraId="30CFCB8F" w14:textId="77777777" w:rsidR="00D32ABC" w:rsidRDefault="00D32ABC" w:rsidP="00D32ABC"/>
    <w:p w14:paraId="2EC0EA18" w14:textId="77777777" w:rsidR="00D32ABC" w:rsidRPr="00A42AEE" w:rsidRDefault="00D32ABC" w:rsidP="00D32ABC">
      <w:pPr>
        <w:rPr>
          <w:highlight w:val="yellow"/>
        </w:rPr>
      </w:pPr>
    </w:p>
    <w:p w14:paraId="39E15696" w14:textId="77777777" w:rsidR="00D32ABC" w:rsidRPr="00F403D0" w:rsidRDefault="00D32ABC" w:rsidP="00D32ABC">
      <w:pPr>
        <w:spacing w:line="480" w:lineRule="auto"/>
        <w:jc w:val="center"/>
        <w:rPr>
          <w:rFonts w:ascii="Arial" w:hAnsi="Arial" w:cs="Arial"/>
          <w:szCs w:val="24"/>
        </w:rPr>
      </w:pPr>
      <w:r w:rsidRPr="00F403D0">
        <w:rPr>
          <w:rFonts w:ascii="Arial" w:hAnsi="Arial" w:cs="Arial"/>
          <w:noProof/>
          <w:szCs w:val="24"/>
          <w:lang w:eastAsia="en-GB"/>
        </w:rPr>
        <w:drawing>
          <wp:inline distT="0" distB="0" distL="0" distR="0" wp14:anchorId="57F801F2" wp14:editId="606F79DA">
            <wp:extent cx="5314950" cy="201880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P confocal.wmf"/>
                    <pic:cNvPicPr/>
                  </pic:nvPicPr>
                  <pic:blipFill rotWithShape="1">
                    <a:blip r:embed="rId16" cstate="print">
                      <a:extLst>
                        <a:ext uri="{28A0092B-C50C-407E-A947-70E740481C1C}">
                          <a14:useLocalDpi xmlns:a14="http://schemas.microsoft.com/office/drawing/2010/main" val="0"/>
                        </a:ext>
                      </a:extLst>
                    </a:blip>
                    <a:srcRect r="7268" b="7849"/>
                    <a:stretch/>
                  </pic:blipFill>
                  <pic:spPr bwMode="auto">
                    <a:xfrm>
                      <a:off x="0" y="0"/>
                      <a:ext cx="5314950" cy="2018805"/>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ext>
                    </a:extLst>
                  </pic:spPr>
                </pic:pic>
              </a:graphicData>
            </a:graphic>
          </wp:inline>
        </w:drawing>
      </w:r>
    </w:p>
    <w:p w14:paraId="14C3975B" w14:textId="77777777" w:rsidR="00D32ABC" w:rsidRDefault="00D32ABC" w:rsidP="00D32ABC">
      <w:r w:rsidRPr="00D74187">
        <w:rPr>
          <w:b/>
          <w:bCs/>
        </w:rPr>
        <w:t>Figure S</w:t>
      </w:r>
      <w:r>
        <w:rPr>
          <w:b/>
          <w:bCs/>
        </w:rPr>
        <w:t>11</w:t>
      </w:r>
      <w:r>
        <w:t>.</w:t>
      </w:r>
      <w:r w:rsidRPr="00F403D0">
        <w:t xml:space="preserve"> Quantification of FBMSCs proliferation and ALP expression. Porous scaffolds with high porosity (2-HPS and 3-HPS) were seeded with FBMSCs (40,000 cells/scaffold) and incubated for 2 and 7 days</w:t>
      </w:r>
      <w:r>
        <w:t xml:space="preserve"> in basal medium</w:t>
      </w:r>
      <w:r w:rsidRPr="00F403D0">
        <w:t xml:space="preserve">. FBMSCs in the scaffolds were stained using DAPI and immunofluorescence assay for ALP, subsequently, confocal microscopy was carried out. The software </w:t>
      </w:r>
      <w:proofErr w:type="spellStart"/>
      <w:r w:rsidRPr="00F403D0">
        <w:t>Imaris</w:t>
      </w:r>
      <w:proofErr w:type="spellEnd"/>
      <w:r w:rsidRPr="00F403D0">
        <w:t xml:space="preserve"> was used to analyse the representative images of the scaffold. A) Number of FBMSCs nuclei and B) ALP fluorescence intensity normalised by number of cells. Two tailed t-test (* p </w:t>
      </w:r>
      <w:r w:rsidRPr="00EE3371">
        <w:rPr>
          <w:rFonts w:hint="eastAsia"/>
        </w:rPr>
        <w:t>≤</w:t>
      </w:r>
      <w:r w:rsidRPr="00F403D0">
        <w:t xml:space="preserve"> 0.05, ** p </w:t>
      </w:r>
      <w:r w:rsidRPr="00EE3371">
        <w:rPr>
          <w:rFonts w:hint="eastAsia"/>
        </w:rPr>
        <w:t>≤</w:t>
      </w:r>
      <w:r w:rsidRPr="00F403D0">
        <w:t xml:space="preserve"> 0.01, *** p </w:t>
      </w:r>
      <w:r w:rsidRPr="00EE3371">
        <w:rPr>
          <w:rFonts w:hint="eastAsia"/>
        </w:rPr>
        <w:t>≤</w:t>
      </w:r>
      <w:r w:rsidRPr="00F403D0">
        <w:t xml:space="preserve"> 0.001 and **** p </w:t>
      </w:r>
      <w:r w:rsidRPr="00EE3371">
        <w:rPr>
          <w:rFonts w:hint="eastAsia"/>
        </w:rPr>
        <w:t>≤</w:t>
      </w:r>
      <w:r w:rsidRPr="00F403D0">
        <w:t xml:space="preserve"> 0.0001). Mean </w:t>
      </w:r>
      <w:r w:rsidRPr="00EE3371">
        <w:t>±</w:t>
      </w:r>
      <w:r w:rsidRPr="00F403D0">
        <w:t xml:space="preserve"> SD, </w:t>
      </w:r>
      <w:r w:rsidRPr="00F403D0">
        <w:rPr>
          <w:szCs w:val="24"/>
          <w:lang w:val="en-US"/>
        </w:rPr>
        <w:t>n=2 biological replicates</w:t>
      </w:r>
      <w:r w:rsidRPr="00F403D0">
        <w:t xml:space="preserve">. </w:t>
      </w:r>
    </w:p>
    <w:p w14:paraId="2E922FE3" w14:textId="77777777" w:rsidR="00D32ABC" w:rsidRDefault="00D32ABC" w:rsidP="00D32ABC"/>
    <w:p w14:paraId="3943E94A" w14:textId="77777777" w:rsidR="00D32ABC" w:rsidRPr="00F403D0" w:rsidRDefault="00D32ABC" w:rsidP="00D32ABC"/>
    <w:p w14:paraId="7D597CD8" w14:textId="77777777" w:rsidR="00D32ABC" w:rsidRPr="00F403D0" w:rsidRDefault="00D32ABC" w:rsidP="00D32ABC">
      <w:pPr>
        <w:spacing w:line="480" w:lineRule="auto"/>
        <w:jc w:val="center"/>
        <w:rPr>
          <w:rFonts w:ascii="Arial" w:hAnsi="Arial" w:cs="Arial"/>
        </w:rPr>
      </w:pPr>
      <w:r w:rsidRPr="00F403D0">
        <w:rPr>
          <w:rFonts w:ascii="Arial" w:hAnsi="Arial" w:cs="Arial"/>
          <w:noProof/>
          <w:lang w:eastAsia="en-GB"/>
        </w:rPr>
        <w:lastRenderedPageBreak/>
        <w:drawing>
          <wp:inline distT="0" distB="0" distL="0" distR="0" wp14:anchorId="2FA29157" wp14:editId="0AAE74B9">
            <wp:extent cx="4320000" cy="4171603"/>
            <wp:effectExtent l="0" t="0" r="4445" b="635"/>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320000" cy="4171603"/>
                    </a:xfrm>
                    <a:prstGeom prst="rect">
                      <a:avLst/>
                    </a:prstGeom>
                  </pic:spPr>
                </pic:pic>
              </a:graphicData>
            </a:graphic>
          </wp:inline>
        </w:drawing>
      </w:r>
    </w:p>
    <w:p w14:paraId="6D1756D0" w14:textId="77777777" w:rsidR="00D32ABC" w:rsidRPr="00F403D0" w:rsidRDefault="00D32ABC" w:rsidP="00D32ABC">
      <w:r w:rsidRPr="00D74187">
        <w:rPr>
          <w:b/>
          <w:bCs/>
        </w:rPr>
        <w:t>Figure S</w:t>
      </w:r>
      <w:r>
        <w:rPr>
          <w:b/>
          <w:bCs/>
        </w:rPr>
        <w:t>12</w:t>
      </w:r>
      <w:r w:rsidRPr="00F403D0">
        <w:t>. Scanning electron microscopy (SEM) images of FBMSCs on the 3D porous scaffolds. Scaffolds with high porosity (HPS) for polymers 2 and 3 were analysed after 7 and 21 days of incubation. Scaffold</w:t>
      </w:r>
      <w:r>
        <w:t>s</w:t>
      </w:r>
      <w:r w:rsidRPr="00F403D0">
        <w:t xml:space="preserve"> without cells was used as a control. Squares indicate magnified areas. FBMSCs were observed on the surface as well as in the interior parts of the scaffold (arrows). Scale bar 400 µm. </w:t>
      </w:r>
    </w:p>
    <w:p w14:paraId="336A5C94" w14:textId="77777777" w:rsidR="00D32ABC" w:rsidRDefault="00D32ABC" w:rsidP="00D32ABC">
      <w:pPr>
        <w:spacing w:line="480" w:lineRule="auto"/>
        <w:jc w:val="center"/>
        <w:rPr>
          <w:rFonts w:ascii="Arial" w:hAnsi="Arial" w:cs="Arial"/>
        </w:rPr>
      </w:pPr>
      <w:r>
        <w:rPr>
          <w:rFonts w:ascii="Arial" w:hAnsi="Arial" w:cs="Arial"/>
          <w:noProof/>
          <w:lang w:eastAsia="en-GB"/>
        </w:rPr>
        <w:lastRenderedPageBreak/>
        <w:drawing>
          <wp:inline distT="0" distB="0" distL="0" distR="0" wp14:anchorId="61C0A6EF" wp14:editId="36D114D6">
            <wp:extent cx="5040000" cy="6386408"/>
            <wp:effectExtent l="0" t="0" r="8255" b="0"/>
            <wp:docPr id="20" name="Picture 20" descr="A picture contain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window&#10;&#10;Description automatically generated"/>
                    <pic:cNvPicPr/>
                  </pic:nvPicPr>
                  <pic:blipFill>
                    <a:blip r:embed="rId18"/>
                    <a:stretch>
                      <a:fillRect/>
                    </a:stretch>
                  </pic:blipFill>
                  <pic:spPr>
                    <a:xfrm>
                      <a:off x="0" y="0"/>
                      <a:ext cx="5040000" cy="6386408"/>
                    </a:xfrm>
                    <a:prstGeom prst="rect">
                      <a:avLst/>
                    </a:prstGeom>
                  </pic:spPr>
                </pic:pic>
              </a:graphicData>
            </a:graphic>
          </wp:inline>
        </w:drawing>
      </w:r>
    </w:p>
    <w:p w14:paraId="126E6CB7" w14:textId="77777777" w:rsidR="00D32ABC" w:rsidRPr="004B574E" w:rsidRDefault="00D32ABC" w:rsidP="00D32ABC">
      <w:pPr>
        <w:rPr>
          <w:sz w:val="18"/>
          <w:lang w:val="en-US"/>
        </w:rPr>
      </w:pPr>
      <w:r w:rsidRPr="00D74187">
        <w:rPr>
          <w:b/>
          <w:bCs/>
        </w:rPr>
        <w:t>Figure S</w:t>
      </w:r>
      <w:r>
        <w:rPr>
          <w:b/>
          <w:bCs/>
        </w:rPr>
        <w:t>13</w:t>
      </w:r>
      <w:r w:rsidRPr="00D74187">
        <w:rPr>
          <w:b/>
          <w:bCs/>
        </w:rPr>
        <w:t xml:space="preserve">. </w:t>
      </w:r>
      <w:r w:rsidRPr="00F403D0">
        <w:t xml:space="preserve">Chick CAM </w:t>
      </w:r>
      <w:r w:rsidRPr="00F403D0">
        <w:rPr>
          <w:i/>
        </w:rPr>
        <w:t>ex vivo</w:t>
      </w:r>
      <w:r w:rsidRPr="00F403D0">
        <w:t xml:space="preserve"> model implantation of scaffolds 2-HPS and 3-HPS with </w:t>
      </w:r>
      <w:r>
        <w:t xml:space="preserve">(+FBMSCs) </w:t>
      </w:r>
      <w:r w:rsidRPr="00F403D0">
        <w:t xml:space="preserve">and without </w:t>
      </w:r>
      <w:r>
        <w:t>(No FBMSCs) cells</w:t>
      </w:r>
      <w:r w:rsidRPr="00F403D0">
        <w:t xml:space="preserve">. </w:t>
      </w:r>
      <w:r>
        <w:t xml:space="preserve">A) </w:t>
      </w:r>
      <w:r w:rsidRPr="00D74187">
        <w:rPr>
          <w:i/>
        </w:rPr>
        <w:t xml:space="preserve">In situ </w:t>
      </w:r>
      <w:r w:rsidRPr="00F403D0">
        <w:t>macrographs</w:t>
      </w:r>
      <w:r>
        <w:t>.</w:t>
      </w:r>
      <w:r w:rsidRPr="00F403D0">
        <w:t xml:space="preserve"> </w:t>
      </w:r>
      <w:r>
        <w:t>B) H</w:t>
      </w:r>
      <w:r w:rsidRPr="00F403D0">
        <w:t xml:space="preserve">istology analysis with </w:t>
      </w:r>
      <w:proofErr w:type="spellStart"/>
      <w:r w:rsidRPr="00F403D0">
        <w:t>Alcian</w:t>
      </w:r>
      <w:proofErr w:type="spellEnd"/>
      <w:r w:rsidRPr="00F403D0">
        <w:t xml:space="preserve"> blue</w:t>
      </w:r>
      <w:r>
        <w:t xml:space="preserve"> and </w:t>
      </w:r>
      <w:r w:rsidRPr="00F403D0">
        <w:t>Sirius red</w:t>
      </w:r>
      <w:r>
        <w:t xml:space="preserve"> where blue, red and black </w:t>
      </w:r>
      <w:proofErr w:type="spellStart"/>
      <w:r>
        <w:t>stainings</w:t>
      </w:r>
      <w:proofErr w:type="spellEnd"/>
      <w:r>
        <w:t xml:space="preserve"> show proteoglycans, collagen and nuclei. Black dashed squares, black and red arrows indicate areas magnified, proteoglycans and collagen respectively.</w:t>
      </w:r>
      <w:r w:rsidRPr="00F403D0">
        <w:t xml:space="preserve"> </w:t>
      </w:r>
      <w:r>
        <w:t xml:space="preserve">C) </w:t>
      </w:r>
      <w:r w:rsidRPr="00F403D0">
        <w:t>Goldner’s Trichrome</w:t>
      </w:r>
      <w:r>
        <w:t xml:space="preserve"> where green, red, black and orange </w:t>
      </w:r>
      <w:proofErr w:type="spellStart"/>
      <w:r>
        <w:t>stainings</w:t>
      </w:r>
      <w:proofErr w:type="spellEnd"/>
      <w:r>
        <w:t xml:space="preserve"> show collagen, cell cytoplasm, nuclei and erythrocytes. Black dashed square, black and flue arrows indicate areas magnified, collagen and erythrocytes respectively. </w:t>
      </w:r>
      <w:r w:rsidRPr="00F403D0">
        <w:t xml:space="preserve">Scale bar </w:t>
      </w:r>
      <w:r>
        <w:t>(</w:t>
      </w:r>
      <w:proofErr w:type="spellStart"/>
      <w:r>
        <w:t>i</w:t>
      </w:r>
      <w:proofErr w:type="spellEnd"/>
      <w:r>
        <w:t xml:space="preserve">) = </w:t>
      </w:r>
      <w:r w:rsidRPr="00F403D0">
        <w:t xml:space="preserve">500 µm and </w:t>
      </w:r>
      <w:r>
        <w:t xml:space="preserve">(ii) = </w:t>
      </w:r>
      <w:r w:rsidRPr="00F403D0">
        <w:t xml:space="preserve">100 µm. </w:t>
      </w:r>
      <w:r w:rsidRPr="00D74187">
        <w:t xml:space="preserve">Histological analysis showed extracellular matrix deposition evidenced by extensive proteoglycans expression as well as collagenous protein. Furthermore, the presence of erythrocytes confirmed vasculature network formation. The presence of cells in all samples, including scaffolds without cells prior to implantation, showed avian host cellular </w:t>
      </w:r>
      <w:r w:rsidRPr="00D74187">
        <w:lastRenderedPageBreak/>
        <w:t>penetration and recruitment in the scaffolds containing enhanced pore sizes and interconnectivity.</w:t>
      </w:r>
      <w:r w:rsidRPr="004B574E">
        <w:rPr>
          <w:noProof/>
          <w:sz w:val="18"/>
          <w:lang w:val="en-US"/>
        </w:rPr>
        <w:t xml:space="preserve"> </w:t>
      </w:r>
    </w:p>
    <w:p w14:paraId="003DB2A3" w14:textId="43FBF430" w:rsidR="00D32ABC" w:rsidRPr="00F403D0" w:rsidRDefault="00D32ABC" w:rsidP="00073BC9">
      <w:pPr>
        <w:pStyle w:val="Caption"/>
        <w:rPr>
          <w:rFonts w:cs="Arial"/>
        </w:rPr>
      </w:pPr>
      <w:r w:rsidRPr="00F403D0">
        <w:rPr>
          <w:rFonts w:cs="Arial"/>
        </w:rPr>
        <w:t xml:space="preserve"> </w:t>
      </w:r>
    </w:p>
    <w:p w14:paraId="59FAC2F9" w14:textId="77777777" w:rsidR="00D32ABC" w:rsidRPr="00F403D0" w:rsidRDefault="00D32ABC" w:rsidP="00D32ABC">
      <w:pPr>
        <w:spacing w:line="480" w:lineRule="auto"/>
        <w:jc w:val="center"/>
        <w:rPr>
          <w:rFonts w:ascii="Arial" w:hAnsi="Arial" w:cs="Arial"/>
        </w:rPr>
      </w:pPr>
      <w:r>
        <w:rPr>
          <w:rFonts w:ascii="Arial" w:hAnsi="Arial" w:cs="Arial"/>
          <w:noProof/>
          <w:lang w:eastAsia="en-GB"/>
        </w:rPr>
        <w:drawing>
          <wp:inline distT="0" distB="0" distL="0" distR="0" wp14:anchorId="0E1932CE" wp14:editId="77BED33D">
            <wp:extent cx="3600000" cy="1950430"/>
            <wp:effectExtent l="0" t="0" r="635" b="0"/>
            <wp:docPr id="22" name="Picture 2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with low confidence"/>
                    <pic:cNvPicPr/>
                  </pic:nvPicPr>
                  <pic:blipFill>
                    <a:blip r:embed="rId19"/>
                    <a:stretch>
                      <a:fillRect/>
                    </a:stretch>
                  </pic:blipFill>
                  <pic:spPr>
                    <a:xfrm>
                      <a:off x="0" y="0"/>
                      <a:ext cx="3600000" cy="1950430"/>
                    </a:xfrm>
                    <a:prstGeom prst="rect">
                      <a:avLst/>
                    </a:prstGeom>
                  </pic:spPr>
                </pic:pic>
              </a:graphicData>
            </a:graphic>
          </wp:inline>
        </w:drawing>
      </w:r>
    </w:p>
    <w:p w14:paraId="0416A74C" w14:textId="77777777" w:rsidR="00D32ABC" w:rsidRPr="00F403D0" w:rsidRDefault="00D32ABC" w:rsidP="00D32ABC">
      <w:r w:rsidRPr="00D74187">
        <w:rPr>
          <w:b/>
          <w:bCs/>
        </w:rPr>
        <w:t>Figure S</w:t>
      </w:r>
      <w:r>
        <w:rPr>
          <w:b/>
          <w:bCs/>
        </w:rPr>
        <w:t>14</w:t>
      </w:r>
      <w:r w:rsidRPr="00D74187">
        <w:rPr>
          <w:b/>
          <w:bCs/>
        </w:rPr>
        <w:t>.</w:t>
      </w:r>
      <w:r w:rsidRPr="00F403D0">
        <w:t xml:space="preserve"> </w:t>
      </w:r>
      <w:r w:rsidRPr="00F403D0">
        <w:rPr>
          <w:i/>
        </w:rPr>
        <w:t>In vitro</w:t>
      </w:r>
      <w:r w:rsidRPr="00F403D0">
        <w:t xml:space="preserve"> evaluation of FBMSCs osteogenesis markers in tissue culture plates (TC) cultured in basal and osteogenic media for 7 and 21 days. Immunofluorescence assessment for expression of collagen I and osteopontin (stained red) along with DAPI nuclear staining (stained cyan). Scale bar 100 µm.</w:t>
      </w:r>
    </w:p>
    <w:p w14:paraId="741CD27E" w14:textId="77777777" w:rsidR="00D32ABC" w:rsidRPr="00F403D0" w:rsidRDefault="00D32ABC" w:rsidP="00D32ABC">
      <w:pPr>
        <w:spacing w:line="480" w:lineRule="auto"/>
        <w:rPr>
          <w:rFonts w:ascii="Arial" w:hAnsi="Arial" w:cs="Arial"/>
        </w:rPr>
      </w:pPr>
    </w:p>
    <w:p w14:paraId="10C41B58" w14:textId="77777777" w:rsidR="00D32ABC" w:rsidRPr="00F403D0" w:rsidRDefault="00D32ABC" w:rsidP="00D32ABC">
      <w:pPr>
        <w:spacing w:line="480" w:lineRule="auto"/>
        <w:jc w:val="center"/>
        <w:rPr>
          <w:rFonts w:ascii="Arial" w:hAnsi="Arial" w:cs="Arial"/>
        </w:rPr>
      </w:pPr>
      <w:r>
        <w:rPr>
          <w:rFonts w:ascii="Arial" w:hAnsi="Arial" w:cs="Arial"/>
          <w:b/>
          <w:bCs/>
          <w:noProof/>
          <w:lang w:eastAsia="en-GB"/>
        </w:rPr>
        <w:drawing>
          <wp:inline distT="0" distB="0" distL="0" distR="0" wp14:anchorId="6EBAB328" wp14:editId="0B780A3C">
            <wp:extent cx="1800000" cy="1702373"/>
            <wp:effectExtent l="0" t="0" r="0" b="0"/>
            <wp:docPr id="21" name="Picture 21" descr="A picture containing indoor, green,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indoor, green, dark, night sky&#10;&#10;Description automatically generated"/>
                    <pic:cNvPicPr/>
                  </pic:nvPicPr>
                  <pic:blipFill>
                    <a:blip r:embed="rId20"/>
                    <a:stretch>
                      <a:fillRect/>
                    </a:stretch>
                  </pic:blipFill>
                  <pic:spPr>
                    <a:xfrm>
                      <a:off x="0" y="0"/>
                      <a:ext cx="1800000" cy="1702373"/>
                    </a:xfrm>
                    <a:prstGeom prst="rect">
                      <a:avLst/>
                    </a:prstGeom>
                  </pic:spPr>
                </pic:pic>
              </a:graphicData>
            </a:graphic>
          </wp:inline>
        </w:drawing>
      </w:r>
    </w:p>
    <w:p w14:paraId="4E59C447" w14:textId="77777777" w:rsidR="00D32ABC" w:rsidRPr="00F10986" w:rsidRDefault="00D32ABC" w:rsidP="00D32ABC">
      <w:pPr>
        <w:rPr>
          <w:rFonts w:cs="Times"/>
        </w:rPr>
      </w:pPr>
      <w:r w:rsidRPr="00F10986">
        <w:rPr>
          <w:rFonts w:cs="Times"/>
          <w:b/>
          <w:bCs/>
        </w:rPr>
        <w:t>Figure S15</w:t>
      </w:r>
      <w:r w:rsidRPr="00F10986">
        <w:rPr>
          <w:rFonts w:cs="Times"/>
        </w:rPr>
        <w:t>. Live/Dead (green/red) assay of FBMSCs in 2-HPS. Scale bar 100 µm.</w:t>
      </w:r>
    </w:p>
    <w:p w14:paraId="64CBB24E" w14:textId="77777777" w:rsidR="00D32ABC" w:rsidRPr="00F10986" w:rsidRDefault="00D32ABC" w:rsidP="00D32ABC">
      <w:pPr>
        <w:spacing w:line="480" w:lineRule="auto"/>
        <w:rPr>
          <w:rFonts w:cs="Times"/>
        </w:rPr>
      </w:pPr>
    </w:p>
    <w:p w14:paraId="7584445B" w14:textId="77777777" w:rsidR="00D32ABC" w:rsidRPr="00F10986" w:rsidRDefault="00D32ABC" w:rsidP="00D32ABC">
      <w:pPr>
        <w:rPr>
          <w:rFonts w:cs="Times"/>
        </w:rPr>
      </w:pPr>
      <w:r w:rsidRPr="00F10986">
        <w:rPr>
          <w:rFonts w:cs="Times"/>
          <w:b/>
          <w:bCs/>
        </w:rPr>
        <w:t>Table S</w:t>
      </w:r>
      <w:r w:rsidRPr="00F10986">
        <w:rPr>
          <w:rFonts w:cs="Times"/>
          <w:b/>
          <w:bCs/>
        </w:rPr>
        <w:fldChar w:fldCharType="begin"/>
      </w:r>
      <w:r w:rsidRPr="00F10986">
        <w:rPr>
          <w:rFonts w:cs="Times"/>
          <w:b/>
          <w:bCs/>
        </w:rPr>
        <w:instrText xml:space="preserve"> SEQ Table \* ARABIC </w:instrText>
      </w:r>
      <w:r w:rsidRPr="00F10986">
        <w:rPr>
          <w:rFonts w:cs="Times"/>
          <w:b/>
          <w:bCs/>
        </w:rPr>
        <w:fldChar w:fldCharType="separate"/>
      </w:r>
      <w:r w:rsidRPr="00F10986">
        <w:rPr>
          <w:rFonts w:cs="Times"/>
          <w:b/>
          <w:bCs/>
          <w:noProof/>
        </w:rPr>
        <w:t>3</w:t>
      </w:r>
      <w:r w:rsidRPr="00F10986">
        <w:rPr>
          <w:rFonts w:cs="Times"/>
          <w:b/>
          <w:bCs/>
        </w:rPr>
        <w:fldChar w:fldCharType="end"/>
      </w:r>
      <w:r w:rsidRPr="00F10986">
        <w:rPr>
          <w:rFonts w:cs="Times"/>
          <w:b/>
          <w:bCs/>
        </w:rPr>
        <w:t xml:space="preserve">. </w:t>
      </w:r>
      <w:r w:rsidRPr="00F10986">
        <w:rPr>
          <w:rFonts w:cs="Times"/>
        </w:rPr>
        <w:t>ELISA against Type I collagen on 2-HPS scaffolds seeded with FBMSCs and cultured for 21 days in basal medium. Mean ± SD, n=3</w:t>
      </w:r>
    </w:p>
    <w:tbl>
      <w:tblPr>
        <w:tblStyle w:val="TableGrid"/>
        <w:tblW w:w="0" w:type="auto"/>
        <w:tblLook w:val="04A0" w:firstRow="1" w:lastRow="0" w:firstColumn="1" w:lastColumn="0" w:noHBand="0" w:noVBand="1"/>
      </w:tblPr>
      <w:tblGrid>
        <w:gridCol w:w="3488"/>
        <w:gridCol w:w="2882"/>
        <w:gridCol w:w="2690"/>
      </w:tblGrid>
      <w:tr w:rsidR="00D32ABC" w:rsidRPr="00F10986" w14:paraId="0AA66DCB" w14:textId="77777777" w:rsidTr="0074382E">
        <w:tc>
          <w:tcPr>
            <w:tcW w:w="0" w:type="auto"/>
          </w:tcPr>
          <w:p w14:paraId="6E3F5815" w14:textId="77777777" w:rsidR="00D32ABC" w:rsidRPr="00F10986" w:rsidRDefault="00D32ABC" w:rsidP="0074382E">
            <w:pPr>
              <w:pStyle w:val="Caption"/>
              <w:spacing w:after="0"/>
              <w:jc w:val="center"/>
              <w:rPr>
                <w:rFonts w:ascii="Times" w:hAnsi="Times" w:cs="Times"/>
                <w:b/>
                <w:bCs/>
                <w:sz w:val="24"/>
                <w:szCs w:val="24"/>
              </w:rPr>
            </w:pPr>
            <w:bookmarkStart w:id="3" w:name="OLE_LINK1"/>
            <w:r w:rsidRPr="00F10986">
              <w:rPr>
                <w:rFonts w:ascii="Times" w:hAnsi="Times" w:cs="Times"/>
                <w:b/>
                <w:bCs/>
                <w:sz w:val="24"/>
                <w:szCs w:val="24"/>
              </w:rPr>
              <w:t>Type I collagen/total protein (</w:t>
            </w:r>
            <w:proofErr w:type="spellStart"/>
            <w:r w:rsidRPr="00F10986">
              <w:rPr>
                <w:rFonts w:ascii="Times" w:hAnsi="Times" w:cs="Times"/>
                <w:b/>
                <w:bCs/>
                <w:sz w:val="24"/>
                <w:szCs w:val="24"/>
              </w:rPr>
              <w:t>pg</w:t>
            </w:r>
            <w:proofErr w:type="spellEnd"/>
            <w:r w:rsidRPr="00F10986">
              <w:rPr>
                <w:rFonts w:ascii="Times" w:hAnsi="Times" w:cs="Times"/>
                <w:b/>
                <w:bCs/>
                <w:sz w:val="24"/>
                <w:szCs w:val="24"/>
              </w:rPr>
              <w:t>/µg)</w:t>
            </w:r>
            <w:bookmarkEnd w:id="3"/>
          </w:p>
        </w:tc>
        <w:tc>
          <w:tcPr>
            <w:tcW w:w="0" w:type="auto"/>
          </w:tcPr>
          <w:p w14:paraId="0F2315BE" w14:textId="77777777" w:rsidR="00D32ABC" w:rsidRPr="00F10986" w:rsidRDefault="00D32ABC" w:rsidP="0074382E">
            <w:pPr>
              <w:pStyle w:val="Caption"/>
              <w:spacing w:after="0"/>
              <w:jc w:val="center"/>
              <w:rPr>
                <w:rFonts w:ascii="Times" w:hAnsi="Times" w:cs="Times"/>
                <w:b/>
                <w:bCs/>
                <w:sz w:val="24"/>
                <w:szCs w:val="24"/>
              </w:rPr>
            </w:pPr>
            <w:r w:rsidRPr="00F10986">
              <w:rPr>
                <w:rFonts w:ascii="Times" w:hAnsi="Times" w:cs="Times"/>
                <w:b/>
                <w:bCs/>
                <w:sz w:val="24"/>
                <w:szCs w:val="24"/>
              </w:rPr>
              <w:t>Type I collagen/DNA (</w:t>
            </w:r>
            <w:proofErr w:type="spellStart"/>
            <w:r w:rsidRPr="00F10986">
              <w:rPr>
                <w:rFonts w:ascii="Times" w:hAnsi="Times" w:cs="Times"/>
                <w:b/>
                <w:bCs/>
                <w:sz w:val="24"/>
                <w:szCs w:val="24"/>
              </w:rPr>
              <w:t>pg</w:t>
            </w:r>
            <w:proofErr w:type="spellEnd"/>
            <w:r w:rsidRPr="00F10986">
              <w:rPr>
                <w:rFonts w:ascii="Times" w:hAnsi="Times" w:cs="Times"/>
                <w:b/>
                <w:bCs/>
                <w:sz w:val="24"/>
                <w:szCs w:val="24"/>
              </w:rPr>
              <w:t>/ng)</w:t>
            </w:r>
          </w:p>
        </w:tc>
        <w:tc>
          <w:tcPr>
            <w:tcW w:w="0" w:type="auto"/>
          </w:tcPr>
          <w:p w14:paraId="5005D418" w14:textId="77777777" w:rsidR="00D32ABC" w:rsidRPr="00F10986" w:rsidRDefault="00D32ABC" w:rsidP="0074382E">
            <w:pPr>
              <w:pStyle w:val="Caption"/>
              <w:spacing w:after="0"/>
              <w:jc w:val="center"/>
              <w:rPr>
                <w:rFonts w:ascii="Times" w:hAnsi="Times" w:cs="Times"/>
                <w:b/>
                <w:bCs/>
                <w:sz w:val="24"/>
                <w:szCs w:val="24"/>
              </w:rPr>
            </w:pPr>
            <w:r w:rsidRPr="00F10986">
              <w:rPr>
                <w:rFonts w:ascii="Times" w:hAnsi="Times" w:cs="Times"/>
                <w:b/>
                <w:bCs/>
                <w:sz w:val="24"/>
                <w:szCs w:val="24"/>
              </w:rPr>
              <w:t>Total protein/DNA (µg/ng)</w:t>
            </w:r>
          </w:p>
        </w:tc>
      </w:tr>
      <w:tr w:rsidR="00D32ABC" w:rsidRPr="00F10986" w14:paraId="45CC3459" w14:textId="77777777" w:rsidTr="0074382E">
        <w:tc>
          <w:tcPr>
            <w:tcW w:w="0" w:type="auto"/>
          </w:tcPr>
          <w:p w14:paraId="2DCECCC1" w14:textId="77777777" w:rsidR="00D32ABC" w:rsidRPr="00F10986" w:rsidRDefault="00D32ABC" w:rsidP="0074382E">
            <w:pPr>
              <w:pStyle w:val="Caption"/>
              <w:spacing w:after="0"/>
              <w:jc w:val="center"/>
              <w:rPr>
                <w:rFonts w:ascii="Times" w:hAnsi="Times" w:cs="Times"/>
                <w:sz w:val="24"/>
                <w:szCs w:val="24"/>
              </w:rPr>
            </w:pPr>
            <w:r w:rsidRPr="00F10986">
              <w:rPr>
                <w:rFonts w:ascii="Times" w:hAnsi="Times" w:cs="Times"/>
                <w:sz w:val="24"/>
                <w:szCs w:val="24"/>
              </w:rPr>
              <w:t>45.0 ± 6.0</w:t>
            </w:r>
          </w:p>
        </w:tc>
        <w:tc>
          <w:tcPr>
            <w:tcW w:w="0" w:type="auto"/>
          </w:tcPr>
          <w:p w14:paraId="7191D0F1" w14:textId="77777777" w:rsidR="00D32ABC" w:rsidRPr="00F10986" w:rsidRDefault="00D32ABC" w:rsidP="0074382E">
            <w:pPr>
              <w:pStyle w:val="Caption"/>
              <w:spacing w:after="0"/>
              <w:jc w:val="center"/>
              <w:rPr>
                <w:rFonts w:ascii="Times" w:hAnsi="Times" w:cs="Times"/>
                <w:sz w:val="24"/>
                <w:szCs w:val="24"/>
              </w:rPr>
            </w:pPr>
            <w:r w:rsidRPr="00F10986">
              <w:rPr>
                <w:rFonts w:ascii="Times" w:hAnsi="Times" w:cs="Times"/>
                <w:sz w:val="24"/>
                <w:szCs w:val="24"/>
              </w:rPr>
              <w:t>32.8 ± 4.4</w:t>
            </w:r>
          </w:p>
        </w:tc>
        <w:tc>
          <w:tcPr>
            <w:tcW w:w="0" w:type="auto"/>
          </w:tcPr>
          <w:p w14:paraId="02099CAC" w14:textId="77777777" w:rsidR="00D32ABC" w:rsidRPr="00F10986" w:rsidRDefault="00D32ABC" w:rsidP="0074382E">
            <w:pPr>
              <w:pStyle w:val="Caption"/>
              <w:spacing w:after="0"/>
              <w:jc w:val="center"/>
              <w:rPr>
                <w:rFonts w:ascii="Times" w:hAnsi="Times" w:cs="Times"/>
                <w:sz w:val="24"/>
                <w:szCs w:val="24"/>
              </w:rPr>
            </w:pPr>
            <w:r w:rsidRPr="00F10986">
              <w:rPr>
                <w:rFonts w:ascii="Times" w:hAnsi="Times" w:cs="Times"/>
                <w:sz w:val="24"/>
                <w:szCs w:val="24"/>
              </w:rPr>
              <w:t>0.7 ± 0.3</w:t>
            </w:r>
          </w:p>
        </w:tc>
      </w:tr>
    </w:tbl>
    <w:p w14:paraId="5EDCC13C" w14:textId="62B9BF41" w:rsidR="00F10986" w:rsidRDefault="00F10986" w:rsidP="00D32ABC">
      <w:pPr>
        <w:spacing w:line="480" w:lineRule="auto"/>
        <w:rPr>
          <w:rFonts w:cs="Times"/>
        </w:rPr>
      </w:pPr>
    </w:p>
    <w:p w14:paraId="0AEB07F1" w14:textId="759C6E88" w:rsidR="00F10986" w:rsidRDefault="00F10986" w:rsidP="00D32ABC">
      <w:pPr>
        <w:spacing w:line="480" w:lineRule="auto"/>
        <w:rPr>
          <w:rFonts w:cs="Times"/>
        </w:rPr>
      </w:pPr>
    </w:p>
    <w:p w14:paraId="0D494A46" w14:textId="3F33A648" w:rsidR="00F10986" w:rsidRDefault="00F10986" w:rsidP="00D32ABC">
      <w:pPr>
        <w:spacing w:line="480" w:lineRule="auto"/>
        <w:rPr>
          <w:rFonts w:cs="Times"/>
          <w:b/>
          <w:bCs/>
        </w:rPr>
      </w:pPr>
      <w:r>
        <w:rPr>
          <w:rFonts w:cs="Times"/>
          <w:b/>
          <w:bCs/>
        </w:rPr>
        <w:lastRenderedPageBreak/>
        <w:t>Supplementary Method</w:t>
      </w:r>
    </w:p>
    <w:p w14:paraId="288A88B1" w14:textId="77777777" w:rsidR="00F10986" w:rsidRDefault="00F10986" w:rsidP="00F10986">
      <w:pPr>
        <w:rPr>
          <w:b/>
          <w:bCs/>
        </w:rPr>
      </w:pPr>
      <w:r>
        <w:rPr>
          <w:rFonts w:cs="Times"/>
          <w:b/>
          <w:bCs/>
        </w:rPr>
        <w:t xml:space="preserve">Addendum #1 - </w:t>
      </w:r>
      <w:r w:rsidRPr="00024FD1">
        <w:rPr>
          <w:b/>
          <w:bCs/>
        </w:rPr>
        <w:t>In vivo subcutaneous implantation in mice and analysis</w:t>
      </w:r>
    </w:p>
    <w:p w14:paraId="27F7F237" w14:textId="70426098" w:rsidR="00F10986" w:rsidRDefault="00F10986" w:rsidP="00F10986">
      <w:pPr>
        <w:pStyle w:val="NoSpacing"/>
      </w:pPr>
      <w:r w:rsidRPr="00F10986">
        <w:t xml:space="preserve">As per our plan and ethics evaluation it was deemed that a blank control (no material implanted in the animals after surgery) was unnecessary. As advised by our licence holder as well as the animal facility manager, blank controls are used in case it is uncertain if the material is toxic to the animal used in the study. Prior to the mouse model we performed an ex vivo chorioallantoic membrane assay (CAM) chick model study (Supplementary Figure S13) to check the toxicity of the polymeric scaffolds and their effect on the developing animal as well as formation of vasculature within the scaffolds [REF #1]. In this case, the evidence from CAM chick model was sufficient to drop the blank control group from the animal study, allowing to reduce the number of animals used and refine the experiments hypothesis (the 3 </w:t>
      </w:r>
      <w:proofErr w:type="gramStart"/>
      <w:r w:rsidRPr="00F10986">
        <w:t>R’s</w:t>
      </w:r>
      <w:proofErr w:type="gramEnd"/>
      <w:r w:rsidRPr="00F10986">
        <w:t xml:space="preserve"> of animal studies).</w:t>
      </w:r>
    </w:p>
    <w:p w14:paraId="3D809090" w14:textId="77777777" w:rsidR="00F10986" w:rsidRPr="00F10986" w:rsidRDefault="00F10986" w:rsidP="00F10986">
      <w:pPr>
        <w:pStyle w:val="NoSpacing"/>
      </w:pPr>
    </w:p>
    <w:p w14:paraId="3B7EF717" w14:textId="6E13F800" w:rsidR="00F10986" w:rsidRPr="00F10986" w:rsidRDefault="00F10986" w:rsidP="00F10986">
      <w:pPr>
        <w:pStyle w:val="NoSpacing"/>
      </w:pPr>
      <w:r w:rsidRPr="00F10986">
        <w:t xml:space="preserve">[REF #1] Moreno-Jiménez, I., </w:t>
      </w:r>
      <w:proofErr w:type="spellStart"/>
      <w:r w:rsidRPr="00F10986">
        <w:t>Hulsart-Billstrom</w:t>
      </w:r>
      <w:proofErr w:type="spellEnd"/>
      <w:r w:rsidRPr="00F10986">
        <w:t>, G., Lanham, S. et al. The chorioallantoic membrane (CAM) assay for the study of human bone regeneration: a refinement animal model for tissue engineering. Sci Rep 6, 32168 (2016). https://doi.org/10.1038/srep32168</w:t>
      </w:r>
    </w:p>
    <w:sectPr w:rsidR="00F10986" w:rsidRPr="00F10986" w:rsidSect="00B210AD">
      <w:headerReference w:type="default" r:id="rId21"/>
      <w:footerReference w:type="default" r:id="rId22"/>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F25B0" w14:textId="77777777" w:rsidR="00B77AD1" w:rsidRDefault="00B77AD1">
      <w:pPr>
        <w:spacing w:after="0" w:line="240" w:lineRule="auto"/>
      </w:pPr>
      <w:r>
        <w:separator/>
      </w:r>
    </w:p>
  </w:endnote>
  <w:endnote w:type="continuationSeparator" w:id="0">
    <w:p w14:paraId="6DA662F9" w14:textId="77777777" w:rsidR="00B77AD1" w:rsidRDefault="00B77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5191244"/>
      <w:docPartObj>
        <w:docPartGallery w:val="Page Numbers (Bottom of Page)"/>
        <w:docPartUnique/>
      </w:docPartObj>
    </w:sdtPr>
    <w:sdtEndPr>
      <w:rPr>
        <w:noProof/>
      </w:rPr>
    </w:sdtEndPr>
    <w:sdtContent>
      <w:p w14:paraId="121D6E55" w14:textId="77777777" w:rsidR="001C1DD1" w:rsidRDefault="00D32ABC">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0E1E6B87" w14:textId="77777777" w:rsidR="001C1DD1" w:rsidRDefault="00B77A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44167" w14:textId="77777777" w:rsidR="00B77AD1" w:rsidRDefault="00B77AD1">
      <w:pPr>
        <w:spacing w:after="0" w:line="240" w:lineRule="auto"/>
      </w:pPr>
      <w:r>
        <w:separator/>
      </w:r>
    </w:p>
  </w:footnote>
  <w:footnote w:type="continuationSeparator" w:id="0">
    <w:p w14:paraId="4928DE25" w14:textId="77777777" w:rsidR="00B77AD1" w:rsidRDefault="00B77A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D4749" w14:textId="77777777" w:rsidR="00A3711E" w:rsidRDefault="00B77AD1" w:rsidP="007D4346">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621"/>
    <w:rsid w:val="000630BF"/>
    <w:rsid w:val="00073BC9"/>
    <w:rsid w:val="00134038"/>
    <w:rsid w:val="00181D1B"/>
    <w:rsid w:val="00341D62"/>
    <w:rsid w:val="006912E4"/>
    <w:rsid w:val="00897ECE"/>
    <w:rsid w:val="008C07EC"/>
    <w:rsid w:val="009943FB"/>
    <w:rsid w:val="009C1AA3"/>
    <w:rsid w:val="00A41AE2"/>
    <w:rsid w:val="00B77AD1"/>
    <w:rsid w:val="00C152CF"/>
    <w:rsid w:val="00C26F99"/>
    <w:rsid w:val="00CB3621"/>
    <w:rsid w:val="00D32ABC"/>
    <w:rsid w:val="00DB0569"/>
    <w:rsid w:val="00E32FF6"/>
    <w:rsid w:val="00F10986"/>
    <w:rsid w:val="00F957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A4313"/>
  <w15:chartTrackingRefBased/>
  <w15:docId w15:val="{86730E78-BAED-4FDE-A36F-811619044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ABC"/>
    <w:pPr>
      <w:jc w:val="both"/>
    </w:pPr>
    <w:rPr>
      <w:rFonts w:ascii="Times" w:hAnsi="Times"/>
      <w:sz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2ABC"/>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32ABC"/>
    <w:pPr>
      <w:spacing w:after="200" w:line="240" w:lineRule="auto"/>
    </w:pPr>
    <w:rPr>
      <w:rFonts w:ascii="Arial" w:hAnsi="Arial"/>
      <w:iCs/>
      <w:color w:val="000000" w:themeColor="text1"/>
      <w:sz w:val="20"/>
      <w:szCs w:val="18"/>
    </w:rPr>
  </w:style>
  <w:style w:type="paragraph" w:styleId="Header">
    <w:name w:val="header"/>
    <w:basedOn w:val="Normal"/>
    <w:link w:val="HeaderChar"/>
    <w:uiPriority w:val="99"/>
    <w:unhideWhenUsed/>
    <w:rsid w:val="00D32A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2ABC"/>
    <w:rPr>
      <w:rFonts w:ascii="Times" w:hAnsi="Times"/>
      <w:sz w:val="24"/>
      <w:lang w:eastAsia="zh-CN"/>
    </w:rPr>
  </w:style>
  <w:style w:type="paragraph" w:styleId="Footer">
    <w:name w:val="footer"/>
    <w:basedOn w:val="Normal"/>
    <w:link w:val="FooterChar"/>
    <w:uiPriority w:val="99"/>
    <w:unhideWhenUsed/>
    <w:rsid w:val="00D32A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2ABC"/>
    <w:rPr>
      <w:rFonts w:ascii="Times" w:hAnsi="Times"/>
      <w:sz w:val="24"/>
      <w:lang w:eastAsia="zh-CN"/>
    </w:rPr>
  </w:style>
  <w:style w:type="paragraph" w:customStyle="1" w:styleId="BATitle">
    <w:name w:val="BA_Title"/>
    <w:basedOn w:val="Normal"/>
    <w:next w:val="Normal"/>
    <w:rsid w:val="00D32ABC"/>
    <w:pPr>
      <w:spacing w:before="720" w:after="360" w:line="480" w:lineRule="auto"/>
      <w:jc w:val="center"/>
    </w:pPr>
    <w:rPr>
      <w:rFonts w:eastAsia="Times New Roman" w:cs="Times New Roman"/>
      <w:sz w:val="44"/>
      <w:szCs w:val="20"/>
      <w:lang w:val="en-US" w:eastAsia="en-US"/>
    </w:rPr>
  </w:style>
  <w:style w:type="paragraph" w:customStyle="1" w:styleId="BBAuthorName">
    <w:name w:val="BB_Author_Name"/>
    <w:basedOn w:val="Normal"/>
    <w:next w:val="Normal"/>
    <w:rsid w:val="00D32ABC"/>
    <w:pPr>
      <w:spacing w:after="240" w:line="480" w:lineRule="auto"/>
      <w:jc w:val="center"/>
    </w:pPr>
    <w:rPr>
      <w:rFonts w:eastAsia="Times New Roman" w:cs="Times New Roman"/>
      <w:i/>
      <w:szCs w:val="20"/>
      <w:lang w:val="en-US" w:eastAsia="en-US"/>
    </w:rPr>
  </w:style>
  <w:style w:type="paragraph" w:styleId="Revision">
    <w:name w:val="Revision"/>
    <w:hidden/>
    <w:uiPriority w:val="99"/>
    <w:semiHidden/>
    <w:rsid w:val="00181D1B"/>
    <w:pPr>
      <w:spacing w:after="0" w:line="240" w:lineRule="auto"/>
    </w:pPr>
    <w:rPr>
      <w:rFonts w:ascii="Times" w:hAnsi="Times"/>
      <w:sz w:val="24"/>
      <w:lang w:eastAsia="zh-CN"/>
    </w:rPr>
  </w:style>
  <w:style w:type="paragraph" w:styleId="NoSpacing">
    <w:name w:val="No Spacing"/>
    <w:uiPriority w:val="1"/>
    <w:qFormat/>
    <w:rsid w:val="00F10986"/>
    <w:pPr>
      <w:spacing w:after="0" w:line="240" w:lineRule="auto"/>
      <w:jc w:val="both"/>
    </w:pPr>
    <w:rPr>
      <w:rFonts w:ascii="Times" w:hAnsi="Times"/>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tif"/><Relationship Id="rId18" Type="http://schemas.openxmlformats.org/officeDocument/2006/relationships/image" Target="media/image13.tif"/><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image" Target="media/image12.tif"/><Relationship Id="rId2" Type="http://schemas.openxmlformats.org/officeDocument/2006/relationships/settings" Target="settings.xml"/><Relationship Id="rId16" Type="http://schemas.openxmlformats.org/officeDocument/2006/relationships/image" Target="media/image11.wmf"/><Relationship Id="rId20" Type="http://schemas.openxmlformats.org/officeDocument/2006/relationships/image" Target="media/image15.tif"/><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tif"/><Relationship Id="rId23" Type="http://schemas.openxmlformats.org/officeDocument/2006/relationships/fontTable" Target="fontTable.xml"/><Relationship Id="rId10" Type="http://schemas.openxmlformats.org/officeDocument/2006/relationships/image" Target="media/image5.tif"/><Relationship Id="rId19" Type="http://schemas.openxmlformats.org/officeDocument/2006/relationships/image" Target="media/image14.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1446</Words>
  <Characters>8243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GLINKA Michael</dc:creator>
  <cp:keywords/>
  <dc:description/>
  <cp:lastModifiedBy>Michael Glinka</cp:lastModifiedBy>
  <cp:revision>3</cp:revision>
  <dcterms:created xsi:type="dcterms:W3CDTF">2022-11-02T14:38:00Z</dcterms:created>
  <dcterms:modified xsi:type="dcterms:W3CDTF">2022-11-03T13:27:00Z</dcterms:modified>
</cp:coreProperties>
</file>