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1DF26" w14:textId="452F2550" w:rsidR="00C2693F" w:rsidRPr="00DB10F3" w:rsidRDefault="00C2693F" w:rsidP="00467E2B">
      <w:pPr>
        <w:spacing w:line="480" w:lineRule="auto"/>
        <w:jc w:val="center"/>
        <w:rPr>
          <w:rFonts w:ascii="Helvetica" w:hAnsi="Helvetica"/>
          <w:b/>
        </w:rPr>
      </w:pPr>
      <w:r w:rsidRPr="00DB10F3">
        <w:rPr>
          <w:rFonts w:ascii="Helvetica" w:hAnsi="Helvetica"/>
          <w:b/>
        </w:rPr>
        <w:t>Pathological lymph node regression following neoadjuvant chemotherapy</w:t>
      </w:r>
      <w:r w:rsidRPr="00DB10F3" w:rsidDel="00B029BF">
        <w:rPr>
          <w:rFonts w:ascii="Helvetica" w:hAnsi="Helvetica"/>
          <w:b/>
        </w:rPr>
        <w:t xml:space="preserve"> </w:t>
      </w:r>
      <w:r w:rsidRPr="00DB10F3">
        <w:rPr>
          <w:rFonts w:ascii="Helvetica" w:hAnsi="Helvetica"/>
          <w:b/>
        </w:rPr>
        <w:t xml:space="preserve">predicts recurrence and survival in </w:t>
      </w:r>
      <w:proofErr w:type="spellStart"/>
      <w:r w:rsidR="0019785E">
        <w:rPr>
          <w:rFonts w:ascii="Helvetica" w:hAnsi="Helvetica"/>
          <w:b/>
        </w:rPr>
        <w:t>esophageal</w:t>
      </w:r>
      <w:proofErr w:type="spellEnd"/>
      <w:r w:rsidRPr="00DB10F3">
        <w:rPr>
          <w:rFonts w:ascii="Helvetica" w:hAnsi="Helvetica"/>
          <w:b/>
        </w:rPr>
        <w:t xml:space="preserve"> adenocarcinoma: A multicentre study in the United Kingdom</w:t>
      </w:r>
    </w:p>
    <w:p w14:paraId="1CF3C2EC" w14:textId="77777777" w:rsidR="00C2693F" w:rsidRPr="00DB10F3" w:rsidRDefault="00C2693F" w:rsidP="0045780A">
      <w:pPr>
        <w:spacing w:line="480" w:lineRule="auto"/>
        <w:rPr>
          <w:rFonts w:ascii="Helvetica" w:hAnsi="Helvetica"/>
          <w:b/>
        </w:rPr>
      </w:pPr>
    </w:p>
    <w:p w14:paraId="26684734" w14:textId="77777777" w:rsidR="00A019FF" w:rsidRPr="00DB10F3" w:rsidRDefault="00A019FF" w:rsidP="00AE2D04">
      <w:pPr>
        <w:spacing w:line="480" w:lineRule="auto"/>
        <w:rPr>
          <w:rFonts w:ascii="Helvetica" w:hAnsi="Helvetica"/>
          <w:b/>
        </w:rPr>
      </w:pPr>
      <w:r w:rsidRPr="00DB10F3">
        <w:rPr>
          <w:rFonts w:ascii="Helvetica" w:hAnsi="Helvetica"/>
          <w:b/>
        </w:rPr>
        <w:t>Authors:</w:t>
      </w:r>
    </w:p>
    <w:p w14:paraId="598FD946" w14:textId="5CC23D9B" w:rsidR="00AD284A" w:rsidRPr="00DB10F3" w:rsidRDefault="00AE2D04" w:rsidP="00AD284A">
      <w:pPr>
        <w:spacing w:line="480" w:lineRule="auto"/>
        <w:rPr>
          <w:rFonts w:ascii="Helvetica" w:hAnsi="Helvetica"/>
        </w:rPr>
      </w:pPr>
      <w:r w:rsidRPr="00DB10F3">
        <w:rPr>
          <w:rFonts w:ascii="Helvetica" w:hAnsi="Helvetica"/>
          <w:bCs/>
          <w:color w:val="000000" w:themeColor="text1"/>
        </w:rPr>
        <w:t>J</w:t>
      </w:r>
      <w:r w:rsidR="003B202A">
        <w:rPr>
          <w:rFonts w:ascii="Helvetica" w:hAnsi="Helvetica"/>
          <w:bCs/>
          <w:color w:val="000000" w:themeColor="text1"/>
        </w:rPr>
        <w:t>onathan</w:t>
      </w:r>
      <w:r w:rsidRPr="00DB10F3">
        <w:rPr>
          <w:rFonts w:ascii="Helvetica" w:hAnsi="Helvetica"/>
          <w:bCs/>
          <w:color w:val="000000" w:themeColor="text1"/>
        </w:rPr>
        <w:t xml:space="preserve"> L Moore</w:t>
      </w:r>
      <w:r w:rsidR="0072560D" w:rsidRPr="00DB10F3">
        <w:rPr>
          <w:rFonts w:ascii="Helvetica" w:hAnsi="Helvetica"/>
          <w:bCs/>
          <w:color w:val="000000" w:themeColor="text1"/>
        </w:rPr>
        <w:t xml:space="preserve"> </w:t>
      </w:r>
      <w:r w:rsidR="00795BAE">
        <w:rPr>
          <w:rFonts w:ascii="Helvetica" w:hAnsi="Helvetica"/>
          <w:bCs/>
          <w:color w:val="000000" w:themeColor="text1"/>
        </w:rPr>
        <w:t>F</w:t>
      </w:r>
      <w:r w:rsidR="0072560D" w:rsidRPr="00DB10F3">
        <w:rPr>
          <w:rFonts w:ascii="Helvetica" w:hAnsi="Helvetica"/>
          <w:bCs/>
          <w:color w:val="000000" w:themeColor="text1"/>
        </w:rPr>
        <w:t>RCS</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2</w:t>
      </w:r>
      <w:r w:rsidRPr="00DB10F3">
        <w:rPr>
          <w:rFonts w:ascii="Helvetica" w:hAnsi="Helvetica"/>
          <w:bCs/>
          <w:color w:val="000000" w:themeColor="text1"/>
        </w:rPr>
        <w:t xml:space="preserve">, </w:t>
      </w:r>
      <w:r w:rsidR="004C6BB4" w:rsidRPr="00DB10F3">
        <w:rPr>
          <w:rFonts w:ascii="Helvetica" w:hAnsi="Helvetica"/>
          <w:bCs/>
          <w:color w:val="000000" w:themeColor="text1"/>
        </w:rPr>
        <w:t>M</w:t>
      </w:r>
      <w:r w:rsidR="003B202A">
        <w:rPr>
          <w:rFonts w:ascii="Helvetica" w:hAnsi="Helvetica"/>
          <w:bCs/>
          <w:color w:val="000000" w:themeColor="text1"/>
        </w:rPr>
        <w:t>ichael</w:t>
      </w:r>
      <w:r w:rsidR="004C6BB4" w:rsidRPr="00DB10F3">
        <w:rPr>
          <w:rFonts w:ascii="Helvetica" w:hAnsi="Helvetica"/>
          <w:bCs/>
          <w:color w:val="000000" w:themeColor="text1"/>
        </w:rPr>
        <w:t xml:space="preserve"> Green</w:t>
      </w:r>
      <w:r w:rsidR="00A019FF" w:rsidRPr="00DB10F3">
        <w:rPr>
          <w:rFonts w:ascii="Helvetica" w:hAnsi="Helvetica"/>
          <w:bCs/>
          <w:color w:val="000000" w:themeColor="text1"/>
        </w:rPr>
        <w:t xml:space="preserve">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3</w:t>
      </w:r>
      <w:r w:rsidR="004C6BB4" w:rsidRPr="00DB10F3">
        <w:rPr>
          <w:rFonts w:ascii="Helvetica" w:hAnsi="Helvetica"/>
          <w:bCs/>
          <w:color w:val="000000" w:themeColor="text1"/>
        </w:rPr>
        <w:t xml:space="preserve">, </w:t>
      </w:r>
      <w:r w:rsidR="00A019FF" w:rsidRPr="00DB10F3">
        <w:rPr>
          <w:rFonts w:ascii="Helvetica" w:hAnsi="Helvetica"/>
          <w:bCs/>
          <w:color w:val="000000" w:themeColor="text1"/>
        </w:rPr>
        <w:t>A</w:t>
      </w:r>
      <w:r w:rsidR="003B202A">
        <w:rPr>
          <w:rFonts w:ascii="Helvetica" w:hAnsi="Helvetica"/>
          <w:bCs/>
          <w:color w:val="000000" w:themeColor="text1"/>
        </w:rPr>
        <w:t>ida</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Santaolalla</w:t>
      </w:r>
      <w:proofErr w:type="spellEnd"/>
      <w:r w:rsidR="0072560D" w:rsidRPr="00DB10F3">
        <w:rPr>
          <w:rFonts w:ascii="Helvetica" w:hAnsi="Helvetica"/>
          <w:bCs/>
          <w:color w:val="000000" w:themeColor="text1"/>
        </w:rPr>
        <w:t xml:space="preserve"> PhD</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2</w:t>
      </w:r>
      <w:r w:rsidR="004C6BB4" w:rsidRPr="00DB10F3">
        <w:rPr>
          <w:rFonts w:ascii="Helvetica" w:hAnsi="Helvetica"/>
          <w:bCs/>
          <w:color w:val="000000" w:themeColor="text1"/>
        </w:rPr>
        <w:t xml:space="preserve">, </w:t>
      </w:r>
      <w:r w:rsidR="009E77E0" w:rsidRPr="00DB10F3">
        <w:rPr>
          <w:rFonts w:ascii="Helvetica" w:hAnsi="Helvetica"/>
          <w:bCs/>
          <w:color w:val="000000" w:themeColor="text1"/>
        </w:rPr>
        <w:t>H</w:t>
      </w:r>
      <w:r w:rsidR="003B202A">
        <w:rPr>
          <w:rFonts w:ascii="Helvetica" w:hAnsi="Helvetica"/>
          <w:bCs/>
          <w:color w:val="000000" w:themeColor="text1"/>
        </w:rPr>
        <w:t>arriet</w:t>
      </w:r>
      <w:r w:rsidR="009E77E0" w:rsidRPr="00DB10F3">
        <w:rPr>
          <w:rFonts w:ascii="Helvetica" w:hAnsi="Helvetica"/>
          <w:bCs/>
          <w:color w:val="000000" w:themeColor="text1"/>
        </w:rPr>
        <w:t xml:space="preserve"> Deere</w:t>
      </w:r>
      <w:r w:rsidR="00A019FF" w:rsidRPr="00DB10F3">
        <w:rPr>
          <w:rFonts w:ascii="Helvetica" w:hAnsi="Helvetica"/>
          <w:bCs/>
          <w:color w:val="000000" w:themeColor="text1"/>
        </w:rPr>
        <w:t xml:space="preserve"> </w:t>
      </w:r>
      <w:r w:rsidR="0072560D" w:rsidRPr="00DB10F3">
        <w:rPr>
          <w:rFonts w:ascii="Helvetica" w:hAnsi="Helvetica"/>
          <w:bCs/>
          <w:color w:val="000000" w:themeColor="text1"/>
        </w:rPr>
        <w:t>FRCPath</w:t>
      </w:r>
      <w:r w:rsidR="00A019FF" w:rsidRPr="00DB10F3">
        <w:rPr>
          <w:rFonts w:ascii="Helvetica" w:hAnsi="Helvetica"/>
          <w:bCs/>
          <w:color w:val="000000" w:themeColor="text1"/>
          <w:vertAlign w:val="superscript"/>
        </w:rPr>
        <w:t>3</w:t>
      </w:r>
      <w:r w:rsidR="009E77E0" w:rsidRPr="00DB10F3">
        <w:rPr>
          <w:rFonts w:ascii="Helvetica" w:hAnsi="Helvetica"/>
          <w:bCs/>
          <w:color w:val="000000" w:themeColor="text1"/>
        </w:rPr>
        <w:t xml:space="preserve">, </w:t>
      </w:r>
      <w:r w:rsidR="00A019FF" w:rsidRPr="00DB10F3">
        <w:rPr>
          <w:rFonts w:ascii="Helvetica" w:hAnsi="Helvetica"/>
          <w:bCs/>
          <w:color w:val="000000" w:themeColor="text1"/>
        </w:rPr>
        <w:t>R</w:t>
      </w:r>
      <w:r w:rsidR="003B202A">
        <w:rPr>
          <w:rFonts w:ascii="Helvetica" w:hAnsi="Helvetica"/>
          <w:bCs/>
          <w:color w:val="000000" w:themeColor="text1"/>
        </w:rPr>
        <w:t>ichard</w:t>
      </w:r>
      <w:r w:rsidR="00A019FF" w:rsidRPr="00DB10F3">
        <w:rPr>
          <w:rFonts w:ascii="Helvetica" w:hAnsi="Helvetica"/>
          <w:bCs/>
          <w:color w:val="000000" w:themeColor="text1"/>
        </w:rPr>
        <w:t xml:space="preserve"> P T Evans </w:t>
      </w:r>
      <w:r w:rsidR="0072560D" w:rsidRPr="00DB10F3">
        <w:rPr>
          <w:rFonts w:ascii="Helvetica" w:hAnsi="Helvetica"/>
          <w:bCs/>
          <w:color w:val="000000" w:themeColor="text1"/>
        </w:rPr>
        <w:t xml:space="preserve">MRCS </w:t>
      </w:r>
      <w:r w:rsidR="00A019FF" w:rsidRPr="00DB10F3">
        <w:rPr>
          <w:rFonts w:ascii="Helvetica" w:hAnsi="Helvetica"/>
          <w:bCs/>
          <w:color w:val="000000" w:themeColor="text1"/>
          <w:vertAlign w:val="superscript"/>
        </w:rPr>
        <w:t>4</w:t>
      </w:r>
      <w:r w:rsidR="00A019FF" w:rsidRPr="00DB10F3">
        <w:rPr>
          <w:rFonts w:ascii="Helvetica" w:hAnsi="Helvetica"/>
          <w:bCs/>
          <w:color w:val="000000" w:themeColor="text1"/>
        </w:rPr>
        <w:t>, M</w:t>
      </w:r>
      <w:r w:rsidR="003B202A">
        <w:rPr>
          <w:rFonts w:ascii="Helvetica" w:hAnsi="Helvetica"/>
          <w:bCs/>
          <w:color w:val="000000" w:themeColor="text1"/>
        </w:rPr>
        <w:t>ona</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Elshafie</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MD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5</w:t>
      </w:r>
      <w:r w:rsidR="00A019FF" w:rsidRPr="00DB10F3">
        <w:rPr>
          <w:rFonts w:ascii="Helvetica" w:hAnsi="Helvetica"/>
          <w:bCs/>
          <w:color w:val="000000" w:themeColor="text1"/>
        </w:rPr>
        <w:t>, A</w:t>
      </w:r>
      <w:r w:rsidR="003B202A">
        <w:rPr>
          <w:rFonts w:ascii="Helvetica" w:hAnsi="Helvetica"/>
          <w:bCs/>
          <w:color w:val="000000" w:themeColor="text1"/>
        </w:rPr>
        <w:t>nita</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Lavery</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MD </w:t>
      </w:r>
      <w:r w:rsidR="00A019FF" w:rsidRPr="00DB10F3">
        <w:rPr>
          <w:rFonts w:ascii="Helvetica" w:hAnsi="Helvetica"/>
          <w:bCs/>
          <w:color w:val="000000" w:themeColor="text1"/>
          <w:vertAlign w:val="superscript"/>
        </w:rPr>
        <w:t>6</w:t>
      </w:r>
      <w:r w:rsidR="00A019FF" w:rsidRPr="00DB10F3">
        <w:rPr>
          <w:rFonts w:ascii="Helvetica" w:hAnsi="Helvetica"/>
          <w:bCs/>
          <w:color w:val="000000" w:themeColor="text1"/>
        </w:rPr>
        <w:t>, D</w:t>
      </w:r>
      <w:r w:rsidR="003B202A">
        <w:rPr>
          <w:rFonts w:ascii="Helvetica" w:hAnsi="Helvetica"/>
          <w:bCs/>
          <w:color w:val="000000" w:themeColor="text1"/>
        </w:rPr>
        <w:t>amian</w:t>
      </w:r>
      <w:r w:rsidR="00A019FF" w:rsidRPr="00DB10F3">
        <w:rPr>
          <w:rFonts w:ascii="Helvetica" w:hAnsi="Helvetica"/>
          <w:bCs/>
          <w:color w:val="000000" w:themeColor="text1"/>
        </w:rPr>
        <w:t xml:space="preserve"> </w:t>
      </w:r>
      <w:r w:rsidR="00FC5197" w:rsidRPr="00DB10F3">
        <w:rPr>
          <w:rFonts w:ascii="Helvetica" w:hAnsi="Helvetica"/>
          <w:bCs/>
          <w:color w:val="000000" w:themeColor="text1"/>
        </w:rPr>
        <w:t xml:space="preserve">T </w:t>
      </w:r>
      <w:r w:rsidR="00A019FF" w:rsidRPr="00DB10F3">
        <w:rPr>
          <w:rFonts w:ascii="Helvetica" w:hAnsi="Helvetica"/>
          <w:bCs/>
          <w:color w:val="000000" w:themeColor="text1"/>
        </w:rPr>
        <w:t xml:space="preserve">McManus </w:t>
      </w:r>
      <w:r w:rsidR="0072560D" w:rsidRPr="00DB10F3">
        <w:rPr>
          <w:rFonts w:ascii="Helvetica" w:hAnsi="Helvetica"/>
          <w:bCs/>
          <w:color w:val="000000" w:themeColor="text1"/>
        </w:rPr>
        <w:t xml:space="preserve">MD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FC5197" w:rsidRPr="00DB10F3">
        <w:rPr>
          <w:rFonts w:ascii="Helvetica" w:hAnsi="Helvetica"/>
          <w:bCs/>
          <w:color w:val="000000" w:themeColor="text1"/>
          <w:vertAlign w:val="superscript"/>
        </w:rPr>
        <w:t>7</w:t>
      </w:r>
      <w:r w:rsidR="00A019FF" w:rsidRPr="00DB10F3">
        <w:rPr>
          <w:rFonts w:ascii="Helvetica" w:hAnsi="Helvetica"/>
          <w:bCs/>
          <w:color w:val="000000" w:themeColor="text1"/>
        </w:rPr>
        <w:t>, A</w:t>
      </w:r>
      <w:r w:rsidR="00B92A86">
        <w:rPr>
          <w:rFonts w:ascii="Helvetica" w:hAnsi="Helvetica"/>
          <w:bCs/>
          <w:color w:val="000000" w:themeColor="text1"/>
        </w:rPr>
        <w:t>ndrew</w:t>
      </w:r>
      <w:r w:rsidR="00A019FF" w:rsidRPr="00DB10F3">
        <w:rPr>
          <w:rFonts w:ascii="Helvetica" w:hAnsi="Helvetica"/>
          <w:bCs/>
          <w:color w:val="000000" w:themeColor="text1"/>
        </w:rPr>
        <w:t xml:space="preserve"> McGuigan </w:t>
      </w:r>
      <w:r w:rsidR="0072560D" w:rsidRPr="00DB10F3">
        <w:rPr>
          <w:rFonts w:ascii="Helvetica" w:hAnsi="Helvetica"/>
          <w:bCs/>
          <w:color w:val="000000" w:themeColor="text1"/>
        </w:rPr>
        <w:t xml:space="preserve">MB MRCS </w:t>
      </w:r>
      <w:r w:rsidR="00A019FF" w:rsidRPr="00DB10F3">
        <w:rPr>
          <w:rFonts w:ascii="Helvetica" w:hAnsi="Helvetica"/>
          <w:bCs/>
          <w:color w:val="000000" w:themeColor="text1"/>
          <w:vertAlign w:val="superscript"/>
        </w:rPr>
        <w:t>6</w:t>
      </w:r>
      <w:r w:rsidR="00A019FF" w:rsidRPr="00DB10F3">
        <w:rPr>
          <w:rFonts w:ascii="Helvetica" w:hAnsi="Helvetica"/>
          <w:bCs/>
          <w:color w:val="000000" w:themeColor="text1"/>
        </w:rPr>
        <w:t>, R</w:t>
      </w:r>
      <w:r w:rsidR="00B92A86">
        <w:rPr>
          <w:rFonts w:ascii="Helvetica" w:hAnsi="Helvetica"/>
          <w:bCs/>
          <w:color w:val="000000" w:themeColor="text1"/>
        </w:rPr>
        <w:t>osalie</w:t>
      </w:r>
      <w:r w:rsidR="00A019FF" w:rsidRPr="00DB10F3">
        <w:rPr>
          <w:rFonts w:ascii="Helvetica" w:hAnsi="Helvetica"/>
          <w:bCs/>
          <w:color w:val="000000" w:themeColor="text1"/>
        </w:rPr>
        <w:t xml:space="preserve"> Douglas </w:t>
      </w:r>
      <w:r w:rsidR="0072560D" w:rsidRPr="00DB10F3">
        <w:rPr>
          <w:rFonts w:ascii="Helvetica" w:hAnsi="Helvetica"/>
          <w:bCs/>
          <w:color w:val="000000" w:themeColor="text1"/>
        </w:rPr>
        <w:t xml:space="preserve">MD PhD </w:t>
      </w:r>
      <w:r w:rsidR="00A019FF" w:rsidRPr="00DB10F3">
        <w:rPr>
          <w:rFonts w:ascii="Helvetica" w:hAnsi="Helvetica"/>
          <w:bCs/>
          <w:color w:val="000000" w:themeColor="text1"/>
          <w:vertAlign w:val="superscript"/>
        </w:rPr>
        <w:t>6</w:t>
      </w:r>
      <w:r w:rsidR="00A019FF" w:rsidRPr="00DB10F3">
        <w:rPr>
          <w:rFonts w:ascii="Helvetica" w:hAnsi="Helvetica"/>
          <w:bCs/>
          <w:color w:val="000000" w:themeColor="text1"/>
        </w:rPr>
        <w:t>, J</w:t>
      </w:r>
      <w:r w:rsidR="00B92A86">
        <w:rPr>
          <w:rFonts w:ascii="Helvetica" w:hAnsi="Helvetica"/>
          <w:bCs/>
          <w:color w:val="000000" w:themeColor="text1"/>
        </w:rPr>
        <w:t>oanne</w:t>
      </w:r>
      <w:r w:rsidR="00A019FF" w:rsidRPr="00DB10F3">
        <w:rPr>
          <w:rFonts w:ascii="Helvetica" w:hAnsi="Helvetica"/>
          <w:bCs/>
          <w:color w:val="000000" w:themeColor="text1"/>
        </w:rPr>
        <w:t xml:space="preserve"> Horne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FC5197" w:rsidRPr="00DB10F3">
        <w:rPr>
          <w:rFonts w:ascii="Helvetica" w:hAnsi="Helvetica"/>
          <w:bCs/>
          <w:color w:val="000000" w:themeColor="text1"/>
          <w:vertAlign w:val="superscript"/>
        </w:rPr>
        <w:t>8</w:t>
      </w:r>
      <w:r w:rsidR="00A019FF" w:rsidRPr="00DB10F3">
        <w:rPr>
          <w:rFonts w:ascii="Helvetica" w:hAnsi="Helvetica"/>
          <w:bCs/>
          <w:color w:val="000000" w:themeColor="text1"/>
        </w:rPr>
        <w:t>, R</w:t>
      </w:r>
      <w:r w:rsidR="00B92A86">
        <w:rPr>
          <w:rFonts w:ascii="Helvetica" w:hAnsi="Helvetica"/>
          <w:bCs/>
          <w:color w:val="000000" w:themeColor="text1"/>
        </w:rPr>
        <w:t>obert</w:t>
      </w:r>
      <w:r w:rsidR="00A019FF" w:rsidRPr="00DB10F3">
        <w:rPr>
          <w:rFonts w:ascii="Helvetica" w:hAnsi="Helvetica"/>
          <w:bCs/>
          <w:color w:val="000000" w:themeColor="text1"/>
        </w:rPr>
        <w:t xml:space="preserve"> Walker </w:t>
      </w:r>
      <w:r w:rsidR="0072560D" w:rsidRPr="00DB10F3">
        <w:rPr>
          <w:rFonts w:ascii="Helvetica" w:hAnsi="Helvetica"/>
          <w:bCs/>
          <w:color w:val="000000" w:themeColor="text1"/>
        </w:rPr>
        <w:t xml:space="preserve">FRCS </w:t>
      </w:r>
      <w:r w:rsidR="00FC5197" w:rsidRPr="00DB10F3">
        <w:rPr>
          <w:rFonts w:ascii="Helvetica" w:hAnsi="Helvetica"/>
          <w:bCs/>
          <w:color w:val="000000" w:themeColor="text1"/>
          <w:vertAlign w:val="superscript"/>
        </w:rPr>
        <w:t>9</w:t>
      </w:r>
      <w:r w:rsidR="00A019FF" w:rsidRPr="00DB10F3">
        <w:rPr>
          <w:rFonts w:ascii="Helvetica" w:hAnsi="Helvetica"/>
          <w:bCs/>
          <w:color w:val="000000" w:themeColor="text1"/>
        </w:rPr>
        <w:t>, H</w:t>
      </w:r>
      <w:r w:rsidR="00B92A86">
        <w:rPr>
          <w:rFonts w:ascii="Helvetica" w:hAnsi="Helvetica"/>
          <w:bCs/>
          <w:color w:val="000000" w:themeColor="text1"/>
        </w:rPr>
        <w:t>ira</w:t>
      </w:r>
      <w:r w:rsidR="00A019FF" w:rsidRPr="00DB10F3">
        <w:rPr>
          <w:rFonts w:ascii="Helvetica" w:hAnsi="Helvetica"/>
          <w:bCs/>
          <w:color w:val="000000" w:themeColor="text1"/>
        </w:rPr>
        <w:t xml:space="preserve"> Mir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FC5197" w:rsidRPr="00DB10F3">
        <w:rPr>
          <w:rFonts w:ascii="Helvetica" w:hAnsi="Helvetica"/>
          <w:bCs/>
          <w:color w:val="000000" w:themeColor="text1"/>
          <w:vertAlign w:val="superscript"/>
        </w:rPr>
        <w:t>10</w:t>
      </w:r>
      <w:r w:rsidR="00A019FF" w:rsidRPr="00DB10F3">
        <w:rPr>
          <w:rFonts w:ascii="Helvetica" w:hAnsi="Helvetica"/>
          <w:bCs/>
          <w:color w:val="000000" w:themeColor="text1"/>
        </w:rPr>
        <w:t>, M</w:t>
      </w:r>
      <w:r w:rsidR="00B92A86">
        <w:rPr>
          <w:rFonts w:ascii="Helvetica" w:hAnsi="Helvetica"/>
          <w:bCs/>
          <w:color w:val="000000" w:themeColor="text1"/>
        </w:rPr>
        <w:t>onica</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Terlizzo</w:t>
      </w:r>
      <w:proofErr w:type="spellEnd"/>
      <w:r w:rsidR="00A019FF" w:rsidRPr="00DB10F3">
        <w:rPr>
          <w:rFonts w:ascii="Helvetica" w:hAnsi="Helvetica"/>
          <w:bCs/>
          <w:color w:val="000000" w:themeColor="text1"/>
        </w:rPr>
        <w:t xml:space="preserve">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FC5197" w:rsidRPr="00DB10F3">
        <w:rPr>
          <w:rFonts w:ascii="Helvetica" w:hAnsi="Helvetica"/>
          <w:bCs/>
          <w:color w:val="000000" w:themeColor="text1"/>
          <w:vertAlign w:val="superscript"/>
        </w:rPr>
        <w:t>10</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S</w:t>
      </w:r>
      <w:r w:rsidR="00B92A86">
        <w:rPr>
          <w:rFonts w:ascii="Helvetica" w:hAnsi="Helvetica"/>
          <w:bCs/>
          <w:color w:val="000000" w:themeColor="text1"/>
        </w:rPr>
        <w:t>ivesh</w:t>
      </w:r>
      <w:proofErr w:type="spellEnd"/>
      <w:r w:rsidR="00A019FF" w:rsidRPr="00DB10F3">
        <w:rPr>
          <w:rFonts w:ascii="Helvetica" w:hAnsi="Helvetica"/>
          <w:bCs/>
          <w:color w:val="000000" w:themeColor="text1"/>
        </w:rPr>
        <w:t xml:space="preserve"> K </w:t>
      </w:r>
      <w:proofErr w:type="spellStart"/>
      <w:r w:rsidR="00A019FF" w:rsidRPr="00DB10F3">
        <w:rPr>
          <w:rFonts w:ascii="Helvetica" w:hAnsi="Helvetica"/>
          <w:bCs/>
          <w:color w:val="000000" w:themeColor="text1"/>
        </w:rPr>
        <w:t>Kamarajah</w:t>
      </w:r>
      <w:proofErr w:type="spellEnd"/>
      <w:r w:rsidR="0072560D" w:rsidRPr="00DB10F3">
        <w:rPr>
          <w:rFonts w:ascii="Helvetica" w:hAnsi="Helvetica"/>
          <w:bCs/>
          <w:color w:val="000000" w:themeColor="text1"/>
        </w:rPr>
        <w:t xml:space="preserve"> MRCS</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5</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M</w:t>
      </w:r>
      <w:r w:rsidR="00B92A86">
        <w:rPr>
          <w:rFonts w:ascii="Helvetica" w:hAnsi="Helvetica"/>
          <w:bCs/>
          <w:color w:val="000000" w:themeColor="text1"/>
        </w:rPr>
        <w:t>ieke</w:t>
      </w:r>
      <w:proofErr w:type="spellEnd"/>
      <w:r w:rsidR="00A019FF" w:rsidRPr="00DB10F3">
        <w:rPr>
          <w:rFonts w:ascii="Helvetica" w:hAnsi="Helvetica"/>
          <w:bCs/>
          <w:color w:val="000000" w:themeColor="text1"/>
        </w:rPr>
        <w:t xml:space="preserve"> Van </w:t>
      </w:r>
      <w:proofErr w:type="spellStart"/>
      <w:r w:rsidR="00A019FF" w:rsidRPr="00DB10F3">
        <w:rPr>
          <w:rFonts w:ascii="Helvetica" w:hAnsi="Helvetica"/>
          <w:bCs/>
          <w:color w:val="000000" w:themeColor="text1"/>
        </w:rPr>
        <w:t>Hemelrijck</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PhD </w:t>
      </w:r>
      <w:r w:rsidR="00A019FF" w:rsidRPr="00DB10F3">
        <w:rPr>
          <w:rFonts w:ascii="Helvetica" w:hAnsi="Helvetica"/>
          <w:bCs/>
          <w:color w:val="000000" w:themeColor="text1"/>
          <w:vertAlign w:val="superscript"/>
        </w:rPr>
        <w:t>2</w:t>
      </w:r>
      <w:r w:rsidR="00A019FF" w:rsidRPr="00DB10F3">
        <w:rPr>
          <w:rFonts w:ascii="Helvetica" w:hAnsi="Helvetica"/>
          <w:bCs/>
          <w:color w:val="000000" w:themeColor="text1"/>
        </w:rPr>
        <w:t>, N</w:t>
      </w:r>
      <w:r w:rsidR="00B92A86">
        <w:rPr>
          <w:rFonts w:ascii="Helvetica" w:hAnsi="Helvetica"/>
          <w:bCs/>
          <w:color w:val="000000" w:themeColor="text1"/>
        </w:rPr>
        <w:t>ick</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Maisey</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MD FRCP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1</w:t>
      </w:r>
      <w:r w:rsidR="00A019FF" w:rsidRPr="00DB10F3">
        <w:rPr>
          <w:rFonts w:ascii="Helvetica" w:hAnsi="Helvetica"/>
          <w:bCs/>
          <w:color w:val="000000" w:themeColor="text1"/>
        </w:rPr>
        <w:t>, A</w:t>
      </w:r>
      <w:r w:rsidR="00B92A86">
        <w:rPr>
          <w:rFonts w:ascii="Helvetica" w:hAnsi="Helvetica"/>
          <w:bCs/>
          <w:color w:val="000000" w:themeColor="text1"/>
        </w:rPr>
        <w:t>ilsa</w:t>
      </w:r>
      <w:r w:rsidR="00A019FF" w:rsidRPr="00DB10F3">
        <w:rPr>
          <w:rFonts w:ascii="Helvetica" w:hAnsi="Helvetica"/>
          <w:bCs/>
          <w:color w:val="000000" w:themeColor="text1"/>
        </w:rPr>
        <w:t xml:space="preserve"> </w:t>
      </w:r>
      <w:r w:rsidR="00FC5197" w:rsidRPr="00DB10F3">
        <w:rPr>
          <w:rFonts w:ascii="Helvetica" w:hAnsi="Helvetica"/>
          <w:bCs/>
          <w:color w:val="000000" w:themeColor="text1"/>
        </w:rPr>
        <w:t>Sita-</w:t>
      </w:r>
      <w:r w:rsidR="00A019FF" w:rsidRPr="00DB10F3">
        <w:rPr>
          <w:rFonts w:ascii="Helvetica" w:hAnsi="Helvetica"/>
          <w:bCs/>
          <w:color w:val="000000" w:themeColor="text1"/>
        </w:rPr>
        <w:t xml:space="preserve">Lumsden </w:t>
      </w:r>
      <w:r w:rsidR="0072560D" w:rsidRPr="00DB10F3">
        <w:rPr>
          <w:rFonts w:ascii="Helvetica" w:hAnsi="Helvetica"/>
          <w:bCs/>
          <w:color w:val="000000" w:themeColor="text1"/>
        </w:rPr>
        <w:t xml:space="preserve">PhD MRCP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1</w:t>
      </w:r>
      <w:r w:rsidR="00A019FF" w:rsidRPr="00DB10F3">
        <w:rPr>
          <w:rFonts w:ascii="Helvetica" w:hAnsi="Helvetica"/>
          <w:bCs/>
          <w:color w:val="000000" w:themeColor="text1"/>
        </w:rPr>
        <w:t>, S</w:t>
      </w:r>
      <w:r w:rsidR="00B92A86">
        <w:rPr>
          <w:rFonts w:ascii="Helvetica" w:hAnsi="Helvetica"/>
          <w:bCs/>
          <w:color w:val="000000" w:themeColor="text1"/>
        </w:rPr>
        <w:t>arah</w:t>
      </w:r>
      <w:r w:rsidR="00A019FF" w:rsidRPr="00DB10F3">
        <w:rPr>
          <w:rFonts w:ascii="Helvetica" w:hAnsi="Helvetica"/>
          <w:bCs/>
          <w:color w:val="000000" w:themeColor="text1"/>
        </w:rPr>
        <w:t xml:space="preserve"> Ngan</w:t>
      </w:r>
      <w:r w:rsidR="0072560D" w:rsidRPr="00DB10F3">
        <w:rPr>
          <w:rFonts w:ascii="Helvetica" w:hAnsi="Helvetica"/>
          <w:bCs/>
          <w:color w:val="000000" w:themeColor="text1"/>
        </w:rPr>
        <w:t xml:space="preserve"> PhD FRCP</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1</w:t>
      </w:r>
      <w:r w:rsidR="00A019FF" w:rsidRPr="00DB10F3">
        <w:rPr>
          <w:rFonts w:ascii="Helvetica" w:hAnsi="Helvetica"/>
          <w:bCs/>
          <w:color w:val="000000" w:themeColor="text1"/>
        </w:rPr>
        <w:t>, M</w:t>
      </w:r>
      <w:r w:rsidR="00B92A86">
        <w:rPr>
          <w:rFonts w:ascii="Helvetica" w:hAnsi="Helvetica"/>
          <w:bCs/>
          <w:color w:val="000000" w:themeColor="text1"/>
        </w:rPr>
        <w:t>ark</w:t>
      </w:r>
      <w:r w:rsidR="00A019FF" w:rsidRPr="00DB10F3">
        <w:rPr>
          <w:rFonts w:ascii="Helvetica" w:hAnsi="Helvetica"/>
          <w:bCs/>
          <w:color w:val="000000" w:themeColor="text1"/>
        </w:rPr>
        <w:t xml:space="preserve"> Kelly</w:t>
      </w:r>
      <w:r w:rsidR="0072560D" w:rsidRPr="00DB10F3">
        <w:rPr>
          <w:rFonts w:ascii="Helvetica" w:hAnsi="Helvetica"/>
          <w:bCs/>
          <w:color w:val="000000" w:themeColor="text1"/>
        </w:rPr>
        <w:t xml:space="preserve"> </w:t>
      </w:r>
      <w:proofErr w:type="spellStart"/>
      <w:r w:rsidR="0072560D" w:rsidRPr="00DB10F3">
        <w:rPr>
          <w:rFonts w:ascii="Helvetica" w:hAnsi="Helvetica"/>
          <w:bCs/>
          <w:color w:val="000000" w:themeColor="text1"/>
        </w:rPr>
        <w:t>MRes</w:t>
      </w:r>
      <w:proofErr w:type="spellEnd"/>
      <w:r w:rsidR="0072560D" w:rsidRPr="00DB10F3">
        <w:rPr>
          <w:rFonts w:ascii="Helvetica" w:hAnsi="Helvetica"/>
          <w:bCs/>
          <w:color w:val="000000" w:themeColor="text1"/>
        </w:rPr>
        <w:t xml:space="preserve"> FRCS</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1 2</w:t>
      </w:r>
      <w:r w:rsidR="00A019FF" w:rsidRPr="00DB10F3">
        <w:rPr>
          <w:rFonts w:ascii="Helvetica" w:hAnsi="Helvetica"/>
          <w:bCs/>
          <w:color w:val="000000" w:themeColor="text1"/>
        </w:rPr>
        <w:t>, C</w:t>
      </w:r>
      <w:r w:rsidR="00B92A86">
        <w:rPr>
          <w:rFonts w:ascii="Helvetica" w:hAnsi="Helvetica"/>
          <w:bCs/>
          <w:color w:val="000000" w:themeColor="text1"/>
        </w:rPr>
        <w:t>ara</w:t>
      </w:r>
      <w:r w:rsidR="00A019FF" w:rsidRPr="00DB10F3">
        <w:rPr>
          <w:rFonts w:ascii="Helvetica" w:hAnsi="Helvetica"/>
          <w:bCs/>
          <w:color w:val="000000" w:themeColor="text1"/>
        </w:rPr>
        <w:t xml:space="preserve"> R Baker </w:t>
      </w:r>
      <w:r w:rsidR="0072560D" w:rsidRPr="00DB10F3">
        <w:rPr>
          <w:rFonts w:ascii="Helvetica" w:hAnsi="Helvetica"/>
          <w:bCs/>
          <w:color w:val="000000" w:themeColor="text1"/>
        </w:rPr>
        <w:t xml:space="preserve">PhD FRCS </w:t>
      </w:r>
      <w:r w:rsidR="00A019FF" w:rsidRPr="00DB10F3">
        <w:rPr>
          <w:rFonts w:ascii="Helvetica" w:hAnsi="Helvetica"/>
          <w:bCs/>
          <w:color w:val="000000" w:themeColor="text1"/>
          <w:vertAlign w:val="superscript"/>
        </w:rPr>
        <w:t>1 2</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S</w:t>
      </w:r>
      <w:r w:rsidR="00B92A86">
        <w:rPr>
          <w:rFonts w:ascii="Helvetica" w:hAnsi="Helvetica"/>
          <w:bCs/>
          <w:color w:val="000000" w:themeColor="text1"/>
        </w:rPr>
        <w:t>acheen</w:t>
      </w:r>
      <w:proofErr w:type="spellEnd"/>
      <w:r w:rsidR="00A019FF" w:rsidRPr="00DB10F3">
        <w:rPr>
          <w:rFonts w:ascii="Helvetica" w:hAnsi="Helvetica"/>
          <w:bCs/>
          <w:color w:val="000000" w:themeColor="text1"/>
        </w:rPr>
        <w:t xml:space="preserve"> Kumar</w:t>
      </w:r>
      <w:r w:rsidR="0072560D" w:rsidRPr="00DB10F3">
        <w:rPr>
          <w:rFonts w:ascii="Helvetica" w:hAnsi="Helvetica"/>
          <w:bCs/>
          <w:color w:val="000000" w:themeColor="text1"/>
        </w:rPr>
        <w:t xml:space="preserve"> PhD FRCS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2</w:t>
      </w:r>
      <w:r w:rsidR="00A019FF" w:rsidRPr="00DB10F3">
        <w:rPr>
          <w:rFonts w:ascii="Helvetica" w:hAnsi="Helvetica"/>
          <w:bCs/>
          <w:color w:val="000000" w:themeColor="text1"/>
        </w:rPr>
        <w:t>, J</w:t>
      </w:r>
      <w:r w:rsidR="00B92A86">
        <w:rPr>
          <w:rFonts w:ascii="Helvetica" w:hAnsi="Helvetica"/>
          <w:bCs/>
          <w:color w:val="000000" w:themeColor="text1"/>
        </w:rPr>
        <w:t>esper</w:t>
      </w:r>
      <w:r w:rsidR="00A019FF" w:rsidRPr="00DB10F3">
        <w:rPr>
          <w:rFonts w:ascii="Helvetica" w:hAnsi="Helvetica"/>
          <w:bCs/>
          <w:color w:val="000000" w:themeColor="text1"/>
        </w:rPr>
        <w:t xml:space="preserve"> </w:t>
      </w:r>
      <w:proofErr w:type="spellStart"/>
      <w:r w:rsidR="00A019FF" w:rsidRPr="00DB10F3">
        <w:rPr>
          <w:rFonts w:ascii="Helvetica" w:hAnsi="Helvetica"/>
          <w:bCs/>
          <w:color w:val="000000" w:themeColor="text1"/>
        </w:rPr>
        <w:t>Lagergren</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MD PhD </w:t>
      </w:r>
      <w:r w:rsidR="00A019FF" w:rsidRPr="00DB10F3">
        <w:rPr>
          <w:rFonts w:ascii="Helvetica" w:hAnsi="Helvetica"/>
          <w:bCs/>
          <w:color w:val="000000" w:themeColor="text1"/>
          <w:vertAlign w:val="superscript"/>
        </w:rPr>
        <w:t>1 2 1</w:t>
      </w:r>
      <w:r w:rsidR="00FC5197" w:rsidRPr="00DB10F3">
        <w:rPr>
          <w:rFonts w:ascii="Helvetica" w:hAnsi="Helvetica"/>
          <w:bCs/>
          <w:color w:val="000000" w:themeColor="text1"/>
          <w:vertAlign w:val="superscript"/>
        </w:rPr>
        <w:t>3</w:t>
      </w:r>
      <w:r w:rsidR="00A019FF" w:rsidRPr="00DB10F3">
        <w:rPr>
          <w:rFonts w:ascii="Helvetica" w:hAnsi="Helvetica"/>
          <w:bCs/>
          <w:color w:val="000000" w:themeColor="text1"/>
        </w:rPr>
        <w:t>, W</w:t>
      </w:r>
      <w:r w:rsidR="00B92A86">
        <w:rPr>
          <w:rFonts w:ascii="Helvetica" w:hAnsi="Helvetica"/>
          <w:bCs/>
          <w:color w:val="000000" w:themeColor="text1"/>
        </w:rPr>
        <w:t>illiam</w:t>
      </w:r>
      <w:r w:rsidR="00A019FF" w:rsidRPr="00DB10F3">
        <w:rPr>
          <w:rFonts w:ascii="Helvetica" w:hAnsi="Helvetica"/>
          <w:bCs/>
          <w:color w:val="000000" w:themeColor="text1"/>
        </w:rPr>
        <w:t xml:space="preserve"> H Allum</w:t>
      </w:r>
      <w:r w:rsidR="0072560D" w:rsidRPr="00DB10F3">
        <w:rPr>
          <w:rFonts w:ascii="Helvetica" w:hAnsi="Helvetica"/>
          <w:bCs/>
          <w:color w:val="000000" w:themeColor="text1"/>
        </w:rPr>
        <w:t xml:space="preserve"> MD FRCS</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2</w:t>
      </w:r>
      <w:r w:rsidR="00A019FF" w:rsidRPr="00DB10F3">
        <w:rPr>
          <w:rFonts w:ascii="Helvetica" w:hAnsi="Helvetica"/>
          <w:bCs/>
          <w:color w:val="000000" w:themeColor="text1"/>
        </w:rPr>
        <w:t>, J</w:t>
      </w:r>
      <w:r w:rsidR="00B92A86">
        <w:rPr>
          <w:rFonts w:ascii="Helvetica" w:hAnsi="Helvetica"/>
          <w:bCs/>
          <w:color w:val="000000" w:themeColor="text1"/>
        </w:rPr>
        <w:t>ames</w:t>
      </w:r>
      <w:r w:rsidR="00A019FF" w:rsidRPr="00DB10F3">
        <w:rPr>
          <w:rFonts w:ascii="Helvetica" w:hAnsi="Helvetica"/>
          <w:bCs/>
          <w:color w:val="000000" w:themeColor="text1"/>
        </w:rPr>
        <w:t xml:space="preserve"> A Gossage </w:t>
      </w:r>
      <w:r w:rsidR="0072560D" w:rsidRPr="00DB10F3">
        <w:rPr>
          <w:rFonts w:ascii="Helvetica" w:hAnsi="Helvetica"/>
          <w:bCs/>
          <w:color w:val="000000" w:themeColor="text1"/>
        </w:rPr>
        <w:t xml:space="preserve">MS FRCS </w:t>
      </w:r>
      <w:r w:rsidR="00A019FF" w:rsidRPr="00DB10F3">
        <w:rPr>
          <w:rFonts w:ascii="Helvetica" w:hAnsi="Helvetica"/>
          <w:bCs/>
          <w:color w:val="000000" w:themeColor="text1"/>
          <w:vertAlign w:val="superscript"/>
        </w:rPr>
        <w:t>1 2</w:t>
      </w:r>
      <w:r w:rsidR="00A019FF" w:rsidRPr="00DB10F3">
        <w:rPr>
          <w:rFonts w:ascii="Helvetica" w:hAnsi="Helvetica"/>
          <w:bCs/>
          <w:color w:val="000000" w:themeColor="text1"/>
        </w:rPr>
        <w:t>, E</w:t>
      </w:r>
      <w:r w:rsidR="00B92A86">
        <w:rPr>
          <w:rFonts w:ascii="Helvetica" w:hAnsi="Helvetica"/>
          <w:bCs/>
          <w:color w:val="000000" w:themeColor="text1"/>
        </w:rPr>
        <w:t>w</w:t>
      </w:r>
      <w:r w:rsidR="006C7C10">
        <w:rPr>
          <w:rFonts w:ascii="Helvetica" w:hAnsi="Helvetica"/>
          <w:bCs/>
          <w:color w:val="000000" w:themeColor="text1"/>
        </w:rPr>
        <w:t>e</w:t>
      </w:r>
      <w:r w:rsidR="00B92A86">
        <w:rPr>
          <w:rFonts w:ascii="Helvetica" w:hAnsi="Helvetica"/>
          <w:bCs/>
          <w:color w:val="000000" w:themeColor="text1"/>
        </w:rPr>
        <w:t>n</w:t>
      </w:r>
      <w:r w:rsidR="00A019FF" w:rsidRPr="00DB10F3">
        <w:rPr>
          <w:rFonts w:ascii="Helvetica" w:hAnsi="Helvetica"/>
          <w:bCs/>
          <w:color w:val="000000" w:themeColor="text1"/>
        </w:rPr>
        <w:t xml:space="preserve"> A Griffiths</w:t>
      </w:r>
      <w:r w:rsidR="0072560D" w:rsidRPr="00DB10F3">
        <w:rPr>
          <w:rFonts w:ascii="Helvetica" w:hAnsi="Helvetica"/>
          <w:bCs/>
          <w:color w:val="000000" w:themeColor="text1"/>
        </w:rPr>
        <w:t xml:space="preserve"> MD MFST FRCS</w:t>
      </w:r>
      <w:r w:rsidR="00A019FF"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5</w:t>
      </w:r>
      <w:r w:rsidR="00A019FF" w:rsidRPr="00DB10F3">
        <w:rPr>
          <w:rFonts w:ascii="Helvetica" w:hAnsi="Helvetica"/>
          <w:bCs/>
          <w:color w:val="000000" w:themeColor="text1"/>
        </w:rPr>
        <w:t>, H</w:t>
      </w:r>
      <w:r w:rsidR="00B92A86">
        <w:rPr>
          <w:rFonts w:ascii="Helvetica" w:hAnsi="Helvetica"/>
          <w:bCs/>
          <w:color w:val="000000" w:themeColor="text1"/>
        </w:rPr>
        <w:t>eike</w:t>
      </w:r>
      <w:r w:rsidR="00A019FF" w:rsidRPr="00DB10F3">
        <w:rPr>
          <w:rFonts w:ascii="Helvetica" w:hAnsi="Helvetica"/>
          <w:bCs/>
          <w:color w:val="000000" w:themeColor="text1"/>
        </w:rPr>
        <w:t xml:space="preserve"> I </w:t>
      </w:r>
      <w:proofErr w:type="spellStart"/>
      <w:r w:rsidR="00A019FF" w:rsidRPr="00DB10F3">
        <w:rPr>
          <w:rFonts w:ascii="Helvetica" w:hAnsi="Helvetica"/>
          <w:bCs/>
          <w:color w:val="000000" w:themeColor="text1"/>
        </w:rPr>
        <w:t>Grabsch</w:t>
      </w:r>
      <w:proofErr w:type="spellEnd"/>
      <w:r w:rsidR="00A019FF" w:rsidRPr="00DB10F3">
        <w:rPr>
          <w:rFonts w:ascii="Helvetica" w:hAnsi="Helvetica"/>
          <w:bCs/>
          <w:color w:val="000000" w:themeColor="text1"/>
        </w:rPr>
        <w:t xml:space="preserve"> </w:t>
      </w:r>
      <w:r w:rsidR="0072560D" w:rsidRPr="00DB10F3">
        <w:rPr>
          <w:rFonts w:ascii="Helvetica" w:hAnsi="Helvetica"/>
          <w:bCs/>
          <w:color w:val="000000" w:themeColor="text1"/>
        </w:rPr>
        <w:t xml:space="preserve">MD PhD </w:t>
      </w:r>
      <w:proofErr w:type="spellStart"/>
      <w:r w:rsidR="0072560D" w:rsidRPr="00DB10F3">
        <w:rPr>
          <w:rFonts w:ascii="Helvetica" w:hAnsi="Helvetica"/>
          <w:bCs/>
          <w:color w:val="000000" w:themeColor="text1"/>
        </w:rPr>
        <w:t>FRCPath</w:t>
      </w:r>
      <w:proofErr w:type="spellEnd"/>
      <w:r w:rsidR="0072560D"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14</w:t>
      </w:r>
      <w:r w:rsidR="00FC5197" w:rsidRPr="00DB10F3">
        <w:rPr>
          <w:rFonts w:ascii="Helvetica" w:hAnsi="Helvetica"/>
          <w:bCs/>
          <w:color w:val="000000" w:themeColor="text1"/>
          <w:vertAlign w:val="superscript"/>
        </w:rPr>
        <w:t xml:space="preserve"> 15</w:t>
      </w:r>
      <w:r w:rsidR="00A019FF" w:rsidRPr="00DB10F3">
        <w:rPr>
          <w:rFonts w:ascii="Helvetica" w:hAnsi="Helvetica"/>
          <w:bCs/>
          <w:color w:val="000000" w:themeColor="text1"/>
        </w:rPr>
        <w:t>, R</w:t>
      </w:r>
      <w:r w:rsidR="00B92A86">
        <w:rPr>
          <w:rFonts w:ascii="Helvetica" w:hAnsi="Helvetica"/>
          <w:bCs/>
          <w:color w:val="000000" w:themeColor="text1"/>
        </w:rPr>
        <w:t>ichard</w:t>
      </w:r>
      <w:r w:rsidR="00A019FF" w:rsidRPr="00DB10F3">
        <w:rPr>
          <w:rFonts w:ascii="Helvetica" w:hAnsi="Helvetica"/>
          <w:bCs/>
          <w:color w:val="000000" w:themeColor="text1"/>
        </w:rPr>
        <w:t xml:space="preserve"> C Turkington </w:t>
      </w:r>
      <w:r w:rsidR="0072560D" w:rsidRPr="00DB10F3">
        <w:rPr>
          <w:rFonts w:ascii="Helvetica" w:hAnsi="Helvetica"/>
          <w:bCs/>
          <w:color w:val="000000" w:themeColor="text1"/>
        </w:rPr>
        <w:t xml:space="preserve">MD PhD </w:t>
      </w:r>
      <w:r w:rsidR="00A019FF" w:rsidRPr="00DB10F3">
        <w:rPr>
          <w:rFonts w:ascii="Helvetica" w:hAnsi="Helvetica"/>
          <w:bCs/>
          <w:color w:val="000000" w:themeColor="text1"/>
          <w:vertAlign w:val="superscript"/>
        </w:rPr>
        <w:t>6</w:t>
      </w:r>
      <w:r w:rsidR="00A019FF" w:rsidRPr="00DB10F3">
        <w:rPr>
          <w:rFonts w:ascii="Helvetica" w:hAnsi="Helvetica"/>
          <w:bCs/>
          <w:color w:val="000000" w:themeColor="text1"/>
        </w:rPr>
        <w:t>, T</w:t>
      </w:r>
      <w:r w:rsidR="00B92A86">
        <w:rPr>
          <w:rFonts w:ascii="Helvetica" w:hAnsi="Helvetica"/>
          <w:bCs/>
          <w:color w:val="000000" w:themeColor="text1"/>
        </w:rPr>
        <w:t>im</w:t>
      </w:r>
      <w:r w:rsidR="00A019FF" w:rsidRPr="00DB10F3">
        <w:rPr>
          <w:rFonts w:ascii="Helvetica" w:hAnsi="Helvetica"/>
          <w:bCs/>
          <w:color w:val="000000" w:themeColor="text1"/>
        </w:rPr>
        <w:t xml:space="preserve"> </w:t>
      </w:r>
      <w:r w:rsidR="008F7656" w:rsidRPr="00DB10F3">
        <w:rPr>
          <w:rFonts w:ascii="Helvetica" w:hAnsi="Helvetica"/>
          <w:bCs/>
          <w:color w:val="000000" w:themeColor="text1"/>
        </w:rPr>
        <w:t xml:space="preserve">J </w:t>
      </w:r>
      <w:r w:rsidR="00A019FF" w:rsidRPr="00DB10F3">
        <w:rPr>
          <w:rFonts w:ascii="Helvetica" w:hAnsi="Helvetica"/>
          <w:bCs/>
          <w:color w:val="000000" w:themeColor="text1"/>
        </w:rPr>
        <w:t xml:space="preserve">Underwood </w:t>
      </w:r>
      <w:r w:rsidR="0072560D" w:rsidRPr="00DB10F3">
        <w:rPr>
          <w:rFonts w:ascii="Helvetica" w:hAnsi="Helvetica"/>
          <w:bCs/>
          <w:color w:val="000000" w:themeColor="text1"/>
        </w:rPr>
        <w:t xml:space="preserve">PhD FRCS </w:t>
      </w:r>
      <w:r w:rsidR="00FC5197" w:rsidRPr="00DB10F3">
        <w:rPr>
          <w:rFonts w:ascii="Helvetica" w:hAnsi="Helvetica"/>
          <w:bCs/>
          <w:color w:val="000000" w:themeColor="text1"/>
          <w:vertAlign w:val="superscript"/>
        </w:rPr>
        <w:t>9</w:t>
      </w:r>
      <w:r w:rsidR="00A019FF" w:rsidRPr="00DB10F3">
        <w:rPr>
          <w:rFonts w:ascii="Helvetica" w:hAnsi="Helvetica"/>
          <w:bCs/>
          <w:color w:val="000000" w:themeColor="text1"/>
        </w:rPr>
        <w:t>, E</w:t>
      </w:r>
      <w:r w:rsidR="00B92A86">
        <w:rPr>
          <w:rFonts w:ascii="Helvetica" w:hAnsi="Helvetica"/>
          <w:bCs/>
          <w:color w:val="000000" w:themeColor="text1"/>
        </w:rPr>
        <w:t>lizabeth</w:t>
      </w:r>
      <w:r w:rsidR="00A019FF" w:rsidRPr="00DB10F3">
        <w:rPr>
          <w:rFonts w:ascii="Helvetica" w:hAnsi="Helvetica"/>
          <w:bCs/>
          <w:color w:val="000000" w:themeColor="text1"/>
        </w:rPr>
        <w:t xml:space="preserve"> </w:t>
      </w:r>
      <w:r w:rsidR="008F6EDA" w:rsidRPr="00DB10F3">
        <w:rPr>
          <w:rFonts w:ascii="Helvetica" w:hAnsi="Helvetica"/>
          <w:bCs/>
          <w:color w:val="000000" w:themeColor="text1"/>
        </w:rPr>
        <w:t xml:space="preserve">C </w:t>
      </w:r>
      <w:r w:rsidR="00A019FF" w:rsidRPr="00DB10F3">
        <w:rPr>
          <w:rFonts w:ascii="Helvetica" w:hAnsi="Helvetica"/>
          <w:bCs/>
          <w:color w:val="000000" w:themeColor="text1"/>
        </w:rPr>
        <w:t xml:space="preserve">Smyth </w:t>
      </w:r>
      <w:r w:rsidR="0072560D" w:rsidRPr="00DB10F3">
        <w:rPr>
          <w:rFonts w:ascii="Helvetica" w:hAnsi="Helvetica"/>
          <w:bCs/>
          <w:color w:val="000000" w:themeColor="text1"/>
        </w:rPr>
        <w:t xml:space="preserve">MD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6</w:t>
      </w:r>
      <w:r w:rsidR="00A019FF" w:rsidRPr="00DB10F3">
        <w:rPr>
          <w:rFonts w:ascii="Helvetica" w:hAnsi="Helvetica"/>
          <w:bCs/>
          <w:color w:val="000000" w:themeColor="text1"/>
        </w:rPr>
        <w:t>, R</w:t>
      </w:r>
      <w:r w:rsidR="00B92A86">
        <w:rPr>
          <w:rFonts w:ascii="Helvetica" w:hAnsi="Helvetica"/>
          <w:bCs/>
          <w:color w:val="000000" w:themeColor="text1"/>
        </w:rPr>
        <w:t>ebecca</w:t>
      </w:r>
      <w:r w:rsidR="00A019FF" w:rsidRPr="00DB10F3">
        <w:rPr>
          <w:rFonts w:ascii="Helvetica" w:hAnsi="Helvetica"/>
          <w:bCs/>
          <w:color w:val="000000" w:themeColor="text1"/>
        </w:rPr>
        <w:t xml:space="preserve"> </w:t>
      </w:r>
      <w:r w:rsidR="00962D57" w:rsidRPr="00DB10F3">
        <w:rPr>
          <w:rFonts w:ascii="Helvetica" w:hAnsi="Helvetica"/>
          <w:bCs/>
          <w:color w:val="000000" w:themeColor="text1"/>
        </w:rPr>
        <w:t xml:space="preserve">C </w:t>
      </w:r>
      <w:r w:rsidR="00A019FF" w:rsidRPr="00DB10F3">
        <w:rPr>
          <w:rFonts w:ascii="Helvetica" w:hAnsi="Helvetica"/>
          <w:bCs/>
          <w:color w:val="000000" w:themeColor="text1"/>
        </w:rPr>
        <w:t xml:space="preserve">Fitzgerald </w:t>
      </w:r>
      <w:r w:rsidR="0072560D" w:rsidRPr="00DB10F3">
        <w:rPr>
          <w:rFonts w:ascii="Helvetica" w:hAnsi="Helvetica"/>
          <w:bCs/>
          <w:color w:val="000000" w:themeColor="text1"/>
        </w:rPr>
        <w:t xml:space="preserve">MD </w:t>
      </w:r>
      <w:proofErr w:type="spellStart"/>
      <w:r w:rsidR="0072560D" w:rsidRPr="00DB10F3">
        <w:rPr>
          <w:rFonts w:ascii="Helvetica" w:hAnsi="Helvetica"/>
          <w:bCs/>
          <w:color w:val="000000" w:themeColor="text1"/>
        </w:rPr>
        <w:t>FMedSci</w:t>
      </w:r>
      <w:proofErr w:type="spellEnd"/>
      <w:r w:rsidR="0072560D"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17</w:t>
      </w:r>
      <w:r w:rsidR="00FC5197" w:rsidRPr="00DB10F3">
        <w:rPr>
          <w:rFonts w:ascii="Helvetica" w:hAnsi="Helvetica"/>
          <w:bCs/>
          <w:color w:val="000000" w:themeColor="text1"/>
          <w:vertAlign w:val="superscript"/>
        </w:rPr>
        <w:t xml:space="preserve"> 18</w:t>
      </w:r>
      <w:r w:rsidR="00A019FF" w:rsidRPr="00DB10F3">
        <w:rPr>
          <w:rFonts w:ascii="Helvetica" w:hAnsi="Helvetica"/>
          <w:bCs/>
          <w:color w:val="000000" w:themeColor="text1"/>
        </w:rPr>
        <w:t>, D</w:t>
      </w:r>
      <w:r w:rsidR="00B92A86">
        <w:rPr>
          <w:rFonts w:ascii="Helvetica" w:hAnsi="Helvetica"/>
          <w:bCs/>
          <w:color w:val="000000" w:themeColor="text1"/>
        </w:rPr>
        <w:t>avid</w:t>
      </w:r>
      <w:r w:rsidR="00A019FF" w:rsidRPr="00DB10F3">
        <w:rPr>
          <w:rFonts w:ascii="Helvetica" w:hAnsi="Helvetica"/>
          <w:bCs/>
          <w:color w:val="000000" w:themeColor="text1"/>
        </w:rPr>
        <w:t xml:space="preserve"> Cunningham </w:t>
      </w:r>
      <w:r w:rsidR="0072560D" w:rsidRPr="00DB10F3">
        <w:rPr>
          <w:rFonts w:ascii="Helvetica" w:hAnsi="Helvetica"/>
          <w:bCs/>
          <w:color w:val="000000" w:themeColor="text1"/>
        </w:rPr>
        <w:t xml:space="preserve">MD FRCP </w:t>
      </w:r>
      <w:proofErr w:type="spellStart"/>
      <w:r w:rsidR="0072560D" w:rsidRPr="00DB10F3">
        <w:rPr>
          <w:rFonts w:ascii="Helvetica" w:hAnsi="Helvetica"/>
          <w:bCs/>
          <w:color w:val="000000" w:themeColor="text1"/>
        </w:rPr>
        <w:t>FMedSci</w:t>
      </w:r>
      <w:proofErr w:type="spellEnd"/>
      <w:r w:rsidR="0072560D" w:rsidRPr="00DB10F3">
        <w:rPr>
          <w:rFonts w:ascii="Helvetica" w:hAnsi="Helvetica"/>
          <w:bCs/>
          <w:color w:val="000000" w:themeColor="text1"/>
        </w:rPr>
        <w:t xml:space="preserve"> </w:t>
      </w:r>
      <w:r w:rsidR="00A019FF" w:rsidRPr="00DB10F3">
        <w:rPr>
          <w:rFonts w:ascii="Helvetica" w:hAnsi="Helvetica"/>
          <w:bCs/>
          <w:color w:val="000000" w:themeColor="text1"/>
          <w:vertAlign w:val="superscript"/>
        </w:rPr>
        <w:t>1</w:t>
      </w:r>
      <w:r w:rsidR="00FC5197" w:rsidRPr="00DB10F3">
        <w:rPr>
          <w:rFonts w:ascii="Helvetica" w:hAnsi="Helvetica"/>
          <w:bCs/>
          <w:color w:val="000000" w:themeColor="text1"/>
          <w:vertAlign w:val="superscript"/>
        </w:rPr>
        <w:t>9</w:t>
      </w:r>
      <w:r w:rsidR="00A019FF" w:rsidRPr="00DB10F3">
        <w:rPr>
          <w:rFonts w:ascii="Helvetica" w:hAnsi="Helvetica"/>
          <w:bCs/>
          <w:color w:val="000000" w:themeColor="text1"/>
        </w:rPr>
        <w:t>, A</w:t>
      </w:r>
      <w:r w:rsidR="00B92A86">
        <w:rPr>
          <w:rFonts w:ascii="Helvetica" w:hAnsi="Helvetica"/>
          <w:bCs/>
          <w:color w:val="000000" w:themeColor="text1"/>
        </w:rPr>
        <w:t>ndrew</w:t>
      </w:r>
      <w:r w:rsidR="00A019FF" w:rsidRPr="00DB10F3">
        <w:rPr>
          <w:rFonts w:ascii="Helvetica" w:hAnsi="Helvetica"/>
          <w:bCs/>
          <w:color w:val="000000" w:themeColor="text1"/>
        </w:rPr>
        <w:t xml:space="preserve"> R Davies </w:t>
      </w:r>
      <w:r w:rsidR="0072560D" w:rsidRPr="00DB10F3">
        <w:rPr>
          <w:rFonts w:ascii="Helvetica" w:hAnsi="Helvetica"/>
          <w:bCs/>
          <w:color w:val="000000" w:themeColor="text1"/>
        </w:rPr>
        <w:t xml:space="preserve">MD FRCS </w:t>
      </w:r>
      <w:r w:rsidR="00A019FF" w:rsidRPr="00DB10F3">
        <w:rPr>
          <w:rFonts w:ascii="Helvetica" w:hAnsi="Helvetica"/>
          <w:bCs/>
          <w:color w:val="000000" w:themeColor="text1"/>
          <w:vertAlign w:val="superscript"/>
        </w:rPr>
        <w:t>1 2</w:t>
      </w:r>
      <w:r w:rsidR="00AD284A" w:rsidRPr="00DB10F3">
        <w:rPr>
          <w:rFonts w:ascii="Helvetica" w:hAnsi="Helvetica"/>
          <w:bCs/>
          <w:color w:val="000000" w:themeColor="text1"/>
          <w:vertAlign w:val="superscript"/>
        </w:rPr>
        <w:t xml:space="preserve"> </w:t>
      </w:r>
      <w:r w:rsidR="00AD284A" w:rsidRPr="00DB10F3">
        <w:rPr>
          <w:rFonts w:ascii="Helvetica" w:hAnsi="Helvetica"/>
        </w:rPr>
        <w:t xml:space="preserve"> </w:t>
      </w:r>
    </w:p>
    <w:p w14:paraId="552C4A0A" w14:textId="77777777" w:rsidR="00AD284A" w:rsidRPr="00DB10F3" w:rsidRDefault="00AD284A" w:rsidP="00AD284A">
      <w:pPr>
        <w:spacing w:line="480" w:lineRule="auto"/>
        <w:rPr>
          <w:rFonts w:ascii="Helvetica" w:hAnsi="Helvetica"/>
        </w:rPr>
      </w:pPr>
    </w:p>
    <w:p w14:paraId="00152F01" w14:textId="1DA5C6F8" w:rsidR="00A019FF" w:rsidRPr="00DB10F3" w:rsidRDefault="00AD284A" w:rsidP="00AD284A">
      <w:pPr>
        <w:spacing w:line="480" w:lineRule="auto"/>
        <w:rPr>
          <w:rFonts w:ascii="Helvetica" w:hAnsi="Helvetica"/>
        </w:rPr>
      </w:pPr>
      <w:r w:rsidRPr="00DB10F3">
        <w:rPr>
          <w:rFonts w:ascii="Helvetica" w:hAnsi="Helvetica"/>
        </w:rPr>
        <w:t>On behalf of The Oesophageal Cancer Clinical and Molecular Stratification (OCCAMS) study group</w:t>
      </w:r>
      <w:r w:rsidR="000E33A7">
        <w:rPr>
          <w:rFonts w:ascii="Helvetica" w:hAnsi="Helvetica"/>
        </w:rPr>
        <w:t>,</w:t>
      </w:r>
      <w:r w:rsidRPr="00DB10F3">
        <w:rPr>
          <w:rFonts w:ascii="Helvetica" w:hAnsi="Helvetica"/>
        </w:rPr>
        <w:t xml:space="preserve"> </w:t>
      </w:r>
      <w:r w:rsidR="000E33A7" w:rsidRPr="00DB10F3">
        <w:rPr>
          <w:rFonts w:ascii="Helvetica" w:hAnsi="Helvetica"/>
        </w:rPr>
        <w:t>The Guy’s and St Thomas’ Oesophago-gastric Research Group</w:t>
      </w:r>
      <w:r w:rsidR="000E33A7">
        <w:rPr>
          <w:rFonts w:ascii="Helvetica" w:hAnsi="Helvetica"/>
        </w:rPr>
        <w:t xml:space="preserve"> and</w:t>
      </w:r>
      <w:r w:rsidR="000E33A7" w:rsidRPr="00DB10F3">
        <w:rPr>
          <w:rFonts w:ascii="Helvetica" w:hAnsi="Helvetica"/>
        </w:rPr>
        <w:t xml:space="preserve"> </w:t>
      </w:r>
      <w:r w:rsidR="0088105F">
        <w:rPr>
          <w:rFonts w:ascii="Helvetica" w:hAnsi="Helvetica"/>
        </w:rPr>
        <w:t xml:space="preserve">The </w:t>
      </w:r>
      <w:r w:rsidR="000E33A7">
        <w:rPr>
          <w:rFonts w:ascii="Helvetica" w:hAnsi="Helvetica"/>
        </w:rPr>
        <w:t>PROGRESS</w:t>
      </w:r>
      <w:r w:rsidR="000E33A7" w:rsidRPr="00DB10F3">
        <w:rPr>
          <w:rFonts w:ascii="Helvetica" w:hAnsi="Helvetica"/>
        </w:rPr>
        <w:t xml:space="preserve"> study group</w:t>
      </w:r>
      <w:r w:rsidR="000E33A7">
        <w:rPr>
          <w:rFonts w:ascii="Helvetica" w:hAnsi="Helvetica"/>
        </w:rPr>
        <w:t>.</w:t>
      </w:r>
    </w:p>
    <w:p w14:paraId="6A6B07AC" w14:textId="0C0238B0" w:rsidR="00A019FF" w:rsidRDefault="00A019FF" w:rsidP="00AE2D04">
      <w:pPr>
        <w:spacing w:line="480" w:lineRule="auto"/>
        <w:rPr>
          <w:rFonts w:ascii="Helvetica" w:hAnsi="Helvetica"/>
        </w:rPr>
      </w:pPr>
    </w:p>
    <w:p w14:paraId="40C10CD3" w14:textId="77777777" w:rsidR="00A019FF" w:rsidRPr="00DB10F3" w:rsidRDefault="00A019FF" w:rsidP="00A019FF">
      <w:pPr>
        <w:spacing w:line="480" w:lineRule="auto"/>
        <w:rPr>
          <w:rFonts w:ascii="Helvetica" w:hAnsi="Helvetica" w:cs="Arial"/>
          <w:b/>
          <w:bCs/>
        </w:rPr>
      </w:pPr>
      <w:r w:rsidRPr="00DB10F3">
        <w:rPr>
          <w:rFonts w:ascii="Helvetica" w:hAnsi="Helvetica" w:cs="Arial"/>
          <w:b/>
          <w:bCs/>
        </w:rPr>
        <w:lastRenderedPageBreak/>
        <w:t>Affiliations:</w:t>
      </w:r>
    </w:p>
    <w:p w14:paraId="4915C701" w14:textId="30ECD8AA"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Pr="00DB10F3">
        <w:rPr>
          <w:rFonts w:ascii="Helvetica" w:hAnsi="Helvetica" w:cs="Arial"/>
        </w:rPr>
        <w:t xml:space="preserve"> Department of Upper Gastrointestinal and General Surgery, Guy’s &amp; St Thomas’ NHS Foundation Trust, London, UK</w:t>
      </w:r>
    </w:p>
    <w:p w14:paraId="63804EB9" w14:textId="77777777" w:rsidR="00A019FF" w:rsidRPr="00DB10F3" w:rsidRDefault="00A019FF" w:rsidP="00A019FF">
      <w:pPr>
        <w:spacing w:line="480" w:lineRule="auto"/>
        <w:rPr>
          <w:rFonts w:ascii="Helvetica" w:hAnsi="Helvetica" w:cs="Arial"/>
        </w:rPr>
      </w:pPr>
      <w:r w:rsidRPr="00DB10F3">
        <w:rPr>
          <w:rFonts w:ascii="Helvetica" w:hAnsi="Helvetica" w:cs="Arial"/>
          <w:vertAlign w:val="superscript"/>
        </w:rPr>
        <w:t>2</w:t>
      </w:r>
      <w:r w:rsidRPr="00DB10F3">
        <w:rPr>
          <w:rFonts w:ascii="Helvetica" w:hAnsi="Helvetica" w:cs="Arial"/>
        </w:rPr>
        <w:t xml:space="preserve"> School of Cancer and Pharmaceutical Sciences, King’s College London, UK</w:t>
      </w:r>
    </w:p>
    <w:p w14:paraId="422D396C" w14:textId="503E77C4" w:rsidR="00A019FF" w:rsidRPr="00DB10F3" w:rsidRDefault="00A019FF" w:rsidP="00A019FF">
      <w:pPr>
        <w:spacing w:line="480" w:lineRule="auto"/>
        <w:rPr>
          <w:rFonts w:ascii="Helvetica" w:hAnsi="Helvetica" w:cs="Arial"/>
        </w:rPr>
      </w:pPr>
      <w:r w:rsidRPr="00DB10F3">
        <w:rPr>
          <w:rFonts w:ascii="Helvetica" w:hAnsi="Helvetica" w:cs="Arial"/>
          <w:vertAlign w:val="superscript"/>
        </w:rPr>
        <w:t>3</w:t>
      </w:r>
      <w:r w:rsidRPr="00DB10F3">
        <w:rPr>
          <w:rFonts w:ascii="Helvetica" w:hAnsi="Helvetica" w:cs="Arial"/>
        </w:rPr>
        <w:t xml:space="preserve"> Department of Histopathology, Guy’s &amp; St Thomas’ NHS Foundation Trust, London, UK</w:t>
      </w:r>
    </w:p>
    <w:p w14:paraId="761EFA23" w14:textId="0D98E6C6" w:rsidR="00A019FF" w:rsidRPr="00DB10F3" w:rsidRDefault="00A019FF" w:rsidP="00A019FF">
      <w:pPr>
        <w:spacing w:line="480" w:lineRule="auto"/>
        <w:rPr>
          <w:rFonts w:ascii="Helvetica" w:hAnsi="Helvetica" w:cs="Arial"/>
        </w:rPr>
      </w:pPr>
      <w:r w:rsidRPr="00DB10F3">
        <w:rPr>
          <w:rFonts w:ascii="Helvetica" w:hAnsi="Helvetica" w:cs="Arial"/>
          <w:vertAlign w:val="superscript"/>
        </w:rPr>
        <w:t>4</w:t>
      </w:r>
      <w:r w:rsidRPr="00DB10F3">
        <w:rPr>
          <w:rFonts w:ascii="Helvetica" w:hAnsi="Helvetica" w:cs="Arial"/>
        </w:rPr>
        <w:t xml:space="preserve"> Department of Upper Gastrointestinal Surgery, University Hospitals Birmingham NHS Foundation Trust, Birmingham, UK </w:t>
      </w:r>
    </w:p>
    <w:p w14:paraId="4D957F7A" w14:textId="6E472B80" w:rsidR="00A019FF" w:rsidRPr="00DB10F3" w:rsidRDefault="00A019FF" w:rsidP="00A019FF">
      <w:pPr>
        <w:spacing w:line="480" w:lineRule="auto"/>
        <w:rPr>
          <w:rFonts w:ascii="Helvetica" w:hAnsi="Helvetica" w:cs="Arial"/>
        </w:rPr>
      </w:pPr>
      <w:r w:rsidRPr="00DB10F3">
        <w:rPr>
          <w:rFonts w:ascii="Helvetica" w:hAnsi="Helvetica" w:cs="Arial"/>
          <w:vertAlign w:val="superscript"/>
        </w:rPr>
        <w:t>5</w:t>
      </w:r>
      <w:r w:rsidRPr="00DB10F3">
        <w:rPr>
          <w:rFonts w:ascii="Helvetica" w:hAnsi="Helvetica" w:cs="Arial"/>
        </w:rPr>
        <w:t xml:space="preserve"> Department of Pathology, University Hospitals Birmingham NHS Foundation Trust, Birmingham, UK</w:t>
      </w:r>
    </w:p>
    <w:p w14:paraId="73E08C1A" w14:textId="07F816B1" w:rsidR="00A019FF" w:rsidRPr="00DB10F3" w:rsidRDefault="00A019FF" w:rsidP="00A019FF">
      <w:pPr>
        <w:spacing w:line="480" w:lineRule="auto"/>
        <w:rPr>
          <w:rFonts w:ascii="Helvetica" w:hAnsi="Helvetica" w:cs="Arial"/>
        </w:rPr>
      </w:pPr>
      <w:r w:rsidRPr="00DB10F3">
        <w:rPr>
          <w:rFonts w:ascii="Helvetica" w:hAnsi="Helvetica" w:cs="Arial"/>
          <w:vertAlign w:val="superscript"/>
        </w:rPr>
        <w:t xml:space="preserve">6 </w:t>
      </w:r>
      <w:r w:rsidR="00FC5197" w:rsidRPr="00DB10F3">
        <w:rPr>
          <w:rFonts w:ascii="Helvetica" w:hAnsi="Helvetica" w:cs="Arial"/>
        </w:rPr>
        <w:t>Patrick G Johnston Centre for Cancer Research, Queen's University Belfast, Belfast, United Kingdom.</w:t>
      </w:r>
    </w:p>
    <w:p w14:paraId="538B45CA" w14:textId="146E3CEE" w:rsidR="00FC5197" w:rsidRPr="00DB10F3" w:rsidRDefault="00FC5197" w:rsidP="00A019FF">
      <w:pPr>
        <w:spacing w:line="480" w:lineRule="auto"/>
        <w:rPr>
          <w:rFonts w:ascii="Helvetica" w:hAnsi="Helvetica" w:cs="Arial"/>
        </w:rPr>
      </w:pPr>
      <w:r w:rsidRPr="00DB10F3">
        <w:rPr>
          <w:rFonts w:ascii="Helvetica" w:hAnsi="Helvetica" w:cs="Arial"/>
          <w:vertAlign w:val="superscript"/>
        </w:rPr>
        <w:t xml:space="preserve">7 </w:t>
      </w:r>
      <w:r w:rsidRPr="00DB10F3">
        <w:rPr>
          <w:rFonts w:ascii="Helvetica" w:hAnsi="Helvetica" w:cs="Arial"/>
        </w:rPr>
        <w:t>Department of Pathology, Royal Victoria Hospital, Belfast Health and Social Care Trust</w:t>
      </w:r>
    </w:p>
    <w:p w14:paraId="412BFB3B" w14:textId="1DCEAD92" w:rsidR="00A019FF" w:rsidRPr="00DB10F3" w:rsidRDefault="00962D57" w:rsidP="00A019FF">
      <w:pPr>
        <w:spacing w:line="480" w:lineRule="auto"/>
        <w:rPr>
          <w:rFonts w:ascii="Helvetica" w:hAnsi="Helvetica" w:cs="Arial"/>
        </w:rPr>
      </w:pPr>
      <w:r w:rsidRPr="00DB10F3">
        <w:rPr>
          <w:rFonts w:ascii="Helvetica" w:hAnsi="Helvetica" w:cs="Arial"/>
          <w:vertAlign w:val="superscript"/>
        </w:rPr>
        <w:t>8</w:t>
      </w:r>
      <w:r w:rsidR="00A019FF" w:rsidRPr="00DB10F3">
        <w:rPr>
          <w:rFonts w:ascii="Helvetica" w:hAnsi="Helvetica" w:cs="Arial"/>
        </w:rPr>
        <w:t xml:space="preserve"> Department of Histopathology, University Hospitals Southampton NHS Foundation Trust, Southampton, UK</w:t>
      </w:r>
    </w:p>
    <w:p w14:paraId="3D60E054" w14:textId="29E92424" w:rsidR="00A019FF" w:rsidRPr="00DB10F3" w:rsidRDefault="00962D57" w:rsidP="00A019FF">
      <w:pPr>
        <w:spacing w:line="480" w:lineRule="auto"/>
        <w:rPr>
          <w:rFonts w:ascii="Helvetica" w:hAnsi="Helvetica" w:cs="Arial"/>
        </w:rPr>
      </w:pPr>
      <w:r w:rsidRPr="00DB10F3">
        <w:rPr>
          <w:rFonts w:ascii="Helvetica" w:hAnsi="Helvetica" w:cs="Arial"/>
          <w:vertAlign w:val="superscript"/>
        </w:rPr>
        <w:t>9</w:t>
      </w:r>
      <w:r w:rsidR="00A019FF" w:rsidRPr="00DB10F3">
        <w:rPr>
          <w:rFonts w:ascii="Helvetica" w:hAnsi="Helvetica" w:cs="Arial"/>
        </w:rPr>
        <w:t xml:space="preserve"> </w:t>
      </w:r>
      <w:r w:rsidRPr="00DB10F3">
        <w:rPr>
          <w:rFonts w:ascii="Helvetica" w:hAnsi="Helvetica" w:cs="Arial"/>
        </w:rPr>
        <w:t>School of Cancer Sciences, Faculty of Medicine, University of Southampton, Southampton, UK</w:t>
      </w:r>
    </w:p>
    <w:p w14:paraId="0677821B" w14:textId="4FCED057" w:rsidR="00A019FF" w:rsidRPr="00DB10F3" w:rsidRDefault="00962D57" w:rsidP="00A019FF">
      <w:pPr>
        <w:spacing w:line="480" w:lineRule="auto"/>
        <w:rPr>
          <w:rFonts w:ascii="Helvetica" w:hAnsi="Helvetica" w:cs="Arial"/>
        </w:rPr>
      </w:pPr>
      <w:r w:rsidRPr="00DB10F3">
        <w:rPr>
          <w:rFonts w:ascii="Helvetica" w:hAnsi="Helvetica" w:cs="Arial"/>
          <w:vertAlign w:val="superscript"/>
        </w:rPr>
        <w:t>10</w:t>
      </w:r>
      <w:r w:rsidR="00A019FF" w:rsidRPr="00DB10F3">
        <w:rPr>
          <w:rFonts w:ascii="Helvetica" w:hAnsi="Helvetica" w:cs="Arial"/>
        </w:rPr>
        <w:t xml:space="preserve"> Department of Histopathology, The Royal Marsden </w:t>
      </w:r>
      <w:r w:rsidR="00077427" w:rsidRPr="00DB10F3">
        <w:rPr>
          <w:rFonts w:ascii="Helvetica" w:hAnsi="Helvetica" w:cs="Arial"/>
        </w:rPr>
        <w:t>NHS Foundation Trust</w:t>
      </w:r>
      <w:r w:rsidR="00A019FF" w:rsidRPr="00DB10F3">
        <w:rPr>
          <w:rFonts w:ascii="Helvetica" w:hAnsi="Helvetica" w:cs="Arial"/>
        </w:rPr>
        <w:t>, London, UK</w:t>
      </w:r>
    </w:p>
    <w:p w14:paraId="36BD031D" w14:textId="55DE0B6F"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1</w:t>
      </w:r>
      <w:r w:rsidRPr="00DB10F3">
        <w:rPr>
          <w:rFonts w:ascii="Helvetica" w:hAnsi="Helvetica" w:cs="Arial"/>
        </w:rPr>
        <w:t xml:space="preserve"> Department of Medical Oncology, St Thomas’ Hospital, London, UK</w:t>
      </w:r>
    </w:p>
    <w:p w14:paraId="19C1B157" w14:textId="03670596" w:rsidR="00A019FF" w:rsidRPr="00DB10F3" w:rsidRDefault="00A019FF" w:rsidP="00A019FF">
      <w:pPr>
        <w:spacing w:line="480" w:lineRule="auto"/>
        <w:rPr>
          <w:rFonts w:ascii="Helvetica" w:hAnsi="Helvetica" w:cs="Arial"/>
          <w:vertAlign w:val="superscript"/>
        </w:rPr>
      </w:pPr>
      <w:r w:rsidRPr="00DB10F3">
        <w:rPr>
          <w:rFonts w:ascii="Helvetica" w:hAnsi="Helvetica" w:cs="Arial"/>
          <w:vertAlign w:val="superscript"/>
        </w:rPr>
        <w:t>1</w:t>
      </w:r>
      <w:r w:rsidR="00962D57" w:rsidRPr="00DB10F3">
        <w:rPr>
          <w:rFonts w:ascii="Helvetica" w:hAnsi="Helvetica" w:cs="Arial"/>
          <w:vertAlign w:val="superscript"/>
        </w:rPr>
        <w:t>2</w:t>
      </w:r>
      <w:r w:rsidRPr="00DB10F3">
        <w:rPr>
          <w:rFonts w:ascii="Helvetica" w:hAnsi="Helvetica" w:cs="Arial"/>
        </w:rPr>
        <w:t xml:space="preserve"> Department of Upper Gastrointestinal Surgery, The Royal Marsden </w:t>
      </w:r>
      <w:r w:rsidR="00077427" w:rsidRPr="00DB10F3">
        <w:rPr>
          <w:rFonts w:ascii="Helvetica" w:hAnsi="Helvetica" w:cs="Arial"/>
        </w:rPr>
        <w:t>NHS Foundation Trust</w:t>
      </w:r>
      <w:r w:rsidRPr="00DB10F3">
        <w:rPr>
          <w:rFonts w:ascii="Helvetica" w:hAnsi="Helvetica" w:cs="Arial"/>
        </w:rPr>
        <w:t>, London, UK</w:t>
      </w:r>
    </w:p>
    <w:p w14:paraId="402F4166" w14:textId="068872AB" w:rsidR="00A019FF" w:rsidRPr="00DB10F3" w:rsidRDefault="00A019FF" w:rsidP="00A019FF">
      <w:pPr>
        <w:spacing w:line="480" w:lineRule="auto"/>
        <w:rPr>
          <w:rFonts w:ascii="Helvetica" w:hAnsi="Helvetica" w:cs="Arial"/>
        </w:rPr>
      </w:pPr>
      <w:r w:rsidRPr="00DB10F3">
        <w:rPr>
          <w:rFonts w:ascii="Helvetica" w:hAnsi="Helvetica" w:cs="Arial"/>
          <w:vertAlign w:val="superscript"/>
        </w:rPr>
        <w:lastRenderedPageBreak/>
        <w:t>1</w:t>
      </w:r>
      <w:r w:rsidR="00962D57" w:rsidRPr="00DB10F3">
        <w:rPr>
          <w:rFonts w:ascii="Helvetica" w:hAnsi="Helvetica" w:cs="Arial"/>
          <w:vertAlign w:val="superscript"/>
        </w:rPr>
        <w:t>3</w:t>
      </w:r>
      <w:r w:rsidRPr="00DB10F3">
        <w:rPr>
          <w:rFonts w:ascii="Helvetica" w:hAnsi="Helvetica" w:cs="Arial"/>
        </w:rPr>
        <w:t xml:space="preserve"> Department of Molecular Medicine and Surgery, Karolinska </w:t>
      </w:r>
      <w:proofErr w:type="spellStart"/>
      <w:r w:rsidRPr="00DB10F3">
        <w:rPr>
          <w:rFonts w:ascii="Helvetica" w:hAnsi="Helvetica" w:cs="Arial"/>
        </w:rPr>
        <w:t>Institutet</w:t>
      </w:r>
      <w:proofErr w:type="spellEnd"/>
      <w:r w:rsidRPr="00DB10F3">
        <w:rPr>
          <w:rFonts w:ascii="Helvetica" w:hAnsi="Helvetica" w:cs="Arial"/>
        </w:rPr>
        <w:t>, Stockholm, Sweden.</w:t>
      </w:r>
    </w:p>
    <w:p w14:paraId="21A67DB4" w14:textId="7C6AF9AD"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4</w:t>
      </w:r>
      <w:r w:rsidRPr="00DB10F3">
        <w:rPr>
          <w:rFonts w:ascii="Helvetica" w:hAnsi="Helvetica" w:cs="Arial"/>
          <w:vertAlign w:val="superscript"/>
        </w:rPr>
        <w:t xml:space="preserve"> </w:t>
      </w:r>
      <w:r w:rsidRPr="00DB10F3">
        <w:rPr>
          <w:rFonts w:ascii="Helvetica" w:hAnsi="Helvetica" w:cs="Arial"/>
        </w:rPr>
        <w:t xml:space="preserve">Department of Pathology, GROW School for Oncology and </w:t>
      </w:r>
      <w:r w:rsidR="00E25F87" w:rsidRPr="00DB10F3">
        <w:rPr>
          <w:rFonts w:ascii="Helvetica" w:hAnsi="Helvetica" w:cs="Arial"/>
        </w:rPr>
        <w:t>Reproduction</w:t>
      </w:r>
      <w:r w:rsidRPr="00DB10F3">
        <w:rPr>
          <w:rFonts w:ascii="Helvetica" w:hAnsi="Helvetica" w:cs="Arial"/>
        </w:rPr>
        <w:t xml:space="preserve">, Maastricht University Medical </w:t>
      </w:r>
      <w:proofErr w:type="spellStart"/>
      <w:r w:rsidRPr="00DB10F3">
        <w:rPr>
          <w:rFonts w:ascii="Helvetica" w:hAnsi="Helvetica" w:cs="Arial"/>
        </w:rPr>
        <w:t>Center</w:t>
      </w:r>
      <w:proofErr w:type="spellEnd"/>
      <w:r w:rsidR="00E25F87" w:rsidRPr="00DB10F3">
        <w:rPr>
          <w:rFonts w:ascii="Helvetica" w:hAnsi="Helvetica" w:cs="Arial"/>
        </w:rPr>
        <w:t>+</w:t>
      </w:r>
      <w:r w:rsidRPr="00DB10F3">
        <w:rPr>
          <w:rFonts w:ascii="Helvetica" w:hAnsi="Helvetica" w:cs="Arial"/>
        </w:rPr>
        <w:t xml:space="preserve">, Maastricht, The Netherlands. </w:t>
      </w:r>
    </w:p>
    <w:p w14:paraId="713F9652" w14:textId="7D29F122"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5</w:t>
      </w:r>
      <w:r w:rsidRPr="00DB10F3">
        <w:rPr>
          <w:rFonts w:ascii="Helvetica" w:hAnsi="Helvetica" w:cs="Arial"/>
          <w:vertAlign w:val="superscript"/>
        </w:rPr>
        <w:t xml:space="preserve"> </w:t>
      </w:r>
      <w:r w:rsidRPr="00DB10F3">
        <w:rPr>
          <w:rFonts w:ascii="Helvetica" w:hAnsi="Helvetica" w:cs="Arial"/>
        </w:rPr>
        <w:t>Division of Pathology and Data Analytics, Leeds Institute of Medical Research at St. James's, University of Leeds, Leeds, UK.</w:t>
      </w:r>
    </w:p>
    <w:p w14:paraId="50331360" w14:textId="2C81C5F0"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6</w:t>
      </w:r>
      <w:r w:rsidRPr="00DB10F3">
        <w:rPr>
          <w:rFonts w:ascii="Helvetica" w:hAnsi="Helvetica" w:cs="Arial"/>
        </w:rPr>
        <w:t xml:space="preserve"> Department of Oncology, Cambridge University Hospitals NHS Foundation Trust, Cambridge, UK.</w:t>
      </w:r>
    </w:p>
    <w:p w14:paraId="434AB72B" w14:textId="735E7828"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7</w:t>
      </w:r>
      <w:r w:rsidRPr="00DB10F3">
        <w:rPr>
          <w:rFonts w:ascii="Helvetica" w:hAnsi="Helvetica" w:cs="Arial"/>
          <w:vertAlign w:val="superscript"/>
        </w:rPr>
        <w:t xml:space="preserve"> </w:t>
      </w:r>
      <w:r w:rsidR="00962D57" w:rsidRPr="00DB10F3">
        <w:rPr>
          <w:rFonts w:ascii="Helvetica" w:hAnsi="Helvetica" w:cs="Arial"/>
        </w:rPr>
        <w:t>Early Cancer Institute, University of Cambridge and Cambridge University Hospitals NHS Foundation Trust, Cambridge, UK.</w:t>
      </w:r>
    </w:p>
    <w:p w14:paraId="28CAE401" w14:textId="1BC73BCE"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8</w:t>
      </w:r>
      <w:r w:rsidRPr="00DB10F3">
        <w:rPr>
          <w:rFonts w:ascii="Helvetica" w:hAnsi="Helvetica" w:cs="Arial"/>
          <w:vertAlign w:val="superscript"/>
        </w:rPr>
        <w:t xml:space="preserve"> </w:t>
      </w:r>
      <w:r w:rsidRPr="00DB10F3">
        <w:rPr>
          <w:rFonts w:ascii="Helvetica" w:hAnsi="Helvetica" w:cs="Arial"/>
        </w:rPr>
        <w:t>Department of Gastroenterology, Addenbrooke's Hospital, Cambridge University NHS Foundation Trust, Cambridge UK</w:t>
      </w:r>
    </w:p>
    <w:p w14:paraId="6FECB999" w14:textId="606F1F60" w:rsidR="00A019FF" w:rsidRPr="00DB10F3" w:rsidRDefault="00A019FF" w:rsidP="00A019FF">
      <w:pPr>
        <w:spacing w:line="480" w:lineRule="auto"/>
        <w:rPr>
          <w:rFonts w:ascii="Helvetica" w:hAnsi="Helvetica" w:cs="Arial"/>
        </w:rPr>
      </w:pPr>
      <w:r w:rsidRPr="00DB10F3">
        <w:rPr>
          <w:rFonts w:ascii="Helvetica" w:hAnsi="Helvetica" w:cs="Arial"/>
          <w:vertAlign w:val="superscript"/>
        </w:rPr>
        <w:t>1</w:t>
      </w:r>
      <w:r w:rsidR="00962D57" w:rsidRPr="00DB10F3">
        <w:rPr>
          <w:rFonts w:ascii="Helvetica" w:hAnsi="Helvetica" w:cs="Arial"/>
          <w:vertAlign w:val="superscript"/>
        </w:rPr>
        <w:t>9</w:t>
      </w:r>
      <w:r w:rsidRPr="00DB10F3">
        <w:rPr>
          <w:rFonts w:ascii="Helvetica" w:hAnsi="Helvetica" w:cs="Arial"/>
        </w:rPr>
        <w:t xml:space="preserve"> Department of Medical Oncology, The Royal Marsden Hospital, London, UK</w:t>
      </w:r>
    </w:p>
    <w:p w14:paraId="20DC4952" w14:textId="0D289265" w:rsidR="00A019FF" w:rsidRDefault="00A019FF" w:rsidP="00A019FF">
      <w:pPr>
        <w:spacing w:line="480" w:lineRule="auto"/>
        <w:rPr>
          <w:rFonts w:ascii="Helvetica" w:hAnsi="Helvetica" w:cs="Arial"/>
        </w:rPr>
      </w:pPr>
    </w:p>
    <w:p w14:paraId="45E098FF" w14:textId="77777777" w:rsidR="002E18AF" w:rsidRDefault="002E18AF">
      <w:pPr>
        <w:rPr>
          <w:rFonts w:ascii="Helvetica" w:hAnsi="Helvetica" w:cs="Arial"/>
        </w:rPr>
      </w:pPr>
      <w:r>
        <w:rPr>
          <w:rFonts w:ascii="Helvetica" w:hAnsi="Helvetica" w:cs="Arial"/>
        </w:rPr>
        <w:br w:type="page"/>
      </w:r>
    </w:p>
    <w:p w14:paraId="23398FC6" w14:textId="1F922D4D" w:rsidR="00A019FF" w:rsidRPr="00DB10F3" w:rsidRDefault="00A019FF" w:rsidP="00A019FF">
      <w:pPr>
        <w:spacing w:line="480" w:lineRule="auto"/>
        <w:rPr>
          <w:rFonts w:ascii="Helvetica" w:hAnsi="Helvetica"/>
          <w:b/>
          <w:bCs/>
        </w:rPr>
      </w:pPr>
      <w:r w:rsidRPr="00DB10F3">
        <w:rPr>
          <w:rFonts w:ascii="Helvetica" w:hAnsi="Helvetica"/>
          <w:b/>
          <w:bCs/>
        </w:rPr>
        <w:lastRenderedPageBreak/>
        <w:t>Collaborators:</w:t>
      </w:r>
    </w:p>
    <w:p w14:paraId="6D569B37" w14:textId="2DE4392B" w:rsidR="00DB10F3" w:rsidRPr="00DB10F3" w:rsidRDefault="00A019FF" w:rsidP="00A019FF">
      <w:pPr>
        <w:spacing w:line="480" w:lineRule="auto"/>
        <w:rPr>
          <w:rFonts w:ascii="Helvetica" w:hAnsi="Helvetica"/>
        </w:rPr>
      </w:pPr>
      <w:r w:rsidRPr="00DB10F3">
        <w:rPr>
          <w:rFonts w:ascii="Helvetica" w:hAnsi="Helvetica"/>
        </w:rPr>
        <w:t>1) The Oesophageal Cancer Clinical and Molecular Stratification (OCCAMS) study group</w:t>
      </w:r>
      <w:r w:rsidR="00DB10F3">
        <w:rPr>
          <w:rFonts w:ascii="Helvetica" w:hAnsi="Helvetica"/>
        </w:rPr>
        <w:t>.</w:t>
      </w:r>
    </w:p>
    <w:p w14:paraId="67C5BF49" w14:textId="4853FA76" w:rsidR="00D55E76" w:rsidRDefault="000E33A7" w:rsidP="00A019FF">
      <w:pPr>
        <w:spacing w:line="480" w:lineRule="auto"/>
        <w:rPr>
          <w:rFonts w:ascii="Helvetica" w:hAnsi="Helvetica"/>
        </w:rPr>
      </w:pPr>
      <w:r>
        <w:rPr>
          <w:rFonts w:ascii="Helvetica" w:hAnsi="Helvetica"/>
        </w:rPr>
        <w:t>2</w:t>
      </w:r>
      <w:r w:rsidR="00A019FF" w:rsidRPr="00DB10F3">
        <w:rPr>
          <w:rFonts w:ascii="Helvetica" w:hAnsi="Helvetica"/>
        </w:rPr>
        <w:t>) The Guy’s and St Thomas’ Oesophago-gastric Research Group</w:t>
      </w:r>
    </w:p>
    <w:p w14:paraId="5894828D" w14:textId="7F624DD9" w:rsidR="000E33A7" w:rsidRDefault="000E33A7" w:rsidP="00A019FF">
      <w:pPr>
        <w:spacing w:line="480" w:lineRule="auto"/>
        <w:rPr>
          <w:rFonts w:ascii="Helvetica" w:hAnsi="Helvetica"/>
        </w:rPr>
      </w:pPr>
      <w:r>
        <w:rPr>
          <w:rFonts w:ascii="Helvetica" w:hAnsi="Helvetica"/>
        </w:rPr>
        <w:t>3) The PROGRESS study group</w:t>
      </w:r>
    </w:p>
    <w:p w14:paraId="21C37298" w14:textId="77777777" w:rsidR="00D55E76" w:rsidRDefault="00D55E76" w:rsidP="00A019FF">
      <w:pPr>
        <w:spacing w:line="480" w:lineRule="auto"/>
        <w:rPr>
          <w:rFonts w:ascii="Helvetica" w:hAnsi="Helvetica"/>
        </w:rPr>
      </w:pPr>
    </w:p>
    <w:p w14:paraId="1BD22C48" w14:textId="088F88E3" w:rsidR="00A019FF" w:rsidRPr="00DB10F3" w:rsidRDefault="00D55E76" w:rsidP="00A019FF">
      <w:pPr>
        <w:spacing w:line="480" w:lineRule="auto"/>
        <w:rPr>
          <w:rFonts w:ascii="Helvetica" w:hAnsi="Helvetica"/>
        </w:rPr>
      </w:pPr>
      <w:r>
        <w:rPr>
          <w:rFonts w:ascii="Helvetica" w:hAnsi="Helvetica"/>
        </w:rPr>
        <w:t>I</w:t>
      </w:r>
      <w:r w:rsidR="00A019FF" w:rsidRPr="00DB10F3">
        <w:rPr>
          <w:rFonts w:ascii="Helvetica" w:hAnsi="Helvetica"/>
        </w:rPr>
        <w:t>ncluding the following co-authors:</w:t>
      </w:r>
    </w:p>
    <w:p w14:paraId="68F9944E" w14:textId="1D0D7505" w:rsidR="00A019FF" w:rsidRPr="00DB10F3" w:rsidRDefault="00D55E76" w:rsidP="00A019FF">
      <w:pPr>
        <w:spacing w:line="480" w:lineRule="auto"/>
        <w:rPr>
          <w:rFonts w:ascii="Helvetica" w:hAnsi="Helvetica"/>
        </w:rPr>
      </w:pPr>
      <w:r>
        <w:rPr>
          <w:rFonts w:ascii="Helvetica" w:hAnsi="Helvetica"/>
        </w:rPr>
        <w:t xml:space="preserve">S. Puig, </w:t>
      </w:r>
      <w:r w:rsidR="00A66F89">
        <w:rPr>
          <w:rFonts w:ascii="Helvetica" w:hAnsi="Helvetica"/>
        </w:rPr>
        <w:t xml:space="preserve">A. Chaudry, </w:t>
      </w:r>
      <w:r w:rsidR="00A019FF" w:rsidRPr="00DB10F3">
        <w:rPr>
          <w:rFonts w:ascii="Helvetica" w:hAnsi="Helvetica"/>
        </w:rPr>
        <w:t xml:space="preserve">A. Jacques, N. Griffin, V. Goh, K. </w:t>
      </w:r>
      <w:proofErr w:type="spellStart"/>
      <w:r w:rsidR="00A019FF" w:rsidRPr="00DB10F3">
        <w:rPr>
          <w:rFonts w:ascii="Helvetica" w:hAnsi="Helvetica"/>
        </w:rPr>
        <w:t>Owczarczyk</w:t>
      </w:r>
      <w:proofErr w:type="spellEnd"/>
      <w:r w:rsidR="00A019FF" w:rsidRPr="00DB10F3">
        <w:rPr>
          <w:rFonts w:ascii="Helvetica" w:hAnsi="Helvetica"/>
        </w:rPr>
        <w:t>, A Qureshi,</w:t>
      </w:r>
      <w:r w:rsidR="00C72B35" w:rsidRPr="00DB10F3">
        <w:rPr>
          <w:rFonts w:ascii="Helvetica" w:hAnsi="Helvetica"/>
        </w:rPr>
        <w:t xml:space="preserve"> M. </w:t>
      </w:r>
      <w:proofErr w:type="spellStart"/>
      <w:r w:rsidR="00C72B35" w:rsidRPr="00DB10F3">
        <w:rPr>
          <w:rFonts w:ascii="Helvetica" w:hAnsi="Helvetica"/>
        </w:rPr>
        <w:t>Subesinghe</w:t>
      </w:r>
      <w:proofErr w:type="spellEnd"/>
      <w:r w:rsidR="00C72B35" w:rsidRPr="00DB10F3">
        <w:rPr>
          <w:rFonts w:ascii="Helvetica" w:hAnsi="Helvetica"/>
        </w:rPr>
        <w:t>,</w:t>
      </w:r>
      <w:r w:rsidR="00A019FF" w:rsidRPr="00DB10F3">
        <w:rPr>
          <w:rFonts w:ascii="Helvetica" w:hAnsi="Helvetica"/>
        </w:rPr>
        <w:t xml:space="preserve"> F. Chang, U. Mahadeva, B. Gill-Barman, S. George, M. Ong, J. Waters, M. </w:t>
      </w:r>
      <w:proofErr w:type="spellStart"/>
      <w:r w:rsidR="00A019FF" w:rsidRPr="00DB10F3">
        <w:rPr>
          <w:rFonts w:ascii="Helvetica" w:hAnsi="Helvetica"/>
        </w:rPr>
        <w:t>Cominos</w:t>
      </w:r>
      <w:proofErr w:type="spellEnd"/>
      <w:r w:rsidR="00A019FF" w:rsidRPr="00DB10F3">
        <w:rPr>
          <w:rFonts w:ascii="Helvetica" w:hAnsi="Helvetica"/>
        </w:rPr>
        <w:t xml:space="preserve">, T. </w:t>
      </w:r>
      <w:proofErr w:type="spellStart"/>
      <w:r w:rsidR="00A019FF" w:rsidRPr="00DB10F3">
        <w:rPr>
          <w:rFonts w:ascii="Helvetica" w:hAnsi="Helvetica"/>
        </w:rPr>
        <w:t>Sevitt</w:t>
      </w:r>
      <w:proofErr w:type="spellEnd"/>
      <w:r w:rsidR="00A019FF" w:rsidRPr="00DB10F3">
        <w:rPr>
          <w:rFonts w:ascii="Helvetica" w:hAnsi="Helvetica"/>
        </w:rPr>
        <w:t>,</w:t>
      </w:r>
      <w:r w:rsidR="00C72B35" w:rsidRPr="00DB10F3">
        <w:rPr>
          <w:rFonts w:ascii="Helvetica" w:hAnsi="Helvetica"/>
        </w:rPr>
        <w:t xml:space="preserve"> M. Hill, </w:t>
      </w:r>
      <w:r w:rsidR="00A019FF" w:rsidRPr="00DB10F3">
        <w:rPr>
          <w:rFonts w:ascii="Helvetica" w:hAnsi="Helvetica"/>
        </w:rPr>
        <w:t xml:space="preserve">O. Hynes, G. </w:t>
      </w:r>
      <w:proofErr w:type="spellStart"/>
      <w:r w:rsidR="00A019FF" w:rsidRPr="00DB10F3">
        <w:rPr>
          <w:rFonts w:ascii="Helvetica" w:hAnsi="Helvetica"/>
        </w:rPr>
        <w:t>Tham</w:t>
      </w:r>
      <w:proofErr w:type="spellEnd"/>
      <w:r w:rsidR="00A019FF" w:rsidRPr="00DB10F3">
        <w:rPr>
          <w:rFonts w:ascii="Helvetica" w:hAnsi="Helvetica"/>
        </w:rPr>
        <w:t>, W R C Knight</w:t>
      </w:r>
      <w:r w:rsidR="00A91069" w:rsidRPr="00DB10F3">
        <w:rPr>
          <w:rFonts w:ascii="Helvetica" w:hAnsi="Helvetica"/>
        </w:rPr>
        <w:t>,</w:t>
      </w:r>
      <w:r w:rsidR="00A019FF" w:rsidRPr="00DB10F3">
        <w:rPr>
          <w:rFonts w:ascii="Helvetica" w:hAnsi="Helvetica"/>
        </w:rPr>
        <w:t xml:space="preserve"> J. M. Dunn and S. S. Zeki.</w:t>
      </w:r>
    </w:p>
    <w:p w14:paraId="013CC7FF" w14:textId="13D1430D" w:rsidR="00A019FF" w:rsidRPr="00DB10F3" w:rsidRDefault="00A019FF" w:rsidP="00AE2D04">
      <w:pPr>
        <w:spacing w:line="480" w:lineRule="auto"/>
        <w:rPr>
          <w:rFonts w:ascii="Helvetica" w:hAnsi="Helvetica"/>
        </w:rPr>
      </w:pPr>
    </w:p>
    <w:p w14:paraId="2BE98017" w14:textId="77777777" w:rsidR="00A019FF" w:rsidRPr="00DB10F3" w:rsidRDefault="00A019FF" w:rsidP="00A019FF">
      <w:pPr>
        <w:spacing w:line="480" w:lineRule="auto"/>
        <w:rPr>
          <w:rFonts w:ascii="Helvetica" w:hAnsi="Helvetica"/>
          <w:b/>
          <w:bCs/>
        </w:rPr>
      </w:pPr>
      <w:r w:rsidRPr="00DB10F3">
        <w:rPr>
          <w:rFonts w:ascii="Helvetica" w:hAnsi="Helvetica"/>
          <w:b/>
          <w:bCs/>
        </w:rPr>
        <w:t xml:space="preserve">Correspondence: </w:t>
      </w:r>
    </w:p>
    <w:p w14:paraId="37E3CF6B" w14:textId="77777777" w:rsidR="00A019FF" w:rsidRPr="00DB10F3" w:rsidRDefault="00A019FF" w:rsidP="00A019FF">
      <w:pPr>
        <w:spacing w:line="480" w:lineRule="auto"/>
        <w:rPr>
          <w:rFonts w:ascii="Helvetica" w:hAnsi="Helvetica"/>
        </w:rPr>
      </w:pPr>
      <w:r w:rsidRPr="00DB10F3">
        <w:rPr>
          <w:rFonts w:ascii="Helvetica" w:hAnsi="Helvetica"/>
        </w:rPr>
        <w:t>Mr Andrew Davies</w:t>
      </w:r>
    </w:p>
    <w:p w14:paraId="39990647" w14:textId="77777777" w:rsidR="00A019FF" w:rsidRPr="00DB10F3" w:rsidRDefault="00A019FF" w:rsidP="00A019FF">
      <w:pPr>
        <w:spacing w:line="480" w:lineRule="auto"/>
        <w:rPr>
          <w:rFonts w:ascii="Helvetica" w:hAnsi="Helvetica"/>
        </w:rPr>
      </w:pPr>
      <w:r w:rsidRPr="00DB10F3">
        <w:rPr>
          <w:rFonts w:ascii="Helvetica" w:hAnsi="Helvetica"/>
        </w:rPr>
        <w:t>Department of Upper Gastrointestinal and General Surgery, East Wing link corridor, St Thomas’ Hospital, London, England, SE1 7EH</w:t>
      </w:r>
    </w:p>
    <w:p w14:paraId="5170DFC5" w14:textId="336F1978" w:rsidR="00A019FF" w:rsidRPr="00DB10F3" w:rsidRDefault="00EF7F74" w:rsidP="00A019FF">
      <w:pPr>
        <w:spacing w:line="480" w:lineRule="auto"/>
        <w:rPr>
          <w:rFonts w:ascii="Helvetica" w:hAnsi="Helvetica"/>
        </w:rPr>
      </w:pPr>
      <w:hyperlink r:id="rId8" w:history="1">
        <w:r w:rsidR="00A019FF" w:rsidRPr="00DB10F3">
          <w:rPr>
            <w:rStyle w:val="Hyperlink"/>
            <w:rFonts w:ascii="Helvetica" w:hAnsi="Helvetica"/>
          </w:rPr>
          <w:t>Andrew.Davies1@gstt.nhs.uk</w:t>
        </w:r>
      </w:hyperlink>
      <w:r w:rsidR="00A019FF" w:rsidRPr="00DB10F3">
        <w:rPr>
          <w:rFonts w:ascii="Helvetica" w:hAnsi="Helvetica"/>
        </w:rPr>
        <w:t xml:space="preserve"> </w:t>
      </w:r>
    </w:p>
    <w:p w14:paraId="5E061327" w14:textId="182EC14C" w:rsidR="00A019FF" w:rsidRPr="00DB10F3" w:rsidRDefault="00A019FF" w:rsidP="00A019FF">
      <w:pPr>
        <w:spacing w:line="480" w:lineRule="auto"/>
        <w:rPr>
          <w:rFonts w:ascii="Helvetica" w:hAnsi="Helvetica"/>
        </w:rPr>
      </w:pPr>
      <w:r w:rsidRPr="00DB10F3">
        <w:rPr>
          <w:rFonts w:ascii="Helvetica" w:hAnsi="Helvetica"/>
        </w:rPr>
        <w:t>+447779727217</w:t>
      </w:r>
    </w:p>
    <w:p w14:paraId="34D46F11" w14:textId="54B5BF28" w:rsidR="00A019FF" w:rsidRPr="00DB10F3" w:rsidRDefault="00A019FF" w:rsidP="00AE2D04">
      <w:pPr>
        <w:spacing w:line="480" w:lineRule="auto"/>
        <w:rPr>
          <w:rFonts w:ascii="Helvetica" w:hAnsi="Helvetica"/>
        </w:rPr>
      </w:pPr>
    </w:p>
    <w:p w14:paraId="0A4BE143" w14:textId="6EBBA0B6" w:rsidR="00A019FF" w:rsidRPr="00DB10F3" w:rsidRDefault="00A019FF" w:rsidP="00A019FF">
      <w:pPr>
        <w:spacing w:line="480" w:lineRule="auto"/>
        <w:rPr>
          <w:rFonts w:ascii="Helvetica" w:hAnsi="Helvetica"/>
        </w:rPr>
      </w:pPr>
      <w:r w:rsidRPr="00DB10F3">
        <w:rPr>
          <w:rFonts w:ascii="Helvetica" w:hAnsi="Helvetica"/>
          <w:b/>
          <w:bCs/>
        </w:rPr>
        <w:t>Funding:</w:t>
      </w:r>
      <w:r w:rsidRPr="00DB10F3">
        <w:rPr>
          <w:rFonts w:ascii="Helvetica" w:hAnsi="Helvetica"/>
        </w:rPr>
        <w:t xml:space="preserve"> </w:t>
      </w:r>
      <w:r w:rsidR="00B668ED" w:rsidRPr="00DB10F3">
        <w:rPr>
          <w:rFonts w:ascii="Helvetica" w:hAnsi="Helvetica"/>
        </w:rPr>
        <w:t xml:space="preserve">There were no </w:t>
      </w:r>
      <w:r w:rsidR="00C2693F" w:rsidRPr="00DB10F3">
        <w:rPr>
          <w:rFonts w:ascii="Helvetica" w:hAnsi="Helvetica"/>
        </w:rPr>
        <w:t xml:space="preserve">study specific </w:t>
      </w:r>
      <w:r w:rsidR="00B668ED" w:rsidRPr="00DB10F3">
        <w:rPr>
          <w:rFonts w:ascii="Helvetica" w:hAnsi="Helvetica"/>
        </w:rPr>
        <w:t>sources of funding.</w:t>
      </w:r>
      <w:r w:rsidR="008F6EDA" w:rsidRPr="00DB10F3">
        <w:rPr>
          <w:rFonts w:ascii="Helvetica" w:hAnsi="Helvetica"/>
        </w:rPr>
        <w:t xml:space="preserve"> OCCAMS was funded by a Programme Grant from Cancer Research UK (RG66287, A15874). OCCAMS2 was funded by a Programme Grant from Cancer Research UK (RG81771/RG84119, A22720/A22131)</w:t>
      </w:r>
    </w:p>
    <w:p w14:paraId="3A740222" w14:textId="77777777" w:rsidR="002E18AF" w:rsidRDefault="002E18AF">
      <w:pPr>
        <w:rPr>
          <w:rFonts w:ascii="Helvetica" w:hAnsi="Helvetica"/>
        </w:rPr>
      </w:pPr>
      <w:r>
        <w:rPr>
          <w:rFonts w:ascii="Helvetica" w:hAnsi="Helvetica"/>
        </w:rPr>
        <w:br w:type="page"/>
      </w:r>
    </w:p>
    <w:p w14:paraId="5B735585" w14:textId="5F1F973D" w:rsidR="00A019FF" w:rsidRPr="00DB10F3" w:rsidRDefault="00A019FF" w:rsidP="008F6EDA">
      <w:pPr>
        <w:spacing w:line="480" w:lineRule="auto"/>
        <w:rPr>
          <w:rFonts w:ascii="Helvetica" w:hAnsi="Helvetica"/>
        </w:rPr>
      </w:pPr>
      <w:r w:rsidRPr="00DB10F3">
        <w:rPr>
          <w:rFonts w:ascii="Helvetica" w:hAnsi="Helvetica"/>
          <w:b/>
          <w:bCs/>
        </w:rPr>
        <w:lastRenderedPageBreak/>
        <w:t>Disclosures:</w:t>
      </w:r>
      <w:r w:rsidRPr="00DB10F3">
        <w:rPr>
          <w:rFonts w:ascii="Helvetica" w:hAnsi="Helvetica"/>
        </w:rPr>
        <w:t xml:space="preserve"> </w:t>
      </w:r>
      <w:r w:rsidR="008F6EDA" w:rsidRPr="00DB10F3">
        <w:rPr>
          <w:rFonts w:ascii="Helvetica" w:hAnsi="Helvetica"/>
          <w:b/>
          <w:bCs/>
        </w:rPr>
        <w:t xml:space="preserve">R.C.F. </w:t>
      </w:r>
      <w:r w:rsidR="008F6EDA" w:rsidRPr="00DB10F3">
        <w:rPr>
          <w:rFonts w:ascii="Helvetica" w:hAnsi="Helvetica"/>
        </w:rPr>
        <w:t xml:space="preserve">is supported by the NIHR Cambridge Biomedical Research Centre (BRC-1215-20014). </w:t>
      </w:r>
      <w:r w:rsidR="0072560D" w:rsidRPr="00DB10F3">
        <w:rPr>
          <w:rFonts w:ascii="Helvetica" w:hAnsi="Helvetica"/>
          <w:b/>
          <w:bCs/>
        </w:rPr>
        <w:t>R.</w:t>
      </w:r>
      <w:r w:rsidR="008F6EDA" w:rsidRPr="00DB10F3">
        <w:rPr>
          <w:rFonts w:ascii="Helvetica" w:hAnsi="Helvetica"/>
          <w:b/>
          <w:bCs/>
        </w:rPr>
        <w:t>C.</w:t>
      </w:r>
      <w:r w:rsidR="0072560D" w:rsidRPr="00DB10F3">
        <w:rPr>
          <w:rFonts w:ascii="Helvetica" w:hAnsi="Helvetica"/>
          <w:b/>
          <w:bCs/>
        </w:rPr>
        <w:t>T.</w:t>
      </w:r>
      <w:r w:rsidR="0072560D" w:rsidRPr="00DB10F3">
        <w:rPr>
          <w:rFonts w:ascii="Helvetica" w:hAnsi="Helvetica"/>
        </w:rPr>
        <w:t xml:space="preserve"> is supported by Cancer Focus Northern Ireland, The Royal College of Surgeons and the HSC Research and Development Division of the Public Health Agency of Northern Ireland. </w:t>
      </w:r>
      <w:r w:rsidR="0072560D" w:rsidRPr="00DB10F3">
        <w:rPr>
          <w:rFonts w:ascii="Helvetica" w:hAnsi="Helvetica"/>
          <w:b/>
          <w:bCs/>
        </w:rPr>
        <w:t>T.J.U.</w:t>
      </w:r>
      <w:r w:rsidR="0072560D" w:rsidRPr="00DB10F3">
        <w:rPr>
          <w:rFonts w:ascii="Helvetica" w:hAnsi="Helvetica"/>
        </w:rPr>
        <w:t xml:space="preserve"> is supported by a Royal College of Surgeons of England and Cancer Research UK Advanced Clinician Scientist Fellowship (A23924). </w:t>
      </w:r>
      <w:r w:rsidR="0072560D" w:rsidRPr="00DB10F3">
        <w:rPr>
          <w:rFonts w:ascii="Helvetica" w:hAnsi="Helvetica"/>
          <w:b/>
          <w:bCs/>
        </w:rPr>
        <w:t>E.</w:t>
      </w:r>
      <w:r w:rsidR="008F6EDA" w:rsidRPr="00DB10F3">
        <w:rPr>
          <w:rFonts w:ascii="Helvetica" w:hAnsi="Helvetica"/>
          <w:b/>
          <w:bCs/>
        </w:rPr>
        <w:t>C.</w:t>
      </w:r>
      <w:r w:rsidR="0072560D" w:rsidRPr="00DB10F3">
        <w:rPr>
          <w:rFonts w:ascii="Helvetica" w:hAnsi="Helvetica"/>
          <w:b/>
          <w:bCs/>
        </w:rPr>
        <w:t>S.</w:t>
      </w:r>
      <w:r w:rsidR="0072560D" w:rsidRPr="00DB10F3">
        <w:rPr>
          <w:rFonts w:ascii="Helvetica" w:hAnsi="Helvetica"/>
        </w:rPr>
        <w:t xml:space="preserve"> receives institutional funding for research from Amgen, Astellas, Astra Zeneca, </w:t>
      </w:r>
      <w:proofErr w:type="spellStart"/>
      <w:r w:rsidR="0072560D" w:rsidRPr="00DB10F3">
        <w:rPr>
          <w:rFonts w:ascii="Helvetica" w:hAnsi="Helvetica"/>
        </w:rPr>
        <w:t>Basilea</w:t>
      </w:r>
      <w:proofErr w:type="spellEnd"/>
      <w:r w:rsidR="0072560D" w:rsidRPr="00DB10F3">
        <w:rPr>
          <w:rFonts w:ascii="Helvetica" w:hAnsi="Helvetica"/>
        </w:rPr>
        <w:t xml:space="preserve">, BMS, Daiichi Sankyo, MSD, </w:t>
      </w:r>
      <w:proofErr w:type="spellStart"/>
      <w:r w:rsidR="0072560D" w:rsidRPr="00DB10F3">
        <w:rPr>
          <w:rFonts w:ascii="Helvetica" w:hAnsi="Helvetica"/>
        </w:rPr>
        <w:t>Macrogenics</w:t>
      </w:r>
      <w:proofErr w:type="spellEnd"/>
      <w:r w:rsidR="0072560D" w:rsidRPr="00DB10F3">
        <w:rPr>
          <w:rFonts w:ascii="Helvetica" w:hAnsi="Helvetica"/>
        </w:rPr>
        <w:t xml:space="preserve">, </w:t>
      </w:r>
      <w:proofErr w:type="spellStart"/>
      <w:r w:rsidR="0072560D" w:rsidRPr="00DB10F3">
        <w:rPr>
          <w:rFonts w:ascii="Helvetica" w:hAnsi="Helvetica"/>
        </w:rPr>
        <w:t>Merus</w:t>
      </w:r>
      <w:proofErr w:type="spellEnd"/>
      <w:r w:rsidR="0072560D" w:rsidRPr="00DB10F3">
        <w:rPr>
          <w:rFonts w:ascii="Helvetica" w:hAnsi="Helvetica"/>
        </w:rPr>
        <w:t xml:space="preserve">, Novartis, Roche, </w:t>
      </w:r>
      <w:proofErr w:type="spellStart"/>
      <w:r w:rsidR="0072560D" w:rsidRPr="00DB10F3">
        <w:rPr>
          <w:rFonts w:ascii="Helvetica" w:hAnsi="Helvetica"/>
        </w:rPr>
        <w:t>Seagen</w:t>
      </w:r>
      <w:proofErr w:type="spellEnd"/>
      <w:r w:rsidR="008F6EDA" w:rsidRPr="00DB10F3">
        <w:rPr>
          <w:rFonts w:ascii="Helvetica" w:hAnsi="Helvetica"/>
        </w:rPr>
        <w:t xml:space="preserve">. </w:t>
      </w:r>
      <w:r w:rsidR="008F6EDA" w:rsidRPr="00DB10F3">
        <w:rPr>
          <w:rFonts w:ascii="Helvetica" w:hAnsi="Helvetica"/>
          <w:b/>
          <w:bCs/>
        </w:rPr>
        <w:t>D.C.</w:t>
      </w:r>
      <w:r w:rsidR="008F6EDA" w:rsidRPr="00DB10F3">
        <w:rPr>
          <w:rFonts w:ascii="Helvetica" w:hAnsi="Helvetica"/>
        </w:rPr>
        <w:t xml:space="preserve"> is supported by research funding grants from </w:t>
      </w:r>
      <w:proofErr w:type="spellStart"/>
      <w:r w:rsidR="008F6EDA" w:rsidRPr="00DB10F3">
        <w:rPr>
          <w:rFonts w:ascii="Helvetica" w:hAnsi="Helvetica"/>
        </w:rPr>
        <w:t>MedImmune</w:t>
      </w:r>
      <w:proofErr w:type="spellEnd"/>
      <w:r w:rsidR="008F6EDA" w:rsidRPr="00DB10F3">
        <w:rPr>
          <w:rFonts w:ascii="Helvetica" w:hAnsi="Helvetica"/>
        </w:rPr>
        <w:t xml:space="preserve"> / AZ, Clovis, Eli Lilly, 4SC, Bayer, Celgene, NIHR EME, Leap and Roche. </w:t>
      </w:r>
      <w:r w:rsidR="00330BA2" w:rsidRPr="00330BA2">
        <w:rPr>
          <w:rFonts w:ascii="Helvetica" w:hAnsi="Helvetica"/>
          <w:b/>
          <w:bCs/>
        </w:rPr>
        <w:t>H.I.G.</w:t>
      </w:r>
      <w:r w:rsidR="00330BA2" w:rsidRPr="00330BA2">
        <w:rPr>
          <w:rFonts w:ascii="Helvetica" w:hAnsi="Helvetica"/>
        </w:rPr>
        <w:t xml:space="preserve"> is supported in part by the National Institute for Health and Care Research (NIHR) Leeds Biomedical Research Centre. The views expressed are those of the author(s) and not necessarily those of the NHS, the NIHR or the Department of Health and Social Care.</w:t>
      </w:r>
    </w:p>
    <w:p w14:paraId="51BA0FFF" w14:textId="6A475086" w:rsidR="00A019FF" w:rsidRDefault="00A019FF" w:rsidP="00A019FF">
      <w:pPr>
        <w:spacing w:line="480" w:lineRule="auto"/>
        <w:rPr>
          <w:rFonts w:ascii="Helvetica" w:hAnsi="Helvetica"/>
        </w:rPr>
      </w:pPr>
    </w:p>
    <w:p w14:paraId="4CE91CB7" w14:textId="77777777" w:rsidR="008F6990" w:rsidRPr="00DB10F3" w:rsidRDefault="008F6990" w:rsidP="00A019FF">
      <w:pPr>
        <w:spacing w:line="480" w:lineRule="auto"/>
        <w:rPr>
          <w:rFonts w:ascii="Helvetica" w:hAnsi="Helvetica"/>
        </w:rPr>
      </w:pPr>
    </w:p>
    <w:p w14:paraId="188E9AD6" w14:textId="145B0B5C" w:rsidR="00A019FF" w:rsidRDefault="00A019FF" w:rsidP="00AE2D04">
      <w:pPr>
        <w:spacing w:line="480" w:lineRule="auto"/>
        <w:rPr>
          <w:rFonts w:ascii="Helvetica" w:hAnsi="Helvetica"/>
          <w:b/>
          <w:bCs/>
        </w:rPr>
      </w:pPr>
    </w:p>
    <w:p w14:paraId="03CF78C1" w14:textId="77777777" w:rsidR="009A1D92" w:rsidRPr="00DB10F3" w:rsidRDefault="009A1D92" w:rsidP="00AE2D04">
      <w:pPr>
        <w:spacing w:line="480" w:lineRule="auto"/>
        <w:rPr>
          <w:rFonts w:ascii="Helvetica" w:hAnsi="Helvetica"/>
        </w:rPr>
      </w:pPr>
    </w:p>
    <w:p w14:paraId="1B62037D" w14:textId="1A2C9A7E" w:rsidR="00EF5F5D" w:rsidRPr="00DB10F3" w:rsidRDefault="00EF5F5D" w:rsidP="00AE2D04">
      <w:pPr>
        <w:spacing w:line="480" w:lineRule="auto"/>
        <w:rPr>
          <w:rFonts w:ascii="Helvetica" w:hAnsi="Helvetica"/>
        </w:rPr>
      </w:pPr>
    </w:p>
    <w:p w14:paraId="3C2FA393" w14:textId="0AA3030A" w:rsidR="00EF5F5D" w:rsidRPr="00DB10F3" w:rsidRDefault="00EF5F5D" w:rsidP="00AE2D04">
      <w:pPr>
        <w:spacing w:line="480" w:lineRule="auto"/>
        <w:rPr>
          <w:rFonts w:ascii="Helvetica" w:hAnsi="Helvetica"/>
        </w:rPr>
      </w:pPr>
    </w:p>
    <w:p w14:paraId="2AB858CC" w14:textId="7D334C7E" w:rsidR="00EF5F5D" w:rsidRPr="00DB10F3" w:rsidRDefault="00EF5F5D" w:rsidP="00AE2D04">
      <w:pPr>
        <w:spacing w:line="480" w:lineRule="auto"/>
        <w:rPr>
          <w:rFonts w:ascii="Helvetica" w:hAnsi="Helvetica"/>
        </w:rPr>
      </w:pPr>
    </w:p>
    <w:p w14:paraId="0E1C3F3D" w14:textId="036BA32C" w:rsidR="00B668ED" w:rsidRDefault="00B668ED" w:rsidP="00AE2D04">
      <w:pPr>
        <w:spacing w:line="480" w:lineRule="auto"/>
        <w:rPr>
          <w:rFonts w:ascii="Helvetica" w:hAnsi="Helvetica"/>
        </w:rPr>
      </w:pPr>
    </w:p>
    <w:p w14:paraId="535F82D5" w14:textId="122B19E5" w:rsidR="00DB10F3" w:rsidRDefault="00DB10F3" w:rsidP="00AE2D04">
      <w:pPr>
        <w:spacing w:line="480" w:lineRule="auto"/>
        <w:rPr>
          <w:rFonts w:ascii="Helvetica" w:hAnsi="Helvetica"/>
        </w:rPr>
      </w:pPr>
    </w:p>
    <w:p w14:paraId="1A8D2AFA" w14:textId="34B688EB" w:rsidR="00DB10F3" w:rsidRDefault="00DB10F3" w:rsidP="00AE2D04">
      <w:pPr>
        <w:spacing w:line="480" w:lineRule="auto"/>
        <w:rPr>
          <w:rFonts w:ascii="Helvetica" w:hAnsi="Helvetica"/>
        </w:rPr>
      </w:pPr>
    </w:p>
    <w:p w14:paraId="6AC88C9C" w14:textId="3B3125A4" w:rsidR="00DE14FE" w:rsidRPr="00330BA2" w:rsidRDefault="00DE14FE" w:rsidP="00330BA2">
      <w:pPr>
        <w:rPr>
          <w:rFonts w:ascii="Helvetica" w:hAnsi="Helvetica"/>
        </w:rPr>
      </w:pPr>
      <w:r w:rsidRPr="00DE14FE">
        <w:rPr>
          <w:rFonts w:ascii="Helvetica" w:hAnsi="Helvetica"/>
          <w:b/>
          <w:bCs/>
        </w:rPr>
        <w:lastRenderedPageBreak/>
        <w:t>Context Summary</w:t>
      </w:r>
      <w:r>
        <w:rPr>
          <w:rFonts w:ascii="Helvetica" w:hAnsi="Helvetica"/>
          <w:b/>
          <w:bCs/>
        </w:rPr>
        <w:t>:</w:t>
      </w:r>
    </w:p>
    <w:p w14:paraId="362FA94D" w14:textId="77777777" w:rsidR="00DE14FE" w:rsidRDefault="00DE14FE" w:rsidP="00654347">
      <w:pPr>
        <w:spacing w:line="480" w:lineRule="auto"/>
        <w:rPr>
          <w:rFonts w:ascii="Helvetica" w:hAnsi="Helvetica"/>
          <w:b/>
          <w:bCs/>
        </w:rPr>
      </w:pPr>
    </w:p>
    <w:p w14:paraId="7653AA8B" w14:textId="14FF7A71" w:rsidR="00DE14FE" w:rsidRDefault="00DE14FE" w:rsidP="00654347">
      <w:pPr>
        <w:spacing w:line="480" w:lineRule="auto"/>
        <w:rPr>
          <w:rFonts w:ascii="Helvetica" w:hAnsi="Helvetica"/>
          <w:b/>
          <w:bCs/>
        </w:rPr>
      </w:pPr>
      <w:r>
        <w:rPr>
          <w:rFonts w:ascii="Helvetica" w:hAnsi="Helvetica"/>
          <w:b/>
          <w:bCs/>
        </w:rPr>
        <w:t>Key objective</w:t>
      </w:r>
      <w:r w:rsidR="00654347">
        <w:rPr>
          <w:rFonts w:ascii="Helvetica" w:hAnsi="Helvetica"/>
          <w:b/>
          <w:bCs/>
        </w:rPr>
        <w:t>:</w:t>
      </w:r>
    </w:p>
    <w:p w14:paraId="17D378A7" w14:textId="0807A6CB" w:rsidR="00DE14FE" w:rsidRPr="00DE14FE" w:rsidRDefault="00DD3514" w:rsidP="00654347">
      <w:pPr>
        <w:spacing w:line="480" w:lineRule="auto"/>
        <w:rPr>
          <w:rFonts w:ascii="Helvetica" w:hAnsi="Helvetica"/>
        </w:rPr>
      </w:pPr>
      <w:r>
        <w:rPr>
          <w:rFonts w:ascii="Helvetica" w:hAnsi="Helvetica"/>
        </w:rPr>
        <w:t xml:space="preserve">What is </w:t>
      </w:r>
      <w:r w:rsidR="00DE14FE" w:rsidRPr="00DB10F3">
        <w:rPr>
          <w:rFonts w:ascii="Helvetica" w:hAnsi="Helvetica"/>
        </w:rPr>
        <w:t>the effect of pathological L</w:t>
      </w:r>
      <w:r w:rsidR="00DE14FE">
        <w:rPr>
          <w:rFonts w:ascii="Helvetica" w:hAnsi="Helvetica"/>
        </w:rPr>
        <w:t>ymph node (LN)</w:t>
      </w:r>
      <w:r w:rsidR="00DE14FE" w:rsidRPr="00DB10F3">
        <w:rPr>
          <w:rFonts w:ascii="Helvetica" w:hAnsi="Helvetica"/>
        </w:rPr>
        <w:t xml:space="preserve"> regression on survival </w:t>
      </w:r>
      <w:r w:rsidR="00DE14FE" w:rsidRPr="00DB10F3">
        <w:rPr>
          <w:rFonts w:ascii="Helvetica" w:hAnsi="Helvetica"/>
          <w:bCs/>
        </w:rPr>
        <w:t xml:space="preserve">in patients with </w:t>
      </w:r>
      <w:proofErr w:type="spellStart"/>
      <w:r w:rsidR="00DE14FE">
        <w:rPr>
          <w:rFonts w:ascii="Helvetica" w:hAnsi="Helvetica"/>
          <w:bCs/>
        </w:rPr>
        <w:t>esophageal</w:t>
      </w:r>
      <w:proofErr w:type="spellEnd"/>
      <w:r w:rsidR="00DE14FE" w:rsidRPr="00DB10F3">
        <w:rPr>
          <w:rFonts w:ascii="Helvetica" w:hAnsi="Helvetica"/>
          <w:bCs/>
        </w:rPr>
        <w:t xml:space="preserve"> adenocarcinoma treated with neoadjuvant chemotherapy followed by surgical resection</w:t>
      </w:r>
      <w:r w:rsidR="00DE14FE">
        <w:rPr>
          <w:rFonts w:ascii="Helvetica" w:hAnsi="Helvetica"/>
        </w:rPr>
        <w:t xml:space="preserve"> and</w:t>
      </w:r>
      <w:r w:rsidR="00DE14FE" w:rsidRPr="00DB10F3">
        <w:rPr>
          <w:rFonts w:ascii="Helvetica" w:hAnsi="Helvetica"/>
        </w:rPr>
        <w:t xml:space="preserve"> </w:t>
      </w:r>
      <w:r>
        <w:rPr>
          <w:rFonts w:ascii="Helvetica" w:hAnsi="Helvetica"/>
        </w:rPr>
        <w:t>what is</w:t>
      </w:r>
      <w:r w:rsidR="00DE14FE" w:rsidRPr="00DB10F3">
        <w:rPr>
          <w:rFonts w:ascii="Helvetica" w:hAnsi="Helvetica"/>
        </w:rPr>
        <w:t xml:space="preserve"> the optimum categorization of LN response</w:t>
      </w:r>
      <w:r>
        <w:rPr>
          <w:rFonts w:ascii="Helvetica" w:hAnsi="Helvetica"/>
        </w:rPr>
        <w:t>?</w:t>
      </w:r>
    </w:p>
    <w:p w14:paraId="79908C05" w14:textId="77777777" w:rsidR="00DE14FE" w:rsidRDefault="00DE14FE" w:rsidP="00654347">
      <w:pPr>
        <w:spacing w:line="480" w:lineRule="auto"/>
        <w:rPr>
          <w:rFonts w:ascii="Helvetica" w:hAnsi="Helvetica"/>
          <w:b/>
          <w:bCs/>
        </w:rPr>
      </w:pPr>
    </w:p>
    <w:p w14:paraId="71B20200" w14:textId="52013FF5" w:rsidR="00DE14FE" w:rsidRPr="00DE14FE" w:rsidRDefault="00DE14FE" w:rsidP="00654347">
      <w:pPr>
        <w:spacing w:line="480" w:lineRule="auto"/>
        <w:rPr>
          <w:rFonts w:ascii="Helvetica" w:hAnsi="Helvetica"/>
          <w:b/>
          <w:bCs/>
        </w:rPr>
      </w:pPr>
      <w:r>
        <w:rPr>
          <w:rFonts w:ascii="Helvetica" w:hAnsi="Helvetica"/>
          <w:b/>
          <w:bCs/>
        </w:rPr>
        <w:t>Knowledge generated:</w:t>
      </w:r>
    </w:p>
    <w:p w14:paraId="2C1EBB30" w14:textId="6CDB39F4" w:rsidR="00DE14FE" w:rsidRDefault="00DE14FE" w:rsidP="00654347">
      <w:pPr>
        <w:spacing w:line="480" w:lineRule="auto"/>
        <w:rPr>
          <w:rFonts w:ascii="Helvetica" w:hAnsi="Helvetica"/>
          <w:bCs/>
        </w:rPr>
      </w:pPr>
      <w:r w:rsidRPr="00DB10F3">
        <w:rPr>
          <w:rFonts w:ascii="Helvetica" w:hAnsi="Helvetica"/>
          <w:bCs/>
        </w:rPr>
        <w:t>LN regression was an independent predictive factor for survival</w:t>
      </w:r>
      <w:r w:rsidR="00331CEF" w:rsidRPr="00331CEF">
        <w:rPr>
          <w:rFonts w:ascii="Helvetica" w:hAnsi="Helvetica"/>
          <w:bCs/>
        </w:rPr>
        <w:t xml:space="preserve"> </w:t>
      </w:r>
      <w:r w:rsidR="00331CEF">
        <w:rPr>
          <w:rFonts w:ascii="Helvetica" w:hAnsi="Helvetica"/>
          <w:bCs/>
        </w:rPr>
        <w:t>using a</w:t>
      </w:r>
      <w:r w:rsidR="00331CEF" w:rsidRPr="00DB10F3">
        <w:rPr>
          <w:rFonts w:ascii="Helvetica" w:hAnsi="Helvetica"/>
          <w:bCs/>
        </w:rPr>
        <w:t xml:space="preserve"> three-point </w:t>
      </w:r>
      <w:r w:rsidR="00331CEF">
        <w:rPr>
          <w:rFonts w:ascii="Helvetica" w:hAnsi="Helvetica"/>
          <w:bCs/>
        </w:rPr>
        <w:t xml:space="preserve">classification </w:t>
      </w:r>
      <w:r w:rsidR="00331CEF" w:rsidRPr="00DB10F3">
        <w:rPr>
          <w:rFonts w:ascii="Helvetica" w:hAnsi="Helvetica"/>
          <w:bCs/>
        </w:rPr>
        <w:t>system</w:t>
      </w:r>
      <w:r w:rsidR="00331CEF">
        <w:rPr>
          <w:rFonts w:ascii="Helvetica" w:hAnsi="Helvetica"/>
          <w:bCs/>
        </w:rPr>
        <w:t xml:space="preserve"> (</w:t>
      </w:r>
      <w:r w:rsidR="00331CEF" w:rsidRPr="00DB10F3">
        <w:rPr>
          <w:rFonts w:ascii="Helvetica" w:hAnsi="Helvetica"/>
          <w:bCs/>
        </w:rPr>
        <w:t>complete LN response, partial LN response and poor/no LN response</w:t>
      </w:r>
      <w:r w:rsidR="00331CEF">
        <w:rPr>
          <w:rFonts w:ascii="Helvetica" w:hAnsi="Helvetica"/>
          <w:bCs/>
        </w:rPr>
        <w:t xml:space="preserve">). This classification was </w:t>
      </w:r>
      <w:r w:rsidR="00331CEF" w:rsidRPr="00DB10F3">
        <w:rPr>
          <w:rFonts w:ascii="Helvetica" w:hAnsi="Helvetica"/>
          <w:bCs/>
        </w:rPr>
        <w:t xml:space="preserve">quick and simple to use for the reporting pathologist and </w:t>
      </w:r>
      <w:r w:rsidR="00331CEF">
        <w:rPr>
          <w:rFonts w:ascii="Helvetica" w:hAnsi="Helvetica"/>
          <w:bCs/>
        </w:rPr>
        <w:t>demonstrated</w:t>
      </w:r>
      <w:r w:rsidR="00331CEF" w:rsidRPr="00DB10F3">
        <w:rPr>
          <w:rFonts w:ascii="Helvetica" w:hAnsi="Helvetica"/>
          <w:bCs/>
        </w:rPr>
        <w:t xml:space="preserve"> high inter-observer agreement.</w:t>
      </w:r>
      <w:r w:rsidRPr="00DB10F3">
        <w:rPr>
          <w:rFonts w:ascii="Helvetica" w:hAnsi="Helvetica"/>
          <w:bCs/>
        </w:rPr>
        <w:t xml:space="preserve"> Patients with a complete or partial LN response had better survival than those with poor/no response, and patients with a complete LN response had equivalent survival to those with negative LNs. This association was independent of primary </w:t>
      </w:r>
      <w:proofErr w:type="spellStart"/>
      <w:r>
        <w:rPr>
          <w:rFonts w:ascii="Helvetica" w:hAnsi="Helvetica"/>
          <w:bCs/>
        </w:rPr>
        <w:t>tumor</w:t>
      </w:r>
      <w:proofErr w:type="spellEnd"/>
      <w:r w:rsidRPr="00DB10F3">
        <w:rPr>
          <w:rFonts w:ascii="Helvetica" w:hAnsi="Helvetica"/>
          <w:bCs/>
        </w:rPr>
        <w:t xml:space="preserve"> response, which was discordant in a substantial number of patients.</w:t>
      </w:r>
      <w:r w:rsidR="00654347">
        <w:rPr>
          <w:rFonts w:ascii="Helvetica" w:hAnsi="Helvetica"/>
          <w:bCs/>
        </w:rPr>
        <w:t xml:space="preserve"> </w:t>
      </w:r>
      <w:r>
        <w:rPr>
          <w:rFonts w:ascii="Helvetica" w:hAnsi="Helvetica"/>
          <w:bCs/>
        </w:rPr>
        <w:br/>
      </w:r>
    </w:p>
    <w:p w14:paraId="1B279D03" w14:textId="77777777" w:rsidR="00DE14FE" w:rsidRPr="00DE14FE" w:rsidRDefault="00DE14FE" w:rsidP="00DE14FE">
      <w:pPr>
        <w:rPr>
          <w:rFonts w:ascii="Helvetica" w:hAnsi="Helvetica"/>
        </w:rPr>
      </w:pPr>
    </w:p>
    <w:p w14:paraId="1A4DD449" w14:textId="77777777" w:rsidR="00DE14FE" w:rsidRDefault="00DE14FE">
      <w:pPr>
        <w:rPr>
          <w:rFonts w:ascii="Helvetica" w:hAnsi="Helvetica"/>
          <w:b/>
          <w:bCs/>
        </w:rPr>
      </w:pPr>
      <w:r>
        <w:rPr>
          <w:rFonts w:ascii="Helvetica" w:hAnsi="Helvetica"/>
          <w:b/>
          <w:bCs/>
        </w:rPr>
        <w:br w:type="page"/>
      </w:r>
    </w:p>
    <w:p w14:paraId="24017CE5" w14:textId="59BF4884" w:rsidR="00A019FF" w:rsidRPr="00DB10F3" w:rsidRDefault="00A019FF" w:rsidP="003E1460">
      <w:pPr>
        <w:spacing w:line="480" w:lineRule="auto"/>
        <w:rPr>
          <w:rFonts w:ascii="Helvetica" w:hAnsi="Helvetica"/>
          <w:b/>
          <w:bCs/>
        </w:rPr>
      </w:pPr>
      <w:r w:rsidRPr="00DB10F3">
        <w:rPr>
          <w:rFonts w:ascii="Helvetica" w:hAnsi="Helvetica"/>
          <w:b/>
          <w:bCs/>
        </w:rPr>
        <w:lastRenderedPageBreak/>
        <w:t>Abstract</w:t>
      </w:r>
    </w:p>
    <w:p w14:paraId="6189FEC9" w14:textId="6583DDC1" w:rsidR="00823FE8" w:rsidRPr="00DB10F3" w:rsidRDefault="00A019FF" w:rsidP="003E1460">
      <w:pPr>
        <w:spacing w:line="480" w:lineRule="auto"/>
        <w:rPr>
          <w:rFonts w:ascii="Helvetica" w:hAnsi="Helvetica"/>
        </w:rPr>
      </w:pPr>
      <w:r w:rsidRPr="00DB10F3">
        <w:rPr>
          <w:rFonts w:ascii="Helvetica" w:hAnsi="Helvetica"/>
          <w:b/>
          <w:bCs/>
        </w:rPr>
        <w:t>Background</w:t>
      </w:r>
      <w:r w:rsidR="00823FE8" w:rsidRPr="00DB10F3">
        <w:rPr>
          <w:rFonts w:ascii="Helvetica" w:hAnsi="Helvetica"/>
          <w:b/>
          <w:bCs/>
        </w:rPr>
        <w:t xml:space="preserve">: </w:t>
      </w:r>
      <w:r w:rsidR="003E1460" w:rsidRPr="00DB10F3">
        <w:rPr>
          <w:rFonts w:ascii="Helvetica" w:hAnsi="Helvetica"/>
        </w:rPr>
        <w:t>T</w:t>
      </w:r>
      <w:r w:rsidR="000C18CC" w:rsidRPr="00DB10F3">
        <w:rPr>
          <w:rFonts w:ascii="Helvetica" w:hAnsi="Helvetica"/>
        </w:rPr>
        <w:t xml:space="preserve">here is </w:t>
      </w:r>
      <w:r w:rsidR="00A91069" w:rsidRPr="00DB10F3">
        <w:rPr>
          <w:rFonts w:ascii="Helvetica" w:hAnsi="Helvetica"/>
        </w:rPr>
        <w:t>limited</w:t>
      </w:r>
      <w:r w:rsidR="000C18CC" w:rsidRPr="00DB10F3">
        <w:rPr>
          <w:rFonts w:ascii="Helvetica" w:hAnsi="Helvetica"/>
        </w:rPr>
        <w:t xml:space="preserve"> evidence regarding </w:t>
      </w:r>
      <w:r w:rsidR="00EF5F5D" w:rsidRPr="00DB10F3">
        <w:rPr>
          <w:rFonts w:ascii="Helvetica" w:hAnsi="Helvetica"/>
        </w:rPr>
        <w:t xml:space="preserve">the </w:t>
      </w:r>
      <w:r w:rsidR="000C18CC" w:rsidRPr="00DB10F3">
        <w:rPr>
          <w:rFonts w:ascii="Helvetica" w:hAnsi="Helvetica"/>
        </w:rPr>
        <w:t>prognostic effect</w:t>
      </w:r>
      <w:r w:rsidR="006E696A" w:rsidRPr="00DB10F3">
        <w:rPr>
          <w:rFonts w:ascii="Helvetica" w:hAnsi="Helvetica"/>
        </w:rPr>
        <w:t>s</w:t>
      </w:r>
      <w:r w:rsidR="000C18CC" w:rsidRPr="00DB10F3">
        <w:rPr>
          <w:rFonts w:ascii="Helvetica" w:hAnsi="Helvetica"/>
        </w:rPr>
        <w:t xml:space="preserve"> of </w:t>
      </w:r>
      <w:r w:rsidR="00EF5F5D" w:rsidRPr="00DB10F3">
        <w:rPr>
          <w:rFonts w:ascii="Helvetica" w:hAnsi="Helvetica"/>
        </w:rPr>
        <w:t xml:space="preserve">pathological </w:t>
      </w:r>
      <w:r w:rsidR="003E1460" w:rsidRPr="00DB10F3">
        <w:rPr>
          <w:rFonts w:ascii="Helvetica" w:hAnsi="Helvetica"/>
        </w:rPr>
        <w:t xml:space="preserve">lymph </w:t>
      </w:r>
      <w:r w:rsidR="000C18CC" w:rsidRPr="00DB10F3">
        <w:rPr>
          <w:rFonts w:ascii="Helvetica" w:hAnsi="Helvetica"/>
        </w:rPr>
        <w:t>nod</w:t>
      </w:r>
      <w:r w:rsidR="003E1460" w:rsidRPr="00DB10F3">
        <w:rPr>
          <w:rFonts w:ascii="Helvetica" w:hAnsi="Helvetica"/>
        </w:rPr>
        <w:t>e (LN)</w:t>
      </w:r>
      <w:r w:rsidR="000C18CC" w:rsidRPr="00DB10F3">
        <w:rPr>
          <w:rFonts w:ascii="Helvetica" w:hAnsi="Helvetica"/>
        </w:rPr>
        <w:t xml:space="preserve"> regression</w:t>
      </w:r>
      <w:r w:rsidR="003E1460" w:rsidRPr="00DB10F3">
        <w:rPr>
          <w:rFonts w:ascii="Helvetica" w:hAnsi="Helvetica"/>
        </w:rPr>
        <w:t xml:space="preserve"> after neoadjuvant chemotherapy for </w:t>
      </w:r>
      <w:proofErr w:type="spellStart"/>
      <w:r w:rsidR="003E1460" w:rsidRPr="00DB10F3">
        <w:rPr>
          <w:rFonts w:ascii="Helvetica" w:hAnsi="Helvetica"/>
        </w:rPr>
        <w:t>esophageal</w:t>
      </w:r>
      <w:proofErr w:type="spellEnd"/>
      <w:r w:rsidR="003E1460" w:rsidRPr="00DB10F3">
        <w:rPr>
          <w:rFonts w:ascii="Helvetica" w:hAnsi="Helvetica"/>
        </w:rPr>
        <w:t xml:space="preserve"> adenocarcinoma</w:t>
      </w:r>
      <w:r w:rsidR="006E696A" w:rsidRPr="00DB10F3">
        <w:rPr>
          <w:rFonts w:ascii="Helvetica" w:hAnsi="Helvetica"/>
        </w:rPr>
        <w:t xml:space="preserve">, and a definition of </w:t>
      </w:r>
      <w:r w:rsidR="00EF5F5D" w:rsidRPr="00DB10F3">
        <w:rPr>
          <w:rFonts w:ascii="Helvetica" w:hAnsi="Helvetica"/>
        </w:rPr>
        <w:t xml:space="preserve">LN </w:t>
      </w:r>
      <w:r w:rsidR="006E696A" w:rsidRPr="00DB10F3">
        <w:rPr>
          <w:rFonts w:ascii="Helvetica" w:hAnsi="Helvetica"/>
        </w:rPr>
        <w:t>response is lacking</w:t>
      </w:r>
      <w:r w:rsidR="000C18CC" w:rsidRPr="00DB10F3">
        <w:rPr>
          <w:rFonts w:ascii="Helvetica" w:hAnsi="Helvetica"/>
        </w:rPr>
        <w:t xml:space="preserve">. </w:t>
      </w:r>
      <w:r w:rsidR="00EF5F5D" w:rsidRPr="00DB10F3">
        <w:rPr>
          <w:rFonts w:ascii="Helvetica" w:hAnsi="Helvetica"/>
        </w:rPr>
        <w:t xml:space="preserve">This study aimed </w:t>
      </w:r>
      <w:r w:rsidR="000C18CC" w:rsidRPr="00DB10F3">
        <w:rPr>
          <w:rFonts w:ascii="Helvetica" w:hAnsi="Helvetica"/>
        </w:rPr>
        <w:t xml:space="preserve">to </w:t>
      </w:r>
      <w:r w:rsidR="00CC227D" w:rsidRPr="00DB10F3">
        <w:rPr>
          <w:rFonts w:ascii="Helvetica" w:hAnsi="Helvetica"/>
        </w:rPr>
        <w:t xml:space="preserve">evaluate </w:t>
      </w:r>
      <w:r w:rsidR="003E1460" w:rsidRPr="00DB10F3">
        <w:rPr>
          <w:rFonts w:ascii="Helvetica" w:hAnsi="Helvetica"/>
        </w:rPr>
        <w:t xml:space="preserve">how LN </w:t>
      </w:r>
      <w:r w:rsidR="000C18CC" w:rsidRPr="00DB10F3">
        <w:rPr>
          <w:rFonts w:ascii="Helvetica" w:hAnsi="Helvetica"/>
        </w:rPr>
        <w:t>regression</w:t>
      </w:r>
      <w:r w:rsidR="003E1460" w:rsidRPr="00DB10F3">
        <w:rPr>
          <w:rFonts w:ascii="Helvetica" w:hAnsi="Helvetica"/>
        </w:rPr>
        <w:t xml:space="preserve"> </w:t>
      </w:r>
      <w:r w:rsidR="006E696A" w:rsidRPr="00DB10F3">
        <w:rPr>
          <w:rFonts w:ascii="Helvetica" w:hAnsi="Helvetica"/>
        </w:rPr>
        <w:t>influences</w:t>
      </w:r>
      <w:r w:rsidR="000C18CC" w:rsidRPr="00DB10F3">
        <w:rPr>
          <w:rFonts w:ascii="Helvetica" w:hAnsi="Helvetica"/>
        </w:rPr>
        <w:t xml:space="preserve"> survival</w:t>
      </w:r>
      <w:r w:rsidR="003E1460" w:rsidRPr="00DB10F3">
        <w:rPr>
          <w:rFonts w:ascii="Helvetica" w:hAnsi="Helvetica"/>
        </w:rPr>
        <w:t xml:space="preserve"> </w:t>
      </w:r>
      <w:r w:rsidR="006E696A" w:rsidRPr="00DB10F3">
        <w:rPr>
          <w:rFonts w:ascii="Helvetica" w:hAnsi="Helvetica"/>
        </w:rPr>
        <w:t xml:space="preserve">after </w:t>
      </w:r>
      <w:r w:rsidR="004041CA" w:rsidRPr="00DB10F3">
        <w:rPr>
          <w:rFonts w:ascii="Helvetica" w:hAnsi="Helvetica"/>
        </w:rPr>
        <w:t>surgery</w:t>
      </w:r>
      <w:r w:rsidR="006E696A" w:rsidRPr="00DB10F3">
        <w:rPr>
          <w:rFonts w:ascii="Helvetica" w:hAnsi="Helvetica"/>
        </w:rPr>
        <w:t xml:space="preserve"> for </w:t>
      </w:r>
      <w:proofErr w:type="spellStart"/>
      <w:r w:rsidR="0019785E">
        <w:rPr>
          <w:rFonts w:ascii="Helvetica" w:hAnsi="Helvetica"/>
        </w:rPr>
        <w:t>esophageal</w:t>
      </w:r>
      <w:proofErr w:type="spellEnd"/>
      <w:r w:rsidR="003E1460" w:rsidRPr="00DB10F3">
        <w:rPr>
          <w:rFonts w:ascii="Helvetica" w:hAnsi="Helvetica"/>
        </w:rPr>
        <w:t xml:space="preserve"> adenocarcinoma</w:t>
      </w:r>
      <w:r w:rsidR="000C18CC" w:rsidRPr="00DB10F3">
        <w:rPr>
          <w:rFonts w:ascii="Helvetica" w:hAnsi="Helvetica"/>
        </w:rPr>
        <w:t>.</w:t>
      </w:r>
    </w:p>
    <w:p w14:paraId="521E7A12" w14:textId="2344E8CD" w:rsidR="00823FE8" w:rsidRPr="00DB10F3" w:rsidRDefault="00823FE8" w:rsidP="00AE2D04">
      <w:pPr>
        <w:spacing w:line="480" w:lineRule="auto"/>
        <w:rPr>
          <w:rFonts w:ascii="Helvetica" w:hAnsi="Helvetica"/>
          <w:b/>
        </w:rPr>
      </w:pPr>
      <w:r w:rsidRPr="00DB10F3">
        <w:rPr>
          <w:rFonts w:ascii="Helvetica" w:hAnsi="Helvetica"/>
          <w:b/>
          <w:bCs/>
        </w:rPr>
        <w:t>Methods:</w:t>
      </w:r>
      <w:r w:rsidRPr="00DB10F3">
        <w:rPr>
          <w:rFonts w:ascii="Helvetica" w:hAnsi="Helvetica"/>
        </w:rPr>
        <w:t xml:space="preserve"> Multicentre cohort study of patients with </w:t>
      </w:r>
      <w:proofErr w:type="spellStart"/>
      <w:r w:rsidR="000928B6" w:rsidRPr="00DB10F3">
        <w:rPr>
          <w:rFonts w:ascii="Helvetica" w:hAnsi="Helvetica"/>
        </w:rPr>
        <w:t>esophageal</w:t>
      </w:r>
      <w:proofErr w:type="spellEnd"/>
      <w:r w:rsidR="000928B6" w:rsidRPr="00DB10F3">
        <w:rPr>
          <w:rFonts w:ascii="Helvetica" w:hAnsi="Helvetica"/>
        </w:rPr>
        <w:t xml:space="preserve"> adenocarcinoma</w:t>
      </w:r>
      <w:r w:rsidRPr="00DB10F3">
        <w:rPr>
          <w:rFonts w:ascii="Helvetica" w:hAnsi="Helvetica"/>
        </w:rPr>
        <w:t xml:space="preserve"> treated with </w:t>
      </w:r>
      <w:r w:rsidR="000928B6" w:rsidRPr="00DB10F3">
        <w:rPr>
          <w:rFonts w:ascii="Helvetica" w:hAnsi="Helvetica"/>
        </w:rPr>
        <w:t xml:space="preserve">neoadjuvant chemotherapy </w:t>
      </w:r>
      <w:r w:rsidR="00EF5F5D" w:rsidRPr="00DB10F3">
        <w:rPr>
          <w:rFonts w:ascii="Helvetica" w:hAnsi="Helvetica"/>
        </w:rPr>
        <w:t>followed by</w:t>
      </w:r>
      <w:r w:rsidRPr="00DB10F3">
        <w:rPr>
          <w:rFonts w:ascii="Helvetica" w:hAnsi="Helvetica"/>
        </w:rPr>
        <w:t xml:space="preserve"> </w:t>
      </w:r>
      <w:r w:rsidR="004041CA" w:rsidRPr="00DB10F3">
        <w:rPr>
          <w:rFonts w:ascii="Helvetica" w:hAnsi="Helvetica"/>
        </w:rPr>
        <w:t>surg</w:t>
      </w:r>
      <w:r w:rsidR="0019170C" w:rsidRPr="00DB10F3">
        <w:rPr>
          <w:rFonts w:ascii="Helvetica" w:hAnsi="Helvetica"/>
        </w:rPr>
        <w:t>ical resection</w:t>
      </w:r>
      <w:r w:rsidRPr="00DB10F3">
        <w:rPr>
          <w:rFonts w:ascii="Helvetica" w:hAnsi="Helvetica"/>
        </w:rPr>
        <w:t xml:space="preserve"> at </w:t>
      </w:r>
      <w:r w:rsidR="00EF5F5D" w:rsidRPr="00DB10F3">
        <w:rPr>
          <w:rFonts w:ascii="Helvetica" w:hAnsi="Helvetica"/>
        </w:rPr>
        <w:t>five</w:t>
      </w:r>
      <w:r w:rsidRPr="00DB10F3">
        <w:rPr>
          <w:rFonts w:ascii="Helvetica" w:hAnsi="Helvetica"/>
        </w:rPr>
        <w:t xml:space="preserve"> high</w:t>
      </w:r>
      <w:r w:rsidR="000C18CC" w:rsidRPr="00DB10F3">
        <w:rPr>
          <w:rFonts w:ascii="Helvetica" w:hAnsi="Helvetica"/>
        </w:rPr>
        <w:t>-</w:t>
      </w:r>
      <w:r w:rsidRPr="00DB10F3">
        <w:rPr>
          <w:rFonts w:ascii="Helvetica" w:hAnsi="Helvetica"/>
        </w:rPr>
        <w:t xml:space="preserve">volume centres in the United Kingdom. </w:t>
      </w:r>
      <w:r w:rsidR="000C18CC" w:rsidRPr="00DB10F3">
        <w:rPr>
          <w:rFonts w:ascii="Helvetica" w:hAnsi="Helvetica"/>
        </w:rPr>
        <w:t>L</w:t>
      </w:r>
      <w:r w:rsidR="003E1460" w:rsidRPr="00DB10F3">
        <w:rPr>
          <w:rFonts w:ascii="Helvetica" w:hAnsi="Helvetica"/>
        </w:rPr>
        <w:t>Ns</w:t>
      </w:r>
      <w:r w:rsidRPr="00DB10F3">
        <w:rPr>
          <w:rFonts w:ascii="Helvetica" w:hAnsi="Helvetica"/>
        </w:rPr>
        <w:t xml:space="preserve"> retrieved </w:t>
      </w:r>
      <w:r w:rsidR="00EF5F5D" w:rsidRPr="00DB10F3">
        <w:rPr>
          <w:rFonts w:ascii="Helvetica" w:hAnsi="Helvetica"/>
        </w:rPr>
        <w:t>at</w:t>
      </w:r>
      <w:r w:rsidRPr="00DB10F3">
        <w:rPr>
          <w:rFonts w:ascii="Helvetica" w:hAnsi="Helvetica"/>
        </w:rPr>
        <w:t xml:space="preserve"> esophagectomy were examined for chemotherapy response</w:t>
      </w:r>
      <w:r w:rsidR="000928B6" w:rsidRPr="00DB10F3">
        <w:rPr>
          <w:rFonts w:ascii="Helvetica" w:hAnsi="Helvetica"/>
        </w:rPr>
        <w:t xml:space="preserve"> </w:t>
      </w:r>
      <w:r w:rsidR="00FF4430" w:rsidRPr="00DB10F3">
        <w:rPr>
          <w:rFonts w:ascii="Helvetica" w:hAnsi="Helvetica"/>
        </w:rPr>
        <w:t xml:space="preserve">and given a </w:t>
      </w:r>
      <w:r w:rsidR="00EF5F5D" w:rsidRPr="00DB10F3">
        <w:rPr>
          <w:rFonts w:ascii="Helvetica" w:hAnsi="Helvetica"/>
        </w:rPr>
        <w:t xml:space="preserve">LN </w:t>
      </w:r>
      <w:r w:rsidR="00FF4430" w:rsidRPr="00DB10F3">
        <w:rPr>
          <w:rFonts w:ascii="Helvetica" w:hAnsi="Helvetica"/>
        </w:rPr>
        <w:t>regression score (LNRS)</w:t>
      </w:r>
      <w:r w:rsidR="00EF5F5D" w:rsidRPr="00DB10F3">
        <w:rPr>
          <w:rFonts w:ascii="Helvetica" w:hAnsi="Helvetica"/>
        </w:rPr>
        <w:t xml:space="preserve"> – LNRS </w:t>
      </w:r>
      <w:r w:rsidR="00EF5F5D" w:rsidRPr="00DB10F3">
        <w:rPr>
          <w:rFonts w:ascii="Helvetica" w:hAnsi="Helvetica"/>
          <w:bCs/>
        </w:rPr>
        <w:t xml:space="preserve">1, complete response; 2, &lt;10% residual </w:t>
      </w:r>
      <w:proofErr w:type="spellStart"/>
      <w:r w:rsidR="00EF5F5D" w:rsidRPr="00DB10F3">
        <w:rPr>
          <w:rFonts w:ascii="Helvetica" w:hAnsi="Helvetica"/>
          <w:bCs/>
        </w:rPr>
        <w:t>tumor</w:t>
      </w:r>
      <w:proofErr w:type="spellEnd"/>
      <w:r w:rsidR="00EF5F5D" w:rsidRPr="00DB10F3">
        <w:rPr>
          <w:rFonts w:ascii="Helvetica" w:hAnsi="Helvetica"/>
          <w:bCs/>
        </w:rPr>
        <w:t xml:space="preserve">; 3, 10-50% residual </w:t>
      </w:r>
      <w:proofErr w:type="spellStart"/>
      <w:r w:rsidR="0019785E">
        <w:rPr>
          <w:rFonts w:ascii="Helvetica" w:hAnsi="Helvetica"/>
          <w:bCs/>
        </w:rPr>
        <w:t>tumor</w:t>
      </w:r>
      <w:proofErr w:type="spellEnd"/>
      <w:r w:rsidR="00EF5F5D" w:rsidRPr="00DB10F3">
        <w:rPr>
          <w:rFonts w:ascii="Helvetica" w:hAnsi="Helvetica"/>
          <w:bCs/>
        </w:rPr>
        <w:t xml:space="preserve">; 4, &gt;50% residual </w:t>
      </w:r>
      <w:proofErr w:type="spellStart"/>
      <w:r w:rsidR="0019785E">
        <w:rPr>
          <w:rFonts w:ascii="Helvetica" w:hAnsi="Helvetica"/>
          <w:bCs/>
        </w:rPr>
        <w:t>tumor</w:t>
      </w:r>
      <w:proofErr w:type="spellEnd"/>
      <w:r w:rsidR="00EF5F5D" w:rsidRPr="00DB10F3">
        <w:rPr>
          <w:rFonts w:ascii="Helvetica" w:hAnsi="Helvetica"/>
          <w:bCs/>
        </w:rPr>
        <w:t>; 5, no response</w:t>
      </w:r>
      <w:r w:rsidR="00D904FC" w:rsidRPr="00DB10F3">
        <w:rPr>
          <w:rFonts w:ascii="Helvetica" w:hAnsi="Helvetica"/>
        </w:rPr>
        <w:t xml:space="preserve">. </w:t>
      </w:r>
      <w:r w:rsidR="000C18CC" w:rsidRPr="00DB10F3">
        <w:rPr>
          <w:rFonts w:ascii="Helvetica" w:hAnsi="Helvetica"/>
        </w:rPr>
        <w:t>Survival analysis was performed using Cox</w:t>
      </w:r>
      <w:r w:rsidR="00AA1CBF">
        <w:rPr>
          <w:rFonts w:ascii="Helvetica" w:hAnsi="Helvetica"/>
        </w:rPr>
        <w:t xml:space="preserve"> </w:t>
      </w:r>
      <w:r w:rsidR="000C18CC" w:rsidRPr="00DB10F3">
        <w:rPr>
          <w:rFonts w:ascii="Helvetica" w:hAnsi="Helvetica"/>
        </w:rPr>
        <w:t>regression</w:t>
      </w:r>
      <w:r w:rsidR="00EF5F5D" w:rsidRPr="00DB10F3">
        <w:rPr>
          <w:rFonts w:ascii="Helvetica" w:hAnsi="Helvetica"/>
        </w:rPr>
        <w:t xml:space="preserve"> </w:t>
      </w:r>
      <w:r w:rsidR="006E696A" w:rsidRPr="00DB10F3">
        <w:rPr>
          <w:rFonts w:ascii="Helvetica" w:hAnsi="Helvetica"/>
        </w:rPr>
        <w:t>adjust</w:t>
      </w:r>
      <w:r w:rsidR="00EF5F5D" w:rsidRPr="00DB10F3">
        <w:rPr>
          <w:rFonts w:ascii="Helvetica" w:hAnsi="Helvetica"/>
        </w:rPr>
        <w:t>ing</w:t>
      </w:r>
      <w:r w:rsidR="006E696A" w:rsidRPr="00DB10F3">
        <w:rPr>
          <w:rFonts w:ascii="Helvetica" w:hAnsi="Helvetica"/>
        </w:rPr>
        <w:t xml:space="preserve"> for confounders</w:t>
      </w:r>
      <w:r w:rsidR="003D6F55" w:rsidRPr="00DB10F3">
        <w:rPr>
          <w:rFonts w:ascii="Helvetica" w:hAnsi="Helvetica"/>
        </w:rPr>
        <w:t xml:space="preserve"> </w:t>
      </w:r>
      <w:r w:rsidR="006E696A" w:rsidRPr="00DB10F3">
        <w:rPr>
          <w:rFonts w:ascii="Helvetica" w:hAnsi="Helvetica"/>
        </w:rPr>
        <w:t xml:space="preserve">including primary </w:t>
      </w:r>
      <w:proofErr w:type="spellStart"/>
      <w:r w:rsidR="0019785E">
        <w:rPr>
          <w:rFonts w:ascii="Helvetica" w:hAnsi="Helvetica"/>
        </w:rPr>
        <w:t>tumor</w:t>
      </w:r>
      <w:proofErr w:type="spellEnd"/>
      <w:r w:rsidR="006E696A" w:rsidRPr="00DB10F3">
        <w:rPr>
          <w:rFonts w:ascii="Helvetica" w:hAnsi="Helvetica"/>
        </w:rPr>
        <w:t xml:space="preserve"> re</w:t>
      </w:r>
      <w:r w:rsidR="00EF5F5D" w:rsidRPr="00DB10F3">
        <w:rPr>
          <w:rFonts w:ascii="Helvetica" w:hAnsi="Helvetica"/>
        </w:rPr>
        <w:t>gression</w:t>
      </w:r>
      <w:r w:rsidR="000C18CC" w:rsidRPr="00DB10F3">
        <w:rPr>
          <w:rFonts w:ascii="Helvetica" w:hAnsi="Helvetica"/>
        </w:rPr>
        <w:t>.</w:t>
      </w:r>
      <w:r w:rsidR="00054E70">
        <w:rPr>
          <w:rFonts w:ascii="Helvetica" w:hAnsi="Helvetica"/>
        </w:rPr>
        <w:t xml:space="preserve"> </w:t>
      </w:r>
      <w:r w:rsidR="00054E70" w:rsidRPr="00DB10F3">
        <w:rPr>
          <w:rFonts w:ascii="Helvetica" w:hAnsi="Helvetica"/>
        </w:rPr>
        <w:t xml:space="preserve">The </w:t>
      </w:r>
      <w:r w:rsidR="00345D6C">
        <w:rPr>
          <w:rFonts w:ascii="Helvetica" w:hAnsi="Helvetica"/>
        </w:rPr>
        <w:t>discriminatory</w:t>
      </w:r>
      <w:r w:rsidR="00054E70">
        <w:rPr>
          <w:rFonts w:ascii="Helvetica" w:hAnsi="Helvetica"/>
        </w:rPr>
        <w:t xml:space="preserve"> ability</w:t>
      </w:r>
      <w:r w:rsidR="00054E70" w:rsidRPr="00DB10F3">
        <w:rPr>
          <w:rFonts w:ascii="Helvetica" w:hAnsi="Helvetica"/>
        </w:rPr>
        <w:t xml:space="preserve"> of</w:t>
      </w:r>
      <w:r w:rsidR="00054E70">
        <w:rPr>
          <w:rFonts w:ascii="Helvetica" w:hAnsi="Helvetica"/>
        </w:rPr>
        <w:t xml:space="preserve"> </w:t>
      </w:r>
      <w:r w:rsidR="00054E70" w:rsidRPr="00DB10F3">
        <w:rPr>
          <w:rFonts w:ascii="Helvetica" w:hAnsi="Helvetica"/>
        </w:rPr>
        <w:t>different</w:t>
      </w:r>
      <w:r w:rsidR="00054E70">
        <w:rPr>
          <w:rFonts w:ascii="Helvetica" w:hAnsi="Helvetica"/>
        </w:rPr>
        <w:t xml:space="preserve"> </w:t>
      </w:r>
      <w:r w:rsidR="00D26070">
        <w:rPr>
          <w:rFonts w:ascii="Helvetica" w:hAnsi="Helvetica"/>
        </w:rPr>
        <w:t xml:space="preserve">LN response </w:t>
      </w:r>
      <w:r w:rsidR="00054E70" w:rsidRPr="00DB10F3">
        <w:rPr>
          <w:rFonts w:ascii="Helvetica" w:hAnsi="Helvetica"/>
        </w:rPr>
        <w:t xml:space="preserve">classifications </w:t>
      </w:r>
      <w:r w:rsidR="00D26070">
        <w:rPr>
          <w:rFonts w:ascii="Helvetica" w:hAnsi="Helvetica"/>
        </w:rPr>
        <w:t xml:space="preserve">to predict survival </w:t>
      </w:r>
      <w:r w:rsidR="00054E70" w:rsidRPr="00DB10F3">
        <w:rPr>
          <w:rFonts w:ascii="Helvetica" w:hAnsi="Helvetica"/>
        </w:rPr>
        <w:t xml:space="preserve">was evaluated using </w:t>
      </w:r>
      <w:r w:rsidR="00054E70">
        <w:rPr>
          <w:rFonts w:ascii="Helvetica" w:hAnsi="Helvetica"/>
        </w:rPr>
        <w:t>Akaike’s information criterion</w:t>
      </w:r>
      <w:r w:rsidR="00A752CF">
        <w:rPr>
          <w:rFonts w:ascii="Helvetica" w:hAnsi="Helvetica"/>
        </w:rPr>
        <w:t xml:space="preserve"> and Harrell’s C-index</w:t>
      </w:r>
      <w:r w:rsidR="00054E70" w:rsidRPr="00DB10F3">
        <w:rPr>
          <w:rFonts w:ascii="Helvetica" w:hAnsi="Helvetica"/>
        </w:rPr>
        <w:t>.</w:t>
      </w:r>
    </w:p>
    <w:p w14:paraId="2106ECF8" w14:textId="42145E14" w:rsidR="00823FE8" w:rsidRPr="00DB10F3" w:rsidRDefault="00823FE8" w:rsidP="00AE2D04">
      <w:pPr>
        <w:spacing w:line="480" w:lineRule="auto"/>
        <w:rPr>
          <w:rFonts w:ascii="Helvetica" w:hAnsi="Helvetica"/>
        </w:rPr>
      </w:pPr>
      <w:r w:rsidRPr="00DB10F3">
        <w:rPr>
          <w:rFonts w:ascii="Helvetica" w:hAnsi="Helvetica"/>
          <w:b/>
          <w:bCs/>
        </w:rPr>
        <w:t>Results:</w:t>
      </w:r>
      <w:r w:rsidRPr="00DB10F3">
        <w:rPr>
          <w:rFonts w:ascii="Helvetica" w:hAnsi="Helvetica"/>
        </w:rPr>
        <w:t xml:space="preserve"> </w:t>
      </w:r>
      <w:r w:rsidR="00685CFA" w:rsidRPr="00DB10F3">
        <w:rPr>
          <w:rFonts w:ascii="Helvetica" w:hAnsi="Helvetica"/>
          <w:bCs/>
        </w:rPr>
        <w:t xml:space="preserve">17,930 </w:t>
      </w:r>
      <w:r w:rsidR="003E1460" w:rsidRPr="00DB10F3">
        <w:rPr>
          <w:rFonts w:ascii="Helvetica" w:hAnsi="Helvetica"/>
          <w:bCs/>
        </w:rPr>
        <w:t>LNs</w:t>
      </w:r>
      <w:r w:rsidR="00EF5F5D" w:rsidRPr="00DB10F3">
        <w:rPr>
          <w:rFonts w:ascii="Helvetica" w:hAnsi="Helvetica"/>
          <w:bCs/>
        </w:rPr>
        <w:t xml:space="preserve"> from 763 patients</w:t>
      </w:r>
      <w:r w:rsidR="00685CFA" w:rsidRPr="00DB10F3">
        <w:rPr>
          <w:rFonts w:ascii="Helvetica" w:hAnsi="Helvetica"/>
          <w:bCs/>
        </w:rPr>
        <w:t xml:space="preserve"> were examined. </w:t>
      </w:r>
      <w:r w:rsidR="001A4E80" w:rsidRPr="00DB10F3">
        <w:rPr>
          <w:rFonts w:ascii="Helvetica" w:hAnsi="Helvetica"/>
          <w:bCs/>
        </w:rPr>
        <w:t xml:space="preserve">LN response </w:t>
      </w:r>
      <w:r w:rsidR="00EF4DD5" w:rsidRPr="00DB10F3">
        <w:rPr>
          <w:rFonts w:ascii="Helvetica" w:hAnsi="Helvetica"/>
          <w:bCs/>
        </w:rPr>
        <w:t>classified as</w:t>
      </w:r>
      <w:r w:rsidR="003D6F55" w:rsidRPr="00DB10F3">
        <w:rPr>
          <w:rFonts w:ascii="Helvetica" w:hAnsi="Helvetica"/>
          <w:bCs/>
        </w:rPr>
        <w:t>:</w:t>
      </w:r>
      <w:r w:rsidR="001A4E80" w:rsidRPr="00DB10F3">
        <w:rPr>
          <w:rFonts w:ascii="Helvetica" w:hAnsi="Helvetica"/>
          <w:bCs/>
        </w:rPr>
        <w:t xml:space="preserve"> </w:t>
      </w:r>
      <w:r w:rsidR="00D904FC" w:rsidRPr="00DB10F3">
        <w:rPr>
          <w:rFonts w:ascii="Helvetica" w:hAnsi="Helvetica"/>
          <w:i/>
          <w:iCs/>
        </w:rPr>
        <w:t xml:space="preserve">complete </w:t>
      </w:r>
      <w:r w:rsidR="00EF5F5D" w:rsidRPr="00DB10F3">
        <w:rPr>
          <w:rFonts w:ascii="Helvetica" w:hAnsi="Helvetica"/>
          <w:i/>
          <w:iCs/>
        </w:rPr>
        <w:t>LN</w:t>
      </w:r>
      <w:r w:rsidR="00D26070">
        <w:rPr>
          <w:rFonts w:ascii="Helvetica" w:hAnsi="Helvetica"/>
          <w:i/>
          <w:iCs/>
        </w:rPr>
        <w:t>-</w:t>
      </w:r>
      <w:r w:rsidR="00D904FC" w:rsidRPr="00DB10F3">
        <w:rPr>
          <w:rFonts w:ascii="Helvetica" w:hAnsi="Helvetica"/>
          <w:i/>
          <w:iCs/>
        </w:rPr>
        <w:t>response</w:t>
      </w:r>
      <w:r w:rsidR="00D904FC" w:rsidRPr="00DB10F3">
        <w:rPr>
          <w:rFonts w:ascii="Helvetica" w:hAnsi="Helvetica"/>
        </w:rPr>
        <w:t xml:space="preserve"> (</w:t>
      </w:r>
      <w:r w:rsidR="00FF4430" w:rsidRPr="00DB10F3">
        <w:rPr>
          <w:rFonts w:ascii="Helvetica" w:hAnsi="Helvetica"/>
        </w:rPr>
        <w:t>LNRS 1</w:t>
      </w:r>
      <w:r w:rsidR="001A4E80" w:rsidRPr="00DB10F3">
        <w:rPr>
          <w:rFonts w:ascii="Helvetica" w:hAnsi="Helvetica"/>
        </w:rPr>
        <w:t xml:space="preserve"> ≥1 LN</w:t>
      </w:r>
      <w:r w:rsidR="00D904FC" w:rsidRPr="00DB10F3">
        <w:rPr>
          <w:rFonts w:ascii="Helvetica" w:hAnsi="Helvetica"/>
        </w:rPr>
        <w:t xml:space="preserve">, no residual </w:t>
      </w:r>
      <w:proofErr w:type="spellStart"/>
      <w:r w:rsidR="0019785E">
        <w:rPr>
          <w:rFonts w:ascii="Helvetica" w:hAnsi="Helvetica"/>
        </w:rPr>
        <w:t>tumor</w:t>
      </w:r>
      <w:proofErr w:type="spellEnd"/>
      <w:r w:rsidR="00D904FC" w:rsidRPr="00DB10F3">
        <w:rPr>
          <w:rFonts w:ascii="Helvetica" w:hAnsi="Helvetica"/>
        </w:rPr>
        <w:t xml:space="preserve"> in any LN</w:t>
      </w:r>
      <w:r w:rsidR="00EF4DD5" w:rsidRPr="00DB10F3">
        <w:rPr>
          <w:rFonts w:ascii="Helvetica" w:hAnsi="Helvetica"/>
        </w:rPr>
        <w:t>; n=62, 8.1%</w:t>
      </w:r>
      <w:r w:rsidR="00D904FC" w:rsidRPr="00DB10F3">
        <w:rPr>
          <w:rFonts w:ascii="Helvetica" w:hAnsi="Helvetica"/>
        </w:rPr>
        <w:t xml:space="preserve">), </w:t>
      </w:r>
      <w:r w:rsidR="00D904FC" w:rsidRPr="00DB10F3">
        <w:rPr>
          <w:rFonts w:ascii="Helvetica" w:hAnsi="Helvetica"/>
          <w:i/>
          <w:iCs/>
        </w:rPr>
        <w:t xml:space="preserve">partial </w:t>
      </w:r>
      <w:r w:rsidR="00EF5F5D" w:rsidRPr="00DB10F3">
        <w:rPr>
          <w:rFonts w:ascii="Helvetica" w:hAnsi="Helvetica"/>
          <w:i/>
          <w:iCs/>
        </w:rPr>
        <w:t>LN</w:t>
      </w:r>
      <w:r w:rsidR="00D26070">
        <w:rPr>
          <w:rFonts w:ascii="Helvetica" w:hAnsi="Helvetica"/>
          <w:i/>
          <w:iCs/>
        </w:rPr>
        <w:t>-</w:t>
      </w:r>
      <w:r w:rsidR="00D904FC" w:rsidRPr="00DB10F3">
        <w:rPr>
          <w:rFonts w:ascii="Helvetica" w:hAnsi="Helvetica"/>
          <w:i/>
          <w:iCs/>
        </w:rPr>
        <w:t>response</w:t>
      </w:r>
      <w:r w:rsidR="00D904FC" w:rsidRPr="00DB10F3">
        <w:rPr>
          <w:rFonts w:ascii="Helvetica" w:hAnsi="Helvetica"/>
        </w:rPr>
        <w:t xml:space="preserve"> (</w:t>
      </w:r>
      <w:r w:rsidR="00FF4430" w:rsidRPr="00DB10F3">
        <w:rPr>
          <w:rFonts w:ascii="Helvetica" w:hAnsi="Helvetica"/>
        </w:rPr>
        <w:t>LNRS 1-3</w:t>
      </w:r>
      <w:r w:rsidR="00D904FC" w:rsidRPr="00DB10F3">
        <w:rPr>
          <w:rFonts w:ascii="Helvetica" w:hAnsi="Helvetica"/>
        </w:rPr>
        <w:t xml:space="preserve"> ≥1 LN</w:t>
      </w:r>
      <w:r w:rsidR="001A4E80" w:rsidRPr="00DB10F3">
        <w:rPr>
          <w:rFonts w:ascii="Helvetica" w:hAnsi="Helvetica"/>
        </w:rPr>
        <w:t>,</w:t>
      </w:r>
      <w:r w:rsidR="00D904FC" w:rsidRPr="00DB10F3">
        <w:rPr>
          <w:rFonts w:ascii="Helvetica" w:hAnsi="Helvetica"/>
        </w:rPr>
        <w:t xml:space="preserve"> residual </w:t>
      </w:r>
      <w:proofErr w:type="spellStart"/>
      <w:r w:rsidR="0019785E">
        <w:rPr>
          <w:rFonts w:ascii="Helvetica" w:hAnsi="Helvetica"/>
        </w:rPr>
        <w:t>tumor</w:t>
      </w:r>
      <w:proofErr w:type="spellEnd"/>
      <w:r w:rsidR="00D904FC" w:rsidRPr="00DB10F3">
        <w:rPr>
          <w:rFonts w:ascii="Helvetica" w:hAnsi="Helvetica"/>
        </w:rPr>
        <w:t xml:space="preserve"> ≥1 LN</w:t>
      </w:r>
      <w:r w:rsidR="00EF4DD5" w:rsidRPr="00DB10F3">
        <w:rPr>
          <w:rFonts w:ascii="Helvetica" w:hAnsi="Helvetica"/>
        </w:rPr>
        <w:t>; n=155, 20.3%</w:t>
      </w:r>
      <w:r w:rsidR="00D904FC" w:rsidRPr="00DB10F3">
        <w:rPr>
          <w:rFonts w:ascii="Helvetica" w:hAnsi="Helvetica"/>
        </w:rPr>
        <w:t>)</w:t>
      </w:r>
      <w:r w:rsidR="00B446E5" w:rsidRPr="00DB10F3">
        <w:rPr>
          <w:rFonts w:ascii="Helvetica" w:hAnsi="Helvetica"/>
        </w:rPr>
        <w:t>,</w:t>
      </w:r>
      <w:r w:rsidR="00D904FC" w:rsidRPr="00DB10F3">
        <w:rPr>
          <w:rFonts w:ascii="Helvetica" w:hAnsi="Helvetica"/>
          <w:i/>
          <w:iCs/>
        </w:rPr>
        <w:t xml:space="preserve"> </w:t>
      </w:r>
      <w:r w:rsidR="00115E01" w:rsidRPr="00DB10F3">
        <w:rPr>
          <w:rFonts w:ascii="Helvetica" w:hAnsi="Helvetica"/>
          <w:i/>
          <w:iCs/>
        </w:rPr>
        <w:t>poor/no</w:t>
      </w:r>
      <w:r w:rsidR="00EF5F5D" w:rsidRPr="00DB10F3">
        <w:rPr>
          <w:rFonts w:ascii="Helvetica" w:hAnsi="Helvetica"/>
          <w:i/>
          <w:iCs/>
        </w:rPr>
        <w:t xml:space="preserve"> LN</w:t>
      </w:r>
      <w:r w:rsidR="00D26070">
        <w:rPr>
          <w:rFonts w:ascii="Helvetica" w:hAnsi="Helvetica"/>
          <w:i/>
          <w:iCs/>
        </w:rPr>
        <w:t>-</w:t>
      </w:r>
      <w:r w:rsidR="00D904FC" w:rsidRPr="00DB10F3">
        <w:rPr>
          <w:rFonts w:ascii="Helvetica" w:hAnsi="Helvetica"/>
          <w:i/>
          <w:iCs/>
        </w:rPr>
        <w:t xml:space="preserve">response </w:t>
      </w:r>
      <w:r w:rsidR="00D904FC" w:rsidRPr="00DB10F3">
        <w:rPr>
          <w:rFonts w:ascii="Helvetica" w:hAnsi="Helvetica"/>
        </w:rPr>
        <w:t>(</w:t>
      </w:r>
      <w:r w:rsidR="00FF4430" w:rsidRPr="00DB10F3">
        <w:rPr>
          <w:rFonts w:ascii="Helvetica" w:hAnsi="Helvetica"/>
        </w:rPr>
        <w:t>LNRS 4-5</w:t>
      </w:r>
      <w:r w:rsidR="00EF4DD5" w:rsidRPr="00DB10F3">
        <w:rPr>
          <w:rFonts w:ascii="Helvetica" w:hAnsi="Helvetica"/>
        </w:rPr>
        <w:t>; n=303, 39.7%)</w:t>
      </w:r>
      <w:r w:rsidR="006A0299" w:rsidRPr="00DB10F3">
        <w:rPr>
          <w:rFonts w:ascii="Helvetica" w:hAnsi="Helvetica"/>
        </w:rPr>
        <w:t xml:space="preserve">, </w:t>
      </w:r>
      <w:r w:rsidR="00B446E5" w:rsidRPr="00DB10F3">
        <w:rPr>
          <w:rFonts w:ascii="Helvetica" w:hAnsi="Helvetica"/>
        </w:rPr>
        <w:t>or</w:t>
      </w:r>
      <w:r w:rsidR="006A0299" w:rsidRPr="00DB10F3">
        <w:rPr>
          <w:rFonts w:ascii="Helvetica" w:hAnsi="Helvetica"/>
        </w:rPr>
        <w:t xml:space="preserve"> </w:t>
      </w:r>
      <w:r w:rsidR="006A0299" w:rsidRPr="00DB10F3">
        <w:rPr>
          <w:rFonts w:ascii="Helvetica" w:hAnsi="Helvetica"/>
          <w:i/>
          <w:iCs/>
        </w:rPr>
        <w:t>LN</w:t>
      </w:r>
      <w:r w:rsidR="00AA1CBF">
        <w:rPr>
          <w:rFonts w:ascii="Helvetica" w:hAnsi="Helvetica"/>
          <w:i/>
          <w:iCs/>
        </w:rPr>
        <w:t xml:space="preserve"> </w:t>
      </w:r>
      <w:r w:rsidR="006A0299" w:rsidRPr="00DB10F3">
        <w:rPr>
          <w:rFonts w:ascii="Helvetica" w:hAnsi="Helvetica"/>
          <w:i/>
          <w:iCs/>
        </w:rPr>
        <w:t>negative</w:t>
      </w:r>
      <w:r w:rsidR="006A0299" w:rsidRPr="00DB10F3">
        <w:rPr>
          <w:rFonts w:ascii="Helvetica" w:hAnsi="Helvetica"/>
        </w:rPr>
        <w:t xml:space="preserve"> (no </w:t>
      </w:r>
      <w:proofErr w:type="spellStart"/>
      <w:r w:rsidR="0019785E">
        <w:rPr>
          <w:rFonts w:ascii="Helvetica" w:hAnsi="Helvetica"/>
        </w:rPr>
        <w:t>tumor</w:t>
      </w:r>
      <w:proofErr w:type="spellEnd"/>
      <w:r w:rsidR="008157D6" w:rsidRPr="00DB10F3">
        <w:rPr>
          <w:rFonts w:ascii="Helvetica" w:hAnsi="Helvetica"/>
        </w:rPr>
        <w:t>/</w:t>
      </w:r>
      <w:r w:rsidR="006A0299" w:rsidRPr="00DB10F3">
        <w:rPr>
          <w:rFonts w:ascii="Helvetica" w:hAnsi="Helvetica"/>
        </w:rPr>
        <w:t>regression; n=243, 31.8%)</w:t>
      </w:r>
      <w:r w:rsidR="00054E70">
        <w:rPr>
          <w:rFonts w:ascii="Helvetica" w:hAnsi="Helvetica"/>
        </w:rPr>
        <w:t xml:space="preserve"> demonstrated </w:t>
      </w:r>
      <w:r w:rsidR="00345D6C">
        <w:rPr>
          <w:rFonts w:ascii="Helvetica" w:hAnsi="Helvetica"/>
        </w:rPr>
        <w:t>superior discriminatory abilit</w:t>
      </w:r>
      <w:r w:rsidR="00D26070">
        <w:rPr>
          <w:rFonts w:ascii="Helvetica" w:hAnsi="Helvetica"/>
        </w:rPr>
        <w:t>y</w:t>
      </w:r>
      <w:r w:rsidR="00D904FC" w:rsidRPr="00DB10F3">
        <w:rPr>
          <w:rFonts w:ascii="Helvetica" w:hAnsi="Helvetica"/>
        </w:rPr>
        <w:t>.</w:t>
      </w:r>
      <w:r w:rsidRPr="00DB10F3">
        <w:rPr>
          <w:rFonts w:ascii="Helvetica" w:hAnsi="Helvetica"/>
        </w:rPr>
        <w:t xml:space="preserve"> </w:t>
      </w:r>
      <w:r w:rsidR="00EF5F5D" w:rsidRPr="00DB10F3">
        <w:rPr>
          <w:rFonts w:ascii="Helvetica" w:hAnsi="Helvetica"/>
        </w:rPr>
        <w:t xml:space="preserve">Mortality </w:t>
      </w:r>
      <w:r w:rsidR="00E81C40" w:rsidRPr="00DB10F3">
        <w:rPr>
          <w:rFonts w:ascii="Helvetica" w:hAnsi="Helvetica"/>
        </w:rPr>
        <w:t>was reduced</w:t>
      </w:r>
      <w:r w:rsidR="00CC227D" w:rsidRPr="00DB10F3">
        <w:rPr>
          <w:rFonts w:ascii="Helvetica" w:hAnsi="Helvetica"/>
        </w:rPr>
        <w:t xml:space="preserve"> </w:t>
      </w:r>
      <w:r w:rsidRPr="00DB10F3">
        <w:rPr>
          <w:rFonts w:ascii="Helvetica" w:hAnsi="Helvetica"/>
        </w:rPr>
        <w:t xml:space="preserve">in patients with complete </w:t>
      </w:r>
      <w:r w:rsidR="00843D30" w:rsidRPr="00DB10F3">
        <w:rPr>
          <w:rFonts w:ascii="Helvetica" w:hAnsi="Helvetica"/>
        </w:rPr>
        <w:t>LN</w:t>
      </w:r>
      <w:r w:rsidR="00D26070">
        <w:rPr>
          <w:rFonts w:ascii="Helvetica" w:hAnsi="Helvetica"/>
        </w:rPr>
        <w:t>-</w:t>
      </w:r>
      <w:r w:rsidRPr="00DB10F3">
        <w:rPr>
          <w:rFonts w:ascii="Helvetica" w:hAnsi="Helvetica"/>
        </w:rPr>
        <w:t xml:space="preserve">response </w:t>
      </w:r>
      <w:r w:rsidR="00850628" w:rsidRPr="00DB10F3">
        <w:rPr>
          <w:rFonts w:ascii="Helvetica" w:hAnsi="Helvetica"/>
        </w:rPr>
        <w:t>(HR 0.3</w:t>
      </w:r>
      <w:r w:rsidR="00850628">
        <w:rPr>
          <w:rFonts w:ascii="Helvetica" w:hAnsi="Helvetica"/>
        </w:rPr>
        <w:t>5</w:t>
      </w:r>
      <w:r w:rsidR="00850628" w:rsidRPr="00DB10F3">
        <w:rPr>
          <w:rFonts w:ascii="Helvetica" w:hAnsi="Helvetica"/>
        </w:rPr>
        <w:t>, 95%CI 0.2</w:t>
      </w:r>
      <w:r w:rsidR="00850628">
        <w:rPr>
          <w:rFonts w:ascii="Helvetica" w:hAnsi="Helvetica"/>
        </w:rPr>
        <w:t>2</w:t>
      </w:r>
      <w:r w:rsidR="00850628" w:rsidRPr="00DB10F3">
        <w:rPr>
          <w:rFonts w:ascii="Helvetica" w:hAnsi="Helvetica"/>
        </w:rPr>
        <w:t>-0.5</w:t>
      </w:r>
      <w:r w:rsidR="00850628">
        <w:rPr>
          <w:rFonts w:ascii="Helvetica" w:hAnsi="Helvetica"/>
        </w:rPr>
        <w:t>6</w:t>
      </w:r>
      <w:r w:rsidR="00850628" w:rsidRPr="00DB10F3">
        <w:rPr>
          <w:rFonts w:ascii="Helvetica" w:hAnsi="Helvetica"/>
        </w:rPr>
        <w:t>), partial LN</w:t>
      </w:r>
      <w:r w:rsidR="00D26070">
        <w:rPr>
          <w:rFonts w:ascii="Helvetica" w:hAnsi="Helvetica"/>
        </w:rPr>
        <w:t>-</w:t>
      </w:r>
      <w:r w:rsidR="00850628" w:rsidRPr="00DB10F3">
        <w:rPr>
          <w:rFonts w:ascii="Helvetica" w:hAnsi="Helvetica"/>
        </w:rPr>
        <w:t>response (HR 0.7</w:t>
      </w:r>
      <w:r w:rsidR="00850628">
        <w:rPr>
          <w:rFonts w:ascii="Helvetica" w:hAnsi="Helvetica"/>
        </w:rPr>
        <w:t>2</w:t>
      </w:r>
      <w:r w:rsidR="00850628" w:rsidRPr="00DB10F3">
        <w:rPr>
          <w:rFonts w:ascii="Helvetica" w:hAnsi="Helvetica"/>
        </w:rPr>
        <w:t>, 95%CI 0.5</w:t>
      </w:r>
      <w:r w:rsidR="00850628">
        <w:rPr>
          <w:rFonts w:ascii="Helvetica" w:hAnsi="Helvetica"/>
        </w:rPr>
        <w:t>7</w:t>
      </w:r>
      <w:r w:rsidR="00850628" w:rsidRPr="00DB10F3">
        <w:rPr>
          <w:rFonts w:ascii="Helvetica" w:hAnsi="Helvetica"/>
        </w:rPr>
        <w:t>-0.</w:t>
      </w:r>
      <w:r w:rsidR="00850628">
        <w:rPr>
          <w:rFonts w:ascii="Helvetica" w:hAnsi="Helvetica"/>
        </w:rPr>
        <w:t>93</w:t>
      </w:r>
      <w:r w:rsidR="00850628" w:rsidRPr="00DB10F3">
        <w:rPr>
          <w:rFonts w:ascii="Helvetica" w:hAnsi="Helvetica"/>
        </w:rPr>
        <w:t>) or negative</w:t>
      </w:r>
      <w:r w:rsidR="00AA1CBF">
        <w:rPr>
          <w:rFonts w:ascii="Helvetica" w:hAnsi="Helvetica"/>
        </w:rPr>
        <w:t xml:space="preserve"> </w:t>
      </w:r>
      <w:r w:rsidR="00850628" w:rsidRPr="00DB10F3">
        <w:rPr>
          <w:rFonts w:ascii="Helvetica" w:hAnsi="Helvetica"/>
        </w:rPr>
        <w:t>LNs (HR 0.3</w:t>
      </w:r>
      <w:r w:rsidR="00850628">
        <w:rPr>
          <w:rFonts w:ascii="Helvetica" w:hAnsi="Helvetica"/>
        </w:rPr>
        <w:t>2</w:t>
      </w:r>
      <w:r w:rsidR="00850628" w:rsidRPr="00DB10F3">
        <w:rPr>
          <w:rFonts w:ascii="Helvetica" w:hAnsi="Helvetica"/>
        </w:rPr>
        <w:t xml:space="preserve"> 95%CI 0.2</w:t>
      </w:r>
      <w:r w:rsidR="00850628">
        <w:rPr>
          <w:rFonts w:ascii="Helvetica" w:hAnsi="Helvetica"/>
        </w:rPr>
        <w:t>5</w:t>
      </w:r>
      <w:r w:rsidR="00850628" w:rsidRPr="00DB10F3">
        <w:rPr>
          <w:rFonts w:ascii="Helvetica" w:hAnsi="Helvetica"/>
        </w:rPr>
        <w:t>-0.4</w:t>
      </w:r>
      <w:r w:rsidR="00850628">
        <w:rPr>
          <w:rFonts w:ascii="Helvetica" w:hAnsi="Helvetica"/>
        </w:rPr>
        <w:t>2</w:t>
      </w:r>
      <w:r w:rsidR="00850628" w:rsidRPr="00DB10F3">
        <w:rPr>
          <w:rFonts w:ascii="Helvetica" w:hAnsi="Helvetica"/>
        </w:rPr>
        <w:t xml:space="preserve">) </w:t>
      </w:r>
      <w:r w:rsidRPr="00DB10F3">
        <w:rPr>
          <w:rFonts w:ascii="Helvetica" w:hAnsi="Helvetica"/>
        </w:rPr>
        <w:t xml:space="preserve">compared to those </w:t>
      </w:r>
      <w:r w:rsidRPr="00DB10F3">
        <w:rPr>
          <w:rFonts w:ascii="Helvetica" w:hAnsi="Helvetica"/>
        </w:rPr>
        <w:lastRenderedPageBreak/>
        <w:t xml:space="preserve">with </w:t>
      </w:r>
      <w:r w:rsidR="00115E01" w:rsidRPr="00DB10F3">
        <w:rPr>
          <w:rFonts w:ascii="Helvetica" w:hAnsi="Helvetica"/>
        </w:rPr>
        <w:t>poor/</w:t>
      </w:r>
      <w:r w:rsidRPr="00DB10F3">
        <w:rPr>
          <w:rFonts w:ascii="Helvetica" w:hAnsi="Helvetica"/>
        </w:rPr>
        <w:t>no</w:t>
      </w:r>
      <w:r w:rsidR="00EF5F5D" w:rsidRPr="00DB10F3">
        <w:rPr>
          <w:rFonts w:ascii="Helvetica" w:hAnsi="Helvetica"/>
        </w:rPr>
        <w:t xml:space="preserve"> LN</w:t>
      </w:r>
      <w:r w:rsidR="00D26070">
        <w:rPr>
          <w:rFonts w:ascii="Helvetica" w:hAnsi="Helvetica"/>
        </w:rPr>
        <w:t>-</w:t>
      </w:r>
      <w:r w:rsidRPr="00DB10F3">
        <w:rPr>
          <w:rFonts w:ascii="Helvetica" w:hAnsi="Helvetica"/>
        </w:rPr>
        <w:t>response.</w:t>
      </w:r>
      <w:r w:rsidR="00FF4430" w:rsidRPr="00DB10F3">
        <w:rPr>
          <w:rFonts w:ascii="Helvetica" w:hAnsi="Helvetica"/>
        </w:rPr>
        <w:t xml:space="preserve"> </w:t>
      </w:r>
      <w:r w:rsidR="002C68B7" w:rsidRPr="00DB10F3">
        <w:rPr>
          <w:rFonts w:ascii="Helvetica" w:hAnsi="Helvetica"/>
        </w:rPr>
        <w:t xml:space="preserve">Primary </w:t>
      </w:r>
      <w:proofErr w:type="spellStart"/>
      <w:r w:rsidR="002C68B7">
        <w:rPr>
          <w:rFonts w:ascii="Helvetica" w:hAnsi="Helvetica"/>
        </w:rPr>
        <w:t>tumor</w:t>
      </w:r>
      <w:proofErr w:type="spellEnd"/>
      <w:r w:rsidR="002C68B7" w:rsidRPr="00DB10F3">
        <w:rPr>
          <w:rFonts w:ascii="Helvetica" w:hAnsi="Helvetica"/>
        </w:rPr>
        <w:t xml:space="preserve"> regression and LN regression were discordant in 165 patients (21.9%).</w:t>
      </w:r>
    </w:p>
    <w:p w14:paraId="67F4CBF5" w14:textId="3FFCA6A0" w:rsidR="00EF5F5D" w:rsidRPr="00DB10F3" w:rsidRDefault="00E81C40" w:rsidP="00D96F49">
      <w:pPr>
        <w:spacing w:line="480" w:lineRule="auto"/>
        <w:rPr>
          <w:rFonts w:ascii="Helvetica" w:hAnsi="Helvetica"/>
        </w:rPr>
      </w:pPr>
      <w:r w:rsidRPr="00DB10F3">
        <w:rPr>
          <w:rFonts w:ascii="Helvetica" w:hAnsi="Helvetica"/>
          <w:b/>
          <w:bCs/>
        </w:rPr>
        <w:t>Conclusion</w:t>
      </w:r>
      <w:r w:rsidR="00823FE8" w:rsidRPr="00DB10F3">
        <w:rPr>
          <w:rFonts w:ascii="Helvetica" w:hAnsi="Helvetica"/>
          <w:b/>
          <w:bCs/>
        </w:rPr>
        <w:t>:</w:t>
      </w:r>
      <w:r w:rsidR="00823FE8" w:rsidRPr="00DB10F3">
        <w:rPr>
          <w:rFonts w:ascii="Helvetica" w:hAnsi="Helvetica"/>
        </w:rPr>
        <w:t xml:space="preserve"> </w:t>
      </w:r>
      <w:r w:rsidR="00EF5F5D" w:rsidRPr="00DB10F3">
        <w:rPr>
          <w:rFonts w:ascii="Helvetica" w:hAnsi="Helvetica"/>
        </w:rPr>
        <w:t xml:space="preserve">Pathological </w:t>
      </w:r>
      <w:r w:rsidR="000C18CC" w:rsidRPr="00DB10F3">
        <w:rPr>
          <w:rFonts w:ascii="Helvetica" w:hAnsi="Helvetica"/>
        </w:rPr>
        <w:t>LN</w:t>
      </w:r>
      <w:r w:rsidR="00823FE8" w:rsidRPr="00DB10F3">
        <w:rPr>
          <w:rFonts w:ascii="Helvetica" w:hAnsi="Helvetica"/>
        </w:rPr>
        <w:t xml:space="preserve"> regression</w:t>
      </w:r>
      <w:r w:rsidRPr="00DB10F3">
        <w:rPr>
          <w:rFonts w:ascii="Helvetica" w:hAnsi="Helvetica"/>
        </w:rPr>
        <w:t xml:space="preserve"> following neoadjuvant </w:t>
      </w:r>
      <w:r w:rsidR="00EF5F5D" w:rsidRPr="00DB10F3">
        <w:rPr>
          <w:rFonts w:ascii="Helvetica" w:hAnsi="Helvetica"/>
        </w:rPr>
        <w:t>chemo</w:t>
      </w:r>
      <w:r w:rsidRPr="00DB10F3">
        <w:rPr>
          <w:rFonts w:ascii="Helvetica" w:hAnsi="Helvetica"/>
        </w:rPr>
        <w:t>therapy</w:t>
      </w:r>
      <w:r w:rsidR="00823FE8" w:rsidRPr="00DB10F3">
        <w:rPr>
          <w:rFonts w:ascii="Helvetica" w:hAnsi="Helvetica"/>
        </w:rPr>
        <w:t xml:space="preserve"> was </w:t>
      </w:r>
      <w:r w:rsidR="003C3004" w:rsidRPr="00DB10F3">
        <w:rPr>
          <w:rFonts w:ascii="Helvetica" w:hAnsi="Helvetica"/>
        </w:rPr>
        <w:t>a strong</w:t>
      </w:r>
      <w:r w:rsidR="00823FE8" w:rsidRPr="00DB10F3">
        <w:rPr>
          <w:rFonts w:ascii="Helvetica" w:hAnsi="Helvetica"/>
        </w:rPr>
        <w:t xml:space="preserve"> prognostic factor</w:t>
      </w:r>
      <w:r w:rsidR="000C18CC" w:rsidRPr="00DB10F3">
        <w:rPr>
          <w:rFonts w:ascii="Helvetica" w:hAnsi="Helvetica"/>
        </w:rPr>
        <w:t xml:space="preserve"> </w:t>
      </w:r>
      <w:r w:rsidR="00EF5F5D" w:rsidRPr="00DB10F3">
        <w:rPr>
          <w:rFonts w:ascii="Helvetica" w:hAnsi="Helvetica"/>
        </w:rPr>
        <w:t xml:space="preserve">and </w:t>
      </w:r>
      <w:r w:rsidR="00EF5F5D" w:rsidRPr="00DB10F3">
        <w:rPr>
          <w:rFonts w:ascii="Helvetica" w:hAnsi="Helvetica"/>
          <w:bCs/>
        </w:rPr>
        <w:t xml:space="preserve">provides important information beyond pathological TNM staging and primary </w:t>
      </w:r>
      <w:proofErr w:type="spellStart"/>
      <w:r w:rsidR="0019785E">
        <w:rPr>
          <w:rFonts w:ascii="Helvetica" w:hAnsi="Helvetica"/>
          <w:bCs/>
        </w:rPr>
        <w:t>tumor</w:t>
      </w:r>
      <w:proofErr w:type="spellEnd"/>
      <w:r w:rsidR="00EF5F5D" w:rsidRPr="00DB10F3">
        <w:rPr>
          <w:rFonts w:ascii="Helvetica" w:hAnsi="Helvetica"/>
          <w:bCs/>
        </w:rPr>
        <w:t xml:space="preserve"> regression grading</w:t>
      </w:r>
      <w:r w:rsidR="00823FE8" w:rsidRPr="00DB10F3">
        <w:rPr>
          <w:rFonts w:ascii="Helvetica" w:hAnsi="Helvetica"/>
        </w:rPr>
        <w:t xml:space="preserve">. </w:t>
      </w:r>
      <w:r w:rsidR="00EF5F5D" w:rsidRPr="00DB10F3">
        <w:rPr>
          <w:rFonts w:ascii="Helvetica" w:hAnsi="Helvetica"/>
          <w:bCs/>
        </w:rPr>
        <w:t>LN regression should be included as standard in the pathological reporting of esophagectomy specimens.</w:t>
      </w:r>
    </w:p>
    <w:p w14:paraId="2A862AC2" w14:textId="78230DCB" w:rsidR="00EF5F5D" w:rsidRPr="00DB10F3" w:rsidRDefault="00EF5F5D" w:rsidP="00D96F49">
      <w:pPr>
        <w:spacing w:line="480" w:lineRule="auto"/>
        <w:rPr>
          <w:rFonts w:ascii="Helvetica" w:hAnsi="Helvetica"/>
          <w:b/>
        </w:rPr>
      </w:pPr>
    </w:p>
    <w:p w14:paraId="73D52339" w14:textId="615E13CC" w:rsidR="00D92775" w:rsidRDefault="00D92775">
      <w:pPr>
        <w:rPr>
          <w:rFonts w:ascii="Helvetica" w:hAnsi="Helvetica"/>
          <w:b/>
        </w:rPr>
      </w:pPr>
      <w:r>
        <w:rPr>
          <w:rFonts w:ascii="Helvetica" w:hAnsi="Helvetica"/>
          <w:b/>
        </w:rPr>
        <w:br w:type="page"/>
      </w:r>
    </w:p>
    <w:p w14:paraId="2DDDA8F8" w14:textId="37D0965E" w:rsidR="00F242ED" w:rsidRPr="00DB10F3" w:rsidRDefault="00F242ED" w:rsidP="00D96F49">
      <w:pPr>
        <w:spacing w:line="480" w:lineRule="auto"/>
        <w:rPr>
          <w:rFonts w:ascii="Helvetica" w:hAnsi="Helvetica"/>
          <w:b/>
        </w:rPr>
      </w:pPr>
      <w:r w:rsidRPr="00DB10F3">
        <w:rPr>
          <w:rFonts w:ascii="Helvetica" w:hAnsi="Helvetica"/>
          <w:b/>
        </w:rPr>
        <w:lastRenderedPageBreak/>
        <w:t>Introduction</w:t>
      </w:r>
    </w:p>
    <w:p w14:paraId="59F6CD56" w14:textId="200E0680" w:rsidR="00CB68FA" w:rsidRPr="00DB10F3" w:rsidRDefault="00335C9C" w:rsidP="00D96F49">
      <w:pPr>
        <w:spacing w:line="480" w:lineRule="auto"/>
        <w:rPr>
          <w:rFonts w:ascii="Helvetica" w:hAnsi="Helvetica"/>
        </w:rPr>
      </w:pPr>
      <w:r w:rsidRPr="00DB10F3">
        <w:rPr>
          <w:rFonts w:ascii="Helvetica" w:hAnsi="Helvetica"/>
        </w:rPr>
        <w:t>Th</w:t>
      </w:r>
      <w:r w:rsidR="00A019FF" w:rsidRPr="00DB10F3">
        <w:rPr>
          <w:rFonts w:ascii="Helvetica" w:hAnsi="Helvetica"/>
        </w:rPr>
        <w:t>e</w:t>
      </w:r>
      <w:r w:rsidRPr="00DB10F3">
        <w:rPr>
          <w:rFonts w:ascii="Helvetica" w:hAnsi="Helvetica"/>
        </w:rPr>
        <w:t xml:space="preserve"> prognostic importance of </w:t>
      </w:r>
      <w:proofErr w:type="spellStart"/>
      <w:r w:rsidR="0019785E">
        <w:rPr>
          <w:rFonts w:ascii="Helvetica" w:hAnsi="Helvetica"/>
        </w:rPr>
        <w:t>tumor</w:t>
      </w:r>
      <w:proofErr w:type="spellEnd"/>
      <w:r w:rsidRPr="00DB10F3">
        <w:rPr>
          <w:rFonts w:ascii="Helvetica" w:hAnsi="Helvetica"/>
        </w:rPr>
        <w:t xml:space="preserve"> and </w:t>
      </w:r>
      <w:r w:rsidR="00EF5F5D" w:rsidRPr="00DB10F3">
        <w:rPr>
          <w:rFonts w:ascii="Helvetica" w:hAnsi="Helvetica"/>
        </w:rPr>
        <w:t xml:space="preserve">lymph node (LN) </w:t>
      </w:r>
      <w:r w:rsidRPr="00DB10F3">
        <w:rPr>
          <w:rFonts w:ascii="Helvetica" w:hAnsi="Helvetica"/>
        </w:rPr>
        <w:t>downstaging</w:t>
      </w:r>
      <w:r w:rsidR="00A019FF" w:rsidRPr="00DB10F3">
        <w:rPr>
          <w:rFonts w:ascii="Helvetica" w:hAnsi="Helvetica"/>
        </w:rPr>
        <w:t xml:space="preserve"> </w:t>
      </w:r>
      <w:r w:rsidRPr="00DB10F3">
        <w:rPr>
          <w:rFonts w:ascii="Helvetica" w:hAnsi="Helvetica"/>
        </w:rPr>
        <w:t xml:space="preserve">after </w:t>
      </w:r>
      <w:r w:rsidR="00D33A50" w:rsidRPr="00DB10F3">
        <w:rPr>
          <w:rFonts w:ascii="Helvetica" w:hAnsi="Helvetica"/>
        </w:rPr>
        <w:t>neoadjuvant</w:t>
      </w:r>
      <w:r w:rsidRPr="00DB10F3">
        <w:rPr>
          <w:rFonts w:ascii="Helvetica" w:hAnsi="Helvetica"/>
        </w:rPr>
        <w:t xml:space="preserve"> treatment </w:t>
      </w:r>
      <w:r w:rsidR="00A019FF" w:rsidRPr="00DB10F3">
        <w:rPr>
          <w:rFonts w:ascii="Helvetica" w:hAnsi="Helvetica"/>
        </w:rPr>
        <w:t xml:space="preserve">in patients with </w:t>
      </w:r>
      <w:proofErr w:type="spellStart"/>
      <w:r w:rsidR="0019785E">
        <w:rPr>
          <w:rFonts w:ascii="Helvetica" w:hAnsi="Helvetica"/>
        </w:rPr>
        <w:t>esophageal</w:t>
      </w:r>
      <w:proofErr w:type="spellEnd"/>
      <w:r w:rsidR="00A019FF" w:rsidRPr="00DB10F3">
        <w:rPr>
          <w:rFonts w:ascii="Helvetica" w:hAnsi="Helvetica"/>
        </w:rPr>
        <w:t xml:space="preserve"> adenocarcinoma </w:t>
      </w:r>
      <w:r w:rsidR="00A831F7" w:rsidRPr="00DB10F3">
        <w:rPr>
          <w:rFonts w:ascii="Helvetica" w:hAnsi="Helvetica"/>
        </w:rPr>
        <w:t xml:space="preserve">is </w:t>
      </w:r>
      <w:r w:rsidRPr="00DB10F3">
        <w:rPr>
          <w:rFonts w:ascii="Helvetica" w:hAnsi="Helvetica"/>
        </w:rPr>
        <w:t xml:space="preserve">well described </w:t>
      </w:r>
      <w:r w:rsidRPr="00DB10F3">
        <w:rPr>
          <w:rFonts w:ascii="Helvetica" w:hAnsi="Helvetica"/>
        </w:rPr>
        <w:fldChar w:fldCharType="begin" w:fldLock="1"/>
      </w:r>
      <w:r w:rsidR="00A019FF" w:rsidRPr="00DB10F3">
        <w:rPr>
          <w:rFonts w:ascii="Helvetica" w:hAnsi="Helvetica"/>
        </w:rPr>
        <w:instrText>ADDIN CSL_CITATION {"citationItems":[{"id":"ITEM-1","itemData":{"DOI":"10.1200/JCO.2014.55.9070","ISSN":"15277755","abstract":"Purpose: Neoadjuvant chemotherapy is established in the management of most resectable esophageal and esophagogastric junction adenocarcinomas. However, assessing the downstaging effects of chemotherapy and predicting response to treatment remain challenging, and the relative importance of tumor stage before and after chemotherapy is debatable.\nMethods: We analyzed consecutive resections for esophageal or esophagogastric junction adenocarcinomas performed at two high-volume cancer centers in London between 2000 and 2010. After standard nvestigations and multidisciplinary team consensus, all patients were allocated a clinical tumor stage before treatment, which was compared with pathologic stage after surgical resection Survival analysis was conducted using Kaplan-Meier analysis and Cox regression analysis.\nResults: Among 584 included patients, 400 patients (68%) received neoadjuvant chemotherapy. Patients with downstaged tumors after neoadjuvant chemotherapy experienced improved survival compared with patients without response (P&lt; .001), and such downstaging (hazard ratio, 0.43; 95% CI, 0.31 to 0.59) was the strongest independent predictor of survival after adjusting for patient age, tumor grade, clinical tumor stage, lymphovascular invasion, resection margin status, and surgical resection type. Patients downstaged by chemotherapy, compared with patients with no response, experienced lower rates of local recurrence (6% v 13%, respectively; P = .030) and systemic recurrence (19% v29%, respectively; P = .027) and improved Mandard tumor regression scores (P &lt; .001). Survival was strongly dictated by stage after neoadjuvant chemotherapy, rather than clinical stage at presentation.\nConclusion: The stage of esophageal or esophagogastric junction adenocarcinoma after neoadjuvant chemotherapy determines prognosis rather than the clinical stage before neoadjuvant chemotherapy, ndicating the importance of focusing on postchemotherapy staging to more accurately predict outcome and eligibility for surgery. Patients who are downstaged by neoadjuvant chemotherapy benefit from reduced rates of local and systemic recurrence.","author":[{"dropping-particle":"","family":"Davies","given":"Andrew R.","non-dropping-particle":"","parse-names":false,"suffix":""},{"dropping-particle":"","family":"Gossage","given":"James A.","non-dropping-particle":"","parse-names":false,"suffix":""},{"dropping-particle":"","family":"Zylstra","given":"Janine","non-dropping-particle":"","parse-names":false,"suffix":""},{"dropping-particle":"","family":"Mattsson","given":"Fredrik","non-dropping-particle":"","parse-names":false,"suffix":""},{"dropping-particle":"","family":"Lagergren","given":"Jesper","non-dropping-particle":"","parse-names":false,"suffix":""},{"dropping-particle":"","family":"Maisey","given":"Nick","non-dropping-particle":"","parse-names":false,"suffix":""},{"dropping-particle":"","family":"Smyth","given":"Elizabeth C.","non-dropping-particle":"","parse-names":false,"suffix":""},{"dropping-particle":"","family":"Cunningham","given":"David","non-dropping-particle":"","parse-names":false,"suffix":""},{"dropping-particle":"","family":"Allum","given":"William H.","non-dropping-particle":"","parse-names":false,"suffix":""},{"dropping-particle":"","family":"Mason","given":"Robert C.","non-dropping-particle":"","parse-names":false,"suffix":""}],"container-title":"Journal of Clinical Oncology","id":"ITEM-1","issue":"27","issued":{"date-parts":[["2014"]]},"page":"2983-2990","title":"Tumor stage after neoadjuvant chemotherapy determines survival after surgery for adenocarcinoma of the esophagus and esophagogastric junction","type":"article-journal","volume":"32"},"uris":["http://www.mendeley.com/documents/?uuid=b57402ef-5466-4e35-90ed-c0e847438dc3"]},{"id":"ITEM-2","itemData":{"DOI":"10.1056/NEJMOA1112088/SUPPL_FILE/NEJMOA1112088_DISCLOSURES.PDF","ISSN":"0028-4793","PMID":"22646630","abstract":"BACKGROUND The role of neoadjuvant chemoradiotherapy in the treatment of patients with esophageal or esophagogastric-junction cancer is not well established. We compared chemoradiotherapy followed by surgery with surgery alone in this patient population. METHODS We randomly assigned patients with resectable tumors to receive surgery alone or weekly administration of carboplatin (doses titrated to achieve an area under the curve of 2 mg per milliliter per minute) and paclitaxel (50 mg per square meter of body-surface area) for 5 weeks and concurrent radiotherapy (41.4 Gy in 23 fractions, 5 days per week), followed by surgery. RESULTS From March 2004 through December 2008, we enrolled 368 patients, 366 of whom were included in the analysis: 275 (75%) had adenocarcinoma, 84 (23%) had squamous-cell carcinoma, and 7 (2%) had large-cell undifferentiated carcinoma. Of the 366 patients, 178 were randomly assigned to chemoradiotherapy followed by surgery, and 188 to surgery alone. The most common major hematologic toxic effects in the chemoradiotherapy-surgery group were leukopenia (6%) and neutropenia (2%); the most common major nonhematologic toxic effects were anorexia (5%) and fatigue (3%). Complete resection with no tumor within 1 mm of the resection margins (R0) was achieved in 92% of patients in the chemoradiotherapy-surgery group versus 69% in the surgery group (P&lt;0.001). A pathological complete response was achieved in 47 of 161 patients (29%) who underwent resection after chemoradiotherapy. Postoperative complications were similar in the two treatment groups, and in-hospital mortality was 4% in both. Median overall survival was 49.4 months in the chemoradiotherapy-surgery group versus 24.0 months in the surgery group. Overall survival was significantly better in the chemoradiotherapy-surgery group (hazard ratio, 0.657; 95% confidence interval, 0.495 to 0.871; P=0.003). CONCLUSIONS Preoperative chemoradiotherapy improved survival among patients with potentially curable esophageal or esophagogastric-junction cancer. The regimen was associated with acceptable adverse-event rates. (Funded by the Dutch Cancer Foundation [KWF Kankerbestrijding]; Netherlands Trial Register number, NTR487.).","author":[{"dropping-particle":"","family":"Hagen","given":"P.","non-dropping-particle":"van","parse-names":false,"suffix":""},{"dropping-particle":"","family":"Hulshof","given":"M.C.C.M.","non-dropping-particle":"","parse-names":false,"suffix":""},{"dropping-particle":"","family":"Lanschot","given":"J.J.B.","non-dropping-particle":"van","parse-names":false,"suffix":""},{"dropping-particle":"","family":"Steyerberg","given":"E.W.","non-dropping-particle":"","parse-names":false,"suffix":""},{"dropping-particle":"","family":"Henegouwen","given":"M.I. van Berge","non-dropping-particle":"","parse-names":false,"suffix":""},{"dropping-particle":"","family":"Wijnhoven","given":"B.P.L.","non-dropping-particle":"","parse-names":false,"suffix":""},{"dropping-particle":"","family":"Richel","given":"D.J.","non-dropping-particle":"","parse-names":false,"suffix":""},{"dropping-particle":"","family":"Nieuwenhuijzen","given":"G.A.P.","non-dropping-particle":"","parse-names":false,"suffix":""},{"dropping-particle":"","family":"Hospers","given":"G.A.P.","non-dropping-particle":"","parse-names":false,"suffix":""},{"dropping-particle":"","family":"Bonenkamp","given":"J.J.","non-dropping-particle":"","parse-names":false,"suffix":""},{"dropping-particle":"","family":"Cuesta","given":"M.A.","non-dropping-particle":"","parse-names":false,"suffix":""},{"dropping-particle":"","family":"Blaisse","given":"R.J.B.","non-dropping-particle":"","parse-names":false,"suffix":""},{"dropping-particle":"","family":"Busch","given":"O.R.C.","non-dropping-particle":"","parse-names":false,"suffix":""},{"dropping-particle":"","family":"Kate","given":"F.J.W.","non-dropping-particle":"ten","parse-names":false,"suffix":""},{"dropping-particle":"","family":"Creemers","given":"G.-J.","non-dropping-particle":"","parse-names":false,"suffix":""},{"dropping-particle":"","family":"Punt","given":"C.J.A.","non-dropping-particle":"","parse-names":false,"suffix":""},{"dropping-particle":"","family":"Plukker","given":"J.T.M.","non-dropping-particle":"","parse-names":false,"suffix":""},{"dropping-particle":"","family":"Verheul","given":"H.M.W.","non-dropping-particle":"","parse-names":false,"suffix":""},{"dropping-particle":"","family":"Bilgen","given":"E.J. Spillenaar","non-dropping-particle":"","parse-names":false,"suffix":""},{"dropping-particle":"","family":"Dekken","given":"H.","non-dropping-particle":"van","parse-names":false,"suffix":""},{"dropping-particle":"","family":"Sangen","given":"M.J.C.","non-dropping-particle":"van der","parse-names":false,"suffix":""},{"dropping-particle":"","family":"Rozema","given":"T.","non-dropping-particle":"","parse-names":false,"suffix":""},{"dropping-particle":"","family":"Biermann","given":"K.","non-dropping-particle":"","parse-names":false,"suffix":""},{"dropping-particle":"","family":"Beukema","given":"J.C.","non-dropping-particle":"","parse-names":false,"suffix":""},{"dropping-particle":"","family":"Piet","given":"A.H.M.","non-dropping-particle":"","parse-names":false,"suffix":""},{"dropping-particle":"","family":"Rij","given":"C.M.","non-dropping-particle":"van","parse-names":false,"suffix":""},{"dropping-particle":"","family":"Reinders","given":"J.G.","non-dropping-particle":"","parse-names":false,"suffix":""},{"dropping-particle":"","family":"Tilanus","given":"H.W.","non-dropping-particle":"","parse-names":false,"suffix":""},{"dropping-particle":"","family":"Gaast","given":"A.","non-dropping-particle":"van der","parse-names":false,"suffix":""}],"container-title":"New England Journal of Medicine","id":"ITEM-2","issue":"22","issued":{"date-parts":[["2012","5","31"]]},"page":"2074-2084","publisher":"New England Journal of Medicine (NEJM/MMS)","title":"Preoperative Chemoradiotherapy for Esophageal or Junctional Cancer","type":"article-journal","volume":"366"},"uris":["http://www.mendeley.com/documents/?uuid=d3e3ea62-36db-37c1-a5cd-4bc2cfb4def8"]}],"mendeley":{"formattedCitation":"&lt;sup&gt;1,2&lt;/sup&gt;","plainTextFormattedCitation":"1,2","previouslyFormattedCitation":"&lt;sup&gt;1,2&lt;/sup&gt;"},"properties":{"noteIndex":0},"schema":"https://github.com/citation-style-language/schema/raw/master/csl-citation.json"}</w:instrText>
      </w:r>
      <w:r w:rsidRPr="00DB10F3">
        <w:rPr>
          <w:rFonts w:ascii="Helvetica" w:hAnsi="Helvetica"/>
        </w:rPr>
        <w:fldChar w:fldCharType="separate"/>
      </w:r>
      <w:r w:rsidR="00A019FF" w:rsidRPr="00DB10F3">
        <w:rPr>
          <w:rFonts w:ascii="Helvetica" w:hAnsi="Helvetica"/>
          <w:noProof/>
          <w:vertAlign w:val="superscript"/>
        </w:rPr>
        <w:t>1,2</w:t>
      </w:r>
      <w:r w:rsidRPr="00DB10F3">
        <w:rPr>
          <w:rFonts w:ascii="Helvetica" w:hAnsi="Helvetica"/>
        </w:rPr>
        <w:fldChar w:fldCharType="end"/>
      </w:r>
      <w:r w:rsidR="00A019FF" w:rsidRPr="00DB10F3">
        <w:rPr>
          <w:rFonts w:ascii="Helvetica" w:hAnsi="Helvetica"/>
        </w:rPr>
        <w:t xml:space="preserve">. </w:t>
      </w:r>
      <w:proofErr w:type="spellStart"/>
      <w:r w:rsidR="0019785E">
        <w:rPr>
          <w:rFonts w:ascii="Helvetica" w:hAnsi="Helvetica"/>
        </w:rPr>
        <w:t>Tumor</w:t>
      </w:r>
      <w:proofErr w:type="spellEnd"/>
      <w:r w:rsidR="00F70B3E" w:rsidRPr="00DB10F3">
        <w:rPr>
          <w:rFonts w:ascii="Helvetica" w:hAnsi="Helvetica"/>
        </w:rPr>
        <w:t xml:space="preserve"> regression grad</w:t>
      </w:r>
      <w:r w:rsidR="00A019FF" w:rsidRPr="00DB10F3">
        <w:rPr>
          <w:rFonts w:ascii="Helvetica" w:hAnsi="Helvetica"/>
        </w:rPr>
        <w:t>ing</w:t>
      </w:r>
      <w:r w:rsidR="00CF20AD" w:rsidRPr="00DB10F3">
        <w:rPr>
          <w:rFonts w:ascii="Helvetica" w:hAnsi="Helvetica"/>
        </w:rPr>
        <w:t xml:space="preserve"> </w:t>
      </w:r>
      <w:r w:rsidR="00867A8B" w:rsidRPr="00DB10F3">
        <w:rPr>
          <w:rFonts w:ascii="Helvetica" w:hAnsi="Helvetica"/>
        </w:rPr>
        <w:t>classifications</w:t>
      </w:r>
      <w:r w:rsidR="007C4EF8" w:rsidRPr="00DB10F3">
        <w:rPr>
          <w:rFonts w:ascii="Helvetica" w:hAnsi="Helvetica"/>
        </w:rPr>
        <w:t xml:space="preserve"> </w:t>
      </w:r>
      <w:r w:rsidR="00EF5F5D" w:rsidRPr="00DB10F3">
        <w:rPr>
          <w:rFonts w:ascii="Helvetica" w:hAnsi="Helvetica"/>
        </w:rPr>
        <w:t>such as the one described by</w:t>
      </w:r>
      <w:r w:rsidR="007C4EF8" w:rsidRPr="00DB10F3">
        <w:rPr>
          <w:rFonts w:ascii="Helvetica" w:hAnsi="Helvetica"/>
        </w:rPr>
        <w:t xml:space="preserve"> Mandard</w:t>
      </w:r>
      <w:r w:rsidR="00EF5F5D" w:rsidRPr="00DB10F3">
        <w:rPr>
          <w:rFonts w:ascii="Helvetica" w:hAnsi="Helvetica"/>
        </w:rPr>
        <w:t xml:space="preserve"> et al</w:t>
      </w:r>
      <w:r w:rsidR="00971DF0" w:rsidRPr="00DB10F3">
        <w:rPr>
          <w:rFonts w:ascii="Helvetica" w:hAnsi="Helvetica"/>
        </w:rPr>
        <w:t>.</w:t>
      </w:r>
      <w:r w:rsidR="007C4EF8" w:rsidRPr="00DB10F3">
        <w:rPr>
          <w:rFonts w:ascii="Helvetica" w:hAnsi="Helvetica"/>
        </w:rPr>
        <w:t xml:space="preserve"> </w:t>
      </w:r>
      <w:r w:rsidR="007C4EF8" w:rsidRPr="00DB10F3">
        <w:rPr>
          <w:rFonts w:ascii="Helvetica" w:hAnsi="Helvetica"/>
        </w:rPr>
        <w:fldChar w:fldCharType="begin" w:fldLock="1"/>
      </w:r>
      <w:r w:rsidR="00867A8B" w:rsidRPr="00DB10F3">
        <w:rPr>
          <w:rFonts w:ascii="Helvetica" w:hAnsi="Helvetica"/>
        </w:rPr>
        <w:instrText>ADDIN CSL_CITATION {"citationItems":[{"id":"ITEM-1","itemData":{"DOI":"10.1002/1097-0142(19940601)73:11&lt;2680::AID-CNCR2820731105&gt;3.0.CO;2-C","ISSN":"0008-543X","PMID":"8194005","author":[{"dropping-particle":"","family":"Mandard","given":"","non-dropping-particle":"","parse-names":false,"suffix":""},{"dropping-particle":"","family":"F","given":"Dalibard","non-dropping-particle":"","parse-names":false,"suffix":""},{"dropping-particle":"","family":"JC","given":"Mandard","non-dropping-particle":"","parse-names":false,"suffix":""},{"dropping-particle":"","family":"J","given":"Marnay","non-dropping-particle":"","parse-names":false,"suffix":""},{"dropping-particle":"","family":"M","given":"Henry-Amar","non-dropping-particle":"","parse-names":false,"suffix":""},{"dropping-particle":"","family":"JF","given":"Petiot","non-dropping-particle":"","parse-names":false,"suffix":""},{"dropping-particle":"","family":"A","given":"Roussel","non-dropping-particle":"","parse-names":false,"suffix":""},{"dropping-particle":"","family":"JH","given":"Jacob","non-dropping-particle":"","parse-names":false,"suffix":""},{"dropping-particle":"","family":"P","given":"Segol","non-dropping-particle":"","parse-names":false,"suffix":""},{"dropping-particle":"","family":"G","given":"Samama","non-dropping-particle":"","parse-names":false,"suffix":""}],"container-title":"Cancer","id":"ITEM-1","issue":"11","issued":{"date-parts":[["1994"]]},"publisher":"Cancer","title":"Pathologic Assessment of Tumor Regression After Preoperative Chemoradiotherapy of Esophageal Carcinoma. Clinicopathologic Correlations","type":"article-journal","volume":"73"},"uris":["http://www.mendeley.com/documents/?uuid=db1fd4bc-5968-350f-a108-aa192b03af8e"]}],"mendeley":{"formattedCitation":"&lt;sup&gt;3&lt;/sup&gt;","plainTextFormattedCitation":"3","previouslyFormattedCitation":"&lt;sup&gt;3&lt;/sup&gt;"},"properties":{"noteIndex":0},"schema":"https://github.com/citation-style-language/schema/raw/master/csl-citation.json"}</w:instrText>
      </w:r>
      <w:r w:rsidR="007C4EF8" w:rsidRPr="00DB10F3">
        <w:rPr>
          <w:rFonts w:ascii="Helvetica" w:hAnsi="Helvetica"/>
        </w:rPr>
        <w:fldChar w:fldCharType="separate"/>
      </w:r>
      <w:r w:rsidR="007C4EF8" w:rsidRPr="00DB10F3">
        <w:rPr>
          <w:rFonts w:ascii="Helvetica" w:hAnsi="Helvetica"/>
          <w:noProof/>
          <w:vertAlign w:val="superscript"/>
        </w:rPr>
        <w:t>3</w:t>
      </w:r>
      <w:r w:rsidR="007C4EF8" w:rsidRPr="00DB10F3">
        <w:rPr>
          <w:rFonts w:ascii="Helvetica" w:hAnsi="Helvetica"/>
        </w:rPr>
        <w:fldChar w:fldCharType="end"/>
      </w:r>
      <w:r w:rsidR="00A019FF" w:rsidRPr="00DB10F3">
        <w:rPr>
          <w:rFonts w:ascii="Helvetica" w:hAnsi="Helvetica"/>
        </w:rPr>
        <w:t xml:space="preserve"> </w:t>
      </w:r>
      <w:r w:rsidR="007C4EF8" w:rsidRPr="00DB10F3">
        <w:rPr>
          <w:rFonts w:ascii="Helvetica" w:hAnsi="Helvetica"/>
        </w:rPr>
        <w:t>are</w:t>
      </w:r>
      <w:r w:rsidR="00F70B3E" w:rsidRPr="00DB10F3">
        <w:rPr>
          <w:rFonts w:ascii="Helvetica" w:hAnsi="Helvetica"/>
        </w:rPr>
        <w:t xml:space="preserve"> widely used in the </w:t>
      </w:r>
      <w:r w:rsidR="00D6772E" w:rsidRPr="00DB10F3">
        <w:rPr>
          <w:rFonts w:ascii="Helvetica" w:hAnsi="Helvetica"/>
        </w:rPr>
        <w:t xml:space="preserve">pathological </w:t>
      </w:r>
      <w:r w:rsidR="00F70B3E" w:rsidRPr="00DB10F3">
        <w:rPr>
          <w:rFonts w:ascii="Helvetica" w:hAnsi="Helvetica"/>
        </w:rPr>
        <w:t xml:space="preserve">assessment of response to </w:t>
      </w:r>
      <w:r w:rsidR="00A019FF" w:rsidRPr="00DB10F3">
        <w:rPr>
          <w:rFonts w:ascii="Helvetica" w:hAnsi="Helvetica"/>
        </w:rPr>
        <w:t>neoadjuvant treatment</w:t>
      </w:r>
      <w:r w:rsidR="00F70B3E" w:rsidRPr="00DB10F3">
        <w:rPr>
          <w:rFonts w:ascii="Helvetica" w:hAnsi="Helvetica"/>
        </w:rPr>
        <w:t xml:space="preserve"> and ha</w:t>
      </w:r>
      <w:r w:rsidR="007C4EF8" w:rsidRPr="00DB10F3">
        <w:rPr>
          <w:rFonts w:ascii="Helvetica" w:hAnsi="Helvetica"/>
        </w:rPr>
        <w:t>ve</w:t>
      </w:r>
      <w:r w:rsidR="00F70B3E" w:rsidRPr="00DB10F3">
        <w:rPr>
          <w:rFonts w:ascii="Helvetica" w:hAnsi="Helvetica"/>
        </w:rPr>
        <w:t xml:space="preserve"> been shown to have prognostic value </w:t>
      </w:r>
      <w:r w:rsidR="002B142D" w:rsidRPr="00DB10F3">
        <w:rPr>
          <w:rFonts w:ascii="Helvetica" w:hAnsi="Helvetica"/>
        </w:rPr>
        <w:t xml:space="preserve">in this patient group </w:t>
      </w:r>
      <w:r w:rsidR="002B142D" w:rsidRPr="00DB10F3">
        <w:rPr>
          <w:rFonts w:ascii="Helvetica" w:hAnsi="Helvetica"/>
        </w:rPr>
        <w:fldChar w:fldCharType="begin" w:fldLock="1"/>
      </w:r>
      <w:r w:rsidR="00557B73" w:rsidRPr="00DB10F3">
        <w:rPr>
          <w:rFonts w:ascii="Helvetica" w:hAnsi="Helvetica"/>
        </w:rPr>
        <w:instrText>ADDIN CSL_CITATION {"citationItems":[{"id":"ITEM-1","itemData":{"DOI":"10.1136/GUTJNL-2012-302514A.103","ISSN":"0017-5749","abstract":"Introduction Patients who demonstrate a histological response to chemotherapy as determined by tumour regression grading (TRG) are known to have improved survival.1 2 We report current survival expectations for patients following neo-adjuvant chemotherapy and resection of gastro-oesophageal cancer.\n\nMethods TRG was determined by a specialist pathologist in 250 patients after chemotherapy, and survival outcomes were assessed by Kaplan–Meier analysis of patients divided into responder (Mandard TRG 1–3) and non-responder (TRG 4&amp;5) groups, with log-rank comparisons.\n\nResults After a median follow-up of 54.4 months survival was found to be improved in those with histological response to chemotherapy (p&lt;0.001). Median survival was estimated to be 34.0 months and 21.2 months in oesophageal adenocarcinoma responders and non-responders and this was statistically significant (p=0.050). Junctional cancers demonstrated the largest survival difference at 51.1 months compared to 24.6 months (p=0.003). In gastric cancers the median survival was yet to be reached for responders and was 35.2 months for non-responders. However, smaller numbers in this group led to loss of statistical power (p=0.166). A higher proportion of patients with good response to chemotherapy was not seen using MAGIC regimen (Pearson χ2 p=0.616). Good response to chemotherapy (TRG1-3) was associated with lower incidence of positive CRM (p=0.021)\n\nConclusion Tumour regression grading is a useful predictor of overall survival allowing clinicians greater ability to counsel their patients. However, MAGIC therapy appears to improve survival possibly through mechanisms other than simply increasing the proportion of patients that have histological response.\n\nView this table:\n\nAbstract OC-103 Table 1 \nProportion of patients achieving which tumour regression grades following either MAGIC regimen chemotherapy (three cycles of neo-adjuvant ECF/X) or other regimens (non-MAGIC)\n\n\n\nCompeting interests None declared.\n\nReferences 1. Becker , et al. Ann Surg 2011; 253 :934–9.\n\n2. Fareed , et al. Histopathology 2009; 55 :399–406.","author":[{"dropping-particle":"","family":"Reece-Smith","given":"A M","non-dropping-particle":"","parse-names":false,"suffix":""},{"dropping-particle":"","family":"Soomro","given":"I","non-dropping-particle":"","parse-names":false,"suffix":""},{"dropping-particle":"","family":"madhusudan","given":"S","non-dropping-particle":"","parse-names":false,"suffix":""},{"dropping-particle":"","family":"Parsons","given":"S L","non-dropping-particle":"","parse-names":false,"suffix":""}],"container-title":"Gut","id":"ITEM-1","issue":"Suppl 2","issued":{"date-parts":[["2012","7","1"]]},"page":"A45-A45","publisher":"BMJ Publishing Group","title":"OC-103 Tumour regression grading correlates to survival in oesophago-gastric cancer. A report of current survival outcomes following neo-adjuvant chemotherapy","type":"article-journal","volume":"61"},"uris":["http://www.mendeley.com/documents/?uuid=18eaeeff-6ba8-3620-b285-aeaa96ffb72d"]},{"id":"ITEM-2","itemData":{"DOI":"10.3748/WJG.V19.I48.9282","ISSN":"22192840","PMID":"24409055","abstract":"Aim: To assess tumour regression grade (TRG) and lymph node downstaging to help define patients who benefit from neoadjuvant chemotherapy. Methods: Two hundred and eighteen consecutive patients with adenocarcinoma of the esophagus or gastrogastro- esophageal junction treated with surgery alone or neoadjuvant chemotherapy and surgery between 2005 and 2011 at a single institution were reviewed. Triplet neoadjuvant chemotherapy consisting of platinum, fluoropyrimidine and anthracycline was considered for operable patients (World Health Organization performance status ≤ 2) with clinical stage T2-4 N0-1. Response to neoadjuvant chemotherapy (NAC) was assessed using TRG, as described by Mandard et al. In addition lymph node downstaging was also assessed. Lymph node downstaging was defined by cN1 at diagnosis: assessed radiologically (computed tomography, positron emission tomography, endoscopic ultrasonography), then pathologically recorded as N0 after surgery; ypN0 if NAC given prior to surgery, or pN0 if surgery alone. Patients were followed up for 5 years post surgery. Recurrence was defined radiologically, with or without pathological confirmation. An association was examined between t TRG and lymph node downstaging with disease free survival (DFS) and a comprehensive range of clinicopathological characteristics. Results: Two hundred and eighteen patients underwent esophageal resection during the study interval with a mean follow up of 3 years (median follow up: 2.552, 95%CI: 2.022-3.081). There was a 1.8% (n = 4) inpatient mortality rate. One hundred and thirty-six (62.4%) patients received NAC, with 74.3% (n = 101) of patients demonstrating some signs of pathological tumour regression (TRG 1-4) and 5.9% (n = 8) having a complete pathological response. Forty four point one percent (n = 60) had downstaging of their nodal disease (cN1 to ypN0), compared to only 15.9% (n = 13) that underwent surgery alone (pre-operatively overstaged: cN1 to pN0), (P &lt; 0.0001). Response to NAC was associated with significantly increased DFS (mean DFS; TRG 1-2: 5.1 years, 95%CI: 4.6-5.6 vs TRG 3-5: 2.8 years, 95%CI: 2.2-3.3, P &lt; 0.0001). Nodal down-staging conferred a significant DFS advantage for those patients with a poor primary tumour response to NAC (median DFS; TRG 3-5 and nodal down-staging: 5.533 years, 95%CI: 3.558-7.531 vs TRG 3-5 and no nodal down-staging: 1.114 years, 95%CI: 0.961-1.267, P &lt; 0.0001). Conclusion: Response to NAC in the primary tumour and in the lym…","author":[{"dropping-particle":"","family":"Noble","given":"Fergus","non-dropping-particle":"","parse-names":false,"suffix":""},{"dropping-particle":"","family":"Nolan","given":"Luke","non-dropping-particle":"","parse-names":false,"suffix":""},{"dropping-particle":"","family":"Bateman","given":"Adrian C.","non-dropping-particle":"","parse-names":false,"suffix":""},{"dropping-particle":"","family":"Byrne","given":"James P.","non-dropping-particle":"","parse-names":false,"suffix":""},{"dropping-particle":"","family":"Kelly","given":"Jamie J.","non-dropping-particle":"","parse-names":false,"suffix":""},{"dropping-particle":"","family":"Bailey","given":"Ian S.","non-dropping-particle":"","parse-names":false,"suffix":""},{"dropping-particle":"","family":"Sharland","given":"Donna M.","non-dropping-particle":"","parse-names":false,"suffix":""},{"dropping-particle":"","family":"Rees","given":"Charlotte N.","non-dropping-particle":"","parse-names":false,"suffix":""},{"dropping-particle":"","family":"Iveson","given":"Timothy J.","non-dropping-particle":"","parse-names":false,"suffix":""},{"dropping-particle":"","family":"Underwood","given":"Tim J.","non-dropping-particle":"","parse-names":false,"suffix":""},{"dropping-particle":"","family":"Bateman","given":"Andrew R.","non-dropping-particle":"","parse-names":false,"suffix":""}],"container-title":"World Journal of Gastroenterology : WJG","id":"ITEM-2","issue":"48","issued":{"date-parts":[["2013","12","28"]]},"page":"9282","publisher":"Baishideng Publishing Group Inc","title":"Refining pathological evaluation of neoadjuvant therapy for adenocarcinoma of the esophagus","type":"article-journal","volume":"19"},"uris":["http://www.mendeley.com/documents/?uuid=b3dc65dd-16de-31fe-9a30-c9a1dbaff0fe"]},{"id":"ITEM-3","itemData":{"DOI":"10.1111/J.1365-2559.2009.03404.X","ISSN":"1365-2559","PMID":"19817890","abstract":"Aims: Neoadjuvant chemotherapy followed by surgery is the standard of care for patients with gastro-oesophageal adenocarcinoma. The aims were to validate the utility of the tumour regression grade (TRG) in patients who have received chemotherapy and to investigate if (i) TRG correlates with tumour downstaging and (ii) TRG could provide a comparative platform for future predictive biomarker investigations. Methods and results: Three pathologists were blinded to the treatment approaches. Review included diagnosis, tumour grade, TNM staging, vascular invasion, perineural invasion, resection margin involvement and histopathological response to chemotherapy, as measured by TRG. In the neoadjuvant chemotherapy (CS) group (n = 84), 46.7% of gastric/gastro- oesophageal junction adenocarcinomas, and 45.5% of lower third oesophageal adenocarcinomas had TRG 1, 2 or 3 compared with 13.7% in the primary surgery group (n = 124) (P &lt; 0.001 and P = 0.006, respectively). In the CS group, responders (TRG 1, 2 or 3) showed significant tumour downstaging [early ypT-stage disease (P = 0.002)]. In gastric cancers specifically, additional associations were seen with negative nodal disease (P = 0.044) and absence of vascular invasion (P = 0.027). Conclusions: TRG may reflect response to chemotherapy. In addition, positive correlations between TRG and ypTNM staging were demonstrated that would suggest tumour downstaging. © 2009 Blackwell Publishing Limited.","author":[{"dropping-particle":"","family":"Fareed","given":"Khaleel R.","non-dropping-particle":"","parse-names":false,"suffix":""},{"dropping-particle":"","family":"Ilyas","given":"Mohammad","non-dropping-particle":"","parse-names":false,"suffix":""},{"dropping-particle":"V.","family":"Kaye","given":"Philip","non-dropping-particle":"","parse-names":false,"suffix":""},{"dropping-particle":"","family":"Soomro","given":"Irshad N.","non-dropping-particle":"","parse-names":false,"suffix":""},{"dropping-particle":"","family":"Lobo","given":"Dileep N.","non-dropping-particle":"","parse-names":false,"suffix":""},{"dropping-particle":"","family":"Parsons","given":"Simon L.","non-dropping-particle":"","parse-names":false,"suffix":""},{"dropping-particle":"","family":"Madhusudan","given":"Srinivasan","non-dropping-particle":"","parse-names":false,"suffix":""}],"container-title":"Histopathology","id":"ITEM-3","issue":"4","issued":{"date-parts":[["2009","10"]]},"page":"399-406","publisher":"Histopathology","title":"Tumour regression grade (TRG) analyses in patients with resectable gastro-oesophageal adenocarcinomas treated with platinum-based neoadjuvant chemotherapy","type":"article-journal","volume":"55"},"uris":["http://www.mendeley.com/documents/?uuid=e8424207-095c-3357-82a5-43baec67f75e"]},{"id":"ITEM-4","itemData":{"DOI":"10.1016/J.EJSO.2017.03.001","ISSN":"1532-2157","PMID":"28347525","abstract":"Introduction Major pathologic regression after neoadjuvant therapy is a strong and favorable prognostic factor in several types of cancer (breast, rectal and bladder). This information is less clear and has yet to be systematically evaluated in upper gastrointestinal tumors. We performed a meta-analysis to evaluate the prognostic impact of tumor regression after preoperative therapy on disease-free survival (DFS) and overall survival (OS) in gastro-esophageal cancer patients. Methods we searched for relevant articles in PubMed, SCOPUS, Web of Science, CINAHL, LILACS, Ovid, Cochrane Library, Google Scholar and Embase up to June 2, 2016. Data of tumor regression (complete or near-complete pathologic response) that independently correlated with OS and DFS in multivariate analysis were extracted, and the proper hazard ratios (HRs) with corresponding 95% confidence intervals (95% CIs) were pooled according to the random effect model. Results a total of 17 studies—which included 3145 patients—were considered in the final analysis. Major pathologic response was significantly related with better OS (HR 0.46, 95% CI 0.32–0.66, P &lt; 0.001) and DFS (HR = 0.40, 95% CI 0.26–0.62, P &lt; 0.001). Pathologic complete response (pCR) or major tumor regression were associated with the same degree of benefit in outcome compared to no or minimal pathologic regression, regardless of histology. Conclusion major pathologic response is associated with a significant improvement in OS compared to no response or minor pathologic changes after neoadjuvant therapy in gastro-esophageal cancers. This should be considered a robust prognostic factor to guide postoperative treatment and follow-up.","author":[{"dropping-particle":"","family":"Tomasello","given":"G.","non-dropping-particle":"","parse-names":false,"suffix":""},{"dropping-particle":"","family":"Petrelli","given":"F.","non-dropping-particle":"","parse-names":false,"suffix":""},{"dropping-particle":"","family":"Ghidini","given":"M.","non-dropping-particle":"","parse-names":false,"suffix":""},{"dropping-particle":"","family":"Pezzica","given":"E.","non-dropping-particle":"","parse-names":false,"suffix":""},{"dropping-particle":"","family":"Passalacqua","given":"R.","non-dropping-particle":"","parse-names":false,"suffix":""},{"dropping-particle":"","family":"Steccanella","given":"F.","non-dropping-particle":"","parse-names":false,"suffix":""},{"dropping-particle":"","family":"Turati","given":"L.","non-dropping-particle":"","parse-names":false,"suffix":""},{"dropping-particle":"","family":"Sgroi","given":"G.","non-dropping-particle":"","parse-names":false,"suffix":""},{"dropping-particle":"","family":"Barni","given":"S.","non-dropping-particle":"","parse-names":false,"suffix":""}],"container-title":"European journal of surgical oncology : the journal of the European Society of Surgical Oncology and the British Association of Surgical Oncology","id":"ITEM-4","issue":"9","issued":{"date-parts":[["2017","9","1"]]},"page":"1607-1616","publisher":"Eur J Surg Oncol","title":"Tumor regression grade and survival after neoadjuvant treatment in gastro-esophageal cancer: A meta-analysis of 17 published studies","type":"article-journal","volume":"43"},"uris":["http://www.mendeley.com/documents/?uuid=c68819ec-b265-33ce-8b4e-8a4535526de2"]},{"id":"ITEM-5","itemData":{"DOI":"10.1002/BJS.10627","ISSN":"0007-1323","PMID":"28944954","abstract":"Background: This multicentre cohort study sought to define a robust pathological indicator of clinically meaningful response to neoadjuvant chemotherapy in oesophageal adenocarcinoma. Methods: A questionnaire was distributed to 11 UK upper gastrointestinal cancer centres to determine the use of assessment of response to neoadjuvant chemotherapy. Records of consecutive patients undergoing oesophagogastric resection at seven centres between January 2000 and December 2013 were reviewed. Pathological response to neoadjuvant chemotherapy was assessed using the Mandard Tumour Regression Grade (TRG) and lymph node downstaging. Results: TRG (8 of 11 centres) was the most widely used system to assess response to neoadjuvant chemotherapy, but there was discordance on how it was used in practice. Of 1392 patients, 1293 had TRG assessment; data were available for clinical and pathological nodal status (cN and pN) in 981 patients, and TRG, cN and pN in 885. There was a significant difference in survival between responders (TRG 1–2; median overall survival (OS) not reached) and non-responders (TRG 3–5; median OS 2·22 (95 per cent c.i. 1·94 to 2·51) years; P &lt; 0·001); the hazard ratio was 2·46 (95 per cent c.i. 1·22 to 4·95; P = 0·012). Among local non-responders, the presence of lymph node downstaging was associated with significantly improved OS compared with that of patients without lymph node downstaging (median OS not reached versus 1·92 (1·68 to 2·16) years; P &lt; 0·001). Conclusion: A clinically meaningful local response to neoadjuvant chemotherapy was restricted to the small minority of patients (14·8 per cent) with TRG 1–2. Among local non-responders, a subset of patients (21·3 per cent) derived benefit from neoadjuvant chemotherapy by lymph node downstaging and their survival mirrored that of local responders.","author":[{"dropping-particle":"","family":"Noble","given":"F","non-dropping-particle":"","parse-names":false,"suffix":""},{"dropping-particle":"","family":"Lloyd","given":"M A","non-dropping-particle":"","parse-names":false,"suffix":""},{"dropping-particle":"","family":"Turkington","given":"R","non-dropping-particle":"","parse-names":false,"suffix":""},{"dropping-particle":"","family":"Griffiths","given":"E","non-dropping-particle":"","parse-names":false,"suffix":""},{"dropping-particle":"","family":"O'Donovan","given":"M","non-dropping-particle":"","parse-names":false,"suffix":""},{"dropping-particle":"","family":"O'Neill","given":"J R","non-dropping-particle":"","parse-names":false,"suffix":""},{"dropping-particle":"","family":"Mercer","given":"S","non-dropping-particle":"","parse-names":false,"suffix":""},{"dropping-particle":"","family":"Parsons","given":"S L","non-dropping-particle":"","parse-names":false,"suffix":""},{"dropping-particle":"","family":"Fitzgerald","given":"R C","non-dropping-particle":"","parse-names":false,"suffix":""},{"dropping-particle":"","family":"Underwood","given":"T J","non-dropping-particle":"","parse-names":false,"suffix":""},{"dropping-particle":"","family":"Noorani","given":"A","non-dropping-particle":"","parse-names":false,"suffix":""},{"dropping-particle":"","family":"consortium","given":"on behalf of the OCCAMS","non-dropping-particle":"","parse-names":false,"suffix":""},{"dropping-particle":"","family":"Fels Elliott","given":"R","non-dropping-particle":"","parse-names":false,"suffix":""},{"dropping-particle":"","family":"consortium","given":"on behalf of the OCCAMS","non-dropping-particle":"","parse-names":false,"suffix":""},{"dropping-particle":"","family":"Abdullahi","given":"Z","non-dropping-particle":"","parse-names":false,"suffix":""},{"dropping-particle":"","family":"consortium","given":"on behalf of the OCCAMS","non-dropping-particle":"","parse-names":false,"suffix":""},{"dropping-particle":"","family":"la Rue","given":"R","non-dropping-particle":"de","parse-names":false,"suffix":""},{"dropping-particle":"","family":"consortium","given":"on behalf of the OCCAMS","non-dropping-particle":"","parse-names":false,"suffix":""},{"dropping-particle":"","family":"Bornschein","given":"J","non-dropping-particle":"","parse-names":false,"suffix":""},{"dropping-particle":"","family":"consortium","given":"on behalf of the OCCAMS","non-dropping-particle":"","parse-names":false,"suffix":""},{"dropping-particle":"","family":"MacRae","given":"S","non-dropping-particle":"","parse-names":false,"suffix":""},{"dropping-particle":"","family":"consortium","given":"on behalf of the OCCAMS","non-dropping-particle":"","parse-names":false,"suffix":""},{"dropping-particle":"","family":"Nutzinger","given":"B","non-dropping-particle":"","parse-names":false,"suffix":""},{"dropping-particle":"","family":"consortium","given":"on behalf of the OCCAMS","non-dropping-particle":"","parse-names":false,"suffix":""},{"dropping-particle":"","family":"Grehan","given":"N","non-dropping-particle":"","parse-names":false,"suffix":""},{"dropping-particle":"","family":"consortium","given":"on behalf of the OCCAMS","non-dropping-particle":"","parse-names":false,"suffix":""},{"dropping-particle":"","family":"Contino","given":"G","non-dropping-particle":"","parse-names":false,"suffix":""},{"dropping-particle":"","family":"consortium","given":"on behalf of the OCCAMS","non-dropping-particle":"","parse-names":false,"suffix":""},{"dropping-particle":"","family":"Crawte","given":"J","non-dropping-particle":"","parse-names":false,"suffix":""},{"dropping-particle":"","family":"consortium","given":"on behalf of the OCCAMS","non-dropping-particle":"","parse-names":false,"suffix":""},{"dropping-particle":"","family":"Edwards","given":"P A W","non-dropping-particle":"","parse-names":false,"suffix":""},{"dropping-particle":"","family":"consortium","given":"on behalf of the OCCAMS","non-dropping-particle":"","parse-names":false,"suffix":""},{"dropping-particle":"","family":"Miremadi","given":"A","non-dropping-particle":"","parse-names":false,"suffix":""},{"dropping-particle":"","family":"consortium","given":"on behalf of the OCCAMS","non-dropping-particle":"","parse-names":false,"suffix":""},{"dropping-particle":"","family":"Malhotra","given":"S","non-dropping-particle":"","parse-names":false,"suffix":""},{"dropping-particle":"","family":"consortium","given":"on behalf of the OCCAMS","non-dropping-particle":"","parse-names":false,"suffix":""},{"dropping-particle":"","family":"Hayden","given":"A","non-dropping-particle":"","parse-names":false,"suffix":""},{"dropping-particle":"","family":"consortium","given":"on behalf of the OCCAMS","non-dropping-particle":"","parse-names":false,"suffix":""},{"dropping-particle":"","family":"Walker","given":"R","non-dropping-particle":"","parse-names":false,"suffix":""},{"dropping-particle":"","family":"consortium","given":"on behalf of the OCCAMS","non-dropping-particle":"","parse-names":false,"suffix":""},{"dropping-particle":"","family":"Peters","given":"C","non-dropping-particle":"","parse-names":false,"suffix":""},{"dropping-particle":"","family":"consortium","given":"on behalf of the OCCAMS","non-dropping-particle":"","parse-names":false,"suffix":""},{"dropping-particle":"","family":"Hannah","given":"G","non-dropping-particle":"","parse-names":false,"suffix":""},{"dropping-particle":"","family":"consortium","given":"on behalf of the OCCAMS","non-dropping-particle":"","parse-names":false,"suffix":""},{"dropping-particle":"","family":"Hardwick","given":"R","non-dropping-particle":"","parse-names":false,"suffix":""},{"dropping-particle":"","family":"consortium","given":"on behalf of the OCCAMS","non-dropping-particle":"","parse-names":false,"suffix":""},{"dropping-particle":"","family":"Davies","given":"J","non-dropping-particle":"","parse-names":false,"suffix":""},{"dropping-particle":"","family":"consortium","given":"on behalf of the OCCAMS","non-dropping-particle":"","parse-names":false,"suffix":""},{"dropping-particle":"","family":"Ford","given":"H","non-dropping-particle":"","parse-names":false,"suffix":""},{"dropping-particle":"","family":"consortium","given":"on behalf of the OCCAMS","non-dropping-particle":"","parse-names":false,"suffix":""},{"dropping-particle":"","family":"Gilligan","given":"D","non-dropping-particle":"","parse-names":false,"suffix":""},{"dropping-particle":"","family":"consortium","given":"on behalf of the OCCAMS","non-dropping-particle":"","parse-names":false,"suffix":""},{"dropping-particle":"","family":"Safranek","given":"P","non-dropping-particle":"","parse-names":false,"suffix":""},{"dropping-particle":"","family":"consortium","given":"on behalf of the OCCAMS","non-dropping-particle":"","parse-names":false,"suffix":""},{"dropping-particle":"","family":"Hindmarsh","given":"A","non-dropping-particle":"","parse-names":false,"suffix":""},{"dropping-particle":"","family":"consortium","given":"on behalf of the OCCAMS","non-dropping-particle":"","parse-names":false,"suffix":""},{"dropping-particle":"","family":"Sujendran","given":"V","non-dropping-particle":"","parse-names":false,"suffix":""},{"dropping-particle":"","family":"consortium","given":"on behalf of the OCCAMS","non-dropping-particle":"","parse-names":false,"suffix":""},{"dropping-particle":"","family":"Carroll","given":"N","non-dropping-particle":"","parse-names":false,"suffix":""},{"dropping-particle":"","family":"consortium","given":"on behalf of the OCCAMS","non-dropping-particle":"","parse-names":false,"suffix":""},{"dropping-particle":"","family":"McManus","given":"D","non-dropping-particle":"","parse-names":false,"suffix":""},{"dropping-particle":"","family":"consortium","given":"on behalf of the OCCAMS","non-dropping-particle":"","parse-names":false,"suffix":""},{"dropping-particle":"","family":"Hayes","given":"S J","non-dropping-particle":"","parse-names":false,"suffix":""},{"dropping-particle":"","family":"consortium","given":"on behalf of the OCCAMS","non-dropping-particle":"","parse-names":false,"suffix":""},{"dropping-particle":"","family":"Ang","given":"Y","non-dropping-particle":"","parse-names":false,"suffix":""},{"dropping-particle":"","family":"consortium","given":"on behalf of the OCCAMS","non-dropping-particle":"","parse-names":false,"suffix":""},{"dropping-particle":"","family":"Preston","given":"S R","non-dropping-particle":"","parse-names":false,"suffix":""},{"dropping-particle":"","family":"consortium","given":"on behalf of the OCCAMS","non-dropping-particle":"","parse-names":false,"suffix":""},{"dropping-particle":"","family":"Oakes","given":"S","non-dropping-particle":"","parse-names":false,"suffix":""},{"dropping-particle":"","family":"consortium","given":"on behalf of the OCCAMS","non-dropping-particle":"","parse-names":false,"suffix":""},{"dropping-particle":"","family":"Bagwan","given":"I","non-dropping-particle":"","parse-names":false,"suffix":""},{"dropping-particle":"","family":"consortium","given":"on behalf of the OCCAMS","non-dropping-particle":"","parse-names":false,"suffix":""},{"dropping-particle":"","family":"Skipworth","given":"R J E","non-dropping-particle":"","parse-names":false,"suffix":""},{"dropping-particle":"","family":"consortium","given":"on behalf of the OCCAMS","non-dropping-particle":"","parse-names":false,"suffix":""},{"dropping-particle":"","family":"Save","given":"V","non-dropping-particle":"","parse-names":false,"suffix":""},{"dropping-particle":"","family":"consortium","given":"on behalf of the OCCAMS","non-dropping-particle":"","parse-names":false,"suffix":""},{"dropping-particle":"","family":"Hupp","given":"T R","non-dropping-particle":"","parse-names":false,"suffix":""},{"dropping-particle":"","family":"consortium","given":"on behalf of the OCCAMS","non-dropping-particle":"","parse-names":false,"suffix":""},{"dropping-particle":"","family":"Puig","given":"S","non-dropping-particle":"","parse-names":false,"suffix":""},{"dropping-particle":"","family":"consortium","given":"on behalf of the OCCAMS","non-dropping-particle":"","parse-names":false,"suffix":""},{"dropping-particle":"","family":"Bedford","given":"M","non-dropping-particle":"","parse-names":false,"suffix":""},{"dropping-particle":"","family":"consortium","given":"on behalf of the OCCAMS","non-dropping-particle":"","parse-names":false,"suffix":""},{"dropping-particle":"","family":"Taniere","given":"P","non-dropping-particle":"","parse-names":false,"suffix":""},{"dropping-particle":"","family":"consortium","given":"on behalf of the OCCAMS","non-dropping-particle":"","parse-names":false,"suffix":""},{"dropping-particle":"","family":"Whiting","given":"J","non-dropping-particle":"","parse-names":false,"suffix":""},{"dropping-particle":"","family":"consortium","given":"on behalf of the OCCAMS","non-dropping-particle":"","parse-names":false,"suffix":""},{"dropping-particle":"","family":"Byrne","given":"J","non-dropping-particle":"","parse-names":false,"suffix":""},{"dropping-particle":"","family":"consortium","given":"on behalf of the OCCAMS","non-dropping-particle":"","parse-names":false,"suffix":""},{"dropping-particle":"","family":"Kelly","given":"J","non-dropping-particle":"","parse-names":false,"suffix":""},{"dropping-particle":"","family":"consortium","given":"on behalf of the OCCAMS","non-dropping-particle":"","parse-names":false,"suffix":""},{"dropping-particle":"","family":"Owsley","given":"J","non-dropping-particle":"","parse-names":false,"suffix":""},{"dropping-particle":"","family":"consortium","given":"on behalf of the OCCAMS","non-dropping-particle":"","parse-names":false,"suffix":""},{"dropping-particle":"","family":"Crichton","given":"C","non-dropping-particle":"","parse-names":false,"suffix":""},{"dropping-particle":"","family":"consortium","given":"on behalf of the OCCAMS","non-dropping-particle":"","parse-names":false,"suffix":""},{"dropping-particle":"","family":"Barr","given":"H","non-dropping-particle":"","parse-names":false,"suffix":""},{"dropping-particle":"","family":"consortium","given":"on behalf of the OCCAMS","non-dropping-particle":"","parse-names":false,"suffix":""},{"dropping-particle":"","family":"Shepherd","given":"N","non-dropping-particle":"","parse-names":false,"suffix":""},{"dropping-particle":"","family":"consortium","given":"on behalf of the OCCAMS","non-dropping-particle":"","parse-names":false,"suffix":""},{"dropping-particle":"","family":"Old","given":"O","non-dropping-particle":"","parse-names":false,"suffix":""},{"dropping-particle":"","family":"consortium","given":"on behalf of the OCCAMS","non-dropping-particle":"","parse-names":false,"suffix":""},{"dropping-particle":"","family":"Lagergren","given":"J","non-dropping-particle":"","parse-names":false,"suffix":""},{"dropping-particle":"","family":"consortium","given":"on behalf of the OCCAMS","non-dropping-particle":"","parse-names":false,"suffix":""},{"dropping-particle":"","family":"Gossage","given":"J","non-dropping-particle":"","parse-names":false,"suffix":""},{"dropping-particle":"","family":"consortium","given":"on behalf of the OCCAMS","non-dropping-particle":"","parse-names":false,"suffix":""},{"dropping-particle":"","family":"Davies","given":"A","non-dropping-particle":"","parse-names":false,"suffix":""},{"dropping-particle":"","family":"consortium","given":"on behalf of the OCCAMS","non-dropping-particle":"","parse-names":false,"suffix":""},{"dropping-particle":"","family":"Chang","given":"F","non-dropping-particle":"","parse-names":false,"suffix":""},{"dropping-particle":"","family":"consortium","given":"on behalf of the OCCAMS","non-dropping-particle":"","parse-names":false,"suffix":""},{"dropping-particle":"","family":"Zylstra","given":"J","non-dropping-particle":"","parse-names":false,"suffix":""},{"dropping-particle":"","family":"consortium","given":"on behalf of the OCCAMS","non-dropping-particle":"","parse-names":false,"suffix":""},{"dropping-particle":"","family":"Sanders","given":"G","non-dropping-particle":"","parse-names":false,"suffix":""},{"dropping-particle":"","family":"consortium","given":"on behalf of the OCCAMS","non-dropping-particle":"","parse-names":false,"suffix":""},{"dropping-particle":"","family":"Berrisford","given":"R","non-dropping-particle":"","parse-names":false,"suffix":""},{"dropping-particle":"","family":"consortium","given":"on behalf of the OCCAMS","non-dropping-particle":"","parse-names":false,"suffix":""},{"dropping-particle":"","family":"Harden","given":"C","non-dropping-particle":"","parse-names":false,"suffix":""},{"dropping-particle":"","family":"consortium","given":"on behalf of the OCCAMS","non-dropping-particle":"","parse-names":false,"suffix":""},{"dropping-particle":"","family":"Bunting","given":"D","non-dropping-particle":"","parse-names":false,"suffix":""},{"dropping-particle":"","family":"consortium","given":"on behalf of the OCCAMS","non-dropping-particle":"","parse-names":false,"suffix":""},{"dropping-particle":"","family":"Lewis","given":"M","non-dropping-particle":"","parse-names":false,"suffix":""},{"dropping-particle":"","family":"consortium","given":"on behalf of the OCCAMS","non-dropping-particle":"","parse-names":false,"suffix":""},{"dropping-particle":"","family":"Cheong","given":"E","non-dropping-particle":"","parse-names":false,"suffix":""},{"dropping-particle":"","family":"consortium","given":"on behalf of the OCCAMS","non-dropping-particle":"","parse-names":false,"suffix":""},{"dropping-particle":"","family":"Kumar","given":"B","non-dropping-particle":"","parse-names":false,"suffix":""},{"dropping-particle":"","family":"consortium","given":"on behalf of the OCCAMS","non-dropping-particle":"","parse-names":false,"suffix":""},{"dropping-particle":"","family":"Saunders","given":"J H","non-dropping-particle":"","parse-names":false,"suffix":""},{"dropping-particle":"","family":"consortium","given":"on behalf of the OCCAMS","non-dropping-particle":"","parse-names":false,"suffix":""},{"dropping-particle":"","family":"Soomro","given":"I N","non-dropping-particle":"","parse-names":false,"suffix":""},{"dropping-particle":"","family":"consortium","given":"on behalf of the OCCAMS","non-dropping-particle":"","parse-names":false,"suffix":""},{"dropping-particle":"","family":"Vohra","given":"R","non-dropping-particle":"","parse-names":false,"suffix":""},{"dropping-particle":"","family":"consortium","given":"on behalf of the OCCAMS","non-dropping-particle":"","parse-names":false,"suffix":""},{"dropping-particle":"","family":"Duffy","given":"J","non-dropping-particle":"","parse-names":false,"suffix":""},{"dropping-particle":"","family":"consortium","given":"on behalf of the OCCAMS","non-dropping-particle":"","parse-names":false,"suffix":""},{"dropping-particle":"","family":"Kaye","given":"P","non-dropping-particle":"","parse-names":false,"suffix":""},{"dropping-particle":"","family":"consortium","given":"on behalf of the OCCAMS","non-dropping-particle":"","parse-names":false,"suffix":""},{"dropping-particle":"","family":"Grabowska","given":"A","non-dropping-particle":"","parse-names":false,"suffix":""},{"dropping-particle":"","family":"consortium","given":"on behalf of the OCCAMS","non-dropping-particle":"","parse-names":false,"suffix":""},{"dropping-particle":"","family":"Lovat","given":"L","non-dropping-particle":"","parse-names":false,"suffix":""},{"dropping-particle":"","family":"consortium","given":"on behalf of the OCCAMS","non-dropping-particle":"","parse-names":false,"suffix":""},{"dropping-particle":"","family":"Haidry","given":"R","non-dropping-particle":"","parse-names":false,"suffix":""},{"dropping-particle":"","family":"consortium","given":"on behalf of the OCCAMS","non-dropping-particle":"","parse-names":false,"suffix":""},{"dropping-particle":"","family":"Eneh","given":"V","non-dropping-particle":"","parse-names":false,"suffix":""},{"dropping-particle":"","family":"consortium","given":"on behalf of the OCCAMS","non-dropping-particle":"","parse-names":false,"suffix":""},{"dropping-particle":"","family":"Igali","given":"L","non-dropping-particle":"","parse-names":false,"suffix":""},{"dropping-particle":"","family":"consortium","given":"on behalf of the OCCAMS","non-dropping-particle":"","parse-names":false,"suffix":""},{"dropping-particle":"","family":"Welch","given":"I","non-dropping-particle":"","parse-names":false,"suffix":""},{"dropping-particle":"","family":"consortium","given":"on behalf of the OCCAMS","non-dropping-particle":"","parse-names":false,"suffix":""},{"dropping-particle":"","family":"Scott","given":"M","non-dropping-particle":"","parse-names":false,"suffix":""},{"dropping-particle":"","family":"consortium","given":"on behalf of the OCCAMS","non-dropping-particle":"","parse-names":false,"suffix":""},{"dropping-particle":"","family":"Sothi","given":"S","non-dropping-particle":"","parse-names":false,"suffix":""},{"dropping-particle":"","family":"consortium","given":"on behalf of the OCCAMS","non-dropping-particle":"","parse-names":false,"suffix":""},{"dropping-particle":"","family":"Suortamo","given":"S","non-dropping-particle":"","parse-names":false,"suffix":""},{"dropping-particle":"","family":"consortium","given":"on behalf of the OCCAMS","non-dropping-particle":"","parse-names":false,"suffix":""},{"dropping-particle":"","family":"Lishman","given":"S","non-dropping-particle":"","parse-names":false,"suffix":""},{"dropping-particle":"","family":"consortium","given":"on behalf of the OCCAMS","non-dropping-particle":"","parse-names":false,"suffix":""},{"dropping-particle":"","family":"Beardsmore","given":"D","non-dropping-particle":"","parse-names":false,"suffix":""},{"dropping-particle":"","family":"consortium","given":"on behalf of the OCCAMS","non-dropping-particle":"","parse-names":false,"suffix":""},{"dropping-particle":"","family":"Sutaria","given":"R","non-dropping-particle":"","parse-names":false,"suffix":""},{"dropping-particle":"","family":"consortium","given":"on behalf of the OCCAMS","non-dropping-particle":"","parse-names":false,"suffix":""},{"dropping-particle":"","family":"Secrier","given":"M","non-dropping-particle":"","parse-names":false,"suffix":""},{"dropping-particle":"","family":"consortium","given":"on behalf of the OCCAMS","non-dropping-particle":"","parse-names":false,"suffix":""},{"dropping-particle":"","family":"Eldridge","given":"M D","non-dropping-particle":"","parse-names":false,"suffix":""},{"dropping-particle":"","family":"consortium","given":"on behalf of the OCCAMS","non-dropping-particle":"","parse-names":false,"suffix":""},{"dropping-particle":"","family":"Bower","given":"L","non-dropping-particle":"","parse-names":false,"suffix":""},{"dropping-particle":"","family":"consortium","given":"on behalf of the OCCAMS","non-dropping-particle":"","parse-names":false,"suffix":""},{"dropping-particle":"","family":"Lynch","given":"A G","non-dropping-particle":"","parse-names":false,"suffix":""},{"dropping-particle":"","family":"consortium","given":"on behalf of the OCCAMS","non-dropping-particle":"","parse-names":false,"suffix":""},{"dropping-particle":"","family":"Tavaré","given":"S","non-dropping-particle":"","parse-names":false,"suffix":""},{"dropping-particle":"","family":"consortium","given":"on behalf of the OCCAMS","non-dropping-particle":"","parse-names":false,"suffix":""}],"container-title":"British Journal of Surgery","id":"ITEM-5","issue":"13","issued":{"date-parts":[["2017","11","16"]]},"page":"1816-1828","publisher":"Oxford Academic","title":"Multicentre cohort study to define and validate pathological assessment of response to neoadjuvant therapy in oesophagogastric adenocarcinoma","type":"article-journal","volume":"104"},"uris":["http://www.mendeley.com/documents/?uuid=d23f5e54-f774-3938-ba21-5c95e174e99f"]}],"mendeley":{"formattedCitation":"&lt;sup&gt;4–8&lt;/sup&gt;","plainTextFormattedCitation":"4–8","previouslyFormattedCitation":"&lt;sup&gt;4–8&lt;/sup&gt;"},"properties":{"noteIndex":0},"schema":"https://github.com/citation-style-language/schema/raw/master/csl-citation.json"}</w:instrText>
      </w:r>
      <w:r w:rsidR="002B142D" w:rsidRPr="00DB10F3">
        <w:rPr>
          <w:rFonts w:ascii="Helvetica" w:hAnsi="Helvetica"/>
        </w:rPr>
        <w:fldChar w:fldCharType="separate"/>
      </w:r>
      <w:r w:rsidR="00962D57" w:rsidRPr="00DB10F3">
        <w:rPr>
          <w:rFonts w:ascii="Helvetica" w:hAnsi="Helvetica"/>
          <w:noProof/>
          <w:vertAlign w:val="superscript"/>
        </w:rPr>
        <w:t>4–8</w:t>
      </w:r>
      <w:r w:rsidR="002B142D" w:rsidRPr="00DB10F3">
        <w:rPr>
          <w:rFonts w:ascii="Helvetica" w:hAnsi="Helvetica"/>
        </w:rPr>
        <w:fldChar w:fldCharType="end"/>
      </w:r>
      <w:r w:rsidR="0089358A" w:rsidRPr="00DB10F3">
        <w:rPr>
          <w:rFonts w:ascii="Helvetica" w:hAnsi="Helvetica"/>
        </w:rPr>
        <w:t>.</w:t>
      </w:r>
      <w:r w:rsidR="00F94E1E" w:rsidRPr="00DB10F3">
        <w:rPr>
          <w:rFonts w:ascii="Helvetica" w:hAnsi="Helvetica"/>
        </w:rPr>
        <w:t xml:space="preserve"> </w:t>
      </w:r>
      <w:r w:rsidR="007C4EF8" w:rsidRPr="00DB10F3">
        <w:rPr>
          <w:rFonts w:ascii="Helvetica" w:hAnsi="Helvetica"/>
        </w:rPr>
        <w:t>However,</w:t>
      </w:r>
      <w:r w:rsidR="00A019FF" w:rsidRPr="00DB10F3">
        <w:rPr>
          <w:rFonts w:ascii="Helvetica" w:hAnsi="Helvetica"/>
        </w:rPr>
        <w:t xml:space="preserve"> these classification</w:t>
      </w:r>
      <w:r w:rsidR="007C4EF8" w:rsidRPr="00DB10F3">
        <w:rPr>
          <w:rFonts w:ascii="Helvetica" w:hAnsi="Helvetica"/>
        </w:rPr>
        <w:t xml:space="preserve"> systems only consider pathological response in the primary </w:t>
      </w:r>
      <w:proofErr w:type="spellStart"/>
      <w:r w:rsidR="0019785E">
        <w:rPr>
          <w:rFonts w:ascii="Helvetica" w:hAnsi="Helvetica"/>
        </w:rPr>
        <w:t>tumor</w:t>
      </w:r>
      <w:proofErr w:type="spellEnd"/>
      <w:r w:rsidR="007C4EF8" w:rsidRPr="00DB10F3">
        <w:rPr>
          <w:rFonts w:ascii="Helvetica" w:hAnsi="Helvetica"/>
        </w:rPr>
        <w:t xml:space="preserve"> and ignore response</w:t>
      </w:r>
      <w:r w:rsidR="00A019FF" w:rsidRPr="00DB10F3">
        <w:rPr>
          <w:rFonts w:ascii="Helvetica" w:hAnsi="Helvetica"/>
        </w:rPr>
        <w:t xml:space="preserve"> in locoregional </w:t>
      </w:r>
      <w:r w:rsidR="00EF5F5D" w:rsidRPr="00DB10F3">
        <w:rPr>
          <w:rFonts w:ascii="Helvetica" w:hAnsi="Helvetica"/>
        </w:rPr>
        <w:t>LNs</w:t>
      </w:r>
      <w:r w:rsidR="00A019FF" w:rsidRPr="00DB10F3">
        <w:rPr>
          <w:rFonts w:ascii="Helvetica" w:hAnsi="Helvetica"/>
        </w:rPr>
        <w:t xml:space="preserve">. </w:t>
      </w:r>
      <w:r w:rsidR="00D6772E" w:rsidRPr="00DB10F3">
        <w:rPr>
          <w:rFonts w:ascii="Helvetica" w:hAnsi="Helvetica"/>
        </w:rPr>
        <w:t>Several</w:t>
      </w:r>
      <w:r w:rsidR="00F94E1E" w:rsidRPr="00DB10F3">
        <w:rPr>
          <w:rFonts w:ascii="Helvetica" w:hAnsi="Helvetica"/>
        </w:rPr>
        <w:t xml:space="preserve"> </w:t>
      </w:r>
      <w:r w:rsidR="00325499" w:rsidRPr="00DB10F3">
        <w:rPr>
          <w:rFonts w:ascii="Helvetica" w:hAnsi="Helvetica"/>
        </w:rPr>
        <w:t>single-centre stud</w:t>
      </w:r>
      <w:r w:rsidR="00F94E1E" w:rsidRPr="00DB10F3">
        <w:rPr>
          <w:rFonts w:ascii="Helvetica" w:hAnsi="Helvetica"/>
        </w:rPr>
        <w:t>ies</w:t>
      </w:r>
      <w:r w:rsidR="00D6772E" w:rsidRPr="00DB10F3">
        <w:rPr>
          <w:rFonts w:ascii="Helvetica" w:hAnsi="Helvetica"/>
        </w:rPr>
        <w:t xml:space="preserve"> </w:t>
      </w:r>
      <w:r w:rsidR="007C4EF8" w:rsidRPr="00DB10F3">
        <w:rPr>
          <w:rFonts w:ascii="Helvetica" w:hAnsi="Helvetica"/>
        </w:rPr>
        <w:t>evaluating</w:t>
      </w:r>
      <w:r w:rsidR="00D6772E" w:rsidRPr="00DB10F3">
        <w:rPr>
          <w:rFonts w:ascii="Helvetica" w:hAnsi="Helvetica"/>
        </w:rPr>
        <w:t xml:space="preserve"> pathological </w:t>
      </w:r>
      <w:r w:rsidR="00EF5F5D" w:rsidRPr="00DB10F3">
        <w:rPr>
          <w:rFonts w:ascii="Helvetica" w:hAnsi="Helvetica"/>
        </w:rPr>
        <w:t>LN</w:t>
      </w:r>
      <w:r w:rsidR="00A8629F" w:rsidRPr="00DB10F3">
        <w:rPr>
          <w:rFonts w:ascii="Helvetica" w:hAnsi="Helvetica"/>
        </w:rPr>
        <w:t xml:space="preserve"> regression have </w:t>
      </w:r>
      <w:r w:rsidR="00B10AB3" w:rsidRPr="00DB10F3">
        <w:rPr>
          <w:rFonts w:ascii="Helvetica" w:hAnsi="Helvetica"/>
        </w:rPr>
        <w:t>recently suggested</w:t>
      </w:r>
      <w:r w:rsidR="00325499" w:rsidRPr="00DB10F3">
        <w:rPr>
          <w:rFonts w:ascii="Helvetica" w:hAnsi="Helvetica"/>
        </w:rPr>
        <w:t xml:space="preserve"> improved survival and reduced rates </w:t>
      </w:r>
      <w:r w:rsidR="00A22605" w:rsidRPr="00DB10F3">
        <w:rPr>
          <w:rFonts w:ascii="Helvetica" w:hAnsi="Helvetica"/>
        </w:rPr>
        <w:t xml:space="preserve">of </w:t>
      </w:r>
      <w:proofErr w:type="spellStart"/>
      <w:r w:rsidR="0019785E">
        <w:rPr>
          <w:rFonts w:ascii="Helvetica" w:hAnsi="Helvetica"/>
        </w:rPr>
        <w:t>tumor</w:t>
      </w:r>
      <w:proofErr w:type="spellEnd"/>
      <w:r w:rsidR="009F5AE8" w:rsidRPr="00DB10F3">
        <w:rPr>
          <w:rFonts w:ascii="Helvetica" w:hAnsi="Helvetica"/>
        </w:rPr>
        <w:t xml:space="preserve"> </w:t>
      </w:r>
      <w:r w:rsidR="00325499" w:rsidRPr="00DB10F3">
        <w:rPr>
          <w:rFonts w:ascii="Helvetica" w:hAnsi="Helvetica"/>
        </w:rPr>
        <w:t xml:space="preserve">recurrence in patients exhibiting a </w:t>
      </w:r>
      <w:r w:rsidR="00EF5F5D" w:rsidRPr="00DB10F3">
        <w:rPr>
          <w:rFonts w:ascii="Helvetica" w:hAnsi="Helvetica"/>
        </w:rPr>
        <w:t>LN</w:t>
      </w:r>
      <w:r w:rsidR="00325499" w:rsidRPr="00DB10F3">
        <w:rPr>
          <w:rFonts w:ascii="Helvetica" w:hAnsi="Helvetica"/>
        </w:rPr>
        <w:t xml:space="preserve"> response</w:t>
      </w:r>
      <w:r w:rsidR="009330A3" w:rsidRPr="00DB10F3">
        <w:rPr>
          <w:rFonts w:ascii="Helvetica" w:hAnsi="Helvetica"/>
        </w:rPr>
        <w:t>,</w:t>
      </w:r>
      <w:r w:rsidR="00325499" w:rsidRPr="00DB10F3">
        <w:rPr>
          <w:rFonts w:ascii="Helvetica" w:hAnsi="Helvetica"/>
        </w:rPr>
        <w:t xml:space="preserve"> independent of other prognostic variables</w:t>
      </w:r>
      <w:r w:rsidR="007C4EF8" w:rsidRPr="00DB10F3">
        <w:rPr>
          <w:rFonts w:ascii="Helvetica" w:hAnsi="Helvetica"/>
        </w:rPr>
        <w:t xml:space="preserve"> including primary </w:t>
      </w:r>
      <w:proofErr w:type="spellStart"/>
      <w:r w:rsidR="0019785E">
        <w:rPr>
          <w:rFonts w:ascii="Helvetica" w:hAnsi="Helvetica"/>
        </w:rPr>
        <w:t>tumor</w:t>
      </w:r>
      <w:proofErr w:type="spellEnd"/>
      <w:r w:rsidR="007C4EF8" w:rsidRPr="00DB10F3">
        <w:rPr>
          <w:rFonts w:ascii="Helvetica" w:hAnsi="Helvetica"/>
        </w:rPr>
        <w:t xml:space="preserve"> re</w:t>
      </w:r>
      <w:r w:rsidR="009330A3" w:rsidRPr="00DB10F3">
        <w:rPr>
          <w:rFonts w:ascii="Helvetica" w:hAnsi="Helvetica"/>
        </w:rPr>
        <w:t>gression</w:t>
      </w:r>
      <w:r w:rsidR="00325499" w:rsidRPr="00DB10F3">
        <w:rPr>
          <w:rFonts w:ascii="Helvetica" w:hAnsi="Helvetica"/>
        </w:rPr>
        <w:t xml:space="preserve"> </w:t>
      </w:r>
      <w:r w:rsidR="00F94E1E" w:rsidRPr="00DB10F3">
        <w:rPr>
          <w:rFonts w:ascii="Helvetica" w:hAnsi="Helvetica"/>
        </w:rPr>
        <w:fldChar w:fldCharType="begin" w:fldLock="1"/>
      </w:r>
      <w:r w:rsidR="00557B73" w:rsidRPr="00DB10F3">
        <w:rPr>
          <w:rFonts w:ascii="Helvetica" w:hAnsi="Helvetica"/>
        </w:rPr>
        <w:instrText>ADDIN CSL_CITATION {"citationItems":[{"id":"ITEM-1","itemData":{"DOI":"10.1002/bjs.10900","ISSN":"13652168","PMID":"30047556","abstract":"Background: The aim was to define the pathological response in lymph nodes following neoadjuvant chemotherapy for oesophageal adenocarcinoma and to quantify any associated survival benefit. Methods: Lymph nodes retrieved at oesophagectomy were examined retrospectively by two pathologists for evidence of a response to chemotherapy. Patients were classified as lymph node-negative (either negative nodes with no evidence of previous tumour involvement or negative with evidence of complete regression) or positive (allocated a lymph node regression score based on the proportion of fibrosis to residual tumour). Lymph node responders (score 1, complete response; 2, less than 10 per cent remaining tumour; 3, 10–50 per cent remaining tumour) and non-responders (score 4, more than 50 per cent viable tumour; 5, no response) were compared in survival analyses using Kaplan–Meier and Cox regression analysis. Results: Among 377 patients, 256 had neoadjuvant chemotherapy. Overall, 68 of 256 patients (26·6 per cent) had a lymph node response and 115 (44·9 per cent) did not. The remaining 73 patients (28·5 per cent) had negative lymph nodes with no evidence of regression. Some patients had a lymph node response in the absence of a response in the primary tumour (27 of 99, 27 per cent). Lymph node responders had a significant survival benefit (P &lt; 0·001), even when stratified by patients with or without a response in the primary tumour. On multivariable analysis, lymph node responders had decreased overall (hazard ratio 0·53, 95 per cent c.i. 0·36 to 0·78) and disease-specific (HR 0·42, 0·27 to 0·66) mortality, and experienced reduced local and systemic recurrence. Conclusion: Lymph node regression is a strong prognostic factor and may be more important than response in the primary tumour.","author":[{"dropping-particle":"","family":"Davies","given":"A.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dropping-particle":"","family":"Kelly","given":"M.","non-dropping-particle":"","parse-names":false,"suffix":""},{"dropping-particle":"","family":"Ngan","given":"S.","non-dropping-particle":"","parse-names":false,"suffix":""},{"dropping-particle":"","family":"Qureshi","given":"A.","non-dropping-particle":"","parse-names":false,"suffix":""},{"dropping-particle":"","family":"Gaya","given":"A.","non-dropping-particle":"","parse-names":false,"suffix":""},{"dropping-particle":"","family":"Griffin","given":"N.","non-dropping-particle":"","parse-names":false,"suffix":""},{"dropping-particle":"","family":"Jacques","given":"A.","non-dropping-particle":"","parse-names":false,"suffix":""},{"dropping-particle":"","family":"Goh","given":"V.","non-dropping-particle":"","parse-names":false,"suffix":""},{"dropping-particle":"","family":"Deere","given":"H.","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Dunn","given":"J.","non-dropping-particle":"","parse-names":false,"suffix":""},{"dropping-particle":"","family":"Zeki","given":"S.","non-dropping-particle":"","parse-names":false,"suffix":""},{"dropping-particle":"","family":"Meenan","given":"J.","non-dropping-particle":"","parse-names":false,"suffix":""},{"dropping-particle":"","family":"Hynes","given":"O.","non-dropping-particle":"","parse-names":false,"suffix":""},{"dropping-particle":"","family":"Tham","given":"G.","non-dropping-particle":"","parse-names":false,"suffix":""},{"dropping-particle":"","family":"Iezzi","given":"C.","non-dropping-particle":"","parse-names":false,"suffix":""},{"dropping-particle":"","family":"Dellaportas","given":"D.","non-dropping-particle":"","parse-names":false,"suffix":""},{"dropping-particle":"","family":"Cowie","given":"A.","non-dropping-particle":"","parse-names":false,"suffix":""},{"dropping-particle":"","family":"Knight","given":"W.","non-dropping-particle":"","parse-names":false,"suffix":""},{"dropping-particle":"","family":"Valeri","given":"N.","non-dropping-particle":"","parse-names":false,"suffix":""}],"container-title":"British Journal of Surgery","id":"ITEM-1","issue":"12","issued":{"date-parts":[["2018"]]},"page":"1639-1649","title":"Lymph node regression and survival following neoadjuvant chemotherapy in oesophageal adenocarcinoma","type":"article-journal","volume":"105"},"uris":["http://www.mendeley.com/documents/?uuid=ded0aeef-82ae-4b4a-a6f7-e577039bc21a"]},{"id":"ITEM-2","itemData":{"DOI":"10.1016/J.EJSO.2021.12.021","ISSN":"0748-7983","PMID":"34974947","abstract":"&lt;h2&gt;Abstract&lt;/h2&gt;&lt;h3&gt;Background&lt;/h3&gt;&lt;p&gt;The prognostic value of lymph node regression (LNR) following neoadjuvant chemotherapy (nCT) for oesophageal and gastro-oeosphageal adenocarcinoma remains unclear. This study aimed to characterise the long-term survival outcomes of LNR in patients having resectional surgery after nCT.&lt;/p&gt;&lt;h3&gt;Methods&lt;/h3&gt;&lt;p&gt;This study included patients undergoing oesophagectomy or extended total gastrectomy for oesophageal and junctional tumours (Siewert types 1,2,3) at the Queen Elizabeth Hospital Birmingham from 2012 to 2018. Lymph nodes retrieved at surgery were examined for evidence of a response to chemotherapy. Patients were classified as lymph node-negative (either negative nodes with no evidence of previous tumour involvement or negative with evidence of complete regression) or positive with either partial or no response.&lt;/p&gt;&lt;h3&gt;Results&lt;/h3&gt;&lt;p&gt;This study identified 183 patients who received nCT, of which 71% (130/183) had positive lymph nodes. Of these 130 patients, 44% (57/130) had a lymph node response and 56% (73/130) did not. The remaining 53 patients (29.0%) had negative lymph nodes with no evidence of tumour. Lymph node responders had a significant survival benefit compared to patients without lymph node response, but shorter than those with negative lymph nodes (median: 27 vs 18 vs NR months, p &lt; 0·001). On multivariable analysis, lymph node responders had an improved overall (Hazard ratio (HR): 0.86, 95% CI: 0.80–0.92, p &lt; 0.001) and recurrence-free (HR: 0.90, 95% CI: 0.82–0.98, p = 0.030) survival.&lt;/p&gt;&lt;h3&gt;Conclusion&lt;/h3&gt;&lt;p&gt;Lymph node regression is an important prognostic factor, warranting closer evaluation over primary tumour response to help with planning further adjuvant therapy in these patients.&lt;/p&gt;","author":[{"dropping-particle":"","family":"Evans","given":"Richard PT","non-dropping-particle":"","parse-names":false,"suffix":""},{"dropping-particle":"","family":"Kamarajah","given":"Sivesh K.","non-dropping-particle":"","parse-names":false,"suffix":""},{"dropping-particle":"","family":"Kunene","given":"Victoria","non-dropping-particle":"","parse-names":false,"suffix":""},{"dropping-particle":"","family":"Zardo","given":"Davide","non-dropping-particle":"","parse-names":false,"suffix":""},{"dropping-particle":"","family":"Elshafie","given":"Mona","non-dropping-particle":"","parse-names":false,"suffix":""},{"dropping-particle":"","family":"Griffiths","given":"Ewen A.","non-dropping-particle":"","parse-names":false,"suffix":""}],"container-title":"European Journal of Surgical Oncology","id":"ITEM-2","issue":"0","issued":{"date-parts":[["2022"]]},"publisher":"Elsevier","title":"Impact of neoadjuvant chemotherapy on nodal regression and survival in oesophageal adenocarcinoma","type":"article-journal","volume":"0"},"uris":["http://www.mendeley.com/documents/?uuid=fc654f62-f379-312f-92b6-fa72a0dcdca9"]},{"id":"ITEM-3","itemData":{"DOI":"10.1097/SLA.0000000000004238","ISSN":"15281140","PMID":"32910622","abstract":"Objective:To evaluate pathological response to NAC in metastatic LNs, and assess its clinical prognostic significance in patients with EC.Summary of Background Data:The pathological response to preoperative treatment is commonly evaluated in the PT. However, LN metastases strongly correlate with systemic micro-metastases. Thus, pathological evaluation of LN response could more accurately predict prognosis in EC patients undergoing NAC before surgery.Methods:We enrolled 371 consecutive patients who underwent triplet NAC followed by surgery for EC between January 2010 and December 2016. Pathological LN regression grade was defined by the proportion of viable tumor area within the whole tumor bed area for all metastatic LNs: grade I, &gt;50%; II, 10%-50%; III, &lt;10%; and IV, 0%. We analyzed the correlation of grade with clinico-pathological parameters.Results:Among 319 patients with clinically positive LNs, pathological LN regression grades were I/II/III/IV in 115/51/58/95 patients, and 191 patients (59.9%) showed discordance between the PT and LN pathological regression grades. LN regression grade significantly correlated with cN positive number, ypTNM, lymphovascular invasion, and clinical/pathological PT response. Multivariate analysis for recurrence-free survival revealed that LN regression grade [hazard ratio (HR) = 2.25, P &lt; 0.001], ypT (HR = 1.65, P = 0.005), and ypT (HR = 1.62, P = 0.004) were independent prognostic factors, but not pathological PT regression grade (P = 0.67).Conclusions:Compared to PT response, pathological LN response better predicted long-term survival in EC patients who received NAC plus curative surgery.","author":[{"dropping-particle":"","family":"Hagi","given":"Takaomi","non-dropping-particle":"","parse-names":false,"suffix":""},{"dropping-particle":"","family":"Makino","given":"Tomoki","non-dropping-particle":"","parse-names":false,"suffix":""},{"dropping-particle":"","family":"Yamasaki","given":"Makoto","non-dropping-particle":"","parse-names":false,"suffix":""},{"dropping-particle":"","family":"Yamashita","given":"Kotaro","non-dropping-particle":"","parse-names":false,"suffix":""},{"dropping-particle":"","family":"Tanaka","given":"Koji","non-dropping-particle":"","parse-names":false,"suffix":""},{"dropping-particle":"","family":"Saito","given":"Takuro","non-dropping-particle":"","parse-names":false,"suffix":""},{"dropping-particle":"","family":"Takahashi","given":"Tsuyoshi","non-dropping-particle":"","parse-names":false,"suffix":""},{"dropping-particle":"","family":"Kurokawa","given":"Yukinori","non-dropping-particle":"","parse-names":false,"suffix":""},{"dropping-particle":"","family":"Motoori","given":"Masaaki","non-dropping-particle":"","parse-names":false,"suffix":""},{"dropping-particle":"","family":"Kimura","given":"Yutaka","non-dropping-particle":"","parse-names":false,"suffix":""},{"dropping-particle":"","family":"Nakajima","given":"Kiyokazu","non-dropping-particle":"","parse-names":false,"suffix":""},{"dropping-particle":"","family":"Morii","given":"Eiichi","non-dropping-particle":"","parse-names":false,"suffix":""},{"dropping-particle":"","family":"Eguchi","given":"Hidetoshi","non-dropping-particle":"","parse-names":false,"suffix":""},{"dropping-particle":"","family":"Doki","given":"Yuichiro","non-dropping-particle":"","parse-names":false,"suffix":""}],"container-title":"Annals of Surgery","id":"ITEM-3","issue":"6","issued":{"date-parts":[["2022","6","1"]]},"page":"1121-1129","publisher":"Lippincott Williams and Wilkins","title":"Pathological Regression of Lymph Nodes Better Predicts Long-term Survival in Esophageal Cancer Patients Undergoing Neoadjuvant Chemotherapy Followed by Surgery","type":"article-journal","volume":"275"},"uris":["http://www.mendeley.com/documents/?uuid=1610403a-fdf0-3068-bb6a-855ff9b7caa2"]}],"mendeley":{"formattedCitation":"&lt;sup&gt;9–11&lt;/sup&gt;","plainTextFormattedCitation":"9–11","previouslyFormattedCitation":"&lt;sup&gt;9–11&lt;/sup&gt;"},"properties":{"noteIndex":0},"schema":"https://github.com/citation-style-language/schema/raw/master/csl-citation.json"}</w:instrText>
      </w:r>
      <w:r w:rsidR="00F94E1E" w:rsidRPr="00DB10F3">
        <w:rPr>
          <w:rFonts w:ascii="Helvetica" w:hAnsi="Helvetica"/>
        </w:rPr>
        <w:fldChar w:fldCharType="separate"/>
      </w:r>
      <w:r w:rsidR="00962D57" w:rsidRPr="00DB10F3">
        <w:rPr>
          <w:rFonts w:ascii="Helvetica" w:hAnsi="Helvetica"/>
          <w:noProof/>
          <w:vertAlign w:val="superscript"/>
        </w:rPr>
        <w:t>9–11</w:t>
      </w:r>
      <w:r w:rsidR="00F94E1E" w:rsidRPr="00DB10F3">
        <w:rPr>
          <w:rFonts w:ascii="Helvetica" w:hAnsi="Helvetica"/>
        </w:rPr>
        <w:fldChar w:fldCharType="end"/>
      </w:r>
      <w:r w:rsidR="00A22605" w:rsidRPr="00DB10F3">
        <w:rPr>
          <w:rFonts w:ascii="Helvetica" w:hAnsi="Helvetica"/>
        </w:rPr>
        <w:t>.</w:t>
      </w:r>
      <w:r w:rsidR="007E46C0" w:rsidRPr="00DB10F3">
        <w:rPr>
          <w:rFonts w:ascii="Helvetica" w:hAnsi="Helvetica"/>
        </w:rPr>
        <w:t xml:space="preserve"> </w:t>
      </w:r>
      <w:r w:rsidR="00D6772E" w:rsidRPr="00DB10F3">
        <w:rPr>
          <w:rFonts w:ascii="Helvetica" w:hAnsi="Helvetica"/>
        </w:rPr>
        <w:t>Furthermore, there is emerging evidence of a discrepancy</w:t>
      </w:r>
      <w:r w:rsidR="008148FE" w:rsidRPr="00DB10F3">
        <w:rPr>
          <w:rFonts w:ascii="Helvetica" w:hAnsi="Helvetica"/>
        </w:rPr>
        <w:t xml:space="preserve"> in response</w:t>
      </w:r>
      <w:r w:rsidR="00D6772E" w:rsidRPr="00DB10F3">
        <w:rPr>
          <w:rFonts w:ascii="Helvetica" w:hAnsi="Helvetica"/>
        </w:rPr>
        <w:t xml:space="preserve"> </w:t>
      </w:r>
      <w:r w:rsidR="00EF5F5D" w:rsidRPr="00DB10F3">
        <w:rPr>
          <w:rFonts w:ascii="Helvetica" w:hAnsi="Helvetica"/>
        </w:rPr>
        <w:t>between</w:t>
      </w:r>
      <w:r w:rsidR="008148FE" w:rsidRPr="00DB10F3">
        <w:rPr>
          <w:rFonts w:ascii="Helvetica" w:hAnsi="Helvetica"/>
        </w:rPr>
        <w:t xml:space="preserve"> </w:t>
      </w:r>
      <w:r w:rsidR="00D6772E" w:rsidRPr="00DB10F3">
        <w:rPr>
          <w:rFonts w:ascii="Helvetica" w:hAnsi="Helvetica"/>
        </w:rPr>
        <w:t xml:space="preserve">primary </w:t>
      </w:r>
      <w:proofErr w:type="spellStart"/>
      <w:r w:rsidR="0019785E">
        <w:rPr>
          <w:rFonts w:ascii="Helvetica" w:hAnsi="Helvetica"/>
        </w:rPr>
        <w:t>tumor</w:t>
      </w:r>
      <w:proofErr w:type="spellEnd"/>
      <w:r w:rsidR="00D6772E" w:rsidRPr="00DB10F3">
        <w:rPr>
          <w:rFonts w:ascii="Helvetica" w:hAnsi="Helvetica"/>
        </w:rPr>
        <w:t xml:space="preserve"> </w:t>
      </w:r>
      <w:r w:rsidR="00EF5F5D" w:rsidRPr="00DB10F3">
        <w:rPr>
          <w:rFonts w:ascii="Helvetica" w:hAnsi="Helvetica"/>
        </w:rPr>
        <w:t xml:space="preserve">and </w:t>
      </w:r>
      <w:r w:rsidR="00867A8B" w:rsidRPr="00DB10F3">
        <w:rPr>
          <w:rFonts w:ascii="Helvetica" w:hAnsi="Helvetica"/>
        </w:rPr>
        <w:t xml:space="preserve">metastatic </w:t>
      </w:r>
      <w:r w:rsidR="00EF5F5D" w:rsidRPr="00DB10F3">
        <w:rPr>
          <w:rFonts w:ascii="Helvetica" w:hAnsi="Helvetica"/>
        </w:rPr>
        <w:t>LNs in</w:t>
      </w:r>
      <w:r w:rsidR="00867A8B" w:rsidRPr="00DB10F3">
        <w:rPr>
          <w:rFonts w:ascii="Helvetica" w:hAnsi="Helvetica"/>
        </w:rPr>
        <w:t xml:space="preserve"> up to </w:t>
      </w:r>
      <w:r w:rsidR="003C3004" w:rsidRPr="00DB10F3">
        <w:rPr>
          <w:rFonts w:ascii="Helvetica" w:hAnsi="Helvetica"/>
        </w:rPr>
        <w:t>30</w:t>
      </w:r>
      <w:r w:rsidR="00867A8B" w:rsidRPr="00DB10F3">
        <w:rPr>
          <w:rFonts w:ascii="Helvetica" w:hAnsi="Helvetica"/>
        </w:rPr>
        <w:t>% of patients</w:t>
      </w:r>
      <w:r w:rsidR="00D6772E" w:rsidRPr="00DB10F3">
        <w:rPr>
          <w:rFonts w:ascii="Helvetica" w:hAnsi="Helvetica"/>
        </w:rPr>
        <w:t xml:space="preserve"> </w:t>
      </w:r>
      <w:r w:rsidR="00D6772E" w:rsidRPr="00DB10F3">
        <w:rPr>
          <w:rFonts w:ascii="Helvetica" w:hAnsi="Helvetica"/>
        </w:rPr>
        <w:fldChar w:fldCharType="begin" w:fldLock="1"/>
      </w:r>
      <w:r w:rsidR="00557B73" w:rsidRPr="00DB10F3">
        <w:rPr>
          <w:rFonts w:ascii="Helvetica" w:hAnsi="Helvetica"/>
        </w:rPr>
        <w:instrText>ADDIN CSL_CITATION {"citationItems":[{"id":"ITEM-1","itemData":{"DOI":"10.1016/J.EJSO.2021.12.021","ISSN":"0748-7983","PMID":"34974947","abstract":"&lt;h2&gt;Abstract&lt;/h2&gt;&lt;h3&gt;Background&lt;/h3&gt;&lt;p&gt;The prognostic value of lymph node regression (LNR) following neoadjuvant chemotherapy (nCT) for oesophageal and gastro-oeosphageal adenocarcinoma remains unclear. This study aimed to characterise the long-term survival outcomes of LNR in patients having resectional surgery after nCT.&lt;/p&gt;&lt;h3&gt;Methods&lt;/h3&gt;&lt;p&gt;This study included patients undergoing oesophagectomy or extended total gastrectomy for oesophageal and junctional tumours (Siewert types 1,2,3) at the Queen Elizabeth Hospital Birmingham from 2012 to 2018. Lymph nodes retrieved at surgery were examined for evidence of a response to chemotherapy. Patients were classified as lymph node-negative (either negative nodes with no evidence of previous tumour involvement or negative with evidence of complete regression) or positive with either partial or no response.&lt;/p&gt;&lt;h3&gt;Results&lt;/h3&gt;&lt;p&gt;This study identified 183 patients who received nCT, of which 71% (130/183) had positive lymph nodes. Of these 130 patients, 44% (57/130) had a lymph node response and 56% (73/130) did not. The remaining 53 patients (29.0%) had negative lymph nodes with no evidence of tumour. Lymph node responders had a significant survival benefit compared to patients without lymph node response, but shorter than those with negative lymph nodes (median: 27 vs 18 vs NR months, p &lt; 0·001). On multivariable analysis, lymph node responders had an improved overall (Hazard ratio (HR): 0.86, 95% CI: 0.80–0.92, p &lt; 0.001) and recurrence-free (HR: 0.90, 95% CI: 0.82–0.98, p = 0.030) survival.&lt;/p&gt;&lt;h3&gt;Conclusion&lt;/h3&gt;&lt;p&gt;Lymph node regression is an important prognostic factor, warranting closer evaluation over primary tumour response to help with planning further adjuvant therapy in these patients.&lt;/p&gt;","author":[{"dropping-particle":"","family":"Evans","given":"Richard PT","non-dropping-particle":"","parse-names":false,"suffix":""},{"dropping-particle":"","family":"Kamarajah","given":"Sivesh K.","non-dropping-particle":"","parse-names":false,"suffix":""},{"dropping-particle":"","family":"Kunene","given":"Victoria","non-dropping-particle":"","parse-names":false,"suffix":""},{"dropping-particle":"","family":"Zardo","given":"Davide","non-dropping-particle":"","parse-names":false,"suffix":""},{"dropping-particle":"","family":"Elshafie","given":"Mona","non-dropping-particle":"","parse-names":false,"suffix":""},{"dropping-particle":"","family":"Griffiths","given":"Ewen A.","non-dropping-particle":"","parse-names":false,"suffix":""}],"container-title":"European Journal of Surgical Oncology","id":"ITEM-1","issue":"0","issued":{"date-parts":[["2022"]]},"publisher":"Elsevier","title":"Impact of neoadjuvant chemotherapy on nodal regression and survival in oesophageal adenocarcinoma","type":"article-journal","volume":"0"},"uris":["http://www.mendeley.com/documents/?uuid=fc654f62-f379-312f-92b6-fa72a0dcdca9"]},{"id":"ITEM-2","itemData":{"DOI":"10.1002/bjs.10900","ISSN":"13652168","PMID":"30047556","abstract":"Background: The aim was to define the pathological response in lymph nodes following neoadjuvant chemotherapy for oesophageal adenocarcinoma and to quantify any associated survival benefit. Methods: Lymph nodes retrieved at oesophagectomy were examined retrospectively by two pathologists for evidence of a response to chemotherapy. Patients were classified as lymph node-negative (either negative nodes with no evidence of previous tumour involvement or negative with evidence of complete regression) or positive (allocated a lymph node regression score based on the proportion of fibrosis to residual tumour). Lymph node responders (score 1, complete response; 2, less than 10 per cent remaining tumour; 3, 10–50 per cent remaining tumour) and non-responders (score 4, more than 50 per cent viable tumour; 5, no response) were compared in survival analyses using Kaplan–Meier and Cox regression analysis. Results: Among 377 patients, 256 had neoadjuvant chemotherapy. Overall, 68 of 256 patients (26·6 per cent) had a lymph node response and 115 (44·9 per cent) did not. The remaining 73 patients (28·5 per cent) had negative lymph nodes with no evidence of regression. Some patients had a lymph node response in the absence of a response in the primary tumour (27 of 99, 27 per cent). Lymph node responders had a significant survival benefit (P &lt; 0·001), even when stratified by patients with or without a response in the primary tumour. On multivariable analysis, lymph node responders had decreased overall (hazard ratio 0·53, 95 per cent c.i. 0·36 to 0·78) and disease-specific (HR 0·42, 0·27 to 0·66) mortality, and experienced reduced local and systemic recurrence. Conclusion: Lymph node regression is a strong prognostic factor and may be more important than response in the primary tumour.","author":[{"dropping-particle":"","family":"Davies","given":"A.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dropping-particle":"","family":"Kelly","given":"M.","non-dropping-particle":"","parse-names":false,"suffix":""},{"dropping-particle":"","family":"Ngan","given":"S.","non-dropping-particle":"","parse-names":false,"suffix":""},{"dropping-particle":"","family":"Qureshi","given":"A.","non-dropping-particle":"","parse-names":false,"suffix":""},{"dropping-particle":"","family":"Gaya","given":"A.","non-dropping-particle":"","parse-names":false,"suffix":""},{"dropping-particle":"","family":"Griffin","given":"N.","non-dropping-particle":"","parse-names":false,"suffix":""},{"dropping-particle":"","family":"Jacques","given":"A.","non-dropping-particle":"","parse-names":false,"suffix":""},{"dropping-particle":"","family":"Goh","given":"V.","non-dropping-particle":"","parse-names":false,"suffix":""},{"dropping-particle":"","family":"Deere","given":"H.","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Dunn","given":"J.","non-dropping-particle":"","parse-names":false,"suffix":""},{"dropping-particle":"","family":"Zeki","given":"S.","non-dropping-particle":"","parse-names":false,"suffix":""},{"dropping-particle":"","family":"Meenan","given":"J.","non-dropping-particle":"","parse-names":false,"suffix":""},{"dropping-particle":"","family":"Hynes","given":"O.","non-dropping-particle":"","parse-names":false,"suffix":""},{"dropping-particle":"","family":"Tham","given":"G.","non-dropping-particle":"","parse-names":false,"suffix":""},{"dropping-particle":"","family":"Iezzi","given":"C.","non-dropping-particle":"","parse-names":false,"suffix":""},{"dropping-particle":"","family":"Dellaportas","given":"D.","non-dropping-particle":"","parse-names":false,"suffix":""},{"dropping-particle":"","family":"Cowie","given":"A.","non-dropping-particle":"","parse-names":false,"suffix":""},{"dropping-particle":"","family":"Knight","given":"W.","non-dropping-particle":"","parse-names":false,"suffix":""},{"dropping-particle":"","family":"Valeri","given":"N.","non-dropping-particle":"","parse-names":false,"suffix":""}],"container-title":"British Journal of Surgery","id":"ITEM-2","issue":"12","issued":{"date-parts":[["2018"]]},"page":"1639-1649","title":"Lymph node regression and survival following neoadjuvant chemotherapy in oesophageal adenocarcinoma","type":"article-journal","volume":"105"},"uris":["http://www.mendeley.com/documents/?uuid=ded0aeef-82ae-4b4a-a6f7-e577039bc21a"]}],"mendeley":{"formattedCitation":"&lt;sup&gt;9,10&lt;/sup&gt;","plainTextFormattedCitation":"9,10","previouslyFormattedCitation":"&lt;sup&gt;9,10&lt;/sup&gt;"},"properties":{"noteIndex":0},"schema":"https://github.com/citation-style-language/schema/raw/master/csl-citation.json"}</w:instrText>
      </w:r>
      <w:r w:rsidR="00D6772E" w:rsidRPr="00DB10F3">
        <w:rPr>
          <w:rFonts w:ascii="Helvetica" w:hAnsi="Helvetica"/>
        </w:rPr>
        <w:fldChar w:fldCharType="separate"/>
      </w:r>
      <w:r w:rsidR="00962D57" w:rsidRPr="00DB10F3">
        <w:rPr>
          <w:rFonts w:ascii="Helvetica" w:hAnsi="Helvetica"/>
          <w:noProof/>
          <w:vertAlign w:val="superscript"/>
        </w:rPr>
        <w:t>9,10</w:t>
      </w:r>
      <w:r w:rsidR="00D6772E" w:rsidRPr="00DB10F3">
        <w:rPr>
          <w:rFonts w:ascii="Helvetica" w:hAnsi="Helvetica"/>
        </w:rPr>
        <w:fldChar w:fldCharType="end"/>
      </w:r>
      <w:r w:rsidR="00D6772E" w:rsidRPr="00DB10F3">
        <w:rPr>
          <w:rFonts w:ascii="Helvetica" w:hAnsi="Helvetica"/>
        </w:rPr>
        <w:t xml:space="preserve">. </w:t>
      </w:r>
      <w:r w:rsidR="007C4EF8" w:rsidRPr="00DB10F3">
        <w:rPr>
          <w:rFonts w:ascii="Helvetica" w:hAnsi="Helvetica"/>
        </w:rPr>
        <w:t xml:space="preserve">It </w:t>
      </w:r>
      <w:r w:rsidR="00A019FF" w:rsidRPr="00DB10F3">
        <w:rPr>
          <w:rFonts w:ascii="Helvetica" w:hAnsi="Helvetica"/>
        </w:rPr>
        <w:t xml:space="preserve">has been hypothesised that this discrepancy may be a result of variation in chemosensitivity </w:t>
      </w:r>
      <w:r w:rsidR="003C3004" w:rsidRPr="00DB10F3">
        <w:rPr>
          <w:rFonts w:ascii="Helvetica" w:hAnsi="Helvetica"/>
        </w:rPr>
        <w:t xml:space="preserve">between </w:t>
      </w:r>
      <w:r w:rsidR="00A019FF" w:rsidRPr="00DB10F3">
        <w:rPr>
          <w:rFonts w:ascii="Helvetica" w:hAnsi="Helvetica"/>
        </w:rPr>
        <w:t xml:space="preserve">different clonal populations of </w:t>
      </w:r>
      <w:r w:rsidR="007C4EF8" w:rsidRPr="00DB10F3">
        <w:rPr>
          <w:rFonts w:ascii="Helvetica" w:hAnsi="Helvetica"/>
        </w:rPr>
        <w:t>cancer</w:t>
      </w:r>
      <w:r w:rsidR="00A019FF" w:rsidRPr="00DB10F3">
        <w:rPr>
          <w:rFonts w:ascii="Helvetica" w:hAnsi="Helvetica"/>
        </w:rPr>
        <w:t xml:space="preserve"> cells</w:t>
      </w:r>
      <w:r w:rsidR="007C4EF8" w:rsidRPr="00DB10F3">
        <w:rPr>
          <w:rFonts w:ascii="Helvetica" w:hAnsi="Helvetica"/>
        </w:rPr>
        <w:t xml:space="preserve"> </w:t>
      </w:r>
      <w:r w:rsidR="00867A8B" w:rsidRPr="00DB10F3">
        <w:rPr>
          <w:rFonts w:ascii="Helvetica" w:hAnsi="Helvetica"/>
        </w:rPr>
        <w:t>with</w:t>
      </w:r>
      <w:r w:rsidR="007C4EF8" w:rsidRPr="00DB10F3">
        <w:rPr>
          <w:rFonts w:ascii="Helvetica" w:hAnsi="Helvetica"/>
        </w:rPr>
        <w:t xml:space="preserve">in the </w:t>
      </w:r>
      <w:proofErr w:type="spellStart"/>
      <w:r w:rsidR="0019785E">
        <w:rPr>
          <w:rFonts w:ascii="Helvetica" w:hAnsi="Helvetica"/>
        </w:rPr>
        <w:t>tumor</w:t>
      </w:r>
      <w:proofErr w:type="spellEnd"/>
      <w:r w:rsidR="007C4EF8" w:rsidRPr="00DB10F3">
        <w:rPr>
          <w:rFonts w:ascii="Helvetica" w:hAnsi="Helvetica"/>
        </w:rPr>
        <w:t xml:space="preserve"> microenvironment</w:t>
      </w:r>
      <w:r w:rsidR="00A019FF" w:rsidRPr="00DB10F3">
        <w:rPr>
          <w:rFonts w:ascii="Helvetica" w:hAnsi="Helvetica"/>
        </w:rPr>
        <w:t xml:space="preserve"> </w:t>
      </w:r>
      <w:r w:rsidR="00A019FF" w:rsidRPr="00DB10F3">
        <w:rPr>
          <w:rFonts w:ascii="Helvetica" w:hAnsi="Helvetica"/>
        </w:rPr>
        <w:fldChar w:fldCharType="begin" w:fldLock="1"/>
      </w:r>
      <w:r w:rsidR="00557B73" w:rsidRPr="00DB10F3">
        <w:rPr>
          <w:rFonts w:ascii="Helvetica" w:hAnsi="Helvetica"/>
        </w:rPr>
        <w:instrText>ADDIN CSL_CITATION {"citationItems":[{"id":"ITEM-1","itemData":{"DOI":"10.1038/S41588-019-0551-3","ISSN":"15461718","PMID":"31907488","abstract":"The poor outcomes in esophageal adenocarcinoma (EAC) prompted us to interrogate the pattern and timing of metastatic spread. Whole-genome sequencing and phylogenetic analysis of 388 samples across 18 individuals with EAC showed, in 90% of patients, that multiple subclones from the primary tumor spread very rapidly from the primary site to form multiple metastases, including lymph nodes and distant tissues—a mode of dissemination that we term ‘clonal diaspora’. Metastatic subclones at autopsy were present in tissue and blood samples from earlier time points. These findings have implications for our understanding and clinical evaluation of EAC.","author":[{"dropping-particle":"","family":"Noorani","given":"Ayesha","non-dropping-particle":"","parse-names":false,"suffix":""},{"dropping-particle":"","family":"Li","given":"Xiaodun","non-dropping-particle":"","parse-names":false,"suffix":""},{"dropping-particle":"","family":"Goddard","given":"Martin","non-dropping-particle":"","parse-names":false,"suffix":""},{"dropping-particle":"","family":"Crawte","given":"Jason","non-dropping-particle":"","parse-names":false,"suffix":""},{"dropping-particle":"","family":"Alexandrov","given":"Ludmil B.","non-dropping-particle":"","parse-names":false,"suffix":""},{"dropping-particle":"","family":"Secrier","given":"Maria","non-dropping-particle":"","parse-names":false,"suffix":""},{"dropping-particle":"","family":"Eldridge","given":"Matthew D.","non-dropping-particle":"","parse-names":false,"suffix":""},{"dropping-particle":"","family":"Bower","given":"Lawrence","non-dropping-particle":"","parse-names":false,"suffix":""},{"dropping-particle":"","family":"Weaver","given":"Jamie","non-dropping-particle":"","parse-names":false,"suffix":""},{"dropping-particle":"","family":"Lao-Sirieix","given":"Pierre","non-dropping-particle":"","parse-names":false,"suffix":""},{"dropping-particle":"","family":"Martincorena","given":"Inigo","non-dropping-particle":"","parse-names":false,"suffix":""},{"dropping-particle":"","family":"Debiram-Beecham","given":"Irene","non-dropping-particle":"","parse-names":false,"suffix":""},{"dropping-particle":"","family":"Grehan","given":"Nicola","non-dropping-particle":"","parse-names":false,"suffix":""},{"dropping-particle":"","family":"MacRae","given":"Shona","non-dropping-particle":"","parse-names":false,"suffix":""},{"dropping-particle":"","family":"Malhotra","given":"Shalini","non-dropping-particle":"","parse-names":false,"suffix":""},{"dropping-particle":"","family":"Miremadi","given":"Ahmad","non-dropping-particle":"","parse-names":false,"suffix":""},{"dropping-particle":"","family":"Thomas","given":"Tabitha","non-dropping-particle":"","parse-names":false,"suffix":""},{"dropping-particle":"","family":"Galbraith","given":"Sarah","non-dropping-particle":"","parse-names":false,"suffix":""},{"dropping-particle":"","family":"Petersen","given":"Lorraine","non-dropping-particle":"","parse-names":false,"suffix":""},{"dropping-particle":"","family":"Preston","given":"Stephen D.","non-dropping-particle":"","parse-names":false,"suffix":""},{"dropping-particle":"","family":"Gilligan","given":"David","non-dropping-particle":"","parse-names":false,"suffix":""},{"dropping-particle":"","family":"Hindmarsh","given":"Andrew","non-dropping-particle":"","parse-names":false,"suffix":""},{"dropping-particle":"","family":"Hardwick","given":"Richard H.","non-dropping-particle":"","parse-names":false,"suffix":""},{"dropping-particle":"","family":"Stratton","given":"Michael R.","non-dropping-particle":"","parse-names":false,"suffix":""},{"dropping-particle":"","family":"Wedge","given":"David C.","non-dropping-particle":"","parse-names":false,"suffix":""},{"dropping-particle":"","family":"Fitzgerald","given":"Rebecca C.","non-dropping-particle":"","parse-names":false,"suffix":""}],"container-title":"Nature genetics","id":"ITEM-1","issue":"1","issued":{"date-parts":[["2020","1","1"]]},"page":"74","publisher":"Europe PMC Funders","title":"Genomic evidence supports a clonal diaspora model for metastases of esophageal adenocarcinoma","type":"article-journal","volume":"52"},"uris":["http://www.mendeley.com/documents/?uuid=a451e8c3-40b5-342c-a2e4-1ceaecd0aaa9"]},{"id":"ITEM-2","itemData":{"DOI":"10.1002/bjs.10900","ISSN":"13652168","PMID":"30047556","abstract":"Background: The aim was to define the pathological response in lymph nodes following neoadjuvant chemotherapy for oesophageal adenocarcinoma and to quantify any associated survival benefit. Methods: Lymph nodes retrieved at oesophagectomy were examined retrospectively by two pathologists for evidence of a response to chemotherapy. Patients were classified as lymph node-negative (either negative nodes with no evidence of previous tumour involvement or negative with evidence of complete regression) or positive (allocated a lymph node regression score based on the proportion of fibrosis to residual tumour). Lymph node responders (score 1, complete response; 2, less than 10 per cent remaining tumour; 3, 10–50 per cent remaining tumour) and non-responders (score 4, more than 50 per cent viable tumour; 5, no response) were compared in survival analyses using Kaplan–Meier and Cox regression analysis. Results: Among 377 patients, 256 had neoadjuvant chemotherapy. Overall, 68 of 256 patients (26·6 per cent) had a lymph node response and 115 (44·9 per cent) did not. The remaining 73 patients (28·5 per cent) had negative lymph nodes with no evidence of regression. Some patients had a lymph node response in the absence of a response in the primary tumour (27 of 99, 27 per cent). Lymph node responders had a significant survival benefit (P &lt; 0·001), even when stratified by patients with or without a response in the primary tumour. On multivariable analysis, lymph node responders had decreased overall (hazard ratio 0·53, 95 per cent c.i. 0·36 to 0·78) and disease-specific (HR 0·42, 0·27 to 0·66) mortality, and experienced reduced local and systemic recurrence. Conclusion: Lymph node regression is a strong prognostic factor and may be more important than response in the primary tumour.","author":[{"dropping-particle":"","family":"Davies","given":"A.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dropping-particle":"","family":"Kelly","given":"M.","non-dropping-particle":"","parse-names":false,"suffix":""},{"dropping-particle":"","family":"Ngan","given":"S.","non-dropping-particle":"","parse-names":false,"suffix":""},{"dropping-particle":"","family":"Qureshi","given":"A.","non-dropping-particle":"","parse-names":false,"suffix":""},{"dropping-particle":"","family":"Gaya","given":"A.","non-dropping-particle":"","parse-names":false,"suffix":""},{"dropping-particle":"","family":"Griffin","given":"N.","non-dropping-particle":"","parse-names":false,"suffix":""},{"dropping-particle":"","family":"Jacques","given":"A.","non-dropping-particle":"","parse-names":false,"suffix":""},{"dropping-particle":"","family":"Goh","given":"V.","non-dropping-particle":"","parse-names":false,"suffix":""},{"dropping-particle":"","family":"Deere","given":"H.","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Dunn","given":"J.","non-dropping-particle":"","parse-names":false,"suffix":""},{"dropping-particle":"","family":"Zeki","given":"S.","non-dropping-particle":"","parse-names":false,"suffix":""},{"dropping-particle":"","family":"Meenan","given":"J.","non-dropping-particle":"","parse-names":false,"suffix":""},{"dropping-particle":"","family":"Hynes","given":"O.","non-dropping-particle":"","parse-names":false,"suffix":""},{"dropping-particle":"","family":"Tham","given":"G.","non-dropping-particle":"","parse-names":false,"suffix":""},{"dropping-particle":"","family":"Iezzi","given":"C.","non-dropping-particle":"","parse-names":false,"suffix":""},{"dropping-particle":"","family":"Dellaportas","given":"D.","non-dropping-particle":"","parse-names":false,"suffix":""},{"dropping-particle":"","family":"Cowie","given":"A.","non-dropping-particle":"","parse-names":false,"suffix":""},{"dropping-particle":"","family":"Knight","given":"W.","non-dropping-particle":"","parse-names":false,"suffix":""},{"dropping-particle":"","family":"Valeri","given":"N.","non-dropping-particle":"","parse-names":false,"suffix":""}],"container-title":"British Journal of Surgery","id":"ITEM-2","issue":"12","issued":{"date-parts":[["2018"]]},"page":"1639-1649","title":"Lymph node regression and survival following neoadjuvant chemotherapy in oesophageal adenocarcinoma","type":"article-journal","volume":"105"},"uris":["http://www.mendeley.com/documents/?uuid=ded0aeef-82ae-4b4a-a6f7-e577039bc21a"]}],"mendeley":{"formattedCitation":"&lt;sup&gt;9,12&lt;/sup&gt;","plainTextFormattedCitation":"9,12","previouslyFormattedCitation":"&lt;sup&gt;9,12&lt;/sup&gt;"},"properties":{"noteIndex":0},"schema":"https://github.com/citation-style-language/schema/raw/master/csl-citation.json"}</w:instrText>
      </w:r>
      <w:r w:rsidR="00A019FF" w:rsidRPr="00DB10F3">
        <w:rPr>
          <w:rFonts w:ascii="Helvetica" w:hAnsi="Helvetica"/>
        </w:rPr>
        <w:fldChar w:fldCharType="separate"/>
      </w:r>
      <w:r w:rsidR="00962D57" w:rsidRPr="00DB10F3">
        <w:rPr>
          <w:rFonts w:ascii="Helvetica" w:hAnsi="Helvetica"/>
          <w:noProof/>
          <w:vertAlign w:val="superscript"/>
        </w:rPr>
        <w:t>9,12</w:t>
      </w:r>
      <w:r w:rsidR="00A019FF" w:rsidRPr="00DB10F3">
        <w:rPr>
          <w:rFonts w:ascii="Helvetica" w:hAnsi="Helvetica"/>
        </w:rPr>
        <w:fldChar w:fldCharType="end"/>
      </w:r>
      <w:r w:rsidR="00A019FF" w:rsidRPr="00DB10F3">
        <w:rPr>
          <w:rFonts w:ascii="Helvetica" w:hAnsi="Helvetica"/>
        </w:rPr>
        <w:t>.</w:t>
      </w:r>
      <w:r w:rsidR="007C4EF8" w:rsidRPr="00DB10F3">
        <w:rPr>
          <w:rFonts w:ascii="Helvetica" w:hAnsi="Helvetica"/>
        </w:rPr>
        <w:t xml:space="preserve"> </w:t>
      </w:r>
      <w:r w:rsidR="00EF5F5D" w:rsidRPr="00DB10F3">
        <w:rPr>
          <w:rFonts w:ascii="Helvetica" w:hAnsi="Helvetica"/>
        </w:rPr>
        <w:t xml:space="preserve">However, there is no consensus on how best to define pathological </w:t>
      </w:r>
      <w:r w:rsidR="007362BA" w:rsidRPr="00DB10F3">
        <w:rPr>
          <w:rFonts w:ascii="Helvetica" w:hAnsi="Helvetica"/>
        </w:rPr>
        <w:t xml:space="preserve">LN </w:t>
      </w:r>
      <w:r w:rsidR="00EF5F5D" w:rsidRPr="00DB10F3">
        <w:rPr>
          <w:rFonts w:ascii="Helvetica" w:hAnsi="Helvetica"/>
        </w:rPr>
        <w:t>response</w:t>
      </w:r>
      <w:r w:rsidR="003B07E3" w:rsidRPr="00DB10F3">
        <w:rPr>
          <w:rFonts w:ascii="Helvetica" w:hAnsi="Helvetica"/>
        </w:rPr>
        <w:t>,</w:t>
      </w:r>
      <w:r w:rsidR="00655C7F" w:rsidRPr="00DB10F3">
        <w:rPr>
          <w:rFonts w:ascii="Helvetica" w:hAnsi="Helvetica"/>
        </w:rPr>
        <w:t xml:space="preserve"> with n</w:t>
      </w:r>
      <w:r w:rsidR="00EF5F5D" w:rsidRPr="00DB10F3">
        <w:rPr>
          <w:rFonts w:ascii="Helvetica" w:hAnsi="Helvetica"/>
        </w:rPr>
        <w:t>umerous different classifications previously utilis</w:t>
      </w:r>
      <w:r w:rsidR="008148FE" w:rsidRPr="00DB10F3">
        <w:rPr>
          <w:rFonts w:ascii="Helvetica" w:hAnsi="Helvetica"/>
        </w:rPr>
        <w:t>ed</w:t>
      </w:r>
      <w:r w:rsidR="00EC3461" w:rsidRPr="00DB10F3">
        <w:rPr>
          <w:rFonts w:ascii="Helvetica" w:hAnsi="Helvetica"/>
        </w:rPr>
        <w:t>,</w:t>
      </w:r>
      <w:r w:rsidR="007E7F4B" w:rsidRPr="00DB10F3">
        <w:rPr>
          <w:rFonts w:ascii="Helvetica" w:hAnsi="Helvetica"/>
        </w:rPr>
        <w:t xml:space="preserve"> </w:t>
      </w:r>
      <w:r w:rsidR="00655C7F" w:rsidRPr="00DB10F3">
        <w:rPr>
          <w:rFonts w:ascii="Helvetica" w:hAnsi="Helvetica"/>
        </w:rPr>
        <w:t>making</w:t>
      </w:r>
      <w:r w:rsidR="007E7F4B" w:rsidRPr="00DB10F3">
        <w:rPr>
          <w:rFonts w:ascii="Helvetica" w:hAnsi="Helvetica"/>
        </w:rPr>
        <w:t xml:space="preserve"> standardisation</w:t>
      </w:r>
      <w:r w:rsidR="00655C7F" w:rsidRPr="00DB10F3">
        <w:rPr>
          <w:rFonts w:ascii="Helvetica" w:hAnsi="Helvetica"/>
        </w:rPr>
        <w:t xml:space="preserve"> and comparison</w:t>
      </w:r>
      <w:r w:rsidR="007E7F4B" w:rsidRPr="00DB10F3">
        <w:rPr>
          <w:rFonts w:ascii="Helvetica" w:hAnsi="Helvetica"/>
        </w:rPr>
        <w:t xml:space="preserve"> between studies </w:t>
      </w:r>
      <w:r w:rsidR="00655C7F" w:rsidRPr="00DB10F3">
        <w:rPr>
          <w:rFonts w:ascii="Helvetica" w:hAnsi="Helvetica"/>
        </w:rPr>
        <w:t>difficult</w:t>
      </w:r>
      <w:r w:rsidR="00EF5F5D" w:rsidRPr="00DB10F3">
        <w:rPr>
          <w:rFonts w:ascii="Helvetica" w:hAnsi="Helvetica"/>
        </w:rPr>
        <w:t>.</w:t>
      </w:r>
    </w:p>
    <w:p w14:paraId="131B7856" w14:textId="77777777" w:rsidR="00CB68FA" w:rsidRPr="00DB10F3" w:rsidRDefault="00CB68FA" w:rsidP="00D96F49">
      <w:pPr>
        <w:spacing w:line="480" w:lineRule="auto"/>
        <w:rPr>
          <w:rFonts w:ascii="Helvetica" w:hAnsi="Helvetica"/>
        </w:rPr>
      </w:pPr>
    </w:p>
    <w:p w14:paraId="0A9E63DD" w14:textId="2B9F107C" w:rsidR="00D96F49" w:rsidRPr="00DB10F3" w:rsidRDefault="00325499" w:rsidP="00D96F49">
      <w:pPr>
        <w:spacing w:line="480" w:lineRule="auto"/>
        <w:rPr>
          <w:rFonts w:ascii="Helvetica" w:hAnsi="Helvetica"/>
        </w:rPr>
      </w:pPr>
      <w:r w:rsidRPr="00DB10F3">
        <w:rPr>
          <w:rFonts w:ascii="Helvetica" w:hAnsi="Helvetica"/>
        </w:rPr>
        <w:t>Th</w:t>
      </w:r>
      <w:r w:rsidR="00D85889" w:rsidRPr="00DB10F3">
        <w:rPr>
          <w:rFonts w:ascii="Helvetica" w:hAnsi="Helvetica"/>
        </w:rPr>
        <w:t>e</w:t>
      </w:r>
      <w:r w:rsidRPr="00DB10F3">
        <w:rPr>
          <w:rFonts w:ascii="Helvetica" w:hAnsi="Helvetica"/>
        </w:rPr>
        <w:t xml:space="preserve"> primary aim of this study was to evaluat</w:t>
      </w:r>
      <w:r w:rsidR="00FC5197" w:rsidRPr="00DB10F3">
        <w:rPr>
          <w:rFonts w:ascii="Helvetica" w:hAnsi="Helvetica"/>
        </w:rPr>
        <w:t>e</w:t>
      </w:r>
      <w:r w:rsidRPr="00DB10F3">
        <w:rPr>
          <w:rFonts w:ascii="Helvetica" w:hAnsi="Helvetica"/>
        </w:rPr>
        <w:t xml:space="preserve"> the effect of pathological </w:t>
      </w:r>
      <w:r w:rsidR="00EF5F5D" w:rsidRPr="00DB10F3">
        <w:rPr>
          <w:rFonts w:ascii="Helvetica" w:hAnsi="Helvetica"/>
        </w:rPr>
        <w:t>LN</w:t>
      </w:r>
      <w:r w:rsidRPr="00DB10F3">
        <w:rPr>
          <w:rFonts w:ascii="Helvetica" w:hAnsi="Helvetica"/>
        </w:rPr>
        <w:t xml:space="preserve"> regression on survival</w:t>
      </w:r>
      <w:r w:rsidR="009F5AE8" w:rsidRPr="00DB10F3">
        <w:rPr>
          <w:rFonts w:ascii="Helvetica" w:hAnsi="Helvetica"/>
        </w:rPr>
        <w:t xml:space="preserve"> </w:t>
      </w:r>
      <w:r w:rsidR="00AA1CBF">
        <w:rPr>
          <w:rFonts w:ascii="Helvetica" w:hAnsi="Helvetica"/>
        </w:rPr>
        <w:t>for</w:t>
      </w:r>
      <w:r w:rsidR="009F5AE8" w:rsidRPr="00DB10F3">
        <w:rPr>
          <w:rFonts w:ascii="Helvetica" w:hAnsi="Helvetica"/>
        </w:rPr>
        <w:t xml:space="preserve"> </w:t>
      </w:r>
      <w:proofErr w:type="spellStart"/>
      <w:r w:rsidR="0019785E">
        <w:rPr>
          <w:rFonts w:ascii="Helvetica" w:hAnsi="Helvetica"/>
        </w:rPr>
        <w:t>esophageal</w:t>
      </w:r>
      <w:proofErr w:type="spellEnd"/>
      <w:r w:rsidR="004041CA" w:rsidRPr="00DB10F3">
        <w:rPr>
          <w:rFonts w:ascii="Helvetica" w:hAnsi="Helvetica"/>
        </w:rPr>
        <w:t xml:space="preserve"> adenocarcinoma in </w:t>
      </w:r>
      <w:r w:rsidR="009F5AE8" w:rsidRPr="00DB10F3">
        <w:rPr>
          <w:rFonts w:ascii="Helvetica" w:hAnsi="Helvetica"/>
        </w:rPr>
        <w:t>a multicentre setting</w:t>
      </w:r>
      <w:r w:rsidRPr="00DB10F3">
        <w:rPr>
          <w:rFonts w:ascii="Helvetica" w:hAnsi="Helvetica"/>
        </w:rPr>
        <w:t>.</w:t>
      </w:r>
      <w:r w:rsidR="008148FE" w:rsidRPr="00DB10F3">
        <w:rPr>
          <w:rFonts w:ascii="Helvetica" w:hAnsi="Helvetica"/>
        </w:rPr>
        <w:t xml:space="preserve"> S</w:t>
      </w:r>
      <w:r w:rsidR="00F70B3E" w:rsidRPr="00DB10F3">
        <w:rPr>
          <w:rFonts w:ascii="Helvetica" w:hAnsi="Helvetica"/>
        </w:rPr>
        <w:t>econdary aim</w:t>
      </w:r>
      <w:r w:rsidR="008148FE" w:rsidRPr="00DB10F3">
        <w:rPr>
          <w:rFonts w:ascii="Helvetica" w:hAnsi="Helvetica"/>
        </w:rPr>
        <w:t>s</w:t>
      </w:r>
      <w:r w:rsidR="00F70B3E" w:rsidRPr="00DB10F3">
        <w:rPr>
          <w:rFonts w:ascii="Helvetica" w:hAnsi="Helvetica"/>
        </w:rPr>
        <w:t xml:space="preserve"> w</w:t>
      </w:r>
      <w:r w:rsidR="008148FE" w:rsidRPr="00DB10F3">
        <w:rPr>
          <w:rFonts w:ascii="Helvetica" w:hAnsi="Helvetica"/>
        </w:rPr>
        <w:t>ere</w:t>
      </w:r>
      <w:r w:rsidR="00F70B3E" w:rsidRPr="00DB10F3">
        <w:rPr>
          <w:rFonts w:ascii="Helvetica" w:hAnsi="Helvetica"/>
        </w:rPr>
        <w:t xml:space="preserve"> to establish </w:t>
      </w:r>
      <w:r w:rsidR="00EF5F5D" w:rsidRPr="00DB10F3">
        <w:rPr>
          <w:rFonts w:ascii="Helvetica" w:hAnsi="Helvetica"/>
        </w:rPr>
        <w:t xml:space="preserve">the optimum </w:t>
      </w:r>
      <w:r w:rsidR="00F70B3E" w:rsidRPr="00DB10F3">
        <w:rPr>
          <w:rFonts w:ascii="Helvetica" w:hAnsi="Helvetica"/>
        </w:rPr>
        <w:t xml:space="preserve">categorization of </w:t>
      </w:r>
      <w:r w:rsidR="00EF5F5D" w:rsidRPr="00DB10F3">
        <w:rPr>
          <w:rFonts w:ascii="Helvetica" w:hAnsi="Helvetica"/>
        </w:rPr>
        <w:t>LN</w:t>
      </w:r>
      <w:r w:rsidR="00F70B3E" w:rsidRPr="00DB10F3">
        <w:rPr>
          <w:rFonts w:ascii="Helvetica" w:hAnsi="Helvetica"/>
        </w:rPr>
        <w:t xml:space="preserve"> </w:t>
      </w:r>
      <w:r w:rsidR="00F70B3E" w:rsidRPr="00DB10F3">
        <w:rPr>
          <w:rFonts w:ascii="Helvetica" w:hAnsi="Helvetica"/>
        </w:rPr>
        <w:lastRenderedPageBreak/>
        <w:t xml:space="preserve">response </w:t>
      </w:r>
      <w:r w:rsidR="00875A00" w:rsidRPr="00DB10F3">
        <w:rPr>
          <w:rFonts w:ascii="Helvetica" w:hAnsi="Helvetica"/>
        </w:rPr>
        <w:t xml:space="preserve">that </w:t>
      </w:r>
      <w:r w:rsidR="00F70B3E" w:rsidRPr="00DB10F3">
        <w:rPr>
          <w:rFonts w:ascii="Helvetica" w:hAnsi="Helvetica"/>
        </w:rPr>
        <w:t>predict</w:t>
      </w:r>
      <w:r w:rsidR="00875A00" w:rsidRPr="00DB10F3">
        <w:rPr>
          <w:rFonts w:ascii="Helvetica" w:hAnsi="Helvetica"/>
        </w:rPr>
        <w:t>s</w:t>
      </w:r>
      <w:r w:rsidR="00F70B3E" w:rsidRPr="00DB10F3">
        <w:rPr>
          <w:rFonts w:ascii="Helvetica" w:hAnsi="Helvetica"/>
        </w:rPr>
        <w:t xml:space="preserve"> survival</w:t>
      </w:r>
      <w:r w:rsidR="004041CA" w:rsidRPr="00DB10F3">
        <w:rPr>
          <w:rFonts w:ascii="Helvetica" w:hAnsi="Helvetica"/>
        </w:rPr>
        <w:t xml:space="preserve"> </w:t>
      </w:r>
      <w:r w:rsidR="008148FE" w:rsidRPr="00DB10F3">
        <w:rPr>
          <w:rFonts w:ascii="Helvetica" w:hAnsi="Helvetica"/>
        </w:rPr>
        <w:t>and ex</w:t>
      </w:r>
      <w:r w:rsidR="00BD14D8" w:rsidRPr="00DB10F3">
        <w:rPr>
          <w:rFonts w:ascii="Helvetica" w:hAnsi="Helvetica"/>
        </w:rPr>
        <w:t xml:space="preserve">amine </w:t>
      </w:r>
      <w:r w:rsidR="008148FE" w:rsidRPr="00DB10F3">
        <w:rPr>
          <w:rFonts w:ascii="Helvetica" w:hAnsi="Helvetica"/>
        </w:rPr>
        <w:t xml:space="preserve">the association between primary </w:t>
      </w:r>
      <w:proofErr w:type="spellStart"/>
      <w:r w:rsidR="0019785E">
        <w:rPr>
          <w:rFonts w:ascii="Helvetica" w:hAnsi="Helvetica"/>
        </w:rPr>
        <w:t>tumor</w:t>
      </w:r>
      <w:proofErr w:type="spellEnd"/>
      <w:r w:rsidR="008148FE" w:rsidRPr="00DB10F3">
        <w:rPr>
          <w:rFonts w:ascii="Helvetica" w:hAnsi="Helvetica"/>
        </w:rPr>
        <w:t xml:space="preserve"> response and LN regression.</w:t>
      </w:r>
    </w:p>
    <w:p w14:paraId="66A3329A" w14:textId="77777777" w:rsidR="00EC3461" w:rsidRPr="00DB10F3" w:rsidRDefault="00EC3461" w:rsidP="004F5E68">
      <w:pPr>
        <w:spacing w:line="480" w:lineRule="auto"/>
        <w:rPr>
          <w:rFonts w:ascii="Helvetica" w:hAnsi="Helvetica"/>
          <w:b/>
        </w:rPr>
      </w:pPr>
    </w:p>
    <w:p w14:paraId="334B06A8" w14:textId="213E1B1F" w:rsidR="00DD5BC3" w:rsidRPr="00DB10F3" w:rsidRDefault="004F5E68" w:rsidP="004F5E68">
      <w:pPr>
        <w:spacing w:line="480" w:lineRule="auto"/>
        <w:rPr>
          <w:rFonts w:ascii="Helvetica" w:hAnsi="Helvetica"/>
          <w:b/>
        </w:rPr>
      </w:pPr>
      <w:r w:rsidRPr="00DB10F3">
        <w:rPr>
          <w:rFonts w:ascii="Helvetica" w:hAnsi="Helvetica"/>
          <w:b/>
        </w:rPr>
        <w:t>Methods</w:t>
      </w:r>
    </w:p>
    <w:p w14:paraId="31F8C932" w14:textId="638647F6" w:rsidR="004F5E68" w:rsidRPr="00DB10F3" w:rsidRDefault="004F5E68" w:rsidP="004F5E68">
      <w:pPr>
        <w:spacing w:line="480" w:lineRule="auto"/>
        <w:rPr>
          <w:rFonts w:ascii="Helvetica" w:hAnsi="Helvetica"/>
          <w:b/>
          <w:i/>
          <w:iCs/>
        </w:rPr>
      </w:pPr>
      <w:r w:rsidRPr="00DB10F3">
        <w:rPr>
          <w:rFonts w:ascii="Helvetica" w:hAnsi="Helvetica"/>
          <w:b/>
          <w:i/>
          <w:iCs/>
        </w:rPr>
        <w:t>Design</w:t>
      </w:r>
    </w:p>
    <w:p w14:paraId="31838FFF" w14:textId="44A70868" w:rsidR="004F5E68" w:rsidRPr="00DB10F3" w:rsidRDefault="004F5E68" w:rsidP="004F5E68">
      <w:pPr>
        <w:spacing w:line="480" w:lineRule="auto"/>
        <w:rPr>
          <w:rFonts w:ascii="Helvetica" w:hAnsi="Helvetica"/>
          <w:bCs/>
        </w:rPr>
      </w:pPr>
      <w:r w:rsidRPr="00DB10F3">
        <w:rPr>
          <w:rFonts w:ascii="Helvetica" w:hAnsi="Helvetica"/>
          <w:bCs/>
        </w:rPr>
        <w:t xml:space="preserve">This was a multicentre cohort study based </w:t>
      </w:r>
      <w:r w:rsidR="009E77E0" w:rsidRPr="00DB10F3">
        <w:rPr>
          <w:rFonts w:ascii="Helvetica" w:hAnsi="Helvetica"/>
          <w:bCs/>
        </w:rPr>
        <w:t xml:space="preserve">on </w:t>
      </w:r>
      <w:r w:rsidR="00867A8B" w:rsidRPr="00DB10F3">
        <w:rPr>
          <w:rFonts w:ascii="Helvetica" w:hAnsi="Helvetica"/>
          <w:bCs/>
        </w:rPr>
        <w:t xml:space="preserve">an </w:t>
      </w:r>
      <w:r w:rsidRPr="00DB10F3">
        <w:rPr>
          <w:rFonts w:ascii="Helvetica" w:hAnsi="Helvetica"/>
          <w:bCs/>
        </w:rPr>
        <w:t xml:space="preserve">ethically approved, prospectively maintained database of consecutive esophago-gastric resections performed at </w:t>
      </w:r>
      <w:r w:rsidR="009E77E0" w:rsidRPr="00DB10F3">
        <w:rPr>
          <w:rFonts w:ascii="Helvetica" w:hAnsi="Helvetica"/>
          <w:bCs/>
        </w:rPr>
        <w:t>five high</w:t>
      </w:r>
      <w:r w:rsidR="00BD14D8" w:rsidRPr="00DB10F3">
        <w:rPr>
          <w:rFonts w:ascii="Helvetica" w:hAnsi="Helvetica"/>
          <w:bCs/>
        </w:rPr>
        <w:t>-</w:t>
      </w:r>
      <w:r w:rsidR="009E77E0" w:rsidRPr="00DB10F3">
        <w:rPr>
          <w:rFonts w:ascii="Helvetica" w:hAnsi="Helvetica"/>
          <w:bCs/>
        </w:rPr>
        <w:t>volume tertiary centres in the United Kingdom</w:t>
      </w:r>
      <w:r w:rsidR="007362BA" w:rsidRPr="00DB10F3">
        <w:rPr>
          <w:rFonts w:ascii="Helvetica" w:hAnsi="Helvetica"/>
          <w:bCs/>
        </w:rPr>
        <w:t xml:space="preserve"> -</w:t>
      </w:r>
      <w:r w:rsidR="00D33A50" w:rsidRPr="00DB10F3">
        <w:rPr>
          <w:rFonts w:ascii="Helvetica" w:hAnsi="Helvetica"/>
          <w:bCs/>
        </w:rPr>
        <w:t xml:space="preserve"> </w:t>
      </w:r>
      <w:r w:rsidRPr="00DB10F3">
        <w:rPr>
          <w:rFonts w:ascii="Helvetica" w:hAnsi="Helvetica"/>
          <w:bCs/>
        </w:rPr>
        <w:t xml:space="preserve">Guy’s and St Thomas’ </w:t>
      </w:r>
      <w:r w:rsidR="00867A8B" w:rsidRPr="00DB10F3">
        <w:rPr>
          <w:rFonts w:ascii="Helvetica" w:hAnsi="Helvetica"/>
          <w:bCs/>
        </w:rPr>
        <w:t>National Health Service (</w:t>
      </w:r>
      <w:r w:rsidR="00435CAC" w:rsidRPr="00DB10F3">
        <w:rPr>
          <w:rFonts w:ascii="Helvetica" w:hAnsi="Helvetica"/>
          <w:bCs/>
        </w:rPr>
        <w:t>NHS</w:t>
      </w:r>
      <w:r w:rsidR="00867A8B" w:rsidRPr="00DB10F3">
        <w:rPr>
          <w:rFonts w:ascii="Helvetica" w:hAnsi="Helvetica"/>
          <w:bCs/>
        </w:rPr>
        <w:t>)</w:t>
      </w:r>
      <w:r w:rsidR="00435CAC" w:rsidRPr="00DB10F3">
        <w:rPr>
          <w:rFonts w:ascii="Helvetica" w:hAnsi="Helvetica"/>
          <w:bCs/>
        </w:rPr>
        <w:t xml:space="preserve"> Foundation Trust</w:t>
      </w:r>
      <w:r w:rsidRPr="00DB10F3">
        <w:rPr>
          <w:rFonts w:ascii="Helvetica" w:hAnsi="Helvetica"/>
          <w:bCs/>
        </w:rPr>
        <w:t xml:space="preserve">, The Royal Marsden </w:t>
      </w:r>
      <w:r w:rsidR="00435CAC" w:rsidRPr="00DB10F3">
        <w:rPr>
          <w:rFonts w:ascii="Helvetica" w:hAnsi="Helvetica"/>
          <w:bCs/>
        </w:rPr>
        <w:t>NHS Foundation Trust</w:t>
      </w:r>
      <w:r w:rsidRPr="00DB10F3">
        <w:rPr>
          <w:rFonts w:ascii="Helvetica" w:hAnsi="Helvetica"/>
          <w:bCs/>
        </w:rPr>
        <w:t xml:space="preserve">, </w:t>
      </w:r>
      <w:r w:rsidR="00435CAC" w:rsidRPr="00DB10F3">
        <w:rPr>
          <w:rFonts w:ascii="Helvetica" w:hAnsi="Helvetica"/>
          <w:bCs/>
        </w:rPr>
        <w:t>University Hospitals</w:t>
      </w:r>
      <w:r w:rsidRPr="00DB10F3">
        <w:rPr>
          <w:rFonts w:ascii="Helvetica" w:hAnsi="Helvetica"/>
          <w:bCs/>
        </w:rPr>
        <w:t xml:space="preserve"> Birmingham</w:t>
      </w:r>
      <w:r w:rsidR="00435CAC" w:rsidRPr="00DB10F3">
        <w:rPr>
          <w:rFonts w:ascii="Helvetica" w:hAnsi="Helvetica"/>
          <w:bCs/>
        </w:rPr>
        <w:t xml:space="preserve"> NHS Foundation Trust</w:t>
      </w:r>
      <w:r w:rsidRPr="00DB10F3">
        <w:rPr>
          <w:rFonts w:ascii="Helvetica" w:hAnsi="Helvetica"/>
          <w:bCs/>
        </w:rPr>
        <w:t>, University Hospital Southampto</w:t>
      </w:r>
      <w:r w:rsidR="00435CAC" w:rsidRPr="00DB10F3">
        <w:rPr>
          <w:rFonts w:ascii="Helvetica" w:hAnsi="Helvetica"/>
          <w:bCs/>
        </w:rPr>
        <w:t>n NHS Foundation Trust</w:t>
      </w:r>
      <w:r w:rsidR="00875A00" w:rsidRPr="00DB10F3">
        <w:rPr>
          <w:rFonts w:ascii="Helvetica" w:hAnsi="Helvetica"/>
          <w:bCs/>
        </w:rPr>
        <w:t>,</w:t>
      </w:r>
      <w:r w:rsidRPr="00DB10F3">
        <w:rPr>
          <w:rFonts w:ascii="Helvetica" w:hAnsi="Helvetica"/>
          <w:bCs/>
        </w:rPr>
        <w:t xml:space="preserve"> and Belfast </w:t>
      </w:r>
      <w:r w:rsidR="00435CAC" w:rsidRPr="00DB10F3">
        <w:rPr>
          <w:rFonts w:ascii="Helvetica" w:hAnsi="Helvetica"/>
          <w:bCs/>
        </w:rPr>
        <w:t>Health and Social Care Trust</w:t>
      </w:r>
      <w:r w:rsidR="00962D57" w:rsidRPr="00DB10F3">
        <w:rPr>
          <w:rFonts w:ascii="Helvetica" w:hAnsi="Helvetica"/>
        </w:rPr>
        <w:t xml:space="preserve">. </w:t>
      </w:r>
      <w:r w:rsidR="00D606EB" w:rsidRPr="00DB10F3">
        <w:rPr>
          <w:rFonts w:ascii="Helvetica" w:hAnsi="Helvetica"/>
          <w:bCs/>
        </w:rPr>
        <w:t>P</w:t>
      </w:r>
      <w:r w:rsidRPr="00DB10F3">
        <w:rPr>
          <w:rFonts w:ascii="Helvetica" w:hAnsi="Helvetica"/>
          <w:bCs/>
        </w:rPr>
        <w:t xml:space="preserve">atients treated </w:t>
      </w:r>
      <w:r w:rsidR="00EF5F5D" w:rsidRPr="00DB10F3">
        <w:rPr>
          <w:rFonts w:ascii="Helvetica" w:hAnsi="Helvetica"/>
          <w:bCs/>
        </w:rPr>
        <w:t xml:space="preserve">with neoadjuvant </w:t>
      </w:r>
      <w:r w:rsidRPr="00DB10F3">
        <w:rPr>
          <w:rFonts w:ascii="Helvetica" w:hAnsi="Helvetica"/>
          <w:bCs/>
        </w:rPr>
        <w:t xml:space="preserve">chemotherapy </w:t>
      </w:r>
      <w:r w:rsidR="00EF5F5D" w:rsidRPr="00DB10F3">
        <w:rPr>
          <w:rFonts w:ascii="Helvetica" w:hAnsi="Helvetica"/>
          <w:bCs/>
        </w:rPr>
        <w:t>followed by</w:t>
      </w:r>
      <w:r w:rsidRPr="00DB10F3">
        <w:rPr>
          <w:rFonts w:ascii="Helvetica" w:hAnsi="Helvetica"/>
          <w:bCs/>
        </w:rPr>
        <w:t xml:space="preserve"> </w:t>
      </w:r>
      <w:r w:rsidR="00FC5197" w:rsidRPr="00DB10F3">
        <w:rPr>
          <w:rFonts w:ascii="Helvetica" w:hAnsi="Helvetica"/>
          <w:bCs/>
        </w:rPr>
        <w:t>surgical resection</w:t>
      </w:r>
      <w:r w:rsidRPr="00DB10F3">
        <w:rPr>
          <w:rFonts w:ascii="Helvetica" w:hAnsi="Helvetica"/>
          <w:bCs/>
        </w:rPr>
        <w:t xml:space="preserve"> with curative intent for histologically confirmed adenocarcinoma of the </w:t>
      </w:r>
      <w:proofErr w:type="spellStart"/>
      <w:r w:rsidR="0019785E">
        <w:rPr>
          <w:rFonts w:ascii="Helvetica" w:hAnsi="Helvetica"/>
          <w:bCs/>
        </w:rPr>
        <w:t>esophagus</w:t>
      </w:r>
      <w:proofErr w:type="spellEnd"/>
      <w:r w:rsidRPr="00DB10F3">
        <w:rPr>
          <w:rFonts w:ascii="Helvetica" w:hAnsi="Helvetica"/>
          <w:bCs/>
        </w:rPr>
        <w:t xml:space="preserve"> or esophago-gastric junction between </w:t>
      </w:r>
      <w:r w:rsidR="00875A00" w:rsidRPr="00DB10F3">
        <w:rPr>
          <w:rFonts w:ascii="Helvetica" w:hAnsi="Helvetica"/>
          <w:bCs/>
        </w:rPr>
        <w:t>1</w:t>
      </w:r>
      <w:r w:rsidR="00875A00" w:rsidRPr="00DB10F3">
        <w:rPr>
          <w:rFonts w:ascii="Helvetica" w:hAnsi="Helvetica"/>
          <w:bCs/>
          <w:vertAlign w:val="superscript"/>
        </w:rPr>
        <w:t>st</w:t>
      </w:r>
      <w:r w:rsidR="00875A00" w:rsidRPr="00DB10F3">
        <w:rPr>
          <w:rFonts w:ascii="Helvetica" w:hAnsi="Helvetica"/>
          <w:bCs/>
        </w:rPr>
        <w:t xml:space="preserve"> </w:t>
      </w:r>
      <w:r w:rsidR="003F7FFD" w:rsidRPr="00DB10F3">
        <w:rPr>
          <w:rFonts w:ascii="Helvetica" w:hAnsi="Helvetica"/>
          <w:bCs/>
        </w:rPr>
        <w:t xml:space="preserve">January </w:t>
      </w:r>
      <w:r w:rsidRPr="00DB10F3">
        <w:rPr>
          <w:rFonts w:ascii="Helvetica" w:hAnsi="Helvetica"/>
          <w:bCs/>
        </w:rPr>
        <w:t>200</w:t>
      </w:r>
      <w:r w:rsidR="003F7FFD" w:rsidRPr="00DB10F3">
        <w:rPr>
          <w:rFonts w:ascii="Helvetica" w:hAnsi="Helvetica"/>
          <w:bCs/>
        </w:rPr>
        <w:t>0</w:t>
      </w:r>
      <w:r w:rsidRPr="00DB10F3">
        <w:rPr>
          <w:rFonts w:ascii="Helvetica" w:hAnsi="Helvetica"/>
          <w:bCs/>
        </w:rPr>
        <w:t xml:space="preserve"> and </w:t>
      </w:r>
      <w:r w:rsidR="00875A00" w:rsidRPr="00DB10F3">
        <w:rPr>
          <w:rFonts w:ascii="Helvetica" w:hAnsi="Helvetica"/>
          <w:bCs/>
        </w:rPr>
        <w:t>31</w:t>
      </w:r>
      <w:r w:rsidR="00875A00" w:rsidRPr="00DB10F3">
        <w:rPr>
          <w:rFonts w:ascii="Helvetica" w:hAnsi="Helvetica"/>
          <w:bCs/>
          <w:vertAlign w:val="superscript"/>
        </w:rPr>
        <w:t>st</w:t>
      </w:r>
      <w:r w:rsidR="00875A00" w:rsidRPr="00DB10F3">
        <w:rPr>
          <w:rFonts w:ascii="Helvetica" w:hAnsi="Helvetica"/>
          <w:bCs/>
        </w:rPr>
        <w:t xml:space="preserve"> </w:t>
      </w:r>
      <w:r w:rsidR="003F7FFD" w:rsidRPr="00DB10F3">
        <w:rPr>
          <w:rFonts w:ascii="Helvetica" w:hAnsi="Helvetica"/>
          <w:bCs/>
        </w:rPr>
        <w:t>August</w:t>
      </w:r>
      <w:r w:rsidRPr="00DB10F3">
        <w:rPr>
          <w:rFonts w:ascii="Helvetica" w:hAnsi="Helvetica"/>
          <w:bCs/>
        </w:rPr>
        <w:t xml:space="preserve"> 202</w:t>
      </w:r>
      <w:r w:rsidR="003F7FFD" w:rsidRPr="00DB10F3">
        <w:rPr>
          <w:rFonts w:ascii="Helvetica" w:hAnsi="Helvetica"/>
          <w:bCs/>
        </w:rPr>
        <w:t>0</w:t>
      </w:r>
      <w:r w:rsidR="00D606EB" w:rsidRPr="00DB10F3">
        <w:rPr>
          <w:rFonts w:ascii="Helvetica" w:hAnsi="Helvetica"/>
          <w:bCs/>
        </w:rPr>
        <w:t xml:space="preserve"> were included</w:t>
      </w:r>
      <w:r w:rsidRPr="00DB10F3">
        <w:rPr>
          <w:rFonts w:ascii="Helvetica" w:hAnsi="Helvetica"/>
          <w:bCs/>
        </w:rPr>
        <w:t xml:space="preserve">. </w:t>
      </w:r>
      <w:proofErr w:type="spellStart"/>
      <w:r w:rsidR="0019785E">
        <w:rPr>
          <w:rFonts w:ascii="Helvetica" w:hAnsi="Helvetica"/>
          <w:bCs/>
        </w:rPr>
        <w:t>Tumor</w:t>
      </w:r>
      <w:r w:rsidR="00EF5F5D" w:rsidRPr="00DB10F3">
        <w:rPr>
          <w:rFonts w:ascii="Helvetica" w:hAnsi="Helvetica"/>
          <w:bCs/>
        </w:rPr>
        <w:t>s</w:t>
      </w:r>
      <w:proofErr w:type="spellEnd"/>
      <w:r w:rsidR="00EF5F5D" w:rsidRPr="00DB10F3">
        <w:rPr>
          <w:rFonts w:ascii="Helvetica" w:hAnsi="Helvetica"/>
          <w:bCs/>
        </w:rPr>
        <w:t xml:space="preserve"> of the esophago-gastric junction were categorised using the Siewert classification </w:t>
      </w:r>
      <w:r w:rsidR="002813F2" w:rsidRPr="00DB10F3">
        <w:rPr>
          <w:rFonts w:ascii="Helvetica" w:hAnsi="Helvetica"/>
          <w:bCs/>
        </w:rPr>
        <w:fldChar w:fldCharType="begin" w:fldLock="1"/>
      </w:r>
      <w:r w:rsidR="00557B73" w:rsidRPr="00DB10F3">
        <w:rPr>
          <w:rFonts w:ascii="Helvetica" w:hAnsi="Helvetica"/>
          <w:bCs/>
        </w:rPr>
        <w:instrText>ADDIN CSL_CITATION {"citationItems":[{"id":"ITEM-1","itemData":{"author":[{"dropping-particle":"","family":"Siewert","given":"J R","non-dropping-particle":"","parse-names":false,"suffix":""},{"dropping-particle":"","family":"Stein","given":"H J","non-dropping-particle":"","parse-names":false,"suffix":""}],"id":"ITEM-1","issued":{"date-parts":[["1996"]]},"page":"173-182","title":"Carcinoma of the gastroesophageal junction - classification , pathology and extent of resection Tumor Type Adeno Ca of the Distal Esophagus True Ca Cardia Anatomical","type":"article-journal"},"uris":["http://www.mendeley.com/documents/?uuid=c053c58e-ce64-42d9-a05d-20575bdfd191"]}],"mendeley":{"formattedCitation":"&lt;sup&gt;13&lt;/sup&gt;","plainTextFormattedCitation":"13","previouslyFormattedCitation":"&lt;sup&gt;13&lt;/sup&gt;"},"properties":{"noteIndex":0},"schema":"https://github.com/citation-style-language/schema/raw/master/csl-citation.json"}</w:instrText>
      </w:r>
      <w:r w:rsidR="002813F2" w:rsidRPr="00DB10F3">
        <w:rPr>
          <w:rFonts w:ascii="Helvetica" w:hAnsi="Helvetica"/>
          <w:bCs/>
        </w:rPr>
        <w:fldChar w:fldCharType="separate"/>
      </w:r>
      <w:r w:rsidR="00962D57" w:rsidRPr="00DB10F3">
        <w:rPr>
          <w:rFonts w:ascii="Helvetica" w:hAnsi="Helvetica"/>
          <w:bCs/>
          <w:noProof/>
          <w:vertAlign w:val="superscript"/>
        </w:rPr>
        <w:t>13</w:t>
      </w:r>
      <w:r w:rsidR="002813F2" w:rsidRPr="00DB10F3">
        <w:rPr>
          <w:rFonts w:ascii="Helvetica" w:hAnsi="Helvetica"/>
          <w:bCs/>
        </w:rPr>
        <w:fldChar w:fldCharType="end"/>
      </w:r>
      <w:r w:rsidRPr="00DB10F3">
        <w:rPr>
          <w:rFonts w:ascii="Helvetica" w:hAnsi="Helvetica"/>
          <w:bCs/>
        </w:rPr>
        <w:t xml:space="preserve">. </w:t>
      </w:r>
      <w:r w:rsidR="00875A00" w:rsidRPr="00DB10F3">
        <w:rPr>
          <w:rFonts w:ascii="Helvetica" w:hAnsi="Helvetica"/>
          <w:bCs/>
        </w:rPr>
        <w:t>The exposure was</w:t>
      </w:r>
      <w:r w:rsidR="00FC5197" w:rsidRPr="00DB10F3">
        <w:rPr>
          <w:rFonts w:ascii="Helvetica" w:hAnsi="Helvetica"/>
          <w:bCs/>
        </w:rPr>
        <w:t xml:space="preserve"> pathological</w:t>
      </w:r>
      <w:r w:rsidR="00875A00" w:rsidRPr="00DB10F3">
        <w:rPr>
          <w:rFonts w:ascii="Helvetica" w:hAnsi="Helvetica"/>
          <w:bCs/>
        </w:rPr>
        <w:t xml:space="preserve"> </w:t>
      </w:r>
      <w:r w:rsidR="00875A00" w:rsidRPr="00DB10F3">
        <w:rPr>
          <w:rFonts w:ascii="Helvetica" w:hAnsi="Helvetica"/>
        </w:rPr>
        <w:t xml:space="preserve">response to neoadjuvant </w:t>
      </w:r>
      <w:r w:rsidR="00EC3461" w:rsidRPr="00DB10F3">
        <w:rPr>
          <w:rFonts w:ascii="Helvetica" w:hAnsi="Helvetica"/>
        </w:rPr>
        <w:t>chemotherapy</w:t>
      </w:r>
      <w:r w:rsidR="00FC5197" w:rsidRPr="00DB10F3">
        <w:rPr>
          <w:rFonts w:ascii="Helvetica" w:hAnsi="Helvetica"/>
        </w:rPr>
        <w:t xml:space="preserve"> in </w:t>
      </w:r>
      <w:r w:rsidR="00EF5F5D" w:rsidRPr="00DB10F3">
        <w:rPr>
          <w:rFonts w:ascii="Helvetica" w:hAnsi="Helvetica"/>
        </w:rPr>
        <w:t>LN</w:t>
      </w:r>
      <w:r w:rsidR="00FC5197" w:rsidRPr="00DB10F3">
        <w:rPr>
          <w:rFonts w:ascii="Helvetica" w:hAnsi="Helvetica"/>
        </w:rPr>
        <w:t xml:space="preserve">s. </w:t>
      </w:r>
      <w:r w:rsidR="00D606EB" w:rsidRPr="00DB10F3">
        <w:rPr>
          <w:rFonts w:ascii="Helvetica" w:hAnsi="Helvetica"/>
        </w:rPr>
        <w:t>O</w:t>
      </w:r>
      <w:r w:rsidRPr="00DB10F3">
        <w:rPr>
          <w:rFonts w:ascii="Helvetica" w:hAnsi="Helvetica"/>
          <w:bCs/>
        </w:rPr>
        <w:t>utcome measure</w:t>
      </w:r>
      <w:r w:rsidR="00875A00" w:rsidRPr="00DB10F3">
        <w:rPr>
          <w:rFonts w:ascii="Helvetica" w:hAnsi="Helvetica"/>
          <w:bCs/>
        </w:rPr>
        <w:t>s were</w:t>
      </w:r>
      <w:r w:rsidRPr="00DB10F3">
        <w:rPr>
          <w:rFonts w:ascii="Helvetica" w:hAnsi="Helvetica"/>
          <w:bCs/>
        </w:rPr>
        <w:t xml:space="preserve"> </w:t>
      </w:r>
      <w:r w:rsidR="00435CAC" w:rsidRPr="00DB10F3">
        <w:rPr>
          <w:rFonts w:ascii="Helvetica" w:hAnsi="Helvetica"/>
          <w:bCs/>
        </w:rPr>
        <w:t>overall</w:t>
      </w:r>
      <w:r w:rsidR="002813F2" w:rsidRPr="00DB10F3">
        <w:rPr>
          <w:rFonts w:ascii="Helvetica" w:hAnsi="Helvetica"/>
          <w:bCs/>
        </w:rPr>
        <w:t xml:space="preserve"> </w:t>
      </w:r>
      <w:r w:rsidR="009330A3" w:rsidRPr="00DB10F3">
        <w:rPr>
          <w:rFonts w:ascii="Helvetica" w:hAnsi="Helvetica"/>
          <w:bCs/>
        </w:rPr>
        <w:t>survival</w:t>
      </w:r>
      <w:r w:rsidR="00875A00" w:rsidRPr="00DB10F3">
        <w:rPr>
          <w:rFonts w:ascii="Helvetica" w:hAnsi="Helvetica"/>
          <w:bCs/>
        </w:rPr>
        <w:t xml:space="preserve"> (primary) and</w:t>
      </w:r>
      <w:r w:rsidR="004E08CA" w:rsidRPr="00DB10F3">
        <w:rPr>
          <w:rFonts w:ascii="Helvetica" w:hAnsi="Helvetica"/>
          <w:bCs/>
        </w:rPr>
        <w:t xml:space="preserve"> </w:t>
      </w:r>
      <w:r w:rsidR="00435CAC" w:rsidRPr="00DB10F3">
        <w:rPr>
          <w:rFonts w:ascii="Helvetica" w:hAnsi="Helvetica"/>
          <w:bCs/>
        </w:rPr>
        <w:t xml:space="preserve">disease-free </w:t>
      </w:r>
      <w:r w:rsidRPr="00DB10F3">
        <w:rPr>
          <w:rFonts w:ascii="Helvetica" w:hAnsi="Helvetica"/>
          <w:bCs/>
        </w:rPr>
        <w:t>survival</w:t>
      </w:r>
      <w:r w:rsidR="00875A00" w:rsidRPr="00DB10F3">
        <w:rPr>
          <w:rFonts w:ascii="Helvetica" w:hAnsi="Helvetica"/>
          <w:bCs/>
        </w:rPr>
        <w:t xml:space="preserve"> (secondary)</w:t>
      </w:r>
      <w:r w:rsidR="004E08CA" w:rsidRPr="00DB10F3">
        <w:rPr>
          <w:rFonts w:ascii="Helvetica" w:hAnsi="Helvetica"/>
          <w:bCs/>
        </w:rPr>
        <w:t>.</w:t>
      </w:r>
      <w:r w:rsidR="00962D57" w:rsidRPr="00DB10F3">
        <w:rPr>
          <w:rFonts w:ascii="Helvetica" w:hAnsi="Helvetica"/>
          <w:bCs/>
        </w:rPr>
        <w:t xml:space="preserve"> </w:t>
      </w:r>
      <w:r w:rsidR="00EF5F5D" w:rsidRPr="00DB10F3">
        <w:rPr>
          <w:rFonts w:ascii="Helvetica" w:hAnsi="Helvetica"/>
          <w:bCs/>
        </w:rPr>
        <w:t xml:space="preserve">Inter-observer agreement between reporting pathologists was also evaluated. </w:t>
      </w:r>
    </w:p>
    <w:p w14:paraId="08614B93" w14:textId="77777777" w:rsidR="00D92775" w:rsidRDefault="00D92775" w:rsidP="004F5E68">
      <w:pPr>
        <w:spacing w:line="480" w:lineRule="auto"/>
        <w:rPr>
          <w:rFonts w:ascii="Helvetica" w:hAnsi="Helvetica"/>
          <w:bCs/>
        </w:rPr>
      </w:pPr>
    </w:p>
    <w:p w14:paraId="20F8C32B" w14:textId="0792089E" w:rsidR="002813F2" w:rsidRPr="00DB10F3" w:rsidRDefault="002813F2" w:rsidP="004F5E68">
      <w:pPr>
        <w:spacing w:line="480" w:lineRule="auto"/>
        <w:rPr>
          <w:rFonts w:ascii="Helvetica" w:hAnsi="Helvetica"/>
          <w:b/>
          <w:i/>
          <w:iCs/>
        </w:rPr>
      </w:pPr>
      <w:r w:rsidRPr="00DB10F3">
        <w:rPr>
          <w:rFonts w:ascii="Helvetica" w:hAnsi="Helvetica"/>
          <w:b/>
          <w:i/>
          <w:iCs/>
        </w:rPr>
        <w:t>Clinical management</w:t>
      </w:r>
    </w:p>
    <w:p w14:paraId="4EBD5C23" w14:textId="7356C825" w:rsidR="002813F2" w:rsidRPr="00DB10F3" w:rsidRDefault="00962D57" w:rsidP="004F5E68">
      <w:pPr>
        <w:spacing w:line="480" w:lineRule="auto"/>
        <w:rPr>
          <w:rFonts w:ascii="Helvetica" w:hAnsi="Helvetica"/>
          <w:bCs/>
        </w:rPr>
      </w:pPr>
      <w:r w:rsidRPr="00DB10F3">
        <w:rPr>
          <w:rFonts w:ascii="Helvetica" w:hAnsi="Helvetica"/>
          <w:bCs/>
        </w:rPr>
        <w:t xml:space="preserve">All patients underwent standard staging investigations that included </w:t>
      </w:r>
      <w:r w:rsidR="00161AFA" w:rsidRPr="00DB10F3">
        <w:rPr>
          <w:rFonts w:ascii="Helvetica" w:hAnsi="Helvetica"/>
          <w:bCs/>
        </w:rPr>
        <w:t xml:space="preserve">endoscopy, </w:t>
      </w:r>
      <w:r w:rsidR="005C5353" w:rsidRPr="00DB10F3">
        <w:rPr>
          <w:rFonts w:ascii="Helvetica" w:hAnsi="Helvetica"/>
          <w:bCs/>
        </w:rPr>
        <w:t xml:space="preserve">contrast enhanced computed tomography </w:t>
      </w:r>
      <w:r w:rsidR="00FC5197" w:rsidRPr="00DB10F3">
        <w:rPr>
          <w:rFonts w:ascii="Helvetica" w:hAnsi="Helvetica"/>
          <w:bCs/>
        </w:rPr>
        <w:t xml:space="preserve">and </w:t>
      </w:r>
      <w:r w:rsidR="00161AFA" w:rsidRPr="00DB10F3">
        <w:rPr>
          <w:rFonts w:ascii="Helvetica" w:hAnsi="Helvetica"/>
          <w:bCs/>
        </w:rPr>
        <w:lastRenderedPageBreak/>
        <w:t xml:space="preserve">fluorodeoxyglucose </w:t>
      </w:r>
      <w:r w:rsidR="005C5353" w:rsidRPr="00DB10F3">
        <w:rPr>
          <w:rFonts w:ascii="Helvetica" w:hAnsi="Helvetica"/>
          <w:bCs/>
        </w:rPr>
        <w:t>positron emission tomography</w:t>
      </w:r>
      <w:r w:rsidR="00AF0A0A">
        <w:rPr>
          <w:rFonts w:ascii="Helvetica" w:hAnsi="Helvetica"/>
          <w:bCs/>
        </w:rPr>
        <w:t xml:space="preserve"> (FDG PET)</w:t>
      </w:r>
      <w:r w:rsidRPr="00DB10F3">
        <w:rPr>
          <w:rFonts w:ascii="Helvetica" w:hAnsi="Helvetica"/>
          <w:bCs/>
        </w:rPr>
        <w:t>.</w:t>
      </w:r>
      <w:r w:rsidR="000E1312" w:rsidRPr="00DB10F3">
        <w:rPr>
          <w:rFonts w:ascii="Helvetica" w:hAnsi="Helvetica"/>
          <w:bCs/>
        </w:rPr>
        <w:t xml:space="preserve"> </w:t>
      </w:r>
      <w:r w:rsidRPr="00DB10F3">
        <w:rPr>
          <w:rFonts w:ascii="Helvetica" w:hAnsi="Helvetica"/>
          <w:bCs/>
        </w:rPr>
        <w:t>Additional staging</w:t>
      </w:r>
      <w:r w:rsidR="000E1312" w:rsidRPr="00DB10F3">
        <w:rPr>
          <w:rFonts w:ascii="Helvetica" w:hAnsi="Helvetica"/>
          <w:bCs/>
        </w:rPr>
        <w:t xml:space="preserve"> </w:t>
      </w:r>
      <w:r w:rsidR="00FC5197" w:rsidRPr="00DB10F3">
        <w:rPr>
          <w:rFonts w:ascii="Helvetica" w:hAnsi="Helvetica"/>
          <w:bCs/>
        </w:rPr>
        <w:t>investigations</w:t>
      </w:r>
      <w:r w:rsidRPr="00DB10F3">
        <w:rPr>
          <w:rFonts w:ascii="Helvetica" w:hAnsi="Helvetica"/>
          <w:bCs/>
        </w:rPr>
        <w:t>,</w:t>
      </w:r>
      <w:r w:rsidR="00FC5197" w:rsidRPr="00DB10F3">
        <w:rPr>
          <w:rFonts w:ascii="Helvetica" w:hAnsi="Helvetica"/>
          <w:bCs/>
        </w:rPr>
        <w:t xml:space="preserve"> </w:t>
      </w:r>
      <w:r w:rsidR="000E1312" w:rsidRPr="00DB10F3">
        <w:rPr>
          <w:rFonts w:ascii="Helvetica" w:hAnsi="Helvetica"/>
          <w:bCs/>
        </w:rPr>
        <w:t>e.g. endoscopic ultrasonography</w:t>
      </w:r>
      <w:r w:rsidR="00D606EB" w:rsidRPr="00DB10F3">
        <w:rPr>
          <w:rFonts w:ascii="Helvetica" w:hAnsi="Helvetica"/>
          <w:bCs/>
        </w:rPr>
        <w:t>/</w:t>
      </w:r>
      <w:r w:rsidR="000E1312" w:rsidRPr="00DB10F3">
        <w:rPr>
          <w:rFonts w:ascii="Helvetica" w:hAnsi="Helvetica"/>
          <w:bCs/>
        </w:rPr>
        <w:t>laparoscopy</w:t>
      </w:r>
      <w:r w:rsidR="00281670" w:rsidRPr="00DB10F3">
        <w:rPr>
          <w:rFonts w:ascii="Helvetica" w:hAnsi="Helvetica"/>
          <w:bCs/>
        </w:rPr>
        <w:t xml:space="preserve"> </w:t>
      </w:r>
      <w:r w:rsidRPr="00DB10F3">
        <w:rPr>
          <w:rFonts w:ascii="Helvetica" w:hAnsi="Helvetica"/>
          <w:bCs/>
        </w:rPr>
        <w:t>were used for selected cases</w:t>
      </w:r>
      <w:r w:rsidR="00161AFA" w:rsidRPr="00DB10F3">
        <w:rPr>
          <w:rFonts w:ascii="Helvetica" w:hAnsi="Helvetica"/>
          <w:bCs/>
        </w:rPr>
        <w:t xml:space="preserve">. </w:t>
      </w:r>
      <w:r w:rsidR="009330A3" w:rsidRPr="00DB10F3">
        <w:rPr>
          <w:rFonts w:ascii="Helvetica" w:hAnsi="Helvetica"/>
          <w:bCs/>
        </w:rPr>
        <w:t>All patients were discussed in a specialist esophago-gastric multidisciplinary</w:t>
      </w:r>
      <w:r w:rsidR="003F20DD" w:rsidRPr="00DB10F3">
        <w:rPr>
          <w:rFonts w:ascii="Helvetica" w:hAnsi="Helvetica"/>
          <w:bCs/>
        </w:rPr>
        <w:t xml:space="preserve"> </w:t>
      </w:r>
      <w:r w:rsidR="009330A3" w:rsidRPr="00DB10F3">
        <w:rPr>
          <w:rFonts w:ascii="Helvetica" w:hAnsi="Helvetica"/>
          <w:bCs/>
        </w:rPr>
        <w:t>team meeting and those</w:t>
      </w:r>
      <w:r w:rsidR="00EF5F5D" w:rsidRPr="00DB10F3">
        <w:rPr>
          <w:rFonts w:ascii="Helvetica" w:hAnsi="Helvetica"/>
          <w:bCs/>
        </w:rPr>
        <w:t xml:space="preserve"> with </w:t>
      </w:r>
      <w:proofErr w:type="spellStart"/>
      <w:r w:rsidR="0019785E">
        <w:rPr>
          <w:rFonts w:ascii="Helvetica" w:hAnsi="Helvetica"/>
          <w:bCs/>
        </w:rPr>
        <w:t>tumor</w:t>
      </w:r>
      <w:r w:rsidR="00EF5F5D" w:rsidRPr="00DB10F3">
        <w:rPr>
          <w:rFonts w:ascii="Helvetica" w:hAnsi="Helvetica"/>
          <w:bCs/>
        </w:rPr>
        <w:t>s</w:t>
      </w:r>
      <w:proofErr w:type="spellEnd"/>
      <w:r w:rsidR="00161AFA" w:rsidRPr="00DB10F3">
        <w:rPr>
          <w:rFonts w:ascii="Helvetica" w:hAnsi="Helvetica"/>
          <w:bCs/>
        </w:rPr>
        <w:t xml:space="preserve"> staged </w:t>
      </w:r>
      <w:r w:rsidR="00AF4EB9" w:rsidRPr="00DB10F3">
        <w:rPr>
          <w:rFonts w:ascii="Helvetica" w:hAnsi="Helvetica"/>
          <w:bCs/>
        </w:rPr>
        <w:t xml:space="preserve">greater than cT1 cN0 </w:t>
      </w:r>
      <w:r w:rsidR="00161AFA" w:rsidRPr="00DB10F3">
        <w:rPr>
          <w:rFonts w:ascii="Helvetica" w:hAnsi="Helvetica"/>
          <w:bCs/>
        </w:rPr>
        <w:t xml:space="preserve">were considered for neoadjuvant treatment. Chemotherapy practice evolved during the study </w:t>
      </w:r>
      <w:r w:rsidR="00281670" w:rsidRPr="00DB10F3">
        <w:rPr>
          <w:rFonts w:ascii="Helvetica" w:hAnsi="Helvetica"/>
          <w:bCs/>
        </w:rPr>
        <w:t xml:space="preserve">period </w:t>
      </w:r>
      <w:r w:rsidR="00A45338" w:rsidRPr="00DB10F3">
        <w:rPr>
          <w:rFonts w:ascii="Helvetica" w:hAnsi="Helvetica"/>
          <w:bCs/>
        </w:rPr>
        <w:t>following</w:t>
      </w:r>
      <w:r w:rsidR="00161AFA" w:rsidRPr="00DB10F3">
        <w:rPr>
          <w:rFonts w:ascii="Helvetica" w:hAnsi="Helvetica"/>
          <w:bCs/>
        </w:rPr>
        <w:t xml:space="preserve"> the publication of large</w:t>
      </w:r>
      <w:r w:rsidR="00AF4EB9" w:rsidRPr="00DB10F3">
        <w:rPr>
          <w:rFonts w:ascii="Helvetica" w:hAnsi="Helvetica"/>
          <w:bCs/>
        </w:rPr>
        <w:t>,</w:t>
      </w:r>
      <w:r w:rsidR="00161AFA" w:rsidRPr="00DB10F3">
        <w:rPr>
          <w:rFonts w:ascii="Helvetica" w:hAnsi="Helvetica"/>
          <w:bCs/>
        </w:rPr>
        <w:t xml:space="preserve"> multicentre</w:t>
      </w:r>
      <w:r w:rsidR="00AF4EB9" w:rsidRPr="00DB10F3">
        <w:rPr>
          <w:rFonts w:ascii="Helvetica" w:hAnsi="Helvetica"/>
          <w:bCs/>
        </w:rPr>
        <w:t xml:space="preserve"> randomised trials</w:t>
      </w:r>
      <w:r w:rsidR="00161AFA" w:rsidRPr="00DB10F3">
        <w:rPr>
          <w:rFonts w:ascii="Helvetica" w:hAnsi="Helvetica"/>
          <w:bCs/>
        </w:rPr>
        <w:t xml:space="preserve"> </w:t>
      </w:r>
      <w:r w:rsidR="00161AFA" w:rsidRPr="00DB10F3">
        <w:rPr>
          <w:rFonts w:ascii="Helvetica" w:hAnsi="Helvetica"/>
          <w:bCs/>
        </w:rPr>
        <w:fldChar w:fldCharType="begin" w:fldLock="1"/>
      </w:r>
      <w:r w:rsidR="00303EE5">
        <w:rPr>
          <w:rFonts w:ascii="Helvetica" w:hAnsi="Helvetica"/>
          <w:bCs/>
        </w:rPr>
        <w:instrText>ADDIN CSL_CITATION {"citationItems":[{"id":"ITEM-1","itemData":{"DOI":"10.1056/nejmoa055531","ISSN":"0028-4793","PMID":"16822992","abstract":"BACKGROUND: A regimen of epirubicin, cisplatin, and infused fluorouracil (ECF) improves survival among patients with incurable locally advanced or metastatic gastric adenocarcinoma. We assessed whether the addition of a perioperative regimen of ECF to surgery improves outcomes among patients with potentially curable gastric cancer. METHODS: We randomly assigned patients with resectable adenocarcinoma of the stomach, esophagogastric junction, or lower esophagus to either perioperative chemotherapy and surgery (250 patients) or surgery alone (253 patients). Chemotherapy consisted of three preoperative and three postoperative cycles of intravenous epirubicin (50 mg per square meter of body-surface area) and cisplatin (60 mg per square meter) on day 1, and a continuous intravenous infusion of fluorouracil (200 mg per square meter per day) for 21 days. The primary end point was overall survival. RESULTS: ECF-related adverse effects were similar to those previously reported among patients with advanced gastric cancer. Rates of postoperative complications were similar in the perioperative-chemotherapy group and the surgery group (46 percent and 45 percent, respectively), as were the numbers of deaths within 30 days after surgery. The resected tumors were significantly smaller and less advanced in the perioperative-chemotherapy group. With a median follow-up of four years, 149 patients in the perioperative-chemotherapy group and 170 in the surgery group had died. As compared with the surgery group, the perioperative-chemotherapy group had a higher likelihood of overall survival (hazard ratio for death, 0.75; 95 percent confidence interval, 0.60 to 0.93; P = 0.009; five-year survival rate, 36 percent vs. 23 percent) and of progression-free survival (hazard ratio for progression, 0.66; 95 percent confidence interval, 0.53 to 0.81; P &lt; 0.001). CONCLUSIONS: In patients with operable gastric or lower esophageal adenocarcinomas, a perioperative regimen of ECF decreased tumor size and stage and significantly improved progression-free and overall survival. (Current Controlled Trials number, ISRCTN93793971.) Copyright © 2006 Massachusetts Medical Society. All rights reserved.","author":[{"dropping-particle":"","family":"Cunningham","given":"David","non-dropping-particle":"","parse-names":false,"suffix":""},{"dropping-particle":"","family":"Allum","given":"William H.","non-dropping-particle":"","parse-names":false,"suffix":""},{"dropping-particle":"","family":"Stenning","given":"Sally P.","non-dropping-particle":"","parse-names":false,"suffix":""},{"dropping-particle":"","family":"Thompson","given":"Jeremy N.","non-dropping-particle":"","parse-names":false,"suffix":""},{"dropping-particle":"","family":"Velde","given":"Cornelis J.H.","non-dropping-particle":"Van de","parse-names":false,"suffix":""},{"dropping-particle":"","family":"Nicolson","given":"Marianne","non-dropping-particle":"","parse-names":false,"suffix":""},{"dropping-particle":"","family":"Scarffe","given":"J. Howard","non-dropping-particle":"","parse-names":false,"suffix":""},{"dropping-particle":"","family":"Lofts","given":"Fiona J.","non-dropping-particle":"","parse-names":false,"suffix":""},{"dropping-particle":"","family":"Falk","given":"Stephen J.","non-dropping-particle":"","parse-names":false,"suffix":""},{"dropping-particle":"","family":"Iveson","given":"Timothy J.","non-dropping-particle":"","parse-names":false,"suffix":""},{"dropping-particle":"","family":"Smith","given":"David B.","non-dropping-particle":"","parse-names":false,"suffix":""},{"dropping-particle":"","family":"Langley","given":"Ruth E.","non-dropping-particle":"","parse-names":false,"suffix":""},{"dropping-particle":"","family":"Verma","given":"Monica","non-dropping-particle":"","parse-names":false,"suffix":""},{"dropping-particle":"","family":"Weeden","given":"Simon","non-dropping-particle":"","parse-names":false,"suffix":""},{"dropping-particle":"","family":"Chua","given":"Yu Jo","non-dropping-particle":"","parse-names":false,"suffix":""}],"container-title":"New England Journal of Medicine","id":"ITEM-1","issue":"1","issued":{"date-parts":[["2006","7","6"]]},"page":"11-20","publisher":"Massachusetts Medical Society","title":"Perioperative Chemotherapy versus Surgery Alone for Resectable Gastroesophageal Cancer","type":"article-journal","volume":"355"},"uris":["http://www.mendeley.com/documents/?uuid=b40f9dde-d926-3c8b-afed-2a11aba37eed"]},{"id":"ITEM-2","itemData":{"DOI":"10.1016/S0140-6736(02)08651-8","ISSN":"01406736","abstract":"Background: The outlook for patients with oesophageal cancer undergoing surgical resection with curative intent is poor. We aimed to assess the effects of preoperative chemotherapy on survival, dysphagia, and performance status in this group of patients. Methods: 802 previously untreated patients with resectable oesophageal cancer of any cell type were randomly allocated either two 4-day cycles, 3 weeks apart, of cisplatin 80 mg/m2 by infusion over 4 h plus fluorouracil 1000 mg/m2 daily by continuous infusion for 4 days followed by surgical resection (CS group, n=400), or resection alone (S group, 402). Clinicians could choose to give preoperative radiotherapy to all their patients irrespective of randomisation. Primary outcome measure was survival time. Analysis was by intention to treat. Findings: No patients dropped out of the study. Resection was microscopically complete in 233 (60%) of 390 assessable CS patients and 215 (54%) of 397 S patients (p&lt;0.0001). Postoperative complications were reported in 146 (41%) CS and 161 (42%) S patients. Overall survival was better in the CS group (hazard ratio 0.79; 95% CI 0.67-0.93; p=0.004). Median survival was 512 days (16.8 months) in the CS group compared with 405 days (13.3 months) in the S group (difference 107 days; 95% CI 30-196), and 2-year survival rates were 43% and 34% (difference 9%; 3-14). Interpretation: Two cycles of preoperative cisplatin and fluorouracil improve survival without additional serious adverse events in the treatment of patients with resectable oesophageal cancer.","author":[{"dropping-particle":"","family":"Girling","given":"D. J.","non-dropping-particle":"","parse-names":false,"suffix":""},{"dropping-particle":"","family":"Bancewicz","given":"J.","non-dropping-particle":"","parse-names":false,"suffix":""},{"dropping-particle":"","family":"Clark","given":"P. I.","non-dropping-particle":"","parse-names":false,"suffix":""},{"dropping-particle":"","family":"Smith","given":"D. B.","non-dropping-particle":"","parse-names":false,"suffix":""},{"dropping-particle":"","family":"Donnelly","given":"R. J.","non-dropping-particle":"","parse-names":false,"suffix":""},{"dropping-particle":"","family":"Fayers","given":"P. M.","non-dropping-particle":"","parse-names":false,"suffix":""},{"dropping-particle":"","family":"Weeden","given":"S.","non-dropping-particle":"","parse-names":false,"suffix":""},{"dropping-particle":"","family":"Girling","given":"D. J.","non-dropping-particle":"","parse-names":false,"suffix":""},{"dropping-particle":"","family":"Hutchinson","given":"T.","non-dropping-particle":"","parse-names":false,"suffix":""},{"dropping-particle":"","family":"Harvey","given":"A.","non-dropping-particle":"","parse-names":false,"suffix":""},{"dropping-particle":"","family":"Lyddiard","given":"J.","non-dropping-particle":"","parse-names":false,"suffix":""}],"container-title":"Lancet","id":"ITEM-2","issue":"9319","issued":{"date-parts":[["2002"]]},"page":"1727-1733","title":"Surgical resection with or without preoperative chemotherapy in oesophageal cancer: A randomised controlled trial","type":"article-journal","volume":"359"},"uris":["http://www.mendeley.com/documents/?uuid=00c286c4-2674-4194-b718-f2bef07a99d8"]},{"id":"ITEM-3","itemData":{"DOI":"10.1016/S0140-6736(18)32557-1","ISSN":"1474547X","PMID":"30982686","abstract":"Background: Docetaxel-based chemotherapy is effective in metastatic gastric and gastro-oesophageal junction adenocarcinoma. This study reports on the safety and efficacy of the docetaxel-based triplet FLOT (fluorouracil plus leucovorin, oxaliplatin and docetaxel)as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group)or four preoperative and four postoperative 2-week cycles of 50 mg/m2 docetaxel, 85 mg/m2 oxaliplatin, 200 mg/m2 leucovorin and 2600 mg/m2 fluorouracil as 24-h infusion on day 1 (FLOT; experimental group). The primary outcome of the trial was overall survival (superiority)analysed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[HR]0·77; 95% confidence interval [CI; 0.63 to 0·94]; median overall survival, 50 months [38·33 to not reached]vs 35 months [27·35 to 46·26]). The number of patients with related serious adverse events (including those occurring during hospital stay for surgery)was similar in the two groups (96 [27%]in the ECF/ECX group vs 97 [27%]in the FLOT group), as was the number of toxic deaths (two [&lt;1%]in both groups). Hospitalisation for toxicity occurred in 94 patients (26%)in the ECF/ECX group and 89 patients (25%)in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 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 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Lancet","id":"ITEM-3","issue":"10184","issued":{"date-parts":[["2019"]]},"page":"1948-1957","publisher":"Elsevier Ltd","title":"Perioperative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19676975-a331-4a5c-b28b-3304e0858813"]}],"mendeley":{"formattedCitation":"&lt;sup&gt;14–16&lt;/sup&gt;","plainTextFormattedCitation":"14–16","previouslyFormattedCitation":"&lt;sup&gt;14–16&lt;/sup&gt;"},"properties":{"noteIndex":0},"schema":"https://github.com/citation-style-language/schema/raw/master/csl-citation.json"}</w:instrText>
      </w:r>
      <w:r w:rsidR="00161AFA" w:rsidRPr="00DB10F3">
        <w:rPr>
          <w:rFonts w:ascii="Helvetica" w:hAnsi="Helvetica"/>
          <w:bCs/>
        </w:rPr>
        <w:fldChar w:fldCharType="separate"/>
      </w:r>
      <w:r w:rsidRPr="00DB10F3">
        <w:rPr>
          <w:rFonts w:ascii="Helvetica" w:hAnsi="Helvetica"/>
          <w:bCs/>
          <w:noProof/>
          <w:vertAlign w:val="superscript"/>
        </w:rPr>
        <w:t>14–16</w:t>
      </w:r>
      <w:r w:rsidR="00161AFA" w:rsidRPr="00DB10F3">
        <w:rPr>
          <w:rFonts w:ascii="Helvetica" w:hAnsi="Helvetica"/>
          <w:bCs/>
        </w:rPr>
        <w:fldChar w:fldCharType="end"/>
      </w:r>
      <w:r w:rsidR="00D606EB" w:rsidRPr="00DB10F3">
        <w:rPr>
          <w:rFonts w:ascii="Helvetica" w:hAnsi="Helvetica"/>
          <w:bCs/>
        </w:rPr>
        <w:t>.</w:t>
      </w:r>
      <w:r w:rsidR="00924E8E" w:rsidRPr="00DB10F3">
        <w:rPr>
          <w:rFonts w:ascii="Helvetica" w:hAnsi="Helvetica"/>
          <w:bCs/>
        </w:rPr>
        <w:t xml:space="preserve"> </w:t>
      </w:r>
      <w:r w:rsidR="00D606EB" w:rsidRPr="00DB10F3">
        <w:rPr>
          <w:rFonts w:ascii="Helvetica" w:hAnsi="Helvetica"/>
          <w:bCs/>
        </w:rPr>
        <w:t>P</w:t>
      </w:r>
      <w:r w:rsidR="00924E8E" w:rsidRPr="00DB10F3">
        <w:rPr>
          <w:rFonts w:ascii="Helvetica" w:hAnsi="Helvetica"/>
          <w:bCs/>
        </w:rPr>
        <w:t>atient</w:t>
      </w:r>
      <w:r w:rsidR="00D606EB" w:rsidRPr="00DB10F3">
        <w:rPr>
          <w:rFonts w:ascii="Helvetica" w:hAnsi="Helvetica"/>
          <w:bCs/>
        </w:rPr>
        <w:t>s</w:t>
      </w:r>
      <w:r w:rsidR="00924E8E" w:rsidRPr="00DB10F3">
        <w:rPr>
          <w:rFonts w:ascii="Helvetica" w:hAnsi="Helvetica"/>
          <w:bCs/>
        </w:rPr>
        <w:t xml:space="preserve"> receiv</w:t>
      </w:r>
      <w:r w:rsidR="00D606EB" w:rsidRPr="00DB10F3">
        <w:rPr>
          <w:rFonts w:ascii="Helvetica" w:hAnsi="Helvetica"/>
          <w:bCs/>
        </w:rPr>
        <w:t xml:space="preserve">ed </w:t>
      </w:r>
      <w:r w:rsidR="00924E8E" w:rsidRPr="00DB10F3">
        <w:rPr>
          <w:rFonts w:ascii="Helvetica" w:hAnsi="Helvetica"/>
          <w:bCs/>
        </w:rPr>
        <w:t>regimens</w:t>
      </w:r>
      <w:r w:rsidR="00850628">
        <w:rPr>
          <w:rFonts w:ascii="Helvetica" w:hAnsi="Helvetica"/>
          <w:bCs/>
        </w:rPr>
        <w:t xml:space="preserve"> </w:t>
      </w:r>
      <w:r w:rsidR="00924E8E" w:rsidRPr="00DB10F3">
        <w:rPr>
          <w:rFonts w:ascii="Helvetica" w:hAnsi="Helvetica"/>
          <w:bCs/>
        </w:rPr>
        <w:t>that reflected these trial protocols</w:t>
      </w:r>
      <w:r w:rsidR="00D606EB" w:rsidRPr="00DB10F3">
        <w:rPr>
          <w:rFonts w:ascii="Helvetica" w:hAnsi="Helvetica"/>
          <w:bCs/>
        </w:rPr>
        <w:t xml:space="preserve"> including </w:t>
      </w:r>
      <w:r w:rsidR="00850628">
        <w:rPr>
          <w:rFonts w:ascii="Helvetica" w:hAnsi="Helvetica"/>
          <w:bCs/>
        </w:rPr>
        <w:t xml:space="preserve">platinum based </w:t>
      </w:r>
      <w:r w:rsidR="00F33A21" w:rsidRPr="00DB10F3">
        <w:rPr>
          <w:rFonts w:ascii="Helvetica" w:hAnsi="Helvetica"/>
          <w:bCs/>
        </w:rPr>
        <w:t xml:space="preserve">dual </w:t>
      </w:r>
      <w:r w:rsidR="00F667C4" w:rsidRPr="00DB10F3">
        <w:rPr>
          <w:rFonts w:ascii="Helvetica" w:hAnsi="Helvetica"/>
          <w:bCs/>
        </w:rPr>
        <w:t>agent</w:t>
      </w:r>
      <w:r w:rsidR="00F33A21" w:rsidRPr="00DB10F3">
        <w:rPr>
          <w:rFonts w:ascii="Helvetica" w:hAnsi="Helvetica"/>
          <w:bCs/>
        </w:rPr>
        <w:t xml:space="preserve"> </w:t>
      </w:r>
      <w:r w:rsidR="00114C60" w:rsidRPr="00DB10F3">
        <w:rPr>
          <w:rFonts w:ascii="Helvetica" w:hAnsi="Helvetica"/>
          <w:bCs/>
        </w:rPr>
        <w:t>chemo</w:t>
      </w:r>
      <w:r w:rsidR="00F33A21" w:rsidRPr="00DB10F3">
        <w:rPr>
          <w:rFonts w:ascii="Helvetica" w:hAnsi="Helvetica"/>
          <w:bCs/>
        </w:rPr>
        <w:t>therapy</w:t>
      </w:r>
      <w:r w:rsidR="00F667C4" w:rsidRPr="00DB10F3">
        <w:rPr>
          <w:rFonts w:ascii="Helvetica" w:hAnsi="Helvetica"/>
          <w:bCs/>
        </w:rPr>
        <w:t xml:space="preserve"> (e.g. cisplatin and fluorouracil, </w:t>
      </w:r>
      <w:r w:rsidR="00850628">
        <w:rPr>
          <w:rFonts w:ascii="Helvetica" w:hAnsi="Helvetica"/>
          <w:bCs/>
        </w:rPr>
        <w:t>‘</w:t>
      </w:r>
      <w:r w:rsidR="00F667C4" w:rsidRPr="00DB10F3">
        <w:rPr>
          <w:rFonts w:ascii="Helvetica" w:hAnsi="Helvetica"/>
          <w:bCs/>
          <w:i/>
          <w:iCs/>
        </w:rPr>
        <w:t>OEO2</w:t>
      </w:r>
      <w:r w:rsidR="00850628">
        <w:rPr>
          <w:rFonts w:ascii="Helvetica" w:hAnsi="Helvetica"/>
          <w:bCs/>
          <w:i/>
          <w:iCs/>
        </w:rPr>
        <w:t>’</w:t>
      </w:r>
      <w:r w:rsidR="00F667C4" w:rsidRPr="00DB10F3">
        <w:rPr>
          <w:rFonts w:ascii="Helvetica" w:hAnsi="Helvetica"/>
          <w:bCs/>
        </w:rPr>
        <w:t xml:space="preserve"> </w:t>
      </w:r>
      <w:r w:rsidR="00F667C4" w:rsidRPr="00DB10F3">
        <w:rPr>
          <w:rFonts w:ascii="Helvetica" w:hAnsi="Helvetica"/>
          <w:bCs/>
        </w:rPr>
        <w:fldChar w:fldCharType="begin" w:fldLock="1"/>
      </w:r>
      <w:r w:rsidR="00557B73" w:rsidRPr="00DB10F3">
        <w:rPr>
          <w:rFonts w:ascii="Helvetica" w:hAnsi="Helvetica"/>
          <w:bCs/>
        </w:rPr>
        <w:instrText>ADDIN CSL_CITATION {"citationItems":[{"id":"ITEM-1","itemData":{"DOI":"10.1016/S0140-6736(02)08651-8","ISSN":"01406736","abstract":"Background: The outlook for patients with oesophageal cancer undergoing surgical resection with curative intent is poor. We aimed to assess the effects of preoperative chemotherapy on survival, dysphagia, and performance status in this group of patients. Methods: 802 previously untreated patients with resectable oesophageal cancer of any cell type were randomly allocated either two 4-day cycles, 3 weeks apart, of cisplatin 80 mg/m2 by infusion over 4 h plus fluorouracil 1000 mg/m2 daily by continuous infusion for 4 days followed by surgical resection (CS group, n=400), or resection alone (S group, 402). Clinicians could choose to give preoperative radiotherapy to all their patients irrespective of randomisation. Primary outcome measure was survival time. Analysis was by intention to treat. Findings: No patients dropped out of the study. Resection was microscopically complete in 233 (60%) of 390 assessable CS patients and 215 (54%) of 397 S patients (p&lt;0.0001). Postoperative complications were reported in 146 (41%) CS and 161 (42%) S patients. Overall survival was better in the CS group (hazard ratio 0.79; 95% CI 0.67-0.93; p=0.004). Median survival was 512 days (16.8 months) in the CS group compared with 405 days (13.3 months) in the S group (difference 107 days; 95% CI 30-196), and 2-year survival rates were 43% and 34% (difference 9%; 3-14). Interpretation: Two cycles of preoperative cisplatin and fluorouracil improve survival without additional serious adverse events in the treatment of patients with resectable oesophageal cancer.","author":[{"dropping-particle":"","family":"Girling","given":"D. J.","non-dropping-particle":"","parse-names":false,"suffix":""},{"dropping-particle":"","family":"Bancewicz","given":"J.","non-dropping-particle":"","parse-names":false,"suffix":""},{"dropping-particle":"","family":"Clark","given":"P. I.","non-dropping-particle":"","parse-names":false,"suffix":""},{"dropping-particle":"","family":"Smith","given":"D. B.","non-dropping-particle":"","parse-names":false,"suffix":""},{"dropping-particle":"","family":"Donnelly","given":"R. J.","non-dropping-particle":"","parse-names":false,"suffix":""},{"dropping-particle":"","family":"Fayers","given":"P. M.","non-dropping-particle":"","parse-names":false,"suffix":""},{"dropping-particle":"","family":"Weeden","given":"S.","non-dropping-particle":"","parse-names":false,"suffix":""},{"dropping-particle":"","family":"Girling","given":"D. J.","non-dropping-particle":"","parse-names":false,"suffix":""},{"dropping-particle":"","family":"Hutchinson","given":"T.","non-dropping-particle":"","parse-names":false,"suffix":""},{"dropping-particle":"","family":"Harvey","given":"A.","non-dropping-particle":"","parse-names":false,"suffix":""},{"dropping-particle":"","family":"Lyddiard","given":"J.","non-dropping-particle":"","parse-names":false,"suffix":""}],"container-title":"Lancet","id":"ITEM-1","issue":"9319","issued":{"date-parts":[["2002"]]},"page":"1727-1733","title":"Surgical resection with or without preoperative chemotherapy in oesophageal cancer: A randomised controlled trial","type":"article-journal","volume":"359"},"uris":["http://www.mendeley.com/documents/?uuid=00c286c4-2674-4194-b718-f2bef07a99d8"]}],"mendeley":{"formattedCitation":"&lt;sup&gt;15&lt;/sup&gt;","plainTextFormattedCitation":"15","previouslyFormattedCitation":"&lt;sup&gt;15&lt;/sup&gt;"},"properties":{"noteIndex":0},"schema":"https://github.com/citation-style-language/schema/raw/master/csl-citation.json"}</w:instrText>
      </w:r>
      <w:r w:rsidR="00F667C4" w:rsidRPr="00DB10F3">
        <w:rPr>
          <w:rFonts w:ascii="Helvetica" w:hAnsi="Helvetica"/>
          <w:bCs/>
        </w:rPr>
        <w:fldChar w:fldCharType="separate"/>
      </w:r>
      <w:r w:rsidRPr="00DB10F3">
        <w:rPr>
          <w:rFonts w:ascii="Helvetica" w:hAnsi="Helvetica"/>
          <w:bCs/>
          <w:noProof/>
          <w:vertAlign w:val="superscript"/>
        </w:rPr>
        <w:t>15</w:t>
      </w:r>
      <w:r w:rsidR="00F667C4" w:rsidRPr="00DB10F3">
        <w:rPr>
          <w:rFonts w:ascii="Helvetica" w:hAnsi="Helvetica"/>
          <w:bCs/>
        </w:rPr>
        <w:fldChar w:fldCharType="end"/>
      </w:r>
      <w:r w:rsidR="00F667C4" w:rsidRPr="00DB10F3">
        <w:rPr>
          <w:rFonts w:ascii="Helvetica" w:hAnsi="Helvetica"/>
          <w:bCs/>
        </w:rPr>
        <w:t xml:space="preserve">), </w:t>
      </w:r>
      <w:r w:rsidR="00850628">
        <w:rPr>
          <w:rFonts w:ascii="Helvetica" w:hAnsi="Helvetica"/>
          <w:bCs/>
        </w:rPr>
        <w:t>epirubicin containing</w:t>
      </w:r>
      <w:r w:rsidR="00DB2184">
        <w:rPr>
          <w:rFonts w:ascii="Helvetica" w:hAnsi="Helvetica"/>
          <w:bCs/>
        </w:rPr>
        <w:t xml:space="preserve"> platinum based</w:t>
      </w:r>
      <w:r w:rsidR="00850628">
        <w:rPr>
          <w:rFonts w:ascii="Helvetica" w:hAnsi="Helvetica"/>
          <w:bCs/>
        </w:rPr>
        <w:t xml:space="preserve"> </w:t>
      </w:r>
      <w:r w:rsidR="00F667C4" w:rsidRPr="00DB10F3">
        <w:rPr>
          <w:rFonts w:ascii="Helvetica" w:hAnsi="Helvetica"/>
          <w:bCs/>
        </w:rPr>
        <w:t xml:space="preserve">triplet </w:t>
      </w:r>
      <w:r w:rsidR="00114C60" w:rsidRPr="00DB10F3">
        <w:rPr>
          <w:rFonts w:ascii="Helvetica" w:hAnsi="Helvetica"/>
          <w:bCs/>
        </w:rPr>
        <w:t>chemo</w:t>
      </w:r>
      <w:r w:rsidR="00F667C4" w:rsidRPr="00DB10F3">
        <w:rPr>
          <w:rFonts w:ascii="Helvetica" w:hAnsi="Helvetica"/>
          <w:bCs/>
        </w:rPr>
        <w:t>therapy</w:t>
      </w:r>
      <w:r w:rsidR="00850628">
        <w:rPr>
          <w:rFonts w:ascii="Helvetica" w:hAnsi="Helvetica"/>
          <w:bCs/>
        </w:rPr>
        <w:t xml:space="preserve"> </w:t>
      </w:r>
      <w:r w:rsidR="00F667C4" w:rsidRPr="00DB10F3">
        <w:rPr>
          <w:rFonts w:ascii="Helvetica" w:hAnsi="Helvetica"/>
          <w:bCs/>
        </w:rPr>
        <w:t>(e.g. epirubicin, cisplatin and fluorouracil</w:t>
      </w:r>
      <w:r w:rsidR="00D606EB" w:rsidRPr="00DB10F3">
        <w:rPr>
          <w:rFonts w:ascii="Helvetica" w:hAnsi="Helvetica"/>
          <w:bCs/>
        </w:rPr>
        <w:t>/</w:t>
      </w:r>
      <w:r w:rsidR="00F667C4" w:rsidRPr="00DB10F3">
        <w:rPr>
          <w:rFonts w:ascii="Helvetica" w:hAnsi="Helvetica"/>
          <w:bCs/>
        </w:rPr>
        <w:t xml:space="preserve">capecitabine, </w:t>
      </w:r>
      <w:r w:rsidR="00850628">
        <w:rPr>
          <w:rFonts w:ascii="Helvetica" w:hAnsi="Helvetica"/>
          <w:bCs/>
        </w:rPr>
        <w:t>‘</w:t>
      </w:r>
      <w:r w:rsidR="00F667C4" w:rsidRPr="00DB10F3">
        <w:rPr>
          <w:rFonts w:ascii="Helvetica" w:hAnsi="Helvetica"/>
          <w:bCs/>
          <w:i/>
          <w:iCs/>
        </w:rPr>
        <w:t>MAGIC</w:t>
      </w:r>
      <w:r w:rsidR="00850628">
        <w:rPr>
          <w:rFonts w:ascii="Helvetica" w:hAnsi="Helvetica"/>
          <w:bCs/>
          <w:i/>
          <w:iCs/>
        </w:rPr>
        <w:t>’</w:t>
      </w:r>
      <w:r w:rsidR="00F667C4" w:rsidRPr="00DB10F3">
        <w:rPr>
          <w:rFonts w:ascii="Helvetica" w:hAnsi="Helvetica"/>
          <w:bCs/>
        </w:rPr>
        <w:t xml:space="preserve"> </w:t>
      </w:r>
      <w:r w:rsidR="00F667C4" w:rsidRPr="00DB10F3">
        <w:rPr>
          <w:rFonts w:ascii="Helvetica" w:hAnsi="Helvetica"/>
          <w:bCs/>
        </w:rPr>
        <w:fldChar w:fldCharType="begin" w:fldLock="1"/>
      </w:r>
      <w:r w:rsidR="00303EE5">
        <w:rPr>
          <w:rFonts w:ascii="Helvetica" w:hAnsi="Helvetica"/>
          <w:bCs/>
        </w:rPr>
        <w:instrText>ADDIN CSL_CITATION {"citationItems":[{"id":"ITEM-1","itemData":{"DOI":"10.1056/nejmoa055531","ISSN":"0028-4793","PMID":"16822992","abstract":"BACKGROUND: A regimen of epirubicin, cisplatin, and infused fluorouracil (ECF) improves survival among patients with incurable locally advanced or metastatic gastric adenocarcinoma. We assessed whether the addition of a perioperative regimen of ECF to surgery improves outcomes among patients with potentially curable gastric cancer. METHODS: We randomly assigned patients with resectable adenocarcinoma of the stomach, esophagogastric junction, or lower esophagus to either perioperative chemotherapy and surgery (250 patients) or surgery alone (253 patients). Chemotherapy consisted of three preoperative and three postoperative cycles of intravenous epirubicin (50 mg per square meter of body-surface area) and cisplatin (60 mg per square meter) on day 1, and a continuous intravenous infusion of fluorouracil (200 mg per square meter per day) for 21 days. The primary end point was overall survival. RESULTS: ECF-related adverse effects were similar to those previously reported among patients with advanced gastric cancer. Rates of postoperative complications were similar in the perioperative-chemotherapy group and the surgery group (46 percent and 45 percent, respectively), as were the numbers of deaths within 30 days after surgery. The resected tumors were significantly smaller and less advanced in the perioperative-chemotherapy group. With a median follow-up of four years, 149 patients in the perioperative-chemotherapy group and 170 in the surgery group had died. As compared with the surgery group, the perioperative-chemotherapy group had a higher likelihood of overall survival (hazard ratio for death, 0.75; 95 percent confidence interval, 0.60 to 0.93; P = 0.009; five-year survival rate, 36 percent vs. 23 percent) and of progression-free survival (hazard ratio for progression, 0.66; 95 percent confidence interval, 0.53 to 0.81; P &lt; 0.001). CONCLUSIONS: In patients with operable gastric or lower esophageal adenocarcinomas, a perioperative regimen of ECF decreased tumor size and stage and significantly improved progression-free and overall survival. (Current Controlled Trials number, ISRCTN93793971.) Copyright © 2006 Massachusetts Medical Society. All rights reserved.","author":[{"dropping-particle":"","family":"Cunningham","given":"David","non-dropping-particle":"","parse-names":false,"suffix":""},{"dropping-particle":"","family":"Allum","given":"William H.","non-dropping-particle":"","parse-names":false,"suffix":""},{"dropping-particle":"","family":"Stenning","given":"Sally P.","non-dropping-particle":"","parse-names":false,"suffix":""},{"dropping-particle":"","family":"Thompson","given":"Jeremy N.","non-dropping-particle":"","parse-names":false,"suffix":""},{"dropping-particle":"","family":"Velde","given":"Cornelis J.H.","non-dropping-particle":"Van de","parse-names":false,"suffix":""},{"dropping-particle":"","family":"Nicolson","given":"Marianne","non-dropping-particle":"","parse-names":false,"suffix":""},{"dropping-particle":"","family":"Scarffe","given":"J. Howard","non-dropping-particle":"","parse-names":false,"suffix":""},{"dropping-particle":"","family":"Lofts","given":"Fiona J.","non-dropping-particle":"","parse-names":false,"suffix":""},{"dropping-particle":"","family":"Falk","given":"Stephen J.","non-dropping-particle":"","parse-names":false,"suffix":""},{"dropping-particle":"","family":"Iveson","given":"Timothy J.","non-dropping-particle":"","parse-names":false,"suffix":""},{"dropping-particle":"","family":"Smith","given":"David B.","non-dropping-particle":"","parse-names":false,"suffix":""},{"dropping-particle":"","family":"Langley","given":"Ruth E.","non-dropping-particle":"","parse-names":false,"suffix":""},{"dropping-particle":"","family":"Verma","given":"Monica","non-dropping-particle":"","parse-names":false,"suffix":""},{"dropping-particle":"","family":"Weeden","given":"Simon","non-dropping-particle":"","parse-names":false,"suffix":""},{"dropping-particle":"","family":"Chua","given":"Yu Jo","non-dropping-particle":"","parse-names":false,"suffix":""}],"container-title":"New England Journal of Medicine","id":"ITEM-1","issue":"1","issued":{"date-parts":[["2006","7","6"]]},"page":"11-20","publisher":"Massachusetts Medical Society","title":"Perioperative Chemotherapy versus Surgery Alone for Resectable Gastroesophageal Cancer","type":"article-journal","volume":"355"},"uris":["http://www.mendeley.com/documents/?uuid=b40f9dde-d926-3c8b-afed-2a11aba37eed"]}],"mendeley":{"formattedCitation":"&lt;sup&gt;14&lt;/sup&gt;","plainTextFormattedCitation":"14","previouslyFormattedCitation":"&lt;sup&gt;14&lt;/sup&gt;"},"properties":{"noteIndex":0},"schema":"https://github.com/citation-style-language/schema/raw/master/csl-citation.json"}</w:instrText>
      </w:r>
      <w:r w:rsidR="00F667C4" w:rsidRPr="00DB10F3">
        <w:rPr>
          <w:rFonts w:ascii="Helvetica" w:hAnsi="Helvetica"/>
          <w:bCs/>
        </w:rPr>
        <w:fldChar w:fldCharType="separate"/>
      </w:r>
      <w:r w:rsidRPr="00DB10F3">
        <w:rPr>
          <w:rFonts w:ascii="Helvetica" w:hAnsi="Helvetica"/>
          <w:bCs/>
          <w:noProof/>
          <w:vertAlign w:val="superscript"/>
        </w:rPr>
        <w:t>14</w:t>
      </w:r>
      <w:r w:rsidR="00F667C4" w:rsidRPr="00DB10F3">
        <w:rPr>
          <w:rFonts w:ascii="Helvetica" w:hAnsi="Helvetica"/>
          <w:bCs/>
        </w:rPr>
        <w:fldChar w:fldCharType="end"/>
      </w:r>
      <w:r w:rsidR="00F667C4" w:rsidRPr="00DB10F3">
        <w:rPr>
          <w:rFonts w:ascii="Helvetica" w:hAnsi="Helvetica"/>
          <w:bCs/>
        </w:rPr>
        <w:t xml:space="preserve">) and </w:t>
      </w:r>
      <w:r w:rsidR="00850628">
        <w:rPr>
          <w:rFonts w:ascii="Helvetica" w:hAnsi="Helvetica"/>
          <w:bCs/>
        </w:rPr>
        <w:t>‘</w:t>
      </w:r>
      <w:r w:rsidR="004315C9" w:rsidRPr="00850628">
        <w:rPr>
          <w:rFonts w:ascii="Helvetica" w:hAnsi="Helvetica"/>
          <w:bCs/>
          <w:i/>
          <w:iCs/>
        </w:rPr>
        <w:t>FLOT</w:t>
      </w:r>
      <w:r w:rsidR="00850628">
        <w:rPr>
          <w:rFonts w:ascii="Helvetica" w:hAnsi="Helvetica"/>
          <w:bCs/>
          <w:i/>
          <w:iCs/>
        </w:rPr>
        <w:t>’</w:t>
      </w:r>
      <w:r w:rsidR="004315C9" w:rsidRPr="00DB10F3">
        <w:rPr>
          <w:rFonts w:ascii="Helvetica" w:hAnsi="Helvetica"/>
          <w:bCs/>
        </w:rPr>
        <w:t xml:space="preserve"> </w:t>
      </w:r>
      <w:r w:rsidR="00F667C4" w:rsidRPr="00DB10F3">
        <w:rPr>
          <w:rFonts w:ascii="Helvetica" w:hAnsi="Helvetica"/>
          <w:bCs/>
        </w:rPr>
        <w:fldChar w:fldCharType="begin" w:fldLock="1"/>
      </w:r>
      <w:r w:rsidR="00557B73" w:rsidRPr="00DB10F3">
        <w:rPr>
          <w:rFonts w:ascii="Helvetica" w:hAnsi="Helvetica"/>
          <w:bCs/>
        </w:rPr>
        <w:instrText>ADDIN CSL_CITATION {"citationItems":[{"id":"ITEM-1","itemData":{"DOI":"10.1016/S0140-6736(18)32557-1","ISSN":"1474547X","PMID":"30982686","abstract":"Background: Docetaxel-based chemotherapy is effective in metastatic gastric and gastro-oesophageal junction adenocarcinoma. This study reports on the safety and efficacy of the docetaxel-based triplet FLOT (fluorouracil plus leucovorin, oxaliplatin and docetaxel)as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group)or four preoperative and four postoperative 2-week cycles of 50 mg/m2 docetaxel, 85 mg/m2 oxaliplatin, 200 mg/m2 leucovorin and 2600 mg/m2 fluorouracil as 24-h infusion on day 1 (FLOT; experimental group). The primary outcome of the trial was overall survival (superiority)analysed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[HR]0·77; 95% confidence interval [CI; 0.63 to 0·94]; median overall survival, 50 months [38·33 to not reached]vs 35 months [27·35 to 46·26]). The number of patients with related serious adverse events (including those occurring during hospital stay for surgery)was similar in the two groups (96 [27%]in the ECF/ECX group vs 97 [27%]in the FLOT group), as was the number of toxic deaths (two [&lt;1%]in both groups). Hospitalisation for toxicity occurred in 94 patients (26%)in the ECF/ECX group and 89 patients (25%)in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 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 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Lancet","id":"ITEM-1","issue":"10184","issued":{"date-parts":[["2019"]]},"page":"1948-1957","publisher":"Elsevier Ltd","title":"Perioperative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19676975-a331-4a5c-b28b-3304e0858813"]}],"mendeley":{"formattedCitation":"&lt;sup&gt;16&lt;/sup&gt;","plainTextFormattedCitation":"16","previouslyFormattedCitation":"&lt;sup&gt;16&lt;/sup&gt;"},"properties":{"noteIndex":0},"schema":"https://github.com/citation-style-language/schema/raw/master/csl-citation.json"}</w:instrText>
      </w:r>
      <w:r w:rsidR="00F667C4" w:rsidRPr="00DB10F3">
        <w:rPr>
          <w:rFonts w:ascii="Helvetica" w:hAnsi="Helvetica"/>
          <w:bCs/>
        </w:rPr>
        <w:fldChar w:fldCharType="separate"/>
      </w:r>
      <w:r w:rsidRPr="00DB10F3">
        <w:rPr>
          <w:rFonts w:ascii="Helvetica" w:hAnsi="Helvetica"/>
          <w:bCs/>
          <w:noProof/>
          <w:vertAlign w:val="superscript"/>
        </w:rPr>
        <w:t>16</w:t>
      </w:r>
      <w:r w:rsidR="00F667C4" w:rsidRPr="00DB10F3">
        <w:rPr>
          <w:rFonts w:ascii="Helvetica" w:hAnsi="Helvetica"/>
          <w:bCs/>
        </w:rPr>
        <w:fldChar w:fldCharType="end"/>
      </w:r>
      <w:r w:rsidR="00850628">
        <w:rPr>
          <w:rFonts w:ascii="Helvetica" w:hAnsi="Helvetica"/>
          <w:bCs/>
        </w:rPr>
        <w:t xml:space="preserve"> </w:t>
      </w:r>
      <w:r w:rsidR="00850628" w:rsidRPr="00DB10F3">
        <w:rPr>
          <w:rFonts w:ascii="Helvetica" w:hAnsi="Helvetica" w:cstheme="majorHAnsi"/>
        </w:rPr>
        <w:t>(fluorouracil, oxaliplatin, leucovorin and docetaxel</w:t>
      </w:r>
      <w:r w:rsidR="0041734F" w:rsidRPr="00DB10F3">
        <w:rPr>
          <w:rFonts w:ascii="Helvetica" w:hAnsi="Helvetica"/>
          <w:bCs/>
        </w:rPr>
        <w:t>)</w:t>
      </w:r>
      <w:r w:rsidR="00F667C4" w:rsidRPr="00DB10F3">
        <w:rPr>
          <w:rFonts w:ascii="Helvetica" w:hAnsi="Helvetica" w:cstheme="majorHAnsi"/>
          <w:i/>
          <w:iCs/>
        </w:rPr>
        <w:t>.</w:t>
      </w:r>
      <w:r w:rsidR="00F667C4" w:rsidRPr="00DB10F3">
        <w:rPr>
          <w:rFonts w:ascii="Helvetica" w:hAnsi="Helvetica"/>
          <w:bCs/>
        </w:rPr>
        <w:t xml:space="preserve"> </w:t>
      </w:r>
      <w:r w:rsidR="00161AFA" w:rsidRPr="00DB10F3">
        <w:rPr>
          <w:rFonts w:ascii="Helvetica" w:hAnsi="Helvetica"/>
          <w:bCs/>
        </w:rPr>
        <w:t xml:space="preserve">Patients who received </w:t>
      </w:r>
      <w:r w:rsidR="00D9501B" w:rsidRPr="00DB10F3">
        <w:rPr>
          <w:rFonts w:ascii="Helvetica" w:hAnsi="Helvetica"/>
          <w:bCs/>
        </w:rPr>
        <w:t xml:space="preserve">neoadjuvant </w:t>
      </w:r>
      <w:r w:rsidR="00867A8B" w:rsidRPr="00DB10F3">
        <w:rPr>
          <w:rFonts w:ascii="Helvetica" w:hAnsi="Helvetica"/>
          <w:bCs/>
        </w:rPr>
        <w:t xml:space="preserve">chemoradiotherapy or </w:t>
      </w:r>
      <w:r w:rsidR="00161AFA" w:rsidRPr="00DB10F3">
        <w:rPr>
          <w:rFonts w:ascii="Helvetica" w:hAnsi="Helvetica"/>
          <w:bCs/>
        </w:rPr>
        <w:t xml:space="preserve">extended </w:t>
      </w:r>
      <w:r w:rsidR="00D33A50" w:rsidRPr="00DB10F3">
        <w:rPr>
          <w:rFonts w:ascii="Helvetica" w:hAnsi="Helvetica"/>
          <w:bCs/>
        </w:rPr>
        <w:t>neoadjuvant</w:t>
      </w:r>
      <w:r w:rsidR="00161AFA" w:rsidRPr="00DB10F3">
        <w:rPr>
          <w:rFonts w:ascii="Helvetica" w:hAnsi="Helvetica"/>
          <w:bCs/>
        </w:rPr>
        <w:t xml:space="preserve"> </w:t>
      </w:r>
      <w:r w:rsidR="00D9501B" w:rsidRPr="00DB10F3">
        <w:rPr>
          <w:rFonts w:ascii="Helvetica" w:hAnsi="Helvetica"/>
          <w:bCs/>
        </w:rPr>
        <w:t>chemo</w:t>
      </w:r>
      <w:r w:rsidR="00161AFA" w:rsidRPr="00DB10F3">
        <w:rPr>
          <w:rFonts w:ascii="Helvetica" w:hAnsi="Helvetica"/>
          <w:bCs/>
        </w:rPr>
        <w:t>therapy as part of an advanced disease protocol were excluded.</w:t>
      </w:r>
      <w:r w:rsidR="00F33A21" w:rsidRPr="00DB10F3">
        <w:rPr>
          <w:rFonts w:ascii="Helvetica" w:hAnsi="Helvetica"/>
          <w:bCs/>
        </w:rPr>
        <w:t xml:space="preserve"> Trans</w:t>
      </w:r>
      <w:r w:rsidR="009330A3" w:rsidRPr="00DB10F3">
        <w:rPr>
          <w:rFonts w:ascii="Helvetica" w:hAnsi="Helvetica"/>
          <w:bCs/>
        </w:rPr>
        <w:t>-</w:t>
      </w:r>
      <w:r w:rsidR="00F33A21" w:rsidRPr="00DB10F3">
        <w:rPr>
          <w:rFonts w:ascii="Helvetica" w:hAnsi="Helvetica"/>
          <w:bCs/>
        </w:rPr>
        <w:t>thoracic</w:t>
      </w:r>
      <w:r w:rsidR="002D7FBB" w:rsidRPr="00DB10F3">
        <w:rPr>
          <w:rFonts w:ascii="Helvetica" w:hAnsi="Helvetica"/>
          <w:bCs/>
        </w:rPr>
        <w:t xml:space="preserve"> or</w:t>
      </w:r>
      <w:r w:rsidR="00F33A21" w:rsidRPr="00DB10F3">
        <w:rPr>
          <w:rFonts w:ascii="Helvetica" w:hAnsi="Helvetica"/>
          <w:bCs/>
        </w:rPr>
        <w:t xml:space="preserve"> trans</w:t>
      </w:r>
      <w:r w:rsidR="009330A3" w:rsidRPr="00DB10F3">
        <w:rPr>
          <w:rFonts w:ascii="Helvetica" w:hAnsi="Helvetica"/>
          <w:bCs/>
        </w:rPr>
        <w:t>-</w:t>
      </w:r>
      <w:r w:rsidR="00F33A21" w:rsidRPr="00DB10F3">
        <w:rPr>
          <w:rFonts w:ascii="Helvetica" w:hAnsi="Helvetica"/>
          <w:bCs/>
        </w:rPr>
        <w:t>hiatal esophagectomy or</w:t>
      </w:r>
      <w:r w:rsidR="000B3C2E" w:rsidRPr="00DB10F3">
        <w:rPr>
          <w:rFonts w:ascii="Helvetica" w:hAnsi="Helvetica"/>
          <w:bCs/>
        </w:rPr>
        <w:t xml:space="preserve"> </w:t>
      </w:r>
      <w:r w:rsidR="00F33A21" w:rsidRPr="00DB10F3">
        <w:rPr>
          <w:rFonts w:ascii="Helvetica" w:hAnsi="Helvetica"/>
          <w:bCs/>
        </w:rPr>
        <w:t>extended total gastrectomy w</w:t>
      </w:r>
      <w:r w:rsidR="00EF5F5D" w:rsidRPr="00DB10F3">
        <w:rPr>
          <w:rFonts w:ascii="Helvetica" w:hAnsi="Helvetica"/>
          <w:bCs/>
        </w:rPr>
        <w:t>ere</w:t>
      </w:r>
      <w:r w:rsidR="00F33A21" w:rsidRPr="00DB10F3">
        <w:rPr>
          <w:rFonts w:ascii="Helvetica" w:hAnsi="Helvetica"/>
          <w:bCs/>
        </w:rPr>
        <w:t xml:space="preserve"> performed by either </w:t>
      </w:r>
      <w:r w:rsidR="00EF5F5D" w:rsidRPr="00DB10F3">
        <w:rPr>
          <w:rFonts w:ascii="Helvetica" w:hAnsi="Helvetica"/>
          <w:bCs/>
        </w:rPr>
        <w:t>open or minimally invasive approach.</w:t>
      </w:r>
      <w:r w:rsidR="009B4E6B">
        <w:rPr>
          <w:rFonts w:ascii="Helvetica" w:hAnsi="Helvetica"/>
          <w:bCs/>
        </w:rPr>
        <w:t xml:space="preserve"> All adjuvant treatment strategies were permitted as decided by local multi-disciplinary consensus (e.g. chemotherapy, chemoradiotherapy, none).</w:t>
      </w:r>
    </w:p>
    <w:p w14:paraId="2621ED47" w14:textId="77777777" w:rsidR="00B668ED" w:rsidRPr="00DB10F3" w:rsidRDefault="00B668ED" w:rsidP="004F5E68">
      <w:pPr>
        <w:spacing w:line="480" w:lineRule="auto"/>
        <w:rPr>
          <w:rFonts w:ascii="Helvetica" w:hAnsi="Helvetica"/>
          <w:b/>
          <w:i/>
          <w:iCs/>
        </w:rPr>
      </w:pPr>
    </w:p>
    <w:p w14:paraId="2BF506F1" w14:textId="075A169B" w:rsidR="00924E8E" w:rsidRPr="00DB10F3" w:rsidRDefault="00924E8E" w:rsidP="004F5E68">
      <w:pPr>
        <w:spacing w:line="480" w:lineRule="auto"/>
        <w:rPr>
          <w:rFonts w:ascii="Helvetica" w:hAnsi="Helvetica"/>
          <w:b/>
          <w:i/>
          <w:iCs/>
        </w:rPr>
      </w:pPr>
      <w:r w:rsidRPr="00DB10F3">
        <w:rPr>
          <w:rFonts w:ascii="Helvetica" w:hAnsi="Helvetica"/>
          <w:b/>
          <w:i/>
          <w:iCs/>
        </w:rPr>
        <w:t>Pathological analysis</w:t>
      </w:r>
    </w:p>
    <w:p w14:paraId="25FD011E" w14:textId="5D1A47FB" w:rsidR="00924E8E" w:rsidRPr="00DB10F3" w:rsidRDefault="0019785E" w:rsidP="00F67DA8">
      <w:pPr>
        <w:spacing w:line="480" w:lineRule="auto"/>
        <w:rPr>
          <w:rFonts w:ascii="Helvetica" w:hAnsi="Helvetica"/>
          <w:bCs/>
        </w:rPr>
      </w:pPr>
      <w:proofErr w:type="spellStart"/>
      <w:r>
        <w:rPr>
          <w:rFonts w:ascii="Helvetica" w:hAnsi="Helvetica"/>
          <w:bCs/>
        </w:rPr>
        <w:t>Tumor</w:t>
      </w:r>
      <w:r w:rsidR="003F019A" w:rsidRPr="00DB10F3">
        <w:rPr>
          <w:rFonts w:ascii="Helvetica" w:hAnsi="Helvetica"/>
          <w:bCs/>
        </w:rPr>
        <w:t>s</w:t>
      </w:r>
      <w:proofErr w:type="spellEnd"/>
      <w:r w:rsidR="003F019A" w:rsidRPr="00DB10F3">
        <w:rPr>
          <w:rFonts w:ascii="Helvetica" w:hAnsi="Helvetica"/>
          <w:bCs/>
        </w:rPr>
        <w:t xml:space="preserve"> were staged according to t</w:t>
      </w:r>
      <w:r w:rsidR="00EF5F5D" w:rsidRPr="00DB10F3">
        <w:rPr>
          <w:rFonts w:ascii="Helvetica" w:hAnsi="Helvetica"/>
          <w:bCs/>
        </w:rPr>
        <w:t xml:space="preserve">he Union for International Cancer Control (UICC) </w:t>
      </w:r>
      <w:r w:rsidR="003F019A" w:rsidRPr="00DB10F3">
        <w:rPr>
          <w:rFonts w:ascii="Helvetica" w:hAnsi="Helvetica"/>
          <w:bCs/>
        </w:rPr>
        <w:t>TNM version 8</w:t>
      </w:r>
      <w:r w:rsidR="00924E8E" w:rsidRPr="00DB10F3">
        <w:rPr>
          <w:rFonts w:ascii="Helvetica" w:hAnsi="Helvetica"/>
          <w:bCs/>
        </w:rPr>
        <w:t xml:space="preserve"> </w:t>
      </w:r>
      <w:r w:rsidR="003F019A" w:rsidRPr="00DB10F3">
        <w:rPr>
          <w:rFonts w:ascii="Helvetica" w:hAnsi="Helvetica"/>
          <w:bCs/>
        </w:rPr>
        <w:fldChar w:fldCharType="begin" w:fldLock="1"/>
      </w:r>
      <w:r w:rsidR="00557B73" w:rsidRPr="00DB10F3">
        <w:rPr>
          <w:rFonts w:ascii="Helvetica" w:hAnsi="Helvetica"/>
          <w:bCs/>
        </w:rPr>
        <w:instrText>ADDIN CSL_CITATION {"citationItems":[{"id":"ITEM-1","itemData":{"author":[{"dropping-particle":"","family":"Union for International Cancer Control (UICC)","given":"","non-dropping-particle":"","parse-names":false,"suffix":""}],"editor":[{"dropping-particle":"","family":"J","given":"Brierley","non-dropping-particle":"","parse-names":false,"suffix":""}],"id":"ITEM-1","issued":{"date-parts":[["0"]]},"publisher":"Wiley Blackwell","title":"TNM Classification of Malignant Tumours - Eighth Edition","type":"book"},"uris":["http://www.mendeley.com/documents/?uuid=d266a7ad-7f5e-3c33-b181-08feff12ade0"]}],"mendeley":{"formattedCitation":"&lt;sup&gt;17&lt;/sup&gt;","plainTextFormattedCitation":"17","previouslyFormattedCitation":"&lt;sup&gt;17&lt;/sup&gt;"},"properties":{"noteIndex":0},"schema":"https://github.com/citation-style-language/schema/raw/master/csl-citation.json"}</w:instrText>
      </w:r>
      <w:r w:rsidR="003F019A" w:rsidRPr="00DB10F3">
        <w:rPr>
          <w:rFonts w:ascii="Helvetica" w:hAnsi="Helvetica"/>
          <w:bCs/>
        </w:rPr>
        <w:fldChar w:fldCharType="separate"/>
      </w:r>
      <w:r w:rsidR="00962D57" w:rsidRPr="00DB10F3">
        <w:rPr>
          <w:rFonts w:ascii="Helvetica" w:hAnsi="Helvetica"/>
          <w:bCs/>
          <w:noProof/>
          <w:vertAlign w:val="superscript"/>
        </w:rPr>
        <w:t>17</w:t>
      </w:r>
      <w:r w:rsidR="003F019A" w:rsidRPr="00DB10F3">
        <w:rPr>
          <w:rFonts w:ascii="Helvetica" w:hAnsi="Helvetica"/>
          <w:bCs/>
        </w:rPr>
        <w:fldChar w:fldCharType="end"/>
      </w:r>
      <w:r w:rsidR="003F019A" w:rsidRPr="00DB10F3">
        <w:rPr>
          <w:rFonts w:ascii="Helvetica" w:hAnsi="Helvetica"/>
          <w:bCs/>
        </w:rPr>
        <w:t xml:space="preserve">. </w:t>
      </w:r>
      <w:r w:rsidR="00924E8E" w:rsidRPr="00DB10F3">
        <w:rPr>
          <w:rFonts w:ascii="Helvetica" w:hAnsi="Helvetica"/>
          <w:bCs/>
        </w:rPr>
        <w:t xml:space="preserve">Pathological primary </w:t>
      </w:r>
      <w:proofErr w:type="spellStart"/>
      <w:r>
        <w:rPr>
          <w:rFonts w:ascii="Helvetica" w:hAnsi="Helvetica"/>
          <w:bCs/>
        </w:rPr>
        <w:t>tumor</w:t>
      </w:r>
      <w:proofErr w:type="spellEnd"/>
      <w:r w:rsidR="00924E8E" w:rsidRPr="00DB10F3">
        <w:rPr>
          <w:rFonts w:ascii="Helvetica" w:hAnsi="Helvetica"/>
          <w:bCs/>
        </w:rPr>
        <w:t xml:space="preserve"> regression was </w:t>
      </w:r>
      <w:r w:rsidR="003F019A" w:rsidRPr="00DB10F3">
        <w:rPr>
          <w:rFonts w:ascii="Helvetica" w:hAnsi="Helvetica"/>
          <w:bCs/>
        </w:rPr>
        <w:t>evaluated using the Mandard classification</w:t>
      </w:r>
      <w:r w:rsidR="002D7FBB" w:rsidRPr="00DB10F3">
        <w:rPr>
          <w:rFonts w:ascii="Helvetica" w:hAnsi="Helvetica"/>
          <w:bCs/>
        </w:rPr>
        <w:t xml:space="preserve"> from </w:t>
      </w:r>
      <w:r w:rsidR="00A45338" w:rsidRPr="00DB10F3">
        <w:rPr>
          <w:rFonts w:ascii="Helvetica" w:hAnsi="Helvetica"/>
          <w:bCs/>
        </w:rPr>
        <w:t xml:space="preserve">1 (complete response) </w:t>
      </w:r>
      <w:r w:rsidR="002D7FBB" w:rsidRPr="00DB10F3">
        <w:rPr>
          <w:rFonts w:ascii="Helvetica" w:hAnsi="Helvetica"/>
          <w:bCs/>
        </w:rPr>
        <w:t>to</w:t>
      </w:r>
      <w:r w:rsidR="00A45338" w:rsidRPr="00DB10F3">
        <w:rPr>
          <w:rFonts w:ascii="Helvetica" w:hAnsi="Helvetica"/>
          <w:bCs/>
        </w:rPr>
        <w:t xml:space="preserve"> 5 (no response)</w:t>
      </w:r>
      <w:r w:rsidR="003F019A" w:rsidRPr="00DB10F3">
        <w:rPr>
          <w:rFonts w:ascii="Helvetica" w:hAnsi="Helvetica"/>
          <w:bCs/>
        </w:rPr>
        <w:t xml:space="preserve"> </w:t>
      </w:r>
      <w:r w:rsidR="003F019A" w:rsidRPr="00DB10F3">
        <w:rPr>
          <w:rFonts w:ascii="Helvetica" w:hAnsi="Helvetica"/>
          <w:bCs/>
        </w:rPr>
        <w:fldChar w:fldCharType="begin" w:fldLock="1"/>
      </w:r>
      <w:r w:rsidR="00867A8B" w:rsidRPr="00DB10F3">
        <w:rPr>
          <w:rFonts w:ascii="Helvetica" w:hAnsi="Helvetica"/>
          <w:bCs/>
        </w:rPr>
        <w:instrText>ADDIN CSL_CITATION {"citationItems":[{"id":"ITEM-1","itemData":{"DOI":"10.1002/1097-0142(19940601)73:11&lt;2680::AID-CNCR2820731105&gt;3.0.CO;2-C","ISSN":"0008-543X","PMID":"8194005","author":[{"dropping-particle":"","family":"Mandard","given":"","non-dropping-particle":"","parse-names":false,"suffix":""},{"dropping-particle":"","family":"F","given":"Dalibard","non-dropping-particle":"","parse-names":false,"suffix":""},{"dropping-particle":"","family":"JC","given":"Mandard","non-dropping-particle":"","parse-names":false,"suffix":""},{"dropping-particle":"","family":"J","given":"Marnay","non-dropping-particle":"","parse-names":false,"suffix":""},{"dropping-particle":"","family":"M","given":"Henry-Amar","non-dropping-particle":"","parse-names":false,"suffix":""},{"dropping-particle":"","family":"JF","given":"Petiot","non-dropping-particle":"","parse-names":false,"suffix":""},{"dropping-particle":"","family":"A","given":"Roussel","non-dropping-particle":"","parse-names":false,"suffix":""},{"dropping-particle":"","family":"JH","given":"Jacob","non-dropping-particle":"","parse-names":false,"suffix":""},{"dropping-particle":"","family":"P","given":"Segol","non-dropping-particle":"","parse-names":false,"suffix":""},{"dropping-particle":"","family":"G","given":"Samama","non-dropping-particle":"","parse-names":false,"suffix":""}],"container-title":"Cancer","id":"ITEM-1","issue":"11","issued":{"date-parts":[["1994"]]},"publisher":"Cancer","title":"Pathologic Assessment of Tumor Regression After Preoperative Chemoradiotherapy of Esophageal Carcinoma. Clinicopathologic Correlations","type":"article-journal","volume":"73"},"uris":["http://www.mendeley.com/documents/?uuid=db1fd4bc-5968-350f-a108-aa192b03af8e"]}],"mendeley":{"formattedCitation":"&lt;sup&gt;3&lt;/sup&gt;","plainTextFormattedCitation":"3","previouslyFormattedCitation":"&lt;sup&gt;3&lt;/sup&gt;"},"properties":{"noteIndex":0},"schema":"https://github.com/citation-style-language/schema/raw/master/csl-citation.json"}</w:instrText>
      </w:r>
      <w:r w:rsidR="003F019A" w:rsidRPr="00DB10F3">
        <w:rPr>
          <w:rFonts w:ascii="Helvetica" w:hAnsi="Helvetica"/>
          <w:bCs/>
        </w:rPr>
        <w:fldChar w:fldCharType="separate"/>
      </w:r>
      <w:r w:rsidR="007C4EF8" w:rsidRPr="00DB10F3">
        <w:rPr>
          <w:rFonts w:ascii="Helvetica" w:hAnsi="Helvetica"/>
          <w:bCs/>
          <w:noProof/>
          <w:vertAlign w:val="superscript"/>
        </w:rPr>
        <w:t>3</w:t>
      </w:r>
      <w:r w:rsidR="003F019A" w:rsidRPr="00DB10F3">
        <w:rPr>
          <w:rFonts w:ascii="Helvetica" w:hAnsi="Helvetica"/>
          <w:bCs/>
        </w:rPr>
        <w:fldChar w:fldCharType="end"/>
      </w:r>
      <w:r w:rsidR="00A45338" w:rsidRPr="00DB10F3">
        <w:rPr>
          <w:rFonts w:ascii="Helvetica" w:hAnsi="Helvetica"/>
          <w:bCs/>
        </w:rPr>
        <w:t>.</w:t>
      </w:r>
    </w:p>
    <w:p w14:paraId="5B73B8AC" w14:textId="77777777" w:rsidR="00924E8E" w:rsidRPr="00DB10F3" w:rsidRDefault="00924E8E" w:rsidP="00924E8E">
      <w:pPr>
        <w:spacing w:line="480" w:lineRule="auto"/>
        <w:rPr>
          <w:rFonts w:ascii="Helvetica" w:hAnsi="Helvetica"/>
          <w:bCs/>
        </w:rPr>
      </w:pPr>
    </w:p>
    <w:p w14:paraId="3C3DEFAA" w14:textId="512D99E3" w:rsidR="00924E8E" w:rsidRPr="00DB10F3" w:rsidRDefault="00EF5F5D" w:rsidP="00924E8E">
      <w:pPr>
        <w:spacing w:line="480" w:lineRule="auto"/>
        <w:rPr>
          <w:rFonts w:ascii="Helvetica" w:hAnsi="Helvetica"/>
          <w:bCs/>
        </w:rPr>
      </w:pPr>
      <w:r w:rsidRPr="00DB10F3">
        <w:rPr>
          <w:rFonts w:ascii="Helvetica" w:hAnsi="Helvetica"/>
          <w:bCs/>
        </w:rPr>
        <w:lastRenderedPageBreak/>
        <w:t>LNs</w:t>
      </w:r>
      <w:r w:rsidR="00924E8E" w:rsidRPr="00DB10F3">
        <w:rPr>
          <w:rFonts w:ascii="Helvetica" w:hAnsi="Helvetica"/>
          <w:bCs/>
        </w:rPr>
        <w:t xml:space="preserve"> were processed according to Royal College of Pathologists guidelines</w:t>
      </w:r>
      <w:r w:rsidR="006B3AD8" w:rsidRPr="00DB10F3">
        <w:rPr>
          <w:rFonts w:ascii="Helvetica" w:hAnsi="Helvetica"/>
          <w:bCs/>
        </w:rPr>
        <w:t xml:space="preserve"> </w:t>
      </w:r>
      <w:r w:rsidR="006B3AD8" w:rsidRPr="00DB10F3">
        <w:rPr>
          <w:rFonts w:ascii="Helvetica" w:hAnsi="Helvetica"/>
          <w:bCs/>
        </w:rPr>
        <w:fldChar w:fldCharType="begin" w:fldLock="1"/>
      </w:r>
      <w:r w:rsidR="00557B73" w:rsidRPr="00DB10F3">
        <w:rPr>
          <w:rFonts w:ascii="Helvetica" w:hAnsi="Helvetica"/>
          <w:bCs/>
        </w:rPr>
        <w:instrText>ADDIN CSL_CITATION {"citationItems":[{"id":"ITEM-1","itemData":{"author":[{"dropping-particle":"","family":"Grabsch","given":"H","non-dropping-particle":"","parse-names":false,"suffix":""},{"dropping-particle":"","family":"Mapstone","given":"N","non-dropping-particle":"","parse-names":false,"suffix":""},{"dropping-particle":"","family":"Novelli","given":"M","non-dropping-particle":"","parse-names":false,"suffix":""}],"container-title":"Standards and datasets for reporting cancers, The Royal College of Pathologists","id":"ITEM-1","issued":{"date-parts":[["2019"]]},"title":"Dataset for histopathological reporting of oesophageal and gastric carcinoma","type":"article-journal"},"uris":["http://www.mendeley.com/documents/?uuid=44b0a6cf-5f05-39aa-940a-bdaa599e2f0c"]}],"mendeley":{"formattedCitation":"&lt;sup&gt;18&lt;/sup&gt;","plainTextFormattedCitation":"18","previouslyFormattedCitation":"&lt;sup&gt;18&lt;/sup&gt;"},"properties":{"noteIndex":0},"schema":"https://github.com/citation-style-language/schema/raw/master/csl-citation.json"}</w:instrText>
      </w:r>
      <w:r w:rsidR="006B3AD8" w:rsidRPr="00DB10F3">
        <w:rPr>
          <w:rFonts w:ascii="Helvetica" w:hAnsi="Helvetica"/>
          <w:bCs/>
        </w:rPr>
        <w:fldChar w:fldCharType="separate"/>
      </w:r>
      <w:r w:rsidR="00962D57" w:rsidRPr="00DB10F3">
        <w:rPr>
          <w:rFonts w:ascii="Helvetica" w:hAnsi="Helvetica"/>
          <w:bCs/>
          <w:noProof/>
          <w:vertAlign w:val="superscript"/>
        </w:rPr>
        <w:t>18</w:t>
      </w:r>
      <w:r w:rsidR="006B3AD8" w:rsidRPr="00DB10F3">
        <w:rPr>
          <w:rFonts w:ascii="Helvetica" w:hAnsi="Helvetica"/>
          <w:bCs/>
        </w:rPr>
        <w:fldChar w:fldCharType="end"/>
      </w:r>
      <w:r w:rsidR="00924E8E" w:rsidRPr="00DB10F3">
        <w:rPr>
          <w:rFonts w:ascii="Helvetica" w:hAnsi="Helvetica"/>
          <w:bCs/>
        </w:rPr>
        <w:t xml:space="preserve">. </w:t>
      </w:r>
      <w:r w:rsidRPr="00DB10F3">
        <w:rPr>
          <w:rFonts w:ascii="Helvetica" w:hAnsi="Helvetica"/>
          <w:bCs/>
        </w:rPr>
        <w:t xml:space="preserve">This involved embedding the </w:t>
      </w:r>
      <w:r w:rsidR="00D60BBD" w:rsidRPr="00DB10F3">
        <w:rPr>
          <w:rFonts w:ascii="Helvetica" w:hAnsi="Helvetica"/>
          <w:bCs/>
        </w:rPr>
        <w:t>LN</w:t>
      </w:r>
      <w:r w:rsidRPr="00DB10F3">
        <w:rPr>
          <w:rFonts w:ascii="Helvetica" w:hAnsi="Helvetica"/>
          <w:bCs/>
        </w:rPr>
        <w:t xml:space="preserve"> as one piece if smaller than 5mm in diameter; larger </w:t>
      </w:r>
      <w:r w:rsidR="00D60BBD" w:rsidRPr="00DB10F3">
        <w:rPr>
          <w:rFonts w:ascii="Helvetica" w:hAnsi="Helvetica"/>
          <w:bCs/>
        </w:rPr>
        <w:t>LNs</w:t>
      </w:r>
      <w:r w:rsidRPr="00DB10F3">
        <w:rPr>
          <w:rFonts w:ascii="Helvetica" w:hAnsi="Helvetica"/>
          <w:bCs/>
        </w:rPr>
        <w:t xml:space="preserve"> were sliced at 3 mm intervals and completely embedded. One tissue section from each block was stained with </w:t>
      </w:r>
      <w:r w:rsidR="002D7FBB" w:rsidRPr="00DB10F3">
        <w:rPr>
          <w:rFonts w:ascii="Helvetica" w:hAnsi="Helvetica"/>
          <w:bCs/>
        </w:rPr>
        <w:t>H</w:t>
      </w:r>
      <w:r w:rsidRPr="00DB10F3">
        <w:rPr>
          <w:rFonts w:ascii="Helvetica" w:hAnsi="Helvetica"/>
          <w:bCs/>
        </w:rPr>
        <w:t xml:space="preserve">aematoxylin/Eosin following a standard laboratory protocol. Pan-cytokeratin immunohistochemistry was not used. </w:t>
      </w:r>
      <w:r w:rsidR="00D60BBD" w:rsidRPr="00DB10F3">
        <w:rPr>
          <w:rFonts w:ascii="Helvetica" w:hAnsi="Helvetica"/>
          <w:bCs/>
        </w:rPr>
        <w:t>S</w:t>
      </w:r>
      <w:r w:rsidRPr="00DB10F3">
        <w:rPr>
          <w:rFonts w:ascii="Helvetica" w:hAnsi="Helvetica"/>
          <w:bCs/>
        </w:rPr>
        <w:t xml:space="preserve">lides containing </w:t>
      </w:r>
      <w:r w:rsidR="00D60BBD" w:rsidRPr="00DB10F3">
        <w:rPr>
          <w:rFonts w:ascii="Helvetica" w:hAnsi="Helvetica"/>
          <w:bCs/>
        </w:rPr>
        <w:t>all LNs</w:t>
      </w:r>
      <w:r w:rsidRPr="00DB10F3">
        <w:rPr>
          <w:rFonts w:ascii="Helvetica" w:hAnsi="Helvetica"/>
          <w:bCs/>
        </w:rPr>
        <w:t xml:space="preserve"> from</w:t>
      </w:r>
      <w:r w:rsidR="008148FE" w:rsidRPr="00DB10F3">
        <w:rPr>
          <w:rFonts w:ascii="Helvetica" w:hAnsi="Helvetica"/>
          <w:bCs/>
        </w:rPr>
        <w:t xml:space="preserve"> each </w:t>
      </w:r>
      <w:r w:rsidRPr="00DB10F3">
        <w:rPr>
          <w:rFonts w:ascii="Helvetica" w:hAnsi="Helvetica"/>
          <w:bCs/>
        </w:rPr>
        <w:t xml:space="preserve">resection specimen were reviewed </w:t>
      </w:r>
      <w:r w:rsidR="008148FE" w:rsidRPr="00DB10F3">
        <w:rPr>
          <w:rFonts w:ascii="Helvetica" w:hAnsi="Helvetica"/>
          <w:bCs/>
        </w:rPr>
        <w:t xml:space="preserve">independently </w:t>
      </w:r>
      <w:r w:rsidRPr="00DB10F3">
        <w:rPr>
          <w:rFonts w:ascii="Helvetica" w:hAnsi="Helvetica"/>
          <w:bCs/>
        </w:rPr>
        <w:t>b</w:t>
      </w:r>
      <w:r w:rsidR="00D60BBD" w:rsidRPr="00DB10F3">
        <w:rPr>
          <w:rFonts w:ascii="Helvetica" w:hAnsi="Helvetica"/>
          <w:bCs/>
        </w:rPr>
        <w:t>y</w:t>
      </w:r>
      <w:r w:rsidRPr="00DB10F3">
        <w:rPr>
          <w:rFonts w:ascii="Helvetica" w:hAnsi="Helvetica"/>
          <w:bCs/>
        </w:rPr>
        <w:t xml:space="preserve"> </w:t>
      </w:r>
      <w:r w:rsidR="00D60BBD" w:rsidRPr="00DB10F3">
        <w:rPr>
          <w:rFonts w:ascii="Helvetica" w:hAnsi="Helvetica"/>
          <w:bCs/>
        </w:rPr>
        <w:t xml:space="preserve">one of six </w:t>
      </w:r>
      <w:proofErr w:type="gramStart"/>
      <w:r w:rsidR="00817D45" w:rsidRPr="00DB10F3">
        <w:rPr>
          <w:rFonts w:ascii="Helvetica" w:hAnsi="Helvetica"/>
          <w:bCs/>
        </w:rPr>
        <w:t>senior</w:t>
      </w:r>
      <w:proofErr w:type="gramEnd"/>
      <w:r w:rsidRPr="00DB10F3">
        <w:rPr>
          <w:rFonts w:ascii="Helvetica" w:hAnsi="Helvetica"/>
          <w:bCs/>
        </w:rPr>
        <w:t xml:space="preserve"> </w:t>
      </w:r>
      <w:r w:rsidR="00820A59">
        <w:rPr>
          <w:rFonts w:ascii="Helvetica" w:hAnsi="Helvetica"/>
          <w:bCs/>
        </w:rPr>
        <w:t xml:space="preserve">(greater than five-years’ experience) </w:t>
      </w:r>
      <w:r w:rsidRPr="00DB10F3">
        <w:rPr>
          <w:rFonts w:ascii="Helvetica" w:hAnsi="Helvetica"/>
          <w:bCs/>
        </w:rPr>
        <w:t>histopathologist</w:t>
      </w:r>
      <w:r w:rsidR="00D60BBD" w:rsidRPr="00DB10F3">
        <w:rPr>
          <w:rFonts w:ascii="Helvetica" w:hAnsi="Helvetica"/>
          <w:bCs/>
        </w:rPr>
        <w:t xml:space="preserve">s </w:t>
      </w:r>
      <w:r w:rsidRPr="00DB10F3">
        <w:rPr>
          <w:rFonts w:ascii="Helvetica" w:hAnsi="Helvetica"/>
          <w:bCs/>
        </w:rPr>
        <w:t xml:space="preserve">following a standardised reporting protocol. Patients with incomplete slide sets </w:t>
      </w:r>
      <w:r w:rsidR="00D60BBD" w:rsidRPr="00DB10F3">
        <w:rPr>
          <w:rFonts w:ascii="Helvetica" w:hAnsi="Helvetica"/>
          <w:bCs/>
        </w:rPr>
        <w:t>(i.e. all LN</w:t>
      </w:r>
      <w:r w:rsidR="003D002F" w:rsidRPr="00DB10F3">
        <w:rPr>
          <w:rFonts w:ascii="Helvetica" w:hAnsi="Helvetica"/>
          <w:bCs/>
        </w:rPr>
        <w:t>s</w:t>
      </w:r>
      <w:r w:rsidR="00D60BBD" w:rsidRPr="00DB10F3">
        <w:rPr>
          <w:rFonts w:ascii="Helvetica" w:hAnsi="Helvetica"/>
          <w:bCs/>
        </w:rPr>
        <w:t xml:space="preserve"> not available for regression analysis) </w:t>
      </w:r>
      <w:r w:rsidRPr="00DB10F3">
        <w:rPr>
          <w:rFonts w:ascii="Helvetica" w:hAnsi="Helvetica"/>
          <w:bCs/>
        </w:rPr>
        <w:t>were excluded.</w:t>
      </w:r>
    </w:p>
    <w:p w14:paraId="283175BA" w14:textId="77777777" w:rsidR="00EF5F5D" w:rsidRPr="00DB10F3" w:rsidRDefault="00EF5F5D" w:rsidP="005C5353">
      <w:pPr>
        <w:spacing w:line="480" w:lineRule="auto"/>
        <w:rPr>
          <w:rFonts w:ascii="Helvetica" w:hAnsi="Helvetica"/>
          <w:b/>
          <w:i/>
          <w:iCs/>
        </w:rPr>
      </w:pPr>
    </w:p>
    <w:p w14:paraId="49296E72" w14:textId="38E8DAA6" w:rsidR="005C5353" w:rsidRPr="00DB10F3" w:rsidRDefault="0041734F" w:rsidP="005C5353">
      <w:pPr>
        <w:spacing w:line="480" w:lineRule="auto"/>
        <w:rPr>
          <w:rFonts w:ascii="Helvetica" w:hAnsi="Helvetica"/>
          <w:b/>
          <w:i/>
          <w:iCs/>
        </w:rPr>
      </w:pPr>
      <w:r w:rsidRPr="00DB10F3">
        <w:rPr>
          <w:rFonts w:ascii="Helvetica" w:hAnsi="Helvetica"/>
          <w:b/>
          <w:i/>
          <w:iCs/>
        </w:rPr>
        <w:t xml:space="preserve">Classification </w:t>
      </w:r>
      <w:r w:rsidR="00EE1475" w:rsidRPr="00DB10F3">
        <w:rPr>
          <w:rFonts w:ascii="Helvetica" w:hAnsi="Helvetica"/>
          <w:b/>
          <w:i/>
          <w:iCs/>
        </w:rPr>
        <w:t>of lymph node re</w:t>
      </w:r>
      <w:r w:rsidR="00EF5F5D" w:rsidRPr="00DB10F3">
        <w:rPr>
          <w:rFonts w:ascii="Helvetica" w:hAnsi="Helvetica"/>
          <w:b/>
          <w:i/>
          <w:iCs/>
        </w:rPr>
        <w:t>gression</w:t>
      </w:r>
    </w:p>
    <w:p w14:paraId="129F510D" w14:textId="1B482779" w:rsidR="004E08CA" w:rsidRPr="00DB10F3" w:rsidRDefault="004E08CA" w:rsidP="004E08CA">
      <w:pPr>
        <w:spacing w:line="480" w:lineRule="auto"/>
        <w:rPr>
          <w:rFonts w:ascii="Helvetica" w:hAnsi="Helvetica"/>
          <w:bCs/>
        </w:rPr>
      </w:pPr>
      <w:r w:rsidRPr="00DB10F3">
        <w:rPr>
          <w:rFonts w:ascii="Helvetica" w:hAnsi="Helvetica"/>
          <w:bCs/>
        </w:rPr>
        <w:t xml:space="preserve">The optimal categorisation of </w:t>
      </w:r>
      <w:r w:rsidR="00EF5F5D" w:rsidRPr="00DB10F3">
        <w:rPr>
          <w:rFonts w:ascii="Helvetica" w:hAnsi="Helvetica"/>
          <w:bCs/>
        </w:rPr>
        <w:t>LN</w:t>
      </w:r>
      <w:r w:rsidRPr="00DB10F3">
        <w:rPr>
          <w:rFonts w:ascii="Helvetica" w:hAnsi="Helvetica"/>
          <w:bCs/>
        </w:rPr>
        <w:t xml:space="preserve"> re</w:t>
      </w:r>
      <w:r w:rsidR="00EF5F5D" w:rsidRPr="00DB10F3">
        <w:rPr>
          <w:rFonts w:ascii="Helvetica" w:hAnsi="Helvetica"/>
          <w:bCs/>
        </w:rPr>
        <w:t>gression</w:t>
      </w:r>
      <w:r w:rsidRPr="00DB10F3">
        <w:rPr>
          <w:rFonts w:ascii="Helvetica" w:hAnsi="Helvetica"/>
          <w:bCs/>
        </w:rPr>
        <w:t xml:space="preserve"> was </w:t>
      </w:r>
      <w:r w:rsidR="00852A20">
        <w:rPr>
          <w:rFonts w:ascii="Helvetica" w:hAnsi="Helvetica"/>
          <w:bCs/>
        </w:rPr>
        <w:t>evaluated</w:t>
      </w:r>
      <w:r w:rsidR="00852A20" w:rsidRPr="00DB10F3">
        <w:rPr>
          <w:rFonts w:ascii="Helvetica" w:hAnsi="Helvetica"/>
          <w:bCs/>
        </w:rPr>
        <w:t xml:space="preserve"> </w:t>
      </w:r>
      <w:r w:rsidRPr="00DB10F3">
        <w:rPr>
          <w:rFonts w:ascii="Helvetica" w:hAnsi="Helvetica"/>
          <w:bCs/>
        </w:rPr>
        <w:t xml:space="preserve">by comparing the accuracy of different classifications to predict survival. </w:t>
      </w:r>
      <w:r w:rsidR="00EF237F">
        <w:rPr>
          <w:rFonts w:ascii="Helvetica" w:hAnsi="Helvetica"/>
          <w:bCs/>
        </w:rPr>
        <w:t xml:space="preserve">These classifications </w:t>
      </w:r>
      <w:r w:rsidR="00DB2184">
        <w:rPr>
          <w:rFonts w:ascii="Helvetica" w:hAnsi="Helvetica"/>
          <w:bCs/>
        </w:rPr>
        <w:t>(</w:t>
      </w:r>
      <w:r w:rsidR="008842CD">
        <w:rPr>
          <w:rFonts w:ascii="Helvetica" w:hAnsi="Helvetica"/>
          <w:bCs/>
          <w:i/>
          <w:iCs/>
        </w:rPr>
        <w:t>Table 1, s</w:t>
      </w:r>
      <w:r w:rsidR="00DB2184">
        <w:rPr>
          <w:rFonts w:ascii="Helvetica" w:hAnsi="Helvetica"/>
          <w:bCs/>
          <w:i/>
          <w:iCs/>
        </w:rPr>
        <w:t xml:space="preserve">upplementary table 1) </w:t>
      </w:r>
      <w:r w:rsidR="00EF237F">
        <w:rPr>
          <w:rFonts w:ascii="Helvetica" w:hAnsi="Helvetica"/>
          <w:bCs/>
        </w:rPr>
        <w:t xml:space="preserve">were chosen based on previously published studies </w:t>
      </w:r>
      <w:r w:rsidR="00EF237F" w:rsidRPr="00DB10F3">
        <w:rPr>
          <w:rFonts w:ascii="Helvetica" w:hAnsi="Helvetica"/>
          <w:bCs/>
        </w:rPr>
        <w:fldChar w:fldCharType="begin" w:fldLock="1"/>
      </w:r>
      <w:r w:rsidR="00895471">
        <w:rPr>
          <w:rFonts w:ascii="Helvetica" w:hAnsi="Helvetica"/>
          <w:bCs/>
        </w:rPr>
        <w:instrText>ADDIN CSL_CITATION {"citationItems":[{"id":"ITEM-1","itemData":{"DOI":"10.1002/bjs.10900","ISSN":"13652168","PMID":"30047556","abstract":"Background: The aim was to define the pathological response in lymph nodes following neoadjuvant chemotherapy for oesophageal adenocarcinoma and to quantify any associated survival benefit. Methods: Lymph nodes retrieved at oesophagectomy were examined retrospectively by two pathologists for evidence of a response to chemotherapy. Patients were classified as lymph node-negative (either negative nodes with no evidence of previous tumour involvement or negative with evidence of complete regression) or positive (allocated a lymph node regression score based on the proportion of fibrosis to residual tumour). Lymph node responders (score 1, complete response; 2, less than 10 per cent remaining tumour; 3, 10–50 per cent remaining tumour) and non-responders (score 4, more than 50 per cent viable tumour; 5, no response) were compared in survival analyses using Kaplan–Meier and Cox regression analysis. Results: Among 377 patients, 256 had neoadjuvant chemotherapy. Overall, 68 of 256 patients (26·6 per cent) had a lymph node response and 115 (44·9 per cent) did not. The remaining 73 patients (28·5 per cent) had negative lymph nodes with no evidence of regression. Some patients had a lymph node response in the absence of a response in the primary tumour (27 of 99, 27 per cent). Lymph node responders had a significant survival benefit (P &lt; 0·001), even when stratified by patients with or without a response in the primary tumour. On multivariable analysis, lymph node responders had decreased overall (hazard ratio 0·53, 95 per cent c.i. 0·36 to 0·78) and disease-specific (HR 0·42, 0·27 to 0·66) mortality, and experienced reduced local and systemic recurrence. Conclusion: Lymph node regression is a strong prognostic factor and may be more important than response in the primary tumour.","author":[{"dropping-particle":"","family":"Davies","given":"A.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dropping-particle":"","family":"Kelly","given":"M.","non-dropping-particle":"","parse-names":false,"suffix":""},{"dropping-particle":"","family":"Ngan","given":"S.","non-dropping-particle":"","parse-names":false,"suffix":""},{"dropping-particle":"","family":"Qureshi","given":"A.","non-dropping-particle":"","parse-names":false,"suffix":""},{"dropping-particle":"","family":"Gaya","given":"A.","non-dropping-particle":"","parse-names":false,"suffix":""},{"dropping-particle":"","family":"Griffin","given":"N.","non-dropping-particle":"","parse-names":false,"suffix":""},{"dropping-particle":"","family":"Jacques","given":"A.","non-dropping-particle":"","parse-names":false,"suffix":""},{"dropping-particle":"","family":"Goh","given":"V.","non-dropping-particle":"","parse-names":false,"suffix":""},{"dropping-particle":"","family":"Deere","given":"H.","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Dunn","given":"J.","non-dropping-particle":"","parse-names":false,"suffix":""},{"dropping-particle":"","family":"Zeki","given":"S.","non-dropping-particle":"","parse-names":false,"suffix":""},{"dropping-particle":"","family":"Meenan","given":"J.","non-dropping-particle":"","parse-names":false,"suffix":""},{"dropping-particle":"","family":"Hynes","given":"O.","non-dropping-particle":"","parse-names":false,"suffix":""},{"dropping-particle":"","family":"Tham","given":"G.","non-dropping-particle":"","parse-names":false,"suffix":""},{"dropping-particle":"","family":"Iezzi","given":"C.","non-dropping-particle":"","parse-names":false,"suffix":""},{"dropping-particle":"","family":"Dellaportas","given":"D.","non-dropping-particle":"","parse-names":false,"suffix":""},{"dropping-particle":"","family":"Cowie","given":"A.","non-dropping-particle":"","parse-names":false,"suffix":""},{"dropping-particle":"","family":"Knight","given":"W.","non-dropping-particle":"","parse-names":false,"suffix":""},{"dropping-particle":"","family":"Valeri","given":"N.","non-dropping-particle":"","parse-names":false,"suffix":""}],"container-title":"British Journal of Surgery","id":"ITEM-1","issue":"12","issued":{"date-parts":[["2018"]]},"page":"1639-1649","title":"Lymph node regression and survival following neoadjuvant chemotherapy in oesophageal adenocarcinoma","type":"article-journal","volume":"105"},"uris":["http://www.mendeley.com/documents/?uuid=ded0aeef-82ae-4b4a-a6f7-e577039bc21a"]},{"id":"ITEM-2","itemData":{"DOI":"10.1016/J.EJSO.2021.12.021","ISSN":"0748-7983","PMID":"34974947","abstract":"&lt;h2&gt;Abstract&lt;/h2&gt;&lt;h3&gt;Background&lt;/h3&gt;&lt;p&gt;The prognostic value of lymph node regression (LNR) following neoadjuvant chemotherapy (nCT) for oesophageal and gastro-oeosphageal adenocarcinoma remains unclear. This study aimed to characterise the long-term survival outcomes of LNR in patients having resectional surgery after nCT.&lt;/p&gt;&lt;h3&gt;Methods&lt;/h3&gt;&lt;p&gt;This study included patients undergoing oesophagectomy or extended total gastrectomy for oesophageal and junctional tumours (Siewert types 1,2,3) at the Queen Elizabeth Hospital Birmingham from 2012 to 2018. Lymph nodes retrieved at surgery were examined for evidence of a response to chemotherapy. Patients were classified as lymph node-negative (either negative nodes with no evidence of previous tumour involvement or negative with evidence of complete regression) or positive with either partial or no response.&lt;/p&gt;&lt;h3&gt;Results&lt;/h3&gt;&lt;p&gt;This study identified 183 patients who received nCT, of which 71% (130/183) had positive lymph nodes. Of these 130 patients, 44% (57/130) had a lymph node response and 56% (73/130) did not. The remaining 53 patients (29.0%) had negative lymph nodes with no evidence of tumour. Lymph node responders had a significant survival benefit compared to patients without lymph node response, but shorter than those with negative lymph nodes (median: 27 vs 18 vs NR months, p &lt; 0·001). On multivariable analysis, lymph node responders had an improved overall (Hazard ratio (HR): 0.86, 95% CI: 0.80–0.92, p &lt; 0.001) and recurrence-free (HR: 0.90, 95% CI: 0.82–0.98, p = 0.030) survival.&lt;/p&gt;&lt;h3&gt;Conclusion&lt;/h3&gt;&lt;p&gt;Lymph node regression is an important prognostic factor, warranting closer evaluation over primary tumour response to help with planning further adjuvant therapy in these patients.&lt;/p&gt;","author":[{"dropping-particle":"","family":"Evans","given":"Richard PT","non-dropping-particle":"","parse-names":false,"suffix":""},{"dropping-particle":"","family":"Kamarajah","given":"Sivesh K.","non-dropping-particle":"","parse-names":false,"suffix":""},{"dropping-particle":"","family":"Kunene","given":"Victoria","non-dropping-particle":"","parse-names":false,"suffix":""},{"dropping-particle":"","family":"Zardo","given":"Davide","non-dropping-particle":"","parse-names":false,"suffix":""},{"dropping-particle":"","family":"Elshafie","given":"Mona","non-dropping-particle":"","parse-names":false,"suffix":""},{"dropping-particle":"","family":"Griffiths","given":"Ewen A.","non-dropping-particle":"","parse-names":false,"suffix":""}],"container-title":"European Journal of Surgical Oncology","id":"ITEM-2","issue":"0","issued":{"date-parts":[["2022"]]},"publisher":"Elsevier","title":"Impact of neoadjuvant chemotherapy on nodal regression and survival in oesophageal adenocarcinoma","type":"article-journal","volume":"0"},"uris":["http://www.mendeley.com/documents/?uuid=fc654f62-f379-312f-92b6-fa72a0dcdca9"]},{"id":"ITEM-3","itemData":{"DOI":"10.1097/SLA.0000000000004238","ISSN":"15281140","PMID":"32910622","abstract":"Objective:To evaluate pathological response to NAC in metastatic LNs, and assess its clinical prognostic significance in patients with EC.Summary of Background Data:The pathological response to preoperative treatment is commonly evaluated in the PT. However, LN metastases strongly correlate with systemic micro-metastases. Thus, pathological evaluation of LN response could more accurately predict prognosis in EC patients undergoing NAC before surgery.Methods:We enrolled 371 consecutive patients who underwent triplet NAC followed by surgery for EC between January 2010 and December 2016. Pathological LN regression grade was defined by the proportion of viable tumor area within the whole tumor bed area for all metastatic LNs: grade I, &gt;50%; II, 10%-50%; III, &lt;10%; and IV, 0%. We analyzed the correlation of grade with clinico-pathological parameters.Results:Among 319 patients with clinically positive LNs, pathological LN regression grades were I/II/III/IV in 115/51/58/95 patients, and 191 patients (59.9%) showed discordance between the PT and LN pathological regression grades. LN regression grade significantly correlated with cN positive number, ypTNM, lymphovascular invasion, and clinical/pathological PT response. Multivariate analysis for recurrence-free survival revealed that LN regression grade [hazard ratio (HR) = 2.25, P &lt; 0.001], ypT (HR = 1.65, P = 0.005), and ypT (HR = 1.62, P = 0.004) were independent prognostic factors, but not pathological PT regression grade (P = 0.67).Conclusions:Compared to PT response, pathological LN response better predicted long-term survival in EC patients who received NAC plus curative surgery.","author":[{"dropping-particle":"","family":"Hagi","given":"Takaomi","non-dropping-particle":"","parse-names":false,"suffix":""},{"dropping-particle":"","family":"Makino","given":"Tomoki","non-dropping-particle":"","parse-names":false,"suffix":""},{"dropping-particle":"","family":"Yamasaki","given":"Makoto","non-dropping-particle":"","parse-names":false,"suffix":""},{"dropping-particle":"","family":"Yamashita","given":"Kotaro","non-dropping-particle":"","parse-names":false,"suffix":""},{"dropping-particle":"","family":"Tanaka","given":"Koji","non-dropping-particle":"","parse-names":false,"suffix":""},{"dropping-particle":"","family":"Saito","given":"Takuro","non-dropping-particle":"","parse-names":false,"suffix":""},{"dropping-particle":"","family":"Takahashi","given":"Tsuyoshi","non-dropping-particle":"","parse-names":false,"suffix":""},{"dropping-particle":"","family":"Kurokawa","given":"Yukinori","non-dropping-particle":"","parse-names":false,"suffix":""},{"dropping-particle":"","family":"Motoori","given":"Masaaki","non-dropping-particle":"","parse-names":false,"suffix":""},{"dropping-particle":"","family":"Kimura","given":"Yutaka","non-dropping-particle":"","parse-names":false,"suffix":""},{"dropping-particle":"","family":"Nakajima","given":"Kiyokazu","non-dropping-particle":"","parse-names":false,"suffix":""},{"dropping-particle":"","family":"Morii","given":"Eiichi","non-dropping-particle":"","parse-names":false,"suffix":""},{"dropping-particle":"","family":"Eguchi","given":"Hidetoshi","non-dropping-particle":"","parse-names":false,"suffix":""},{"dropping-particle":"","family":"Doki","given":"Yuichiro","non-dropping-particle":"","parse-names":false,"suffix":""}],"container-title":"Annals of Surgery","id":"ITEM-3","issue":"6","issued":{"date-parts":[["2022","6","1"]]},"page":"1121-1129","publisher":"Lippincott Williams and Wilkins","title":"Pathological Regression of Lymph Nodes Better Predicts Long-term Survival in Esophageal Cancer Patients Undergoing Neoadjuvant Chemotherapy Followed by Surgery","type":"article-journal","volume":"275"},"uris":["http://www.mendeley.com/documents/?uuid=1610403a-fdf0-3068-bb6a-855ff9b7caa2"]},{"id":"ITEM-4","itemData":{"DOI":"10.3748/WJG.V19.I48.9282","ISSN":"22192840","PMID":"24409055","abstract":"Aim: To assess tumour regression grade (TRG) and lymph node downstaging to help define patients who benefit from neoadjuvant chemotherapy. Methods: Two hundred and eighteen consecutive patients with adenocarcinoma of the esophagus or gastrogastro- esophageal junction treated with surgery alone or neoadjuvant chemotherapy and surgery between 2005 and 2011 at a single institution were reviewed. Triplet neoadjuvant chemotherapy consisting of platinum, fluoropyrimidine and anthracycline was considered for operable patients (World Health Organization performance status ≤ 2) with clinical stage T2-4 N0-1. Response to neoadjuvant chemotherapy (NAC) was assessed using TRG, as described by Mandard et al. In addition lymph node downstaging was also assessed. Lymph node downstaging was defined by cN1 at diagnosis: assessed radiologically (computed tomography, positron emission tomography, endoscopic ultrasonography), then pathologically recorded as N0 after surgery; ypN0 if NAC given prior to surgery, or pN0 if surgery alone. Patients were followed up for 5 years post surgery. Recurrence was defined radiologically, with or without pathological confirmation. An association was examined between t TRG and lymph node downstaging with disease free survival (DFS) and a comprehensive range of clinicopathological characteristics. Results: Two hundred and eighteen patients underwent esophageal resection during the study interval with a mean follow up of 3 years (median follow up: 2.552, 95%CI: 2.022-3.081). There was a 1.8% (n = 4) inpatient mortality rate. One hundred and thirty-six (62.4%) patients received NAC, with 74.3% (n = 101) of patients demonstrating some signs of pathological tumour regression (TRG 1-4) and 5.9% (n = 8) having a complete pathological response. Forty four point one percent (n = 60) had downstaging of their nodal disease (cN1 to ypN0), compared to only 15.9% (n = 13) that underwent surgery alone (pre-operatively overstaged: cN1 to pN0), (P &lt; 0.0001). Response to NAC was associated with significantly increased DFS (mean DFS; TRG 1-2: 5.1 years, 95%CI: 4.6-5.6 vs TRG 3-5: 2.8 years, 95%CI: 2.2-3.3, P &lt; 0.0001). Nodal down-staging conferred a significant DFS advantage for those patients with a poor primary tumour response to NAC (median DFS; TRG 3-5 and nodal down-staging: 5.533 years, 95%CI: 3.558-7.531 vs TRG 3-5 and no nodal down-staging: 1.114 years, 95%CI: 0.961-1.267, P &lt; 0.0001). Conclusion: Response to NAC in the primary tumour and in the lym…","author":[{"dropping-particle":"","family":"Noble","given":"Fergus","non-dropping-particle":"","parse-names":false,"suffix":""},{"dropping-particle":"","family":"Nolan","given":"Luke","non-dropping-particle":"","parse-names":false,"suffix":""},{"dropping-particle":"","family":"Bateman","given":"Adrian C.","non-dropping-particle":"","parse-names":false,"suffix":""},{"dropping-particle":"","family":"Byrne","given":"James P.","non-dropping-particle":"","parse-names":false,"suffix":""},{"dropping-particle":"","family":"Kelly","given":"Jamie J.","non-dropping-particle":"","parse-names":false,"suffix":""},{"dropping-particle":"","family":"Bailey","given":"Ian S.","non-dropping-particle":"","parse-names":false,"suffix":""},{"dropping-particle":"","family":"Sharland","given":"Donna M.","non-dropping-particle":"","parse-names":false,"suffix":""},{"dropping-particle":"","family":"Rees","given":"Charlotte N.","non-dropping-particle":"","parse-names":false,"suffix":""},{"dropping-particle":"","family":"Iveson","given":"Timothy J.","non-dropping-particle":"","parse-names":false,"suffix":""},{"dropping-particle":"","family":"Underwood","given":"Tim J.","non-dropping-particle":"","parse-names":false,"suffix":""},{"dropping-particle":"","family":"Bateman","given":"Andrew R.","non-dropping-particle":"","parse-names":false,"suffix":""}],"container-title":"World Journal of Gastroenterology : WJG","id":"ITEM-4","issue":"48","issued":{"date-parts":[["2013","12","28"]]},"page":"9282","publisher":"Baishideng Publishing Group Inc","title":"Refining pathological evaluation of neoadjuvant therapy for adenocarcinoma of the esophagus","type":"article-journal","volume":"19"},"uris":["http://www.mendeley.com/documents/?uuid=b3dc65dd-16de-31fe-9a30-c9a1dbaff0fe"]}],"mendeley":{"formattedCitation":"&lt;sup&gt;5,9–11&lt;/sup&gt;","plainTextFormattedCitation":"5,9–11","previouslyFormattedCitation":"&lt;sup&gt;5,9–11&lt;/sup&gt;"},"properties":{"noteIndex":0},"schema":"https://github.com/citation-style-language/schema/raw/master/csl-citation.json"}</w:instrText>
      </w:r>
      <w:r w:rsidR="00EF237F" w:rsidRPr="00DB10F3">
        <w:rPr>
          <w:rFonts w:ascii="Helvetica" w:hAnsi="Helvetica"/>
          <w:bCs/>
        </w:rPr>
        <w:fldChar w:fldCharType="separate"/>
      </w:r>
      <w:r w:rsidR="00B46CF0" w:rsidRPr="00B46CF0">
        <w:rPr>
          <w:rFonts w:ascii="Helvetica" w:hAnsi="Helvetica"/>
          <w:bCs/>
          <w:noProof/>
          <w:vertAlign w:val="superscript"/>
        </w:rPr>
        <w:t>5,9–11</w:t>
      </w:r>
      <w:r w:rsidR="00EF237F" w:rsidRPr="00DB10F3">
        <w:rPr>
          <w:rFonts w:ascii="Helvetica" w:hAnsi="Helvetica"/>
          <w:bCs/>
        </w:rPr>
        <w:fldChar w:fldCharType="end"/>
      </w:r>
      <w:r w:rsidR="00EF237F">
        <w:rPr>
          <w:rFonts w:ascii="Helvetica" w:hAnsi="Helvetica"/>
          <w:bCs/>
        </w:rPr>
        <w:t xml:space="preserve"> </w:t>
      </w:r>
      <w:r w:rsidR="007323E6">
        <w:rPr>
          <w:rFonts w:ascii="Helvetica" w:hAnsi="Helvetica"/>
          <w:bCs/>
        </w:rPr>
        <w:t xml:space="preserve">and examined whether </w:t>
      </w:r>
      <w:r w:rsidR="00AF0A0A">
        <w:rPr>
          <w:rFonts w:ascii="Helvetica" w:hAnsi="Helvetica"/>
          <w:bCs/>
        </w:rPr>
        <w:t xml:space="preserve">classifying patients by ‘best’ or ‘worst’ responding LN </w:t>
      </w:r>
      <w:r w:rsidR="00E907D5">
        <w:rPr>
          <w:rFonts w:ascii="Helvetica" w:hAnsi="Helvetica"/>
          <w:bCs/>
        </w:rPr>
        <w:t>better predicted survival</w:t>
      </w:r>
      <w:r w:rsidR="00DB2184">
        <w:rPr>
          <w:rFonts w:ascii="Helvetica" w:hAnsi="Helvetica"/>
          <w:bCs/>
        </w:rPr>
        <w:t>.</w:t>
      </w:r>
    </w:p>
    <w:p w14:paraId="62D7BCB1" w14:textId="77777777" w:rsidR="006A0299" w:rsidRPr="00DB10F3" w:rsidRDefault="006A0299" w:rsidP="006A0299">
      <w:pPr>
        <w:spacing w:line="480" w:lineRule="auto"/>
        <w:rPr>
          <w:rFonts w:ascii="Helvetica" w:hAnsi="Helvetica"/>
          <w:bCs/>
        </w:rPr>
      </w:pPr>
    </w:p>
    <w:p w14:paraId="65F3B130" w14:textId="5FD05CD0" w:rsidR="006B7B17" w:rsidRPr="00DB10F3" w:rsidRDefault="00962D57" w:rsidP="006B7B17">
      <w:pPr>
        <w:spacing w:line="480" w:lineRule="auto"/>
        <w:rPr>
          <w:rFonts w:ascii="Helvetica" w:hAnsi="Helvetica"/>
          <w:bCs/>
        </w:rPr>
      </w:pPr>
      <w:r w:rsidRPr="00DB10F3">
        <w:rPr>
          <w:rFonts w:ascii="Helvetica" w:hAnsi="Helvetica"/>
          <w:bCs/>
        </w:rPr>
        <w:t xml:space="preserve">Evidence of a </w:t>
      </w:r>
      <w:r w:rsidR="00EF5F5D" w:rsidRPr="00DB10F3">
        <w:rPr>
          <w:rFonts w:ascii="Helvetica" w:hAnsi="Helvetica"/>
          <w:bCs/>
        </w:rPr>
        <w:t>LN</w:t>
      </w:r>
      <w:r w:rsidRPr="00DB10F3">
        <w:rPr>
          <w:rFonts w:ascii="Helvetica" w:hAnsi="Helvetica"/>
          <w:bCs/>
        </w:rPr>
        <w:t xml:space="preserve"> response comprised areas of fibrosis, mucin pools or necrotic foci within the </w:t>
      </w:r>
      <w:r w:rsidR="00EF5F5D" w:rsidRPr="00DB10F3">
        <w:rPr>
          <w:rFonts w:ascii="Helvetica" w:hAnsi="Helvetica"/>
          <w:bCs/>
        </w:rPr>
        <w:t xml:space="preserve">LN </w:t>
      </w:r>
      <w:r w:rsidRPr="00DB10F3">
        <w:rPr>
          <w:rFonts w:ascii="Helvetica" w:hAnsi="Helvetica"/>
          <w:bCs/>
        </w:rPr>
        <w:t xml:space="preserve">parenchyma. Other causes for fibrosis within a </w:t>
      </w:r>
      <w:r w:rsidR="00EF5F5D" w:rsidRPr="00DB10F3">
        <w:rPr>
          <w:rFonts w:ascii="Helvetica" w:hAnsi="Helvetica"/>
          <w:bCs/>
        </w:rPr>
        <w:t>LN</w:t>
      </w:r>
      <w:r w:rsidRPr="00DB10F3">
        <w:rPr>
          <w:rFonts w:ascii="Helvetica" w:hAnsi="Helvetica"/>
          <w:bCs/>
        </w:rPr>
        <w:t xml:space="preserve"> (e.g. sarcoidosis) were discounted. A </w:t>
      </w:r>
      <w:r w:rsidR="00EF5F5D" w:rsidRPr="00DB10F3">
        <w:rPr>
          <w:rFonts w:ascii="Helvetica" w:hAnsi="Helvetica"/>
          <w:bCs/>
        </w:rPr>
        <w:t>LN</w:t>
      </w:r>
      <w:r w:rsidRPr="00DB10F3">
        <w:rPr>
          <w:rFonts w:ascii="Helvetica" w:hAnsi="Helvetica"/>
          <w:bCs/>
        </w:rPr>
        <w:t xml:space="preserve"> regression score (LNRS) was determined for each </w:t>
      </w:r>
      <w:r w:rsidR="00EF5F5D" w:rsidRPr="00DB10F3">
        <w:rPr>
          <w:rFonts w:ascii="Helvetica" w:hAnsi="Helvetica"/>
          <w:bCs/>
        </w:rPr>
        <w:t>LN</w:t>
      </w:r>
      <w:r w:rsidRPr="00DB10F3">
        <w:rPr>
          <w:rFonts w:ascii="Helvetica" w:hAnsi="Helvetica"/>
          <w:bCs/>
        </w:rPr>
        <w:t xml:space="preserve"> according to the ratio of the area of residual viable </w:t>
      </w:r>
      <w:proofErr w:type="spellStart"/>
      <w:r w:rsidR="0019785E">
        <w:rPr>
          <w:rFonts w:ascii="Helvetica" w:hAnsi="Helvetica"/>
          <w:bCs/>
        </w:rPr>
        <w:t>tumor</w:t>
      </w:r>
      <w:proofErr w:type="spellEnd"/>
      <w:r w:rsidRPr="00DB10F3">
        <w:rPr>
          <w:rFonts w:ascii="Helvetica" w:hAnsi="Helvetica"/>
          <w:bCs/>
        </w:rPr>
        <w:t xml:space="preserve"> to the total area of the nodal ‘</w:t>
      </w:r>
      <w:proofErr w:type="spellStart"/>
      <w:r w:rsidR="0019785E">
        <w:rPr>
          <w:rFonts w:ascii="Helvetica" w:hAnsi="Helvetica"/>
          <w:bCs/>
        </w:rPr>
        <w:t>tumor</w:t>
      </w:r>
      <w:proofErr w:type="spellEnd"/>
      <w:r w:rsidRPr="00DB10F3">
        <w:rPr>
          <w:rFonts w:ascii="Helvetica" w:hAnsi="Helvetica"/>
          <w:bCs/>
        </w:rPr>
        <w:t xml:space="preserve"> bed’ (total area of fibrosis, mucin pools or necrosis)</w:t>
      </w:r>
      <w:r w:rsidR="003D002F" w:rsidRPr="00DB10F3">
        <w:rPr>
          <w:rFonts w:ascii="Helvetica" w:hAnsi="Helvetica"/>
          <w:bCs/>
        </w:rPr>
        <w:t xml:space="preserve"> (</w:t>
      </w:r>
      <w:r w:rsidR="003D002F" w:rsidRPr="00DB10F3">
        <w:rPr>
          <w:rFonts w:ascii="Helvetica" w:hAnsi="Helvetica"/>
          <w:bCs/>
          <w:i/>
          <w:iCs/>
        </w:rPr>
        <w:t>Figure 1</w:t>
      </w:r>
      <w:r w:rsidR="003D002F" w:rsidRPr="00DB10F3">
        <w:rPr>
          <w:rFonts w:ascii="Helvetica" w:hAnsi="Helvetica"/>
          <w:bCs/>
        </w:rPr>
        <w:t>)</w:t>
      </w:r>
      <w:r w:rsidRPr="00DB10F3">
        <w:rPr>
          <w:rFonts w:ascii="Helvetica" w:hAnsi="Helvetica"/>
          <w:bCs/>
        </w:rPr>
        <w:t xml:space="preserve">: LNRS 1, </w:t>
      </w:r>
      <w:r w:rsidR="005A20C8" w:rsidRPr="00DB10F3">
        <w:rPr>
          <w:rFonts w:ascii="Helvetica" w:hAnsi="Helvetica"/>
          <w:bCs/>
        </w:rPr>
        <w:t>regression</w:t>
      </w:r>
      <w:r w:rsidR="00EF5F5D" w:rsidRPr="00DB10F3">
        <w:rPr>
          <w:rFonts w:ascii="Helvetica" w:hAnsi="Helvetica"/>
          <w:bCs/>
        </w:rPr>
        <w:t xml:space="preserve"> only (</w:t>
      </w:r>
      <w:r w:rsidRPr="00DB10F3">
        <w:rPr>
          <w:rFonts w:ascii="Helvetica" w:hAnsi="Helvetica"/>
          <w:bCs/>
        </w:rPr>
        <w:t>complete response</w:t>
      </w:r>
      <w:r w:rsidR="00EF5F5D" w:rsidRPr="00DB10F3">
        <w:rPr>
          <w:rFonts w:ascii="Helvetica" w:hAnsi="Helvetica"/>
          <w:bCs/>
        </w:rPr>
        <w:t>)</w:t>
      </w:r>
      <w:r w:rsidRPr="00DB10F3">
        <w:rPr>
          <w:rFonts w:ascii="Helvetica" w:hAnsi="Helvetica"/>
          <w:bCs/>
        </w:rPr>
        <w:t xml:space="preserve">; </w:t>
      </w:r>
      <w:r w:rsidRPr="00DB10F3">
        <w:rPr>
          <w:rFonts w:ascii="Helvetica" w:hAnsi="Helvetica"/>
          <w:bCs/>
        </w:rPr>
        <w:lastRenderedPageBreak/>
        <w:t xml:space="preserve">LNRS 2, </w:t>
      </w:r>
      <w:r w:rsidR="00EF5F5D" w:rsidRPr="00DB10F3">
        <w:rPr>
          <w:rFonts w:ascii="Helvetica" w:hAnsi="Helvetica"/>
          <w:bCs/>
        </w:rPr>
        <w:t>less than 10</w:t>
      </w:r>
      <w:r w:rsidR="00CF20AD" w:rsidRPr="00DB10F3">
        <w:rPr>
          <w:rFonts w:ascii="Helvetica" w:hAnsi="Helvetica"/>
          <w:bCs/>
        </w:rPr>
        <w:t>%</w:t>
      </w:r>
      <w:r w:rsidR="00EF5F5D" w:rsidRPr="00DB10F3">
        <w:rPr>
          <w:rFonts w:ascii="Helvetica" w:hAnsi="Helvetica"/>
          <w:bCs/>
        </w:rPr>
        <w:t xml:space="preserve"> viable </w:t>
      </w:r>
      <w:proofErr w:type="spellStart"/>
      <w:r w:rsidR="0019785E">
        <w:rPr>
          <w:rFonts w:ascii="Helvetica" w:hAnsi="Helvetica"/>
          <w:bCs/>
        </w:rPr>
        <w:t>tumor</w:t>
      </w:r>
      <w:proofErr w:type="spellEnd"/>
      <w:r w:rsidRPr="00DB10F3">
        <w:rPr>
          <w:rFonts w:ascii="Helvetica" w:hAnsi="Helvetica"/>
          <w:bCs/>
        </w:rPr>
        <w:t>; LNRS 3, 10 – 50</w:t>
      </w:r>
      <w:r w:rsidR="00CF20AD" w:rsidRPr="00DB10F3">
        <w:rPr>
          <w:rFonts w:ascii="Helvetica" w:hAnsi="Helvetica"/>
          <w:bCs/>
        </w:rPr>
        <w:t xml:space="preserve">% </w:t>
      </w:r>
      <w:r w:rsidRPr="00DB10F3">
        <w:rPr>
          <w:rFonts w:ascii="Helvetica" w:hAnsi="Helvetica"/>
          <w:bCs/>
        </w:rPr>
        <w:t xml:space="preserve">viable </w:t>
      </w:r>
      <w:proofErr w:type="spellStart"/>
      <w:r w:rsidR="0019785E">
        <w:rPr>
          <w:rFonts w:ascii="Helvetica" w:hAnsi="Helvetica"/>
          <w:bCs/>
        </w:rPr>
        <w:t>tumor</w:t>
      </w:r>
      <w:proofErr w:type="spellEnd"/>
      <w:r w:rsidRPr="00DB10F3">
        <w:rPr>
          <w:rFonts w:ascii="Helvetica" w:hAnsi="Helvetica"/>
          <w:bCs/>
        </w:rPr>
        <w:t>; LNRS 4, more than 50</w:t>
      </w:r>
      <w:r w:rsidR="00CF20AD" w:rsidRPr="00DB10F3">
        <w:rPr>
          <w:rFonts w:ascii="Helvetica" w:hAnsi="Helvetica"/>
          <w:bCs/>
        </w:rPr>
        <w:t xml:space="preserve">% </w:t>
      </w:r>
      <w:r w:rsidRPr="00DB10F3">
        <w:rPr>
          <w:rFonts w:ascii="Helvetica" w:hAnsi="Helvetica"/>
          <w:bCs/>
        </w:rPr>
        <w:t xml:space="preserve">viable </w:t>
      </w:r>
      <w:proofErr w:type="spellStart"/>
      <w:r w:rsidR="0019785E">
        <w:rPr>
          <w:rFonts w:ascii="Helvetica" w:hAnsi="Helvetica"/>
          <w:bCs/>
        </w:rPr>
        <w:t>tumor</w:t>
      </w:r>
      <w:proofErr w:type="spellEnd"/>
      <w:r w:rsidRPr="00DB10F3">
        <w:rPr>
          <w:rFonts w:ascii="Helvetica" w:hAnsi="Helvetica"/>
          <w:bCs/>
        </w:rPr>
        <w:t xml:space="preserve">; and LNRS 5, </w:t>
      </w:r>
      <w:r w:rsidR="00EF5F5D" w:rsidRPr="00DB10F3">
        <w:rPr>
          <w:rFonts w:ascii="Helvetica" w:hAnsi="Helvetica"/>
          <w:bCs/>
        </w:rPr>
        <w:t xml:space="preserve">viable </w:t>
      </w:r>
      <w:proofErr w:type="spellStart"/>
      <w:r w:rsidR="0019785E">
        <w:rPr>
          <w:rFonts w:ascii="Helvetica" w:hAnsi="Helvetica"/>
          <w:bCs/>
        </w:rPr>
        <w:t>tumor</w:t>
      </w:r>
      <w:proofErr w:type="spellEnd"/>
      <w:r w:rsidR="00EF5F5D" w:rsidRPr="00DB10F3">
        <w:rPr>
          <w:rFonts w:ascii="Helvetica" w:hAnsi="Helvetica"/>
          <w:bCs/>
        </w:rPr>
        <w:t xml:space="preserve"> with </w:t>
      </w:r>
      <w:r w:rsidRPr="00DB10F3">
        <w:rPr>
          <w:rFonts w:ascii="Helvetica" w:hAnsi="Helvetica"/>
          <w:bCs/>
        </w:rPr>
        <w:t xml:space="preserve">no evidence of response. </w:t>
      </w:r>
      <w:r w:rsidR="00EF5F5D" w:rsidRPr="00DB10F3">
        <w:rPr>
          <w:rFonts w:ascii="Helvetica" w:hAnsi="Helvetica"/>
          <w:bCs/>
        </w:rPr>
        <w:t xml:space="preserve">LNs without viable </w:t>
      </w:r>
      <w:proofErr w:type="spellStart"/>
      <w:r w:rsidR="0019785E">
        <w:rPr>
          <w:rFonts w:ascii="Helvetica" w:hAnsi="Helvetica"/>
          <w:bCs/>
        </w:rPr>
        <w:t>tumor</w:t>
      </w:r>
      <w:proofErr w:type="spellEnd"/>
      <w:r w:rsidR="00EF5F5D" w:rsidRPr="00DB10F3">
        <w:rPr>
          <w:rFonts w:ascii="Helvetica" w:hAnsi="Helvetica"/>
          <w:bCs/>
        </w:rPr>
        <w:t xml:space="preserve"> </w:t>
      </w:r>
      <w:r w:rsidR="00CF20AD" w:rsidRPr="00DB10F3">
        <w:rPr>
          <w:rFonts w:ascii="Helvetica" w:hAnsi="Helvetica"/>
          <w:bCs/>
        </w:rPr>
        <w:t>or</w:t>
      </w:r>
      <w:r w:rsidR="00EF5F5D" w:rsidRPr="00DB10F3">
        <w:rPr>
          <w:rFonts w:ascii="Helvetica" w:hAnsi="Helvetica"/>
          <w:bCs/>
        </w:rPr>
        <w:t xml:space="preserve"> evidence of regression were recorded as ‘negative </w:t>
      </w:r>
      <w:r w:rsidR="00CF20AD" w:rsidRPr="00DB10F3">
        <w:rPr>
          <w:rFonts w:ascii="Helvetica" w:hAnsi="Helvetica"/>
          <w:bCs/>
        </w:rPr>
        <w:t>LN</w:t>
      </w:r>
      <w:r w:rsidR="00EF5F5D" w:rsidRPr="00DB10F3">
        <w:rPr>
          <w:rFonts w:ascii="Helvetica" w:hAnsi="Helvetica"/>
          <w:bCs/>
        </w:rPr>
        <w:t>’.</w:t>
      </w:r>
    </w:p>
    <w:p w14:paraId="5ECCFBC1" w14:textId="77777777" w:rsidR="00962D57" w:rsidRPr="00DB10F3" w:rsidRDefault="00962D57" w:rsidP="006B7B17">
      <w:pPr>
        <w:spacing w:line="480" w:lineRule="auto"/>
        <w:rPr>
          <w:rFonts w:ascii="Helvetica" w:hAnsi="Helvetica"/>
          <w:bCs/>
        </w:rPr>
      </w:pPr>
    </w:p>
    <w:p w14:paraId="52827ABF" w14:textId="177CEC3D" w:rsidR="00961C6C" w:rsidRPr="00DB10F3" w:rsidRDefault="006E7562" w:rsidP="00924E8E">
      <w:pPr>
        <w:spacing w:line="480" w:lineRule="auto"/>
        <w:rPr>
          <w:rFonts w:ascii="Helvetica" w:hAnsi="Helvetica"/>
          <w:bCs/>
        </w:rPr>
      </w:pPr>
      <w:r w:rsidRPr="00DB10F3">
        <w:rPr>
          <w:rFonts w:ascii="Helvetica" w:hAnsi="Helvetica"/>
          <w:bCs/>
        </w:rPr>
        <w:t>To evaluate i</w:t>
      </w:r>
      <w:r w:rsidR="006B7B17" w:rsidRPr="00DB10F3">
        <w:rPr>
          <w:rFonts w:ascii="Helvetica" w:hAnsi="Helvetica"/>
          <w:bCs/>
        </w:rPr>
        <w:t>nter-observer agreement</w:t>
      </w:r>
      <w:r w:rsidRPr="00DB10F3">
        <w:rPr>
          <w:rFonts w:ascii="Helvetica" w:hAnsi="Helvetica"/>
          <w:bCs/>
        </w:rPr>
        <w:t xml:space="preserve"> for reporting </w:t>
      </w:r>
      <w:r w:rsidR="00EF5F5D" w:rsidRPr="00DB10F3">
        <w:rPr>
          <w:rFonts w:ascii="Helvetica" w:hAnsi="Helvetica"/>
          <w:bCs/>
        </w:rPr>
        <w:t>LN</w:t>
      </w:r>
      <w:r w:rsidRPr="00DB10F3">
        <w:rPr>
          <w:rFonts w:ascii="Helvetica" w:hAnsi="Helvetica"/>
          <w:bCs/>
        </w:rPr>
        <w:t xml:space="preserve"> regression</w:t>
      </w:r>
      <w:r w:rsidR="006B7B17" w:rsidRPr="00DB10F3">
        <w:rPr>
          <w:rFonts w:ascii="Helvetica" w:hAnsi="Helvetica"/>
          <w:bCs/>
        </w:rPr>
        <w:t xml:space="preserve"> </w:t>
      </w:r>
      <w:r w:rsidRPr="00DB10F3">
        <w:rPr>
          <w:rFonts w:ascii="Helvetica" w:hAnsi="Helvetica"/>
          <w:bCs/>
        </w:rPr>
        <w:t>between pathologists, a</w:t>
      </w:r>
      <w:r w:rsidR="00AD284A" w:rsidRPr="00DB10F3">
        <w:rPr>
          <w:rFonts w:ascii="Helvetica" w:hAnsi="Helvetica"/>
          <w:bCs/>
        </w:rPr>
        <w:t xml:space="preserve"> representative sample </w:t>
      </w:r>
      <w:r w:rsidRPr="00DB10F3">
        <w:rPr>
          <w:rFonts w:ascii="Helvetica" w:hAnsi="Helvetica"/>
          <w:bCs/>
        </w:rPr>
        <w:t xml:space="preserve">of </w:t>
      </w:r>
      <w:r w:rsidR="00EF5F5D" w:rsidRPr="00DB10F3">
        <w:rPr>
          <w:rFonts w:ascii="Helvetica" w:hAnsi="Helvetica"/>
          <w:bCs/>
        </w:rPr>
        <w:t>71 digitised</w:t>
      </w:r>
      <w:r w:rsidR="006B7B17" w:rsidRPr="00DB10F3">
        <w:rPr>
          <w:rFonts w:ascii="Helvetica" w:hAnsi="Helvetica"/>
          <w:bCs/>
        </w:rPr>
        <w:t xml:space="preserve"> </w:t>
      </w:r>
      <w:r w:rsidR="00EF5F5D" w:rsidRPr="00DB10F3">
        <w:rPr>
          <w:rFonts w:ascii="Helvetica" w:hAnsi="Helvetica"/>
          <w:bCs/>
        </w:rPr>
        <w:t xml:space="preserve">LN </w:t>
      </w:r>
      <w:r w:rsidR="006B7B17" w:rsidRPr="00DB10F3">
        <w:rPr>
          <w:rFonts w:ascii="Helvetica" w:hAnsi="Helvetica"/>
          <w:bCs/>
        </w:rPr>
        <w:t>slides</w:t>
      </w:r>
      <w:r w:rsidR="00EF5F5D" w:rsidRPr="00DB10F3">
        <w:rPr>
          <w:rFonts w:ascii="Helvetica" w:hAnsi="Helvetica"/>
          <w:bCs/>
        </w:rPr>
        <w:t xml:space="preserve"> </w:t>
      </w:r>
      <w:r w:rsidRPr="00DB10F3">
        <w:rPr>
          <w:rFonts w:ascii="Helvetica" w:hAnsi="Helvetica"/>
          <w:bCs/>
        </w:rPr>
        <w:t>w</w:t>
      </w:r>
      <w:r w:rsidR="00EF5F5D" w:rsidRPr="00DB10F3">
        <w:rPr>
          <w:rFonts w:ascii="Helvetica" w:hAnsi="Helvetica"/>
          <w:bCs/>
        </w:rPr>
        <w:t>ere</w:t>
      </w:r>
      <w:r w:rsidRPr="00DB10F3">
        <w:rPr>
          <w:rFonts w:ascii="Helvetica" w:hAnsi="Helvetica"/>
          <w:bCs/>
        </w:rPr>
        <w:t xml:space="preserve"> distributed to</w:t>
      </w:r>
      <w:r w:rsidR="00EF5F5D" w:rsidRPr="00DB10F3">
        <w:rPr>
          <w:rFonts w:ascii="Helvetica" w:hAnsi="Helvetica"/>
          <w:bCs/>
        </w:rPr>
        <w:t xml:space="preserve"> all </w:t>
      </w:r>
      <w:r w:rsidR="00817D45" w:rsidRPr="00DB10F3">
        <w:rPr>
          <w:rFonts w:ascii="Helvetica" w:hAnsi="Helvetica"/>
          <w:bCs/>
        </w:rPr>
        <w:t>senior</w:t>
      </w:r>
      <w:r w:rsidR="00EF5F5D" w:rsidRPr="00DB10F3">
        <w:rPr>
          <w:rFonts w:ascii="Helvetica" w:hAnsi="Helvetica"/>
          <w:bCs/>
        </w:rPr>
        <w:t xml:space="preserve"> </w:t>
      </w:r>
      <w:r w:rsidR="00AD284A" w:rsidRPr="00DB10F3">
        <w:rPr>
          <w:rFonts w:ascii="Helvetica" w:hAnsi="Helvetica"/>
          <w:bCs/>
        </w:rPr>
        <w:t>pathologists</w:t>
      </w:r>
      <w:r w:rsidR="00962D57" w:rsidRPr="00DB10F3">
        <w:rPr>
          <w:rFonts w:ascii="Helvetica" w:hAnsi="Helvetica"/>
          <w:bCs/>
        </w:rPr>
        <w:t xml:space="preserve"> from </w:t>
      </w:r>
      <w:r w:rsidR="00EF5F5D" w:rsidRPr="00DB10F3">
        <w:rPr>
          <w:rFonts w:ascii="Helvetica" w:hAnsi="Helvetica"/>
          <w:bCs/>
        </w:rPr>
        <w:t>participating</w:t>
      </w:r>
      <w:r w:rsidR="00962D57" w:rsidRPr="00DB10F3">
        <w:rPr>
          <w:rFonts w:ascii="Helvetica" w:hAnsi="Helvetica"/>
          <w:bCs/>
        </w:rPr>
        <w:t xml:space="preserve"> centre</w:t>
      </w:r>
      <w:r w:rsidR="00EF5F5D" w:rsidRPr="00DB10F3">
        <w:rPr>
          <w:rFonts w:ascii="Helvetica" w:hAnsi="Helvetica"/>
          <w:bCs/>
        </w:rPr>
        <w:t>s</w:t>
      </w:r>
      <w:r w:rsidR="00962D57" w:rsidRPr="00DB10F3">
        <w:rPr>
          <w:rFonts w:ascii="Helvetica" w:hAnsi="Helvetica"/>
          <w:bCs/>
        </w:rPr>
        <w:t xml:space="preserve"> </w:t>
      </w:r>
      <w:r w:rsidR="00EF5F5D" w:rsidRPr="00DB10F3">
        <w:rPr>
          <w:rFonts w:ascii="Helvetica" w:hAnsi="Helvetica"/>
          <w:bCs/>
        </w:rPr>
        <w:t xml:space="preserve">who had evaluated LN regression for this study as well as an independent expert with experience </w:t>
      </w:r>
      <w:r w:rsidR="005A20C8" w:rsidRPr="00DB10F3">
        <w:rPr>
          <w:rFonts w:ascii="Helvetica" w:hAnsi="Helvetica"/>
          <w:bCs/>
        </w:rPr>
        <w:t>in</w:t>
      </w:r>
      <w:r w:rsidR="00EF5F5D" w:rsidRPr="00DB10F3">
        <w:rPr>
          <w:rFonts w:ascii="Helvetica" w:hAnsi="Helvetica"/>
          <w:bCs/>
        </w:rPr>
        <w:t xml:space="preserve"> LN regression</w:t>
      </w:r>
      <w:r w:rsidR="005A20C8" w:rsidRPr="00DB10F3">
        <w:rPr>
          <w:rFonts w:ascii="Helvetica" w:hAnsi="Helvetica"/>
          <w:bCs/>
        </w:rPr>
        <w:t xml:space="preserve"> (6 in total)</w:t>
      </w:r>
      <w:r w:rsidR="00EF5F5D" w:rsidRPr="00DB10F3">
        <w:rPr>
          <w:rFonts w:ascii="Helvetica" w:hAnsi="Helvetica"/>
          <w:bCs/>
        </w:rPr>
        <w:t xml:space="preserve">. Each LN was then </w:t>
      </w:r>
      <w:r w:rsidR="00F1537D" w:rsidRPr="00DB10F3">
        <w:rPr>
          <w:rFonts w:ascii="Helvetica" w:hAnsi="Helvetica"/>
          <w:bCs/>
        </w:rPr>
        <w:t>independently scored</w:t>
      </w:r>
      <w:r w:rsidR="00EF5F5D" w:rsidRPr="00DB10F3">
        <w:rPr>
          <w:rFonts w:ascii="Helvetica" w:hAnsi="Helvetica"/>
          <w:bCs/>
        </w:rPr>
        <w:t xml:space="preserve"> </w:t>
      </w:r>
      <w:r w:rsidR="00CF20AD" w:rsidRPr="00DB10F3">
        <w:rPr>
          <w:rFonts w:ascii="Helvetica" w:hAnsi="Helvetica"/>
          <w:bCs/>
        </w:rPr>
        <w:t xml:space="preserve">as </w:t>
      </w:r>
      <w:r w:rsidR="004E08CA" w:rsidRPr="00DB10F3">
        <w:rPr>
          <w:rFonts w:ascii="Helvetica" w:hAnsi="Helvetica"/>
          <w:bCs/>
        </w:rPr>
        <w:t>LNRS</w:t>
      </w:r>
      <w:r w:rsidR="00EF5F5D" w:rsidRPr="00DB10F3">
        <w:rPr>
          <w:rFonts w:ascii="Helvetica" w:hAnsi="Helvetica"/>
          <w:bCs/>
        </w:rPr>
        <w:t xml:space="preserve"> 1</w:t>
      </w:r>
      <w:r w:rsidR="00CF20AD" w:rsidRPr="00DB10F3">
        <w:rPr>
          <w:rFonts w:ascii="Helvetica" w:hAnsi="Helvetica"/>
          <w:bCs/>
        </w:rPr>
        <w:t>-</w:t>
      </w:r>
      <w:r w:rsidR="00F1537D" w:rsidRPr="00DB10F3">
        <w:rPr>
          <w:rFonts w:ascii="Helvetica" w:hAnsi="Helvetica"/>
          <w:bCs/>
        </w:rPr>
        <w:t xml:space="preserve">5 </w:t>
      </w:r>
      <w:r w:rsidR="004E08CA" w:rsidRPr="00DB10F3">
        <w:rPr>
          <w:rFonts w:ascii="Helvetica" w:hAnsi="Helvetica"/>
          <w:bCs/>
        </w:rPr>
        <w:t xml:space="preserve">or negative </w:t>
      </w:r>
      <w:r w:rsidR="006B7B17" w:rsidRPr="00DB10F3">
        <w:rPr>
          <w:rFonts w:ascii="Helvetica" w:hAnsi="Helvetica"/>
          <w:bCs/>
        </w:rPr>
        <w:t>as described</w:t>
      </w:r>
      <w:r w:rsidR="006A0299" w:rsidRPr="00DB10F3">
        <w:rPr>
          <w:rFonts w:ascii="Helvetica" w:hAnsi="Helvetica"/>
          <w:bCs/>
        </w:rPr>
        <w:t xml:space="preserve"> above</w:t>
      </w:r>
      <w:r w:rsidR="006B7B17" w:rsidRPr="00DB10F3">
        <w:rPr>
          <w:rFonts w:ascii="Helvetica" w:hAnsi="Helvetica"/>
          <w:bCs/>
        </w:rPr>
        <w:t xml:space="preserve">. </w:t>
      </w:r>
      <w:r w:rsidRPr="00DB10F3">
        <w:rPr>
          <w:rFonts w:ascii="Helvetica" w:hAnsi="Helvetica"/>
          <w:bCs/>
        </w:rPr>
        <w:t>Overall a</w:t>
      </w:r>
      <w:r w:rsidR="006B7B17" w:rsidRPr="00DB10F3">
        <w:rPr>
          <w:rFonts w:ascii="Helvetica" w:hAnsi="Helvetica"/>
          <w:bCs/>
        </w:rPr>
        <w:t>greement</w:t>
      </w:r>
      <w:r w:rsidR="009744C6" w:rsidRPr="00DB10F3">
        <w:rPr>
          <w:rFonts w:ascii="Helvetica" w:hAnsi="Helvetica"/>
          <w:bCs/>
        </w:rPr>
        <w:t xml:space="preserve">, </w:t>
      </w:r>
      <w:r w:rsidRPr="00DB10F3">
        <w:rPr>
          <w:rFonts w:ascii="Helvetica" w:hAnsi="Helvetica"/>
          <w:bCs/>
        </w:rPr>
        <w:t>agreement for</w:t>
      </w:r>
      <w:r w:rsidR="006B7B17" w:rsidRPr="00DB10F3">
        <w:rPr>
          <w:rFonts w:ascii="Helvetica" w:hAnsi="Helvetica"/>
          <w:bCs/>
        </w:rPr>
        <w:t xml:space="preserve"> </w:t>
      </w:r>
      <w:r w:rsidRPr="00DB10F3">
        <w:rPr>
          <w:rFonts w:ascii="Helvetica" w:hAnsi="Helvetica"/>
          <w:bCs/>
        </w:rPr>
        <w:t>each</w:t>
      </w:r>
      <w:r w:rsidR="006B7B17" w:rsidRPr="00DB10F3">
        <w:rPr>
          <w:rFonts w:ascii="Helvetica" w:hAnsi="Helvetica"/>
          <w:bCs/>
        </w:rPr>
        <w:t xml:space="preserve"> </w:t>
      </w:r>
      <w:r w:rsidR="00F1537D" w:rsidRPr="00DB10F3">
        <w:rPr>
          <w:rFonts w:ascii="Helvetica" w:hAnsi="Helvetica"/>
          <w:bCs/>
        </w:rPr>
        <w:t xml:space="preserve">individual </w:t>
      </w:r>
      <w:r w:rsidR="009744C6" w:rsidRPr="00DB10F3">
        <w:rPr>
          <w:rFonts w:ascii="Helvetica" w:hAnsi="Helvetica"/>
          <w:bCs/>
        </w:rPr>
        <w:t xml:space="preserve">LNRS and agreement using </w:t>
      </w:r>
      <w:r w:rsidR="00F1537D" w:rsidRPr="00DB10F3">
        <w:rPr>
          <w:rFonts w:ascii="Helvetica" w:hAnsi="Helvetica"/>
          <w:bCs/>
        </w:rPr>
        <w:t xml:space="preserve">a </w:t>
      </w:r>
      <w:r w:rsidR="003A17C2" w:rsidRPr="00DB10F3">
        <w:rPr>
          <w:rFonts w:ascii="Helvetica" w:hAnsi="Helvetica"/>
          <w:bCs/>
        </w:rPr>
        <w:t>5</w:t>
      </w:r>
      <w:r w:rsidR="009744C6" w:rsidRPr="00DB10F3">
        <w:rPr>
          <w:rFonts w:ascii="Helvetica" w:hAnsi="Helvetica"/>
          <w:bCs/>
        </w:rPr>
        <w:t xml:space="preserve">-point (LNRS 1-5) and </w:t>
      </w:r>
      <w:r w:rsidR="003A17C2" w:rsidRPr="00DB10F3">
        <w:rPr>
          <w:rFonts w:ascii="Helvetica" w:hAnsi="Helvetica"/>
          <w:bCs/>
        </w:rPr>
        <w:t>3</w:t>
      </w:r>
      <w:r w:rsidR="009744C6" w:rsidRPr="00DB10F3">
        <w:rPr>
          <w:rFonts w:ascii="Helvetica" w:hAnsi="Helvetica"/>
          <w:bCs/>
        </w:rPr>
        <w:t>-point (LNRS 1</w:t>
      </w:r>
      <w:r w:rsidR="005A20C8" w:rsidRPr="00DB10F3">
        <w:rPr>
          <w:rFonts w:ascii="Helvetica" w:hAnsi="Helvetica"/>
          <w:bCs/>
        </w:rPr>
        <w:t xml:space="preserve"> ‘</w:t>
      </w:r>
      <w:r w:rsidR="005A20C8" w:rsidRPr="00DB10F3">
        <w:rPr>
          <w:rFonts w:ascii="Helvetica" w:hAnsi="Helvetica"/>
          <w:bCs/>
          <w:i/>
          <w:iCs/>
        </w:rPr>
        <w:t>complete response</w:t>
      </w:r>
      <w:r w:rsidR="005A20C8" w:rsidRPr="00DB10F3">
        <w:rPr>
          <w:rFonts w:ascii="Helvetica" w:hAnsi="Helvetica"/>
          <w:bCs/>
        </w:rPr>
        <w:t>’;</w:t>
      </w:r>
      <w:r w:rsidR="009744C6" w:rsidRPr="00DB10F3">
        <w:rPr>
          <w:rFonts w:ascii="Helvetica" w:hAnsi="Helvetica"/>
          <w:bCs/>
        </w:rPr>
        <w:t xml:space="preserve"> LNRS 2-3</w:t>
      </w:r>
      <w:r w:rsidR="005A20C8" w:rsidRPr="00DB10F3">
        <w:rPr>
          <w:rFonts w:ascii="Helvetica" w:hAnsi="Helvetica"/>
          <w:bCs/>
        </w:rPr>
        <w:t xml:space="preserve"> ‘</w:t>
      </w:r>
      <w:r w:rsidR="005A20C8" w:rsidRPr="00DB10F3">
        <w:rPr>
          <w:rFonts w:ascii="Helvetica" w:hAnsi="Helvetica"/>
          <w:bCs/>
          <w:i/>
          <w:iCs/>
        </w:rPr>
        <w:t>partial response</w:t>
      </w:r>
      <w:r w:rsidR="005A20C8" w:rsidRPr="00DB10F3">
        <w:rPr>
          <w:rFonts w:ascii="Helvetica" w:hAnsi="Helvetica"/>
          <w:bCs/>
        </w:rPr>
        <w:t>’;</w:t>
      </w:r>
      <w:r w:rsidR="009744C6" w:rsidRPr="00DB10F3">
        <w:rPr>
          <w:rFonts w:ascii="Helvetica" w:hAnsi="Helvetica"/>
          <w:bCs/>
        </w:rPr>
        <w:t xml:space="preserve"> LNRS 4-5</w:t>
      </w:r>
      <w:r w:rsidR="005A20C8" w:rsidRPr="00DB10F3">
        <w:rPr>
          <w:rFonts w:ascii="Helvetica" w:hAnsi="Helvetica"/>
          <w:bCs/>
        </w:rPr>
        <w:t>; ‘</w:t>
      </w:r>
      <w:r w:rsidR="005A20C8" w:rsidRPr="00DB10F3">
        <w:rPr>
          <w:rFonts w:ascii="Helvetica" w:hAnsi="Helvetica"/>
          <w:bCs/>
          <w:i/>
          <w:iCs/>
        </w:rPr>
        <w:t>no response</w:t>
      </w:r>
      <w:r w:rsidR="005A20C8" w:rsidRPr="00DB10F3">
        <w:rPr>
          <w:rFonts w:ascii="Helvetica" w:hAnsi="Helvetica"/>
          <w:bCs/>
        </w:rPr>
        <w:t>’</w:t>
      </w:r>
      <w:r w:rsidR="009744C6" w:rsidRPr="00DB10F3">
        <w:rPr>
          <w:rFonts w:ascii="Helvetica" w:hAnsi="Helvetica"/>
          <w:bCs/>
        </w:rPr>
        <w:t>)</w:t>
      </w:r>
      <w:r w:rsidR="003C27E2" w:rsidRPr="00DB10F3">
        <w:rPr>
          <w:rFonts w:ascii="Helvetica" w:hAnsi="Helvetica"/>
          <w:bCs/>
        </w:rPr>
        <w:t xml:space="preserve"> </w:t>
      </w:r>
      <w:r w:rsidR="009744C6" w:rsidRPr="00DB10F3">
        <w:rPr>
          <w:rFonts w:ascii="Helvetica" w:hAnsi="Helvetica"/>
          <w:bCs/>
        </w:rPr>
        <w:t xml:space="preserve">classification system </w:t>
      </w:r>
      <w:r w:rsidR="00B975EE" w:rsidRPr="00DB10F3">
        <w:rPr>
          <w:rFonts w:ascii="Helvetica" w:hAnsi="Helvetica"/>
          <w:bCs/>
        </w:rPr>
        <w:t>was</w:t>
      </w:r>
      <w:r w:rsidR="009744C6" w:rsidRPr="00DB10F3">
        <w:rPr>
          <w:rFonts w:ascii="Helvetica" w:hAnsi="Helvetica"/>
          <w:bCs/>
        </w:rPr>
        <w:t xml:space="preserve"> evaluated.</w:t>
      </w:r>
    </w:p>
    <w:p w14:paraId="74E04474" w14:textId="77777777" w:rsidR="004E08CA" w:rsidRPr="00DB10F3" w:rsidRDefault="004E08CA" w:rsidP="00924E8E">
      <w:pPr>
        <w:spacing w:line="480" w:lineRule="auto"/>
        <w:rPr>
          <w:rFonts w:ascii="Helvetica" w:hAnsi="Helvetica"/>
          <w:bCs/>
        </w:rPr>
      </w:pPr>
    </w:p>
    <w:p w14:paraId="43BC64E8" w14:textId="2D77E024" w:rsidR="004E08CA" w:rsidRPr="00DB10F3" w:rsidRDefault="00F67DA8" w:rsidP="00924E8E">
      <w:pPr>
        <w:spacing w:line="480" w:lineRule="auto"/>
        <w:rPr>
          <w:rFonts w:ascii="Helvetica" w:hAnsi="Helvetica"/>
          <w:b/>
          <w:i/>
          <w:iCs/>
        </w:rPr>
      </w:pPr>
      <w:r w:rsidRPr="00DB10F3">
        <w:rPr>
          <w:rFonts w:ascii="Helvetica" w:hAnsi="Helvetica"/>
          <w:b/>
          <w:i/>
          <w:iCs/>
        </w:rPr>
        <w:t>Statistical analysis</w:t>
      </w:r>
    </w:p>
    <w:p w14:paraId="408DF0A0" w14:textId="0F1D1456" w:rsidR="00DC0ECB" w:rsidRPr="00DB10F3" w:rsidRDefault="00F67DA8" w:rsidP="00924E8E">
      <w:pPr>
        <w:spacing w:line="480" w:lineRule="auto"/>
        <w:rPr>
          <w:rFonts w:ascii="Helvetica" w:hAnsi="Helvetica"/>
          <w:bCs/>
        </w:rPr>
      </w:pPr>
      <w:r w:rsidRPr="00DB10F3">
        <w:rPr>
          <w:rFonts w:ascii="Helvetica" w:hAnsi="Helvetica"/>
          <w:bCs/>
        </w:rPr>
        <w:t>Clinicopathological characteristics were compared using the Chi-squared</w:t>
      </w:r>
      <w:r w:rsidR="00AE05C5" w:rsidRPr="00DB10F3">
        <w:rPr>
          <w:rFonts w:ascii="Helvetica" w:hAnsi="Helvetica"/>
          <w:bCs/>
        </w:rPr>
        <w:t xml:space="preserve"> </w:t>
      </w:r>
      <w:r w:rsidRPr="00DB10F3">
        <w:rPr>
          <w:rFonts w:ascii="Helvetica" w:hAnsi="Helvetica"/>
          <w:bCs/>
        </w:rPr>
        <w:t xml:space="preserve">test. </w:t>
      </w:r>
    </w:p>
    <w:p w14:paraId="3586B928" w14:textId="51AB5C25" w:rsidR="00DC0ECB" w:rsidRPr="00DB10F3" w:rsidRDefault="00EF5F5D" w:rsidP="00924E8E">
      <w:pPr>
        <w:spacing w:line="480" w:lineRule="auto"/>
        <w:rPr>
          <w:rFonts w:ascii="Helvetica" w:hAnsi="Helvetica"/>
        </w:rPr>
      </w:pPr>
      <w:r w:rsidRPr="00DB10F3">
        <w:rPr>
          <w:rFonts w:ascii="Helvetica" w:hAnsi="Helvetica"/>
          <w:bCs/>
        </w:rPr>
        <w:t xml:space="preserve">Overall </w:t>
      </w:r>
      <w:r w:rsidR="00F67DA8" w:rsidRPr="00DB10F3">
        <w:rPr>
          <w:rFonts w:ascii="Helvetica" w:hAnsi="Helvetica"/>
          <w:bCs/>
        </w:rPr>
        <w:t>su</w:t>
      </w:r>
      <w:r w:rsidRPr="00DB10F3">
        <w:rPr>
          <w:rFonts w:ascii="Helvetica" w:hAnsi="Helvetica"/>
          <w:bCs/>
        </w:rPr>
        <w:t>rvival</w:t>
      </w:r>
      <w:r w:rsidR="00F67DA8" w:rsidRPr="00DB10F3">
        <w:rPr>
          <w:rFonts w:ascii="Helvetica" w:hAnsi="Helvetica"/>
          <w:bCs/>
        </w:rPr>
        <w:t xml:space="preserve"> was defined </w:t>
      </w:r>
      <w:r w:rsidRPr="00DB10F3">
        <w:rPr>
          <w:rFonts w:ascii="Helvetica" w:hAnsi="Helvetica"/>
          <w:bCs/>
        </w:rPr>
        <w:t xml:space="preserve">as time from surgery </w:t>
      </w:r>
      <w:r w:rsidR="00F67DA8" w:rsidRPr="00DB10F3">
        <w:rPr>
          <w:rFonts w:ascii="Helvetica" w:hAnsi="Helvetica"/>
          <w:bCs/>
        </w:rPr>
        <w:t xml:space="preserve">to death </w:t>
      </w:r>
      <w:r w:rsidRPr="00DB10F3">
        <w:rPr>
          <w:rFonts w:ascii="Helvetica" w:hAnsi="Helvetica"/>
          <w:bCs/>
        </w:rPr>
        <w:t xml:space="preserve">from any cause </w:t>
      </w:r>
      <w:r w:rsidR="00F67DA8" w:rsidRPr="00DB10F3">
        <w:rPr>
          <w:rFonts w:ascii="Helvetica" w:hAnsi="Helvetica"/>
          <w:bCs/>
        </w:rPr>
        <w:t xml:space="preserve">or date of last outpatient department visit. Disease-free survival was defined as time from surgery to cancer recurrence, death or date of last outpatient department visit. </w:t>
      </w:r>
      <w:proofErr w:type="spellStart"/>
      <w:r w:rsidR="0019785E">
        <w:rPr>
          <w:rFonts w:ascii="Helvetica" w:hAnsi="Helvetica"/>
          <w:bCs/>
        </w:rPr>
        <w:t>Tumor</w:t>
      </w:r>
      <w:proofErr w:type="spellEnd"/>
      <w:r w:rsidR="00971DF0" w:rsidRPr="00DB10F3">
        <w:rPr>
          <w:rFonts w:ascii="Helvetica" w:hAnsi="Helvetica"/>
          <w:bCs/>
        </w:rPr>
        <w:t xml:space="preserve"> recurrence was classified as locoregional (within the </w:t>
      </w:r>
      <w:r w:rsidR="00EF7B3C" w:rsidRPr="00DB10F3">
        <w:rPr>
          <w:rFonts w:ascii="Helvetica" w:hAnsi="Helvetica"/>
          <w:bCs/>
        </w:rPr>
        <w:t>resection bed</w:t>
      </w:r>
      <w:r w:rsidR="00971DF0" w:rsidRPr="00DB10F3">
        <w:rPr>
          <w:rFonts w:ascii="Helvetica" w:hAnsi="Helvetica"/>
          <w:bCs/>
        </w:rPr>
        <w:t xml:space="preserve">, locoregional LN or anastomosis), systemic (haematogenous, distant LN or peritoneum) or mixed. </w:t>
      </w:r>
      <w:r w:rsidR="00E25F87" w:rsidRPr="00DB10F3">
        <w:rPr>
          <w:rFonts w:ascii="Helvetica" w:hAnsi="Helvetica"/>
          <w:bCs/>
        </w:rPr>
        <w:t>Mortality</w:t>
      </w:r>
      <w:r w:rsidR="00D60BBD" w:rsidRPr="00DB10F3">
        <w:rPr>
          <w:rFonts w:ascii="Helvetica" w:hAnsi="Helvetica"/>
          <w:bCs/>
        </w:rPr>
        <w:t xml:space="preserve"> and recurrence</w:t>
      </w:r>
      <w:r w:rsidR="00E25F87" w:rsidRPr="00DB10F3">
        <w:rPr>
          <w:rFonts w:ascii="Helvetica" w:hAnsi="Helvetica"/>
          <w:bCs/>
        </w:rPr>
        <w:t xml:space="preserve"> data was obtained from electronic healthcare records. </w:t>
      </w:r>
      <w:r w:rsidR="00AE05C5" w:rsidRPr="00DB10F3">
        <w:rPr>
          <w:rFonts w:ascii="Helvetica" w:hAnsi="Helvetica"/>
          <w:bCs/>
        </w:rPr>
        <w:t>Survival curves were c</w:t>
      </w:r>
      <w:r w:rsidR="00294E48" w:rsidRPr="00DB10F3">
        <w:rPr>
          <w:rFonts w:ascii="Helvetica" w:hAnsi="Helvetica"/>
          <w:bCs/>
        </w:rPr>
        <w:t>reated</w:t>
      </w:r>
      <w:r w:rsidR="00AE05C5" w:rsidRPr="00DB10F3">
        <w:rPr>
          <w:rFonts w:ascii="Helvetica" w:hAnsi="Helvetica"/>
          <w:bCs/>
        </w:rPr>
        <w:t xml:space="preserve"> </w:t>
      </w:r>
      <w:r w:rsidR="00AE05C5" w:rsidRPr="00DB10F3">
        <w:rPr>
          <w:rFonts w:ascii="Helvetica" w:hAnsi="Helvetica"/>
          <w:bCs/>
        </w:rPr>
        <w:lastRenderedPageBreak/>
        <w:t xml:space="preserve">using the Kaplan-Meier method, with subgroups compared using the log-rank test. </w:t>
      </w:r>
      <w:r w:rsidR="00F67DA8" w:rsidRPr="00DB10F3">
        <w:rPr>
          <w:rFonts w:ascii="Helvetica" w:hAnsi="Helvetica"/>
          <w:bCs/>
        </w:rPr>
        <w:t>Crude and adjusted survival analyses were performed using Cox proportional hazards regression adjust</w:t>
      </w:r>
      <w:r w:rsidR="00AE05C5" w:rsidRPr="00DB10F3">
        <w:rPr>
          <w:rFonts w:ascii="Helvetica" w:hAnsi="Helvetica"/>
          <w:bCs/>
        </w:rPr>
        <w:t>ing</w:t>
      </w:r>
      <w:r w:rsidR="00F67DA8" w:rsidRPr="00DB10F3">
        <w:rPr>
          <w:rFonts w:ascii="Helvetica" w:hAnsi="Helvetica"/>
          <w:bCs/>
        </w:rPr>
        <w:t xml:space="preserve"> for</w:t>
      </w:r>
      <w:r w:rsidR="003D002F" w:rsidRPr="00DB10F3">
        <w:rPr>
          <w:rFonts w:ascii="Helvetica" w:hAnsi="Helvetica"/>
          <w:bCs/>
        </w:rPr>
        <w:t xml:space="preserve"> a</w:t>
      </w:r>
      <w:r w:rsidR="00F67DA8" w:rsidRPr="00DB10F3">
        <w:rPr>
          <w:rFonts w:ascii="Helvetica" w:hAnsi="Helvetica"/>
          <w:bCs/>
        </w:rPr>
        <w:t>ge</w:t>
      </w:r>
      <w:r w:rsidR="00AE05C5" w:rsidRPr="00DB10F3">
        <w:rPr>
          <w:rFonts w:ascii="Helvetica" w:hAnsi="Helvetica"/>
          <w:bCs/>
        </w:rPr>
        <w:t xml:space="preserve"> (continuous)</w:t>
      </w:r>
      <w:r w:rsidR="00F67DA8" w:rsidRPr="00DB10F3">
        <w:rPr>
          <w:rFonts w:ascii="Helvetica" w:hAnsi="Helvetica"/>
          <w:bCs/>
        </w:rPr>
        <w:t>, sex</w:t>
      </w:r>
      <w:r w:rsidR="00AE05C5" w:rsidRPr="00DB10F3">
        <w:rPr>
          <w:rFonts w:ascii="Helvetica" w:hAnsi="Helvetica"/>
          <w:bCs/>
        </w:rPr>
        <w:t xml:space="preserve"> (male</w:t>
      </w:r>
      <w:r w:rsidR="003D002F" w:rsidRPr="00DB10F3">
        <w:rPr>
          <w:rFonts w:ascii="Helvetica" w:hAnsi="Helvetica"/>
          <w:bCs/>
        </w:rPr>
        <w:t>/</w:t>
      </w:r>
      <w:r w:rsidR="00AE05C5" w:rsidRPr="00DB10F3">
        <w:rPr>
          <w:rFonts w:ascii="Helvetica" w:hAnsi="Helvetica"/>
          <w:bCs/>
        </w:rPr>
        <w:t>female)</w:t>
      </w:r>
      <w:r w:rsidR="00F67DA8" w:rsidRPr="00DB10F3">
        <w:rPr>
          <w:rFonts w:ascii="Helvetica" w:hAnsi="Helvetica"/>
          <w:bCs/>
        </w:rPr>
        <w:t xml:space="preserve">, </w:t>
      </w:r>
      <w:r w:rsidR="00294E48" w:rsidRPr="00DB10F3">
        <w:rPr>
          <w:rFonts w:ascii="Helvetica" w:hAnsi="Helvetica"/>
          <w:bCs/>
        </w:rPr>
        <w:t>c</w:t>
      </w:r>
      <w:r w:rsidR="009F6BCF" w:rsidRPr="00DB10F3">
        <w:rPr>
          <w:rFonts w:ascii="Helvetica" w:hAnsi="Helvetica"/>
          <w:bCs/>
        </w:rPr>
        <w:t>hemotherapy regimen (</w:t>
      </w:r>
      <w:r w:rsidR="00850628">
        <w:rPr>
          <w:rFonts w:ascii="Helvetica" w:hAnsi="Helvetica"/>
          <w:bCs/>
        </w:rPr>
        <w:t>OEO2</w:t>
      </w:r>
      <w:r w:rsidR="003D002F" w:rsidRPr="00DB10F3">
        <w:rPr>
          <w:rFonts w:ascii="Helvetica" w:hAnsi="Helvetica"/>
          <w:bCs/>
        </w:rPr>
        <w:t>/</w:t>
      </w:r>
      <w:r w:rsidR="00850628">
        <w:rPr>
          <w:rFonts w:ascii="Helvetica" w:hAnsi="Helvetica"/>
          <w:bCs/>
        </w:rPr>
        <w:t>MAGIC</w:t>
      </w:r>
      <w:r w:rsidR="003D002F" w:rsidRPr="00DB10F3">
        <w:rPr>
          <w:rFonts w:ascii="Helvetica" w:hAnsi="Helvetica"/>
          <w:bCs/>
        </w:rPr>
        <w:t>/</w:t>
      </w:r>
      <w:r w:rsidR="00FC5197" w:rsidRPr="00DB10F3">
        <w:rPr>
          <w:rFonts w:ascii="Helvetica" w:hAnsi="Helvetica"/>
          <w:bCs/>
        </w:rPr>
        <w:t>FLOT</w:t>
      </w:r>
      <w:r w:rsidR="003D002F" w:rsidRPr="00DB10F3">
        <w:rPr>
          <w:rFonts w:ascii="Helvetica" w:hAnsi="Helvetica"/>
          <w:bCs/>
        </w:rPr>
        <w:t>/</w:t>
      </w:r>
      <w:r w:rsidR="009F6BCF" w:rsidRPr="00DB10F3">
        <w:rPr>
          <w:rFonts w:ascii="Helvetica" w:hAnsi="Helvetica"/>
          <w:bCs/>
        </w:rPr>
        <w:t xml:space="preserve">other), </w:t>
      </w:r>
      <w:r w:rsidR="00CF20AD" w:rsidRPr="00DB10F3">
        <w:rPr>
          <w:rFonts w:ascii="Helvetica" w:hAnsi="Helvetica"/>
          <w:bCs/>
        </w:rPr>
        <w:t xml:space="preserve">LN </w:t>
      </w:r>
      <w:r w:rsidR="00D9501B" w:rsidRPr="00DB10F3">
        <w:rPr>
          <w:rFonts w:ascii="Helvetica" w:hAnsi="Helvetica"/>
          <w:bCs/>
        </w:rPr>
        <w:t xml:space="preserve">yield (continuous), </w:t>
      </w:r>
      <w:r w:rsidR="008D4852" w:rsidRPr="00DB10F3">
        <w:rPr>
          <w:rFonts w:ascii="Helvetica" w:hAnsi="Helvetica"/>
          <w:bCs/>
        </w:rPr>
        <w:t>clinical</w:t>
      </w:r>
      <w:r w:rsidR="00AE05C5" w:rsidRPr="00DB10F3">
        <w:rPr>
          <w:rFonts w:ascii="Helvetica" w:hAnsi="Helvetica"/>
          <w:bCs/>
        </w:rPr>
        <w:t xml:space="preserve"> stage</w:t>
      </w:r>
      <w:r w:rsidR="00F67DA8" w:rsidRPr="00DB10F3">
        <w:rPr>
          <w:rFonts w:ascii="Helvetica" w:hAnsi="Helvetica"/>
          <w:bCs/>
        </w:rPr>
        <w:t xml:space="preserve"> (</w:t>
      </w:r>
      <w:r w:rsidR="008D4852" w:rsidRPr="00DB10F3">
        <w:rPr>
          <w:rFonts w:ascii="Helvetica" w:hAnsi="Helvetica"/>
          <w:bCs/>
        </w:rPr>
        <w:t>c</w:t>
      </w:r>
      <w:r w:rsidR="00F67DA8" w:rsidRPr="00DB10F3">
        <w:rPr>
          <w:rFonts w:ascii="Helvetica" w:hAnsi="Helvetica"/>
          <w:bCs/>
        </w:rPr>
        <w:t>T1-2</w:t>
      </w:r>
      <w:r w:rsidR="00AE05C5" w:rsidRPr="00DB10F3">
        <w:rPr>
          <w:rFonts w:ascii="Helvetica" w:hAnsi="Helvetica"/>
          <w:bCs/>
        </w:rPr>
        <w:t xml:space="preserve"> N0</w:t>
      </w:r>
      <w:r w:rsidR="00294E48" w:rsidRPr="00DB10F3">
        <w:rPr>
          <w:rFonts w:ascii="Helvetica" w:hAnsi="Helvetica"/>
          <w:bCs/>
        </w:rPr>
        <w:t>,</w:t>
      </w:r>
      <w:r w:rsidR="00F67DA8" w:rsidRPr="00DB10F3">
        <w:rPr>
          <w:rFonts w:ascii="Helvetica" w:hAnsi="Helvetica"/>
          <w:bCs/>
        </w:rPr>
        <w:t xml:space="preserve"> </w:t>
      </w:r>
      <w:r w:rsidR="008D4852" w:rsidRPr="00DB10F3">
        <w:rPr>
          <w:rFonts w:ascii="Helvetica" w:hAnsi="Helvetica"/>
          <w:bCs/>
        </w:rPr>
        <w:t>c</w:t>
      </w:r>
      <w:r w:rsidR="00AE05C5" w:rsidRPr="00DB10F3">
        <w:rPr>
          <w:rFonts w:ascii="Helvetica" w:hAnsi="Helvetica"/>
          <w:bCs/>
        </w:rPr>
        <w:t>T0-2 N1-3</w:t>
      </w:r>
      <w:r w:rsidR="00294E48" w:rsidRPr="00DB10F3">
        <w:rPr>
          <w:rFonts w:ascii="Helvetica" w:hAnsi="Helvetica"/>
          <w:bCs/>
        </w:rPr>
        <w:t>,</w:t>
      </w:r>
      <w:r w:rsidR="00AE05C5" w:rsidRPr="00DB10F3">
        <w:rPr>
          <w:rFonts w:ascii="Helvetica" w:hAnsi="Helvetica"/>
          <w:bCs/>
        </w:rPr>
        <w:t xml:space="preserve"> </w:t>
      </w:r>
      <w:r w:rsidR="008D4852" w:rsidRPr="00DB10F3">
        <w:rPr>
          <w:rFonts w:ascii="Helvetica" w:hAnsi="Helvetica"/>
          <w:bCs/>
        </w:rPr>
        <w:t>c</w:t>
      </w:r>
      <w:r w:rsidR="00AE05C5" w:rsidRPr="00DB10F3">
        <w:rPr>
          <w:rFonts w:ascii="Helvetica" w:hAnsi="Helvetica"/>
          <w:bCs/>
        </w:rPr>
        <w:t xml:space="preserve">T3-4 N0 </w:t>
      </w:r>
      <w:r w:rsidR="00294E48" w:rsidRPr="00DB10F3">
        <w:rPr>
          <w:rFonts w:ascii="Helvetica" w:hAnsi="Helvetica"/>
          <w:bCs/>
        </w:rPr>
        <w:t>or</w:t>
      </w:r>
      <w:r w:rsidR="00AE05C5" w:rsidRPr="00DB10F3">
        <w:rPr>
          <w:rFonts w:ascii="Helvetica" w:hAnsi="Helvetica"/>
          <w:bCs/>
        </w:rPr>
        <w:t xml:space="preserve"> </w:t>
      </w:r>
      <w:r w:rsidR="008D4852" w:rsidRPr="00DB10F3">
        <w:rPr>
          <w:rFonts w:ascii="Helvetica" w:hAnsi="Helvetica"/>
          <w:bCs/>
        </w:rPr>
        <w:t>c</w:t>
      </w:r>
      <w:r w:rsidR="00AE05C5" w:rsidRPr="00DB10F3">
        <w:rPr>
          <w:rFonts w:ascii="Helvetica" w:hAnsi="Helvetica"/>
          <w:bCs/>
        </w:rPr>
        <w:t>T3-4 N1-3</w:t>
      </w:r>
      <w:r w:rsidR="00F67DA8" w:rsidRPr="00DB10F3">
        <w:rPr>
          <w:rFonts w:ascii="Helvetica" w:hAnsi="Helvetica"/>
          <w:bCs/>
        </w:rPr>
        <w:t xml:space="preserve">), </w:t>
      </w:r>
      <w:proofErr w:type="spellStart"/>
      <w:r w:rsidR="0019785E">
        <w:rPr>
          <w:rFonts w:ascii="Helvetica" w:hAnsi="Helvetica"/>
          <w:bCs/>
        </w:rPr>
        <w:t>tumor</w:t>
      </w:r>
      <w:proofErr w:type="spellEnd"/>
      <w:r w:rsidRPr="00DB10F3">
        <w:rPr>
          <w:rFonts w:ascii="Helvetica" w:hAnsi="Helvetica"/>
          <w:bCs/>
        </w:rPr>
        <w:t xml:space="preserve"> grade </w:t>
      </w:r>
      <w:r w:rsidR="00F67DA8" w:rsidRPr="00DB10F3">
        <w:rPr>
          <w:rFonts w:ascii="Helvetica" w:hAnsi="Helvetica"/>
          <w:bCs/>
        </w:rPr>
        <w:t>(well</w:t>
      </w:r>
      <w:r w:rsidR="003D002F" w:rsidRPr="00DB10F3">
        <w:rPr>
          <w:rFonts w:ascii="Helvetica" w:hAnsi="Helvetica"/>
          <w:bCs/>
        </w:rPr>
        <w:t>/</w:t>
      </w:r>
      <w:r w:rsidR="00F67DA8" w:rsidRPr="00DB10F3">
        <w:rPr>
          <w:rFonts w:ascii="Helvetica" w:hAnsi="Helvetica"/>
          <w:bCs/>
        </w:rPr>
        <w:t xml:space="preserve">moderately differentiated </w:t>
      </w:r>
      <w:r w:rsidR="00294E48" w:rsidRPr="00DB10F3">
        <w:rPr>
          <w:rFonts w:ascii="Helvetica" w:hAnsi="Helvetica"/>
          <w:bCs/>
        </w:rPr>
        <w:t>or</w:t>
      </w:r>
      <w:r w:rsidR="00F67DA8" w:rsidRPr="00DB10F3">
        <w:rPr>
          <w:rFonts w:ascii="Helvetica" w:hAnsi="Helvetica"/>
          <w:bCs/>
        </w:rPr>
        <w:t xml:space="preserve"> poorly differentiated)</w:t>
      </w:r>
      <w:r w:rsidR="00AE05C5" w:rsidRPr="00DB10F3">
        <w:rPr>
          <w:rFonts w:ascii="Helvetica" w:hAnsi="Helvetica"/>
          <w:bCs/>
        </w:rPr>
        <w:t>, presence of lympho-vascular invasion (yes</w:t>
      </w:r>
      <w:r w:rsidR="003D002F" w:rsidRPr="00DB10F3">
        <w:rPr>
          <w:rFonts w:ascii="Helvetica" w:hAnsi="Helvetica"/>
          <w:bCs/>
        </w:rPr>
        <w:t>/</w:t>
      </w:r>
      <w:r w:rsidR="00AE05C5" w:rsidRPr="00DB10F3">
        <w:rPr>
          <w:rFonts w:ascii="Helvetica" w:hAnsi="Helvetica"/>
          <w:bCs/>
        </w:rPr>
        <w:t>no)</w:t>
      </w:r>
      <w:r w:rsidR="006A274B" w:rsidRPr="00DB10F3">
        <w:rPr>
          <w:rFonts w:ascii="Helvetica" w:hAnsi="Helvetica"/>
          <w:bCs/>
        </w:rPr>
        <w:t xml:space="preserve"> </w:t>
      </w:r>
      <w:r w:rsidR="00AE05C5" w:rsidRPr="00DB10F3">
        <w:rPr>
          <w:rFonts w:ascii="Helvetica" w:hAnsi="Helvetica"/>
          <w:bCs/>
        </w:rPr>
        <w:t xml:space="preserve">and primary </w:t>
      </w:r>
      <w:proofErr w:type="spellStart"/>
      <w:r w:rsidR="0019785E">
        <w:rPr>
          <w:rFonts w:ascii="Helvetica" w:hAnsi="Helvetica"/>
          <w:bCs/>
        </w:rPr>
        <w:t>tumor</w:t>
      </w:r>
      <w:proofErr w:type="spellEnd"/>
      <w:r w:rsidR="00F67DA8" w:rsidRPr="00DB10F3">
        <w:rPr>
          <w:rFonts w:ascii="Helvetica" w:hAnsi="Helvetica"/>
          <w:bCs/>
        </w:rPr>
        <w:t xml:space="preserve"> </w:t>
      </w:r>
      <w:r w:rsidR="008D4852" w:rsidRPr="00DB10F3">
        <w:rPr>
          <w:rFonts w:ascii="Helvetica" w:hAnsi="Helvetica"/>
          <w:bCs/>
        </w:rPr>
        <w:t xml:space="preserve">response </w:t>
      </w:r>
      <w:r w:rsidR="00AE05C5" w:rsidRPr="00DB10F3">
        <w:rPr>
          <w:rFonts w:ascii="Helvetica" w:hAnsi="Helvetica"/>
          <w:bCs/>
        </w:rPr>
        <w:t>(Mandard 1</w:t>
      </w:r>
      <w:r w:rsidR="00D8513F">
        <w:rPr>
          <w:rFonts w:ascii="Helvetica" w:hAnsi="Helvetica"/>
          <w:bCs/>
        </w:rPr>
        <w:t>/Mandard 2</w:t>
      </w:r>
      <w:r w:rsidR="00AE05C5" w:rsidRPr="00DB10F3">
        <w:rPr>
          <w:rFonts w:ascii="Helvetica" w:hAnsi="Helvetica"/>
          <w:bCs/>
        </w:rPr>
        <w:t>-3</w:t>
      </w:r>
      <w:r w:rsidR="003D002F" w:rsidRPr="00DB10F3">
        <w:rPr>
          <w:rFonts w:ascii="Helvetica" w:hAnsi="Helvetica"/>
          <w:bCs/>
        </w:rPr>
        <w:t>/</w:t>
      </w:r>
      <w:r w:rsidR="006A274B" w:rsidRPr="00DB10F3">
        <w:rPr>
          <w:rFonts w:ascii="Helvetica" w:hAnsi="Helvetica"/>
          <w:bCs/>
        </w:rPr>
        <w:t xml:space="preserve">Mandard </w:t>
      </w:r>
      <w:r w:rsidR="00AE05C5" w:rsidRPr="00DB10F3">
        <w:rPr>
          <w:rFonts w:ascii="Helvetica" w:hAnsi="Helvetica"/>
          <w:bCs/>
        </w:rPr>
        <w:t xml:space="preserve">4-5). </w:t>
      </w:r>
      <w:r w:rsidR="00F67DA8" w:rsidRPr="00DB10F3">
        <w:rPr>
          <w:rFonts w:ascii="Helvetica" w:hAnsi="Helvetica"/>
          <w:bCs/>
        </w:rPr>
        <w:t>These confounders were defined based on directed acyclic graphs</w:t>
      </w:r>
      <w:r w:rsidR="009F6BCF" w:rsidRPr="00DB10F3">
        <w:rPr>
          <w:rFonts w:ascii="Helvetica" w:hAnsi="Helvetica"/>
          <w:bCs/>
        </w:rPr>
        <w:t xml:space="preserve"> </w:t>
      </w:r>
      <w:r w:rsidR="009F6BCF" w:rsidRPr="00DB10F3">
        <w:rPr>
          <w:rFonts w:ascii="Helvetica" w:hAnsi="Helvetica"/>
          <w:bCs/>
        </w:rPr>
        <w:fldChar w:fldCharType="begin" w:fldLock="1"/>
      </w:r>
      <w:r w:rsidR="00557B73" w:rsidRPr="00DB10F3">
        <w:rPr>
          <w:rFonts w:ascii="Helvetica" w:hAnsi="Helvetica"/>
          <w:bCs/>
        </w:rPr>
        <w:instrText>ADDIN CSL_CITATION {"citationItems":[{"id":"ITEM-1","itemData":{"DOI":"10.1093/ije/dyw341","abstract":"Directed acyclic graphs (DAGs), which offer systematic representations of causal relationships , have become an established framework for the analysis of causal inference in epidemiology, often being used to determine covariate adjustment sets for minimizing confounding bias. DAGitty is a popular web application for drawing and analysing DAGs. Here we introduce the R package 'dagitty', which provides access to all of the capabilities of the DAGitty web application within the R platform for statistical computing, and also offers several new functions. We describe how the R package 'dagitty' can be used to: evaluate whether a DAG is consistent with the dataset it is intended to represent; enumerate 'statistically equivalent' but causally different DAGs; and identify exposure-outcome adjustment sets that are valid for causally different but statistically equivalent DAGs. This functionality enables epidemiologists to detect causal misspecifications in DAGs and make robust inferences that remain valid for a range of different DAGs. The R package 'dagitty' is available through the comprehensive R archive network (CRAN) at [https://cran.r-project.org/web/packages/dagitty/]. The source code is available on github at [https://github.com/jtextor/dagitty]. The web application 'DAGitty' is free software, licensed under the GNU general public licence (GPL) version 2 and is available at [http:// dagitty.net/].","author":[{"dropping-particle":"","family":"Textor","given":"Johannes","non-dropping-particle":"","parse-names":false,"suffix":""},{"dropping-particle":"","family":"Zander","given":"Benito","non-dropping-particle":"Van Der","parse-names":false,"suffix":""},{"dropping-particle":"","family":"Gilthorpe","given":"Mark S","non-dropping-particle":"","parse-names":false,"suffix":""},{"dropping-particle":"","family":"Li Skiewicz","given":"Maciej","non-dropping-particle":"","parse-names":false,"suffix":""},{"dropping-particle":"","family":"Ellison","given":"George Th","non-dropping-particle":"","parse-names":false,"suffix":""}],"id":"ITEM-1","issued":{"date-parts":[["0"]]},"title":"Software Application Profile Robust causal inference using directed acyclic graphs: the R package 'dagitty'","type":"article-journal"},"uris":["http://www.mendeley.com/documents/?uuid=f9eb2782-5e9d-3604-9cf1-ea247b868d3e"]}],"mendeley":{"formattedCitation":"&lt;sup&gt;19&lt;/sup&gt;","plainTextFormattedCitation":"19","previouslyFormattedCitation":"&lt;sup&gt;19&lt;/sup&gt;"},"properties":{"noteIndex":0},"schema":"https://github.com/citation-style-language/schema/raw/master/csl-citation.json"}</w:instrText>
      </w:r>
      <w:r w:rsidR="009F6BCF" w:rsidRPr="00DB10F3">
        <w:rPr>
          <w:rFonts w:ascii="Helvetica" w:hAnsi="Helvetica"/>
          <w:bCs/>
        </w:rPr>
        <w:fldChar w:fldCharType="separate"/>
      </w:r>
      <w:r w:rsidR="00962D57" w:rsidRPr="00DB10F3">
        <w:rPr>
          <w:rFonts w:ascii="Helvetica" w:hAnsi="Helvetica"/>
          <w:bCs/>
          <w:noProof/>
          <w:vertAlign w:val="superscript"/>
        </w:rPr>
        <w:t>19</w:t>
      </w:r>
      <w:r w:rsidR="009F6BCF" w:rsidRPr="00DB10F3">
        <w:rPr>
          <w:rFonts w:ascii="Helvetica" w:hAnsi="Helvetica"/>
          <w:bCs/>
        </w:rPr>
        <w:fldChar w:fldCharType="end"/>
      </w:r>
      <w:r w:rsidR="00AE05C5" w:rsidRPr="00DB10F3">
        <w:rPr>
          <w:rFonts w:ascii="Helvetica" w:hAnsi="Helvetica"/>
          <w:bCs/>
        </w:rPr>
        <w:t>.</w:t>
      </w:r>
    </w:p>
    <w:p w14:paraId="67C29020" w14:textId="77777777" w:rsidR="00345D6C" w:rsidRDefault="00345D6C" w:rsidP="00924E8E">
      <w:pPr>
        <w:spacing w:line="480" w:lineRule="auto"/>
        <w:rPr>
          <w:rFonts w:ascii="Helvetica" w:hAnsi="Helvetica"/>
          <w:bCs/>
        </w:rPr>
      </w:pPr>
    </w:p>
    <w:p w14:paraId="3B351C73" w14:textId="105EA477" w:rsidR="00D17E5B" w:rsidRPr="00DB10F3" w:rsidRDefault="005C5353" w:rsidP="00924E8E">
      <w:pPr>
        <w:spacing w:line="480" w:lineRule="auto"/>
        <w:rPr>
          <w:rFonts w:ascii="Helvetica" w:hAnsi="Helvetica"/>
          <w:bCs/>
        </w:rPr>
      </w:pPr>
      <w:r w:rsidRPr="00DB10F3">
        <w:rPr>
          <w:rFonts w:ascii="Helvetica" w:hAnsi="Helvetica"/>
          <w:bCs/>
        </w:rPr>
        <w:t>To identify the optimum categorisation of pathologic</w:t>
      </w:r>
      <w:r w:rsidR="003D002F" w:rsidRPr="00DB10F3">
        <w:rPr>
          <w:rFonts w:ascii="Helvetica" w:hAnsi="Helvetica"/>
          <w:bCs/>
        </w:rPr>
        <w:t>al</w:t>
      </w:r>
      <w:r w:rsidRPr="00DB10F3">
        <w:rPr>
          <w:rFonts w:ascii="Helvetica" w:hAnsi="Helvetica"/>
          <w:bCs/>
        </w:rPr>
        <w:t xml:space="preserve"> </w:t>
      </w:r>
      <w:r w:rsidR="00EF5F5D" w:rsidRPr="00DB10F3">
        <w:rPr>
          <w:rFonts w:ascii="Helvetica" w:hAnsi="Helvetica"/>
          <w:bCs/>
        </w:rPr>
        <w:t>LN</w:t>
      </w:r>
      <w:r w:rsidRPr="00DB10F3">
        <w:rPr>
          <w:rFonts w:ascii="Helvetica" w:hAnsi="Helvetica"/>
          <w:bCs/>
        </w:rPr>
        <w:t xml:space="preserve"> response for predicting survival, </w:t>
      </w:r>
      <w:r w:rsidR="00345D6C">
        <w:rPr>
          <w:rFonts w:ascii="Helvetica" w:hAnsi="Helvetica"/>
          <w:bCs/>
        </w:rPr>
        <w:t>the</w:t>
      </w:r>
      <w:r w:rsidRPr="00DB10F3">
        <w:rPr>
          <w:rFonts w:ascii="Helvetica" w:hAnsi="Helvetica"/>
          <w:bCs/>
        </w:rPr>
        <w:t xml:space="preserve"> </w:t>
      </w:r>
      <w:r w:rsidR="00345D6C">
        <w:rPr>
          <w:rFonts w:ascii="Helvetica" w:hAnsi="Helvetica"/>
          <w:bCs/>
        </w:rPr>
        <w:t xml:space="preserve">discriminatory ability of different </w:t>
      </w:r>
      <w:r w:rsidR="00345D6C" w:rsidRPr="00DB10F3">
        <w:rPr>
          <w:rFonts w:ascii="Helvetica" w:hAnsi="Helvetica"/>
          <w:bCs/>
        </w:rPr>
        <w:t xml:space="preserve">response </w:t>
      </w:r>
      <w:r w:rsidRPr="00DB10F3">
        <w:rPr>
          <w:rFonts w:ascii="Helvetica" w:hAnsi="Helvetica"/>
          <w:bCs/>
        </w:rPr>
        <w:t xml:space="preserve">classifications </w:t>
      </w:r>
      <w:r w:rsidR="00345D6C">
        <w:rPr>
          <w:rFonts w:ascii="Helvetica" w:hAnsi="Helvetica"/>
          <w:bCs/>
        </w:rPr>
        <w:t xml:space="preserve">was </w:t>
      </w:r>
      <w:r w:rsidRPr="00DB10F3">
        <w:rPr>
          <w:rFonts w:ascii="Helvetica" w:hAnsi="Helvetica"/>
          <w:bCs/>
        </w:rPr>
        <w:t>evaluated using</w:t>
      </w:r>
      <w:r w:rsidR="00345D6C">
        <w:rPr>
          <w:rFonts w:ascii="Helvetica" w:hAnsi="Helvetica"/>
          <w:bCs/>
        </w:rPr>
        <w:t xml:space="preserve"> </w:t>
      </w:r>
      <w:r w:rsidR="004E08CA" w:rsidRPr="00DB10F3">
        <w:rPr>
          <w:rFonts w:ascii="Helvetica" w:hAnsi="Helvetica"/>
          <w:bCs/>
        </w:rPr>
        <w:t>Harrell</w:t>
      </w:r>
      <w:r w:rsidRPr="00DB10F3">
        <w:rPr>
          <w:rFonts w:ascii="Helvetica" w:hAnsi="Helvetica"/>
          <w:bCs/>
        </w:rPr>
        <w:t xml:space="preserve">’s </w:t>
      </w:r>
      <w:r w:rsidR="00264FEE">
        <w:rPr>
          <w:rFonts w:ascii="Helvetica" w:hAnsi="Helvetica"/>
          <w:bCs/>
        </w:rPr>
        <w:t>concordance index (</w:t>
      </w:r>
      <w:r w:rsidRPr="00DB10F3">
        <w:rPr>
          <w:rFonts w:ascii="Helvetica" w:hAnsi="Helvetica"/>
          <w:bCs/>
        </w:rPr>
        <w:t>C-index</w:t>
      </w:r>
      <w:r w:rsidR="00264FEE">
        <w:rPr>
          <w:rFonts w:ascii="Helvetica" w:hAnsi="Helvetica"/>
          <w:bCs/>
        </w:rPr>
        <w:t>)</w:t>
      </w:r>
      <w:r w:rsidR="00895471">
        <w:rPr>
          <w:rFonts w:ascii="Helvetica" w:hAnsi="Helvetica"/>
          <w:bCs/>
        </w:rPr>
        <w:t xml:space="preserve"> </w:t>
      </w:r>
      <w:r w:rsidR="00895471">
        <w:rPr>
          <w:rFonts w:ascii="Helvetica" w:hAnsi="Helvetica"/>
          <w:bCs/>
        </w:rPr>
        <w:fldChar w:fldCharType="begin" w:fldLock="1"/>
      </w:r>
      <w:r w:rsidR="00895471">
        <w:rPr>
          <w:rFonts w:ascii="Helvetica" w:hAnsi="Helvetica"/>
          <w:bCs/>
        </w:rPr>
        <w:instrText>ADDIN CSL_CITATION {"citationItems":[{"id":"ITEM-1","itemData":{"DOI":"10.1002/(SICI)1097-0258(19960229)15:4","abstract":"Multivariable regression models are powerful tools that are used frequently in studies of clinical outcomes. These models can use a mixture of categorical and continuous variables and can handle partially observed (censored) responses. However, uncritical application of modelling techniques can result in models that poorly fit the dataset at hand, or, even more likely, inaccurately predict outcomes on new subjects. One must know how to measure qualities of a model's fit in order to avoid poorly fitted or overfitted models. Measurement of predictive accuracy can be difficult for survival time data in the presence of censoring. We discuss an easily interpretable index of predictive discrimination as well as methods for assessing calibration of predicted survival probabilities. Both types of predictive accuracy should be unbiasedly validated using bootstrapping or cross-validation, before using predictions in a new data series. We discuss some of the hazards of poorly fitted and overfitted regression models and present one modelling strategy that avoids many of the problems discussed. The methods described are applicable to all regression models, but are particularly needed for binary, ordinal, and time-to-event outcomes. Methods are illustrated with a survival analysis in prostate cancer using Cox regression.","author":[{"dropping-particle":"","family":"Harrell","given":"Frank E","non-dropping-particle":"","parse-names":false,"suffix":""},{"dropping-particle":"","family":"Lee","given":"Kerry L","non-dropping-particle":"","parse-names":false,"suffix":""},{"dropping-particle":"","family":"Mark","given":"Daniel B","non-dropping-particle":"","parse-names":false,"suffix":""}],"container-title":"Statistics in Medicine","id":"ITEM-1","issued":{"date-parts":[["1996"]]},"page":"361-387","title":"Multivariable Prognostic Models: Issues in Developing Models ,Evaluating Assumptions and Adequacy, and Measuring and Reducing Errors","type":"article-journal","volume":"15"},"uris":["http://www.mendeley.com/documents/?uuid=e96e8678-bf41-3fc7-810f-cd2ce92394a6"]}],"mendeley":{"formattedCitation":"&lt;sup&gt;20&lt;/sup&gt;","plainTextFormattedCitation":"20","previouslyFormattedCitation":"&lt;sup&gt;20&lt;/sup&gt;"},"properties":{"noteIndex":0},"schema":"https://github.com/citation-style-language/schema/raw/master/csl-citation.json"}</w:instrText>
      </w:r>
      <w:r w:rsidR="00895471">
        <w:rPr>
          <w:rFonts w:ascii="Helvetica" w:hAnsi="Helvetica"/>
          <w:bCs/>
        </w:rPr>
        <w:fldChar w:fldCharType="separate"/>
      </w:r>
      <w:r w:rsidR="00895471" w:rsidRPr="00895471">
        <w:rPr>
          <w:rFonts w:ascii="Helvetica" w:hAnsi="Helvetica"/>
          <w:bCs/>
          <w:noProof/>
          <w:vertAlign w:val="superscript"/>
        </w:rPr>
        <w:t>20</w:t>
      </w:r>
      <w:r w:rsidR="00895471">
        <w:rPr>
          <w:rFonts w:ascii="Helvetica" w:hAnsi="Helvetica"/>
          <w:bCs/>
        </w:rPr>
        <w:fldChar w:fldCharType="end"/>
      </w:r>
      <w:r w:rsidR="00345D6C">
        <w:rPr>
          <w:rFonts w:ascii="Helvetica" w:hAnsi="Helvetica"/>
          <w:bCs/>
        </w:rPr>
        <w:t xml:space="preserve"> and Akaike’s information criterion (AIC)</w:t>
      </w:r>
      <w:r w:rsidR="00895471">
        <w:rPr>
          <w:rFonts w:ascii="Helvetica" w:hAnsi="Helvetica"/>
          <w:bCs/>
        </w:rPr>
        <w:t xml:space="preserve"> </w:t>
      </w:r>
      <w:r w:rsidR="00895471">
        <w:rPr>
          <w:rFonts w:ascii="Helvetica" w:hAnsi="Helvetica"/>
          <w:bCs/>
        </w:rPr>
        <w:fldChar w:fldCharType="begin" w:fldLock="1"/>
      </w:r>
      <w:r w:rsidR="00303EE5">
        <w:rPr>
          <w:rFonts w:ascii="Helvetica" w:hAnsi="Helvetica"/>
          <w:bCs/>
        </w:rPr>
        <w:instrText>ADDIN CSL_CITATION {"citationItems":[{"id":"ITEM-1","itemData":{"DOI":"10.1007/978-1-4612-1694-0_15/COVER","ISSN":"1573515X","abstract":"In this paper it is shown that the classical maximum likelihood principle can be considered to be a method of asymptotic realization of an optimum estimate with respect to a very general information theoretic criterion. This observation shows an extension of the principle to provide answers to many practical problems of statistical model fitting.","author":[{"dropping-particle":"","family":"Akaike","given":"Hirotogu","non-dropping-particle":"","parse-names":false,"suffix":""}],"container-title":"Biogeochemistry","id":"ITEM-1","issued":{"date-parts":[["1998"]]},"page":"199-213","publisher":"Springer Science and Business Media Deutschland GmbH","title":"Information Theory and an Extension of Information the Maximum Theory Likelihood and an Principle Extension of the Maximum Likelihood Principle","type":"article-journal","volume":"1998"},"uris":["http://www.mendeley.com/documents/?uuid=f4c1d500-e95f-38c9-9a89-b1d07ad45470"]}],"mendeley":{"formattedCitation":"&lt;sup&gt;21&lt;/sup&gt;","plainTextFormattedCitation":"21","previouslyFormattedCitation":"&lt;sup&gt;21&lt;/sup&gt;"},"properties":{"noteIndex":0},"schema":"https://github.com/citation-style-language/schema/raw/master/csl-citation.json"}</w:instrText>
      </w:r>
      <w:r w:rsidR="00895471">
        <w:rPr>
          <w:rFonts w:ascii="Helvetica" w:hAnsi="Helvetica"/>
          <w:bCs/>
        </w:rPr>
        <w:fldChar w:fldCharType="separate"/>
      </w:r>
      <w:r w:rsidR="00895471" w:rsidRPr="00895471">
        <w:rPr>
          <w:rFonts w:ascii="Helvetica" w:hAnsi="Helvetica"/>
          <w:bCs/>
          <w:noProof/>
          <w:vertAlign w:val="superscript"/>
        </w:rPr>
        <w:t>21</w:t>
      </w:r>
      <w:r w:rsidR="00895471">
        <w:rPr>
          <w:rFonts w:ascii="Helvetica" w:hAnsi="Helvetica"/>
          <w:bCs/>
        </w:rPr>
        <w:fldChar w:fldCharType="end"/>
      </w:r>
      <w:r w:rsidRPr="00DB10F3">
        <w:rPr>
          <w:rFonts w:ascii="Helvetica" w:hAnsi="Helvetica"/>
          <w:bCs/>
        </w:rPr>
        <w:t xml:space="preserve">. </w:t>
      </w:r>
      <w:r w:rsidR="00345D6C" w:rsidRPr="00345D6C">
        <w:rPr>
          <w:rFonts w:ascii="Helvetica" w:hAnsi="Helvetica"/>
          <w:bCs/>
        </w:rPr>
        <w:t>Harrell’s C-index measure</w:t>
      </w:r>
      <w:r w:rsidR="00DB2184">
        <w:rPr>
          <w:rFonts w:ascii="Helvetica" w:hAnsi="Helvetica"/>
          <w:bCs/>
        </w:rPr>
        <w:t>d</w:t>
      </w:r>
      <w:r w:rsidR="00345D6C" w:rsidRPr="00345D6C">
        <w:rPr>
          <w:rFonts w:ascii="Helvetica" w:hAnsi="Helvetica"/>
          <w:bCs/>
        </w:rPr>
        <w:t xml:space="preserve"> the probability of concordance between expected and observed outcomes </w:t>
      </w:r>
      <w:r w:rsidR="00345D6C">
        <w:rPr>
          <w:rFonts w:ascii="Helvetica" w:hAnsi="Helvetica"/>
          <w:bCs/>
        </w:rPr>
        <w:t xml:space="preserve">in a model </w:t>
      </w:r>
      <w:r w:rsidR="00345D6C" w:rsidRPr="00345D6C">
        <w:rPr>
          <w:rFonts w:ascii="Helvetica" w:hAnsi="Helvetica"/>
          <w:bCs/>
        </w:rPr>
        <w:t>and AIC evaluate</w:t>
      </w:r>
      <w:r w:rsidR="00DB2184">
        <w:rPr>
          <w:rFonts w:ascii="Helvetica" w:hAnsi="Helvetica"/>
          <w:bCs/>
        </w:rPr>
        <w:t>d</w:t>
      </w:r>
      <w:r w:rsidR="00345D6C" w:rsidRPr="00345D6C">
        <w:rPr>
          <w:rFonts w:ascii="Helvetica" w:hAnsi="Helvetica"/>
          <w:bCs/>
        </w:rPr>
        <w:t xml:space="preserve"> how well the model</w:t>
      </w:r>
      <w:r w:rsidR="00345D6C">
        <w:rPr>
          <w:rFonts w:ascii="Helvetica" w:hAnsi="Helvetica"/>
          <w:bCs/>
        </w:rPr>
        <w:t xml:space="preserve"> fits the data</w:t>
      </w:r>
      <w:r w:rsidR="003B1A12">
        <w:rPr>
          <w:rFonts w:ascii="Helvetica" w:hAnsi="Helvetica"/>
          <w:bCs/>
        </w:rPr>
        <w:t>.</w:t>
      </w:r>
      <w:r w:rsidR="00345D6C" w:rsidRPr="00345D6C">
        <w:rPr>
          <w:rFonts w:ascii="Helvetica" w:hAnsi="Helvetica"/>
          <w:bCs/>
        </w:rPr>
        <w:t xml:space="preserve"> </w:t>
      </w:r>
      <w:r w:rsidR="00E907D5">
        <w:rPr>
          <w:rFonts w:ascii="Helvetica" w:hAnsi="Helvetica"/>
          <w:bCs/>
        </w:rPr>
        <w:t>A m</w:t>
      </w:r>
      <w:r w:rsidR="00345D6C">
        <w:rPr>
          <w:rFonts w:ascii="Helvetica" w:hAnsi="Helvetica"/>
          <w:bCs/>
        </w:rPr>
        <w:t>odel</w:t>
      </w:r>
      <w:r w:rsidR="00345D6C" w:rsidRPr="00345D6C">
        <w:rPr>
          <w:rFonts w:ascii="Helvetica" w:hAnsi="Helvetica"/>
          <w:bCs/>
        </w:rPr>
        <w:t xml:space="preserve"> </w:t>
      </w:r>
      <w:r w:rsidR="00345D6C">
        <w:rPr>
          <w:rFonts w:ascii="Helvetica" w:hAnsi="Helvetica"/>
          <w:bCs/>
        </w:rPr>
        <w:t xml:space="preserve">(classification) </w:t>
      </w:r>
      <w:r w:rsidR="00345D6C" w:rsidRPr="00345D6C">
        <w:rPr>
          <w:rFonts w:ascii="Helvetica" w:hAnsi="Helvetica"/>
          <w:bCs/>
        </w:rPr>
        <w:t xml:space="preserve">with higher C-index and lower AIC </w:t>
      </w:r>
      <w:r w:rsidR="003B1A12">
        <w:rPr>
          <w:rFonts w:ascii="Helvetica" w:hAnsi="Helvetica"/>
          <w:bCs/>
        </w:rPr>
        <w:t xml:space="preserve">values </w:t>
      </w:r>
      <w:r w:rsidR="00345D6C">
        <w:rPr>
          <w:rFonts w:ascii="Helvetica" w:hAnsi="Helvetica"/>
          <w:bCs/>
        </w:rPr>
        <w:t>w</w:t>
      </w:r>
      <w:r w:rsidR="003B1A12">
        <w:rPr>
          <w:rFonts w:ascii="Helvetica" w:hAnsi="Helvetica"/>
          <w:bCs/>
        </w:rPr>
        <w:t>ere</w:t>
      </w:r>
      <w:r w:rsidR="00345D6C" w:rsidRPr="00345D6C">
        <w:rPr>
          <w:rFonts w:ascii="Helvetica" w:hAnsi="Helvetica"/>
          <w:bCs/>
        </w:rPr>
        <w:t xml:space="preserve"> considered to have better </w:t>
      </w:r>
      <w:r w:rsidR="00345D6C">
        <w:rPr>
          <w:rFonts w:ascii="Helvetica" w:hAnsi="Helvetica"/>
          <w:bCs/>
        </w:rPr>
        <w:t xml:space="preserve">discriminatory ability. </w:t>
      </w:r>
      <w:r w:rsidR="00345D6C" w:rsidRPr="00DB10F3">
        <w:rPr>
          <w:rFonts w:ascii="Helvetica" w:hAnsi="Helvetica"/>
          <w:bCs/>
        </w:rPr>
        <w:t xml:space="preserve">A C-index of 1.0 indicated perfect predictive ability and 0.5 indicated no ability. </w:t>
      </w:r>
      <w:r w:rsidR="00291A51">
        <w:rPr>
          <w:rFonts w:ascii="Helvetica" w:hAnsi="Helvetica"/>
          <w:bCs/>
        </w:rPr>
        <w:t>Following selection of the optimum</w:t>
      </w:r>
      <w:r w:rsidR="000E33A7">
        <w:rPr>
          <w:rFonts w:ascii="Helvetica" w:hAnsi="Helvetica"/>
          <w:bCs/>
        </w:rPr>
        <w:t xml:space="preserve"> pathological</w:t>
      </w:r>
      <w:r w:rsidR="00291A51">
        <w:rPr>
          <w:rFonts w:ascii="Helvetica" w:hAnsi="Helvetica"/>
          <w:bCs/>
        </w:rPr>
        <w:t xml:space="preserve"> LN re</w:t>
      </w:r>
      <w:r w:rsidR="000E33A7">
        <w:rPr>
          <w:rFonts w:ascii="Helvetica" w:hAnsi="Helvetica"/>
          <w:bCs/>
        </w:rPr>
        <w:t xml:space="preserve">sponse </w:t>
      </w:r>
      <w:r w:rsidR="00291A51">
        <w:rPr>
          <w:rFonts w:ascii="Helvetica" w:hAnsi="Helvetica"/>
          <w:bCs/>
        </w:rPr>
        <w:t xml:space="preserve">classification, </w:t>
      </w:r>
      <w:r w:rsidR="00F95E69">
        <w:rPr>
          <w:rFonts w:ascii="Helvetica" w:hAnsi="Helvetica"/>
          <w:bCs/>
        </w:rPr>
        <w:t>internal</w:t>
      </w:r>
      <w:r w:rsidR="00291A51">
        <w:rPr>
          <w:rFonts w:ascii="Helvetica" w:hAnsi="Helvetica"/>
          <w:bCs/>
        </w:rPr>
        <w:t xml:space="preserve"> validation</w:t>
      </w:r>
      <w:r w:rsidR="007D4AFA">
        <w:rPr>
          <w:rFonts w:ascii="Helvetica" w:hAnsi="Helvetica"/>
          <w:bCs/>
        </w:rPr>
        <w:t xml:space="preserve"> to evaluate model </w:t>
      </w:r>
      <w:r w:rsidR="0009437B">
        <w:rPr>
          <w:rFonts w:ascii="Helvetica" w:hAnsi="Helvetica"/>
          <w:bCs/>
        </w:rPr>
        <w:t>overfitting</w:t>
      </w:r>
      <w:r w:rsidR="007D4AFA">
        <w:rPr>
          <w:rFonts w:ascii="Helvetica" w:hAnsi="Helvetica"/>
          <w:bCs/>
        </w:rPr>
        <w:t xml:space="preserve"> </w:t>
      </w:r>
      <w:r w:rsidR="00291A51">
        <w:rPr>
          <w:rFonts w:ascii="Helvetica" w:hAnsi="Helvetica"/>
          <w:bCs/>
        </w:rPr>
        <w:t>was performed using the split-sample</w:t>
      </w:r>
      <w:r w:rsidR="00C21329">
        <w:rPr>
          <w:rFonts w:ascii="Helvetica" w:hAnsi="Helvetica"/>
          <w:bCs/>
        </w:rPr>
        <w:t xml:space="preserve"> method</w:t>
      </w:r>
      <w:r w:rsidR="00291A51">
        <w:rPr>
          <w:rFonts w:ascii="Helvetica" w:hAnsi="Helvetica"/>
          <w:bCs/>
        </w:rPr>
        <w:t xml:space="preserve"> (7</w:t>
      </w:r>
      <w:r w:rsidR="00F95E69">
        <w:rPr>
          <w:rFonts w:ascii="Helvetica" w:hAnsi="Helvetica"/>
          <w:bCs/>
        </w:rPr>
        <w:t>0</w:t>
      </w:r>
      <w:r w:rsidR="00291A51">
        <w:rPr>
          <w:rFonts w:ascii="Helvetica" w:hAnsi="Helvetica"/>
          <w:bCs/>
        </w:rPr>
        <w:t>% training set and</w:t>
      </w:r>
      <w:r w:rsidR="00F95E69">
        <w:rPr>
          <w:rFonts w:ascii="Helvetica" w:hAnsi="Helvetica"/>
          <w:bCs/>
        </w:rPr>
        <w:t xml:space="preserve"> 30</w:t>
      </w:r>
      <w:r w:rsidR="00291A51">
        <w:rPr>
          <w:rFonts w:ascii="Helvetica" w:hAnsi="Helvetica"/>
          <w:bCs/>
        </w:rPr>
        <w:t>% test set) and bootstrap</w:t>
      </w:r>
      <w:r w:rsidR="00C21329">
        <w:rPr>
          <w:rFonts w:ascii="Helvetica" w:hAnsi="Helvetica"/>
          <w:bCs/>
        </w:rPr>
        <w:t xml:space="preserve"> method</w:t>
      </w:r>
      <w:r w:rsidR="00291A51">
        <w:rPr>
          <w:rFonts w:ascii="Helvetica" w:hAnsi="Helvetica"/>
          <w:bCs/>
        </w:rPr>
        <w:t xml:space="preserve"> </w:t>
      </w:r>
      <w:r w:rsidR="00F95E69">
        <w:rPr>
          <w:rFonts w:ascii="Helvetica" w:hAnsi="Helvetica"/>
          <w:bCs/>
        </w:rPr>
        <w:t xml:space="preserve">with </w:t>
      </w:r>
      <w:r w:rsidR="00291A51">
        <w:rPr>
          <w:rFonts w:ascii="Helvetica" w:hAnsi="Helvetica"/>
          <w:bCs/>
        </w:rPr>
        <w:t>two thousand samples</w:t>
      </w:r>
      <w:r w:rsidR="00303EE5">
        <w:rPr>
          <w:rFonts w:ascii="Helvetica" w:hAnsi="Helvetica"/>
          <w:bCs/>
        </w:rPr>
        <w:t xml:space="preserve"> </w:t>
      </w:r>
      <w:r w:rsidR="00303EE5">
        <w:rPr>
          <w:rFonts w:ascii="Helvetica" w:hAnsi="Helvetica"/>
          <w:bCs/>
        </w:rPr>
        <w:fldChar w:fldCharType="begin" w:fldLock="1"/>
      </w:r>
      <w:r w:rsidR="00C21329">
        <w:rPr>
          <w:rFonts w:ascii="Helvetica" w:hAnsi="Helvetica"/>
          <w:bCs/>
        </w:rPr>
        <w:instrText>ADDIN CSL_CITATION {"citationItems":[{"id":"ITEM-1","itemData":{"DOI":"10.1016/S0895-4356(01)00341-9","ISSN":"0895-4356","PMID":"11470385","abstract":"The performance of a predictive model is overestimated when simply determined on the sample of subjects that was used to construct the model. Several internal validation methods are available that aim to provide a more accurate estimate of model performance in new subjects. We evaluated several variants of split-sample, cross-validation and bootstrapping methods with a logistic regression model that included eight predictors for 30-day mortality after an acute myocardial infarction. Random samples with a size between n = 572 and n = 9165 were drawn from a large data set (GUSTO-I; n = 40,830; 2851 deaths) to reflect modeling in data sets with between 5 and 80 events per variable. Independent performance was determined on the remaining subjects. Performance measures included discriminative ability, calibration and overall accuracy. We found that split-sample analyses gave overly pessimistic estimates of performance, with large variability. Cross-validation on 10% of the sample had low bias and low variability, but was not suitable for all performance measures. Internal validity could best be estimated with bootstrapping, which provided stable estimates with low bias. We conclude that split-sample validation is inefficient, and recommend bootstrapping for estimation of internal validity of a predictive logistic regression model. © 2001 Elsevier Science Inc. All rights reserved.","author":[{"dropping-particle":"","family":"Steyerberg","given":"Ewout W.","non-dropping-particle":"","parse-names":false,"suffix":""},{"dropping-particle":"","family":"Harrell","given":"Frank E.","non-dropping-particle":"","parse-names":false,"suffix":""},{"dropping-particle":"","family":"Borsboom","given":"Gerard J.J.M.","non-dropping-particle":"","parse-names":false,"suffix":""},{"dropping-particle":"","family":"Eijkemans","given":"M. J.C.","non-dropping-particle":"","parse-names":false,"suffix":""},{"dropping-particle":"","family":"Vergouwe","given":"Yvonne","non-dropping-particle":"","parse-names":false,"suffix":""},{"dropping-particle":"","family":"Habbema","given":"J. Dik F.","non-dropping-particle":"","parse-names":false,"suffix":""}],"container-title":"Journal of clinical epidemiology","id":"ITEM-1","issue":"8","issued":{"date-parts":[["2001"]]},"page":"774-781","publisher":"J Clin Epidemiol","title":"Internal validation of predictive models: efficiency of some procedures for logistic regression analysis","type":"article-journal","volume":"54"},"uris":["http://www.mendeley.com/documents/?uuid=1720e49a-0f21-3dc0-adb4-ba55635daaa7"]},{"id":"ITEM-2","itemData":{"abstract":"/ClinStat Questions/discussions/topic suggestions: datamethods.org/t/bbr-video-course Web course: hbiostat.org/bbrc R code in text: hbiostat.org/bbrc/code.zip Glossary of statistical terms: https://hbiostat.org/doc/glossary.pdf Statistical papers written for biomedical researchers: hbiostat.org/bib Blog: fharrell.com @f2harrell #bbrcourse","author":[{"dropping-particle":"","family":"Harrell","given":"Frank E","non-dropping-particle":"","parse-names":false,"suffix":""},{"dropping-particle":"","family":"Slaughter","given":"James C","non-dropping-particle":"","parse-names":false,"suffix":""}],"id":"ITEM-2","issued":{"date-parts":[["2001"]]},"title":"Biostatistics for Biomedical Research","type":"article-journal"},"uris":["http://www.mendeley.com/documents/?uuid=179ad406-963a-33fe-9186-54dcb77ac735"]},{"id":"ITEM-3","itemData":{"DOI":"10.1002/(SICI)1097-0258(19960229)15:4","abstract":"Multivariable regression models are powerful tools that are used frequently in studies of clinical outcomes. These models can use a mixture of categorical and continuous variables and can handle partially observed (censored) responses. However, uncritical application of modelling techniques can result in models that poorly fit the dataset at hand, or, even more likely, inaccurately predict outcomes on new subjects. One must know how to measure qualities of a model's fit in order to avoid poorly fitted or overfitted models. Measurement of predictive accuracy can be difficult for survival time data in the presence of censoring. We discuss an easily interpretable index of predictive discrimination as well as methods for assessing calibration of predicted survival probabilities. Both types of predictive accuracy should be unbiasedly validated using bootstrapping or cross-validation, before using predictions in a new data series. We discuss some of the hazards of poorly fitted and overfitted regression models and present one modelling strategy that avoids many of the problems discussed. The methods described are applicable to all regression models, but are particularly needed for binary, ordinal, and time-to-event outcomes. Methods are illustrated with a survival analysis in prostate cancer using Cox regression.","author":[{"dropping-particle":"","family":"Harrell","given":"Frank E","non-dropping-particle":"","parse-names":false,"suffix":""},{"dropping-particle":"","family":"Lee","given":"Kerry L","non-dropping-particle":"","parse-names":false,"suffix":""},{"dropping-particle":"","family":"Mark","given":"Daniel B","non-dropping-particle":"","parse-names":false,"suffix":""}],"container-title":"Statistics in Medicine","id":"ITEM-3","issued":{"date-parts":[["1996"]]},"page":"361-387","title":"Multivariable Prognostic Models: Issues in Developing Models ,Evaluating Assumptions and Adequacy, and Measuring and Reducing Errors","type":"article-journal","volume":"15"},"uris":["http://www.mendeley.com/documents/?uuid=e96e8678-bf41-3fc7-810f-cd2ce92394a6"]}],"mendeley":{"formattedCitation":"&lt;sup&gt;20,22,23&lt;/sup&gt;","plainTextFormattedCitation":"20,22,23","previouslyFormattedCitation":"&lt;sup&gt;22,23&lt;/sup&gt;"},"properties":{"noteIndex":0},"schema":"https://github.com/citation-style-language/schema/raw/master/csl-citation.json"}</w:instrText>
      </w:r>
      <w:r w:rsidR="00303EE5">
        <w:rPr>
          <w:rFonts w:ascii="Helvetica" w:hAnsi="Helvetica"/>
          <w:bCs/>
        </w:rPr>
        <w:fldChar w:fldCharType="separate"/>
      </w:r>
      <w:r w:rsidR="00C21329" w:rsidRPr="00C21329">
        <w:rPr>
          <w:rFonts w:ascii="Helvetica" w:hAnsi="Helvetica"/>
          <w:bCs/>
          <w:noProof/>
          <w:vertAlign w:val="superscript"/>
        </w:rPr>
        <w:t>20,22,23</w:t>
      </w:r>
      <w:r w:rsidR="00303EE5">
        <w:rPr>
          <w:rFonts w:ascii="Helvetica" w:hAnsi="Helvetica"/>
          <w:bCs/>
        </w:rPr>
        <w:fldChar w:fldCharType="end"/>
      </w:r>
      <w:r w:rsidR="00291A51">
        <w:rPr>
          <w:rFonts w:ascii="Helvetica" w:hAnsi="Helvetica"/>
          <w:bCs/>
        </w:rPr>
        <w:t>.</w:t>
      </w:r>
      <w:r w:rsidR="00F95E69">
        <w:rPr>
          <w:rFonts w:ascii="Helvetica" w:hAnsi="Helvetica"/>
          <w:bCs/>
        </w:rPr>
        <w:t xml:space="preserve"> </w:t>
      </w:r>
      <w:r w:rsidR="003B27F0" w:rsidRPr="00DB10F3">
        <w:rPr>
          <w:rFonts w:ascii="Helvetica" w:hAnsi="Helvetica"/>
          <w:bCs/>
        </w:rPr>
        <w:t xml:space="preserve">Inter-observer agreement between pathologists was evaluated using </w:t>
      </w:r>
      <w:r w:rsidR="006B7B17" w:rsidRPr="00DB10F3">
        <w:rPr>
          <w:rFonts w:ascii="Helvetica" w:hAnsi="Helvetica"/>
          <w:bCs/>
        </w:rPr>
        <w:t>Fleiss’</w:t>
      </w:r>
      <w:r w:rsidR="003B27F0" w:rsidRPr="00DB10F3">
        <w:rPr>
          <w:rFonts w:ascii="Helvetica" w:hAnsi="Helvetica"/>
          <w:bCs/>
        </w:rPr>
        <w:t xml:space="preserve"> Kappa </w:t>
      </w:r>
      <w:r w:rsidR="0012495A" w:rsidRPr="00DB10F3">
        <w:rPr>
          <w:rFonts w:ascii="Helvetica" w:hAnsi="Helvetica"/>
          <w:bCs/>
        </w:rPr>
        <w:t xml:space="preserve">statistic </w:t>
      </w:r>
      <w:r w:rsidR="003B27F0" w:rsidRPr="00DB10F3">
        <w:rPr>
          <w:rFonts w:ascii="Helvetica" w:hAnsi="Helvetica"/>
          <w:bCs/>
        </w:rPr>
        <w:t>for multiple responders</w:t>
      </w:r>
      <w:r w:rsidR="009744C6" w:rsidRPr="00DB10F3">
        <w:rPr>
          <w:rFonts w:ascii="Helvetica" w:hAnsi="Helvetica"/>
          <w:bCs/>
        </w:rPr>
        <w:t xml:space="preserve"> </w:t>
      </w:r>
      <w:r w:rsidR="00F96AF9" w:rsidRPr="00DB10F3">
        <w:rPr>
          <w:rFonts w:ascii="Helvetica" w:hAnsi="Helvetica"/>
          <w:bCs/>
        </w:rPr>
        <w:fldChar w:fldCharType="begin" w:fldLock="1"/>
      </w:r>
      <w:r w:rsidR="00C21329">
        <w:rPr>
          <w:rFonts w:ascii="Helvetica" w:hAnsi="Helvetica"/>
          <w:bCs/>
        </w:rPr>
        <w:instrText>ADDIN CSL_CITATION {"citationItems":[{"id":"ITEM-1","itemData":{"DOI":"10.1002/0471445428","ISBN":"9780471526292","author":[{"dropping-particle":"","family":"Fleiss","given":"Joseph L.","non-dropping-particle":"","parse-names":false,"suffix":""},{"dropping-particle":"","family":"Levin","given":"Bruce","non-dropping-particle":"","parse-names":false,"suffix":""},{"dropping-particle":"","family":"Paik","given":"Myunghee Cho","non-dropping-particle":"","parse-names":false,"suffix":""}],"collection-title":"Wiley Series in Probability and Statistics","id":"ITEM-1","issued":{"date-parts":[["2003","9","5"]]},"publisher":"Wiley","title":"Statistical Methods for Rates and Proportions","type":"book"},"uris":["http://www.mendeley.com/documents/?uuid=65a50407-f0e8-3c02-b911-e1d378eb974d"]}],"mendeley":{"formattedCitation":"&lt;sup&gt;24&lt;/sup&gt;","plainTextFormattedCitation":"24","previouslyFormattedCitation":"&lt;sup&gt;24&lt;/sup&gt;"},"properties":{"noteIndex":0},"schema":"https://github.com/citation-style-language/schema/raw/master/csl-citation.json"}</w:instrText>
      </w:r>
      <w:r w:rsidR="00F96AF9" w:rsidRPr="00DB10F3">
        <w:rPr>
          <w:rFonts w:ascii="Helvetica" w:hAnsi="Helvetica"/>
          <w:bCs/>
        </w:rPr>
        <w:fldChar w:fldCharType="separate"/>
      </w:r>
      <w:r w:rsidR="00303EE5" w:rsidRPr="00303EE5">
        <w:rPr>
          <w:rFonts w:ascii="Helvetica" w:hAnsi="Helvetica"/>
          <w:bCs/>
          <w:noProof/>
          <w:vertAlign w:val="superscript"/>
        </w:rPr>
        <w:t>24</w:t>
      </w:r>
      <w:r w:rsidR="00F96AF9" w:rsidRPr="00DB10F3">
        <w:rPr>
          <w:rFonts w:ascii="Helvetica" w:hAnsi="Helvetica"/>
          <w:bCs/>
        </w:rPr>
        <w:fldChar w:fldCharType="end"/>
      </w:r>
      <w:r w:rsidR="00460502" w:rsidRPr="00DB10F3">
        <w:rPr>
          <w:rFonts w:ascii="Helvetica" w:hAnsi="Helvetica"/>
          <w:bCs/>
        </w:rPr>
        <w:t xml:space="preserve"> and</w:t>
      </w:r>
      <w:r w:rsidR="009744C6" w:rsidRPr="00DB10F3">
        <w:rPr>
          <w:rFonts w:ascii="Helvetica" w:hAnsi="Helvetica"/>
          <w:bCs/>
        </w:rPr>
        <w:t xml:space="preserve"> </w:t>
      </w:r>
      <w:r w:rsidR="00D17E5B" w:rsidRPr="00DB10F3">
        <w:rPr>
          <w:rFonts w:ascii="Helvetica" w:hAnsi="Helvetica"/>
          <w:bCs/>
        </w:rPr>
        <w:t>results</w:t>
      </w:r>
      <w:r w:rsidR="0001586D" w:rsidRPr="00DB10F3">
        <w:rPr>
          <w:rFonts w:ascii="Helvetica" w:hAnsi="Helvetica"/>
          <w:bCs/>
        </w:rPr>
        <w:t xml:space="preserve"> </w:t>
      </w:r>
      <w:r w:rsidR="00D17E5B" w:rsidRPr="00DB10F3">
        <w:rPr>
          <w:rFonts w:ascii="Helvetica" w:hAnsi="Helvetica"/>
          <w:bCs/>
        </w:rPr>
        <w:t xml:space="preserve">compared using the </w:t>
      </w:r>
      <w:r w:rsidR="009744C6" w:rsidRPr="00DB10F3">
        <w:rPr>
          <w:rFonts w:ascii="Helvetica" w:hAnsi="Helvetica"/>
          <w:bCs/>
        </w:rPr>
        <w:t>Z-</w:t>
      </w:r>
      <w:r w:rsidR="00D17E5B" w:rsidRPr="00DB10F3">
        <w:rPr>
          <w:rFonts w:ascii="Helvetica" w:hAnsi="Helvetica"/>
          <w:bCs/>
        </w:rPr>
        <w:t>test</w:t>
      </w:r>
      <w:r w:rsidR="00610A1F" w:rsidRPr="00DB10F3">
        <w:rPr>
          <w:rFonts w:ascii="Helvetica" w:hAnsi="Helvetica"/>
          <w:bCs/>
        </w:rPr>
        <w:t xml:space="preserve">. </w:t>
      </w:r>
      <w:r w:rsidR="00F96AF9" w:rsidRPr="00DB10F3">
        <w:rPr>
          <w:rFonts w:ascii="Helvetica" w:hAnsi="Helvetica"/>
          <w:bCs/>
        </w:rPr>
        <w:t xml:space="preserve">A </w:t>
      </w:r>
      <w:r w:rsidR="00F96AF9" w:rsidRPr="00DB10F3">
        <w:rPr>
          <w:rFonts w:ascii="Helvetica" w:hAnsi="Helvetica"/>
          <w:bCs/>
        </w:rPr>
        <w:lastRenderedPageBreak/>
        <w:t>Kappa score 0.61-0.80 indicate</w:t>
      </w:r>
      <w:r w:rsidR="009330A3" w:rsidRPr="00DB10F3">
        <w:rPr>
          <w:rFonts w:ascii="Helvetica" w:hAnsi="Helvetica"/>
          <w:bCs/>
        </w:rPr>
        <w:t>d</w:t>
      </w:r>
      <w:r w:rsidR="00F96AF9" w:rsidRPr="00DB10F3">
        <w:rPr>
          <w:rFonts w:ascii="Helvetica" w:hAnsi="Helvetica"/>
          <w:bCs/>
        </w:rPr>
        <w:t xml:space="preserve"> substantial agreement and 0.81-1.00 indicate</w:t>
      </w:r>
      <w:r w:rsidR="009330A3" w:rsidRPr="00DB10F3">
        <w:rPr>
          <w:rFonts w:ascii="Helvetica" w:hAnsi="Helvetica"/>
          <w:bCs/>
        </w:rPr>
        <w:t>d</w:t>
      </w:r>
      <w:r w:rsidR="00F96AF9" w:rsidRPr="00DB10F3">
        <w:rPr>
          <w:rFonts w:ascii="Helvetica" w:hAnsi="Helvetica"/>
          <w:bCs/>
        </w:rPr>
        <w:t xml:space="preserve"> near perfect agreement </w:t>
      </w:r>
      <w:r w:rsidR="00F96AF9" w:rsidRPr="00DB10F3">
        <w:rPr>
          <w:rFonts w:ascii="Helvetica" w:hAnsi="Helvetica"/>
          <w:bCs/>
        </w:rPr>
        <w:fldChar w:fldCharType="begin" w:fldLock="1"/>
      </w:r>
      <w:r w:rsidR="00C21329">
        <w:rPr>
          <w:rFonts w:ascii="Helvetica" w:hAnsi="Helvetica"/>
          <w:bCs/>
        </w:rPr>
        <w:instrText>ADDIN CSL_CITATION {"citationItems":[{"id":"ITEM-1","itemData":{"author":[{"dropping-particle":"","family":"Landis, J. R., Koch","given":"G. G.","non-dropping-particle":"","parse-names":false,"suffix":""}],"container-title":"Biometrics","id":"ITEM-1","issued":{"date-parts":[["1977"]]},"page":"159-174","title":"The measurement of observer agreement for categorical data","type":"article-journal","volume":"33"},"uris":["http://www.mendeley.com/documents/?uuid=a8c62d88-fce7-38b8-ad37-030103696a4d"]}],"mendeley":{"formattedCitation":"&lt;sup&gt;25&lt;/sup&gt;","plainTextFormattedCitation":"25","previouslyFormattedCitation":"&lt;sup&gt;25&lt;/sup&gt;"},"properties":{"noteIndex":0},"schema":"https://github.com/citation-style-language/schema/raw/master/csl-citation.json"}</w:instrText>
      </w:r>
      <w:r w:rsidR="00F96AF9" w:rsidRPr="00DB10F3">
        <w:rPr>
          <w:rFonts w:ascii="Helvetica" w:hAnsi="Helvetica"/>
          <w:bCs/>
        </w:rPr>
        <w:fldChar w:fldCharType="separate"/>
      </w:r>
      <w:r w:rsidR="00303EE5" w:rsidRPr="00303EE5">
        <w:rPr>
          <w:rFonts w:ascii="Helvetica" w:hAnsi="Helvetica"/>
          <w:bCs/>
          <w:noProof/>
          <w:vertAlign w:val="superscript"/>
        </w:rPr>
        <w:t>25</w:t>
      </w:r>
      <w:r w:rsidR="00F96AF9" w:rsidRPr="00DB10F3">
        <w:rPr>
          <w:rFonts w:ascii="Helvetica" w:hAnsi="Helvetica"/>
          <w:bCs/>
        </w:rPr>
        <w:fldChar w:fldCharType="end"/>
      </w:r>
      <w:r w:rsidR="00F96AF9" w:rsidRPr="00DB10F3">
        <w:rPr>
          <w:rFonts w:ascii="Helvetica" w:hAnsi="Helvetica"/>
          <w:bCs/>
        </w:rPr>
        <w:t>.</w:t>
      </w:r>
    </w:p>
    <w:p w14:paraId="5F91201A" w14:textId="77777777" w:rsidR="003B27F0" w:rsidRPr="00DB10F3" w:rsidRDefault="003B27F0" w:rsidP="00924E8E">
      <w:pPr>
        <w:spacing w:line="480" w:lineRule="auto"/>
        <w:rPr>
          <w:rFonts w:ascii="Helvetica" w:hAnsi="Helvetica"/>
          <w:bCs/>
        </w:rPr>
      </w:pPr>
    </w:p>
    <w:p w14:paraId="68EC62EA" w14:textId="77777777" w:rsidR="001B35E1" w:rsidRDefault="00AE05C5" w:rsidP="001B35E1">
      <w:pPr>
        <w:spacing w:line="480" w:lineRule="auto"/>
        <w:rPr>
          <w:rFonts w:ascii="Helvetica" w:hAnsi="Helvetica"/>
          <w:bCs/>
        </w:rPr>
      </w:pPr>
      <w:r w:rsidRPr="00DB10F3">
        <w:rPr>
          <w:rFonts w:ascii="Helvetica" w:hAnsi="Helvetica"/>
          <w:bCs/>
        </w:rPr>
        <w:t>P-values &lt;0.05 were considered to be statistically significant. Statistical analysis was performed using IBM SPSS statistics (IBM Corp, IBM SPSS statistics Version 2</w:t>
      </w:r>
      <w:r w:rsidR="006A274B" w:rsidRPr="00DB10F3">
        <w:rPr>
          <w:rFonts w:ascii="Helvetica" w:hAnsi="Helvetica"/>
          <w:bCs/>
        </w:rPr>
        <w:t>8</w:t>
      </w:r>
      <w:r w:rsidRPr="00DB10F3">
        <w:rPr>
          <w:rFonts w:ascii="Helvetica" w:hAnsi="Helvetica"/>
          <w:bCs/>
        </w:rPr>
        <w:t>.0. Armonk, NY: USA) and GraphPad Prism 9 (GraphPad Software Inc., San Diego, CA, USA).</w:t>
      </w:r>
    </w:p>
    <w:p w14:paraId="1F4F4775" w14:textId="77777777" w:rsidR="001B35E1" w:rsidRDefault="001B35E1" w:rsidP="001B35E1">
      <w:pPr>
        <w:spacing w:line="480" w:lineRule="auto"/>
        <w:rPr>
          <w:rFonts w:ascii="Helvetica" w:hAnsi="Helvetica"/>
          <w:bCs/>
        </w:rPr>
      </w:pPr>
    </w:p>
    <w:p w14:paraId="1C117AFE" w14:textId="4F9B9927" w:rsidR="00DC0ECB" w:rsidRPr="00DB10F3" w:rsidRDefault="00DC0ECB" w:rsidP="001B35E1">
      <w:pPr>
        <w:spacing w:line="480" w:lineRule="auto"/>
        <w:rPr>
          <w:rFonts w:ascii="Helvetica" w:hAnsi="Helvetica"/>
          <w:bCs/>
        </w:rPr>
      </w:pPr>
      <w:r w:rsidRPr="00DB10F3">
        <w:rPr>
          <w:rFonts w:ascii="Helvetica" w:hAnsi="Helvetica"/>
          <w:b/>
        </w:rPr>
        <w:t>Results</w:t>
      </w:r>
    </w:p>
    <w:p w14:paraId="55F14555" w14:textId="23FDB7AE" w:rsidR="00F33A21" w:rsidRPr="00DB10F3" w:rsidRDefault="00F33A21" w:rsidP="00F33A21">
      <w:pPr>
        <w:spacing w:line="480" w:lineRule="auto"/>
        <w:rPr>
          <w:rFonts w:ascii="Helvetica" w:hAnsi="Helvetica"/>
          <w:bCs/>
        </w:rPr>
      </w:pPr>
      <w:r w:rsidRPr="00DB10F3">
        <w:rPr>
          <w:rFonts w:ascii="Helvetica" w:hAnsi="Helvetica"/>
          <w:b/>
          <w:i/>
          <w:iCs/>
        </w:rPr>
        <w:t>Patient and treatment characteristics</w:t>
      </w:r>
    </w:p>
    <w:p w14:paraId="2AE8DD20" w14:textId="044F57DF" w:rsidR="002E65A2" w:rsidRPr="00DB10F3" w:rsidRDefault="0096716D" w:rsidP="00924E8E">
      <w:pPr>
        <w:spacing w:line="480" w:lineRule="auto"/>
        <w:rPr>
          <w:rFonts w:ascii="Helvetica" w:hAnsi="Helvetica"/>
          <w:bCs/>
        </w:rPr>
      </w:pPr>
      <w:r w:rsidRPr="00DB10F3">
        <w:rPr>
          <w:rFonts w:ascii="Helvetica" w:hAnsi="Helvetica"/>
          <w:bCs/>
        </w:rPr>
        <w:t xml:space="preserve">In total, 17,930 </w:t>
      </w:r>
      <w:r w:rsidR="00EF5F5D" w:rsidRPr="00DB10F3">
        <w:rPr>
          <w:rFonts w:ascii="Helvetica" w:hAnsi="Helvetica"/>
          <w:bCs/>
        </w:rPr>
        <w:t>LN</w:t>
      </w:r>
      <w:r w:rsidRPr="00DB10F3">
        <w:rPr>
          <w:rFonts w:ascii="Helvetica" w:hAnsi="Helvetica"/>
          <w:bCs/>
        </w:rPr>
        <w:t>s from 763 patients were analysed</w:t>
      </w:r>
      <w:r w:rsidR="00115E01" w:rsidRPr="00DB10F3">
        <w:rPr>
          <w:rFonts w:ascii="Helvetica" w:hAnsi="Helvetica"/>
          <w:bCs/>
        </w:rPr>
        <w:t xml:space="preserve"> (</w:t>
      </w:r>
      <w:r w:rsidR="00115E01" w:rsidRPr="00DB10F3">
        <w:rPr>
          <w:rFonts w:ascii="Helvetica" w:hAnsi="Helvetica"/>
          <w:bCs/>
          <w:i/>
          <w:iCs/>
        </w:rPr>
        <w:t xml:space="preserve">Table </w:t>
      </w:r>
      <w:r w:rsidR="00822B27" w:rsidRPr="00DB10F3">
        <w:rPr>
          <w:rFonts w:ascii="Helvetica" w:hAnsi="Helvetica"/>
          <w:bCs/>
          <w:i/>
          <w:iCs/>
        </w:rPr>
        <w:t>2</w:t>
      </w:r>
      <w:r w:rsidR="00115E01" w:rsidRPr="00DB10F3">
        <w:rPr>
          <w:rFonts w:ascii="Helvetica" w:hAnsi="Helvetica"/>
          <w:bCs/>
        </w:rPr>
        <w:t>)</w:t>
      </w:r>
      <w:r w:rsidR="002E65A2" w:rsidRPr="00DB10F3">
        <w:rPr>
          <w:rFonts w:ascii="Helvetica" w:hAnsi="Helvetica"/>
          <w:bCs/>
        </w:rPr>
        <w:t>. M</w:t>
      </w:r>
      <w:r w:rsidR="00E25F87" w:rsidRPr="00DB10F3">
        <w:rPr>
          <w:rFonts w:ascii="Helvetica" w:hAnsi="Helvetica"/>
          <w:bCs/>
        </w:rPr>
        <w:t>edian</w:t>
      </w:r>
      <w:r w:rsidR="002E65A2" w:rsidRPr="00DB10F3">
        <w:rPr>
          <w:rFonts w:ascii="Helvetica" w:hAnsi="Helvetica"/>
          <w:bCs/>
        </w:rPr>
        <w:t xml:space="preserve"> age was 63 years</w:t>
      </w:r>
      <w:r w:rsidR="00EF5F5D" w:rsidRPr="00DB10F3">
        <w:rPr>
          <w:rFonts w:ascii="Helvetica" w:hAnsi="Helvetica"/>
          <w:bCs/>
        </w:rPr>
        <w:t>,</w:t>
      </w:r>
      <w:r w:rsidR="002E65A2" w:rsidRPr="00DB10F3">
        <w:rPr>
          <w:rFonts w:ascii="Helvetica" w:hAnsi="Helvetica"/>
          <w:bCs/>
        </w:rPr>
        <w:t xml:space="preserve"> and the majority were male (n=</w:t>
      </w:r>
      <w:r w:rsidR="00F33A21" w:rsidRPr="00DB10F3">
        <w:rPr>
          <w:rFonts w:ascii="Helvetica" w:hAnsi="Helvetica"/>
          <w:bCs/>
        </w:rPr>
        <w:t>658, 86.2%).</w:t>
      </w:r>
      <w:r w:rsidR="002E65A2" w:rsidRPr="00DB10F3">
        <w:rPr>
          <w:rFonts w:ascii="Helvetica" w:hAnsi="Helvetica"/>
          <w:bCs/>
        </w:rPr>
        <w:t xml:space="preserve"> </w:t>
      </w:r>
      <w:r w:rsidR="00F33A21" w:rsidRPr="00DB10F3">
        <w:rPr>
          <w:rFonts w:ascii="Helvetica" w:hAnsi="Helvetica"/>
          <w:bCs/>
        </w:rPr>
        <w:t xml:space="preserve">Most patients received </w:t>
      </w:r>
      <w:r w:rsidR="00850628">
        <w:rPr>
          <w:rFonts w:ascii="Helvetica" w:hAnsi="Helvetica"/>
          <w:bCs/>
        </w:rPr>
        <w:t>MAGIC</w:t>
      </w:r>
      <w:r w:rsidR="00F33A21" w:rsidRPr="00DB10F3">
        <w:rPr>
          <w:rFonts w:ascii="Helvetica" w:hAnsi="Helvetica"/>
          <w:bCs/>
        </w:rPr>
        <w:t xml:space="preserve"> chemotherapy</w:t>
      </w:r>
      <w:r w:rsidR="00E979F4" w:rsidRPr="00DB10F3">
        <w:rPr>
          <w:rFonts w:ascii="Helvetica" w:hAnsi="Helvetica"/>
          <w:bCs/>
        </w:rPr>
        <w:t xml:space="preserve"> (n=595, 78.0%)</w:t>
      </w:r>
      <w:r w:rsidR="00EF7B3C" w:rsidRPr="00DB10F3">
        <w:rPr>
          <w:rFonts w:ascii="Helvetica" w:hAnsi="Helvetica"/>
          <w:bCs/>
        </w:rPr>
        <w:t xml:space="preserve">, although some </w:t>
      </w:r>
      <w:r w:rsidR="00E979F4" w:rsidRPr="00DB10F3">
        <w:rPr>
          <w:rFonts w:ascii="Helvetica" w:hAnsi="Helvetica"/>
          <w:bCs/>
        </w:rPr>
        <w:t>receiv</w:t>
      </w:r>
      <w:r w:rsidR="00EF7B3C" w:rsidRPr="00DB10F3">
        <w:rPr>
          <w:rFonts w:ascii="Helvetica" w:hAnsi="Helvetica"/>
          <w:bCs/>
        </w:rPr>
        <w:t>ed</w:t>
      </w:r>
      <w:r w:rsidR="00E979F4" w:rsidRPr="00DB10F3">
        <w:rPr>
          <w:rFonts w:ascii="Helvetica" w:hAnsi="Helvetica"/>
          <w:bCs/>
        </w:rPr>
        <w:t xml:space="preserve"> FLOT (n=89, 11.7%), </w:t>
      </w:r>
      <w:r w:rsidR="00850628">
        <w:rPr>
          <w:rFonts w:ascii="Helvetica" w:hAnsi="Helvetica"/>
          <w:bCs/>
        </w:rPr>
        <w:t>OEO2</w:t>
      </w:r>
      <w:r w:rsidR="00E979F4" w:rsidRPr="00DB10F3">
        <w:rPr>
          <w:rFonts w:ascii="Helvetica" w:hAnsi="Helvetica"/>
          <w:bCs/>
        </w:rPr>
        <w:t xml:space="preserve"> </w:t>
      </w:r>
      <w:r w:rsidR="00EF5F5D" w:rsidRPr="00DB10F3">
        <w:rPr>
          <w:rFonts w:ascii="Helvetica" w:hAnsi="Helvetica"/>
          <w:bCs/>
        </w:rPr>
        <w:t>chemo</w:t>
      </w:r>
      <w:r w:rsidR="00E979F4" w:rsidRPr="00DB10F3">
        <w:rPr>
          <w:rFonts w:ascii="Helvetica" w:hAnsi="Helvetica"/>
          <w:bCs/>
        </w:rPr>
        <w:t xml:space="preserve">therapy (n=66, 8.7%) or alternative regimens (n=13, 1.7%). </w:t>
      </w:r>
      <w:r w:rsidR="00EF5F5D" w:rsidRPr="00DB10F3">
        <w:rPr>
          <w:rFonts w:ascii="Helvetica" w:hAnsi="Helvetica"/>
          <w:bCs/>
        </w:rPr>
        <w:t>The</w:t>
      </w:r>
      <w:r w:rsidR="00E979F4" w:rsidRPr="00DB10F3">
        <w:rPr>
          <w:rFonts w:ascii="Helvetica" w:hAnsi="Helvetica"/>
          <w:bCs/>
        </w:rPr>
        <w:t xml:space="preserve"> majority of patients underwent trans</w:t>
      </w:r>
      <w:r w:rsidR="004E08CA" w:rsidRPr="00DB10F3">
        <w:rPr>
          <w:rFonts w:ascii="Helvetica" w:hAnsi="Helvetica"/>
          <w:bCs/>
        </w:rPr>
        <w:t>-</w:t>
      </w:r>
      <w:r w:rsidR="00E979F4" w:rsidRPr="00DB10F3">
        <w:rPr>
          <w:rFonts w:ascii="Helvetica" w:hAnsi="Helvetica"/>
          <w:bCs/>
        </w:rPr>
        <w:t>thoracic esophagectomy</w:t>
      </w:r>
      <w:r w:rsidR="00152F8C" w:rsidRPr="00DB10F3">
        <w:rPr>
          <w:rFonts w:ascii="Helvetica" w:hAnsi="Helvetica"/>
          <w:bCs/>
        </w:rPr>
        <w:t xml:space="preserve"> (n=557, 73.0%) with the remainder undergoing trans-hiatal esophagectomy (n=179, 23.5%) or extended total gastrectomy (n=27, 3.5%).</w:t>
      </w:r>
      <w:r w:rsidR="008A03F5" w:rsidRPr="00DB10F3">
        <w:rPr>
          <w:rFonts w:ascii="Helvetica" w:hAnsi="Helvetica"/>
          <w:bCs/>
        </w:rPr>
        <w:t xml:space="preserve"> </w:t>
      </w:r>
    </w:p>
    <w:p w14:paraId="542165F6" w14:textId="77777777" w:rsidR="00DC0ECB" w:rsidRPr="00DB10F3" w:rsidRDefault="00DC0ECB" w:rsidP="00924E8E">
      <w:pPr>
        <w:spacing w:line="480" w:lineRule="auto"/>
        <w:rPr>
          <w:rFonts w:ascii="Helvetica" w:hAnsi="Helvetica"/>
          <w:bCs/>
        </w:rPr>
      </w:pPr>
    </w:p>
    <w:p w14:paraId="31FFA941" w14:textId="77777777" w:rsidR="009744C6" w:rsidRPr="00DB10F3" w:rsidRDefault="009744C6" w:rsidP="009744C6">
      <w:pPr>
        <w:spacing w:line="480" w:lineRule="auto"/>
        <w:rPr>
          <w:rFonts w:ascii="Helvetica" w:hAnsi="Helvetica"/>
          <w:b/>
          <w:i/>
          <w:iCs/>
        </w:rPr>
      </w:pPr>
      <w:r w:rsidRPr="00DB10F3">
        <w:rPr>
          <w:rFonts w:ascii="Helvetica" w:hAnsi="Helvetica"/>
          <w:b/>
          <w:i/>
          <w:iCs/>
        </w:rPr>
        <w:t>Classification of lymph node response</w:t>
      </w:r>
    </w:p>
    <w:p w14:paraId="247246C7" w14:textId="27842CDE" w:rsidR="004E08CA" w:rsidRPr="00DB10F3" w:rsidRDefault="004E08CA" w:rsidP="004E08CA">
      <w:pPr>
        <w:spacing w:line="480" w:lineRule="auto"/>
        <w:rPr>
          <w:rFonts w:ascii="Helvetica" w:hAnsi="Helvetica"/>
          <w:bCs/>
        </w:rPr>
      </w:pPr>
      <w:r w:rsidRPr="00DB10F3">
        <w:rPr>
          <w:rFonts w:ascii="Helvetica" w:hAnsi="Helvetica"/>
          <w:bCs/>
        </w:rPr>
        <w:t xml:space="preserve">The prognostic ability of several different </w:t>
      </w:r>
      <w:r w:rsidR="00EF5F5D" w:rsidRPr="00DB10F3">
        <w:rPr>
          <w:rFonts w:ascii="Helvetica" w:hAnsi="Helvetica"/>
          <w:bCs/>
        </w:rPr>
        <w:t>LN</w:t>
      </w:r>
      <w:r w:rsidRPr="00DB10F3">
        <w:rPr>
          <w:rFonts w:ascii="Helvetica" w:hAnsi="Helvetica"/>
          <w:bCs/>
        </w:rPr>
        <w:t xml:space="preserve"> response </w:t>
      </w:r>
      <w:r w:rsidR="009330A3" w:rsidRPr="00DB10F3">
        <w:rPr>
          <w:rFonts w:ascii="Helvetica" w:hAnsi="Helvetica"/>
          <w:bCs/>
        </w:rPr>
        <w:t xml:space="preserve">classifications </w:t>
      </w:r>
      <w:r w:rsidRPr="00DB10F3">
        <w:rPr>
          <w:rFonts w:ascii="Helvetica" w:hAnsi="Helvetica"/>
          <w:bCs/>
        </w:rPr>
        <w:t>to predict survival wer</w:t>
      </w:r>
      <w:r w:rsidR="00EF7B3C" w:rsidRPr="00DB10F3">
        <w:rPr>
          <w:rFonts w:ascii="Helvetica" w:hAnsi="Helvetica"/>
          <w:bCs/>
        </w:rPr>
        <w:t>e</w:t>
      </w:r>
      <w:r w:rsidRPr="00DB10F3">
        <w:rPr>
          <w:rFonts w:ascii="Helvetica" w:hAnsi="Helvetica"/>
          <w:bCs/>
        </w:rPr>
        <w:t xml:space="preserve"> evaluated (</w:t>
      </w:r>
      <w:r w:rsidRPr="00DB10F3">
        <w:rPr>
          <w:rFonts w:ascii="Helvetica" w:hAnsi="Helvetica"/>
          <w:bCs/>
          <w:i/>
          <w:iCs/>
        </w:rPr>
        <w:t xml:space="preserve">Table </w:t>
      </w:r>
      <w:r w:rsidR="00822B27" w:rsidRPr="00DB10F3">
        <w:rPr>
          <w:rFonts w:ascii="Helvetica" w:hAnsi="Helvetica"/>
          <w:bCs/>
          <w:i/>
          <w:iCs/>
        </w:rPr>
        <w:t>1</w:t>
      </w:r>
      <w:r w:rsidRPr="00DB10F3">
        <w:rPr>
          <w:rFonts w:ascii="Helvetica" w:hAnsi="Helvetica"/>
          <w:bCs/>
        </w:rPr>
        <w:t>). The performance of all classifications was relatively similar</w:t>
      </w:r>
      <w:r w:rsidR="00D64375" w:rsidRPr="00DB10F3">
        <w:rPr>
          <w:rFonts w:ascii="Helvetica" w:hAnsi="Helvetica"/>
          <w:bCs/>
        </w:rPr>
        <w:t>, h</w:t>
      </w:r>
      <w:r w:rsidRPr="00DB10F3">
        <w:rPr>
          <w:rFonts w:ascii="Helvetica" w:hAnsi="Helvetica"/>
          <w:bCs/>
        </w:rPr>
        <w:t xml:space="preserve">owever, </w:t>
      </w:r>
      <w:r w:rsidR="00345D6C">
        <w:rPr>
          <w:rFonts w:ascii="Helvetica" w:hAnsi="Helvetica"/>
          <w:bCs/>
        </w:rPr>
        <w:t xml:space="preserve">the discriminatory ability of </w:t>
      </w:r>
      <w:r w:rsidRPr="00DB10F3">
        <w:rPr>
          <w:rFonts w:ascii="Helvetica" w:hAnsi="Helvetica"/>
          <w:bCs/>
        </w:rPr>
        <w:t>one classification was slightly superior</w:t>
      </w:r>
      <w:r w:rsidR="00345D6C">
        <w:rPr>
          <w:rFonts w:ascii="Helvetica" w:hAnsi="Helvetica"/>
          <w:bCs/>
        </w:rPr>
        <w:t xml:space="preserve"> when evaluat</w:t>
      </w:r>
      <w:r w:rsidR="003B1A12">
        <w:rPr>
          <w:rFonts w:ascii="Helvetica" w:hAnsi="Helvetica"/>
          <w:bCs/>
        </w:rPr>
        <w:t>ed</w:t>
      </w:r>
      <w:r w:rsidR="00345D6C">
        <w:rPr>
          <w:rFonts w:ascii="Helvetica" w:hAnsi="Helvetica"/>
          <w:bCs/>
        </w:rPr>
        <w:t xml:space="preserve"> using both </w:t>
      </w:r>
      <w:r w:rsidR="00DB2184">
        <w:rPr>
          <w:rFonts w:ascii="Helvetica" w:hAnsi="Helvetica"/>
          <w:bCs/>
        </w:rPr>
        <w:t xml:space="preserve">AIC and </w:t>
      </w:r>
      <w:r w:rsidR="00345D6C">
        <w:rPr>
          <w:rFonts w:ascii="Helvetica" w:hAnsi="Helvetica"/>
          <w:bCs/>
        </w:rPr>
        <w:t>Harrell’s C-index</w:t>
      </w:r>
      <w:r w:rsidRPr="00DB10F3">
        <w:rPr>
          <w:rFonts w:ascii="Helvetica" w:hAnsi="Helvetica"/>
          <w:bCs/>
        </w:rPr>
        <w:t xml:space="preserve">. This system classified </w:t>
      </w:r>
      <w:r w:rsidR="00EF5F5D" w:rsidRPr="00DB10F3">
        <w:rPr>
          <w:rFonts w:ascii="Helvetica" w:hAnsi="Helvetica"/>
          <w:bCs/>
        </w:rPr>
        <w:t>LN</w:t>
      </w:r>
      <w:r w:rsidRPr="00DB10F3">
        <w:rPr>
          <w:rFonts w:ascii="Helvetica" w:hAnsi="Helvetica"/>
          <w:bCs/>
        </w:rPr>
        <w:t xml:space="preserve"> regression by best responding </w:t>
      </w:r>
      <w:r w:rsidR="00EF5F5D" w:rsidRPr="00DB10F3">
        <w:rPr>
          <w:rFonts w:ascii="Helvetica" w:hAnsi="Helvetica"/>
          <w:bCs/>
        </w:rPr>
        <w:t>LN</w:t>
      </w:r>
      <w:r w:rsidRPr="00DB10F3">
        <w:rPr>
          <w:rFonts w:ascii="Helvetica" w:hAnsi="Helvetica"/>
          <w:bCs/>
        </w:rPr>
        <w:t xml:space="preserve"> </w:t>
      </w:r>
      <w:r w:rsidRPr="00DB10F3">
        <w:rPr>
          <w:rFonts w:ascii="Helvetica" w:hAnsi="Helvetica"/>
          <w:bCs/>
        </w:rPr>
        <w:lastRenderedPageBreak/>
        <w:t xml:space="preserve">into </w:t>
      </w:r>
      <w:r w:rsidRPr="00DB10F3">
        <w:rPr>
          <w:rFonts w:ascii="Helvetica" w:hAnsi="Helvetica"/>
          <w:bCs/>
          <w:i/>
          <w:iCs/>
        </w:rPr>
        <w:t xml:space="preserve">complete </w:t>
      </w:r>
      <w:r w:rsidR="00D60BBD" w:rsidRPr="00DB10F3">
        <w:rPr>
          <w:rFonts w:ascii="Helvetica" w:hAnsi="Helvetica"/>
          <w:bCs/>
          <w:i/>
          <w:iCs/>
        </w:rPr>
        <w:t xml:space="preserve">LN </w:t>
      </w:r>
      <w:r w:rsidRPr="00DB10F3">
        <w:rPr>
          <w:rFonts w:ascii="Helvetica" w:hAnsi="Helvetica"/>
          <w:bCs/>
          <w:i/>
          <w:iCs/>
        </w:rPr>
        <w:t>response</w:t>
      </w:r>
      <w:r w:rsidRPr="00DB10F3">
        <w:rPr>
          <w:rFonts w:ascii="Helvetica" w:hAnsi="Helvetica"/>
          <w:bCs/>
        </w:rPr>
        <w:t xml:space="preserve"> (LNRS 1 in at least one </w:t>
      </w:r>
      <w:r w:rsidR="00CF20AD" w:rsidRPr="00DB10F3">
        <w:rPr>
          <w:rFonts w:ascii="Helvetica" w:hAnsi="Helvetica"/>
          <w:bCs/>
        </w:rPr>
        <w:t>LN</w:t>
      </w:r>
      <w:r w:rsidRPr="00DB10F3">
        <w:rPr>
          <w:rFonts w:ascii="Helvetica" w:hAnsi="Helvetica"/>
          <w:bCs/>
        </w:rPr>
        <w:t xml:space="preserve">, no residual </w:t>
      </w:r>
      <w:proofErr w:type="spellStart"/>
      <w:r w:rsidR="0019785E">
        <w:rPr>
          <w:rFonts w:ascii="Helvetica" w:hAnsi="Helvetica"/>
          <w:bCs/>
        </w:rPr>
        <w:t>tumor</w:t>
      </w:r>
      <w:proofErr w:type="spellEnd"/>
      <w:r w:rsidRPr="00DB10F3">
        <w:rPr>
          <w:rFonts w:ascii="Helvetica" w:hAnsi="Helvetica"/>
          <w:bCs/>
        </w:rPr>
        <w:t xml:space="preserve"> in any </w:t>
      </w:r>
      <w:r w:rsidR="00CF20AD" w:rsidRPr="00DB10F3">
        <w:rPr>
          <w:rFonts w:ascii="Helvetica" w:hAnsi="Helvetica"/>
          <w:bCs/>
        </w:rPr>
        <w:t>LN</w:t>
      </w:r>
      <w:r w:rsidRPr="00DB10F3">
        <w:rPr>
          <w:rFonts w:ascii="Helvetica" w:hAnsi="Helvetica"/>
          <w:bCs/>
        </w:rPr>
        <w:t xml:space="preserve">), </w:t>
      </w:r>
      <w:r w:rsidRPr="00DB10F3">
        <w:rPr>
          <w:rFonts w:ascii="Helvetica" w:hAnsi="Helvetica"/>
          <w:bCs/>
          <w:i/>
          <w:iCs/>
        </w:rPr>
        <w:t xml:space="preserve">partial </w:t>
      </w:r>
      <w:r w:rsidR="00D60BBD" w:rsidRPr="00DB10F3">
        <w:rPr>
          <w:rFonts w:ascii="Helvetica" w:hAnsi="Helvetica"/>
          <w:bCs/>
          <w:i/>
          <w:iCs/>
        </w:rPr>
        <w:t xml:space="preserve">LN </w:t>
      </w:r>
      <w:r w:rsidRPr="00DB10F3">
        <w:rPr>
          <w:rFonts w:ascii="Helvetica" w:hAnsi="Helvetica"/>
          <w:bCs/>
          <w:i/>
          <w:iCs/>
        </w:rPr>
        <w:t>response</w:t>
      </w:r>
      <w:r w:rsidRPr="00DB10F3">
        <w:rPr>
          <w:rFonts w:ascii="Helvetica" w:hAnsi="Helvetica"/>
          <w:bCs/>
        </w:rPr>
        <w:t xml:space="preserve"> (LNRS 1-3 in any </w:t>
      </w:r>
      <w:r w:rsidR="00CF20AD" w:rsidRPr="00DB10F3">
        <w:rPr>
          <w:rFonts w:ascii="Helvetica" w:hAnsi="Helvetica"/>
          <w:bCs/>
        </w:rPr>
        <w:t>LN</w:t>
      </w:r>
      <w:r w:rsidRPr="00DB10F3">
        <w:rPr>
          <w:rFonts w:ascii="Helvetica" w:hAnsi="Helvetica"/>
          <w:bCs/>
        </w:rPr>
        <w:t xml:space="preserve">, residual </w:t>
      </w:r>
      <w:proofErr w:type="spellStart"/>
      <w:r w:rsidR="0019785E">
        <w:rPr>
          <w:rFonts w:ascii="Helvetica" w:hAnsi="Helvetica"/>
          <w:bCs/>
        </w:rPr>
        <w:t>tumor</w:t>
      </w:r>
      <w:proofErr w:type="spellEnd"/>
      <w:r w:rsidRPr="00DB10F3">
        <w:rPr>
          <w:rFonts w:ascii="Helvetica" w:hAnsi="Helvetica"/>
          <w:bCs/>
        </w:rPr>
        <w:t xml:space="preserve"> in at least one </w:t>
      </w:r>
      <w:r w:rsidR="00CF20AD" w:rsidRPr="00DB10F3">
        <w:rPr>
          <w:rFonts w:ascii="Helvetica" w:hAnsi="Helvetica"/>
          <w:bCs/>
        </w:rPr>
        <w:t>LN</w:t>
      </w:r>
      <w:r w:rsidRPr="00DB10F3">
        <w:rPr>
          <w:rFonts w:ascii="Helvetica" w:hAnsi="Helvetica"/>
          <w:bCs/>
        </w:rPr>
        <w:t xml:space="preserve">) and </w:t>
      </w:r>
      <w:r w:rsidR="00D60BBD" w:rsidRPr="00DB10F3">
        <w:rPr>
          <w:rFonts w:ascii="Helvetica" w:hAnsi="Helvetica"/>
          <w:bCs/>
          <w:i/>
          <w:iCs/>
        </w:rPr>
        <w:t>poor/</w:t>
      </w:r>
      <w:r w:rsidRPr="00DB10F3">
        <w:rPr>
          <w:rFonts w:ascii="Helvetica" w:hAnsi="Helvetica"/>
          <w:bCs/>
          <w:i/>
          <w:iCs/>
        </w:rPr>
        <w:t xml:space="preserve">no </w:t>
      </w:r>
      <w:r w:rsidR="00D60BBD" w:rsidRPr="00DB10F3">
        <w:rPr>
          <w:rFonts w:ascii="Helvetica" w:hAnsi="Helvetica"/>
          <w:bCs/>
          <w:i/>
          <w:iCs/>
        </w:rPr>
        <w:t xml:space="preserve">LN </w:t>
      </w:r>
      <w:r w:rsidRPr="00DB10F3">
        <w:rPr>
          <w:rFonts w:ascii="Helvetica" w:hAnsi="Helvetica"/>
          <w:bCs/>
          <w:i/>
          <w:iCs/>
        </w:rPr>
        <w:t>response</w:t>
      </w:r>
      <w:r w:rsidRPr="00DB10F3">
        <w:rPr>
          <w:rFonts w:ascii="Helvetica" w:hAnsi="Helvetica"/>
          <w:bCs/>
        </w:rPr>
        <w:t xml:space="preserve"> (LNRS 4-5). Based on its high C-index</w:t>
      </w:r>
      <w:r w:rsidR="00345D6C">
        <w:rPr>
          <w:rFonts w:ascii="Helvetica" w:hAnsi="Helvetica"/>
          <w:bCs/>
        </w:rPr>
        <w:t xml:space="preserve"> and low AIC</w:t>
      </w:r>
      <w:r w:rsidRPr="00DB10F3">
        <w:rPr>
          <w:rFonts w:ascii="Helvetica" w:hAnsi="Helvetica"/>
          <w:bCs/>
        </w:rPr>
        <w:t xml:space="preserve"> combined with its relative simplicity compared to</w:t>
      </w:r>
      <w:r w:rsidR="009330A3" w:rsidRPr="00DB10F3">
        <w:rPr>
          <w:rFonts w:ascii="Helvetica" w:hAnsi="Helvetica"/>
          <w:bCs/>
        </w:rPr>
        <w:t xml:space="preserve"> </w:t>
      </w:r>
      <w:r w:rsidRPr="00DB10F3">
        <w:rPr>
          <w:rFonts w:ascii="Helvetica" w:hAnsi="Helvetica"/>
          <w:bCs/>
        </w:rPr>
        <w:t>alternative</w:t>
      </w:r>
      <w:r w:rsidR="009330A3" w:rsidRPr="00DB10F3">
        <w:rPr>
          <w:rFonts w:ascii="Helvetica" w:hAnsi="Helvetica"/>
          <w:bCs/>
        </w:rPr>
        <w:t xml:space="preserve"> classifications, </w:t>
      </w:r>
      <w:r w:rsidRPr="00DB10F3">
        <w:rPr>
          <w:rFonts w:ascii="Helvetica" w:hAnsi="Helvetica"/>
          <w:bCs/>
        </w:rPr>
        <w:t>potentially improving reproducibility and supporting</w:t>
      </w:r>
      <w:r w:rsidR="0001586D" w:rsidRPr="00DB10F3">
        <w:rPr>
          <w:rFonts w:ascii="Helvetica" w:hAnsi="Helvetica"/>
          <w:bCs/>
        </w:rPr>
        <w:t xml:space="preserve"> </w:t>
      </w:r>
      <w:r w:rsidRPr="00DB10F3">
        <w:rPr>
          <w:rFonts w:ascii="Helvetica" w:hAnsi="Helvetica"/>
          <w:bCs/>
        </w:rPr>
        <w:t>implementation in clinical practice, this classification system was used for analysis.</w:t>
      </w:r>
    </w:p>
    <w:p w14:paraId="5998F71E" w14:textId="77777777" w:rsidR="001B35E1" w:rsidRDefault="001B35E1" w:rsidP="001B35E1">
      <w:pPr>
        <w:spacing w:line="480" w:lineRule="auto"/>
        <w:rPr>
          <w:rFonts w:ascii="Helvetica" w:hAnsi="Helvetica"/>
          <w:b/>
          <w:i/>
          <w:iCs/>
        </w:rPr>
      </w:pPr>
    </w:p>
    <w:p w14:paraId="4B0567D7" w14:textId="12F19976" w:rsidR="00DC0ECB" w:rsidRPr="00DB10F3" w:rsidRDefault="00DC0ECB" w:rsidP="001B35E1">
      <w:pPr>
        <w:spacing w:line="480" w:lineRule="auto"/>
        <w:rPr>
          <w:rFonts w:ascii="Helvetica" w:hAnsi="Helvetica"/>
          <w:b/>
          <w:i/>
          <w:iCs/>
        </w:rPr>
      </w:pPr>
      <w:r w:rsidRPr="00DB10F3">
        <w:rPr>
          <w:rFonts w:ascii="Helvetica" w:hAnsi="Helvetica"/>
          <w:b/>
          <w:i/>
          <w:iCs/>
        </w:rPr>
        <w:t xml:space="preserve">Pathological </w:t>
      </w:r>
      <w:r w:rsidR="00BB35BD" w:rsidRPr="00DB10F3">
        <w:rPr>
          <w:rFonts w:ascii="Helvetica" w:hAnsi="Helvetica"/>
          <w:b/>
          <w:i/>
          <w:iCs/>
        </w:rPr>
        <w:t>characteristics</w:t>
      </w:r>
    </w:p>
    <w:p w14:paraId="2C858C5C" w14:textId="2B238F48" w:rsidR="008A03F5" w:rsidRPr="00DB10F3" w:rsidRDefault="002D54F8" w:rsidP="001B35E1">
      <w:pPr>
        <w:spacing w:line="480" w:lineRule="auto"/>
        <w:rPr>
          <w:rFonts w:ascii="Helvetica" w:hAnsi="Helvetica"/>
          <w:bCs/>
        </w:rPr>
      </w:pPr>
      <w:r w:rsidRPr="00DB10F3">
        <w:rPr>
          <w:rFonts w:ascii="Helvetica" w:hAnsi="Helvetica"/>
          <w:bCs/>
        </w:rPr>
        <w:t xml:space="preserve">Overall, </w:t>
      </w:r>
      <w:r w:rsidR="00B55815" w:rsidRPr="00DB10F3">
        <w:rPr>
          <w:rFonts w:ascii="Helvetica" w:hAnsi="Helvetica"/>
          <w:bCs/>
        </w:rPr>
        <w:t>217</w:t>
      </w:r>
      <w:r w:rsidR="00822B27" w:rsidRPr="00DB10F3">
        <w:rPr>
          <w:rFonts w:ascii="Helvetica" w:hAnsi="Helvetica"/>
          <w:bCs/>
        </w:rPr>
        <w:t xml:space="preserve"> out of </w:t>
      </w:r>
      <w:r w:rsidR="00B55815" w:rsidRPr="00DB10F3">
        <w:rPr>
          <w:rFonts w:ascii="Helvetica" w:hAnsi="Helvetica"/>
          <w:bCs/>
        </w:rPr>
        <w:t>763 patients (28.</w:t>
      </w:r>
      <w:r w:rsidR="004C56A5" w:rsidRPr="00DB10F3">
        <w:rPr>
          <w:rFonts w:ascii="Helvetica" w:hAnsi="Helvetica"/>
          <w:bCs/>
        </w:rPr>
        <w:t>5</w:t>
      </w:r>
      <w:r w:rsidR="00B55815" w:rsidRPr="00DB10F3">
        <w:rPr>
          <w:rFonts w:ascii="Helvetica" w:hAnsi="Helvetica"/>
          <w:bCs/>
        </w:rPr>
        <w:t xml:space="preserve">%) demonstrated a pathological </w:t>
      </w:r>
      <w:r w:rsidR="00EF5F5D" w:rsidRPr="00DB10F3">
        <w:rPr>
          <w:rFonts w:ascii="Helvetica" w:hAnsi="Helvetica"/>
          <w:bCs/>
        </w:rPr>
        <w:t>LN</w:t>
      </w:r>
      <w:r w:rsidR="00B55815" w:rsidRPr="00DB10F3">
        <w:rPr>
          <w:rFonts w:ascii="Helvetica" w:hAnsi="Helvetica"/>
          <w:bCs/>
        </w:rPr>
        <w:t xml:space="preserve"> response</w:t>
      </w:r>
      <w:r w:rsidR="003C27E2" w:rsidRPr="00DB10F3">
        <w:rPr>
          <w:rFonts w:ascii="Helvetica" w:hAnsi="Helvetica"/>
          <w:bCs/>
        </w:rPr>
        <w:t xml:space="preserve"> (</w:t>
      </w:r>
      <w:r w:rsidR="00A27AFA" w:rsidRPr="00DB10F3">
        <w:rPr>
          <w:rFonts w:ascii="Helvetica" w:hAnsi="Helvetica"/>
          <w:bCs/>
          <w:i/>
          <w:iCs/>
        </w:rPr>
        <w:t>t</w:t>
      </w:r>
      <w:r w:rsidR="003C27E2" w:rsidRPr="00DB10F3">
        <w:rPr>
          <w:rFonts w:ascii="Helvetica" w:hAnsi="Helvetica"/>
          <w:bCs/>
          <w:i/>
          <w:iCs/>
        </w:rPr>
        <w:t xml:space="preserve">able </w:t>
      </w:r>
      <w:r w:rsidR="00A27AFA" w:rsidRPr="00DB10F3">
        <w:rPr>
          <w:rFonts w:ascii="Helvetica" w:hAnsi="Helvetica"/>
          <w:bCs/>
          <w:i/>
          <w:iCs/>
        </w:rPr>
        <w:t>2</w:t>
      </w:r>
      <w:r w:rsidR="004C56A5" w:rsidRPr="00DB10F3">
        <w:rPr>
          <w:rFonts w:ascii="Helvetica" w:hAnsi="Helvetica"/>
          <w:bCs/>
          <w:i/>
          <w:iCs/>
        </w:rPr>
        <w:t xml:space="preserve">, Supplementary </w:t>
      </w:r>
      <w:r w:rsidR="00A27AFA" w:rsidRPr="00DB10F3">
        <w:rPr>
          <w:rFonts w:ascii="Helvetica" w:hAnsi="Helvetica"/>
          <w:bCs/>
          <w:i/>
          <w:iCs/>
        </w:rPr>
        <w:t>F</w:t>
      </w:r>
      <w:r w:rsidR="004C56A5" w:rsidRPr="00DB10F3">
        <w:rPr>
          <w:rFonts w:ascii="Helvetica" w:hAnsi="Helvetica"/>
          <w:bCs/>
          <w:i/>
          <w:iCs/>
        </w:rPr>
        <w:t>igure 1</w:t>
      </w:r>
      <w:r w:rsidR="003C27E2" w:rsidRPr="00DB10F3">
        <w:rPr>
          <w:rFonts w:ascii="Helvetica" w:hAnsi="Helvetica"/>
          <w:bCs/>
        </w:rPr>
        <w:t>)</w:t>
      </w:r>
      <w:r w:rsidR="0033517A" w:rsidRPr="00DB10F3">
        <w:rPr>
          <w:rFonts w:ascii="Helvetica" w:hAnsi="Helvetica"/>
          <w:bCs/>
        </w:rPr>
        <w:t xml:space="preserve">, 62 (8.1%) had a complete </w:t>
      </w:r>
      <w:r w:rsidR="00D60BBD" w:rsidRPr="00DB10F3">
        <w:rPr>
          <w:rFonts w:ascii="Helvetica" w:hAnsi="Helvetica"/>
          <w:bCs/>
        </w:rPr>
        <w:t xml:space="preserve">LN </w:t>
      </w:r>
      <w:r w:rsidR="0033517A" w:rsidRPr="00DB10F3">
        <w:rPr>
          <w:rFonts w:ascii="Helvetica" w:hAnsi="Helvetica"/>
          <w:bCs/>
        </w:rPr>
        <w:t>response</w:t>
      </w:r>
      <w:r w:rsidR="006D688C" w:rsidRPr="00DB10F3">
        <w:rPr>
          <w:rFonts w:ascii="Helvetica" w:hAnsi="Helvetica"/>
          <w:bCs/>
        </w:rPr>
        <w:t xml:space="preserve"> </w:t>
      </w:r>
      <w:r w:rsidR="0033517A" w:rsidRPr="00DB10F3">
        <w:rPr>
          <w:rFonts w:ascii="Helvetica" w:hAnsi="Helvetica"/>
          <w:bCs/>
        </w:rPr>
        <w:t xml:space="preserve">and 155 (20.3%) had a partial </w:t>
      </w:r>
      <w:r w:rsidR="00D60BBD" w:rsidRPr="00DB10F3">
        <w:rPr>
          <w:rFonts w:ascii="Helvetica" w:hAnsi="Helvetica"/>
          <w:bCs/>
        </w:rPr>
        <w:t xml:space="preserve">LN </w:t>
      </w:r>
      <w:r w:rsidR="0033517A" w:rsidRPr="00DB10F3">
        <w:rPr>
          <w:rFonts w:ascii="Helvetica" w:hAnsi="Helvetica"/>
          <w:bCs/>
        </w:rPr>
        <w:t xml:space="preserve">response. There were </w:t>
      </w:r>
      <w:r w:rsidR="00B55815" w:rsidRPr="00DB10F3">
        <w:rPr>
          <w:rFonts w:ascii="Helvetica" w:hAnsi="Helvetica"/>
          <w:bCs/>
        </w:rPr>
        <w:t>303</w:t>
      </w:r>
      <w:r w:rsidR="0033517A" w:rsidRPr="00DB10F3">
        <w:rPr>
          <w:rFonts w:ascii="Helvetica" w:hAnsi="Helvetica"/>
          <w:bCs/>
        </w:rPr>
        <w:t xml:space="preserve"> patients</w:t>
      </w:r>
      <w:r w:rsidR="00B55815" w:rsidRPr="00DB10F3">
        <w:rPr>
          <w:rFonts w:ascii="Helvetica" w:hAnsi="Helvetica"/>
          <w:bCs/>
        </w:rPr>
        <w:t xml:space="preserve"> (39.7%) </w:t>
      </w:r>
      <w:r w:rsidR="0033517A" w:rsidRPr="00DB10F3">
        <w:rPr>
          <w:rFonts w:ascii="Helvetica" w:hAnsi="Helvetica"/>
          <w:bCs/>
        </w:rPr>
        <w:t xml:space="preserve">who </w:t>
      </w:r>
      <w:r w:rsidR="00B55815" w:rsidRPr="00DB10F3">
        <w:rPr>
          <w:rFonts w:ascii="Helvetica" w:hAnsi="Helvetica"/>
          <w:bCs/>
        </w:rPr>
        <w:t xml:space="preserve">demonstrated </w:t>
      </w:r>
      <w:r w:rsidR="006D688C" w:rsidRPr="00DB10F3">
        <w:rPr>
          <w:rFonts w:ascii="Helvetica" w:hAnsi="Helvetica"/>
          <w:bCs/>
        </w:rPr>
        <w:t>poor/</w:t>
      </w:r>
      <w:r w:rsidR="00B55815" w:rsidRPr="00DB10F3">
        <w:rPr>
          <w:rFonts w:ascii="Helvetica" w:hAnsi="Helvetica"/>
          <w:bCs/>
        </w:rPr>
        <w:t xml:space="preserve">no </w:t>
      </w:r>
      <w:r w:rsidR="00D60BBD" w:rsidRPr="00DB10F3">
        <w:rPr>
          <w:rFonts w:ascii="Helvetica" w:hAnsi="Helvetica"/>
          <w:bCs/>
        </w:rPr>
        <w:t xml:space="preserve">LN </w:t>
      </w:r>
      <w:r w:rsidR="00B55815" w:rsidRPr="00DB10F3">
        <w:rPr>
          <w:rFonts w:ascii="Helvetica" w:hAnsi="Helvetica"/>
          <w:bCs/>
        </w:rPr>
        <w:t>response</w:t>
      </w:r>
      <w:r w:rsidR="0033517A" w:rsidRPr="00DB10F3">
        <w:rPr>
          <w:rFonts w:ascii="Helvetica" w:hAnsi="Helvetica"/>
          <w:bCs/>
        </w:rPr>
        <w:t xml:space="preserve"> and 243 (31.8%) who</w:t>
      </w:r>
      <w:r w:rsidR="00EF5F5D" w:rsidRPr="00DB10F3">
        <w:rPr>
          <w:rFonts w:ascii="Helvetica" w:hAnsi="Helvetica"/>
          <w:bCs/>
        </w:rPr>
        <w:t xml:space="preserve"> </w:t>
      </w:r>
      <w:r w:rsidR="0033517A" w:rsidRPr="00DB10F3">
        <w:rPr>
          <w:rFonts w:ascii="Helvetica" w:hAnsi="Helvetica"/>
          <w:bCs/>
        </w:rPr>
        <w:t xml:space="preserve">had negative </w:t>
      </w:r>
      <w:r w:rsidR="00EF5F5D" w:rsidRPr="00DB10F3">
        <w:rPr>
          <w:rFonts w:ascii="Helvetica" w:hAnsi="Helvetica"/>
          <w:bCs/>
        </w:rPr>
        <w:t>LN</w:t>
      </w:r>
      <w:r w:rsidR="0033517A" w:rsidRPr="00DB10F3">
        <w:rPr>
          <w:rFonts w:ascii="Helvetica" w:hAnsi="Helvetica"/>
          <w:bCs/>
        </w:rPr>
        <w:t xml:space="preserve">s with no evidence of previous </w:t>
      </w:r>
      <w:proofErr w:type="spellStart"/>
      <w:r w:rsidR="0019785E">
        <w:rPr>
          <w:rFonts w:ascii="Helvetica" w:hAnsi="Helvetica"/>
          <w:bCs/>
        </w:rPr>
        <w:t>tumor</w:t>
      </w:r>
      <w:proofErr w:type="spellEnd"/>
      <w:r w:rsidR="0033517A" w:rsidRPr="00DB10F3">
        <w:rPr>
          <w:rFonts w:ascii="Helvetica" w:hAnsi="Helvetica"/>
          <w:bCs/>
        </w:rPr>
        <w:t xml:space="preserve"> involvement. </w:t>
      </w:r>
      <w:r w:rsidR="008A03F5" w:rsidRPr="00DB10F3">
        <w:rPr>
          <w:rFonts w:ascii="Helvetica" w:hAnsi="Helvetica"/>
          <w:bCs/>
        </w:rPr>
        <w:t xml:space="preserve">Patients with complete </w:t>
      </w:r>
      <w:r w:rsidR="00EF5F5D" w:rsidRPr="00DB10F3">
        <w:rPr>
          <w:rFonts w:ascii="Helvetica" w:hAnsi="Helvetica"/>
          <w:bCs/>
        </w:rPr>
        <w:t>LN</w:t>
      </w:r>
      <w:r w:rsidR="008A03F5" w:rsidRPr="00DB10F3">
        <w:rPr>
          <w:rFonts w:ascii="Helvetica" w:hAnsi="Helvetica"/>
          <w:bCs/>
        </w:rPr>
        <w:t xml:space="preserve"> response or negative </w:t>
      </w:r>
      <w:r w:rsidR="008148FE" w:rsidRPr="00DB10F3">
        <w:rPr>
          <w:rFonts w:ascii="Helvetica" w:hAnsi="Helvetica"/>
          <w:bCs/>
        </w:rPr>
        <w:t>LNs</w:t>
      </w:r>
      <w:r w:rsidR="008A03F5" w:rsidRPr="00DB10F3">
        <w:rPr>
          <w:rFonts w:ascii="Helvetica" w:hAnsi="Helvetica"/>
          <w:bCs/>
        </w:rPr>
        <w:t xml:space="preserve"> were significantly </w:t>
      </w:r>
      <w:r w:rsidR="00877169" w:rsidRPr="00DB10F3">
        <w:rPr>
          <w:rFonts w:ascii="Helvetica" w:hAnsi="Helvetica"/>
          <w:bCs/>
        </w:rPr>
        <w:t>less</w:t>
      </w:r>
      <w:r w:rsidR="008A03F5" w:rsidRPr="00DB10F3">
        <w:rPr>
          <w:rFonts w:ascii="Helvetica" w:hAnsi="Helvetica"/>
          <w:bCs/>
        </w:rPr>
        <w:t xml:space="preserve"> likely to have a</w:t>
      </w:r>
      <w:r w:rsidR="00877169" w:rsidRPr="00DB10F3">
        <w:rPr>
          <w:rFonts w:ascii="Helvetica" w:hAnsi="Helvetica"/>
          <w:bCs/>
        </w:rPr>
        <w:t>n</w:t>
      </w:r>
      <w:r w:rsidR="008A03F5" w:rsidRPr="00DB10F3">
        <w:rPr>
          <w:rFonts w:ascii="Helvetica" w:hAnsi="Helvetica"/>
          <w:bCs/>
        </w:rPr>
        <w:t xml:space="preserve"> advanced </w:t>
      </w:r>
      <w:r w:rsidR="00EF5F5D" w:rsidRPr="00DB10F3">
        <w:rPr>
          <w:rFonts w:ascii="Helvetica" w:hAnsi="Helvetica"/>
          <w:bCs/>
        </w:rPr>
        <w:t xml:space="preserve">(pT3-4) </w:t>
      </w:r>
      <w:r w:rsidR="008A03F5" w:rsidRPr="00DB10F3">
        <w:rPr>
          <w:rFonts w:ascii="Helvetica" w:hAnsi="Helvetica"/>
          <w:bCs/>
        </w:rPr>
        <w:t>pathological T</w:t>
      </w:r>
      <w:r w:rsidR="00E4132E" w:rsidRPr="00DB10F3">
        <w:rPr>
          <w:rFonts w:ascii="Helvetica" w:hAnsi="Helvetica"/>
          <w:bCs/>
        </w:rPr>
        <w:t>-</w:t>
      </w:r>
      <w:r w:rsidR="008A03F5" w:rsidRPr="00DB10F3">
        <w:rPr>
          <w:rFonts w:ascii="Helvetica" w:hAnsi="Helvetica"/>
          <w:bCs/>
        </w:rPr>
        <w:t>stage, lymphovascular invasion</w:t>
      </w:r>
      <w:r w:rsidR="008A03F5" w:rsidRPr="00DB10F3">
        <w:rPr>
          <w:rFonts w:ascii="Helvetica" w:hAnsi="Helvetica"/>
          <w:bCs/>
          <w:i/>
          <w:iCs/>
        </w:rPr>
        <w:t xml:space="preserve"> </w:t>
      </w:r>
      <w:r w:rsidR="008A03F5" w:rsidRPr="00DB10F3">
        <w:rPr>
          <w:rFonts w:ascii="Helvetica" w:hAnsi="Helvetica"/>
          <w:bCs/>
        </w:rPr>
        <w:t xml:space="preserve">or positive resection margin than those with a partial </w:t>
      </w:r>
      <w:r w:rsidR="00EF5F5D" w:rsidRPr="00DB10F3">
        <w:rPr>
          <w:rFonts w:ascii="Helvetica" w:hAnsi="Helvetica"/>
          <w:bCs/>
        </w:rPr>
        <w:t>LN</w:t>
      </w:r>
      <w:r w:rsidR="008A03F5" w:rsidRPr="00DB10F3">
        <w:rPr>
          <w:rFonts w:ascii="Helvetica" w:hAnsi="Helvetica"/>
          <w:bCs/>
        </w:rPr>
        <w:t xml:space="preserve"> response or </w:t>
      </w:r>
      <w:r w:rsidR="00115E01" w:rsidRPr="00DB10F3">
        <w:rPr>
          <w:rFonts w:ascii="Helvetica" w:hAnsi="Helvetica"/>
          <w:bCs/>
        </w:rPr>
        <w:t>poor/</w:t>
      </w:r>
      <w:r w:rsidR="008A03F5" w:rsidRPr="00DB10F3">
        <w:rPr>
          <w:rFonts w:ascii="Helvetica" w:hAnsi="Helvetica"/>
          <w:bCs/>
        </w:rPr>
        <w:t>no response.</w:t>
      </w:r>
      <w:r w:rsidR="00A019FF" w:rsidRPr="00DB10F3">
        <w:rPr>
          <w:rFonts w:ascii="Helvetica" w:hAnsi="Helvetica"/>
          <w:bCs/>
        </w:rPr>
        <w:t xml:space="preserve"> Patients treated </w:t>
      </w:r>
      <w:r w:rsidR="00BC56A0" w:rsidRPr="00DB10F3">
        <w:rPr>
          <w:rFonts w:ascii="Helvetica" w:hAnsi="Helvetica"/>
          <w:bCs/>
        </w:rPr>
        <w:t>with n</w:t>
      </w:r>
      <w:r w:rsidR="00A019FF" w:rsidRPr="00DB10F3">
        <w:rPr>
          <w:rFonts w:ascii="Helvetica" w:hAnsi="Helvetica"/>
          <w:bCs/>
        </w:rPr>
        <w:t xml:space="preserve">eoadjuvant FLOT </w:t>
      </w:r>
      <w:r w:rsidR="00EF5F5D" w:rsidRPr="00DB10F3">
        <w:rPr>
          <w:rFonts w:ascii="Helvetica" w:hAnsi="Helvetica"/>
          <w:bCs/>
        </w:rPr>
        <w:t xml:space="preserve">more frequently </w:t>
      </w:r>
      <w:r w:rsidR="00A019FF" w:rsidRPr="00DB10F3">
        <w:rPr>
          <w:rFonts w:ascii="Helvetica" w:hAnsi="Helvetica"/>
          <w:bCs/>
        </w:rPr>
        <w:t>demonstrate</w:t>
      </w:r>
      <w:r w:rsidR="00EF5F5D" w:rsidRPr="00DB10F3">
        <w:rPr>
          <w:rFonts w:ascii="Helvetica" w:hAnsi="Helvetica"/>
          <w:bCs/>
        </w:rPr>
        <w:t>d</w:t>
      </w:r>
      <w:r w:rsidR="00A019FF" w:rsidRPr="00DB10F3">
        <w:rPr>
          <w:rFonts w:ascii="Helvetica" w:hAnsi="Helvetica"/>
          <w:bCs/>
        </w:rPr>
        <w:t xml:space="preserve"> </w:t>
      </w:r>
      <w:r w:rsidR="00EF5F5D" w:rsidRPr="00DB10F3">
        <w:rPr>
          <w:rFonts w:ascii="Helvetica" w:hAnsi="Helvetica"/>
          <w:bCs/>
        </w:rPr>
        <w:t>LN</w:t>
      </w:r>
      <w:r w:rsidR="00A019FF" w:rsidRPr="00DB10F3">
        <w:rPr>
          <w:rFonts w:ascii="Helvetica" w:hAnsi="Helvetica"/>
          <w:bCs/>
        </w:rPr>
        <w:t xml:space="preserve"> re</w:t>
      </w:r>
      <w:r w:rsidR="00EF5F5D" w:rsidRPr="00DB10F3">
        <w:rPr>
          <w:rFonts w:ascii="Helvetica" w:hAnsi="Helvetica"/>
          <w:bCs/>
        </w:rPr>
        <w:t>gression</w:t>
      </w:r>
      <w:r w:rsidR="00A019FF" w:rsidRPr="00DB10F3">
        <w:rPr>
          <w:rFonts w:ascii="Helvetica" w:hAnsi="Helvetica"/>
          <w:bCs/>
        </w:rPr>
        <w:t xml:space="preserve"> compared </w:t>
      </w:r>
      <w:r w:rsidR="00867A8B" w:rsidRPr="00DB10F3">
        <w:rPr>
          <w:rFonts w:ascii="Helvetica" w:hAnsi="Helvetica"/>
          <w:bCs/>
        </w:rPr>
        <w:t xml:space="preserve">to those </w:t>
      </w:r>
      <w:r w:rsidR="00EF5F5D" w:rsidRPr="00DB10F3">
        <w:rPr>
          <w:rFonts w:ascii="Helvetica" w:hAnsi="Helvetica"/>
          <w:bCs/>
        </w:rPr>
        <w:t>treated with</w:t>
      </w:r>
      <w:r w:rsidR="00A019FF" w:rsidRPr="00DB10F3">
        <w:rPr>
          <w:rFonts w:ascii="Helvetica" w:hAnsi="Helvetica"/>
          <w:bCs/>
        </w:rPr>
        <w:t xml:space="preserve"> </w:t>
      </w:r>
      <w:r w:rsidR="00850628">
        <w:rPr>
          <w:rFonts w:ascii="Helvetica" w:hAnsi="Helvetica"/>
          <w:bCs/>
        </w:rPr>
        <w:t>OEO2</w:t>
      </w:r>
      <w:r w:rsidR="00850628" w:rsidRPr="00DB10F3">
        <w:rPr>
          <w:rFonts w:ascii="Helvetica" w:hAnsi="Helvetica"/>
          <w:bCs/>
        </w:rPr>
        <w:t xml:space="preserve"> </w:t>
      </w:r>
      <w:r w:rsidR="00A019FF" w:rsidRPr="00DB10F3">
        <w:rPr>
          <w:rFonts w:ascii="Helvetica" w:hAnsi="Helvetica"/>
          <w:bCs/>
        </w:rPr>
        <w:t xml:space="preserve">or </w:t>
      </w:r>
      <w:r w:rsidR="00850628">
        <w:rPr>
          <w:rFonts w:ascii="Helvetica" w:hAnsi="Helvetica"/>
          <w:bCs/>
        </w:rPr>
        <w:t>MAGIC</w:t>
      </w:r>
      <w:r w:rsidR="00A019FF" w:rsidRPr="00DB10F3">
        <w:rPr>
          <w:rFonts w:ascii="Helvetica" w:hAnsi="Helvetica"/>
          <w:bCs/>
        </w:rPr>
        <w:t xml:space="preserve"> regimen</w:t>
      </w:r>
      <w:r w:rsidR="00867A8B" w:rsidRPr="00DB10F3">
        <w:rPr>
          <w:rFonts w:ascii="Helvetica" w:hAnsi="Helvetica"/>
          <w:bCs/>
        </w:rPr>
        <w:t xml:space="preserve"> chemotherapy</w:t>
      </w:r>
      <w:r w:rsidR="00A019FF" w:rsidRPr="00DB10F3">
        <w:rPr>
          <w:rFonts w:ascii="Helvetica" w:hAnsi="Helvetica"/>
          <w:bCs/>
        </w:rPr>
        <w:t xml:space="preserve"> (38.2% FLOT vs 28.4% </w:t>
      </w:r>
      <w:r w:rsidR="00850628">
        <w:rPr>
          <w:rFonts w:ascii="Helvetica" w:hAnsi="Helvetica"/>
          <w:bCs/>
        </w:rPr>
        <w:t>MAGIC</w:t>
      </w:r>
      <w:r w:rsidR="00850628" w:rsidRPr="00DB10F3">
        <w:rPr>
          <w:rFonts w:ascii="Helvetica" w:hAnsi="Helvetica"/>
          <w:bCs/>
        </w:rPr>
        <w:t xml:space="preserve"> </w:t>
      </w:r>
      <w:r w:rsidR="00A019FF" w:rsidRPr="00DB10F3">
        <w:rPr>
          <w:rFonts w:ascii="Helvetica" w:hAnsi="Helvetica"/>
          <w:bCs/>
        </w:rPr>
        <w:t>vs 13.6%</w:t>
      </w:r>
      <w:r w:rsidR="00850628">
        <w:rPr>
          <w:rFonts w:ascii="Helvetica" w:hAnsi="Helvetica"/>
          <w:bCs/>
        </w:rPr>
        <w:t xml:space="preserve"> OEO2</w:t>
      </w:r>
      <w:r w:rsidR="00A019FF" w:rsidRPr="00DB10F3">
        <w:rPr>
          <w:rFonts w:ascii="Helvetica" w:hAnsi="Helvetica"/>
          <w:bCs/>
        </w:rPr>
        <w:t xml:space="preserve">, </w:t>
      </w:r>
      <w:r w:rsidR="00A019FF" w:rsidRPr="00DB10F3">
        <w:rPr>
          <w:rFonts w:ascii="Helvetica" w:hAnsi="Helvetica"/>
          <w:bCs/>
          <w:i/>
          <w:iCs/>
        </w:rPr>
        <w:t>p=0.004</w:t>
      </w:r>
      <w:r w:rsidR="00A019FF" w:rsidRPr="00DB10F3">
        <w:rPr>
          <w:rFonts w:ascii="Helvetica" w:hAnsi="Helvetica"/>
          <w:bCs/>
        </w:rPr>
        <w:t>) (</w:t>
      </w:r>
      <w:r w:rsidR="00A019FF" w:rsidRPr="00DB10F3">
        <w:rPr>
          <w:rFonts w:ascii="Helvetica" w:hAnsi="Helvetica"/>
          <w:bCs/>
          <w:i/>
          <w:iCs/>
        </w:rPr>
        <w:t xml:space="preserve">Supplementary </w:t>
      </w:r>
      <w:r w:rsidR="00A27AFA" w:rsidRPr="00DB10F3">
        <w:rPr>
          <w:rFonts w:ascii="Helvetica" w:hAnsi="Helvetica"/>
          <w:bCs/>
          <w:i/>
          <w:iCs/>
        </w:rPr>
        <w:t>T</w:t>
      </w:r>
      <w:r w:rsidR="00A019FF" w:rsidRPr="00DB10F3">
        <w:rPr>
          <w:rFonts w:ascii="Helvetica" w:hAnsi="Helvetica"/>
          <w:bCs/>
          <w:i/>
          <w:iCs/>
        </w:rPr>
        <w:t xml:space="preserve">able </w:t>
      </w:r>
      <w:r w:rsidR="00054E70">
        <w:rPr>
          <w:rFonts w:ascii="Helvetica" w:hAnsi="Helvetica"/>
          <w:bCs/>
          <w:i/>
          <w:iCs/>
        </w:rPr>
        <w:t>2</w:t>
      </w:r>
      <w:r w:rsidR="00A019FF" w:rsidRPr="00DB10F3">
        <w:rPr>
          <w:rFonts w:ascii="Helvetica" w:hAnsi="Helvetica"/>
          <w:bCs/>
        </w:rPr>
        <w:t>).</w:t>
      </w:r>
    </w:p>
    <w:p w14:paraId="66D15A2B" w14:textId="77777777" w:rsidR="008A03F5" w:rsidRPr="00DB10F3" w:rsidRDefault="008A03F5" w:rsidP="00924E8E">
      <w:pPr>
        <w:spacing w:line="480" w:lineRule="auto"/>
        <w:rPr>
          <w:rFonts w:ascii="Helvetica" w:hAnsi="Helvetica"/>
          <w:bCs/>
        </w:rPr>
      </w:pPr>
    </w:p>
    <w:p w14:paraId="6F003307" w14:textId="6B7211C8" w:rsidR="00DC0ECB" w:rsidRPr="00DB10F3" w:rsidRDefault="00EF5F5D" w:rsidP="00924E8E">
      <w:pPr>
        <w:spacing w:line="480" w:lineRule="auto"/>
        <w:rPr>
          <w:rFonts w:ascii="Helvetica" w:hAnsi="Helvetica"/>
          <w:bCs/>
        </w:rPr>
      </w:pPr>
      <w:r w:rsidRPr="00DB10F3">
        <w:rPr>
          <w:rFonts w:ascii="Helvetica" w:hAnsi="Helvetica"/>
          <w:bCs/>
        </w:rPr>
        <w:t xml:space="preserve">Less </w:t>
      </w:r>
      <w:r w:rsidR="002D54F8" w:rsidRPr="00DB10F3">
        <w:rPr>
          <w:rFonts w:ascii="Helvetica" w:hAnsi="Helvetica"/>
          <w:bCs/>
        </w:rPr>
        <w:t xml:space="preserve">than half of the </w:t>
      </w:r>
      <w:r w:rsidRPr="00DB10F3">
        <w:rPr>
          <w:rFonts w:ascii="Helvetica" w:hAnsi="Helvetica"/>
          <w:bCs/>
        </w:rPr>
        <w:t>patients</w:t>
      </w:r>
      <w:r w:rsidR="002D54F8" w:rsidRPr="00DB10F3">
        <w:rPr>
          <w:rFonts w:ascii="Helvetica" w:hAnsi="Helvetica"/>
          <w:bCs/>
        </w:rPr>
        <w:t xml:space="preserve"> demonstrated a pathological response </w:t>
      </w:r>
      <w:r w:rsidR="006D688C" w:rsidRPr="00DB10F3">
        <w:rPr>
          <w:rFonts w:ascii="Helvetica" w:hAnsi="Helvetica"/>
          <w:bCs/>
        </w:rPr>
        <w:t xml:space="preserve">(Mandard 1-3) </w:t>
      </w:r>
      <w:r w:rsidR="002D54F8" w:rsidRPr="00DB10F3">
        <w:rPr>
          <w:rFonts w:ascii="Helvetica" w:hAnsi="Helvetica"/>
          <w:bCs/>
        </w:rPr>
        <w:t xml:space="preserve">in the primary </w:t>
      </w:r>
      <w:proofErr w:type="spellStart"/>
      <w:r w:rsidR="0019785E">
        <w:rPr>
          <w:rFonts w:ascii="Helvetica" w:hAnsi="Helvetica"/>
          <w:bCs/>
        </w:rPr>
        <w:t>tumor</w:t>
      </w:r>
      <w:proofErr w:type="spellEnd"/>
      <w:r w:rsidR="002D54F8" w:rsidRPr="00DB10F3">
        <w:rPr>
          <w:rFonts w:ascii="Helvetica" w:hAnsi="Helvetica"/>
          <w:bCs/>
        </w:rPr>
        <w:t xml:space="preserve"> (n=322, 42.2%). </w:t>
      </w:r>
      <w:r w:rsidR="00A019FF" w:rsidRPr="00DB10F3">
        <w:rPr>
          <w:rFonts w:ascii="Helvetica" w:hAnsi="Helvetica"/>
          <w:bCs/>
        </w:rPr>
        <w:t xml:space="preserve">Patients who demonstrated </w:t>
      </w:r>
      <w:r w:rsidR="00EF7B3C" w:rsidRPr="00DB10F3">
        <w:rPr>
          <w:rFonts w:ascii="Helvetica" w:hAnsi="Helvetica"/>
          <w:bCs/>
        </w:rPr>
        <w:t>a</w:t>
      </w:r>
      <w:r w:rsidR="00A019FF" w:rsidRPr="00DB10F3">
        <w:rPr>
          <w:rFonts w:ascii="Helvetica" w:hAnsi="Helvetica"/>
          <w:bCs/>
        </w:rPr>
        <w:t xml:space="preserve"> </w:t>
      </w:r>
      <w:r w:rsidRPr="00DB10F3">
        <w:rPr>
          <w:rFonts w:ascii="Helvetica" w:hAnsi="Helvetica"/>
          <w:bCs/>
        </w:rPr>
        <w:t>LN</w:t>
      </w:r>
      <w:r w:rsidR="00A019FF" w:rsidRPr="00DB10F3">
        <w:rPr>
          <w:rFonts w:ascii="Helvetica" w:hAnsi="Helvetica"/>
          <w:bCs/>
        </w:rPr>
        <w:t xml:space="preserve"> </w:t>
      </w:r>
      <w:r w:rsidR="00A019FF" w:rsidRPr="00DB10F3">
        <w:rPr>
          <w:rFonts w:ascii="Helvetica" w:hAnsi="Helvetica"/>
          <w:bCs/>
        </w:rPr>
        <w:lastRenderedPageBreak/>
        <w:t xml:space="preserve">response were more likely to demonstrate a pathological response in the primary </w:t>
      </w:r>
      <w:proofErr w:type="spellStart"/>
      <w:r w:rsidR="0019785E">
        <w:rPr>
          <w:rFonts w:ascii="Helvetica" w:hAnsi="Helvetica"/>
          <w:bCs/>
        </w:rPr>
        <w:t>tumor</w:t>
      </w:r>
      <w:proofErr w:type="spellEnd"/>
      <w:r w:rsidR="00A019FF" w:rsidRPr="00DB10F3">
        <w:rPr>
          <w:rFonts w:ascii="Helvetica" w:hAnsi="Helvetica"/>
          <w:bCs/>
        </w:rPr>
        <w:t xml:space="preserve"> (complete </w:t>
      </w:r>
      <w:r w:rsidRPr="00DB10F3">
        <w:rPr>
          <w:rFonts w:ascii="Helvetica" w:hAnsi="Helvetica"/>
          <w:bCs/>
        </w:rPr>
        <w:t xml:space="preserve">LN </w:t>
      </w:r>
      <w:r w:rsidR="00A019FF" w:rsidRPr="00DB10F3">
        <w:rPr>
          <w:rFonts w:ascii="Helvetica" w:hAnsi="Helvetica"/>
          <w:bCs/>
        </w:rPr>
        <w:t xml:space="preserve">response 78.7% vs partial </w:t>
      </w:r>
      <w:r w:rsidRPr="00DB10F3">
        <w:rPr>
          <w:rFonts w:ascii="Helvetica" w:hAnsi="Helvetica"/>
          <w:bCs/>
        </w:rPr>
        <w:t xml:space="preserve">LN </w:t>
      </w:r>
      <w:r w:rsidR="00A019FF" w:rsidRPr="00DB10F3">
        <w:rPr>
          <w:rFonts w:ascii="Helvetica" w:hAnsi="Helvetica"/>
          <w:bCs/>
        </w:rPr>
        <w:t xml:space="preserve">response 45.5% vs </w:t>
      </w:r>
      <w:r w:rsidRPr="00DB10F3">
        <w:rPr>
          <w:rFonts w:ascii="Helvetica" w:hAnsi="Helvetica"/>
          <w:bCs/>
        </w:rPr>
        <w:t>poor/</w:t>
      </w:r>
      <w:r w:rsidR="00A019FF" w:rsidRPr="00DB10F3">
        <w:rPr>
          <w:rFonts w:ascii="Helvetica" w:hAnsi="Helvetica"/>
          <w:bCs/>
        </w:rPr>
        <w:t xml:space="preserve">no </w:t>
      </w:r>
      <w:r w:rsidRPr="00DB10F3">
        <w:rPr>
          <w:rFonts w:ascii="Helvetica" w:hAnsi="Helvetica"/>
          <w:bCs/>
        </w:rPr>
        <w:t xml:space="preserve">LN </w:t>
      </w:r>
      <w:r w:rsidR="00A019FF" w:rsidRPr="00DB10F3">
        <w:rPr>
          <w:rFonts w:ascii="Helvetica" w:hAnsi="Helvetica"/>
          <w:bCs/>
        </w:rPr>
        <w:t xml:space="preserve">response 22.7%, </w:t>
      </w:r>
      <w:r w:rsidR="00A019FF" w:rsidRPr="00DB10F3">
        <w:rPr>
          <w:rFonts w:ascii="Helvetica" w:hAnsi="Helvetica"/>
          <w:bCs/>
          <w:i/>
          <w:iCs/>
        </w:rPr>
        <w:t>p&lt;0.001</w:t>
      </w:r>
      <w:r w:rsidR="00A019FF" w:rsidRPr="00DB10F3">
        <w:rPr>
          <w:rFonts w:ascii="Helvetica" w:hAnsi="Helvetica"/>
          <w:bCs/>
        </w:rPr>
        <w:t xml:space="preserve">). However, </w:t>
      </w:r>
      <w:r w:rsidRPr="00DB10F3">
        <w:rPr>
          <w:rFonts w:ascii="Helvetica" w:hAnsi="Helvetica"/>
          <w:bCs/>
        </w:rPr>
        <w:t xml:space="preserve">97 out of 431 (22.5%) patients </w:t>
      </w:r>
      <w:r w:rsidR="00B55815" w:rsidRPr="00DB10F3">
        <w:rPr>
          <w:rFonts w:ascii="Helvetica" w:hAnsi="Helvetica"/>
        </w:rPr>
        <w:t xml:space="preserve">demonstrated a </w:t>
      </w:r>
      <w:r w:rsidRPr="00DB10F3">
        <w:rPr>
          <w:rFonts w:ascii="Helvetica" w:hAnsi="Helvetica"/>
        </w:rPr>
        <w:t>LN</w:t>
      </w:r>
      <w:r w:rsidR="00B55815" w:rsidRPr="00DB10F3">
        <w:rPr>
          <w:rFonts w:ascii="Helvetica" w:hAnsi="Helvetica"/>
        </w:rPr>
        <w:t xml:space="preserve"> response in the absence of response in the primary </w:t>
      </w:r>
      <w:proofErr w:type="spellStart"/>
      <w:r w:rsidR="0019785E">
        <w:rPr>
          <w:rFonts w:ascii="Helvetica" w:hAnsi="Helvetica"/>
        </w:rPr>
        <w:t>tumor</w:t>
      </w:r>
      <w:proofErr w:type="spellEnd"/>
      <w:r w:rsidR="00867A8B" w:rsidRPr="00DB10F3">
        <w:rPr>
          <w:rFonts w:ascii="Helvetica" w:hAnsi="Helvetica"/>
          <w:bCs/>
        </w:rPr>
        <w:t xml:space="preserve">, </w:t>
      </w:r>
      <w:r w:rsidR="00115E01" w:rsidRPr="00DB10F3">
        <w:rPr>
          <w:rFonts w:ascii="Helvetica" w:hAnsi="Helvetica"/>
          <w:bCs/>
        </w:rPr>
        <w:t xml:space="preserve">and </w:t>
      </w:r>
      <w:r w:rsidRPr="00DB10F3">
        <w:rPr>
          <w:rFonts w:ascii="Helvetica" w:hAnsi="Helvetica"/>
          <w:bCs/>
        </w:rPr>
        <w:t>68 out of 293 (23.2%)</w:t>
      </w:r>
      <w:r w:rsidR="00B55815" w:rsidRPr="00DB10F3">
        <w:rPr>
          <w:rFonts w:ascii="Helvetica" w:hAnsi="Helvetica"/>
          <w:bCs/>
        </w:rPr>
        <w:t xml:space="preserve"> demonstrated a primary </w:t>
      </w:r>
      <w:proofErr w:type="spellStart"/>
      <w:r w:rsidR="0019785E">
        <w:rPr>
          <w:rFonts w:ascii="Helvetica" w:hAnsi="Helvetica"/>
          <w:bCs/>
        </w:rPr>
        <w:t>tumor</w:t>
      </w:r>
      <w:proofErr w:type="spellEnd"/>
      <w:r w:rsidR="00B55815" w:rsidRPr="00DB10F3">
        <w:rPr>
          <w:rFonts w:ascii="Helvetica" w:hAnsi="Helvetica"/>
          <w:bCs/>
        </w:rPr>
        <w:t xml:space="preserve"> response in the absence of response in </w:t>
      </w:r>
      <w:r w:rsidRPr="00DB10F3">
        <w:rPr>
          <w:rFonts w:ascii="Helvetica" w:hAnsi="Helvetica"/>
          <w:bCs/>
        </w:rPr>
        <w:t>LN</w:t>
      </w:r>
      <w:r w:rsidR="00B55815" w:rsidRPr="00DB10F3">
        <w:rPr>
          <w:rFonts w:ascii="Helvetica" w:hAnsi="Helvetica"/>
          <w:bCs/>
        </w:rPr>
        <w:t>s.</w:t>
      </w:r>
      <w:r w:rsidR="0033517A" w:rsidRPr="00DB10F3">
        <w:rPr>
          <w:rFonts w:ascii="Helvetica" w:hAnsi="Helvetica"/>
          <w:bCs/>
        </w:rPr>
        <w:t xml:space="preserve"> </w:t>
      </w:r>
      <w:r w:rsidRPr="00DB10F3">
        <w:rPr>
          <w:rFonts w:ascii="Helvetica" w:hAnsi="Helvetica"/>
          <w:bCs/>
        </w:rPr>
        <w:t xml:space="preserve">Excluding </w:t>
      </w:r>
      <w:r w:rsidR="004F5BE3" w:rsidRPr="00DB10F3">
        <w:rPr>
          <w:rFonts w:ascii="Helvetica" w:hAnsi="Helvetica"/>
          <w:bCs/>
        </w:rPr>
        <w:t xml:space="preserve">patients with </w:t>
      </w:r>
      <w:r w:rsidRPr="00DB10F3">
        <w:rPr>
          <w:rFonts w:ascii="Helvetica" w:hAnsi="Helvetica"/>
          <w:bCs/>
        </w:rPr>
        <w:t xml:space="preserve">only </w:t>
      </w:r>
      <w:r w:rsidR="00A019FF" w:rsidRPr="00DB10F3">
        <w:rPr>
          <w:rFonts w:ascii="Helvetica" w:hAnsi="Helvetica"/>
          <w:bCs/>
        </w:rPr>
        <w:t xml:space="preserve">negative </w:t>
      </w:r>
      <w:r w:rsidR="00CF20AD" w:rsidRPr="00DB10F3">
        <w:rPr>
          <w:rFonts w:ascii="Helvetica" w:hAnsi="Helvetica"/>
          <w:bCs/>
        </w:rPr>
        <w:t>LN</w:t>
      </w:r>
      <w:r w:rsidR="00A019FF" w:rsidRPr="00DB10F3">
        <w:rPr>
          <w:rFonts w:ascii="Helvetica" w:hAnsi="Helvetica"/>
          <w:bCs/>
        </w:rPr>
        <w:t>s</w:t>
      </w:r>
      <w:r w:rsidR="004F5BE3" w:rsidRPr="00DB10F3">
        <w:rPr>
          <w:rFonts w:ascii="Helvetica" w:hAnsi="Helvetica"/>
          <w:bCs/>
        </w:rPr>
        <w:t xml:space="preserve">, there was a discordance between primary </w:t>
      </w:r>
      <w:proofErr w:type="spellStart"/>
      <w:r w:rsidR="0019785E">
        <w:rPr>
          <w:rFonts w:ascii="Helvetica" w:hAnsi="Helvetica"/>
          <w:bCs/>
        </w:rPr>
        <w:t>tumor</w:t>
      </w:r>
      <w:proofErr w:type="spellEnd"/>
      <w:r w:rsidR="004F5BE3" w:rsidRPr="00DB10F3">
        <w:rPr>
          <w:rFonts w:ascii="Helvetica" w:hAnsi="Helvetica"/>
          <w:bCs/>
        </w:rPr>
        <w:t xml:space="preserve"> and </w:t>
      </w:r>
      <w:r w:rsidRPr="00DB10F3">
        <w:rPr>
          <w:rFonts w:ascii="Helvetica" w:hAnsi="Helvetica"/>
          <w:bCs/>
        </w:rPr>
        <w:t xml:space="preserve">LN </w:t>
      </w:r>
      <w:r w:rsidR="004F5BE3" w:rsidRPr="00DB10F3">
        <w:rPr>
          <w:rFonts w:ascii="Helvetica" w:hAnsi="Helvetica"/>
          <w:bCs/>
        </w:rPr>
        <w:t>response in 165</w:t>
      </w:r>
      <w:r w:rsidR="008148FE" w:rsidRPr="00DB10F3">
        <w:rPr>
          <w:rFonts w:ascii="Helvetica" w:hAnsi="Helvetica"/>
          <w:bCs/>
        </w:rPr>
        <w:t xml:space="preserve"> out of </w:t>
      </w:r>
      <w:r w:rsidR="004F5BE3" w:rsidRPr="00DB10F3">
        <w:rPr>
          <w:rFonts w:ascii="Helvetica" w:hAnsi="Helvetica"/>
          <w:bCs/>
        </w:rPr>
        <w:t>514 patients (32.1%).</w:t>
      </w:r>
      <w:r w:rsidR="008A03F5" w:rsidRPr="00DB10F3">
        <w:rPr>
          <w:rFonts w:ascii="Helvetica" w:hAnsi="Helvetica"/>
          <w:bCs/>
        </w:rPr>
        <w:t xml:space="preserve"> </w:t>
      </w:r>
      <w:r w:rsidR="00A77B26" w:rsidRPr="00DB10F3">
        <w:rPr>
          <w:rFonts w:ascii="Helvetica" w:hAnsi="Helvetica"/>
          <w:bCs/>
        </w:rPr>
        <w:t xml:space="preserve">Ten </w:t>
      </w:r>
      <w:r w:rsidR="002D54F8" w:rsidRPr="00DB10F3">
        <w:rPr>
          <w:rFonts w:ascii="Helvetica" w:hAnsi="Helvetica"/>
          <w:bCs/>
        </w:rPr>
        <w:t xml:space="preserve">patients (1.3%) had missing primary </w:t>
      </w:r>
      <w:proofErr w:type="spellStart"/>
      <w:r w:rsidR="0019785E">
        <w:rPr>
          <w:rFonts w:ascii="Helvetica" w:hAnsi="Helvetica"/>
          <w:bCs/>
        </w:rPr>
        <w:t>tumor</w:t>
      </w:r>
      <w:proofErr w:type="spellEnd"/>
      <w:r w:rsidR="002D54F8" w:rsidRPr="00DB10F3">
        <w:rPr>
          <w:rFonts w:ascii="Helvetica" w:hAnsi="Helvetica"/>
          <w:bCs/>
        </w:rPr>
        <w:t xml:space="preserve"> regression data.</w:t>
      </w:r>
      <w:r w:rsidR="004F5BE3" w:rsidRPr="00DB10F3">
        <w:rPr>
          <w:rFonts w:ascii="Helvetica" w:hAnsi="Helvetica"/>
          <w:bCs/>
        </w:rPr>
        <w:t xml:space="preserve"> </w:t>
      </w:r>
    </w:p>
    <w:p w14:paraId="134FE08F" w14:textId="59409415" w:rsidR="00BB35BD" w:rsidRPr="00DB10F3" w:rsidRDefault="00BB35BD" w:rsidP="00BB35BD">
      <w:pPr>
        <w:spacing w:line="480" w:lineRule="auto"/>
        <w:rPr>
          <w:rFonts w:ascii="Helvetica" w:hAnsi="Helvetica"/>
          <w:bCs/>
        </w:rPr>
      </w:pPr>
    </w:p>
    <w:p w14:paraId="7FCE8116" w14:textId="7A2AF0C0" w:rsidR="006A274B" w:rsidRPr="00DB10F3" w:rsidRDefault="006A274B" w:rsidP="006A274B">
      <w:pPr>
        <w:spacing w:line="480" w:lineRule="auto"/>
        <w:rPr>
          <w:rFonts w:ascii="Helvetica" w:hAnsi="Helvetica"/>
          <w:b/>
          <w:i/>
          <w:iCs/>
        </w:rPr>
      </w:pPr>
      <w:r w:rsidRPr="00DB10F3">
        <w:rPr>
          <w:rFonts w:ascii="Helvetica" w:hAnsi="Helvetica"/>
          <w:b/>
          <w:i/>
          <w:iCs/>
        </w:rPr>
        <w:t>Inter-observer agreement</w:t>
      </w:r>
    </w:p>
    <w:p w14:paraId="1D7DD7DA" w14:textId="4ABA2B4D" w:rsidR="006A274B" w:rsidRPr="00DB10F3" w:rsidRDefault="008148FE" w:rsidP="00BB35BD">
      <w:pPr>
        <w:spacing w:line="480" w:lineRule="auto"/>
        <w:rPr>
          <w:rFonts w:ascii="Helvetica" w:hAnsi="Helvetica"/>
          <w:bCs/>
        </w:rPr>
      </w:pPr>
      <w:r w:rsidRPr="00DB10F3">
        <w:rPr>
          <w:rFonts w:ascii="Helvetica" w:hAnsi="Helvetica"/>
          <w:bCs/>
        </w:rPr>
        <w:t>Six</w:t>
      </w:r>
      <w:r w:rsidR="00610A1F" w:rsidRPr="00DB10F3">
        <w:rPr>
          <w:rFonts w:ascii="Helvetica" w:hAnsi="Helvetica"/>
          <w:bCs/>
        </w:rPr>
        <w:t xml:space="preserve"> </w:t>
      </w:r>
      <w:r w:rsidR="00EF5F5D" w:rsidRPr="00DB10F3">
        <w:rPr>
          <w:rFonts w:ascii="Helvetica" w:hAnsi="Helvetica"/>
          <w:bCs/>
        </w:rPr>
        <w:t>histo</w:t>
      </w:r>
      <w:r w:rsidR="00610A1F" w:rsidRPr="00DB10F3">
        <w:rPr>
          <w:rFonts w:ascii="Helvetica" w:hAnsi="Helvetica"/>
          <w:bCs/>
        </w:rPr>
        <w:t xml:space="preserve">pathologists </w:t>
      </w:r>
      <w:r w:rsidR="00460502" w:rsidRPr="00DB10F3">
        <w:rPr>
          <w:rFonts w:ascii="Helvetica" w:hAnsi="Helvetica"/>
          <w:bCs/>
        </w:rPr>
        <w:t xml:space="preserve">independently scored 71 </w:t>
      </w:r>
      <w:r w:rsidRPr="00DB10F3">
        <w:rPr>
          <w:rFonts w:ascii="Helvetica" w:hAnsi="Helvetica"/>
          <w:bCs/>
        </w:rPr>
        <w:t>r</w:t>
      </w:r>
      <w:r w:rsidR="00EF5F5D" w:rsidRPr="00DB10F3">
        <w:rPr>
          <w:rFonts w:ascii="Helvetica" w:hAnsi="Helvetica"/>
          <w:bCs/>
        </w:rPr>
        <w:t>epresentative LN</w:t>
      </w:r>
      <w:r w:rsidR="00460502" w:rsidRPr="00DB10F3">
        <w:rPr>
          <w:rFonts w:ascii="Helvetica" w:hAnsi="Helvetica"/>
          <w:bCs/>
        </w:rPr>
        <w:t>s</w:t>
      </w:r>
      <w:r w:rsidR="00610A1F" w:rsidRPr="00DB10F3">
        <w:rPr>
          <w:rFonts w:ascii="Helvetica" w:hAnsi="Helvetica"/>
          <w:bCs/>
        </w:rPr>
        <w:t xml:space="preserve"> (</w:t>
      </w:r>
      <w:r w:rsidR="00A27AFA" w:rsidRPr="00DB10F3">
        <w:rPr>
          <w:rFonts w:ascii="Helvetica" w:hAnsi="Helvetica"/>
          <w:bCs/>
          <w:i/>
          <w:iCs/>
        </w:rPr>
        <w:t>T</w:t>
      </w:r>
      <w:r w:rsidR="006A274B" w:rsidRPr="00DB10F3">
        <w:rPr>
          <w:rFonts w:ascii="Helvetica" w:hAnsi="Helvetica"/>
          <w:bCs/>
          <w:i/>
          <w:iCs/>
        </w:rPr>
        <w:t xml:space="preserve">able </w:t>
      </w:r>
      <w:r w:rsidR="00E4132E" w:rsidRPr="00DB10F3">
        <w:rPr>
          <w:rFonts w:ascii="Helvetica" w:hAnsi="Helvetica"/>
          <w:bCs/>
          <w:i/>
          <w:iCs/>
        </w:rPr>
        <w:t>3</w:t>
      </w:r>
      <w:r w:rsidR="006A274B" w:rsidRPr="00DB10F3">
        <w:rPr>
          <w:rFonts w:ascii="Helvetica" w:hAnsi="Helvetica"/>
          <w:bCs/>
        </w:rPr>
        <w:t>)</w:t>
      </w:r>
      <w:r w:rsidR="00610A1F" w:rsidRPr="00DB10F3">
        <w:rPr>
          <w:rFonts w:ascii="Helvetica" w:hAnsi="Helvetica"/>
          <w:bCs/>
        </w:rPr>
        <w:t xml:space="preserve">. Overall agreement using </w:t>
      </w:r>
      <w:r w:rsidR="00440001" w:rsidRPr="00DB10F3">
        <w:rPr>
          <w:rFonts w:ascii="Helvetica" w:hAnsi="Helvetica"/>
          <w:bCs/>
        </w:rPr>
        <w:t xml:space="preserve">the </w:t>
      </w:r>
      <w:r w:rsidR="003A17C2" w:rsidRPr="00DB10F3">
        <w:rPr>
          <w:rFonts w:ascii="Helvetica" w:hAnsi="Helvetica"/>
          <w:bCs/>
        </w:rPr>
        <w:t>5</w:t>
      </w:r>
      <w:r w:rsidR="00610A1F" w:rsidRPr="00DB10F3">
        <w:rPr>
          <w:rFonts w:ascii="Helvetica" w:hAnsi="Helvetica"/>
          <w:bCs/>
        </w:rPr>
        <w:t xml:space="preserve">-point LNRS scale </w:t>
      </w:r>
      <w:r w:rsidR="00F96AF9" w:rsidRPr="00DB10F3">
        <w:rPr>
          <w:rFonts w:ascii="Helvetica" w:hAnsi="Helvetica"/>
          <w:bCs/>
        </w:rPr>
        <w:t>was good (</w:t>
      </w:r>
      <w:r w:rsidR="00F96AF9" w:rsidRPr="00DB10F3">
        <w:rPr>
          <w:rFonts w:ascii="Helvetica" w:hAnsi="Helvetica"/>
          <w:bCs/>
        </w:rPr>
        <w:sym w:font="Symbol" w:char="F06B"/>
      </w:r>
      <w:r w:rsidR="00F96AF9" w:rsidRPr="00DB10F3">
        <w:rPr>
          <w:rFonts w:ascii="Helvetica" w:hAnsi="Helvetica"/>
          <w:bCs/>
        </w:rPr>
        <w:t>=</w:t>
      </w:r>
      <w:r w:rsidR="00440001" w:rsidRPr="00DB10F3">
        <w:rPr>
          <w:rFonts w:ascii="Helvetica" w:hAnsi="Helvetica"/>
          <w:bCs/>
        </w:rPr>
        <w:t xml:space="preserve">0.76, 95% CI 0.74-0.79). </w:t>
      </w:r>
      <w:r w:rsidR="00460502" w:rsidRPr="00DB10F3">
        <w:rPr>
          <w:rFonts w:ascii="Helvetica" w:hAnsi="Helvetica"/>
          <w:bCs/>
        </w:rPr>
        <w:t xml:space="preserve">However, </w:t>
      </w:r>
      <w:r w:rsidR="00294EE6" w:rsidRPr="00DB10F3">
        <w:rPr>
          <w:rFonts w:ascii="Helvetica" w:hAnsi="Helvetica"/>
          <w:bCs/>
        </w:rPr>
        <w:t>agreement</w:t>
      </w:r>
      <w:r w:rsidR="00440001" w:rsidRPr="00DB10F3">
        <w:rPr>
          <w:rFonts w:ascii="Helvetica" w:hAnsi="Helvetica"/>
          <w:bCs/>
        </w:rPr>
        <w:t xml:space="preserve"> was </w:t>
      </w:r>
      <w:r w:rsidR="00460502" w:rsidRPr="00DB10F3">
        <w:rPr>
          <w:rFonts w:ascii="Helvetica" w:hAnsi="Helvetica"/>
          <w:bCs/>
        </w:rPr>
        <w:t xml:space="preserve">significantly </w:t>
      </w:r>
      <w:r w:rsidR="00440001" w:rsidRPr="00DB10F3">
        <w:rPr>
          <w:rFonts w:ascii="Helvetica" w:hAnsi="Helvetica"/>
          <w:bCs/>
        </w:rPr>
        <w:t xml:space="preserve">improved </w:t>
      </w:r>
      <w:r w:rsidR="00294EE6" w:rsidRPr="00DB10F3">
        <w:rPr>
          <w:rFonts w:ascii="Helvetica" w:hAnsi="Helvetica"/>
          <w:bCs/>
        </w:rPr>
        <w:t xml:space="preserve">by instead </w:t>
      </w:r>
      <w:r w:rsidR="00440001" w:rsidRPr="00DB10F3">
        <w:rPr>
          <w:rFonts w:ascii="Helvetica" w:hAnsi="Helvetica"/>
          <w:bCs/>
        </w:rPr>
        <w:t xml:space="preserve">using </w:t>
      </w:r>
      <w:r w:rsidR="00460502" w:rsidRPr="00DB10F3">
        <w:rPr>
          <w:rFonts w:ascii="Helvetica" w:hAnsi="Helvetica"/>
          <w:bCs/>
        </w:rPr>
        <w:t>a</w:t>
      </w:r>
      <w:r w:rsidR="00440001" w:rsidRPr="00DB10F3">
        <w:rPr>
          <w:rFonts w:ascii="Helvetica" w:hAnsi="Helvetica"/>
          <w:bCs/>
        </w:rPr>
        <w:t xml:space="preserve"> </w:t>
      </w:r>
      <w:r w:rsidR="003A17C2" w:rsidRPr="00DB10F3">
        <w:rPr>
          <w:rFonts w:ascii="Helvetica" w:hAnsi="Helvetica"/>
          <w:bCs/>
        </w:rPr>
        <w:t>3</w:t>
      </w:r>
      <w:r w:rsidR="00440001" w:rsidRPr="00DB10F3">
        <w:rPr>
          <w:rFonts w:ascii="Helvetica" w:hAnsi="Helvetica"/>
          <w:bCs/>
        </w:rPr>
        <w:t>-point classification system (</w:t>
      </w:r>
      <w:r w:rsidR="00440001" w:rsidRPr="00DB10F3">
        <w:rPr>
          <w:rFonts w:ascii="Helvetica" w:hAnsi="Helvetica"/>
          <w:bCs/>
        </w:rPr>
        <w:sym w:font="Symbol" w:char="F06B"/>
      </w:r>
      <w:r w:rsidR="00440001" w:rsidRPr="00DB10F3">
        <w:rPr>
          <w:rFonts w:ascii="Helvetica" w:hAnsi="Helvetica"/>
          <w:bCs/>
        </w:rPr>
        <w:t xml:space="preserve">=0.87, 95% </w:t>
      </w:r>
      <w:r w:rsidR="00AA1CBF" w:rsidRPr="00DB10F3">
        <w:rPr>
          <w:rFonts w:ascii="Helvetica" w:hAnsi="Helvetica"/>
          <w:bCs/>
        </w:rPr>
        <w:t>confidence interval [CI</w:t>
      </w:r>
      <w:r w:rsidR="00AA1CBF">
        <w:rPr>
          <w:rFonts w:ascii="Helvetica" w:hAnsi="Helvetica"/>
          <w:bCs/>
        </w:rPr>
        <w:t>]</w:t>
      </w:r>
      <w:r w:rsidR="00440001" w:rsidRPr="00DB10F3">
        <w:rPr>
          <w:rFonts w:ascii="Helvetica" w:hAnsi="Helvetica"/>
          <w:bCs/>
        </w:rPr>
        <w:t xml:space="preserve"> 0.84-0.91; Z = -4.62, p&lt;0.001). </w:t>
      </w:r>
    </w:p>
    <w:p w14:paraId="24B0D117" w14:textId="77777777" w:rsidR="00850628" w:rsidRPr="00DB10F3" w:rsidRDefault="00850628" w:rsidP="00924E8E">
      <w:pPr>
        <w:spacing w:line="480" w:lineRule="auto"/>
        <w:rPr>
          <w:rFonts w:ascii="Helvetica" w:hAnsi="Helvetica"/>
          <w:bCs/>
        </w:rPr>
      </w:pPr>
    </w:p>
    <w:p w14:paraId="3971671C" w14:textId="68888915" w:rsidR="00CB0530" w:rsidRPr="00DB10F3" w:rsidRDefault="00DC0ECB" w:rsidP="00E8529C">
      <w:pPr>
        <w:spacing w:line="480" w:lineRule="auto"/>
        <w:rPr>
          <w:rFonts w:ascii="Helvetica" w:hAnsi="Helvetica"/>
          <w:bCs/>
        </w:rPr>
      </w:pPr>
      <w:r w:rsidRPr="00DB10F3">
        <w:rPr>
          <w:rFonts w:ascii="Helvetica" w:hAnsi="Helvetica"/>
          <w:b/>
          <w:i/>
          <w:iCs/>
        </w:rPr>
        <w:t>Survival</w:t>
      </w:r>
    </w:p>
    <w:p w14:paraId="5570A484" w14:textId="03BAD49D" w:rsidR="00185D7E" w:rsidRDefault="006A274B" w:rsidP="009513F3">
      <w:pPr>
        <w:spacing w:line="480" w:lineRule="auto"/>
        <w:rPr>
          <w:rFonts w:ascii="Helvetica" w:hAnsi="Helvetica"/>
          <w:bCs/>
        </w:rPr>
      </w:pPr>
      <w:r w:rsidRPr="00DB10F3">
        <w:rPr>
          <w:rFonts w:ascii="Helvetica" w:hAnsi="Helvetica"/>
          <w:bCs/>
        </w:rPr>
        <w:t>Kaplan-Meier (</w:t>
      </w:r>
      <w:r w:rsidRPr="00DB10F3">
        <w:rPr>
          <w:rFonts w:ascii="Helvetica" w:hAnsi="Helvetica"/>
          <w:bCs/>
          <w:i/>
          <w:iCs/>
        </w:rPr>
        <w:t xml:space="preserve">Figure </w:t>
      </w:r>
      <w:r w:rsidR="00D64375" w:rsidRPr="00DB10F3">
        <w:rPr>
          <w:rFonts w:ascii="Helvetica" w:hAnsi="Helvetica"/>
          <w:bCs/>
          <w:i/>
          <w:iCs/>
        </w:rPr>
        <w:t>2</w:t>
      </w:r>
      <w:r w:rsidRPr="00DB10F3">
        <w:rPr>
          <w:rFonts w:ascii="Helvetica" w:hAnsi="Helvetica"/>
          <w:bCs/>
        </w:rPr>
        <w:t>) and Cox regression survival analys</w:t>
      </w:r>
      <w:r w:rsidR="00EF5F5D" w:rsidRPr="00DB10F3">
        <w:rPr>
          <w:rFonts w:ascii="Helvetica" w:hAnsi="Helvetica"/>
          <w:bCs/>
        </w:rPr>
        <w:t>i</w:t>
      </w:r>
      <w:r w:rsidRPr="00DB10F3">
        <w:rPr>
          <w:rFonts w:ascii="Helvetica" w:hAnsi="Helvetica"/>
          <w:bCs/>
        </w:rPr>
        <w:t>s (</w:t>
      </w:r>
      <w:r w:rsidR="00A27AFA" w:rsidRPr="00DB10F3">
        <w:rPr>
          <w:rFonts w:ascii="Helvetica" w:hAnsi="Helvetica"/>
          <w:bCs/>
          <w:i/>
          <w:iCs/>
        </w:rPr>
        <w:t>T</w:t>
      </w:r>
      <w:r w:rsidRPr="00DB10F3">
        <w:rPr>
          <w:rFonts w:ascii="Helvetica" w:hAnsi="Helvetica"/>
          <w:bCs/>
          <w:i/>
          <w:iCs/>
        </w:rPr>
        <w:t>able 4</w:t>
      </w:r>
      <w:r w:rsidRPr="00DB10F3">
        <w:rPr>
          <w:rFonts w:ascii="Helvetica" w:hAnsi="Helvetica"/>
          <w:bCs/>
        </w:rPr>
        <w:t xml:space="preserve">) demonstrated improved overall survival in </w:t>
      </w:r>
      <w:r w:rsidR="005043D9" w:rsidRPr="00DB10F3">
        <w:rPr>
          <w:rFonts w:ascii="Helvetica" w:hAnsi="Helvetica"/>
          <w:bCs/>
        </w:rPr>
        <w:t xml:space="preserve">patients with a </w:t>
      </w:r>
      <w:r w:rsidRPr="00DB10F3">
        <w:rPr>
          <w:rFonts w:ascii="Helvetica" w:hAnsi="Helvetica"/>
          <w:bCs/>
        </w:rPr>
        <w:t xml:space="preserve">complete </w:t>
      </w:r>
      <w:r w:rsidR="00EF5F5D" w:rsidRPr="00DB10F3">
        <w:rPr>
          <w:rFonts w:ascii="Helvetica" w:hAnsi="Helvetica"/>
          <w:bCs/>
        </w:rPr>
        <w:t>LN</w:t>
      </w:r>
      <w:r w:rsidRPr="00DB10F3">
        <w:rPr>
          <w:rFonts w:ascii="Helvetica" w:hAnsi="Helvetica"/>
          <w:bCs/>
        </w:rPr>
        <w:t xml:space="preserve"> respon</w:t>
      </w:r>
      <w:r w:rsidR="005043D9" w:rsidRPr="00DB10F3">
        <w:rPr>
          <w:rFonts w:ascii="Helvetica" w:hAnsi="Helvetica"/>
          <w:bCs/>
        </w:rPr>
        <w:t>se</w:t>
      </w:r>
      <w:r w:rsidRPr="00DB10F3">
        <w:rPr>
          <w:rFonts w:ascii="Helvetica" w:hAnsi="Helvetica"/>
          <w:bCs/>
        </w:rPr>
        <w:t xml:space="preserve"> </w:t>
      </w:r>
      <w:r w:rsidR="00850628" w:rsidRPr="00DB10F3">
        <w:rPr>
          <w:rFonts w:ascii="Helvetica" w:hAnsi="Helvetica"/>
          <w:bCs/>
        </w:rPr>
        <w:t>(hazard ratio [HR] 0.3</w:t>
      </w:r>
      <w:r w:rsidR="00850628">
        <w:rPr>
          <w:rFonts w:ascii="Helvetica" w:hAnsi="Helvetica"/>
          <w:bCs/>
        </w:rPr>
        <w:t>5</w:t>
      </w:r>
      <w:r w:rsidR="00850628" w:rsidRPr="00DB10F3">
        <w:rPr>
          <w:rFonts w:ascii="Helvetica" w:hAnsi="Helvetica"/>
          <w:bCs/>
        </w:rPr>
        <w:t>; 95%</w:t>
      </w:r>
      <w:r w:rsidR="00AA1CBF">
        <w:rPr>
          <w:rFonts w:ascii="Helvetica" w:hAnsi="Helvetica"/>
          <w:bCs/>
        </w:rPr>
        <w:t xml:space="preserve"> CI</w:t>
      </w:r>
      <w:r w:rsidR="00850628" w:rsidRPr="00DB10F3">
        <w:rPr>
          <w:rFonts w:ascii="Helvetica" w:hAnsi="Helvetica"/>
          <w:bCs/>
        </w:rPr>
        <w:t xml:space="preserve"> 0.22-0.5</w:t>
      </w:r>
      <w:r w:rsidR="00850628">
        <w:rPr>
          <w:rFonts w:ascii="Helvetica" w:hAnsi="Helvetica"/>
          <w:bCs/>
        </w:rPr>
        <w:t>6</w:t>
      </w:r>
      <w:r w:rsidR="00850628" w:rsidRPr="00DB10F3">
        <w:rPr>
          <w:rFonts w:ascii="Helvetica" w:hAnsi="Helvetica"/>
          <w:bCs/>
        </w:rPr>
        <w:t>), partial LN response (HR 0.</w:t>
      </w:r>
      <w:r w:rsidR="00850628">
        <w:rPr>
          <w:rFonts w:ascii="Helvetica" w:hAnsi="Helvetica"/>
          <w:bCs/>
        </w:rPr>
        <w:t>72</w:t>
      </w:r>
      <w:r w:rsidR="00850628" w:rsidRPr="00DB10F3">
        <w:rPr>
          <w:rFonts w:ascii="Helvetica" w:hAnsi="Helvetica"/>
          <w:bCs/>
        </w:rPr>
        <w:t>; 95%CI 0.5</w:t>
      </w:r>
      <w:r w:rsidR="00850628">
        <w:rPr>
          <w:rFonts w:ascii="Helvetica" w:hAnsi="Helvetica"/>
          <w:bCs/>
        </w:rPr>
        <w:t>7</w:t>
      </w:r>
      <w:r w:rsidR="00850628" w:rsidRPr="00DB10F3">
        <w:rPr>
          <w:rFonts w:ascii="Helvetica" w:hAnsi="Helvetica"/>
          <w:bCs/>
        </w:rPr>
        <w:t>-0.</w:t>
      </w:r>
      <w:r w:rsidR="00850628">
        <w:rPr>
          <w:rFonts w:ascii="Helvetica" w:hAnsi="Helvetica"/>
          <w:bCs/>
        </w:rPr>
        <w:t>93</w:t>
      </w:r>
      <w:r w:rsidR="00850628" w:rsidRPr="00DB10F3">
        <w:rPr>
          <w:rFonts w:ascii="Helvetica" w:hAnsi="Helvetica"/>
          <w:bCs/>
        </w:rPr>
        <w:t>) and negative LNs (HR 0.3</w:t>
      </w:r>
      <w:r w:rsidR="00850628">
        <w:rPr>
          <w:rFonts w:ascii="Helvetica" w:hAnsi="Helvetica"/>
          <w:bCs/>
        </w:rPr>
        <w:t>2</w:t>
      </w:r>
      <w:r w:rsidR="00850628" w:rsidRPr="00DB10F3">
        <w:rPr>
          <w:rFonts w:ascii="Helvetica" w:hAnsi="Helvetica"/>
          <w:bCs/>
        </w:rPr>
        <w:t>; 95%CI 0.25-0.4</w:t>
      </w:r>
      <w:r w:rsidR="00850628">
        <w:rPr>
          <w:rFonts w:ascii="Helvetica" w:hAnsi="Helvetica"/>
          <w:bCs/>
        </w:rPr>
        <w:t>2</w:t>
      </w:r>
      <w:r w:rsidR="00850628" w:rsidRPr="00DB10F3">
        <w:rPr>
          <w:rFonts w:ascii="Helvetica" w:hAnsi="Helvetica"/>
          <w:bCs/>
        </w:rPr>
        <w:t>)</w:t>
      </w:r>
      <w:r w:rsidR="00850628">
        <w:rPr>
          <w:rFonts w:ascii="Helvetica" w:hAnsi="Helvetica"/>
          <w:bCs/>
        </w:rPr>
        <w:t xml:space="preserve"> </w:t>
      </w:r>
      <w:r w:rsidRPr="00DB10F3">
        <w:rPr>
          <w:rFonts w:ascii="Helvetica" w:hAnsi="Helvetica"/>
          <w:bCs/>
        </w:rPr>
        <w:t xml:space="preserve">compared to </w:t>
      </w:r>
      <w:r w:rsidR="00EF5F5D" w:rsidRPr="00DB10F3">
        <w:rPr>
          <w:rFonts w:ascii="Helvetica" w:hAnsi="Helvetica"/>
          <w:bCs/>
        </w:rPr>
        <w:t xml:space="preserve">LN </w:t>
      </w:r>
      <w:r w:rsidR="00115E01" w:rsidRPr="00DB10F3">
        <w:rPr>
          <w:rFonts w:ascii="Helvetica" w:hAnsi="Helvetica"/>
          <w:bCs/>
        </w:rPr>
        <w:t>poor/</w:t>
      </w:r>
      <w:r w:rsidRPr="00DB10F3">
        <w:rPr>
          <w:rFonts w:ascii="Helvetica" w:hAnsi="Helvetica"/>
          <w:bCs/>
        </w:rPr>
        <w:t>non-responders</w:t>
      </w:r>
      <w:r w:rsidR="00A019FF" w:rsidRPr="00DB10F3">
        <w:rPr>
          <w:rFonts w:ascii="Helvetica" w:hAnsi="Helvetica"/>
          <w:bCs/>
        </w:rPr>
        <w:t xml:space="preserve"> when adjusted for confounding factors including regression in the primary </w:t>
      </w:r>
      <w:proofErr w:type="spellStart"/>
      <w:r w:rsidR="0019785E">
        <w:rPr>
          <w:rFonts w:ascii="Helvetica" w:hAnsi="Helvetica"/>
          <w:bCs/>
        </w:rPr>
        <w:t>tumor</w:t>
      </w:r>
      <w:proofErr w:type="spellEnd"/>
      <w:r w:rsidRPr="00DB10F3">
        <w:rPr>
          <w:rFonts w:ascii="Helvetica" w:hAnsi="Helvetica"/>
          <w:bCs/>
        </w:rPr>
        <w:t xml:space="preserve">. Similar results were observed for </w:t>
      </w:r>
      <w:r w:rsidRPr="00DB10F3">
        <w:rPr>
          <w:rFonts w:ascii="Helvetica" w:hAnsi="Helvetica"/>
          <w:bCs/>
        </w:rPr>
        <w:lastRenderedPageBreak/>
        <w:t xml:space="preserve">disease-free survival </w:t>
      </w:r>
      <w:r w:rsidR="00850628" w:rsidRPr="00DB10F3">
        <w:rPr>
          <w:rFonts w:ascii="Helvetica" w:hAnsi="Helvetica"/>
          <w:bCs/>
        </w:rPr>
        <w:t>(complete LN response</w:t>
      </w:r>
      <w:r w:rsidR="00BF220A">
        <w:rPr>
          <w:rFonts w:ascii="Helvetica" w:hAnsi="Helvetica"/>
          <w:bCs/>
        </w:rPr>
        <w:t>,</w:t>
      </w:r>
      <w:r w:rsidR="00BF220A" w:rsidRPr="00BF220A">
        <w:rPr>
          <w:rFonts w:ascii="Helvetica" w:hAnsi="Helvetica"/>
          <w:bCs/>
        </w:rPr>
        <w:t xml:space="preserve"> </w:t>
      </w:r>
      <w:r w:rsidR="00BF220A" w:rsidRPr="00DB10F3">
        <w:rPr>
          <w:rFonts w:ascii="Helvetica" w:hAnsi="Helvetica"/>
          <w:bCs/>
        </w:rPr>
        <w:t>HR 0.32 95%CI 0.2</w:t>
      </w:r>
      <w:r w:rsidR="00BF220A">
        <w:rPr>
          <w:rFonts w:ascii="Helvetica" w:hAnsi="Helvetica"/>
          <w:bCs/>
        </w:rPr>
        <w:t>0</w:t>
      </w:r>
      <w:r w:rsidR="00BF220A" w:rsidRPr="00DB10F3">
        <w:rPr>
          <w:rFonts w:ascii="Helvetica" w:hAnsi="Helvetica"/>
          <w:bCs/>
        </w:rPr>
        <w:t>-0.</w:t>
      </w:r>
      <w:r w:rsidR="00BF220A">
        <w:rPr>
          <w:rFonts w:ascii="Helvetica" w:hAnsi="Helvetica"/>
          <w:bCs/>
        </w:rPr>
        <w:t>51</w:t>
      </w:r>
      <w:r w:rsidR="00850628" w:rsidRPr="00DB10F3">
        <w:rPr>
          <w:rFonts w:ascii="Helvetica" w:hAnsi="Helvetica"/>
          <w:bCs/>
        </w:rPr>
        <w:t>; partial LN response, HR 0.7</w:t>
      </w:r>
      <w:r w:rsidR="00850628">
        <w:rPr>
          <w:rFonts w:ascii="Helvetica" w:hAnsi="Helvetica"/>
          <w:bCs/>
        </w:rPr>
        <w:t>6</w:t>
      </w:r>
      <w:r w:rsidR="00850628" w:rsidRPr="00DB10F3">
        <w:rPr>
          <w:rFonts w:ascii="Helvetica" w:hAnsi="Helvetica"/>
          <w:bCs/>
        </w:rPr>
        <w:t xml:space="preserve"> 95%CI 0.</w:t>
      </w:r>
      <w:r w:rsidR="00850628">
        <w:rPr>
          <w:rFonts w:ascii="Helvetica" w:hAnsi="Helvetica"/>
          <w:bCs/>
        </w:rPr>
        <w:t>60</w:t>
      </w:r>
      <w:r w:rsidR="00850628" w:rsidRPr="00DB10F3">
        <w:rPr>
          <w:rFonts w:ascii="Helvetica" w:hAnsi="Helvetica"/>
          <w:bCs/>
        </w:rPr>
        <w:t>-0.9</w:t>
      </w:r>
      <w:r w:rsidR="00850628">
        <w:rPr>
          <w:rFonts w:ascii="Helvetica" w:hAnsi="Helvetica"/>
          <w:bCs/>
        </w:rPr>
        <w:t>6</w:t>
      </w:r>
      <w:r w:rsidR="00850628" w:rsidRPr="00DB10F3">
        <w:rPr>
          <w:rFonts w:ascii="Helvetica" w:hAnsi="Helvetica"/>
          <w:bCs/>
        </w:rPr>
        <w:t>; LN negative</w:t>
      </w:r>
      <w:r w:rsidR="00BF220A">
        <w:rPr>
          <w:rFonts w:ascii="Helvetica" w:hAnsi="Helvetica"/>
          <w:bCs/>
        </w:rPr>
        <w:t xml:space="preserve">, </w:t>
      </w:r>
      <w:r w:rsidR="00BF220A" w:rsidRPr="00DB10F3">
        <w:rPr>
          <w:rFonts w:ascii="Helvetica" w:hAnsi="Helvetica"/>
          <w:bCs/>
        </w:rPr>
        <w:t>HR 0.31 95%CI 0.2</w:t>
      </w:r>
      <w:r w:rsidR="00BF220A">
        <w:rPr>
          <w:rFonts w:ascii="Helvetica" w:hAnsi="Helvetica"/>
          <w:bCs/>
        </w:rPr>
        <w:t>4</w:t>
      </w:r>
      <w:r w:rsidR="00BF220A" w:rsidRPr="00DB10F3">
        <w:rPr>
          <w:rFonts w:ascii="Helvetica" w:hAnsi="Helvetica"/>
          <w:bCs/>
        </w:rPr>
        <w:t>-0.4</w:t>
      </w:r>
      <w:r w:rsidR="00BF220A">
        <w:rPr>
          <w:rFonts w:ascii="Helvetica" w:hAnsi="Helvetica"/>
          <w:bCs/>
        </w:rPr>
        <w:t>1</w:t>
      </w:r>
      <w:r w:rsidR="00850628" w:rsidRPr="00DB10F3">
        <w:rPr>
          <w:rFonts w:ascii="Helvetica" w:hAnsi="Helvetica"/>
          <w:bCs/>
        </w:rPr>
        <w:t xml:space="preserve">). </w:t>
      </w:r>
      <w:r w:rsidR="007D4AFA">
        <w:rPr>
          <w:rFonts w:ascii="Helvetica" w:hAnsi="Helvetica"/>
          <w:bCs/>
        </w:rPr>
        <w:t xml:space="preserve">Internal </w:t>
      </w:r>
      <w:r w:rsidR="00185D7E">
        <w:rPr>
          <w:rFonts w:ascii="Helvetica" w:hAnsi="Helvetica"/>
          <w:bCs/>
        </w:rPr>
        <w:t xml:space="preserve">validation </w:t>
      </w:r>
      <w:r w:rsidR="006F24EC">
        <w:rPr>
          <w:rFonts w:ascii="Helvetica" w:hAnsi="Helvetica"/>
          <w:bCs/>
        </w:rPr>
        <w:t xml:space="preserve">using both the split-sample and bootstrap methods </w:t>
      </w:r>
      <w:r w:rsidR="00FA4F1D">
        <w:rPr>
          <w:rFonts w:ascii="Helvetica" w:hAnsi="Helvetica"/>
          <w:bCs/>
        </w:rPr>
        <w:t xml:space="preserve">demonstrated </w:t>
      </w:r>
      <w:r w:rsidR="006F24EC">
        <w:rPr>
          <w:rFonts w:ascii="Helvetica" w:hAnsi="Helvetica"/>
          <w:bCs/>
        </w:rPr>
        <w:t xml:space="preserve">similar </w:t>
      </w:r>
      <w:r w:rsidR="00FA4F1D">
        <w:rPr>
          <w:rFonts w:ascii="Helvetica" w:hAnsi="Helvetica"/>
          <w:bCs/>
        </w:rPr>
        <w:t>prognostic performance and model discrimination</w:t>
      </w:r>
      <w:r w:rsidR="006F24EC">
        <w:rPr>
          <w:rFonts w:ascii="Helvetica" w:hAnsi="Helvetica"/>
          <w:bCs/>
        </w:rPr>
        <w:t xml:space="preserve"> </w:t>
      </w:r>
      <w:r w:rsidR="000256AE">
        <w:rPr>
          <w:rFonts w:ascii="Helvetica" w:hAnsi="Helvetica"/>
          <w:bCs/>
        </w:rPr>
        <w:t>using</w:t>
      </w:r>
      <w:r w:rsidR="006F24EC">
        <w:rPr>
          <w:rFonts w:ascii="Helvetica" w:hAnsi="Helvetica"/>
          <w:bCs/>
        </w:rPr>
        <w:t xml:space="preserve"> this classification of LN response</w:t>
      </w:r>
      <w:r w:rsidR="00CD558A">
        <w:rPr>
          <w:rFonts w:ascii="Helvetica" w:hAnsi="Helvetica"/>
          <w:bCs/>
        </w:rPr>
        <w:t>.</w:t>
      </w:r>
    </w:p>
    <w:p w14:paraId="67F4E3FA" w14:textId="77777777" w:rsidR="00185D7E" w:rsidRDefault="00185D7E" w:rsidP="009513F3">
      <w:pPr>
        <w:spacing w:line="480" w:lineRule="auto"/>
        <w:rPr>
          <w:rFonts w:ascii="Helvetica" w:hAnsi="Helvetica"/>
          <w:bCs/>
        </w:rPr>
      </w:pPr>
    </w:p>
    <w:p w14:paraId="63289F68" w14:textId="38DADEF6" w:rsidR="009513F3" w:rsidRPr="00850628" w:rsidRDefault="009513F3" w:rsidP="009513F3">
      <w:pPr>
        <w:spacing w:line="480" w:lineRule="auto"/>
        <w:rPr>
          <w:rFonts w:ascii="Helvetica" w:hAnsi="Helvetica"/>
          <w:bCs/>
        </w:rPr>
      </w:pPr>
      <w:r w:rsidRPr="00DB10F3">
        <w:rPr>
          <w:rFonts w:ascii="Helvetica" w:hAnsi="Helvetica"/>
        </w:rPr>
        <w:t xml:space="preserve">Rates of </w:t>
      </w:r>
      <w:proofErr w:type="spellStart"/>
      <w:r w:rsidR="0019785E">
        <w:rPr>
          <w:rFonts w:ascii="Helvetica" w:hAnsi="Helvetica"/>
        </w:rPr>
        <w:t>tumor</w:t>
      </w:r>
      <w:proofErr w:type="spellEnd"/>
      <w:r w:rsidRPr="00DB10F3">
        <w:rPr>
          <w:rFonts w:ascii="Helvetica" w:hAnsi="Helvetica"/>
        </w:rPr>
        <w:t xml:space="preserve"> recurrence were </w:t>
      </w:r>
      <w:r w:rsidR="00D64375" w:rsidRPr="00DB10F3">
        <w:rPr>
          <w:rFonts w:ascii="Helvetica" w:hAnsi="Helvetica"/>
        </w:rPr>
        <w:t>highest</w:t>
      </w:r>
      <w:r w:rsidRPr="00DB10F3">
        <w:rPr>
          <w:rFonts w:ascii="Helvetica" w:hAnsi="Helvetica"/>
        </w:rPr>
        <w:t xml:space="preserve"> in patients who demonstrated</w:t>
      </w:r>
      <w:r w:rsidR="00D64375" w:rsidRPr="00DB10F3">
        <w:rPr>
          <w:rFonts w:ascii="Helvetica" w:hAnsi="Helvetica"/>
        </w:rPr>
        <w:t xml:space="preserve"> poor/no LN response</w:t>
      </w:r>
      <w:r w:rsidRPr="00DB10F3">
        <w:rPr>
          <w:rFonts w:ascii="Helvetica" w:hAnsi="Helvetica"/>
        </w:rPr>
        <w:t xml:space="preserve"> (</w:t>
      </w:r>
      <w:r w:rsidR="00EF5F5D" w:rsidRPr="00DB10F3">
        <w:rPr>
          <w:rFonts w:ascii="Helvetica" w:hAnsi="Helvetica"/>
        </w:rPr>
        <w:t xml:space="preserve">LN </w:t>
      </w:r>
      <w:r w:rsidRPr="00DB10F3">
        <w:rPr>
          <w:rFonts w:ascii="Helvetica" w:hAnsi="Helvetica"/>
        </w:rPr>
        <w:t xml:space="preserve">negative 23.0% vs complete </w:t>
      </w:r>
      <w:r w:rsidR="00EF5F5D" w:rsidRPr="00DB10F3">
        <w:rPr>
          <w:rFonts w:ascii="Helvetica" w:hAnsi="Helvetica"/>
        </w:rPr>
        <w:t xml:space="preserve">LN </w:t>
      </w:r>
      <w:r w:rsidRPr="00DB10F3">
        <w:rPr>
          <w:rFonts w:ascii="Helvetica" w:hAnsi="Helvetica"/>
        </w:rPr>
        <w:t>respon</w:t>
      </w:r>
      <w:r w:rsidR="005043D9" w:rsidRPr="00DB10F3">
        <w:rPr>
          <w:rFonts w:ascii="Helvetica" w:hAnsi="Helvetica"/>
        </w:rPr>
        <w:t>se</w:t>
      </w:r>
      <w:r w:rsidRPr="00DB10F3">
        <w:rPr>
          <w:rFonts w:ascii="Helvetica" w:hAnsi="Helvetica"/>
        </w:rPr>
        <w:t xml:space="preserve"> 19.4% vs partial </w:t>
      </w:r>
      <w:r w:rsidR="00EF5F5D" w:rsidRPr="00DB10F3">
        <w:rPr>
          <w:rFonts w:ascii="Helvetica" w:hAnsi="Helvetica"/>
        </w:rPr>
        <w:t xml:space="preserve">LN </w:t>
      </w:r>
      <w:r w:rsidRPr="00DB10F3">
        <w:rPr>
          <w:rFonts w:ascii="Helvetica" w:hAnsi="Helvetica"/>
        </w:rPr>
        <w:t>respon</w:t>
      </w:r>
      <w:r w:rsidR="005043D9" w:rsidRPr="00DB10F3">
        <w:rPr>
          <w:rFonts w:ascii="Helvetica" w:hAnsi="Helvetica"/>
        </w:rPr>
        <w:t>se</w:t>
      </w:r>
      <w:r w:rsidRPr="00DB10F3">
        <w:rPr>
          <w:rFonts w:ascii="Helvetica" w:hAnsi="Helvetica"/>
        </w:rPr>
        <w:t xml:space="preserve"> 50.3% vs </w:t>
      </w:r>
      <w:r w:rsidR="00115E01" w:rsidRPr="00DB10F3">
        <w:rPr>
          <w:rFonts w:ascii="Helvetica" w:hAnsi="Helvetica"/>
        </w:rPr>
        <w:t>poor/</w:t>
      </w:r>
      <w:r w:rsidRPr="00DB10F3">
        <w:rPr>
          <w:rFonts w:ascii="Helvetica" w:hAnsi="Helvetica"/>
        </w:rPr>
        <w:t>no</w:t>
      </w:r>
      <w:r w:rsidR="005043D9" w:rsidRPr="00DB10F3">
        <w:rPr>
          <w:rFonts w:ascii="Helvetica" w:hAnsi="Helvetica"/>
        </w:rPr>
        <w:t xml:space="preserve"> </w:t>
      </w:r>
      <w:r w:rsidR="00EF5F5D" w:rsidRPr="00DB10F3">
        <w:rPr>
          <w:rFonts w:ascii="Helvetica" w:hAnsi="Helvetica"/>
        </w:rPr>
        <w:t xml:space="preserve">LN </w:t>
      </w:r>
      <w:r w:rsidRPr="00DB10F3">
        <w:rPr>
          <w:rFonts w:ascii="Helvetica" w:hAnsi="Helvetica"/>
        </w:rPr>
        <w:t>respon</w:t>
      </w:r>
      <w:r w:rsidR="005043D9" w:rsidRPr="00DB10F3">
        <w:rPr>
          <w:rFonts w:ascii="Helvetica" w:hAnsi="Helvetica"/>
        </w:rPr>
        <w:t>se</w:t>
      </w:r>
      <w:r w:rsidRPr="00DB10F3">
        <w:rPr>
          <w:rFonts w:ascii="Helvetica" w:hAnsi="Helvetica"/>
        </w:rPr>
        <w:t xml:space="preserve"> 66.7%, p&lt;0.001).</w:t>
      </w:r>
      <w:r w:rsidR="00867A8B" w:rsidRPr="00DB10F3">
        <w:rPr>
          <w:rFonts w:ascii="Helvetica" w:hAnsi="Helvetica"/>
          <w:bCs/>
        </w:rPr>
        <w:t xml:space="preserve"> </w:t>
      </w:r>
      <w:r w:rsidR="00C72589" w:rsidRPr="00DB10F3">
        <w:rPr>
          <w:rFonts w:ascii="Helvetica" w:hAnsi="Helvetica"/>
          <w:bCs/>
        </w:rPr>
        <w:t xml:space="preserve">This was true for both </w:t>
      </w:r>
      <w:r w:rsidR="00EF5F5D" w:rsidRPr="00DB10F3">
        <w:rPr>
          <w:rFonts w:ascii="Helvetica" w:hAnsi="Helvetica"/>
          <w:bCs/>
        </w:rPr>
        <w:t>loc</w:t>
      </w:r>
      <w:r w:rsidR="008157D6" w:rsidRPr="00DB10F3">
        <w:rPr>
          <w:rFonts w:ascii="Helvetica" w:hAnsi="Helvetica"/>
          <w:bCs/>
        </w:rPr>
        <w:t>oregional</w:t>
      </w:r>
      <w:r w:rsidR="00EF5F5D" w:rsidRPr="00DB10F3">
        <w:rPr>
          <w:rFonts w:ascii="Helvetica" w:hAnsi="Helvetica"/>
          <w:bCs/>
        </w:rPr>
        <w:t xml:space="preserve"> and systemic recurrence</w:t>
      </w:r>
      <w:r w:rsidR="00C72589" w:rsidRPr="00DB10F3">
        <w:rPr>
          <w:rFonts w:ascii="Helvetica" w:hAnsi="Helvetica"/>
          <w:bCs/>
        </w:rPr>
        <w:t xml:space="preserve">. </w:t>
      </w:r>
      <w:r w:rsidR="00867A8B" w:rsidRPr="00DB10F3">
        <w:rPr>
          <w:rFonts w:ascii="Helvetica" w:hAnsi="Helvetica"/>
          <w:bCs/>
        </w:rPr>
        <w:t xml:space="preserve">Patients who demonstrated a pathological response in the primary </w:t>
      </w:r>
      <w:proofErr w:type="spellStart"/>
      <w:r w:rsidR="0019785E">
        <w:rPr>
          <w:rFonts w:ascii="Helvetica" w:hAnsi="Helvetica"/>
          <w:bCs/>
        </w:rPr>
        <w:t>tumor</w:t>
      </w:r>
      <w:proofErr w:type="spellEnd"/>
      <w:r w:rsidR="00867A8B" w:rsidRPr="00DB10F3">
        <w:rPr>
          <w:rFonts w:ascii="Helvetica" w:hAnsi="Helvetica"/>
          <w:bCs/>
        </w:rPr>
        <w:t xml:space="preserve"> had improved</w:t>
      </w:r>
      <w:r w:rsidR="00173B10" w:rsidRPr="00DB10F3">
        <w:rPr>
          <w:rFonts w:ascii="Helvetica" w:hAnsi="Helvetica"/>
          <w:bCs/>
        </w:rPr>
        <w:t xml:space="preserve"> </w:t>
      </w:r>
      <w:r w:rsidR="00867A8B" w:rsidRPr="00DB10F3">
        <w:rPr>
          <w:rFonts w:ascii="Helvetica" w:hAnsi="Helvetica"/>
          <w:bCs/>
        </w:rPr>
        <w:t xml:space="preserve">survival compared to </w:t>
      </w:r>
      <w:r w:rsidR="00E25F87" w:rsidRPr="00DB10F3">
        <w:rPr>
          <w:rFonts w:ascii="Helvetica" w:hAnsi="Helvetica"/>
          <w:bCs/>
        </w:rPr>
        <w:t xml:space="preserve">primary </w:t>
      </w:r>
      <w:proofErr w:type="spellStart"/>
      <w:r w:rsidR="0019785E">
        <w:rPr>
          <w:rFonts w:ascii="Helvetica" w:hAnsi="Helvetica"/>
          <w:bCs/>
        </w:rPr>
        <w:t>tumor</w:t>
      </w:r>
      <w:proofErr w:type="spellEnd"/>
      <w:r w:rsidR="00E25F87" w:rsidRPr="00DB10F3">
        <w:rPr>
          <w:rFonts w:ascii="Helvetica" w:hAnsi="Helvetica"/>
          <w:bCs/>
        </w:rPr>
        <w:t xml:space="preserve"> </w:t>
      </w:r>
      <w:r w:rsidR="00867A8B" w:rsidRPr="00DB10F3">
        <w:rPr>
          <w:rFonts w:ascii="Helvetica" w:hAnsi="Helvetica"/>
          <w:bCs/>
        </w:rPr>
        <w:t>no</w:t>
      </w:r>
      <w:r w:rsidR="00E25F87" w:rsidRPr="00DB10F3">
        <w:rPr>
          <w:rFonts w:ascii="Helvetica" w:hAnsi="Helvetica"/>
          <w:bCs/>
        </w:rPr>
        <w:t>n-</w:t>
      </w:r>
      <w:r w:rsidR="00867A8B" w:rsidRPr="00DB10F3">
        <w:rPr>
          <w:rFonts w:ascii="Helvetica" w:hAnsi="Helvetica"/>
          <w:bCs/>
        </w:rPr>
        <w:t xml:space="preserve">responders </w:t>
      </w:r>
      <w:r w:rsidR="00850628">
        <w:rPr>
          <w:rFonts w:ascii="Helvetica" w:hAnsi="Helvetica"/>
          <w:bCs/>
        </w:rPr>
        <w:t>(</w:t>
      </w:r>
      <w:r w:rsidR="00850628" w:rsidRPr="00DB10F3">
        <w:rPr>
          <w:rFonts w:ascii="Helvetica" w:hAnsi="Helvetica"/>
          <w:bCs/>
        </w:rPr>
        <w:t xml:space="preserve">overall survival </w:t>
      </w:r>
      <w:r w:rsidR="00850628">
        <w:rPr>
          <w:rFonts w:ascii="Helvetica" w:hAnsi="Helvetica"/>
          <w:bCs/>
        </w:rPr>
        <w:t>Mandard 1, HR 0.49 95% CI 0.27-0.91; Mandard 2-3 HR 0.70 95% CI 0.55-0.87).</w:t>
      </w:r>
    </w:p>
    <w:p w14:paraId="6D915B8A" w14:textId="77777777" w:rsidR="006A274B" w:rsidRPr="00DB10F3" w:rsidRDefault="006A274B" w:rsidP="00E8529C">
      <w:pPr>
        <w:spacing w:line="480" w:lineRule="auto"/>
        <w:rPr>
          <w:rFonts w:ascii="Helvetica" w:hAnsi="Helvetica"/>
          <w:bCs/>
        </w:rPr>
      </w:pPr>
    </w:p>
    <w:p w14:paraId="423AC8C1" w14:textId="0E6F3F0C" w:rsidR="001B35E1" w:rsidRDefault="00EF5F5D" w:rsidP="001B35E1">
      <w:pPr>
        <w:spacing w:line="480" w:lineRule="auto"/>
        <w:rPr>
          <w:rFonts w:ascii="Helvetica" w:hAnsi="Helvetica"/>
          <w:b/>
        </w:rPr>
      </w:pPr>
      <w:r w:rsidRPr="00DB10F3">
        <w:rPr>
          <w:rFonts w:ascii="Helvetica" w:hAnsi="Helvetica"/>
          <w:bCs/>
        </w:rPr>
        <w:t>Stratified</w:t>
      </w:r>
      <w:r w:rsidR="006A274B" w:rsidRPr="00DB10F3">
        <w:rPr>
          <w:rFonts w:ascii="Helvetica" w:hAnsi="Helvetica"/>
          <w:bCs/>
        </w:rPr>
        <w:t xml:space="preserve"> analysis evaluating the effect of </w:t>
      </w:r>
      <w:r w:rsidRPr="00DB10F3">
        <w:rPr>
          <w:rFonts w:ascii="Helvetica" w:hAnsi="Helvetica"/>
          <w:bCs/>
        </w:rPr>
        <w:t>LN</w:t>
      </w:r>
      <w:r w:rsidR="006A274B" w:rsidRPr="00DB10F3">
        <w:rPr>
          <w:rFonts w:ascii="Helvetica" w:hAnsi="Helvetica"/>
          <w:bCs/>
        </w:rPr>
        <w:t xml:space="preserve"> regression </w:t>
      </w:r>
      <w:r w:rsidR="000C697B" w:rsidRPr="00DB10F3">
        <w:rPr>
          <w:rFonts w:ascii="Helvetica" w:hAnsi="Helvetica"/>
          <w:bCs/>
        </w:rPr>
        <w:t>on survival in</w:t>
      </w:r>
      <w:r w:rsidR="006A274B" w:rsidRPr="00DB10F3">
        <w:rPr>
          <w:rFonts w:ascii="Helvetica" w:hAnsi="Helvetica"/>
          <w:bCs/>
        </w:rPr>
        <w:t xml:space="preserve"> different pathological </w:t>
      </w:r>
      <w:r w:rsidRPr="00DB10F3">
        <w:rPr>
          <w:rFonts w:ascii="Helvetica" w:hAnsi="Helvetica"/>
          <w:bCs/>
        </w:rPr>
        <w:t>nodal</w:t>
      </w:r>
      <w:r w:rsidR="006A274B" w:rsidRPr="00DB10F3">
        <w:rPr>
          <w:rFonts w:ascii="Helvetica" w:hAnsi="Helvetica"/>
          <w:bCs/>
        </w:rPr>
        <w:t xml:space="preserve"> stage</w:t>
      </w:r>
      <w:r w:rsidR="009513F3" w:rsidRPr="00DB10F3">
        <w:rPr>
          <w:rFonts w:ascii="Helvetica" w:hAnsi="Helvetica"/>
          <w:bCs/>
        </w:rPr>
        <w:t xml:space="preserve">s </w:t>
      </w:r>
      <w:r w:rsidRPr="00DB10F3">
        <w:rPr>
          <w:rFonts w:ascii="Helvetica" w:hAnsi="Helvetica"/>
          <w:bCs/>
        </w:rPr>
        <w:t xml:space="preserve">greater than ypN0 </w:t>
      </w:r>
      <w:r w:rsidR="006A274B" w:rsidRPr="00DB10F3">
        <w:rPr>
          <w:rFonts w:ascii="Helvetica" w:hAnsi="Helvetica"/>
          <w:bCs/>
        </w:rPr>
        <w:t>(</w:t>
      </w:r>
      <w:r w:rsidR="006A274B" w:rsidRPr="00DB10F3">
        <w:rPr>
          <w:rFonts w:ascii="Helvetica" w:hAnsi="Helvetica"/>
          <w:bCs/>
          <w:i/>
          <w:iCs/>
        </w:rPr>
        <w:t xml:space="preserve">Figure </w:t>
      </w:r>
      <w:r w:rsidR="00BA14AB" w:rsidRPr="00DB10F3">
        <w:rPr>
          <w:rFonts w:ascii="Helvetica" w:hAnsi="Helvetica"/>
          <w:bCs/>
          <w:i/>
          <w:iCs/>
        </w:rPr>
        <w:t>2</w:t>
      </w:r>
      <w:r w:rsidR="005043D9" w:rsidRPr="00DB10F3">
        <w:rPr>
          <w:rFonts w:ascii="Helvetica" w:hAnsi="Helvetica"/>
          <w:bCs/>
          <w:i/>
          <w:iCs/>
        </w:rPr>
        <w:t xml:space="preserve"> </w:t>
      </w:r>
      <w:r w:rsidR="00BA14AB" w:rsidRPr="00DB10F3">
        <w:rPr>
          <w:rFonts w:ascii="Helvetica" w:hAnsi="Helvetica"/>
          <w:bCs/>
          <w:i/>
          <w:iCs/>
        </w:rPr>
        <w:t>C-E</w:t>
      </w:r>
      <w:r w:rsidR="006A274B" w:rsidRPr="00DB10F3">
        <w:rPr>
          <w:rFonts w:ascii="Helvetica" w:hAnsi="Helvetica"/>
          <w:bCs/>
          <w:i/>
          <w:iCs/>
        </w:rPr>
        <w:t xml:space="preserve">, </w:t>
      </w:r>
      <w:r w:rsidR="005043D9" w:rsidRPr="00DB10F3">
        <w:rPr>
          <w:rFonts w:ascii="Helvetica" w:hAnsi="Helvetica"/>
          <w:bCs/>
          <w:i/>
          <w:iCs/>
        </w:rPr>
        <w:t>s</w:t>
      </w:r>
      <w:r w:rsidR="006A274B" w:rsidRPr="00DB10F3">
        <w:rPr>
          <w:rFonts w:ascii="Helvetica" w:hAnsi="Helvetica"/>
          <w:bCs/>
          <w:i/>
          <w:iCs/>
        </w:rPr>
        <w:t xml:space="preserve">upplementary </w:t>
      </w:r>
      <w:r w:rsidR="00A27AFA" w:rsidRPr="00DB10F3">
        <w:rPr>
          <w:rFonts w:ascii="Helvetica" w:hAnsi="Helvetica"/>
          <w:bCs/>
          <w:i/>
          <w:iCs/>
        </w:rPr>
        <w:t>T</w:t>
      </w:r>
      <w:r w:rsidR="006A274B" w:rsidRPr="00DB10F3">
        <w:rPr>
          <w:rFonts w:ascii="Helvetica" w:hAnsi="Helvetica"/>
          <w:bCs/>
          <w:i/>
          <w:iCs/>
        </w:rPr>
        <w:t xml:space="preserve">able </w:t>
      </w:r>
      <w:r w:rsidR="00054E70">
        <w:rPr>
          <w:rFonts w:ascii="Helvetica" w:hAnsi="Helvetica"/>
          <w:bCs/>
          <w:i/>
          <w:iCs/>
        </w:rPr>
        <w:t>3</w:t>
      </w:r>
      <w:r w:rsidR="006A274B" w:rsidRPr="00DB10F3">
        <w:rPr>
          <w:rFonts w:ascii="Helvetica" w:hAnsi="Helvetica"/>
          <w:bCs/>
        </w:rPr>
        <w:t xml:space="preserve">) demonstrated </w:t>
      </w:r>
      <w:r w:rsidR="009D40B7" w:rsidRPr="00DB10F3">
        <w:rPr>
          <w:rFonts w:ascii="Helvetica" w:hAnsi="Helvetica"/>
          <w:bCs/>
        </w:rPr>
        <w:t xml:space="preserve">a trend towards </w:t>
      </w:r>
      <w:r w:rsidR="006A274B" w:rsidRPr="00DB10F3">
        <w:rPr>
          <w:rFonts w:ascii="Helvetica" w:hAnsi="Helvetica"/>
          <w:bCs/>
        </w:rPr>
        <w:t xml:space="preserve">improved survival in </w:t>
      </w:r>
      <w:r w:rsidRPr="00DB10F3">
        <w:rPr>
          <w:rFonts w:ascii="Helvetica" w:hAnsi="Helvetica"/>
          <w:bCs/>
        </w:rPr>
        <w:t xml:space="preserve">LN </w:t>
      </w:r>
      <w:r w:rsidR="00867A8B" w:rsidRPr="00DB10F3">
        <w:rPr>
          <w:rFonts w:ascii="Helvetica" w:hAnsi="Helvetica"/>
          <w:bCs/>
        </w:rPr>
        <w:t>responders for all</w:t>
      </w:r>
      <w:r w:rsidR="00A019FF" w:rsidRPr="00DB10F3">
        <w:rPr>
          <w:rFonts w:ascii="Helvetica" w:hAnsi="Helvetica"/>
          <w:bCs/>
        </w:rPr>
        <w:t xml:space="preserve"> </w:t>
      </w:r>
      <w:r w:rsidR="00867A8B" w:rsidRPr="00DB10F3">
        <w:rPr>
          <w:rFonts w:ascii="Helvetica" w:hAnsi="Helvetica"/>
          <w:bCs/>
        </w:rPr>
        <w:t>ypN</w:t>
      </w:r>
      <w:r w:rsidR="00A019FF" w:rsidRPr="00DB10F3">
        <w:rPr>
          <w:rFonts w:ascii="Helvetica" w:hAnsi="Helvetica"/>
          <w:bCs/>
        </w:rPr>
        <w:t xml:space="preserve"> </w:t>
      </w:r>
      <w:r w:rsidRPr="00DB10F3">
        <w:rPr>
          <w:rFonts w:ascii="Helvetica" w:hAnsi="Helvetica"/>
          <w:bCs/>
        </w:rPr>
        <w:t>categories</w:t>
      </w:r>
      <w:r w:rsidR="009513F3" w:rsidRPr="00DB10F3">
        <w:rPr>
          <w:rFonts w:ascii="Helvetica" w:hAnsi="Helvetica"/>
          <w:bCs/>
        </w:rPr>
        <w:t>.</w:t>
      </w:r>
      <w:r w:rsidR="005043D9" w:rsidRPr="00DB10F3">
        <w:rPr>
          <w:rFonts w:ascii="Helvetica" w:hAnsi="Helvetica"/>
          <w:bCs/>
        </w:rPr>
        <w:t xml:space="preserve"> Evaluation of patients </w:t>
      </w:r>
      <w:r w:rsidR="008148FE" w:rsidRPr="00DB10F3">
        <w:rPr>
          <w:rFonts w:ascii="Helvetica" w:hAnsi="Helvetica"/>
          <w:bCs/>
        </w:rPr>
        <w:t>with evidence of LN regression</w:t>
      </w:r>
      <w:r w:rsidR="005043D9" w:rsidRPr="00DB10F3">
        <w:rPr>
          <w:rFonts w:ascii="Helvetica" w:hAnsi="Helvetica"/>
          <w:bCs/>
        </w:rPr>
        <w:t xml:space="preserve"> without any completely regressed </w:t>
      </w:r>
      <w:r w:rsidRPr="00DB10F3">
        <w:rPr>
          <w:rFonts w:ascii="Helvetica" w:hAnsi="Helvetica"/>
          <w:bCs/>
        </w:rPr>
        <w:t>LNs</w:t>
      </w:r>
      <w:r w:rsidR="005043D9" w:rsidRPr="00DB10F3">
        <w:rPr>
          <w:rFonts w:ascii="Helvetica" w:hAnsi="Helvetica"/>
          <w:bCs/>
        </w:rPr>
        <w:t xml:space="preserve"> i.e. LNRS 2-3 in any </w:t>
      </w:r>
      <w:r w:rsidR="008148FE" w:rsidRPr="00DB10F3">
        <w:rPr>
          <w:rFonts w:ascii="Helvetica" w:hAnsi="Helvetica"/>
          <w:bCs/>
        </w:rPr>
        <w:t>LN</w:t>
      </w:r>
      <w:r w:rsidR="005043D9" w:rsidRPr="00DB10F3">
        <w:rPr>
          <w:rFonts w:ascii="Helvetica" w:hAnsi="Helvetica"/>
          <w:bCs/>
        </w:rPr>
        <w:t xml:space="preserve"> and no</w:t>
      </w:r>
      <w:r w:rsidR="008148FE" w:rsidRPr="00DB10F3">
        <w:rPr>
          <w:rFonts w:ascii="Helvetica" w:hAnsi="Helvetica"/>
          <w:bCs/>
        </w:rPr>
        <w:t>ne</w:t>
      </w:r>
      <w:r w:rsidR="005043D9" w:rsidRPr="00DB10F3">
        <w:rPr>
          <w:rFonts w:ascii="Helvetica" w:hAnsi="Helvetica"/>
          <w:bCs/>
        </w:rPr>
        <w:t xml:space="preserve"> with LNRS 1 (</w:t>
      </w:r>
      <w:r w:rsidR="005043D9" w:rsidRPr="00DB10F3">
        <w:rPr>
          <w:rFonts w:ascii="Helvetica" w:hAnsi="Helvetica"/>
          <w:bCs/>
          <w:i/>
          <w:iCs/>
        </w:rPr>
        <w:t xml:space="preserve">Figure </w:t>
      </w:r>
      <w:r w:rsidR="00BA14AB" w:rsidRPr="00DB10F3">
        <w:rPr>
          <w:rFonts w:ascii="Helvetica" w:hAnsi="Helvetica"/>
          <w:bCs/>
          <w:i/>
          <w:iCs/>
        </w:rPr>
        <w:t>2</w:t>
      </w:r>
      <w:r w:rsidR="005043D9" w:rsidRPr="00DB10F3">
        <w:rPr>
          <w:rFonts w:ascii="Helvetica" w:hAnsi="Helvetica"/>
          <w:bCs/>
          <w:i/>
          <w:iCs/>
        </w:rPr>
        <w:t xml:space="preserve"> </w:t>
      </w:r>
      <w:r w:rsidR="00BA14AB" w:rsidRPr="00DB10F3">
        <w:rPr>
          <w:rFonts w:ascii="Helvetica" w:hAnsi="Helvetica"/>
          <w:bCs/>
          <w:i/>
          <w:iCs/>
        </w:rPr>
        <w:t>F</w:t>
      </w:r>
      <w:r w:rsidR="005043D9" w:rsidRPr="00DB10F3">
        <w:rPr>
          <w:rFonts w:ascii="Helvetica" w:hAnsi="Helvetica"/>
          <w:bCs/>
        </w:rPr>
        <w:t>)</w:t>
      </w:r>
      <w:r w:rsidR="009330A3" w:rsidRPr="00DB10F3">
        <w:rPr>
          <w:rFonts w:ascii="Helvetica" w:hAnsi="Helvetica"/>
          <w:bCs/>
        </w:rPr>
        <w:t>,</w:t>
      </w:r>
      <w:r w:rsidR="005043D9" w:rsidRPr="00DB10F3">
        <w:rPr>
          <w:rFonts w:ascii="Helvetica" w:hAnsi="Helvetica"/>
          <w:bCs/>
        </w:rPr>
        <w:t xml:space="preserve"> demonstrated</w:t>
      </w:r>
      <w:r w:rsidR="001E67C0" w:rsidRPr="00DB10F3">
        <w:rPr>
          <w:rFonts w:ascii="Helvetica" w:hAnsi="Helvetica"/>
          <w:bCs/>
        </w:rPr>
        <w:t xml:space="preserve"> </w:t>
      </w:r>
      <w:r w:rsidR="005043D9" w:rsidRPr="00DB10F3">
        <w:rPr>
          <w:rFonts w:ascii="Helvetica" w:hAnsi="Helvetica"/>
          <w:bCs/>
        </w:rPr>
        <w:t>improve</w:t>
      </w:r>
      <w:r w:rsidR="001E67C0" w:rsidRPr="00DB10F3">
        <w:rPr>
          <w:rFonts w:ascii="Helvetica" w:hAnsi="Helvetica"/>
          <w:bCs/>
        </w:rPr>
        <w:t>d</w:t>
      </w:r>
      <w:r w:rsidR="005043D9" w:rsidRPr="00DB10F3">
        <w:rPr>
          <w:rFonts w:ascii="Helvetica" w:hAnsi="Helvetica"/>
          <w:bCs/>
        </w:rPr>
        <w:t xml:space="preserve"> survival compared with </w:t>
      </w:r>
      <w:r w:rsidR="00115E01" w:rsidRPr="00DB10F3">
        <w:rPr>
          <w:rFonts w:ascii="Helvetica" w:hAnsi="Helvetica"/>
          <w:bCs/>
        </w:rPr>
        <w:t>poor/</w:t>
      </w:r>
      <w:r w:rsidR="005043D9" w:rsidRPr="00DB10F3">
        <w:rPr>
          <w:rFonts w:ascii="Helvetica" w:hAnsi="Helvetica"/>
          <w:bCs/>
        </w:rPr>
        <w:t xml:space="preserve">non-responders despite </w:t>
      </w:r>
      <w:r w:rsidRPr="00DB10F3">
        <w:rPr>
          <w:rFonts w:ascii="Helvetica" w:hAnsi="Helvetica"/>
          <w:bCs/>
        </w:rPr>
        <w:t xml:space="preserve">no </w:t>
      </w:r>
      <w:r w:rsidR="008148FE" w:rsidRPr="00DB10F3">
        <w:rPr>
          <w:rFonts w:ascii="Helvetica" w:hAnsi="Helvetica"/>
          <w:bCs/>
        </w:rPr>
        <w:t xml:space="preserve">pathological </w:t>
      </w:r>
      <w:r w:rsidRPr="00DB10F3">
        <w:rPr>
          <w:rFonts w:ascii="Helvetica" w:hAnsi="Helvetica"/>
          <w:bCs/>
        </w:rPr>
        <w:t xml:space="preserve">LN downstaging </w:t>
      </w:r>
      <w:r w:rsidR="00147E2D" w:rsidRPr="00DB10F3">
        <w:rPr>
          <w:rFonts w:ascii="Helvetica" w:hAnsi="Helvetica"/>
          <w:bCs/>
        </w:rPr>
        <w:t>according to the TNM classification</w:t>
      </w:r>
      <w:r w:rsidR="005043D9" w:rsidRPr="00DB10F3">
        <w:rPr>
          <w:rFonts w:ascii="Helvetica" w:hAnsi="Helvetica"/>
          <w:bCs/>
        </w:rPr>
        <w:t xml:space="preserve">. </w:t>
      </w:r>
      <w:r w:rsidR="00962D57" w:rsidRPr="00DB10F3">
        <w:rPr>
          <w:rFonts w:ascii="Helvetica" w:hAnsi="Helvetica"/>
          <w:bCs/>
        </w:rPr>
        <w:t>Kaplan-Meier survival a</w:t>
      </w:r>
      <w:r w:rsidR="005043D9" w:rsidRPr="00DB10F3">
        <w:rPr>
          <w:rFonts w:ascii="Helvetica" w:hAnsi="Helvetica"/>
          <w:bCs/>
        </w:rPr>
        <w:t xml:space="preserve">nalysis </w:t>
      </w:r>
      <w:r w:rsidR="00A27AFA" w:rsidRPr="00DB10F3">
        <w:rPr>
          <w:rFonts w:ascii="Helvetica" w:hAnsi="Helvetica"/>
          <w:bCs/>
        </w:rPr>
        <w:t>for different</w:t>
      </w:r>
      <w:r w:rsidR="005043D9" w:rsidRPr="00DB10F3">
        <w:rPr>
          <w:rFonts w:ascii="Helvetica" w:hAnsi="Helvetica"/>
          <w:bCs/>
        </w:rPr>
        <w:t xml:space="preserve"> chemotherapy regimen</w:t>
      </w:r>
      <w:r w:rsidR="00A27AFA" w:rsidRPr="00DB10F3">
        <w:rPr>
          <w:rFonts w:ascii="Helvetica" w:hAnsi="Helvetica"/>
          <w:bCs/>
        </w:rPr>
        <w:t>s</w:t>
      </w:r>
      <w:r w:rsidR="005043D9" w:rsidRPr="00DB10F3">
        <w:rPr>
          <w:rFonts w:ascii="Helvetica" w:hAnsi="Helvetica"/>
          <w:bCs/>
        </w:rPr>
        <w:t xml:space="preserve"> (</w:t>
      </w:r>
      <w:r w:rsidR="005043D9" w:rsidRPr="00DB10F3">
        <w:rPr>
          <w:rFonts w:ascii="Helvetica" w:hAnsi="Helvetica"/>
          <w:bCs/>
          <w:i/>
          <w:iCs/>
        </w:rPr>
        <w:t xml:space="preserve">Supplementary </w:t>
      </w:r>
      <w:r w:rsidR="00A27AFA" w:rsidRPr="00DB10F3">
        <w:rPr>
          <w:rFonts w:ascii="Helvetica" w:hAnsi="Helvetica"/>
          <w:bCs/>
          <w:i/>
          <w:iCs/>
        </w:rPr>
        <w:t>F</w:t>
      </w:r>
      <w:r w:rsidR="005043D9" w:rsidRPr="00DB10F3">
        <w:rPr>
          <w:rFonts w:ascii="Helvetica" w:hAnsi="Helvetica"/>
          <w:bCs/>
          <w:i/>
          <w:iCs/>
        </w:rPr>
        <w:t xml:space="preserve">igure </w:t>
      </w:r>
      <w:r w:rsidR="004C56A5" w:rsidRPr="00DB10F3">
        <w:rPr>
          <w:rFonts w:ascii="Helvetica" w:hAnsi="Helvetica"/>
          <w:bCs/>
          <w:i/>
          <w:iCs/>
        </w:rPr>
        <w:t>2</w:t>
      </w:r>
      <w:r w:rsidR="005043D9" w:rsidRPr="00DB10F3">
        <w:rPr>
          <w:rFonts w:ascii="Helvetica" w:hAnsi="Helvetica"/>
          <w:bCs/>
        </w:rPr>
        <w:t xml:space="preserve">) revealed similar patterns of survival for patients treated with </w:t>
      </w:r>
      <w:r w:rsidR="00850628">
        <w:rPr>
          <w:rFonts w:ascii="Helvetica" w:hAnsi="Helvetica"/>
          <w:bCs/>
        </w:rPr>
        <w:t>MAGIC chemotherapy</w:t>
      </w:r>
      <w:r w:rsidR="005043D9" w:rsidRPr="00DB10F3">
        <w:rPr>
          <w:rFonts w:ascii="Helvetica" w:hAnsi="Helvetica"/>
          <w:bCs/>
        </w:rPr>
        <w:t xml:space="preserve"> and FLOT.</w:t>
      </w:r>
      <w:r w:rsidR="00D9501B" w:rsidRPr="00DB10F3">
        <w:rPr>
          <w:rFonts w:ascii="Helvetica" w:hAnsi="Helvetica"/>
          <w:bCs/>
        </w:rPr>
        <w:t xml:space="preserve"> </w:t>
      </w:r>
      <w:r w:rsidR="00A27AFA" w:rsidRPr="00DB10F3">
        <w:rPr>
          <w:rFonts w:ascii="Helvetica" w:hAnsi="Helvetica"/>
          <w:bCs/>
        </w:rPr>
        <w:lastRenderedPageBreak/>
        <w:t xml:space="preserve">Subgroup survival analysis evaluating LN regression in primary </w:t>
      </w:r>
      <w:proofErr w:type="spellStart"/>
      <w:r w:rsidR="0019785E">
        <w:rPr>
          <w:rFonts w:ascii="Helvetica" w:hAnsi="Helvetica"/>
          <w:bCs/>
        </w:rPr>
        <w:t>tumor</w:t>
      </w:r>
      <w:proofErr w:type="spellEnd"/>
      <w:r w:rsidR="00A27AFA" w:rsidRPr="00DB10F3">
        <w:rPr>
          <w:rFonts w:ascii="Helvetica" w:hAnsi="Helvetica"/>
          <w:bCs/>
        </w:rPr>
        <w:t xml:space="preserve"> responders </w:t>
      </w:r>
      <w:r w:rsidR="008148FE" w:rsidRPr="00DB10F3">
        <w:rPr>
          <w:rFonts w:ascii="Helvetica" w:hAnsi="Helvetica"/>
          <w:bCs/>
        </w:rPr>
        <w:t>(Mandard 1-3</w:t>
      </w:r>
      <w:proofErr w:type="gramStart"/>
      <w:r w:rsidR="008148FE" w:rsidRPr="00DB10F3">
        <w:rPr>
          <w:rFonts w:ascii="Helvetica" w:hAnsi="Helvetica"/>
          <w:bCs/>
        </w:rPr>
        <w:t>)</w:t>
      </w:r>
      <w:proofErr w:type="gramEnd"/>
      <w:r w:rsidR="008148FE" w:rsidRPr="00DB10F3">
        <w:rPr>
          <w:rFonts w:ascii="Helvetica" w:hAnsi="Helvetica"/>
          <w:bCs/>
        </w:rPr>
        <w:t xml:space="preserve"> </w:t>
      </w:r>
      <w:r w:rsidR="00A27AFA" w:rsidRPr="00DB10F3">
        <w:rPr>
          <w:rFonts w:ascii="Helvetica" w:hAnsi="Helvetica"/>
          <w:bCs/>
        </w:rPr>
        <w:t xml:space="preserve">and non-responders </w:t>
      </w:r>
      <w:r w:rsidR="008148FE" w:rsidRPr="00DB10F3">
        <w:rPr>
          <w:rFonts w:ascii="Helvetica" w:hAnsi="Helvetica"/>
          <w:bCs/>
        </w:rPr>
        <w:t xml:space="preserve">(Mandard 4-5) </w:t>
      </w:r>
      <w:r w:rsidR="00A27AFA" w:rsidRPr="00DB10F3">
        <w:rPr>
          <w:rFonts w:ascii="Helvetica" w:hAnsi="Helvetica"/>
          <w:bCs/>
        </w:rPr>
        <w:t>(</w:t>
      </w:r>
      <w:r w:rsidR="00A27AFA" w:rsidRPr="00DB10F3">
        <w:rPr>
          <w:rFonts w:ascii="Helvetica" w:hAnsi="Helvetica"/>
          <w:bCs/>
          <w:i/>
          <w:iCs/>
        </w:rPr>
        <w:t xml:space="preserve">Figure </w:t>
      </w:r>
      <w:r w:rsidR="00BA14AB" w:rsidRPr="00DB10F3">
        <w:rPr>
          <w:rFonts w:ascii="Helvetica" w:hAnsi="Helvetica"/>
          <w:bCs/>
          <w:i/>
          <w:iCs/>
        </w:rPr>
        <w:t>2</w:t>
      </w:r>
      <w:r w:rsidR="00A27AFA" w:rsidRPr="00DB10F3">
        <w:rPr>
          <w:rFonts w:ascii="Helvetica" w:hAnsi="Helvetica"/>
          <w:bCs/>
          <w:i/>
          <w:iCs/>
        </w:rPr>
        <w:t xml:space="preserve"> </w:t>
      </w:r>
      <w:r w:rsidR="00BA14AB" w:rsidRPr="00DB10F3">
        <w:rPr>
          <w:rFonts w:ascii="Helvetica" w:hAnsi="Helvetica"/>
          <w:bCs/>
          <w:i/>
          <w:iCs/>
        </w:rPr>
        <w:t>G-H</w:t>
      </w:r>
      <w:r w:rsidR="00A27AFA" w:rsidRPr="00DB10F3">
        <w:rPr>
          <w:rFonts w:ascii="Helvetica" w:hAnsi="Helvetica"/>
          <w:bCs/>
          <w:i/>
          <w:iCs/>
        </w:rPr>
        <w:t xml:space="preserve">, supplementary Table </w:t>
      </w:r>
      <w:r w:rsidR="00054E70">
        <w:rPr>
          <w:rFonts w:ascii="Helvetica" w:hAnsi="Helvetica"/>
          <w:bCs/>
          <w:i/>
          <w:iCs/>
        </w:rPr>
        <w:t>3</w:t>
      </w:r>
      <w:r w:rsidR="00A27AFA" w:rsidRPr="00DB10F3">
        <w:rPr>
          <w:rFonts w:ascii="Helvetica" w:hAnsi="Helvetica"/>
          <w:bCs/>
        </w:rPr>
        <w:t xml:space="preserve">) demonstrated improved survival in LN responders (LNRS 1-3) and LN negative patients compared with LN non-responders (LNRS 4-5) for both primary </w:t>
      </w:r>
      <w:proofErr w:type="spellStart"/>
      <w:r w:rsidR="0019785E">
        <w:rPr>
          <w:rFonts w:ascii="Helvetica" w:hAnsi="Helvetica"/>
          <w:bCs/>
        </w:rPr>
        <w:t>tumor</w:t>
      </w:r>
      <w:proofErr w:type="spellEnd"/>
      <w:r w:rsidR="00A27AFA" w:rsidRPr="00DB10F3">
        <w:rPr>
          <w:rFonts w:ascii="Helvetica" w:hAnsi="Helvetica"/>
          <w:bCs/>
        </w:rPr>
        <w:t xml:space="preserve"> responders and non-responders.</w:t>
      </w:r>
    </w:p>
    <w:p w14:paraId="0FDFF539" w14:textId="77777777" w:rsidR="001B35E1" w:rsidRDefault="001B35E1" w:rsidP="001B35E1">
      <w:pPr>
        <w:spacing w:line="480" w:lineRule="auto"/>
        <w:rPr>
          <w:rFonts w:ascii="Helvetica" w:hAnsi="Helvetica"/>
          <w:b/>
        </w:rPr>
      </w:pPr>
    </w:p>
    <w:p w14:paraId="17D9DBC2" w14:textId="77777777" w:rsidR="00386188" w:rsidRDefault="00386188" w:rsidP="001B35E1">
      <w:pPr>
        <w:spacing w:line="480" w:lineRule="auto"/>
        <w:rPr>
          <w:rFonts w:ascii="Helvetica" w:hAnsi="Helvetica"/>
          <w:b/>
        </w:rPr>
      </w:pPr>
    </w:p>
    <w:p w14:paraId="7EB3EB83" w14:textId="0F6103C2" w:rsidR="006F1963" w:rsidRPr="001B35E1" w:rsidRDefault="00A019FF" w:rsidP="001B35E1">
      <w:pPr>
        <w:spacing w:line="480" w:lineRule="auto"/>
        <w:rPr>
          <w:rFonts w:ascii="Helvetica" w:hAnsi="Helvetica"/>
          <w:b/>
        </w:rPr>
      </w:pPr>
      <w:r w:rsidRPr="00DB10F3">
        <w:rPr>
          <w:rFonts w:ascii="Helvetica" w:hAnsi="Helvetica"/>
          <w:b/>
        </w:rPr>
        <w:t>Discussion</w:t>
      </w:r>
    </w:p>
    <w:p w14:paraId="2D1F9933" w14:textId="18BE1702" w:rsidR="00A019FF" w:rsidRPr="00DB10F3" w:rsidRDefault="00A019FF" w:rsidP="001B35E1">
      <w:pPr>
        <w:spacing w:line="480" w:lineRule="auto"/>
        <w:rPr>
          <w:rFonts w:ascii="Helvetica" w:hAnsi="Helvetica"/>
          <w:bCs/>
        </w:rPr>
      </w:pPr>
      <w:r w:rsidRPr="00DB10F3">
        <w:rPr>
          <w:rFonts w:ascii="Helvetica" w:hAnsi="Helvetica"/>
          <w:bCs/>
        </w:rPr>
        <w:t xml:space="preserve">In this cohort of patients with </w:t>
      </w:r>
      <w:proofErr w:type="spellStart"/>
      <w:r w:rsidR="0019785E">
        <w:rPr>
          <w:rFonts w:ascii="Helvetica" w:hAnsi="Helvetica"/>
          <w:bCs/>
        </w:rPr>
        <w:t>esophageal</w:t>
      </w:r>
      <w:proofErr w:type="spellEnd"/>
      <w:r w:rsidRPr="00DB10F3">
        <w:rPr>
          <w:rFonts w:ascii="Helvetica" w:hAnsi="Helvetica"/>
          <w:bCs/>
        </w:rPr>
        <w:t xml:space="preserve"> adenocarcinoma treated with neoadjuvant chemotherapy prior to surgical resection, </w:t>
      </w:r>
      <w:r w:rsidR="00EF5F5D" w:rsidRPr="00DB10F3">
        <w:rPr>
          <w:rFonts w:ascii="Helvetica" w:hAnsi="Helvetica"/>
          <w:bCs/>
        </w:rPr>
        <w:t>LN</w:t>
      </w:r>
      <w:r w:rsidRPr="00DB10F3">
        <w:rPr>
          <w:rFonts w:ascii="Helvetica" w:hAnsi="Helvetica"/>
          <w:bCs/>
        </w:rPr>
        <w:t xml:space="preserve"> regression was a</w:t>
      </w:r>
      <w:r w:rsidR="00867A8B" w:rsidRPr="00DB10F3">
        <w:rPr>
          <w:rFonts w:ascii="Helvetica" w:hAnsi="Helvetica"/>
          <w:bCs/>
        </w:rPr>
        <w:t xml:space="preserve">n independent </w:t>
      </w:r>
      <w:r w:rsidRPr="00DB10F3">
        <w:rPr>
          <w:rFonts w:ascii="Helvetica" w:hAnsi="Helvetica"/>
          <w:bCs/>
        </w:rPr>
        <w:t xml:space="preserve">predictive factor for survival. Patients with a complete or partial </w:t>
      </w:r>
      <w:r w:rsidR="00EF5F5D" w:rsidRPr="00DB10F3">
        <w:rPr>
          <w:rFonts w:ascii="Helvetica" w:hAnsi="Helvetica"/>
          <w:bCs/>
        </w:rPr>
        <w:t xml:space="preserve">LN </w:t>
      </w:r>
      <w:r w:rsidRPr="00DB10F3">
        <w:rPr>
          <w:rFonts w:ascii="Helvetica" w:hAnsi="Helvetica"/>
          <w:bCs/>
        </w:rPr>
        <w:t xml:space="preserve">response had better survival than those with </w:t>
      </w:r>
      <w:r w:rsidR="00115E01" w:rsidRPr="00DB10F3">
        <w:rPr>
          <w:rFonts w:ascii="Helvetica" w:hAnsi="Helvetica"/>
          <w:bCs/>
        </w:rPr>
        <w:t>poor/</w:t>
      </w:r>
      <w:r w:rsidRPr="00DB10F3">
        <w:rPr>
          <w:rFonts w:ascii="Helvetica" w:hAnsi="Helvetica"/>
          <w:bCs/>
        </w:rPr>
        <w:t>no response</w:t>
      </w:r>
      <w:r w:rsidR="00867A8B" w:rsidRPr="00DB10F3">
        <w:rPr>
          <w:rFonts w:ascii="Helvetica" w:hAnsi="Helvetica"/>
          <w:bCs/>
        </w:rPr>
        <w:t>,</w:t>
      </w:r>
      <w:r w:rsidRPr="00DB10F3">
        <w:rPr>
          <w:rFonts w:ascii="Helvetica" w:hAnsi="Helvetica"/>
          <w:bCs/>
        </w:rPr>
        <w:t xml:space="preserve"> and patients with a complete </w:t>
      </w:r>
      <w:r w:rsidR="00EF5F5D" w:rsidRPr="00DB10F3">
        <w:rPr>
          <w:rFonts w:ascii="Helvetica" w:hAnsi="Helvetica"/>
          <w:bCs/>
        </w:rPr>
        <w:t xml:space="preserve">LN </w:t>
      </w:r>
      <w:r w:rsidRPr="00DB10F3">
        <w:rPr>
          <w:rFonts w:ascii="Helvetica" w:hAnsi="Helvetica"/>
          <w:bCs/>
        </w:rPr>
        <w:t xml:space="preserve">response had equivalent survival to those with negative </w:t>
      </w:r>
      <w:r w:rsidR="00EF5F5D" w:rsidRPr="00DB10F3">
        <w:rPr>
          <w:rFonts w:ascii="Helvetica" w:hAnsi="Helvetica"/>
          <w:bCs/>
        </w:rPr>
        <w:t>LN</w:t>
      </w:r>
      <w:r w:rsidRPr="00DB10F3">
        <w:rPr>
          <w:rFonts w:ascii="Helvetica" w:hAnsi="Helvetica"/>
          <w:bCs/>
        </w:rPr>
        <w:t xml:space="preserve">s. This </w:t>
      </w:r>
      <w:r w:rsidR="00F11BF0" w:rsidRPr="00DB10F3">
        <w:rPr>
          <w:rFonts w:ascii="Helvetica" w:hAnsi="Helvetica"/>
          <w:bCs/>
        </w:rPr>
        <w:t xml:space="preserve">association </w:t>
      </w:r>
      <w:r w:rsidRPr="00DB10F3">
        <w:rPr>
          <w:rFonts w:ascii="Helvetica" w:hAnsi="Helvetica"/>
          <w:bCs/>
        </w:rPr>
        <w:t xml:space="preserve">was independent of primary </w:t>
      </w:r>
      <w:proofErr w:type="spellStart"/>
      <w:r w:rsidR="0019785E">
        <w:rPr>
          <w:rFonts w:ascii="Helvetica" w:hAnsi="Helvetica"/>
          <w:bCs/>
        </w:rPr>
        <w:t>tumor</w:t>
      </w:r>
      <w:proofErr w:type="spellEnd"/>
      <w:r w:rsidRPr="00DB10F3">
        <w:rPr>
          <w:rFonts w:ascii="Helvetica" w:hAnsi="Helvetica"/>
          <w:bCs/>
        </w:rPr>
        <w:t xml:space="preserve"> response, which was discordant in a s</w:t>
      </w:r>
      <w:r w:rsidR="00962D57" w:rsidRPr="00DB10F3">
        <w:rPr>
          <w:rFonts w:ascii="Helvetica" w:hAnsi="Helvetica"/>
          <w:bCs/>
        </w:rPr>
        <w:t>ubstantial</w:t>
      </w:r>
      <w:r w:rsidRPr="00DB10F3">
        <w:rPr>
          <w:rFonts w:ascii="Helvetica" w:hAnsi="Helvetica"/>
          <w:bCs/>
        </w:rPr>
        <w:t xml:space="preserve"> number of patients. </w:t>
      </w:r>
    </w:p>
    <w:p w14:paraId="0EB03E72" w14:textId="77777777" w:rsidR="00A019FF" w:rsidRPr="00DB10F3" w:rsidRDefault="00A019FF" w:rsidP="00E8529C">
      <w:pPr>
        <w:spacing w:line="480" w:lineRule="auto"/>
        <w:rPr>
          <w:rFonts w:ascii="Helvetica" w:hAnsi="Helvetica"/>
          <w:bCs/>
        </w:rPr>
      </w:pPr>
    </w:p>
    <w:p w14:paraId="156D18DD" w14:textId="611838F1" w:rsidR="00A019FF" w:rsidRPr="00DB10F3" w:rsidRDefault="00E25F87" w:rsidP="00E8529C">
      <w:pPr>
        <w:spacing w:line="480" w:lineRule="auto"/>
        <w:rPr>
          <w:rFonts w:ascii="Helvetica" w:hAnsi="Helvetica"/>
          <w:bCs/>
        </w:rPr>
      </w:pPr>
      <w:r w:rsidRPr="00DB10F3">
        <w:rPr>
          <w:rFonts w:ascii="Helvetica" w:hAnsi="Helvetica"/>
          <w:bCs/>
        </w:rPr>
        <w:t xml:space="preserve">This was a large, multi-centre study evaluating </w:t>
      </w:r>
      <w:r w:rsidR="006B3AD8" w:rsidRPr="00DB10F3">
        <w:rPr>
          <w:rFonts w:ascii="Helvetica" w:hAnsi="Helvetica"/>
          <w:bCs/>
        </w:rPr>
        <w:t xml:space="preserve">the prognostic importance of </w:t>
      </w:r>
      <w:r w:rsidR="00EF5F5D" w:rsidRPr="00DB10F3">
        <w:rPr>
          <w:rFonts w:ascii="Helvetica" w:hAnsi="Helvetica"/>
          <w:bCs/>
        </w:rPr>
        <w:t>LN</w:t>
      </w:r>
      <w:r w:rsidR="006B3AD8" w:rsidRPr="00DB10F3">
        <w:rPr>
          <w:rFonts w:ascii="Helvetica" w:hAnsi="Helvetica"/>
          <w:bCs/>
        </w:rPr>
        <w:t xml:space="preserve"> regression in patients with </w:t>
      </w:r>
      <w:proofErr w:type="spellStart"/>
      <w:r w:rsidR="0019785E">
        <w:rPr>
          <w:rFonts w:ascii="Helvetica" w:hAnsi="Helvetica"/>
          <w:bCs/>
        </w:rPr>
        <w:t>esophageal</w:t>
      </w:r>
      <w:proofErr w:type="spellEnd"/>
      <w:r w:rsidR="006B3AD8" w:rsidRPr="00DB10F3">
        <w:rPr>
          <w:rFonts w:ascii="Helvetica" w:hAnsi="Helvetica"/>
          <w:bCs/>
        </w:rPr>
        <w:t xml:space="preserve"> </w:t>
      </w:r>
      <w:r w:rsidRPr="00DB10F3">
        <w:rPr>
          <w:rFonts w:ascii="Helvetica" w:hAnsi="Helvetica"/>
          <w:bCs/>
        </w:rPr>
        <w:t>adenocarcinoma. Several previous studies have evaluated this topic,</w:t>
      </w:r>
      <w:r w:rsidR="006B3AD8" w:rsidRPr="00DB10F3">
        <w:rPr>
          <w:rFonts w:ascii="Helvetica" w:hAnsi="Helvetica"/>
          <w:bCs/>
        </w:rPr>
        <w:t xml:space="preserve"> however, they have been low-volume and single-centre in design </w:t>
      </w:r>
      <w:r w:rsidR="006B3AD8" w:rsidRPr="00DB10F3">
        <w:rPr>
          <w:rFonts w:ascii="Helvetica" w:hAnsi="Helvetica"/>
          <w:bCs/>
        </w:rPr>
        <w:fldChar w:fldCharType="begin" w:fldLock="1"/>
      </w:r>
      <w:r w:rsidR="00557B73" w:rsidRPr="00DB10F3">
        <w:rPr>
          <w:rFonts w:ascii="Helvetica" w:hAnsi="Helvetica"/>
          <w:bCs/>
        </w:rPr>
        <w:instrText>ADDIN CSL_CITATION {"citationItems":[{"id":"ITEM-1","itemData":{"DOI":"10.1002/bjs.10900","ISSN":"13652168","PMID":"30047556","abstract":"Background: The aim was to define the pathological response in lymph nodes following neoadjuvant chemotherapy for oesophageal adenocarcinoma and to quantify any associated survival benefit. Methods: Lymph nodes retrieved at oesophagectomy were examined retrospectively by two pathologists for evidence of a response to chemotherapy. Patients were classified as lymph node-negative (either negative nodes with no evidence of previous tumour involvement or negative with evidence of complete regression) or positive (allocated a lymph node regression score based on the proportion of fibrosis to residual tumour). Lymph node responders (score 1, complete response; 2, less than 10 per cent remaining tumour; 3, 10–50 per cent remaining tumour) and non-responders (score 4, more than 50 per cent viable tumour; 5, no response) were compared in survival analyses using Kaplan–Meier and Cox regression analysis. Results: Among 377 patients, 256 had neoadjuvant chemotherapy. Overall, 68 of 256 patients (26·6 per cent) had a lymph node response and 115 (44·9 per cent) did not. The remaining 73 patients (28·5 per cent) had negative lymph nodes with no evidence of regression. Some patients had a lymph node response in the absence of a response in the primary tumour (27 of 99, 27 per cent). Lymph node responders had a significant survival benefit (P &lt; 0·001), even when stratified by patients with or without a response in the primary tumour. On multivariable analysis, lymph node responders had decreased overall (hazard ratio 0·53, 95 per cent c.i. 0·36 to 0·78) and disease-specific (HR 0·42, 0·27 to 0·66) mortality, and experienced reduced local and systemic recurrence. Conclusion: Lymph node regression is a strong prognostic factor and may be more important than response in the primary tumour.","author":[{"dropping-particle":"","family":"Davies","given":"A.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dropping-particle":"","family":"Kelly","given":"M.","non-dropping-particle":"","parse-names":false,"suffix":""},{"dropping-particle":"","family":"Ngan","given":"S.","non-dropping-particle":"","parse-names":false,"suffix":""},{"dropping-particle":"","family":"Qureshi","given":"A.","non-dropping-particle":"","parse-names":false,"suffix":""},{"dropping-particle":"","family":"Gaya","given":"A.","non-dropping-particle":"","parse-names":false,"suffix":""},{"dropping-particle":"","family":"Griffin","given":"N.","non-dropping-particle":"","parse-names":false,"suffix":""},{"dropping-particle":"","family":"Jacques","given":"A.","non-dropping-particle":"","parse-names":false,"suffix":""},{"dropping-particle":"","family":"Goh","given":"V.","non-dropping-particle":"","parse-names":false,"suffix":""},{"dropping-particle":"","family":"Deere","given":"H.","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Dunn","given":"J.","non-dropping-particle":"","parse-names":false,"suffix":""},{"dropping-particle":"","family":"Zeki","given":"S.","non-dropping-particle":"","parse-names":false,"suffix":""},{"dropping-particle":"","family":"Meenan","given":"J.","non-dropping-particle":"","parse-names":false,"suffix":""},{"dropping-particle":"","family":"Hynes","given":"O.","non-dropping-particle":"","parse-names":false,"suffix":""},{"dropping-particle":"","family":"Tham","given":"G.","non-dropping-particle":"","parse-names":false,"suffix":""},{"dropping-particle":"","family":"Iezzi","given":"C.","non-dropping-particle":"","parse-names":false,"suffix":""},{"dropping-particle":"","family":"Dellaportas","given":"D.","non-dropping-particle":"","parse-names":false,"suffix":""},{"dropping-particle":"","family":"Cowie","given":"A.","non-dropping-particle":"","parse-names":false,"suffix":""},{"dropping-particle":"","family":"Knight","given":"W.","non-dropping-particle":"","parse-names":false,"suffix":""},{"dropping-particle":"","family":"Valeri","given":"N.","non-dropping-particle":"","parse-names":false,"suffix":""}],"container-title":"British Journal of Surgery","id":"ITEM-1","issue":"12","issued":{"date-parts":[["2018"]]},"page":"1639-1649","title":"Lymph node regression and survival following neoadjuvant chemotherapy in oesophageal adenocarcinoma","type":"article-journal","volume":"105"},"uris":["http://www.mendeley.com/documents/?uuid=ded0aeef-82ae-4b4a-a6f7-e577039bc21a"]},{"id":"ITEM-2","itemData":{"DOI":"10.1016/J.EJSO.2021.12.021","ISSN":"0748-7983","PMID":"34974947","abstract":"&lt;h2&gt;Abstract&lt;/h2&gt;&lt;h3&gt;Background&lt;/h3&gt;&lt;p&gt;The prognostic value of lymph node regression (LNR) following neoadjuvant chemotherapy (nCT) for oesophageal and gastro-oeosphageal adenocarcinoma remains unclear. This study aimed to characterise the long-term survival outcomes of LNR in patients having resectional surgery after nCT.&lt;/p&gt;&lt;h3&gt;Methods&lt;/h3&gt;&lt;p&gt;This study included patients undergoing oesophagectomy or extended total gastrectomy for oesophageal and junctional tumours (Siewert types 1,2,3) at the Queen Elizabeth Hospital Birmingham from 2012 to 2018. Lymph nodes retrieved at surgery were examined for evidence of a response to chemotherapy. Patients were classified as lymph node-negative (either negative nodes with no evidence of previous tumour involvement or negative with evidence of complete regression) or positive with either partial or no response.&lt;/p&gt;&lt;h3&gt;Results&lt;/h3&gt;&lt;p&gt;This study identified 183 patients who received nCT, of which 71% (130/183) had positive lymph nodes. Of these 130 patients, 44% (57/130) had a lymph node response and 56% (73/130) did not. The remaining 53 patients (29.0%) had negative lymph nodes with no evidence of tumour. Lymph node responders had a significant survival benefit compared to patients without lymph node response, but shorter than those with negative lymph nodes (median: 27 vs 18 vs NR months, p &lt; 0·001). On multivariable analysis, lymph node responders had an improved overall (Hazard ratio (HR): 0.86, 95% CI: 0.80–0.92, p &lt; 0.001) and recurrence-free (HR: 0.90, 95% CI: 0.82–0.98, p = 0.030) survival.&lt;/p&gt;&lt;h3&gt;Conclusion&lt;/h3&gt;&lt;p&gt;Lymph node regression is an important prognostic factor, warranting closer evaluation over primary tumour response to help with planning further adjuvant therapy in these patients.&lt;/p&gt;","author":[{"dropping-particle":"","family":"Evans","given":"Richard PT","non-dropping-particle":"","parse-names":false,"suffix":""},{"dropping-particle":"","family":"Kamarajah","given":"Sivesh K.","non-dropping-particle":"","parse-names":false,"suffix":""},{"dropping-particle":"","family":"Kunene","given":"Victoria","non-dropping-particle":"","parse-names":false,"suffix":""},{"dropping-particle":"","family":"Zardo","given":"Davide","non-dropping-particle":"","parse-names":false,"suffix":""},{"dropping-particle":"","family":"Elshafie","given":"Mona","non-dropping-particle":"","parse-names":false,"suffix":""},{"dropping-particle":"","family":"Griffiths","given":"Ewen A.","non-dropping-particle":"","parse-names":false,"suffix":""}],"container-title":"European Journal of Surgical Oncology","id":"ITEM-2","issue":"0","issued":{"date-parts":[["2022"]]},"publisher":"Elsevier","title":"Impact of neoadjuvant chemotherapy on nodal regression and survival in oesophageal adenocarcinoma","type":"article-journal","volume":"0"},"uris":["http://www.mendeley.com/documents/?uuid=fc654f62-f379-312f-92b6-fa72a0dcdca9"]},{"id":"ITEM-3","itemData":{"DOI":"10.1097/SLA.0000000000004238","ISSN":"15281140","PMID":"32910622","abstract":"Objective:To evaluate pathological response to NAC in metastatic LNs, and assess its clinical prognostic significance in patients with EC.Summary of Background Data:The pathological response to preoperative treatment is commonly evaluated in the PT. However, LN metastases strongly correlate with systemic micro-metastases. Thus, pathological evaluation of LN response could more accurately predict prognosis in EC patients undergoing NAC before surgery.Methods:We enrolled 371 consecutive patients who underwent triplet NAC followed by surgery for EC between January 2010 and December 2016. Pathological LN regression grade was defined by the proportion of viable tumor area within the whole tumor bed area for all metastatic LNs: grade I, &gt;50%; II, 10%-50%; III, &lt;10%; and IV, 0%. We analyzed the correlation of grade with clinico-pathological parameters.Results:Among 319 patients with clinically positive LNs, pathological LN regression grades were I/II/III/IV in 115/51/58/95 patients, and 191 patients (59.9%) showed discordance between the PT and LN pathological regression grades. LN regression grade significantly correlated with cN positive number, ypTNM, lymphovascular invasion, and clinical/pathological PT response. Multivariate analysis for recurrence-free survival revealed that LN regression grade [hazard ratio (HR) = 2.25, P &lt; 0.001], ypT (HR = 1.65, P = 0.005), and ypT (HR = 1.62, P = 0.004) were independent prognostic factors, but not pathological PT regression grade (P = 0.67).Conclusions:Compared to PT response, pathological LN response better predicted long-term survival in EC patients who received NAC plus curative surgery.","author":[{"dropping-particle":"","family":"Hagi","given":"Takaomi","non-dropping-particle":"","parse-names":false,"suffix":""},{"dropping-particle":"","family":"Makino","given":"Tomoki","non-dropping-particle":"","parse-names":false,"suffix":""},{"dropping-particle":"","family":"Yamasaki","given":"Makoto","non-dropping-particle":"","parse-names":false,"suffix":""},{"dropping-particle":"","family":"Yamashita","given":"Kotaro","non-dropping-particle":"","parse-names":false,"suffix":""},{"dropping-particle":"","family":"Tanaka","given":"Koji","non-dropping-particle":"","parse-names":false,"suffix":""},{"dropping-particle":"","family":"Saito","given":"Takuro","non-dropping-particle":"","parse-names":false,"suffix":""},{"dropping-particle":"","family":"Takahashi","given":"Tsuyoshi","non-dropping-particle":"","parse-names":false,"suffix":""},{"dropping-particle":"","family":"Kurokawa","given":"Yukinori","non-dropping-particle":"","parse-names":false,"suffix":""},{"dropping-particle":"","family":"Motoori","given":"Masaaki","non-dropping-particle":"","parse-names":false,"suffix":""},{"dropping-particle":"","family":"Kimura","given":"Yutaka","non-dropping-particle":"","parse-names":false,"suffix":""},{"dropping-particle":"","family":"Nakajima","given":"Kiyokazu","non-dropping-particle":"","parse-names":false,"suffix":""},{"dropping-particle":"","family":"Morii","given":"Eiichi","non-dropping-particle":"","parse-names":false,"suffix":""},{"dropping-particle":"","family":"Eguchi","given":"Hidetoshi","non-dropping-particle":"","parse-names":false,"suffix":""},{"dropping-particle":"","family":"Doki","given":"Yuichiro","non-dropping-particle":"","parse-names":false,"suffix":""}],"container-title":"Annals of Surgery","id":"ITEM-3","issue":"6","issued":{"date-parts":[["2022","6","1"]]},"page":"1121-1129","publisher":"Lippincott Williams and Wilkins","title":"Pathological Regression of Lymph Nodes Better Predicts Long-term Survival in Esophageal Cancer Patients Undergoing Neoadjuvant Chemotherapy Followed by Surgery","type":"article-journal","volume":"275"},"uris":["http://www.mendeley.com/documents/?uuid=1610403a-fdf0-3068-bb6a-855ff9b7caa2"]}],"mendeley":{"formattedCitation":"&lt;sup&gt;9–11&lt;/sup&gt;","plainTextFormattedCitation":"9–11","previouslyFormattedCitation":"&lt;sup&gt;9–11&lt;/sup&gt;"},"properties":{"noteIndex":0},"schema":"https://github.com/citation-style-language/schema/raw/master/csl-citation.json"}</w:instrText>
      </w:r>
      <w:r w:rsidR="006B3AD8" w:rsidRPr="00DB10F3">
        <w:rPr>
          <w:rFonts w:ascii="Helvetica" w:hAnsi="Helvetica"/>
          <w:bCs/>
        </w:rPr>
        <w:fldChar w:fldCharType="separate"/>
      </w:r>
      <w:r w:rsidR="00962D57" w:rsidRPr="00DB10F3">
        <w:rPr>
          <w:rFonts w:ascii="Helvetica" w:hAnsi="Helvetica"/>
          <w:bCs/>
          <w:noProof/>
          <w:vertAlign w:val="superscript"/>
        </w:rPr>
        <w:t>9–11</w:t>
      </w:r>
      <w:r w:rsidR="006B3AD8" w:rsidRPr="00DB10F3">
        <w:rPr>
          <w:rFonts w:ascii="Helvetica" w:hAnsi="Helvetica"/>
          <w:bCs/>
        </w:rPr>
        <w:fldChar w:fldCharType="end"/>
      </w:r>
      <w:r w:rsidR="006B3AD8" w:rsidRPr="00DB10F3">
        <w:rPr>
          <w:rFonts w:ascii="Helvetica" w:hAnsi="Helvetica"/>
          <w:bCs/>
        </w:rPr>
        <w:t>. S</w:t>
      </w:r>
      <w:r w:rsidR="00A019FF" w:rsidRPr="00DB10F3">
        <w:rPr>
          <w:rFonts w:ascii="Helvetica" w:hAnsi="Helvetica"/>
          <w:bCs/>
        </w:rPr>
        <w:t xml:space="preserve">ome methodological issues deserve attention. This study allowed for long-term follow-up of a large cohort of patients with </w:t>
      </w:r>
      <w:proofErr w:type="spellStart"/>
      <w:r w:rsidR="0019785E">
        <w:rPr>
          <w:rFonts w:ascii="Helvetica" w:hAnsi="Helvetica"/>
          <w:bCs/>
        </w:rPr>
        <w:t>esophageal</w:t>
      </w:r>
      <w:proofErr w:type="spellEnd"/>
      <w:r w:rsidR="00A019FF" w:rsidRPr="00DB10F3">
        <w:rPr>
          <w:rFonts w:ascii="Helvetica" w:hAnsi="Helvetica"/>
          <w:bCs/>
        </w:rPr>
        <w:t xml:space="preserve"> </w:t>
      </w:r>
      <w:r w:rsidRPr="00DB10F3">
        <w:rPr>
          <w:rFonts w:ascii="Helvetica" w:hAnsi="Helvetica"/>
          <w:bCs/>
        </w:rPr>
        <w:t>cancer</w:t>
      </w:r>
      <w:r w:rsidR="00A019FF" w:rsidRPr="00DB10F3">
        <w:rPr>
          <w:rFonts w:ascii="Helvetica" w:hAnsi="Helvetica"/>
          <w:bCs/>
        </w:rPr>
        <w:t xml:space="preserve"> treated at five high-volume specialist institutions. Although data were collected prospectively, the observational design made it difficult to exclude confounding. However, the results were adjusted for key prognostic </w:t>
      </w:r>
      <w:r w:rsidR="00A019FF" w:rsidRPr="00DB10F3">
        <w:rPr>
          <w:rFonts w:ascii="Helvetica" w:hAnsi="Helvetica"/>
          <w:bCs/>
        </w:rPr>
        <w:lastRenderedPageBreak/>
        <w:t>factors to counteract this.</w:t>
      </w:r>
      <w:r w:rsidR="00A752CF" w:rsidRPr="00A752CF">
        <w:t xml:space="preserve"> </w:t>
      </w:r>
      <w:r w:rsidR="00A752CF" w:rsidRPr="00A752CF">
        <w:rPr>
          <w:rFonts w:ascii="Helvetica" w:hAnsi="Helvetica"/>
          <w:bCs/>
        </w:rPr>
        <w:t>Data from five institutions were included which increased the power of the study. All centres had similar demographic patient populations and utilised similar evidence-based protocols for multi-disciplinary perioperative decision-making, reflective of UK practice, which reduced heterogeneity</w:t>
      </w:r>
      <w:r w:rsidR="00A019FF" w:rsidRPr="00DB10F3">
        <w:rPr>
          <w:rFonts w:ascii="Helvetica" w:hAnsi="Helvetica"/>
          <w:bCs/>
        </w:rPr>
        <w:t>.</w:t>
      </w:r>
      <w:r w:rsidR="00C70CDB" w:rsidRPr="00DB10F3">
        <w:rPr>
          <w:rFonts w:ascii="Helvetica" w:hAnsi="Helvetica"/>
          <w:bCs/>
        </w:rPr>
        <w:t xml:space="preserve"> Although chemotherapy protocols evolved over the study period, stratified analysis revealed similar patterns of survival for both </w:t>
      </w:r>
      <w:r w:rsidR="00850628">
        <w:rPr>
          <w:rFonts w:ascii="Helvetica" w:hAnsi="Helvetica"/>
          <w:bCs/>
        </w:rPr>
        <w:t xml:space="preserve">MAGIC </w:t>
      </w:r>
      <w:r w:rsidR="00C70CDB" w:rsidRPr="00DB10F3">
        <w:rPr>
          <w:rFonts w:ascii="Helvetica" w:hAnsi="Helvetica"/>
          <w:bCs/>
        </w:rPr>
        <w:t>and FLOT</w:t>
      </w:r>
      <w:r w:rsidR="00BA007C">
        <w:rPr>
          <w:rFonts w:ascii="Helvetica" w:hAnsi="Helvetica"/>
          <w:bCs/>
        </w:rPr>
        <w:t xml:space="preserve"> chemotherapy</w:t>
      </w:r>
      <w:r w:rsidR="00C70CDB" w:rsidRPr="00DB10F3">
        <w:rPr>
          <w:rFonts w:ascii="Helvetica" w:hAnsi="Helvetica"/>
          <w:bCs/>
        </w:rPr>
        <w:t xml:space="preserve">. Furthermore, the higher rates of </w:t>
      </w:r>
      <w:r w:rsidR="00EF5F5D" w:rsidRPr="00DB10F3">
        <w:rPr>
          <w:rFonts w:ascii="Helvetica" w:hAnsi="Helvetica"/>
          <w:bCs/>
        </w:rPr>
        <w:t xml:space="preserve">LN </w:t>
      </w:r>
      <w:r w:rsidR="00C70CDB" w:rsidRPr="00DB10F3">
        <w:rPr>
          <w:rFonts w:ascii="Helvetica" w:hAnsi="Helvetica"/>
          <w:bCs/>
        </w:rPr>
        <w:t xml:space="preserve">regression observed in patients who received FLOT supports the findings of previous studies which have demonstrated improved </w:t>
      </w:r>
      <w:r w:rsidR="002033AD" w:rsidRPr="00DB10F3">
        <w:rPr>
          <w:rFonts w:ascii="Helvetica" w:hAnsi="Helvetica"/>
          <w:bCs/>
        </w:rPr>
        <w:t xml:space="preserve">rates of </w:t>
      </w:r>
      <w:r w:rsidR="00C70CDB" w:rsidRPr="00DB10F3">
        <w:rPr>
          <w:rFonts w:ascii="Helvetica" w:hAnsi="Helvetica"/>
          <w:bCs/>
        </w:rPr>
        <w:t xml:space="preserve">primary </w:t>
      </w:r>
      <w:proofErr w:type="spellStart"/>
      <w:r w:rsidR="0019785E">
        <w:rPr>
          <w:rFonts w:ascii="Helvetica" w:hAnsi="Helvetica"/>
          <w:bCs/>
        </w:rPr>
        <w:t>tumor</w:t>
      </w:r>
      <w:proofErr w:type="spellEnd"/>
      <w:r w:rsidR="00C70CDB" w:rsidRPr="00DB10F3">
        <w:rPr>
          <w:rFonts w:ascii="Helvetica" w:hAnsi="Helvetica"/>
          <w:bCs/>
        </w:rPr>
        <w:t xml:space="preserve"> pathological response in patients treated with FLOT compared to </w:t>
      </w:r>
      <w:r w:rsidR="008C3BCD">
        <w:rPr>
          <w:rFonts w:ascii="Helvetica" w:hAnsi="Helvetica"/>
          <w:bCs/>
        </w:rPr>
        <w:t xml:space="preserve">MAGIC </w:t>
      </w:r>
      <w:r w:rsidR="00C70CDB" w:rsidRPr="00DB10F3">
        <w:rPr>
          <w:rFonts w:ascii="Helvetica" w:hAnsi="Helvetica"/>
          <w:bCs/>
        </w:rPr>
        <w:t xml:space="preserve">chemotherapy </w:t>
      </w:r>
      <w:r w:rsidR="00C70CDB" w:rsidRPr="00DB10F3">
        <w:rPr>
          <w:rFonts w:ascii="Helvetica" w:hAnsi="Helvetica"/>
          <w:bCs/>
        </w:rPr>
        <w:fldChar w:fldCharType="begin" w:fldLock="1"/>
      </w:r>
      <w:r w:rsidR="00C21329">
        <w:rPr>
          <w:rFonts w:ascii="Helvetica" w:hAnsi="Helvetica"/>
          <w:bCs/>
        </w:rPr>
        <w:instrText>ADDIN CSL_CITATION {"citationItems":[{"id":"ITEM-1","itemData":{"DOI":"10.1016/J.EJCA.2021.12.021","ISSN":"0959-8049","author":[{"dropping-particle":"","family":"Moore","given":"Jonathan L.","non-dropping-particle":"","parse-names":false,"suffix":""},{"dropping-particle":"","family":"Kumar","given":"Sacheen","non-dropping-particle":"","parse-names":false,"suffix":""},{"dropping-particle":"","family":"Santaolalla","given":"Aida","non-dropping-particle":"","parse-names":false,"suffix":""},{"dropping-particle":"","family":"Patel","given":"Pranav H.","non-dropping-particle":"","parse-names":false,"suffix":""},{"dropping-particle":"","family":"Kapiris","given":"Matthaios","non-dropping-particle":"","parse-names":false,"suffix":""},{"dropping-particle":"","family":"Hemelrijck","given":"Mieke","non-dropping-particle":"Van","parse-names":false,"suffix":""},{"dropping-particle":"","family":"Maisey","given":"Nick","non-dropping-particle":"","parse-names":false,"suffix":""},{"dropping-particle":"","family":"Hill","given":"Mark","non-dropping-particle":"","parse-names":false,"suffix":""},{"dropping-particle":"","family":"Lagergren","given":"Jesper","non-dropping-particle":"","parse-names":false,"suffix":""},{"dropping-particle":"","family":"Gossage","given":"James A.","non-dropping-particle":"","parse-names":false,"suffix":""},{"dropping-particle":"","family":"Kelly","given":"Mark","non-dropping-particle":"","parse-names":false,"suffix":""},{"dropping-particle":"","family":"Chaudry","given":"Asif","non-dropping-particle":"","parse-names":false,"suffix":""},{"dropping-particle":"","family":"Allum","given":"William H.","non-dropping-particle":"","parse-names":false,"suffix":""},{"dropping-particle":"","family":"Baker","given":"Cara R.","non-dropping-particle":"","parse-names":false,"suffix":""},{"dropping-particle":"","family":"Cunningham","given":"David","non-dropping-particle":"","parse-names":false,"suffix":""},{"dropping-particle":"","family":"Davies","given":"Andrew R.","non-dropping-particle":"","parse-names":false,"suffix":""},{"dropping-particle":"","family":"Jacques","given":"A.","non-dropping-particle":"","parse-names":false,"suffix":""},{"dropping-particle":"","family":"Griffin","given":"N.","non-dropping-particle":"","parse-names":false,"suffix":""},{"dropping-particle":"","family":"Goh","given":"V.","non-dropping-particle":"","parse-names":false,"suffix":""},{"dropping-particle":"","family":"Ngan","given":"S.","non-dropping-particle":"","parse-names":false,"suffix":""},{"dropping-particle":"","family":"Owczarczyk","given":"K.","non-dropping-particle":"","parse-names":false,"suffix":""},{"dropping-particle":"","family":"Lumsden","given":"A.","non-dropping-particle":"","parse-names":false,"suffix":""},{"dropping-particle":"","family":"Qureshi","given":"A.","non-dropping-particle":"","parse-names":false,"suffix":""},{"dropping-particle":"","family":"Deere","given":"H.","non-dropping-particle":"","parse-names":false,"suffix":""},{"dropping-particle":"","family":"Green","given":"M.","non-dropping-particle":"","parse-names":false,"suffix":""},{"dropping-particle":"","family":"Chang","given":"F.","non-dropping-particle":"","parse-names":false,"suffix":""},{"dropping-particle":"","family":"Mahadeva","given":"U.","non-dropping-particle":"","parse-names":false,"suffix":""},{"dropping-particle":"","family":"Gill-Barman","given":"B.","non-dropping-particle":"","parse-names":false,"suffix":""},{"dropping-particle":"","family":"George","given":"S.","non-dropping-particle":"","parse-names":false,"suffix":""},{"dropping-particle":"","family":"Ong","given":"M.","non-dropping-particle":"","parse-names":false,"suffix":""},{"dropping-particle":"","family":"Waters","given":"J.","non-dropping-particle":"","parse-names":false,"suffix":""},{"dropping-particle":"","family":"Cominos","given":"M.","non-dropping-particle":"","parse-names":false,"suffix":""},{"dropping-particle":"","family":"Sevitt","given":"T.","non-dropping-particle":"","parse-names":false,"suffix":""},{"dropping-particle":"","family":"Hynes","given":"O.","non-dropping-particle":"","parse-names":false,"suffix":""},{"dropping-particle":"","family":"Tham","given":"G.","non-dropping-particle":"","parse-names":false,"suffix":""},{"dropping-particle":"","family":"Bott","given":"R.K.","non-dropping-particle":"","parse-names":false,"suffix":""},{"dropping-particle":"","family":"Dunn","given":"J.M.","non-dropping-particle":"","parse-names":false,"suffix":""},{"dropping-particle":"","family":"Zeki","given":"S.S.","non-dropping-particle":"","parse-names":false,"suffix":""}],"container-title":"European Journal of Cancer","id":"ITEM-1","issued":{"date-parts":[["2022","3","1"]]},"page":"180-188","publisher":"Pergamon","title":"Effect of peri-operative chemotherapy regimen on survival in the treatment of locally advanced oesophago-gastric adenocarcinoma – A comparison of the FLOT and ‘MAGIC’ regimens","type":"article-journal","volume":"163"},"uris":["http://www.mendeley.com/documents/?uuid=fdd421bb-c2ba-330c-bafb-84f872d9580b"]},{"id":"ITEM-2","itemData":{"DOI":"10.1016/S1470-2045(16)30531-9","ISSN":"1474-5488","PMID":"27776843","abstract":"Background Docetaxel-based chemotherapy is effective in metastatic gastric and gastro-oesophageal junction adenocarcinoma, but has not yet been evaluated in the context of resectable patients. Here we report findings from the phase 2 part of the phase 2/3 FLOT4 trial, which compared histopathological regression in patients treated with a docetaxel-based triplet chemotherapy versus an anthracycline-based triplet chemotherapy before surgical resection. Methods In this randomised, open-label, phase 2/3 study, eligible participants were recruited from 28 German oncology centres. Patients with resectable gastric or gastro-oesophageal junction cancer who had clinical stage cT2 or higher, nodal positive (cN+) disease, or both were randomly assigned (1:1) to either three preoperative and three postoperative 3-week cycles of intravenous epirubicin 50 mg/m2 on day 1, intravenous cisplatin 60 mg/m2 on day 1, and either fluorouracil 200 mg/m2 as continuous intravenous infusion or capecitabine 1250 mg/m2 orally (two doses of 625 mg/m2 per day) on days 1 to 21 (ECF/ECX group) or four preoperative and four postoperative 2-week cycles of docetaxel 50 mg/m2, intravenous oxaliplatin 85 mg/m2, intravenous leucovorin 200 mg/m2, and fluorouracil 2600 mg/m2 as a 24 h infusion, all on day 1 (FLOT group). Randomisation was done centrally with an interactive web-response system based on a sequence generated with blocks (block size 2) stratified by Eastern Cooperative Oncology Group performance status, location of primary tumour, age, and nodal status. No masking was done. Central assessment of pathological regression was done according to the Becker criteria. The primary endpoint was pathological complete regression (tumour regression grade TRG1a) and was analysed in the modified intention-to-treat population, defined as all patients who were randomly assigned to treatment excluding patients who had surgery but did not provide resection specimens for central evaluation. The study (including the phase 3 part) has completed enrolment, but follow-up is ongoing and this is an interim analysis. The trial is registered with ClinicalTrials.gov, number NCT01216644. Findings Between Aug 18, 2010, and Aug 10, 2012, 300 patients (152 patients in the ECF/ECX group; 148 patients in the FLOT group) were enrolled into the phase 2 part of the study, 265 of whom (137 in the ECF/ECX group; 128 in the FLOT group) were assessable on a modified intention-to-treat basis. 119 (93%) of 128 patients in…","author":[{"dropping-particle":"","family":"Al-Batran","given":"SE","non-dropping-particle":"","parse-names":false,"suffix":""},{"dropping-particle":"","family":"Hofheinz","given":"RD","non-dropping-particle":"","parse-names":false,"suffix":""},{"dropping-particle":"","family":"Pauligk","given":"C","non-dropping-particle":"","parse-names":false,"suffix":""},{"dropping-particle":"","family":"Kopp","given":"HG","non-dropping-particle":"","parse-names":false,"suffix":""},{"dropping-particle":"","family":"Haag","given":"GM","non-dropping-particle":"","parse-names":false,"suffix":""},{"dropping-particle":"","family":"Luley","given":"KB","non-dropping-particle":"","parse-names":false,"suffix":""},{"dropping-particle":"","family":"Meiler","given":"J","non-dropping-particle":"","parse-names":false,"suffix":""},{"dropping-particle":"","family":"Homann","given":"N","non-dropping-particle":"","parse-names":false,"suffix":""},{"dropping-particle":"","family":"Lorenzen","given":"S","non-dropping-particle":"","parse-names":false,"suffix":""},{"dropping-particle":"","family":"Schmalenberg","given":"H","non-dropping-particle":"","parse-names":false,"suffix":""},{"dropping-particle":"","family":"Probst","given":"S","non-dropping-particle":"","parse-names":false,"suffix":""},{"dropping-particle":"","family":"Koenigsmann","given":"M","non-dropping-particle":"","parse-names":false,"suffix":""},{"dropping-particle":"","family":"Egger","given":"M","non-dropping-particle":"","parse-names":false,"suffix":""},{"dropping-particle":"","family":"Prasnikar","given":"N","non-dropping-particle":"","parse-names":false,"suffix":""},{"dropping-particle":"","family":"Caca","given":"K","non-dropping-particle":"","parse-names":false,"suffix":""},{"dropping-particle":"","family":"Trojan","given":"J","non-dropping-particle":"","parse-names":false,"suffix":""},{"dropping-particle":"","family":"Martens","given":"UM","non-dropping-particle":"","parse-names":false,"suffix":""},{"dropping-particle":"","family":"Block","given":"A","non-dropping-particle":"","parse-names":false,"suffix":""},{"dropping-particle":"","family":"Fischbach","given":"W","non-dropping-particle":"","parse-names":false,"suffix":""},{"dropping-particle":"","family":"Mahlberg","given":"R","non-dropping-particle":"","parse-names":false,"suffix":""},{"dropping-particle":"","family":"Clemens","given":"M","non-dropping-particle":"","parse-names":false,"suffix":""},{"dropping-particle":"","family":"Illerhaus","given":"G","non-dropping-particle":"","parse-names":false,"suffix":""},{"dropping-particle":"","family":"Zirlik","given":"K","non-dropping-particle":"","parse-names":false,"suffix":""},{"dropping-particle":"","family":"Behringer","given":"DM","non-dropping-particle":"","parse-names":false,"suffix":""},{"dropping-particle":"","family":"Schmiegel","given":"W","non-dropping-particle":"","parse-names":false,"suffix":""},{"dropping-particle":"","family":"Pohl","given":"M","non-dropping-particle":"","parse-names":false,"suffix":""},{"dropping-particle":"","family":"Heike","given":"M","non-dropping-particle":"","parse-names":false,"suffix":""},{"dropping-particle":"","family":"Ronellenfitsch","given":"U","non-dropping-particle":"","parse-names":false,"suffix":""},{"dropping-particle":"","family":"Schuler","given":"M","non-dropping-particle":"","parse-names":false,"suffix":""},{"dropping-particle":"","family":"Bechstein","given":"WO","non-dropping-particle":"","parse-names":false,"suffix":""},{"dropping-particle":"","family":"Königsrainer","given":"A","non-dropping-particle":"","parse-names":false,"suffix":""},{"dropping-particle":"","family":"Gaiser","given":"T","non-dropping-particle":"","parse-names":false,"suffix":""},{"dropping-particle":"","family":"Schirmacher","given":"P","non-dropping-particle":"","parse-names":false,"suffix":""},{"dropping-particle":"","family":"Hozaeel","given":"W","non-dropping-particle":"","parse-names":false,"suffix":""},{"dropping-particle":"","family":"Reichart","given":"A","non-dropping-particle":"","parse-names":false,"suffix":""},{"dropping-particle":"","family":"Goetze","given":"TO","non-dropping-particle":"","parse-names":false,"suffix":""},{"dropping-particle":"","family":"Sievert","given":"M","non-dropping-particle":"","parse-names":false,"suffix":""},{"dropping-particle":"","family":"Jäger","given":"E","non-dropping-particle":"","parse-names":false,"suffix":""},{"dropping-particle":"","family":"Mönig","given":"S","non-dropping-particle":"","parse-names":false,"suffix":""},{"dropping-particle":"","family":"Tannapfel","given":"A","non-dropping-particle":"","parse-names":false,"suffix":""}],"container-title":"The Lancet. Oncology","id":"ITEM-2","issue":"12","issued":{"date-parts":[["2016","12","1"]]},"page":"1697-1708","publisher":"Lancet Oncol","title":"Histopathological regression after neoadjuvant docetaxel, oxaliplatin, fluorouracil, and leucovorin versus epirubicin, cisplatin, and fluorouracil or capecitabine in patients with resectable gastric or gastro-oesophageal junction adenocarcinoma (FLOT4-AIO","type":"article-journal","volume":"17"},"uris":["http://www.mendeley.com/documents/?uuid=3bd602bd-8553-3c7f-94be-b378ae9b0217"]}],"mendeley":{"formattedCitation":"&lt;sup&gt;26,27&lt;/sup&gt;","plainTextFormattedCitation":"26,27","previouslyFormattedCitation":"&lt;sup&gt;26,27&lt;/sup&gt;"},"properties":{"noteIndex":0},"schema":"https://github.com/citation-style-language/schema/raw/master/csl-citation.json"}</w:instrText>
      </w:r>
      <w:r w:rsidR="00C70CDB" w:rsidRPr="00DB10F3">
        <w:rPr>
          <w:rFonts w:ascii="Helvetica" w:hAnsi="Helvetica"/>
          <w:bCs/>
        </w:rPr>
        <w:fldChar w:fldCharType="separate"/>
      </w:r>
      <w:r w:rsidR="00303EE5" w:rsidRPr="00303EE5">
        <w:rPr>
          <w:rFonts w:ascii="Helvetica" w:hAnsi="Helvetica"/>
          <w:bCs/>
          <w:noProof/>
          <w:vertAlign w:val="superscript"/>
        </w:rPr>
        <w:t>26,27</w:t>
      </w:r>
      <w:r w:rsidR="00C70CDB" w:rsidRPr="00DB10F3">
        <w:rPr>
          <w:rFonts w:ascii="Helvetica" w:hAnsi="Helvetica"/>
          <w:bCs/>
        </w:rPr>
        <w:fldChar w:fldCharType="end"/>
      </w:r>
      <w:r w:rsidR="00C70CDB" w:rsidRPr="00DB10F3">
        <w:rPr>
          <w:rFonts w:ascii="Helvetica" w:hAnsi="Helvetica"/>
          <w:bCs/>
        </w:rPr>
        <w:t xml:space="preserve">. </w:t>
      </w:r>
      <w:r w:rsidR="002033AD" w:rsidRPr="00DB10F3">
        <w:rPr>
          <w:rFonts w:ascii="Helvetica" w:hAnsi="Helvetica"/>
          <w:bCs/>
        </w:rPr>
        <w:t>N</w:t>
      </w:r>
      <w:r w:rsidR="008519E1" w:rsidRPr="00DB10F3">
        <w:rPr>
          <w:rFonts w:ascii="Helvetica" w:hAnsi="Helvetica"/>
          <w:bCs/>
        </w:rPr>
        <w:t xml:space="preserve">o previous studies have evaluated the effect of FLOT on </w:t>
      </w:r>
      <w:r w:rsidR="00EF5F5D" w:rsidRPr="00DB10F3">
        <w:rPr>
          <w:rFonts w:ascii="Helvetica" w:hAnsi="Helvetica"/>
          <w:bCs/>
        </w:rPr>
        <w:t>LN</w:t>
      </w:r>
      <w:r w:rsidR="008519E1" w:rsidRPr="00DB10F3">
        <w:rPr>
          <w:rFonts w:ascii="Helvetica" w:hAnsi="Helvetica"/>
          <w:bCs/>
        </w:rPr>
        <w:t xml:space="preserve"> regression despite </w:t>
      </w:r>
      <w:r w:rsidR="00C70CDB" w:rsidRPr="00DB10F3">
        <w:rPr>
          <w:rFonts w:ascii="Helvetica" w:hAnsi="Helvetica"/>
          <w:bCs/>
        </w:rPr>
        <w:t xml:space="preserve">this regimen </w:t>
      </w:r>
      <w:r w:rsidR="008519E1" w:rsidRPr="00DB10F3">
        <w:rPr>
          <w:rFonts w:ascii="Helvetica" w:hAnsi="Helvetica"/>
          <w:bCs/>
        </w:rPr>
        <w:t>becoming</w:t>
      </w:r>
      <w:r w:rsidR="00C70CDB" w:rsidRPr="00DB10F3">
        <w:rPr>
          <w:rFonts w:ascii="Helvetica" w:hAnsi="Helvetica"/>
          <w:bCs/>
        </w:rPr>
        <w:t xml:space="preserve"> the standard of care in many Western institutions </w:t>
      </w:r>
      <w:r w:rsidR="00BA14AB" w:rsidRPr="00DB10F3">
        <w:rPr>
          <w:rFonts w:ascii="Helvetica" w:hAnsi="Helvetica"/>
          <w:bCs/>
        </w:rPr>
        <w:t>following</w:t>
      </w:r>
      <w:r w:rsidR="00C70CDB" w:rsidRPr="00DB10F3">
        <w:rPr>
          <w:rFonts w:ascii="Helvetica" w:hAnsi="Helvetica"/>
          <w:bCs/>
        </w:rPr>
        <w:t xml:space="preserve"> the publication of the FLOT4-AIO trial </w:t>
      </w:r>
      <w:r w:rsidR="00C70CDB" w:rsidRPr="00DB10F3">
        <w:rPr>
          <w:rFonts w:ascii="Helvetica" w:hAnsi="Helvetica"/>
          <w:bCs/>
        </w:rPr>
        <w:fldChar w:fldCharType="begin" w:fldLock="1"/>
      </w:r>
      <w:r w:rsidR="00557B73" w:rsidRPr="00DB10F3">
        <w:rPr>
          <w:rFonts w:ascii="Helvetica" w:hAnsi="Helvetica"/>
          <w:bCs/>
        </w:rPr>
        <w:instrText>ADDIN CSL_CITATION {"citationItems":[{"id":"ITEM-1","itemData":{"DOI":"10.1016/S0140-6736(18)32557-1","ISSN":"1474547X","PMID":"30982686","abstract":"Background: Docetaxel-based chemotherapy is effective in metastatic gastric and gastro-oesophageal junction adenocarcinoma. This study reports on the safety and efficacy of the docetaxel-based triplet FLOT (fluorouracil plus leucovorin, oxaliplatin and docetaxel)as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group)or four preoperative and four postoperative 2-week cycles of 50 mg/m2 docetaxel, 85 mg/m2 oxaliplatin, 200 mg/m2 leucovorin and 2600 mg/m2 fluorouracil as 24-h infusion on day 1 (FLOT; experimental group). The primary outcome of the trial was overall survival (superiority)analysed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[HR]0·77; 95% confidence interval [CI; 0.63 to 0·94]; median overall survival, 50 months [38·33 to not reached]vs 35 months [27·35 to 46·26]). The number of patients with related serious adverse events (including those occurring during hospital stay for surgery)was similar in the two groups (96 [27%]in the ECF/ECX group vs 97 [27%]in the FLOT group), as was the number of toxic deaths (two [&lt;1%]in both groups). Hospitalisation for toxicity occurred in 94 patients (26%)in the ECF/ECX group and 89 patients (25%)in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 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 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Lancet","id":"ITEM-1","issue":"10184","issued":{"date-parts":[["2019"]]},"page":"1948-1957","publisher":"Elsevier Ltd","title":"Perioperative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19676975-a331-4a5c-b28b-3304e0858813"]}],"mendeley":{"formattedCitation":"&lt;sup&gt;16&lt;/sup&gt;","plainTextFormattedCitation":"16","previouslyFormattedCitation":"&lt;sup&gt;16&lt;/sup&gt;"},"properties":{"noteIndex":0},"schema":"https://github.com/citation-style-language/schema/raw/master/csl-citation.json"}</w:instrText>
      </w:r>
      <w:r w:rsidR="00C70CDB" w:rsidRPr="00DB10F3">
        <w:rPr>
          <w:rFonts w:ascii="Helvetica" w:hAnsi="Helvetica"/>
          <w:bCs/>
        </w:rPr>
        <w:fldChar w:fldCharType="separate"/>
      </w:r>
      <w:r w:rsidR="00962D57" w:rsidRPr="00DB10F3">
        <w:rPr>
          <w:rFonts w:ascii="Helvetica" w:hAnsi="Helvetica"/>
          <w:bCs/>
          <w:noProof/>
          <w:vertAlign w:val="superscript"/>
        </w:rPr>
        <w:t>16</w:t>
      </w:r>
      <w:r w:rsidR="00C70CDB" w:rsidRPr="00DB10F3">
        <w:rPr>
          <w:rFonts w:ascii="Helvetica" w:hAnsi="Helvetica"/>
          <w:bCs/>
        </w:rPr>
        <w:fldChar w:fldCharType="end"/>
      </w:r>
      <w:r w:rsidR="00C70CDB" w:rsidRPr="00DB10F3">
        <w:rPr>
          <w:rFonts w:ascii="Helvetica" w:hAnsi="Helvetica"/>
          <w:bCs/>
        </w:rPr>
        <w:t>.</w:t>
      </w:r>
      <w:r w:rsidR="005D5A55">
        <w:rPr>
          <w:rFonts w:ascii="Helvetica" w:hAnsi="Helvetica"/>
          <w:bCs/>
        </w:rPr>
        <w:t xml:space="preserve"> </w:t>
      </w:r>
      <w:r w:rsidR="005D5A55">
        <w:rPr>
          <w:rFonts w:ascii="Helvetica" w:hAnsi="Helvetica"/>
          <w:bCs/>
          <w:color w:val="000000" w:themeColor="text1"/>
        </w:rPr>
        <w:t>The proposed classification of LN response demonstrated good internal validity using the split-sample and bootstrap methods. However, in order to further evaluate its performance in clinical practice, external validation in an independent cohort is required. This is an intended area of future work.</w:t>
      </w:r>
    </w:p>
    <w:p w14:paraId="1E41B952" w14:textId="29B27D7E" w:rsidR="00A019FF" w:rsidRPr="00DB10F3" w:rsidRDefault="00A019FF" w:rsidP="00A019FF">
      <w:pPr>
        <w:spacing w:line="480" w:lineRule="auto"/>
        <w:rPr>
          <w:rFonts w:ascii="Helvetica" w:hAnsi="Helvetica"/>
          <w:bCs/>
        </w:rPr>
      </w:pPr>
    </w:p>
    <w:p w14:paraId="74E97A5E" w14:textId="440E0488" w:rsidR="00A019FF" w:rsidRPr="00DB10F3" w:rsidRDefault="00A019FF" w:rsidP="00A019FF">
      <w:pPr>
        <w:spacing w:line="480" w:lineRule="auto"/>
        <w:rPr>
          <w:rFonts w:ascii="Helvetica" w:hAnsi="Helvetica"/>
          <w:bCs/>
        </w:rPr>
      </w:pPr>
      <w:r w:rsidRPr="00DB10F3">
        <w:rPr>
          <w:rFonts w:ascii="Helvetica" w:hAnsi="Helvetica"/>
          <w:bCs/>
        </w:rPr>
        <w:t xml:space="preserve">Although assessment of primary </w:t>
      </w:r>
      <w:proofErr w:type="spellStart"/>
      <w:r w:rsidR="0019785E">
        <w:rPr>
          <w:rFonts w:ascii="Helvetica" w:hAnsi="Helvetica"/>
          <w:bCs/>
        </w:rPr>
        <w:t>tumor</w:t>
      </w:r>
      <w:proofErr w:type="spellEnd"/>
      <w:r w:rsidRPr="00DB10F3">
        <w:rPr>
          <w:rFonts w:ascii="Helvetica" w:hAnsi="Helvetica"/>
          <w:bCs/>
        </w:rPr>
        <w:t xml:space="preserve"> regression is a core data item in The Royal College of Pathologists standards for reporting esophago-gastric cancers, </w:t>
      </w:r>
      <w:r w:rsidR="00EF5F5D" w:rsidRPr="00DB10F3">
        <w:rPr>
          <w:rFonts w:ascii="Helvetica" w:hAnsi="Helvetica"/>
          <w:bCs/>
        </w:rPr>
        <w:t>LN</w:t>
      </w:r>
      <w:r w:rsidRPr="00DB10F3">
        <w:rPr>
          <w:rFonts w:ascii="Helvetica" w:hAnsi="Helvetica"/>
          <w:bCs/>
        </w:rPr>
        <w:t xml:space="preserve"> regression is not currently part of any regression grading system and is therefore not routinely reported in </w:t>
      </w:r>
      <w:r w:rsidR="006B3AD8" w:rsidRPr="00DB10F3">
        <w:rPr>
          <w:rFonts w:ascii="Helvetica" w:hAnsi="Helvetica"/>
          <w:bCs/>
        </w:rPr>
        <w:t xml:space="preserve">most </w:t>
      </w:r>
      <w:r w:rsidRPr="00DB10F3">
        <w:rPr>
          <w:rFonts w:ascii="Helvetica" w:hAnsi="Helvetica"/>
          <w:bCs/>
        </w:rPr>
        <w:t>UK centres</w:t>
      </w:r>
      <w:r w:rsidR="006B3AD8" w:rsidRPr="00DB10F3">
        <w:rPr>
          <w:rFonts w:ascii="Helvetica" w:hAnsi="Helvetica"/>
          <w:bCs/>
        </w:rPr>
        <w:t xml:space="preserve"> </w:t>
      </w:r>
      <w:r w:rsidR="006B3AD8" w:rsidRPr="00DB10F3">
        <w:rPr>
          <w:rFonts w:ascii="Helvetica" w:hAnsi="Helvetica"/>
          <w:bCs/>
        </w:rPr>
        <w:fldChar w:fldCharType="begin" w:fldLock="1"/>
      </w:r>
      <w:r w:rsidR="00557B73" w:rsidRPr="00DB10F3">
        <w:rPr>
          <w:rFonts w:ascii="Helvetica" w:hAnsi="Helvetica"/>
          <w:bCs/>
        </w:rPr>
        <w:instrText>ADDIN CSL_CITATION {"citationItems":[{"id":"ITEM-1","itemData":{"author":[{"dropping-particle":"","family":"Grabsch","given":"H","non-dropping-particle":"","parse-names":false,"suffix":""},{"dropping-particle":"","family":"Mapstone","given":"N","non-dropping-particle":"","parse-names":false,"suffix":""},{"dropping-particle":"","family":"Novelli","given":"M","non-dropping-particle":"","parse-names":false,"suffix":""}],"container-title":"Standards and datasets for reporting cancers, The Royal College of Pathologists","id":"ITEM-1","issued":{"date-parts":[["2019"]]},"title":"Dataset for histopathological reporting of oesophageal and gastric carcinoma","type":"article-journal"},"uris":["http://www.mendeley.com/documents/?uuid=44b0a6cf-5f05-39aa-940a-bdaa599e2f0c"]}],"mendeley":{"formattedCitation":"&lt;sup&gt;18&lt;/sup&gt;","plainTextFormattedCitation":"18","previouslyFormattedCitation":"&lt;sup&gt;18&lt;/sup&gt;"},"properties":{"noteIndex":0},"schema":"https://github.com/citation-style-language/schema/raw/master/csl-citation.json"}</w:instrText>
      </w:r>
      <w:r w:rsidR="006B3AD8" w:rsidRPr="00DB10F3">
        <w:rPr>
          <w:rFonts w:ascii="Helvetica" w:hAnsi="Helvetica"/>
          <w:bCs/>
        </w:rPr>
        <w:fldChar w:fldCharType="separate"/>
      </w:r>
      <w:r w:rsidR="00962D57" w:rsidRPr="00DB10F3">
        <w:rPr>
          <w:rFonts w:ascii="Helvetica" w:hAnsi="Helvetica"/>
          <w:bCs/>
          <w:noProof/>
          <w:vertAlign w:val="superscript"/>
        </w:rPr>
        <w:t>18</w:t>
      </w:r>
      <w:r w:rsidR="006B3AD8" w:rsidRPr="00DB10F3">
        <w:rPr>
          <w:rFonts w:ascii="Helvetica" w:hAnsi="Helvetica"/>
          <w:bCs/>
        </w:rPr>
        <w:fldChar w:fldCharType="end"/>
      </w:r>
      <w:r w:rsidRPr="00DB10F3">
        <w:rPr>
          <w:rFonts w:ascii="Helvetica" w:hAnsi="Helvetica"/>
          <w:bCs/>
        </w:rPr>
        <w:t xml:space="preserve">. </w:t>
      </w:r>
      <w:r w:rsidR="006B3AD8" w:rsidRPr="00DB10F3">
        <w:rPr>
          <w:rFonts w:ascii="Helvetica" w:hAnsi="Helvetica"/>
          <w:bCs/>
        </w:rPr>
        <w:t>Despite</w:t>
      </w:r>
      <w:r w:rsidR="007D5650" w:rsidRPr="00DB10F3">
        <w:rPr>
          <w:rFonts w:ascii="Helvetica" w:hAnsi="Helvetica"/>
          <w:bCs/>
        </w:rPr>
        <w:t xml:space="preserve"> recent attempts </w:t>
      </w:r>
      <w:r w:rsidR="007D5650" w:rsidRPr="00DB10F3">
        <w:rPr>
          <w:rFonts w:ascii="Helvetica" w:hAnsi="Helvetica"/>
          <w:bCs/>
        </w:rPr>
        <w:fldChar w:fldCharType="begin" w:fldLock="1"/>
      </w:r>
      <w:r w:rsidR="00C21329">
        <w:rPr>
          <w:rFonts w:ascii="Helvetica" w:hAnsi="Helvetica"/>
          <w:bCs/>
        </w:rPr>
        <w:instrText>ADDIN CSL_CITATION {"citationItems":[{"id":"ITEM-1","itemData":{"DOI":"10.1016/J.HUMPATH.2020.11.001","ISSN":"1532-8392","PMID":"33221343","abstract":"Complete histopathologic tumor regression after neoadjuvant treatment is a well-known prognostic factor for survival among patients with adenocarcinomas of the esophagus and gastroesophageal junction. The aim of this international Delphi survey was to reach a consensus regarding the most useful tumor regression grading (TRG) system that could represent an international standard for histopathologic TRG grading of gastroesophageal carcinomas. Fifteen pathologists with special interest in esophageal and gastric pathology participated in the online survey. The initial questionnaire contained of 43 statements that addressed the following topics: (1) specimen processing, (2) gross examination, (3) cross sectioning, (4) staining, (5) Barrett's esophagus, (6) TRG systems, and (7) TRG in lymph node (LN). Participants rated the items using a 5-point Likert style scale and were encouraged to write comments for each statement. The expert panel recommended a 4-tiered TRG system for assessing the primary tumor: grade 1: No residual tumor (complete histopathologic tumor regression), grade 2: less than 10% residual tumor (near-complete regression), grade 3: 10%–50% residual tumor (partial regression), grade 4: greater than 50% residual tumor (minimal/no regression), combined with a 3-tiered system for grading therapeutic response in metastatic LNs: grade a: no residual tumor (complete histopathologic TRG), grade b: partial regression (tumor cells and regression), grade c: no regression (no sign of tumor response). This TRG grading system can be recommended as an international standard for histopathologic TRG grading in esophageal and gastroesophageal junction adenocarcinoma.","author":[{"dropping-particle":"","family":"Saliba","given":"G.","non-dropping-particle":"","parse-names":false,"suffix":""},{"dropping-particle":"","family":"Detlefsen","given":"S.","non-dropping-particle":"","parse-names":false,"suffix":""},{"dropping-particle":"","family":"Carneiro","given":"F.","non-dropping-particle":"","parse-names":false,"suffix":""},{"dropping-particle":"","family":"Conner","given":"J.","non-dropping-particle":"","parse-names":false,"suffix":""},{"dropping-particle":"","family":"Dorer","given":"R.","non-dropping-particle":"","parse-names":false,"suffix":""},{"dropping-particle":"","family":"Fléjou","given":"J. F.","non-dropping-particle":"","parse-names":false,"suffix":""},{"dropping-particle":"","family":"Hahn","given":"H.","non-dropping-particle":"","parse-names":false,"suffix":""},{"dropping-particle":"","family":"Kamaradova","given":"K.","non-dropping-particle":"","parse-names":false,"suffix":""},{"dropping-particle":"","family":"Mastracci","given":"L.","non-dropping-particle":"","parse-names":false,"suffix":""},{"dropping-particle":"","family":"Meijer","given":"S. L.","non-dropping-particle":"","parse-names":false,"suffix":""},{"dropping-particle":"","family":"Sabo","given":"E.","non-dropping-particle":"","parse-names":false,"suffix":""},{"dropping-particle":"","family":"Sheahan","given":"K.","non-dropping-particle":"","parse-names":false,"suffix":""},{"dropping-particle":"","family":"Riddell","given":"R.","non-dropping-particle":"","parse-names":false,"suffix":""},{"dropping-particle":"","family":"Wang","given":"N.","non-dropping-particle":"","parse-names":false,"suffix":""},{"dropping-particle":"","family":"Yantiss","given":"R. K.","non-dropping-particle":"","parse-names":false,"suffix":""},{"dropping-particle":"","family":"Lundell","given":"L.","non-dropping-particle":"","parse-names":false,"suffix":""},{"dropping-particle":"","family":"Low","given":"D.","non-dropping-particle":"","parse-names":false,"suffix":""},{"dropping-particle":"","family":"Vieth","given":"M.","non-dropping-particle":"","parse-names":false,"suffix":""},{"dropping-particle":"","family":"Klevebro","given":"F.","non-dropping-particle":"","parse-names":false,"suffix":""}],"container-title":"Human pathology","id":"ITEM-1","issued":{"date-parts":[["2021","2","1"]]},"page":"60-67","publisher":"Hum Pathol","title":"Tumor regression grading after neoadjuvant treatment of esophageal and gastroesophageal junction adenocarcinoma: results of an international Delphi consensus survey","type":"article-journal","volume":"108"},"uris":["http://www.mendeley.com/documents/?uuid=3e63052f-14e1-3929-af92-36a6fbcd938c"]},{"id":"ITEM-2","itemData":{"DOI":"10.1093/DOTE/DOAB033","ISSN":"1120-8694","PMID":"33969411","abstract":"Background: Variation in the approach, radicality, and quality of gastroesophageal surgery impacts patient outcomes. Pathological outcomes such as lymph node yield are routinely used as surrogate markers of surgical quality, but are subject to significant variations in histopathological evaluation and reporting. A multisociety consensus group was convened to develop evidence-based recommendations for the standardized assessment of gastroesophageal cancer specimens. Methods: A consensus group comprised of surgeons, pathologists, and oncologists was convened on behalf of the Association ofUpperGastrointestinal Surgery ofGreat Britain&amp;Ireland. Literature was reviewed for 17 key questions. Draft recommendations were voted upon via an anonymous Delphi process. Consensus was considered achieved where &gt;70% of participants were in agreement. Results: Consensus was achieved on 18 statements for all 17 questions. Twelve strong recommendations regarding preparation and assessment of lymph nodes, margins, and reporting methods were made. Importantly, there was 100% agreement that the all specimens should be reported using the Royal College of Pathologists Guidelines as the minimum acceptable dataset. In addition, two weak recommendations regarding method and duration of specimen fixation were made. Four topics lacked sufficient evidence and no recommendation was made. Conclusions: These consensus recommendations provide explicit guidance for gastroesophageal cancer specimen preparation and assessment, to provide maximum benefit for patient care and standardize reporting to allow benchmarking and improvement of surgical quality.","author":[{"dropping-particle":"","family":"Pucher","given":"Philip H","non-dropping-particle":"","parse-names":false,"suffix":""},{"dropping-particle":"","family":"(AUGIS)","given":"on behalf of the Association of Upper GI Surgery of GB&amp;I","non-dropping-particle":"","parse-names":false,"suffix":""},{"dropping-particle":"","family":"Allum","given":"William H","non-dropping-particle":"","parse-names":false,"suffix":""},{"dropping-particle":"","family":"(AUGIS)","given":"on behalf of the Association of Upper GI Surgery of GB&amp;I","non-dropping-particle":"","parse-names":false,"suffix":""},{"dropping-particle":"","family":"Bateman","given":"Adrian C","non-dropping-particle":"","parse-names":false,"suffix":""},{"dropping-particle":"","family":"(AUGIS)","given":"on behalf of the Association of Upper GI Surgery of GB&amp;I","non-dropping-particle":"","parse-names":false,"suffix":""},{"dropping-particle":"","family":"Green","given":"Michael","non-dropping-particle":"","parse-names":false,"suffix":""},{"dropping-particle":"","family":"(AUGIS)","given":"on behalf of the Association of Upper GI Surgery of GB&amp;I","non-dropping-particle":"","parse-names":false,"suffix":""},{"dropping-particle":"","family":"Maynard","given":"Nick","non-dropping-particle":"","parse-names":false,"suffix":""},{"dropping-particle":"","family":"(AUGIS)","given":"on behalf of the Association of Upper GI Surgery of GB&amp;I","non-dropping-particle":"","parse-names":false,"suffix":""},{"dropping-particle":"","family":"Novelli","given":"Marco","non-dropping-particle":"","parse-names":false,"suffix":""},{"dropping-particle":"","family":"(AUGIS)","given":"on behalf of the Association of Upper GI Surgery of GB&amp;I","non-dropping-particle":"","parse-names":false,"suffix":""},{"dropping-particle":"","family":"Petty","given":"Russell","non-dropping-particle":"","parse-names":false,"suffix":""},{"dropping-particle":"","family":"(AUGIS)","given":"on behalf of the Association of Upper GI Surgery of GB&amp;I","non-dropping-particle":"","parse-names":false,"suffix":""},{"dropping-particle":"","family":"Underwood","given":"Timothy J","non-dropping-particle":"","parse-names":false,"suffix":""},{"dropping-particle":"","family":"(AUGIS)","given":"on behalf of the Association of Upper GI Surgery of GB&amp;I","non-dropping-particle":"","parse-names":false,"suffix":""},{"dropping-particle":"","family":"Gossage","given":"James","non-dropping-particle":"","parse-names":false,"suffix":""},{"dropping-particle":"","family":"(AUGIS)","given":"on behalf of the Association of Upper GI Surgery of GB&amp;I","non-dropping-particle":"","parse-names":false,"suffix":""}],"container-title":"Diseases of the Esophagus","id":"ITEM-2","issue":"8","issued":{"date-parts":[["2021","8","10"]]},"page":"1-12","publisher":"Oxford Academic","title":"Consensus recommendations for the standardized histopathological evaluation and reporting after radical oesophago-gastrectomy (HERO consensus)","type":"article-journal","volume":"34"},"uris":["http://www.mendeley.com/documents/?uuid=3fac3186-b757-3756-b277-adf1b471fac6"]}],"mendeley":{"formattedCitation":"&lt;sup&gt;28,29&lt;/sup&gt;","plainTextFormattedCitation":"28,29","previouslyFormattedCitation":"&lt;sup&gt;28,29&lt;/sup&gt;"},"properties":{"noteIndex":0},"schema":"https://github.com/citation-style-language/schema/raw/master/csl-citation.json"}</w:instrText>
      </w:r>
      <w:r w:rsidR="007D5650" w:rsidRPr="00DB10F3">
        <w:rPr>
          <w:rFonts w:ascii="Helvetica" w:hAnsi="Helvetica"/>
          <w:bCs/>
        </w:rPr>
        <w:fldChar w:fldCharType="separate"/>
      </w:r>
      <w:r w:rsidR="00303EE5" w:rsidRPr="00303EE5">
        <w:rPr>
          <w:rFonts w:ascii="Helvetica" w:hAnsi="Helvetica"/>
          <w:bCs/>
          <w:noProof/>
          <w:vertAlign w:val="superscript"/>
        </w:rPr>
        <w:t>28,29</w:t>
      </w:r>
      <w:r w:rsidR="007D5650" w:rsidRPr="00DB10F3">
        <w:rPr>
          <w:rFonts w:ascii="Helvetica" w:hAnsi="Helvetica"/>
          <w:bCs/>
        </w:rPr>
        <w:fldChar w:fldCharType="end"/>
      </w:r>
      <w:r w:rsidR="007D5650" w:rsidRPr="00DB10F3">
        <w:rPr>
          <w:rFonts w:ascii="Helvetica" w:hAnsi="Helvetica"/>
          <w:bCs/>
        </w:rPr>
        <w:t xml:space="preserve">, </w:t>
      </w:r>
      <w:r w:rsidRPr="00DB10F3">
        <w:rPr>
          <w:rFonts w:ascii="Helvetica" w:hAnsi="Helvetica"/>
          <w:bCs/>
        </w:rPr>
        <w:t xml:space="preserve">there is no national or international consensus </w:t>
      </w:r>
      <w:r w:rsidR="006B3AD8" w:rsidRPr="00DB10F3">
        <w:rPr>
          <w:rFonts w:ascii="Helvetica" w:hAnsi="Helvetica"/>
          <w:bCs/>
        </w:rPr>
        <w:t>regarding</w:t>
      </w:r>
      <w:r w:rsidRPr="00DB10F3">
        <w:rPr>
          <w:rFonts w:ascii="Helvetica" w:hAnsi="Helvetica"/>
          <w:bCs/>
        </w:rPr>
        <w:t xml:space="preserve"> which </w:t>
      </w:r>
      <w:proofErr w:type="spellStart"/>
      <w:r w:rsidR="0019785E">
        <w:rPr>
          <w:rFonts w:ascii="Helvetica" w:hAnsi="Helvetica"/>
          <w:bCs/>
        </w:rPr>
        <w:t>tumor</w:t>
      </w:r>
      <w:proofErr w:type="spellEnd"/>
      <w:r w:rsidR="00F11BF0" w:rsidRPr="00DB10F3">
        <w:rPr>
          <w:rFonts w:ascii="Helvetica" w:hAnsi="Helvetica"/>
          <w:bCs/>
        </w:rPr>
        <w:t xml:space="preserve"> regression grad</w:t>
      </w:r>
      <w:r w:rsidR="00FC5197" w:rsidRPr="00DB10F3">
        <w:rPr>
          <w:rFonts w:ascii="Helvetica" w:hAnsi="Helvetica"/>
          <w:bCs/>
        </w:rPr>
        <w:t>ing</w:t>
      </w:r>
      <w:r w:rsidR="00F11BF0" w:rsidRPr="00DB10F3">
        <w:rPr>
          <w:rFonts w:ascii="Helvetica" w:hAnsi="Helvetica"/>
          <w:bCs/>
        </w:rPr>
        <w:t xml:space="preserve"> </w:t>
      </w:r>
      <w:r w:rsidRPr="00DB10F3">
        <w:rPr>
          <w:rFonts w:ascii="Helvetica" w:hAnsi="Helvetica"/>
          <w:bCs/>
        </w:rPr>
        <w:t>system should</w:t>
      </w:r>
      <w:r w:rsidR="007D5650" w:rsidRPr="00DB10F3">
        <w:rPr>
          <w:rFonts w:ascii="Helvetica" w:hAnsi="Helvetica"/>
          <w:bCs/>
        </w:rPr>
        <w:t xml:space="preserve"> </w:t>
      </w:r>
      <w:r w:rsidRPr="00DB10F3">
        <w:rPr>
          <w:rFonts w:ascii="Helvetica" w:hAnsi="Helvetica"/>
          <w:bCs/>
        </w:rPr>
        <w:t xml:space="preserve">be used </w:t>
      </w:r>
      <w:r w:rsidR="007D5650" w:rsidRPr="00DB10F3">
        <w:rPr>
          <w:rFonts w:ascii="Helvetica" w:hAnsi="Helvetica"/>
          <w:bCs/>
        </w:rPr>
        <w:t xml:space="preserve">and </w:t>
      </w:r>
      <w:r w:rsidR="005E4D3E" w:rsidRPr="00DB10F3">
        <w:rPr>
          <w:rFonts w:ascii="Helvetica" w:hAnsi="Helvetica"/>
          <w:bCs/>
        </w:rPr>
        <w:t xml:space="preserve">this decision </w:t>
      </w:r>
      <w:r w:rsidRPr="00DB10F3">
        <w:rPr>
          <w:rFonts w:ascii="Helvetica" w:hAnsi="Helvetica"/>
          <w:bCs/>
        </w:rPr>
        <w:t xml:space="preserve">is </w:t>
      </w:r>
      <w:r w:rsidR="007D5650" w:rsidRPr="00DB10F3">
        <w:rPr>
          <w:rFonts w:ascii="Helvetica" w:hAnsi="Helvetica"/>
          <w:bCs/>
        </w:rPr>
        <w:lastRenderedPageBreak/>
        <w:t xml:space="preserve">therefore </w:t>
      </w:r>
      <w:r w:rsidRPr="00DB10F3">
        <w:rPr>
          <w:rFonts w:ascii="Helvetica" w:hAnsi="Helvetica"/>
          <w:bCs/>
        </w:rPr>
        <w:t>left to individual units</w:t>
      </w:r>
      <w:r w:rsidR="006B3AD8" w:rsidRPr="00DB10F3">
        <w:rPr>
          <w:rFonts w:ascii="Helvetica" w:hAnsi="Helvetica"/>
          <w:bCs/>
        </w:rPr>
        <w:t>,</w:t>
      </w:r>
      <w:r w:rsidRPr="00DB10F3">
        <w:rPr>
          <w:rFonts w:ascii="Helvetica" w:hAnsi="Helvetica"/>
          <w:bCs/>
        </w:rPr>
        <w:t xml:space="preserve"> </w:t>
      </w:r>
      <w:r w:rsidR="0006380D" w:rsidRPr="00DB10F3">
        <w:rPr>
          <w:rFonts w:ascii="Helvetica" w:hAnsi="Helvetica"/>
          <w:bCs/>
        </w:rPr>
        <w:t xml:space="preserve">with </w:t>
      </w:r>
      <w:r w:rsidR="00FC5197" w:rsidRPr="00DB10F3">
        <w:rPr>
          <w:rFonts w:ascii="Helvetica" w:hAnsi="Helvetica"/>
          <w:bCs/>
        </w:rPr>
        <w:t>significant</w:t>
      </w:r>
      <w:r w:rsidR="00F11BF0" w:rsidRPr="00DB10F3">
        <w:rPr>
          <w:rFonts w:ascii="Helvetica" w:hAnsi="Helvetica"/>
          <w:bCs/>
        </w:rPr>
        <w:t xml:space="preserve"> </w:t>
      </w:r>
      <w:r w:rsidR="0006380D" w:rsidRPr="00DB10F3">
        <w:rPr>
          <w:rFonts w:ascii="Helvetica" w:hAnsi="Helvetica"/>
          <w:bCs/>
        </w:rPr>
        <w:t>variation</w:t>
      </w:r>
      <w:r w:rsidR="005E4D3E" w:rsidRPr="00DB10F3">
        <w:rPr>
          <w:rFonts w:ascii="Helvetica" w:hAnsi="Helvetica"/>
          <w:bCs/>
        </w:rPr>
        <w:t>s in practice</w:t>
      </w:r>
      <w:r w:rsidR="0006380D" w:rsidRPr="00DB10F3">
        <w:rPr>
          <w:rFonts w:ascii="Helvetica" w:hAnsi="Helvetica"/>
          <w:bCs/>
        </w:rPr>
        <w:t xml:space="preserve"> observed</w:t>
      </w:r>
      <w:r w:rsidR="00E3722B" w:rsidRPr="00DB10F3">
        <w:rPr>
          <w:rFonts w:ascii="Helvetica" w:hAnsi="Helvetica"/>
          <w:bCs/>
        </w:rPr>
        <w:t xml:space="preserve"> </w:t>
      </w:r>
      <w:r w:rsidR="00E3722B" w:rsidRPr="00DB10F3">
        <w:rPr>
          <w:rFonts w:ascii="Helvetica" w:hAnsi="Helvetica"/>
          <w:bCs/>
        </w:rPr>
        <w:fldChar w:fldCharType="begin" w:fldLock="1"/>
      </w:r>
      <w:r w:rsidR="00C21329">
        <w:rPr>
          <w:rFonts w:ascii="Helvetica" w:hAnsi="Helvetica"/>
          <w:bCs/>
        </w:rPr>
        <w:instrText>ADDIN CSL_CITATION {"citationItems":[{"id":"ITEM-1","itemData":{"DOI":"10.1038/s41379-019-0393-7","abstract":"Tumor regression grading is routinely performed on neoadjuvantly treated gastrointestinal cancer resections. Challenges in tumor regression grading include grossing standards, multiple grading systems, and difficulty interpreting therapy-induced changes. We surveyed gastrointestinal pathologists around the world for their practices in handling neoadjuvantly treated gastrointestinal cancer specimens and reporting tumor regression using a 23-question online survey. Topics addressed grossing, histologic work-up, tumor regression grading systems, and degree of difficulty identifying and estimating residual cancer within treatment effect. Two-hundred three responses were received, including 173 participants who completed the entire questionnaire. Fifty percent of the participants were from Europe, 29% from North America, 10% from Australia, and 11% from other continents. Ninety-five percent routinely report a tumor regression grade and 92% have standardized grossing and histologic work-up: 27% always completely embed the entire tumor bed, 54% embed the complete tumor site if not a grossly apparent, large mass. Fifty-nine percent use hematoxylin &amp; eosin alone for assessment; the remaining use additional stains. In North America and Australia, the American Joint Committee on Cancer (AJCC)/College of American Pathologists (CAP)/Ryan system is routinely used for gastroesophageal (71%) and rectal carcinomas (77%). In Europe, the Mandard system is common (36%) for gastroesophageal tumors, followed by AJCC/CAP/Ryan (22%), and Becker (10%); for rectal CA, the Dworak system (30%) is followed by AJCC/CAP/Ryan (24%) and Mandard (14%). This regional differences were significant (p &lt; 0.001 each). Fifty-one percent prefer a four-tiered system. Sixty-six percent think that regressive changes in lymph nodes should be part of a regression grade. Sixty-nine percent consider identifying residual tumor straightforward , but estimating therapy-induced fibrosis difficult (57%). Free comments raised issues of costs for work-up and clinical relevance. In conclusion, this multinational survey provides a comprehensive overview of grossing and histologic work-up with regards to tumor regression grading in gastrointestinal cancers with partly significant regional differences particularly between North America and Europe.","author":[{"dropping-particle":"","family":"Westerhoff","given":"Maria","non-dropping-particle":"","parse-names":false,"suffix":""},{"dropping-particle":"","family":"Osecky","given":"Marek","non-dropping-particle":"","parse-names":false,"suffix":""},{"dropping-particle":"","family":"Langer","given":"• Rupert","non-dropping-particle":"","parse-names":false,"suffix":""}],"container-title":"Modern Pathology","id":"ITEM-1","issued":{"date-parts":[["2020"]]},"page":"676-689","title":"Varying practices in tumor regression grading of gastrointestinal carcinomas after neoadjuvant therapy: results of an international survey","type":"article-journal","volume":"33"},"uris":["http://www.mendeley.com/documents/?uuid=31e9d664-c261-35b7-94f9-7973116a2797"]}],"mendeley":{"formattedCitation":"&lt;sup&gt;30&lt;/sup&gt;","plainTextFormattedCitation":"30","previouslyFormattedCitation":"&lt;sup&gt;30&lt;/sup&gt;"},"properties":{"noteIndex":0},"schema":"https://github.com/citation-style-language/schema/raw/master/csl-citation.json"}</w:instrText>
      </w:r>
      <w:r w:rsidR="00E3722B" w:rsidRPr="00DB10F3">
        <w:rPr>
          <w:rFonts w:ascii="Helvetica" w:hAnsi="Helvetica"/>
          <w:bCs/>
        </w:rPr>
        <w:fldChar w:fldCharType="separate"/>
      </w:r>
      <w:r w:rsidR="00303EE5" w:rsidRPr="00303EE5">
        <w:rPr>
          <w:rFonts w:ascii="Helvetica" w:hAnsi="Helvetica"/>
          <w:bCs/>
          <w:noProof/>
          <w:vertAlign w:val="superscript"/>
        </w:rPr>
        <w:t>30</w:t>
      </w:r>
      <w:r w:rsidR="00E3722B" w:rsidRPr="00DB10F3">
        <w:rPr>
          <w:rFonts w:ascii="Helvetica" w:hAnsi="Helvetica"/>
          <w:bCs/>
        </w:rPr>
        <w:fldChar w:fldCharType="end"/>
      </w:r>
      <w:r w:rsidRPr="00DB10F3">
        <w:rPr>
          <w:rFonts w:ascii="Helvetica" w:hAnsi="Helvetica"/>
          <w:bCs/>
        </w:rPr>
        <w:t>.</w:t>
      </w:r>
      <w:r w:rsidR="007D5650" w:rsidRPr="00DB10F3">
        <w:rPr>
          <w:rFonts w:ascii="Helvetica" w:hAnsi="Helvetica"/>
          <w:bCs/>
        </w:rPr>
        <w:t xml:space="preserve"> </w:t>
      </w:r>
      <w:r w:rsidR="006B3AD8" w:rsidRPr="00DB10F3">
        <w:rPr>
          <w:rFonts w:ascii="Helvetica" w:hAnsi="Helvetica"/>
          <w:bCs/>
        </w:rPr>
        <w:t xml:space="preserve">Furthermore, as noted in the recent HERO study, the definition of response </w:t>
      </w:r>
      <w:r w:rsidR="00F11BF0" w:rsidRPr="00DB10F3">
        <w:rPr>
          <w:rFonts w:ascii="Helvetica" w:hAnsi="Helvetica"/>
          <w:bCs/>
        </w:rPr>
        <w:t xml:space="preserve">is </w:t>
      </w:r>
      <w:r w:rsidR="006B3AD8" w:rsidRPr="00DB10F3">
        <w:rPr>
          <w:rFonts w:ascii="Helvetica" w:hAnsi="Helvetica"/>
          <w:bCs/>
        </w:rPr>
        <w:t xml:space="preserve">an area which conspicuously lacks consensus </w:t>
      </w:r>
      <w:r w:rsidR="006B3AD8" w:rsidRPr="00DB10F3">
        <w:rPr>
          <w:rFonts w:ascii="Helvetica" w:hAnsi="Helvetica"/>
          <w:bCs/>
        </w:rPr>
        <w:fldChar w:fldCharType="begin" w:fldLock="1"/>
      </w:r>
      <w:r w:rsidR="00C21329">
        <w:rPr>
          <w:rFonts w:ascii="Helvetica" w:hAnsi="Helvetica"/>
          <w:bCs/>
        </w:rPr>
        <w:instrText>ADDIN CSL_CITATION {"citationItems":[{"id":"ITEM-1","itemData":{"DOI":"10.1093/DOTE/DOAB033","ISSN":"1120-8694","PMID":"33969411","abstract":"Background: Variation in the approach, radicality, and quality of gastroesophageal surgery impacts patient outcomes. Pathological outcomes such as lymph node yield are routinely used as surrogate markers of surgical quality, but are subject to significant variations in histopathological evaluation and reporting. A multisociety consensus group was convened to develop evidence-based recommendations for the standardized assessment of gastroesophageal cancer specimens. Methods: A consensus group comprised of surgeons, pathologists, and oncologists was convened on behalf of the Association ofUpperGastrointestinal Surgery ofGreat Britain&amp;Ireland. Literature was reviewed for 17 key questions. Draft recommendations were voted upon via an anonymous Delphi process. Consensus was considered achieved where &gt;70% of participants were in agreement. Results: Consensus was achieved on 18 statements for all 17 questions. Twelve strong recommendations regarding preparation and assessment of lymph nodes, margins, and reporting methods were made. Importantly, there was 100% agreement that the all specimens should be reported using the Royal College of Pathologists Guidelines as the minimum acceptable dataset. In addition, two weak recommendations regarding method and duration of specimen fixation were made. Four topics lacked sufficient evidence and no recommendation was made. Conclusions: These consensus recommendations provide explicit guidance for gastroesophageal cancer specimen preparation and assessment, to provide maximum benefit for patient care and standardize reporting to allow benchmarking and improvement of surgical quality.","author":[{"dropping-particle":"","family":"Pucher","given":"Philip H","non-dropping-particle":"","parse-names":false,"suffix":""},{"dropping-particle":"","family":"(AUGIS)","given":"on behalf of the Association of Upper GI Surgery of GB&amp;I","non-dropping-particle":"","parse-names":false,"suffix":""},{"dropping-particle":"","family":"Allum","given":"William H","non-dropping-particle":"","parse-names":false,"suffix":""},{"dropping-particle":"","family":"(AUGIS)","given":"on behalf of the Association of Upper GI Surgery of GB&amp;I","non-dropping-particle":"","parse-names":false,"suffix":""},{"dropping-particle":"","family":"Bateman","given":"Adrian C","non-dropping-particle":"","parse-names":false,"suffix":""},{"dropping-particle":"","family":"(AUGIS)","given":"on behalf of the Association of Upper GI Surgery of GB&amp;I","non-dropping-particle":"","parse-names":false,"suffix":""},{"dropping-particle":"","family":"Green","given":"Michael","non-dropping-particle":"","parse-names":false,"suffix":""},{"dropping-particle":"","family":"(AUGIS)","given":"on behalf of the Association of Upper GI Surgery of GB&amp;I","non-dropping-particle":"","parse-names":false,"suffix":""},{"dropping-particle":"","family":"Maynard","given":"Nick","non-dropping-particle":"","parse-names":false,"suffix":""},{"dropping-particle":"","family":"(AUGIS)","given":"on behalf of the Association of Upper GI Surgery of GB&amp;I","non-dropping-particle":"","parse-names":false,"suffix":""},{"dropping-particle":"","family":"Novelli","given":"Marco","non-dropping-particle":"","parse-names":false,"suffix":""},{"dropping-particle":"","family":"(AUGIS)","given":"on behalf of the Association of Upper GI Surgery of GB&amp;I","non-dropping-particle":"","parse-names":false,"suffix":""},{"dropping-particle":"","family":"Petty","given":"Russell","non-dropping-particle":"","parse-names":false,"suffix":""},{"dropping-particle":"","family":"(AUGIS)","given":"on behalf of the Association of Upper GI Surgery of GB&amp;I","non-dropping-particle":"","parse-names":false,"suffix":""},{"dropping-particle":"","family":"Underwood","given":"Timothy J","non-dropping-particle":"","parse-names":false,"suffix":""},{"dropping-particle":"","family":"(AUGIS)","given":"on behalf of the Association of Upper GI Surgery of GB&amp;I","non-dropping-particle":"","parse-names":false,"suffix":""},{"dropping-particle":"","family":"Gossage","given":"James","non-dropping-particle":"","parse-names":false,"suffix":""},{"dropping-particle":"","family":"(AUGIS)","given":"on behalf of the Association of Upper GI Surgery of GB&amp;I","non-dropping-particle":"","parse-names":false,"suffix":""}],"container-title":"Diseases of the Esophagus","id":"ITEM-1","issue":"8","issued":{"date-parts":[["2021","8","10"]]},"page":"1-12","publisher":"Oxford Academic","title":"Consensus recommendations for the standardized histopathological evaluation and reporting after radical oesophago-gastrectomy (HERO consensus)","type":"article-journal","volume":"34"},"uris":["http://www.mendeley.com/documents/?uuid=3fac3186-b757-3756-b277-adf1b471fac6"]}],"mendeley":{"formattedCitation":"&lt;sup&gt;29&lt;/sup&gt;","plainTextFormattedCitation":"29","previouslyFormattedCitation":"&lt;sup&gt;29&lt;/sup&gt;"},"properties":{"noteIndex":0},"schema":"https://github.com/citation-style-language/schema/raw/master/csl-citation.json"}</w:instrText>
      </w:r>
      <w:r w:rsidR="006B3AD8" w:rsidRPr="00DB10F3">
        <w:rPr>
          <w:rFonts w:ascii="Helvetica" w:hAnsi="Helvetica"/>
          <w:bCs/>
        </w:rPr>
        <w:fldChar w:fldCharType="separate"/>
      </w:r>
      <w:r w:rsidR="00303EE5" w:rsidRPr="00303EE5">
        <w:rPr>
          <w:rFonts w:ascii="Helvetica" w:hAnsi="Helvetica"/>
          <w:bCs/>
          <w:noProof/>
          <w:vertAlign w:val="superscript"/>
        </w:rPr>
        <w:t>29</w:t>
      </w:r>
      <w:r w:rsidR="006B3AD8" w:rsidRPr="00DB10F3">
        <w:rPr>
          <w:rFonts w:ascii="Helvetica" w:hAnsi="Helvetica"/>
          <w:bCs/>
        </w:rPr>
        <w:fldChar w:fldCharType="end"/>
      </w:r>
      <w:r w:rsidR="006B3AD8" w:rsidRPr="00DB10F3">
        <w:rPr>
          <w:rFonts w:ascii="Helvetica" w:hAnsi="Helvetica"/>
          <w:bCs/>
        </w:rPr>
        <w:t xml:space="preserve">. </w:t>
      </w:r>
      <w:r w:rsidR="00DE4A0E" w:rsidRPr="00DB10F3">
        <w:rPr>
          <w:rFonts w:ascii="Helvetica" w:hAnsi="Helvetica"/>
          <w:bCs/>
        </w:rPr>
        <w:t>This i</w:t>
      </w:r>
      <w:r w:rsidR="006D688C" w:rsidRPr="00DB10F3">
        <w:rPr>
          <w:rFonts w:ascii="Helvetica" w:hAnsi="Helvetica"/>
          <w:bCs/>
        </w:rPr>
        <w:t>s</w:t>
      </w:r>
      <w:r w:rsidR="00DE4A0E" w:rsidRPr="00DB10F3">
        <w:rPr>
          <w:rFonts w:ascii="Helvetica" w:hAnsi="Helvetica"/>
          <w:bCs/>
        </w:rPr>
        <w:t xml:space="preserve"> further complicated </w:t>
      </w:r>
      <w:r w:rsidR="002033AD" w:rsidRPr="00DB10F3">
        <w:rPr>
          <w:rFonts w:ascii="Helvetica" w:hAnsi="Helvetica"/>
          <w:bCs/>
        </w:rPr>
        <w:t xml:space="preserve">by </w:t>
      </w:r>
      <w:r w:rsidR="00DE4A0E" w:rsidRPr="00DB10F3">
        <w:rPr>
          <w:rFonts w:ascii="Helvetica" w:hAnsi="Helvetica"/>
          <w:bCs/>
        </w:rPr>
        <w:t xml:space="preserve">the pathological evaluation of </w:t>
      </w:r>
      <w:r w:rsidR="00EF5F5D" w:rsidRPr="00DB10F3">
        <w:rPr>
          <w:rFonts w:ascii="Helvetica" w:hAnsi="Helvetica"/>
          <w:bCs/>
        </w:rPr>
        <w:t>LN</w:t>
      </w:r>
      <w:r w:rsidR="00B975EE" w:rsidRPr="00DB10F3">
        <w:rPr>
          <w:rFonts w:ascii="Helvetica" w:hAnsi="Helvetica"/>
          <w:bCs/>
        </w:rPr>
        <w:t xml:space="preserve">s </w:t>
      </w:r>
      <w:r w:rsidR="008E16FF" w:rsidRPr="00DB10F3">
        <w:rPr>
          <w:rFonts w:ascii="Helvetica" w:hAnsi="Helvetica"/>
          <w:bCs/>
        </w:rPr>
        <w:t>since</w:t>
      </w:r>
      <w:r w:rsidR="00F11BF0" w:rsidRPr="00DB10F3">
        <w:rPr>
          <w:rFonts w:ascii="Helvetica" w:hAnsi="Helvetica"/>
          <w:bCs/>
        </w:rPr>
        <w:t xml:space="preserve"> </w:t>
      </w:r>
      <w:r w:rsidR="002033AD" w:rsidRPr="00DB10F3">
        <w:rPr>
          <w:rFonts w:ascii="Helvetica" w:hAnsi="Helvetica"/>
          <w:bCs/>
        </w:rPr>
        <w:t xml:space="preserve">an individual </w:t>
      </w:r>
      <w:r w:rsidR="00DE4A0E" w:rsidRPr="00DB10F3">
        <w:rPr>
          <w:rFonts w:ascii="Helvetica" w:hAnsi="Helvetica"/>
          <w:bCs/>
        </w:rPr>
        <w:t xml:space="preserve">patient may exhibit varying degrees of regression in different </w:t>
      </w:r>
      <w:r w:rsidR="00173B10" w:rsidRPr="00DB10F3">
        <w:rPr>
          <w:rFonts w:ascii="Helvetica" w:hAnsi="Helvetica"/>
          <w:bCs/>
        </w:rPr>
        <w:t>nodes</w:t>
      </w:r>
      <w:r w:rsidR="00DE4A0E" w:rsidRPr="00DB10F3">
        <w:rPr>
          <w:rFonts w:ascii="Helvetica" w:hAnsi="Helvetica"/>
          <w:bCs/>
        </w:rPr>
        <w:t xml:space="preserve">. This study evaluated several classifications </w:t>
      </w:r>
      <w:r w:rsidR="002033AD" w:rsidRPr="00DB10F3">
        <w:rPr>
          <w:rFonts w:ascii="Helvetica" w:hAnsi="Helvetica"/>
          <w:bCs/>
        </w:rPr>
        <w:t xml:space="preserve">and definitions of </w:t>
      </w:r>
      <w:r w:rsidR="00EF5F5D" w:rsidRPr="00DB10F3">
        <w:rPr>
          <w:rFonts w:ascii="Helvetica" w:hAnsi="Helvetica"/>
          <w:bCs/>
        </w:rPr>
        <w:t>LN</w:t>
      </w:r>
      <w:r w:rsidR="00DE4A0E" w:rsidRPr="00DB10F3">
        <w:rPr>
          <w:rFonts w:ascii="Helvetica" w:hAnsi="Helvetica"/>
          <w:bCs/>
        </w:rPr>
        <w:t xml:space="preserve"> re</w:t>
      </w:r>
      <w:r w:rsidR="00BA14AB" w:rsidRPr="00DB10F3">
        <w:rPr>
          <w:rFonts w:ascii="Helvetica" w:hAnsi="Helvetica"/>
          <w:bCs/>
        </w:rPr>
        <w:t xml:space="preserve">sponse </w:t>
      </w:r>
      <w:r w:rsidR="00C354B9" w:rsidRPr="00DB10F3">
        <w:rPr>
          <w:rFonts w:ascii="Helvetica" w:hAnsi="Helvetica"/>
          <w:bCs/>
        </w:rPr>
        <w:t>aiming to</w:t>
      </w:r>
      <w:r w:rsidR="00BA14AB" w:rsidRPr="00DB10F3">
        <w:rPr>
          <w:rFonts w:ascii="Helvetica" w:hAnsi="Helvetica"/>
          <w:bCs/>
        </w:rPr>
        <w:t xml:space="preserve"> standardise </w:t>
      </w:r>
      <w:r w:rsidR="00C354B9" w:rsidRPr="00DB10F3">
        <w:rPr>
          <w:rFonts w:ascii="Helvetica" w:hAnsi="Helvetica"/>
          <w:bCs/>
        </w:rPr>
        <w:t xml:space="preserve">pathological </w:t>
      </w:r>
      <w:r w:rsidR="00BA14AB" w:rsidRPr="00DB10F3">
        <w:rPr>
          <w:rFonts w:ascii="Helvetica" w:hAnsi="Helvetica"/>
          <w:bCs/>
        </w:rPr>
        <w:t>reporting of LN regression</w:t>
      </w:r>
      <w:r w:rsidR="009B4E4F" w:rsidRPr="00DB10F3">
        <w:rPr>
          <w:rFonts w:ascii="Helvetica" w:hAnsi="Helvetica"/>
          <w:bCs/>
        </w:rPr>
        <w:t xml:space="preserve">. Results suggest </w:t>
      </w:r>
      <w:r w:rsidR="00DE4A0E" w:rsidRPr="00DB10F3">
        <w:rPr>
          <w:rFonts w:ascii="Helvetica" w:hAnsi="Helvetica"/>
          <w:bCs/>
        </w:rPr>
        <w:t xml:space="preserve">that classifying response by best responding </w:t>
      </w:r>
      <w:r w:rsidR="00EF5F5D" w:rsidRPr="00DB10F3">
        <w:rPr>
          <w:rFonts w:ascii="Helvetica" w:hAnsi="Helvetica"/>
          <w:bCs/>
        </w:rPr>
        <w:t>LN</w:t>
      </w:r>
      <w:r w:rsidR="00DE4A0E" w:rsidRPr="00DB10F3">
        <w:rPr>
          <w:rFonts w:ascii="Helvetica" w:hAnsi="Helvetica"/>
          <w:bCs/>
        </w:rPr>
        <w:t xml:space="preserve"> and using a </w:t>
      </w:r>
      <w:r w:rsidR="003A17C2" w:rsidRPr="00DB10F3">
        <w:rPr>
          <w:rFonts w:ascii="Helvetica" w:hAnsi="Helvetica"/>
          <w:bCs/>
        </w:rPr>
        <w:t>3</w:t>
      </w:r>
      <w:r w:rsidR="000447D6" w:rsidRPr="00DB10F3">
        <w:rPr>
          <w:rFonts w:ascii="Helvetica" w:hAnsi="Helvetica"/>
          <w:bCs/>
        </w:rPr>
        <w:t>-</w:t>
      </w:r>
      <w:r w:rsidR="00DE4A0E" w:rsidRPr="00DB10F3">
        <w:rPr>
          <w:rFonts w:ascii="Helvetica" w:hAnsi="Helvetica"/>
          <w:bCs/>
        </w:rPr>
        <w:t>point system (complete</w:t>
      </w:r>
      <w:r w:rsidR="00EF5F5D" w:rsidRPr="00DB10F3">
        <w:rPr>
          <w:rFonts w:ascii="Helvetica" w:hAnsi="Helvetica"/>
          <w:bCs/>
        </w:rPr>
        <w:t xml:space="preserve"> LN</w:t>
      </w:r>
      <w:r w:rsidR="00DE4A0E" w:rsidRPr="00DB10F3">
        <w:rPr>
          <w:rFonts w:ascii="Helvetica" w:hAnsi="Helvetica"/>
          <w:bCs/>
        </w:rPr>
        <w:t xml:space="preserve"> response, partial </w:t>
      </w:r>
      <w:r w:rsidR="00EF5F5D" w:rsidRPr="00DB10F3">
        <w:rPr>
          <w:rFonts w:ascii="Helvetica" w:hAnsi="Helvetica"/>
          <w:bCs/>
        </w:rPr>
        <w:t xml:space="preserve">LN </w:t>
      </w:r>
      <w:r w:rsidR="00DE4A0E" w:rsidRPr="00DB10F3">
        <w:rPr>
          <w:rFonts w:ascii="Helvetica" w:hAnsi="Helvetica"/>
          <w:bCs/>
        </w:rPr>
        <w:t>response</w:t>
      </w:r>
      <w:r w:rsidR="000447D6" w:rsidRPr="00DB10F3">
        <w:rPr>
          <w:rFonts w:ascii="Helvetica" w:hAnsi="Helvetica"/>
          <w:bCs/>
        </w:rPr>
        <w:t xml:space="preserve"> and</w:t>
      </w:r>
      <w:r w:rsidR="00DE4A0E" w:rsidRPr="00DB10F3">
        <w:rPr>
          <w:rFonts w:ascii="Helvetica" w:hAnsi="Helvetica"/>
          <w:bCs/>
        </w:rPr>
        <w:t xml:space="preserve"> </w:t>
      </w:r>
      <w:r w:rsidR="00115E01" w:rsidRPr="00DB10F3">
        <w:rPr>
          <w:rFonts w:ascii="Helvetica" w:hAnsi="Helvetica"/>
          <w:bCs/>
        </w:rPr>
        <w:t>poor/</w:t>
      </w:r>
      <w:r w:rsidR="00DE4A0E" w:rsidRPr="00DB10F3">
        <w:rPr>
          <w:rFonts w:ascii="Helvetica" w:hAnsi="Helvetica"/>
          <w:bCs/>
        </w:rPr>
        <w:t xml:space="preserve">no </w:t>
      </w:r>
      <w:r w:rsidR="00EF5F5D" w:rsidRPr="00DB10F3">
        <w:rPr>
          <w:rFonts w:ascii="Helvetica" w:hAnsi="Helvetica"/>
          <w:bCs/>
        </w:rPr>
        <w:t xml:space="preserve">LN </w:t>
      </w:r>
      <w:r w:rsidR="00DE4A0E" w:rsidRPr="00DB10F3">
        <w:rPr>
          <w:rFonts w:ascii="Helvetica" w:hAnsi="Helvetica"/>
          <w:bCs/>
        </w:rPr>
        <w:t xml:space="preserve">response) </w:t>
      </w:r>
      <w:r w:rsidR="009330A3" w:rsidRPr="00DB10F3">
        <w:rPr>
          <w:rFonts w:ascii="Helvetica" w:hAnsi="Helvetica"/>
          <w:bCs/>
        </w:rPr>
        <w:t>was</w:t>
      </w:r>
      <w:r w:rsidR="0082589D" w:rsidRPr="00DB10F3">
        <w:rPr>
          <w:rFonts w:ascii="Helvetica" w:hAnsi="Helvetica"/>
          <w:bCs/>
        </w:rPr>
        <w:t xml:space="preserve"> the best</w:t>
      </w:r>
      <w:r w:rsidR="0091459B">
        <w:rPr>
          <w:rFonts w:ascii="Helvetica" w:hAnsi="Helvetica"/>
          <w:bCs/>
        </w:rPr>
        <w:t xml:space="preserve"> </w:t>
      </w:r>
      <w:r w:rsidR="001D6BA3">
        <w:rPr>
          <w:rFonts w:ascii="Helvetica" w:hAnsi="Helvetica"/>
          <w:bCs/>
        </w:rPr>
        <w:t xml:space="preserve">predictor </w:t>
      </w:r>
      <w:r w:rsidR="0082589D" w:rsidRPr="00DB10F3">
        <w:rPr>
          <w:rFonts w:ascii="Helvetica" w:hAnsi="Helvetica"/>
          <w:bCs/>
        </w:rPr>
        <w:t>of</w:t>
      </w:r>
      <w:r w:rsidR="00C354B9" w:rsidRPr="00DB10F3">
        <w:rPr>
          <w:rFonts w:ascii="Helvetica" w:hAnsi="Helvetica"/>
          <w:bCs/>
        </w:rPr>
        <w:t xml:space="preserve"> </w:t>
      </w:r>
      <w:proofErr w:type="spellStart"/>
      <w:r w:rsidR="0019785E">
        <w:rPr>
          <w:rFonts w:ascii="Helvetica" w:hAnsi="Helvetica"/>
          <w:bCs/>
        </w:rPr>
        <w:t>tumor</w:t>
      </w:r>
      <w:proofErr w:type="spellEnd"/>
      <w:r w:rsidR="0082589D" w:rsidRPr="00DB10F3">
        <w:rPr>
          <w:rFonts w:ascii="Helvetica" w:hAnsi="Helvetica"/>
          <w:bCs/>
        </w:rPr>
        <w:t xml:space="preserve"> recurrence and survival</w:t>
      </w:r>
      <w:r w:rsidR="00DE4A0E" w:rsidRPr="00DB10F3">
        <w:rPr>
          <w:rFonts w:ascii="Helvetica" w:hAnsi="Helvetica"/>
          <w:bCs/>
        </w:rPr>
        <w:t xml:space="preserve">. </w:t>
      </w:r>
      <w:r w:rsidR="0082589D" w:rsidRPr="00DB10F3">
        <w:rPr>
          <w:rFonts w:ascii="Helvetica" w:hAnsi="Helvetica"/>
          <w:bCs/>
        </w:rPr>
        <w:t xml:space="preserve">A </w:t>
      </w:r>
      <w:r w:rsidR="003A17C2" w:rsidRPr="00DB10F3">
        <w:rPr>
          <w:rFonts w:ascii="Helvetica" w:hAnsi="Helvetica"/>
          <w:bCs/>
        </w:rPr>
        <w:t>5</w:t>
      </w:r>
      <w:r w:rsidR="000447D6" w:rsidRPr="00DB10F3">
        <w:rPr>
          <w:rFonts w:ascii="Helvetica" w:hAnsi="Helvetica"/>
          <w:bCs/>
        </w:rPr>
        <w:t>-</w:t>
      </w:r>
      <w:r w:rsidR="0082589D" w:rsidRPr="00DB10F3">
        <w:rPr>
          <w:rFonts w:ascii="Helvetica" w:hAnsi="Helvetica"/>
          <w:bCs/>
        </w:rPr>
        <w:t xml:space="preserve">point </w:t>
      </w:r>
      <w:r w:rsidR="000447D6" w:rsidRPr="00DB10F3">
        <w:rPr>
          <w:rFonts w:ascii="Helvetica" w:hAnsi="Helvetica"/>
          <w:bCs/>
        </w:rPr>
        <w:t>classification</w:t>
      </w:r>
      <w:r w:rsidR="0082589D" w:rsidRPr="00DB10F3">
        <w:rPr>
          <w:rFonts w:ascii="Helvetica" w:hAnsi="Helvetica"/>
          <w:bCs/>
        </w:rPr>
        <w:t xml:space="preserve"> system similar to</w:t>
      </w:r>
      <w:r w:rsidR="00C354B9" w:rsidRPr="00DB10F3">
        <w:rPr>
          <w:rFonts w:ascii="Helvetica" w:hAnsi="Helvetica"/>
          <w:bCs/>
        </w:rPr>
        <w:t xml:space="preserve"> primary </w:t>
      </w:r>
      <w:proofErr w:type="spellStart"/>
      <w:r w:rsidR="0019785E">
        <w:rPr>
          <w:rFonts w:ascii="Helvetica" w:hAnsi="Helvetica"/>
          <w:bCs/>
        </w:rPr>
        <w:t>tumor</w:t>
      </w:r>
      <w:proofErr w:type="spellEnd"/>
      <w:r w:rsidR="00C354B9" w:rsidRPr="00DB10F3">
        <w:rPr>
          <w:rFonts w:ascii="Helvetica" w:hAnsi="Helvetica"/>
          <w:bCs/>
        </w:rPr>
        <w:t xml:space="preserve"> regression Mandard score</w:t>
      </w:r>
      <w:r w:rsidR="00173B10" w:rsidRPr="00DB10F3">
        <w:rPr>
          <w:rFonts w:ascii="Helvetica" w:hAnsi="Helvetica"/>
          <w:bCs/>
        </w:rPr>
        <w:t xml:space="preserve"> </w:t>
      </w:r>
      <w:r w:rsidR="0082589D" w:rsidRPr="00DB10F3">
        <w:rPr>
          <w:rFonts w:ascii="Helvetica" w:hAnsi="Helvetica"/>
          <w:bCs/>
        </w:rPr>
        <w:t xml:space="preserve">was </w:t>
      </w:r>
      <w:r w:rsidR="00115E01" w:rsidRPr="00DB10F3">
        <w:rPr>
          <w:rFonts w:ascii="Helvetica" w:hAnsi="Helvetica"/>
          <w:bCs/>
        </w:rPr>
        <w:t>also</w:t>
      </w:r>
      <w:r w:rsidR="0082589D" w:rsidRPr="00DB10F3">
        <w:rPr>
          <w:rFonts w:ascii="Helvetica" w:hAnsi="Helvetica"/>
          <w:bCs/>
        </w:rPr>
        <w:t xml:space="preserve"> considered</w:t>
      </w:r>
      <w:r w:rsidR="00173B10" w:rsidRPr="00DB10F3">
        <w:rPr>
          <w:rFonts w:ascii="Helvetica" w:hAnsi="Helvetica"/>
          <w:bCs/>
        </w:rPr>
        <w:t>,</w:t>
      </w:r>
      <w:r w:rsidR="0082589D" w:rsidRPr="00DB10F3">
        <w:rPr>
          <w:rFonts w:ascii="Helvetica" w:hAnsi="Helvetica"/>
          <w:bCs/>
        </w:rPr>
        <w:t xml:space="preserve"> however</w:t>
      </w:r>
      <w:r w:rsidR="00173B10" w:rsidRPr="00DB10F3">
        <w:rPr>
          <w:rFonts w:ascii="Helvetica" w:hAnsi="Helvetica"/>
          <w:bCs/>
        </w:rPr>
        <w:t>,</w:t>
      </w:r>
      <w:r w:rsidR="0082589D" w:rsidRPr="00DB10F3">
        <w:rPr>
          <w:rFonts w:ascii="Helvetica" w:hAnsi="Helvetica"/>
          <w:bCs/>
        </w:rPr>
        <w:t xml:space="preserve"> results of inter-observer </w:t>
      </w:r>
      <w:r w:rsidR="000447D6" w:rsidRPr="00DB10F3">
        <w:rPr>
          <w:rFonts w:ascii="Helvetica" w:hAnsi="Helvetica"/>
          <w:bCs/>
        </w:rPr>
        <w:t xml:space="preserve">analysis </w:t>
      </w:r>
      <w:r w:rsidR="0082589D" w:rsidRPr="00DB10F3">
        <w:rPr>
          <w:rFonts w:ascii="Helvetica" w:hAnsi="Helvetica"/>
          <w:bCs/>
        </w:rPr>
        <w:t xml:space="preserve">suggested </w:t>
      </w:r>
      <w:r w:rsidR="000447D6" w:rsidRPr="00DB10F3">
        <w:rPr>
          <w:rFonts w:ascii="Helvetica" w:hAnsi="Helvetica"/>
          <w:bCs/>
        </w:rPr>
        <w:t xml:space="preserve">significantly improved agreement using a </w:t>
      </w:r>
      <w:r w:rsidR="003A17C2" w:rsidRPr="00DB10F3">
        <w:rPr>
          <w:rFonts w:ascii="Helvetica" w:hAnsi="Helvetica"/>
          <w:bCs/>
        </w:rPr>
        <w:t>3</w:t>
      </w:r>
      <w:r w:rsidR="000447D6" w:rsidRPr="00DB10F3">
        <w:rPr>
          <w:rFonts w:ascii="Helvetica" w:hAnsi="Helvetica"/>
          <w:bCs/>
        </w:rPr>
        <w:t>-point system.</w:t>
      </w:r>
      <w:r w:rsidR="0082589D" w:rsidRPr="00DB10F3">
        <w:rPr>
          <w:rFonts w:ascii="Helvetica" w:hAnsi="Helvetica"/>
          <w:bCs/>
        </w:rPr>
        <w:t xml:space="preserve"> </w:t>
      </w:r>
      <w:r w:rsidR="000447D6" w:rsidRPr="00DB10F3">
        <w:rPr>
          <w:rFonts w:ascii="Helvetica" w:hAnsi="Helvetica"/>
          <w:bCs/>
        </w:rPr>
        <w:t>Utilisation of this system</w:t>
      </w:r>
      <w:r w:rsidR="00115E01" w:rsidRPr="00DB10F3">
        <w:rPr>
          <w:rFonts w:ascii="Helvetica" w:hAnsi="Helvetica"/>
          <w:bCs/>
        </w:rPr>
        <w:t xml:space="preserve"> </w:t>
      </w:r>
      <w:r w:rsidR="008148FE" w:rsidRPr="00DB10F3">
        <w:rPr>
          <w:rFonts w:ascii="Helvetica" w:hAnsi="Helvetica"/>
          <w:bCs/>
        </w:rPr>
        <w:t xml:space="preserve">is </w:t>
      </w:r>
      <w:r w:rsidR="000447D6" w:rsidRPr="00DB10F3">
        <w:rPr>
          <w:rFonts w:ascii="Helvetica" w:hAnsi="Helvetica"/>
          <w:bCs/>
        </w:rPr>
        <w:t xml:space="preserve">therefore likely to </w:t>
      </w:r>
      <w:r w:rsidR="006D688C" w:rsidRPr="00DB10F3">
        <w:rPr>
          <w:rFonts w:ascii="Helvetica" w:hAnsi="Helvetica"/>
          <w:bCs/>
        </w:rPr>
        <w:t xml:space="preserve">improve the generalisability </w:t>
      </w:r>
      <w:r w:rsidR="000447D6" w:rsidRPr="00DB10F3">
        <w:rPr>
          <w:rFonts w:ascii="Helvetica" w:hAnsi="Helvetica"/>
          <w:bCs/>
        </w:rPr>
        <w:t>of these results</w:t>
      </w:r>
      <w:r w:rsidR="0091459B">
        <w:rPr>
          <w:rFonts w:ascii="Helvetica" w:hAnsi="Helvetica"/>
          <w:bCs/>
        </w:rPr>
        <w:t>, reproducibility on pathological analysis</w:t>
      </w:r>
      <w:r w:rsidR="000447D6" w:rsidRPr="00DB10F3">
        <w:rPr>
          <w:rFonts w:ascii="Helvetica" w:hAnsi="Helvetica"/>
          <w:bCs/>
        </w:rPr>
        <w:t xml:space="preserve"> </w:t>
      </w:r>
      <w:r w:rsidR="00ED7770" w:rsidRPr="00DB10F3">
        <w:rPr>
          <w:rFonts w:ascii="Helvetica" w:hAnsi="Helvetica"/>
          <w:bCs/>
        </w:rPr>
        <w:t>and, furthermore,</w:t>
      </w:r>
      <w:r w:rsidR="000447D6" w:rsidRPr="00DB10F3">
        <w:rPr>
          <w:rFonts w:ascii="Helvetica" w:hAnsi="Helvetica"/>
          <w:bCs/>
        </w:rPr>
        <w:t xml:space="preserve"> its relative simplicity</w:t>
      </w:r>
      <w:r w:rsidR="00ED7770" w:rsidRPr="00DB10F3">
        <w:rPr>
          <w:rFonts w:ascii="Helvetica" w:hAnsi="Helvetica"/>
          <w:bCs/>
        </w:rPr>
        <w:t xml:space="preserve"> is</w:t>
      </w:r>
      <w:r w:rsidR="000447D6" w:rsidRPr="00DB10F3">
        <w:rPr>
          <w:rFonts w:ascii="Helvetica" w:hAnsi="Helvetica"/>
          <w:bCs/>
        </w:rPr>
        <w:t xml:space="preserve"> </w:t>
      </w:r>
      <w:r w:rsidR="00ED7770" w:rsidRPr="00DB10F3">
        <w:rPr>
          <w:rFonts w:ascii="Helvetica" w:hAnsi="Helvetica"/>
          <w:bCs/>
        </w:rPr>
        <w:t>more</w:t>
      </w:r>
      <w:r w:rsidR="006D688C" w:rsidRPr="00DB10F3">
        <w:rPr>
          <w:rFonts w:ascii="Helvetica" w:hAnsi="Helvetica"/>
          <w:bCs/>
        </w:rPr>
        <w:t xml:space="preserve"> sympathetic to the time constraints on already pressurised pathology </w:t>
      </w:r>
      <w:r w:rsidR="006D688C" w:rsidRPr="00DB10F3">
        <w:rPr>
          <w:rFonts w:ascii="Helvetica" w:hAnsi="Helvetica"/>
          <w:bCs/>
          <w:color w:val="000000" w:themeColor="text1"/>
        </w:rPr>
        <w:t xml:space="preserve">resources. </w:t>
      </w:r>
      <w:r w:rsidR="007D5650" w:rsidRPr="00DB10F3">
        <w:rPr>
          <w:rFonts w:ascii="Helvetica" w:hAnsi="Helvetica"/>
          <w:bCs/>
          <w:color w:val="000000" w:themeColor="text1"/>
        </w:rPr>
        <w:t>The results of this study support the argument for standardised e</w:t>
      </w:r>
      <w:r w:rsidRPr="00DB10F3">
        <w:rPr>
          <w:rFonts w:ascii="Helvetica" w:hAnsi="Helvetica"/>
          <w:bCs/>
          <w:color w:val="000000" w:themeColor="text1"/>
        </w:rPr>
        <w:t xml:space="preserve">valuation and documentation of </w:t>
      </w:r>
      <w:r w:rsidR="00EF5F5D" w:rsidRPr="00DB10F3">
        <w:rPr>
          <w:rFonts w:ascii="Helvetica" w:hAnsi="Helvetica"/>
          <w:bCs/>
          <w:color w:val="000000" w:themeColor="text1"/>
        </w:rPr>
        <w:t>LN</w:t>
      </w:r>
      <w:r w:rsidRPr="00DB10F3">
        <w:rPr>
          <w:rFonts w:ascii="Helvetica" w:hAnsi="Helvetica"/>
          <w:bCs/>
          <w:color w:val="000000" w:themeColor="text1"/>
        </w:rPr>
        <w:t xml:space="preserve"> regression during the pathological reporting of </w:t>
      </w:r>
      <w:proofErr w:type="spellStart"/>
      <w:r w:rsidR="0019785E">
        <w:rPr>
          <w:rFonts w:ascii="Helvetica" w:hAnsi="Helvetica"/>
          <w:bCs/>
          <w:color w:val="000000" w:themeColor="text1"/>
        </w:rPr>
        <w:t>esophageal</w:t>
      </w:r>
      <w:proofErr w:type="spellEnd"/>
      <w:r w:rsidR="00F607B3" w:rsidRPr="00DB10F3">
        <w:rPr>
          <w:rFonts w:ascii="Helvetica" w:hAnsi="Helvetica"/>
          <w:bCs/>
          <w:color w:val="000000" w:themeColor="text1"/>
        </w:rPr>
        <w:t xml:space="preserve"> adenocarcinoma</w:t>
      </w:r>
      <w:r w:rsidRPr="00DB10F3">
        <w:rPr>
          <w:rFonts w:ascii="Helvetica" w:hAnsi="Helvetica"/>
          <w:bCs/>
          <w:color w:val="000000" w:themeColor="text1"/>
        </w:rPr>
        <w:t xml:space="preserve"> specimens.</w:t>
      </w:r>
    </w:p>
    <w:p w14:paraId="6B0197F3" w14:textId="4AF12CBA" w:rsidR="00E3722B" w:rsidRPr="00DB10F3" w:rsidRDefault="00E3722B" w:rsidP="00E8529C">
      <w:pPr>
        <w:spacing w:line="480" w:lineRule="auto"/>
        <w:rPr>
          <w:rFonts w:ascii="Helvetica" w:hAnsi="Helvetica"/>
          <w:bCs/>
        </w:rPr>
      </w:pPr>
    </w:p>
    <w:p w14:paraId="4BB915B0" w14:textId="1FCDF80B" w:rsidR="005043D9" w:rsidRPr="00DB10F3" w:rsidRDefault="00165D3C" w:rsidP="005043D9">
      <w:pPr>
        <w:spacing w:line="480" w:lineRule="auto"/>
        <w:rPr>
          <w:rFonts w:ascii="Helvetica" w:hAnsi="Helvetica"/>
          <w:bCs/>
        </w:rPr>
      </w:pPr>
      <w:r w:rsidRPr="00DB10F3">
        <w:rPr>
          <w:rFonts w:ascii="Helvetica" w:hAnsi="Helvetica"/>
          <w:bCs/>
        </w:rPr>
        <w:t xml:space="preserve">Pathological </w:t>
      </w:r>
      <w:r w:rsidR="00EF5F5D" w:rsidRPr="00DB10F3">
        <w:rPr>
          <w:rFonts w:ascii="Helvetica" w:hAnsi="Helvetica"/>
          <w:bCs/>
        </w:rPr>
        <w:t>nodal</w:t>
      </w:r>
      <w:r w:rsidRPr="00DB10F3">
        <w:rPr>
          <w:rFonts w:ascii="Helvetica" w:hAnsi="Helvetica"/>
          <w:bCs/>
        </w:rPr>
        <w:t xml:space="preserve"> stage is widely accepted to be one of the strongest predictive factors for survival in </w:t>
      </w:r>
      <w:proofErr w:type="spellStart"/>
      <w:r w:rsidR="0019785E">
        <w:rPr>
          <w:rFonts w:ascii="Helvetica" w:hAnsi="Helvetica"/>
          <w:bCs/>
        </w:rPr>
        <w:t>esophageal</w:t>
      </w:r>
      <w:proofErr w:type="spellEnd"/>
      <w:r w:rsidRPr="00DB10F3">
        <w:rPr>
          <w:rFonts w:ascii="Helvetica" w:hAnsi="Helvetica"/>
          <w:bCs/>
        </w:rPr>
        <w:t xml:space="preserve"> adenocarcinoma</w:t>
      </w:r>
      <w:r w:rsidR="00F607B3" w:rsidRPr="00DB10F3">
        <w:rPr>
          <w:rFonts w:ascii="Helvetica" w:hAnsi="Helvetica"/>
          <w:bCs/>
        </w:rPr>
        <w:t>.</w:t>
      </w:r>
      <w:r w:rsidR="00325E88" w:rsidRPr="00DB10F3">
        <w:rPr>
          <w:rFonts w:ascii="Helvetica" w:hAnsi="Helvetica"/>
          <w:bCs/>
        </w:rPr>
        <w:t xml:space="preserve"> A recent study using pooled data from the UK MRC OEO5 and STO3 trials has argued that </w:t>
      </w:r>
      <w:r w:rsidR="00C354B9" w:rsidRPr="00DB10F3">
        <w:rPr>
          <w:rFonts w:ascii="Helvetica" w:hAnsi="Helvetica"/>
          <w:bCs/>
        </w:rPr>
        <w:t xml:space="preserve">primary </w:t>
      </w:r>
      <w:proofErr w:type="spellStart"/>
      <w:r w:rsidR="0019785E">
        <w:rPr>
          <w:rFonts w:ascii="Helvetica" w:hAnsi="Helvetica"/>
          <w:bCs/>
        </w:rPr>
        <w:t>tumor</w:t>
      </w:r>
      <w:proofErr w:type="spellEnd"/>
      <w:r w:rsidR="00325E88" w:rsidRPr="00DB10F3">
        <w:rPr>
          <w:rFonts w:ascii="Helvetica" w:hAnsi="Helvetica"/>
          <w:bCs/>
        </w:rPr>
        <w:t xml:space="preserve"> and </w:t>
      </w:r>
      <w:r w:rsidR="00C354B9" w:rsidRPr="00DB10F3">
        <w:rPr>
          <w:rFonts w:ascii="Helvetica" w:hAnsi="Helvetica"/>
          <w:bCs/>
        </w:rPr>
        <w:t>LN</w:t>
      </w:r>
      <w:r w:rsidR="00325E88" w:rsidRPr="00DB10F3">
        <w:rPr>
          <w:rFonts w:ascii="Helvetica" w:hAnsi="Helvetica"/>
          <w:bCs/>
        </w:rPr>
        <w:t xml:space="preserve"> regression analysis does not provide additional </w:t>
      </w:r>
      <w:r w:rsidR="00325E88" w:rsidRPr="00DB10F3">
        <w:rPr>
          <w:rFonts w:ascii="Helvetica" w:hAnsi="Helvetica"/>
          <w:bCs/>
        </w:rPr>
        <w:lastRenderedPageBreak/>
        <w:t xml:space="preserve">prognostic information over and above this </w:t>
      </w:r>
      <w:r w:rsidR="00325E88" w:rsidRPr="00DB10F3">
        <w:rPr>
          <w:rFonts w:ascii="Helvetica" w:hAnsi="Helvetica"/>
          <w:bCs/>
        </w:rPr>
        <w:fldChar w:fldCharType="begin" w:fldLock="1"/>
      </w:r>
      <w:r w:rsidR="00C21329">
        <w:rPr>
          <w:rFonts w:ascii="Helvetica" w:hAnsi="Helvetica"/>
          <w:bCs/>
        </w:rPr>
        <w:instrText>ADDIN CSL_CITATION {"citationItems":[{"id":"ITEM-1","itemData":{"DOI":"10.1016/j.annonc.2022.04.408","ISSN":"09237534","abstract":"Background: No definitive largescale data exists evaluating the role of pathologically defined regression changes within lymph nodes (LN) of resected oesophagogastric (OG) adenocarcinoma following neoadjuvant chemotherapy. There is also a lack of centralised data assessing the relationship between tumour and LN regression changes and their impact on survival in localised OG cancer. Methods: Data and samples from two large prospective randomised trials in resectable OG adenocarcinoma (UK MRC OE05 and ST03 trials) were pooled using a two-stage meta-analysis. H&amp;E stained slides were available for central review from 1619 patients who underwent surgical resection following neoadjuvant chemo-therapy. Mandard tumour regression grade (TRG) and LN regression ((LNR) scored as present/absent) were assessed centrally and correlated with survival using a Cox model to obtain hazard ratios. An exploratory analysis to assess whether the available results could define subgroups with distinct prognoses was conducted using a classification and regression tree (CART) analysis. Results: 19,489 H&amp;E slides from 761 OE05 participants and 20,277 slides from 858 ST03 participants were reviewed centrally. Within ST03, there was no difference between treatment arm (ECX AE Bev) in terms of TRG score or LNR. Within OE05, ECX was associated with lower TRG score and higher rates of LNR than CF. Neither trial demonstrated a correlation between TRG score and the presence or absence of LNR. In univariable analysis, lower TRG score, lower pathological N-stage (pN), lower pathological T-stage (pT), the presence of LNR, a well/moderately differentiated tumour, and achieving an R0 resection were all associated with significantly increased survival. However, multivariable analysis found that only pN, pT, differentiation and R0 were independent indicators of prognosis. Importantly, pN stage at resection significantly improved survival (3-year OS for ypN0 74% vs 36% for ypN1+, HR 3.4, p Exploratory CART analysis identified six subgroups based on the prognostic variables above, with 3-year OS ranging from 83% to 22%; with the most important single prognostic variable being pathological N-stage. Conclusions: This study represents the largest central review of primary tumour and LN regression in early OG cancer from patients treated with neoadjuvant chemo-therapy within randomised controlled trials. pN and pT stage, tumour differentiation, and resection status in the post-operative specimen are s…","author":[{"dropping-particle":"","family":"Athauda","given":"A.","non-dropping-particle":"","parse-names":false,"suffix":""},{"dropping-particle":"","family":"Nankivell","given":"M.","non-dropping-particle":"","parse-names":false,"suffix":""},{"dropping-particle":"","family":"Pritchard","given":"S.","non-dropping-particle":"","parse-names":false,"suffix":""},{"dropping-particle":"","family":"Langer","given":"R.","non-dropping-particle":"","parse-names":false,"suffix":""},{"dropping-particle":"","family":"Langley","given":"R.","non-dropping-particle":"","parse-names":false,"suffix":""},{"dropping-particle":"","family":"Loga","given":"K.","non-dropping-particle":"Von","parse-names":false,"suffix":""},{"dropping-particle":"","family":"Starling","given":"N.","non-dropping-particle":"","parse-names":false,"suffix":""},{"dropping-particle":"","family":"Chau","given":"I.","non-dropping-particle":"","parse-names":false,"suffix":""},{"dropping-particle":"","family":"Cunningham","given":"D.","non-dropping-particle":"","parse-names":false,"suffix":""},{"dropping-particle":"","family":"Grabsch","given":"H.","non-dropping-particle":"","parse-names":false,"suffix":""}],"container-title":"Annals of Oncology","id":"ITEM-1","issued":{"date-parts":[["2022","6","1"]]},"page":"S360","publisher":"Elsevier BV","title":"SO-9 Pathological primary tumour and lymph node regression following neoadjuvant chemotherapy in resectable oesophagogastric cancer: Pooled analysis of 1619 patients from two randomised trials","type":"article-journal","volume":"33"},"uris":["http://www.mendeley.com/documents/?uuid=4ee01b79-57d6-3579-8005-0bcb73e76506"]}],"mendeley":{"formattedCitation":"&lt;sup&gt;31&lt;/sup&gt;","plainTextFormattedCitation":"31","previouslyFormattedCitation":"&lt;sup&gt;31&lt;/sup&gt;"},"properties":{"noteIndex":0},"schema":"https://github.com/citation-style-language/schema/raw/master/csl-citation.json"}</w:instrText>
      </w:r>
      <w:r w:rsidR="00325E88" w:rsidRPr="00DB10F3">
        <w:rPr>
          <w:rFonts w:ascii="Helvetica" w:hAnsi="Helvetica"/>
          <w:bCs/>
        </w:rPr>
        <w:fldChar w:fldCharType="separate"/>
      </w:r>
      <w:r w:rsidR="00303EE5" w:rsidRPr="00303EE5">
        <w:rPr>
          <w:rFonts w:ascii="Helvetica" w:hAnsi="Helvetica"/>
          <w:bCs/>
          <w:noProof/>
          <w:vertAlign w:val="superscript"/>
        </w:rPr>
        <w:t>31</w:t>
      </w:r>
      <w:r w:rsidR="00325E88" w:rsidRPr="00DB10F3">
        <w:rPr>
          <w:rFonts w:ascii="Helvetica" w:hAnsi="Helvetica"/>
          <w:bCs/>
        </w:rPr>
        <w:fldChar w:fldCharType="end"/>
      </w:r>
      <w:r w:rsidR="00325E88" w:rsidRPr="00DB10F3">
        <w:rPr>
          <w:rFonts w:ascii="Helvetica" w:hAnsi="Helvetica"/>
          <w:bCs/>
        </w:rPr>
        <w:t>. However, r</w:t>
      </w:r>
      <w:r w:rsidR="00E3722B" w:rsidRPr="00DB10F3">
        <w:rPr>
          <w:rFonts w:ascii="Helvetica" w:hAnsi="Helvetica"/>
          <w:bCs/>
        </w:rPr>
        <w:t xml:space="preserve">esults from this study suggest that a survival benefit </w:t>
      </w:r>
      <w:r w:rsidR="00115E01" w:rsidRPr="00DB10F3">
        <w:rPr>
          <w:rFonts w:ascii="Helvetica" w:hAnsi="Helvetica"/>
          <w:bCs/>
        </w:rPr>
        <w:t>wa</w:t>
      </w:r>
      <w:r w:rsidR="00E3722B" w:rsidRPr="00DB10F3">
        <w:rPr>
          <w:rFonts w:ascii="Helvetica" w:hAnsi="Helvetica"/>
          <w:bCs/>
        </w:rPr>
        <w:t xml:space="preserve">s </w:t>
      </w:r>
      <w:r w:rsidRPr="00DB10F3">
        <w:rPr>
          <w:rFonts w:ascii="Helvetica" w:hAnsi="Helvetica"/>
          <w:bCs/>
        </w:rPr>
        <w:t>observed in patients who exhibit</w:t>
      </w:r>
      <w:r w:rsidR="00115E01" w:rsidRPr="00DB10F3">
        <w:rPr>
          <w:rFonts w:ascii="Helvetica" w:hAnsi="Helvetica"/>
          <w:bCs/>
        </w:rPr>
        <w:t>ed</w:t>
      </w:r>
      <w:r w:rsidRPr="00DB10F3">
        <w:rPr>
          <w:rFonts w:ascii="Helvetica" w:hAnsi="Helvetica"/>
          <w:bCs/>
        </w:rPr>
        <w:t xml:space="preserve"> a </w:t>
      </w:r>
      <w:r w:rsidR="00EF5F5D" w:rsidRPr="00DB10F3">
        <w:rPr>
          <w:rFonts w:ascii="Helvetica" w:hAnsi="Helvetica"/>
          <w:bCs/>
        </w:rPr>
        <w:t>LN</w:t>
      </w:r>
      <w:r w:rsidRPr="00DB10F3">
        <w:rPr>
          <w:rFonts w:ascii="Helvetica" w:hAnsi="Helvetica"/>
          <w:bCs/>
        </w:rPr>
        <w:t xml:space="preserve"> response for </w:t>
      </w:r>
      <w:r w:rsidR="00E3722B" w:rsidRPr="00DB10F3">
        <w:rPr>
          <w:rFonts w:ascii="Helvetica" w:hAnsi="Helvetica"/>
          <w:bCs/>
        </w:rPr>
        <w:t xml:space="preserve">all </w:t>
      </w:r>
      <w:r w:rsidRPr="00DB10F3">
        <w:rPr>
          <w:rFonts w:ascii="Helvetica" w:hAnsi="Helvetica"/>
          <w:bCs/>
        </w:rPr>
        <w:t>ypN</w:t>
      </w:r>
      <w:r w:rsidR="00E3722B" w:rsidRPr="00DB10F3">
        <w:rPr>
          <w:rFonts w:ascii="Helvetica" w:hAnsi="Helvetica"/>
          <w:bCs/>
        </w:rPr>
        <w:t xml:space="preserve"> stage</w:t>
      </w:r>
      <w:r w:rsidR="005043D9" w:rsidRPr="00DB10F3">
        <w:rPr>
          <w:rFonts w:ascii="Helvetica" w:hAnsi="Helvetica"/>
          <w:bCs/>
        </w:rPr>
        <w:t>s</w:t>
      </w:r>
      <w:r w:rsidRPr="00DB10F3">
        <w:rPr>
          <w:rFonts w:ascii="Helvetica" w:hAnsi="Helvetica"/>
          <w:bCs/>
        </w:rPr>
        <w:t>,</w:t>
      </w:r>
      <w:r w:rsidR="005043D9" w:rsidRPr="00DB10F3">
        <w:rPr>
          <w:rFonts w:ascii="Helvetica" w:hAnsi="Helvetica"/>
          <w:bCs/>
        </w:rPr>
        <w:t xml:space="preserve"> including patients who remain</w:t>
      </w:r>
      <w:r w:rsidR="006B3AD8" w:rsidRPr="00DB10F3">
        <w:rPr>
          <w:rFonts w:ascii="Helvetica" w:hAnsi="Helvetica"/>
          <w:bCs/>
        </w:rPr>
        <w:t>ed</w:t>
      </w:r>
      <w:r w:rsidR="005043D9" w:rsidRPr="00DB10F3">
        <w:rPr>
          <w:rFonts w:ascii="Helvetica" w:hAnsi="Helvetica"/>
          <w:bCs/>
        </w:rPr>
        <w:t xml:space="preserve"> ypN3 despite </w:t>
      </w:r>
      <w:r w:rsidR="006B3AD8" w:rsidRPr="00DB10F3">
        <w:rPr>
          <w:rFonts w:ascii="Helvetica" w:hAnsi="Helvetica"/>
          <w:bCs/>
        </w:rPr>
        <w:t xml:space="preserve">a </w:t>
      </w:r>
      <w:r w:rsidR="00EF5F5D" w:rsidRPr="00DB10F3">
        <w:rPr>
          <w:rFonts w:ascii="Helvetica" w:hAnsi="Helvetica"/>
          <w:bCs/>
        </w:rPr>
        <w:t>LN</w:t>
      </w:r>
      <w:r w:rsidR="006B3AD8" w:rsidRPr="00DB10F3">
        <w:rPr>
          <w:rFonts w:ascii="Helvetica" w:hAnsi="Helvetica"/>
          <w:bCs/>
        </w:rPr>
        <w:t xml:space="preserve"> response</w:t>
      </w:r>
      <w:r w:rsidRPr="00DB10F3">
        <w:rPr>
          <w:rFonts w:ascii="Helvetica" w:hAnsi="Helvetica"/>
          <w:bCs/>
        </w:rPr>
        <w:t xml:space="preserve">. Furthermore, this benefit </w:t>
      </w:r>
      <w:r w:rsidR="00C72589" w:rsidRPr="00DB10F3">
        <w:rPr>
          <w:rFonts w:ascii="Helvetica" w:hAnsi="Helvetica"/>
          <w:bCs/>
        </w:rPr>
        <w:t>wa</w:t>
      </w:r>
      <w:r w:rsidRPr="00DB10F3">
        <w:rPr>
          <w:rFonts w:ascii="Helvetica" w:hAnsi="Helvetica"/>
          <w:bCs/>
        </w:rPr>
        <w:t xml:space="preserve">s maintained even in patients who </w:t>
      </w:r>
      <w:r w:rsidR="00C72589" w:rsidRPr="00DB10F3">
        <w:rPr>
          <w:rFonts w:ascii="Helvetica" w:hAnsi="Helvetica"/>
          <w:bCs/>
        </w:rPr>
        <w:t>we</w:t>
      </w:r>
      <w:r w:rsidRPr="00DB10F3">
        <w:rPr>
          <w:rFonts w:ascii="Helvetica" w:hAnsi="Helvetica"/>
          <w:bCs/>
        </w:rPr>
        <w:t xml:space="preserve">re not </w:t>
      </w:r>
      <w:r w:rsidR="002033AD" w:rsidRPr="00DB10F3">
        <w:rPr>
          <w:rFonts w:ascii="Helvetica" w:hAnsi="Helvetica"/>
          <w:bCs/>
        </w:rPr>
        <w:t>‘</w:t>
      </w:r>
      <w:r w:rsidRPr="00DB10F3">
        <w:rPr>
          <w:rFonts w:ascii="Helvetica" w:hAnsi="Helvetica"/>
          <w:bCs/>
        </w:rPr>
        <w:t>downstaged</w:t>
      </w:r>
      <w:r w:rsidR="002033AD" w:rsidRPr="00DB10F3">
        <w:rPr>
          <w:rFonts w:ascii="Helvetica" w:hAnsi="Helvetica"/>
          <w:bCs/>
        </w:rPr>
        <w:t>’</w:t>
      </w:r>
      <w:r w:rsidRPr="00DB10F3">
        <w:rPr>
          <w:rFonts w:ascii="Helvetica" w:hAnsi="Helvetica"/>
          <w:bCs/>
        </w:rPr>
        <w:t xml:space="preserve"> using conventional </w:t>
      </w:r>
      <w:r w:rsidR="009330A3" w:rsidRPr="00DB10F3">
        <w:rPr>
          <w:rFonts w:ascii="Helvetica" w:hAnsi="Helvetica"/>
          <w:bCs/>
        </w:rPr>
        <w:t>TNM</w:t>
      </w:r>
      <w:r w:rsidRPr="00DB10F3">
        <w:rPr>
          <w:rFonts w:ascii="Helvetica" w:hAnsi="Helvetica"/>
          <w:bCs/>
        </w:rPr>
        <w:t xml:space="preserve"> staging classifications (for example those who demonstrated a </w:t>
      </w:r>
      <w:r w:rsidR="00B31967" w:rsidRPr="00DB10F3">
        <w:rPr>
          <w:rFonts w:ascii="Helvetica" w:hAnsi="Helvetica"/>
          <w:bCs/>
        </w:rPr>
        <w:t>LN</w:t>
      </w:r>
      <w:r w:rsidRPr="00DB10F3">
        <w:rPr>
          <w:rFonts w:ascii="Helvetica" w:hAnsi="Helvetica"/>
          <w:bCs/>
        </w:rPr>
        <w:t xml:space="preserve"> response without any completely regressed </w:t>
      </w:r>
      <w:r w:rsidR="00EF5F5D" w:rsidRPr="00DB10F3">
        <w:rPr>
          <w:rFonts w:ascii="Helvetica" w:hAnsi="Helvetica"/>
          <w:bCs/>
        </w:rPr>
        <w:t>LNs</w:t>
      </w:r>
      <w:r w:rsidRPr="00DB10F3">
        <w:rPr>
          <w:rFonts w:ascii="Helvetica" w:hAnsi="Helvetica"/>
          <w:bCs/>
        </w:rPr>
        <w:t>)</w:t>
      </w:r>
      <w:r w:rsidR="00CB3C75" w:rsidRPr="00DB10F3">
        <w:rPr>
          <w:rFonts w:ascii="Helvetica" w:hAnsi="Helvetica"/>
          <w:bCs/>
        </w:rPr>
        <w:t xml:space="preserve">. </w:t>
      </w:r>
      <w:r w:rsidR="00EF5F5D" w:rsidRPr="00DB10F3">
        <w:rPr>
          <w:rFonts w:ascii="Helvetica" w:hAnsi="Helvetica"/>
          <w:bCs/>
        </w:rPr>
        <w:t xml:space="preserve">LN </w:t>
      </w:r>
      <w:r w:rsidR="0000683D" w:rsidRPr="00DB10F3">
        <w:rPr>
          <w:rFonts w:ascii="Helvetica" w:hAnsi="Helvetica"/>
          <w:bCs/>
        </w:rPr>
        <w:t xml:space="preserve">regression </w:t>
      </w:r>
      <w:r w:rsidR="00B31967" w:rsidRPr="00DB10F3">
        <w:rPr>
          <w:rFonts w:ascii="Helvetica" w:hAnsi="Helvetica"/>
          <w:bCs/>
        </w:rPr>
        <w:t xml:space="preserve">is </w:t>
      </w:r>
      <w:r w:rsidR="0000683D" w:rsidRPr="00DB10F3">
        <w:rPr>
          <w:rFonts w:ascii="Helvetica" w:hAnsi="Helvetica"/>
          <w:bCs/>
        </w:rPr>
        <w:t xml:space="preserve">therefore </w:t>
      </w:r>
      <w:r w:rsidR="00B31967" w:rsidRPr="00DB10F3">
        <w:rPr>
          <w:rFonts w:ascii="Helvetica" w:hAnsi="Helvetica"/>
          <w:bCs/>
        </w:rPr>
        <w:t>likely to be</w:t>
      </w:r>
      <w:r w:rsidR="0000683D" w:rsidRPr="00DB10F3">
        <w:rPr>
          <w:rFonts w:ascii="Helvetica" w:hAnsi="Helvetica"/>
          <w:bCs/>
        </w:rPr>
        <w:t xml:space="preserve"> a </w:t>
      </w:r>
      <w:r w:rsidR="009330A3" w:rsidRPr="00DB10F3">
        <w:rPr>
          <w:rFonts w:ascii="Helvetica" w:hAnsi="Helvetica"/>
          <w:bCs/>
        </w:rPr>
        <w:t>more useful</w:t>
      </w:r>
      <w:r w:rsidR="0000683D" w:rsidRPr="00DB10F3">
        <w:rPr>
          <w:rFonts w:ascii="Helvetica" w:hAnsi="Helvetica"/>
          <w:bCs/>
        </w:rPr>
        <w:t xml:space="preserve"> measure of systemic efficacy of neoadjuvant chemotherapy than </w:t>
      </w:r>
      <w:r w:rsidR="00C354B9" w:rsidRPr="00DB10F3">
        <w:rPr>
          <w:rFonts w:ascii="Helvetica" w:hAnsi="Helvetica"/>
          <w:bCs/>
        </w:rPr>
        <w:t xml:space="preserve">pathological </w:t>
      </w:r>
      <w:r w:rsidR="0000683D" w:rsidRPr="00DB10F3">
        <w:rPr>
          <w:rFonts w:ascii="Helvetica" w:hAnsi="Helvetica"/>
          <w:bCs/>
        </w:rPr>
        <w:t xml:space="preserve">nodal </w:t>
      </w:r>
      <w:r w:rsidR="00B31967" w:rsidRPr="00DB10F3">
        <w:rPr>
          <w:rFonts w:ascii="Helvetica" w:hAnsi="Helvetica"/>
          <w:bCs/>
        </w:rPr>
        <w:t>stage since</w:t>
      </w:r>
      <w:r w:rsidR="0000683D" w:rsidRPr="00DB10F3">
        <w:rPr>
          <w:rFonts w:ascii="Helvetica" w:hAnsi="Helvetica"/>
          <w:bCs/>
        </w:rPr>
        <w:t xml:space="preserve"> it </w:t>
      </w:r>
      <w:r w:rsidR="00B31967" w:rsidRPr="00DB10F3">
        <w:rPr>
          <w:rFonts w:ascii="Helvetica" w:hAnsi="Helvetica"/>
          <w:bCs/>
        </w:rPr>
        <w:t>considers these factors</w:t>
      </w:r>
      <w:r w:rsidR="0000683D" w:rsidRPr="00DB10F3">
        <w:rPr>
          <w:rFonts w:ascii="Helvetica" w:hAnsi="Helvetica"/>
          <w:bCs/>
        </w:rPr>
        <w:t xml:space="preserve"> and may also provide </w:t>
      </w:r>
      <w:r w:rsidR="00B975EE" w:rsidRPr="00DB10F3">
        <w:rPr>
          <w:rFonts w:ascii="Helvetica" w:hAnsi="Helvetica"/>
          <w:bCs/>
        </w:rPr>
        <w:t>additional</w:t>
      </w:r>
      <w:r w:rsidR="0000683D" w:rsidRPr="00DB10F3">
        <w:rPr>
          <w:rFonts w:ascii="Helvetica" w:hAnsi="Helvetica"/>
          <w:bCs/>
        </w:rPr>
        <w:t xml:space="preserve"> prognostic information in relation to the treatment of extra-nodal micro-metastases. </w:t>
      </w:r>
      <w:r w:rsidR="00B975EE" w:rsidRPr="00DB10F3">
        <w:rPr>
          <w:rFonts w:ascii="Helvetica" w:hAnsi="Helvetica"/>
          <w:bCs/>
        </w:rPr>
        <w:t xml:space="preserve">The fact that systemic </w:t>
      </w:r>
      <w:proofErr w:type="spellStart"/>
      <w:r w:rsidR="0019785E">
        <w:rPr>
          <w:rFonts w:ascii="Helvetica" w:hAnsi="Helvetica"/>
          <w:bCs/>
        </w:rPr>
        <w:t>tumor</w:t>
      </w:r>
      <w:proofErr w:type="spellEnd"/>
      <w:r w:rsidR="00B975EE" w:rsidRPr="00DB10F3">
        <w:rPr>
          <w:rFonts w:ascii="Helvetica" w:hAnsi="Helvetica"/>
          <w:bCs/>
        </w:rPr>
        <w:t xml:space="preserve"> recurrence is significantly lower in </w:t>
      </w:r>
      <w:r w:rsidR="00EF5F5D" w:rsidRPr="00DB10F3">
        <w:rPr>
          <w:rFonts w:ascii="Helvetica" w:hAnsi="Helvetica"/>
          <w:bCs/>
        </w:rPr>
        <w:t>LN</w:t>
      </w:r>
      <w:r w:rsidR="00B975EE" w:rsidRPr="00DB10F3">
        <w:rPr>
          <w:rFonts w:ascii="Helvetica" w:hAnsi="Helvetica"/>
          <w:bCs/>
        </w:rPr>
        <w:t xml:space="preserve"> responders further supports th</w:t>
      </w:r>
      <w:r w:rsidR="009330A3" w:rsidRPr="00DB10F3">
        <w:rPr>
          <w:rFonts w:ascii="Helvetica" w:hAnsi="Helvetica"/>
          <w:bCs/>
        </w:rPr>
        <w:t xml:space="preserve">is </w:t>
      </w:r>
      <w:r w:rsidR="00B975EE" w:rsidRPr="00DB10F3">
        <w:rPr>
          <w:rFonts w:ascii="Helvetica" w:hAnsi="Helvetica"/>
          <w:bCs/>
        </w:rPr>
        <w:t xml:space="preserve">hypothesis. </w:t>
      </w:r>
      <w:r w:rsidRPr="00DB10F3">
        <w:rPr>
          <w:rFonts w:ascii="Helvetica" w:hAnsi="Helvetica"/>
          <w:bCs/>
        </w:rPr>
        <w:t>S</w:t>
      </w:r>
      <w:r w:rsidR="005043D9" w:rsidRPr="00DB10F3">
        <w:rPr>
          <w:rFonts w:ascii="Helvetica" w:hAnsi="Helvetica"/>
          <w:bCs/>
        </w:rPr>
        <w:t>ince decisions regarding a</w:t>
      </w:r>
      <w:r w:rsidR="007D5650" w:rsidRPr="00DB10F3">
        <w:rPr>
          <w:rFonts w:ascii="Helvetica" w:hAnsi="Helvetica"/>
          <w:bCs/>
        </w:rPr>
        <w:t xml:space="preserve">djuvant oncological treatments </w:t>
      </w:r>
      <w:r w:rsidR="005043D9" w:rsidRPr="00DB10F3">
        <w:rPr>
          <w:rFonts w:ascii="Helvetica" w:hAnsi="Helvetica"/>
          <w:bCs/>
        </w:rPr>
        <w:t xml:space="preserve">are often based on evidence of a response to neoadjuvant therapy, the additional prognostic information obtained by evaluating </w:t>
      </w:r>
      <w:r w:rsidR="00EF5F5D" w:rsidRPr="00DB10F3">
        <w:rPr>
          <w:rFonts w:ascii="Helvetica" w:hAnsi="Helvetica"/>
          <w:bCs/>
        </w:rPr>
        <w:t>LN</w:t>
      </w:r>
      <w:r w:rsidR="005043D9" w:rsidRPr="00DB10F3">
        <w:rPr>
          <w:rFonts w:ascii="Helvetica" w:hAnsi="Helvetica"/>
          <w:bCs/>
        </w:rPr>
        <w:t xml:space="preserve"> regression can support </w:t>
      </w:r>
      <w:r w:rsidR="006B3AD8" w:rsidRPr="00DB10F3">
        <w:rPr>
          <w:rFonts w:ascii="Helvetica" w:hAnsi="Helvetica"/>
          <w:bCs/>
        </w:rPr>
        <w:t xml:space="preserve">clinical </w:t>
      </w:r>
      <w:r w:rsidR="005043D9" w:rsidRPr="00DB10F3">
        <w:rPr>
          <w:rFonts w:ascii="Helvetica" w:hAnsi="Helvetica"/>
          <w:bCs/>
        </w:rPr>
        <w:t xml:space="preserve">decision making </w:t>
      </w:r>
      <w:r w:rsidR="008E16FF" w:rsidRPr="00DB10F3">
        <w:rPr>
          <w:rFonts w:ascii="Helvetica" w:hAnsi="Helvetica"/>
          <w:bCs/>
        </w:rPr>
        <w:t>when determining whether</w:t>
      </w:r>
      <w:r w:rsidR="007D5650" w:rsidRPr="00DB10F3">
        <w:rPr>
          <w:rFonts w:ascii="Helvetica" w:hAnsi="Helvetica"/>
          <w:bCs/>
        </w:rPr>
        <w:t xml:space="preserve"> to continue with the same </w:t>
      </w:r>
      <w:r w:rsidR="005043D9" w:rsidRPr="00DB10F3">
        <w:rPr>
          <w:rFonts w:ascii="Helvetica" w:hAnsi="Helvetica"/>
          <w:bCs/>
        </w:rPr>
        <w:t>chemotherapy regimen</w:t>
      </w:r>
      <w:r w:rsidR="007D5650" w:rsidRPr="00DB10F3">
        <w:rPr>
          <w:rFonts w:ascii="Helvetica" w:hAnsi="Helvetica"/>
          <w:bCs/>
        </w:rPr>
        <w:t xml:space="preserve"> </w:t>
      </w:r>
      <w:r w:rsidR="005E4D3E" w:rsidRPr="00DB10F3">
        <w:rPr>
          <w:rFonts w:ascii="Helvetica" w:hAnsi="Helvetica"/>
          <w:bCs/>
        </w:rPr>
        <w:t xml:space="preserve">after surgery </w:t>
      </w:r>
      <w:r w:rsidR="007D5650" w:rsidRPr="00DB10F3">
        <w:rPr>
          <w:rFonts w:ascii="Helvetica" w:hAnsi="Helvetica"/>
          <w:bCs/>
        </w:rPr>
        <w:t xml:space="preserve">or </w:t>
      </w:r>
      <w:r w:rsidR="006B3AD8" w:rsidRPr="00DB10F3">
        <w:rPr>
          <w:rFonts w:ascii="Helvetica" w:hAnsi="Helvetica"/>
          <w:bCs/>
        </w:rPr>
        <w:t xml:space="preserve">consider alternative </w:t>
      </w:r>
      <w:r w:rsidR="00EF5F5D" w:rsidRPr="00DB10F3">
        <w:rPr>
          <w:rFonts w:ascii="Helvetica" w:hAnsi="Helvetica"/>
          <w:bCs/>
        </w:rPr>
        <w:t>strategies</w:t>
      </w:r>
      <w:r w:rsidR="004A6855" w:rsidRPr="00DB10F3">
        <w:rPr>
          <w:rFonts w:ascii="Helvetica" w:hAnsi="Helvetica"/>
          <w:bCs/>
        </w:rPr>
        <w:t xml:space="preserve"> (e.g. immunotherapy </w:t>
      </w:r>
      <w:r w:rsidR="004A6855" w:rsidRPr="00DB10F3">
        <w:rPr>
          <w:rFonts w:ascii="Helvetica" w:hAnsi="Helvetica"/>
          <w:bCs/>
        </w:rPr>
        <w:fldChar w:fldCharType="begin" w:fldLock="1"/>
      </w:r>
      <w:r w:rsidR="00C21329">
        <w:rPr>
          <w:rFonts w:ascii="Helvetica" w:hAnsi="Helvetica"/>
          <w:bCs/>
        </w:rPr>
        <w:instrText>ADDIN CSL_CITATION {"citationItems":[{"id":"ITEM-1","itemData":{"DOI":"10.1056/NEJMOA2032125/SUPPL_FILE/NEJMOA2032125_DATA-SHARING.PDF","ISSN":"0028-4793","PMID":"33789008","abstract":"BACKGROUND No adjuvant treatment has been established for patients who remain at high risk for recurrence after neoadjuvant chemoradiotherapy and surgery for esophageal or gastroesophageal junction cancer. METHODS We conducted CheckMate 577, a global, randomized, double-blind, placebo-controlled phase 3 trial to evaluate a checkpoint inhibitor as adjuvant therapy in patients with esophageal or gastroesophageal junction cancer. Adults with resected (R0) stage II or III esophageal or gastroesophageal junction cancer who had received neoadjuvant chemoradiotherapy and had residual pathological disease were randomly assigned in a 2:1 ratio to receive nivolumab (at a dose of 240 mg every 2 weeks for 16 weeks, followed by nivolumab at a dose of 480 mg every 4 weeks) or matching placebo. The maximum duration of the trial intervention period was 1 year. The primary end point was disease-free survival. RESULTS The median follow-up was 24.4 months. Among the 532 patients who received nivolumab, the median disease-free survival was 22.4 months (95% confidence interval [CI], 16.6 to 34.0), as compared with 11.0 months (95% CI, 8.3 to 14.3) among the 262 patients who received placebo (hazard ratio for disease recurrence or death, 0.69; 96.4% CI, 0.56 to 0.86; P&lt;0.001). Disease-free survival favored nivolumab across multiple prespecified subgroups. Grade 3 or 4 adverse events that were considered by the investigators to be related to the active drug or placebo occurred in 71 of 532 patients (13%) in the nivolumab group and 15 of 260 patients (6%) in the placebo group. The trial regimen was discontinued because of adverse events related to the active drug or placebo in 9% of the patients in the nivolumab group and 3% of those in the placebo group. CONCLUSIONS Among patients with resected esophageal or gastroesophageal junction cancer who had received neoadjuvant chemoradiotherapy, disease-free survival was significantly longer among those who received nivolumab adjuvant therapy than among those who received placebo. (Funded by Bristol Myers Squibb and Ono Pharmaceutical; CheckMate 577 ClinicalTrials.gov number, NCT02743494.).","author":[{"dropping-particle":"","family":"Kelly","given":"Ronan J.","non-dropping-particle":"","parse-names":false,"suffix":""},{"dropping-particle":"","family":"Ajani","given":"Jaffer A.","non-dropping-particle":"","parse-names":false,"suffix":""},{"dropping-particle":"","family":"Kuzdzal","given":"Jaroslaw","non-dropping-particle":"","parse-names":false,"suffix":""},{"dropping-particle":"","family":"Zander","given":"Thomas","non-dropping-particle":"","parse-names":false,"suffix":""},{"dropping-particle":"","family":"Cutsem","given":"Eric","non-dropping-particle":"Van","parse-names":false,"suffix":""},{"dropping-particle":"","family":"Piessen","given":"Guillaume","non-dropping-particle":"","parse-names":false,"suffix":""},{"dropping-particle":"","family":"Mendez","given":"Guillermo","non-dropping-particle":"","parse-names":false,"suffix":""},{"dropping-particle":"","family":"Feliciano","given":"Josephine","non-dropping-particle":"","parse-names":false,"suffix":""},{"dropping-particle":"","family":"Motoyama","given":"Satoru","non-dropping-particle":"","parse-names":false,"suffix":""},{"dropping-particle":"","family":"Lièvre","given":"Astrid","non-dropping-particle":"","parse-names":false,"suffix":""},{"dropping-particle":"","family":"Uronis","given":"Hope","non-dropping-particle":"","parse-names":false,"suffix":""},{"dropping-particle":"","family":"Elimova","given":"Elena","non-dropping-particle":"","parse-names":false,"suffix":""},{"dropping-particle":"","family":"Grootscholten","given":"Cecile","non-dropping-particle":"","parse-names":false,"suffix":""},{"dropping-particle":"","family":"Geboes","given":"Karen","non-dropping-particle":"","parse-names":false,"suffix":""},{"dropping-particle":"","family":"Zafar","given":"Syed","non-dropping-particle":"","parse-names":false,"suffix":""},{"dropping-particle":"","family":"Snow","given":"Stephanie","non-dropping-particle":"","parse-names":false,"suffix":""},{"dropping-particle":"","family":"Ko","given":"Andrew H.","non-dropping-particle":"","parse-names":false,"suffix":""},{"dropping-particle":"","family":"Feeney","given":"Kynan","non-dropping-particle":"","parse-names":false,"suffix":""},{"dropping-particle":"","family":"Schenker","given":"Michael","non-dropping-particle":"","parse-names":false,"suffix":""},{"dropping-particle":"","family":"Kocon","given":"Piotr","non-dropping-particle":"","parse-names":false,"suffix":""},{"dropping-particle":"","family":"Zhang","given":"Jenny","non-dropping-particle":"","parse-names":false,"suffix":""},{"dropping-particle":"","family":"Zhu","given":"Lili","non-dropping-particle":"","parse-names":false,"suffix":""},{"dropping-particle":"","family":"Lei","given":"Ming","non-dropping-particle":"","parse-names":false,"suffix":""},{"dropping-particle":"","family":"Singh","given":"Prianka","non-dropping-particle":"","parse-names":false,"suffix":""},{"dropping-particle":"","family":"Kondo","given":"Kaoru","non-dropping-particle":"","parse-names":false,"suffix":""},{"dropping-particle":"","family":"Cleary","given":"James M.","non-dropping-particle":"","parse-names":false,"suffix":""},{"dropping-particle":"","family":"Moehler","given":"Markus","non-dropping-particle":"","parse-names":false,"suffix":""}],"container-title":"New England Journal of Medicine","id":"ITEM-1","issue":"13","issued":{"date-parts":[["2021","4","1"]]},"page":"1191-1203","publisher":"Massachusetts Medical Society","title":"Adjuvant Nivolumab in Resected Esophageal or Gastroesophageal Junction Cancer","type":"article-journal","volume":"384"},"uris":["http://www.mendeley.com/documents/?uuid=3741ecaf-6abd-354c-bd1e-ed38c4c7b82c"]}],"mendeley":{"formattedCitation":"&lt;sup&gt;32&lt;/sup&gt;","plainTextFormattedCitation":"32","previouslyFormattedCitation":"&lt;sup&gt;32&lt;/sup&gt;"},"properties":{"noteIndex":0},"schema":"https://github.com/citation-style-language/schema/raw/master/csl-citation.json"}</w:instrText>
      </w:r>
      <w:r w:rsidR="004A6855" w:rsidRPr="00DB10F3">
        <w:rPr>
          <w:rFonts w:ascii="Helvetica" w:hAnsi="Helvetica"/>
          <w:bCs/>
        </w:rPr>
        <w:fldChar w:fldCharType="separate"/>
      </w:r>
      <w:r w:rsidR="00303EE5" w:rsidRPr="00303EE5">
        <w:rPr>
          <w:rFonts w:ascii="Helvetica" w:hAnsi="Helvetica"/>
          <w:bCs/>
          <w:noProof/>
          <w:vertAlign w:val="superscript"/>
        </w:rPr>
        <w:t>32</w:t>
      </w:r>
      <w:r w:rsidR="004A6855" w:rsidRPr="00DB10F3">
        <w:rPr>
          <w:rFonts w:ascii="Helvetica" w:hAnsi="Helvetica"/>
          <w:bCs/>
        </w:rPr>
        <w:fldChar w:fldCharType="end"/>
      </w:r>
      <w:r w:rsidR="004A6855" w:rsidRPr="00DB10F3">
        <w:rPr>
          <w:rFonts w:ascii="Helvetica" w:hAnsi="Helvetica"/>
          <w:bCs/>
        </w:rPr>
        <w:t>)</w:t>
      </w:r>
      <w:r w:rsidR="006B3AD8" w:rsidRPr="00DB10F3">
        <w:rPr>
          <w:rFonts w:ascii="Helvetica" w:hAnsi="Helvetica"/>
          <w:bCs/>
        </w:rPr>
        <w:t>.</w:t>
      </w:r>
      <w:r w:rsidR="004A6855" w:rsidRPr="00DB10F3">
        <w:rPr>
          <w:rFonts w:ascii="Helvetica" w:hAnsi="Helvetica"/>
          <w:bCs/>
        </w:rPr>
        <w:t xml:space="preserve"> </w:t>
      </w:r>
      <w:r w:rsidR="009330A3" w:rsidRPr="00DB10F3">
        <w:rPr>
          <w:rFonts w:ascii="Helvetica" w:hAnsi="Helvetica"/>
          <w:bCs/>
        </w:rPr>
        <w:t>This benefit is further emphasized when c</w:t>
      </w:r>
      <w:r w:rsidR="006B3AD8" w:rsidRPr="00DB10F3">
        <w:rPr>
          <w:rFonts w:ascii="Helvetica" w:hAnsi="Helvetica"/>
          <w:bCs/>
        </w:rPr>
        <w:t xml:space="preserve">onsidering the discrepancy between primary </w:t>
      </w:r>
      <w:proofErr w:type="spellStart"/>
      <w:r w:rsidR="0019785E">
        <w:rPr>
          <w:rFonts w:ascii="Helvetica" w:hAnsi="Helvetica"/>
          <w:bCs/>
        </w:rPr>
        <w:t>tumor</w:t>
      </w:r>
      <w:proofErr w:type="spellEnd"/>
      <w:r w:rsidR="006B3AD8" w:rsidRPr="00DB10F3">
        <w:rPr>
          <w:rFonts w:ascii="Helvetica" w:hAnsi="Helvetica"/>
          <w:bCs/>
        </w:rPr>
        <w:t xml:space="preserve"> and </w:t>
      </w:r>
      <w:r w:rsidR="00EF5F5D" w:rsidRPr="00DB10F3">
        <w:rPr>
          <w:rFonts w:ascii="Helvetica" w:hAnsi="Helvetica"/>
          <w:bCs/>
        </w:rPr>
        <w:t>LN</w:t>
      </w:r>
      <w:r w:rsidR="006B3AD8" w:rsidRPr="00DB10F3">
        <w:rPr>
          <w:rFonts w:ascii="Helvetica" w:hAnsi="Helvetica"/>
          <w:bCs/>
        </w:rPr>
        <w:t xml:space="preserve"> response in a significant number of patients</w:t>
      </w:r>
      <w:r w:rsidR="00E907D5">
        <w:rPr>
          <w:rFonts w:ascii="Helvetica" w:hAnsi="Helvetica"/>
          <w:bCs/>
        </w:rPr>
        <w:t>,</w:t>
      </w:r>
      <w:r w:rsidR="008148FE" w:rsidRPr="00DB10F3">
        <w:rPr>
          <w:rFonts w:ascii="Helvetica" w:hAnsi="Helvetica"/>
          <w:bCs/>
        </w:rPr>
        <w:t xml:space="preserve"> and</w:t>
      </w:r>
      <w:r w:rsidR="008157D6" w:rsidRPr="00DB10F3">
        <w:rPr>
          <w:rFonts w:ascii="Helvetica" w:hAnsi="Helvetica"/>
          <w:bCs/>
        </w:rPr>
        <w:t xml:space="preserve"> the survival benefit observed in patients who were LN responders despite being primary </w:t>
      </w:r>
      <w:proofErr w:type="spellStart"/>
      <w:r w:rsidR="0019785E">
        <w:rPr>
          <w:rFonts w:ascii="Helvetica" w:hAnsi="Helvetica"/>
          <w:bCs/>
        </w:rPr>
        <w:t>tumor</w:t>
      </w:r>
      <w:proofErr w:type="spellEnd"/>
      <w:r w:rsidR="008157D6" w:rsidRPr="00DB10F3">
        <w:rPr>
          <w:rFonts w:ascii="Helvetica" w:hAnsi="Helvetica"/>
          <w:bCs/>
        </w:rPr>
        <w:t xml:space="preserve"> non-responders</w:t>
      </w:r>
      <w:r w:rsidR="009330A3" w:rsidRPr="00DB10F3">
        <w:rPr>
          <w:rFonts w:ascii="Helvetica" w:hAnsi="Helvetica"/>
          <w:bCs/>
        </w:rPr>
        <w:t>.</w:t>
      </w:r>
      <w:r w:rsidR="008157D6" w:rsidRPr="00DB10F3">
        <w:rPr>
          <w:rFonts w:ascii="Helvetica" w:hAnsi="Helvetica"/>
          <w:bCs/>
        </w:rPr>
        <w:t xml:space="preserve"> </w:t>
      </w:r>
      <w:r w:rsidR="00B31967" w:rsidRPr="00DB10F3">
        <w:rPr>
          <w:rFonts w:ascii="Helvetica" w:hAnsi="Helvetica"/>
          <w:bCs/>
        </w:rPr>
        <w:t>Further research is needed to determine whether LN regression may provide an additional surrogate marker for systemic treatment efficacy and prognosis in patients treated with newer peri-</w:t>
      </w:r>
      <w:r w:rsidR="00B31967" w:rsidRPr="00DB10F3">
        <w:rPr>
          <w:rFonts w:ascii="Helvetica" w:hAnsi="Helvetica"/>
          <w:bCs/>
        </w:rPr>
        <w:lastRenderedPageBreak/>
        <w:t>operative treatments and there is a strong argument for its inclusion in future trials evaluating neoadjuvant or adjuvant treatment strategies.</w:t>
      </w:r>
    </w:p>
    <w:p w14:paraId="6613A160" w14:textId="1A22CE52" w:rsidR="00C72589" w:rsidRPr="00DB10F3" w:rsidRDefault="00C72589" w:rsidP="005043D9">
      <w:pPr>
        <w:spacing w:line="480" w:lineRule="auto"/>
        <w:rPr>
          <w:rFonts w:ascii="Helvetica" w:hAnsi="Helvetica"/>
          <w:bCs/>
        </w:rPr>
      </w:pPr>
    </w:p>
    <w:p w14:paraId="4451EF96" w14:textId="1B772E38" w:rsidR="00C72589" w:rsidRPr="00DB10F3" w:rsidRDefault="004A6855" w:rsidP="00C72589">
      <w:pPr>
        <w:spacing w:line="480" w:lineRule="auto"/>
        <w:rPr>
          <w:rFonts w:ascii="Helvetica" w:hAnsi="Helvetica"/>
          <w:bCs/>
        </w:rPr>
      </w:pPr>
      <w:r w:rsidRPr="00DB10F3">
        <w:rPr>
          <w:rFonts w:ascii="Helvetica" w:hAnsi="Helvetica"/>
          <w:bCs/>
        </w:rPr>
        <w:t xml:space="preserve">Although this study evaluated LN regression in patients with </w:t>
      </w:r>
      <w:proofErr w:type="spellStart"/>
      <w:r w:rsidR="0019785E">
        <w:rPr>
          <w:rFonts w:ascii="Helvetica" w:hAnsi="Helvetica"/>
          <w:bCs/>
        </w:rPr>
        <w:t>esophageal</w:t>
      </w:r>
      <w:proofErr w:type="spellEnd"/>
      <w:r w:rsidRPr="00DB10F3">
        <w:rPr>
          <w:rFonts w:ascii="Helvetica" w:hAnsi="Helvetica"/>
          <w:bCs/>
        </w:rPr>
        <w:t xml:space="preserve"> adenocarcinoma treated with neoadjuvant chemotherapy, some centres routinely utilise chemoradiation protocols (e.g. CROSS </w:t>
      </w:r>
      <w:r w:rsidRPr="00DB10F3">
        <w:rPr>
          <w:rFonts w:ascii="Helvetica" w:hAnsi="Helvetica"/>
          <w:bCs/>
        </w:rPr>
        <w:fldChar w:fldCharType="begin" w:fldLock="1"/>
      </w:r>
      <w:r w:rsidRPr="00DB10F3">
        <w:rPr>
          <w:rFonts w:ascii="Helvetica" w:hAnsi="Helvetica"/>
          <w:bCs/>
        </w:rPr>
        <w:instrText>ADDIN CSL_CITATION {"citationItems":[{"id":"ITEM-1","itemData":{"DOI":"10.1056/NEJMOA1112088/SUPPL_FILE/NEJMOA1112088_DISCLOSURES.PDF","ISSN":"0028-4793","PMID":"22646630","abstract":"BACKGROUND The role of neoadjuvant chemoradiotherapy in the treatment of patients with esophageal or esophagogastric-junction cancer is not well established. We compared chemoradiotherapy followed by surgery with surgery alone in this patient population. METHODS We randomly assigned patients with resectable tumors to receive surgery alone or weekly administration of carboplatin (doses titrated to achieve an area under the curve of 2 mg per milliliter per minute) and paclitaxel (50 mg per square meter of body-surface area) for 5 weeks and concurrent radiotherapy (41.4 Gy in 23 fractions, 5 days per week), followed by surgery. RESULTS From March 2004 through December 2008, we enrolled 368 patients, 366 of whom were included in the analysis: 275 (75%) had adenocarcinoma, 84 (23%) had squamous-cell carcinoma, and 7 (2%) had large-cell undifferentiated carcinoma. Of the 366 patients, 178 were randomly assigned to chemoradiotherapy followed by surgery, and 188 to surgery alone. The most common major hematologic toxic effects in the chemoradiotherapy-surgery group were leukopenia (6%) and neutropenia (2%); the most common major nonhematologic toxic effects were anorexia (5%) and fatigue (3%). Complete resection with no tumor within 1 mm of the resection margins (R0) was achieved in 92% of patients in the chemoradiotherapy-surgery group versus 69% in the surgery group (P&lt;0.001). A pathological complete response was achieved in 47 of 161 patients (29%) who underwent resection after chemoradiotherapy. Postoperative complications were similar in the two treatment groups, and in-hospital mortality was 4% in both. Median overall survival was 49.4 months in the chemoradiotherapy-surgery group versus 24.0 months in the surgery group. Overall survival was significantly better in the chemoradiotherapy-surgery group (hazard ratio, 0.657; 95% confidence interval, 0.495 to 0.871; P=0.003). CONCLUSIONS Preoperative chemoradiotherapy improved survival among patients with potentially curable esophageal or esophagogastric-junction cancer. The regimen was associated with acceptable adverse-event rates. (Funded by the Dutch Cancer Foundation [KWF Kankerbestrijding]; Netherlands Trial Register number, NTR487.).","author":[{"dropping-particle":"","family":"Hagen","given":"P.","non-dropping-particle":"van","parse-names":false,"suffix":""},{"dropping-particle":"","family":"Hulshof","given":"M.C.C.M.","non-dropping-particle":"","parse-names":false,"suffix":""},{"dropping-particle":"","family":"Lanschot","given":"J.J.B.","non-dropping-particle":"van","parse-names":false,"suffix":""},{"dropping-particle":"","family":"Steyerberg","given":"E.W.","non-dropping-particle":"","parse-names":false,"suffix":""},{"dropping-particle":"","family":"Henegouwen","given":"M.I. van Berge","non-dropping-particle":"","parse-names":false,"suffix":""},{"dropping-particle":"","family":"Wijnhoven","given":"B.P.L.","non-dropping-particle":"","parse-names":false,"suffix":""},{"dropping-particle":"","family":"Richel","given":"D.J.","non-dropping-particle":"","parse-names":false,"suffix":""},{"dropping-particle":"","family":"Nieuwenhuijzen","given":"G.A.P.","non-dropping-particle":"","parse-names":false,"suffix":""},{"dropping-particle":"","family":"Hospers","given":"G.A.P.","non-dropping-particle":"","parse-names":false,"suffix":""},{"dropping-particle":"","family":"Bonenkamp","given":"J.J.","non-dropping-particle":"","parse-names":false,"suffix":""},{"dropping-particle":"","family":"Cuesta","given":"M.A.","non-dropping-particle":"","parse-names":false,"suffix":""},{"dropping-particle":"","family":"Blaisse","given":"R.J.B.","non-dropping-particle":"","parse-names":false,"suffix":""},{"dropping-particle":"","family":"Busch","given":"O.R.C.","non-dropping-particle":"","parse-names":false,"suffix":""},{"dropping-particle":"","family":"Kate","given":"F.J.W.","non-dropping-particle":"ten","parse-names":false,"suffix":""},{"dropping-particle":"","family":"Creemers","given":"G.-J.","non-dropping-particle":"","parse-names":false,"suffix":""},{"dropping-particle":"","family":"Punt","given":"C.J.A.","non-dropping-particle":"","parse-names":false,"suffix":""},{"dropping-particle":"","family":"Plukker","given":"J.T.M.","non-dropping-particle":"","parse-names":false,"suffix":""},{"dropping-particle":"","family":"Verheul","given":"H.M.W.","non-dropping-particle":"","parse-names":false,"suffix":""},{"dropping-particle":"","family":"Bilgen","given":"E.J. Spillenaar","non-dropping-particle":"","parse-names":false,"suffix":""},{"dropping-particle":"","family":"Dekken","given":"H.","non-dropping-particle":"van","parse-names":false,"suffix":""},{"dropping-particle":"","family":"Sangen","given":"M.J.C.","non-dropping-particle":"van der","parse-names":false,"suffix":""},{"dropping-particle":"","family":"Rozema","given":"T.","non-dropping-particle":"","parse-names":false,"suffix":""},{"dropping-particle":"","family":"Biermann","given":"K.","non-dropping-particle":"","parse-names":false,"suffix":""},{"dropping-particle":"","family":"Beukema","given":"J.C.","non-dropping-particle":"","parse-names":false,"suffix":""},{"dropping-particle":"","family":"Piet","given":"A.H.M.","non-dropping-particle":"","parse-names":false,"suffix":""},{"dropping-particle":"","family":"Rij","given":"C.M.","non-dropping-particle":"van","parse-names":false,"suffix":""},{"dropping-particle":"","family":"Reinders","given":"J.G.","non-dropping-particle":"","parse-names":false,"suffix":""},{"dropping-particle":"","family":"Tilanus","given":"H.W.","non-dropping-particle":"","parse-names":false,"suffix":""},{"dropping-particle":"","family":"Gaast","given":"A.","non-dropping-particle":"van der","parse-names":false,"suffix":""}],"container-title":"New England Journal of Medicine","id":"ITEM-1","issue":"22","issued":{"date-parts":[["2012","5","31"]]},"page":"2074-2084","publisher":"New England Journal of Medicine (NEJM/MMS)","title":"Preoperative Chemoradiotherapy for Esophageal or Junctional Cancer","type":"article-journal","volume":"366"},"uris":["http://www.mendeley.com/documents/?uuid=d3e3ea62-36db-37c1-a5cd-4bc2cfb4def8"]}],"mendeley":{"formattedCitation":"&lt;sup&gt;2&lt;/sup&gt;","plainTextFormattedCitation":"2","previouslyFormattedCitation":"&lt;sup&gt;2&lt;/sup&gt;"},"properties":{"noteIndex":0},"schema":"https://github.com/citation-style-language/schema/raw/master/csl-citation.json"}</w:instrText>
      </w:r>
      <w:r w:rsidRPr="00DB10F3">
        <w:rPr>
          <w:rFonts w:ascii="Helvetica" w:hAnsi="Helvetica"/>
          <w:bCs/>
        </w:rPr>
        <w:fldChar w:fldCharType="separate"/>
      </w:r>
      <w:r w:rsidRPr="00DB10F3">
        <w:rPr>
          <w:rFonts w:ascii="Helvetica" w:hAnsi="Helvetica"/>
          <w:bCs/>
          <w:noProof/>
          <w:vertAlign w:val="superscript"/>
        </w:rPr>
        <w:t>2</w:t>
      </w:r>
      <w:r w:rsidRPr="00DB10F3">
        <w:rPr>
          <w:rFonts w:ascii="Helvetica" w:hAnsi="Helvetica"/>
          <w:bCs/>
        </w:rPr>
        <w:fldChar w:fldCharType="end"/>
      </w:r>
      <w:r w:rsidRPr="00DB10F3">
        <w:rPr>
          <w:rFonts w:ascii="Helvetica" w:hAnsi="Helvetica"/>
          <w:bCs/>
        </w:rPr>
        <w:t xml:space="preserve">) in this patient group, </w:t>
      </w:r>
      <w:r w:rsidR="00EA53CF" w:rsidRPr="00DB10F3">
        <w:rPr>
          <w:rFonts w:ascii="Helvetica" w:hAnsi="Helvetica"/>
          <w:bCs/>
        </w:rPr>
        <w:t>and</w:t>
      </w:r>
      <w:r w:rsidRPr="00DB10F3">
        <w:rPr>
          <w:rFonts w:ascii="Helvetica" w:hAnsi="Helvetica"/>
          <w:bCs/>
        </w:rPr>
        <w:t xml:space="preserve"> the optimum neoadjuvant strategy remains debated. Rates of pathological regression in the primary </w:t>
      </w:r>
      <w:proofErr w:type="spellStart"/>
      <w:r w:rsidR="0019785E">
        <w:rPr>
          <w:rFonts w:ascii="Helvetica" w:hAnsi="Helvetica"/>
          <w:bCs/>
        </w:rPr>
        <w:t>tumor</w:t>
      </w:r>
      <w:proofErr w:type="spellEnd"/>
      <w:r w:rsidRPr="00DB10F3">
        <w:rPr>
          <w:rFonts w:ascii="Helvetica" w:hAnsi="Helvetica"/>
          <w:bCs/>
        </w:rPr>
        <w:t xml:space="preserve"> are generally considered to be higher following chemoradiation compared with chemotherapy, although this does not necessarily translate into improved survival </w:t>
      </w:r>
      <w:r w:rsidRPr="00DB10F3">
        <w:rPr>
          <w:rFonts w:ascii="Helvetica" w:hAnsi="Helvetica"/>
          <w:bCs/>
        </w:rPr>
        <w:fldChar w:fldCharType="begin" w:fldLock="1"/>
      </w:r>
      <w:r w:rsidR="00C21329">
        <w:rPr>
          <w:rFonts w:ascii="Helvetica" w:hAnsi="Helvetica"/>
          <w:bCs/>
        </w:rPr>
        <w:instrText>ADDIN CSL_CITATION {"citationItems":[{"id":"ITEM-1","itemData":{"DOI":"10.1200/JCO.2021.39.15_SUPPL.4004","ISSN":"0732-183X","abstract":"4004Background: The optimum combination curative approach to locally advanced adenocarcinoma of the esophagus and esophago-gastric junction (AEG) is unknown. A key question is whether neoadjuvant m...","author":[{"dropping-particle":"V.","family":"Reynolds","given":"John","non-dropping-particle":"","parse-names":false,"suffix":""},{"dropping-particle":"","family":"Preston","given":"Shaun R.","non-dropping-particle":"","parse-names":false,"suffix":""},{"dropping-particle":"","family":"O'Neill","given":"Brian","non-dropping-particle":"","parse-names":false,"suffix":""},{"dropping-particle":"","family":"Lowery","given":"Maeve Aine","non-dropping-particle":"","parse-names":false,"suffix":""},{"dropping-particle":"","family":"Baeksgaard","given":"Lene","non-dropping-particle":"","parse-names":false,"suffix":""},{"dropping-particle":"","family":"Crosby","given":"Thomas","non-dropping-particle":"","parse-names":false,"suffix":""},{"dropping-particle":"","family":"Cunningham","given":"Moya","non-dropping-particle":"","parse-names":false,"suffix":""},{"dropping-particle":"","family":"Cuffe","given":"Sinead","non-dropping-particle":"","parse-names":false,"suffix":""},{"dropping-particle":"","family":"Griffiths","given":"Gareth Owen","non-dropping-particle":"","parse-names":false,"suffix":""},{"dropping-particle":"","family":"Roy","given":"Rajarshi","non-dropping-particle":"","parse-names":false,"suffix":""},{"dropping-particle":"","family":"Falk","given":"Stephen","non-dropping-particle":"","parse-names":false,"suffix":""},{"dropping-particle":"","family":"Hanna","given":"George","non-dropping-particle":"","parse-names":false,"suffix":""},{"dropping-particle":"","family":"Bartlett","given":"Frederick R.","non-dropping-particle":"","parse-names":false,"suffix":""},{"dropping-particle":"","family":"Parker","given":"Imelda","non-dropping-particle":"","parse-names":false,"suffix":""},{"dropping-particle":"","family":"Alvarez-Iglesias","given":"Alberto","non-dropping-particle":"","parse-names":false,"suffix":""},{"dropping-particle":"","family":"Nilsson","given":"Magnus","non-dropping-particle":"","parse-names":false,"suffix":""},{"dropping-particle":"","family":"Piessen","given":"Guillaume","non-dropping-particle":"","parse-names":false,"suffix":""},{"dropping-particle":"","family":"Risum","given":"Signe","non-dropping-particle":"","parse-names":false,"suffix":""},{"dropping-particle":"","family":"Ravi","given":"Narayanasamy","non-dropping-particle":"","parse-names":false,"suffix":""},{"dropping-particle":"","family":"McDermott","given":"Raymond S.","non-dropping-particle":"","parse-names":false,"suffix":""}],"container-title":"https://doi.org/10.1200/JCO.2021.39.15_suppl.4004","id":"ITEM-1","issue":"15_suppl","issued":{"date-parts":[["2021","5","28"]]},"page":"4004-4004","publisher":"Wolters Kluwer Health","title":"Neo-AEGIS (Neoadjuvant trial in Adenocarcinoma of the Esophagus and Esophago-Gastric Junction International Study): Preliminary results of phase III RCT of CROSS versus perioperative chemotherapy (Modified MAGIC or FLOT protocol). (NCT01726452).","type":"article-journal","volume":"39"},"uris":["http://www.mendeley.com/documents/?uuid=cb8d22dc-5689-338d-990a-3008760dfaf9"]}],"mendeley":{"formattedCitation":"&lt;sup&gt;33&lt;/sup&gt;","plainTextFormattedCitation":"33","previouslyFormattedCitation":"&lt;sup&gt;33&lt;/sup&gt;"},"properties":{"noteIndex":0},"schema":"https://github.com/citation-style-language/schema/raw/master/csl-citation.json"}</w:instrText>
      </w:r>
      <w:r w:rsidRPr="00DB10F3">
        <w:rPr>
          <w:rFonts w:ascii="Helvetica" w:hAnsi="Helvetica"/>
          <w:bCs/>
        </w:rPr>
        <w:fldChar w:fldCharType="separate"/>
      </w:r>
      <w:r w:rsidR="00303EE5" w:rsidRPr="00303EE5">
        <w:rPr>
          <w:rFonts w:ascii="Helvetica" w:hAnsi="Helvetica"/>
          <w:bCs/>
          <w:noProof/>
          <w:vertAlign w:val="superscript"/>
        </w:rPr>
        <w:t>33</w:t>
      </w:r>
      <w:r w:rsidRPr="00DB10F3">
        <w:rPr>
          <w:rFonts w:ascii="Helvetica" w:hAnsi="Helvetica"/>
          <w:bCs/>
        </w:rPr>
        <w:fldChar w:fldCharType="end"/>
      </w:r>
      <w:r w:rsidR="000161D5" w:rsidRPr="00DB10F3">
        <w:rPr>
          <w:rFonts w:ascii="Helvetica" w:hAnsi="Helvetica"/>
          <w:bCs/>
        </w:rPr>
        <w:t>.</w:t>
      </w:r>
      <w:r w:rsidRPr="00DB10F3">
        <w:rPr>
          <w:rFonts w:ascii="Helvetica" w:hAnsi="Helvetica"/>
          <w:bCs/>
        </w:rPr>
        <w:t xml:space="preserve"> </w:t>
      </w:r>
      <w:r w:rsidR="00C72589" w:rsidRPr="00DB10F3">
        <w:rPr>
          <w:rFonts w:ascii="Helvetica" w:hAnsi="Helvetica"/>
          <w:bCs/>
        </w:rPr>
        <w:t>T</w:t>
      </w:r>
      <w:r w:rsidR="00036595" w:rsidRPr="00DB10F3">
        <w:rPr>
          <w:rFonts w:ascii="Helvetica" w:hAnsi="Helvetica"/>
          <w:bCs/>
        </w:rPr>
        <w:t>wo previous studies evaluat</w:t>
      </w:r>
      <w:r w:rsidR="00557B73" w:rsidRPr="00DB10F3">
        <w:rPr>
          <w:rFonts w:ascii="Helvetica" w:hAnsi="Helvetica"/>
          <w:bCs/>
        </w:rPr>
        <w:t xml:space="preserve">ing LN regression </w:t>
      </w:r>
      <w:r w:rsidR="00036595" w:rsidRPr="00DB10F3">
        <w:rPr>
          <w:rFonts w:ascii="Helvetica" w:hAnsi="Helvetica"/>
          <w:bCs/>
        </w:rPr>
        <w:t xml:space="preserve">in patients with </w:t>
      </w:r>
      <w:proofErr w:type="spellStart"/>
      <w:r w:rsidR="0019785E">
        <w:rPr>
          <w:rFonts w:ascii="Helvetica" w:hAnsi="Helvetica"/>
          <w:bCs/>
        </w:rPr>
        <w:t>esophageal</w:t>
      </w:r>
      <w:proofErr w:type="spellEnd"/>
      <w:r w:rsidR="00036595" w:rsidRPr="00DB10F3">
        <w:rPr>
          <w:rFonts w:ascii="Helvetica" w:hAnsi="Helvetica"/>
          <w:bCs/>
        </w:rPr>
        <w:t xml:space="preserve"> cancer (adenocarcinoma and squamous cell carcinoma) treated with neoadjuvant chemoradiation</w:t>
      </w:r>
      <w:r w:rsidR="00557B73" w:rsidRPr="00DB10F3">
        <w:rPr>
          <w:rFonts w:ascii="Helvetica" w:hAnsi="Helvetica"/>
          <w:bCs/>
        </w:rPr>
        <w:t xml:space="preserve"> have demonstrated reduced mortality in patients </w:t>
      </w:r>
      <w:r w:rsidR="00D606EB" w:rsidRPr="00DB10F3">
        <w:rPr>
          <w:rFonts w:ascii="Helvetica" w:hAnsi="Helvetica"/>
          <w:bCs/>
        </w:rPr>
        <w:t xml:space="preserve">with </w:t>
      </w:r>
      <w:r w:rsidR="00557B73" w:rsidRPr="00DB10F3">
        <w:rPr>
          <w:rFonts w:ascii="Helvetica" w:hAnsi="Helvetica"/>
          <w:bCs/>
        </w:rPr>
        <w:t>histomorphological features of LN regression (central necrosis or fibrosis)</w:t>
      </w:r>
      <w:r w:rsidR="00036595" w:rsidRPr="00DB10F3">
        <w:rPr>
          <w:rFonts w:ascii="Helvetica" w:hAnsi="Helvetica"/>
          <w:bCs/>
        </w:rPr>
        <w:t xml:space="preserve"> </w:t>
      </w:r>
      <w:r w:rsidR="00557B73" w:rsidRPr="00DB10F3">
        <w:rPr>
          <w:rFonts w:ascii="Helvetica" w:hAnsi="Helvetica"/>
          <w:bCs/>
        </w:rPr>
        <w:fldChar w:fldCharType="begin" w:fldLock="1"/>
      </w:r>
      <w:r w:rsidR="00C21329">
        <w:rPr>
          <w:rFonts w:ascii="Helvetica" w:hAnsi="Helvetica"/>
          <w:bCs/>
        </w:rPr>
        <w:instrText>ADDIN CSL_CITATION {"citationItems":[{"id":"ITEM-1","itemData":{"DOI":"10.1053/J.SEMTCVS.2016.04.003","ISSN":"1532-9488","PMID":"28043475","abstract":"Prognostic factors after preoperative chemoradiation for patients with advanced esophageal cancer are under discussion. Treatment response measured in the primary tumor is a well-defined prognostic marker. The prognostic relevance of tumor regression in lymph nodes (LNs), eg, histomorphologic characteristics must be evaluated in a larger series of patients. From 1997-2010, 403 patients with cT3N×M0 esophageal cancer underwent preoperative chemoradiation followed by transthoracic esophagectomy. Histopathologic response of the primary tumor was graded in resected specimens as “minor” (≥10% vital residual tumor cells) or “major.” The LNs of all patients without LN metastases (ypN0 n = 222, adenocarcinoma n = 129, squamous cell carcinoma n = 93) were reevaluated for central fibrosis. Univariate and multivariate analyses were performed on histomorphologic criteria of examined LNs and used to correlate these with tumor response and prognosis. The 5-year survival rate (5YSR) for all patients was 30%. Overall, 5480 LNs were reevaluated for the existence of central fibrosis in ypN0 cases. The prognostic relevance of the LN regression (LNR) grading system was confirmed for all patients with univariate (P &lt; 0.001) and multivariate (P = 0.02) analyses. In results, the 5YSR for ypN0 patients overall was 37%, for patients with major response by the primary tumor was 42%, and for minor responders was 19% (P &lt; 0.001). Analyzing LNR in major responders, the group with less than 3 LNs with central fibrosis (n = 52) showed significantly better prognosis (5YSR = 63%) compared to those with more (5YSR = 34%), (P = 0.016). Conclusion includes morphologic signs of metastatic LNR after chemoradiation, such as central fibrosis, are of prognostic relevance for patients with advanced esophageal cancer, especially for those with major response of the primary tumor.","author":[{"dropping-particle":"","family":"Philippron","given":"Annouck","non-dropping-particle":"","parse-names":false,"suffix":""},{"dropping-particle":"","family":"Bollschweiler","given":"Elfriede","non-dropping-particle":"","parse-names":false,"suffix":""},{"dropping-particle":"","family":"Kunikata","given":"Ayumi","non-dropping-particle":"","parse-names":false,"suffix":""},{"dropping-particle":"","family":"Plum","given":"Patrick","non-dropping-particle":"","parse-names":false,"suffix":""},{"dropping-particle":"","family":"Schmidt","given":"Claudia","non-dropping-particle":"","parse-names":false,"suffix":""},{"dropping-particle":"","family":"Favi","given":"Francesco","non-dropping-particle":"","parse-names":false,"suffix":""},{"dropping-particle":"","family":"Drebber","given":"Uta","non-dropping-particle":"","parse-names":false,"suffix":""},{"dropping-particle":"","family":"Hölscher","given":"Arnulf H.","non-dropping-particle":"","parse-names":false,"suffix":""}],"container-title":"Seminars in thoracic and cardiovascular surgery","id":"ITEM-1","issue":"2","issued":{"date-parts":[["2016","2","2"]]},"page":"549-558","publisher":"Semin Thorac Cardiovasc Surg","title":"Prognostic Relevance of Lymph Node Regression After Neoadjuvant Chemoradiation for Esophageal Cancer","type":"article-journal","volume":"28"},"uris":["http://www.mendeley.com/documents/?uuid=f1c22715-f253-3c7b-8188-d0d68d91fd3e"]},{"id":"ITEM-2","itemData":{"DOI":"10.1016/J.ATHORACSUR.2011.06.091","ISSN":"1552-6259","PMID":"22115212","abstract":"Background: Along with primary tumor response, lymph node (LN) status after radiochemotherapy is one of the most important prognostic factors for advanced esophageal carcinoma. We investigated the influence of neoadjuvant radiochemotherapy on histomorphologic parameters of LNs. Methods: One hundred ninety-two patients with esophageal carcinoma underwent surgery after preoperative radiochemotherapy. Response of primary tumor was graded as \"minor\" or \"major.\" Two matched subgroups were chosen: 20 patients with minor response and 20 patients with major response. Histomorphologic criteria of LNs underwent univariate and multivariate analyses and correlated with tumor response and prognosis statistics. Results: The LNs from 40 patients (N = 1276) were examined (median number of LNs per patient, 31). Of patients with minor response, 65% showed LN metastasis; of those with major response, 20% did so (p = 0.011). Major responders had significantly lower rates of capsular and central fibrosis and vascular transformation and had more sarcoidlike lesions. Logistic regression analysis did not distinguish these parameters between major and minor responders. The 5-year survival rate was 55% for major responders and 10% for minor responders (p = 0.025), 47% for patients with LN metastasis (LNM) and 18% for patients with LNM (p = 0.041). An optimal prognostic factor, LN morphologic grading, was defined as follows: low risk, no LNM and less than 3 LNs with central fibrosis; medium risk, no LNM and central fibrosis in 3 or more LNs or LNM with an LN ratio of less than 0.05; high risk, all other cases. The 5-year survival rate was 56%, 25%, and 0% for patients considered to have low, medium, and high risk, respectively, according to LN morphologic grading (p &lt; 0.003). With the inclusion of this classification in the Cox regression analysis, no other factors showed prognostic relevance. Conclusions: Grading of LN morphology after neoadjuvant radiochemotherapy is the most important prognostic factor for patients with esophageal cancer. © 2011 The Society of Thoracic Surgeons.","author":[{"dropping-particle":"","family":"Bollschweiler","given":"Elfriede","non-dropping-particle":"","parse-names":false,"suffix":""},{"dropping-particle":"","family":"Hölscher","given":"Arnulf H.","non-dropping-particle":"","parse-names":false,"suffix":""},{"dropping-particle":"","family":"Metzger","given":"Ralf","non-dropping-particle":"","parse-names":false,"suffix":""},{"dropping-particle":"","family":"Besch","given":"Sarah","non-dropping-particle":"","parse-names":false,"suffix":""},{"dropping-particle":"","family":"Mönig","given":"Stefan P.","non-dropping-particle":"","parse-names":false,"suffix":""},{"dropping-particle":"","family":"Baldus","given":"Stephan E.","non-dropping-particle":"","parse-names":false,"suffix":""},{"dropping-particle":"","family":"Drebber","given":"Uta","non-dropping-particle":"","parse-names":false,"suffix":""}],"container-title":"The Annals of thoracic surgery","id":"ITEM-2","issue":"6","issued":{"date-parts":[["2011","12"]]},"page":"2020-2027","publisher":"Ann Thorac Surg","title":"Prognostic significance of a new grading system of lymph node morphology after neoadjuvant radiochemotherapy for esophageal cancer","type":"article-journal","volume":"92"},"uris":["http://www.mendeley.com/documents/?uuid=f018846c-678d-3482-a63d-a33f37dbe3f0"]}],"mendeley":{"formattedCitation":"&lt;sup&gt;34,35&lt;/sup&gt;","plainTextFormattedCitation":"34,35","previouslyFormattedCitation":"&lt;sup&gt;34,35&lt;/sup&gt;"},"properties":{"noteIndex":0},"schema":"https://github.com/citation-style-language/schema/raw/master/csl-citation.json"}</w:instrText>
      </w:r>
      <w:r w:rsidR="00557B73" w:rsidRPr="00DB10F3">
        <w:rPr>
          <w:rFonts w:ascii="Helvetica" w:hAnsi="Helvetica"/>
          <w:bCs/>
        </w:rPr>
        <w:fldChar w:fldCharType="separate"/>
      </w:r>
      <w:r w:rsidR="00303EE5" w:rsidRPr="00303EE5">
        <w:rPr>
          <w:rFonts w:ascii="Helvetica" w:hAnsi="Helvetica"/>
          <w:bCs/>
          <w:noProof/>
          <w:vertAlign w:val="superscript"/>
        </w:rPr>
        <w:t>34,35</w:t>
      </w:r>
      <w:r w:rsidR="00557B73" w:rsidRPr="00DB10F3">
        <w:rPr>
          <w:rFonts w:ascii="Helvetica" w:hAnsi="Helvetica"/>
          <w:bCs/>
        </w:rPr>
        <w:fldChar w:fldCharType="end"/>
      </w:r>
      <w:r w:rsidR="00FA57A9" w:rsidRPr="00DB10F3">
        <w:rPr>
          <w:rFonts w:ascii="Helvetica" w:hAnsi="Helvetica"/>
          <w:bCs/>
        </w:rPr>
        <w:t>,</w:t>
      </w:r>
      <w:r w:rsidR="00EA53CF" w:rsidRPr="00DB10F3">
        <w:rPr>
          <w:rFonts w:ascii="Helvetica" w:hAnsi="Helvetica"/>
          <w:bCs/>
        </w:rPr>
        <w:t xml:space="preserve"> suggesting that LN regression may be prognostic regardless of neoadjuvant strategy</w:t>
      </w:r>
      <w:r w:rsidR="00C72589" w:rsidRPr="00DB10F3">
        <w:rPr>
          <w:rFonts w:ascii="Helvetica" w:hAnsi="Helvetica"/>
          <w:bCs/>
        </w:rPr>
        <w:t>.</w:t>
      </w:r>
      <w:r w:rsidR="00557B73" w:rsidRPr="00DB10F3">
        <w:rPr>
          <w:rFonts w:ascii="Helvetica" w:hAnsi="Helvetica"/>
          <w:bCs/>
        </w:rPr>
        <w:t xml:space="preserve"> </w:t>
      </w:r>
      <w:r w:rsidR="00D606EB" w:rsidRPr="00DB10F3">
        <w:rPr>
          <w:rFonts w:ascii="Helvetica" w:hAnsi="Helvetica"/>
          <w:bCs/>
        </w:rPr>
        <w:t>Furthermore, p</w:t>
      </w:r>
      <w:r w:rsidR="00A7340A" w:rsidRPr="00DB10F3">
        <w:rPr>
          <w:rFonts w:ascii="Helvetica" w:hAnsi="Helvetica"/>
          <w:bCs/>
        </w:rPr>
        <w:t xml:space="preserve">athological </w:t>
      </w:r>
      <w:r w:rsidR="00EA53CF" w:rsidRPr="00DB10F3">
        <w:rPr>
          <w:rFonts w:ascii="Helvetica" w:hAnsi="Helvetica"/>
          <w:bCs/>
        </w:rPr>
        <w:t xml:space="preserve">LN regression has </w:t>
      </w:r>
      <w:r w:rsidR="00FA57A9" w:rsidRPr="00DB10F3">
        <w:rPr>
          <w:rFonts w:ascii="Helvetica" w:hAnsi="Helvetica"/>
          <w:bCs/>
        </w:rPr>
        <w:t xml:space="preserve">also </w:t>
      </w:r>
      <w:r w:rsidR="00EA53CF" w:rsidRPr="00DB10F3">
        <w:rPr>
          <w:rFonts w:ascii="Helvetica" w:hAnsi="Helvetica"/>
          <w:bCs/>
        </w:rPr>
        <w:t xml:space="preserve">recently been evaluated in other </w:t>
      </w:r>
      <w:proofErr w:type="spellStart"/>
      <w:r w:rsidR="0019785E">
        <w:rPr>
          <w:rFonts w:ascii="Helvetica" w:hAnsi="Helvetica"/>
          <w:bCs/>
        </w:rPr>
        <w:t>tumor</w:t>
      </w:r>
      <w:proofErr w:type="spellEnd"/>
      <w:r w:rsidR="00EA53CF" w:rsidRPr="00DB10F3">
        <w:rPr>
          <w:rFonts w:ascii="Helvetica" w:hAnsi="Helvetica"/>
          <w:bCs/>
        </w:rPr>
        <w:t xml:space="preserve"> groups treated with neoadjuvant therapy (gastric, breast and rectal carcinoma) with </w:t>
      </w:r>
      <w:r w:rsidR="00A7340A" w:rsidRPr="00DB10F3">
        <w:rPr>
          <w:rFonts w:ascii="Helvetica" w:hAnsi="Helvetica"/>
          <w:bCs/>
        </w:rPr>
        <w:t xml:space="preserve">results </w:t>
      </w:r>
      <w:r w:rsidR="00FA57A9" w:rsidRPr="00DB10F3">
        <w:rPr>
          <w:rFonts w:ascii="Helvetica" w:hAnsi="Helvetica"/>
          <w:bCs/>
        </w:rPr>
        <w:t>similarly</w:t>
      </w:r>
      <w:r w:rsidR="00A7340A" w:rsidRPr="00DB10F3">
        <w:rPr>
          <w:rFonts w:ascii="Helvetica" w:hAnsi="Helvetica"/>
          <w:bCs/>
        </w:rPr>
        <w:t xml:space="preserve"> demonstrating </w:t>
      </w:r>
      <w:r w:rsidR="00EA53CF" w:rsidRPr="00DB10F3">
        <w:rPr>
          <w:rFonts w:ascii="Helvetica" w:hAnsi="Helvetica"/>
          <w:bCs/>
        </w:rPr>
        <w:t xml:space="preserve">improved survival in patients exhibiting a LN response </w:t>
      </w:r>
      <w:r w:rsidR="00EA53CF" w:rsidRPr="00DB10F3">
        <w:rPr>
          <w:rFonts w:ascii="Helvetica" w:hAnsi="Helvetica"/>
          <w:bCs/>
        </w:rPr>
        <w:fldChar w:fldCharType="begin" w:fldLock="1"/>
      </w:r>
      <w:r w:rsidR="00C21329">
        <w:rPr>
          <w:rFonts w:ascii="Helvetica" w:hAnsi="Helvetica"/>
          <w:bCs/>
        </w:rPr>
        <w:instrText>ADDIN CSL_CITATION {"citationItems":[{"id":"ITEM-1","itemData":{"DOI":"10.1016/J.HUMPATH.2021.07.003","ISSN":"0046-8177","PMID":"34284051","abstract":"Perioperative chemotherapy is increasingly used in combination with surgery for the treatment of patients with locally advanced, resectable gastric cancer. Histologic tumor regression grade (TRG) has emerged as an important prognostic factor; however, a common standard for its evaluation is lacking. Moreover, the clinical significance of regressive changes in metastatic lymph nodes (LNs) remains unclear. We conducted an international study to examine the interobserver agreement of a TRG system that is based on the Becker system for the primary tumors and additionally incorporates regression grading in LNs. Twenty observers at different levels of experience evaluated the TRG in 60 histologic slides (30 primary tumors and 30 LNs) based on the following criteria: for primary tumors, grade 1 represented complete response (no residual tumor), grade 2 represented &lt;10%, grade 3 represented 10–50%, and grade 4 represented &gt;50% residual tumor, as described by Becker et al. For LNs, grade “a” represented complete, grade “b” represented partial, and grade “c” represented no regression. The interobserver agreement was estimated using the Kendall's coefficient of concordance (W). Regarding primary tumors, agreement was good irrespective of the level of experience, reaching a W-value of 0.70 overall, 0.71 among subspecialized, and 0.71 among nonsubspecialized observers. Regarding LNs, interobserver agreement was moderate to good, with W-values of 0.52 overall, 0.64 among subspecialized, and 0.45 among nonsubspecialized observers. These findings indicate that the combination of the Becker TRG system with a three-tiered grading of regression in LNs generates a system that is reproducible. Future studies should investigate whether the additional information of TRG in LNs adds to the prognostic value of histologic regression grading in gastric cancer specimens.","author":[{"dropping-particle":"","family":"Tsekrekos","given":"Andrianos","non-dropping-particle":"","parse-names":false,"suffix":""},{"dropping-particle":"","family":"Vieth","given":"Michael","non-dropping-particle":"","parse-names":false,"suffix":""},{"dropping-particle":"","family":"Ndegwa","given":"Nelson","non-dropping-particle":"","parse-names":false,"suffix":""},{"dropping-particle":"","family":"Bateman","given":"Adrian","non-dropping-particle":"","parse-names":false,"suffix":""},{"dropping-particle":"","family":"Flejou","given":"Jean François","non-dropping-particle":"","parse-names":false,"suffix":""},{"dropping-particle":"","family":"Grabsch","given":"Heike I.","non-dropping-particle":"","parse-names":false,"suffix":""},{"dropping-particle":"","family":"Mastracci","given":"Luca","non-dropping-particle":"","parse-names":false,"suffix":""},{"dropping-particle":"","family":"Meijer","given":"Sybren L.","non-dropping-particle":"","parse-names":false,"suffix":""},{"dropping-particle":"","family":"Saragoni","given":"Luca","non-dropping-particle":"","parse-names":false,"suffix":""},{"dropping-particle":"","family":"Sheahan","given":"Kieran","non-dropping-particle":"","parse-names":false,"suffix":""},{"dropping-particle":"","family":"Shetye","given":"Jayant","non-dropping-particle":"","parse-names":false,"suffix":""},{"dropping-particle":"","family":"Yantiss","given":"Rhonda","non-dropping-particle":"","parse-names":false,"suffix":""},{"dropping-particle":"","family":"Lundell","given":"Lars","non-dropping-particle":"","parse-names":false,"suffix":""},{"dropping-particle":"","family":"Detlefsen","given":"Sönke","non-dropping-particle":"","parse-names":false,"suffix":""}],"container-title":"Human Pathology","id":"ITEM-1","issued":{"date-parts":[["2021","10","1"]]},"page":"94-101","publisher":"W.B. Saunders","title":"Interobserver agreement of a gastric adenocarcinoma tumor regression grading system that incorporates assessment of lymph nodes","type":"article-journal","volume":"116"},"uris":["http://www.mendeley.com/documents/?uuid=8c748ef7-2aa7-3073-b166-7f11dc34d0da"]},{"id":"ITEM-2","itemData":{"DOI":"10.4251/WJGO.V14.I8.1429","ISSN":"19485204","PMID":"36160739","abstract":"Neoadjuvant chemoradiotherapy (nCRT) and total rectal mesenteric excision are the main standards of treatment for locally advanced rectal cancer (LARC). Lymph node regression grade (LRG) is an indicator of prognosis and response to preoperative nCRT based on postsurgical metastatic lymph node pathology. Common histopathological findings in metastatic lymph nodes after nCRT include necrosis, hemorrhage, nodular fibrosis, foamy histiocytes, cystic cell reactions, areas of hyalinosis, residual cancer cells, and pools of mucin. A number of LRG systems designed to classify the amount of lymph node regression after nCRT is mainly concerned with the relationship between residual cancer cells and regressive fibrosis and with estimating the number of lymph nodes existing with residual cancer cells. LRG offers significant prognostic information, and in most cases, LRG after nCRT correlates with patient outcomes. In this review, we describe the systematic classification of LRG after nCRT, patient prognosis, the correlation with tumor regression grade, and the typical histopathological findings of lymph nodes. This work may serve as a reference to help predict the clinical complete response and determine lymph node regression in patients based on preservation strategies, allowing for the formulation of more accurate treatment strategies for LARC patients, which has important clinical significance and scientific value.","author":[{"dropping-particle":"","family":"He","given":"Lei","non-dropping-particle":"","parse-names":false,"suffix":""},{"dropping-particle":"","family":"Xiao","given":"Juan","non-dropping-particle":"","parse-names":false,"suffix":""},{"dropping-particle":"","family":"Zheng","given":"Ping","non-dropping-particle":"","parse-names":false,"suffix":""},{"dropping-particle":"","family":"Zhong","given":"Lei","non-dropping-particle":"","parse-names":false,"suffix":""},{"dropping-particle":"","family":"Peng","given":"Qian","non-dropping-particle":"","parse-names":false,"suffix":""}],"container-title":"World Journal of Gastrointestinal Oncology","id":"ITEM-2","issue":"8","issued":{"date-parts":[["2022","8","8"]]},"page":"1429","publisher":"Baishideng Publishing Group Inc","title":"Lymph node regression grading of locally advanced rectal cancer treated with neoadjuvant chemoradiotherapy","type":"article-journal","volume":"14"},"uris":["http://www.mendeley.com/documents/?uuid=0db6d5f3-d660-33d3-8f65-91bc991f3c4c"]},{"id":"ITEM-3","itemData":{"DOI":"10.1038/S41598-021-91643-Z","ISSN":"20452322","PMID":"34108561","abstract":"Prognostic implications of therapeutic response of metastatic lymph nodes (LNs) to neoadjuvant chemotherapy (NAC) remain unclear in patients with breast cancer. We aimed to evaluate the prognostic value of axillary LN regression after NAC in locally-advanced breast cancer patients. Therapeutic response of the LNs was evaluated in 563 breast cancer patients and classified into four grades according to the regression pattern. Initial pathologic N stage was estimated from the sum of the metastatic LNs and those with complete regression. In survival analyses, LN regression grade, pathologic N stage after NAC, and presumed initial pathologic N stage stratified clinical outcome of the patients in the whole group, in both ER-positive and ER-negative subgroups, and in those with residual breast disease. On multivariate analysis, LN regression grade and presumed initial pathologic N stage were revealed as independent prognostic factors. The number of completely-responsive LNs and the ratio of non-responsive LNs also revealed a prognostic value. In conclusion, regression grade of axillary LNs and presumed initial pathologic N stage have prognostic values in breast cancer patients who receive NAC. Thus, regression of axillary LNs should be evaluated and included in pathologic reporting of post-NAC resection specimens.","author":[{"dropping-particle":"","family":"Chung","given":"Yul Ri","non-dropping-particle":"","parse-names":false,"suffix":""},{"dropping-particle":"","family":"Woo","given":"Ji Won","non-dropping-particle":"","parse-names":false,"suffix":""},{"dropping-particle":"","family":"Ahn","given":"Soomin","non-dropping-particle":"","parse-names":false,"suffix":""},{"dropping-particle":"","family":"Kang","given":"Eunyoung","non-dropping-particle":"","parse-names":false,"suffix":""},{"dropping-particle":"","family":"Kim","given":"Eun Kyu","non-dropping-particle":"","parse-names":false,"suffix":""},{"dropping-particle":"","family":"Jang","given":"Mijung","non-dropping-particle":"","parse-names":false,"suffix":""},{"dropping-particle":"","family":"Kim","given":"Sun Mi","non-dropping-particle":"","parse-names":false,"suffix":""},{"dropping-particle":"","family":"Kim","given":"Se Hyun","non-dropping-particle":"","parse-names":false,"suffix":""},{"dropping-particle":"","family":"Kim","given":"Jee Hyun","non-dropping-particle":"","parse-names":false,"suffix":""},{"dropping-particle":"","family":"Park","given":"So Yeon","non-dropping-particle":"","parse-names":false,"suffix":""}],"container-title":"Scientific Reports","id":"ITEM-3","issue":"1","issued":{"date-parts":[["2021","12","1"]]},"page":"12128","publisher":"Nature Publishing Group","title":"Prognostic implications of regression of metastatic axillary lymph nodes after neoadjuvant chemotherapy in patients with breast cancer","type":"article-journal","volume":"11"},"uris":["http://www.mendeley.com/documents/?uuid=bea65fe9-20e6-325a-a545-d6b3bca76df2"]}],"mendeley":{"formattedCitation":"&lt;sup&gt;36–38&lt;/sup&gt;","plainTextFormattedCitation":"36–38","previouslyFormattedCitation":"&lt;sup&gt;36–38&lt;/sup&gt;"},"properties":{"noteIndex":0},"schema":"https://github.com/citation-style-language/schema/raw/master/csl-citation.json"}</w:instrText>
      </w:r>
      <w:r w:rsidR="00EA53CF" w:rsidRPr="00DB10F3">
        <w:rPr>
          <w:rFonts w:ascii="Helvetica" w:hAnsi="Helvetica"/>
          <w:bCs/>
        </w:rPr>
        <w:fldChar w:fldCharType="separate"/>
      </w:r>
      <w:r w:rsidR="00303EE5" w:rsidRPr="00303EE5">
        <w:rPr>
          <w:rFonts w:ascii="Helvetica" w:hAnsi="Helvetica"/>
          <w:bCs/>
          <w:noProof/>
          <w:vertAlign w:val="superscript"/>
        </w:rPr>
        <w:t>36–38</w:t>
      </w:r>
      <w:r w:rsidR="00EA53CF" w:rsidRPr="00DB10F3">
        <w:rPr>
          <w:rFonts w:ascii="Helvetica" w:hAnsi="Helvetica"/>
          <w:bCs/>
        </w:rPr>
        <w:fldChar w:fldCharType="end"/>
      </w:r>
      <w:r w:rsidR="00A7340A" w:rsidRPr="00DB10F3">
        <w:rPr>
          <w:rFonts w:ascii="Helvetica" w:hAnsi="Helvetica"/>
          <w:bCs/>
        </w:rPr>
        <w:t>.</w:t>
      </w:r>
    </w:p>
    <w:p w14:paraId="0677C4DB" w14:textId="3BC7BC1B" w:rsidR="00A019FF" w:rsidRPr="00DB10F3" w:rsidRDefault="00A019FF" w:rsidP="00E8529C">
      <w:pPr>
        <w:spacing w:line="480" w:lineRule="auto"/>
        <w:rPr>
          <w:rFonts w:ascii="Helvetica" w:hAnsi="Helvetica"/>
          <w:bCs/>
        </w:rPr>
      </w:pPr>
    </w:p>
    <w:p w14:paraId="49904876" w14:textId="77777777" w:rsidR="00B47C9E" w:rsidRDefault="00962D57" w:rsidP="00B47C9E">
      <w:pPr>
        <w:spacing w:line="480" w:lineRule="auto"/>
        <w:rPr>
          <w:rFonts w:ascii="Helvetica" w:hAnsi="Helvetica"/>
          <w:bCs/>
        </w:rPr>
      </w:pPr>
      <w:r w:rsidRPr="00DB10F3">
        <w:rPr>
          <w:rFonts w:ascii="Helvetica" w:hAnsi="Helvetica"/>
          <w:bCs/>
        </w:rPr>
        <w:t xml:space="preserve">In conclusion, pathological </w:t>
      </w:r>
      <w:r w:rsidR="00EF5F5D" w:rsidRPr="00DB10F3">
        <w:rPr>
          <w:rFonts w:ascii="Helvetica" w:hAnsi="Helvetica"/>
          <w:bCs/>
        </w:rPr>
        <w:t>LN</w:t>
      </w:r>
      <w:r w:rsidRPr="00DB10F3">
        <w:rPr>
          <w:rFonts w:ascii="Helvetica" w:hAnsi="Helvetica"/>
          <w:bCs/>
        </w:rPr>
        <w:t xml:space="preserve"> regression analysis provides important prognostic information beyond currently reported pathological TNM staging and primary </w:t>
      </w:r>
      <w:proofErr w:type="spellStart"/>
      <w:r w:rsidR="0019785E">
        <w:rPr>
          <w:rFonts w:ascii="Helvetica" w:hAnsi="Helvetica"/>
          <w:bCs/>
        </w:rPr>
        <w:t>tumor</w:t>
      </w:r>
      <w:proofErr w:type="spellEnd"/>
      <w:r w:rsidRPr="00DB10F3">
        <w:rPr>
          <w:rFonts w:ascii="Helvetica" w:hAnsi="Helvetica"/>
          <w:bCs/>
        </w:rPr>
        <w:t xml:space="preserve"> regression grading</w:t>
      </w:r>
      <w:r w:rsidR="008148FE" w:rsidRPr="00DB10F3">
        <w:rPr>
          <w:rFonts w:ascii="Helvetica" w:hAnsi="Helvetica"/>
          <w:bCs/>
        </w:rPr>
        <w:t xml:space="preserve"> in patients with </w:t>
      </w:r>
      <w:proofErr w:type="spellStart"/>
      <w:r w:rsidR="0019785E">
        <w:rPr>
          <w:rFonts w:ascii="Helvetica" w:hAnsi="Helvetica"/>
          <w:bCs/>
        </w:rPr>
        <w:t>esophageal</w:t>
      </w:r>
      <w:proofErr w:type="spellEnd"/>
      <w:r w:rsidR="008148FE" w:rsidRPr="00DB10F3">
        <w:rPr>
          <w:rFonts w:ascii="Helvetica" w:hAnsi="Helvetica"/>
          <w:bCs/>
        </w:rPr>
        <w:t xml:space="preserve"> adenocarcinoma treated with neoadjuvant chemotherapy followed by surgical </w:t>
      </w:r>
      <w:r w:rsidR="008148FE" w:rsidRPr="00DB10F3">
        <w:rPr>
          <w:rFonts w:ascii="Helvetica" w:hAnsi="Helvetica"/>
          <w:bCs/>
        </w:rPr>
        <w:lastRenderedPageBreak/>
        <w:t>resection</w:t>
      </w:r>
      <w:r w:rsidRPr="00DB10F3">
        <w:rPr>
          <w:rFonts w:ascii="Helvetica" w:hAnsi="Helvetica"/>
          <w:bCs/>
        </w:rPr>
        <w:t>. The three-point system propose</w:t>
      </w:r>
      <w:r w:rsidR="00AA4BD0" w:rsidRPr="00DB10F3">
        <w:rPr>
          <w:rFonts w:ascii="Helvetica" w:hAnsi="Helvetica"/>
          <w:bCs/>
        </w:rPr>
        <w:t>d</w:t>
      </w:r>
      <w:r w:rsidRPr="00DB10F3">
        <w:rPr>
          <w:rFonts w:ascii="Helvetica" w:hAnsi="Helvetica"/>
          <w:bCs/>
        </w:rPr>
        <w:t xml:space="preserve"> (complete</w:t>
      </w:r>
      <w:r w:rsidR="00EF5F5D" w:rsidRPr="00DB10F3">
        <w:rPr>
          <w:rFonts w:ascii="Helvetica" w:hAnsi="Helvetica"/>
          <w:bCs/>
        </w:rPr>
        <w:t xml:space="preserve"> LN response</w:t>
      </w:r>
      <w:r w:rsidRPr="00DB10F3">
        <w:rPr>
          <w:rFonts w:ascii="Helvetica" w:hAnsi="Helvetica"/>
          <w:bCs/>
        </w:rPr>
        <w:t xml:space="preserve">, partial </w:t>
      </w:r>
      <w:r w:rsidR="00EF5F5D" w:rsidRPr="00DB10F3">
        <w:rPr>
          <w:rFonts w:ascii="Helvetica" w:hAnsi="Helvetica"/>
          <w:bCs/>
        </w:rPr>
        <w:t xml:space="preserve">LN response </w:t>
      </w:r>
      <w:r w:rsidRPr="00DB10F3">
        <w:rPr>
          <w:rFonts w:ascii="Helvetica" w:hAnsi="Helvetica"/>
          <w:bCs/>
        </w:rPr>
        <w:t xml:space="preserve">and poor/no </w:t>
      </w:r>
      <w:r w:rsidR="00EF5F5D" w:rsidRPr="00DB10F3">
        <w:rPr>
          <w:rFonts w:ascii="Helvetica" w:hAnsi="Helvetica"/>
          <w:bCs/>
        </w:rPr>
        <w:t xml:space="preserve">LN </w:t>
      </w:r>
      <w:r w:rsidRPr="00DB10F3">
        <w:rPr>
          <w:rFonts w:ascii="Helvetica" w:hAnsi="Helvetica"/>
          <w:bCs/>
        </w:rPr>
        <w:t xml:space="preserve">response) is quick and simple to use for the reporting pathologist and shows very high inter-observer agreement. </w:t>
      </w:r>
      <w:r w:rsidR="00EF5F5D" w:rsidRPr="00DB10F3">
        <w:rPr>
          <w:rFonts w:ascii="Helvetica" w:hAnsi="Helvetica"/>
          <w:bCs/>
        </w:rPr>
        <w:t>LN</w:t>
      </w:r>
      <w:r w:rsidRPr="00DB10F3">
        <w:rPr>
          <w:rFonts w:ascii="Helvetica" w:hAnsi="Helvetica"/>
          <w:bCs/>
        </w:rPr>
        <w:t xml:space="preserve"> regression should be included as standard in the pathological reporting of esophagectomy specimens. </w:t>
      </w:r>
    </w:p>
    <w:p w14:paraId="50992430" w14:textId="77777777" w:rsidR="00B47C9E" w:rsidRDefault="00B47C9E">
      <w:pPr>
        <w:rPr>
          <w:rFonts w:ascii="Helvetica" w:hAnsi="Helvetica"/>
          <w:bCs/>
        </w:rPr>
      </w:pPr>
      <w:r>
        <w:rPr>
          <w:rFonts w:ascii="Helvetica" w:hAnsi="Helvetica"/>
          <w:bCs/>
        </w:rPr>
        <w:br w:type="page"/>
      </w:r>
    </w:p>
    <w:p w14:paraId="4AE4E90F" w14:textId="457264FD" w:rsidR="00707FF4" w:rsidRPr="00B47C9E" w:rsidRDefault="00707FF4" w:rsidP="00B47C9E">
      <w:pPr>
        <w:spacing w:line="480" w:lineRule="auto"/>
        <w:rPr>
          <w:rFonts w:ascii="Helvetica" w:hAnsi="Helvetica"/>
          <w:bCs/>
        </w:rPr>
      </w:pPr>
      <w:r w:rsidRPr="00DB10F3">
        <w:rPr>
          <w:rFonts w:ascii="Helvetica" w:hAnsi="Helvetica"/>
          <w:b/>
        </w:rPr>
        <w:lastRenderedPageBreak/>
        <w:t>References</w:t>
      </w:r>
    </w:p>
    <w:p w14:paraId="1EED4849" w14:textId="77777777" w:rsidR="00707FF4" w:rsidRPr="00DB10F3" w:rsidRDefault="00707FF4" w:rsidP="00707FF4">
      <w:pPr>
        <w:spacing w:line="360" w:lineRule="auto"/>
        <w:rPr>
          <w:rFonts w:ascii="Helvetica" w:hAnsi="Helvetica"/>
        </w:rPr>
      </w:pPr>
    </w:p>
    <w:p w14:paraId="740A6AF0" w14:textId="3A7B74BD" w:rsidR="00C21329" w:rsidRPr="00C21329" w:rsidRDefault="00707FF4" w:rsidP="00C21329">
      <w:pPr>
        <w:widowControl w:val="0"/>
        <w:autoSpaceDE w:val="0"/>
        <w:autoSpaceDN w:val="0"/>
        <w:adjustRightInd w:val="0"/>
        <w:spacing w:line="360" w:lineRule="auto"/>
        <w:ind w:left="640" w:hanging="640"/>
        <w:rPr>
          <w:rFonts w:ascii="Helvetica" w:hAnsi="Helvetica"/>
          <w:noProof/>
        </w:rPr>
      </w:pPr>
      <w:r w:rsidRPr="00DB10F3">
        <w:rPr>
          <w:rFonts w:ascii="Helvetica" w:hAnsi="Helvetica"/>
        </w:rPr>
        <w:fldChar w:fldCharType="begin" w:fldLock="1"/>
      </w:r>
      <w:r w:rsidRPr="00DB10F3">
        <w:rPr>
          <w:rFonts w:ascii="Helvetica" w:hAnsi="Helvetica"/>
        </w:rPr>
        <w:instrText xml:space="preserve">ADDIN Mendeley Bibliography CSL_BIBLIOGRAPHY </w:instrText>
      </w:r>
      <w:r w:rsidRPr="00DB10F3">
        <w:rPr>
          <w:rFonts w:ascii="Helvetica" w:hAnsi="Helvetica"/>
        </w:rPr>
        <w:fldChar w:fldCharType="separate"/>
      </w:r>
      <w:r w:rsidR="00C21329" w:rsidRPr="00C21329">
        <w:rPr>
          <w:rFonts w:ascii="Helvetica" w:hAnsi="Helvetica"/>
          <w:noProof/>
        </w:rPr>
        <w:t xml:space="preserve">1. </w:t>
      </w:r>
      <w:r w:rsidR="00C21329" w:rsidRPr="00C21329">
        <w:rPr>
          <w:rFonts w:ascii="Helvetica" w:hAnsi="Helvetica"/>
          <w:noProof/>
        </w:rPr>
        <w:tab/>
        <w:t xml:space="preserve">Davies AR, Gossage JA, Zylstra J, et al. Tumor stage after neoadjuvant chemotherapy determines survival after surgery for adenocarcinoma of the esophagus and esophagogastric junction. </w:t>
      </w:r>
      <w:r w:rsidR="00C21329" w:rsidRPr="00C21329">
        <w:rPr>
          <w:rFonts w:ascii="Helvetica" w:hAnsi="Helvetica"/>
          <w:i/>
          <w:iCs/>
          <w:noProof/>
        </w:rPr>
        <w:t>J Clin Oncol</w:t>
      </w:r>
      <w:r w:rsidR="00C21329" w:rsidRPr="00C21329">
        <w:rPr>
          <w:rFonts w:ascii="Helvetica" w:hAnsi="Helvetica"/>
          <w:noProof/>
        </w:rPr>
        <w:t>. 2014;32(27):2983-2990. doi:10.1200/JCO.2014.55.9070</w:t>
      </w:r>
    </w:p>
    <w:p w14:paraId="4EB55BCB" w14:textId="3ECC5116"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 </w:t>
      </w:r>
      <w:r w:rsidRPr="00C21329">
        <w:rPr>
          <w:rFonts w:ascii="Helvetica" w:hAnsi="Helvetica"/>
          <w:noProof/>
        </w:rPr>
        <w:tab/>
        <w:t xml:space="preserve">van Hagen P, Hulshof MCCM, van Lanschot JJB, et al. Preoperative Chemoradiotherapy for Esophageal or Junctional Cancer. </w:t>
      </w:r>
      <w:r w:rsidRPr="00C21329">
        <w:rPr>
          <w:rFonts w:ascii="Helvetica" w:hAnsi="Helvetica"/>
          <w:i/>
          <w:iCs/>
          <w:noProof/>
        </w:rPr>
        <w:t>N Engl J Med</w:t>
      </w:r>
      <w:r w:rsidRPr="00C21329">
        <w:rPr>
          <w:rFonts w:ascii="Helvetica" w:hAnsi="Helvetica"/>
          <w:noProof/>
        </w:rPr>
        <w:t>. 2012;366(22):2074-2084. doi:10.1056/NEJMOA1112088</w:t>
      </w:r>
    </w:p>
    <w:p w14:paraId="1E8F5616" w14:textId="3F4F885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 </w:t>
      </w:r>
      <w:r w:rsidRPr="00C21329">
        <w:rPr>
          <w:rFonts w:ascii="Helvetica" w:hAnsi="Helvetica"/>
          <w:noProof/>
        </w:rPr>
        <w:tab/>
        <w:t xml:space="preserve">Mandard, F D, JC M, et al. Pathologic Assessment of Tumor Regression After Preoperative Chemoradiotherapy of Esophageal Carcinoma. Clinicopathologic Correlations. </w:t>
      </w:r>
      <w:r w:rsidRPr="00C21329">
        <w:rPr>
          <w:rFonts w:ascii="Helvetica" w:hAnsi="Helvetica"/>
          <w:i/>
          <w:iCs/>
          <w:noProof/>
        </w:rPr>
        <w:t>Cancer</w:t>
      </w:r>
      <w:r w:rsidRPr="00C21329">
        <w:rPr>
          <w:rFonts w:ascii="Helvetica" w:hAnsi="Helvetica"/>
          <w:noProof/>
        </w:rPr>
        <w:t>. 1994;73(11). doi:10.1002/1097-0142</w:t>
      </w:r>
    </w:p>
    <w:p w14:paraId="7BE64D93"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4. </w:t>
      </w:r>
      <w:r w:rsidRPr="00C21329">
        <w:rPr>
          <w:rFonts w:ascii="Helvetica" w:hAnsi="Helvetica"/>
          <w:noProof/>
        </w:rPr>
        <w:tab/>
        <w:t xml:space="preserve">Reece-Smith AM, Soomro I, madhusudan S, Parsons SL. OC-103 Tumour regression grading correlates to survival in oesophago-gastric cancer. A report of current survival outcomes following neo-adjuvant chemotherapy. </w:t>
      </w:r>
      <w:r w:rsidRPr="00C21329">
        <w:rPr>
          <w:rFonts w:ascii="Helvetica" w:hAnsi="Helvetica"/>
          <w:i/>
          <w:iCs/>
          <w:noProof/>
        </w:rPr>
        <w:t>Gut</w:t>
      </w:r>
      <w:r w:rsidRPr="00C21329">
        <w:rPr>
          <w:rFonts w:ascii="Helvetica" w:hAnsi="Helvetica"/>
          <w:noProof/>
        </w:rPr>
        <w:t>. 2012;61(Suppl 2):A45-A45. doi:10.1136/GUTJNL-2012-302514A.103</w:t>
      </w:r>
    </w:p>
    <w:p w14:paraId="4D3AFA76"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5. </w:t>
      </w:r>
      <w:r w:rsidRPr="00C21329">
        <w:rPr>
          <w:rFonts w:ascii="Helvetica" w:hAnsi="Helvetica"/>
          <w:noProof/>
        </w:rPr>
        <w:tab/>
        <w:t xml:space="preserve">Noble F, Nolan L, Bateman AC, et al. Refining pathological evaluation of neoadjuvant therapy for adenocarcinoma of the esophagus. </w:t>
      </w:r>
      <w:r w:rsidRPr="00C21329">
        <w:rPr>
          <w:rFonts w:ascii="Helvetica" w:hAnsi="Helvetica"/>
          <w:i/>
          <w:iCs/>
          <w:noProof/>
        </w:rPr>
        <w:t>World J Gastroenterol</w:t>
      </w:r>
      <w:r w:rsidRPr="00C21329">
        <w:rPr>
          <w:rFonts w:ascii="Helvetica" w:hAnsi="Helvetica"/>
          <w:noProof/>
        </w:rPr>
        <w:t>. 2013;19(48):9282. doi:10.3748/WJG.V19.I48.9282</w:t>
      </w:r>
    </w:p>
    <w:p w14:paraId="6AA756A8"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6. </w:t>
      </w:r>
      <w:r w:rsidRPr="00C21329">
        <w:rPr>
          <w:rFonts w:ascii="Helvetica" w:hAnsi="Helvetica"/>
          <w:noProof/>
        </w:rPr>
        <w:tab/>
        <w:t xml:space="preserve">Fareed KR, Ilyas M, Kaye P V., et al. Tumour regression grade (TRG) analyses in patients with resectable gastro-oesophageal adenocarcinomas treated with platinum-based neoadjuvant chemotherapy. </w:t>
      </w:r>
      <w:r w:rsidRPr="00C21329">
        <w:rPr>
          <w:rFonts w:ascii="Helvetica" w:hAnsi="Helvetica"/>
          <w:i/>
          <w:iCs/>
          <w:noProof/>
        </w:rPr>
        <w:t>Histopathology</w:t>
      </w:r>
      <w:r w:rsidRPr="00C21329">
        <w:rPr>
          <w:rFonts w:ascii="Helvetica" w:hAnsi="Helvetica"/>
          <w:noProof/>
        </w:rPr>
        <w:t>. 2009;55(4):399-406. doi:10.1111/J.1365-2559.2009.03404.X</w:t>
      </w:r>
    </w:p>
    <w:p w14:paraId="30B46A69"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7. </w:t>
      </w:r>
      <w:r w:rsidRPr="00C21329">
        <w:rPr>
          <w:rFonts w:ascii="Helvetica" w:hAnsi="Helvetica"/>
          <w:noProof/>
        </w:rPr>
        <w:tab/>
        <w:t xml:space="preserve">Tomasello G, Petrelli F, Ghidini M, et al. Tumor regression grade and survival after neoadjuvant treatment in gastro-esophageal cancer: A meta-analysis of 17 published studies. </w:t>
      </w:r>
      <w:r w:rsidRPr="00C21329">
        <w:rPr>
          <w:rFonts w:ascii="Helvetica" w:hAnsi="Helvetica"/>
          <w:i/>
          <w:iCs/>
          <w:noProof/>
        </w:rPr>
        <w:t>Eur J Surg Oncol</w:t>
      </w:r>
      <w:r w:rsidRPr="00C21329">
        <w:rPr>
          <w:rFonts w:ascii="Helvetica" w:hAnsi="Helvetica"/>
          <w:noProof/>
        </w:rPr>
        <w:t>. 2017;43(9):1607-1616. doi:10.1016/J.EJSO.2017.03.001</w:t>
      </w:r>
    </w:p>
    <w:p w14:paraId="14630FE5"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8. </w:t>
      </w:r>
      <w:r w:rsidRPr="00C21329">
        <w:rPr>
          <w:rFonts w:ascii="Helvetica" w:hAnsi="Helvetica"/>
          <w:noProof/>
        </w:rPr>
        <w:tab/>
        <w:t xml:space="preserve">Noble F, Lloyd MA, Turkington R, et al. Multicentre cohort study to define and validate pathological assessment of response to </w:t>
      </w:r>
      <w:r w:rsidRPr="00C21329">
        <w:rPr>
          <w:rFonts w:ascii="Helvetica" w:hAnsi="Helvetica"/>
          <w:noProof/>
        </w:rPr>
        <w:lastRenderedPageBreak/>
        <w:t xml:space="preserve">neoadjuvant therapy in oesophagogastric adenocarcinoma. </w:t>
      </w:r>
      <w:r w:rsidRPr="00C21329">
        <w:rPr>
          <w:rFonts w:ascii="Helvetica" w:hAnsi="Helvetica"/>
          <w:i/>
          <w:iCs/>
          <w:noProof/>
        </w:rPr>
        <w:t>Br J Surg</w:t>
      </w:r>
      <w:r w:rsidRPr="00C21329">
        <w:rPr>
          <w:rFonts w:ascii="Helvetica" w:hAnsi="Helvetica"/>
          <w:noProof/>
        </w:rPr>
        <w:t>. 2017;104(13):1816-1828. doi:10.1002/BJS.10627</w:t>
      </w:r>
    </w:p>
    <w:p w14:paraId="37657E30"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9. </w:t>
      </w:r>
      <w:r w:rsidRPr="00C21329">
        <w:rPr>
          <w:rFonts w:ascii="Helvetica" w:hAnsi="Helvetica"/>
          <w:noProof/>
        </w:rPr>
        <w:tab/>
        <w:t xml:space="preserve">Davies AR, Myoteri D, Zylstra J, et al. Lymph node regression and survival following neoadjuvant chemotherapy in oesophageal adenocarcinoma. </w:t>
      </w:r>
      <w:r w:rsidRPr="00C21329">
        <w:rPr>
          <w:rFonts w:ascii="Helvetica" w:hAnsi="Helvetica"/>
          <w:i/>
          <w:iCs/>
          <w:noProof/>
        </w:rPr>
        <w:t>Br J Surg</w:t>
      </w:r>
      <w:r w:rsidRPr="00C21329">
        <w:rPr>
          <w:rFonts w:ascii="Helvetica" w:hAnsi="Helvetica"/>
          <w:noProof/>
        </w:rPr>
        <w:t>. 2018;105(12):1639-1649. doi:10.1002/bjs.10900</w:t>
      </w:r>
    </w:p>
    <w:p w14:paraId="4BA6C18B"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10. </w:t>
      </w:r>
      <w:r w:rsidRPr="00C21329">
        <w:rPr>
          <w:rFonts w:ascii="Helvetica" w:hAnsi="Helvetica"/>
          <w:noProof/>
        </w:rPr>
        <w:tab/>
        <w:t xml:space="preserve">Evans RP, Kamarajah SK, Kunene V, Zardo D, Elshafie M, Griffiths EA. Impact of neoadjuvant chemotherapy on nodal regression and survival in oesophageal adenocarcinoma. </w:t>
      </w:r>
      <w:r w:rsidRPr="00C21329">
        <w:rPr>
          <w:rFonts w:ascii="Helvetica" w:hAnsi="Helvetica"/>
          <w:i/>
          <w:iCs/>
          <w:noProof/>
        </w:rPr>
        <w:t>Eur J Surg Oncol</w:t>
      </w:r>
      <w:r w:rsidRPr="00C21329">
        <w:rPr>
          <w:rFonts w:ascii="Helvetica" w:hAnsi="Helvetica"/>
          <w:noProof/>
        </w:rPr>
        <w:t>. 2022;0(0). doi:10.1016/J.EJSO.2021.12.021</w:t>
      </w:r>
    </w:p>
    <w:p w14:paraId="575BBD9F"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11. </w:t>
      </w:r>
      <w:r w:rsidRPr="00C21329">
        <w:rPr>
          <w:rFonts w:ascii="Helvetica" w:hAnsi="Helvetica"/>
          <w:noProof/>
        </w:rPr>
        <w:tab/>
        <w:t xml:space="preserve">Hagi T, Makino T, Yamasaki M, et al. Pathological Regression of Lymph Nodes Better Predicts Long-term Survival in Esophageal Cancer Patients Undergoing Neoadjuvant Chemotherapy Followed by Surgery. </w:t>
      </w:r>
      <w:r w:rsidRPr="00C21329">
        <w:rPr>
          <w:rFonts w:ascii="Helvetica" w:hAnsi="Helvetica"/>
          <w:i/>
          <w:iCs/>
          <w:noProof/>
        </w:rPr>
        <w:t>Ann Surg</w:t>
      </w:r>
      <w:r w:rsidRPr="00C21329">
        <w:rPr>
          <w:rFonts w:ascii="Helvetica" w:hAnsi="Helvetica"/>
          <w:noProof/>
        </w:rPr>
        <w:t>. 2022;275(6):1121-1129. doi:10.1097/SLA.0000000000004238</w:t>
      </w:r>
    </w:p>
    <w:p w14:paraId="75866B94"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12. </w:t>
      </w:r>
      <w:r w:rsidRPr="00C21329">
        <w:rPr>
          <w:rFonts w:ascii="Helvetica" w:hAnsi="Helvetica"/>
          <w:noProof/>
        </w:rPr>
        <w:tab/>
        <w:t xml:space="preserve">Noorani A, Li X, Goddard M, et al. Genomic evidence supports a clonal diaspora model for metastases of esophageal adenocarcinoma. </w:t>
      </w:r>
      <w:r w:rsidRPr="00C21329">
        <w:rPr>
          <w:rFonts w:ascii="Helvetica" w:hAnsi="Helvetica"/>
          <w:i/>
          <w:iCs/>
          <w:noProof/>
        </w:rPr>
        <w:t>Nat Genet</w:t>
      </w:r>
      <w:r w:rsidRPr="00C21329">
        <w:rPr>
          <w:rFonts w:ascii="Helvetica" w:hAnsi="Helvetica"/>
          <w:noProof/>
        </w:rPr>
        <w:t>. 2020;52(1):74. doi:10.1038/S41588-019-0551-3</w:t>
      </w:r>
    </w:p>
    <w:p w14:paraId="40D9FF68"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13. </w:t>
      </w:r>
      <w:r w:rsidRPr="00C21329">
        <w:rPr>
          <w:rFonts w:ascii="Helvetica" w:hAnsi="Helvetica"/>
          <w:noProof/>
        </w:rPr>
        <w:tab/>
        <w:t>Siewert JR, Stein HJ. Carcinoma of the gastroesophageal junction - classification , pathology and extent of resection Tumor Type Adeno Ca of the Distal Esophagus True Ca Cardia Anatomical. 1996:173-182.</w:t>
      </w:r>
    </w:p>
    <w:p w14:paraId="06280F54"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14. </w:t>
      </w:r>
      <w:r w:rsidRPr="00C21329">
        <w:rPr>
          <w:rFonts w:ascii="Helvetica" w:hAnsi="Helvetica"/>
          <w:noProof/>
        </w:rPr>
        <w:tab/>
        <w:t xml:space="preserve">Cunningham D, Allum WH, Stenning SP, et al. Perioperative Chemotherapy versus Surgery Alone for Resectable Gastroesophageal Cancer. </w:t>
      </w:r>
      <w:r w:rsidRPr="00C21329">
        <w:rPr>
          <w:rFonts w:ascii="Helvetica" w:hAnsi="Helvetica"/>
          <w:i/>
          <w:iCs/>
          <w:noProof/>
        </w:rPr>
        <w:t>N Engl J Med</w:t>
      </w:r>
      <w:r w:rsidRPr="00C21329">
        <w:rPr>
          <w:rFonts w:ascii="Helvetica" w:hAnsi="Helvetica"/>
          <w:noProof/>
        </w:rPr>
        <w:t>. 2006;355(1):11-20. doi:10.1056/nejmoa055531</w:t>
      </w:r>
    </w:p>
    <w:p w14:paraId="49E0B520"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15. </w:t>
      </w:r>
      <w:r w:rsidRPr="00C21329">
        <w:rPr>
          <w:rFonts w:ascii="Helvetica" w:hAnsi="Helvetica"/>
          <w:noProof/>
        </w:rPr>
        <w:tab/>
        <w:t xml:space="preserve">Girling DJ, Bancewicz J, Clark PI, et al. Surgical resection with or without preoperative chemotherapy in oesophageal cancer: A randomised controlled trial. </w:t>
      </w:r>
      <w:r w:rsidRPr="00C21329">
        <w:rPr>
          <w:rFonts w:ascii="Helvetica" w:hAnsi="Helvetica"/>
          <w:i/>
          <w:iCs/>
          <w:noProof/>
        </w:rPr>
        <w:t>Lancet</w:t>
      </w:r>
      <w:r w:rsidRPr="00C21329">
        <w:rPr>
          <w:rFonts w:ascii="Helvetica" w:hAnsi="Helvetica"/>
          <w:noProof/>
        </w:rPr>
        <w:t>. 2002;359(9319):1727-1733. doi:10.1016/S0140-6736(02)08651-8</w:t>
      </w:r>
    </w:p>
    <w:p w14:paraId="4C915B86"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16. </w:t>
      </w:r>
      <w:r w:rsidRPr="00C21329">
        <w:rPr>
          <w:rFonts w:ascii="Helvetica" w:hAnsi="Helvetica"/>
          <w:noProof/>
        </w:rPr>
        <w:tab/>
        <w:t xml:space="preserve">Al-Batran SE, Homann N, Pauligk C, et al. Perioperative chemotherapy with fluorouracil plus leucovorin, oxaliplatin, and docetaxel versus fluorouracil or capecitabine plus cisplatin and epirubicin for locally advanced, resectable gastric or gastro-oesophageal junction </w:t>
      </w:r>
      <w:r w:rsidRPr="00C21329">
        <w:rPr>
          <w:rFonts w:ascii="Helvetica" w:hAnsi="Helvetica"/>
          <w:noProof/>
        </w:rPr>
        <w:lastRenderedPageBreak/>
        <w:t xml:space="preserve">adenocarcinoma (FLOT4): a ra. </w:t>
      </w:r>
      <w:r w:rsidRPr="00C21329">
        <w:rPr>
          <w:rFonts w:ascii="Helvetica" w:hAnsi="Helvetica"/>
          <w:i/>
          <w:iCs/>
          <w:noProof/>
        </w:rPr>
        <w:t>Lancet</w:t>
      </w:r>
      <w:r w:rsidRPr="00C21329">
        <w:rPr>
          <w:rFonts w:ascii="Helvetica" w:hAnsi="Helvetica"/>
          <w:noProof/>
        </w:rPr>
        <w:t>. 2019;393(10184):1948-1957. doi:10.1016/S0140-6736(18)32557-1</w:t>
      </w:r>
    </w:p>
    <w:p w14:paraId="7F7107C8"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17. </w:t>
      </w:r>
      <w:r w:rsidRPr="00C21329">
        <w:rPr>
          <w:rFonts w:ascii="Helvetica" w:hAnsi="Helvetica"/>
          <w:noProof/>
        </w:rPr>
        <w:tab/>
        <w:t xml:space="preserve">Union for International Cancer Control (UICC). </w:t>
      </w:r>
      <w:r w:rsidRPr="00C21329">
        <w:rPr>
          <w:rFonts w:ascii="Helvetica" w:hAnsi="Helvetica"/>
          <w:i/>
          <w:iCs/>
          <w:noProof/>
        </w:rPr>
        <w:t>TNM Classification of Malignant Tumours - Eighth Edition</w:t>
      </w:r>
      <w:r w:rsidRPr="00C21329">
        <w:rPr>
          <w:rFonts w:ascii="Helvetica" w:hAnsi="Helvetica"/>
          <w:noProof/>
        </w:rPr>
        <w:t>. (J B, ed.). Wiley Blackwell</w:t>
      </w:r>
    </w:p>
    <w:p w14:paraId="2E447746"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18. </w:t>
      </w:r>
      <w:r w:rsidRPr="00C21329">
        <w:rPr>
          <w:rFonts w:ascii="Helvetica" w:hAnsi="Helvetica"/>
          <w:noProof/>
        </w:rPr>
        <w:tab/>
        <w:t xml:space="preserve">Grabsch H, Mapstone N, Novelli M. Dataset for histopathological reporting of oesophageal and gastric carcinoma. </w:t>
      </w:r>
      <w:r w:rsidRPr="00C21329">
        <w:rPr>
          <w:rFonts w:ascii="Helvetica" w:hAnsi="Helvetica"/>
          <w:i/>
          <w:iCs/>
          <w:noProof/>
        </w:rPr>
        <w:t>Stand datasets Report cancers, R Coll Pathol</w:t>
      </w:r>
      <w:r w:rsidRPr="00C21329">
        <w:rPr>
          <w:rFonts w:ascii="Helvetica" w:hAnsi="Helvetica"/>
          <w:noProof/>
        </w:rPr>
        <w:t>. 2019.</w:t>
      </w:r>
    </w:p>
    <w:p w14:paraId="13A07666"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19. </w:t>
      </w:r>
      <w:r w:rsidRPr="00C21329">
        <w:rPr>
          <w:rFonts w:ascii="Helvetica" w:hAnsi="Helvetica"/>
          <w:noProof/>
        </w:rPr>
        <w:tab/>
        <w:t>Textor J, Van Der Zander B, Gilthorpe MS, Li Skiewicz M, Ellison GT. Software Application Profile Robust causal inference using directed acyclic graphs: the R package “dagitty.” doi:10.1093/ije/dyw341</w:t>
      </w:r>
    </w:p>
    <w:p w14:paraId="0DEAE2DA"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20. </w:t>
      </w:r>
      <w:r w:rsidRPr="00C21329">
        <w:rPr>
          <w:rFonts w:ascii="Helvetica" w:hAnsi="Helvetica"/>
          <w:noProof/>
        </w:rPr>
        <w:tab/>
        <w:t xml:space="preserve">Harrell FE, Lee KL, Mark DB. Multivariable Prognostic Models: Issues in Developing Models ,Evaluating Assumptions and Adequacy, and Measuring and Reducing Errors. </w:t>
      </w:r>
      <w:r w:rsidRPr="00C21329">
        <w:rPr>
          <w:rFonts w:ascii="Helvetica" w:hAnsi="Helvetica"/>
          <w:i/>
          <w:iCs/>
          <w:noProof/>
        </w:rPr>
        <w:t>Stat Med</w:t>
      </w:r>
      <w:r w:rsidRPr="00C21329">
        <w:rPr>
          <w:rFonts w:ascii="Helvetica" w:hAnsi="Helvetica"/>
          <w:noProof/>
        </w:rPr>
        <w:t>. 1996;15:361-387. doi:10.1002/(SICI)1097-0258(19960229)15:4</w:t>
      </w:r>
    </w:p>
    <w:p w14:paraId="070D76BA"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21. </w:t>
      </w:r>
      <w:r w:rsidRPr="00C21329">
        <w:rPr>
          <w:rFonts w:ascii="Helvetica" w:hAnsi="Helvetica"/>
          <w:noProof/>
        </w:rPr>
        <w:tab/>
        <w:t xml:space="preserve">Akaike H. Information Theory and an Extension of Information the Maximum Theory Likelihood and an Principle Extension of the Maximum Likelihood Principle. </w:t>
      </w:r>
      <w:r w:rsidRPr="00C21329">
        <w:rPr>
          <w:rFonts w:ascii="Helvetica" w:hAnsi="Helvetica"/>
          <w:i/>
          <w:iCs/>
          <w:noProof/>
        </w:rPr>
        <w:t>Biogeochemistry</w:t>
      </w:r>
      <w:r w:rsidRPr="00C21329">
        <w:rPr>
          <w:rFonts w:ascii="Helvetica" w:hAnsi="Helvetica"/>
          <w:noProof/>
        </w:rPr>
        <w:t>. 1998;1998:199-213. doi:10.1007/978-1-4612-1694-0_15/COVER</w:t>
      </w:r>
    </w:p>
    <w:p w14:paraId="2A907385"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22. </w:t>
      </w:r>
      <w:r w:rsidRPr="00C21329">
        <w:rPr>
          <w:rFonts w:ascii="Helvetica" w:hAnsi="Helvetica"/>
          <w:noProof/>
        </w:rPr>
        <w:tab/>
        <w:t xml:space="preserve">Steyerberg EW, Harrell FE, Borsboom GJJM, Eijkemans MJC, Vergouwe Y, Habbema JDF. Internal validation of predictive models: efficiency of some procedures for logistic regression analysis. </w:t>
      </w:r>
      <w:r w:rsidRPr="00C21329">
        <w:rPr>
          <w:rFonts w:ascii="Helvetica" w:hAnsi="Helvetica"/>
          <w:i/>
          <w:iCs/>
          <w:noProof/>
        </w:rPr>
        <w:t>J Clin Epidemiol</w:t>
      </w:r>
      <w:r w:rsidRPr="00C21329">
        <w:rPr>
          <w:rFonts w:ascii="Helvetica" w:hAnsi="Helvetica"/>
          <w:noProof/>
        </w:rPr>
        <w:t>. 2001;54(8):774-781. doi:10.1016/S0895-4356(01)00341-9</w:t>
      </w:r>
    </w:p>
    <w:p w14:paraId="02AC86C4"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23. </w:t>
      </w:r>
      <w:r w:rsidRPr="00C21329">
        <w:rPr>
          <w:rFonts w:ascii="Helvetica" w:hAnsi="Helvetica"/>
          <w:noProof/>
        </w:rPr>
        <w:tab/>
        <w:t>Harrell FE, Slaughter JC. Biostatistics for Biomedical Research. 2001. https://hbiostat.org/doc/glossary.pdf. Accessed April 23, 2023.</w:t>
      </w:r>
    </w:p>
    <w:p w14:paraId="2FBAD1B0"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24. </w:t>
      </w:r>
      <w:r w:rsidRPr="00C21329">
        <w:rPr>
          <w:rFonts w:ascii="Helvetica" w:hAnsi="Helvetica"/>
          <w:noProof/>
        </w:rPr>
        <w:tab/>
        <w:t xml:space="preserve">Fleiss JL, Levin B, Paik MC. </w:t>
      </w:r>
      <w:r w:rsidRPr="00C21329">
        <w:rPr>
          <w:rFonts w:ascii="Helvetica" w:hAnsi="Helvetica"/>
          <w:i/>
          <w:iCs/>
          <w:noProof/>
        </w:rPr>
        <w:t>Statistical Methods for Rates and Proportions</w:t>
      </w:r>
      <w:r w:rsidRPr="00C21329">
        <w:rPr>
          <w:rFonts w:ascii="Helvetica" w:hAnsi="Helvetica"/>
          <w:noProof/>
        </w:rPr>
        <w:t>. Wiley; 2003. doi:10.1002/0471445428</w:t>
      </w:r>
    </w:p>
    <w:p w14:paraId="2D0B2788"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25. </w:t>
      </w:r>
      <w:r w:rsidRPr="00C21329">
        <w:rPr>
          <w:rFonts w:ascii="Helvetica" w:hAnsi="Helvetica"/>
          <w:noProof/>
        </w:rPr>
        <w:tab/>
        <w:t xml:space="preserve">Landis, J. R., Koch GG. The measurement of observer agreement for categorical data. </w:t>
      </w:r>
      <w:r w:rsidRPr="00C21329">
        <w:rPr>
          <w:rFonts w:ascii="Helvetica" w:hAnsi="Helvetica"/>
          <w:i/>
          <w:iCs/>
          <w:noProof/>
        </w:rPr>
        <w:t>Biometrics</w:t>
      </w:r>
      <w:r w:rsidRPr="00C21329">
        <w:rPr>
          <w:rFonts w:ascii="Helvetica" w:hAnsi="Helvetica"/>
          <w:noProof/>
        </w:rPr>
        <w:t>. 1977;33:159-174.</w:t>
      </w:r>
    </w:p>
    <w:p w14:paraId="1FF847AD"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26. </w:t>
      </w:r>
      <w:r w:rsidRPr="00C21329">
        <w:rPr>
          <w:rFonts w:ascii="Helvetica" w:hAnsi="Helvetica"/>
          <w:noProof/>
        </w:rPr>
        <w:tab/>
        <w:t xml:space="preserve">Moore JL, Kumar S, Santaolalla A, et al. Effect of peri-operative chemotherapy regimen on survival in the treatment of locally advanced oesophago-gastric adenocarcinoma – A comparison of the FLOT and ‘MAGIC’ regimens. </w:t>
      </w:r>
      <w:r w:rsidRPr="00C21329">
        <w:rPr>
          <w:rFonts w:ascii="Helvetica" w:hAnsi="Helvetica"/>
          <w:i/>
          <w:iCs/>
          <w:noProof/>
        </w:rPr>
        <w:t>Eur J Cancer</w:t>
      </w:r>
      <w:r w:rsidRPr="00C21329">
        <w:rPr>
          <w:rFonts w:ascii="Helvetica" w:hAnsi="Helvetica"/>
          <w:noProof/>
        </w:rPr>
        <w:t xml:space="preserve">. 2022;163:180-188. </w:t>
      </w:r>
      <w:r w:rsidRPr="00C21329">
        <w:rPr>
          <w:rFonts w:ascii="Helvetica" w:hAnsi="Helvetica"/>
          <w:noProof/>
        </w:rPr>
        <w:lastRenderedPageBreak/>
        <w:t>doi:10.1016/J.EJCA.2021.12.021</w:t>
      </w:r>
    </w:p>
    <w:p w14:paraId="12E28554"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27. </w:t>
      </w:r>
      <w:r w:rsidRPr="00C21329">
        <w:rPr>
          <w:rFonts w:ascii="Helvetica" w:hAnsi="Helvetica"/>
          <w:noProof/>
        </w:rPr>
        <w:tab/>
        <w:t xml:space="preserve">Al-Batran S, Hofheinz R, Pauligk C, et al. Histopathological regression after neoadjuvant docetaxel, oxaliplatin, fluorouracil, and leucovorin versus epirubicin, cisplatin, and fluorouracil or capecitabine in patients with resectable gastric or gastro-oesophageal junction adenocarcinoma (FLOT4-AIO. </w:t>
      </w:r>
      <w:r w:rsidRPr="00C21329">
        <w:rPr>
          <w:rFonts w:ascii="Helvetica" w:hAnsi="Helvetica"/>
          <w:i/>
          <w:iCs/>
          <w:noProof/>
        </w:rPr>
        <w:t>Lancet Oncol</w:t>
      </w:r>
      <w:r w:rsidRPr="00C21329">
        <w:rPr>
          <w:rFonts w:ascii="Helvetica" w:hAnsi="Helvetica"/>
          <w:noProof/>
        </w:rPr>
        <w:t>. 2016;17(12):1697-1708. doi:10.1016/S1470-2045(16)30531-9</w:t>
      </w:r>
    </w:p>
    <w:p w14:paraId="172193F3"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28. </w:t>
      </w:r>
      <w:r w:rsidRPr="00C21329">
        <w:rPr>
          <w:rFonts w:ascii="Helvetica" w:hAnsi="Helvetica"/>
          <w:noProof/>
        </w:rPr>
        <w:tab/>
        <w:t xml:space="preserve">Saliba G, Detlefsen S, Carneiro F, et al. Tumor regression grading after neoadjuvant treatment of esophageal and gastroesophageal junction adenocarcinoma: results of an international Delphi consensus survey. </w:t>
      </w:r>
      <w:r w:rsidRPr="00C21329">
        <w:rPr>
          <w:rFonts w:ascii="Helvetica" w:hAnsi="Helvetica"/>
          <w:i/>
          <w:iCs/>
          <w:noProof/>
        </w:rPr>
        <w:t>Hum Pathol</w:t>
      </w:r>
      <w:r w:rsidRPr="00C21329">
        <w:rPr>
          <w:rFonts w:ascii="Helvetica" w:hAnsi="Helvetica"/>
          <w:noProof/>
        </w:rPr>
        <w:t>. 2021;108:60-67. doi:10.1016/J.HUMPATH.2020.11.001</w:t>
      </w:r>
    </w:p>
    <w:p w14:paraId="7E35A019"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29. </w:t>
      </w:r>
      <w:r w:rsidRPr="00C21329">
        <w:rPr>
          <w:rFonts w:ascii="Helvetica" w:hAnsi="Helvetica"/>
          <w:noProof/>
        </w:rPr>
        <w:tab/>
        <w:t xml:space="preserve">Pucher PH, (AUGIS)  on behalf of the A of UGS of G, Allum WH, et al. Consensus recommendations for the standardized histopathological evaluation and reporting after radical oesophago-gastrectomy (HERO consensus). </w:t>
      </w:r>
      <w:r w:rsidRPr="00C21329">
        <w:rPr>
          <w:rFonts w:ascii="Helvetica" w:hAnsi="Helvetica"/>
          <w:i/>
          <w:iCs/>
          <w:noProof/>
        </w:rPr>
        <w:t>Dis Esophagus</w:t>
      </w:r>
      <w:r w:rsidRPr="00C21329">
        <w:rPr>
          <w:rFonts w:ascii="Helvetica" w:hAnsi="Helvetica"/>
          <w:noProof/>
        </w:rPr>
        <w:t>. 2021;34(8):1-12. doi:10.1093/DOTE/DOAB033</w:t>
      </w:r>
    </w:p>
    <w:p w14:paraId="6A4BE294"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30. </w:t>
      </w:r>
      <w:r w:rsidRPr="00C21329">
        <w:rPr>
          <w:rFonts w:ascii="Helvetica" w:hAnsi="Helvetica"/>
          <w:noProof/>
        </w:rPr>
        <w:tab/>
        <w:t xml:space="preserve">Westerhoff M, Osecky M, Langer • Rupert. Varying practices in tumor regression grading of gastrointestinal carcinomas after neoadjuvant therapy: results of an international survey. </w:t>
      </w:r>
      <w:r w:rsidRPr="00C21329">
        <w:rPr>
          <w:rFonts w:ascii="Helvetica" w:hAnsi="Helvetica"/>
          <w:i/>
          <w:iCs/>
          <w:noProof/>
        </w:rPr>
        <w:t>Mod Pathol</w:t>
      </w:r>
      <w:r w:rsidRPr="00C21329">
        <w:rPr>
          <w:rFonts w:ascii="Helvetica" w:hAnsi="Helvetica"/>
          <w:noProof/>
        </w:rPr>
        <w:t>. 2020;33:676-689. doi:10.1038/s41379-019-0393-7</w:t>
      </w:r>
    </w:p>
    <w:p w14:paraId="7C403F93"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31. </w:t>
      </w:r>
      <w:r w:rsidRPr="00C21329">
        <w:rPr>
          <w:rFonts w:ascii="Helvetica" w:hAnsi="Helvetica"/>
          <w:noProof/>
        </w:rPr>
        <w:tab/>
        <w:t xml:space="preserve">Athauda A, Nankivell M, Pritchard S, et al. SO-9 Pathological primary tumour and lymph node regression following neoadjuvant chemotherapy in resectable oesophagogastric cancer: Pooled analysis of 1619 patients from two randomised trials. </w:t>
      </w:r>
      <w:r w:rsidRPr="00C21329">
        <w:rPr>
          <w:rFonts w:ascii="Helvetica" w:hAnsi="Helvetica"/>
          <w:i/>
          <w:iCs/>
          <w:noProof/>
        </w:rPr>
        <w:t>Ann Oncol</w:t>
      </w:r>
      <w:r w:rsidRPr="00C21329">
        <w:rPr>
          <w:rFonts w:ascii="Helvetica" w:hAnsi="Helvetica"/>
          <w:noProof/>
        </w:rPr>
        <w:t>. 2022;33:S360. doi:10.1016/j.annonc.2022.04.408</w:t>
      </w:r>
    </w:p>
    <w:p w14:paraId="47D3D540" w14:textId="692E592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32. </w:t>
      </w:r>
      <w:r w:rsidRPr="00C21329">
        <w:rPr>
          <w:rFonts w:ascii="Helvetica" w:hAnsi="Helvetica"/>
          <w:noProof/>
        </w:rPr>
        <w:tab/>
        <w:t xml:space="preserve">Kelly RJ, Ajani JA, Kuzdzal J, et al. Adjuvant Nivolumab in Resected Esophageal or Gastroesophageal Junction Cancer. </w:t>
      </w:r>
      <w:r w:rsidRPr="00C21329">
        <w:rPr>
          <w:rFonts w:ascii="Helvetica" w:hAnsi="Helvetica"/>
          <w:i/>
          <w:iCs/>
          <w:noProof/>
        </w:rPr>
        <w:t>N Engl J Med</w:t>
      </w:r>
      <w:r w:rsidRPr="00C21329">
        <w:rPr>
          <w:rFonts w:ascii="Helvetica" w:hAnsi="Helvetica"/>
          <w:noProof/>
        </w:rPr>
        <w:t>. 2021;384(13):1191-1203. doi:10.1056/NEJMOA2032125/SUPPL_FILE/NEJMOA2032125</w:t>
      </w:r>
    </w:p>
    <w:p w14:paraId="24A8D2FD"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33. </w:t>
      </w:r>
      <w:r w:rsidRPr="00C21329">
        <w:rPr>
          <w:rFonts w:ascii="Helvetica" w:hAnsi="Helvetica"/>
          <w:noProof/>
        </w:rPr>
        <w:tab/>
        <w:t xml:space="preserve">Reynolds J V., Preston SR, O’Neill B, et al. Neo-AEGIS (Neoadjuvant trial in Adenocarcinoma of the Esophagus and Esophago-Gastric Junction International Study): Preliminary results of phase III RCT of </w:t>
      </w:r>
      <w:r w:rsidRPr="00C21329">
        <w:rPr>
          <w:rFonts w:ascii="Helvetica" w:hAnsi="Helvetica"/>
          <w:noProof/>
        </w:rPr>
        <w:lastRenderedPageBreak/>
        <w:t xml:space="preserve">CROSS versus perioperative chemotherapy (Modified MAGIC or FLOT protocol). (NCT01726452). </w:t>
      </w:r>
      <w:r w:rsidRPr="00C21329">
        <w:rPr>
          <w:rFonts w:ascii="Helvetica" w:hAnsi="Helvetica"/>
          <w:i/>
          <w:iCs/>
          <w:noProof/>
        </w:rPr>
        <w:t>https://doi.org/101200/JCO20213915_suppl4004</w:t>
      </w:r>
      <w:r w:rsidRPr="00C21329">
        <w:rPr>
          <w:rFonts w:ascii="Helvetica" w:hAnsi="Helvetica"/>
          <w:noProof/>
        </w:rPr>
        <w:t>. 2021;39(15_suppl):4004-4004. doi:10.1200/JCO.2021.39.15_SUPPL.4004</w:t>
      </w:r>
    </w:p>
    <w:p w14:paraId="7BB30C79"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34. </w:t>
      </w:r>
      <w:r w:rsidRPr="00C21329">
        <w:rPr>
          <w:rFonts w:ascii="Helvetica" w:hAnsi="Helvetica"/>
          <w:noProof/>
        </w:rPr>
        <w:tab/>
        <w:t xml:space="preserve">Philippron A, Bollschweiler E, Kunikata A, et al. Prognostic Relevance of Lymph Node Regression After Neoadjuvant Chemoradiation for Esophageal Cancer. </w:t>
      </w:r>
      <w:r w:rsidRPr="00C21329">
        <w:rPr>
          <w:rFonts w:ascii="Helvetica" w:hAnsi="Helvetica"/>
          <w:i/>
          <w:iCs/>
          <w:noProof/>
        </w:rPr>
        <w:t>Semin Thorac Cardiovasc Surg</w:t>
      </w:r>
      <w:r w:rsidRPr="00C21329">
        <w:rPr>
          <w:rFonts w:ascii="Helvetica" w:hAnsi="Helvetica"/>
          <w:noProof/>
        </w:rPr>
        <w:t>. 2016;28(2):549-558. doi:10.1053/J.SEMTCVS.2016.04.003</w:t>
      </w:r>
    </w:p>
    <w:p w14:paraId="1EF2729F"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35. </w:t>
      </w:r>
      <w:r w:rsidRPr="00C21329">
        <w:rPr>
          <w:rFonts w:ascii="Helvetica" w:hAnsi="Helvetica"/>
          <w:noProof/>
        </w:rPr>
        <w:tab/>
        <w:t xml:space="preserve">Bollschweiler E, Hölscher AH, Metzger R, et al. Prognostic significance of a new grading system of lymph node morphology after neoadjuvant radiochemotherapy for esophageal cancer. </w:t>
      </w:r>
      <w:r w:rsidRPr="00C21329">
        <w:rPr>
          <w:rFonts w:ascii="Helvetica" w:hAnsi="Helvetica"/>
          <w:i/>
          <w:iCs/>
          <w:noProof/>
        </w:rPr>
        <w:t>Ann Thorac Surg</w:t>
      </w:r>
      <w:r w:rsidRPr="00C21329">
        <w:rPr>
          <w:rFonts w:ascii="Helvetica" w:hAnsi="Helvetica"/>
          <w:noProof/>
        </w:rPr>
        <w:t>. 2011;92(6):2020-2027. doi:10.1016/J.ATHORACSUR.2011.06.091</w:t>
      </w:r>
    </w:p>
    <w:p w14:paraId="5624108E"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36. </w:t>
      </w:r>
      <w:r w:rsidRPr="00C21329">
        <w:rPr>
          <w:rFonts w:ascii="Helvetica" w:hAnsi="Helvetica"/>
          <w:noProof/>
        </w:rPr>
        <w:tab/>
        <w:t xml:space="preserve">Tsekrekos A, Vieth M, Ndegwa N, et al. Interobserver agreement of a gastric adenocarcinoma tumor regression grading system that incorporates assessment of lymph nodes. </w:t>
      </w:r>
      <w:r w:rsidRPr="00C21329">
        <w:rPr>
          <w:rFonts w:ascii="Helvetica" w:hAnsi="Helvetica"/>
          <w:i/>
          <w:iCs/>
          <w:noProof/>
        </w:rPr>
        <w:t>Hum Pathol</w:t>
      </w:r>
      <w:r w:rsidRPr="00C21329">
        <w:rPr>
          <w:rFonts w:ascii="Helvetica" w:hAnsi="Helvetica"/>
          <w:noProof/>
        </w:rPr>
        <w:t>. 2021;116:94-101. doi:10.1016/J.HUMPATH.2021.07.003</w:t>
      </w:r>
    </w:p>
    <w:p w14:paraId="409C0CC6" w14:textId="02FDAC69"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37. </w:t>
      </w:r>
      <w:r w:rsidRPr="00C21329">
        <w:rPr>
          <w:rFonts w:ascii="Helvetica" w:hAnsi="Helvetica"/>
          <w:noProof/>
        </w:rPr>
        <w:tab/>
        <w:t xml:space="preserve">He L, Xiao J, Zheng P, </w:t>
      </w:r>
      <w:r w:rsidR="00F85B4E">
        <w:rPr>
          <w:rFonts w:ascii="Helvetica" w:hAnsi="Helvetica"/>
          <w:noProof/>
        </w:rPr>
        <w:t>et al</w:t>
      </w:r>
      <w:r w:rsidRPr="00C21329">
        <w:rPr>
          <w:rFonts w:ascii="Helvetica" w:hAnsi="Helvetica"/>
          <w:noProof/>
        </w:rPr>
        <w:t xml:space="preserve">. Lymph node regression grading of locally advanced rectal cancer treated with neoadjuvant chemoradiotherapy. </w:t>
      </w:r>
      <w:r w:rsidRPr="00C21329">
        <w:rPr>
          <w:rFonts w:ascii="Helvetica" w:hAnsi="Helvetica"/>
          <w:i/>
          <w:iCs/>
          <w:noProof/>
        </w:rPr>
        <w:t>World J Gastrointest Oncol</w:t>
      </w:r>
      <w:r w:rsidRPr="00C21329">
        <w:rPr>
          <w:rFonts w:ascii="Helvetica" w:hAnsi="Helvetica"/>
          <w:noProof/>
        </w:rPr>
        <w:t>. 2022;14(8):1429. doi:10.4251/WJGO.V14.I8.1429</w:t>
      </w:r>
    </w:p>
    <w:p w14:paraId="3DA2E511" w14:textId="77777777" w:rsidR="00C21329" w:rsidRPr="00C21329" w:rsidRDefault="00C21329" w:rsidP="00C21329">
      <w:pPr>
        <w:widowControl w:val="0"/>
        <w:autoSpaceDE w:val="0"/>
        <w:autoSpaceDN w:val="0"/>
        <w:adjustRightInd w:val="0"/>
        <w:spacing w:line="360" w:lineRule="auto"/>
        <w:ind w:left="640" w:hanging="640"/>
        <w:rPr>
          <w:rFonts w:ascii="Helvetica" w:hAnsi="Helvetica"/>
          <w:noProof/>
        </w:rPr>
      </w:pPr>
      <w:r w:rsidRPr="00C21329">
        <w:rPr>
          <w:rFonts w:ascii="Helvetica" w:hAnsi="Helvetica"/>
          <w:noProof/>
        </w:rPr>
        <w:t xml:space="preserve">38. </w:t>
      </w:r>
      <w:r w:rsidRPr="00C21329">
        <w:rPr>
          <w:rFonts w:ascii="Helvetica" w:hAnsi="Helvetica"/>
          <w:noProof/>
        </w:rPr>
        <w:tab/>
        <w:t xml:space="preserve">Chung YR, Woo JW, Ahn S, et al. Prognostic implications of regression of metastatic axillary lymph nodes after neoadjuvant chemotherapy in patients with breast cancer. </w:t>
      </w:r>
      <w:r w:rsidRPr="00C21329">
        <w:rPr>
          <w:rFonts w:ascii="Helvetica" w:hAnsi="Helvetica"/>
          <w:i/>
          <w:iCs/>
          <w:noProof/>
        </w:rPr>
        <w:t>Sci Rep</w:t>
      </w:r>
      <w:r w:rsidRPr="00C21329">
        <w:rPr>
          <w:rFonts w:ascii="Helvetica" w:hAnsi="Helvetica"/>
          <w:noProof/>
        </w:rPr>
        <w:t>. 2021;11(1):12128. doi:10.1038/S41598-021-91643-Z</w:t>
      </w:r>
    </w:p>
    <w:p w14:paraId="2545523B" w14:textId="2D3A8E8D" w:rsidR="00707FF4" w:rsidRPr="00DB10F3" w:rsidRDefault="00707FF4" w:rsidP="00C21329">
      <w:pPr>
        <w:widowControl w:val="0"/>
        <w:autoSpaceDE w:val="0"/>
        <w:autoSpaceDN w:val="0"/>
        <w:adjustRightInd w:val="0"/>
        <w:spacing w:line="360" w:lineRule="auto"/>
        <w:ind w:left="640" w:hanging="640"/>
        <w:rPr>
          <w:rFonts w:ascii="Helvetica" w:hAnsi="Helvetica"/>
        </w:rPr>
      </w:pPr>
      <w:r w:rsidRPr="00DB10F3">
        <w:rPr>
          <w:rFonts w:ascii="Helvetica" w:hAnsi="Helvetica"/>
        </w:rPr>
        <w:fldChar w:fldCharType="end"/>
      </w:r>
    </w:p>
    <w:p w14:paraId="3A0E72A8" w14:textId="3EA149F2" w:rsidR="00A019FF" w:rsidRPr="00DB10F3" w:rsidRDefault="00A019FF" w:rsidP="00A019FF">
      <w:pPr>
        <w:widowControl w:val="0"/>
        <w:autoSpaceDE w:val="0"/>
        <w:autoSpaceDN w:val="0"/>
        <w:adjustRightInd w:val="0"/>
        <w:spacing w:line="360" w:lineRule="auto"/>
        <w:ind w:left="640" w:hanging="640"/>
        <w:rPr>
          <w:rFonts w:ascii="Helvetica" w:hAnsi="Helvetica"/>
        </w:rPr>
      </w:pPr>
    </w:p>
    <w:p w14:paraId="13503BD1" w14:textId="77777777" w:rsidR="00D604BE" w:rsidRDefault="00D604BE">
      <w:pPr>
        <w:rPr>
          <w:rFonts w:ascii="Calibri" w:hAnsi="Calibri"/>
        </w:rPr>
      </w:pPr>
      <w:r>
        <w:rPr>
          <w:rFonts w:ascii="Calibri" w:hAnsi="Calibri"/>
        </w:rPr>
        <w:br w:type="page"/>
      </w:r>
    </w:p>
    <w:p w14:paraId="218D6285" w14:textId="217442A5" w:rsidR="00852A20" w:rsidRPr="00877169" w:rsidRDefault="00852A20" w:rsidP="00F95E69">
      <w:pPr>
        <w:spacing w:line="360" w:lineRule="auto"/>
        <w:rPr>
          <w:rFonts w:asciiTheme="majorHAnsi" w:hAnsiTheme="majorHAnsi" w:cstheme="majorHAnsi"/>
          <w:sz w:val="22"/>
          <w:szCs w:val="22"/>
        </w:rPr>
      </w:pPr>
      <w:r w:rsidRPr="00D51598">
        <w:rPr>
          <w:rFonts w:asciiTheme="majorHAnsi" w:hAnsiTheme="majorHAnsi" w:cstheme="majorHAnsi"/>
          <w:b/>
          <w:bCs/>
          <w:sz w:val="22"/>
          <w:szCs w:val="22"/>
        </w:rPr>
        <w:lastRenderedPageBreak/>
        <w:t xml:space="preserve">Table </w:t>
      </w:r>
      <w:r>
        <w:rPr>
          <w:rFonts w:asciiTheme="majorHAnsi" w:hAnsiTheme="majorHAnsi" w:cstheme="majorHAnsi"/>
          <w:b/>
          <w:bCs/>
          <w:sz w:val="22"/>
          <w:szCs w:val="22"/>
        </w:rPr>
        <w:t>1</w:t>
      </w:r>
      <w:r w:rsidRPr="00D51598">
        <w:rPr>
          <w:rFonts w:asciiTheme="majorHAnsi" w:hAnsiTheme="majorHAnsi" w:cstheme="majorHAnsi"/>
          <w:b/>
          <w:bCs/>
          <w:sz w:val="22"/>
          <w:szCs w:val="22"/>
        </w:rPr>
        <w:t xml:space="preserve">. </w:t>
      </w:r>
      <w:r>
        <w:rPr>
          <w:rFonts w:asciiTheme="majorHAnsi" w:hAnsiTheme="majorHAnsi" w:cstheme="majorHAnsi"/>
          <w:sz w:val="22"/>
          <w:szCs w:val="22"/>
        </w:rPr>
        <w:t xml:space="preserve">Results of Akaike’s information criterion (AIC) and Harrell’s C-index analysis evaluating the </w:t>
      </w:r>
      <w:r w:rsidRPr="00345D6C">
        <w:rPr>
          <w:rFonts w:asciiTheme="majorHAnsi" w:hAnsiTheme="majorHAnsi" w:cstheme="majorHAnsi"/>
          <w:sz w:val="22"/>
          <w:szCs w:val="22"/>
        </w:rPr>
        <w:t>discriminatory</w:t>
      </w:r>
      <w:r>
        <w:rPr>
          <w:rFonts w:asciiTheme="majorHAnsi" w:hAnsiTheme="majorHAnsi" w:cstheme="majorHAnsi"/>
          <w:sz w:val="22"/>
          <w:szCs w:val="22"/>
        </w:rPr>
        <w:t xml:space="preserve"> ability of different lymph node response classifications to predict survival </w:t>
      </w:r>
      <w:r w:rsidRPr="00D51598">
        <w:rPr>
          <w:rFonts w:asciiTheme="majorHAnsi" w:hAnsiTheme="majorHAnsi" w:cstheme="majorHAnsi"/>
          <w:sz w:val="22"/>
          <w:szCs w:val="22"/>
        </w:rPr>
        <w:t xml:space="preserve">in patients </w:t>
      </w:r>
      <w:r>
        <w:rPr>
          <w:rFonts w:asciiTheme="majorHAnsi" w:hAnsiTheme="majorHAnsi" w:cstheme="majorHAnsi"/>
          <w:sz w:val="22"/>
          <w:szCs w:val="22"/>
        </w:rPr>
        <w:t xml:space="preserve">with </w:t>
      </w:r>
      <w:proofErr w:type="spellStart"/>
      <w:r w:rsidRPr="00D51598">
        <w:rPr>
          <w:rFonts w:asciiTheme="majorHAnsi" w:hAnsiTheme="majorHAnsi" w:cstheme="majorHAnsi"/>
          <w:sz w:val="22"/>
          <w:szCs w:val="22"/>
        </w:rPr>
        <w:t>esophageal</w:t>
      </w:r>
      <w:proofErr w:type="spellEnd"/>
      <w:r w:rsidRPr="00D51598">
        <w:rPr>
          <w:rFonts w:asciiTheme="majorHAnsi" w:hAnsiTheme="majorHAnsi" w:cstheme="majorHAnsi"/>
          <w:sz w:val="22"/>
          <w:szCs w:val="22"/>
        </w:rPr>
        <w:t xml:space="preserve"> adenocarcinoma</w:t>
      </w:r>
      <w:r>
        <w:rPr>
          <w:rFonts w:asciiTheme="majorHAnsi" w:hAnsiTheme="majorHAnsi" w:cstheme="majorHAnsi"/>
          <w:sz w:val="22"/>
          <w:szCs w:val="22"/>
        </w:rPr>
        <w:t xml:space="preserve"> treated with neoadjuvant chemotherapy prior to surgical</w:t>
      </w:r>
      <w:r w:rsidRPr="00D51598">
        <w:rPr>
          <w:rFonts w:asciiTheme="majorHAnsi" w:hAnsiTheme="majorHAnsi" w:cstheme="majorHAnsi"/>
          <w:sz w:val="22"/>
          <w:szCs w:val="22"/>
        </w:rPr>
        <w:t xml:space="preserve"> resection</w:t>
      </w:r>
      <w:r>
        <w:rPr>
          <w:rFonts w:asciiTheme="majorHAnsi" w:hAnsiTheme="majorHAnsi" w:cstheme="majorHAnsi"/>
          <w:sz w:val="22"/>
          <w:szCs w:val="22"/>
        </w:rPr>
        <w:t>.</w:t>
      </w:r>
    </w:p>
    <w:tbl>
      <w:tblPr>
        <w:tblStyle w:val="TableGrid"/>
        <w:tblpPr w:leftFromText="180" w:rightFromText="180" w:vertAnchor="text" w:horzAnchor="margin" w:tblpXSpec="center" w:tblpY="-66"/>
        <w:tblW w:w="11344" w:type="dxa"/>
        <w:tblBorders>
          <w:left w:val="none" w:sz="0" w:space="0" w:color="auto"/>
          <w:right w:val="none" w:sz="0" w:space="0" w:color="auto"/>
          <w:insideV w:val="none" w:sz="0" w:space="0" w:color="auto"/>
        </w:tblBorders>
        <w:tblLook w:val="04A0" w:firstRow="1" w:lastRow="0" w:firstColumn="1" w:lastColumn="0" w:noHBand="0" w:noVBand="1"/>
      </w:tblPr>
      <w:tblGrid>
        <w:gridCol w:w="5928"/>
        <w:gridCol w:w="1206"/>
        <w:gridCol w:w="978"/>
        <w:gridCol w:w="1127"/>
        <w:gridCol w:w="978"/>
        <w:gridCol w:w="1127"/>
      </w:tblGrid>
      <w:tr w:rsidR="00852A20" w14:paraId="0C5188DD" w14:textId="77777777" w:rsidTr="00192949">
        <w:trPr>
          <w:trHeight w:val="132"/>
        </w:trPr>
        <w:tc>
          <w:tcPr>
            <w:tcW w:w="6096" w:type="dxa"/>
            <w:vMerge w:val="restart"/>
            <w:shd w:val="clear" w:color="auto" w:fill="D9D9D9" w:themeFill="background1" w:themeFillShade="D9"/>
            <w:vAlign w:val="center"/>
          </w:tcPr>
          <w:p w14:paraId="480958B7" w14:textId="77777777" w:rsidR="00852A20" w:rsidRPr="0020276B" w:rsidRDefault="00852A20" w:rsidP="00192949">
            <w:pPr>
              <w:spacing w:line="360" w:lineRule="auto"/>
              <w:rPr>
                <w:rFonts w:ascii="Calibri" w:hAnsi="Calibri"/>
                <w:b/>
                <w:sz w:val="20"/>
              </w:rPr>
            </w:pPr>
          </w:p>
        </w:tc>
        <w:tc>
          <w:tcPr>
            <w:tcW w:w="1226" w:type="dxa"/>
            <w:tcBorders>
              <w:bottom w:val="nil"/>
            </w:tcBorders>
            <w:shd w:val="clear" w:color="auto" w:fill="D9D9D9" w:themeFill="background1" w:themeFillShade="D9"/>
            <w:vAlign w:val="center"/>
          </w:tcPr>
          <w:p w14:paraId="299D3A80" w14:textId="77777777" w:rsidR="00852A20" w:rsidRDefault="00852A20" w:rsidP="00192949">
            <w:pPr>
              <w:spacing w:line="360" w:lineRule="auto"/>
              <w:jc w:val="center"/>
              <w:rPr>
                <w:rFonts w:ascii="Calibri" w:hAnsi="Calibri"/>
                <w:b/>
                <w:iCs/>
                <w:sz w:val="20"/>
              </w:rPr>
            </w:pPr>
          </w:p>
        </w:tc>
        <w:tc>
          <w:tcPr>
            <w:tcW w:w="2011" w:type="dxa"/>
            <w:gridSpan w:val="2"/>
            <w:tcBorders>
              <w:bottom w:val="nil"/>
            </w:tcBorders>
            <w:shd w:val="clear" w:color="auto" w:fill="D9D9D9" w:themeFill="background1" w:themeFillShade="D9"/>
            <w:vAlign w:val="center"/>
          </w:tcPr>
          <w:p w14:paraId="0FDA080F" w14:textId="77777777" w:rsidR="00852A20" w:rsidRPr="00D65AD8" w:rsidRDefault="00852A20" w:rsidP="00192949">
            <w:pPr>
              <w:spacing w:line="360" w:lineRule="auto"/>
              <w:jc w:val="center"/>
              <w:rPr>
                <w:rFonts w:ascii="Calibri" w:hAnsi="Calibri"/>
                <w:b/>
                <w:iCs/>
                <w:sz w:val="20"/>
              </w:rPr>
            </w:pPr>
            <w:r>
              <w:rPr>
                <w:rFonts w:ascii="Calibri" w:hAnsi="Calibri"/>
                <w:b/>
                <w:iCs/>
                <w:sz w:val="20"/>
              </w:rPr>
              <w:t>Overall survival</w:t>
            </w:r>
          </w:p>
        </w:tc>
        <w:tc>
          <w:tcPr>
            <w:tcW w:w="2011" w:type="dxa"/>
            <w:gridSpan w:val="2"/>
            <w:tcBorders>
              <w:top w:val="single" w:sz="4" w:space="0" w:color="auto"/>
              <w:bottom w:val="nil"/>
            </w:tcBorders>
            <w:shd w:val="clear" w:color="auto" w:fill="D9D9D9" w:themeFill="background1" w:themeFillShade="D9"/>
            <w:vAlign w:val="center"/>
          </w:tcPr>
          <w:p w14:paraId="3A73ECD5" w14:textId="77777777" w:rsidR="00852A20" w:rsidRPr="00065510" w:rsidRDefault="00852A20" w:rsidP="00192949">
            <w:pPr>
              <w:spacing w:line="360" w:lineRule="auto"/>
              <w:jc w:val="center"/>
              <w:rPr>
                <w:rFonts w:ascii="Calibri" w:hAnsi="Calibri"/>
                <w:b/>
                <w:iCs/>
                <w:sz w:val="20"/>
              </w:rPr>
            </w:pPr>
            <w:r>
              <w:rPr>
                <w:rFonts w:ascii="Calibri" w:hAnsi="Calibri"/>
                <w:b/>
                <w:iCs/>
                <w:sz w:val="20"/>
              </w:rPr>
              <w:t>Disease-free survival</w:t>
            </w:r>
          </w:p>
        </w:tc>
      </w:tr>
      <w:tr w:rsidR="00852A20" w14:paraId="7FBEF527" w14:textId="77777777" w:rsidTr="00192949">
        <w:tc>
          <w:tcPr>
            <w:tcW w:w="6096" w:type="dxa"/>
            <w:vMerge/>
            <w:shd w:val="clear" w:color="auto" w:fill="D9D9D9" w:themeFill="background1" w:themeFillShade="D9"/>
            <w:vAlign w:val="center"/>
          </w:tcPr>
          <w:p w14:paraId="2EFC45D3" w14:textId="77777777" w:rsidR="00852A20" w:rsidRPr="0020276B" w:rsidRDefault="00852A20" w:rsidP="00192949">
            <w:pPr>
              <w:spacing w:line="360" w:lineRule="auto"/>
              <w:rPr>
                <w:rFonts w:ascii="Calibri" w:hAnsi="Calibri"/>
                <w:b/>
                <w:sz w:val="20"/>
              </w:rPr>
            </w:pPr>
          </w:p>
        </w:tc>
        <w:tc>
          <w:tcPr>
            <w:tcW w:w="1226" w:type="dxa"/>
            <w:tcBorders>
              <w:top w:val="nil"/>
            </w:tcBorders>
            <w:shd w:val="clear" w:color="auto" w:fill="D9D9D9" w:themeFill="background1" w:themeFillShade="D9"/>
            <w:vAlign w:val="center"/>
          </w:tcPr>
          <w:p w14:paraId="1F0F8AB1" w14:textId="77777777" w:rsidR="00852A20" w:rsidRDefault="00852A20" w:rsidP="00192949">
            <w:pPr>
              <w:spacing w:line="360" w:lineRule="auto"/>
              <w:jc w:val="center"/>
              <w:rPr>
                <w:rFonts w:ascii="Calibri" w:hAnsi="Calibri"/>
                <w:b/>
                <w:iCs/>
                <w:sz w:val="20"/>
              </w:rPr>
            </w:pPr>
          </w:p>
        </w:tc>
        <w:tc>
          <w:tcPr>
            <w:tcW w:w="878" w:type="dxa"/>
            <w:tcBorders>
              <w:top w:val="nil"/>
              <w:bottom w:val="single" w:sz="4" w:space="0" w:color="auto"/>
            </w:tcBorders>
            <w:shd w:val="clear" w:color="auto" w:fill="D9D9D9" w:themeFill="background1" w:themeFillShade="D9"/>
            <w:vAlign w:val="center"/>
          </w:tcPr>
          <w:p w14:paraId="32487661" w14:textId="77777777" w:rsidR="00852A20" w:rsidRDefault="00852A20" w:rsidP="00192949">
            <w:pPr>
              <w:spacing w:line="360" w:lineRule="auto"/>
              <w:jc w:val="center"/>
              <w:rPr>
                <w:rFonts w:ascii="Calibri" w:hAnsi="Calibri"/>
                <w:b/>
                <w:iCs/>
                <w:sz w:val="20"/>
              </w:rPr>
            </w:pPr>
            <w:r>
              <w:rPr>
                <w:rFonts w:ascii="Calibri" w:hAnsi="Calibri"/>
                <w:b/>
                <w:iCs/>
                <w:sz w:val="20"/>
              </w:rPr>
              <w:t>Crude</w:t>
            </w:r>
          </w:p>
        </w:tc>
        <w:tc>
          <w:tcPr>
            <w:tcW w:w="1133" w:type="dxa"/>
            <w:tcBorders>
              <w:top w:val="nil"/>
              <w:bottom w:val="single" w:sz="4" w:space="0" w:color="auto"/>
            </w:tcBorders>
            <w:shd w:val="clear" w:color="auto" w:fill="D9D9D9" w:themeFill="background1" w:themeFillShade="D9"/>
            <w:vAlign w:val="center"/>
          </w:tcPr>
          <w:p w14:paraId="20F2250E" w14:textId="77777777" w:rsidR="00852A20" w:rsidRPr="00FE526B" w:rsidRDefault="00852A20" w:rsidP="00192949">
            <w:pPr>
              <w:spacing w:line="360" w:lineRule="auto"/>
              <w:jc w:val="center"/>
              <w:rPr>
                <w:rFonts w:ascii="Calibri" w:hAnsi="Calibri"/>
                <w:b/>
                <w:iCs/>
                <w:sz w:val="20"/>
                <w:vertAlign w:val="superscript"/>
              </w:rPr>
            </w:pPr>
            <w:r>
              <w:rPr>
                <w:rFonts w:ascii="Calibri" w:hAnsi="Calibri"/>
                <w:b/>
                <w:iCs/>
                <w:sz w:val="20"/>
              </w:rPr>
              <w:t xml:space="preserve">Adjusted </w:t>
            </w:r>
            <w:r>
              <w:rPr>
                <w:rFonts w:ascii="Calibri" w:hAnsi="Calibri"/>
                <w:b/>
                <w:iCs/>
                <w:sz w:val="20"/>
                <w:vertAlign w:val="superscript"/>
              </w:rPr>
              <w:t>a</w:t>
            </w:r>
          </w:p>
        </w:tc>
        <w:tc>
          <w:tcPr>
            <w:tcW w:w="878" w:type="dxa"/>
            <w:tcBorders>
              <w:top w:val="nil"/>
              <w:bottom w:val="single" w:sz="4" w:space="0" w:color="auto"/>
            </w:tcBorders>
            <w:shd w:val="clear" w:color="auto" w:fill="D9D9D9" w:themeFill="background1" w:themeFillShade="D9"/>
            <w:vAlign w:val="center"/>
          </w:tcPr>
          <w:p w14:paraId="04845E4F" w14:textId="77777777" w:rsidR="00852A20" w:rsidRDefault="00852A20" w:rsidP="00192949">
            <w:pPr>
              <w:spacing w:line="360" w:lineRule="auto"/>
              <w:jc w:val="center"/>
              <w:rPr>
                <w:rFonts w:ascii="Calibri" w:hAnsi="Calibri"/>
                <w:b/>
                <w:iCs/>
                <w:sz w:val="20"/>
              </w:rPr>
            </w:pPr>
            <w:r>
              <w:rPr>
                <w:rFonts w:ascii="Calibri" w:hAnsi="Calibri"/>
                <w:b/>
                <w:iCs/>
                <w:sz w:val="20"/>
              </w:rPr>
              <w:t>Crude</w:t>
            </w:r>
          </w:p>
        </w:tc>
        <w:tc>
          <w:tcPr>
            <w:tcW w:w="1133" w:type="dxa"/>
            <w:tcBorders>
              <w:top w:val="nil"/>
              <w:bottom w:val="single" w:sz="4" w:space="0" w:color="auto"/>
            </w:tcBorders>
            <w:shd w:val="clear" w:color="auto" w:fill="D9D9D9" w:themeFill="background1" w:themeFillShade="D9"/>
            <w:vAlign w:val="center"/>
          </w:tcPr>
          <w:p w14:paraId="6522B678" w14:textId="77777777" w:rsidR="00852A20" w:rsidRPr="00FE526B" w:rsidRDefault="00852A20" w:rsidP="00192949">
            <w:pPr>
              <w:spacing w:line="360" w:lineRule="auto"/>
              <w:jc w:val="center"/>
              <w:rPr>
                <w:rFonts w:ascii="Calibri" w:hAnsi="Calibri"/>
                <w:b/>
                <w:iCs/>
                <w:sz w:val="20"/>
              </w:rPr>
            </w:pPr>
            <w:r>
              <w:rPr>
                <w:rFonts w:ascii="Calibri" w:hAnsi="Calibri"/>
                <w:b/>
                <w:iCs/>
                <w:sz w:val="20"/>
              </w:rPr>
              <w:t xml:space="preserve">Adjusted </w:t>
            </w:r>
            <w:r>
              <w:rPr>
                <w:rFonts w:ascii="Calibri" w:hAnsi="Calibri"/>
                <w:b/>
                <w:iCs/>
                <w:sz w:val="20"/>
                <w:vertAlign w:val="superscript"/>
              </w:rPr>
              <w:t>a</w:t>
            </w:r>
          </w:p>
        </w:tc>
      </w:tr>
      <w:tr w:rsidR="00852A20" w14:paraId="470832A6" w14:textId="77777777" w:rsidTr="00192949">
        <w:trPr>
          <w:trHeight w:val="567"/>
        </w:trPr>
        <w:tc>
          <w:tcPr>
            <w:tcW w:w="6096" w:type="dxa"/>
            <w:shd w:val="clear" w:color="auto" w:fill="F2F2F2" w:themeFill="background1" w:themeFillShade="F2"/>
            <w:vAlign w:val="center"/>
          </w:tcPr>
          <w:p w14:paraId="5BCFD805" w14:textId="77777777" w:rsidR="00852A20" w:rsidRPr="00AC1B37" w:rsidRDefault="00852A20" w:rsidP="00192949">
            <w:pPr>
              <w:spacing w:line="360" w:lineRule="auto"/>
              <w:rPr>
                <w:rFonts w:ascii="Calibri" w:hAnsi="Calibri"/>
                <w:b/>
                <w:sz w:val="20"/>
              </w:rPr>
            </w:pPr>
            <w:r w:rsidRPr="00742A47">
              <w:rPr>
                <w:rFonts w:ascii="Calibri" w:hAnsi="Calibri"/>
                <w:b/>
                <w:sz w:val="20"/>
              </w:rPr>
              <w:t>Classification by best LNRS</w:t>
            </w:r>
            <w:r>
              <w:rPr>
                <w:rFonts w:ascii="Calibri" w:hAnsi="Calibri"/>
                <w:b/>
                <w:sz w:val="20"/>
              </w:rPr>
              <w:t xml:space="preserve"> </w:t>
            </w:r>
            <w:r>
              <w:rPr>
                <w:rFonts w:ascii="Calibri" w:hAnsi="Calibri"/>
                <w:bCs/>
                <w:sz w:val="20"/>
                <w:vertAlign w:val="superscript"/>
              </w:rPr>
              <w:t>b</w:t>
            </w:r>
          </w:p>
        </w:tc>
        <w:tc>
          <w:tcPr>
            <w:tcW w:w="1226" w:type="dxa"/>
            <w:shd w:val="clear" w:color="auto" w:fill="F2F2F2" w:themeFill="background1" w:themeFillShade="F2"/>
            <w:vAlign w:val="center"/>
          </w:tcPr>
          <w:p w14:paraId="4F9F2596" w14:textId="77777777" w:rsidR="00852A20" w:rsidRDefault="00852A20" w:rsidP="00192949">
            <w:pPr>
              <w:spacing w:line="360" w:lineRule="auto"/>
              <w:jc w:val="center"/>
              <w:rPr>
                <w:rFonts w:ascii="Calibri" w:hAnsi="Calibri"/>
                <w:bCs/>
                <w:i/>
                <w:sz w:val="20"/>
              </w:rPr>
            </w:pPr>
          </w:p>
        </w:tc>
        <w:tc>
          <w:tcPr>
            <w:tcW w:w="878" w:type="dxa"/>
            <w:tcBorders>
              <w:top w:val="single" w:sz="4" w:space="0" w:color="auto"/>
            </w:tcBorders>
            <w:shd w:val="clear" w:color="auto" w:fill="F2F2F2" w:themeFill="background1" w:themeFillShade="F2"/>
            <w:vAlign w:val="center"/>
          </w:tcPr>
          <w:p w14:paraId="2771C94E" w14:textId="77777777" w:rsidR="00852A20" w:rsidRDefault="00852A20" w:rsidP="00192949">
            <w:pPr>
              <w:spacing w:line="360" w:lineRule="auto"/>
              <w:jc w:val="center"/>
              <w:rPr>
                <w:rFonts w:ascii="Calibri" w:hAnsi="Calibri"/>
                <w:bCs/>
                <w:i/>
                <w:sz w:val="20"/>
              </w:rPr>
            </w:pPr>
          </w:p>
        </w:tc>
        <w:tc>
          <w:tcPr>
            <w:tcW w:w="1133" w:type="dxa"/>
            <w:tcBorders>
              <w:top w:val="single" w:sz="4" w:space="0" w:color="auto"/>
            </w:tcBorders>
            <w:shd w:val="clear" w:color="auto" w:fill="F2F2F2" w:themeFill="background1" w:themeFillShade="F2"/>
            <w:vAlign w:val="center"/>
          </w:tcPr>
          <w:p w14:paraId="534478B2" w14:textId="77777777" w:rsidR="00852A20" w:rsidRDefault="00852A20" w:rsidP="00192949">
            <w:pPr>
              <w:spacing w:line="360" w:lineRule="auto"/>
              <w:jc w:val="center"/>
              <w:rPr>
                <w:rFonts w:ascii="Calibri" w:hAnsi="Calibri"/>
                <w:bCs/>
                <w:i/>
                <w:sz w:val="20"/>
              </w:rPr>
            </w:pPr>
          </w:p>
        </w:tc>
        <w:tc>
          <w:tcPr>
            <w:tcW w:w="878" w:type="dxa"/>
            <w:tcBorders>
              <w:top w:val="single" w:sz="4" w:space="0" w:color="auto"/>
            </w:tcBorders>
            <w:shd w:val="clear" w:color="auto" w:fill="F2F2F2" w:themeFill="background1" w:themeFillShade="F2"/>
            <w:vAlign w:val="center"/>
          </w:tcPr>
          <w:p w14:paraId="04D729D2" w14:textId="77777777" w:rsidR="00852A20" w:rsidRDefault="00852A20" w:rsidP="00192949">
            <w:pPr>
              <w:spacing w:line="360" w:lineRule="auto"/>
              <w:jc w:val="center"/>
              <w:rPr>
                <w:rFonts w:ascii="Calibri" w:hAnsi="Calibri"/>
                <w:bCs/>
                <w:i/>
                <w:sz w:val="20"/>
              </w:rPr>
            </w:pPr>
          </w:p>
        </w:tc>
        <w:tc>
          <w:tcPr>
            <w:tcW w:w="1133" w:type="dxa"/>
            <w:tcBorders>
              <w:top w:val="single" w:sz="4" w:space="0" w:color="auto"/>
            </w:tcBorders>
            <w:shd w:val="clear" w:color="auto" w:fill="F2F2F2" w:themeFill="background1" w:themeFillShade="F2"/>
            <w:vAlign w:val="center"/>
          </w:tcPr>
          <w:p w14:paraId="4D6C1902" w14:textId="77777777" w:rsidR="00852A20" w:rsidRDefault="00852A20" w:rsidP="00192949">
            <w:pPr>
              <w:spacing w:line="360" w:lineRule="auto"/>
              <w:jc w:val="center"/>
              <w:rPr>
                <w:rFonts w:ascii="Calibri" w:hAnsi="Calibri"/>
                <w:bCs/>
                <w:i/>
                <w:sz w:val="20"/>
              </w:rPr>
            </w:pPr>
          </w:p>
        </w:tc>
      </w:tr>
      <w:tr w:rsidR="00852A20" w14:paraId="55356D73" w14:textId="77777777" w:rsidTr="00192949">
        <w:trPr>
          <w:trHeight w:hRule="exact" w:val="528"/>
        </w:trPr>
        <w:tc>
          <w:tcPr>
            <w:tcW w:w="6096" w:type="dxa"/>
            <w:vMerge w:val="restart"/>
            <w:vAlign w:val="center"/>
          </w:tcPr>
          <w:p w14:paraId="208BEABD" w14:textId="77777777" w:rsidR="00852A20" w:rsidRPr="00742A47" w:rsidRDefault="00852A20" w:rsidP="00192949">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1-3)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4-5) vs</w:t>
            </w:r>
            <w:r w:rsidRPr="00742A47">
              <w:rPr>
                <w:rFonts w:ascii="Calibri" w:hAnsi="Calibri"/>
                <w:i/>
                <w:iCs/>
                <w:sz w:val="20"/>
                <w:szCs w:val="20"/>
              </w:rPr>
              <w:t xml:space="preserve"> Negative </w:t>
            </w:r>
            <w:r>
              <w:rPr>
                <w:rFonts w:ascii="Calibri" w:hAnsi="Calibri"/>
                <w:i/>
                <w:iCs/>
                <w:sz w:val="20"/>
                <w:szCs w:val="20"/>
              </w:rPr>
              <w:t>LNs</w:t>
            </w:r>
          </w:p>
        </w:tc>
        <w:tc>
          <w:tcPr>
            <w:tcW w:w="1226" w:type="dxa"/>
            <w:tcBorders>
              <w:bottom w:val="nil"/>
            </w:tcBorders>
            <w:vAlign w:val="center"/>
          </w:tcPr>
          <w:p w14:paraId="32B925BC" w14:textId="77777777" w:rsidR="00852A20" w:rsidRDefault="00852A20" w:rsidP="00192949">
            <w:pPr>
              <w:spacing w:line="360" w:lineRule="auto"/>
              <w:jc w:val="center"/>
              <w:rPr>
                <w:rFonts w:ascii="Calibri" w:hAnsi="Calibri"/>
                <w:sz w:val="20"/>
              </w:rPr>
            </w:pPr>
            <w:r>
              <w:rPr>
                <w:rFonts w:ascii="Calibri" w:hAnsi="Calibri"/>
                <w:sz w:val="20"/>
              </w:rPr>
              <w:t>AIC</w:t>
            </w:r>
          </w:p>
        </w:tc>
        <w:tc>
          <w:tcPr>
            <w:tcW w:w="878" w:type="dxa"/>
            <w:tcBorders>
              <w:top w:val="nil"/>
              <w:bottom w:val="nil"/>
            </w:tcBorders>
            <w:vAlign w:val="center"/>
          </w:tcPr>
          <w:p w14:paraId="03E9654F" w14:textId="77777777" w:rsidR="00852A20" w:rsidRDefault="00852A20" w:rsidP="00192949">
            <w:pPr>
              <w:spacing w:line="360" w:lineRule="auto"/>
              <w:jc w:val="center"/>
              <w:rPr>
                <w:rFonts w:ascii="Calibri" w:hAnsi="Calibri"/>
                <w:sz w:val="20"/>
              </w:rPr>
            </w:pPr>
            <w:r>
              <w:rPr>
                <w:rFonts w:ascii="Calibri" w:hAnsi="Calibri"/>
                <w:sz w:val="20"/>
              </w:rPr>
              <w:t>5142.06</w:t>
            </w:r>
          </w:p>
        </w:tc>
        <w:tc>
          <w:tcPr>
            <w:tcW w:w="1133" w:type="dxa"/>
            <w:tcBorders>
              <w:top w:val="nil"/>
              <w:bottom w:val="nil"/>
            </w:tcBorders>
            <w:vAlign w:val="center"/>
          </w:tcPr>
          <w:p w14:paraId="2BE02A2B" w14:textId="77777777" w:rsidR="00852A20" w:rsidRDefault="00852A20" w:rsidP="00192949">
            <w:pPr>
              <w:spacing w:line="360" w:lineRule="auto"/>
              <w:jc w:val="center"/>
              <w:rPr>
                <w:rFonts w:ascii="Calibri" w:hAnsi="Calibri"/>
                <w:sz w:val="20"/>
              </w:rPr>
            </w:pPr>
            <w:r>
              <w:rPr>
                <w:rFonts w:ascii="Calibri" w:hAnsi="Calibri"/>
                <w:sz w:val="20"/>
              </w:rPr>
              <w:t>5492.69</w:t>
            </w:r>
          </w:p>
        </w:tc>
        <w:tc>
          <w:tcPr>
            <w:tcW w:w="878" w:type="dxa"/>
            <w:tcBorders>
              <w:top w:val="nil"/>
              <w:bottom w:val="nil"/>
            </w:tcBorders>
            <w:vAlign w:val="center"/>
          </w:tcPr>
          <w:p w14:paraId="51BE7C60" w14:textId="77777777" w:rsidR="00852A20" w:rsidRDefault="00852A20" w:rsidP="00192949">
            <w:pPr>
              <w:spacing w:line="360" w:lineRule="auto"/>
              <w:jc w:val="center"/>
              <w:rPr>
                <w:rFonts w:ascii="Calibri" w:hAnsi="Calibri"/>
                <w:sz w:val="20"/>
              </w:rPr>
            </w:pPr>
            <w:r>
              <w:rPr>
                <w:rFonts w:ascii="Calibri" w:hAnsi="Calibri"/>
                <w:sz w:val="20"/>
              </w:rPr>
              <w:t>5080.52</w:t>
            </w:r>
          </w:p>
        </w:tc>
        <w:tc>
          <w:tcPr>
            <w:tcW w:w="1133" w:type="dxa"/>
            <w:tcBorders>
              <w:top w:val="nil"/>
              <w:bottom w:val="nil"/>
            </w:tcBorders>
            <w:vAlign w:val="center"/>
          </w:tcPr>
          <w:p w14:paraId="13B65707" w14:textId="77777777" w:rsidR="00852A20" w:rsidRDefault="00852A20" w:rsidP="00192949">
            <w:pPr>
              <w:spacing w:line="360" w:lineRule="auto"/>
              <w:jc w:val="center"/>
              <w:rPr>
                <w:rFonts w:ascii="Calibri" w:hAnsi="Calibri"/>
                <w:sz w:val="20"/>
              </w:rPr>
            </w:pPr>
            <w:r>
              <w:rPr>
                <w:rFonts w:ascii="Calibri" w:hAnsi="Calibri"/>
                <w:sz w:val="20"/>
              </w:rPr>
              <w:t>5428.20</w:t>
            </w:r>
          </w:p>
        </w:tc>
      </w:tr>
      <w:tr w:rsidR="00852A20" w14:paraId="45983245" w14:textId="77777777" w:rsidTr="00192949">
        <w:trPr>
          <w:trHeight w:hRule="exact" w:val="422"/>
        </w:trPr>
        <w:tc>
          <w:tcPr>
            <w:tcW w:w="6096" w:type="dxa"/>
            <w:vMerge/>
            <w:vAlign w:val="center"/>
          </w:tcPr>
          <w:p w14:paraId="7DB4C0AC" w14:textId="77777777" w:rsidR="00852A20" w:rsidRPr="00742A47" w:rsidRDefault="00852A20" w:rsidP="00192949">
            <w:pPr>
              <w:spacing w:line="360" w:lineRule="auto"/>
              <w:rPr>
                <w:rFonts w:ascii="Calibri" w:hAnsi="Calibri"/>
                <w:i/>
                <w:iCs/>
                <w:sz w:val="20"/>
                <w:szCs w:val="20"/>
              </w:rPr>
            </w:pPr>
          </w:p>
        </w:tc>
        <w:tc>
          <w:tcPr>
            <w:tcW w:w="1226" w:type="dxa"/>
            <w:tcBorders>
              <w:top w:val="nil"/>
            </w:tcBorders>
            <w:vAlign w:val="center"/>
          </w:tcPr>
          <w:p w14:paraId="1A5075E8" w14:textId="77777777" w:rsidR="00852A20" w:rsidRDefault="00852A20" w:rsidP="00192949">
            <w:pPr>
              <w:spacing w:line="360" w:lineRule="auto"/>
              <w:jc w:val="center"/>
              <w:rPr>
                <w:rFonts w:ascii="Calibri" w:hAnsi="Calibri"/>
                <w:sz w:val="20"/>
              </w:rPr>
            </w:pPr>
            <w:r>
              <w:rPr>
                <w:rFonts w:ascii="Calibri" w:hAnsi="Calibri"/>
                <w:sz w:val="20"/>
              </w:rPr>
              <w:t>C-index</w:t>
            </w:r>
          </w:p>
        </w:tc>
        <w:tc>
          <w:tcPr>
            <w:tcW w:w="878" w:type="dxa"/>
            <w:tcBorders>
              <w:top w:val="nil"/>
              <w:bottom w:val="single" w:sz="4" w:space="0" w:color="auto"/>
            </w:tcBorders>
            <w:vAlign w:val="center"/>
          </w:tcPr>
          <w:p w14:paraId="1BC7FCA8" w14:textId="77777777" w:rsidR="00852A20" w:rsidRDefault="00852A20" w:rsidP="00192949">
            <w:pPr>
              <w:spacing w:line="360" w:lineRule="auto"/>
              <w:jc w:val="center"/>
              <w:rPr>
                <w:rFonts w:ascii="Calibri" w:hAnsi="Calibri"/>
                <w:sz w:val="20"/>
              </w:rPr>
            </w:pPr>
            <w:r>
              <w:rPr>
                <w:rFonts w:ascii="Calibri" w:hAnsi="Calibri"/>
                <w:sz w:val="20"/>
              </w:rPr>
              <w:t>0.667</w:t>
            </w:r>
          </w:p>
        </w:tc>
        <w:tc>
          <w:tcPr>
            <w:tcW w:w="1133" w:type="dxa"/>
            <w:tcBorders>
              <w:top w:val="nil"/>
              <w:bottom w:val="single" w:sz="4" w:space="0" w:color="auto"/>
            </w:tcBorders>
            <w:vAlign w:val="center"/>
          </w:tcPr>
          <w:p w14:paraId="6234756C" w14:textId="77777777" w:rsidR="00852A20" w:rsidRDefault="00852A20" w:rsidP="00192949">
            <w:pPr>
              <w:spacing w:line="360" w:lineRule="auto"/>
              <w:jc w:val="center"/>
              <w:rPr>
                <w:rFonts w:ascii="Calibri" w:hAnsi="Calibri"/>
                <w:sz w:val="20"/>
              </w:rPr>
            </w:pPr>
            <w:r>
              <w:rPr>
                <w:rFonts w:ascii="Calibri" w:hAnsi="Calibri"/>
                <w:sz w:val="20"/>
              </w:rPr>
              <w:t>0.710</w:t>
            </w:r>
          </w:p>
        </w:tc>
        <w:tc>
          <w:tcPr>
            <w:tcW w:w="878" w:type="dxa"/>
            <w:tcBorders>
              <w:top w:val="nil"/>
              <w:bottom w:val="single" w:sz="4" w:space="0" w:color="auto"/>
            </w:tcBorders>
            <w:vAlign w:val="center"/>
          </w:tcPr>
          <w:p w14:paraId="11899983" w14:textId="77777777" w:rsidR="00852A20" w:rsidRDefault="00852A20" w:rsidP="00192949">
            <w:pPr>
              <w:spacing w:line="360" w:lineRule="auto"/>
              <w:jc w:val="center"/>
              <w:rPr>
                <w:rFonts w:ascii="Calibri" w:hAnsi="Calibri"/>
                <w:sz w:val="20"/>
              </w:rPr>
            </w:pPr>
            <w:r>
              <w:rPr>
                <w:rFonts w:ascii="Calibri" w:hAnsi="Calibri"/>
                <w:sz w:val="20"/>
              </w:rPr>
              <w:t>0.668</w:t>
            </w:r>
          </w:p>
        </w:tc>
        <w:tc>
          <w:tcPr>
            <w:tcW w:w="1133" w:type="dxa"/>
            <w:tcBorders>
              <w:top w:val="nil"/>
              <w:bottom w:val="single" w:sz="4" w:space="0" w:color="auto"/>
            </w:tcBorders>
            <w:vAlign w:val="center"/>
          </w:tcPr>
          <w:p w14:paraId="66D2F1EE" w14:textId="77777777" w:rsidR="00852A20" w:rsidRDefault="00852A20" w:rsidP="00192949">
            <w:pPr>
              <w:spacing w:line="360" w:lineRule="auto"/>
              <w:jc w:val="center"/>
              <w:rPr>
                <w:rFonts w:ascii="Calibri" w:hAnsi="Calibri"/>
                <w:sz w:val="20"/>
              </w:rPr>
            </w:pPr>
            <w:r>
              <w:rPr>
                <w:rFonts w:ascii="Calibri" w:hAnsi="Calibri"/>
                <w:sz w:val="20"/>
              </w:rPr>
              <w:t>0.715</w:t>
            </w:r>
          </w:p>
        </w:tc>
      </w:tr>
      <w:tr w:rsidR="00852A20" w14:paraId="01D26943" w14:textId="77777777" w:rsidTr="00192949">
        <w:trPr>
          <w:trHeight w:hRule="exact" w:val="558"/>
        </w:trPr>
        <w:tc>
          <w:tcPr>
            <w:tcW w:w="6096" w:type="dxa"/>
            <w:vMerge w:val="restart"/>
            <w:vAlign w:val="center"/>
          </w:tcPr>
          <w:p w14:paraId="7ACD4FBD" w14:textId="77777777" w:rsidR="00852A20" w:rsidRPr="00742A47" w:rsidRDefault="00852A20" w:rsidP="00192949">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2</w:t>
            </w:r>
            <w:r w:rsidRPr="00742A47">
              <w:rPr>
                <w:rFonts w:ascii="Calibri" w:hAnsi="Calibri"/>
                <w:sz w:val="20"/>
                <w:szCs w:val="20"/>
              </w:rPr>
              <w:t xml:space="preserve">)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w:t>
            </w:r>
            <w:r>
              <w:rPr>
                <w:rFonts w:ascii="Calibri" w:hAnsi="Calibri"/>
                <w:sz w:val="20"/>
                <w:szCs w:val="20"/>
              </w:rPr>
              <w:t>3</w:t>
            </w:r>
            <w:r w:rsidRPr="00742A47">
              <w:rPr>
                <w:rFonts w:ascii="Calibri" w:hAnsi="Calibri"/>
                <w:sz w:val="20"/>
                <w:szCs w:val="20"/>
              </w:rPr>
              <w:t>-5) vs</w:t>
            </w:r>
            <w:r w:rsidRPr="00742A47">
              <w:rPr>
                <w:rFonts w:ascii="Calibri" w:hAnsi="Calibri"/>
                <w:i/>
                <w:iCs/>
                <w:sz w:val="20"/>
                <w:szCs w:val="20"/>
              </w:rPr>
              <w:t xml:space="preserve"> Negative </w:t>
            </w:r>
            <w:r>
              <w:rPr>
                <w:rFonts w:ascii="Calibri" w:hAnsi="Calibri"/>
                <w:i/>
                <w:iCs/>
                <w:sz w:val="20"/>
                <w:szCs w:val="20"/>
              </w:rPr>
              <w:t>LNs</w:t>
            </w:r>
          </w:p>
        </w:tc>
        <w:tc>
          <w:tcPr>
            <w:tcW w:w="1226" w:type="dxa"/>
            <w:tcBorders>
              <w:bottom w:val="nil"/>
            </w:tcBorders>
            <w:vAlign w:val="center"/>
          </w:tcPr>
          <w:p w14:paraId="3178FB39" w14:textId="77777777" w:rsidR="00852A20" w:rsidRDefault="00852A20" w:rsidP="00192949">
            <w:pPr>
              <w:spacing w:line="360" w:lineRule="auto"/>
              <w:jc w:val="center"/>
              <w:rPr>
                <w:rFonts w:ascii="Calibri" w:hAnsi="Calibri"/>
                <w:sz w:val="20"/>
              </w:rPr>
            </w:pPr>
            <w:r>
              <w:rPr>
                <w:rFonts w:ascii="Calibri" w:hAnsi="Calibri"/>
                <w:sz w:val="20"/>
              </w:rPr>
              <w:t>AIC</w:t>
            </w:r>
          </w:p>
        </w:tc>
        <w:tc>
          <w:tcPr>
            <w:tcW w:w="878" w:type="dxa"/>
            <w:tcBorders>
              <w:top w:val="nil"/>
              <w:bottom w:val="nil"/>
            </w:tcBorders>
            <w:vAlign w:val="center"/>
          </w:tcPr>
          <w:p w14:paraId="094A9366" w14:textId="77777777" w:rsidR="00852A20" w:rsidRDefault="00852A20" w:rsidP="00192949">
            <w:pPr>
              <w:spacing w:line="360" w:lineRule="auto"/>
              <w:jc w:val="center"/>
              <w:rPr>
                <w:rFonts w:ascii="Calibri" w:hAnsi="Calibri"/>
                <w:sz w:val="20"/>
              </w:rPr>
            </w:pPr>
            <w:r>
              <w:rPr>
                <w:rFonts w:ascii="Calibri" w:hAnsi="Calibri"/>
                <w:sz w:val="20"/>
              </w:rPr>
              <w:t>5142.00</w:t>
            </w:r>
          </w:p>
        </w:tc>
        <w:tc>
          <w:tcPr>
            <w:tcW w:w="1133" w:type="dxa"/>
            <w:tcBorders>
              <w:top w:val="nil"/>
              <w:bottom w:val="nil"/>
            </w:tcBorders>
            <w:vAlign w:val="center"/>
          </w:tcPr>
          <w:p w14:paraId="0D0573CB" w14:textId="77777777" w:rsidR="00852A20" w:rsidRDefault="00852A20" w:rsidP="00192949">
            <w:pPr>
              <w:spacing w:line="360" w:lineRule="auto"/>
              <w:jc w:val="center"/>
              <w:rPr>
                <w:rFonts w:ascii="Calibri" w:hAnsi="Calibri"/>
                <w:sz w:val="20"/>
              </w:rPr>
            </w:pPr>
            <w:r>
              <w:rPr>
                <w:rFonts w:ascii="Calibri" w:hAnsi="Calibri"/>
                <w:sz w:val="20"/>
              </w:rPr>
              <w:t>5493.33</w:t>
            </w:r>
          </w:p>
        </w:tc>
        <w:tc>
          <w:tcPr>
            <w:tcW w:w="878" w:type="dxa"/>
            <w:tcBorders>
              <w:top w:val="nil"/>
              <w:bottom w:val="nil"/>
            </w:tcBorders>
            <w:vAlign w:val="center"/>
          </w:tcPr>
          <w:p w14:paraId="2537EE04" w14:textId="77777777" w:rsidR="00852A20" w:rsidRDefault="00852A20" w:rsidP="00192949">
            <w:pPr>
              <w:spacing w:line="360" w:lineRule="auto"/>
              <w:jc w:val="center"/>
              <w:rPr>
                <w:rFonts w:ascii="Calibri" w:hAnsi="Calibri"/>
                <w:sz w:val="20"/>
              </w:rPr>
            </w:pPr>
            <w:r>
              <w:rPr>
                <w:rFonts w:ascii="Calibri" w:hAnsi="Calibri"/>
                <w:sz w:val="20"/>
              </w:rPr>
              <w:t>5080.41</w:t>
            </w:r>
          </w:p>
        </w:tc>
        <w:tc>
          <w:tcPr>
            <w:tcW w:w="1133" w:type="dxa"/>
            <w:tcBorders>
              <w:top w:val="nil"/>
              <w:bottom w:val="nil"/>
            </w:tcBorders>
            <w:vAlign w:val="center"/>
          </w:tcPr>
          <w:p w14:paraId="6DB2DCED" w14:textId="77777777" w:rsidR="00852A20" w:rsidRDefault="00852A20" w:rsidP="00192949">
            <w:pPr>
              <w:spacing w:line="360" w:lineRule="auto"/>
              <w:jc w:val="center"/>
              <w:rPr>
                <w:rFonts w:ascii="Calibri" w:hAnsi="Calibri"/>
                <w:sz w:val="20"/>
              </w:rPr>
            </w:pPr>
            <w:r>
              <w:rPr>
                <w:rFonts w:ascii="Calibri" w:hAnsi="Calibri"/>
                <w:sz w:val="20"/>
              </w:rPr>
              <w:t>5429.42</w:t>
            </w:r>
          </w:p>
        </w:tc>
      </w:tr>
      <w:tr w:rsidR="00852A20" w14:paraId="698C9AC5" w14:textId="77777777" w:rsidTr="00192949">
        <w:trPr>
          <w:trHeight w:hRule="exact" w:val="437"/>
        </w:trPr>
        <w:tc>
          <w:tcPr>
            <w:tcW w:w="6096" w:type="dxa"/>
            <w:vMerge/>
            <w:vAlign w:val="center"/>
          </w:tcPr>
          <w:p w14:paraId="001CD7E1" w14:textId="77777777" w:rsidR="00852A20" w:rsidRPr="00742A47" w:rsidRDefault="00852A20" w:rsidP="00192949">
            <w:pPr>
              <w:spacing w:line="360" w:lineRule="auto"/>
              <w:rPr>
                <w:rFonts w:ascii="Calibri" w:hAnsi="Calibri"/>
                <w:i/>
                <w:iCs/>
                <w:sz w:val="20"/>
                <w:szCs w:val="20"/>
              </w:rPr>
            </w:pPr>
          </w:p>
        </w:tc>
        <w:tc>
          <w:tcPr>
            <w:tcW w:w="1226" w:type="dxa"/>
            <w:tcBorders>
              <w:top w:val="nil"/>
            </w:tcBorders>
            <w:vAlign w:val="center"/>
          </w:tcPr>
          <w:p w14:paraId="6D92907B" w14:textId="77777777" w:rsidR="00852A20" w:rsidRDefault="00852A20" w:rsidP="00192949">
            <w:pPr>
              <w:spacing w:line="360" w:lineRule="auto"/>
              <w:jc w:val="center"/>
              <w:rPr>
                <w:rFonts w:ascii="Calibri" w:hAnsi="Calibri"/>
                <w:sz w:val="20"/>
              </w:rPr>
            </w:pPr>
            <w:r>
              <w:rPr>
                <w:rFonts w:ascii="Calibri" w:hAnsi="Calibri"/>
                <w:sz w:val="20"/>
              </w:rPr>
              <w:t>C-index</w:t>
            </w:r>
          </w:p>
        </w:tc>
        <w:tc>
          <w:tcPr>
            <w:tcW w:w="878" w:type="dxa"/>
            <w:tcBorders>
              <w:top w:val="nil"/>
              <w:bottom w:val="single" w:sz="4" w:space="0" w:color="auto"/>
            </w:tcBorders>
            <w:vAlign w:val="center"/>
          </w:tcPr>
          <w:p w14:paraId="2ABDA2EF" w14:textId="77777777" w:rsidR="00852A20" w:rsidRDefault="00852A20" w:rsidP="00192949">
            <w:pPr>
              <w:spacing w:line="360" w:lineRule="auto"/>
              <w:jc w:val="center"/>
              <w:rPr>
                <w:rFonts w:ascii="Calibri" w:hAnsi="Calibri"/>
                <w:sz w:val="20"/>
              </w:rPr>
            </w:pPr>
            <w:r>
              <w:rPr>
                <w:rFonts w:ascii="Calibri" w:hAnsi="Calibri"/>
                <w:sz w:val="20"/>
              </w:rPr>
              <w:t>0.665</w:t>
            </w:r>
          </w:p>
        </w:tc>
        <w:tc>
          <w:tcPr>
            <w:tcW w:w="1133" w:type="dxa"/>
            <w:tcBorders>
              <w:top w:val="nil"/>
              <w:bottom w:val="single" w:sz="4" w:space="0" w:color="auto"/>
            </w:tcBorders>
            <w:vAlign w:val="center"/>
          </w:tcPr>
          <w:p w14:paraId="482075D4" w14:textId="77777777" w:rsidR="00852A20" w:rsidRDefault="00852A20" w:rsidP="00192949">
            <w:pPr>
              <w:spacing w:line="360" w:lineRule="auto"/>
              <w:jc w:val="center"/>
              <w:rPr>
                <w:rFonts w:ascii="Calibri" w:hAnsi="Calibri"/>
                <w:sz w:val="20"/>
              </w:rPr>
            </w:pPr>
            <w:r>
              <w:rPr>
                <w:rFonts w:ascii="Calibri" w:hAnsi="Calibri"/>
                <w:sz w:val="20"/>
              </w:rPr>
              <w:t>0.708</w:t>
            </w:r>
          </w:p>
        </w:tc>
        <w:tc>
          <w:tcPr>
            <w:tcW w:w="878" w:type="dxa"/>
            <w:tcBorders>
              <w:top w:val="nil"/>
              <w:bottom w:val="single" w:sz="4" w:space="0" w:color="auto"/>
            </w:tcBorders>
            <w:vAlign w:val="center"/>
          </w:tcPr>
          <w:p w14:paraId="2055190A" w14:textId="77777777" w:rsidR="00852A20" w:rsidRDefault="00852A20" w:rsidP="00192949">
            <w:pPr>
              <w:spacing w:line="360" w:lineRule="auto"/>
              <w:jc w:val="center"/>
              <w:rPr>
                <w:rFonts w:ascii="Calibri" w:hAnsi="Calibri"/>
                <w:sz w:val="20"/>
              </w:rPr>
            </w:pPr>
            <w:r>
              <w:rPr>
                <w:rFonts w:ascii="Calibri" w:hAnsi="Calibri"/>
                <w:sz w:val="20"/>
              </w:rPr>
              <w:t>0.667</w:t>
            </w:r>
          </w:p>
        </w:tc>
        <w:tc>
          <w:tcPr>
            <w:tcW w:w="1133" w:type="dxa"/>
            <w:tcBorders>
              <w:top w:val="nil"/>
              <w:bottom w:val="single" w:sz="4" w:space="0" w:color="auto"/>
            </w:tcBorders>
            <w:vAlign w:val="center"/>
          </w:tcPr>
          <w:p w14:paraId="7BAE51FF" w14:textId="77777777" w:rsidR="00852A20" w:rsidRDefault="00852A20" w:rsidP="00192949">
            <w:pPr>
              <w:spacing w:line="360" w:lineRule="auto"/>
              <w:jc w:val="center"/>
              <w:rPr>
                <w:rFonts w:ascii="Calibri" w:hAnsi="Calibri"/>
                <w:sz w:val="20"/>
              </w:rPr>
            </w:pPr>
            <w:r>
              <w:rPr>
                <w:rFonts w:ascii="Calibri" w:hAnsi="Calibri"/>
                <w:sz w:val="20"/>
              </w:rPr>
              <w:t>0.711</w:t>
            </w:r>
          </w:p>
        </w:tc>
      </w:tr>
      <w:tr w:rsidR="00852A20" w14:paraId="3F49BBA8" w14:textId="77777777" w:rsidTr="00192949">
        <w:trPr>
          <w:trHeight w:hRule="exact" w:val="555"/>
        </w:trPr>
        <w:tc>
          <w:tcPr>
            <w:tcW w:w="6096" w:type="dxa"/>
            <w:vMerge w:val="restart"/>
            <w:vAlign w:val="center"/>
          </w:tcPr>
          <w:p w14:paraId="521A7093" w14:textId="77777777" w:rsidR="00852A20" w:rsidRPr="00742A47" w:rsidRDefault="00852A20" w:rsidP="00192949">
            <w:pPr>
              <w:spacing w:line="360" w:lineRule="auto"/>
              <w:rPr>
                <w:rFonts w:ascii="Calibri" w:hAnsi="Calibri"/>
                <w:sz w:val="20"/>
              </w:rPr>
            </w:pPr>
            <w:r w:rsidRPr="00742A47">
              <w:rPr>
                <w:rFonts w:ascii="Calibri" w:hAnsi="Calibri"/>
                <w:i/>
                <w:iCs/>
                <w:sz w:val="20"/>
                <w:szCs w:val="20"/>
              </w:rPr>
              <w:t xml:space="preserve">Complete response </w:t>
            </w:r>
            <w:r w:rsidRPr="00742A47">
              <w:rPr>
                <w:rFonts w:ascii="Calibri" w:hAnsi="Calibri"/>
                <w:sz w:val="20"/>
                <w:szCs w:val="20"/>
              </w:rPr>
              <w:t xml:space="preserve">(LNRS 1, no residual </w:t>
            </w:r>
            <w:proofErr w:type="spellStart"/>
            <w:r w:rsidRPr="00742A47">
              <w:rPr>
                <w:rFonts w:ascii="Calibri" w:hAnsi="Calibri"/>
                <w:sz w:val="20"/>
                <w:szCs w:val="20"/>
              </w:rPr>
              <w:t>tumor</w:t>
            </w:r>
            <w:proofErr w:type="spellEnd"/>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sidRPr="00742A47">
              <w:rPr>
                <w:rFonts w:ascii="Calibri" w:hAnsi="Calibri"/>
                <w:i/>
                <w:iCs/>
                <w:sz w:val="20"/>
                <w:szCs w:val="20"/>
              </w:rPr>
              <w:t>Partial response</w:t>
            </w:r>
            <w:r w:rsidRPr="00742A47">
              <w:rPr>
                <w:rFonts w:ascii="Calibri" w:hAnsi="Calibri"/>
                <w:sz w:val="20"/>
                <w:szCs w:val="20"/>
              </w:rPr>
              <w:t xml:space="preserve"> (LNRS 1-3, residual </w:t>
            </w:r>
            <w:proofErr w:type="spellStart"/>
            <w:r>
              <w:rPr>
                <w:rFonts w:ascii="Calibri" w:hAnsi="Calibri"/>
                <w:sz w:val="20"/>
                <w:szCs w:val="20"/>
              </w:rPr>
              <w:t>tumor</w:t>
            </w:r>
            <w:proofErr w:type="spellEnd"/>
            <w:r w:rsidRPr="00742A47">
              <w:rPr>
                <w:rFonts w:ascii="Calibri" w:hAnsi="Calibri"/>
                <w:sz w:val="20"/>
                <w:szCs w:val="20"/>
              </w:rPr>
              <w:t xml:space="preserve">) vs </w:t>
            </w:r>
            <w:r w:rsidRPr="00742A47">
              <w:rPr>
                <w:rFonts w:ascii="Calibri" w:hAnsi="Calibri"/>
                <w:i/>
                <w:iCs/>
                <w:sz w:val="20"/>
                <w:szCs w:val="20"/>
              </w:rPr>
              <w:t>No response</w:t>
            </w:r>
            <w:r w:rsidRPr="00742A47">
              <w:rPr>
                <w:rFonts w:ascii="Calibri" w:hAnsi="Calibri"/>
                <w:sz w:val="20"/>
                <w:szCs w:val="20"/>
              </w:rPr>
              <w:t xml:space="preserve"> (LNRS 4-5) vs </w:t>
            </w:r>
            <w:r w:rsidRPr="00742A47">
              <w:rPr>
                <w:rFonts w:ascii="Calibri" w:hAnsi="Calibri"/>
                <w:i/>
                <w:iCs/>
                <w:sz w:val="20"/>
                <w:szCs w:val="20"/>
              </w:rPr>
              <w:t xml:space="preserve">Negative </w:t>
            </w:r>
            <w:r>
              <w:rPr>
                <w:rFonts w:ascii="Calibri" w:hAnsi="Calibri"/>
                <w:i/>
                <w:iCs/>
                <w:sz w:val="20"/>
                <w:szCs w:val="20"/>
              </w:rPr>
              <w:t>LNs</w:t>
            </w:r>
          </w:p>
        </w:tc>
        <w:tc>
          <w:tcPr>
            <w:tcW w:w="1226" w:type="dxa"/>
            <w:tcBorders>
              <w:bottom w:val="nil"/>
            </w:tcBorders>
            <w:vAlign w:val="center"/>
          </w:tcPr>
          <w:p w14:paraId="5B5D9EA7" w14:textId="77777777" w:rsidR="00852A20" w:rsidRPr="00500343" w:rsidRDefault="00852A20" w:rsidP="00192949">
            <w:pPr>
              <w:spacing w:line="360" w:lineRule="auto"/>
              <w:jc w:val="center"/>
              <w:rPr>
                <w:rFonts w:ascii="Calibri" w:hAnsi="Calibri"/>
                <w:b/>
                <w:bCs/>
                <w:color w:val="FF0000"/>
                <w:sz w:val="20"/>
              </w:rPr>
            </w:pPr>
            <w:r>
              <w:rPr>
                <w:rFonts w:ascii="Calibri" w:hAnsi="Calibri"/>
                <w:sz w:val="20"/>
              </w:rPr>
              <w:t>AIC</w:t>
            </w:r>
          </w:p>
        </w:tc>
        <w:tc>
          <w:tcPr>
            <w:tcW w:w="878" w:type="dxa"/>
            <w:tcBorders>
              <w:top w:val="nil"/>
              <w:bottom w:val="nil"/>
            </w:tcBorders>
            <w:vAlign w:val="center"/>
          </w:tcPr>
          <w:p w14:paraId="319C520C" w14:textId="77777777" w:rsidR="00852A20" w:rsidRPr="00795BAE" w:rsidRDefault="00852A20" w:rsidP="00192949">
            <w:pPr>
              <w:spacing w:line="360" w:lineRule="auto"/>
              <w:jc w:val="center"/>
              <w:rPr>
                <w:rFonts w:ascii="Calibri" w:hAnsi="Calibri"/>
                <w:b/>
                <w:bCs/>
                <w:color w:val="FF0000"/>
                <w:sz w:val="20"/>
              </w:rPr>
            </w:pPr>
            <w:r w:rsidRPr="00795BAE">
              <w:rPr>
                <w:rFonts w:ascii="Calibri" w:hAnsi="Calibri"/>
                <w:b/>
                <w:bCs/>
                <w:color w:val="FF0000"/>
                <w:sz w:val="20"/>
              </w:rPr>
              <w:t>5121.91</w:t>
            </w:r>
            <w:r w:rsidRPr="00054E70">
              <w:rPr>
                <w:rFonts w:ascii="Calibri" w:hAnsi="Calibri"/>
                <w:color w:val="FF0000"/>
                <w:sz w:val="20"/>
              </w:rPr>
              <w:t>*</w:t>
            </w:r>
          </w:p>
        </w:tc>
        <w:tc>
          <w:tcPr>
            <w:tcW w:w="1133" w:type="dxa"/>
            <w:tcBorders>
              <w:top w:val="nil"/>
              <w:bottom w:val="nil"/>
            </w:tcBorders>
            <w:vAlign w:val="center"/>
          </w:tcPr>
          <w:p w14:paraId="550466FB" w14:textId="77777777" w:rsidR="00852A20" w:rsidRPr="00795BAE" w:rsidRDefault="00852A20" w:rsidP="00192949">
            <w:pPr>
              <w:spacing w:line="360" w:lineRule="auto"/>
              <w:jc w:val="center"/>
              <w:rPr>
                <w:rFonts w:ascii="Calibri" w:hAnsi="Calibri"/>
                <w:b/>
                <w:bCs/>
                <w:color w:val="FF0000"/>
                <w:sz w:val="20"/>
              </w:rPr>
            </w:pPr>
            <w:r w:rsidRPr="00795BAE">
              <w:rPr>
                <w:rFonts w:ascii="Calibri" w:hAnsi="Calibri"/>
                <w:b/>
                <w:bCs/>
                <w:color w:val="FF0000"/>
                <w:sz w:val="20"/>
              </w:rPr>
              <w:t>5463.93</w:t>
            </w:r>
            <w:r w:rsidRPr="00054E70">
              <w:rPr>
                <w:rFonts w:ascii="Calibri" w:hAnsi="Calibri"/>
                <w:color w:val="FF0000"/>
                <w:sz w:val="20"/>
              </w:rPr>
              <w:t>*</w:t>
            </w:r>
          </w:p>
        </w:tc>
        <w:tc>
          <w:tcPr>
            <w:tcW w:w="878" w:type="dxa"/>
            <w:tcBorders>
              <w:top w:val="nil"/>
              <w:bottom w:val="nil"/>
            </w:tcBorders>
            <w:vAlign w:val="center"/>
          </w:tcPr>
          <w:p w14:paraId="24EF961C" w14:textId="77777777" w:rsidR="00852A20" w:rsidRPr="00795BAE" w:rsidRDefault="00852A20" w:rsidP="00192949">
            <w:pPr>
              <w:spacing w:line="360" w:lineRule="auto"/>
              <w:jc w:val="center"/>
              <w:rPr>
                <w:rFonts w:ascii="Calibri" w:hAnsi="Calibri"/>
                <w:b/>
                <w:bCs/>
                <w:color w:val="FF0000"/>
                <w:sz w:val="20"/>
              </w:rPr>
            </w:pPr>
            <w:r w:rsidRPr="00795BAE">
              <w:rPr>
                <w:rFonts w:ascii="Calibri" w:hAnsi="Calibri"/>
                <w:color w:val="000000" w:themeColor="text1"/>
                <w:sz w:val="20"/>
              </w:rPr>
              <w:t>507</w:t>
            </w:r>
            <w:r>
              <w:rPr>
                <w:rFonts w:ascii="Calibri" w:hAnsi="Calibri"/>
                <w:color w:val="000000" w:themeColor="text1"/>
                <w:sz w:val="20"/>
              </w:rPr>
              <w:t>0.69</w:t>
            </w:r>
          </w:p>
        </w:tc>
        <w:tc>
          <w:tcPr>
            <w:tcW w:w="1133" w:type="dxa"/>
            <w:tcBorders>
              <w:top w:val="nil"/>
              <w:bottom w:val="nil"/>
            </w:tcBorders>
            <w:vAlign w:val="center"/>
          </w:tcPr>
          <w:p w14:paraId="165E6B5E" w14:textId="77777777" w:rsidR="00852A20" w:rsidRPr="00795BAE" w:rsidRDefault="00852A20" w:rsidP="00192949">
            <w:pPr>
              <w:spacing w:line="360" w:lineRule="auto"/>
              <w:jc w:val="center"/>
              <w:rPr>
                <w:rFonts w:ascii="Calibri" w:hAnsi="Calibri"/>
                <w:color w:val="000000" w:themeColor="text1"/>
                <w:sz w:val="20"/>
              </w:rPr>
            </w:pPr>
            <w:r w:rsidRPr="00795BAE">
              <w:rPr>
                <w:rFonts w:ascii="Calibri" w:hAnsi="Calibri"/>
                <w:b/>
                <w:bCs/>
                <w:color w:val="FF0000"/>
                <w:sz w:val="20"/>
              </w:rPr>
              <w:t>541</w:t>
            </w:r>
            <w:r>
              <w:rPr>
                <w:rFonts w:ascii="Calibri" w:hAnsi="Calibri"/>
                <w:b/>
                <w:bCs/>
                <w:color w:val="FF0000"/>
                <w:sz w:val="20"/>
              </w:rPr>
              <w:t>3</w:t>
            </w:r>
            <w:r w:rsidRPr="00795BAE">
              <w:rPr>
                <w:rFonts w:ascii="Calibri" w:hAnsi="Calibri"/>
                <w:b/>
                <w:bCs/>
                <w:color w:val="FF0000"/>
                <w:sz w:val="20"/>
              </w:rPr>
              <w:t>.</w:t>
            </w:r>
            <w:r>
              <w:rPr>
                <w:rFonts w:ascii="Calibri" w:hAnsi="Calibri"/>
                <w:b/>
                <w:bCs/>
                <w:color w:val="FF0000"/>
                <w:sz w:val="20"/>
              </w:rPr>
              <w:t>26</w:t>
            </w:r>
            <w:r w:rsidRPr="00054E70">
              <w:rPr>
                <w:rFonts w:ascii="Calibri" w:hAnsi="Calibri"/>
                <w:color w:val="FF0000"/>
                <w:sz w:val="20"/>
              </w:rPr>
              <w:t>*</w:t>
            </w:r>
          </w:p>
        </w:tc>
      </w:tr>
      <w:tr w:rsidR="00852A20" w14:paraId="2F91F500" w14:textId="77777777" w:rsidTr="00192949">
        <w:trPr>
          <w:trHeight w:hRule="exact" w:val="435"/>
        </w:trPr>
        <w:tc>
          <w:tcPr>
            <w:tcW w:w="6096" w:type="dxa"/>
            <w:vMerge/>
            <w:tcBorders>
              <w:bottom w:val="single" w:sz="4" w:space="0" w:color="auto"/>
            </w:tcBorders>
            <w:vAlign w:val="center"/>
          </w:tcPr>
          <w:p w14:paraId="0AB0F2F4" w14:textId="77777777" w:rsidR="00852A20" w:rsidRPr="00742A47"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416522BA" w14:textId="77777777" w:rsidR="00852A20" w:rsidRPr="00500343" w:rsidRDefault="00852A20" w:rsidP="00192949">
            <w:pPr>
              <w:spacing w:line="360" w:lineRule="auto"/>
              <w:jc w:val="center"/>
              <w:rPr>
                <w:rFonts w:ascii="Calibri" w:hAnsi="Calibri"/>
                <w:b/>
                <w:bCs/>
                <w:color w:val="FF0000"/>
                <w:sz w:val="20"/>
              </w:rPr>
            </w:pPr>
            <w:r>
              <w:rPr>
                <w:rFonts w:ascii="Calibri" w:hAnsi="Calibri"/>
                <w:sz w:val="20"/>
              </w:rPr>
              <w:t>C-index</w:t>
            </w:r>
          </w:p>
        </w:tc>
        <w:tc>
          <w:tcPr>
            <w:tcW w:w="878" w:type="dxa"/>
            <w:tcBorders>
              <w:top w:val="nil"/>
              <w:bottom w:val="single" w:sz="4" w:space="0" w:color="auto"/>
            </w:tcBorders>
            <w:vAlign w:val="center"/>
          </w:tcPr>
          <w:p w14:paraId="5FF21A3A" w14:textId="77777777" w:rsidR="00852A20" w:rsidRPr="00795BAE" w:rsidRDefault="00852A20" w:rsidP="00192949">
            <w:pPr>
              <w:spacing w:line="360" w:lineRule="auto"/>
              <w:jc w:val="center"/>
              <w:rPr>
                <w:rFonts w:ascii="Calibri" w:hAnsi="Calibri"/>
                <w:b/>
                <w:bCs/>
                <w:color w:val="FF0000"/>
                <w:sz w:val="20"/>
              </w:rPr>
            </w:pPr>
            <w:r w:rsidRPr="00795BAE">
              <w:rPr>
                <w:rFonts w:ascii="Calibri" w:hAnsi="Calibri"/>
                <w:b/>
                <w:bCs/>
                <w:color w:val="FF0000"/>
                <w:sz w:val="20"/>
              </w:rPr>
              <w:t>0.676</w:t>
            </w:r>
            <w:r w:rsidRPr="00054E70">
              <w:rPr>
                <w:rFonts w:ascii="Calibri" w:hAnsi="Calibri"/>
                <w:color w:val="FF0000"/>
                <w:sz w:val="20"/>
              </w:rPr>
              <w:t>*</w:t>
            </w:r>
            <w:r>
              <w:rPr>
                <w:rFonts w:ascii="Calibri" w:hAnsi="Calibri"/>
                <w:color w:val="FF0000"/>
                <w:sz w:val="20"/>
              </w:rPr>
              <w:t>*</w:t>
            </w:r>
          </w:p>
        </w:tc>
        <w:tc>
          <w:tcPr>
            <w:tcW w:w="1133" w:type="dxa"/>
            <w:tcBorders>
              <w:top w:val="nil"/>
              <w:bottom w:val="single" w:sz="4" w:space="0" w:color="auto"/>
            </w:tcBorders>
            <w:vAlign w:val="center"/>
          </w:tcPr>
          <w:p w14:paraId="65E5090C" w14:textId="77777777" w:rsidR="00852A20" w:rsidRPr="00795BAE" w:rsidRDefault="00852A20" w:rsidP="00192949">
            <w:pPr>
              <w:spacing w:line="360" w:lineRule="auto"/>
              <w:jc w:val="center"/>
              <w:rPr>
                <w:rFonts w:ascii="Calibri" w:hAnsi="Calibri"/>
                <w:b/>
                <w:bCs/>
                <w:color w:val="FF0000"/>
                <w:sz w:val="20"/>
              </w:rPr>
            </w:pPr>
            <w:r w:rsidRPr="00795BAE">
              <w:rPr>
                <w:rFonts w:ascii="Calibri" w:hAnsi="Calibri"/>
                <w:b/>
                <w:bCs/>
                <w:color w:val="FF0000"/>
                <w:sz w:val="20"/>
              </w:rPr>
              <w:t>0.715</w:t>
            </w:r>
            <w:r w:rsidRPr="00054E70">
              <w:rPr>
                <w:rFonts w:ascii="Calibri" w:hAnsi="Calibri"/>
                <w:color w:val="FF0000"/>
                <w:sz w:val="20"/>
              </w:rPr>
              <w:t>*</w:t>
            </w:r>
            <w:r>
              <w:rPr>
                <w:rFonts w:ascii="Calibri" w:hAnsi="Calibri"/>
                <w:color w:val="FF0000"/>
                <w:sz w:val="20"/>
              </w:rPr>
              <w:t>*</w:t>
            </w:r>
          </w:p>
        </w:tc>
        <w:tc>
          <w:tcPr>
            <w:tcW w:w="878" w:type="dxa"/>
            <w:tcBorders>
              <w:top w:val="nil"/>
              <w:bottom w:val="single" w:sz="4" w:space="0" w:color="auto"/>
            </w:tcBorders>
            <w:vAlign w:val="center"/>
          </w:tcPr>
          <w:p w14:paraId="1E98F35E" w14:textId="77777777" w:rsidR="00852A20" w:rsidRPr="00795BAE" w:rsidRDefault="00852A20" w:rsidP="00192949">
            <w:pPr>
              <w:spacing w:line="360" w:lineRule="auto"/>
              <w:jc w:val="center"/>
              <w:rPr>
                <w:rFonts w:ascii="Calibri" w:hAnsi="Calibri"/>
                <w:color w:val="000000" w:themeColor="text1"/>
                <w:sz w:val="20"/>
              </w:rPr>
            </w:pPr>
            <w:r w:rsidRPr="00795BAE">
              <w:rPr>
                <w:rFonts w:ascii="Calibri" w:hAnsi="Calibri"/>
                <w:b/>
                <w:bCs/>
                <w:color w:val="FF0000"/>
                <w:sz w:val="20"/>
              </w:rPr>
              <w:t>0.679</w:t>
            </w:r>
            <w:r w:rsidRPr="00054E70">
              <w:rPr>
                <w:rFonts w:ascii="Calibri" w:hAnsi="Calibri"/>
                <w:color w:val="FF0000"/>
                <w:sz w:val="20"/>
              </w:rPr>
              <w:t>*</w:t>
            </w:r>
            <w:r>
              <w:rPr>
                <w:rFonts w:ascii="Calibri" w:hAnsi="Calibri"/>
                <w:color w:val="FF0000"/>
                <w:sz w:val="20"/>
              </w:rPr>
              <w:t>*</w:t>
            </w:r>
          </w:p>
        </w:tc>
        <w:tc>
          <w:tcPr>
            <w:tcW w:w="1133" w:type="dxa"/>
            <w:tcBorders>
              <w:top w:val="nil"/>
              <w:bottom w:val="single" w:sz="4" w:space="0" w:color="auto"/>
            </w:tcBorders>
            <w:vAlign w:val="center"/>
          </w:tcPr>
          <w:p w14:paraId="6CBD271A" w14:textId="77777777" w:rsidR="00852A20" w:rsidRPr="00795BAE" w:rsidRDefault="00852A20" w:rsidP="00192949">
            <w:pPr>
              <w:spacing w:line="360" w:lineRule="auto"/>
              <w:jc w:val="center"/>
              <w:rPr>
                <w:rFonts w:ascii="Calibri" w:hAnsi="Calibri"/>
                <w:b/>
                <w:bCs/>
                <w:color w:val="000000" w:themeColor="text1"/>
                <w:sz w:val="20"/>
              </w:rPr>
            </w:pPr>
            <w:r w:rsidRPr="00795BAE">
              <w:rPr>
                <w:rFonts w:ascii="Calibri" w:hAnsi="Calibri"/>
                <w:color w:val="000000" w:themeColor="text1"/>
                <w:sz w:val="20"/>
              </w:rPr>
              <w:t>0.720</w:t>
            </w:r>
          </w:p>
        </w:tc>
      </w:tr>
      <w:tr w:rsidR="00852A20" w14:paraId="01A004B6" w14:textId="77777777" w:rsidTr="00192949">
        <w:trPr>
          <w:trHeight w:hRule="exact" w:val="488"/>
        </w:trPr>
        <w:tc>
          <w:tcPr>
            <w:tcW w:w="6096" w:type="dxa"/>
            <w:tcBorders>
              <w:bottom w:val="single" w:sz="4" w:space="0" w:color="auto"/>
            </w:tcBorders>
            <w:shd w:val="clear" w:color="auto" w:fill="F2F2F2" w:themeFill="background1" w:themeFillShade="F2"/>
            <w:vAlign w:val="center"/>
          </w:tcPr>
          <w:p w14:paraId="0D70D1DA" w14:textId="77777777" w:rsidR="00852A20" w:rsidRPr="00742A47" w:rsidRDefault="00852A20" w:rsidP="00192949">
            <w:pPr>
              <w:spacing w:line="360" w:lineRule="auto"/>
              <w:rPr>
                <w:rFonts w:ascii="Calibri" w:hAnsi="Calibri"/>
                <w:b/>
                <w:i/>
                <w:iCs/>
                <w:sz w:val="20"/>
                <w:szCs w:val="20"/>
              </w:rPr>
            </w:pPr>
            <w:r w:rsidRPr="00742A47">
              <w:rPr>
                <w:rFonts w:ascii="Calibri" w:hAnsi="Calibri"/>
                <w:b/>
                <w:sz w:val="20"/>
              </w:rPr>
              <w:t>Classification by worst LNRS</w:t>
            </w:r>
          </w:p>
        </w:tc>
        <w:tc>
          <w:tcPr>
            <w:tcW w:w="1226" w:type="dxa"/>
            <w:tcBorders>
              <w:bottom w:val="single" w:sz="4" w:space="0" w:color="auto"/>
            </w:tcBorders>
            <w:shd w:val="clear" w:color="auto" w:fill="F2F2F2" w:themeFill="background1" w:themeFillShade="F2"/>
            <w:vAlign w:val="center"/>
          </w:tcPr>
          <w:p w14:paraId="3C2F4B4C" w14:textId="77777777" w:rsidR="00852A20" w:rsidRPr="00742A47" w:rsidRDefault="00852A20" w:rsidP="00192949">
            <w:pPr>
              <w:spacing w:line="360" w:lineRule="auto"/>
              <w:jc w:val="center"/>
              <w:rPr>
                <w:rFonts w:ascii="Calibri" w:hAnsi="Calibri"/>
                <w:bCs/>
                <w:color w:val="FF0000"/>
                <w:sz w:val="20"/>
              </w:rPr>
            </w:pPr>
          </w:p>
        </w:tc>
        <w:tc>
          <w:tcPr>
            <w:tcW w:w="878" w:type="dxa"/>
            <w:tcBorders>
              <w:top w:val="nil"/>
              <w:bottom w:val="single" w:sz="4" w:space="0" w:color="auto"/>
            </w:tcBorders>
            <w:shd w:val="clear" w:color="auto" w:fill="F2F2F2" w:themeFill="background1" w:themeFillShade="F2"/>
            <w:vAlign w:val="center"/>
          </w:tcPr>
          <w:p w14:paraId="7D6877CD" w14:textId="77777777" w:rsidR="00852A20" w:rsidRPr="00742A47" w:rsidRDefault="00852A20" w:rsidP="00192949">
            <w:pPr>
              <w:spacing w:line="360" w:lineRule="auto"/>
              <w:jc w:val="center"/>
              <w:rPr>
                <w:rFonts w:ascii="Calibri" w:hAnsi="Calibri"/>
                <w:bCs/>
                <w:color w:val="FF0000"/>
                <w:sz w:val="20"/>
              </w:rPr>
            </w:pPr>
          </w:p>
        </w:tc>
        <w:tc>
          <w:tcPr>
            <w:tcW w:w="1133" w:type="dxa"/>
            <w:tcBorders>
              <w:top w:val="nil"/>
              <w:bottom w:val="single" w:sz="4" w:space="0" w:color="auto"/>
            </w:tcBorders>
            <w:shd w:val="clear" w:color="auto" w:fill="F2F2F2" w:themeFill="background1" w:themeFillShade="F2"/>
            <w:vAlign w:val="center"/>
          </w:tcPr>
          <w:p w14:paraId="2BC8E178" w14:textId="77777777" w:rsidR="00852A20" w:rsidRPr="00742A47" w:rsidRDefault="00852A20" w:rsidP="00192949">
            <w:pPr>
              <w:spacing w:line="360" w:lineRule="auto"/>
              <w:jc w:val="center"/>
              <w:rPr>
                <w:rFonts w:ascii="Calibri" w:hAnsi="Calibri"/>
                <w:bCs/>
                <w:sz w:val="20"/>
              </w:rPr>
            </w:pPr>
          </w:p>
        </w:tc>
        <w:tc>
          <w:tcPr>
            <w:tcW w:w="878" w:type="dxa"/>
            <w:tcBorders>
              <w:top w:val="nil"/>
              <w:bottom w:val="single" w:sz="4" w:space="0" w:color="auto"/>
            </w:tcBorders>
            <w:shd w:val="clear" w:color="auto" w:fill="F2F2F2" w:themeFill="background1" w:themeFillShade="F2"/>
            <w:vAlign w:val="center"/>
          </w:tcPr>
          <w:p w14:paraId="547E84F2" w14:textId="77777777" w:rsidR="00852A20" w:rsidRPr="00742A47" w:rsidRDefault="00852A20" w:rsidP="00192949">
            <w:pPr>
              <w:spacing w:line="360" w:lineRule="auto"/>
              <w:jc w:val="center"/>
              <w:rPr>
                <w:rFonts w:ascii="Calibri" w:hAnsi="Calibri"/>
                <w:bCs/>
                <w:color w:val="FF0000"/>
                <w:sz w:val="20"/>
              </w:rPr>
            </w:pPr>
          </w:p>
        </w:tc>
        <w:tc>
          <w:tcPr>
            <w:tcW w:w="1133" w:type="dxa"/>
            <w:tcBorders>
              <w:top w:val="nil"/>
              <w:bottom w:val="single" w:sz="4" w:space="0" w:color="auto"/>
            </w:tcBorders>
            <w:shd w:val="clear" w:color="auto" w:fill="F2F2F2" w:themeFill="background1" w:themeFillShade="F2"/>
            <w:vAlign w:val="center"/>
          </w:tcPr>
          <w:p w14:paraId="14BF1547" w14:textId="77777777" w:rsidR="00852A20" w:rsidRPr="00742A47" w:rsidRDefault="00852A20" w:rsidP="00192949">
            <w:pPr>
              <w:spacing w:line="360" w:lineRule="auto"/>
              <w:jc w:val="center"/>
              <w:rPr>
                <w:rFonts w:ascii="Calibri" w:hAnsi="Calibri"/>
                <w:bCs/>
                <w:color w:val="FF0000"/>
                <w:sz w:val="20"/>
              </w:rPr>
            </w:pPr>
          </w:p>
        </w:tc>
      </w:tr>
      <w:tr w:rsidR="00852A20" w14:paraId="38B95D7F" w14:textId="77777777" w:rsidTr="00192949">
        <w:trPr>
          <w:trHeight w:hRule="exact" w:val="491"/>
        </w:trPr>
        <w:tc>
          <w:tcPr>
            <w:tcW w:w="6096" w:type="dxa"/>
            <w:vMerge w:val="restart"/>
            <w:vAlign w:val="center"/>
          </w:tcPr>
          <w:p w14:paraId="72E16B44" w14:textId="77777777" w:rsidR="00852A20" w:rsidRPr="00742A47" w:rsidRDefault="00852A20" w:rsidP="00192949">
            <w:pPr>
              <w:spacing w:line="360" w:lineRule="auto"/>
              <w:rPr>
                <w:rFonts w:ascii="Calibri" w:hAnsi="Calibri"/>
                <w:sz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1-3)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4-5) vs</w:t>
            </w:r>
            <w:r w:rsidRPr="00742A47">
              <w:rPr>
                <w:rFonts w:ascii="Calibri" w:hAnsi="Calibri"/>
                <w:i/>
                <w:iCs/>
                <w:sz w:val="20"/>
                <w:szCs w:val="20"/>
              </w:rPr>
              <w:t xml:space="preserve"> Negative</w:t>
            </w:r>
            <w:r>
              <w:rPr>
                <w:rFonts w:ascii="Calibri" w:hAnsi="Calibri"/>
                <w:i/>
                <w:iCs/>
                <w:sz w:val="20"/>
                <w:szCs w:val="20"/>
              </w:rPr>
              <w:t xml:space="preserve"> LNs</w:t>
            </w:r>
          </w:p>
        </w:tc>
        <w:tc>
          <w:tcPr>
            <w:tcW w:w="1226" w:type="dxa"/>
            <w:tcBorders>
              <w:bottom w:val="nil"/>
            </w:tcBorders>
            <w:vAlign w:val="center"/>
          </w:tcPr>
          <w:p w14:paraId="4CDD15E7" w14:textId="77777777" w:rsidR="00852A20" w:rsidRPr="008C6631" w:rsidRDefault="00852A20" w:rsidP="00192949">
            <w:pPr>
              <w:spacing w:line="360" w:lineRule="auto"/>
              <w:jc w:val="center"/>
              <w:rPr>
                <w:rFonts w:asciiTheme="majorHAnsi" w:hAnsiTheme="majorHAnsi" w:cs="Arial"/>
                <w:sz w:val="20"/>
                <w:szCs w:val="20"/>
              </w:rPr>
            </w:pPr>
            <w:r>
              <w:rPr>
                <w:rFonts w:ascii="Calibri" w:hAnsi="Calibri"/>
                <w:sz w:val="20"/>
              </w:rPr>
              <w:t>AIC</w:t>
            </w:r>
          </w:p>
        </w:tc>
        <w:tc>
          <w:tcPr>
            <w:tcW w:w="878" w:type="dxa"/>
            <w:tcBorders>
              <w:top w:val="nil"/>
              <w:bottom w:val="nil"/>
            </w:tcBorders>
            <w:vAlign w:val="center"/>
          </w:tcPr>
          <w:p w14:paraId="589E0A38" w14:textId="77777777" w:rsidR="00852A20" w:rsidRPr="008C6631"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5132.21</w:t>
            </w:r>
          </w:p>
        </w:tc>
        <w:tc>
          <w:tcPr>
            <w:tcW w:w="1133" w:type="dxa"/>
            <w:tcBorders>
              <w:top w:val="nil"/>
              <w:bottom w:val="nil"/>
            </w:tcBorders>
            <w:vAlign w:val="center"/>
          </w:tcPr>
          <w:p w14:paraId="41FAF53D" w14:textId="77777777" w:rsidR="00852A20" w:rsidRPr="00E8724C" w:rsidRDefault="00852A20" w:rsidP="00192949">
            <w:pPr>
              <w:spacing w:line="360" w:lineRule="auto"/>
              <w:jc w:val="center"/>
              <w:rPr>
                <w:rFonts w:asciiTheme="majorHAnsi" w:hAnsiTheme="majorHAnsi" w:cs="Arial"/>
                <w:sz w:val="20"/>
                <w:szCs w:val="20"/>
              </w:rPr>
            </w:pPr>
            <w:r>
              <w:rPr>
                <w:rFonts w:ascii="Calibri" w:hAnsi="Calibri"/>
                <w:sz w:val="20"/>
              </w:rPr>
              <w:t>5472.64</w:t>
            </w:r>
          </w:p>
        </w:tc>
        <w:tc>
          <w:tcPr>
            <w:tcW w:w="878" w:type="dxa"/>
            <w:tcBorders>
              <w:top w:val="nil"/>
              <w:bottom w:val="nil"/>
            </w:tcBorders>
            <w:vAlign w:val="center"/>
          </w:tcPr>
          <w:p w14:paraId="539EF868" w14:textId="77777777" w:rsidR="00852A20" w:rsidRDefault="00852A20" w:rsidP="00192949">
            <w:pPr>
              <w:spacing w:line="360" w:lineRule="auto"/>
              <w:jc w:val="center"/>
              <w:rPr>
                <w:rFonts w:ascii="Calibri" w:hAnsi="Calibri"/>
                <w:sz w:val="20"/>
              </w:rPr>
            </w:pPr>
            <w:r>
              <w:rPr>
                <w:rFonts w:ascii="Calibri" w:hAnsi="Calibri"/>
                <w:sz w:val="20"/>
              </w:rPr>
              <w:t>5077.31</w:t>
            </w:r>
          </w:p>
        </w:tc>
        <w:tc>
          <w:tcPr>
            <w:tcW w:w="1133" w:type="dxa"/>
            <w:tcBorders>
              <w:top w:val="nil"/>
              <w:bottom w:val="nil"/>
            </w:tcBorders>
            <w:vAlign w:val="center"/>
          </w:tcPr>
          <w:p w14:paraId="14AC800E" w14:textId="77777777" w:rsidR="00852A20" w:rsidRPr="00BD08B2" w:rsidRDefault="00852A20" w:rsidP="00192949">
            <w:pPr>
              <w:spacing w:line="360" w:lineRule="auto"/>
              <w:jc w:val="center"/>
              <w:rPr>
                <w:rFonts w:asciiTheme="majorHAnsi" w:hAnsiTheme="majorHAnsi" w:cs="Arial"/>
                <w:bCs/>
                <w:sz w:val="20"/>
                <w:szCs w:val="20"/>
              </w:rPr>
            </w:pPr>
            <w:r>
              <w:rPr>
                <w:rFonts w:ascii="Calibri" w:hAnsi="Calibri"/>
                <w:sz w:val="20"/>
              </w:rPr>
              <w:t>5419.51</w:t>
            </w:r>
          </w:p>
        </w:tc>
      </w:tr>
      <w:tr w:rsidR="00852A20" w14:paraId="40799849" w14:textId="77777777" w:rsidTr="00192949">
        <w:trPr>
          <w:trHeight w:hRule="exact" w:val="426"/>
        </w:trPr>
        <w:tc>
          <w:tcPr>
            <w:tcW w:w="6096" w:type="dxa"/>
            <w:vMerge/>
            <w:tcBorders>
              <w:bottom w:val="single" w:sz="4" w:space="0" w:color="auto"/>
            </w:tcBorders>
            <w:vAlign w:val="center"/>
          </w:tcPr>
          <w:p w14:paraId="3A44A4C2" w14:textId="77777777" w:rsidR="00852A20" w:rsidRPr="00742A47"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76717539" w14:textId="77777777" w:rsidR="00852A20" w:rsidRPr="008C6631" w:rsidRDefault="00852A20" w:rsidP="00192949">
            <w:pPr>
              <w:spacing w:line="360" w:lineRule="auto"/>
              <w:jc w:val="center"/>
              <w:rPr>
                <w:rFonts w:asciiTheme="majorHAnsi" w:hAnsiTheme="majorHAnsi" w:cs="Arial"/>
                <w:sz w:val="20"/>
                <w:szCs w:val="20"/>
              </w:rPr>
            </w:pPr>
            <w:r>
              <w:rPr>
                <w:rFonts w:ascii="Calibri" w:hAnsi="Calibri"/>
                <w:sz w:val="20"/>
              </w:rPr>
              <w:t>C-index</w:t>
            </w:r>
          </w:p>
        </w:tc>
        <w:tc>
          <w:tcPr>
            <w:tcW w:w="878" w:type="dxa"/>
            <w:tcBorders>
              <w:top w:val="nil"/>
              <w:bottom w:val="single" w:sz="4" w:space="0" w:color="auto"/>
            </w:tcBorders>
            <w:vAlign w:val="center"/>
          </w:tcPr>
          <w:p w14:paraId="79AB083C" w14:textId="77777777" w:rsidR="00852A20" w:rsidRPr="008C6631" w:rsidRDefault="00852A20" w:rsidP="00192949">
            <w:pPr>
              <w:spacing w:line="360" w:lineRule="auto"/>
              <w:jc w:val="center"/>
              <w:rPr>
                <w:rFonts w:asciiTheme="majorHAnsi" w:hAnsiTheme="majorHAnsi" w:cs="Arial"/>
                <w:sz w:val="20"/>
                <w:szCs w:val="20"/>
              </w:rPr>
            </w:pPr>
            <w:r w:rsidRPr="008C6631">
              <w:rPr>
                <w:rFonts w:asciiTheme="majorHAnsi" w:hAnsiTheme="majorHAnsi" w:cs="Arial"/>
                <w:sz w:val="20"/>
                <w:szCs w:val="20"/>
              </w:rPr>
              <w:t>0.660</w:t>
            </w:r>
          </w:p>
        </w:tc>
        <w:tc>
          <w:tcPr>
            <w:tcW w:w="1133" w:type="dxa"/>
            <w:tcBorders>
              <w:top w:val="nil"/>
              <w:bottom w:val="single" w:sz="4" w:space="0" w:color="auto"/>
            </w:tcBorders>
            <w:vAlign w:val="center"/>
          </w:tcPr>
          <w:p w14:paraId="3167E1CE" w14:textId="77777777" w:rsidR="00852A20" w:rsidRDefault="00852A20" w:rsidP="00192949">
            <w:pPr>
              <w:spacing w:line="360" w:lineRule="auto"/>
              <w:jc w:val="center"/>
              <w:rPr>
                <w:rFonts w:ascii="Calibri" w:hAnsi="Calibri"/>
                <w:sz w:val="20"/>
              </w:rPr>
            </w:pPr>
            <w:r>
              <w:rPr>
                <w:rFonts w:ascii="Calibri" w:hAnsi="Calibri"/>
                <w:sz w:val="20"/>
              </w:rPr>
              <w:t>0.712</w:t>
            </w:r>
          </w:p>
        </w:tc>
        <w:tc>
          <w:tcPr>
            <w:tcW w:w="878" w:type="dxa"/>
            <w:tcBorders>
              <w:top w:val="nil"/>
              <w:bottom w:val="single" w:sz="4" w:space="0" w:color="auto"/>
            </w:tcBorders>
            <w:vAlign w:val="center"/>
          </w:tcPr>
          <w:p w14:paraId="794E66FC" w14:textId="77777777" w:rsidR="00852A20" w:rsidRDefault="00852A20" w:rsidP="00192949">
            <w:pPr>
              <w:spacing w:line="360" w:lineRule="auto"/>
              <w:jc w:val="center"/>
              <w:rPr>
                <w:rFonts w:ascii="Calibri" w:hAnsi="Calibri"/>
                <w:sz w:val="20"/>
              </w:rPr>
            </w:pPr>
            <w:r>
              <w:rPr>
                <w:rFonts w:ascii="Calibri" w:hAnsi="Calibri"/>
                <w:sz w:val="20"/>
              </w:rPr>
              <w:t>0.666</w:t>
            </w:r>
          </w:p>
        </w:tc>
        <w:tc>
          <w:tcPr>
            <w:tcW w:w="1133" w:type="dxa"/>
            <w:tcBorders>
              <w:top w:val="nil"/>
              <w:bottom w:val="single" w:sz="4" w:space="0" w:color="auto"/>
            </w:tcBorders>
            <w:vAlign w:val="center"/>
          </w:tcPr>
          <w:p w14:paraId="4FD1D8DE" w14:textId="77777777" w:rsidR="00852A20" w:rsidRDefault="00852A20" w:rsidP="00192949">
            <w:pPr>
              <w:spacing w:line="360" w:lineRule="auto"/>
              <w:jc w:val="center"/>
              <w:rPr>
                <w:rFonts w:ascii="Calibri" w:hAnsi="Calibri"/>
                <w:sz w:val="20"/>
              </w:rPr>
            </w:pPr>
            <w:r>
              <w:rPr>
                <w:rFonts w:ascii="Calibri" w:hAnsi="Calibri"/>
                <w:sz w:val="20"/>
              </w:rPr>
              <w:t>0.720</w:t>
            </w:r>
          </w:p>
        </w:tc>
      </w:tr>
      <w:tr w:rsidR="00852A20" w14:paraId="76524ED0" w14:textId="77777777" w:rsidTr="00192949">
        <w:trPr>
          <w:trHeight w:hRule="exact" w:val="574"/>
        </w:trPr>
        <w:tc>
          <w:tcPr>
            <w:tcW w:w="6096" w:type="dxa"/>
            <w:vMerge w:val="restart"/>
            <w:vAlign w:val="center"/>
          </w:tcPr>
          <w:p w14:paraId="13D407FB" w14:textId="77777777" w:rsidR="00852A20" w:rsidRPr="00742A47" w:rsidRDefault="00852A20" w:rsidP="00192949">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2</w:t>
            </w:r>
            <w:r w:rsidRPr="00742A47">
              <w:rPr>
                <w:rFonts w:ascii="Calibri" w:hAnsi="Calibri"/>
                <w:sz w:val="20"/>
                <w:szCs w:val="20"/>
              </w:rPr>
              <w:t xml:space="preserve">)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w:t>
            </w:r>
            <w:r>
              <w:rPr>
                <w:rFonts w:ascii="Calibri" w:hAnsi="Calibri"/>
                <w:sz w:val="20"/>
                <w:szCs w:val="20"/>
              </w:rPr>
              <w:t>3</w:t>
            </w:r>
            <w:r w:rsidRPr="00742A47">
              <w:rPr>
                <w:rFonts w:ascii="Calibri" w:hAnsi="Calibri"/>
                <w:sz w:val="20"/>
                <w:szCs w:val="20"/>
              </w:rPr>
              <w:t>-5) vs</w:t>
            </w:r>
            <w:r w:rsidRPr="00742A47">
              <w:rPr>
                <w:rFonts w:ascii="Calibri" w:hAnsi="Calibri"/>
                <w:i/>
                <w:iCs/>
                <w:sz w:val="20"/>
                <w:szCs w:val="20"/>
              </w:rPr>
              <w:t xml:space="preserve"> Negative</w:t>
            </w:r>
            <w:r>
              <w:rPr>
                <w:rFonts w:ascii="Calibri" w:hAnsi="Calibri"/>
                <w:i/>
                <w:iCs/>
                <w:sz w:val="20"/>
                <w:szCs w:val="20"/>
              </w:rPr>
              <w:t xml:space="preserve"> LNs</w:t>
            </w:r>
          </w:p>
        </w:tc>
        <w:tc>
          <w:tcPr>
            <w:tcW w:w="1226" w:type="dxa"/>
            <w:tcBorders>
              <w:bottom w:val="nil"/>
            </w:tcBorders>
            <w:vAlign w:val="center"/>
          </w:tcPr>
          <w:p w14:paraId="4842EB65"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AIC</w:t>
            </w:r>
          </w:p>
        </w:tc>
        <w:tc>
          <w:tcPr>
            <w:tcW w:w="878" w:type="dxa"/>
            <w:tcBorders>
              <w:top w:val="nil"/>
              <w:bottom w:val="nil"/>
            </w:tcBorders>
            <w:vAlign w:val="center"/>
          </w:tcPr>
          <w:p w14:paraId="4A4D58E8" w14:textId="77777777" w:rsidR="00852A20" w:rsidRPr="008C6631"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5128.32</w:t>
            </w:r>
          </w:p>
        </w:tc>
        <w:tc>
          <w:tcPr>
            <w:tcW w:w="1133" w:type="dxa"/>
            <w:tcBorders>
              <w:top w:val="nil"/>
              <w:bottom w:val="nil"/>
            </w:tcBorders>
            <w:vAlign w:val="center"/>
          </w:tcPr>
          <w:p w14:paraId="1458A69C" w14:textId="77777777" w:rsidR="00852A20" w:rsidRDefault="00852A20" w:rsidP="00192949">
            <w:pPr>
              <w:spacing w:line="360" w:lineRule="auto"/>
              <w:jc w:val="center"/>
              <w:rPr>
                <w:rFonts w:ascii="Calibri" w:hAnsi="Calibri"/>
                <w:sz w:val="20"/>
              </w:rPr>
            </w:pPr>
            <w:r>
              <w:rPr>
                <w:rFonts w:ascii="Calibri" w:hAnsi="Calibri"/>
                <w:sz w:val="20"/>
              </w:rPr>
              <w:t>5466.27</w:t>
            </w:r>
          </w:p>
        </w:tc>
        <w:tc>
          <w:tcPr>
            <w:tcW w:w="878" w:type="dxa"/>
            <w:tcBorders>
              <w:top w:val="nil"/>
              <w:bottom w:val="nil"/>
            </w:tcBorders>
            <w:vAlign w:val="center"/>
          </w:tcPr>
          <w:p w14:paraId="27FC587C" w14:textId="77777777" w:rsidR="00852A20" w:rsidRDefault="00852A20" w:rsidP="00192949">
            <w:pPr>
              <w:spacing w:line="360" w:lineRule="auto"/>
              <w:jc w:val="center"/>
              <w:rPr>
                <w:rFonts w:ascii="Calibri" w:hAnsi="Calibri"/>
                <w:sz w:val="20"/>
              </w:rPr>
            </w:pPr>
            <w:r>
              <w:rPr>
                <w:rFonts w:ascii="Calibri" w:hAnsi="Calibri"/>
                <w:sz w:val="20"/>
              </w:rPr>
              <w:t>5075.42</w:t>
            </w:r>
          </w:p>
        </w:tc>
        <w:tc>
          <w:tcPr>
            <w:tcW w:w="1133" w:type="dxa"/>
            <w:tcBorders>
              <w:top w:val="nil"/>
              <w:bottom w:val="nil"/>
            </w:tcBorders>
            <w:vAlign w:val="center"/>
          </w:tcPr>
          <w:p w14:paraId="16DB4E2A" w14:textId="77777777" w:rsidR="00852A20" w:rsidRDefault="00852A20" w:rsidP="00192949">
            <w:pPr>
              <w:spacing w:line="360" w:lineRule="auto"/>
              <w:jc w:val="center"/>
              <w:rPr>
                <w:rFonts w:ascii="Calibri" w:hAnsi="Calibri"/>
                <w:sz w:val="20"/>
              </w:rPr>
            </w:pPr>
            <w:r>
              <w:rPr>
                <w:rFonts w:ascii="Calibri" w:hAnsi="Calibri"/>
                <w:sz w:val="20"/>
              </w:rPr>
              <w:t>5416.25</w:t>
            </w:r>
          </w:p>
        </w:tc>
      </w:tr>
      <w:tr w:rsidR="00852A20" w14:paraId="0F670AD0" w14:textId="77777777" w:rsidTr="00192949">
        <w:trPr>
          <w:trHeight w:hRule="exact" w:val="413"/>
        </w:trPr>
        <w:tc>
          <w:tcPr>
            <w:tcW w:w="6096" w:type="dxa"/>
            <w:vMerge/>
            <w:tcBorders>
              <w:bottom w:val="single" w:sz="4" w:space="0" w:color="auto"/>
            </w:tcBorders>
            <w:vAlign w:val="center"/>
          </w:tcPr>
          <w:p w14:paraId="4EA66C2F" w14:textId="77777777" w:rsidR="00852A20" w:rsidRPr="00742A47"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61913332"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C-index</w:t>
            </w:r>
          </w:p>
        </w:tc>
        <w:tc>
          <w:tcPr>
            <w:tcW w:w="878" w:type="dxa"/>
            <w:tcBorders>
              <w:top w:val="nil"/>
              <w:bottom w:val="single" w:sz="4" w:space="0" w:color="auto"/>
            </w:tcBorders>
            <w:vAlign w:val="center"/>
          </w:tcPr>
          <w:p w14:paraId="1A65E320" w14:textId="77777777" w:rsidR="00852A20"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0.656</w:t>
            </w:r>
          </w:p>
        </w:tc>
        <w:tc>
          <w:tcPr>
            <w:tcW w:w="1133" w:type="dxa"/>
            <w:tcBorders>
              <w:top w:val="nil"/>
              <w:bottom w:val="single" w:sz="4" w:space="0" w:color="auto"/>
            </w:tcBorders>
            <w:vAlign w:val="center"/>
          </w:tcPr>
          <w:p w14:paraId="51C713EC" w14:textId="77777777" w:rsidR="00852A20" w:rsidRDefault="00852A20" w:rsidP="00192949">
            <w:pPr>
              <w:spacing w:line="360" w:lineRule="auto"/>
              <w:jc w:val="center"/>
              <w:rPr>
                <w:rFonts w:ascii="Calibri" w:hAnsi="Calibri"/>
                <w:sz w:val="20"/>
              </w:rPr>
            </w:pPr>
            <w:r>
              <w:rPr>
                <w:rFonts w:ascii="Calibri" w:hAnsi="Calibri"/>
                <w:sz w:val="20"/>
              </w:rPr>
              <w:t>0.710</w:t>
            </w:r>
          </w:p>
        </w:tc>
        <w:tc>
          <w:tcPr>
            <w:tcW w:w="878" w:type="dxa"/>
            <w:tcBorders>
              <w:top w:val="nil"/>
              <w:bottom w:val="single" w:sz="4" w:space="0" w:color="auto"/>
            </w:tcBorders>
            <w:vAlign w:val="center"/>
          </w:tcPr>
          <w:p w14:paraId="5D5421A5" w14:textId="77777777" w:rsidR="00852A20" w:rsidRDefault="00852A20" w:rsidP="00192949">
            <w:pPr>
              <w:spacing w:line="360" w:lineRule="auto"/>
              <w:jc w:val="center"/>
              <w:rPr>
                <w:rFonts w:ascii="Calibri" w:hAnsi="Calibri"/>
                <w:sz w:val="20"/>
              </w:rPr>
            </w:pPr>
            <w:r>
              <w:rPr>
                <w:rFonts w:ascii="Calibri" w:hAnsi="Calibri"/>
                <w:sz w:val="20"/>
              </w:rPr>
              <w:t>0.664</w:t>
            </w:r>
          </w:p>
        </w:tc>
        <w:tc>
          <w:tcPr>
            <w:tcW w:w="1133" w:type="dxa"/>
            <w:tcBorders>
              <w:top w:val="nil"/>
              <w:bottom w:val="single" w:sz="4" w:space="0" w:color="auto"/>
            </w:tcBorders>
            <w:vAlign w:val="center"/>
          </w:tcPr>
          <w:p w14:paraId="7F9B99C5" w14:textId="77777777" w:rsidR="00852A20" w:rsidRDefault="00852A20" w:rsidP="00192949">
            <w:pPr>
              <w:spacing w:line="360" w:lineRule="auto"/>
              <w:jc w:val="center"/>
              <w:rPr>
                <w:rFonts w:ascii="Calibri" w:hAnsi="Calibri"/>
                <w:sz w:val="20"/>
              </w:rPr>
            </w:pPr>
            <w:r>
              <w:rPr>
                <w:rFonts w:ascii="Calibri" w:hAnsi="Calibri"/>
                <w:sz w:val="20"/>
              </w:rPr>
              <w:t>0.718</w:t>
            </w:r>
          </w:p>
        </w:tc>
      </w:tr>
      <w:tr w:rsidR="00852A20" w14:paraId="6D8878FD" w14:textId="77777777" w:rsidTr="00192949">
        <w:trPr>
          <w:trHeight w:hRule="exact" w:val="447"/>
        </w:trPr>
        <w:tc>
          <w:tcPr>
            <w:tcW w:w="6096" w:type="dxa"/>
            <w:vMerge w:val="restart"/>
            <w:vAlign w:val="center"/>
          </w:tcPr>
          <w:p w14:paraId="7F1684EE" w14:textId="77777777" w:rsidR="00852A20" w:rsidRPr="00742A47" w:rsidRDefault="00852A20" w:rsidP="00192949">
            <w:pPr>
              <w:spacing w:line="360" w:lineRule="auto"/>
              <w:rPr>
                <w:rFonts w:ascii="Calibri" w:hAnsi="Calibri"/>
                <w:sz w:val="20"/>
              </w:rPr>
            </w:pPr>
            <w:r w:rsidRPr="00742A47">
              <w:rPr>
                <w:rFonts w:ascii="Calibri" w:hAnsi="Calibri"/>
                <w:i/>
                <w:iCs/>
                <w:sz w:val="20"/>
                <w:szCs w:val="20"/>
              </w:rPr>
              <w:t xml:space="preserve">Complete response </w:t>
            </w:r>
            <w:r w:rsidRPr="00742A47">
              <w:rPr>
                <w:rFonts w:ascii="Calibri" w:hAnsi="Calibri"/>
                <w:sz w:val="20"/>
                <w:szCs w:val="20"/>
              </w:rPr>
              <w:t xml:space="preserve">(LNRS 1, no residual </w:t>
            </w:r>
            <w:proofErr w:type="spellStart"/>
            <w:r>
              <w:rPr>
                <w:rFonts w:ascii="Calibri" w:hAnsi="Calibri"/>
                <w:sz w:val="20"/>
                <w:szCs w:val="20"/>
              </w:rPr>
              <w:t>tumor</w:t>
            </w:r>
            <w:proofErr w:type="spellEnd"/>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sidRPr="00742A47">
              <w:rPr>
                <w:rFonts w:ascii="Calibri" w:hAnsi="Calibri"/>
                <w:i/>
                <w:iCs/>
                <w:sz w:val="20"/>
                <w:szCs w:val="20"/>
              </w:rPr>
              <w:t>Partial response</w:t>
            </w:r>
            <w:r w:rsidRPr="00742A47">
              <w:rPr>
                <w:rFonts w:ascii="Calibri" w:hAnsi="Calibri"/>
                <w:sz w:val="20"/>
                <w:szCs w:val="20"/>
              </w:rPr>
              <w:t xml:space="preserve"> (LNRS 1-3, residual </w:t>
            </w:r>
            <w:proofErr w:type="spellStart"/>
            <w:r>
              <w:rPr>
                <w:rFonts w:ascii="Calibri" w:hAnsi="Calibri"/>
                <w:sz w:val="20"/>
                <w:szCs w:val="20"/>
              </w:rPr>
              <w:t>tumor</w:t>
            </w:r>
            <w:proofErr w:type="spellEnd"/>
            <w:r w:rsidRPr="00742A47">
              <w:rPr>
                <w:rFonts w:ascii="Calibri" w:hAnsi="Calibri"/>
                <w:sz w:val="20"/>
                <w:szCs w:val="20"/>
              </w:rPr>
              <w:t xml:space="preserve">) vs </w:t>
            </w:r>
            <w:r w:rsidRPr="00742A47">
              <w:rPr>
                <w:rFonts w:ascii="Calibri" w:hAnsi="Calibri"/>
                <w:i/>
                <w:iCs/>
                <w:sz w:val="20"/>
                <w:szCs w:val="20"/>
              </w:rPr>
              <w:t>No response</w:t>
            </w:r>
            <w:r w:rsidRPr="00742A47">
              <w:rPr>
                <w:rFonts w:ascii="Calibri" w:hAnsi="Calibri"/>
                <w:sz w:val="20"/>
                <w:szCs w:val="20"/>
              </w:rPr>
              <w:t xml:space="preserve"> (LNRS 4-5) vs </w:t>
            </w:r>
            <w:r w:rsidRPr="00742A47">
              <w:rPr>
                <w:rFonts w:ascii="Calibri" w:hAnsi="Calibri"/>
                <w:i/>
                <w:iCs/>
                <w:sz w:val="20"/>
                <w:szCs w:val="20"/>
              </w:rPr>
              <w:t>Negative</w:t>
            </w:r>
            <w:r>
              <w:rPr>
                <w:rFonts w:ascii="Calibri" w:hAnsi="Calibri"/>
                <w:i/>
                <w:iCs/>
                <w:sz w:val="20"/>
                <w:szCs w:val="20"/>
              </w:rPr>
              <w:t xml:space="preserve"> LNs</w:t>
            </w:r>
          </w:p>
        </w:tc>
        <w:tc>
          <w:tcPr>
            <w:tcW w:w="1226" w:type="dxa"/>
            <w:tcBorders>
              <w:bottom w:val="nil"/>
            </w:tcBorders>
            <w:vAlign w:val="center"/>
          </w:tcPr>
          <w:p w14:paraId="1DF6A795"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AIC</w:t>
            </w:r>
          </w:p>
        </w:tc>
        <w:tc>
          <w:tcPr>
            <w:tcW w:w="878" w:type="dxa"/>
            <w:tcBorders>
              <w:top w:val="nil"/>
              <w:bottom w:val="nil"/>
            </w:tcBorders>
            <w:vAlign w:val="center"/>
          </w:tcPr>
          <w:p w14:paraId="1A87C231" w14:textId="77777777" w:rsidR="00852A20" w:rsidRPr="00D65AD8"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5129.27</w:t>
            </w:r>
          </w:p>
        </w:tc>
        <w:tc>
          <w:tcPr>
            <w:tcW w:w="1133" w:type="dxa"/>
            <w:tcBorders>
              <w:top w:val="nil"/>
              <w:bottom w:val="nil"/>
            </w:tcBorders>
            <w:vAlign w:val="center"/>
          </w:tcPr>
          <w:p w14:paraId="65319B14" w14:textId="77777777" w:rsidR="00852A20" w:rsidRPr="00D65AD8"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5467.81</w:t>
            </w:r>
          </w:p>
        </w:tc>
        <w:tc>
          <w:tcPr>
            <w:tcW w:w="878" w:type="dxa"/>
            <w:tcBorders>
              <w:top w:val="nil"/>
              <w:bottom w:val="nil"/>
            </w:tcBorders>
            <w:vAlign w:val="center"/>
          </w:tcPr>
          <w:p w14:paraId="3B1740D5" w14:textId="77777777" w:rsidR="00852A20" w:rsidRDefault="00852A20" w:rsidP="00192949">
            <w:pPr>
              <w:spacing w:line="360" w:lineRule="auto"/>
              <w:jc w:val="center"/>
              <w:rPr>
                <w:rFonts w:asciiTheme="majorHAnsi" w:hAnsiTheme="majorHAnsi" w:cs="Arial"/>
                <w:bCs/>
                <w:sz w:val="20"/>
                <w:szCs w:val="20"/>
              </w:rPr>
            </w:pPr>
            <w:r>
              <w:rPr>
                <w:rFonts w:asciiTheme="majorHAnsi" w:hAnsiTheme="majorHAnsi" w:cs="Arial"/>
                <w:bCs/>
                <w:sz w:val="20"/>
                <w:szCs w:val="20"/>
              </w:rPr>
              <w:t>5075.16</w:t>
            </w:r>
          </w:p>
        </w:tc>
        <w:tc>
          <w:tcPr>
            <w:tcW w:w="1133" w:type="dxa"/>
            <w:tcBorders>
              <w:top w:val="nil"/>
              <w:bottom w:val="nil"/>
            </w:tcBorders>
            <w:vAlign w:val="center"/>
          </w:tcPr>
          <w:p w14:paraId="061EFACF" w14:textId="77777777" w:rsidR="00852A20" w:rsidRPr="00D65BDA" w:rsidRDefault="00852A20" w:rsidP="00192949">
            <w:pPr>
              <w:spacing w:line="360" w:lineRule="auto"/>
              <w:jc w:val="center"/>
              <w:rPr>
                <w:rFonts w:asciiTheme="majorHAnsi" w:hAnsiTheme="majorHAnsi" w:cs="Arial"/>
                <w:bCs/>
                <w:sz w:val="20"/>
                <w:szCs w:val="20"/>
              </w:rPr>
            </w:pPr>
            <w:r>
              <w:rPr>
                <w:rFonts w:asciiTheme="majorHAnsi" w:hAnsiTheme="majorHAnsi" w:cs="Arial"/>
                <w:bCs/>
                <w:sz w:val="20"/>
                <w:szCs w:val="20"/>
              </w:rPr>
              <w:t>5416.00</w:t>
            </w:r>
          </w:p>
        </w:tc>
      </w:tr>
      <w:tr w:rsidR="00852A20" w14:paraId="62C80C8F" w14:textId="77777777" w:rsidTr="00192949">
        <w:trPr>
          <w:trHeight w:hRule="exact" w:val="553"/>
        </w:trPr>
        <w:tc>
          <w:tcPr>
            <w:tcW w:w="6096" w:type="dxa"/>
            <w:vMerge/>
            <w:tcBorders>
              <w:bottom w:val="single" w:sz="4" w:space="0" w:color="auto"/>
            </w:tcBorders>
            <w:vAlign w:val="center"/>
          </w:tcPr>
          <w:p w14:paraId="27967F0B" w14:textId="77777777" w:rsidR="00852A20" w:rsidRPr="00742A47"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539489A9"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C-index</w:t>
            </w:r>
          </w:p>
        </w:tc>
        <w:tc>
          <w:tcPr>
            <w:tcW w:w="878" w:type="dxa"/>
            <w:tcBorders>
              <w:top w:val="nil"/>
              <w:bottom w:val="single" w:sz="4" w:space="0" w:color="auto"/>
            </w:tcBorders>
            <w:vAlign w:val="center"/>
          </w:tcPr>
          <w:p w14:paraId="0471E8DF" w14:textId="77777777" w:rsidR="00852A20"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0.663</w:t>
            </w:r>
          </w:p>
        </w:tc>
        <w:tc>
          <w:tcPr>
            <w:tcW w:w="1133" w:type="dxa"/>
            <w:tcBorders>
              <w:top w:val="nil"/>
              <w:bottom w:val="single" w:sz="4" w:space="0" w:color="auto"/>
            </w:tcBorders>
            <w:vAlign w:val="center"/>
          </w:tcPr>
          <w:p w14:paraId="20FF69A3" w14:textId="77777777" w:rsidR="00852A20"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0.712</w:t>
            </w:r>
          </w:p>
        </w:tc>
        <w:tc>
          <w:tcPr>
            <w:tcW w:w="878" w:type="dxa"/>
            <w:tcBorders>
              <w:top w:val="nil"/>
              <w:bottom w:val="single" w:sz="4" w:space="0" w:color="auto"/>
            </w:tcBorders>
            <w:vAlign w:val="center"/>
          </w:tcPr>
          <w:p w14:paraId="018455A8" w14:textId="77777777" w:rsidR="00852A20" w:rsidRDefault="00852A20" w:rsidP="00192949">
            <w:pPr>
              <w:spacing w:line="360" w:lineRule="auto"/>
              <w:jc w:val="center"/>
              <w:rPr>
                <w:rFonts w:asciiTheme="majorHAnsi" w:hAnsiTheme="majorHAnsi" w:cs="Arial"/>
                <w:bCs/>
                <w:sz w:val="20"/>
                <w:szCs w:val="20"/>
              </w:rPr>
            </w:pPr>
            <w:r>
              <w:rPr>
                <w:rFonts w:asciiTheme="majorHAnsi" w:hAnsiTheme="majorHAnsi" w:cs="Arial"/>
                <w:bCs/>
                <w:sz w:val="20"/>
                <w:szCs w:val="20"/>
              </w:rPr>
              <w:t>0.668</w:t>
            </w:r>
          </w:p>
        </w:tc>
        <w:tc>
          <w:tcPr>
            <w:tcW w:w="1133" w:type="dxa"/>
            <w:tcBorders>
              <w:top w:val="nil"/>
              <w:bottom w:val="single" w:sz="4" w:space="0" w:color="auto"/>
            </w:tcBorders>
            <w:vAlign w:val="center"/>
          </w:tcPr>
          <w:p w14:paraId="4CD6AD6D" w14:textId="77777777" w:rsidR="00852A20" w:rsidRDefault="00852A20" w:rsidP="00192949">
            <w:pPr>
              <w:spacing w:line="360" w:lineRule="auto"/>
              <w:jc w:val="center"/>
              <w:rPr>
                <w:rFonts w:asciiTheme="majorHAnsi" w:hAnsiTheme="majorHAnsi" w:cs="Arial"/>
                <w:bCs/>
                <w:sz w:val="20"/>
                <w:szCs w:val="20"/>
              </w:rPr>
            </w:pPr>
            <w:r>
              <w:rPr>
                <w:rFonts w:asciiTheme="majorHAnsi" w:hAnsiTheme="majorHAnsi" w:cs="Arial"/>
                <w:bCs/>
                <w:sz w:val="20"/>
                <w:szCs w:val="20"/>
              </w:rPr>
              <w:t>0.720</w:t>
            </w:r>
          </w:p>
        </w:tc>
      </w:tr>
      <w:tr w:rsidR="00852A20" w14:paraId="06BE2CBE" w14:textId="77777777" w:rsidTr="00192949">
        <w:trPr>
          <w:trHeight w:hRule="exact" w:val="512"/>
        </w:trPr>
        <w:tc>
          <w:tcPr>
            <w:tcW w:w="6096" w:type="dxa"/>
            <w:tcBorders>
              <w:bottom w:val="single" w:sz="4" w:space="0" w:color="auto"/>
            </w:tcBorders>
            <w:shd w:val="clear" w:color="auto" w:fill="F2F2F2" w:themeFill="background1" w:themeFillShade="F2"/>
            <w:vAlign w:val="center"/>
          </w:tcPr>
          <w:p w14:paraId="2F96A6B6" w14:textId="77777777" w:rsidR="00852A20" w:rsidRPr="00742A47" w:rsidRDefault="00852A20" w:rsidP="00192949">
            <w:pPr>
              <w:spacing w:line="360" w:lineRule="auto"/>
              <w:rPr>
                <w:rFonts w:ascii="Calibri" w:hAnsi="Calibri"/>
                <w:b/>
                <w:bCs/>
                <w:sz w:val="20"/>
                <w:szCs w:val="20"/>
              </w:rPr>
            </w:pPr>
            <w:r>
              <w:rPr>
                <w:rFonts w:ascii="Calibri" w:hAnsi="Calibri"/>
                <w:b/>
                <w:bCs/>
                <w:sz w:val="20"/>
                <w:szCs w:val="20"/>
              </w:rPr>
              <w:t>Other classifications</w:t>
            </w:r>
          </w:p>
        </w:tc>
        <w:tc>
          <w:tcPr>
            <w:tcW w:w="1226" w:type="dxa"/>
            <w:tcBorders>
              <w:bottom w:val="single" w:sz="4" w:space="0" w:color="auto"/>
            </w:tcBorders>
            <w:shd w:val="clear" w:color="auto" w:fill="F2F2F2" w:themeFill="background1" w:themeFillShade="F2"/>
            <w:vAlign w:val="center"/>
          </w:tcPr>
          <w:p w14:paraId="41866903" w14:textId="77777777" w:rsidR="00852A20" w:rsidRDefault="00852A20" w:rsidP="00192949">
            <w:pPr>
              <w:spacing w:line="360" w:lineRule="auto"/>
              <w:jc w:val="center"/>
              <w:rPr>
                <w:rFonts w:asciiTheme="majorHAnsi" w:hAnsiTheme="majorHAnsi" w:cs="Arial"/>
                <w:sz w:val="20"/>
                <w:szCs w:val="20"/>
              </w:rPr>
            </w:pPr>
          </w:p>
        </w:tc>
        <w:tc>
          <w:tcPr>
            <w:tcW w:w="878" w:type="dxa"/>
            <w:tcBorders>
              <w:top w:val="nil"/>
              <w:bottom w:val="single" w:sz="4" w:space="0" w:color="auto"/>
            </w:tcBorders>
            <w:shd w:val="clear" w:color="auto" w:fill="F2F2F2" w:themeFill="background1" w:themeFillShade="F2"/>
            <w:vAlign w:val="center"/>
          </w:tcPr>
          <w:p w14:paraId="5C776A36" w14:textId="77777777" w:rsidR="00852A20" w:rsidRDefault="00852A20" w:rsidP="00192949">
            <w:pPr>
              <w:spacing w:line="360" w:lineRule="auto"/>
              <w:jc w:val="center"/>
              <w:rPr>
                <w:rFonts w:asciiTheme="majorHAnsi" w:hAnsiTheme="majorHAnsi" w:cs="Arial"/>
                <w:sz w:val="20"/>
                <w:szCs w:val="20"/>
              </w:rPr>
            </w:pPr>
          </w:p>
        </w:tc>
        <w:tc>
          <w:tcPr>
            <w:tcW w:w="1133" w:type="dxa"/>
            <w:tcBorders>
              <w:top w:val="nil"/>
              <w:bottom w:val="single" w:sz="4" w:space="0" w:color="auto"/>
            </w:tcBorders>
            <w:shd w:val="clear" w:color="auto" w:fill="F2F2F2" w:themeFill="background1" w:themeFillShade="F2"/>
            <w:vAlign w:val="center"/>
          </w:tcPr>
          <w:p w14:paraId="6C327673" w14:textId="77777777" w:rsidR="00852A20" w:rsidRDefault="00852A20" w:rsidP="00192949">
            <w:pPr>
              <w:spacing w:line="360" w:lineRule="auto"/>
              <w:jc w:val="center"/>
              <w:rPr>
                <w:rFonts w:asciiTheme="majorHAnsi" w:hAnsiTheme="majorHAnsi" w:cs="Arial"/>
                <w:sz w:val="20"/>
                <w:szCs w:val="20"/>
              </w:rPr>
            </w:pPr>
          </w:p>
        </w:tc>
        <w:tc>
          <w:tcPr>
            <w:tcW w:w="878" w:type="dxa"/>
            <w:tcBorders>
              <w:top w:val="nil"/>
              <w:bottom w:val="single" w:sz="4" w:space="0" w:color="auto"/>
            </w:tcBorders>
            <w:shd w:val="clear" w:color="auto" w:fill="F2F2F2" w:themeFill="background1" w:themeFillShade="F2"/>
            <w:vAlign w:val="center"/>
          </w:tcPr>
          <w:p w14:paraId="66F71C00" w14:textId="77777777" w:rsidR="00852A20" w:rsidRDefault="00852A20" w:rsidP="00192949">
            <w:pPr>
              <w:spacing w:line="360" w:lineRule="auto"/>
              <w:jc w:val="center"/>
              <w:rPr>
                <w:rFonts w:asciiTheme="majorHAnsi" w:hAnsiTheme="majorHAnsi" w:cs="Arial"/>
                <w:bCs/>
                <w:sz w:val="20"/>
                <w:szCs w:val="20"/>
              </w:rPr>
            </w:pPr>
          </w:p>
        </w:tc>
        <w:tc>
          <w:tcPr>
            <w:tcW w:w="1133" w:type="dxa"/>
            <w:tcBorders>
              <w:top w:val="nil"/>
              <w:bottom w:val="single" w:sz="4" w:space="0" w:color="auto"/>
            </w:tcBorders>
            <w:shd w:val="clear" w:color="auto" w:fill="F2F2F2" w:themeFill="background1" w:themeFillShade="F2"/>
            <w:vAlign w:val="center"/>
          </w:tcPr>
          <w:p w14:paraId="30FA2084" w14:textId="77777777" w:rsidR="00852A20" w:rsidRDefault="00852A20" w:rsidP="00192949">
            <w:pPr>
              <w:spacing w:line="360" w:lineRule="auto"/>
              <w:jc w:val="center"/>
              <w:rPr>
                <w:rFonts w:asciiTheme="majorHAnsi" w:hAnsiTheme="majorHAnsi" w:cs="Arial"/>
                <w:bCs/>
                <w:sz w:val="20"/>
                <w:szCs w:val="20"/>
              </w:rPr>
            </w:pPr>
          </w:p>
        </w:tc>
      </w:tr>
      <w:tr w:rsidR="00852A20" w14:paraId="222468AB" w14:textId="77777777" w:rsidTr="00192949">
        <w:trPr>
          <w:trHeight w:hRule="exact" w:val="497"/>
        </w:trPr>
        <w:tc>
          <w:tcPr>
            <w:tcW w:w="6096" w:type="dxa"/>
            <w:vMerge w:val="restart"/>
            <w:vAlign w:val="center"/>
          </w:tcPr>
          <w:p w14:paraId="48C71EC2" w14:textId="77777777" w:rsidR="00852A20" w:rsidRPr="00742A47" w:rsidRDefault="00852A20" w:rsidP="00192949">
            <w:pPr>
              <w:spacing w:line="360" w:lineRule="auto"/>
              <w:rPr>
                <w:rFonts w:ascii="Calibri" w:hAnsi="Calibri"/>
                <w:sz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w:t>
            </w:r>
            <w:r>
              <w:rPr>
                <w:rFonts w:ascii="Calibri" w:hAnsi="Calibri"/>
                <w:sz w:val="20"/>
                <w:szCs w:val="20"/>
              </w:rPr>
              <w:t xml:space="preserve">total number </w:t>
            </w:r>
            <w:r w:rsidRPr="00742A47">
              <w:rPr>
                <w:rFonts w:ascii="Calibri" w:hAnsi="Calibri"/>
                <w:sz w:val="20"/>
                <w:szCs w:val="20"/>
              </w:rPr>
              <w:t>LNRS 1-3</w:t>
            </w:r>
            <w:r>
              <w:rPr>
                <w:rFonts w:ascii="Calibri" w:hAnsi="Calibri"/>
                <w:sz w:val="20"/>
                <w:szCs w:val="20"/>
              </w:rPr>
              <w:t xml:space="preserve"> &gt; LNRS 4-5</w:t>
            </w:r>
            <w:r w:rsidRPr="00742A47">
              <w:rPr>
                <w:rFonts w:ascii="Calibri" w:hAnsi="Calibri"/>
                <w:sz w:val="20"/>
                <w:szCs w:val="20"/>
              </w:rPr>
              <w:t xml:space="preserve">) vs </w:t>
            </w:r>
            <w:r w:rsidRPr="00742A47">
              <w:rPr>
                <w:rFonts w:ascii="Calibri" w:hAnsi="Calibri"/>
                <w:i/>
                <w:iCs/>
                <w:sz w:val="20"/>
                <w:szCs w:val="20"/>
              </w:rPr>
              <w:t>No-respo</w:t>
            </w:r>
            <w:r>
              <w:rPr>
                <w:rFonts w:ascii="Calibri" w:hAnsi="Calibri"/>
                <w:i/>
                <w:iCs/>
                <w:sz w:val="20"/>
                <w:szCs w:val="20"/>
              </w:rPr>
              <w:t>nse</w:t>
            </w:r>
            <w:r w:rsidRPr="00742A47">
              <w:rPr>
                <w:rFonts w:ascii="Calibri" w:hAnsi="Calibri"/>
                <w:i/>
                <w:iCs/>
                <w:sz w:val="20"/>
                <w:szCs w:val="20"/>
              </w:rPr>
              <w:t xml:space="preserve"> </w:t>
            </w:r>
            <w:r w:rsidRPr="00742A47">
              <w:rPr>
                <w:rFonts w:ascii="Calibri" w:hAnsi="Calibri"/>
                <w:sz w:val="20"/>
                <w:szCs w:val="20"/>
              </w:rPr>
              <w:t>(</w:t>
            </w:r>
            <w:r>
              <w:rPr>
                <w:rFonts w:ascii="Calibri" w:hAnsi="Calibri"/>
                <w:sz w:val="20"/>
                <w:szCs w:val="20"/>
              </w:rPr>
              <w:t xml:space="preserve">total number </w:t>
            </w:r>
            <w:r w:rsidRPr="00006AFD">
              <w:rPr>
                <w:rFonts w:ascii="Calibri" w:hAnsi="Calibri"/>
                <w:sz w:val="20"/>
                <w:szCs w:val="20"/>
              </w:rPr>
              <w:t>LNRS</w:t>
            </w:r>
            <w:r w:rsidRPr="00742A47">
              <w:rPr>
                <w:rFonts w:ascii="Calibri" w:hAnsi="Calibri"/>
                <w:sz w:val="20"/>
                <w:szCs w:val="20"/>
              </w:rPr>
              <w:t xml:space="preserve"> 4-5</w:t>
            </w:r>
            <w:r>
              <w:rPr>
                <w:rFonts w:ascii="Calibri" w:hAnsi="Calibri"/>
                <w:sz w:val="20"/>
                <w:szCs w:val="20"/>
              </w:rPr>
              <w:t xml:space="preserve"> &lt; LNRS 1-3</w:t>
            </w:r>
            <w:r w:rsidRPr="00742A47">
              <w:rPr>
                <w:rFonts w:ascii="Calibri" w:hAnsi="Calibri"/>
                <w:sz w:val="20"/>
                <w:szCs w:val="20"/>
              </w:rPr>
              <w:t>) vs</w:t>
            </w:r>
            <w:r w:rsidRPr="00742A47">
              <w:rPr>
                <w:rFonts w:ascii="Calibri" w:hAnsi="Calibri"/>
                <w:i/>
                <w:iCs/>
                <w:sz w:val="20"/>
                <w:szCs w:val="20"/>
              </w:rPr>
              <w:t xml:space="preserve"> Negative</w:t>
            </w:r>
            <w:r>
              <w:rPr>
                <w:rFonts w:ascii="Calibri" w:hAnsi="Calibri"/>
                <w:i/>
                <w:iCs/>
                <w:sz w:val="20"/>
                <w:szCs w:val="20"/>
              </w:rPr>
              <w:t xml:space="preserve"> LNs</w:t>
            </w:r>
          </w:p>
        </w:tc>
        <w:tc>
          <w:tcPr>
            <w:tcW w:w="1226" w:type="dxa"/>
            <w:tcBorders>
              <w:bottom w:val="nil"/>
            </w:tcBorders>
            <w:vAlign w:val="center"/>
          </w:tcPr>
          <w:p w14:paraId="19F3D8FD"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AIC</w:t>
            </w:r>
          </w:p>
        </w:tc>
        <w:tc>
          <w:tcPr>
            <w:tcW w:w="878" w:type="dxa"/>
            <w:tcBorders>
              <w:top w:val="nil"/>
              <w:bottom w:val="nil"/>
            </w:tcBorders>
            <w:vAlign w:val="center"/>
          </w:tcPr>
          <w:p w14:paraId="3AD81397" w14:textId="77777777" w:rsidR="00852A20" w:rsidRPr="00D65AD8"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5124.79</w:t>
            </w:r>
          </w:p>
        </w:tc>
        <w:tc>
          <w:tcPr>
            <w:tcW w:w="1133" w:type="dxa"/>
            <w:tcBorders>
              <w:top w:val="nil"/>
              <w:bottom w:val="nil"/>
            </w:tcBorders>
            <w:vAlign w:val="center"/>
          </w:tcPr>
          <w:p w14:paraId="0E744BBE" w14:textId="77777777" w:rsidR="00852A20" w:rsidRPr="00795BAE" w:rsidRDefault="00852A20" w:rsidP="00192949">
            <w:pPr>
              <w:spacing w:line="360" w:lineRule="auto"/>
              <w:jc w:val="center"/>
              <w:rPr>
                <w:rFonts w:asciiTheme="majorHAnsi" w:hAnsiTheme="majorHAnsi" w:cs="Arial"/>
                <w:b/>
                <w:bCs/>
                <w:sz w:val="20"/>
                <w:szCs w:val="20"/>
              </w:rPr>
            </w:pPr>
            <w:r>
              <w:rPr>
                <w:rFonts w:asciiTheme="majorHAnsi" w:hAnsiTheme="majorHAnsi" w:cs="Arial"/>
                <w:sz w:val="20"/>
                <w:szCs w:val="20"/>
              </w:rPr>
              <w:t>5473.73</w:t>
            </w:r>
          </w:p>
        </w:tc>
        <w:tc>
          <w:tcPr>
            <w:tcW w:w="878" w:type="dxa"/>
            <w:tcBorders>
              <w:top w:val="nil"/>
              <w:bottom w:val="nil"/>
            </w:tcBorders>
            <w:vAlign w:val="center"/>
          </w:tcPr>
          <w:p w14:paraId="1E8A813B" w14:textId="77777777" w:rsidR="00852A20" w:rsidRDefault="00852A20" w:rsidP="00192949">
            <w:pPr>
              <w:spacing w:line="360" w:lineRule="auto"/>
              <w:jc w:val="center"/>
              <w:rPr>
                <w:rFonts w:asciiTheme="majorHAnsi" w:hAnsiTheme="majorHAnsi" w:cs="Arial"/>
                <w:bCs/>
                <w:sz w:val="20"/>
                <w:szCs w:val="20"/>
              </w:rPr>
            </w:pPr>
            <w:r w:rsidRPr="00795BAE">
              <w:rPr>
                <w:rFonts w:asciiTheme="majorHAnsi" w:hAnsiTheme="majorHAnsi" w:cs="Arial"/>
                <w:b/>
                <w:color w:val="FF0000"/>
                <w:sz w:val="20"/>
                <w:szCs w:val="20"/>
              </w:rPr>
              <w:t>50</w:t>
            </w:r>
            <w:r>
              <w:rPr>
                <w:rFonts w:asciiTheme="majorHAnsi" w:hAnsiTheme="majorHAnsi" w:cs="Arial"/>
                <w:b/>
                <w:color w:val="FF0000"/>
                <w:sz w:val="20"/>
                <w:szCs w:val="20"/>
              </w:rPr>
              <w:t>69.57</w:t>
            </w:r>
            <w:r w:rsidRPr="00054E70">
              <w:rPr>
                <w:rFonts w:ascii="Calibri" w:hAnsi="Calibri"/>
                <w:color w:val="FF0000"/>
                <w:sz w:val="20"/>
              </w:rPr>
              <w:t>*</w:t>
            </w:r>
          </w:p>
        </w:tc>
        <w:tc>
          <w:tcPr>
            <w:tcW w:w="1133" w:type="dxa"/>
            <w:tcBorders>
              <w:top w:val="nil"/>
              <w:bottom w:val="nil"/>
            </w:tcBorders>
            <w:vAlign w:val="center"/>
          </w:tcPr>
          <w:p w14:paraId="428C79AB" w14:textId="77777777" w:rsidR="00852A20" w:rsidRPr="00A504D1" w:rsidRDefault="00852A20" w:rsidP="00192949">
            <w:pPr>
              <w:spacing w:line="360" w:lineRule="auto"/>
              <w:jc w:val="center"/>
              <w:rPr>
                <w:rFonts w:asciiTheme="majorHAnsi" w:hAnsiTheme="majorHAnsi" w:cs="Arial"/>
                <w:b/>
                <w:sz w:val="20"/>
                <w:szCs w:val="20"/>
              </w:rPr>
            </w:pPr>
            <w:r>
              <w:rPr>
                <w:rFonts w:asciiTheme="majorHAnsi" w:hAnsiTheme="majorHAnsi" w:cs="Arial"/>
                <w:bCs/>
                <w:sz w:val="20"/>
                <w:szCs w:val="20"/>
              </w:rPr>
              <w:t>5417.66</w:t>
            </w:r>
          </w:p>
        </w:tc>
      </w:tr>
      <w:tr w:rsidR="00852A20" w14:paraId="2506740C" w14:textId="77777777" w:rsidTr="00192949">
        <w:trPr>
          <w:trHeight w:hRule="exact" w:val="419"/>
        </w:trPr>
        <w:tc>
          <w:tcPr>
            <w:tcW w:w="6096" w:type="dxa"/>
            <w:vMerge/>
            <w:tcBorders>
              <w:bottom w:val="single" w:sz="4" w:space="0" w:color="auto"/>
            </w:tcBorders>
            <w:vAlign w:val="center"/>
          </w:tcPr>
          <w:p w14:paraId="69D02FE6" w14:textId="77777777" w:rsidR="00852A20" w:rsidRPr="00742A47"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72CA8B34" w14:textId="77777777" w:rsidR="00852A20" w:rsidRDefault="00852A20" w:rsidP="00192949">
            <w:pPr>
              <w:spacing w:line="360" w:lineRule="auto"/>
              <w:jc w:val="center"/>
              <w:rPr>
                <w:rFonts w:asciiTheme="majorHAnsi" w:hAnsiTheme="majorHAnsi" w:cs="Arial"/>
                <w:sz w:val="20"/>
                <w:szCs w:val="20"/>
              </w:rPr>
            </w:pPr>
            <w:r>
              <w:rPr>
                <w:rFonts w:ascii="Calibri" w:hAnsi="Calibri"/>
                <w:sz w:val="20"/>
              </w:rPr>
              <w:t>C-index</w:t>
            </w:r>
          </w:p>
        </w:tc>
        <w:tc>
          <w:tcPr>
            <w:tcW w:w="878" w:type="dxa"/>
            <w:tcBorders>
              <w:top w:val="nil"/>
              <w:bottom w:val="single" w:sz="4" w:space="0" w:color="auto"/>
            </w:tcBorders>
            <w:vAlign w:val="center"/>
          </w:tcPr>
          <w:p w14:paraId="5F4B455F" w14:textId="77777777" w:rsidR="00852A20" w:rsidRDefault="00852A20" w:rsidP="00192949">
            <w:pPr>
              <w:spacing w:line="360" w:lineRule="auto"/>
              <w:jc w:val="center"/>
              <w:rPr>
                <w:rFonts w:asciiTheme="majorHAnsi" w:hAnsiTheme="majorHAnsi" w:cs="Arial"/>
                <w:sz w:val="20"/>
                <w:szCs w:val="20"/>
              </w:rPr>
            </w:pPr>
            <w:r>
              <w:rPr>
                <w:rFonts w:asciiTheme="majorHAnsi" w:hAnsiTheme="majorHAnsi" w:cs="Arial"/>
                <w:sz w:val="20"/>
                <w:szCs w:val="20"/>
              </w:rPr>
              <w:t>0.669</w:t>
            </w:r>
          </w:p>
        </w:tc>
        <w:tc>
          <w:tcPr>
            <w:tcW w:w="1133" w:type="dxa"/>
            <w:tcBorders>
              <w:top w:val="nil"/>
              <w:bottom w:val="single" w:sz="4" w:space="0" w:color="auto"/>
            </w:tcBorders>
            <w:vAlign w:val="center"/>
          </w:tcPr>
          <w:p w14:paraId="65B13489" w14:textId="77777777" w:rsidR="00852A20" w:rsidRPr="00F16F40" w:rsidRDefault="00852A20" w:rsidP="00192949">
            <w:pPr>
              <w:spacing w:line="360" w:lineRule="auto"/>
              <w:jc w:val="center"/>
              <w:rPr>
                <w:rFonts w:asciiTheme="majorHAnsi" w:hAnsiTheme="majorHAnsi" w:cs="Arial"/>
                <w:sz w:val="20"/>
                <w:szCs w:val="20"/>
              </w:rPr>
            </w:pPr>
            <w:r w:rsidRPr="00795BAE">
              <w:rPr>
                <w:rFonts w:asciiTheme="majorHAnsi" w:hAnsiTheme="majorHAnsi" w:cs="Arial"/>
                <w:b/>
                <w:bCs/>
                <w:color w:val="FF0000"/>
                <w:sz w:val="20"/>
                <w:szCs w:val="20"/>
              </w:rPr>
              <w:t>0.715</w:t>
            </w:r>
            <w:r w:rsidRPr="00054E70">
              <w:rPr>
                <w:rFonts w:ascii="Calibri" w:hAnsi="Calibri"/>
                <w:color w:val="FF0000"/>
                <w:sz w:val="20"/>
              </w:rPr>
              <w:t>*</w:t>
            </w:r>
            <w:r>
              <w:rPr>
                <w:rFonts w:ascii="Calibri" w:hAnsi="Calibri"/>
                <w:color w:val="FF0000"/>
                <w:sz w:val="20"/>
              </w:rPr>
              <w:t>*</w:t>
            </w:r>
          </w:p>
        </w:tc>
        <w:tc>
          <w:tcPr>
            <w:tcW w:w="878" w:type="dxa"/>
            <w:tcBorders>
              <w:top w:val="nil"/>
              <w:bottom w:val="single" w:sz="4" w:space="0" w:color="auto"/>
            </w:tcBorders>
            <w:vAlign w:val="center"/>
          </w:tcPr>
          <w:p w14:paraId="5A39629B" w14:textId="77777777" w:rsidR="00852A20" w:rsidRPr="00795BAE" w:rsidRDefault="00852A20" w:rsidP="00192949">
            <w:pPr>
              <w:spacing w:line="360" w:lineRule="auto"/>
              <w:jc w:val="center"/>
              <w:rPr>
                <w:rFonts w:asciiTheme="majorHAnsi" w:hAnsiTheme="majorHAnsi" w:cs="Arial"/>
                <w:b/>
                <w:sz w:val="20"/>
                <w:szCs w:val="20"/>
              </w:rPr>
            </w:pPr>
            <w:r>
              <w:rPr>
                <w:rFonts w:asciiTheme="majorHAnsi" w:hAnsiTheme="majorHAnsi" w:cs="Arial"/>
                <w:bCs/>
                <w:sz w:val="20"/>
                <w:szCs w:val="20"/>
              </w:rPr>
              <w:t>0.669</w:t>
            </w:r>
          </w:p>
        </w:tc>
        <w:tc>
          <w:tcPr>
            <w:tcW w:w="1133" w:type="dxa"/>
            <w:tcBorders>
              <w:top w:val="nil"/>
              <w:bottom w:val="single" w:sz="4" w:space="0" w:color="auto"/>
            </w:tcBorders>
            <w:vAlign w:val="center"/>
          </w:tcPr>
          <w:p w14:paraId="6688B14B" w14:textId="77777777" w:rsidR="00852A20" w:rsidRDefault="00852A20" w:rsidP="00192949">
            <w:pPr>
              <w:spacing w:line="360" w:lineRule="auto"/>
              <w:jc w:val="center"/>
              <w:rPr>
                <w:rFonts w:asciiTheme="majorHAnsi" w:hAnsiTheme="majorHAnsi" w:cs="Arial"/>
                <w:bCs/>
                <w:sz w:val="20"/>
                <w:szCs w:val="20"/>
              </w:rPr>
            </w:pPr>
            <w:r>
              <w:rPr>
                <w:rFonts w:asciiTheme="majorHAnsi" w:hAnsiTheme="majorHAnsi" w:cs="Arial"/>
                <w:bCs/>
                <w:sz w:val="20"/>
                <w:szCs w:val="20"/>
              </w:rPr>
              <w:t>0.719</w:t>
            </w:r>
          </w:p>
        </w:tc>
      </w:tr>
      <w:tr w:rsidR="00852A20" w14:paraId="64B05E08" w14:textId="77777777" w:rsidTr="00192949">
        <w:trPr>
          <w:trHeight w:hRule="exact" w:val="566"/>
        </w:trPr>
        <w:tc>
          <w:tcPr>
            <w:tcW w:w="6096" w:type="dxa"/>
            <w:vMerge w:val="restart"/>
            <w:vAlign w:val="center"/>
          </w:tcPr>
          <w:p w14:paraId="039EB61F" w14:textId="77777777" w:rsidR="00852A20" w:rsidRPr="00713CA2" w:rsidRDefault="00852A20" w:rsidP="00192949">
            <w:pPr>
              <w:spacing w:line="360" w:lineRule="auto"/>
              <w:rPr>
                <w:rFonts w:ascii="Calibri" w:hAnsi="Calibri"/>
                <w:b/>
                <w:bCs/>
                <w:sz w:val="20"/>
              </w:rPr>
            </w:pPr>
            <w:r>
              <w:rPr>
                <w:rFonts w:ascii="Calibri" w:hAnsi="Calibri"/>
                <w:i/>
                <w:iCs/>
                <w:sz w:val="20"/>
                <w:szCs w:val="20"/>
              </w:rPr>
              <w:t>Response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-3, no LNRS 4-5</w:t>
            </w:r>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Pr>
                <w:rFonts w:ascii="Calibri" w:hAnsi="Calibri"/>
                <w:i/>
                <w:iCs/>
                <w:sz w:val="20"/>
                <w:szCs w:val="20"/>
              </w:rPr>
              <w:t xml:space="preserve">Mixed response </w:t>
            </w:r>
            <w:r w:rsidRPr="00742A47">
              <w:rPr>
                <w:rFonts w:ascii="Calibri" w:hAnsi="Calibri"/>
                <w:sz w:val="20"/>
                <w:szCs w:val="20"/>
              </w:rPr>
              <w:t>(LNRS 1-</w:t>
            </w:r>
            <w:r>
              <w:rPr>
                <w:rFonts w:ascii="Calibri" w:hAnsi="Calibri"/>
                <w:sz w:val="20"/>
                <w:szCs w:val="20"/>
              </w:rPr>
              <w:t xml:space="preserve">3 and LNRS 4-5) </w:t>
            </w:r>
            <w:r w:rsidRPr="00742A47">
              <w:rPr>
                <w:rFonts w:ascii="Calibri" w:hAnsi="Calibri"/>
                <w:sz w:val="20"/>
                <w:szCs w:val="20"/>
              </w:rPr>
              <w:t xml:space="preserve">vs </w:t>
            </w:r>
            <w:r w:rsidRPr="00742A47">
              <w:rPr>
                <w:rFonts w:ascii="Calibri" w:hAnsi="Calibri"/>
                <w:i/>
                <w:iCs/>
                <w:sz w:val="20"/>
                <w:szCs w:val="20"/>
              </w:rPr>
              <w:t>No response</w:t>
            </w:r>
            <w:r w:rsidRPr="00742A47">
              <w:rPr>
                <w:rFonts w:ascii="Calibri" w:hAnsi="Calibri"/>
                <w:sz w:val="20"/>
                <w:szCs w:val="20"/>
              </w:rPr>
              <w:t xml:space="preserve"> (LNRS 4-5</w:t>
            </w:r>
            <w:r>
              <w:rPr>
                <w:rFonts w:ascii="Calibri" w:hAnsi="Calibri"/>
                <w:sz w:val="20"/>
                <w:szCs w:val="20"/>
              </w:rPr>
              <w:t>, no LNRS 1-3</w:t>
            </w:r>
            <w:r w:rsidRPr="00742A47">
              <w:rPr>
                <w:rFonts w:ascii="Calibri" w:hAnsi="Calibri"/>
                <w:sz w:val="20"/>
                <w:szCs w:val="20"/>
              </w:rPr>
              <w:t xml:space="preserve">) vs </w:t>
            </w:r>
            <w:r w:rsidRPr="00742A47">
              <w:rPr>
                <w:rFonts w:ascii="Calibri" w:hAnsi="Calibri"/>
                <w:i/>
                <w:iCs/>
                <w:sz w:val="20"/>
                <w:szCs w:val="20"/>
              </w:rPr>
              <w:t>Negative</w:t>
            </w:r>
            <w:r>
              <w:rPr>
                <w:rFonts w:ascii="Calibri" w:hAnsi="Calibri"/>
                <w:i/>
                <w:iCs/>
                <w:sz w:val="20"/>
                <w:szCs w:val="20"/>
              </w:rPr>
              <w:t xml:space="preserve"> LNs</w:t>
            </w:r>
          </w:p>
        </w:tc>
        <w:tc>
          <w:tcPr>
            <w:tcW w:w="1226" w:type="dxa"/>
            <w:tcBorders>
              <w:bottom w:val="nil"/>
            </w:tcBorders>
            <w:vAlign w:val="center"/>
          </w:tcPr>
          <w:p w14:paraId="7ABD7ADB"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Pr>
                <w:rFonts w:ascii="Calibri" w:hAnsi="Calibri"/>
                <w:sz w:val="20"/>
              </w:rPr>
              <w:t>AIC</w:t>
            </w:r>
          </w:p>
        </w:tc>
        <w:tc>
          <w:tcPr>
            <w:tcW w:w="878" w:type="dxa"/>
            <w:tcBorders>
              <w:top w:val="single" w:sz="4" w:space="0" w:color="auto"/>
              <w:bottom w:val="nil"/>
            </w:tcBorders>
            <w:vAlign w:val="center"/>
          </w:tcPr>
          <w:p w14:paraId="521F1B38" w14:textId="77777777" w:rsidR="00852A20" w:rsidRPr="00795BAE" w:rsidRDefault="00852A20" w:rsidP="00192949">
            <w:pPr>
              <w:spacing w:line="360" w:lineRule="auto"/>
              <w:jc w:val="center"/>
              <w:rPr>
                <w:rFonts w:asciiTheme="majorHAnsi" w:hAnsiTheme="majorHAnsi" w:cs="Arial"/>
                <w:b/>
                <w:bCs/>
                <w:color w:val="FF0000"/>
                <w:sz w:val="20"/>
                <w:szCs w:val="20"/>
              </w:rPr>
            </w:pPr>
            <w:r>
              <w:rPr>
                <w:rFonts w:asciiTheme="majorHAnsi" w:hAnsiTheme="majorHAnsi" w:cs="Arial"/>
                <w:color w:val="000000" w:themeColor="text1"/>
                <w:sz w:val="20"/>
                <w:szCs w:val="20"/>
              </w:rPr>
              <w:t>5122.41</w:t>
            </w:r>
          </w:p>
        </w:tc>
        <w:tc>
          <w:tcPr>
            <w:tcW w:w="1133" w:type="dxa"/>
            <w:tcBorders>
              <w:top w:val="single" w:sz="4" w:space="0" w:color="auto"/>
              <w:bottom w:val="nil"/>
            </w:tcBorders>
            <w:vAlign w:val="center"/>
          </w:tcPr>
          <w:p w14:paraId="0E641055" w14:textId="77777777" w:rsidR="00852A20" w:rsidRPr="00795BAE" w:rsidRDefault="00852A20" w:rsidP="00192949">
            <w:pPr>
              <w:spacing w:line="360" w:lineRule="auto"/>
              <w:jc w:val="center"/>
              <w:rPr>
                <w:rFonts w:asciiTheme="majorHAnsi" w:hAnsiTheme="majorHAnsi" w:cs="Arial"/>
                <w:b/>
                <w:bCs/>
                <w:color w:val="FF0000"/>
                <w:sz w:val="20"/>
                <w:szCs w:val="20"/>
              </w:rPr>
            </w:pPr>
            <w:r>
              <w:rPr>
                <w:rFonts w:asciiTheme="majorHAnsi" w:hAnsiTheme="majorHAnsi" w:cs="Arial"/>
                <w:color w:val="000000" w:themeColor="text1"/>
                <w:sz w:val="20"/>
                <w:szCs w:val="20"/>
              </w:rPr>
              <w:t>5465.76</w:t>
            </w:r>
          </w:p>
        </w:tc>
        <w:tc>
          <w:tcPr>
            <w:tcW w:w="878" w:type="dxa"/>
            <w:tcBorders>
              <w:top w:val="single" w:sz="4" w:space="0" w:color="auto"/>
              <w:bottom w:val="nil"/>
            </w:tcBorders>
            <w:vAlign w:val="center"/>
          </w:tcPr>
          <w:p w14:paraId="2FD35051"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Pr>
                <w:rFonts w:asciiTheme="majorHAnsi" w:hAnsiTheme="majorHAnsi" w:cs="Arial"/>
                <w:color w:val="000000" w:themeColor="text1"/>
                <w:sz w:val="20"/>
                <w:szCs w:val="20"/>
              </w:rPr>
              <w:t>5072.27</w:t>
            </w:r>
          </w:p>
        </w:tc>
        <w:tc>
          <w:tcPr>
            <w:tcW w:w="1133" w:type="dxa"/>
            <w:tcBorders>
              <w:top w:val="single" w:sz="4" w:space="0" w:color="auto"/>
              <w:bottom w:val="nil"/>
            </w:tcBorders>
            <w:vAlign w:val="center"/>
          </w:tcPr>
          <w:p w14:paraId="58BCF92F" w14:textId="77777777" w:rsidR="00852A20" w:rsidRPr="00795BAE" w:rsidRDefault="00852A20" w:rsidP="00192949">
            <w:pPr>
              <w:spacing w:line="360" w:lineRule="auto"/>
              <w:jc w:val="center"/>
              <w:rPr>
                <w:rFonts w:asciiTheme="majorHAnsi" w:hAnsiTheme="majorHAnsi" w:cs="Arial"/>
                <w:b/>
                <w:bCs/>
                <w:color w:val="000000" w:themeColor="text1"/>
                <w:sz w:val="20"/>
                <w:szCs w:val="20"/>
              </w:rPr>
            </w:pPr>
            <w:r>
              <w:rPr>
                <w:rFonts w:asciiTheme="majorHAnsi" w:hAnsiTheme="majorHAnsi" w:cs="Arial"/>
                <w:color w:val="000000" w:themeColor="text1"/>
                <w:sz w:val="20"/>
                <w:szCs w:val="20"/>
              </w:rPr>
              <w:t>5415.90</w:t>
            </w:r>
          </w:p>
        </w:tc>
      </w:tr>
      <w:tr w:rsidR="00852A20" w14:paraId="1AD13A94" w14:textId="77777777" w:rsidTr="00192949">
        <w:trPr>
          <w:trHeight w:hRule="exact" w:val="433"/>
        </w:trPr>
        <w:tc>
          <w:tcPr>
            <w:tcW w:w="6096" w:type="dxa"/>
            <w:vMerge/>
            <w:vAlign w:val="center"/>
          </w:tcPr>
          <w:p w14:paraId="5D145091" w14:textId="77777777" w:rsidR="00852A20" w:rsidRDefault="00852A20" w:rsidP="00192949">
            <w:pPr>
              <w:spacing w:line="360" w:lineRule="auto"/>
              <w:rPr>
                <w:rFonts w:ascii="Calibri" w:hAnsi="Calibri"/>
                <w:i/>
                <w:iCs/>
                <w:sz w:val="20"/>
                <w:szCs w:val="20"/>
              </w:rPr>
            </w:pPr>
          </w:p>
        </w:tc>
        <w:tc>
          <w:tcPr>
            <w:tcW w:w="1226" w:type="dxa"/>
            <w:tcBorders>
              <w:top w:val="nil"/>
              <w:bottom w:val="single" w:sz="4" w:space="0" w:color="auto"/>
            </w:tcBorders>
            <w:vAlign w:val="center"/>
          </w:tcPr>
          <w:p w14:paraId="6F63A796"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Pr>
                <w:rFonts w:ascii="Calibri" w:hAnsi="Calibri"/>
                <w:sz w:val="20"/>
              </w:rPr>
              <w:t>C-index</w:t>
            </w:r>
          </w:p>
        </w:tc>
        <w:tc>
          <w:tcPr>
            <w:tcW w:w="878" w:type="dxa"/>
            <w:tcBorders>
              <w:top w:val="nil"/>
              <w:bottom w:val="single" w:sz="4" w:space="0" w:color="auto"/>
            </w:tcBorders>
            <w:vAlign w:val="center"/>
          </w:tcPr>
          <w:p w14:paraId="5D210852"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sidRPr="00795BAE">
              <w:rPr>
                <w:rFonts w:asciiTheme="majorHAnsi" w:hAnsiTheme="majorHAnsi" w:cs="Arial"/>
                <w:b/>
                <w:bCs/>
                <w:color w:val="FF0000"/>
                <w:sz w:val="20"/>
                <w:szCs w:val="20"/>
              </w:rPr>
              <w:t>0.676</w:t>
            </w:r>
            <w:r w:rsidRPr="00054E70">
              <w:rPr>
                <w:rFonts w:ascii="Calibri" w:hAnsi="Calibri"/>
                <w:color w:val="FF0000"/>
                <w:sz w:val="20"/>
              </w:rPr>
              <w:t>*</w:t>
            </w:r>
            <w:r>
              <w:rPr>
                <w:rFonts w:ascii="Calibri" w:hAnsi="Calibri"/>
                <w:color w:val="FF0000"/>
                <w:sz w:val="20"/>
              </w:rPr>
              <w:t>*</w:t>
            </w:r>
          </w:p>
        </w:tc>
        <w:tc>
          <w:tcPr>
            <w:tcW w:w="1133" w:type="dxa"/>
            <w:tcBorders>
              <w:top w:val="nil"/>
              <w:bottom w:val="single" w:sz="4" w:space="0" w:color="auto"/>
            </w:tcBorders>
            <w:vAlign w:val="center"/>
          </w:tcPr>
          <w:p w14:paraId="5749221B"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sidRPr="00795BAE">
              <w:rPr>
                <w:rFonts w:asciiTheme="majorHAnsi" w:hAnsiTheme="majorHAnsi" w:cs="Arial"/>
                <w:b/>
                <w:bCs/>
                <w:color w:val="FF0000"/>
                <w:sz w:val="20"/>
                <w:szCs w:val="20"/>
              </w:rPr>
              <w:t>0.715</w:t>
            </w:r>
            <w:r w:rsidRPr="00054E70">
              <w:rPr>
                <w:rFonts w:ascii="Calibri" w:hAnsi="Calibri"/>
                <w:color w:val="FF0000"/>
                <w:sz w:val="20"/>
              </w:rPr>
              <w:t>*</w:t>
            </w:r>
            <w:r>
              <w:rPr>
                <w:rFonts w:ascii="Calibri" w:hAnsi="Calibri"/>
                <w:color w:val="FF0000"/>
                <w:sz w:val="20"/>
              </w:rPr>
              <w:t>*</w:t>
            </w:r>
          </w:p>
        </w:tc>
        <w:tc>
          <w:tcPr>
            <w:tcW w:w="878" w:type="dxa"/>
            <w:tcBorders>
              <w:top w:val="nil"/>
              <w:bottom w:val="single" w:sz="4" w:space="0" w:color="auto"/>
            </w:tcBorders>
            <w:vAlign w:val="center"/>
          </w:tcPr>
          <w:p w14:paraId="2BAE4A5D"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sidRPr="00D1034A">
              <w:rPr>
                <w:rFonts w:asciiTheme="majorHAnsi" w:hAnsiTheme="majorHAnsi" w:cs="Arial"/>
                <w:color w:val="000000" w:themeColor="text1"/>
                <w:sz w:val="20"/>
                <w:szCs w:val="20"/>
              </w:rPr>
              <w:t>0.678</w:t>
            </w:r>
          </w:p>
        </w:tc>
        <w:tc>
          <w:tcPr>
            <w:tcW w:w="1133" w:type="dxa"/>
            <w:tcBorders>
              <w:top w:val="nil"/>
              <w:bottom w:val="single" w:sz="4" w:space="0" w:color="auto"/>
            </w:tcBorders>
            <w:vAlign w:val="center"/>
          </w:tcPr>
          <w:p w14:paraId="5867A27B" w14:textId="77777777" w:rsidR="00852A20" w:rsidRPr="00D1034A" w:rsidRDefault="00852A20" w:rsidP="00192949">
            <w:pPr>
              <w:spacing w:line="360" w:lineRule="auto"/>
              <w:jc w:val="center"/>
              <w:rPr>
                <w:rFonts w:asciiTheme="majorHAnsi" w:hAnsiTheme="majorHAnsi" w:cs="Arial"/>
                <w:color w:val="000000" w:themeColor="text1"/>
                <w:sz w:val="20"/>
                <w:szCs w:val="20"/>
              </w:rPr>
            </w:pPr>
            <w:r w:rsidRPr="00795BAE">
              <w:rPr>
                <w:rFonts w:asciiTheme="majorHAnsi" w:hAnsiTheme="majorHAnsi" w:cs="Arial"/>
                <w:b/>
                <w:bCs/>
                <w:color w:val="FF0000"/>
                <w:sz w:val="20"/>
                <w:szCs w:val="20"/>
              </w:rPr>
              <w:t>0.721</w:t>
            </w:r>
            <w:r w:rsidRPr="00054E70">
              <w:rPr>
                <w:rFonts w:ascii="Calibri" w:hAnsi="Calibri"/>
                <w:color w:val="FF0000"/>
                <w:sz w:val="20"/>
              </w:rPr>
              <w:t>*</w:t>
            </w:r>
          </w:p>
        </w:tc>
      </w:tr>
    </w:tbl>
    <w:p w14:paraId="67C0F6D6" w14:textId="71CD8C22" w:rsidR="00852A20" w:rsidRDefault="00852A20" w:rsidP="00852A20">
      <w:pPr>
        <w:spacing w:line="360" w:lineRule="auto"/>
        <w:ind w:left="1080"/>
        <w:jc w:val="right"/>
        <w:rPr>
          <w:rFonts w:ascii="Calibri" w:hAnsi="Calibri"/>
          <w:sz w:val="20"/>
          <w:szCs w:val="20"/>
        </w:rPr>
      </w:pPr>
      <w:proofErr w:type="spellStart"/>
      <w:proofErr w:type="gramStart"/>
      <w:r>
        <w:rPr>
          <w:rFonts w:ascii="Calibri" w:hAnsi="Calibri"/>
          <w:sz w:val="20"/>
          <w:szCs w:val="20"/>
          <w:vertAlign w:val="superscript"/>
        </w:rPr>
        <w:t>a</w:t>
      </w:r>
      <w:proofErr w:type="spellEnd"/>
      <w:proofErr w:type="gramEnd"/>
      <w:r w:rsidRPr="00827EA1">
        <w:rPr>
          <w:rFonts w:ascii="Calibri" w:hAnsi="Calibri"/>
          <w:sz w:val="20"/>
          <w:szCs w:val="20"/>
        </w:rPr>
        <w:t xml:space="preserve"> Adjusted for </w:t>
      </w:r>
      <w:r>
        <w:rPr>
          <w:rFonts w:ascii="Calibri" w:hAnsi="Calibri"/>
          <w:sz w:val="20"/>
          <w:szCs w:val="20"/>
        </w:rPr>
        <w:t>a</w:t>
      </w:r>
      <w:r w:rsidRPr="00827EA1">
        <w:rPr>
          <w:rFonts w:ascii="Calibri" w:hAnsi="Calibri"/>
          <w:sz w:val="20"/>
          <w:szCs w:val="20"/>
        </w:rPr>
        <w:t xml:space="preserve">ge (continuous), </w:t>
      </w:r>
      <w:r>
        <w:rPr>
          <w:rFonts w:ascii="Calibri" w:hAnsi="Calibri"/>
          <w:sz w:val="20"/>
          <w:szCs w:val="20"/>
        </w:rPr>
        <w:t>s</w:t>
      </w:r>
      <w:r w:rsidRPr="00827EA1">
        <w:rPr>
          <w:rFonts w:ascii="Calibri" w:hAnsi="Calibri"/>
          <w:sz w:val="20"/>
          <w:szCs w:val="20"/>
        </w:rPr>
        <w:t>ex</w:t>
      </w:r>
      <w:r>
        <w:rPr>
          <w:rFonts w:ascii="Calibri" w:hAnsi="Calibri"/>
          <w:sz w:val="20"/>
          <w:szCs w:val="20"/>
        </w:rPr>
        <w:t xml:space="preserve"> (male or female)</w:t>
      </w:r>
      <w:r w:rsidRPr="00827EA1">
        <w:rPr>
          <w:rFonts w:ascii="Calibri" w:hAnsi="Calibri"/>
          <w:sz w:val="20"/>
          <w:szCs w:val="20"/>
        </w:rPr>
        <w:t xml:space="preserve">, </w:t>
      </w:r>
      <w:r>
        <w:rPr>
          <w:rFonts w:ascii="Calibri" w:hAnsi="Calibri"/>
          <w:sz w:val="20"/>
          <w:szCs w:val="20"/>
        </w:rPr>
        <w:t>chemotherapy</w:t>
      </w:r>
      <w:r w:rsidRPr="00827EA1">
        <w:rPr>
          <w:rFonts w:ascii="Calibri" w:hAnsi="Calibri"/>
          <w:sz w:val="20"/>
          <w:szCs w:val="20"/>
        </w:rPr>
        <w:t xml:space="preserve"> regimen (</w:t>
      </w:r>
      <w:r>
        <w:rPr>
          <w:rFonts w:ascii="Calibri" w:hAnsi="Calibri"/>
          <w:sz w:val="20"/>
          <w:szCs w:val="20"/>
        </w:rPr>
        <w:t xml:space="preserve">OEO2, MAGIC, </w:t>
      </w:r>
      <w:r w:rsidRPr="00827EA1">
        <w:rPr>
          <w:rFonts w:ascii="Calibri" w:hAnsi="Calibri"/>
          <w:sz w:val="20"/>
          <w:szCs w:val="20"/>
        </w:rPr>
        <w:t>FLOT</w:t>
      </w:r>
      <w:r>
        <w:rPr>
          <w:rFonts w:ascii="Calibri" w:hAnsi="Calibri"/>
          <w:sz w:val="20"/>
          <w:szCs w:val="20"/>
        </w:rPr>
        <w:t xml:space="preserve"> or </w:t>
      </w:r>
      <w:r w:rsidRPr="00827EA1">
        <w:rPr>
          <w:rFonts w:ascii="Calibri" w:hAnsi="Calibri"/>
          <w:sz w:val="20"/>
          <w:szCs w:val="20"/>
        </w:rPr>
        <w:t xml:space="preserve">other), </w:t>
      </w:r>
      <w:r>
        <w:rPr>
          <w:rFonts w:ascii="Calibri" w:hAnsi="Calibri"/>
          <w:sz w:val="20"/>
          <w:szCs w:val="20"/>
        </w:rPr>
        <w:t>LN yield (continuous), clinical stage (cT0-2 N0, cT0-2 N1-3, cT3-4 N0 or cT3-4 N1-3</w:t>
      </w:r>
      <w:r w:rsidRPr="00827EA1">
        <w:rPr>
          <w:rFonts w:ascii="Calibri" w:hAnsi="Calibri"/>
          <w:sz w:val="20"/>
          <w:szCs w:val="20"/>
        </w:rPr>
        <w:t>), differentiation (</w:t>
      </w:r>
      <w:r>
        <w:rPr>
          <w:rFonts w:ascii="Calibri" w:hAnsi="Calibri"/>
          <w:sz w:val="20"/>
          <w:szCs w:val="20"/>
        </w:rPr>
        <w:t>w</w:t>
      </w:r>
      <w:r w:rsidRPr="00827EA1">
        <w:rPr>
          <w:rFonts w:ascii="Calibri" w:hAnsi="Calibri"/>
          <w:sz w:val="20"/>
          <w:szCs w:val="20"/>
        </w:rPr>
        <w:t>ell-moderate</w:t>
      </w:r>
      <w:r>
        <w:rPr>
          <w:rFonts w:ascii="Calibri" w:hAnsi="Calibri"/>
          <w:sz w:val="20"/>
          <w:szCs w:val="20"/>
        </w:rPr>
        <w:t xml:space="preserve"> or </w:t>
      </w:r>
      <w:r w:rsidRPr="00827EA1">
        <w:rPr>
          <w:rFonts w:ascii="Calibri" w:hAnsi="Calibri"/>
          <w:sz w:val="20"/>
          <w:szCs w:val="20"/>
        </w:rPr>
        <w:t xml:space="preserve">poor), </w:t>
      </w:r>
      <w:r>
        <w:rPr>
          <w:rFonts w:ascii="Calibri" w:hAnsi="Calibri"/>
          <w:sz w:val="20"/>
          <w:szCs w:val="20"/>
        </w:rPr>
        <w:t>lymphovascular invasion</w:t>
      </w:r>
      <w:r w:rsidRPr="00827EA1">
        <w:rPr>
          <w:rFonts w:ascii="Calibri" w:hAnsi="Calibri"/>
          <w:sz w:val="20"/>
          <w:szCs w:val="20"/>
        </w:rPr>
        <w:t xml:space="preserve"> (yes</w:t>
      </w:r>
      <w:r>
        <w:rPr>
          <w:rFonts w:ascii="Calibri" w:hAnsi="Calibri"/>
          <w:sz w:val="20"/>
          <w:szCs w:val="20"/>
        </w:rPr>
        <w:t xml:space="preserve"> or </w:t>
      </w:r>
      <w:r w:rsidRPr="00827EA1">
        <w:rPr>
          <w:rFonts w:ascii="Calibri" w:hAnsi="Calibri"/>
          <w:sz w:val="20"/>
          <w:szCs w:val="20"/>
        </w:rPr>
        <w:t xml:space="preserve">no), primary </w:t>
      </w:r>
      <w:proofErr w:type="spellStart"/>
      <w:r>
        <w:rPr>
          <w:rFonts w:ascii="Calibri" w:hAnsi="Calibri"/>
          <w:sz w:val="20"/>
          <w:szCs w:val="20"/>
        </w:rPr>
        <w:t>tumor</w:t>
      </w:r>
      <w:proofErr w:type="spellEnd"/>
      <w:r w:rsidRPr="00827EA1">
        <w:rPr>
          <w:rFonts w:ascii="Calibri" w:hAnsi="Calibri"/>
          <w:sz w:val="20"/>
          <w:szCs w:val="20"/>
        </w:rPr>
        <w:t xml:space="preserve"> </w:t>
      </w:r>
      <w:r>
        <w:rPr>
          <w:rFonts w:ascii="Calibri" w:hAnsi="Calibri"/>
          <w:sz w:val="20"/>
          <w:szCs w:val="20"/>
        </w:rPr>
        <w:t xml:space="preserve">response </w:t>
      </w:r>
      <w:r w:rsidRPr="00827EA1">
        <w:rPr>
          <w:rFonts w:ascii="Calibri" w:hAnsi="Calibri"/>
          <w:sz w:val="20"/>
          <w:szCs w:val="20"/>
        </w:rPr>
        <w:t>(</w:t>
      </w:r>
      <w:r>
        <w:rPr>
          <w:rFonts w:ascii="Calibri" w:hAnsi="Calibri"/>
          <w:sz w:val="20"/>
          <w:szCs w:val="20"/>
        </w:rPr>
        <w:t>Mandard 1, Mandard 2-3, Mandard 4-5 or not recorded</w:t>
      </w:r>
      <w:r w:rsidRPr="00827EA1">
        <w:rPr>
          <w:rFonts w:ascii="Calibri" w:hAnsi="Calibri"/>
          <w:sz w:val="20"/>
          <w:szCs w:val="20"/>
        </w:rPr>
        <w:t>)</w:t>
      </w:r>
    </w:p>
    <w:p w14:paraId="70CA5CFC" w14:textId="77777777" w:rsidR="00852A20" w:rsidRDefault="00852A20" w:rsidP="00852A20">
      <w:pPr>
        <w:spacing w:line="360" w:lineRule="auto"/>
        <w:jc w:val="right"/>
        <w:rPr>
          <w:rFonts w:ascii="Calibri" w:hAnsi="Calibri"/>
          <w:sz w:val="20"/>
          <w:szCs w:val="20"/>
        </w:rPr>
      </w:pPr>
      <w:r>
        <w:rPr>
          <w:rFonts w:ascii="Calibri" w:hAnsi="Calibri"/>
          <w:sz w:val="20"/>
          <w:szCs w:val="20"/>
          <w:vertAlign w:val="superscript"/>
        </w:rPr>
        <w:t xml:space="preserve">b </w:t>
      </w:r>
      <w:r>
        <w:rPr>
          <w:rFonts w:ascii="Calibri" w:hAnsi="Calibri"/>
          <w:sz w:val="20"/>
          <w:szCs w:val="20"/>
        </w:rPr>
        <w:t>Lymph node regression score</w:t>
      </w:r>
    </w:p>
    <w:p w14:paraId="1E5E294F" w14:textId="77777777" w:rsidR="00852A20" w:rsidRDefault="00852A20" w:rsidP="00852A20">
      <w:pPr>
        <w:spacing w:line="360" w:lineRule="auto"/>
        <w:jc w:val="right"/>
        <w:rPr>
          <w:rFonts w:ascii="Calibri" w:hAnsi="Calibri"/>
          <w:sz w:val="20"/>
          <w:szCs w:val="20"/>
        </w:rPr>
      </w:pPr>
      <w:r>
        <w:rPr>
          <w:rFonts w:ascii="Calibri" w:hAnsi="Calibri"/>
          <w:sz w:val="20"/>
          <w:szCs w:val="20"/>
        </w:rPr>
        <w:lastRenderedPageBreak/>
        <w:t>* Best performing model when assessed using AIC or Harrell’s C-index</w:t>
      </w:r>
    </w:p>
    <w:p w14:paraId="1D63759F" w14:textId="77777777" w:rsidR="00852A20" w:rsidRPr="000A669E" w:rsidRDefault="00852A20" w:rsidP="00852A20">
      <w:pPr>
        <w:spacing w:line="360" w:lineRule="auto"/>
        <w:jc w:val="right"/>
        <w:rPr>
          <w:color w:val="C00000"/>
        </w:rPr>
      </w:pPr>
      <w:r>
        <w:rPr>
          <w:rFonts w:ascii="Calibri" w:hAnsi="Calibri"/>
          <w:sz w:val="20"/>
          <w:szCs w:val="20"/>
        </w:rPr>
        <w:t>** Joint best performing model when assessed using AIC or Harrell’s C-index if 2 or more classifications had equivalent results</w:t>
      </w:r>
    </w:p>
    <w:p w14:paraId="3D52BF29" w14:textId="77777777" w:rsidR="005B2B10" w:rsidRDefault="005B2B10">
      <w:pPr>
        <w:rPr>
          <w:rFonts w:ascii="Calibri" w:hAnsi="Calibri"/>
        </w:rPr>
      </w:pPr>
      <w:r>
        <w:rPr>
          <w:rFonts w:ascii="Calibri" w:hAnsi="Calibri"/>
        </w:rPr>
        <w:br w:type="page"/>
      </w:r>
    </w:p>
    <w:p w14:paraId="2A7C6315" w14:textId="77777777" w:rsidR="005B2B10" w:rsidRPr="00852A20" w:rsidRDefault="005B2B10" w:rsidP="005B2B10">
      <w:pPr>
        <w:spacing w:line="360" w:lineRule="auto"/>
        <w:rPr>
          <w:rFonts w:ascii="Calibri" w:hAnsi="Calibri"/>
        </w:rPr>
      </w:pPr>
      <w:r w:rsidRPr="00D51598">
        <w:rPr>
          <w:rFonts w:asciiTheme="majorHAnsi" w:hAnsiTheme="majorHAnsi" w:cstheme="majorHAnsi"/>
          <w:b/>
          <w:bCs/>
          <w:sz w:val="22"/>
          <w:szCs w:val="22"/>
        </w:rPr>
        <w:lastRenderedPageBreak/>
        <w:t xml:space="preserve">Table </w:t>
      </w:r>
      <w:r>
        <w:rPr>
          <w:rFonts w:asciiTheme="majorHAnsi" w:hAnsiTheme="majorHAnsi" w:cstheme="majorHAnsi"/>
          <w:b/>
          <w:bCs/>
          <w:sz w:val="22"/>
          <w:szCs w:val="22"/>
        </w:rPr>
        <w:t>2</w:t>
      </w:r>
      <w:r w:rsidRPr="00D51598">
        <w:rPr>
          <w:rFonts w:asciiTheme="majorHAnsi" w:hAnsiTheme="majorHAnsi" w:cstheme="majorHAnsi"/>
          <w:b/>
          <w:bCs/>
          <w:sz w:val="22"/>
          <w:szCs w:val="22"/>
        </w:rPr>
        <w:t xml:space="preserve">. </w:t>
      </w:r>
      <w:r w:rsidRPr="00D51598">
        <w:rPr>
          <w:rFonts w:asciiTheme="majorHAnsi" w:hAnsiTheme="majorHAnsi" w:cstheme="majorHAnsi"/>
          <w:sz w:val="22"/>
          <w:szCs w:val="22"/>
        </w:rPr>
        <w:t xml:space="preserve">Clinicopathological and treatment characteristics stratified by pathological lymph node response </w:t>
      </w:r>
      <w:r>
        <w:rPr>
          <w:rFonts w:asciiTheme="majorHAnsi" w:hAnsiTheme="majorHAnsi" w:cstheme="majorHAnsi"/>
          <w:sz w:val="22"/>
          <w:szCs w:val="22"/>
        </w:rPr>
        <w:t xml:space="preserve">to neoadjuvant chemotherapy </w:t>
      </w:r>
      <w:r w:rsidRPr="00D51598">
        <w:rPr>
          <w:rFonts w:asciiTheme="majorHAnsi" w:hAnsiTheme="majorHAnsi" w:cstheme="majorHAnsi"/>
          <w:sz w:val="22"/>
          <w:szCs w:val="22"/>
        </w:rPr>
        <w:t xml:space="preserve">in patients having undergone resection for </w:t>
      </w:r>
      <w:proofErr w:type="spellStart"/>
      <w:r>
        <w:rPr>
          <w:rFonts w:asciiTheme="majorHAnsi" w:hAnsiTheme="majorHAnsi" w:cstheme="majorHAnsi"/>
          <w:sz w:val="22"/>
          <w:szCs w:val="22"/>
        </w:rPr>
        <w:t>esophageal</w:t>
      </w:r>
      <w:proofErr w:type="spellEnd"/>
      <w:r w:rsidRPr="00D51598">
        <w:rPr>
          <w:rFonts w:asciiTheme="majorHAnsi" w:hAnsiTheme="majorHAnsi" w:cstheme="majorHAnsi"/>
          <w:sz w:val="22"/>
          <w:szCs w:val="22"/>
        </w:rPr>
        <w:t xml:space="preserve"> adenocarcinoma</w:t>
      </w:r>
      <w:r>
        <w:rPr>
          <w:rFonts w:asciiTheme="majorHAnsi" w:hAnsiTheme="majorHAnsi" w:cstheme="majorHAnsi"/>
          <w:sz w:val="22"/>
          <w:szCs w:val="22"/>
        </w:rPr>
        <w:t>.</w:t>
      </w:r>
    </w:p>
    <w:tbl>
      <w:tblPr>
        <w:tblStyle w:val="TableGrid"/>
        <w:tblW w:w="11199" w:type="dxa"/>
        <w:jc w:val="center"/>
        <w:tblLayout w:type="fixed"/>
        <w:tblLook w:val="04A0" w:firstRow="1" w:lastRow="0" w:firstColumn="1" w:lastColumn="0" w:noHBand="0" w:noVBand="1"/>
      </w:tblPr>
      <w:tblGrid>
        <w:gridCol w:w="1701"/>
        <w:gridCol w:w="2835"/>
        <w:gridCol w:w="1276"/>
        <w:gridCol w:w="1276"/>
        <w:gridCol w:w="1559"/>
        <w:gridCol w:w="1418"/>
        <w:gridCol w:w="1134"/>
      </w:tblGrid>
      <w:tr w:rsidR="005B2B10" w:rsidRPr="00E8529C" w14:paraId="303015D1" w14:textId="77777777" w:rsidTr="00192949">
        <w:trPr>
          <w:trHeight w:val="997"/>
          <w:jc w:val="center"/>
        </w:trPr>
        <w:tc>
          <w:tcPr>
            <w:tcW w:w="4536" w:type="dxa"/>
            <w:gridSpan w:val="2"/>
            <w:tcBorders>
              <w:left w:val="nil"/>
              <w:bottom w:val="single" w:sz="4" w:space="0" w:color="auto"/>
              <w:right w:val="nil"/>
            </w:tcBorders>
            <w:shd w:val="clear" w:color="auto" w:fill="D9D9D9" w:themeFill="background1" w:themeFillShade="D9"/>
            <w:vAlign w:val="center"/>
          </w:tcPr>
          <w:p w14:paraId="00F1F8A5" w14:textId="77777777" w:rsidR="005B2B10" w:rsidRPr="00597A25" w:rsidRDefault="005B2B10" w:rsidP="00192949">
            <w:pPr>
              <w:spacing w:line="360" w:lineRule="auto"/>
              <w:rPr>
                <w:rFonts w:asciiTheme="majorHAnsi" w:hAnsiTheme="majorHAnsi" w:cs="Arial"/>
                <w:i/>
                <w:iCs/>
                <w:sz w:val="20"/>
                <w:szCs w:val="20"/>
              </w:rPr>
            </w:pPr>
            <w:r w:rsidRPr="00597A25">
              <w:rPr>
                <w:rFonts w:asciiTheme="majorHAnsi" w:hAnsiTheme="majorHAnsi" w:cs="Arial"/>
                <w:i/>
                <w:iCs/>
                <w:sz w:val="20"/>
                <w:szCs w:val="20"/>
              </w:rPr>
              <w:t>N=763</w:t>
            </w:r>
          </w:p>
        </w:tc>
        <w:tc>
          <w:tcPr>
            <w:tcW w:w="1276" w:type="dxa"/>
            <w:tcBorders>
              <w:left w:val="nil"/>
              <w:bottom w:val="single" w:sz="4" w:space="0" w:color="auto"/>
              <w:right w:val="nil"/>
            </w:tcBorders>
            <w:shd w:val="clear" w:color="auto" w:fill="D9D9D9" w:themeFill="background1" w:themeFillShade="D9"/>
          </w:tcPr>
          <w:p w14:paraId="5DDC8783" w14:textId="77777777" w:rsidR="005B2B10" w:rsidRPr="00E8529C" w:rsidRDefault="005B2B10" w:rsidP="00192949">
            <w:pPr>
              <w:spacing w:line="360" w:lineRule="auto"/>
              <w:jc w:val="center"/>
              <w:rPr>
                <w:rFonts w:asciiTheme="majorHAnsi" w:hAnsiTheme="majorHAnsi" w:cs="Arial"/>
                <w:b/>
                <w:bCs/>
                <w:sz w:val="20"/>
                <w:szCs w:val="20"/>
              </w:rPr>
            </w:pPr>
            <w:r w:rsidRPr="00E8529C">
              <w:rPr>
                <w:rFonts w:asciiTheme="majorHAnsi" w:hAnsiTheme="majorHAnsi" w:cs="Arial"/>
                <w:b/>
                <w:bCs/>
                <w:sz w:val="20"/>
                <w:szCs w:val="20"/>
              </w:rPr>
              <w:t>Negative nodes</w:t>
            </w:r>
          </w:p>
          <w:p w14:paraId="7047A7EC" w14:textId="77777777" w:rsidR="005B2B10" w:rsidRDefault="005B2B10" w:rsidP="00192949">
            <w:pPr>
              <w:spacing w:line="360" w:lineRule="auto"/>
              <w:jc w:val="center"/>
              <w:rPr>
                <w:rFonts w:asciiTheme="majorHAnsi" w:hAnsiTheme="majorHAnsi" w:cs="Arial"/>
                <w:b/>
                <w:bCs/>
                <w:sz w:val="20"/>
                <w:szCs w:val="20"/>
              </w:rPr>
            </w:pPr>
            <w:r w:rsidRPr="00E8529C">
              <w:rPr>
                <w:rFonts w:asciiTheme="majorHAnsi" w:hAnsiTheme="majorHAnsi" w:cs="Arial"/>
                <w:i/>
                <w:iCs/>
                <w:sz w:val="20"/>
                <w:szCs w:val="20"/>
              </w:rPr>
              <w:t>n=</w:t>
            </w:r>
            <w:r>
              <w:rPr>
                <w:rFonts w:asciiTheme="majorHAnsi" w:hAnsiTheme="majorHAnsi" w:cs="Arial"/>
                <w:i/>
                <w:iCs/>
                <w:sz w:val="20"/>
                <w:szCs w:val="20"/>
              </w:rPr>
              <w:t>243</w:t>
            </w:r>
          </w:p>
        </w:tc>
        <w:tc>
          <w:tcPr>
            <w:tcW w:w="1276" w:type="dxa"/>
            <w:tcBorders>
              <w:left w:val="nil"/>
              <w:bottom w:val="single" w:sz="4" w:space="0" w:color="auto"/>
              <w:right w:val="nil"/>
            </w:tcBorders>
            <w:shd w:val="clear" w:color="auto" w:fill="D9D9D9" w:themeFill="background1" w:themeFillShade="D9"/>
            <w:vAlign w:val="center"/>
          </w:tcPr>
          <w:p w14:paraId="0801ED4B" w14:textId="77777777" w:rsidR="005B2B10" w:rsidRPr="00E4132E" w:rsidRDefault="005B2B10" w:rsidP="00192949">
            <w:pPr>
              <w:spacing w:line="360" w:lineRule="auto"/>
              <w:jc w:val="center"/>
              <w:rPr>
                <w:rFonts w:asciiTheme="majorHAnsi" w:hAnsiTheme="majorHAnsi" w:cs="Arial"/>
                <w:sz w:val="20"/>
                <w:szCs w:val="20"/>
                <w:vertAlign w:val="superscript"/>
              </w:rPr>
            </w:pPr>
            <w:r>
              <w:rPr>
                <w:rFonts w:asciiTheme="majorHAnsi" w:hAnsiTheme="majorHAnsi" w:cs="Arial"/>
                <w:b/>
                <w:bCs/>
                <w:sz w:val="20"/>
                <w:szCs w:val="20"/>
              </w:rPr>
              <w:t xml:space="preserve">Complete response </w:t>
            </w:r>
            <w:r>
              <w:rPr>
                <w:rFonts w:asciiTheme="majorHAnsi" w:hAnsiTheme="majorHAnsi" w:cs="Arial"/>
                <w:sz w:val="20"/>
                <w:szCs w:val="20"/>
                <w:vertAlign w:val="superscript"/>
              </w:rPr>
              <w:t>a</w:t>
            </w:r>
          </w:p>
          <w:p w14:paraId="4CF900BB" w14:textId="77777777" w:rsidR="005B2B10" w:rsidRPr="00E8529C" w:rsidRDefault="005B2B10" w:rsidP="00192949">
            <w:pPr>
              <w:spacing w:line="360" w:lineRule="auto"/>
              <w:jc w:val="center"/>
              <w:rPr>
                <w:rFonts w:asciiTheme="majorHAnsi" w:hAnsiTheme="majorHAnsi" w:cs="Arial"/>
                <w:i/>
                <w:iCs/>
                <w:sz w:val="20"/>
                <w:szCs w:val="20"/>
              </w:rPr>
            </w:pPr>
            <w:r w:rsidRPr="00E8529C">
              <w:rPr>
                <w:rFonts w:asciiTheme="majorHAnsi" w:hAnsiTheme="majorHAnsi" w:cs="Arial"/>
                <w:i/>
                <w:iCs/>
                <w:sz w:val="20"/>
                <w:szCs w:val="20"/>
              </w:rPr>
              <w:t>n=</w:t>
            </w:r>
            <w:r>
              <w:rPr>
                <w:rFonts w:asciiTheme="majorHAnsi" w:hAnsiTheme="majorHAnsi" w:cs="Arial"/>
                <w:i/>
                <w:iCs/>
                <w:sz w:val="20"/>
                <w:szCs w:val="20"/>
              </w:rPr>
              <w:t>62</w:t>
            </w:r>
          </w:p>
        </w:tc>
        <w:tc>
          <w:tcPr>
            <w:tcW w:w="1559" w:type="dxa"/>
            <w:tcBorders>
              <w:left w:val="nil"/>
              <w:bottom w:val="single" w:sz="4" w:space="0" w:color="auto"/>
              <w:right w:val="nil"/>
            </w:tcBorders>
            <w:shd w:val="clear" w:color="auto" w:fill="D9D9D9" w:themeFill="background1" w:themeFillShade="D9"/>
            <w:vAlign w:val="center"/>
          </w:tcPr>
          <w:p w14:paraId="079DDF67" w14:textId="77777777" w:rsidR="005B2B10" w:rsidRDefault="005B2B10" w:rsidP="00192949">
            <w:pPr>
              <w:spacing w:line="360" w:lineRule="auto"/>
              <w:jc w:val="center"/>
              <w:rPr>
                <w:rFonts w:asciiTheme="majorHAnsi" w:hAnsiTheme="majorHAnsi" w:cs="Arial"/>
                <w:b/>
                <w:bCs/>
                <w:sz w:val="20"/>
                <w:szCs w:val="20"/>
              </w:rPr>
            </w:pPr>
            <w:r>
              <w:rPr>
                <w:rFonts w:asciiTheme="majorHAnsi" w:hAnsiTheme="majorHAnsi" w:cs="Arial"/>
                <w:b/>
                <w:bCs/>
                <w:sz w:val="20"/>
                <w:szCs w:val="20"/>
              </w:rPr>
              <w:t xml:space="preserve">Partial </w:t>
            </w:r>
          </w:p>
          <w:p w14:paraId="4E90213F" w14:textId="77777777" w:rsidR="005B2B10" w:rsidRPr="00E4132E" w:rsidRDefault="005B2B10" w:rsidP="00192949">
            <w:pPr>
              <w:spacing w:line="360" w:lineRule="auto"/>
              <w:jc w:val="center"/>
              <w:rPr>
                <w:rFonts w:asciiTheme="majorHAnsi" w:hAnsiTheme="majorHAnsi" w:cs="Arial"/>
                <w:sz w:val="20"/>
                <w:szCs w:val="20"/>
                <w:vertAlign w:val="superscript"/>
              </w:rPr>
            </w:pPr>
            <w:r>
              <w:rPr>
                <w:rFonts w:asciiTheme="majorHAnsi" w:hAnsiTheme="majorHAnsi" w:cs="Arial"/>
                <w:b/>
                <w:bCs/>
                <w:sz w:val="20"/>
                <w:szCs w:val="20"/>
              </w:rPr>
              <w:t xml:space="preserve">Response </w:t>
            </w:r>
            <w:r>
              <w:rPr>
                <w:rFonts w:asciiTheme="majorHAnsi" w:hAnsiTheme="majorHAnsi" w:cs="Arial"/>
                <w:sz w:val="20"/>
                <w:szCs w:val="20"/>
                <w:vertAlign w:val="superscript"/>
              </w:rPr>
              <w:t>b</w:t>
            </w:r>
          </w:p>
          <w:p w14:paraId="0A585BE3" w14:textId="77777777" w:rsidR="005B2B10" w:rsidRPr="00134343" w:rsidRDefault="005B2B10" w:rsidP="00192949">
            <w:pPr>
              <w:spacing w:line="360" w:lineRule="auto"/>
              <w:jc w:val="center"/>
              <w:rPr>
                <w:rFonts w:asciiTheme="majorHAnsi" w:hAnsiTheme="majorHAnsi" w:cs="Arial"/>
                <w:sz w:val="20"/>
                <w:szCs w:val="20"/>
              </w:rPr>
            </w:pPr>
            <w:r w:rsidRPr="00271525">
              <w:rPr>
                <w:rFonts w:asciiTheme="majorHAnsi" w:hAnsiTheme="majorHAnsi" w:cs="Arial"/>
                <w:i/>
                <w:iCs/>
                <w:sz w:val="20"/>
                <w:szCs w:val="20"/>
              </w:rPr>
              <w:t>n=155</w:t>
            </w:r>
          </w:p>
        </w:tc>
        <w:tc>
          <w:tcPr>
            <w:tcW w:w="1418" w:type="dxa"/>
            <w:tcBorders>
              <w:left w:val="nil"/>
              <w:bottom w:val="single" w:sz="4" w:space="0" w:color="auto"/>
              <w:right w:val="nil"/>
            </w:tcBorders>
            <w:shd w:val="clear" w:color="auto" w:fill="D9D9D9" w:themeFill="background1" w:themeFillShade="D9"/>
            <w:vAlign w:val="center"/>
          </w:tcPr>
          <w:p w14:paraId="7AC9B973" w14:textId="77777777" w:rsidR="005B2B10" w:rsidRDefault="005B2B10" w:rsidP="00192949">
            <w:pPr>
              <w:spacing w:line="360" w:lineRule="auto"/>
              <w:jc w:val="center"/>
              <w:rPr>
                <w:rFonts w:asciiTheme="majorHAnsi" w:hAnsiTheme="majorHAnsi" w:cs="Arial"/>
                <w:b/>
                <w:bCs/>
                <w:sz w:val="20"/>
                <w:szCs w:val="20"/>
              </w:rPr>
            </w:pPr>
            <w:r>
              <w:rPr>
                <w:rFonts w:asciiTheme="majorHAnsi" w:hAnsiTheme="majorHAnsi" w:cs="Arial"/>
                <w:b/>
                <w:bCs/>
                <w:sz w:val="20"/>
                <w:szCs w:val="20"/>
              </w:rPr>
              <w:t>Poor / no</w:t>
            </w:r>
          </w:p>
          <w:p w14:paraId="27DC7481" w14:textId="77777777" w:rsidR="005B2B10" w:rsidRPr="00E4132E" w:rsidRDefault="005B2B10" w:rsidP="00192949">
            <w:pPr>
              <w:spacing w:line="360" w:lineRule="auto"/>
              <w:jc w:val="center"/>
              <w:rPr>
                <w:rFonts w:asciiTheme="majorHAnsi" w:hAnsiTheme="majorHAnsi" w:cs="Arial"/>
                <w:sz w:val="20"/>
                <w:szCs w:val="20"/>
                <w:vertAlign w:val="superscript"/>
              </w:rPr>
            </w:pPr>
            <w:r>
              <w:rPr>
                <w:rFonts w:asciiTheme="majorHAnsi" w:hAnsiTheme="majorHAnsi" w:cs="Arial"/>
                <w:b/>
                <w:bCs/>
                <w:sz w:val="20"/>
                <w:szCs w:val="20"/>
              </w:rPr>
              <w:t xml:space="preserve">Response </w:t>
            </w:r>
            <w:r>
              <w:rPr>
                <w:rFonts w:asciiTheme="majorHAnsi" w:hAnsiTheme="majorHAnsi" w:cs="Arial"/>
                <w:sz w:val="20"/>
                <w:szCs w:val="20"/>
                <w:vertAlign w:val="superscript"/>
              </w:rPr>
              <w:t>c</w:t>
            </w:r>
          </w:p>
          <w:p w14:paraId="4F6E38ED" w14:textId="77777777" w:rsidR="005B2B10" w:rsidRPr="00E8529C" w:rsidRDefault="005B2B10" w:rsidP="00192949">
            <w:pPr>
              <w:spacing w:line="360" w:lineRule="auto"/>
              <w:jc w:val="center"/>
              <w:rPr>
                <w:rFonts w:asciiTheme="majorHAnsi" w:hAnsiTheme="majorHAnsi" w:cs="Arial"/>
                <w:i/>
                <w:iCs/>
                <w:sz w:val="20"/>
                <w:szCs w:val="20"/>
              </w:rPr>
            </w:pPr>
            <w:r w:rsidRPr="00E8529C">
              <w:rPr>
                <w:rFonts w:asciiTheme="majorHAnsi" w:hAnsiTheme="majorHAnsi" w:cs="Arial"/>
                <w:i/>
                <w:iCs/>
                <w:sz w:val="20"/>
                <w:szCs w:val="20"/>
              </w:rPr>
              <w:t>n=</w:t>
            </w:r>
            <w:r>
              <w:rPr>
                <w:rFonts w:asciiTheme="majorHAnsi" w:hAnsiTheme="majorHAnsi" w:cs="Arial"/>
                <w:i/>
                <w:iCs/>
                <w:sz w:val="20"/>
                <w:szCs w:val="20"/>
              </w:rPr>
              <w:t>303</w:t>
            </w:r>
          </w:p>
        </w:tc>
        <w:tc>
          <w:tcPr>
            <w:tcW w:w="1134" w:type="dxa"/>
            <w:tcBorders>
              <w:left w:val="nil"/>
              <w:bottom w:val="single" w:sz="4" w:space="0" w:color="auto"/>
              <w:right w:val="nil"/>
            </w:tcBorders>
            <w:shd w:val="clear" w:color="auto" w:fill="D9D9D9" w:themeFill="background1" w:themeFillShade="D9"/>
            <w:vAlign w:val="center"/>
          </w:tcPr>
          <w:p w14:paraId="528AC18D" w14:textId="77777777" w:rsidR="005B2B10" w:rsidRPr="00E8529C" w:rsidRDefault="005B2B10" w:rsidP="00192949">
            <w:pPr>
              <w:spacing w:line="360" w:lineRule="auto"/>
              <w:jc w:val="center"/>
              <w:rPr>
                <w:rFonts w:asciiTheme="majorHAnsi" w:hAnsiTheme="majorHAnsi" w:cs="Arial"/>
                <w:i/>
                <w:iCs/>
                <w:sz w:val="20"/>
                <w:szCs w:val="20"/>
              </w:rPr>
            </w:pPr>
            <w:r w:rsidRPr="00E8529C">
              <w:rPr>
                <w:rFonts w:asciiTheme="majorHAnsi" w:hAnsiTheme="majorHAnsi" w:cs="Arial"/>
                <w:i/>
                <w:iCs/>
                <w:sz w:val="20"/>
                <w:szCs w:val="20"/>
              </w:rPr>
              <w:t>p-value</w:t>
            </w:r>
          </w:p>
        </w:tc>
      </w:tr>
      <w:tr w:rsidR="005B2B10" w:rsidRPr="00E8529C" w14:paraId="7178D306" w14:textId="77777777" w:rsidTr="00192949">
        <w:trPr>
          <w:trHeight w:val="760"/>
          <w:jc w:val="center"/>
        </w:trPr>
        <w:tc>
          <w:tcPr>
            <w:tcW w:w="4536" w:type="dxa"/>
            <w:gridSpan w:val="2"/>
            <w:tcBorders>
              <w:left w:val="nil"/>
              <w:bottom w:val="single" w:sz="4" w:space="0" w:color="auto"/>
              <w:right w:val="nil"/>
            </w:tcBorders>
            <w:vAlign w:val="center"/>
          </w:tcPr>
          <w:p w14:paraId="3FC1B35D"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Median a</w:t>
            </w:r>
            <w:r w:rsidRPr="00E8529C">
              <w:rPr>
                <w:rFonts w:asciiTheme="majorHAnsi" w:hAnsiTheme="majorHAnsi" w:cs="Arial"/>
                <w:sz w:val="20"/>
                <w:szCs w:val="20"/>
              </w:rPr>
              <w:t>ge at operation</w:t>
            </w:r>
          </w:p>
        </w:tc>
        <w:tc>
          <w:tcPr>
            <w:tcW w:w="1276" w:type="dxa"/>
            <w:tcBorders>
              <w:left w:val="nil"/>
              <w:bottom w:val="single" w:sz="4" w:space="0" w:color="auto"/>
              <w:right w:val="nil"/>
            </w:tcBorders>
            <w:vAlign w:val="center"/>
          </w:tcPr>
          <w:p w14:paraId="050AD8B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65 years</w:t>
            </w:r>
          </w:p>
        </w:tc>
        <w:tc>
          <w:tcPr>
            <w:tcW w:w="1276" w:type="dxa"/>
            <w:tcBorders>
              <w:left w:val="nil"/>
              <w:bottom w:val="single" w:sz="4" w:space="0" w:color="auto"/>
              <w:right w:val="nil"/>
            </w:tcBorders>
            <w:vAlign w:val="center"/>
          </w:tcPr>
          <w:p w14:paraId="0C28CDD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65 years</w:t>
            </w:r>
          </w:p>
        </w:tc>
        <w:tc>
          <w:tcPr>
            <w:tcW w:w="1559" w:type="dxa"/>
            <w:tcBorders>
              <w:left w:val="nil"/>
              <w:bottom w:val="single" w:sz="4" w:space="0" w:color="auto"/>
              <w:right w:val="nil"/>
            </w:tcBorders>
            <w:vAlign w:val="center"/>
          </w:tcPr>
          <w:p w14:paraId="146D26B2"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64 years</w:t>
            </w:r>
          </w:p>
        </w:tc>
        <w:tc>
          <w:tcPr>
            <w:tcW w:w="1418" w:type="dxa"/>
            <w:tcBorders>
              <w:left w:val="nil"/>
              <w:bottom w:val="single" w:sz="4" w:space="0" w:color="auto"/>
              <w:right w:val="nil"/>
            </w:tcBorders>
            <w:vAlign w:val="center"/>
          </w:tcPr>
          <w:p w14:paraId="3A7224A0"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64 years</w:t>
            </w:r>
          </w:p>
        </w:tc>
        <w:tc>
          <w:tcPr>
            <w:tcW w:w="1134" w:type="dxa"/>
            <w:tcBorders>
              <w:left w:val="nil"/>
              <w:bottom w:val="single" w:sz="4" w:space="0" w:color="auto"/>
              <w:right w:val="nil"/>
            </w:tcBorders>
            <w:vAlign w:val="center"/>
          </w:tcPr>
          <w:p w14:paraId="47F3DD2D" w14:textId="77777777" w:rsidR="005B2B10" w:rsidRPr="007054A7" w:rsidRDefault="005B2B10" w:rsidP="00192949">
            <w:pPr>
              <w:spacing w:line="480" w:lineRule="auto"/>
              <w:jc w:val="center"/>
              <w:rPr>
                <w:rFonts w:asciiTheme="majorHAnsi" w:hAnsiTheme="majorHAnsi" w:cs="Arial"/>
                <w:i/>
                <w:iCs/>
                <w:sz w:val="20"/>
                <w:szCs w:val="20"/>
              </w:rPr>
            </w:pPr>
            <w:r w:rsidRPr="007054A7">
              <w:rPr>
                <w:rFonts w:asciiTheme="majorHAnsi" w:hAnsiTheme="majorHAnsi" w:cs="Arial"/>
                <w:i/>
                <w:iCs/>
                <w:sz w:val="20"/>
                <w:szCs w:val="20"/>
              </w:rPr>
              <w:t>p=0.</w:t>
            </w:r>
            <w:r>
              <w:rPr>
                <w:rFonts w:asciiTheme="majorHAnsi" w:hAnsiTheme="majorHAnsi" w:cs="Arial"/>
                <w:i/>
                <w:iCs/>
                <w:sz w:val="20"/>
                <w:szCs w:val="20"/>
              </w:rPr>
              <w:t>07</w:t>
            </w:r>
          </w:p>
        </w:tc>
      </w:tr>
      <w:tr w:rsidR="005B2B10" w:rsidRPr="00E8529C" w14:paraId="6142DBD8" w14:textId="77777777" w:rsidTr="00192949">
        <w:trPr>
          <w:trHeight w:val="79"/>
          <w:jc w:val="center"/>
        </w:trPr>
        <w:tc>
          <w:tcPr>
            <w:tcW w:w="1701" w:type="dxa"/>
            <w:vMerge w:val="restart"/>
            <w:tcBorders>
              <w:top w:val="single" w:sz="4" w:space="0" w:color="auto"/>
              <w:left w:val="nil"/>
              <w:right w:val="nil"/>
            </w:tcBorders>
            <w:vAlign w:val="center"/>
          </w:tcPr>
          <w:p w14:paraId="4344788D"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Sex</w:t>
            </w:r>
          </w:p>
        </w:tc>
        <w:tc>
          <w:tcPr>
            <w:tcW w:w="2835" w:type="dxa"/>
            <w:tcBorders>
              <w:top w:val="single" w:sz="4" w:space="0" w:color="auto"/>
              <w:left w:val="nil"/>
              <w:bottom w:val="nil"/>
              <w:right w:val="nil"/>
            </w:tcBorders>
            <w:vAlign w:val="center"/>
          </w:tcPr>
          <w:p w14:paraId="34D19E4D"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Male</w:t>
            </w:r>
          </w:p>
        </w:tc>
        <w:tc>
          <w:tcPr>
            <w:tcW w:w="1276" w:type="dxa"/>
            <w:tcBorders>
              <w:top w:val="single" w:sz="4" w:space="0" w:color="auto"/>
              <w:left w:val="nil"/>
              <w:bottom w:val="nil"/>
              <w:right w:val="nil"/>
            </w:tcBorders>
          </w:tcPr>
          <w:p w14:paraId="68B2CB15"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211</w:t>
            </w:r>
            <w:r w:rsidRPr="00BA6733">
              <w:rPr>
                <w:rFonts w:asciiTheme="majorHAnsi" w:hAnsiTheme="majorHAnsi" w:cs="Arial"/>
                <w:sz w:val="20"/>
                <w:szCs w:val="20"/>
              </w:rPr>
              <w:t xml:space="preserve"> (</w:t>
            </w:r>
            <w:r>
              <w:rPr>
                <w:rFonts w:asciiTheme="majorHAnsi" w:hAnsiTheme="majorHAnsi" w:cs="Arial"/>
                <w:sz w:val="20"/>
                <w:szCs w:val="20"/>
              </w:rPr>
              <w:t>86.8</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2E25E00A"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58</w:t>
            </w:r>
            <w:r w:rsidRPr="00BA6733">
              <w:rPr>
                <w:rFonts w:asciiTheme="majorHAnsi" w:hAnsiTheme="majorHAnsi" w:cs="Arial"/>
                <w:sz w:val="20"/>
                <w:szCs w:val="20"/>
              </w:rPr>
              <w:t xml:space="preserve"> (</w:t>
            </w:r>
            <w:r>
              <w:rPr>
                <w:rFonts w:asciiTheme="majorHAnsi" w:hAnsiTheme="majorHAnsi" w:cs="Arial"/>
                <w:sz w:val="20"/>
                <w:szCs w:val="20"/>
              </w:rPr>
              <w:t>93.5</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7E109953"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134</w:t>
            </w:r>
            <w:r w:rsidRPr="00BA6733">
              <w:rPr>
                <w:rFonts w:asciiTheme="majorHAnsi" w:hAnsiTheme="majorHAnsi" w:cs="Arial"/>
                <w:sz w:val="20"/>
                <w:szCs w:val="20"/>
              </w:rPr>
              <w:t xml:space="preserve"> (</w:t>
            </w:r>
            <w:r>
              <w:rPr>
                <w:rFonts w:asciiTheme="majorHAnsi" w:hAnsiTheme="majorHAnsi" w:cs="Arial"/>
                <w:sz w:val="20"/>
                <w:szCs w:val="20"/>
              </w:rPr>
              <w:t>86.5</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5DD7001C"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255</w:t>
            </w:r>
            <w:r w:rsidRPr="00BA6733">
              <w:rPr>
                <w:rFonts w:asciiTheme="majorHAnsi" w:hAnsiTheme="majorHAnsi" w:cs="Arial"/>
                <w:sz w:val="20"/>
                <w:szCs w:val="20"/>
              </w:rPr>
              <w:t xml:space="preserve"> (</w:t>
            </w:r>
            <w:r>
              <w:rPr>
                <w:rFonts w:asciiTheme="majorHAnsi" w:hAnsiTheme="majorHAnsi" w:cs="Arial"/>
                <w:sz w:val="20"/>
                <w:szCs w:val="20"/>
              </w:rPr>
              <w:t>84.2</w:t>
            </w:r>
            <w:r w:rsidRPr="00BA6733">
              <w:rPr>
                <w:rFonts w:asciiTheme="majorHAnsi" w:hAnsiTheme="majorHAnsi" w:cs="Arial"/>
                <w:sz w:val="20"/>
                <w:szCs w:val="20"/>
              </w:rPr>
              <w:t>%)</w:t>
            </w:r>
          </w:p>
        </w:tc>
        <w:tc>
          <w:tcPr>
            <w:tcW w:w="1134" w:type="dxa"/>
            <w:vMerge w:val="restart"/>
            <w:tcBorders>
              <w:top w:val="single" w:sz="4" w:space="0" w:color="auto"/>
              <w:left w:val="nil"/>
              <w:bottom w:val="nil"/>
              <w:right w:val="nil"/>
            </w:tcBorders>
            <w:vAlign w:val="center"/>
          </w:tcPr>
          <w:p w14:paraId="1C2C0EDC" w14:textId="77777777" w:rsidR="005B2B10" w:rsidRPr="00597A25" w:rsidRDefault="005B2B10" w:rsidP="00192949">
            <w:pPr>
              <w:spacing w:line="480" w:lineRule="auto"/>
              <w:jc w:val="center"/>
              <w:rPr>
                <w:rFonts w:asciiTheme="majorHAnsi" w:hAnsiTheme="majorHAnsi" w:cs="Arial"/>
                <w:i/>
                <w:iCs/>
                <w:sz w:val="20"/>
                <w:szCs w:val="20"/>
              </w:rPr>
            </w:pPr>
            <w:r w:rsidRPr="007054A7">
              <w:rPr>
                <w:rFonts w:asciiTheme="majorHAnsi" w:hAnsiTheme="majorHAnsi" w:cs="Arial"/>
                <w:i/>
                <w:iCs/>
                <w:sz w:val="20"/>
                <w:szCs w:val="20"/>
              </w:rPr>
              <w:t>p=0.</w:t>
            </w:r>
            <w:r>
              <w:rPr>
                <w:rFonts w:asciiTheme="majorHAnsi" w:hAnsiTheme="majorHAnsi" w:cs="Arial"/>
                <w:i/>
                <w:iCs/>
                <w:sz w:val="20"/>
                <w:szCs w:val="20"/>
              </w:rPr>
              <w:t>26</w:t>
            </w:r>
          </w:p>
        </w:tc>
      </w:tr>
      <w:tr w:rsidR="005B2B10" w:rsidRPr="00E8529C" w14:paraId="0909BE1A" w14:textId="77777777" w:rsidTr="00192949">
        <w:trPr>
          <w:trHeight w:val="88"/>
          <w:jc w:val="center"/>
        </w:trPr>
        <w:tc>
          <w:tcPr>
            <w:tcW w:w="1701" w:type="dxa"/>
            <w:vMerge/>
            <w:tcBorders>
              <w:left w:val="nil"/>
              <w:bottom w:val="single" w:sz="4" w:space="0" w:color="auto"/>
              <w:right w:val="nil"/>
            </w:tcBorders>
            <w:vAlign w:val="center"/>
          </w:tcPr>
          <w:p w14:paraId="5CF8EA13"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5438B75D"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Female</w:t>
            </w:r>
          </w:p>
        </w:tc>
        <w:tc>
          <w:tcPr>
            <w:tcW w:w="1276" w:type="dxa"/>
            <w:tcBorders>
              <w:top w:val="nil"/>
              <w:left w:val="nil"/>
              <w:bottom w:val="single" w:sz="4" w:space="0" w:color="auto"/>
              <w:right w:val="nil"/>
            </w:tcBorders>
          </w:tcPr>
          <w:p w14:paraId="1EDF4A2C"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32</w:t>
            </w:r>
            <w:r w:rsidRPr="00BA6733">
              <w:rPr>
                <w:rFonts w:asciiTheme="majorHAnsi" w:hAnsiTheme="majorHAnsi" w:cs="Arial"/>
                <w:sz w:val="20"/>
                <w:szCs w:val="20"/>
              </w:rPr>
              <w:t xml:space="preserve"> (</w:t>
            </w:r>
            <w:r>
              <w:rPr>
                <w:rFonts w:asciiTheme="majorHAnsi" w:hAnsiTheme="majorHAnsi" w:cs="Arial"/>
                <w:sz w:val="20"/>
                <w:szCs w:val="20"/>
              </w:rPr>
              <w:t>13.2</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772D363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w:t>
            </w:r>
            <w:r w:rsidRPr="00BA6733">
              <w:rPr>
                <w:rFonts w:asciiTheme="majorHAnsi" w:hAnsiTheme="majorHAnsi" w:cs="Arial"/>
                <w:sz w:val="20"/>
                <w:szCs w:val="20"/>
              </w:rPr>
              <w:t xml:space="preserve"> (</w:t>
            </w:r>
            <w:r>
              <w:rPr>
                <w:rFonts w:asciiTheme="majorHAnsi" w:hAnsiTheme="majorHAnsi" w:cs="Arial"/>
                <w:sz w:val="20"/>
                <w:szCs w:val="20"/>
              </w:rPr>
              <w:t>6.5</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1C862A6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21</w:t>
            </w:r>
            <w:r w:rsidRPr="00BA6733">
              <w:rPr>
                <w:rFonts w:asciiTheme="majorHAnsi" w:hAnsiTheme="majorHAnsi" w:cs="Arial"/>
                <w:sz w:val="20"/>
                <w:szCs w:val="20"/>
              </w:rPr>
              <w:t xml:space="preserve"> (</w:t>
            </w:r>
            <w:r>
              <w:rPr>
                <w:rFonts w:asciiTheme="majorHAnsi" w:hAnsiTheme="majorHAnsi" w:cs="Arial"/>
                <w:sz w:val="20"/>
                <w:szCs w:val="20"/>
              </w:rPr>
              <w:t>13.5</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6215C1C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48</w:t>
            </w:r>
            <w:r w:rsidRPr="00BA6733">
              <w:rPr>
                <w:rFonts w:asciiTheme="majorHAnsi" w:hAnsiTheme="majorHAnsi" w:cs="Arial"/>
                <w:sz w:val="20"/>
                <w:szCs w:val="20"/>
              </w:rPr>
              <w:t xml:space="preserve"> (</w:t>
            </w:r>
            <w:r>
              <w:rPr>
                <w:rFonts w:asciiTheme="majorHAnsi" w:hAnsiTheme="majorHAnsi" w:cs="Arial"/>
                <w:sz w:val="20"/>
                <w:szCs w:val="20"/>
              </w:rPr>
              <w:t>15.8</w:t>
            </w:r>
            <w:r w:rsidRPr="00BA6733">
              <w:rPr>
                <w:rFonts w:asciiTheme="majorHAnsi" w:hAnsiTheme="majorHAnsi" w:cs="Arial"/>
                <w:sz w:val="20"/>
                <w:szCs w:val="20"/>
              </w:rPr>
              <w:t>%)</w:t>
            </w:r>
          </w:p>
        </w:tc>
        <w:tc>
          <w:tcPr>
            <w:tcW w:w="1134" w:type="dxa"/>
            <w:vMerge/>
            <w:tcBorders>
              <w:top w:val="nil"/>
              <w:left w:val="nil"/>
              <w:bottom w:val="single" w:sz="4" w:space="0" w:color="auto"/>
              <w:right w:val="nil"/>
            </w:tcBorders>
            <w:vAlign w:val="center"/>
          </w:tcPr>
          <w:p w14:paraId="77B8D67F"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338EAFAC" w14:textId="77777777" w:rsidTr="00192949">
        <w:trPr>
          <w:trHeight w:val="88"/>
          <w:jc w:val="center"/>
        </w:trPr>
        <w:tc>
          <w:tcPr>
            <w:tcW w:w="1701" w:type="dxa"/>
            <w:vMerge w:val="restart"/>
            <w:tcBorders>
              <w:top w:val="single" w:sz="4" w:space="0" w:color="auto"/>
              <w:left w:val="nil"/>
              <w:right w:val="nil"/>
            </w:tcBorders>
            <w:vAlign w:val="center"/>
          </w:tcPr>
          <w:p w14:paraId="55CE9794"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Chemotherapy regimen</w:t>
            </w:r>
          </w:p>
        </w:tc>
        <w:tc>
          <w:tcPr>
            <w:tcW w:w="2835" w:type="dxa"/>
            <w:tcBorders>
              <w:top w:val="single" w:sz="4" w:space="0" w:color="auto"/>
              <w:left w:val="nil"/>
              <w:bottom w:val="nil"/>
              <w:right w:val="nil"/>
            </w:tcBorders>
            <w:vAlign w:val="center"/>
          </w:tcPr>
          <w:p w14:paraId="7199E214" w14:textId="7585EC02" w:rsidR="005B2B10" w:rsidRPr="00850628" w:rsidRDefault="005B2B10" w:rsidP="00192949">
            <w:pPr>
              <w:spacing w:line="360" w:lineRule="auto"/>
              <w:rPr>
                <w:rFonts w:asciiTheme="majorHAnsi" w:hAnsiTheme="majorHAnsi" w:cs="Arial"/>
                <w:sz w:val="20"/>
                <w:szCs w:val="20"/>
                <w:vertAlign w:val="superscript"/>
              </w:rPr>
            </w:pPr>
            <w:r>
              <w:rPr>
                <w:rFonts w:asciiTheme="majorHAnsi" w:hAnsiTheme="majorHAnsi" w:cs="Arial"/>
                <w:sz w:val="20"/>
                <w:szCs w:val="20"/>
              </w:rPr>
              <w:t xml:space="preserve">MAGIC </w:t>
            </w:r>
            <w:r>
              <w:rPr>
                <w:rFonts w:asciiTheme="majorHAnsi" w:hAnsiTheme="majorHAnsi" w:cs="Arial"/>
                <w:sz w:val="20"/>
                <w:szCs w:val="20"/>
                <w:vertAlign w:val="superscript"/>
              </w:rPr>
              <w:t>a</w:t>
            </w:r>
          </w:p>
        </w:tc>
        <w:tc>
          <w:tcPr>
            <w:tcW w:w="1276" w:type="dxa"/>
            <w:tcBorders>
              <w:top w:val="single" w:sz="4" w:space="0" w:color="auto"/>
              <w:left w:val="nil"/>
              <w:bottom w:val="nil"/>
              <w:right w:val="nil"/>
            </w:tcBorders>
          </w:tcPr>
          <w:p w14:paraId="378306E3"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181</w:t>
            </w:r>
            <w:r w:rsidRPr="00BA6733">
              <w:rPr>
                <w:rFonts w:asciiTheme="majorHAnsi" w:hAnsiTheme="majorHAnsi" w:cs="Arial"/>
                <w:sz w:val="20"/>
                <w:szCs w:val="20"/>
              </w:rPr>
              <w:t xml:space="preserve"> (</w:t>
            </w:r>
            <w:r>
              <w:rPr>
                <w:rFonts w:asciiTheme="majorHAnsi" w:hAnsiTheme="majorHAnsi" w:cs="Arial"/>
                <w:sz w:val="20"/>
                <w:szCs w:val="20"/>
              </w:rPr>
              <w:t>74.5</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38AC026A"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43</w:t>
            </w:r>
            <w:r w:rsidRPr="00BA6733">
              <w:rPr>
                <w:rFonts w:asciiTheme="majorHAnsi" w:hAnsiTheme="majorHAnsi" w:cs="Arial"/>
                <w:sz w:val="20"/>
                <w:szCs w:val="20"/>
              </w:rPr>
              <w:t xml:space="preserve"> (</w:t>
            </w:r>
            <w:r>
              <w:rPr>
                <w:rFonts w:asciiTheme="majorHAnsi" w:hAnsiTheme="majorHAnsi" w:cs="Arial"/>
                <w:sz w:val="20"/>
                <w:szCs w:val="20"/>
              </w:rPr>
              <w:t>69.4</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39E56F1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126</w:t>
            </w:r>
            <w:r w:rsidRPr="00BA6733">
              <w:rPr>
                <w:rFonts w:asciiTheme="majorHAnsi" w:hAnsiTheme="majorHAnsi" w:cs="Arial"/>
                <w:sz w:val="20"/>
                <w:szCs w:val="20"/>
              </w:rPr>
              <w:t xml:space="preserve"> (</w:t>
            </w:r>
            <w:r>
              <w:rPr>
                <w:rFonts w:asciiTheme="majorHAnsi" w:hAnsiTheme="majorHAnsi" w:cs="Arial"/>
                <w:sz w:val="20"/>
                <w:szCs w:val="20"/>
              </w:rPr>
              <w:t>81.3</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31E3328D"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245</w:t>
            </w:r>
            <w:r w:rsidRPr="00BA6733">
              <w:rPr>
                <w:rFonts w:asciiTheme="majorHAnsi" w:hAnsiTheme="majorHAnsi" w:cs="Arial"/>
                <w:sz w:val="20"/>
                <w:szCs w:val="20"/>
              </w:rPr>
              <w:t xml:space="preserve"> (</w:t>
            </w:r>
            <w:r>
              <w:rPr>
                <w:rFonts w:asciiTheme="majorHAnsi" w:hAnsiTheme="majorHAnsi" w:cs="Arial"/>
                <w:sz w:val="20"/>
                <w:szCs w:val="20"/>
              </w:rPr>
              <w:t>80.9</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74170E5B" w14:textId="77777777" w:rsidR="005B2B10" w:rsidRPr="00215777" w:rsidRDefault="005B2B10" w:rsidP="00192949">
            <w:pPr>
              <w:spacing w:line="480" w:lineRule="auto"/>
              <w:jc w:val="center"/>
              <w:rPr>
                <w:rFonts w:asciiTheme="majorHAnsi" w:hAnsiTheme="majorHAnsi" w:cs="Arial"/>
                <w:b/>
                <w:bCs/>
                <w:i/>
                <w:iCs/>
                <w:sz w:val="20"/>
                <w:szCs w:val="20"/>
              </w:rPr>
            </w:pPr>
            <w:r w:rsidRPr="00215777">
              <w:rPr>
                <w:rFonts w:asciiTheme="majorHAnsi" w:hAnsiTheme="majorHAnsi" w:cs="Arial"/>
                <w:b/>
                <w:bCs/>
                <w:i/>
                <w:iCs/>
                <w:color w:val="FF0000"/>
                <w:sz w:val="20"/>
                <w:szCs w:val="20"/>
              </w:rPr>
              <w:t>p=0.004</w:t>
            </w:r>
          </w:p>
        </w:tc>
      </w:tr>
      <w:tr w:rsidR="005B2B10" w:rsidRPr="00E8529C" w14:paraId="6905965C" w14:textId="77777777" w:rsidTr="00192949">
        <w:trPr>
          <w:trHeight w:val="88"/>
          <w:jc w:val="center"/>
        </w:trPr>
        <w:tc>
          <w:tcPr>
            <w:tcW w:w="1701" w:type="dxa"/>
            <w:vMerge/>
            <w:tcBorders>
              <w:left w:val="nil"/>
              <w:right w:val="nil"/>
            </w:tcBorders>
            <w:vAlign w:val="center"/>
          </w:tcPr>
          <w:p w14:paraId="03F621A5"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14756759" w14:textId="2DBC0C14" w:rsidR="005B2B10" w:rsidRPr="00850628" w:rsidRDefault="005B2B10" w:rsidP="00192949">
            <w:pPr>
              <w:spacing w:line="360" w:lineRule="auto"/>
              <w:rPr>
                <w:rFonts w:asciiTheme="majorHAnsi" w:hAnsiTheme="majorHAnsi" w:cs="Arial"/>
                <w:sz w:val="20"/>
                <w:szCs w:val="20"/>
              </w:rPr>
            </w:pPr>
            <w:r>
              <w:rPr>
                <w:rFonts w:asciiTheme="majorHAnsi" w:hAnsiTheme="majorHAnsi" w:cs="Arial"/>
                <w:sz w:val="20"/>
                <w:szCs w:val="20"/>
              </w:rPr>
              <w:t xml:space="preserve">OEO2 </w:t>
            </w:r>
            <w:r>
              <w:rPr>
                <w:rFonts w:asciiTheme="majorHAnsi" w:hAnsiTheme="majorHAnsi" w:cs="Arial"/>
                <w:sz w:val="20"/>
                <w:szCs w:val="20"/>
                <w:vertAlign w:val="superscript"/>
              </w:rPr>
              <w:t>b</w:t>
            </w:r>
          </w:p>
        </w:tc>
        <w:tc>
          <w:tcPr>
            <w:tcW w:w="1276" w:type="dxa"/>
            <w:tcBorders>
              <w:top w:val="nil"/>
              <w:left w:val="nil"/>
              <w:bottom w:val="nil"/>
              <w:right w:val="nil"/>
            </w:tcBorders>
          </w:tcPr>
          <w:p w14:paraId="770A81D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27</w:t>
            </w:r>
            <w:r w:rsidRPr="00BA6733">
              <w:rPr>
                <w:rFonts w:asciiTheme="majorHAnsi" w:hAnsiTheme="majorHAnsi" w:cs="Arial"/>
                <w:sz w:val="20"/>
                <w:szCs w:val="20"/>
              </w:rPr>
              <w:t xml:space="preserve"> (</w:t>
            </w:r>
            <w:r>
              <w:rPr>
                <w:rFonts w:asciiTheme="majorHAnsi" w:hAnsiTheme="majorHAnsi" w:cs="Arial"/>
                <w:sz w:val="20"/>
                <w:szCs w:val="20"/>
              </w:rPr>
              <w:t>11.1</w:t>
            </w:r>
            <w:r w:rsidRPr="00BA6733">
              <w:rPr>
                <w:rFonts w:asciiTheme="majorHAnsi" w:hAnsiTheme="majorHAnsi" w:cs="Arial"/>
                <w:sz w:val="20"/>
                <w:szCs w:val="20"/>
              </w:rPr>
              <w:t>%)</w:t>
            </w:r>
          </w:p>
        </w:tc>
        <w:tc>
          <w:tcPr>
            <w:tcW w:w="1276" w:type="dxa"/>
            <w:tcBorders>
              <w:top w:val="nil"/>
              <w:left w:val="nil"/>
              <w:bottom w:val="nil"/>
              <w:right w:val="nil"/>
            </w:tcBorders>
          </w:tcPr>
          <w:p w14:paraId="6924245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w:t>
            </w:r>
            <w:r w:rsidRPr="00BA6733">
              <w:rPr>
                <w:rFonts w:asciiTheme="majorHAnsi" w:hAnsiTheme="majorHAnsi" w:cs="Arial"/>
                <w:sz w:val="20"/>
                <w:szCs w:val="20"/>
              </w:rPr>
              <w:t xml:space="preserve"> (</w:t>
            </w:r>
            <w:r>
              <w:rPr>
                <w:rFonts w:asciiTheme="majorHAnsi" w:hAnsiTheme="majorHAnsi" w:cs="Arial"/>
                <w:sz w:val="20"/>
                <w:szCs w:val="20"/>
              </w:rPr>
              <w:t>3.2</w:t>
            </w:r>
            <w:r w:rsidRPr="00BA6733">
              <w:rPr>
                <w:rFonts w:asciiTheme="majorHAnsi" w:hAnsiTheme="majorHAnsi" w:cs="Arial"/>
                <w:sz w:val="20"/>
                <w:szCs w:val="20"/>
              </w:rPr>
              <w:t>%)</w:t>
            </w:r>
          </w:p>
        </w:tc>
        <w:tc>
          <w:tcPr>
            <w:tcW w:w="1559" w:type="dxa"/>
            <w:tcBorders>
              <w:top w:val="nil"/>
              <w:left w:val="nil"/>
              <w:bottom w:val="nil"/>
              <w:right w:val="nil"/>
            </w:tcBorders>
          </w:tcPr>
          <w:p w14:paraId="2A940F61"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w:t>
            </w:r>
            <w:r w:rsidRPr="00BA6733">
              <w:rPr>
                <w:rFonts w:asciiTheme="majorHAnsi" w:hAnsiTheme="majorHAnsi" w:cs="Arial"/>
                <w:sz w:val="20"/>
                <w:szCs w:val="20"/>
              </w:rPr>
              <w:t xml:space="preserve"> (</w:t>
            </w:r>
            <w:r>
              <w:rPr>
                <w:rFonts w:asciiTheme="majorHAnsi" w:hAnsiTheme="majorHAnsi" w:cs="Arial"/>
                <w:sz w:val="20"/>
                <w:szCs w:val="20"/>
              </w:rPr>
              <w:t>4.5</w:t>
            </w:r>
            <w:r w:rsidRPr="00BA6733">
              <w:rPr>
                <w:rFonts w:asciiTheme="majorHAnsi" w:hAnsiTheme="majorHAnsi" w:cs="Arial"/>
                <w:sz w:val="20"/>
                <w:szCs w:val="20"/>
              </w:rPr>
              <w:t>%)</w:t>
            </w:r>
          </w:p>
        </w:tc>
        <w:tc>
          <w:tcPr>
            <w:tcW w:w="1418" w:type="dxa"/>
            <w:tcBorders>
              <w:top w:val="nil"/>
              <w:left w:val="nil"/>
              <w:bottom w:val="nil"/>
              <w:right w:val="nil"/>
            </w:tcBorders>
          </w:tcPr>
          <w:p w14:paraId="0D1EBEE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30</w:t>
            </w:r>
            <w:r w:rsidRPr="00BA6733">
              <w:rPr>
                <w:rFonts w:asciiTheme="majorHAnsi" w:hAnsiTheme="majorHAnsi" w:cs="Arial"/>
                <w:sz w:val="20"/>
                <w:szCs w:val="20"/>
              </w:rPr>
              <w:t xml:space="preserve"> (</w:t>
            </w:r>
            <w:r>
              <w:rPr>
                <w:rFonts w:asciiTheme="majorHAnsi" w:hAnsiTheme="majorHAnsi" w:cs="Arial"/>
                <w:sz w:val="20"/>
                <w:szCs w:val="20"/>
              </w:rPr>
              <w:t>9.9</w:t>
            </w:r>
            <w:r w:rsidRPr="00BA6733">
              <w:rPr>
                <w:rFonts w:asciiTheme="majorHAnsi" w:hAnsiTheme="majorHAnsi" w:cs="Arial"/>
                <w:sz w:val="20"/>
                <w:szCs w:val="20"/>
              </w:rPr>
              <w:t>%)</w:t>
            </w:r>
          </w:p>
        </w:tc>
        <w:tc>
          <w:tcPr>
            <w:tcW w:w="1134" w:type="dxa"/>
            <w:vMerge/>
            <w:tcBorders>
              <w:left w:val="nil"/>
              <w:right w:val="nil"/>
            </w:tcBorders>
            <w:vAlign w:val="center"/>
          </w:tcPr>
          <w:p w14:paraId="6F8F56E6"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21047D83" w14:textId="77777777" w:rsidTr="00192949">
        <w:trPr>
          <w:trHeight w:val="88"/>
          <w:jc w:val="center"/>
        </w:trPr>
        <w:tc>
          <w:tcPr>
            <w:tcW w:w="1701" w:type="dxa"/>
            <w:vMerge/>
            <w:tcBorders>
              <w:left w:val="nil"/>
              <w:right w:val="nil"/>
            </w:tcBorders>
            <w:vAlign w:val="center"/>
          </w:tcPr>
          <w:p w14:paraId="16663B57"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6AFF2C01" w14:textId="77777777" w:rsidR="005B2B10" w:rsidRPr="00850628"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FLOT</w:t>
            </w:r>
            <w:r>
              <w:rPr>
                <w:rFonts w:asciiTheme="majorHAnsi" w:hAnsiTheme="majorHAnsi" w:cs="Arial"/>
                <w:sz w:val="20"/>
                <w:szCs w:val="20"/>
              </w:rPr>
              <w:t xml:space="preserve"> </w:t>
            </w:r>
            <w:r>
              <w:rPr>
                <w:rFonts w:asciiTheme="majorHAnsi" w:hAnsiTheme="majorHAnsi" w:cs="Arial"/>
                <w:sz w:val="20"/>
                <w:szCs w:val="20"/>
                <w:vertAlign w:val="superscript"/>
              </w:rPr>
              <w:t>c</w:t>
            </w:r>
          </w:p>
        </w:tc>
        <w:tc>
          <w:tcPr>
            <w:tcW w:w="1276" w:type="dxa"/>
            <w:tcBorders>
              <w:top w:val="nil"/>
              <w:left w:val="nil"/>
              <w:bottom w:val="nil"/>
              <w:right w:val="nil"/>
            </w:tcBorders>
          </w:tcPr>
          <w:p w14:paraId="5A48136E"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32</w:t>
            </w:r>
            <w:r w:rsidRPr="00BA6733">
              <w:rPr>
                <w:rFonts w:asciiTheme="majorHAnsi" w:hAnsiTheme="majorHAnsi" w:cs="Arial"/>
                <w:sz w:val="20"/>
                <w:szCs w:val="20"/>
              </w:rPr>
              <w:t xml:space="preserve"> (</w:t>
            </w:r>
            <w:r>
              <w:rPr>
                <w:rFonts w:asciiTheme="majorHAnsi" w:hAnsiTheme="majorHAnsi" w:cs="Arial"/>
                <w:sz w:val="20"/>
                <w:szCs w:val="20"/>
              </w:rPr>
              <w:t>13.2</w:t>
            </w:r>
            <w:r w:rsidRPr="00BA6733">
              <w:rPr>
                <w:rFonts w:asciiTheme="majorHAnsi" w:hAnsiTheme="majorHAnsi" w:cs="Arial"/>
                <w:sz w:val="20"/>
                <w:szCs w:val="20"/>
              </w:rPr>
              <w:t>%)</w:t>
            </w:r>
          </w:p>
        </w:tc>
        <w:tc>
          <w:tcPr>
            <w:tcW w:w="1276" w:type="dxa"/>
            <w:tcBorders>
              <w:top w:val="nil"/>
              <w:left w:val="nil"/>
              <w:bottom w:val="nil"/>
              <w:right w:val="nil"/>
            </w:tcBorders>
          </w:tcPr>
          <w:p w14:paraId="1A1E408D"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w:t>
            </w:r>
            <w:r w:rsidRPr="00BA6733">
              <w:rPr>
                <w:rFonts w:asciiTheme="majorHAnsi" w:hAnsiTheme="majorHAnsi" w:cs="Arial"/>
                <w:sz w:val="20"/>
                <w:szCs w:val="20"/>
              </w:rPr>
              <w:t xml:space="preserve"> (</w:t>
            </w:r>
            <w:r>
              <w:rPr>
                <w:rFonts w:asciiTheme="majorHAnsi" w:hAnsiTheme="majorHAnsi" w:cs="Arial"/>
                <w:sz w:val="20"/>
                <w:szCs w:val="20"/>
              </w:rPr>
              <w:t>22.6</w:t>
            </w:r>
            <w:r w:rsidRPr="00BA6733">
              <w:rPr>
                <w:rFonts w:asciiTheme="majorHAnsi" w:hAnsiTheme="majorHAnsi" w:cs="Arial"/>
                <w:sz w:val="20"/>
                <w:szCs w:val="20"/>
              </w:rPr>
              <w:t>%)</w:t>
            </w:r>
          </w:p>
        </w:tc>
        <w:tc>
          <w:tcPr>
            <w:tcW w:w="1559" w:type="dxa"/>
            <w:tcBorders>
              <w:top w:val="nil"/>
              <w:left w:val="nil"/>
              <w:bottom w:val="nil"/>
              <w:right w:val="nil"/>
            </w:tcBorders>
          </w:tcPr>
          <w:p w14:paraId="159F0FA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20</w:t>
            </w:r>
            <w:r w:rsidRPr="00BA6733">
              <w:rPr>
                <w:rFonts w:asciiTheme="majorHAnsi" w:hAnsiTheme="majorHAnsi" w:cs="Arial"/>
                <w:sz w:val="20"/>
                <w:szCs w:val="20"/>
              </w:rPr>
              <w:t xml:space="preserve"> (</w:t>
            </w:r>
            <w:r>
              <w:rPr>
                <w:rFonts w:asciiTheme="majorHAnsi" w:hAnsiTheme="majorHAnsi" w:cs="Arial"/>
                <w:sz w:val="20"/>
                <w:szCs w:val="20"/>
              </w:rPr>
              <w:t>12.9</w:t>
            </w:r>
            <w:r w:rsidRPr="00BA6733">
              <w:rPr>
                <w:rFonts w:asciiTheme="majorHAnsi" w:hAnsiTheme="majorHAnsi" w:cs="Arial"/>
                <w:sz w:val="20"/>
                <w:szCs w:val="20"/>
              </w:rPr>
              <w:t>%)</w:t>
            </w:r>
          </w:p>
        </w:tc>
        <w:tc>
          <w:tcPr>
            <w:tcW w:w="1418" w:type="dxa"/>
            <w:tcBorders>
              <w:top w:val="nil"/>
              <w:left w:val="nil"/>
              <w:bottom w:val="nil"/>
              <w:right w:val="nil"/>
            </w:tcBorders>
          </w:tcPr>
          <w:p w14:paraId="1229515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23</w:t>
            </w:r>
            <w:r w:rsidRPr="00BA6733">
              <w:rPr>
                <w:rFonts w:asciiTheme="majorHAnsi" w:hAnsiTheme="majorHAnsi" w:cs="Arial"/>
                <w:sz w:val="20"/>
                <w:szCs w:val="20"/>
              </w:rPr>
              <w:t xml:space="preserve"> (</w:t>
            </w:r>
            <w:r>
              <w:rPr>
                <w:rFonts w:asciiTheme="majorHAnsi" w:hAnsiTheme="majorHAnsi" w:cs="Arial"/>
                <w:sz w:val="20"/>
                <w:szCs w:val="20"/>
              </w:rPr>
              <w:t>7.6</w:t>
            </w:r>
            <w:r w:rsidRPr="00BA6733">
              <w:rPr>
                <w:rFonts w:asciiTheme="majorHAnsi" w:hAnsiTheme="majorHAnsi" w:cs="Arial"/>
                <w:sz w:val="20"/>
                <w:szCs w:val="20"/>
              </w:rPr>
              <w:t>%)</w:t>
            </w:r>
          </w:p>
        </w:tc>
        <w:tc>
          <w:tcPr>
            <w:tcW w:w="1134" w:type="dxa"/>
            <w:vMerge/>
            <w:tcBorders>
              <w:left w:val="nil"/>
              <w:right w:val="nil"/>
            </w:tcBorders>
            <w:vAlign w:val="center"/>
          </w:tcPr>
          <w:p w14:paraId="56233DBE"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652FE1F6" w14:textId="77777777" w:rsidTr="00192949">
        <w:trPr>
          <w:trHeight w:val="88"/>
          <w:jc w:val="center"/>
        </w:trPr>
        <w:tc>
          <w:tcPr>
            <w:tcW w:w="1701" w:type="dxa"/>
            <w:vMerge/>
            <w:tcBorders>
              <w:left w:val="nil"/>
              <w:bottom w:val="single" w:sz="4" w:space="0" w:color="auto"/>
              <w:right w:val="nil"/>
            </w:tcBorders>
            <w:vAlign w:val="center"/>
          </w:tcPr>
          <w:p w14:paraId="444FDC1D"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46BC0FFD"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Other</w:t>
            </w:r>
          </w:p>
        </w:tc>
        <w:tc>
          <w:tcPr>
            <w:tcW w:w="1276" w:type="dxa"/>
            <w:tcBorders>
              <w:top w:val="nil"/>
              <w:left w:val="nil"/>
              <w:bottom w:val="single" w:sz="4" w:space="0" w:color="auto"/>
              <w:right w:val="nil"/>
            </w:tcBorders>
          </w:tcPr>
          <w:p w14:paraId="37BE3361"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w:t>
            </w:r>
            <w:r w:rsidRPr="00BA6733">
              <w:rPr>
                <w:rFonts w:asciiTheme="majorHAnsi" w:hAnsiTheme="majorHAnsi" w:cs="Arial"/>
                <w:sz w:val="20"/>
                <w:szCs w:val="20"/>
              </w:rPr>
              <w:t xml:space="preserve"> (</w:t>
            </w:r>
            <w:r>
              <w:rPr>
                <w:rFonts w:asciiTheme="majorHAnsi" w:hAnsiTheme="majorHAnsi" w:cs="Arial"/>
                <w:sz w:val="20"/>
                <w:szCs w:val="20"/>
              </w:rPr>
              <w:t>1.2</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16C5DB3F"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w:t>
            </w:r>
            <w:r w:rsidRPr="00BA6733">
              <w:rPr>
                <w:rFonts w:asciiTheme="majorHAnsi" w:hAnsiTheme="majorHAnsi" w:cs="Arial"/>
                <w:sz w:val="20"/>
                <w:szCs w:val="20"/>
              </w:rPr>
              <w:t xml:space="preserve"> (</w:t>
            </w:r>
            <w:r>
              <w:rPr>
                <w:rFonts w:asciiTheme="majorHAnsi" w:hAnsiTheme="majorHAnsi" w:cs="Arial"/>
                <w:sz w:val="20"/>
                <w:szCs w:val="20"/>
              </w:rPr>
              <w:t>4.8</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3F78AC8B"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w:t>
            </w:r>
            <w:r w:rsidRPr="00BA6733">
              <w:rPr>
                <w:rFonts w:asciiTheme="majorHAnsi" w:hAnsiTheme="majorHAnsi" w:cs="Arial"/>
                <w:sz w:val="20"/>
                <w:szCs w:val="20"/>
              </w:rPr>
              <w:t xml:space="preserve"> (</w:t>
            </w:r>
            <w:r>
              <w:rPr>
                <w:rFonts w:asciiTheme="majorHAnsi" w:hAnsiTheme="majorHAnsi" w:cs="Arial"/>
                <w:sz w:val="20"/>
                <w:szCs w:val="20"/>
              </w:rPr>
              <w:t>1.3</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1380343B"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w:t>
            </w:r>
            <w:r w:rsidRPr="00BA6733">
              <w:rPr>
                <w:rFonts w:asciiTheme="majorHAnsi" w:hAnsiTheme="majorHAnsi" w:cs="Arial"/>
                <w:sz w:val="20"/>
                <w:szCs w:val="20"/>
              </w:rPr>
              <w:t xml:space="preserve"> (</w:t>
            </w:r>
            <w:r>
              <w:rPr>
                <w:rFonts w:asciiTheme="majorHAnsi" w:hAnsiTheme="majorHAnsi" w:cs="Arial"/>
                <w:sz w:val="20"/>
                <w:szCs w:val="20"/>
              </w:rPr>
              <w:t>1.7</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386065D8"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26ED123C" w14:textId="77777777" w:rsidTr="00192949">
        <w:trPr>
          <w:trHeight w:val="171"/>
          <w:jc w:val="center"/>
        </w:trPr>
        <w:tc>
          <w:tcPr>
            <w:tcW w:w="1701" w:type="dxa"/>
            <w:vMerge w:val="restart"/>
            <w:tcBorders>
              <w:top w:val="single" w:sz="4" w:space="0" w:color="auto"/>
              <w:left w:val="nil"/>
              <w:right w:val="nil"/>
            </w:tcBorders>
            <w:shd w:val="clear" w:color="auto" w:fill="auto"/>
            <w:vAlign w:val="center"/>
          </w:tcPr>
          <w:p w14:paraId="78FC9A0B" w14:textId="77777777" w:rsidR="005B2B10" w:rsidRPr="00E8529C" w:rsidRDefault="005B2B10" w:rsidP="00192949">
            <w:pPr>
              <w:spacing w:line="360" w:lineRule="auto"/>
              <w:rPr>
                <w:rFonts w:asciiTheme="majorHAnsi" w:hAnsiTheme="majorHAnsi" w:cs="Arial"/>
                <w:sz w:val="20"/>
                <w:szCs w:val="20"/>
              </w:rPr>
            </w:pPr>
            <w:proofErr w:type="spellStart"/>
            <w:r>
              <w:rPr>
                <w:rFonts w:asciiTheme="majorHAnsi" w:hAnsiTheme="majorHAnsi" w:cs="Arial"/>
                <w:sz w:val="20"/>
                <w:szCs w:val="20"/>
              </w:rPr>
              <w:t>Tumor</w:t>
            </w:r>
            <w:proofErr w:type="spellEnd"/>
            <w:r w:rsidRPr="00E8529C">
              <w:rPr>
                <w:rFonts w:asciiTheme="majorHAnsi" w:hAnsiTheme="majorHAnsi" w:cs="Arial"/>
                <w:sz w:val="20"/>
                <w:szCs w:val="20"/>
              </w:rPr>
              <w:t xml:space="preserve"> location</w:t>
            </w:r>
          </w:p>
        </w:tc>
        <w:tc>
          <w:tcPr>
            <w:tcW w:w="2835" w:type="dxa"/>
            <w:tcBorders>
              <w:top w:val="single" w:sz="4" w:space="0" w:color="auto"/>
              <w:left w:val="nil"/>
              <w:bottom w:val="nil"/>
              <w:right w:val="nil"/>
            </w:tcBorders>
            <w:vAlign w:val="center"/>
          </w:tcPr>
          <w:p w14:paraId="0DAE859F" w14:textId="77777777" w:rsidR="005B2B10" w:rsidRPr="00E8529C" w:rsidRDefault="005B2B10" w:rsidP="00192949">
            <w:pPr>
              <w:spacing w:line="360" w:lineRule="auto"/>
              <w:rPr>
                <w:rFonts w:asciiTheme="majorHAnsi" w:hAnsiTheme="majorHAnsi" w:cs="Arial"/>
                <w:sz w:val="20"/>
                <w:szCs w:val="20"/>
              </w:rPr>
            </w:pPr>
            <w:proofErr w:type="spellStart"/>
            <w:r>
              <w:rPr>
                <w:rFonts w:asciiTheme="majorHAnsi" w:hAnsiTheme="majorHAnsi" w:cs="Arial"/>
                <w:sz w:val="20"/>
                <w:szCs w:val="20"/>
              </w:rPr>
              <w:t>Esophagus</w:t>
            </w:r>
            <w:proofErr w:type="spellEnd"/>
          </w:p>
        </w:tc>
        <w:tc>
          <w:tcPr>
            <w:tcW w:w="1276" w:type="dxa"/>
            <w:tcBorders>
              <w:top w:val="single" w:sz="4" w:space="0" w:color="auto"/>
              <w:left w:val="nil"/>
              <w:bottom w:val="nil"/>
              <w:right w:val="nil"/>
            </w:tcBorders>
          </w:tcPr>
          <w:p w14:paraId="7B48CE5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52</w:t>
            </w:r>
            <w:r w:rsidRPr="00BA6733">
              <w:rPr>
                <w:rFonts w:asciiTheme="majorHAnsi" w:hAnsiTheme="majorHAnsi" w:cs="Arial"/>
                <w:sz w:val="20"/>
                <w:szCs w:val="20"/>
              </w:rPr>
              <w:t xml:space="preserve"> (</w:t>
            </w:r>
            <w:r>
              <w:rPr>
                <w:rFonts w:asciiTheme="majorHAnsi" w:hAnsiTheme="majorHAnsi" w:cs="Arial"/>
                <w:sz w:val="20"/>
                <w:szCs w:val="20"/>
              </w:rPr>
              <w:t>21.4</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3320FEE7"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w:t>
            </w:r>
            <w:r w:rsidRPr="00BA6733">
              <w:rPr>
                <w:rFonts w:asciiTheme="majorHAnsi" w:hAnsiTheme="majorHAnsi" w:cs="Arial"/>
                <w:sz w:val="20"/>
                <w:szCs w:val="20"/>
              </w:rPr>
              <w:t xml:space="preserve"> (</w:t>
            </w:r>
            <w:r>
              <w:rPr>
                <w:rFonts w:asciiTheme="majorHAnsi" w:hAnsiTheme="majorHAnsi" w:cs="Arial"/>
                <w:sz w:val="20"/>
                <w:szCs w:val="20"/>
              </w:rPr>
              <w:t>14.5</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13DFC45B"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20</w:t>
            </w:r>
            <w:r w:rsidRPr="00BA6733">
              <w:rPr>
                <w:rFonts w:asciiTheme="majorHAnsi" w:hAnsiTheme="majorHAnsi" w:cs="Arial"/>
                <w:sz w:val="20"/>
                <w:szCs w:val="20"/>
              </w:rPr>
              <w:t xml:space="preserve"> (</w:t>
            </w:r>
            <w:r>
              <w:rPr>
                <w:rFonts w:asciiTheme="majorHAnsi" w:hAnsiTheme="majorHAnsi" w:cs="Arial"/>
                <w:sz w:val="20"/>
                <w:szCs w:val="20"/>
              </w:rPr>
              <w:t>12.9</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0A7C81C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53</w:t>
            </w:r>
            <w:r w:rsidRPr="00BA6733">
              <w:rPr>
                <w:rFonts w:asciiTheme="majorHAnsi" w:hAnsiTheme="majorHAnsi" w:cs="Arial"/>
                <w:sz w:val="20"/>
                <w:szCs w:val="20"/>
              </w:rPr>
              <w:t xml:space="preserve"> (</w:t>
            </w:r>
            <w:r>
              <w:rPr>
                <w:rFonts w:asciiTheme="majorHAnsi" w:hAnsiTheme="majorHAnsi" w:cs="Arial"/>
                <w:sz w:val="20"/>
                <w:szCs w:val="20"/>
              </w:rPr>
              <w:t>17.5</w:t>
            </w:r>
            <w:r w:rsidRPr="00BA6733">
              <w:rPr>
                <w:rFonts w:asciiTheme="majorHAnsi" w:hAnsiTheme="majorHAnsi" w:cs="Arial"/>
                <w:sz w:val="20"/>
                <w:szCs w:val="20"/>
              </w:rPr>
              <w:t>%)</w:t>
            </w:r>
          </w:p>
        </w:tc>
        <w:tc>
          <w:tcPr>
            <w:tcW w:w="1134" w:type="dxa"/>
            <w:vMerge w:val="restart"/>
            <w:tcBorders>
              <w:top w:val="single" w:sz="4" w:space="0" w:color="auto"/>
              <w:left w:val="nil"/>
              <w:bottom w:val="nil"/>
              <w:right w:val="nil"/>
            </w:tcBorders>
            <w:vAlign w:val="center"/>
          </w:tcPr>
          <w:p w14:paraId="658B2A92" w14:textId="77777777" w:rsidR="005B2B10" w:rsidRPr="00E8529C" w:rsidRDefault="005B2B10" w:rsidP="00192949">
            <w:pPr>
              <w:spacing w:line="480" w:lineRule="auto"/>
              <w:jc w:val="center"/>
              <w:rPr>
                <w:rFonts w:asciiTheme="majorHAnsi" w:hAnsiTheme="majorHAnsi" w:cs="Arial"/>
                <w:i/>
                <w:iCs/>
                <w:sz w:val="20"/>
                <w:szCs w:val="20"/>
              </w:rPr>
            </w:pPr>
            <w:r>
              <w:rPr>
                <w:rFonts w:asciiTheme="majorHAnsi" w:hAnsiTheme="majorHAnsi" w:cs="Arial"/>
                <w:i/>
                <w:iCs/>
                <w:sz w:val="20"/>
                <w:szCs w:val="20"/>
              </w:rPr>
              <w:t>p=0.31</w:t>
            </w:r>
          </w:p>
        </w:tc>
      </w:tr>
      <w:tr w:rsidR="005B2B10" w:rsidRPr="00E8529C" w14:paraId="37E50020" w14:textId="77777777" w:rsidTr="00192949">
        <w:trPr>
          <w:trHeight w:val="107"/>
          <w:jc w:val="center"/>
        </w:trPr>
        <w:tc>
          <w:tcPr>
            <w:tcW w:w="1701" w:type="dxa"/>
            <w:vMerge/>
            <w:tcBorders>
              <w:left w:val="nil"/>
              <w:right w:val="nil"/>
            </w:tcBorders>
            <w:shd w:val="clear" w:color="auto" w:fill="auto"/>
            <w:vAlign w:val="center"/>
          </w:tcPr>
          <w:p w14:paraId="6FE1508D"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31DC1960"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Siewert type 1</w:t>
            </w:r>
          </w:p>
        </w:tc>
        <w:tc>
          <w:tcPr>
            <w:tcW w:w="1276" w:type="dxa"/>
            <w:tcBorders>
              <w:top w:val="nil"/>
              <w:left w:val="nil"/>
              <w:bottom w:val="nil"/>
              <w:right w:val="nil"/>
            </w:tcBorders>
          </w:tcPr>
          <w:p w14:paraId="63C63DEE"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89</w:t>
            </w:r>
            <w:r w:rsidRPr="00BA6733">
              <w:rPr>
                <w:rFonts w:asciiTheme="majorHAnsi" w:hAnsiTheme="majorHAnsi" w:cs="Arial"/>
                <w:sz w:val="20"/>
                <w:szCs w:val="20"/>
              </w:rPr>
              <w:t xml:space="preserve"> (</w:t>
            </w:r>
            <w:r>
              <w:rPr>
                <w:rFonts w:asciiTheme="majorHAnsi" w:hAnsiTheme="majorHAnsi" w:cs="Arial"/>
                <w:sz w:val="20"/>
                <w:szCs w:val="20"/>
              </w:rPr>
              <w:t>36.6</w:t>
            </w:r>
            <w:r w:rsidRPr="00BA6733">
              <w:rPr>
                <w:rFonts w:asciiTheme="majorHAnsi" w:hAnsiTheme="majorHAnsi" w:cs="Arial"/>
                <w:sz w:val="20"/>
                <w:szCs w:val="20"/>
              </w:rPr>
              <w:t>%)</w:t>
            </w:r>
          </w:p>
        </w:tc>
        <w:tc>
          <w:tcPr>
            <w:tcW w:w="1276" w:type="dxa"/>
            <w:tcBorders>
              <w:top w:val="nil"/>
              <w:left w:val="nil"/>
              <w:bottom w:val="nil"/>
              <w:right w:val="nil"/>
            </w:tcBorders>
          </w:tcPr>
          <w:p w14:paraId="4742CD4B"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20</w:t>
            </w:r>
            <w:r w:rsidRPr="00BA6733">
              <w:rPr>
                <w:rFonts w:asciiTheme="majorHAnsi" w:hAnsiTheme="majorHAnsi" w:cs="Arial"/>
                <w:sz w:val="20"/>
                <w:szCs w:val="20"/>
              </w:rPr>
              <w:t xml:space="preserve"> (</w:t>
            </w:r>
            <w:r>
              <w:rPr>
                <w:rFonts w:asciiTheme="majorHAnsi" w:hAnsiTheme="majorHAnsi" w:cs="Arial"/>
                <w:sz w:val="20"/>
                <w:szCs w:val="20"/>
              </w:rPr>
              <w:t>32.3</w:t>
            </w:r>
            <w:r w:rsidRPr="00BA6733">
              <w:rPr>
                <w:rFonts w:asciiTheme="majorHAnsi" w:hAnsiTheme="majorHAnsi" w:cs="Arial"/>
                <w:sz w:val="20"/>
                <w:szCs w:val="20"/>
              </w:rPr>
              <w:t>%)</w:t>
            </w:r>
          </w:p>
        </w:tc>
        <w:tc>
          <w:tcPr>
            <w:tcW w:w="1559" w:type="dxa"/>
            <w:tcBorders>
              <w:top w:val="nil"/>
              <w:left w:val="nil"/>
              <w:bottom w:val="nil"/>
              <w:right w:val="nil"/>
            </w:tcBorders>
          </w:tcPr>
          <w:p w14:paraId="68CA9D6C"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56</w:t>
            </w:r>
            <w:r w:rsidRPr="00BA6733">
              <w:rPr>
                <w:rFonts w:asciiTheme="majorHAnsi" w:hAnsiTheme="majorHAnsi" w:cs="Arial"/>
                <w:sz w:val="20"/>
                <w:szCs w:val="20"/>
              </w:rPr>
              <w:t xml:space="preserve"> (</w:t>
            </w:r>
            <w:r>
              <w:rPr>
                <w:rFonts w:asciiTheme="majorHAnsi" w:hAnsiTheme="majorHAnsi" w:cs="Arial"/>
                <w:sz w:val="20"/>
                <w:szCs w:val="20"/>
              </w:rPr>
              <w:t>36.1</w:t>
            </w:r>
            <w:r w:rsidRPr="00BA6733">
              <w:rPr>
                <w:rFonts w:asciiTheme="majorHAnsi" w:hAnsiTheme="majorHAnsi" w:cs="Arial"/>
                <w:sz w:val="20"/>
                <w:szCs w:val="20"/>
              </w:rPr>
              <w:t>%)</w:t>
            </w:r>
          </w:p>
        </w:tc>
        <w:tc>
          <w:tcPr>
            <w:tcW w:w="1418" w:type="dxa"/>
            <w:tcBorders>
              <w:top w:val="nil"/>
              <w:left w:val="nil"/>
              <w:bottom w:val="nil"/>
              <w:right w:val="nil"/>
            </w:tcBorders>
          </w:tcPr>
          <w:p w14:paraId="400616A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112</w:t>
            </w:r>
            <w:r w:rsidRPr="00BA6733">
              <w:rPr>
                <w:rFonts w:asciiTheme="majorHAnsi" w:hAnsiTheme="majorHAnsi" w:cs="Arial"/>
                <w:sz w:val="20"/>
                <w:szCs w:val="20"/>
              </w:rPr>
              <w:t xml:space="preserve"> (</w:t>
            </w:r>
            <w:r>
              <w:rPr>
                <w:rFonts w:asciiTheme="majorHAnsi" w:hAnsiTheme="majorHAnsi" w:cs="Arial"/>
                <w:sz w:val="20"/>
                <w:szCs w:val="20"/>
              </w:rPr>
              <w:t>37.0</w:t>
            </w:r>
            <w:r w:rsidRPr="00BA6733">
              <w:rPr>
                <w:rFonts w:asciiTheme="majorHAnsi" w:hAnsiTheme="majorHAnsi" w:cs="Arial"/>
                <w:sz w:val="20"/>
                <w:szCs w:val="20"/>
              </w:rPr>
              <w:t>%)</w:t>
            </w:r>
          </w:p>
        </w:tc>
        <w:tc>
          <w:tcPr>
            <w:tcW w:w="1134" w:type="dxa"/>
            <w:vMerge/>
            <w:tcBorders>
              <w:top w:val="nil"/>
              <w:left w:val="nil"/>
              <w:bottom w:val="nil"/>
              <w:right w:val="nil"/>
            </w:tcBorders>
            <w:vAlign w:val="center"/>
          </w:tcPr>
          <w:p w14:paraId="449F8CAF"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13BFDA52" w14:textId="77777777" w:rsidTr="00192949">
        <w:trPr>
          <w:trHeight w:val="128"/>
          <w:jc w:val="center"/>
        </w:trPr>
        <w:tc>
          <w:tcPr>
            <w:tcW w:w="1701" w:type="dxa"/>
            <w:vMerge/>
            <w:tcBorders>
              <w:left w:val="nil"/>
              <w:right w:val="nil"/>
            </w:tcBorders>
            <w:shd w:val="clear" w:color="auto" w:fill="auto"/>
            <w:vAlign w:val="center"/>
          </w:tcPr>
          <w:p w14:paraId="67428A57"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7EC206B7"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Siewert type 2</w:t>
            </w:r>
          </w:p>
        </w:tc>
        <w:tc>
          <w:tcPr>
            <w:tcW w:w="1276" w:type="dxa"/>
            <w:tcBorders>
              <w:top w:val="nil"/>
              <w:left w:val="nil"/>
              <w:bottom w:val="nil"/>
              <w:right w:val="nil"/>
            </w:tcBorders>
          </w:tcPr>
          <w:p w14:paraId="748895E2"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96</w:t>
            </w:r>
            <w:r w:rsidRPr="00BA6733">
              <w:rPr>
                <w:rFonts w:asciiTheme="majorHAnsi" w:hAnsiTheme="majorHAnsi" w:cs="Arial"/>
                <w:sz w:val="20"/>
                <w:szCs w:val="20"/>
              </w:rPr>
              <w:t xml:space="preserve"> (</w:t>
            </w:r>
            <w:r>
              <w:rPr>
                <w:rFonts w:asciiTheme="majorHAnsi" w:hAnsiTheme="majorHAnsi" w:cs="Arial"/>
                <w:sz w:val="20"/>
                <w:szCs w:val="20"/>
              </w:rPr>
              <w:t>39.5</w:t>
            </w:r>
            <w:r w:rsidRPr="00BA6733">
              <w:rPr>
                <w:rFonts w:asciiTheme="majorHAnsi" w:hAnsiTheme="majorHAnsi" w:cs="Arial"/>
                <w:sz w:val="20"/>
                <w:szCs w:val="20"/>
              </w:rPr>
              <w:t>%)</w:t>
            </w:r>
          </w:p>
        </w:tc>
        <w:tc>
          <w:tcPr>
            <w:tcW w:w="1276" w:type="dxa"/>
            <w:tcBorders>
              <w:top w:val="nil"/>
              <w:left w:val="nil"/>
              <w:bottom w:val="nil"/>
              <w:right w:val="nil"/>
            </w:tcBorders>
          </w:tcPr>
          <w:p w14:paraId="36EB059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31</w:t>
            </w:r>
            <w:r w:rsidRPr="00BA6733">
              <w:rPr>
                <w:rFonts w:asciiTheme="majorHAnsi" w:hAnsiTheme="majorHAnsi" w:cs="Arial"/>
                <w:sz w:val="20"/>
                <w:szCs w:val="20"/>
              </w:rPr>
              <w:t xml:space="preserve"> (</w:t>
            </w:r>
            <w:r>
              <w:rPr>
                <w:rFonts w:asciiTheme="majorHAnsi" w:hAnsiTheme="majorHAnsi" w:cs="Arial"/>
                <w:sz w:val="20"/>
                <w:szCs w:val="20"/>
              </w:rPr>
              <w:t>50.0</w:t>
            </w:r>
            <w:r w:rsidRPr="00BA6733">
              <w:rPr>
                <w:rFonts w:asciiTheme="majorHAnsi" w:hAnsiTheme="majorHAnsi" w:cs="Arial"/>
                <w:sz w:val="20"/>
                <w:szCs w:val="20"/>
              </w:rPr>
              <w:t>%)</w:t>
            </w:r>
          </w:p>
        </w:tc>
        <w:tc>
          <w:tcPr>
            <w:tcW w:w="1559" w:type="dxa"/>
            <w:tcBorders>
              <w:top w:val="nil"/>
              <w:left w:val="nil"/>
              <w:bottom w:val="nil"/>
              <w:right w:val="nil"/>
            </w:tcBorders>
          </w:tcPr>
          <w:p w14:paraId="71429A37"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69</w:t>
            </w:r>
            <w:r w:rsidRPr="00BA6733">
              <w:rPr>
                <w:rFonts w:asciiTheme="majorHAnsi" w:hAnsiTheme="majorHAnsi" w:cs="Arial"/>
                <w:sz w:val="20"/>
                <w:szCs w:val="20"/>
              </w:rPr>
              <w:t xml:space="preserve"> (</w:t>
            </w:r>
            <w:r>
              <w:rPr>
                <w:rFonts w:asciiTheme="majorHAnsi" w:hAnsiTheme="majorHAnsi" w:cs="Arial"/>
                <w:sz w:val="20"/>
                <w:szCs w:val="20"/>
              </w:rPr>
              <w:t>44.5</w:t>
            </w:r>
            <w:r w:rsidRPr="00BA6733">
              <w:rPr>
                <w:rFonts w:asciiTheme="majorHAnsi" w:hAnsiTheme="majorHAnsi" w:cs="Arial"/>
                <w:sz w:val="20"/>
                <w:szCs w:val="20"/>
              </w:rPr>
              <w:t>%)</w:t>
            </w:r>
          </w:p>
        </w:tc>
        <w:tc>
          <w:tcPr>
            <w:tcW w:w="1418" w:type="dxa"/>
            <w:tcBorders>
              <w:top w:val="nil"/>
              <w:left w:val="nil"/>
              <w:bottom w:val="nil"/>
              <w:right w:val="nil"/>
            </w:tcBorders>
          </w:tcPr>
          <w:p w14:paraId="232335C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128</w:t>
            </w:r>
            <w:r w:rsidRPr="00BA6733">
              <w:rPr>
                <w:rFonts w:asciiTheme="majorHAnsi" w:hAnsiTheme="majorHAnsi" w:cs="Arial"/>
                <w:sz w:val="20"/>
                <w:szCs w:val="20"/>
              </w:rPr>
              <w:t xml:space="preserve"> (</w:t>
            </w:r>
            <w:r>
              <w:rPr>
                <w:rFonts w:asciiTheme="majorHAnsi" w:hAnsiTheme="majorHAnsi" w:cs="Arial"/>
                <w:sz w:val="20"/>
                <w:szCs w:val="20"/>
              </w:rPr>
              <w:t>42.2</w:t>
            </w:r>
            <w:r w:rsidRPr="00BA6733">
              <w:rPr>
                <w:rFonts w:asciiTheme="majorHAnsi" w:hAnsiTheme="majorHAnsi" w:cs="Arial"/>
                <w:sz w:val="20"/>
                <w:szCs w:val="20"/>
              </w:rPr>
              <w:t>%)</w:t>
            </w:r>
          </w:p>
        </w:tc>
        <w:tc>
          <w:tcPr>
            <w:tcW w:w="1134" w:type="dxa"/>
            <w:vMerge/>
            <w:tcBorders>
              <w:top w:val="nil"/>
              <w:left w:val="nil"/>
              <w:bottom w:val="nil"/>
              <w:right w:val="nil"/>
            </w:tcBorders>
            <w:vAlign w:val="center"/>
          </w:tcPr>
          <w:p w14:paraId="18D3E333"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2C1A2EE5" w14:textId="77777777" w:rsidTr="00192949">
        <w:trPr>
          <w:trHeight w:val="247"/>
          <w:jc w:val="center"/>
        </w:trPr>
        <w:tc>
          <w:tcPr>
            <w:tcW w:w="1701" w:type="dxa"/>
            <w:vMerge/>
            <w:tcBorders>
              <w:left w:val="nil"/>
              <w:right w:val="nil"/>
            </w:tcBorders>
            <w:shd w:val="clear" w:color="auto" w:fill="auto"/>
            <w:vAlign w:val="center"/>
          </w:tcPr>
          <w:p w14:paraId="42273782"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75894725"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Siewert type 3</w:t>
            </w:r>
          </w:p>
        </w:tc>
        <w:tc>
          <w:tcPr>
            <w:tcW w:w="1276" w:type="dxa"/>
            <w:tcBorders>
              <w:top w:val="nil"/>
              <w:left w:val="nil"/>
              <w:bottom w:val="nil"/>
              <w:right w:val="nil"/>
            </w:tcBorders>
          </w:tcPr>
          <w:p w14:paraId="2E7B5D3D"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w:t>
            </w:r>
            <w:r w:rsidRPr="00BA6733">
              <w:rPr>
                <w:rFonts w:asciiTheme="majorHAnsi" w:hAnsiTheme="majorHAnsi" w:cs="Arial"/>
                <w:sz w:val="20"/>
                <w:szCs w:val="20"/>
              </w:rPr>
              <w:t xml:space="preserve"> (</w:t>
            </w:r>
            <w:r>
              <w:rPr>
                <w:rFonts w:asciiTheme="majorHAnsi" w:hAnsiTheme="majorHAnsi" w:cs="Arial"/>
                <w:sz w:val="20"/>
                <w:szCs w:val="20"/>
              </w:rPr>
              <w:t>2.5</w:t>
            </w:r>
            <w:r w:rsidRPr="00BA6733">
              <w:rPr>
                <w:rFonts w:asciiTheme="majorHAnsi" w:hAnsiTheme="majorHAnsi" w:cs="Arial"/>
                <w:sz w:val="20"/>
                <w:szCs w:val="20"/>
              </w:rPr>
              <w:t>%)</w:t>
            </w:r>
          </w:p>
        </w:tc>
        <w:tc>
          <w:tcPr>
            <w:tcW w:w="1276" w:type="dxa"/>
            <w:tcBorders>
              <w:top w:val="nil"/>
              <w:left w:val="nil"/>
              <w:bottom w:val="nil"/>
              <w:right w:val="nil"/>
            </w:tcBorders>
          </w:tcPr>
          <w:p w14:paraId="4DB4BE4F"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w:t>
            </w:r>
            <w:r w:rsidRPr="00BA6733">
              <w:rPr>
                <w:rFonts w:asciiTheme="majorHAnsi" w:hAnsiTheme="majorHAnsi" w:cs="Arial"/>
                <w:sz w:val="20"/>
                <w:szCs w:val="20"/>
              </w:rPr>
              <w:t xml:space="preserve"> (</w:t>
            </w:r>
            <w:r>
              <w:rPr>
                <w:rFonts w:asciiTheme="majorHAnsi" w:hAnsiTheme="majorHAnsi" w:cs="Arial"/>
                <w:sz w:val="20"/>
                <w:szCs w:val="20"/>
              </w:rPr>
              <w:t>3.2</w:t>
            </w:r>
            <w:r w:rsidRPr="00BA6733">
              <w:rPr>
                <w:rFonts w:asciiTheme="majorHAnsi" w:hAnsiTheme="majorHAnsi" w:cs="Arial"/>
                <w:sz w:val="20"/>
                <w:szCs w:val="20"/>
              </w:rPr>
              <w:t>%)</w:t>
            </w:r>
          </w:p>
        </w:tc>
        <w:tc>
          <w:tcPr>
            <w:tcW w:w="1559" w:type="dxa"/>
            <w:tcBorders>
              <w:top w:val="nil"/>
              <w:left w:val="nil"/>
              <w:bottom w:val="nil"/>
              <w:right w:val="nil"/>
            </w:tcBorders>
          </w:tcPr>
          <w:p w14:paraId="29F5ABAD"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w:t>
            </w:r>
            <w:r w:rsidRPr="00BA6733">
              <w:rPr>
                <w:rFonts w:asciiTheme="majorHAnsi" w:hAnsiTheme="majorHAnsi" w:cs="Arial"/>
                <w:sz w:val="20"/>
                <w:szCs w:val="20"/>
              </w:rPr>
              <w:t xml:space="preserve"> (</w:t>
            </w:r>
            <w:r>
              <w:rPr>
                <w:rFonts w:asciiTheme="majorHAnsi" w:hAnsiTheme="majorHAnsi" w:cs="Arial"/>
                <w:sz w:val="20"/>
                <w:szCs w:val="20"/>
              </w:rPr>
              <w:t>6.5</w:t>
            </w:r>
            <w:r w:rsidRPr="00BA6733">
              <w:rPr>
                <w:rFonts w:asciiTheme="majorHAnsi" w:hAnsiTheme="majorHAnsi" w:cs="Arial"/>
                <w:sz w:val="20"/>
                <w:szCs w:val="20"/>
              </w:rPr>
              <w:t>%)</w:t>
            </w:r>
          </w:p>
        </w:tc>
        <w:tc>
          <w:tcPr>
            <w:tcW w:w="1418" w:type="dxa"/>
            <w:tcBorders>
              <w:top w:val="nil"/>
              <w:left w:val="nil"/>
              <w:bottom w:val="nil"/>
              <w:right w:val="nil"/>
            </w:tcBorders>
          </w:tcPr>
          <w:p w14:paraId="50C7D08E"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w:t>
            </w:r>
            <w:r w:rsidRPr="00BA6733">
              <w:rPr>
                <w:rFonts w:asciiTheme="majorHAnsi" w:hAnsiTheme="majorHAnsi" w:cs="Arial"/>
                <w:sz w:val="20"/>
                <w:szCs w:val="20"/>
              </w:rPr>
              <w:t xml:space="preserve"> (</w:t>
            </w:r>
            <w:r>
              <w:rPr>
                <w:rFonts w:asciiTheme="majorHAnsi" w:hAnsiTheme="majorHAnsi" w:cs="Arial"/>
                <w:sz w:val="20"/>
                <w:szCs w:val="20"/>
              </w:rPr>
              <w:t>3.3</w:t>
            </w:r>
            <w:r w:rsidRPr="00BA6733">
              <w:rPr>
                <w:rFonts w:asciiTheme="majorHAnsi" w:hAnsiTheme="majorHAnsi" w:cs="Arial"/>
                <w:sz w:val="20"/>
                <w:szCs w:val="20"/>
              </w:rPr>
              <w:t>%)</w:t>
            </w:r>
          </w:p>
        </w:tc>
        <w:tc>
          <w:tcPr>
            <w:tcW w:w="1134" w:type="dxa"/>
            <w:vMerge/>
            <w:tcBorders>
              <w:top w:val="nil"/>
              <w:left w:val="nil"/>
              <w:bottom w:val="nil"/>
              <w:right w:val="nil"/>
            </w:tcBorders>
            <w:vAlign w:val="center"/>
          </w:tcPr>
          <w:p w14:paraId="1C98C715"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0232B72E" w14:textId="77777777" w:rsidTr="00192949">
        <w:trPr>
          <w:trHeight w:val="247"/>
          <w:jc w:val="center"/>
        </w:trPr>
        <w:tc>
          <w:tcPr>
            <w:tcW w:w="1701" w:type="dxa"/>
            <w:vMerge w:val="restart"/>
            <w:tcBorders>
              <w:top w:val="single" w:sz="4" w:space="0" w:color="auto"/>
              <w:left w:val="nil"/>
              <w:right w:val="nil"/>
            </w:tcBorders>
            <w:vAlign w:val="center"/>
          </w:tcPr>
          <w:p w14:paraId="0385DEDD"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Operation</w:t>
            </w:r>
          </w:p>
        </w:tc>
        <w:tc>
          <w:tcPr>
            <w:tcW w:w="2835" w:type="dxa"/>
            <w:tcBorders>
              <w:top w:val="single" w:sz="4" w:space="0" w:color="auto"/>
              <w:left w:val="nil"/>
              <w:bottom w:val="nil"/>
              <w:right w:val="nil"/>
            </w:tcBorders>
            <w:vAlign w:val="center"/>
          </w:tcPr>
          <w:p w14:paraId="41C36554"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Trans-thoracic esophagectomy</w:t>
            </w:r>
          </w:p>
        </w:tc>
        <w:tc>
          <w:tcPr>
            <w:tcW w:w="1276" w:type="dxa"/>
            <w:tcBorders>
              <w:top w:val="single" w:sz="4" w:space="0" w:color="auto"/>
              <w:left w:val="nil"/>
              <w:bottom w:val="nil"/>
              <w:right w:val="nil"/>
            </w:tcBorders>
          </w:tcPr>
          <w:p w14:paraId="00132554"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167</w:t>
            </w:r>
            <w:r w:rsidRPr="00BA6733">
              <w:rPr>
                <w:rFonts w:asciiTheme="majorHAnsi" w:hAnsiTheme="majorHAnsi" w:cs="Arial"/>
                <w:sz w:val="20"/>
                <w:szCs w:val="20"/>
              </w:rPr>
              <w:t xml:space="preserve"> (</w:t>
            </w:r>
            <w:r>
              <w:rPr>
                <w:rFonts w:asciiTheme="majorHAnsi" w:hAnsiTheme="majorHAnsi" w:cs="Arial"/>
                <w:sz w:val="20"/>
                <w:szCs w:val="20"/>
              </w:rPr>
              <w:t>68.7</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798BCADF"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44</w:t>
            </w:r>
            <w:r w:rsidRPr="00BA6733">
              <w:rPr>
                <w:rFonts w:asciiTheme="majorHAnsi" w:hAnsiTheme="majorHAnsi" w:cs="Arial"/>
                <w:sz w:val="20"/>
                <w:szCs w:val="20"/>
              </w:rPr>
              <w:t xml:space="preserve"> (</w:t>
            </w:r>
            <w:r>
              <w:rPr>
                <w:rFonts w:asciiTheme="majorHAnsi" w:hAnsiTheme="majorHAnsi" w:cs="Arial"/>
                <w:sz w:val="20"/>
                <w:szCs w:val="20"/>
              </w:rPr>
              <w:t>71.0</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02F2D88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122</w:t>
            </w:r>
            <w:r w:rsidRPr="00BA6733">
              <w:rPr>
                <w:rFonts w:asciiTheme="majorHAnsi" w:hAnsiTheme="majorHAnsi" w:cs="Arial"/>
                <w:sz w:val="20"/>
                <w:szCs w:val="20"/>
              </w:rPr>
              <w:t xml:space="preserve"> (</w:t>
            </w:r>
            <w:r>
              <w:rPr>
                <w:rFonts w:asciiTheme="majorHAnsi" w:hAnsiTheme="majorHAnsi" w:cs="Arial"/>
                <w:sz w:val="20"/>
                <w:szCs w:val="20"/>
              </w:rPr>
              <w:t>78.7</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3969A2E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224</w:t>
            </w:r>
            <w:r w:rsidRPr="00BA6733">
              <w:rPr>
                <w:rFonts w:asciiTheme="majorHAnsi" w:hAnsiTheme="majorHAnsi" w:cs="Arial"/>
                <w:sz w:val="20"/>
                <w:szCs w:val="20"/>
              </w:rPr>
              <w:t xml:space="preserve"> (</w:t>
            </w:r>
            <w:r>
              <w:rPr>
                <w:rFonts w:asciiTheme="majorHAnsi" w:hAnsiTheme="majorHAnsi" w:cs="Arial"/>
                <w:sz w:val="20"/>
                <w:szCs w:val="20"/>
              </w:rPr>
              <w:t>73.9</w:t>
            </w:r>
            <w:r w:rsidRPr="00BA6733">
              <w:rPr>
                <w:rFonts w:asciiTheme="majorHAnsi" w:hAnsiTheme="majorHAnsi" w:cs="Arial"/>
                <w:sz w:val="20"/>
                <w:szCs w:val="20"/>
              </w:rPr>
              <w:t>%)</w:t>
            </w:r>
          </w:p>
        </w:tc>
        <w:tc>
          <w:tcPr>
            <w:tcW w:w="1134" w:type="dxa"/>
            <w:vMerge w:val="restart"/>
            <w:tcBorders>
              <w:top w:val="single" w:sz="4" w:space="0" w:color="auto"/>
              <w:left w:val="nil"/>
              <w:bottom w:val="nil"/>
              <w:right w:val="nil"/>
            </w:tcBorders>
            <w:vAlign w:val="center"/>
          </w:tcPr>
          <w:p w14:paraId="249BA5C2" w14:textId="77777777" w:rsidR="005B2B10" w:rsidRPr="00E8529C" w:rsidRDefault="005B2B10" w:rsidP="00192949">
            <w:pPr>
              <w:spacing w:line="480" w:lineRule="auto"/>
              <w:jc w:val="center"/>
              <w:rPr>
                <w:rFonts w:asciiTheme="majorHAnsi" w:hAnsiTheme="majorHAnsi" w:cs="Arial"/>
                <w:sz w:val="20"/>
                <w:szCs w:val="20"/>
              </w:rPr>
            </w:pPr>
            <w:r>
              <w:rPr>
                <w:rFonts w:asciiTheme="majorHAnsi" w:hAnsiTheme="majorHAnsi" w:cs="Arial"/>
                <w:i/>
                <w:iCs/>
                <w:sz w:val="20"/>
                <w:szCs w:val="20"/>
              </w:rPr>
              <w:t>p=0.07</w:t>
            </w:r>
          </w:p>
        </w:tc>
      </w:tr>
      <w:tr w:rsidR="005B2B10" w:rsidRPr="00E8529C" w14:paraId="2540E488" w14:textId="77777777" w:rsidTr="00192949">
        <w:trPr>
          <w:trHeight w:val="135"/>
          <w:jc w:val="center"/>
        </w:trPr>
        <w:tc>
          <w:tcPr>
            <w:tcW w:w="1701" w:type="dxa"/>
            <w:vMerge/>
            <w:tcBorders>
              <w:left w:val="nil"/>
              <w:right w:val="nil"/>
            </w:tcBorders>
            <w:vAlign w:val="center"/>
          </w:tcPr>
          <w:p w14:paraId="6EAA1FEC"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0F979421"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Trans-hiatal esophagectomy</w:t>
            </w:r>
          </w:p>
        </w:tc>
        <w:tc>
          <w:tcPr>
            <w:tcW w:w="1276" w:type="dxa"/>
            <w:tcBorders>
              <w:top w:val="nil"/>
              <w:left w:val="nil"/>
              <w:bottom w:val="nil"/>
              <w:right w:val="nil"/>
            </w:tcBorders>
          </w:tcPr>
          <w:p w14:paraId="451A760D"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70</w:t>
            </w:r>
            <w:r w:rsidRPr="00BA6733">
              <w:rPr>
                <w:rFonts w:asciiTheme="majorHAnsi" w:hAnsiTheme="majorHAnsi" w:cs="Arial"/>
                <w:sz w:val="20"/>
                <w:szCs w:val="20"/>
              </w:rPr>
              <w:t xml:space="preserve"> (</w:t>
            </w:r>
            <w:r>
              <w:rPr>
                <w:rFonts w:asciiTheme="majorHAnsi" w:hAnsiTheme="majorHAnsi" w:cs="Arial"/>
                <w:sz w:val="20"/>
                <w:szCs w:val="20"/>
              </w:rPr>
              <w:t>28.8</w:t>
            </w:r>
            <w:r w:rsidRPr="00BA6733">
              <w:rPr>
                <w:rFonts w:asciiTheme="majorHAnsi" w:hAnsiTheme="majorHAnsi" w:cs="Arial"/>
                <w:sz w:val="20"/>
                <w:szCs w:val="20"/>
              </w:rPr>
              <w:t>%)</w:t>
            </w:r>
          </w:p>
        </w:tc>
        <w:tc>
          <w:tcPr>
            <w:tcW w:w="1276" w:type="dxa"/>
            <w:tcBorders>
              <w:top w:val="nil"/>
              <w:left w:val="nil"/>
              <w:bottom w:val="nil"/>
              <w:right w:val="nil"/>
            </w:tcBorders>
          </w:tcPr>
          <w:p w14:paraId="232FB62D"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w:t>
            </w:r>
            <w:r w:rsidRPr="00BA6733">
              <w:rPr>
                <w:rFonts w:asciiTheme="majorHAnsi" w:hAnsiTheme="majorHAnsi" w:cs="Arial"/>
                <w:sz w:val="20"/>
                <w:szCs w:val="20"/>
              </w:rPr>
              <w:t xml:space="preserve"> (</w:t>
            </w:r>
            <w:r>
              <w:rPr>
                <w:rFonts w:asciiTheme="majorHAnsi" w:hAnsiTheme="majorHAnsi" w:cs="Arial"/>
                <w:sz w:val="20"/>
                <w:szCs w:val="20"/>
              </w:rPr>
              <w:t>22.6</w:t>
            </w:r>
            <w:r w:rsidRPr="00BA6733">
              <w:rPr>
                <w:rFonts w:asciiTheme="majorHAnsi" w:hAnsiTheme="majorHAnsi" w:cs="Arial"/>
                <w:sz w:val="20"/>
                <w:szCs w:val="20"/>
              </w:rPr>
              <w:t>%)</w:t>
            </w:r>
          </w:p>
        </w:tc>
        <w:tc>
          <w:tcPr>
            <w:tcW w:w="1559" w:type="dxa"/>
            <w:tcBorders>
              <w:top w:val="nil"/>
              <w:left w:val="nil"/>
              <w:bottom w:val="nil"/>
              <w:right w:val="nil"/>
            </w:tcBorders>
          </w:tcPr>
          <w:p w14:paraId="786CB3F0"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25</w:t>
            </w:r>
            <w:r w:rsidRPr="00BA6733">
              <w:rPr>
                <w:rFonts w:asciiTheme="majorHAnsi" w:hAnsiTheme="majorHAnsi" w:cs="Arial"/>
                <w:sz w:val="20"/>
                <w:szCs w:val="20"/>
              </w:rPr>
              <w:t xml:space="preserve"> (</w:t>
            </w:r>
            <w:r>
              <w:rPr>
                <w:rFonts w:asciiTheme="majorHAnsi" w:hAnsiTheme="majorHAnsi" w:cs="Arial"/>
                <w:sz w:val="20"/>
                <w:szCs w:val="20"/>
              </w:rPr>
              <w:t>16.1</w:t>
            </w:r>
            <w:r w:rsidRPr="00BA6733">
              <w:rPr>
                <w:rFonts w:asciiTheme="majorHAnsi" w:hAnsiTheme="majorHAnsi" w:cs="Arial"/>
                <w:sz w:val="20"/>
                <w:szCs w:val="20"/>
              </w:rPr>
              <w:t>%)</w:t>
            </w:r>
          </w:p>
        </w:tc>
        <w:tc>
          <w:tcPr>
            <w:tcW w:w="1418" w:type="dxa"/>
            <w:tcBorders>
              <w:top w:val="nil"/>
              <w:left w:val="nil"/>
              <w:bottom w:val="nil"/>
              <w:right w:val="nil"/>
            </w:tcBorders>
          </w:tcPr>
          <w:p w14:paraId="7D3FE4FC"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70</w:t>
            </w:r>
            <w:r w:rsidRPr="00BA6733">
              <w:rPr>
                <w:rFonts w:asciiTheme="majorHAnsi" w:hAnsiTheme="majorHAnsi" w:cs="Arial"/>
                <w:sz w:val="20"/>
                <w:szCs w:val="20"/>
              </w:rPr>
              <w:t xml:space="preserve"> (</w:t>
            </w:r>
            <w:r>
              <w:rPr>
                <w:rFonts w:asciiTheme="majorHAnsi" w:hAnsiTheme="majorHAnsi" w:cs="Arial"/>
                <w:sz w:val="20"/>
                <w:szCs w:val="20"/>
              </w:rPr>
              <w:t>23.1</w:t>
            </w:r>
            <w:r w:rsidRPr="00BA6733">
              <w:rPr>
                <w:rFonts w:asciiTheme="majorHAnsi" w:hAnsiTheme="majorHAnsi" w:cs="Arial"/>
                <w:sz w:val="20"/>
                <w:szCs w:val="20"/>
              </w:rPr>
              <w:t>%)</w:t>
            </w:r>
          </w:p>
        </w:tc>
        <w:tc>
          <w:tcPr>
            <w:tcW w:w="1134" w:type="dxa"/>
            <w:vMerge/>
            <w:tcBorders>
              <w:top w:val="nil"/>
              <w:left w:val="nil"/>
              <w:bottom w:val="nil"/>
              <w:right w:val="nil"/>
            </w:tcBorders>
            <w:vAlign w:val="center"/>
          </w:tcPr>
          <w:p w14:paraId="17409FD8"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311C7684" w14:textId="77777777" w:rsidTr="00192949">
        <w:trPr>
          <w:trHeight w:val="247"/>
          <w:jc w:val="center"/>
        </w:trPr>
        <w:tc>
          <w:tcPr>
            <w:tcW w:w="1701" w:type="dxa"/>
            <w:vMerge/>
            <w:tcBorders>
              <w:left w:val="nil"/>
              <w:bottom w:val="single" w:sz="4" w:space="0" w:color="auto"/>
              <w:right w:val="nil"/>
            </w:tcBorders>
            <w:vAlign w:val="center"/>
          </w:tcPr>
          <w:p w14:paraId="458BFEB0"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26B67224"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Extended total g</w:t>
            </w:r>
            <w:r w:rsidRPr="00E8529C">
              <w:rPr>
                <w:rFonts w:asciiTheme="majorHAnsi" w:hAnsiTheme="majorHAnsi" w:cs="Arial"/>
                <w:sz w:val="20"/>
                <w:szCs w:val="20"/>
              </w:rPr>
              <w:t>astrectomy</w:t>
            </w:r>
          </w:p>
        </w:tc>
        <w:tc>
          <w:tcPr>
            <w:tcW w:w="1276" w:type="dxa"/>
            <w:tcBorders>
              <w:top w:val="nil"/>
              <w:left w:val="nil"/>
              <w:bottom w:val="single" w:sz="4" w:space="0" w:color="auto"/>
              <w:right w:val="nil"/>
            </w:tcBorders>
          </w:tcPr>
          <w:p w14:paraId="40459E81"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w:t>
            </w:r>
            <w:r w:rsidRPr="00BA6733">
              <w:rPr>
                <w:rFonts w:asciiTheme="majorHAnsi" w:hAnsiTheme="majorHAnsi" w:cs="Arial"/>
                <w:sz w:val="20"/>
                <w:szCs w:val="20"/>
              </w:rPr>
              <w:t xml:space="preserve"> (</w:t>
            </w:r>
            <w:r>
              <w:rPr>
                <w:rFonts w:asciiTheme="majorHAnsi" w:hAnsiTheme="majorHAnsi" w:cs="Arial"/>
                <w:sz w:val="20"/>
                <w:szCs w:val="20"/>
              </w:rPr>
              <w:t>2.5</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49DE830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w:t>
            </w:r>
            <w:r w:rsidRPr="00BA6733">
              <w:rPr>
                <w:rFonts w:asciiTheme="majorHAnsi" w:hAnsiTheme="majorHAnsi" w:cs="Arial"/>
                <w:sz w:val="20"/>
                <w:szCs w:val="20"/>
              </w:rPr>
              <w:t xml:space="preserve"> (</w:t>
            </w:r>
            <w:r>
              <w:rPr>
                <w:rFonts w:asciiTheme="majorHAnsi" w:hAnsiTheme="majorHAnsi" w:cs="Arial"/>
                <w:sz w:val="20"/>
                <w:szCs w:val="20"/>
              </w:rPr>
              <w:t>6.5</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78552D9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w:t>
            </w:r>
            <w:r w:rsidRPr="00BA6733">
              <w:rPr>
                <w:rFonts w:asciiTheme="majorHAnsi" w:hAnsiTheme="majorHAnsi" w:cs="Arial"/>
                <w:sz w:val="20"/>
                <w:szCs w:val="20"/>
              </w:rPr>
              <w:t xml:space="preserve"> (</w:t>
            </w:r>
            <w:r>
              <w:rPr>
                <w:rFonts w:asciiTheme="majorHAnsi" w:hAnsiTheme="majorHAnsi" w:cs="Arial"/>
                <w:sz w:val="20"/>
                <w:szCs w:val="20"/>
              </w:rPr>
              <w:t>5.2</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76C29401"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w:t>
            </w:r>
            <w:r w:rsidRPr="00BA6733">
              <w:rPr>
                <w:rFonts w:asciiTheme="majorHAnsi" w:hAnsiTheme="majorHAnsi" w:cs="Arial"/>
                <w:sz w:val="20"/>
                <w:szCs w:val="20"/>
              </w:rPr>
              <w:t xml:space="preserve"> (</w:t>
            </w:r>
            <w:r>
              <w:rPr>
                <w:rFonts w:asciiTheme="majorHAnsi" w:hAnsiTheme="majorHAnsi" w:cs="Arial"/>
                <w:sz w:val="20"/>
                <w:szCs w:val="20"/>
              </w:rPr>
              <w:t>3.0</w:t>
            </w:r>
            <w:r w:rsidRPr="00BA6733">
              <w:rPr>
                <w:rFonts w:asciiTheme="majorHAnsi" w:hAnsiTheme="majorHAnsi" w:cs="Arial"/>
                <w:sz w:val="20"/>
                <w:szCs w:val="20"/>
              </w:rPr>
              <w:t>%)</w:t>
            </w:r>
          </w:p>
        </w:tc>
        <w:tc>
          <w:tcPr>
            <w:tcW w:w="1134" w:type="dxa"/>
            <w:vMerge/>
            <w:tcBorders>
              <w:top w:val="nil"/>
              <w:left w:val="nil"/>
              <w:bottom w:val="single" w:sz="4" w:space="0" w:color="auto"/>
              <w:right w:val="nil"/>
            </w:tcBorders>
            <w:vAlign w:val="center"/>
          </w:tcPr>
          <w:p w14:paraId="21B4D357"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2CB70937" w14:textId="77777777" w:rsidTr="00192949">
        <w:trPr>
          <w:trHeight w:val="677"/>
          <w:jc w:val="center"/>
        </w:trPr>
        <w:tc>
          <w:tcPr>
            <w:tcW w:w="4536" w:type="dxa"/>
            <w:gridSpan w:val="2"/>
            <w:tcBorders>
              <w:left w:val="nil"/>
              <w:bottom w:val="single" w:sz="4" w:space="0" w:color="auto"/>
              <w:right w:val="nil"/>
            </w:tcBorders>
            <w:vAlign w:val="center"/>
          </w:tcPr>
          <w:p w14:paraId="2BFB6B7D" w14:textId="77777777" w:rsidR="005B2B10" w:rsidRDefault="005B2B10" w:rsidP="00192949">
            <w:pPr>
              <w:spacing w:line="360" w:lineRule="auto"/>
              <w:rPr>
                <w:rFonts w:asciiTheme="majorHAnsi" w:hAnsiTheme="majorHAnsi" w:cs="Arial"/>
                <w:sz w:val="20"/>
                <w:szCs w:val="20"/>
              </w:rPr>
            </w:pPr>
            <w:r>
              <w:rPr>
                <w:rFonts w:asciiTheme="majorHAnsi" w:hAnsiTheme="majorHAnsi" w:cs="Arial"/>
                <w:sz w:val="20"/>
                <w:szCs w:val="20"/>
              </w:rPr>
              <w:t>Median lymph node yield</w:t>
            </w:r>
          </w:p>
        </w:tc>
        <w:tc>
          <w:tcPr>
            <w:tcW w:w="1276" w:type="dxa"/>
            <w:tcBorders>
              <w:top w:val="nil"/>
              <w:left w:val="nil"/>
              <w:bottom w:val="single" w:sz="4" w:space="0" w:color="auto"/>
              <w:right w:val="nil"/>
            </w:tcBorders>
            <w:vAlign w:val="center"/>
          </w:tcPr>
          <w:p w14:paraId="67576377"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21</w:t>
            </w:r>
          </w:p>
        </w:tc>
        <w:tc>
          <w:tcPr>
            <w:tcW w:w="1276" w:type="dxa"/>
            <w:tcBorders>
              <w:top w:val="nil"/>
              <w:left w:val="nil"/>
              <w:bottom w:val="single" w:sz="4" w:space="0" w:color="auto"/>
              <w:right w:val="nil"/>
            </w:tcBorders>
            <w:vAlign w:val="center"/>
          </w:tcPr>
          <w:p w14:paraId="1E8FA9E5"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24</w:t>
            </w:r>
          </w:p>
        </w:tc>
        <w:tc>
          <w:tcPr>
            <w:tcW w:w="1559" w:type="dxa"/>
            <w:tcBorders>
              <w:top w:val="nil"/>
              <w:left w:val="nil"/>
              <w:bottom w:val="single" w:sz="4" w:space="0" w:color="auto"/>
              <w:right w:val="nil"/>
            </w:tcBorders>
            <w:vAlign w:val="center"/>
          </w:tcPr>
          <w:p w14:paraId="08756B9E"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25</w:t>
            </w:r>
          </w:p>
        </w:tc>
        <w:tc>
          <w:tcPr>
            <w:tcW w:w="1418" w:type="dxa"/>
            <w:tcBorders>
              <w:top w:val="nil"/>
              <w:left w:val="nil"/>
              <w:bottom w:val="single" w:sz="4" w:space="0" w:color="auto"/>
              <w:right w:val="nil"/>
            </w:tcBorders>
            <w:vAlign w:val="center"/>
          </w:tcPr>
          <w:p w14:paraId="1BAE536F"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21</w:t>
            </w:r>
          </w:p>
        </w:tc>
        <w:tc>
          <w:tcPr>
            <w:tcW w:w="1134" w:type="dxa"/>
            <w:tcBorders>
              <w:top w:val="nil"/>
              <w:left w:val="nil"/>
              <w:bottom w:val="single" w:sz="4" w:space="0" w:color="auto"/>
              <w:right w:val="nil"/>
            </w:tcBorders>
            <w:vAlign w:val="center"/>
          </w:tcPr>
          <w:p w14:paraId="09C3844C" w14:textId="77777777" w:rsidR="005B2B10" w:rsidRPr="00D9501B" w:rsidRDefault="005B2B10" w:rsidP="00192949">
            <w:pPr>
              <w:spacing w:line="480" w:lineRule="auto"/>
              <w:jc w:val="center"/>
              <w:rPr>
                <w:rFonts w:asciiTheme="majorHAnsi" w:hAnsiTheme="majorHAnsi" w:cs="Arial"/>
                <w:b/>
                <w:bCs/>
                <w:i/>
                <w:iCs/>
                <w:sz w:val="20"/>
                <w:szCs w:val="20"/>
              </w:rPr>
            </w:pPr>
            <w:r w:rsidRPr="00D9501B">
              <w:rPr>
                <w:rFonts w:asciiTheme="majorHAnsi" w:hAnsiTheme="majorHAnsi" w:cs="Arial"/>
                <w:b/>
                <w:bCs/>
                <w:i/>
                <w:iCs/>
                <w:color w:val="FF0000"/>
                <w:sz w:val="20"/>
                <w:szCs w:val="20"/>
              </w:rPr>
              <w:t>p=0.03</w:t>
            </w:r>
          </w:p>
        </w:tc>
      </w:tr>
      <w:tr w:rsidR="005B2B10" w:rsidRPr="00E8529C" w14:paraId="169B0A91" w14:textId="77777777" w:rsidTr="00192949">
        <w:trPr>
          <w:trHeight w:val="247"/>
          <w:jc w:val="center"/>
        </w:trPr>
        <w:tc>
          <w:tcPr>
            <w:tcW w:w="1701" w:type="dxa"/>
            <w:vMerge w:val="restart"/>
            <w:tcBorders>
              <w:top w:val="single" w:sz="4" w:space="0" w:color="auto"/>
              <w:left w:val="nil"/>
              <w:right w:val="nil"/>
            </w:tcBorders>
            <w:vAlign w:val="center"/>
          </w:tcPr>
          <w:p w14:paraId="04E93FE7"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cT stage</w:t>
            </w:r>
          </w:p>
        </w:tc>
        <w:tc>
          <w:tcPr>
            <w:tcW w:w="2835" w:type="dxa"/>
            <w:tcBorders>
              <w:top w:val="single" w:sz="4" w:space="0" w:color="auto"/>
              <w:left w:val="nil"/>
              <w:bottom w:val="nil"/>
              <w:right w:val="nil"/>
            </w:tcBorders>
            <w:vAlign w:val="center"/>
          </w:tcPr>
          <w:p w14:paraId="034527E2"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cT</w:t>
            </w:r>
            <w:r>
              <w:rPr>
                <w:rFonts w:asciiTheme="majorHAnsi" w:hAnsiTheme="majorHAnsi" w:cs="Arial"/>
                <w:sz w:val="20"/>
                <w:szCs w:val="20"/>
              </w:rPr>
              <w:t>0</w:t>
            </w:r>
            <w:r w:rsidRPr="00E8529C">
              <w:rPr>
                <w:rFonts w:asciiTheme="majorHAnsi" w:hAnsiTheme="majorHAnsi" w:cs="Arial"/>
                <w:sz w:val="20"/>
                <w:szCs w:val="20"/>
              </w:rPr>
              <w:t>-2</w:t>
            </w:r>
          </w:p>
        </w:tc>
        <w:tc>
          <w:tcPr>
            <w:tcW w:w="1276" w:type="dxa"/>
            <w:tcBorders>
              <w:top w:val="single" w:sz="4" w:space="0" w:color="auto"/>
              <w:left w:val="nil"/>
              <w:bottom w:val="nil"/>
              <w:right w:val="nil"/>
            </w:tcBorders>
          </w:tcPr>
          <w:p w14:paraId="0F17CDF7"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46</w:t>
            </w:r>
            <w:r w:rsidRPr="00BA6733">
              <w:rPr>
                <w:rFonts w:asciiTheme="majorHAnsi" w:hAnsiTheme="majorHAnsi" w:cs="Arial"/>
                <w:sz w:val="20"/>
                <w:szCs w:val="20"/>
              </w:rPr>
              <w:t xml:space="preserve"> (</w:t>
            </w:r>
            <w:r>
              <w:rPr>
                <w:rFonts w:asciiTheme="majorHAnsi" w:hAnsiTheme="majorHAnsi" w:cs="Arial"/>
                <w:sz w:val="20"/>
                <w:szCs w:val="20"/>
              </w:rPr>
              <w:t>18.9</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1F452D70"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w:t>
            </w:r>
            <w:r w:rsidRPr="00BA6733">
              <w:rPr>
                <w:rFonts w:asciiTheme="majorHAnsi" w:hAnsiTheme="majorHAnsi" w:cs="Arial"/>
                <w:sz w:val="20"/>
                <w:szCs w:val="20"/>
              </w:rPr>
              <w:t xml:space="preserve"> (</w:t>
            </w:r>
            <w:r>
              <w:rPr>
                <w:rFonts w:asciiTheme="majorHAnsi" w:hAnsiTheme="majorHAnsi" w:cs="Arial"/>
                <w:sz w:val="20"/>
                <w:szCs w:val="20"/>
              </w:rPr>
              <w:t>4.8</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3BECEEB7"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w:t>
            </w:r>
            <w:r w:rsidRPr="00BA6733">
              <w:rPr>
                <w:rFonts w:asciiTheme="majorHAnsi" w:hAnsiTheme="majorHAnsi" w:cs="Arial"/>
                <w:sz w:val="20"/>
                <w:szCs w:val="20"/>
              </w:rPr>
              <w:t xml:space="preserve"> (</w:t>
            </w:r>
            <w:r>
              <w:rPr>
                <w:rFonts w:asciiTheme="majorHAnsi" w:hAnsiTheme="majorHAnsi" w:cs="Arial"/>
                <w:sz w:val="20"/>
                <w:szCs w:val="20"/>
              </w:rPr>
              <w:t>7.7</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0B8EB1D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32</w:t>
            </w:r>
            <w:r w:rsidRPr="00BA6733">
              <w:rPr>
                <w:rFonts w:asciiTheme="majorHAnsi" w:hAnsiTheme="majorHAnsi" w:cs="Arial"/>
                <w:sz w:val="20"/>
                <w:szCs w:val="20"/>
              </w:rPr>
              <w:t xml:space="preserve"> (</w:t>
            </w:r>
            <w:r>
              <w:rPr>
                <w:rFonts w:asciiTheme="majorHAnsi" w:hAnsiTheme="majorHAnsi" w:cs="Arial"/>
                <w:sz w:val="20"/>
                <w:szCs w:val="20"/>
              </w:rPr>
              <w:t>10.6</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7C48F990" w14:textId="77777777" w:rsidR="005B2B10" w:rsidRPr="00DC3020" w:rsidRDefault="005B2B10" w:rsidP="00192949">
            <w:pPr>
              <w:spacing w:line="480" w:lineRule="auto"/>
              <w:jc w:val="center"/>
              <w:rPr>
                <w:rFonts w:asciiTheme="majorHAnsi" w:hAnsiTheme="majorHAnsi" w:cs="Arial"/>
                <w:sz w:val="20"/>
                <w:szCs w:val="20"/>
              </w:rPr>
            </w:pPr>
            <w:r w:rsidRPr="00215777">
              <w:rPr>
                <w:rFonts w:asciiTheme="majorHAnsi" w:hAnsiTheme="majorHAnsi" w:cs="Arial"/>
                <w:b/>
                <w:bCs/>
                <w:i/>
                <w:iCs/>
                <w:color w:val="FF0000"/>
                <w:sz w:val="20"/>
                <w:szCs w:val="20"/>
              </w:rPr>
              <w:t>p&lt;0.001</w:t>
            </w:r>
          </w:p>
        </w:tc>
      </w:tr>
      <w:tr w:rsidR="005B2B10" w:rsidRPr="00E8529C" w14:paraId="609B5E9B" w14:textId="77777777" w:rsidTr="00192949">
        <w:trPr>
          <w:trHeight w:val="247"/>
          <w:jc w:val="center"/>
        </w:trPr>
        <w:tc>
          <w:tcPr>
            <w:tcW w:w="1701" w:type="dxa"/>
            <w:vMerge/>
            <w:tcBorders>
              <w:left w:val="nil"/>
              <w:bottom w:val="single" w:sz="4" w:space="0" w:color="auto"/>
              <w:right w:val="nil"/>
            </w:tcBorders>
            <w:vAlign w:val="center"/>
          </w:tcPr>
          <w:p w14:paraId="54F11CE3"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40EE23DB"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cT</w:t>
            </w:r>
            <w:r>
              <w:rPr>
                <w:rFonts w:asciiTheme="majorHAnsi" w:hAnsiTheme="majorHAnsi" w:cs="Arial"/>
                <w:sz w:val="20"/>
                <w:szCs w:val="20"/>
              </w:rPr>
              <w:t>3-4</w:t>
            </w:r>
          </w:p>
        </w:tc>
        <w:tc>
          <w:tcPr>
            <w:tcW w:w="1276" w:type="dxa"/>
            <w:tcBorders>
              <w:top w:val="nil"/>
              <w:left w:val="nil"/>
              <w:bottom w:val="single" w:sz="4" w:space="0" w:color="auto"/>
              <w:right w:val="nil"/>
            </w:tcBorders>
          </w:tcPr>
          <w:p w14:paraId="0AE257E9"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197</w:t>
            </w:r>
            <w:r w:rsidRPr="00BA6733">
              <w:rPr>
                <w:rFonts w:asciiTheme="majorHAnsi" w:hAnsiTheme="majorHAnsi" w:cs="Arial"/>
                <w:sz w:val="20"/>
                <w:szCs w:val="20"/>
              </w:rPr>
              <w:t xml:space="preserve"> (</w:t>
            </w:r>
            <w:r>
              <w:rPr>
                <w:rFonts w:asciiTheme="majorHAnsi" w:hAnsiTheme="majorHAnsi" w:cs="Arial"/>
                <w:sz w:val="20"/>
                <w:szCs w:val="20"/>
              </w:rPr>
              <w:t>81.1</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285346D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59</w:t>
            </w:r>
            <w:r w:rsidRPr="00BA6733">
              <w:rPr>
                <w:rFonts w:asciiTheme="majorHAnsi" w:hAnsiTheme="majorHAnsi" w:cs="Arial"/>
                <w:sz w:val="20"/>
                <w:szCs w:val="20"/>
              </w:rPr>
              <w:t xml:space="preserve"> (</w:t>
            </w:r>
            <w:r>
              <w:rPr>
                <w:rFonts w:asciiTheme="majorHAnsi" w:hAnsiTheme="majorHAnsi" w:cs="Arial"/>
                <w:sz w:val="20"/>
                <w:szCs w:val="20"/>
              </w:rPr>
              <w:t>95.2</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1DD1344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143</w:t>
            </w:r>
            <w:r w:rsidRPr="00BA6733">
              <w:rPr>
                <w:rFonts w:asciiTheme="majorHAnsi" w:hAnsiTheme="majorHAnsi" w:cs="Arial"/>
                <w:sz w:val="20"/>
                <w:szCs w:val="20"/>
              </w:rPr>
              <w:t xml:space="preserve"> (</w:t>
            </w:r>
            <w:r>
              <w:rPr>
                <w:rFonts w:asciiTheme="majorHAnsi" w:hAnsiTheme="majorHAnsi" w:cs="Arial"/>
                <w:sz w:val="20"/>
                <w:szCs w:val="20"/>
              </w:rPr>
              <w:t>92.3</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7DCEFB3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271</w:t>
            </w:r>
            <w:r w:rsidRPr="00BA6733">
              <w:rPr>
                <w:rFonts w:asciiTheme="majorHAnsi" w:hAnsiTheme="majorHAnsi" w:cs="Arial"/>
                <w:sz w:val="20"/>
                <w:szCs w:val="20"/>
              </w:rPr>
              <w:t xml:space="preserve"> (</w:t>
            </w:r>
            <w:r>
              <w:rPr>
                <w:rFonts w:asciiTheme="majorHAnsi" w:hAnsiTheme="majorHAnsi" w:cs="Arial"/>
                <w:sz w:val="20"/>
                <w:szCs w:val="20"/>
              </w:rPr>
              <w:t>89.4</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0887E651"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5BBBBAAF" w14:textId="77777777" w:rsidTr="00192949">
        <w:trPr>
          <w:trHeight w:val="247"/>
          <w:jc w:val="center"/>
        </w:trPr>
        <w:tc>
          <w:tcPr>
            <w:tcW w:w="1701" w:type="dxa"/>
            <w:vMerge w:val="restart"/>
            <w:tcBorders>
              <w:top w:val="single" w:sz="4" w:space="0" w:color="auto"/>
              <w:left w:val="nil"/>
              <w:right w:val="nil"/>
            </w:tcBorders>
            <w:vAlign w:val="center"/>
          </w:tcPr>
          <w:p w14:paraId="43894E74"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cN stage</w:t>
            </w:r>
          </w:p>
        </w:tc>
        <w:tc>
          <w:tcPr>
            <w:tcW w:w="2835" w:type="dxa"/>
            <w:tcBorders>
              <w:top w:val="single" w:sz="4" w:space="0" w:color="auto"/>
              <w:left w:val="nil"/>
              <w:bottom w:val="nil"/>
              <w:right w:val="nil"/>
            </w:tcBorders>
            <w:vAlign w:val="center"/>
          </w:tcPr>
          <w:p w14:paraId="0593926F"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cN0</w:t>
            </w:r>
          </w:p>
        </w:tc>
        <w:tc>
          <w:tcPr>
            <w:tcW w:w="1276" w:type="dxa"/>
            <w:tcBorders>
              <w:top w:val="single" w:sz="4" w:space="0" w:color="auto"/>
              <w:left w:val="nil"/>
              <w:bottom w:val="nil"/>
              <w:right w:val="nil"/>
            </w:tcBorders>
          </w:tcPr>
          <w:p w14:paraId="09655B15"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85</w:t>
            </w:r>
            <w:r w:rsidRPr="00BA6733">
              <w:rPr>
                <w:rFonts w:asciiTheme="majorHAnsi" w:hAnsiTheme="majorHAnsi" w:cs="Arial"/>
                <w:sz w:val="20"/>
                <w:szCs w:val="20"/>
              </w:rPr>
              <w:t xml:space="preserve"> (</w:t>
            </w:r>
            <w:r>
              <w:rPr>
                <w:rFonts w:asciiTheme="majorHAnsi" w:hAnsiTheme="majorHAnsi" w:cs="Arial"/>
                <w:sz w:val="20"/>
                <w:szCs w:val="20"/>
              </w:rPr>
              <w:t>35.0</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1063F54C"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w:t>
            </w:r>
            <w:r w:rsidRPr="00BA6733">
              <w:rPr>
                <w:rFonts w:asciiTheme="majorHAnsi" w:hAnsiTheme="majorHAnsi" w:cs="Arial"/>
                <w:sz w:val="20"/>
                <w:szCs w:val="20"/>
              </w:rPr>
              <w:t xml:space="preserve"> (</w:t>
            </w:r>
            <w:r>
              <w:rPr>
                <w:rFonts w:asciiTheme="majorHAnsi" w:hAnsiTheme="majorHAnsi" w:cs="Arial"/>
                <w:sz w:val="20"/>
                <w:szCs w:val="20"/>
              </w:rPr>
              <w:t>14.5</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65C60EB8"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18</w:t>
            </w:r>
            <w:r w:rsidRPr="00BA6733">
              <w:rPr>
                <w:rFonts w:asciiTheme="majorHAnsi" w:hAnsiTheme="majorHAnsi" w:cs="Arial"/>
                <w:sz w:val="20"/>
                <w:szCs w:val="20"/>
              </w:rPr>
              <w:t xml:space="preserve"> (</w:t>
            </w:r>
            <w:r>
              <w:rPr>
                <w:rFonts w:asciiTheme="majorHAnsi" w:hAnsiTheme="majorHAnsi" w:cs="Arial"/>
                <w:sz w:val="20"/>
                <w:szCs w:val="20"/>
              </w:rPr>
              <w:t>11.6</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7A2F85D4"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74</w:t>
            </w:r>
            <w:r w:rsidRPr="00BA6733">
              <w:rPr>
                <w:rFonts w:asciiTheme="majorHAnsi" w:hAnsiTheme="majorHAnsi" w:cs="Arial"/>
                <w:sz w:val="20"/>
                <w:szCs w:val="20"/>
              </w:rPr>
              <w:t xml:space="preserve"> (</w:t>
            </w:r>
            <w:r>
              <w:rPr>
                <w:rFonts w:asciiTheme="majorHAnsi" w:hAnsiTheme="majorHAnsi" w:cs="Arial"/>
                <w:sz w:val="20"/>
                <w:szCs w:val="20"/>
              </w:rPr>
              <w:t>24.4</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0C2DFFD1" w14:textId="77777777" w:rsidR="005B2B10" w:rsidRPr="00E8529C" w:rsidRDefault="005B2B10" w:rsidP="00192949">
            <w:pPr>
              <w:spacing w:line="480" w:lineRule="auto"/>
              <w:jc w:val="center"/>
              <w:rPr>
                <w:rFonts w:asciiTheme="majorHAnsi" w:hAnsiTheme="majorHAnsi" w:cs="Arial"/>
                <w:sz w:val="20"/>
                <w:szCs w:val="20"/>
              </w:rPr>
            </w:pPr>
            <w:r w:rsidRPr="00215777">
              <w:rPr>
                <w:rFonts w:asciiTheme="majorHAnsi" w:hAnsiTheme="majorHAnsi" w:cs="Arial"/>
                <w:b/>
                <w:bCs/>
                <w:i/>
                <w:iCs/>
                <w:color w:val="FF0000"/>
                <w:sz w:val="20"/>
                <w:szCs w:val="20"/>
              </w:rPr>
              <w:t>p&lt;0.001</w:t>
            </w:r>
          </w:p>
        </w:tc>
      </w:tr>
      <w:tr w:rsidR="005B2B10" w:rsidRPr="00E8529C" w14:paraId="70F19861" w14:textId="77777777" w:rsidTr="00192949">
        <w:trPr>
          <w:trHeight w:val="247"/>
          <w:jc w:val="center"/>
        </w:trPr>
        <w:tc>
          <w:tcPr>
            <w:tcW w:w="1701" w:type="dxa"/>
            <w:vMerge/>
            <w:tcBorders>
              <w:left w:val="nil"/>
              <w:bottom w:val="single" w:sz="4" w:space="0" w:color="auto"/>
              <w:right w:val="nil"/>
            </w:tcBorders>
            <w:vAlign w:val="center"/>
          </w:tcPr>
          <w:p w14:paraId="4BF5A989"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2A75BE12"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cN+</w:t>
            </w:r>
          </w:p>
        </w:tc>
        <w:tc>
          <w:tcPr>
            <w:tcW w:w="1276" w:type="dxa"/>
            <w:tcBorders>
              <w:top w:val="nil"/>
              <w:left w:val="nil"/>
              <w:bottom w:val="single" w:sz="4" w:space="0" w:color="auto"/>
              <w:right w:val="nil"/>
            </w:tcBorders>
          </w:tcPr>
          <w:p w14:paraId="02096F17"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158</w:t>
            </w:r>
            <w:r w:rsidRPr="00BA6733">
              <w:rPr>
                <w:rFonts w:asciiTheme="majorHAnsi" w:hAnsiTheme="majorHAnsi" w:cs="Arial"/>
                <w:sz w:val="20"/>
                <w:szCs w:val="20"/>
              </w:rPr>
              <w:t xml:space="preserve"> (</w:t>
            </w:r>
            <w:r>
              <w:rPr>
                <w:rFonts w:asciiTheme="majorHAnsi" w:hAnsiTheme="majorHAnsi" w:cs="Arial"/>
                <w:sz w:val="20"/>
                <w:szCs w:val="20"/>
              </w:rPr>
              <w:t>65.0</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3EF781D3"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53</w:t>
            </w:r>
            <w:r w:rsidRPr="00BA6733">
              <w:rPr>
                <w:rFonts w:asciiTheme="majorHAnsi" w:hAnsiTheme="majorHAnsi" w:cs="Arial"/>
                <w:sz w:val="20"/>
                <w:szCs w:val="20"/>
              </w:rPr>
              <w:t xml:space="preserve"> (</w:t>
            </w:r>
            <w:r>
              <w:rPr>
                <w:rFonts w:asciiTheme="majorHAnsi" w:hAnsiTheme="majorHAnsi" w:cs="Arial"/>
                <w:sz w:val="20"/>
                <w:szCs w:val="20"/>
              </w:rPr>
              <w:t>85.5</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383C4589"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137</w:t>
            </w:r>
            <w:r w:rsidRPr="00BA6733">
              <w:rPr>
                <w:rFonts w:asciiTheme="majorHAnsi" w:hAnsiTheme="majorHAnsi" w:cs="Arial"/>
                <w:sz w:val="20"/>
                <w:szCs w:val="20"/>
              </w:rPr>
              <w:t xml:space="preserve"> (</w:t>
            </w:r>
            <w:r>
              <w:rPr>
                <w:rFonts w:asciiTheme="majorHAnsi" w:hAnsiTheme="majorHAnsi" w:cs="Arial"/>
                <w:sz w:val="20"/>
                <w:szCs w:val="20"/>
              </w:rPr>
              <w:t>88.4</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7B4466FE"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229</w:t>
            </w:r>
            <w:r w:rsidRPr="00BA6733">
              <w:rPr>
                <w:rFonts w:asciiTheme="majorHAnsi" w:hAnsiTheme="majorHAnsi" w:cs="Arial"/>
                <w:sz w:val="20"/>
                <w:szCs w:val="20"/>
              </w:rPr>
              <w:t xml:space="preserve"> (</w:t>
            </w:r>
            <w:r>
              <w:rPr>
                <w:rFonts w:asciiTheme="majorHAnsi" w:hAnsiTheme="majorHAnsi" w:cs="Arial"/>
                <w:sz w:val="20"/>
                <w:szCs w:val="20"/>
              </w:rPr>
              <w:t>75.6</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0A301065" w14:textId="77777777" w:rsidR="005B2B10" w:rsidRPr="00E8529C" w:rsidRDefault="005B2B10" w:rsidP="00192949">
            <w:pPr>
              <w:spacing w:line="480" w:lineRule="auto"/>
              <w:jc w:val="center"/>
              <w:rPr>
                <w:rFonts w:asciiTheme="majorHAnsi" w:hAnsiTheme="majorHAnsi" w:cs="Arial"/>
                <w:sz w:val="20"/>
                <w:szCs w:val="20"/>
              </w:rPr>
            </w:pPr>
          </w:p>
        </w:tc>
      </w:tr>
      <w:tr w:rsidR="005B2B10" w:rsidRPr="00E8529C" w14:paraId="19E34D75" w14:textId="77777777" w:rsidTr="00192949">
        <w:trPr>
          <w:trHeight w:val="163"/>
          <w:jc w:val="center"/>
        </w:trPr>
        <w:tc>
          <w:tcPr>
            <w:tcW w:w="1701" w:type="dxa"/>
            <w:vMerge w:val="restart"/>
            <w:tcBorders>
              <w:top w:val="single" w:sz="4" w:space="0" w:color="auto"/>
              <w:left w:val="nil"/>
              <w:right w:val="nil"/>
            </w:tcBorders>
            <w:vAlign w:val="center"/>
          </w:tcPr>
          <w:p w14:paraId="7F6FA916"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ypT stage</w:t>
            </w:r>
          </w:p>
        </w:tc>
        <w:tc>
          <w:tcPr>
            <w:tcW w:w="2835" w:type="dxa"/>
            <w:tcBorders>
              <w:top w:val="single" w:sz="4" w:space="0" w:color="auto"/>
              <w:left w:val="nil"/>
              <w:bottom w:val="nil"/>
              <w:right w:val="nil"/>
            </w:tcBorders>
            <w:vAlign w:val="center"/>
          </w:tcPr>
          <w:p w14:paraId="79B6A7E6"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w:t>
            </w:r>
            <w:r w:rsidRPr="00E8529C">
              <w:rPr>
                <w:rFonts w:asciiTheme="majorHAnsi" w:hAnsiTheme="majorHAnsi" w:cs="Arial"/>
                <w:sz w:val="20"/>
                <w:szCs w:val="20"/>
              </w:rPr>
              <w:t>T</w:t>
            </w:r>
            <w:r>
              <w:rPr>
                <w:rFonts w:asciiTheme="majorHAnsi" w:hAnsiTheme="majorHAnsi" w:cs="Arial"/>
                <w:sz w:val="20"/>
                <w:szCs w:val="20"/>
              </w:rPr>
              <w:t>0</w:t>
            </w:r>
            <w:r w:rsidRPr="00E8529C">
              <w:rPr>
                <w:rFonts w:asciiTheme="majorHAnsi" w:hAnsiTheme="majorHAnsi" w:cs="Arial"/>
                <w:sz w:val="20"/>
                <w:szCs w:val="20"/>
              </w:rPr>
              <w:t>-2</w:t>
            </w:r>
          </w:p>
        </w:tc>
        <w:tc>
          <w:tcPr>
            <w:tcW w:w="1276" w:type="dxa"/>
            <w:tcBorders>
              <w:top w:val="single" w:sz="4" w:space="0" w:color="auto"/>
              <w:left w:val="nil"/>
              <w:bottom w:val="nil"/>
              <w:right w:val="nil"/>
            </w:tcBorders>
          </w:tcPr>
          <w:p w14:paraId="6F542CF2"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142</w:t>
            </w:r>
            <w:r w:rsidRPr="00BA6733">
              <w:rPr>
                <w:rFonts w:asciiTheme="majorHAnsi" w:hAnsiTheme="majorHAnsi" w:cs="Arial"/>
                <w:sz w:val="20"/>
                <w:szCs w:val="20"/>
              </w:rPr>
              <w:t xml:space="preserve"> (</w:t>
            </w:r>
            <w:r>
              <w:rPr>
                <w:rFonts w:asciiTheme="majorHAnsi" w:hAnsiTheme="majorHAnsi" w:cs="Arial"/>
                <w:sz w:val="20"/>
                <w:szCs w:val="20"/>
              </w:rPr>
              <w:t>58.4</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0B4D2CA3"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37</w:t>
            </w:r>
            <w:r w:rsidRPr="00BA6733">
              <w:rPr>
                <w:rFonts w:asciiTheme="majorHAnsi" w:hAnsiTheme="majorHAnsi" w:cs="Arial"/>
                <w:sz w:val="20"/>
                <w:szCs w:val="20"/>
              </w:rPr>
              <w:t xml:space="preserve"> (</w:t>
            </w:r>
            <w:r>
              <w:rPr>
                <w:rFonts w:asciiTheme="majorHAnsi" w:hAnsiTheme="majorHAnsi" w:cs="Arial"/>
                <w:sz w:val="20"/>
                <w:szCs w:val="20"/>
              </w:rPr>
              <w:t>59.7</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2AB63246"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43</w:t>
            </w:r>
            <w:r w:rsidRPr="00BA6733">
              <w:rPr>
                <w:rFonts w:asciiTheme="majorHAnsi" w:hAnsiTheme="majorHAnsi" w:cs="Arial"/>
                <w:sz w:val="20"/>
                <w:szCs w:val="20"/>
              </w:rPr>
              <w:t xml:space="preserve"> (</w:t>
            </w:r>
            <w:r>
              <w:rPr>
                <w:rFonts w:asciiTheme="majorHAnsi" w:hAnsiTheme="majorHAnsi" w:cs="Arial"/>
                <w:sz w:val="20"/>
                <w:szCs w:val="20"/>
              </w:rPr>
              <w:t>27.7</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2AB35EBA"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70</w:t>
            </w:r>
            <w:r w:rsidRPr="00BA6733">
              <w:rPr>
                <w:rFonts w:asciiTheme="majorHAnsi" w:hAnsiTheme="majorHAnsi" w:cs="Arial"/>
                <w:sz w:val="20"/>
                <w:szCs w:val="20"/>
              </w:rPr>
              <w:t xml:space="preserve"> (</w:t>
            </w:r>
            <w:r>
              <w:rPr>
                <w:rFonts w:asciiTheme="majorHAnsi" w:hAnsiTheme="majorHAnsi" w:cs="Arial"/>
                <w:sz w:val="20"/>
                <w:szCs w:val="20"/>
              </w:rPr>
              <w:t>23.1</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3E45E15C" w14:textId="77777777" w:rsidR="005B2B10" w:rsidRPr="00DC3020" w:rsidRDefault="005B2B10" w:rsidP="00192949">
            <w:pPr>
              <w:spacing w:line="480" w:lineRule="auto"/>
              <w:jc w:val="center"/>
              <w:rPr>
                <w:rFonts w:asciiTheme="majorHAnsi" w:hAnsiTheme="majorHAnsi" w:cs="Arial"/>
                <w:sz w:val="20"/>
                <w:szCs w:val="20"/>
              </w:rPr>
            </w:pPr>
            <w:r w:rsidRPr="00215777">
              <w:rPr>
                <w:rFonts w:asciiTheme="majorHAnsi" w:hAnsiTheme="majorHAnsi" w:cs="Arial"/>
                <w:b/>
                <w:bCs/>
                <w:i/>
                <w:iCs/>
                <w:color w:val="FF0000"/>
                <w:sz w:val="20"/>
                <w:szCs w:val="20"/>
              </w:rPr>
              <w:t>p&lt;0.001</w:t>
            </w:r>
          </w:p>
        </w:tc>
      </w:tr>
      <w:tr w:rsidR="005B2B10" w:rsidRPr="00E8529C" w14:paraId="4078874E" w14:textId="77777777" w:rsidTr="00192949">
        <w:trPr>
          <w:trHeight w:val="163"/>
          <w:jc w:val="center"/>
        </w:trPr>
        <w:tc>
          <w:tcPr>
            <w:tcW w:w="1701" w:type="dxa"/>
            <w:vMerge/>
            <w:tcBorders>
              <w:left w:val="nil"/>
              <w:bottom w:val="single" w:sz="4" w:space="0" w:color="auto"/>
              <w:right w:val="nil"/>
            </w:tcBorders>
            <w:vAlign w:val="center"/>
          </w:tcPr>
          <w:p w14:paraId="401F3C79"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095FC5ED"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ypT3-4</w:t>
            </w:r>
          </w:p>
        </w:tc>
        <w:tc>
          <w:tcPr>
            <w:tcW w:w="1276" w:type="dxa"/>
            <w:tcBorders>
              <w:top w:val="nil"/>
              <w:left w:val="nil"/>
              <w:bottom w:val="single" w:sz="4" w:space="0" w:color="auto"/>
              <w:right w:val="nil"/>
            </w:tcBorders>
          </w:tcPr>
          <w:p w14:paraId="3A38D204"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101</w:t>
            </w:r>
            <w:r w:rsidRPr="00BA6733">
              <w:rPr>
                <w:rFonts w:asciiTheme="majorHAnsi" w:hAnsiTheme="majorHAnsi" w:cs="Arial"/>
                <w:sz w:val="20"/>
                <w:szCs w:val="20"/>
              </w:rPr>
              <w:t xml:space="preserve"> (</w:t>
            </w:r>
            <w:r>
              <w:rPr>
                <w:rFonts w:asciiTheme="majorHAnsi" w:hAnsiTheme="majorHAnsi" w:cs="Arial"/>
                <w:sz w:val="20"/>
                <w:szCs w:val="20"/>
              </w:rPr>
              <w:t>41.6</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30DDB0C8"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25</w:t>
            </w:r>
            <w:r w:rsidRPr="00BA6733">
              <w:rPr>
                <w:rFonts w:asciiTheme="majorHAnsi" w:hAnsiTheme="majorHAnsi" w:cs="Arial"/>
                <w:sz w:val="20"/>
                <w:szCs w:val="20"/>
              </w:rPr>
              <w:t xml:space="preserve"> (</w:t>
            </w:r>
            <w:r>
              <w:rPr>
                <w:rFonts w:asciiTheme="majorHAnsi" w:hAnsiTheme="majorHAnsi" w:cs="Arial"/>
                <w:sz w:val="20"/>
                <w:szCs w:val="20"/>
              </w:rPr>
              <w:t>40.3</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43D3AD8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112</w:t>
            </w:r>
            <w:r w:rsidRPr="00BA6733">
              <w:rPr>
                <w:rFonts w:asciiTheme="majorHAnsi" w:hAnsiTheme="majorHAnsi" w:cs="Arial"/>
                <w:sz w:val="20"/>
                <w:szCs w:val="20"/>
              </w:rPr>
              <w:t xml:space="preserve"> (</w:t>
            </w:r>
            <w:r>
              <w:rPr>
                <w:rFonts w:asciiTheme="majorHAnsi" w:hAnsiTheme="majorHAnsi" w:cs="Arial"/>
                <w:sz w:val="20"/>
                <w:szCs w:val="20"/>
              </w:rPr>
              <w:t>72.3</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2AB4780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233</w:t>
            </w:r>
            <w:r w:rsidRPr="00BA6733">
              <w:rPr>
                <w:rFonts w:asciiTheme="majorHAnsi" w:hAnsiTheme="majorHAnsi" w:cs="Arial"/>
                <w:sz w:val="20"/>
                <w:szCs w:val="20"/>
              </w:rPr>
              <w:t xml:space="preserve"> (</w:t>
            </w:r>
            <w:r>
              <w:rPr>
                <w:rFonts w:asciiTheme="majorHAnsi" w:hAnsiTheme="majorHAnsi" w:cs="Arial"/>
                <w:sz w:val="20"/>
                <w:szCs w:val="20"/>
              </w:rPr>
              <w:t>76.9</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686D3433"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2713E900" w14:textId="77777777" w:rsidTr="00192949">
        <w:trPr>
          <w:trHeight w:val="163"/>
          <w:jc w:val="center"/>
        </w:trPr>
        <w:tc>
          <w:tcPr>
            <w:tcW w:w="1701" w:type="dxa"/>
            <w:vMerge w:val="restart"/>
            <w:tcBorders>
              <w:top w:val="single" w:sz="4" w:space="0" w:color="auto"/>
              <w:left w:val="nil"/>
              <w:right w:val="nil"/>
            </w:tcBorders>
            <w:vAlign w:val="center"/>
          </w:tcPr>
          <w:p w14:paraId="6AEBA20F"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ypN stage</w:t>
            </w:r>
          </w:p>
        </w:tc>
        <w:tc>
          <w:tcPr>
            <w:tcW w:w="2835" w:type="dxa"/>
            <w:tcBorders>
              <w:top w:val="single" w:sz="4" w:space="0" w:color="auto"/>
              <w:left w:val="nil"/>
              <w:bottom w:val="nil"/>
              <w:right w:val="nil"/>
            </w:tcBorders>
            <w:vAlign w:val="center"/>
          </w:tcPr>
          <w:p w14:paraId="6CB51AC6"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ypN0</w:t>
            </w:r>
          </w:p>
        </w:tc>
        <w:tc>
          <w:tcPr>
            <w:tcW w:w="1276" w:type="dxa"/>
            <w:tcBorders>
              <w:top w:val="single" w:sz="4" w:space="0" w:color="auto"/>
              <w:left w:val="nil"/>
              <w:bottom w:val="nil"/>
              <w:right w:val="nil"/>
            </w:tcBorders>
          </w:tcPr>
          <w:p w14:paraId="7AD10B8C"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 xml:space="preserve">243 </w:t>
            </w:r>
            <w:r w:rsidRPr="00BA6733">
              <w:rPr>
                <w:rFonts w:asciiTheme="majorHAnsi" w:hAnsiTheme="majorHAnsi" w:cs="Arial"/>
                <w:sz w:val="20"/>
                <w:szCs w:val="20"/>
              </w:rPr>
              <w:t>(</w:t>
            </w:r>
            <w:r>
              <w:rPr>
                <w:rFonts w:asciiTheme="majorHAnsi" w:hAnsiTheme="majorHAnsi" w:cs="Arial"/>
                <w:sz w:val="20"/>
                <w:szCs w:val="20"/>
              </w:rPr>
              <w:t>100</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40B4F02C"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62</w:t>
            </w:r>
            <w:r w:rsidRPr="00BA6733">
              <w:rPr>
                <w:rFonts w:asciiTheme="majorHAnsi" w:hAnsiTheme="majorHAnsi" w:cs="Arial"/>
                <w:sz w:val="20"/>
                <w:szCs w:val="20"/>
              </w:rPr>
              <w:t xml:space="preserve"> (</w:t>
            </w:r>
            <w:r>
              <w:rPr>
                <w:rFonts w:asciiTheme="majorHAnsi" w:hAnsiTheme="majorHAnsi" w:cs="Arial"/>
                <w:sz w:val="20"/>
                <w:szCs w:val="20"/>
              </w:rPr>
              <w:t>100</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786E9AA1"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0</w:t>
            </w:r>
            <w:r w:rsidRPr="00BA6733">
              <w:rPr>
                <w:rFonts w:asciiTheme="majorHAnsi" w:hAnsiTheme="majorHAnsi" w:cs="Arial"/>
                <w:sz w:val="20"/>
                <w:szCs w:val="20"/>
              </w:rPr>
              <w:t xml:space="preserve"> (</w:t>
            </w:r>
            <w:r>
              <w:rPr>
                <w:rFonts w:asciiTheme="majorHAnsi" w:hAnsiTheme="majorHAnsi" w:cs="Arial"/>
                <w:sz w:val="20"/>
                <w:szCs w:val="20"/>
              </w:rPr>
              <w:t>0</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462EF9BD"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0</w:t>
            </w:r>
            <w:r w:rsidRPr="00BA6733">
              <w:rPr>
                <w:rFonts w:asciiTheme="majorHAnsi" w:hAnsiTheme="majorHAnsi" w:cs="Arial"/>
                <w:sz w:val="20"/>
                <w:szCs w:val="20"/>
              </w:rPr>
              <w:t xml:space="preserve"> (</w:t>
            </w:r>
            <w:r>
              <w:rPr>
                <w:rFonts w:asciiTheme="majorHAnsi" w:hAnsiTheme="majorHAnsi" w:cs="Arial"/>
                <w:sz w:val="20"/>
                <w:szCs w:val="20"/>
              </w:rPr>
              <w:t>0</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132FAD31" w14:textId="77777777" w:rsidR="005B2B10" w:rsidRPr="00354604" w:rsidRDefault="005B2B10" w:rsidP="00192949">
            <w:pPr>
              <w:spacing w:line="480" w:lineRule="auto"/>
              <w:jc w:val="center"/>
              <w:rPr>
                <w:rFonts w:asciiTheme="majorHAnsi" w:hAnsiTheme="majorHAnsi" w:cs="Arial"/>
                <w:i/>
                <w:iCs/>
                <w:sz w:val="20"/>
                <w:szCs w:val="20"/>
              </w:rPr>
            </w:pPr>
            <w:r w:rsidRPr="00354604">
              <w:rPr>
                <w:rFonts w:asciiTheme="majorHAnsi" w:hAnsiTheme="majorHAnsi" w:cs="Arial"/>
                <w:i/>
                <w:iCs/>
                <w:color w:val="000000" w:themeColor="text1"/>
                <w:sz w:val="20"/>
                <w:szCs w:val="20"/>
              </w:rPr>
              <w:t>N/A</w:t>
            </w:r>
          </w:p>
        </w:tc>
      </w:tr>
      <w:tr w:rsidR="005B2B10" w:rsidRPr="00E8529C" w14:paraId="3393D4A3" w14:textId="77777777" w:rsidTr="00192949">
        <w:trPr>
          <w:trHeight w:val="163"/>
          <w:jc w:val="center"/>
        </w:trPr>
        <w:tc>
          <w:tcPr>
            <w:tcW w:w="1701" w:type="dxa"/>
            <w:vMerge/>
            <w:tcBorders>
              <w:left w:val="nil"/>
              <w:bottom w:val="single" w:sz="4" w:space="0" w:color="auto"/>
              <w:right w:val="nil"/>
            </w:tcBorders>
            <w:vAlign w:val="center"/>
          </w:tcPr>
          <w:p w14:paraId="41DE6151"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0B4842BC"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ypN+</w:t>
            </w:r>
          </w:p>
        </w:tc>
        <w:tc>
          <w:tcPr>
            <w:tcW w:w="1276" w:type="dxa"/>
            <w:tcBorders>
              <w:top w:val="nil"/>
              <w:left w:val="nil"/>
              <w:bottom w:val="single" w:sz="4" w:space="0" w:color="auto"/>
              <w:right w:val="nil"/>
            </w:tcBorders>
          </w:tcPr>
          <w:p w14:paraId="6E34E5C2"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0</w:t>
            </w:r>
            <w:r w:rsidRPr="00BA6733">
              <w:rPr>
                <w:rFonts w:asciiTheme="majorHAnsi" w:hAnsiTheme="majorHAnsi" w:cs="Arial"/>
                <w:sz w:val="20"/>
                <w:szCs w:val="20"/>
              </w:rPr>
              <w:t xml:space="preserve"> (</w:t>
            </w:r>
            <w:r>
              <w:rPr>
                <w:rFonts w:asciiTheme="majorHAnsi" w:hAnsiTheme="majorHAnsi" w:cs="Arial"/>
                <w:sz w:val="20"/>
                <w:szCs w:val="20"/>
              </w:rPr>
              <w:t>0</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7E5F3DE8" w14:textId="77777777" w:rsidR="005B2B10" w:rsidRPr="00BA6733" w:rsidRDefault="005B2B10" w:rsidP="00192949">
            <w:pPr>
              <w:spacing w:line="360" w:lineRule="auto"/>
              <w:jc w:val="center"/>
              <w:rPr>
                <w:rFonts w:asciiTheme="majorHAnsi" w:hAnsiTheme="majorHAnsi" w:cs="Arial"/>
                <w:sz w:val="20"/>
                <w:szCs w:val="20"/>
              </w:rPr>
            </w:pPr>
            <w:r w:rsidRPr="00BA6733">
              <w:rPr>
                <w:rFonts w:asciiTheme="majorHAnsi" w:hAnsiTheme="majorHAnsi" w:cs="Arial"/>
                <w:sz w:val="20"/>
                <w:szCs w:val="20"/>
              </w:rPr>
              <w:t xml:space="preserve"> </w:t>
            </w:r>
            <w:r>
              <w:rPr>
                <w:rFonts w:asciiTheme="majorHAnsi" w:hAnsiTheme="majorHAnsi" w:cs="Arial"/>
                <w:sz w:val="20"/>
                <w:szCs w:val="20"/>
              </w:rPr>
              <w:t xml:space="preserve">0 </w:t>
            </w:r>
            <w:r w:rsidRPr="00BA6733">
              <w:rPr>
                <w:rFonts w:asciiTheme="majorHAnsi" w:hAnsiTheme="majorHAnsi" w:cs="Arial"/>
                <w:sz w:val="20"/>
                <w:szCs w:val="20"/>
              </w:rPr>
              <w:t>(</w:t>
            </w:r>
            <w:r>
              <w:rPr>
                <w:rFonts w:asciiTheme="majorHAnsi" w:hAnsiTheme="majorHAnsi" w:cs="Arial"/>
                <w:sz w:val="20"/>
                <w:szCs w:val="20"/>
              </w:rPr>
              <w:t>0</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26D6E5FE" w14:textId="77777777" w:rsidR="005B2B10" w:rsidRPr="00BA6733" w:rsidRDefault="005B2B10" w:rsidP="00192949">
            <w:pPr>
              <w:spacing w:line="360" w:lineRule="auto"/>
              <w:jc w:val="center"/>
              <w:rPr>
                <w:rFonts w:asciiTheme="majorHAnsi" w:hAnsiTheme="majorHAnsi" w:cs="Arial"/>
                <w:sz w:val="20"/>
                <w:szCs w:val="20"/>
              </w:rPr>
            </w:pPr>
            <w:r w:rsidRPr="00BA6733">
              <w:rPr>
                <w:rFonts w:asciiTheme="majorHAnsi" w:hAnsiTheme="majorHAnsi" w:cs="Arial"/>
                <w:sz w:val="20"/>
                <w:szCs w:val="20"/>
              </w:rPr>
              <w:t xml:space="preserve"> </w:t>
            </w:r>
            <w:r>
              <w:rPr>
                <w:rFonts w:asciiTheme="majorHAnsi" w:hAnsiTheme="majorHAnsi" w:cs="Arial"/>
                <w:sz w:val="20"/>
                <w:szCs w:val="20"/>
              </w:rPr>
              <w:t xml:space="preserve">155 </w:t>
            </w:r>
            <w:r w:rsidRPr="00BA6733">
              <w:rPr>
                <w:rFonts w:asciiTheme="majorHAnsi" w:hAnsiTheme="majorHAnsi" w:cs="Arial"/>
                <w:sz w:val="20"/>
                <w:szCs w:val="20"/>
              </w:rPr>
              <w:t>(</w:t>
            </w:r>
            <w:r>
              <w:rPr>
                <w:rFonts w:asciiTheme="majorHAnsi" w:hAnsiTheme="majorHAnsi" w:cs="Arial"/>
                <w:sz w:val="20"/>
                <w:szCs w:val="20"/>
              </w:rPr>
              <w:t>100</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1D420CBB"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303</w:t>
            </w:r>
            <w:r w:rsidRPr="00BA6733">
              <w:rPr>
                <w:rFonts w:asciiTheme="majorHAnsi" w:hAnsiTheme="majorHAnsi" w:cs="Arial"/>
                <w:sz w:val="20"/>
                <w:szCs w:val="20"/>
              </w:rPr>
              <w:t xml:space="preserve"> (</w:t>
            </w:r>
            <w:r>
              <w:rPr>
                <w:rFonts w:asciiTheme="majorHAnsi" w:hAnsiTheme="majorHAnsi" w:cs="Arial"/>
                <w:sz w:val="20"/>
                <w:szCs w:val="20"/>
              </w:rPr>
              <w:t>100</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09EF120B"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0D7E7FC2" w14:textId="77777777" w:rsidTr="00192949">
        <w:trPr>
          <w:trHeight w:val="163"/>
          <w:jc w:val="center"/>
        </w:trPr>
        <w:tc>
          <w:tcPr>
            <w:tcW w:w="1701" w:type="dxa"/>
            <w:vMerge w:val="restart"/>
            <w:tcBorders>
              <w:top w:val="single" w:sz="4" w:space="0" w:color="auto"/>
              <w:left w:val="nil"/>
              <w:right w:val="nil"/>
            </w:tcBorders>
            <w:vAlign w:val="center"/>
          </w:tcPr>
          <w:p w14:paraId="4951443C"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 xml:space="preserve">Primary </w:t>
            </w:r>
            <w:proofErr w:type="spellStart"/>
            <w:r>
              <w:rPr>
                <w:rFonts w:asciiTheme="majorHAnsi" w:hAnsiTheme="majorHAnsi" w:cs="Arial"/>
                <w:sz w:val="20"/>
                <w:szCs w:val="20"/>
              </w:rPr>
              <w:t>tumor</w:t>
            </w:r>
            <w:proofErr w:type="spellEnd"/>
            <w:r>
              <w:rPr>
                <w:rFonts w:asciiTheme="majorHAnsi" w:hAnsiTheme="majorHAnsi" w:cs="Arial"/>
                <w:sz w:val="20"/>
                <w:szCs w:val="20"/>
              </w:rPr>
              <w:t xml:space="preserve"> regression</w:t>
            </w:r>
          </w:p>
        </w:tc>
        <w:tc>
          <w:tcPr>
            <w:tcW w:w="2835" w:type="dxa"/>
            <w:tcBorders>
              <w:top w:val="single" w:sz="4" w:space="0" w:color="auto"/>
              <w:left w:val="nil"/>
              <w:bottom w:val="nil"/>
              <w:right w:val="nil"/>
            </w:tcBorders>
            <w:vAlign w:val="center"/>
          </w:tcPr>
          <w:p w14:paraId="4DB39587" w14:textId="77777777" w:rsidR="005B2B10" w:rsidRDefault="005B2B10" w:rsidP="00192949">
            <w:pPr>
              <w:spacing w:line="360" w:lineRule="auto"/>
              <w:rPr>
                <w:rFonts w:asciiTheme="majorHAnsi" w:hAnsiTheme="majorHAnsi" w:cs="Arial"/>
                <w:sz w:val="20"/>
                <w:szCs w:val="20"/>
              </w:rPr>
            </w:pPr>
            <w:r>
              <w:rPr>
                <w:rFonts w:asciiTheme="majorHAnsi" w:hAnsiTheme="majorHAnsi" w:cs="Arial"/>
                <w:sz w:val="20"/>
                <w:szCs w:val="20"/>
              </w:rPr>
              <w:t>Mandard 1</w:t>
            </w:r>
          </w:p>
        </w:tc>
        <w:tc>
          <w:tcPr>
            <w:tcW w:w="1276" w:type="dxa"/>
            <w:tcBorders>
              <w:top w:val="single" w:sz="4" w:space="0" w:color="auto"/>
              <w:left w:val="nil"/>
              <w:bottom w:val="nil"/>
              <w:right w:val="nil"/>
            </w:tcBorders>
          </w:tcPr>
          <w:p w14:paraId="7D7C2CD0"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31 (12.8%)</w:t>
            </w:r>
          </w:p>
        </w:tc>
        <w:tc>
          <w:tcPr>
            <w:tcW w:w="1276" w:type="dxa"/>
            <w:tcBorders>
              <w:top w:val="single" w:sz="4" w:space="0" w:color="auto"/>
              <w:left w:val="nil"/>
              <w:bottom w:val="nil"/>
              <w:right w:val="nil"/>
            </w:tcBorders>
          </w:tcPr>
          <w:p w14:paraId="1FD0206D"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 (22.6%)</w:t>
            </w:r>
          </w:p>
        </w:tc>
        <w:tc>
          <w:tcPr>
            <w:tcW w:w="1559" w:type="dxa"/>
            <w:tcBorders>
              <w:top w:val="single" w:sz="4" w:space="0" w:color="auto"/>
              <w:left w:val="nil"/>
              <w:bottom w:val="nil"/>
              <w:right w:val="nil"/>
            </w:tcBorders>
          </w:tcPr>
          <w:p w14:paraId="0E78A8A1"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 (4.5%)</w:t>
            </w:r>
          </w:p>
        </w:tc>
        <w:tc>
          <w:tcPr>
            <w:tcW w:w="1418" w:type="dxa"/>
            <w:tcBorders>
              <w:top w:val="single" w:sz="4" w:space="0" w:color="auto"/>
              <w:left w:val="nil"/>
              <w:bottom w:val="nil"/>
              <w:right w:val="nil"/>
            </w:tcBorders>
          </w:tcPr>
          <w:p w14:paraId="45E9D05A"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 (0.3%)</w:t>
            </w:r>
          </w:p>
        </w:tc>
        <w:tc>
          <w:tcPr>
            <w:tcW w:w="1134" w:type="dxa"/>
            <w:vMerge w:val="restart"/>
            <w:tcBorders>
              <w:top w:val="single" w:sz="4" w:space="0" w:color="auto"/>
              <w:left w:val="nil"/>
              <w:right w:val="nil"/>
            </w:tcBorders>
            <w:vAlign w:val="center"/>
          </w:tcPr>
          <w:p w14:paraId="35EAD873" w14:textId="77777777" w:rsidR="005B2B10" w:rsidRPr="00E8529C" w:rsidRDefault="005B2B10" w:rsidP="00192949">
            <w:pPr>
              <w:spacing w:line="480" w:lineRule="auto"/>
              <w:jc w:val="center"/>
              <w:rPr>
                <w:rFonts w:asciiTheme="majorHAnsi" w:hAnsiTheme="majorHAnsi" w:cs="Arial"/>
                <w:b/>
                <w:bCs/>
                <w:i/>
                <w:iCs/>
                <w:sz w:val="20"/>
                <w:szCs w:val="20"/>
              </w:rPr>
            </w:pPr>
            <w:r w:rsidRPr="00215777">
              <w:rPr>
                <w:rFonts w:asciiTheme="majorHAnsi" w:hAnsiTheme="majorHAnsi" w:cs="Arial"/>
                <w:b/>
                <w:bCs/>
                <w:i/>
                <w:iCs/>
                <w:color w:val="FF0000"/>
                <w:sz w:val="20"/>
                <w:szCs w:val="20"/>
              </w:rPr>
              <w:t>p&lt;0.001</w:t>
            </w:r>
          </w:p>
        </w:tc>
      </w:tr>
      <w:tr w:rsidR="005B2B10" w:rsidRPr="00E8529C" w14:paraId="74EB1431" w14:textId="77777777" w:rsidTr="00192949">
        <w:trPr>
          <w:trHeight w:val="163"/>
          <w:jc w:val="center"/>
        </w:trPr>
        <w:tc>
          <w:tcPr>
            <w:tcW w:w="1701" w:type="dxa"/>
            <w:vMerge/>
            <w:tcBorders>
              <w:top w:val="single" w:sz="4" w:space="0" w:color="auto"/>
              <w:left w:val="nil"/>
              <w:right w:val="nil"/>
            </w:tcBorders>
            <w:vAlign w:val="center"/>
          </w:tcPr>
          <w:p w14:paraId="48F7EFFF" w14:textId="77777777" w:rsidR="005B2B10"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6ABEDE27" w14:textId="77777777" w:rsidR="005B2B10" w:rsidRDefault="005B2B10" w:rsidP="00192949">
            <w:pPr>
              <w:spacing w:line="360" w:lineRule="auto"/>
              <w:rPr>
                <w:rFonts w:asciiTheme="majorHAnsi" w:hAnsiTheme="majorHAnsi" w:cs="Arial"/>
                <w:sz w:val="20"/>
                <w:szCs w:val="20"/>
              </w:rPr>
            </w:pPr>
            <w:r>
              <w:rPr>
                <w:rFonts w:asciiTheme="majorHAnsi" w:hAnsiTheme="majorHAnsi" w:cs="Arial"/>
                <w:sz w:val="20"/>
                <w:szCs w:val="20"/>
              </w:rPr>
              <w:t>Mandard 2-3</w:t>
            </w:r>
          </w:p>
        </w:tc>
        <w:tc>
          <w:tcPr>
            <w:tcW w:w="1276" w:type="dxa"/>
            <w:tcBorders>
              <w:top w:val="nil"/>
              <w:left w:val="nil"/>
              <w:bottom w:val="nil"/>
              <w:right w:val="nil"/>
            </w:tcBorders>
          </w:tcPr>
          <w:p w14:paraId="375D7A2D"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105 (43.2%)</w:t>
            </w:r>
          </w:p>
        </w:tc>
        <w:tc>
          <w:tcPr>
            <w:tcW w:w="1276" w:type="dxa"/>
            <w:tcBorders>
              <w:top w:val="nil"/>
              <w:left w:val="nil"/>
              <w:bottom w:val="nil"/>
              <w:right w:val="nil"/>
            </w:tcBorders>
          </w:tcPr>
          <w:p w14:paraId="1824DB6E"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34 (54.8%)</w:t>
            </w:r>
          </w:p>
        </w:tc>
        <w:tc>
          <w:tcPr>
            <w:tcW w:w="1559" w:type="dxa"/>
            <w:tcBorders>
              <w:top w:val="nil"/>
              <w:left w:val="nil"/>
              <w:bottom w:val="nil"/>
              <w:right w:val="nil"/>
            </w:tcBorders>
          </w:tcPr>
          <w:p w14:paraId="5902BE96"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63 (40.6%)</w:t>
            </w:r>
          </w:p>
        </w:tc>
        <w:tc>
          <w:tcPr>
            <w:tcW w:w="1418" w:type="dxa"/>
            <w:tcBorders>
              <w:top w:val="nil"/>
              <w:left w:val="nil"/>
              <w:bottom w:val="nil"/>
              <w:right w:val="nil"/>
            </w:tcBorders>
          </w:tcPr>
          <w:p w14:paraId="59566019"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67 (22.1%)</w:t>
            </w:r>
          </w:p>
        </w:tc>
        <w:tc>
          <w:tcPr>
            <w:tcW w:w="1134" w:type="dxa"/>
            <w:vMerge/>
            <w:tcBorders>
              <w:top w:val="single" w:sz="4" w:space="0" w:color="auto"/>
              <w:left w:val="nil"/>
              <w:right w:val="nil"/>
            </w:tcBorders>
            <w:vAlign w:val="center"/>
          </w:tcPr>
          <w:p w14:paraId="61B19697" w14:textId="77777777" w:rsidR="005B2B10" w:rsidRPr="00215777" w:rsidRDefault="005B2B10" w:rsidP="00192949">
            <w:pPr>
              <w:spacing w:line="480" w:lineRule="auto"/>
              <w:jc w:val="center"/>
              <w:rPr>
                <w:rFonts w:asciiTheme="majorHAnsi" w:hAnsiTheme="majorHAnsi" w:cs="Arial"/>
                <w:b/>
                <w:bCs/>
                <w:i/>
                <w:iCs/>
                <w:color w:val="FF0000"/>
                <w:sz w:val="20"/>
                <w:szCs w:val="20"/>
              </w:rPr>
            </w:pPr>
          </w:p>
        </w:tc>
      </w:tr>
      <w:tr w:rsidR="005B2B10" w:rsidRPr="00E8529C" w14:paraId="6C31CF3B" w14:textId="77777777" w:rsidTr="00192949">
        <w:trPr>
          <w:trHeight w:val="119"/>
          <w:jc w:val="center"/>
        </w:trPr>
        <w:tc>
          <w:tcPr>
            <w:tcW w:w="1701" w:type="dxa"/>
            <w:vMerge/>
            <w:tcBorders>
              <w:left w:val="nil"/>
              <w:right w:val="nil"/>
            </w:tcBorders>
            <w:vAlign w:val="center"/>
          </w:tcPr>
          <w:p w14:paraId="797286DF"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39AD0895" w14:textId="77777777" w:rsidR="005B2B10" w:rsidRDefault="005B2B10" w:rsidP="00192949">
            <w:pPr>
              <w:spacing w:line="360" w:lineRule="auto"/>
              <w:rPr>
                <w:rFonts w:asciiTheme="majorHAnsi" w:hAnsiTheme="majorHAnsi" w:cs="Arial"/>
                <w:sz w:val="20"/>
                <w:szCs w:val="20"/>
              </w:rPr>
            </w:pPr>
            <w:r>
              <w:rPr>
                <w:rFonts w:asciiTheme="majorHAnsi" w:hAnsiTheme="majorHAnsi" w:cs="Arial"/>
                <w:sz w:val="20"/>
                <w:szCs w:val="20"/>
              </w:rPr>
              <w:t>Mandard 4-5</w:t>
            </w:r>
          </w:p>
        </w:tc>
        <w:tc>
          <w:tcPr>
            <w:tcW w:w="1276" w:type="dxa"/>
            <w:tcBorders>
              <w:top w:val="nil"/>
              <w:left w:val="nil"/>
              <w:bottom w:val="nil"/>
              <w:right w:val="nil"/>
            </w:tcBorders>
          </w:tcPr>
          <w:p w14:paraId="3E2F0170"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103 (42.4%)</w:t>
            </w:r>
          </w:p>
        </w:tc>
        <w:tc>
          <w:tcPr>
            <w:tcW w:w="1276" w:type="dxa"/>
            <w:tcBorders>
              <w:top w:val="nil"/>
              <w:left w:val="nil"/>
              <w:bottom w:val="nil"/>
              <w:right w:val="nil"/>
            </w:tcBorders>
          </w:tcPr>
          <w:p w14:paraId="2C570034"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13 (21.0%)</w:t>
            </w:r>
          </w:p>
        </w:tc>
        <w:tc>
          <w:tcPr>
            <w:tcW w:w="1559" w:type="dxa"/>
            <w:tcBorders>
              <w:top w:val="nil"/>
              <w:left w:val="nil"/>
              <w:bottom w:val="nil"/>
              <w:right w:val="nil"/>
            </w:tcBorders>
          </w:tcPr>
          <w:p w14:paraId="20AF8E8E" w14:textId="77777777" w:rsidR="005B2B10" w:rsidRPr="00BA6733"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84 (54.2%)</w:t>
            </w:r>
          </w:p>
        </w:tc>
        <w:tc>
          <w:tcPr>
            <w:tcW w:w="1418" w:type="dxa"/>
            <w:tcBorders>
              <w:top w:val="nil"/>
              <w:left w:val="nil"/>
              <w:bottom w:val="nil"/>
              <w:right w:val="nil"/>
            </w:tcBorders>
          </w:tcPr>
          <w:p w14:paraId="09FC91E4"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231 (76.2%)</w:t>
            </w:r>
          </w:p>
        </w:tc>
        <w:tc>
          <w:tcPr>
            <w:tcW w:w="1134" w:type="dxa"/>
            <w:vMerge/>
            <w:tcBorders>
              <w:left w:val="nil"/>
              <w:right w:val="nil"/>
            </w:tcBorders>
            <w:vAlign w:val="center"/>
          </w:tcPr>
          <w:p w14:paraId="39758310"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6EB96D7D" w14:textId="77777777" w:rsidTr="00192949">
        <w:trPr>
          <w:trHeight w:val="163"/>
          <w:jc w:val="center"/>
        </w:trPr>
        <w:tc>
          <w:tcPr>
            <w:tcW w:w="1701" w:type="dxa"/>
            <w:vMerge/>
            <w:tcBorders>
              <w:left w:val="nil"/>
              <w:bottom w:val="single" w:sz="4" w:space="0" w:color="auto"/>
              <w:right w:val="nil"/>
            </w:tcBorders>
            <w:vAlign w:val="center"/>
          </w:tcPr>
          <w:p w14:paraId="4DE80324"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58CD6DE5" w14:textId="77777777" w:rsidR="005B2B10" w:rsidRPr="00B15A7F" w:rsidRDefault="005B2B10" w:rsidP="00192949">
            <w:pPr>
              <w:spacing w:line="360" w:lineRule="auto"/>
              <w:rPr>
                <w:rFonts w:asciiTheme="majorHAnsi" w:hAnsiTheme="majorHAnsi" w:cs="Arial"/>
                <w:i/>
                <w:iCs/>
                <w:sz w:val="20"/>
                <w:szCs w:val="20"/>
              </w:rPr>
            </w:pPr>
            <w:r w:rsidRPr="00B15A7F">
              <w:rPr>
                <w:rFonts w:asciiTheme="majorHAnsi" w:hAnsiTheme="majorHAnsi" w:cs="Arial"/>
                <w:i/>
                <w:iCs/>
                <w:sz w:val="20"/>
                <w:szCs w:val="20"/>
              </w:rPr>
              <w:t>Not recorded</w:t>
            </w:r>
          </w:p>
        </w:tc>
        <w:tc>
          <w:tcPr>
            <w:tcW w:w="1276" w:type="dxa"/>
            <w:tcBorders>
              <w:top w:val="nil"/>
              <w:left w:val="nil"/>
              <w:bottom w:val="single" w:sz="4" w:space="0" w:color="auto"/>
              <w:right w:val="nil"/>
            </w:tcBorders>
          </w:tcPr>
          <w:p w14:paraId="5BFDC0A8" w14:textId="77777777" w:rsidR="005B2B10" w:rsidRPr="00B15A7F" w:rsidRDefault="005B2B10" w:rsidP="00192949">
            <w:pPr>
              <w:spacing w:line="360" w:lineRule="auto"/>
              <w:jc w:val="center"/>
              <w:rPr>
                <w:rFonts w:asciiTheme="majorHAnsi" w:hAnsiTheme="majorHAnsi" w:cs="Arial"/>
                <w:i/>
                <w:iCs/>
                <w:sz w:val="20"/>
                <w:szCs w:val="20"/>
              </w:rPr>
            </w:pPr>
            <w:r w:rsidRPr="00B15A7F">
              <w:rPr>
                <w:rFonts w:asciiTheme="majorHAnsi" w:hAnsiTheme="majorHAnsi" w:cs="Arial"/>
                <w:i/>
                <w:iCs/>
                <w:sz w:val="20"/>
                <w:szCs w:val="20"/>
              </w:rPr>
              <w:t>4</w:t>
            </w:r>
            <w:r>
              <w:rPr>
                <w:rFonts w:asciiTheme="majorHAnsi" w:hAnsiTheme="majorHAnsi" w:cs="Arial"/>
                <w:i/>
                <w:iCs/>
                <w:sz w:val="20"/>
                <w:szCs w:val="20"/>
              </w:rPr>
              <w:t xml:space="preserve"> (1.6%)</w:t>
            </w:r>
          </w:p>
        </w:tc>
        <w:tc>
          <w:tcPr>
            <w:tcW w:w="1276" w:type="dxa"/>
            <w:tcBorders>
              <w:top w:val="nil"/>
              <w:left w:val="nil"/>
              <w:bottom w:val="single" w:sz="4" w:space="0" w:color="auto"/>
              <w:right w:val="nil"/>
            </w:tcBorders>
          </w:tcPr>
          <w:p w14:paraId="30D4DE66" w14:textId="77777777" w:rsidR="005B2B10" w:rsidRPr="00B15A7F" w:rsidRDefault="005B2B10" w:rsidP="00192949">
            <w:pPr>
              <w:spacing w:line="360" w:lineRule="auto"/>
              <w:jc w:val="center"/>
              <w:rPr>
                <w:rFonts w:asciiTheme="majorHAnsi" w:hAnsiTheme="majorHAnsi" w:cs="Arial"/>
                <w:i/>
                <w:iCs/>
                <w:sz w:val="20"/>
                <w:szCs w:val="20"/>
              </w:rPr>
            </w:pPr>
            <w:r w:rsidRPr="00B15A7F">
              <w:rPr>
                <w:rFonts w:asciiTheme="majorHAnsi" w:hAnsiTheme="majorHAnsi" w:cs="Arial"/>
                <w:i/>
                <w:iCs/>
                <w:sz w:val="20"/>
                <w:szCs w:val="20"/>
              </w:rPr>
              <w:t>1</w:t>
            </w:r>
            <w:r>
              <w:rPr>
                <w:rFonts w:asciiTheme="majorHAnsi" w:hAnsiTheme="majorHAnsi" w:cs="Arial"/>
                <w:i/>
                <w:iCs/>
                <w:sz w:val="20"/>
                <w:szCs w:val="20"/>
              </w:rPr>
              <w:t xml:space="preserve"> (1.6%)</w:t>
            </w:r>
          </w:p>
        </w:tc>
        <w:tc>
          <w:tcPr>
            <w:tcW w:w="1559" w:type="dxa"/>
            <w:tcBorders>
              <w:top w:val="nil"/>
              <w:left w:val="nil"/>
              <w:bottom w:val="single" w:sz="4" w:space="0" w:color="auto"/>
              <w:right w:val="nil"/>
            </w:tcBorders>
          </w:tcPr>
          <w:p w14:paraId="7164C213" w14:textId="77777777" w:rsidR="005B2B10" w:rsidRPr="00B15A7F" w:rsidRDefault="005B2B10" w:rsidP="00192949">
            <w:pPr>
              <w:spacing w:line="360" w:lineRule="auto"/>
              <w:jc w:val="center"/>
              <w:rPr>
                <w:rFonts w:asciiTheme="majorHAnsi" w:hAnsiTheme="majorHAnsi" w:cs="Arial"/>
                <w:i/>
                <w:iCs/>
                <w:sz w:val="20"/>
                <w:szCs w:val="20"/>
              </w:rPr>
            </w:pPr>
            <w:r w:rsidRPr="00B15A7F">
              <w:rPr>
                <w:rFonts w:asciiTheme="majorHAnsi" w:hAnsiTheme="majorHAnsi" w:cs="Arial"/>
                <w:i/>
                <w:iCs/>
                <w:sz w:val="20"/>
                <w:szCs w:val="20"/>
              </w:rPr>
              <w:t>1</w:t>
            </w:r>
            <w:r>
              <w:rPr>
                <w:rFonts w:asciiTheme="majorHAnsi" w:hAnsiTheme="majorHAnsi" w:cs="Arial"/>
                <w:i/>
                <w:iCs/>
                <w:sz w:val="20"/>
                <w:szCs w:val="20"/>
              </w:rPr>
              <w:t xml:space="preserve"> (0.6%)</w:t>
            </w:r>
          </w:p>
        </w:tc>
        <w:tc>
          <w:tcPr>
            <w:tcW w:w="1418" w:type="dxa"/>
            <w:tcBorders>
              <w:top w:val="nil"/>
              <w:left w:val="nil"/>
              <w:bottom w:val="single" w:sz="4" w:space="0" w:color="auto"/>
              <w:right w:val="nil"/>
            </w:tcBorders>
          </w:tcPr>
          <w:p w14:paraId="417636A2" w14:textId="77777777" w:rsidR="005B2B10" w:rsidRPr="00B15A7F" w:rsidRDefault="005B2B10" w:rsidP="00192949">
            <w:pPr>
              <w:spacing w:line="360" w:lineRule="auto"/>
              <w:jc w:val="center"/>
              <w:rPr>
                <w:rFonts w:asciiTheme="majorHAnsi" w:hAnsiTheme="majorHAnsi" w:cs="Arial"/>
                <w:i/>
                <w:iCs/>
                <w:sz w:val="20"/>
                <w:szCs w:val="20"/>
              </w:rPr>
            </w:pPr>
            <w:r w:rsidRPr="00B15A7F">
              <w:rPr>
                <w:rFonts w:asciiTheme="majorHAnsi" w:hAnsiTheme="majorHAnsi" w:cs="Arial"/>
                <w:i/>
                <w:iCs/>
                <w:sz w:val="20"/>
                <w:szCs w:val="20"/>
              </w:rPr>
              <w:t>4</w:t>
            </w:r>
            <w:r>
              <w:rPr>
                <w:rFonts w:asciiTheme="majorHAnsi" w:hAnsiTheme="majorHAnsi" w:cs="Arial"/>
                <w:i/>
                <w:iCs/>
                <w:sz w:val="20"/>
                <w:szCs w:val="20"/>
              </w:rPr>
              <w:t xml:space="preserve"> (1.3%)</w:t>
            </w:r>
          </w:p>
        </w:tc>
        <w:tc>
          <w:tcPr>
            <w:tcW w:w="1134" w:type="dxa"/>
            <w:vMerge/>
            <w:tcBorders>
              <w:left w:val="nil"/>
              <w:bottom w:val="single" w:sz="4" w:space="0" w:color="auto"/>
              <w:right w:val="nil"/>
            </w:tcBorders>
            <w:vAlign w:val="center"/>
          </w:tcPr>
          <w:p w14:paraId="6F1AB5B2"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30EDCA0E" w14:textId="77777777" w:rsidTr="00192949">
        <w:trPr>
          <w:trHeight w:val="163"/>
          <w:jc w:val="center"/>
        </w:trPr>
        <w:tc>
          <w:tcPr>
            <w:tcW w:w="1701" w:type="dxa"/>
            <w:vMerge w:val="restart"/>
            <w:tcBorders>
              <w:top w:val="single" w:sz="4" w:space="0" w:color="auto"/>
              <w:left w:val="nil"/>
              <w:right w:val="nil"/>
            </w:tcBorders>
            <w:vAlign w:val="center"/>
          </w:tcPr>
          <w:p w14:paraId="5AAA501E" w14:textId="77777777" w:rsidR="005B2B10" w:rsidRPr="00E8529C" w:rsidRDefault="005B2B10" w:rsidP="00192949">
            <w:pPr>
              <w:spacing w:line="360" w:lineRule="auto"/>
              <w:rPr>
                <w:rFonts w:asciiTheme="majorHAnsi" w:hAnsiTheme="majorHAnsi" w:cs="Arial"/>
                <w:sz w:val="20"/>
                <w:szCs w:val="20"/>
              </w:rPr>
            </w:pPr>
            <w:proofErr w:type="spellStart"/>
            <w:r>
              <w:rPr>
                <w:rFonts w:asciiTheme="majorHAnsi" w:hAnsiTheme="majorHAnsi" w:cs="Arial"/>
                <w:sz w:val="20"/>
                <w:szCs w:val="20"/>
              </w:rPr>
              <w:t>Tumor</w:t>
            </w:r>
            <w:proofErr w:type="spellEnd"/>
            <w:r w:rsidRPr="00E8529C">
              <w:rPr>
                <w:rFonts w:asciiTheme="majorHAnsi" w:hAnsiTheme="majorHAnsi" w:cs="Arial"/>
                <w:sz w:val="20"/>
                <w:szCs w:val="20"/>
              </w:rPr>
              <w:t xml:space="preserve"> grade</w:t>
            </w:r>
          </w:p>
        </w:tc>
        <w:tc>
          <w:tcPr>
            <w:tcW w:w="2835" w:type="dxa"/>
            <w:tcBorders>
              <w:top w:val="single" w:sz="4" w:space="0" w:color="auto"/>
              <w:left w:val="nil"/>
              <w:bottom w:val="nil"/>
              <w:right w:val="nil"/>
            </w:tcBorders>
            <w:vAlign w:val="center"/>
          </w:tcPr>
          <w:p w14:paraId="52D0648A"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Well / moderate</w:t>
            </w:r>
          </w:p>
        </w:tc>
        <w:tc>
          <w:tcPr>
            <w:tcW w:w="1276" w:type="dxa"/>
            <w:tcBorders>
              <w:top w:val="single" w:sz="4" w:space="0" w:color="auto"/>
              <w:left w:val="nil"/>
              <w:bottom w:val="nil"/>
              <w:right w:val="nil"/>
            </w:tcBorders>
          </w:tcPr>
          <w:p w14:paraId="1FADF394"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147</w:t>
            </w:r>
            <w:r w:rsidRPr="00BA6733">
              <w:rPr>
                <w:rFonts w:asciiTheme="majorHAnsi" w:hAnsiTheme="majorHAnsi" w:cs="Arial"/>
                <w:sz w:val="20"/>
                <w:szCs w:val="20"/>
              </w:rPr>
              <w:t xml:space="preserve"> (</w:t>
            </w:r>
            <w:r>
              <w:rPr>
                <w:rFonts w:asciiTheme="majorHAnsi" w:hAnsiTheme="majorHAnsi" w:cs="Arial"/>
                <w:sz w:val="20"/>
                <w:szCs w:val="20"/>
              </w:rPr>
              <w:t>60.5</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6F662863"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31</w:t>
            </w:r>
            <w:r w:rsidRPr="00BA6733">
              <w:rPr>
                <w:rFonts w:asciiTheme="majorHAnsi" w:hAnsiTheme="majorHAnsi" w:cs="Arial"/>
                <w:sz w:val="20"/>
                <w:szCs w:val="20"/>
              </w:rPr>
              <w:t xml:space="preserve"> (</w:t>
            </w:r>
            <w:r>
              <w:rPr>
                <w:rFonts w:asciiTheme="majorHAnsi" w:hAnsiTheme="majorHAnsi" w:cs="Arial"/>
                <w:sz w:val="20"/>
                <w:szCs w:val="20"/>
              </w:rPr>
              <w:t>50.0</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3D2863F0"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75</w:t>
            </w:r>
            <w:r w:rsidRPr="00BA6733">
              <w:rPr>
                <w:rFonts w:asciiTheme="majorHAnsi" w:hAnsiTheme="majorHAnsi" w:cs="Arial"/>
                <w:sz w:val="20"/>
                <w:szCs w:val="20"/>
              </w:rPr>
              <w:t xml:space="preserve"> (</w:t>
            </w:r>
            <w:r>
              <w:rPr>
                <w:rFonts w:asciiTheme="majorHAnsi" w:hAnsiTheme="majorHAnsi" w:cs="Arial"/>
                <w:sz w:val="20"/>
                <w:szCs w:val="20"/>
              </w:rPr>
              <w:t>48.4</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518EBF56"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133</w:t>
            </w:r>
            <w:r w:rsidRPr="00BA6733">
              <w:rPr>
                <w:rFonts w:asciiTheme="majorHAnsi" w:hAnsiTheme="majorHAnsi" w:cs="Arial"/>
                <w:sz w:val="20"/>
                <w:szCs w:val="20"/>
              </w:rPr>
              <w:t xml:space="preserve"> (</w:t>
            </w:r>
            <w:r>
              <w:rPr>
                <w:rFonts w:asciiTheme="majorHAnsi" w:hAnsiTheme="majorHAnsi" w:cs="Arial"/>
                <w:sz w:val="20"/>
                <w:szCs w:val="20"/>
              </w:rPr>
              <w:t>43.9</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6C4F1537" w14:textId="77777777" w:rsidR="005B2B10" w:rsidRPr="00E8529C" w:rsidRDefault="005B2B10" w:rsidP="00192949">
            <w:pPr>
              <w:spacing w:line="480" w:lineRule="auto"/>
              <w:jc w:val="center"/>
              <w:rPr>
                <w:rFonts w:asciiTheme="majorHAnsi" w:hAnsiTheme="majorHAnsi" w:cs="Arial"/>
                <w:b/>
                <w:bCs/>
                <w:i/>
                <w:iCs/>
                <w:color w:val="FF0000"/>
                <w:sz w:val="20"/>
                <w:szCs w:val="20"/>
              </w:rPr>
            </w:pPr>
            <w:r>
              <w:rPr>
                <w:rFonts w:asciiTheme="majorHAnsi" w:hAnsiTheme="majorHAnsi" w:cs="Arial"/>
                <w:b/>
                <w:bCs/>
                <w:i/>
                <w:iCs/>
                <w:color w:val="FF0000"/>
                <w:sz w:val="20"/>
                <w:szCs w:val="20"/>
              </w:rPr>
              <w:t>p=</w:t>
            </w:r>
            <w:r w:rsidRPr="00215777">
              <w:rPr>
                <w:rFonts w:asciiTheme="majorHAnsi" w:hAnsiTheme="majorHAnsi" w:cs="Arial"/>
                <w:b/>
                <w:bCs/>
                <w:i/>
                <w:iCs/>
                <w:color w:val="FF0000"/>
                <w:sz w:val="20"/>
                <w:szCs w:val="20"/>
              </w:rPr>
              <w:t>0.00</w:t>
            </w:r>
            <w:r>
              <w:rPr>
                <w:rFonts w:asciiTheme="majorHAnsi" w:hAnsiTheme="majorHAnsi" w:cs="Arial"/>
                <w:b/>
                <w:bCs/>
                <w:i/>
                <w:iCs/>
                <w:color w:val="FF0000"/>
                <w:sz w:val="20"/>
                <w:szCs w:val="20"/>
              </w:rPr>
              <w:t>2</w:t>
            </w:r>
          </w:p>
        </w:tc>
      </w:tr>
      <w:tr w:rsidR="005B2B10" w:rsidRPr="00E8529C" w14:paraId="250552EC" w14:textId="77777777" w:rsidTr="00192949">
        <w:trPr>
          <w:trHeight w:val="163"/>
          <w:jc w:val="center"/>
        </w:trPr>
        <w:tc>
          <w:tcPr>
            <w:tcW w:w="1701" w:type="dxa"/>
            <w:vMerge/>
            <w:tcBorders>
              <w:left w:val="nil"/>
              <w:bottom w:val="single" w:sz="4" w:space="0" w:color="auto"/>
              <w:right w:val="nil"/>
            </w:tcBorders>
            <w:vAlign w:val="center"/>
          </w:tcPr>
          <w:p w14:paraId="2D6D444B"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53E1B67B"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Poor</w:t>
            </w:r>
          </w:p>
        </w:tc>
        <w:tc>
          <w:tcPr>
            <w:tcW w:w="1276" w:type="dxa"/>
            <w:tcBorders>
              <w:top w:val="nil"/>
              <w:left w:val="nil"/>
              <w:bottom w:val="single" w:sz="4" w:space="0" w:color="auto"/>
              <w:right w:val="nil"/>
            </w:tcBorders>
          </w:tcPr>
          <w:p w14:paraId="1522603B"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96</w:t>
            </w:r>
            <w:r w:rsidRPr="00BA6733">
              <w:rPr>
                <w:rFonts w:asciiTheme="majorHAnsi" w:hAnsiTheme="majorHAnsi" w:cs="Arial"/>
                <w:sz w:val="20"/>
                <w:szCs w:val="20"/>
              </w:rPr>
              <w:t xml:space="preserve"> (</w:t>
            </w:r>
            <w:r>
              <w:rPr>
                <w:rFonts w:asciiTheme="majorHAnsi" w:hAnsiTheme="majorHAnsi" w:cs="Arial"/>
                <w:sz w:val="20"/>
                <w:szCs w:val="20"/>
              </w:rPr>
              <w:t>39.5</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62D27F37"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31</w:t>
            </w:r>
            <w:r w:rsidRPr="00BA6733">
              <w:rPr>
                <w:rFonts w:asciiTheme="majorHAnsi" w:hAnsiTheme="majorHAnsi" w:cs="Arial"/>
                <w:sz w:val="20"/>
                <w:szCs w:val="20"/>
              </w:rPr>
              <w:t xml:space="preserve"> (</w:t>
            </w:r>
            <w:r>
              <w:rPr>
                <w:rFonts w:asciiTheme="majorHAnsi" w:hAnsiTheme="majorHAnsi" w:cs="Arial"/>
                <w:sz w:val="20"/>
                <w:szCs w:val="20"/>
              </w:rPr>
              <w:t>50.0</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40673B4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80</w:t>
            </w:r>
            <w:r w:rsidRPr="00BA6733">
              <w:rPr>
                <w:rFonts w:asciiTheme="majorHAnsi" w:hAnsiTheme="majorHAnsi" w:cs="Arial"/>
                <w:sz w:val="20"/>
                <w:szCs w:val="20"/>
              </w:rPr>
              <w:t xml:space="preserve"> (</w:t>
            </w:r>
            <w:r>
              <w:rPr>
                <w:rFonts w:asciiTheme="majorHAnsi" w:hAnsiTheme="majorHAnsi" w:cs="Arial"/>
                <w:sz w:val="20"/>
                <w:szCs w:val="20"/>
              </w:rPr>
              <w:t>51.6</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53599B2F"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170</w:t>
            </w:r>
            <w:r w:rsidRPr="00BA6733">
              <w:rPr>
                <w:rFonts w:asciiTheme="majorHAnsi" w:hAnsiTheme="majorHAnsi" w:cs="Arial"/>
                <w:sz w:val="20"/>
                <w:szCs w:val="20"/>
              </w:rPr>
              <w:t xml:space="preserve"> (</w:t>
            </w:r>
            <w:r>
              <w:rPr>
                <w:rFonts w:asciiTheme="majorHAnsi" w:hAnsiTheme="majorHAnsi" w:cs="Arial"/>
                <w:sz w:val="20"/>
                <w:szCs w:val="20"/>
              </w:rPr>
              <w:t>56.1</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2FA3411A"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434C319B" w14:textId="77777777" w:rsidTr="00192949">
        <w:trPr>
          <w:trHeight w:val="163"/>
          <w:jc w:val="center"/>
        </w:trPr>
        <w:tc>
          <w:tcPr>
            <w:tcW w:w="1701" w:type="dxa"/>
            <w:vMerge w:val="restart"/>
            <w:tcBorders>
              <w:top w:val="single" w:sz="4" w:space="0" w:color="auto"/>
              <w:left w:val="nil"/>
              <w:right w:val="nil"/>
            </w:tcBorders>
            <w:vAlign w:val="center"/>
          </w:tcPr>
          <w:p w14:paraId="584ADE5B"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lastRenderedPageBreak/>
              <w:t>Lymphovascular invasion</w:t>
            </w:r>
          </w:p>
        </w:tc>
        <w:tc>
          <w:tcPr>
            <w:tcW w:w="2835" w:type="dxa"/>
            <w:tcBorders>
              <w:top w:val="single" w:sz="4" w:space="0" w:color="auto"/>
              <w:left w:val="nil"/>
              <w:bottom w:val="nil"/>
              <w:right w:val="nil"/>
            </w:tcBorders>
            <w:vAlign w:val="center"/>
          </w:tcPr>
          <w:p w14:paraId="4B4132DB"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No</w:t>
            </w:r>
          </w:p>
        </w:tc>
        <w:tc>
          <w:tcPr>
            <w:tcW w:w="1276" w:type="dxa"/>
            <w:tcBorders>
              <w:top w:val="single" w:sz="4" w:space="0" w:color="auto"/>
              <w:left w:val="nil"/>
              <w:bottom w:val="nil"/>
              <w:right w:val="nil"/>
            </w:tcBorders>
          </w:tcPr>
          <w:p w14:paraId="1F48E7AF"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171</w:t>
            </w:r>
            <w:r w:rsidRPr="00BA6733">
              <w:rPr>
                <w:rFonts w:asciiTheme="majorHAnsi" w:hAnsiTheme="majorHAnsi" w:cs="Arial"/>
                <w:sz w:val="20"/>
                <w:szCs w:val="20"/>
              </w:rPr>
              <w:t xml:space="preserve"> (</w:t>
            </w:r>
            <w:r>
              <w:rPr>
                <w:rFonts w:asciiTheme="majorHAnsi" w:hAnsiTheme="majorHAnsi" w:cs="Arial"/>
                <w:sz w:val="20"/>
                <w:szCs w:val="20"/>
              </w:rPr>
              <w:t>70.4</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4AECDC2C"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52</w:t>
            </w:r>
            <w:r w:rsidRPr="00BA6733">
              <w:rPr>
                <w:rFonts w:asciiTheme="majorHAnsi" w:hAnsiTheme="majorHAnsi" w:cs="Arial"/>
                <w:sz w:val="20"/>
                <w:szCs w:val="20"/>
              </w:rPr>
              <w:t xml:space="preserve"> (</w:t>
            </w:r>
            <w:r>
              <w:rPr>
                <w:rFonts w:asciiTheme="majorHAnsi" w:hAnsiTheme="majorHAnsi" w:cs="Arial"/>
                <w:sz w:val="20"/>
                <w:szCs w:val="20"/>
              </w:rPr>
              <w:t>83.9</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7BC75547"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68</w:t>
            </w:r>
            <w:r w:rsidRPr="00BA6733">
              <w:rPr>
                <w:rFonts w:asciiTheme="majorHAnsi" w:hAnsiTheme="majorHAnsi" w:cs="Arial"/>
                <w:sz w:val="20"/>
                <w:szCs w:val="20"/>
              </w:rPr>
              <w:t xml:space="preserve"> (</w:t>
            </w:r>
            <w:r>
              <w:rPr>
                <w:rFonts w:asciiTheme="majorHAnsi" w:hAnsiTheme="majorHAnsi" w:cs="Arial"/>
                <w:sz w:val="20"/>
                <w:szCs w:val="20"/>
              </w:rPr>
              <w:t>43.9</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291F8812"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91</w:t>
            </w:r>
            <w:r w:rsidRPr="00BA6733">
              <w:rPr>
                <w:rFonts w:asciiTheme="majorHAnsi" w:hAnsiTheme="majorHAnsi" w:cs="Arial"/>
                <w:sz w:val="20"/>
                <w:szCs w:val="20"/>
              </w:rPr>
              <w:t xml:space="preserve"> (</w:t>
            </w:r>
            <w:r>
              <w:rPr>
                <w:rFonts w:asciiTheme="majorHAnsi" w:hAnsiTheme="majorHAnsi" w:cs="Arial"/>
                <w:sz w:val="20"/>
                <w:szCs w:val="20"/>
              </w:rPr>
              <w:t>30.0</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39B3D702" w14:textId="77777777" w:rsidR="005B2B10" w:rsidRPr="00E8529C" w:rsidRDefault="005B2B10" w:rsidP="00192949">
            <w:pPr>
              <w:spacing w:line="480" w:lineRule="auto"/>
              <w:jc w:val="center"/>
              <w:rPr>
                <w:rFonts w:asciiTheme="majorHAnsi" w:hAnsiTheme="majorHAnsi" w:cs="Arial"/>
                <w:b/>
                <w:bCs/>
                <w:i/>
                <w:iCs/>
                <w:sz w:val="20"/>
                <w:szCs w:val="20"/>
              </w:rPr>
            </w:pPr>
            <w:r w:rsidRPr="00215777">
              <w:rPr>
                <w:rFonts w:asciiTheme="majorHAnsi" w:hAnsiTheme="majorHAnsi" w:cs="Arial"/>
                <w:b/>
                <w:bCs/>
                <w:i/>
                <w:iCs/>
                <w:color w:val="FF0000"/>
                <w:sz w:val="20"/>
                <w:szCs w:val="20"/>
              </w:rPr>
              <w:t>p&lt;0.001</w:t>
            </w:r>
          </w:p>
        </w:tc>
      </w:tr>
      <w:tr w:rsidR="005B2B10" w:rsidRPr="00E8529C" w14:paraId="3410FD0C" w14:textId="77777777" w:rsidTr="00192949">
        <w:trPr>
          <w:trHeight w:val="163"/>
          <w:jc w:val="center"/>
        </w:trPr>
        <w:tc>
          <w:tcPr>
            <w:tcW w:w="1701" w:type="dxa"/>
            <w:vMerge/>
            <w:tcBorders>
              <w:left w:val="nil"/>
              <w:bottom w:val="single" w:sz="4" w:space="0" w:color="auto"/>
              <w:right w:val="nil"/>
            </w:tcBorders>
            <w:vAlign w:val="center"/>
          </w:tcPr>
          <w:p w14:paraId="5D17E4E5"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78B4FA02" w14:textId="77777777" w:rsidR="005B2B10" w:rsidRPr="00E8529C" w:rsidRDefault="005B2B10" w:rsidP="00192949">
            <w:pPr>
              <w:spacing w:line="360" w:lineRule="auto"/>
              <w:rPr>
                <w:rFonts w:asciiTheme="majorHAnsi" w:hAnsiTheme="majorHAnsi" w:cs="Arial"/>
                <w:sz w:val="20"/>
                <w:szCs w:val="20"/>
              </w:rPr>
            </w:pPr>
            <w:r>
              <w:rPr>
                <w:rFonts w:asciiTheme="majorHAnsi" w:hAnsiTheme="majorHAnsi" w:cs="Arial"/>
                <w:sz w:val="20"/>
                <w:szCs w:val="20"/>
              </w:rPr>
              <w:t>Yes</w:t>
            </w:r>
          </w:p>
        </w:tc>
        <w:tc>
          <w:tcPr>
            <w:tcW w:w="1276" w:type="dxa"/>
            <w:tcBorders>
              <w:top w:val="nil"/>
              <w:left w:val="nil"/>
              <w:bottom w:val="single" w:sz="4" w:space="0" w:color="auto"/>
              <w:right w:val="nil"/>
            </w:tcBorders>
          </w:tcPr>
          <w:p w14:paraId="51E8103E"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72</w:t>
            </w:r>
            <w:r w:rsidRPr="00BA6733">
              <w:rPr>
                <w:rFonts w:asciiTheme="majorHAnsi" w:hAnsiTheme="majorHAnsi" w:cs="Arial"/>
                <w:sz w:val="20"/>
                <w:szCs w:val="20"/>
              </w:rPr>
              <w:t xml:space="preserve"> (</w:t>
            </w:r>
            <w:r>
              <w:rPr>
                <w:rFonts w:asciiTheme="majorHAnsi" w:hAnsiTheme="majorHAnsi" w:cs="Arial"/>
                <w:sz w:val="20"/>
                <w:szCs w:val="20"/>
              </w:rPr>
              <w:t>29.6</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4EC3FB8E"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w:t>
            </w:r>
            <w:r w:rsidRPr="00BA6733">
              <w:rPr>
                <w:rFonts w:asciiTheme="majorHAnsi" w:hAnsiTheme="majorHAnsi" w:cs="Arial"/>
                <w:sz w:val="20"/>
                <w:szCs w:val="20"/>
              </w:rPr>
              <w:t xml:space="preserve"> (</w:t>
            </w:r>
            <w:r>
              <w:rPr>
                <w:rFonts w:asciiTheme="majorHAnsi" w:hAnsiTheme="majorHAnsi" w:cs="Arial"/>
                <w:sz w:val="20"/>
                <w:szCs w:val="20"/>
              </w:rPr>
              <w:t>16.1</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4F96590B"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87</w:t>
            </w:r>
            <w:r w:rsidRPr="00BA6733">
              <w:rPr>
                <w:rFonts w:asciiTheme="majorHAnsi" w:hAnsiTheme="majorHAnsi" w:cs="Arial"/>
                <w:sz w:val="20"/>
                <w:szCs w:val="20"/>
              </w:rPr>
              <w:t xml:space="preserve"> (</w:t>
            </w:r>
            <w:r>
              <w:rPr>
                <w:rFonts w:asciiTheme="majorHAnsi" w:hAnsiTheme="majorHAnsi" w:cs="Arial"/>
                <w:sz w:val="20"/>
                <w:szCs w:val="20"/>
              </w:rPr>
              <w:t>56.1</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55E2C865" w14:textId="77777777" w:rsidR="005B2B10" w:rsidRPr="00D51598"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212</w:t>
            </w:r>
            <w:r w:rsidRPr="00BA6733">
              <w:rPr>
                <w:rFonts w:asciiTheme="majorHAnsi" w:hAnsiTheme="majorHAnsi" w:cs="Arial"/>
                <w:sz w:val="20"/>
                <w:szCs w:val="20"/>
              </w:rPr>
              <w:t xml:space="preserve"> (</w:t>
            </w:r>
            <w:r>
              <w:rPr>
                <w:rFonts w:asciiTheme="majorHAnsi" w:hAnsiTheme="majorHAnsi" w:cs="Arial"/>
                <w:sz w:val="20"/>
                <w:szCs w:val="20"/>
              </w:rPr>
              <w:t>70.0</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782EBCE1" w14:textId="77777777" w:rsidR="005B2B10" w:rsidRPr="00E8529C" w:rsidRDefault="005B2B10" w:rsidP="00192949">
            <w:pPr>
              <w:spacing w:line="480" w:lineRule="auto"/>
              <w:jc w:val="center"/>
              <w:rPr>
                <w:rFonts w:asciiTheme="majorHAnsi" w:hAnsiTheme="majorHAnsi" w:cs="Arial"/>
                <w:b/>
                <w:bCs/>
                <w:i/>
                <w:iCs/>
                <w:color w:val="FF0000"/>
                <w:sz w:val="20"/>
                <w:szCs w:val="20"/>
              </w:rPr>
            </w:pPr>
          </w:p>
        </w:tc>
      </w:tr>
      <w:tr w:rsidR="005B2B10" w:rsidRPr="00E8529C" w14:paraId="1F8D6E42" w14:textId="77777777" w:rsidTr="00192949">
        <w:trPr>
          <w:trHeight w:val="163"/>
          <w:jc w:val="center"/>
        </w:trPr>
        <w:tc>
          <w:tcPr>
            <w:tcW w:w="1701" w:type="dxa"/>
            <w:vMerge w:val="restart"/>
            <w:tcBorders>
              <w:top w:val="single" w:sz="4" w:space="0" w:color="auto"/>
              <w:left w:val="nil"/>
              <w:right w:val="nil"/>
            </w:tcBorders>
            <w:vAlign w:val="center"/>
          </w:tcPr>
          <w:p w14:paraId="0AC89233"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Resection margin</w:t>
            </w:r>
          </w:p>
        </w:tc>
        <w:tc>
          <w:tcPr>
            <w:tcW w:w="2835" w:type="dxa"/>
            <w:tcBorders>
              <w:top w:val="single" w:sz="4" w:space="0" w:color="auto"/>
              <w:left w:val="nil"/>
              <w:bottom w:val="nil"/>
              <w:right w:val="nil"/>
            </w:tcBorders>
            <w:vAlign w:val="center"/>
          </w:tcPr>
          <w:p w14:paraId="4B9D6407"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R0</w:t>
            </w:r>
          </w:p>
        </w:tc>
        <w:tc>
          <w:tcPr>
            <w:tcW w:w="1276" w:type="dxa"/>
            <w:tcBorders>
              <w:top w:val="single" w:sz="4" w:space="0" w:color="auto"/>
              <w:left w:val="nil"/>
              <w:bottom w:val="nil"/>
              <w:right w:val="nil"/>
            </w:tcBorders>
          </w:tcPr>
          <w:p w14:paraId="70132E8A"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196</w:t>
            </w:r>
            <w:r w:rsidRPr="00BA6733">
              <w:rPr>
                <w:rFonts w:asciiTheme="majorHAnsi" w:hAnsiTheme="majorHAnsi" w:cs="Arial"/>
                <w:sz w:val="20"/>
                <w:szCs w:val="20"/>
              </w:rPr>
              <w:t xml:space="preserve"> (</w:t>
            </w:r>
            <w:r>
              <w:rPr>
                <w:rFonts w:asciiTheme="majorHAnsi" w:hAnsiTheme="majorHAnsi" w:cs="Arial"/>
                <w:sz w:val="20"/>
                <w:szCs w:val="20"/>
              </w:rPr>
              <w:t>80.7</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2AED67B5"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55</w:t>
            </w:r>
            <w:r w:rsidRPr="00BA6733">
              <w:rPr>
                <w:rFonts w:asciiTheme="majorHAnsi" w:hAnsiTheme="majorHAnsi" w:cs="Arial"/>
                <w:sz w:val="20"/>
                <w:szCs w:val="20"/>
              </w:rPr>
              <w:t xml:space="preserve"> (</w:t>
            </w:r>
            <w:r>
              <w:rPr>
                <w:rFonts w:asciiTheme="majorHAnsi" w:hAnsiTheme="majorHAnsi" w:cs="Arial"/>
                <w:sz w:val="20"/>
                <w:szCs w:val="20"/>
              </w:rPr>
              <w:t>88.7</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70B06317"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93</w:t>
            </w:r>
            <w:r w:rsidRPr="00BA6733">
              <w:rPr>
                <w:rFonts w:asciiTheme="majorHAnsi" w:hAnsiTheme="majorHAnsi" w:cs="Arial"/>
                <w:sz w:val="20"/>
                <w:szCs w:val="20"/>
              </w:rPr>
              <w:t xml:space="preserve"> (</w:t>
            </w:r>
            <w:r>
              <w:rPr>
                <w:rFonts w:asciiTheme="majorHAnsi" w:hAnsiTheme="majorHAnsi" w:cs="Arial"/>
                <w:sz w:val="20"/>
                <w:szCs w:val="20"/>
              </w:rPr>
              <w:t>60.0</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39D66F7A"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136</w:t>
            </w:r>
            <w:r w:rsidRPr="00BA6733">
              <w:rPr>
                <w:rFonts w:asciiTheme="majorHAnsi" w:hAnsiTheme="majorHAnsi" w:cs="Arial"/>
                <w:sz w:val="20"/>
                <w:szCs w:val="20"/>
              </w:rPr>
              <w:t xml:space="preserve"> (</w:t>
            </w:r>
            <w:r>
              <w:rPr>
                <w:rFonts w:asciiTheme="majorHAnsi" w:hAnsiTheme="majorHAnsi" w:cs="Arial"/>
                <w:sz w:val="20"/>
                <w:szCs w:val="20"/>
              </w:rPr>
              <w:t>44.9</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727F7A8D" w14:textId="77777777" w:rsidR="005B2B10" w:rsidRPr="00215777" w:rsidRDefault="005B2B10" w:rsidP="00192949">
            <w:pPr>
              <w:spacing w:line="480" w:lineRule="auto"/>
              <w:jc w:val="center"/>
              <w:rPr>
                <w:rFonts w:asciiTheme="majorHAnsi" w:hAnsiTheme="majorHAnsi" w:cs="Arial"/>
                <w:b/>
                <w:bCs/>
                <w:i/>
                <w:iCs/>
                <w:color w:val="FF0000"/>
                <w:sz w:val="20"/>
                <w:szCs w:val="20"/>
              </w:rPr>
            </w:pPr>
            <w:r w:rsidRPr="00215777">
              <w:rPr>
                <w:rFonts w:asciiTheme="majorHAnsi" w:hAnsiTheme="majorHAnsi" w:cs="Arial"/>
                <w:b/>
                <w:bCs/>
                <w:i/>
                <w:iCs/>
                <w:color w:val="FF0000"/>
                <w:sz w:val="20"/>
                <w:szCs w:val="20"/>
              </w:rPr>
              <w:t>p&lt;0.001</w:t>
            </w:r>
          </w:p>
        </w:tc>
      </w:tr>
      <w:tr w:rsidR="005B2B10" w:rsidRPr="00E8529C" w14:paraId="785EBDC5" w14:textId="77777777" w:rsidTr="00192949">
        <w:trPr>
          <w:trHeight w:val="163"/>
          <w:jc w:val="center"/>
        </w:trPr>
        <w:tc>
          <w:tcPr>
            <w:tcW w:w="1701" w:type="dxa"/>
            <w:vMerge/>
            <w:tcBorders>
              <w:left w:val="nil"/>
              <w:bottom w:val="single" w:sz="4" w:space="0" w:color="auto"/>
              <w:right w:val="nil"/>
            </w:tcBorders>
            <w:vAlign w:val="center"/>
          </w:tcPr>
          <w:p w14:paraId="0FCB9759"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1079DBBF"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R1</w:t>
            </w:r>
          </w:p>
        </w:tc>
        <w:tc>
          <w:tcPr>
            <w:tcW w:w="1276" w:type="dxa"/>
            <w:tcBorders>
              <w:top w:val="nil"/>
              <w:left w:val="nil"/>
              <w:bottom w:val="single" w:sz="4" w:space="0" w:color="auto"/>
              <w:right w:val="nil"/>
            </w:tcBorders>
          </w:tcPr>
          <w:p w14:paraId="2DEFDA85"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47</w:t>
            </w:r>
            <w:r w:rsidRPr="00BA6733">
              <w:rPr>
                <w:rFonts w:asciiTheme="majorHAnsi" w:hAnsiTheme="majorHAnsi" w:cs="Arial"/>
                <w:sz w:val="20"/>
                <w:szCs w:val="20"/>
              </w:rPr>
              <w:t xml:space="preserve"> (</w:t>
            </w:r>
            <w:r>
              <w:rPr>
                <w:rFonts w:asciiTheme="majorHAnsi" w:hAnsiTheme="majorHAnsi" w:cs="Arial"/>
                <w:sz w:val="20"/>
                <w:szCs w:val="20"/>
              </w:rPr>
              <w:t>19.3</w:t>
            </w:r>
            <w:r w:rsidRPr="00BA6733">
              <w:rPr>
                <w:rFonts w:asciiTheme="majorHAnsi" w:hAnsiTheme="majorHAnsi" w:cs="Arial"/>
                <w:sz w:val="20"/>
                <w:szCs w:val="20"/>
              </w:rPr>
              <w:t>%)</w:t>
            </w:r>
          </w:p>
        </w:tc>
        <w:tc>
          <w:tcPr>
            <w:tcW w:w="1276" w:type="dxa"/>
            <w:tcBorders>
              <w:top w:val="nil"/>
              <w:left w:val="nil"/>
              <w:bottom w:val="single" w:sz="4" w:space="0" w:color="auto"/>
              <w:right w:val="nil"/>
            </w:tcBorders>
          </w:tcPr>
          <w:p w14:paraId="659EF9A1"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w:t>
            </w:r>
            <w:r w:rsidRPr="00BA6733">
              <w:rPr>
                <w:rFonts w:asciiTheme="majorHAnsi" w:hAnsiTheme="majorHAnsi" w:cs="Arial"/>
                <w:sz w:val="20"/>
                <w:szCs w:val="20"/>
              </w:rPr>
              <w:t xml:space="preserve"> (</w:t>
            </w:r>
            <w:r>
              <w:rPr>
                <w:rFonts w:asciiTheme="majorHAnsi" w:hAnsiTheme="majorHAnsi" w:cs="Arial"/>
                <w:sz w:val="20"/>
                <w:szCs w:val="20"/>
              </w:rPr>
              <w:t>11.3</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1EDB831C"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62</w:t>
            </w:r>
            <w:r w:rsidRPr="00BA6733">
              <w:rPr>
                <w:rFonts w:asciiTheme="majorHAnsi" w:hAnsiTheme="majorHAnsi" w:cs="Arial"/>
                <w:sz w:val="20"/>
                <w:szCs w:val="20"/>
              </w:rPr>
              <w:t xml:space="preserve"> (</w:t>
            </w:r>
            <w:r>
              <w:rPr>
                <w:rFonts w:asciiTheme="majorHAnsi" w:hAnsiTheme="majorHAnsi" w:cs="Arial"/>
                <w:sz w:val="20"/>
                <w:szCs w:val="20"/>
              </w:rPr>
              <w:t>40.0</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6641990B"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167</w:t>
            </w:r>
            <w:r w:rsidRPr="00BA6733">
              <w:rPr>
                <w:rFonts w:asciiTheme="majorHAnsi" w:hAnsiTheme="majorHAnsi" w:cs="Arial"/>
                <w:sz w:val="20"/>
                <w:szCs w:val="20"/>
              </w:rPr>
              <w:t xml:space="preserve"> (</w:t>
            </w:r>
            <w:r>
              <w:rPr>
                <w:rFonts w:asciiTheme="majorHAnsi" w:hAnsiTheme="majorHAnsi" w:cs="Arial"/>
                <w:sz w:val="20"/>
                <w:szCs w:val="20"/>
              </w:rPr>
              <w:t>55.1</w:t>
            </w:r>
            <w:r w:rsidRPr="00BA6733">
              <w:rPr>
                <w:rFonts w:asciiTheme="majorHAnsi" w:hAnsiTheme="majorHAnsi" w:cs="Arial"/>
                <w:sz w:val="20"/>
                <w:szCs w:val="20"/>
              </w:rPr>
              <w:t>%)</w:t>
            </w:r>
          </w:p>
        </w:tc>
        <w:tc>
          <w:tcPr>
            <w:tcW w:w="1134" w:type="dxa"/>
            <w:vMerge/>
            <w:tcBorders>
              <w:left w:val="nil"/>
              <w:bottom w:val="single" w:sz="4" w:space="0" w:color="auto"/>
              <w:right w:val="nil"/>
            </w:tcBorders>
            <w:vAlign w:val="center"/>
          </w:tcPr>
          <w:p w14:paraId="7D992CF5" w14:textId="77777777" w:rsidR="005B2B10" w:rsidRPr="00E8529C" w:rsidRDefault="005B2B10" w:rsidP="00192949">
            <w:pPr>
              <w:spacing w:line="480" w:lineRule="auto"/>
              <w:jc w:val="center"/>
              <w:rPr>
                <w:rFonts w:asciiTheme="majorHAnsi" w:hAnsiTheme="majorHAnsi" w:cs="Arial"/>
                <w:b/>
                <w:bCs/>
                <w:i/>
                <w:iCs/>
                <w:sz w:val="20"/>
                <w:szCs w:val="20"/>
              </w:rPr>
            </w:pPr>
          </w:p>
        </w:tc>
      </w:tr>
      <w:tr w:rsidR="005B2B10" w:rsidRPr="00E8529C" w14:paraId="277D6247" w14:textId="77777777" w:rsidTr="00192949">
        <w:trPr>
          <w:trHeight w:val="163"/>
          <w:jc w:val="center"/>
        </w:trPr>
        <w:tc>
          <w:tcPr>
            <w:tcW w:w="1701" w:type="dxa"/>
            <w:vMerge w:val="restart"/>
            <w:tcBorders>
              <w:top w:val="single" w:sz="4" w:space="0" w:color="auto"/>
              <w:left w:val="nil"/>
              <w:right w:val="nil"/>
            </w:tcBorders>
            <w:vAlign w:val="center"/>
          </w:tcPr>
          <w:p w14:paraId="65A317B0"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Recurrence</w:t>
            </w:r>
          </w:p>
        </w:tc>
        <w:tc>
          <w:tcPr>
            <w:tcW w:w="2835" w:type="dxa"/>
            <w:tcBorders>
              <w:top w:val="single" w:sz="4" w:space="0" w:color="auto"/>
              <w:left w:val="nil"/>
              <w:bottom w:val="nil"/>
              <w:right w:val="nil"/>
            </w:tcBorders>
            <w:vAlign w:val="center"/>
          </w:tcPr>
          <w:p w14:paraId="3CD0B525"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No recurrence</w:t>
            </w:r>
          </w:p>
        </w:tc>
        <w:tc>
          <w:tcPr>
            <w:tcW w:w="1276" w:type="dxa"/>
            <w:tcBorders>
              <w:top w:val="single" w:sz="4" w:space="0" w:color="auto"/>
              <w:left w:val="nil"/>
              <w:bottom w:val="nil"/>
              <w:right w:val="nil"/>
            </w:tcBorders>
          </w:tcPr>
          <w:p w14:paraId="2DC23019"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187</w:t>
            </w:r>
            <w:r w:rsidRPr="00BA6733">
              <w:rPr>
                <w:rFonts w:asciiTheme="majorHAnsi" w:hAnsiTheme="majorHAnsi" w:cs="Arial"/>
                <w:sz w:val="20"/>
                <w:szCs w:val="20"/>
              </w:rPr>
              <w:t xml:space="preserve"> (</w:t>
            </w:r>
            <w:r>
              <w:rPr>
                <w:rFonts w:asciiTheme="majorHAnsi" w:hAnsiTheme="majorHAnsi" w:cs="Arial"/>
                <w:sz w:val="20"/>
                <w:szCs w:val="20"/>
              </w:rPr>
              <w:t>77.0</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0DBBF8E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50</w:t>
            </w:r>
            <w:r w:rsidRPr="00BA6733">
              <w:rPr>
                <w:rFonts w:asciiTheme="majorHAnsi" w:hAnsiTheme="majorHAnsi" w:cs="Arial"/>
                <w:sz w:val="20"/>
                <w:szCs w:val="20"/>
              </w:rPr>
              <w:t xml:space="preserve"> (</w:t>
            </w:r>
            <w:r>
              <w:rPr>
                <w:rFonts w:asciiTheme="majorHAnsi" w:hAnsiTheme="majorHAnsi" w:cs="Arial"/>
                <w:sz w:val="20"/>
                <w:szCs w:val="20"/>
              </w:rPr>
              <w:t>80.6</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7F47F31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77</w:t>
            </w:r>
            <w:r w:rsidRPr="00BA6733">
              <w:rPr>
                <w:rFonts w:asciiTheme="majorHAnsi" w:hAnsiTheme="majorHAnsi" w:cs="Arial"/>
                <w:sz w:val="20"/>
                <w:szCs w:val="20"/>
              </w:rPr>
              <w:t xml:space="preserve"> (</w:t>
            </w:r>
            <w:r>
              <w:rPr>
                <w:rFonts w:asciiTheme="majorHAnsi" w:hAnsiTheme="majorHAnsi" w:cs="Arial"/>
                <w:sz w:val="20"/>
                <w:szCs w:val="20"/>
              </w:rPr>
              <w:t>49.7</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06454593"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101</w:t>
            </w:r>
            <w:r w:rsidRPr="00BA6733">
              <w:rPr>
                <w:rFonts w:asciiTheme="majorHAnsi" w:hAnsiTheme="majorHAnsi" w:cs="Arial"/>
                <w:sz w:val="20"/>
                <w:szCs w:val="20"/>
              </w:rPr>
              <w:t xml:space="preserve"> (</w:t>
            </w:r>
            <w:r>
              <w:rPr>
                <w:rFonts w:asciiTheme="majorHAnsi" w:hAnsiTheme="majorHAnsi" w:cs="Arial"/>
                <w:sz w:val="20"/>
                <w:szCs w:val="20"/>
              </w:rPr>
              <w:t>33.3</w:t>
            </w:r>
            <w:r w:rsidRPr="00BA6733">
              <w:rPr>
                <w:rFonts w:asciiTheme="majorHAnsi" w:hAnsiTheme="majorHAnsi" w:cs="Arial"/>
                <w:sz w:val="20"/>
                <w:szCs w:val="20"/>
              </w:rPr>
              <w:t>%)</w:t>
            </w:r>
          </w:p>
        </w:tc>
        <w:tc>
          <w:tcPr>
            <w:tcW w:w="1134" w:type="dxa"/>
            <w:vMerge w:val="restart"/>
            <w:tcBorders>
              <w:top w:val="single" w:sz="4" w:space="0" w:color="auto"/>
              <w:left w:val="nil"/>
              <w:bottom w:val="nil"/>
              <w:right w:val="nil"/>
            </w:tcBorders>
            <w:vAlign w:val="center"/>
          </w:tcPr>
          <w:p w14:paraId="2A8ABCE5" w14:textId="77777777" w:rsidR="005B2B10" w:rsidRPr="00215777" w:rsidRDefault="005B2B10" w:rsidP="00192949">
            <w:pPr>
              <w:spacing w:line="480" w:lineRule="auto"/>
              <w:jc w:val="center"/>
              <w:rPr>
                <w:rFonts w:asciiTheme="majorHAnsi" w:hAnsiTheme="majorHAnsi" w:cs="Arial"/>
                <w:b/>
                <w:bCs/>
                <w:i/>
                <w:iCs/>
                <w:sz w:val="20"/>
                <w:szCs w:val="20"/>
              </w:rPr>
            </w:pPr>
            <w:r w:rsidRPr="00215777">
              <w:rPr>
                <w:rFonts w:asciiTheme="majorHAnsi" w:hAnsiTheme="majorHAnsi" w:cs="Arial"/>
                <w:b/>
                <w:bCs/>
                <w:i/>
                <w:iCs/>
                <w:color w:val="FF0000"/>
                <w:sz w:val="20"/>
                <w:szCs w:val="20"/>
              </w:rPr>
              <w:t>p&lt;0.001</w:t>
            </w:r>
          </w:p>
        </w:tc>
      </w:tr>
      <w:tr w:rsidR="005B2B10" w:rsidRPr="00E8529C" w14:paraId="1DA4BA76" w14:textId="77777777" w:rsidTr="00192949">
        <w:trPr>
          <w:trHeight w:val="163"/>
          <w:jc w:val="center"/>
        </w:trPr>
        <w:tc>
          <w:tcPr>
            <w:tcW w:w="1701" w:type="dxa"/>
            <w:vMerge/>
            <w:tcBorders>
              <w:left w:val="nil"/>
              <w:right w:val="nil"/>
            </w:tcBorders>
            <w:vAlign w:val="center"/>
          </w:tcPr>
          <w:p w14:paraId="10300368"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1CFF5672"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Any recurrence</w:t>
            </w:r>
          </w:p>
        </w:tc>
        <w:tc>
          <w:tcPr>
            <w:tcW w:w="1276" w:type="dxa"/>
            <w:tcBorders>
              <w:top w:val="nil"/>
              <w:left w:val="nil"/>
              <w:bottom w:val="nil"/>
              <w:right w:val="nil"/>
            </w:tcBorders>
          </w:tcPr>
          <w:p w14:paraId="0AA4069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56</w:t>
            </w:r>
            <w:r w:rsidRPr="00BA6733">
              <w:rPr>
                <w:rFonts w:asciiTheme="majorHAnsi" w:hAnsiTheme="majorHAnsi" w:cs="Arial"/>
                <w:sz w:val="20"/>
                <w:szCs w:val="20"/>
              </w:rPr>
              <w:t xml:space="preserve"> (</w:t>
            </w:r>
            <w:r>
              <w:rPr>
                <w:rFonts w:asciiTheme="majorHAnsi" w:hAnsiTheme="majorHAnsi" w:cs="Arial"/>
                <w:sz w:val="20"/>
                <w:szCs w:val="20"/>
              </w:rPr>
              <w:t>23.0</w:t>
            </w:r>
            <w:r w:rsidRPr="00BA6733">
              <w:rPr>
                <w:rFonts w:asciiTheme="majorHAnsi" w:hAnsiTheme="majorHAnsi" w:cs="Arial"/>
                <w:sz w:val="20"/>
                <w:szCs w:val="20"/>
              </w:rPr>
              <w:t>%)</w:t>
            </w:r>
          </w:p>
        </w:tc>
        <w:tc>
          <w:tcPr>
            <w:tcW w:w="1276" w:type="dxa"/>
            <w:tcBorders>
              <w:top w:val="nil"/>
              <w:left w:val="nil"/>
              <w:bottom w:val="nil"/>
              <w:right w:val="nil"/>
            </w:tcBorders>
          </w:tcPr>
          <w:p w14:paraId="519DAB0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w:t>
            </w:r>
            <w:r w:rsidRPr="00BA6733">
              <w:rPr>
                <w:rFonts w:asciiTheme="majorHAnsi" w:hAnsiTheme="majorHAnsi" w:cs="Arial"/>
                <w:sz w:val="20"/>
                <w:szCs w:val="20"/>
              </w:rPr>
              <w:t xml:space="preserve"> (</w:t>
            </w:r>
            <w:r>
              <w:rPr>
                <w:rFonts w:asciiTheme="majorHAnsi" w:hAnsiTheme="majorHAnsi" w:cs="Arial"/>
                <w:sz w:val="20"/>
                <w:szCs w:val="20"/>
              </w:rPr>
              <w:t>19.4</w:t>
            </w:r>
            <w:r w:rsidRPr="00BA6733">
              <w:rPr>
                <w:rFonts w:asciiTheme="majorHAnsi" w:hAnsiTheme="majorHAnsi" w:cs="Arial"/>
                <w:sz w:val="20"/>
                <w:szCs w:val="20"/>
              </w:rPr>
              <w:t>%)</w:t>
            </w:r>
          </w:p>
        </w:tc>
        <w:tc>
          <w:tcPr>
            <w:tcW w:w="1559" w:type="dxa"/>
            <w:tcBorders>
              <w:top w:val="nil"/>
              <w:left w:val="nil"/>
              <w:bottom w:val="nil"/>
              <w:right w:val="nil"/>
            </w:tcBorders>
          </w:tcPr>
          <w:p w14:paraId="28B6A254"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78</w:t>
            </w:r>
            <w:r w:rsidRPr="00BA6733">
              <w:rPr>
                <w:rFonts w:asciiTheme="majorHAnsi" w:hAnsiTheme="majorHAnsi" w:cs="Arial"/>
                <w:sz w:val="20"/>
                <w:szCs w:val="20"/>
              </w:rPr>
              <w:t xml:space="preserve"> (</w:t>
            </w:r>
            <w:r>
              <w:rPr>
                <w:rFonts w:asciiTheme="majorHAnsi" w:hAnsiTheme="majorHAnsi" w:cs="Arial"/>
                <w:sz w:val="20"/>
                <w:szCs w:val="20"/>
              </w:rPr>
              <w:t>50.3</w:t>
            </w:r>
            <w:r w:rsidRPr="00BA6733">
              <w:rPr>
                <w:rFonts w:asciiTheme="majorHAnsi" w:hAnsiTheme="majorHAnsi" w:cs="Arial"/>
                <w:sz w:val="20"/>
                <w:szCs w:val="20"/>
              </w:rPr>
              <w:t>%)</w:t>
            </w:r>
          </w:p>
        </w:tc>
        <w:tc>
          <w:tcPr>
            <w:tcW w:w="1418" w:type="dxa"/>
            <w:tcBorders>
              <w:top w:val="nil"/>
              <w:left w:val="nil"/>
              <w:bottom w:val="nil"/>
              <w:right w:val="nil"/>
            </w:tcBorders>
          </w:tcPr>
          <w:p w14:paraId="017E3D3F"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202</w:t>
            </w:r>
            <w:r w:rsidRPr="00BA6733">
              <w:rPr>
                <w:rFonts w:asciiTheme="majorHAnsi" w:hAnsiTheme="majorHAnsi" w:cs="Arial"/>
                <w:sz w:val="20"/>
                <w:szCs w:val="20"/>
              </w:rPr>
              <w:t xml:space="preserve"> (</w:t>
            </w:r>
            <w:r>
              <w:rPr>
                <w:rFonts w:asciiTheme="majorHAnsi" w:hAnsiTheme="majorHAnsi" w:cs="Arial"/>
                <w:sz w:val="20"/>
                <w:szCs w:val="20"/>
              </w:rPr>
              <w:t>66.7</w:t>
            </w:r>
            <w:r w:rsidRPr="00BA6733">
              <w:rPr>
                <w:rFonts w:asciiTheme="majorHAnsi" w:hAnsiTheme="majorHAnsi" w:cs="Arial"/>
                <w:sz w:val="20"/>
                <w:szCs w:val="20"/>
              </w:rPr>
              <w:t>%)</w:t>
            </w:r>
          </w:p>
        </w:tc>
        <w:tc>
          <w:tcPr>
            <w:tcW w:w="1134" w:type="dxa"/>
            <w:vMerge/>
            <w:tcBorders>
              <w:top w:val="nil"/>
              <w:left w:val="nil"/>
              <w:bottom w:val="nil"/>
              <w:right w:val="nil"/>
            </w:tcBorders>
            <w:vAlign w:val="center"/>
          </w:tcPr>
          <w:p w14:paraId="63004D5C" w14:textId="77777777" w:rsidR="005B2B10" w:rsidRPr="00E8529C" w:rsidRDefault="005B2B10" w:rsidP="00192949">
            <w:pPr>
              <w:spacing w:line="480" w:lineRule="auto"/>
              <w:jc w:val="center"/>
              <w:rPr>
                <w:rFonts w:asciiTheme="majorHAnsi" w:hAnsiTheme="majorHAnsi" w:cs="Arial"/>
                <w:b/>
                <w:bCs/>
                <w:color w:val="FF0000"/>
                <w:sz w:val="20"/>
                <w:szCs w:val="20"/>
              </w:rPr>
            </w:pPr>
          </w:p>
        </w:tc>
      </w:tr>
      <w:tr w:rsidR="005B2B10" w:rsidRPr="00E8529C" w14:paraId="1D50AC53" w14:textId="77777777" w:rsidTr="00192949">
        <w:trPr>
          <w:trHeight w:val="163"/>
          <w:jc w:val="center"/>
        </w:trPr>
        <w:tc>
          <w:tcPr>
            <w:tcW w:w="1701" w:type="dxa"/>
            <w:vMerge/>
            <w:tcBorders>
              <w:left w:val="nil"/>
              <w:right w:val="nil"/>
            </w:tcBorders>
            <w:vAlign w:val="center"/>
          </w:tcPr>
          <w:p w14:paraId="5391FF5B"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22FE32A2" w14:textId="77777777" w:rsidR="005B2B10" w:rsidRPr="00DA307B" w:rsidRDefault="005B2B10" w:rsidP="00192949">
            <w:pPr>
              <w:spacing w:line="360" w:lineRule="auto"/>
              <w:rPr>
                <w:rFonts w:asciiTheme="majorHAnsi" w:hAnsiTheme="majorHAnsi" w:cs="Arial"/>
                <w:i/>
                <w:iCs/>
                <w:sz w:val="20"/>
                <w:szCs w:val="20"/>
              </w:rPr>
            </w:pPr>
            <w:r>
              <w:rPr>
                <w:rFonts w:asciiTheme="majorHAnsi" w:hAnsiTheme="majorHAnsi" w:cs="Arial"/>
                <w:i/>
                <w:iCs/>
                <w:sz w:val="20"/>
                <w:szCs w:val="20"/>
              </w:rPr>
              <w:t xml:space="preserve">     </w:t>
            </w:r>
            <w:r w:rsidRPr="00DA307B">
              <w:rPr>
                <w:rFonts w:asciiTheme="majorHAnsi" w:hAnsiTheme="majorHAnsi" w:cs="Arial"/>
                <w:i/>
                <w:iCs/>
                <w:sz w:val="20"/>
                <w:szCs w:val="20"/>
              </w:rPr>
              <w:t>Loc</w:t>
            </w:r>
            <w:r>
              <w:rPr>
                <w:rFonts w:asciiTheme="majorHAnsi" w:hAnsiTheme="majorHAnsi" w:cs="Arial"/>
                <w:i/>
                <w:iCs/>
                <w:sz w:val="20"/>
                <w:szCs w:val="20"/>
              </w:rPr>
              <w:t>oregional</w:t>
            </w:r>
            <w:r w:rsidRPr="00DA307B">
              <w:rPr>
                <w:rFonts w:asciiTheme="majorHAnsi" w:hAnsiTheme="majorHAnsi" w:cs="Arial"/>
                <w:i/>
                <w:iCs/>
                <w:sz w:val="20"/>
                <w:szCs w:val="20"/>
              </w:rPr>
              <w:t xml:space="preserve"> recurrence</w:t>
            </w:r>
          </w:p>
        </w:tc>
        <w:tc>
          <w:tcPr>
            <w:tcW w:w="1276" w:type="dxa"/>
            <w:tcBorders>
              <w:top w:val="nil"/>
              <w:left w:val="nil"/>
              <w:bottom w:val="nil"/>
              <w:right w:val="nil"/>
            </w:tcBorders>
          </w:tcPr>
          <w:p w14:paraId="0CE92BE6"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 (3.7%)</w:t>
            </w:r>
          </w:p>
        </w:tc>
        <w:tc>
          <w:tcPr>
            <w:tcW w:w="1276" w:type="dxa"/>
            <w:tcBorders>
              <w:top w:val="nil"/>
              <w:left w:val="nil"/>
              <w:bottom w:val="nil"/>
              <w:right w:val="nil"/>
            </w:tcBorders>
          </w:tcPr>
          <w:p w14:paraId="6845CF20"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 (3.2%)</w:t>
            </w:r>
          </w:p>
        </w:tc>
        <w:tc>
          <w:tcPr>
            <w:tcW w:w="1559" w:type="dxa"/>
            <w:tcBorders>
              <w:top w:val="nil"/>
              <w:left w:val="nil"/>
              <w:bottom w:val="nil"/>
              <w:right w:val="nil"/>
            </w:tcBorders>
          </w:tcPr>
          <w:p w14:paraId="5927DDC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11 (7.1%)</w:t>
            </w:r>
          </w:p>
        </w:tc>
        <w:tc>
          <w:tcPr>
            <w:tcW w:w="1418" w:type="dxa"/>
            <w:tcBorders>
              <w:top w:val="nil"/>
              <w:left w:val="nil"/>
              <w:bottom w:val="nil"/>
              <w:right w:val="nil"/>
            </w:tcBorders>
          </w:tcPr>
          <w:p w14:paraId="697435B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23 (7.6%)</w:t>
            </w:r>
          </w:p>
        </w:tc>
        <w:tc>
          <w:tcPr>
            <w:tcW w:w="1134" w:type="dxa"/>
            <w:tcBorders>
              <w:top w:val="nil"/>
              <w:left w:val="nil"/>
              <w:bottom w:val="nil"/>
              <w:right w:val="nil"/>
            </w:tcBorders>
            <w:vAlign w:val="center"/>
          </w:tcPr>
          <w:p w14:paraId="2A3DBB8C" w14:textId="77777777" w:rsidR="005B2B10" w:rsidRPr="00E8529C" w:rsidRDefault="005B2B10" w:rsidP="00192949">
            <w:pPr>
              <w:spacing w:line="480" w:lineRule="auto"/>
              <w:jc w:val="center"/>
              <w:rPr>
                <w:rFonts w:asciiTheme="majorHAnsi" w:hAnsiTheme="majorHAnsi" w:cs="Arial"/>
                <w:b/>
                <w:bCs/>
                <w:color w:val="FF0000"/>
                <w:sz w:val="20"/>
                <w:szCs w:val="20"/>
              </w:rPr>
            </w:pPr>
          </w:p>
        </w:tc>
      </w:tr>
      <w:tr w:rsidR="005B2B10" w:rsidRPr="00E8529C" w14:paraId="07F7CF14" w14:textId="77777777" w:rsidTr="00192949">
        <w:trPr>
          <w:trHeight w:val="163"/>
          <w:jc w:val="center"/>
        </w:trPr>
        <w:tc>
          <w:tcPr>
            <w:tcW w:w="1701" w:type="dxa"/>
            <w:vMerge/>
            <w:tcBorders>
              <w:left w:val="nil"/>
              <w:right w:val="nil"/>
            </w:tcBorders>
            <w:vAlign w:val="center"/>
          </w:tcPr>
          <w:p w14:paraId="3AEFA40D"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16754D88" w14:textId="77777777" w:rsidR="005B2B10" w:rsidRPr="00DA307B" w:rsidRDefault="005B2B10" w:rsidP="00192949">
            <w:pPr>
              <w:spacing w:line="360" w:lineRule="auto"/>
              <w:rPr>
                <w:rFonts w:asciiTheme="majorHAnsi" w:hAnsiTheme="majorHAnsi" w:cs="Arial"/>
                <w:i/>
                <w:iCs/>
                <w:sz w:val="20"/>
                <w:szCs w:val="20"/>
              </w:rPr>
            </w:pPr>
            <w:r>
              <w:rPr>
                <w:rFonts w:asciiTheme="majorHAnsi" w:hAnsiTheme="majorHAnsi" w:cs="Arial"/>
                <w:i/>
                <w:iCs/>
                <w:sz w:val="20"/>
                <w:szCs w:val="20"/>
              </w:rPr>
              <w:t xml:space="preserve">     </w:t>
            </w:r>
            <w:r w:rsidRPr="00DA307B">
              <w:rPr>
                <w:rFonts w:asciiTheme="majorHAnsi" w:hAnsiTheme="majorHAnsi" w:cs="Arial"/>
                <w:i/>
                <w:iCs/>
                <w:sz w:val="20"/>
                <w:szCs w:val="20"/>
              </w:rPr>
              <w:t>Systemic recurrence</w:t>
            </w:r>
          </w:p>
        </w:tc>
        <w:tc>
          <w:tcPr>
            <w:tcW w:w="1276" w:type="dxa"/>
            <w:tcBorders>
              <w:top w:val="nil"/>
              <w:left w:val="nil"/>
              <w:bottom w:val="nil"/>
              <w:right w:val="nil"/>
            </w:tcBorders>
          </w:tcPr>
          <w:p w14:paraId="2D2C26D6"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16 (6.6%)</w:t>
            </w:r>
          </w:p>
        </w:tc>
        <w:tc>
          <w:tcPr>
            <w:tcW w:w="1276" w:type="dxa"/>
            <w:tcBorders>
              <w:top w:val="nil"/>
              <w:left w:val="nil"/>
              <w:bottom w:val="nil"/>
              <w:right w:val="nil"/>
            </w:tcBorders>
          </w:tcPr>
          <w:p w14:paraId="11DA9DB6"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 (3.2%)</w:t>
            </w:r>
          </w:p>
        </w:tc>
        <w:tc>
          <w:tcPr>
            <w:tcW w:w="1559" w:type="dxa"/>
            <w:tcBorders>
              <w:top w:val="nil"/>
              <w:left w:val="nil"/>
              <w:bottom w:val="nil"/>
              <w:right w:val="nil"/>
            </w:tcBorders>
          </w:tcPr>
          <w:p w14:paraId="0AE10AEA"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30 (19.4%)</w:t>
            </w:r>
          </w:p>
        </w:tc>
        <w:tc>
          <w:tcPr>
            <w:tcW w:w="1418" w:type="dxa"/>
            <w:tcBorders>
              <w:top w:val="nil"/>
              <w:left w:val="nil"/>
              <w:bottom w:val="nil"/>
              <w:right w:val="nil"/>
            </w:tcBorders>
          </w:tcPr>
          <w:p w14:paraId="766C648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80 (26.4%)</w:t>
            </w:r>
          </w:p>
        </w:tc>
        <w:tc>
          <w:tcPr>
            <w:tcW w:w="1134" w:type="dxa"/>
            <w:tcBorders>
              <w:top w:val="nil"/>
              <w:left w:val="nil"/>
              <w:bottom w:val="nil"/>
              <w:right w:val="nil"/>
            </w:tcBorders>
            <w:vAlign w:val="center"/>
          </w:tcPr>
          <w:p w14:paraId="3759B815" w14:textId="77777777" w:rsidR="005B2B10" w:rsidRPr="00E8529C" w:rsidRDefault="005B2B10" w:rsidP="00192949">
            <w:pPr>
              <w:spacing w:line="480" w:lineRule="auto"/>
              <w:jc w:val="center"/>
              <w:rPr>
                <w:rFonts w:asciiTheme="majorHAnsi" w:hAnsiTheme="majorHAnsi" w:cs="Arial"/>
                <w:b/>
                <w:bCs/>
                <w:color w:val="FF0000"/>
                <w:sz w:val="20"/>
                <w:szCs w:val="20"/>
              </w:rPr>
            </w:pPr>
          </w:p>
        </w:tc>
      </w:tr>
      <w:tr w:rsidR="005B2B10" w:rsidRPr="00E8529C" w14:paraId="56CCDD68" w14:textId="77777777" w:rsidTr="00192949">
        <w:trPr>
          <w:trHeight w:val="163"/>
          <w:jc w:val="center"/>
        </w:trPr>
        <w:tc>
          <w:tcPr>
            <w:tcW w:w="1701" w:type="dxa"/>
            <w:vMerge/>
            <w:tcBorders>
              <w:left w:val="nil"/>
              <w:right w:val="nil"/>
            </w:tcBorders>
            <w:vAlign w:val="center"/>
          </w:tcPr>
          <w:p w14:paraId="48CFF6C0"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nil"/>
              <w:right w:val="nil"/>
            </w:tcBorders>
            <w:vAlign w:val="center"/>
          </w:tcPr>
          <w:p w14:paraId="6D39FE56" w14:textId="77777777" w:rsidR="005B2B10" w:rsidRPr="00DA307B" w:rsidRDefault="005B2B10" w:rsidP="00192949">
            <w:pPr>
              <w:spacing w:line="360" w:lineRule="auto"/>
              <w:rPr>
                <w:rFonts w:asciiTheme="majorHAnsi" w:hAnsiTheme="majorHAnsi" w:cs="Arial"/>
                <w:i/>
                <w:iCs/>
                <w:sz w:val="20"/>
                <w:szCs w:val="20"/>
              </w:rPr>
            </w:pPr>
            <w:r>
              <w:rPr>
                <w:rFonts w:asciiTheme="majorHAnsi" w:hAnsiTheme="majorHAnsi" w:cs="Arial"/>
                <w:i/>
                <w:iCs/>
                <w:sz w:val="20"/>
                <w:szCs w:val="20"/>
              </w:rPr>
              <w:t xml:space="preserve">     </w:t>
            </w:r>
            <w:r w:rsidRPr="00DA307B">
              <w:rPr>
                <w:rFonts w:asciiTheme="majorHAnsi" w:hAnsiTheme="majorHAnsi" w:cs="Arial"/>
                <w:i/>
                <w:iCs/>
                <w:sz w:val="20"/>
                <w:szCs w:val="20"/>
              </w:rPr>
              <w:t>Mixed recurrence</w:t>
            </w:r>
          </w:p>
        </w:tc>
        <w:tc>
          <w:tcPr>
            <w:tcW w:w="1276" w:type="dxa"/>
            <w:tcBorders>
              <w:top w:val="nil"/>
              <w:left w:val="nil"/>
              <w:bottom w:val="nil"/>
              <w:right w:val="nil"/>
            </w:tcBorders>
          </w:tcPr>
          <w:p w14:paraId="64DF1A3B"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12 (4.9%)</w:t>
            </w:r>
          </w:p>
        </w:tc>
        <w:tc>
          <w:tcPr>
            <w:tcW w:w="1276" w:type="dxa"/>
            <w:tcBorders>
              <w:top w:val="nil"/>
              <w:left w:val="nil"/>
              <w:bottom w:val="nil"/>
              <w:right w:val="nil"/>
            </w:tcBorders>
          </w:tcPr>
          <w:p w14:paraId="5DFE4656"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 (4.8%)</w:t>
            </w:r>
          </w:p>
        </w:tc>
        <w:tc>
          <w:tcPr>
            <w:tcW w:w="1559" w:type="dxa"/>
            <w:tcBorders>
              <w:top w:val="nil"/>
              <w:left w:val="nil"/>
              <w:bottom w:val="nil"/>
              <w:right w:val="nil"/>
            </w:tcBorders>
          </w:tcPr>
          <w:p w14:paraId="7EDD4993"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18 (11.6%)</w:t>
            </w:r>
          </w:p>
        </w:tc>
        <w:tc>
          <w:tcPr>
            <w:tcW w:w="1418" w:type="dxa"/>
            <w:tcBorders>
              <w:top w:val="nil"/>
              <w:left w:val="nil"/>
              <w:bottom w:val="nil"/>
              <w:right w:val="nil"/>
            </w:tcBorders>
          </w:tcPr>
          <w:p w14:paraId="0A5C81AB"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49 (16.2%)</w:t>
            </w:r>
          </w:p>
        </w:tc>
        <w:tc>
          <w:tcPr>
            <w:tcW w:w="1134" w:type="dxa"/>
            <w:tcBorders>
              <w:top w:val="nil"/>
              <w:left w:val="nil"/>
              <w:bottom w:val="nil"/>
              <w:right w:val="nil"/>
            </w:tcBorders>
            <w:vAlign w:val="center"/>
          </w:tcPr>
          <w:p w14:paraId="19E73AF1" w14:textId="77777777" w:rsidR="005B2B10" w:rsidRPr="00E8529C" w:rsidRDefault="005B2B10" w:rsidP="00192949">
            <w:pPr>
              <w:spacing w:line="480" w:lineRule="auto"/>
              <w:jc w:val="center"/>
              <w:rPr>
                <w:rFonts w:asciiTheme="majorHAnsi" w:hAnsiTheme="majorHAnsi" w:cs="Arial"/>
                <w:b/>
                <w:bCs/>
                <w:color w:val="FF0000"/>
                <w:sz w:val="20"/>
                <w:szCs w:val="20"/>
              </w:rPr>
            </w:pPr>
          </w:p>
        </w:tc>
      </w:tr>
      <w:tr w:rsidR="005B2B10" w:rsidRPr="00E8529C" w14:paraId="1383B259" w14:textId="77777777" w:rsidTr="00192949">
        <w:trPr>
          <w:trHeight w:val="163"/>
          <w:jc w:val="center"/>
        </w:trPr>
        <w:tc>
          <w:tcPr>
            <w:tcW w:w="1701" w:type="dxa"/>
            <w:vMerge/>
            <w:tcBorders>
              <w:left w:val="nil"/>
              <w:bottom w:val="single" w:sz="4" w:space="0" w:color="auto"/>
              <w:right w:val="nil"/>
            </w:tcBorders>
            <w:vAlign w:val="center"/>
          </w:tcPr>
          <w:p w14:paraId="0C56BEEB"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76E6F291" w14:textId="77777777" w:rsidR="005B2B10" w:rsidRDefault="005B2B10" w:rsidP="00192949">
            <w:pPr>
              <w:rPr>
                <w:rFonts w:asciiTheme="majorHAnsi" w:hAnsiTheme="majorHAnsi" w:cs="Arial"/>
                <w:i/>
                <w:iCs/>
                <w:sz w:val="20"/>
                <w:szCs w:val="20"/>
              </w:rPr>
            </w:pPr>
            <w:r>
              <w:rPr>
                <w:rFonts w:asciiTheme="majorHAnsi" w:hAnsiTheme="majorHAnsi" w:cs="Arial"/>
                <w:i/>
                <w:iCs/>
                <w:sz w:val="20"/>
                <w:szCs w:val="20"/>
              </w:rPr>
              <w:t xml:space="preserve">     Recurrence location not     </w:t>
            </w:r>
          </w:p>
          <w:p w14:paraId="14F4A388" w14:textId="77777777" w:rsidR="005B2B10" w:rsidRPr="00DA307B" w:rsidRDefault="005B2B10" w:rsidP="00192949">
            <w:pPr>
              <w:rPr>
                <w:rFonts w:asciiTheme="majorHAnsi" w:hAnsiTheme="majorHAnsi" w:cs="Arial"/>
                <w:i/>
                <w:iCs/>
                <w:sz w:val="20"/>
                <w:szCs w:val="20"/>
              </w:rPr>
            </w:pPr>
            <w:r>
              <w:rPr>
                <w:rFonts w:asciiTheme="majorHAnsi" w:hAnsiTheme="majorHAnsi" w:cs="Arial"/>
                <w:i/>
                <w:iCs/>
                <w:sz w:val="20"/>
                <w:szCs w:val="20"/>
              </w:rPr>
              <w:t xml:space="preserve">     recorded</w:t>
            </w:r>
          </w:p>
        </w:tc>
        <w:tc>
          <w:tcPr>
            <w:tcW w:w="1276" w:type="dxa"/>
            <w:tcBorders>
              <w:top w:val="nil"/>
              <w:left w:val="nil"/>
              <w:bottom w:val="single" w:sz="4" w:space="0" w:color="auto"/>
              <w:right w:val="nil"/>
            </w:tcBorders>
          </w:tcPr>
          <w:p w14:paraId="08325FD1"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19 (9.8%)</w:t>
            </w:r>
          </w:p>
        </w:tc>
        <w:tc>
          <w:tcPr>
            <w:tcW w:w="1276" w:type="dxa"/>
            <w:tcBorders>
              <w:top w:val="nil"/>
              <w:left w:val="nil"/>
              <w:bottom w:val="single" w:sz="4" w:space="0" w:color="auto"/>
              <w:right w:val="nil"/>
            </w:tcBorders>
          </w:tcPr>
          <w:p w14:paraId="0F928C60"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 (8.1%)</w:t>
            </w:r>
          </w:p>
        </w:tc>
        <w:tc>
          <w:tcPr>
            <w:tcW w:w="1559" w:type="dxa"/>
            <w:tcBorders>
              <w:top w:val="nil"/>
              <w:left w:val="nil"/>
              <w:bottom w:val="single" w:sz="4" w:space="0" w:color="auto"/>
              <w:right w:val="nil"/>
            </w:tcBorders>
          </w:tcPr>
          <w:p w14:paraId="0420023D"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19 (12.3%)</w:t>
            </w:r>
          </w:p>
        </w:tc>
        <w:tc>
          <w:tcPr>
            <w:tcW w:w="1418" w:type="dxa"/>
            <w:tcBorders>
              <w:top w:val="nil"/>
              <w:left w:val="nil"/>
              <w:bottom w:val="single" w:sz="4" w:space="0" w:color="auto"/>
              <w:right w:val="nil"/>
            </w:tcBorders>
          </w:tcPr>
          <w:p w14:paraId="5B029CF3"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50 (16.5%)</w:t>
            </w:r>
          </w:p>
        </w:tc>
        <w:tc>
          <w:tcPr>
            <w:tcW w:w="1134" w:type="dxa"/>
            <w:tcBorders>
              <w:top w:val="nil"/>
              <w:left w:val="nil"/>
              <w:bottom w:val="single" w:sz="4" w:space="0" w:color="auto"/>
              <w:right w:val="nil"/>
            </w:tcBorders>
            <w:vAlign w:val="center"/>
          </w:tcPr>
          <w:p w14:paraId="0E4BF85D" w14:textId="77777777" w:rsidR="005B2B10" w:rsidRPr="00E8529C" w:rsidRDefault="005B2B10" w:rsidP="00192949">
            <w:pPr>
              <w:spacing w:line="480" w:lineRule="auto"/>
              <w:jc w:val="center"/>
              <w:rPr>
                <w:rFonts w:asciiTheme="majorHAnsi" w:hAnsiTheme="majorHAnsi" w:cs="Arial"/>
                <w:b/>
                <w:bCs/>
                <w:color w:val="FF0000"/>
                <w:sz w:val="20"/>
                <w:szCs w:val="20"/>
              </w:rPr>
            </w:pPr>
          </w:p>
        </w:tc>
      </w:tr>
      <w:tr w:rsidR="005B2B10" w:rsidRPr="00E8529C" w14:paraId="3E003F9F" w14:textId="77777777" w:rsidTr="00192949">
        <w:trPr>
          <w:trHeight w:val="119"/>
          <w:jc w:val="center"/>
        </w:trPr>
        <w:tc>
          <w:tcPr>
            <w:tcW w:w="1701" w:type="dxa"/>
            <w:vMerge w:val="restart"/>
            <w:tcBorders>
              <w:top w:val="single" w:sz="4" w:space="0" w:color="auto"/>
              <w:left w:val="nil"/>
              <w:right w:val="nil"/>
            </w:tcBorders>
            <w:vAlign w:val="center"/>
          </w:tcPr>
          <w:p w14:paraId="3E5DBA67"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Death</w:t>
            </w:r>
          </w:p>
        </w:tc>
        <w:tc>
          <w:tcPr>
            <w:tcW w:w="2835" w:type="dxa"/>
            <w:tcBorders>
              <w:top w:val="single" w:sz="4" w:space="0" w:color="auto"/>
              <w:left w:val="nil"/>
              <w:bottom w:val="nil"/>
              <w:right w:val="nil"/>
            </w:tcBorders>
            <w:vAlign w:val="center"/>
          </w:tcPr>
          <w:p w14:paraId="2CC4D27E"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Alive</w:t>
            </w:r>
          </w:p>
        </w:tc>
        <w:tc>
          <w:tcPr>
            <w:tcW w:w="1276" w:type="dxa"/>
            <w:tcBorders>
              <w:top w:val="single" w:sz="4" w:space="0" w:color="auto"/>
              <w:left w:val="nil"/>
              <w:bottom w:val="nil"/>
              <w:right w:val="nil"/>
            </w:tcBorders>
          </w:tcPr>
          <w:p w14:paraId="15CBF3C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154</w:t>
            </w:r>
            <w:r w:rsidRPr="00BA6733">
              <w:rPr>
                <w:rFonts w:asciiTheme="majorHAnsi" w:hAnsiTheme="majorHAnsi" w:cs="Arial"/>
                <w:sz w:val="20"/>
                <w:szCs w:val="20"/>
              </w:rPr>
              <w:t xml:space="preserve"> (</w:t>
            </w:r>
            <w:r>
              <w:rPr>
                <w:rFonts w:asciiTheme="majorHAnsi" w:hAnsiTheme="majorHAnsi" w:cs="Arial"/>
                <w:sz w:val="20"/>
                <w:szCs w:val="20"/>
              </w:rPr>
              <w:t>63.4</w:t>
            </w:r>
            <w:r w:rsidRPr="00BA6733">
              <w:rPr>
                <w:rFonts w:asciiTheme="majorHAnsi" w:hAnsiTheme="majorHAnsi" w:cs="Arial"/>
                <w:sz w:val="20"/>
                <w:szCs w:val="20"/>
              </w:rPr>
              <w:t>%)</w:t>
            </w:r>
          </w:p>
        </w:tc>
        <w:tc>
          <w:tcPr>
            <w:tcW w:w="1276" w:type="dxa"/>
            <w:tcBorders>
              <w:top w:val="single" w:sz="4" w:space="0" w:color="auto"/>
              <w:left w:val="nil"/>
              <w:bottom w:val="nil"/>
              <w:right w:val="nil"/>
            </w:tcBorders>
          </w:tcPr>
          <w:p w14:paraId="4C54087C"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38</w:t>
            </w:r>
            <w:r w:rsidRPr="00BA6733">
              <w:rPr>
                <w:rFonts w:asciiTheme="majorHAnsi" w:hAnsiTheme="majorHAnsi" w:cs="Arial"/>
                <w:sz w:val="20"/>
                <w:szCs w:val="20"/>
              </w:rPr>
              <w:t xml:space="preserve"> (</w:t>
            </w:r>
            <w:r>
              <w:rPr>
                <w:rFonts w:asciiTheme="majorHAnsi" w:hAnsiTheme="majorHAnsi" w:cs="Arial"/>
                <w:sz w:val="20"/>
                <w:szCs w:val="20"/>
              </w:rPr>
              <w:t>61.3</w:t>
            </w:r>
            <w:r w:rsidRPr="00BA6733">
              <w:rPr>
                <w:rFonts w:asciiTheme="majorHAnsi" w:hAnsiTheme="majorHAnsi" w:cs="Arial"/>
                <w:sz w:val="20"/>
                <w:szCs w:val="20"/>
              </w:rPr>
              <w:t>%)</w:t>
            </w:r>
          </w:p>
        </w:tc>
        <w:tc>
          <w:tcPr>
            <w:tcW w:w="1559" w:type="dxa"/>
            <w:tcBorders>
              <w:top w:val="single" w:sz="4" w:space="0" w:color="auto"/>
              <w:left w:val="nil"/>
              <w:bottom w:val="nil"/>
              <w:right w:val="nil"/>
            </w:tcBorders>
          </w:tcPr>
          <w:p w14:paraId="4ED66C2A"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60</w:t>
            </w:r>
            <w:r w:rsidRPr="00BA6733">
              <w:rPr>
                <w:rFonts w:asciiTheme="majorHAnsi" w:hAnsiTheme="majorHAnsi" w:cs="Arial"/>
                <w:sz w:val="20"/>
                <w:szCs w:val="20"/>
              </w:rPr>
              <w:t xml:space="preserve"> (</w:t>
            </w:r>
            <w:r>
              <w:rPr>
                <w:rFonts w:asciiTheme="majorHAnsi" w:hAnsiTheme="majorHAnsi" w:cs="Arial"/>
                <w:sz w:val="20"/>
                <w:szCs w:val="20"/>
              </w:rPr>
              <w:t>38.7</w:t>
            </w:r>
            <w:r w:rsidRPr="00BA6733">
              <w:rPr>
                <w:rFonts w:asciiTheme="majorHAnsi" w:hAnsiTheme="majorHAnsi" w:cs="Arial"/>
                <w:sz w:val="20"/>
                <w:szCs w:val="20"/>
              </w:rPr>
              <w:t>%)</w:t>
            </w:r>
          </w:p>
        </w:tc>
        <w:tc>
          <w:tcPr>
            <w:tcW w:w="1418" w:type="dxa"/>
            <w:tcBorders>
              <w:top w:val="single" w:sz="4" w:space="0" w:color="auto"/>
              <w:left w:val="nil"/>
              <w:bottom w:val="nil"/>
              <w:right w:val="nil"/>
            </w:tcBorders>
          </w:tcPr>
          <w:p w14:paraId="13006F6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64</w:t>
            </w:r>
            <w:r w:rsidRPr="00BA6733">
              <w:rPr>
                <w:rFonts w:asciiTheme="majorHAnsi" w:hAnsiTheme="majorHAnsi" w:cs="Arial"/>
                <w:sz w:val="20"/>
                <w:szCs w:val="20"/>
              </w:rPr>
              <w:t xml:space="preserve"> (</w:t>
            </w:r>
            <w:r>
              <w:rPr>
                <w:rFonts w:asciiTheme="majorHAnsi" w:hAnsiTheme="majorHAnsi" w:cs="Arial"/>
                <w:sz w:val="20"/>
                <w:szCs w:val="20"/>
              </w:rPr>
              <w:t>21.1</w:t>
            </w:r>
            <w:r w:rsidRPr="00BA6733">
              <w:rPr>
                <w:rFonts w:asciiTheme="majorHAnsi" w:hAnsiTheme="majorHAnsi" w:cs="Arial"/>
                <w:sz w:val="20"/>
                <w:szCs w:val="20"/>
              </w:rPr>
              <w:t>%)</w:t>
            </w:r>
          </w:p>
        </w:tc>
        <w:tc>
          <w:tcPr>
            <w:tcW w:w="1134" w:type="dxa"/>
            <w:vMerge w:val="restart"/>
            <w:tcBorders>
              <w:top w:val="single" w:sz="4" w:space="0" w:color="auto"/>
              <w:left w:val="nil"/>
              <w:right w:val="nil"/>
            </w:tcBorders>
            <w:vAlign w:val="center"/>
          </w:tcPr>
          <w:p w14:paraId="12BED50E" w14:textId="77777777" w:rsidR="005B2B10" w:rsidRPr="00215777" w:rsidRDefault="005B2B10" w:rsidP="00192949">
            <w:pPr>
              <w:spacing w:line="480" w:lineRule="auto"/>
              <w:jc w:val="center"/>
              <w:rPr>
                <w:rFonts w:asciiTheme="majorHAnsi" w:hAnsiTheme="majorHAnsi" w:cs="Arial"/>
                <w:b/>
                <w:bCs/>
                <w:color w:val="FF0000"/>
                <w:sz w:val="20"/>
                <w:szCs w:val="20"/>
              </w:rPr>
            </w:pPr>
            <w:r w:rsidRPr="00215777">
              <w:rPr>
                <w:rFonts w:asciiTheme="majorHAnsi" w:hAnsiTheme="majorHAnsi" w:cs="Arial"/>
                <w:b/>
                <w:bCs/>
                <w:i/>
                <w:iCs/>
                <w:color w:val="FF0000"/>
                <w:sz w:val="20"/>
                <w:szCs w:val="20"/>
              </w:rPr>
              <w:t>p&lt;0.001</w:t>
            </w:r>
          </w:p>
        </w:tc>
      </w:tr>
      <w:tr w:rsidR="005B2B10" w:rsidRPr="00E8529C" w14:paraId="491D4143" w14:textId="77777777" w:rsidTr="00192949">
        <w:trPr>
          <w:trHeight w:val="163"/>
          <w:jc w:val="center"/>
        </w:trPr>
        <w:tc>
          <w:tcPr>
            <w:tcW w:w="1701" w:type="dxa"/>
            <w:vMerge/>
            <w:tcBorders>
              <w:left w:val="nil"/>
              <w:bottom w:val="single" w:sz="4" w:space="0" w:color="auto"/>
              <w:right w:val="nil"/>
            </w:tcBorders>
            <w:vAlign w:val="center"/>
          </w:tcPr>
          <w:p w14:paraId="2A957FD2" w14:textId="77777777" w:rsidR="005B2B10" w:rsidRPr="00E8529C" w:rsidRDefault="005B2B10" w:rsidP="00192949">
            <w:pPr>
              <w:spacing w:line="360" w:lineRule="auto"/>
              <w:rPr>
                <w:rFonts w:asciiTheme="majorHAnsi" w:hAnsiTheme="majorHAnsi" w:cs="Arial"/>
                <w:sz w:val="20"/>
                <w:szCs w:val="20"/>
              </w:rPr>
            </w:pPr>
          </w:p>
        </w:tc>
        <w:tc>
          <w:tcPr>
            <w:tcW w:w="2835" w:type="dxa"/>
            <w:tcBorders>
              <w:top w:val="nil"/>
              <w:left w:val="nil"/>
              <w:bottom w:val="single" w:sz="4" w:space="0" w:color="auto"/>
              <w:right w:val="nil"/>
            </w:tcBorders>
            <w:vAlign w:val="center"/>
          </w:tcPr>
          <w:p w14:paraId="44555296" w14:textId="77777777" w:rsidR="005B2B10" w:rsidRPr="00E8529C" w:rsidRDefault="005B2B10" w:rsidP="00192949">
            <w:pPr>
              <w:spacing w:line="360" w:lineRule="auto"/>
              <w:rPr>
                <w:rFonts w:asciiTheme="majorHAnsi" w:hAnsiTheme="majorHAnsi" w:cs="Arial"/>
                <w:sz w:val="20"/>
                <w:szCs w:val="20"/>
              </w:rPr>
            </w:pPr>
            <w:r w:rsidRPr="00E8529C">
              <w:rPr>
                <w:rFonts w:asciiTheme="majorHAnsi" w:hAnsiTheme="majorHAnsi" w:cs="Arial"/>
                <w:sz w:val="20"/>
                <w:szCs w:val="20"/>
              </w:rPr>
              <w:t>Not alive</w:t>
            </w:r>
          </w:p>
        </w:tc>
        <w:tc>
          <w:tcPr>
            <w:tcW w:w="1276" w:type="dxa"/>
            <w:tcBorders>
              <w:top w:val="nil"/>
              <w:left w:val="nil"/>
              <w:bottom w:val="single" w:sz="4" w:space="0" w:color="auto"/>
              <w:right w:val="nil"/>
            </w:tcBorders>
          </w:tcPr>
          <w:p w14:paraId="184E2048" w14:textId="77777777" w:rsidR="005B2B10"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89 (36.6%)</w:t>
            </w:r>
          </w:p>
        </w:tc>
        <w:tc>
          <w:tcPr>
            <w:tcW w:w="1276" w:type="dxa"/>
            <w:tcBorders>
              <w:top w:val="nil"/>
              <w:left w:val="nil"/>
              <w:bottom w:val="single" w:sz="4" w:space="0" w:color="auto"/>
              <w:right w:val="nil"/>
            </w:tcBorders>
          </w:tcPr>
          <w:p w14:paraId="08393131"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24</w:t>
            </w:r>
            <w:r w:rsidRPr="00BA6733">
              <w:rPr>
                <w:rFonts w:asciiTheme="majorHAnsi" w:hAnsiTheme="majorHAnsi" w:cs="Arial"/>
                <w:sz w:val="20"/>
                <w:szCs w:val="20"/>
              </w:rPr>
              <w:t xml:space="preserve"> (</w:t>
            </w:r>
            <w:r>
              <w:rPr>
                <w:rFonts w:asciiTheme="majorHAnsi" w:hAnsiTheme="majorHAnsi" w:cs="Arial"/>
                <w:sz w:val="20"/>
                <w:szCs w:val="20"/>
              </w:rPr>
              <w:t>38.7</w:t>
            </w:r>
            <w:r w:rsidRPr="00BA6733">
              <w:rPr>
                <w:rFonts w:asciiTheme="majorHAnsi" w:hAnsiTheme="majorHAnsi" w:cs="Arial"/>
                <w:sz w:val="20"/>
                <w:szCs w:val="20"/>
              </w:rPr>
              <w:t>%)</w:t>
            </w:r>
          </w:p>
        </w:tc>
        <w:tc>
          <w:tcPr>
            <w:tcW w:w="1559" w:type="dxa"/>
            <w:tcBorders>
              <w:top w:val="nil"/>
              <w:left w:val="nil"/>
              <w:bottom w:val="single" w:sz="4" w:space="0" w:color="auto"/>
              <w:right w:val="nil"/>
            </w:tcBorders>
          </w:tcPr>
          <w:p w14:paraId="1520DFC6"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95</w:t>
            </w:r>
            <w:r w:rsidRPr="00BA6733">
              <w:rPr>
                <w:rFonts w:asciiTheme="majorHAnsi" w:hAnsiTheme="majorHAnsi" w:cs="Arial"/>
                <w:sz w:val="20"/>
                <w:szCs w:val="20"/>
              </w:rPr>
              <w:t xml:space="preserve"> (</w:t>
            </w:r>
            <w:r>
              <w:rPr>
                <w:rFonts w:asciiTheme="majorHAnsi" w:hAnsiTheme="majorHAnsi" w:cs="Arial"/>
                <w:sz w:val="20"/>
                <w:szCs w:val="20"/>
              </w:rPr>
              <w:t>61.3</w:t>
            </w:r>
            <w:r w:rsidRPr="00BA6733">
              <w:rPr>
                <w:rFonts w:asciiTheme="majorHAnsi" w:hAnsiTheme="majorHAnsi" w:cs="Arial"/>
                <w:sz w:val="20"/>
                <w:szCs w:val="20"/>
              </w:rPr>
              <w:t>%)</w:t>
            </w:r>
          </w:p>
        </w:tc>
        <w:tc>
          <w:tcPr>
            <w:tcW w:w="1418" w:type="dxa"/>
            <w:tcBorders>
              <w:top w:val="nil"/>
              <w:left w:val="nil"/>
              <w:bottom w:val="single" w:sz="4" w:space="0" w:color="auto"/>
              <w:right w:val="nil"/>
            </w:tcBorders>
          </w:tcPr>
          <w:p w14:paraId="29356089" w14:textId="77777777" w:rsidR="005B2B10" w:rsidRPr="00597A25" w:rsidRDefault="005B2B10" w:rsidP="00192949">
            <w:pPr>
              <w:spacing w:line="360" w:lineRule="auto"/>
              <w:jc w:val="center"/>
              <w:rPr>
                <w:rFonts w:asciiTheme="majorHAnsi" w:hAnsiTheme="majorHAnsi" w:cs="Arial"/>
                <w:sz w:val="20"/>
                <w:szCs w:val="20"/>
              </w:rPr>
            </w:pPr>
            <w:r>
              <w:rPr>
                <w:rFonts w:asciiTheme="majorHAnsi" w:hAnsiTheme="majorHAnsi" w:cs="Arial"/>
                <w:sz w:val="20"/>
                <w:szCs w:val="20"/>
              </w:rPr>
              <w:t>239</w:t>
            </w:r>
            <w:r w:rsidRPr="00BA6733">
              <w:rPr>
                <w:rFonts w:asciiTheme="majorHAnsi" w:hAnsiTheme="majorHAnsi" w:cs="Arial"/>
                <w:sz w:val="20"/>
                <w:szCs w:val="20"/>
              </w:rPr>
              <w:t xml:space="preserve"> (</w:t>
            </w:r>
            <w:r>
              <w:rPr>
                <w:rFonts w:asciiTheme="majorHAnsi" w:hAnsiTheme="majorHAnsi" w:cs="Arial"/>
                <w:sz w:val="20"/>
                <w:szCs w:val="20"/>
              </w:rPr>
              <w:t>78.9</w:t>
            </w:r>
            <w:r w:rsidRPr="00BA6733">
              <w:rPr>
                <w:rFonts w:asciiTheme="majorHAnsi" w:hAnsiTheme="majorHAnsi" w:cs="Arial"/>
                <w:sz w:val="20"/>
                <w:szCs w:val="20"/>
              </w:rPr>
              <w:t>%)</w:t>
            </w:r>
          </w:p>
        </w:tc>
        <w:tc>
          <w:tcPr>
            <w:tcW w:w="1134" w:type="dxa"/>
            <w:vMerge/>
            <w:tcBorders>
              <w:left w:val="nil"/>
              <w:right w:val="nil"/>
            </w:tcBorders>
            <w:vAlign w:val="center"/>
          </w:tcPr>
          <w:p w14:paraId="7FC524AF" w14:textId="77777777" w:rsidR="005B2B10" w:rsidRPr="00E8529C" w:rsidRDefault="005B2B10" w:rsidP="00192949">
            <w:pPr>
              <w:spacing w:line="480" w:lineRule="auto"/>
              <w:jc w:val="center"/>
              <w:rPr>
                <w:rFonts w:asciiTheme="majorHAnsi" w:hAnsiTheme="majorHAnsi" w:cs="Arial"/>
                <w:b/>
                <w:bCs/>
                <w:color w:val="FF0000"/>
                <w:sz w:val="20"/>
                <w:szCs w:val="20"/>
              </w:rPr>
            </w:pPr>
          </w:p>
        </w:tc>
      </w:tr>
    </w:tbl>
    <w:p w14:paraId="025D9291" w14:textId="77777777" w:rsidR="005B2B10" w:rsidRDefault="005B2B10" w:rsidP="005B2B10">
      <w:pPr>
        <w:spacing w:line="480" w:lineRule="auto"/>
        <w:rPr>
          <w:rFonts w:asciiTheme="majorHAnsi" w:hAnsiTheme="majorHAnsi" w:cstheme="majorHAnsi"/>
          <w:sz w:val="15"/>
          <w:szCs w:val="15"/>
        </w:rPr>
      </w:pPr>
    </w:p>
    <w:p w14:paraId="5ACC7561" w14:textId="77777777" w:rsidR="005B2B10" w:rsidRPr="00A019FF" w:rsidRDefault="005B2B10" w:rsidP="005B2B10">
      <w:pPr>
        <w:spacing w:line="360" w:lineRule="auto"/>
        <w:jc w:val="right"/>
        <w:rPr>
          <w:rFonts w:asciiTheme="majorHAnsi" w:hAnsiTheme="majorHAnsi"/>
          <w:sz w:val="20"/>
          <w:szCs w:val="20"/>
        </w:rPr>
      </w:pPr>
      <w:proofErr w:type="spellStart"/>
      <w:r w:rsidRPr="00A019FF">
        <w:rPr>
          <w:rFonts w:asciiTheme="majorHAnsi" w:hAnsiTheme="majorHAnsi"/>
          <w:sz w:val="20"/>
          <w:szCs w:val="20"/>
          <w:vertAlign w:val="superscript"/>
        </w:rPr>
        <w:t>a</w:t>
      </w:r>
      <w:proofErr w:type="spellEnd"/>
      <w:r w:rsidRPr="00A019FF">
        <w:rPr>
          <w:rFonts w:asciiTheme="majorHAnsi" w:hAnsiTheme="majorHAnsi"/>
          <w:sz w:val="20"/>
          <w:szCs w:val="20"/>
        </w:rPr>
        <w:t xml:space="preserve"> </w:t>
      </w:r>
      <w:r>
        <w:rPr>
          <w:rFonts w:asciiTheme="majorHAnsi" w:hAnsiTheme="majorHAnsi"/>
          <w:sz w:val="20"/>
          <w:szCs w:val="20"/>
        </w:rPr>
        <w:t>Includes all platinum based dual agent chemotherapy</w:t>
      </w:r>
      <w:r w:rsidRPr="00A019FF">
        <w:rPr>
          <w:rFonts w:asciiTheme="majorHAnsi" w:hAnsiTheme="majorHAnsi"/>
          <w:sz w:val="20"/>
          <w:szCs w:val="20"/>
        </w:rPr>
        <w:t xml:space="preserve"> </w:t>
      </w:r>
      <w:r>
        <w:rPr>
          <w:rFonts w:asciiTheme="majorHAnsi" w:hAnsiTheme="majorHAnsi"/>
          <w:sz w:val="20"/>
          <w:szCs w:val="20"/>
        </w:rPr>
        <w:t xml:space="preserve">regimen (e.g. </w:t>
      </w:r>
      <w:r w:rsidRPr="00A019FF">
        <w:rPr>
          <w:rFonts w:asciiTheme="majorHAnsi" w:hAnsiTheme="majorHAnsi"/>
          <w:sz w:val="20"/>
          <w:szCs w:val="20"/>
        </w:rPr>
        <w:t>cisplatin and fluorouracil</w:t>
      </w:r>
      <w:r>
        <w:rPr>
          <w:rFonts w:asciiTheme="majorHAnsi" w:hAnsiTheme="majorHAnsi"/>
          <w:sz w:val="20"/>
          <w:szCs w:val="20"/>
        </w:rPr>
        <w:t>)</w:t>
      </w:r>
    </w:p>
    <w:p w14:paraId="70BFE6A0" w14:textId="77777777" w:rsidR="005B2B10" w:rsidRPr="00A019FF" w:rsidRDefault="005B2B10" w:rsidP="005B2B10">
      <w:pPr>
        <w:spacing w:line="360" w:lineRule="auto"/>
        <w:jc w:val="right"/>
        <w:rPr>
          <w:rFonts w:asciiTheme="majorHAnsi" w:hAnsiTheme="majorHAnsi"/>
          <w:sz w:val="20"/>
          <w:szCs w:val="20"/>
        </w:rPr>
      </w:pPr>
      <w:r w:rsidRPr="00A019FF">
        <w:rPr>
          <w:rFonts w:asciiTheme="majorHAnsi" w:hAnsiTheme="majorHAnsi"/>
          <w:sz w:val="20"/>
          <w:szCs w:val="20"/>
          <w:vertAlign w:val="superscript"/>
        </w:rPr>
        <w:t>b</w:t>
      </w:r>
      <w:r>
        <w:rPr>
          <w:rFonts w:asciiTheme="majorHAnsi" w:hAnsiTheme="majorHAnsi"/>
          <w:sz w:val="20"/>
          <w:szCs w:val="20"/>
        </w:rPr>
        <w:t xml:space="preserve"> Includes all epirubicin containing platinum based triplet chemotherapy regimens (e.g. epirubicin, </w:t>
      </w:r>
      <w:r w:rsidRPr="00A019FF">
        <w:rPr>
          <w:rFonts w:asciiTheme="majorHAnsi" w:hAnsiTheme="majorHAnsi"/>
          <w:sz w:val="20"/>
          <w:szCs w:val="20"/>
        </w:rPr>
        <w:t>cisplatin and fluorouracil</w:t>
      </w:r>
      <w:r>
        <w:rPr>
          <w:rFonts w:asciiTheme="majorHAnsi" w:hAnsiTheme="majorHAnsi"/>
          <w:sz w:val="20"/>
          <w:szCs w:val="20"/>
        </w:rPr>
        <w:t>)</w:t>
      </w:r>
    </w:p>
    <w:p w14:paraId="0CFF778C" w14:textId="77777777" w:rsidR="005B2B10" w:rsidRPr="00AA553F" w:rsidRDefault="005B2B10" w:rsidP="005B2B10">
      <w:pPr>
        <w:spacing w:line="360" w:lineRule="auto"/>
        <w:jc w:val="right"/>
        <w:rPr>
          <w:rFonts w:asciiTheme="majorHAnsi" w:hAnsiTheme="majorHAnsi"/>
          <w:sz w:val="20"/>
          <w:szCs w:val="20"/>
        </w:rPr>
      </w:pPr>
      <w:r w:rsidRPr="00A019FF">
        <w:rPr>
          <w:rFonts w:asciiTheme="majorHAnsi" w:hAnsiTheme="majorHAnsi"/>
          <w:sz w:val="20"/>
          <w:szCs w:val="20"/>
          <w:vertAlign w:val="superscript"/>
        </w:rPr>
        <w:t>c</w:t>
      </w:r>
      <w:r w:rsidRPr="00A019FF">
        <w:rPr>
          <w:rFonts w:asciiTheme="majorHAnsi" w:hAnsiTheme="majorHAnsi"/>
          <w:sz w:val="20"/>
          <w:szCs w:val="20"/>
        </w:rPr>
        <w:t xml:space="preserve"> fluorouracil plus leucovorin, oxaliplatin, and docetaxel</w:t>
      </w:r>
    </w:p>
    <w:p w14:paraId="3F99ED3B" w14:textId="77777777" w:rsidR="005B2B10" w:rsidRPr="00D51598" w:rsidRDefault="005B2B10" w:rsidP="005B2B10">
      <w:pPr>
        <w:spacing w:line="480" w:lineRule="auto"/>
        <w:jc w:val="right"/>
        <w:rPr>
          <w:rFonts w:asciiTheme="majorHAnsi" w:hAnsiTheme="majorHAnsi" w:cstheme="majorHAnsi"/>
          <w:sz w:val="15"/>
          <w:szCs w:val="15"/>
        </w:rPr>
      </w:pPr>
    </w:p>
    <w:p w14:paraId="0F2ED331" w14:textId="77777777" w:rsidR="005B2B10" w:rsidRDefault="005B2B10" w:rsidP="005B2B10">
      <w:pPr>
        <w:spacing w:line="360" w:lineRule="auto"/>
        <w:rPr>
          <w:rFonts w:ascii="Calibri" w:hAnsi="Calibri"/>
        </w:rPr>
      </w:pPr>
      <w:r w:rsidRPr="002D54F8">
        <w:rPr>
          <w:rFonts w:ascii="Calibri" w:hAnsi="Calibri"/>
        </w:rPr>
        <w:br/>
      </w:r>
    </w:p>
    <w:p w14:paraId="1268C1B7" w14:textId="77777777" w:rsidR="005B2B10" w:rsidRDefault="005B2B10" w:rsidP="005B2B10">
      <w:pPr>
        <w:spacing w:line="360" w:lineRule="auto"/>
        <w:rPr>
          <w:rFonts w:ascii="Calibri" w:hAnsi="Calibri"/>
        </w:rPr>
      </w:pPr>
    </w:p>
    <w:p w14:paraId="57DC44D3" w14:textId="77777777" w:rsidR="005B2B10" w:rsidRDefault="005B2B10" w:rsidP="005B2B10">
      <w:pPr>
        <w:spacing w:line="480" w:lineRule="auto"/>
        <w:rPr>
          <w:rFonts w:ascii="Calibri" w:hAnsi="Calibri"/>
        </w:rPr>
      </w:pPr>
    </w:p>
    <w:p w14:paraId="38492719" w14:textId="77777777" w:rsidR="005B2B10" w:rsidRDefault="005B2B10" w:rsidP="005B2B10">
      <w:pPr>
        <w:spacing w:line="480" w:lineRule="auto"/>
        <w:rPr>
          <w:rFonts w:ascii="Calibri" w:hAnsi="Calibri"/>
        </w:rPr>
      </w:pPr>
    </w:p>
    <w:p w14:paraId="696DB8C1" w14:textId="77777777" w:rsidR="005B2B10" w:rsidRDefault="005B2B10" w:rsidP="005B2B10">
      <w:pPr>
        <w:spacing w:line="480" w:lineRule="auto"/>
        <w:rPr>
          <w:rFonts w:ascii="Calibri" w:hAnsi="Calibri"/>
        </w:rPr>
      </w:pPr>
    </w:p>
    <w:p w14:paraId="3155B9AD" w14:textId="77777777" w:rsidR="005B2B10" w:rsidRDefault="005B2B10" w:rsidP="005B2B10">
      <w:pPr>
        <w:spacing w:line="480" w:lineRule="auto"/>
        <w:rPr>
          <w:rFonts w:ascii="Calibri" w:hAnsi="Calibri"/>
        </w:rPr>
      </w:pPr>
    </w:p>
    <w:p w14:paraId="40C0FB76" w14:textId="77777777" w:rsidR="005B2B10" w:rsidRDefault="005B2B10" w:rsidP="005B2B10">
      <w:pPr>
        <w:spacing w:line="480" w:lineRule="auto"/>
        <w:rPr>
          <w:rFonts w:ascii="Calibri" w:hAnsi="Calibri"/>
        </w:rPr>
      </w:pPr>
    </w:p>
    <w:p w14:paraId="467BC0FF" w14:textId="77777777" w:rsidR="005B2B10" w:rsidRDefault="005B2B10" w:rsidP="005B2B10">
      <w:pPr>
        <w:spacing w:line="480" w:lineRule="auto"/>
        <w:rPr>
          <w:rFonts w:ascii="Calibri" w:hAnsi="Calibri"/>
        </w:rPr>
      </w:pPr>
    </w:p>
    <w:p w14:paraId="1C171453" w14:textId="71476E38" w:rsidR="00D604BE" w:rsidRDefault="005B2B10">
      <w:pPr>
        <w:rPr>
          <w:rFonts w:ascii="Calibri" w:hAnsi="Calibri"/>
        </w:rPr>
      </w:pPr>
      <w:r>
        <w:rPr>
          <w:rFonts w:ascii="Calibri" w:hAnsi="Calibri"/>
        </w:rPr>
        <w:br w:type="page"/>
      </w:r>
    </w:p>
    <w:p w14:paraId="09688EC7" w14:textId="2B028E3A" w:rsidR="00D43198" w:rsidRDefault="00D43198" w:rsidP="00F95E69">
      <w:pPr>
        <w:spacing w:line="360" w:lineRule="auto"/>
        <w:rPr>
          <w:rFonts w:asciiTheme="majorHAnsi" w:hAnsiTheme="majorHAnsi" w:cstheme="majorHAnsi"/>
          <w:sz w:val="22"/>
          <w:szCs w:val="22"/>
        </w:rPr>
      </w:pPr>
      <w:r w:rsidRPr="00D51598">
        <w:rPr>
          <w:rFonts w:asciiTheme="majorHAnsi" w:hAnsiTheme="majorHAnsi" w:cstheme="majorHAnsi"/>
          <w:b/>
          <w:bCs/>
          <w:sz w:val="22"/>
          <w:szCs w:val="22"/>
        </w:rPr>
        <w:lastRenderedPageBreak/>
        <w:t xml:space="preserve">Table </w:t>
      </w:r>
      <w:r w:rsidR="003C27E2">
        <w:rPr>
          <w:rFonts w:asciiTheme="majorHAnsi" w:hAnsiTheme="majorHAnsi" w:cstheme="majorHAnsi"/>
          <w:b/>
          <w:bCs/>
          <w:sz w:val="22"/>
          <w:szCs w:val="22"/>
        </w:rPr>
        <w:t>3</w:t>
      </w:r>
      <w:r w:rsidRPr="00D51598">
        <w:rPr>
          <w:rFonts w:asciiTheme="majorHAnsi" w:hAnsiTheme="majorHAnsi" w:cstheme="majorHAnsi"/>
          <w:b/>
          <w:bCs/>
          <w:sz w:val="22"/>
          <w:szCs w:val="22"/>
        </w:rPr>
        <w:t xml:space="preserve">. </w:t>
      </w:r>
      <w:r>
        <w:rPr>
          <w:rFonts w:asciiTheme="majorHAnsi" w:hAnsiTheme="majorHAnsi" w:cstheme="majorHAnsi"/>
          <w:sz w:val="22"/>
          <w:szCs w:val="22"/>
        </w:rPr>
        <w:t xml:space="preserve">Results of interobserver </w:t>
      </w:r>
      <w:r w:rsidR="00EF5F5D">
        <w:rPr>
          <w:rFonts w:asciiTheme="majorHAnsi" w:hAnsiTheme="majorHAnsi" w:cstheme="majorHAnsi"/>
          <w:sz w:val="22"/>
          <w:szCs w:val="22"/>
        </w:rPr>
        <w:t>agreement</w:t>
      </w:r>
      <w:r>
        <w:rPr>
          <w:rFonts w:asciiTheme="majorHAnsi" w:hAnsiTheme="majorHAnsi" w:cstheme="majorHAnsi"/>
          <w:sz w:val="22"/>
          <w:szCs w:val="22"/>
        </w:rPr>
        <w:t xml:space="preserve"> analysis evaluating</w:t>
      </w:r>
      <w:r w:rsidR="00C72B35">
        <w:rPr>
          <w:rFonts w:asciiTheme="majorHAnsi" w:hAnsiTheme="majorHAnsi" w:cstheme="majorHAnsi"/>
          <w:sz w:val="22"/>
          <w:szCs w:val="22"/>
        </w:rPr>
        <w:t xml:space="preserve"> agreement between pathologists</w:t>
      </w:r>
      <w:r w:rsidR="00460502">
        <w:rPr>
          <w:rFonts w:asciiTheme="majorHAnsi" w:hAnsiTheme="majorHAnsi" w:cstheme="majorHAnsi"/>
          <w:sz w:val="22"/>
          <w:szCs w:val="22"/>
        </w:rPr>
        <w:t xml:space="preserve"> (N=6)</w:t>
      </w:r>
      <w:r w:rsidR="00C72B35">
        <w:rPr>
          <w:rFonts w:asciiTheme="majorHAnsi" w:hAnsiTheme="majorHAnsi" w:cstheme="majorHAnsi"/>
          <w:sz w:val="22"/>
          <w:szCs w:val="22"/>
        </w:rPr>
        <w:t xml:space="preserve"> for reporting</w:t>
      </w:r>
      <w:r>
        <w:rPr>
          <w:rFonts w:asciiTheme="majorHAnsi" w:hAnsiTheme="majorHAnsi" w:cstheme="majorHAnsi"/>
          <w:sz w:val="22"/>
          <w:szCs w:val="22"/>
        </w:rPr>
        <w:t xml:space="preserve"> lymph node regression </w:t>
      </w:r>
      <w:r w:rsidRPr="00D51598">
        <w:rPr>
          <w:rFonts w:asciiTheme="majorHAnsi" w:hAnsiTheme="majorHAnsi" w:cstheme="majorHAnsi"/>
          <w:sz w:val="22"/>
          <w:szCs w:val="22"/>
        </w:rPr>
        <w:t xml:space="preserve">in </w:t>
      </w:r>
      <w:r w:rsidR="004C2047">
        <w:rPr>
          <w:rFonts w:asciiTheme="majorHAnsi" w:hAnsiTheme="majorHAnsi" w:cstheme="majorHAnsi"/>
          <w:sz w:val="22"/>
          <w:szCs w:val="22"/>
        </w:rPr>
        <w:t xml:space="preserve">71 lymph nodes </w:t>
      </w:r>
      <w:r w:rsidR="00EF5F5D">
        <w:rPr>
          <w:rFonts w:asciiTheme="majorHAnsi" w:hAnsiTheme="majorHAnsi" w:cstheme="majorHAnsi"/>
          <w:sz w:val="22"/>
          <w:szCs w:val="22"/>
        </w:rPr>
        <w:t>from</w:t>
      </w:r>
      <w:r w:rsidR="004C2047">
        <w:rPr>
          <w:rFonts w:asciiTheme="majorHAnsi" w:hAnsiTheme="majorHAnsi" w:cstheme="majorHAnsi"/>
          <w:sz w:val="22"/>
          <w:szCs w:val="22"/>
        </w:rPr>
        <w:t xml:space="preserve"> </w:t>
      </w:r>
      <w:r w:rsidRPr="00D51598">
        <w:rPr>
          <w:rFonts w:asciiTheme="majorHAnsi" w:hAnsiTheme="majorHAnsi" w:cstheme="majorHAnsi"/>
          <w:sz w:val="22"/>
          <w:szCs w:val="22"/>
        </w:rPr>
        <w:t xml:space="preserve">patients </w:t>
      </w:r>
      <w:r>
        <w:rPr>
          <w:rFonts w:asciiTheme="majorHAnsi" w:hAnsiTheme="majorHAnsi" w:cstheme="majorHAnsi"/>
          <w:sz w:val="22"/>
          <w:szCs w:val="22"/>
        </w:rPr>
        <w:t xml:space="preserve">with </w:t>
      </w:r>
      <w:proofErr w:type="spellStart"/>
      <w:r w:rsidR="0019785E">
        <w:rPr>
          <w:rFonts w:asciiTheme="majorHAnsi" w:hAnsiTheme="majorHAnsi" w:cstheme="majorHAnsi"/>
          <w:sz w:val="22"/>
          <w:szCs w:val="22"/>
        </w:rPr>
        <w:t>esophageal</w:t>
      </w:r>
      <w:proofErr w:type="spellEnd"/>
      <w:r w:rsidRPr="00D51598">
        <w:rPr>
          <w:rFonts w:asciiTheme="majorHAnsi" w:hAnsiTheme="majorHAnsi" w:cstheme="majorHAnsi"/>
          <w:sz w:val="22"/>
          <w:szCs w:val="22"/>
        </w:rPr>
        <w:t xml:space="preserve"> adenocarcinoma</w:t>
      </w:r>
      <w:r>
        <w:rPr>
          <w:rFonts w:asciiTheme="majorHAnsi" w:hAnsiTheme="majorHAnsi" w:cstheme="majorHAnsi"/>
          <w:sz w:val="22"/>
          <w:szCs w:val="22"/>
        </w:rPr>
        <w:t xml:space="preserve"> treated with neoadjuvant chemotherapy prior to surgical</w:t>
      </w:r>
      <w:r w:rsidRPr="00D51598">
        <w:rPr>
          <w:rFonts w:asciiTheme="majorHAnsi" w:hAnsiTheme="majorHAnsi" w:cstheme="majorHAnsi"/>
          <w:sz w:val="22"/>
          <w:szCs w:val="22"/>
        </w:rPr>
        <w:t xml:space="preserve"> resection</w:t>
      </w:r>
      <w:r>
        <w:rPr>
          <w:rFonts w:asciiTheme="majorHAnsi" w:hAnsiTheme="majorHAnsi" w:cstheme="majorHAnsi"/>
          <w:sz w:val="22"/>
          <w:szCs w:val="22"/>
        </w:rPr>
        <w:t>.</w:t>
      </w:r>
    </w:p>
    <w:tbl>
      <w:tblPr>
        <w:tblStyle w:val="TableGrid"/>
        <w:tblW w:w="8505" w:type="dxa"/>
        <w:jc w:val="center"/>
        <w:tblLayout w:type="fixed"/>
        <w:tblLook w:val="04A0" w:firstRow="1" w:lastRow="0" w:firstColumn="1" w:lastColumn="0" w:noHBand="0" w:noVBand="1"/>
      </w:tblPr>
      <w:tblGrid>
        <w:gridCol w:w="3119"/>
        <w:gridCol w:w="1559"/>
        <w:gridCol w:w="1417"/>
        <w:gridCol w:w="2410"/>
      </w:tblGrid>
      <w:tr w:rsidR="00115E01" w:rsidRPr="007F6456" w14:paraId="2C88274A" w14:textId="77777777" w:rsidTr="003A17C2">
        <w:trPr>
          <w:trHeight w:hRule="exact" w:val="577"/>
          <w:jc w:val="center"/>
        </w:trPr>
        <w:tc>
          <w:tcPr>
            <w:tcW w:w="3119" w:type="dxa"/>
            <w:tcBorders>
              <w:left w:val="nil"/>
              <w:bottom w:val="nil"/>
              <w:right w:val="nil"/>
            </w:tcBorders>
            <w:shd w:val="clear" w:color="auto" w:fill="D9D9D9" w:themeFill="background1" w:themeFillShade="D9"/>
          </w:tcPr>
          <w:p w14:paraId="7F13F2D3" w14:textId="52459516" w:rsidR="00115E01" w:rsidRPr="007F6456" w:rsidRDefault="00115E01" w:rsidP="0009351E">
            <w:pPr>
              <w:spacing w:line="360" w:lineRule="auto"/>
              <w:rPr>
                <w:rFonts w:asciiTheme="majorHAnsi" w:hAnsiTheme="majorHAnsi" w:cstheme="majorHAnsi"/>
                <w:b/>
                <w:bCs/>
                <w:sz w:val="20"/>
              </w:rPr>
            </w:pPr>
          </w:p>
        </w:tc>
        <w:tc>
          <w:tcPr>
            <w:tcW w:w="1559" w:type="dxa"/>
            <w:tcBorders>
              <w:left w:val="nil"/>
              <w:bottom w:val="nil"/>
              <w:right w:val="nil"/>
            </w:tcBorders>
            <w:shd w:val="clear" w:color="auto" w:fill="D9D9D9" w:themeFill="background1" w:themeFillShade="D9"/>
            <w:vAlign w:val="center"/>
          </w:tcPr>
          <w:p w14:paraId="43FA83AA" w14:textId="191EEF82" w:rsidR="00115E01" w:rsidRDefault="00115E01" w:rsidP="00115E01">
            <w:pPr>
              <w:spacing w:line="360" w:lineRule="auto"/>
              <w:jc w:val="center"/>
              <w:rPr>
                <w:rFonts w:asciiTheme="majorHAnsi" w:hAnsiTheme="majorHAnsi" w:cstheme="majorHAnsi"/>
                <w:b/>
                <w:iCs/>
                <w:sz w:val="20"/>
              </w:rPr>
            </w:pPr>
            <w:r>
              <w:rPr>
                <w:rFonts w:asciiTheme="majorHAnsi" w:hAnsiTheme="majorHAnsi" w:cstheme="majorHAnsi"/>
                <w:b/>
                <w:iCs/>
                <w:sz w:val="20"/>
              </w:rPr>
              <w:t>% agreement</w:t>
            </w:r>
          </w:p>
        </w:tc>
        <w:tc>
          <w:tcPr>
            <w:tcW w:w="1417" w:type="dxa"/>
            <w:tcBorders>
              <w:left w:val="nil"/>
              <w:bottom w:val="nil"/>
              <w:right w:val="nil"/>
            </w:tcBorders>
            <w:shd w:val="clear" w:color="auto" w:fill="D9D9D9" w:themeFill="background1" w:themeFillShade="D9"/>
            <w:vAlign w:val="center"/>
          </w:tcPr>
          <w:p w14:paraId="602AFDC7" w14:textId="5F2906E6"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b/>
                <w:iCs/>
                <w:sz w:val="20"/>
              </w:rPr>
              <w:t>Fleiss’ Kappa</w:t>
            </w:r>
          </w:p>
        </w:tc>
        <w:tc>
          <w:tcPr>
            <w:tcW w:w="2410" w:type="dxa"/>
            <w:tcBorders>
              <w:left w:val="nil"/>
              <w:bottom w:val="nil"/>
              <w:right w:val="nil"/>
            </w:tcBorders>
            <w:shd w:val="clear" w:color="auto" w:fill="D9D9D9" w:themeFill="background1" w:themeFillShade="D9"/>
            <w:vAlign w:val="center"/>
          </w:tcPr>
          <w:p w14:paraId="6C569761" w14:textId="401992A9"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b/>
                <w:iCs/>
                <w:sz w:val="20"/>
              </w:rPr>
              <w:t>95% Confidence Interval</w:t>
            </w:r>
          </w:p>
        </w:tc>
      </w:tr>
      <w:tr w:rsidR="00115E01" w:rsidRPr="007F6456" w14:paraId="66F07F63" w14:textId="77777777" w:rsidTr="003A17C2">
        <w:trPr>
          <w:trHeight w:hRule="exact" w:val="509"/>
          <w:jc w:val="center"/>
        </w:trPr>
        <w:tc>
          <w:tcPr>
            <w:tcW w:w="3119" w:type="dxa"/>
            <w:tcBorders>
              <w:left w:val="nil"/>
              <w:bottom w:val="nil"/>
              <w:right w:val="nil"/>
            </w:tcBorders>
            <w:shd w:val="clear" w:color="auto" w:fill="D9D9D9" w:themeFill="background1" w:themeFillShade="D9"/>
            <w:vAlign w:val="center"/>
          </w:tcPr>
          <w:p w14:paraId="5F278E80" w14:textId="54536B22" w:rsidR="00115E01" w:rsidRPr="007F6456" w:rsidRDefault="003A17C2" w:rsidP="003C27E2">
            <w:pPr>
              <w:spacing w:line="360" w:lineRule="auto"/>
              <w:rPr>
                <w:rFonts w:asciiTheme="majorHAnsi" w:hAnsiTheme="majorHAnsi" w:cstheme="majorHAnsi"/>
                <w:b/>
                <w:bCs/>
                <w:sz w:val="20"/>
              </w:rPr>
            </w:pPr>
            <w:r>
              <w:rPr>
                <w:rFonts w:asciiTheme="majorHAnsi" w:hAnsiTheme="majorHAnsi" w:cstheme="majorHAnsi"/>
                <w:b/>
                <w:bCs/>
                <w:sz w:val="20"/>
              </w:rPr>
              <w:t>5-</w:t>
            </w:r>
            <w:r w:rsidR="00115E01">
              <w:rPr>
                <w:rFonts w:asciiTheme="majorHAnsi" w:hAnsiTheme="majorHAnsi" w:cstheme="majorHAnsi"/>
                <w:b/>
                <w:bCs/>
                <w:sz w:val="20"/>
              </w:rPr>
              <w:t>point classification</w:t>
            </w:r>
          </w:p>
        </w:tc>
        <w:tc>
          <w:tcPr>
            <w:tcW w:w="1559" w:type="dxa"/>
            <w:tcBorders>
              <w:left w:val="nil"/>
              <w:bottom w:val="nil"/>
              <w:right w:val="nil"/>
            </w:tcBorders>
            <w:shd w:val="clear" w:color="auto" w:fill="D9D9D9" w:themeFill="background1" w:themeFillShade="D9"/>
            <w:vAlign w:val="center"/>
          </w:tcPr>
          <w:p w14:paraId="3898B7F1" w14:textId="77777777" w:rsidR="00115E01" w:rsidRDefault="00115E01" w:rsidP="00115E01">
            <w:pPr>
              <w:spacing w:line="360" w:lineRule="auto"/>
              <w:jc w:val="center"/>
              <w:rPr>
                <w:rFonts w:asciiTheme="majorHAnsi" w:hAnsiTheme="majorHAnsi" w:cstheme="majorHAnsi"/>
                <w:b/>
                <w:iCs/>
                <w:sz w:val="20"/>
              </w:rPr>
            </w:pPr>
          </w:p>
        </w:tc>
        <w:tc>
          <w:tcPr>
            <w:tcW w:w="1417" w:type="dxa"/>
            <w:tcBorders>
              <w:left w:val="nil"/>
              <w:bottom w:val="nil"/>
              <w:right w:val="nil"/>
            </w:tcBorders>
            <w:shd w:val="clear" w:color="auto" w:fill="D9D9D9" w:themeFill="background1" w:themeFillShade="D9"/>
            <w:vAlign w:val="center"/>
          </w:tcPr>
          <w:p w14:paraId="0B92A71C" w14:textId="7C99EFFD" w:rsidR="00115E01" w:rsidRDefault="00115E01" w:rsidP="003C27E2">
            <w:pPr>
              <w:spacing w:line="360" w:lineRule="auto"/>
              <w:jc w:val="center"/>
              <w:rPr>
                <w:rFonts w:asciiTheme="majorHAnsi" w:hAnsiTheme="majorHAnsi" w:cstheme="majorHAnsi"/>
                <w:b/>
                <w:iCs/>
                <w:sz w:val="20"/>
              </w:rPr>
            </w:pPr>
          </w:p>
        </w:tc>
        <w:tc>
          <w:tcPr>
            <w:tcW w:w="2410" w:type="dxa"/>
            <w:tcBorders>
              <w:left w:val="nil"/>
              <w:bottom w:val="nil"/>
              <w:right w:val="nil"/>
            </w:tcBorders>
            <w:shd w:val="clear" w:color="auto" w:fill="D9D9D9" w:themeFill="background1" w:themeFillShade="D9"/>
            <w:vAlign w:val="center"/>
          </w:tcPr>
          <w:p w14:paraId="14219226" w14:textId="77777777" w:rsidR="00115E01" w:rsidRDefault="00115E01" w:rsidP="003C27E2">
            <w:pPr>
              <w:spacing w:line="360" w:lineRule="auto"/>
              <w:jc w:val="center"/>
              <w:rPr>
                <w:rFonts w:asciiTheme="majorHAnsi" w:hAnsiTheme="majorHAnsi" w:cstheme="majorHAnsi"/>
                <w:b/>
                <w:iCs/>
                <w:sz w:val="20"/>
              </w:rPr>
            </w:pPr>
          </w:p>
        </w:tc>
      </w:tr>
      <w:tr w:rsidR="00115E01" w:rsidRPr="007F6456" w14:paraId="63DDAD82" w14:textId="77777777" w:rsidTr="003A17C2">
        <w:trPr>
          <w:trHeight w:hRule="exact" w:val="454"/>
          <w:jc w:val="center"/>
        </w:trPr>
        <w:tc>
          <w:tcPr>
            <w:tcW w:w="3119" w:type="dxa"/>
            <w:tcBorders>
              <w:left w:val="nil"/>
              <w:bottom w:val="nil"/>
              <w:right w:val="nil"/>
            </w:tcBorders>
            <w:vAlign w:val="center"/>
          </w:tcPr>
          <w:p w14:paraId="733C07A8" w14:textId="6DAA9193" w:rsidR="00115E01" w:rsidRPr="006D3C47" w:rsidRDefault="00115E01" w:rsidP="003C27E2">
            <w:pPr>
              <w:spacing w:line="360" w:lineRule="auto"/>
              <w:rPr>
                <w:rFonts w:asciiTheme="majorHAnsi" w:hAnsiTheme="majorHAnsi" w:cstheme="majorHAnsi"/>
                <w:i/>
                <w:iCs/>
                <w:sz w:val="20"/>
              </w:rPr>
            </w:pPr>
            <w:r w:rsidRPr="006D3C47">
              <w:rPr>
                <w:rFonts w:asciiTheme="majorHAnsi" w:hAnsiTheme="majorHAnsi" w:cstheme="majorHAnsi"/>
                <w:i/>
                <w:iCs/>
                <w:sz w:val="20"/>
              </w:rPr>
              <w:t>LNR</w:t>
            </w:r>
            <w:r>
              <w:rPr>
                <w:rFonts w:asciiTheme="majorHAnsi" w:hAnsiTheme="majorHAnsi" w:cstheme="majorHAnsi"/>
                <w:i/>
                <w:iCs/>
                <w:sz w:val="20"/>
              </w:rPr>
              <w:t xml:space="preserve">S </w:t>
            </w:r>
            <w:r>
              <w:rPr>
                <w:rFonts w:asciiTheme="majorHAnsi" w:hAnsiTheme="majorHAnsi" w:cstheme="majorHAnsi"/>
                <w:i/>
                <w:iCs/>
                <w:sz w:val="20"/>
                <w:vertAlign w:val="superscript"/>
              </w:rPr>
              <w:t>a</w:t>
            </w:r>
            <w:r w:rsidRPr="006D3C47">
              <w:rPr>
                <w:rFonts w:asciiTheme="majorHAnsi" w:hAnsiTheme="majorHAnsi" w:cstheme="majorHAnsi"/>
                <w:i/>
                <w:iCs/>
                <w:sz w:val="20"/>
              </w:rPr>
              <w:t xml:space="preserve"> 1</w:t>
            </w:r>
          </w:p>
        </w:tc>
        <w:tc>
          <w:tcPr>
            <w:tcW w:w="1559" w:type="dxa"/>
            <w:tcBorders>
              <w:left w:val="nil"/>
              <w:bottom w:val="nil"/>
              <w:right w:val="nil"/>
            </w:tcBorders>
            <w:vAlign w:val="center"/>
          </w:tcPr>
          <w:p w14:paraId="7A0DA6ED" w14:textId="7FF751D1"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93.3%</w:t>
            </w:r>
          </w:p>
        </w:tc>
        <w:tc>
          <w:tcPr>
            <w:tcW w:w="1417" w:type="dxa"/>
            <w:tcBorders>
              <w:left w:val="nil"/>
              <w:bottom w:val="nil"/>
              <w:right w:val="nil"/>
            </w:tcBorders>
            <w:vAlign w:val="center"/>
          </w:tcPr>
          <w:p w14:paraId="25C3B4FF" w14:textId="55D57C48"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0.96</w:t>
            </w:r>
          </w:p>
        </w:tc>
        <w:tc>
          <w:tcPr>
            <w:tcW w:w="2410" w:type="dxa"/>
            <w:tcBorders>
              <w:left w:val="nil"/>
              <w:bottom w:val="nil"/>
              <w:right w:val="nil"/>
            </w:tcBorders>
            <w:vAlign w:val="center"/>
          </w:tcPr>
          <w:p w14:paraId="60035B39" w14:textId="735E721B"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0.90-1.02</w:t>
            </w:r>
          </w:p>
        </w:tc>
      </w:tr>
      <w:tr w:rsidR="00115E01" w:rsidRPr="007F6456" w14:paraId="06E2A451" w14:textId="77777777" w:rsidTr="003A17C2">
        <w:trPr>
          <w:trHeight w:hRule="exact" w:val="454"/>
          <w:jc w:val="center"/>
        </w:trPr>
        <w:tc>
          <w:tcPr>
            <w:tcW w:w="3119" w:type="dxa"/>
            <w:tcBorders>
              <w:top w:val="nil"/>
              <w:left w:val="nil"/>
              <w:bottom w:val="nil"/>
              <w:right w:val="nil"/>
            </w:tcBorders>
            <w:vAlign w:val="center"/>
          </w:tcPr>
          <w:p w14:paraId="6FEE6C62" w14:textId="7D198294" w:rsidR="00115E01" w:rsidRPr="006D3C47" w:rsidRDefault="00115E01" w:rsidP="003C27E2">
            <w:pPr>
              <w:spacing w:line="360" w:lineRule="auto"/>
              <w:rPr>
                <w:rFonts w:asciiTheme="majorHAnsi" w:hAnsiTheme="majorHAnsi" w:cstheme="majorHAnsi"/>
                <w:i/>
                <w:iCs/>
                <w:sz w:val="20"/>
              </w:rPr>
            </w:pPr>
            <w:r w:rsidRPr="006D3C47">
              <w:rPr>
                <w:rFonts w:asciiTheme="majorHAnsi" w:hAnsiTheme="majorHAnsi" w:cstheme="majorHAnsi"/>
                <w:i/>
                <w:iCs/>
                <w:sz w:val="20"/>
              </w:rPr>
              <w:t>LNRS 2</w:t>
            </w:r>
          </w:p>
        </w:tc>
        <w:tc>
          <w:tcPr>
            <w:tcW w:w="1559" w:type="dxa"/>
            <w:tcBorders>
              <w:top w:val="nil"/>
              <w:left w:val="nil"/>
              <w:bottom w:val="nil"/>
              <w:right w:val="nil"/>
            </w:tcBorders>
            <w:vAlign w:val="center"/>
          </w:tcPr>
          <w:p w14:paraId="707BF264" w14:textId="0D2644DA"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82.2%</w:t>
            </w:r>
          </w:p>
        </w:tc>
        <w:tc>
          <w:tcPr>
            <w:tcW w:w="1417" w:type="dxa"/>
            <w:tcBorders>
              <w:top w:val="nil"/>
              <w:left w:val="nil"/>
              <w:bottom w:val="nil"/>
              <w:right w:val="nil"/>
            </w:tcBorders>
            <w:vAlign w:val="center"/>
          </w:tcPr>
          <w:p w14:paraId="0893D8A8" w14:textId="78C9CAF4"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0.80</w:t>
            </w:r>
          </w:p>
        </w:tc>
        <w:tc>
          <w:tcPr>
            <w:tcW w:w="2410" w:type="dxa"/>
            <w:tcBorders>
              <w:top w:val="nil"/>
              <w:left w:val="nil"/>
              <w:bottom w:val="nil"/>
              <w:right w:val="nil"/>
            </w:tcBorders>
            <w:vAlign w:val="center"/>
          </w:tcPr>
          <w:p w14:paraId="2AEB6805" w14:textId="559FFF87"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0.74-0.86</w:t>
            </w:r>
          </w:p>
        </w:tc>
      </w:tr>
      <w:tr w:rsidR="00115E01" w:rsidRPr="007F6456" w14:paraId="6E75C7E0" w14:textId="77777777" w:rsidTr="003A17C2">
        <w:trPr>
          <w:trHeight w:hRule="exact" w:val="454"/>
          <w:jc w:val="center"/>
        </w:trPr>
        <w:tc>
          <w:tcPr>
            <w:tcW w:w="3119" w:type="dxa"/>
            <w:tcBorders>
              <w:top w:val="nil"/>
              <w:left w:val="nil"/>
              <w:bottom w:val="nil"/>
              <w:right w:val="nil"/>
            </w:tcBorders>
            <w:vAlign w:val="center"/>
          </w:tcPr>
          <w:p w14:paraId="5CC4877F" w14:textId="77CCB770" w:rsidR="00115E01" w:rsidRPr="006D3C47" w:rsidRDefault="00115E01" w:rsidP="003C27E2">
            <w:pPr>
              <w:spacing w:line="360" w:lineRule="auto"/>
              <w:rPr>
                <w:rFonts w:asciiTheme="majorHAnsi" w:hAnsiTheme="majorHAnsi" w:cstheme="majorHAnsi"/>
                <w:i/>
                <w:iCs/>
                <w:sz w:val="20"/>
              </w:rPr>
            </w:pPr>
            <w:r w:rsidRPr="006D3C47">
              <w:rPr>
                <w:rFonts w:asciiTheme="majorHAnsi" w:hAnsiTheme="majorHAnsi" w:cstheme="majorHAnsi"/>
                <w:i/>
                <w:iCs/>
                <w:sz w:val="20"/>
              </w:rPr>
              <w:t>LNRS 3</w:t>
            </w:r>
          </w:p>
        </w:tc>
        <w:tc>
          <w:tcPr>
            <w:tcW w:w="1559" w:type="dxa"/>
            <w:tcBorders>
              <w:top w:val="nil"/>
              <w:left w:val="nil"/>
              <w:bottom w:val="nil"/>
              <w:right w:val="nil"/>
            </w:tcBorders>
            <w:vAlign w:val="center"/>
          </w:tcPr>
          <w:p w14:paraId="7AF41511" w14:textId="0B5CBA89" w:rsidR="00115E01" w:rsidRPr="006D3C47"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62.7%</w:t>
            </w:r>
          </w:p>
        </w:tc>
        <w:tc>
          <w:tcPr>
            <w:tcW w:w="1417" w:type="dxa"/>
            <w:tcBorders>
              <w:top w:val="nil"/>
              <w:left w:val="nil"/>
              <w:bottom w:val="nil"/>
              <w:right w:val="nil"/>
            </w:tcBorders>
            <w:vAlign w:val="center"/>
          </w:tcPr>
          <w:p w14:paraId="49933181" w14:textId="5E0EDAFD" w:rsidR="00115E01" w:rsidRPr="006D3C47" w:rsidRDefault="00115E01" w:rsidP="003C27E2">
            <w:pPr>
              <w:spacing w:line="360" w:lineRule="auto"/>
              <w:jc w:val="center"/>
              <w:rPr>
                <w:rFonts w:asciiTheme="majorHAnsi" w:hAnsiTheme="majorHAnsi" w:cstheme="majorHAnsi"/>
                <w:sz w:val="20"/>
              </w:rPr>
            </w:pPr>
            <w:r w:rsidRPr="006D3C47">
              <w:rPr>
                <w:rFonts w:asciiTheme="majorHAnsi" w:hAnsiTheme="majorHAnsi" w:cstheme="majorHAnsi"/>
                <w:sz w:val="20"/>
              </w:rPr>
              <w:t>0.60</w:t>
            </w:r>
          </w:p>
        </w:tc>
        <w:tc>
          <w:tcPr>
            <w:tcW w:w="2410" w:type="dxa"/>
            <w:tcBorders>
              <w:top w:val="nil"/>
              <w:left w:val="nil"/>
              <w:bottom w:val="nil"/>
              <w:right w:val="nil"/>
            </w:tcBorders>
            <w:vAlign w:val="center"/>
          </w:tcPr>
          <w:p w14:paraId="2EDF00B9" w14:textId="77AB2142" w:rsidR="00115E01" w:rsidRPr="006D3C47" w:rsidRDefault="00115E01" w:rsidP="003C27E2">
            <w:pPr>
              <w:spacing w:line="360" w:lineRule="auto"/>
              <w:jc w:val="center"/>
              <w:rPr>
                <w:rFonts w:asciiTheme="majorHAnsi" w:hAnsiTheme="majorHAnsi" w:cstheme="majorHAnsi"/>
                <w:sz w:val="20"/>
              </w:rPr>
            </w:pPr>
            <w:r w:rsidRPr="006D3C47">
              <w:rPr>
                <w:rFonts w:asciiTheme="majorHAnsi" w:hAnsiTheme="majorHAnsi" w:cstheme="majorHAnsi"/>
                <w:sz w:val="20"/>
              </w:rPr>
              <w:t>0.54-0.66</w:t>
            </w:r>
          </w:p>
        </w:tc>
      </w:tr>
      <w:tr w:rsidR="00115E01" w:rsidRPr="007F6456" w14:paraId="7C0D60EC" w14:textId="77777777" w:rsidTr="003A17C2">
        <w:trPr>
          <w:trHeight w:hRule="exact" w:val="454"/>
          <w:jc w:val="center"/>
        </w:trPr>
        <w:tc>
          <w:tcPr>
            <w:tcW w:w="3119" w:type="dxa"/>
            <w:tcBorders>
              <w:top w:val="nil"/>
              <w:left w:val="nil"/>
              <w:bottom w:val="nil"/>
              <w:right w:val="nil"/>
            </w:tcBorders>
            <w:vAlign w:val="center"/>
          </w:tcPr>
          <w:p w14:paraId="6B79B25A" w14:textId="53BAAB85" w:rsidR="00115E01" w:rsidRPr="006D3C47" w:rsidRDefault="00115E01" w:rsidP="003C27E2">
            <w:pPr>
              <w:spacing w:line="360" w:lineRule="auto"/>
              <w:rPr>
                <w:rFonts w:asciiTheme="majorHAnsi" w:hAnsiTheme="majorHAnsi" w:cstheme="majorHAnsi"/>
                <w:i/>
                <w:iCs/>
                <w:sz w:val="20"/>
              </w:rPr>
            </w:pPr>
            <w:r w:rsidRPr="006D3C47">
              <w:rPr>
                <w:rFonts w:asciiTheme="majorHAnsi" w:hAnsiTheme="majorHAnsi" w:cstheme="majorHAnsi"/>
                <w:i/>
                <w:iCs/>
                <w:sz w:val="20"/>
              </w:rPr>
              <w:t>LNRS 4</w:t>
            </w:r>
          </w:p>
        </w:tc>
        <w:tc>
          <w:tcPr>
            <w:tcW w:w="1559" w:type="dxa"/>
            <w:tcBorders>
              <w:top w:val="nil"/>
              <w:left w:val="nil"/>
              <w:bottom w:val="nil"/>
              <w:right w:val="nil"/>
            </w:tcBorders>
            <w:vAlign w:val="center"/>
          </w:tcPr>
          <w:p w14:paraId="250826EC" w14:textId="32BC6006"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72.7%</w:t>
            </w:r>
          </w:p>
        </w:tc>
        <w:tc>
          <w:tcPr>
            <w:tcW w:w="1417" w:type="dxa"/>
            <w:tcBorders>
              <w:top w:val="nil"/>
              <w:left w:val="nil"/>
              <w:bottom w:val="nil"/>
              <w:right w:val="nil"/>
            </w:tcBorders>
            <w:vAlign w:val="center"/>
          </w:tcPr>
          <w:p w14:paraId="22EBF64A" w14:textId="3E9B6D53"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0.61</w:t>
            </w:r>
          </w:p>
        </w:tc>
        <w:tc>
          <w:tcPr>
            <w:tcW w:w="2410" w:type="dxa"/>
            <w:tcBorders>
              <w:top w:val="nil"/>
              <w:left w:val="nil"/>
              <w:bottom w:val="nil"/>
              <w:right w:val="nil"/>
            </w:tcBorders>
            <w:vAlign w:val="center"/>
          </w:tcPr>
          <w:p w14:paraId="51543372" w14:textId="1CD26047"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0.55-0.67</w:t>
            </w:r>
          </w:p>
        </w:tc>
      </w:tr>
      <w:tr w:rsidR="00115E01" w:rsidRPr="007F6456" w14:paraId="0B684AC6" w14:textId="77777777" w:rsidTr="003A17C2">
        <w:trPr>
          <w:trHeight w:hRule="exact" w:val="454"/>
          <w:jc w:val="center"/>
        </w:trPr>
        <w:tc>
          <w:tcPr>
            <w:tcW w:w="3119" w:type="dxa"/>
            <w:tcBorders>
              <w:top w:val="nil"/>
              <w:left w:val="nil"/>
              <w:bottom w:val="nil"/>
              <w:right w:val="nil"/>
            </w:tcBorders>
            <w:vAlign w:val="center"/>
          </w:tcPr>
          <w:p w14:paraId="30399787" w14:textId="5775A2C1" w:rsidR="00115E01" w:rsidRPr="006D3C47" w:rsidRDefault="00115E01" w:rsidP="003C27E2">
            <w:pPr>
              <w:spacing w:line="360" w:lineRule="auto"/>
              <w:rPr>
                <w:rFonts w:asciiTheme="majorHAnsi" w:hAnsiTheme="majorHAnsi" w:cstheme="majorHAnsi"/>
                <w:i/>
                <w:iCs/>
                <w:sz w:val="20"/>
              </w:rPr>
            </w:pPr>
            <w:r w:rsidRPr="006D3C47">
              <w:rPr>
                <w:rFonts w:asciiTheme="majorHAnsi" w:hAnsiTheme="majorHAnsi" w:cstheme="majorHAnsi"/>
                <w:i/>
                <w:iCs/>
                <w:sz w:val="20"/>
              </w:rPr>
              <w:t>LNRS 5</w:t>
            </w:r>
          </w:p>
        </w:tc>
        <w:tc>
          <w:tcPr>
            <w:tcW w:w="1559" w:type="dxa"/>
            <w:tcBorders>
              <w:top w:val="nil"/>
              <w:left w:val="nil"/>
              <w:bottom w:val="nil"/>
              <w:right w:val="nil"/>
            </w:tcBorders>
            <w:vAlign w:val="center"/>
          </w:tcPr>
          <w:p w14:paraId="13FFE431" w14:textId="319014F2"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77.8%</w:t>
            </w:r>
          </w:p>
        </w:tc>
        <w:tc>
          <w:tcPr>
            <w:tcW w:w="1417" w:type="dxa"/>
            <w:tcBorders>
              <w:top w:val="nil"/>
              <w:left w:val="nil"/>
              <w:bottom w:val="nil"/>
              <w:right w:val="nil"/>
            </w:tcBorders>
            <w:vAlign w:val="center"/>
          </w:tcPr>
          <w:p w14:paraId="100A96AC" w14:textId="44C9FD1C"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0.77</w:t>
            </w:r>
          </w:p>
        </w:tc>
        <w:tc>
          <w:tcPr>
            <w:tcW w:w="2410" w:type="dxa"/>
            <w:tcBorders>
              <w:top w:val="nil"/>
              <w:left w:val="nil"/>
              <w:bottom w:val="nil"/>
              <w:right w:val="nil"/>
            </w:tcBorders>
            <w:vAlign w:val="center"/>
          </w:tcPr>
          <w:p w14:paraId="0142ED2D" w14:textId="74CAF07E"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0.71-0.83</w:t>
            </w:r>
          </w:p>
        </w:tc>
      </w:tr>
      <w:tr w:rsidR="00115E01" w:rsidRPr="007F6456" w14:paraId="7C57C8E9" w14:textId="77777777" w:rsidTr="003A17C2">
        <w:trPr>
          <w:trHeight w:hRule="exact" w:val="454"/>
          <w:jc w:val="center"/>
        </w:trPr>
        <w:tc>
          <w:tcPr>
            <w:tcW w:w="3119" w:type="dxa"/>
            <w:tcBorders>
              <w:top w:val="nil"/>
              <w:left w:val="nil"/>
              <w:bottom w:val="single" w:sz="4" w:space="0" w:color="auto"/>
              <w:right w:val="nil"/>
            </w:tcBorders>
            <w:vAlign w:val="center"/>
          </w:tcPr>
          <w:p w14:paraId="49307B56" w14:textId="4AC9F610" w:rsidR="00115E01" w:rsidRPr="003A17C2" w:rsidRDefault="00115E01" w:rsidP="003C27E2">
            <w:pPr>
              <w:spacing w:line="360" w:lineRule="auto"/>
              <w:rPr>
                <w:rFonts w:asciiTheme="majorHAnsi" w:hAnsiTheme="majorHAnsi" w:cstheme="majorHAnsi"/>
                <w:i/>
                <w:iCs/>
                <w:sz w:val="20"/>
                <w:vertAlign w:val="superscript"/>
              </w:rPr>
            </w:pPr>
            <w:r w:rsidRPr="006D3C47">
              <w:rPr>
                <w:rFonts w:asciiTheme="majorHAnsi" w:hAnsiTheme="majorHAnsi" w:cstheme="majorHAnsi"/>
                <w:i/>
                <w:iCs/>
                <w:sz w:val="20"/>
              </w:rPr>
              <w:t>Negative node</w:t>
            </w:r>
          </w:p>
        </w:tc>
        <w:tc>
          <w:tcPr>
            <w:tcW w:w="1559" w:type="dxa"/>
            <w:tcBorders>
              <w:top w:val="nil"/>
              <w:left w:val="nil"/>
              <w:bottom w:val="single" w:sz="4" w:space="0" w:color="auto"/>
              <w:right w:val="nil"/>
            </w:tcBorders>
            <w:vAlign w:val="center"/>
          </w:tcPr>
          <w:p w14:paraId="292DB6B6" w14:textId="0C5F58C4"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100%</w:t>
            </w:r>
          </w:p>
        </w:tc>
        <w:tc>
          <w:tcPr>
            <w:tcW w:w="1417" w:type="dxa"/>
            <w:tcBorders>
              <w:top w:val="nil"/>
              <w:left w:val="nil"/>
              <w:bottom w:val="single" w:sz="4" w:space="0" w:color="auto"/>
              <w:right w:val="nil"/>
            </w:tcBorders>
            <w:vAlign w:val="center"/>
          </w:tcPr>
          <w:p w14:paraId="4BF297D4" w14:textId="5AE1F2D5"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1.00</w:t>
            </w:r>
          </w:p>
        </w:tc>
        <w:tc>
          <w:tcPr>
            <w:tcW w:w="2410" w:type="dxa"/>
            <w:tcBorders>
              <w:top w:val="nil"/>
              <w:left w:val="nil"/>
              <w:bottom w:val="single" w:sz="4" w:space="0" w:color="auto"/>
              <w:right w:val="nil"/>
            </w:tcBorders>
            <w:vAlign w:val="center"/>
          </w:tcPr>
          <w:p w14:paraId="34B77031" w14:textId="40C8BE8D"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0.94-1.06</w:t>
            </w:r>
          </w:p>
        </w:tc>
      </w:tr>
      <w:tr w:rsidR="00115E01" w:rsidRPr="007F6456" w14:paraId="4C5CD25C" w14:textId="77777777" w:rsidTr="003A17C2">
        <w:trPr>
          <w:trHeight w:hRule="exact" w:val="454"/>
          <w:jc w:val="center"/>
        </w:trPr>
        <w:tc>
          <w:tcPr>
            <w:tcW w:w="3119" w:type="dxa"/>
            <w:tcBorders>
              <w:top w:val="nil"/>
              <w:left w:val="nil"/>
              <w:bottom w:val="single" w:sz="4" w:space="0" w:color="auto"/>
              <w:right w:val="nil"/>
            </w:tcBorders>
            <w:vAlign w:val="center"/>
          </w:tcPr>
          <w:p w14:paraId="7D6184D0" w14:textId="0C1DE629" w:rsidR="00115E01" w:rsidRDefault="00115E01" w:rsidP="003C27E2">
            <w:pPr>
              <w:spacing w:line="360" w:lineRule="auto"/>
              <w:rPr>
                <w:rFonts w:asciiTheme="majorHAnsi" w:hAnsiTheme="majorHAnsi" w:cstheme="majorHAnsi"/>
                <w:b/>
                <w:bCs/>
                <w:sz w:val="20"/>
              </w:rPr>
            </w:pPr>
            <w:r>
              <w:rPr>
                <w:rFonts w:asciiTheme="majorHAnsi" w:hAnsiTheme="majorHAnsi" w:cstheme="majorHAnsi"/>
                <w:b/>
                <w:bCs/>
                <w:sz w:val="20"/>
              </w:rPr>
              <w:t>Overall agreement</w:t>
            </w:r>
          </w:p>
        </w:tc>
        <w:tc>
          <w:tcPr>
            <w:tcW w:w="1559" w:type="dxa"/>
            <w:tcBorders>
              <w:top w:val="nil"/>
              <w:left w:val="nil"/>
              <w:bottom w:val="single" w:sz="4" w:space="0" w:color="auto"/>
              <w:right w:val="nil"/>
            </w:tcBorders>
            <w:vAlign w:val="center"/>
          </w:tcPr>
          <w:p w14:paraId="4B58D4E9" w14:textId="615AF365" w:rsidR="00115E01" w:rsidRPr="006D3C47" w:rsidRDefault="00115E01" w:rsidP="00115E01">
            <w:pPr>
              <w:spacing w:line="360" w:lineRule="auto"/>
              <w:jc w:val="center"/>
              <w:rPr>
                <w:rFonts w:asciiTheme="majorHAnsi" w:hAnsiTheme="majorHAnsi" w:cstheme="majorHAnsi"/>
                <w:b/>
                <w:bCs/>
                <w:sz w:val="20"/>
              </w:rPr>
            </w:pPr>
            <w:r>
              <w:rPr>
                <w:rFonts w:asciiTheme="majorHAnsi" w:hAnsiTheme="majorHAnsi" w:cstheme="majorHAnsi"/>
                <w:b/>
                <w:bCs/>
                <w:sz w:val="20"/>
              </w:rPr>
              <w:t>84.1%</w:t>
            </w:r>
          </w:p>
        </w:tc>
        <w:tc>
          <w:tcPr>
            <w:tcW w:w="1417" w:type="dxa"/>
            <w:tcBorders>
              <w:top w:val="nil"/>
              <w:left w:val="nil"/>
              <w:bottom w:val="single" w:sz="4" w:space="0" w:color="auto"/>
              <w:right w:val="nil"/>
            </w:tcBorders>
            <w:vAlign w:val="center"/>
          </w:tcPr>
          <w:p w14:paraId="722CB016" w14:textId="59C73C15" w:rsidR="00115E01" w:rsidRPr="006D3C47" w:rsidRDefault="00115E01" w:rsidP="003C27E2">
            <w:pPr>
              <w:spacing w:line="360" w:lineRule="auto"/>
              <w:jc w:val="center"/>
              <w:rPr>
                <w:rFonts w:asciiTheme="majorHAnsi" w:hAnsiTheme="majorHAnsi" w:cstheme="majorHAnsi"/>
                <w:b/>
                <w:bCs/>
                <w:sz w:val="20"/>
              </w:rPr>
            </w:pPr>
            <w:r w:rsidRPr="006D3C47">
              <w:rPr>
                <w:rFonts w:asciiTheme="majorHAnsi" w:hAnsiTheme="majorHAnsi" w:cstheme="majorHAnsi"/>
                <w:b/>
                <w:bCs/>
                <w:sz w:val="20"/>
              </w:rPr>
              <w:t>0.76</w:t>
            </w:r>
          </w:p>
        </w:tc>
        <w:tc>
          <w:tcPr>
            <w:tcW w:w="2410" w:type="dxa"/>
            <w:tcBorders>
              <w:top w:val="nil"/>
              <w:left w:val="nil"/>
              <w:bottom w:val="single" w:sz="4" w:space="0" w:color="auto"/>
              <w:right w:val="nil"/>
            </w:tcBorders>
            <w:vAlign w:val="center"/>
          </w:tcPr>
          <w:p w14:paraId="376C2F3C" w14:textId="66D1111E" w:rsidR="00115E01" w:rsidRPr="006D3C47" w:rsidRDefault="00115E01" w:rsidP="003C27E2">
            <w:pPr>
              <w:spacing w:line="360" w:lineRule="auto"/>
              <w:jc w:val="center"/>
              <w:rPr>
                <w:rFonts w:asciiTheme="majorHAnsi" w:hAnsiTheme="majorHAnsi" w:cstheme="majorHAnsi"/>
                <w:b/>
                <w:bCs/>
                <w:sz w:val="20"/>
              </w:rPr>
            </w:pPr>
            <w:r w:rsidRPr="006D3C47">
              <w:rPr>
                <w:rFonts w:asciiTheme="majorHAnsi" w:hAnsiTheme="majorHAnsi" w:cstheme="majorHAnsi"/>
                <w:b/>
                <w:bCs/>
                <w:sz w:val="20"/>
              </w:rPr>
              <w:t>0.74-0.79</w:t>
            </w:r>
          </w:p>
        </w:tc>
      </w:tr>
      <w:tr w:rsidR="00115E01" w:rsidRPr="007F6456" w14:paraId="5522309E" w14:textId="77777777" w:rsidTr="003A17C2">
        <w:trPr>
          <w:trHeight w:hRule="exact" w:val="504"/>
          <w:jc w:val="center"/>
        </w:trPr>
        <w:tc>
          <w:tcPr>
            <w:tcW w:w="3119" w:type="dxa"/>
            <w:tcBorders>
              <w:top w:val="nil"/>
              <w:left w:val="nil"/>
              <w:bottom w:val="single" w:sz="4" w:space="0" w:color="auto"/>
              <w:right w:val="nil"/>
            </w:tcBorders>
            <w:shd w:val="clear" w:color="auto" w:fill="D9D9D9" w:themeFill="background1" w:themeFillShade="D9"/>
            <w:vAlign w:val="center"/>
          </w:tcPr>
          <w:p w14:paraId="71811D91" w14:textId="04C7666D" w:rsidR="00115E01" w:rsidRDefault="003A17C2" w:rsidP="003C27E2">
            <w:pPr>
              <w:spacing w:line="360" w:lineRule="auto"/>
              <w:rPr>
                <w:rFonts w:asciiTheme="majorHAnsi" w:hAnsiTheme="majorHAnsi" w:cstheme="majorHAnsi"/>
                <w:b/>
                <w:bCs/>
                <w:sz w:val="20"/>
              </w:rPr>
            </w:pPr>
            <w:r>
              <w:rPr>
                <w:rFonts w:asciiTheme="majorHAnsi" w:hAnsiTheme="majorHAnsi" w:cstheme="majorHAnsi"/>
                <w:b/>
                <w:bCs/>
                <w:sz w:val="20"/>
              </w:rPr>
              <w:t>3</w:t>
            </w:r>
            <w:r w:rsidR="00115E01">
              <w:rPr>
                <w:rFonts w:asciiTheme="majorHAnsi" w:hAnsiTheme="majorHAnsi" w:cstheme="majorHAnsi"/>
                <w:b/>
                <w:bCs/>
                <w:sz w:val="20"/>
              </w:rPr>
              <w:t>-point classification</w:t>
            </w:r>
          </w:p>
        </w:tc>
        <w:tc>
          <w:tcPr>
            <w:tcW w:w="1559" w:type="dxa"/>
            <w:tcBorders>
              <w:top w:val="nil"/>
              <w:left w:val="nil"/>
              <w:bottom w:val="single" w:sz="4" w:space="0" w:color="auto"/>
              <w:right w:val="nil"/>
            </w:tcBorders>
            <w:shd w:val="clear" w:color="auto" w:fill="D9D9D9" w:themeFill="background1" w:themeFillShade="D9"/>
            <w:vAlign w:val="center"/>
          </w:tcPr>
          <w:p w14:paraId="79F40450" w14:textId="77777777" w:rsidR="00115E01" w:rsidRDefault="00115E01" w:rsidP="00115E01">
            <w:pPr>
              <w:spacing w:line="360" w:lineRule="auto"/>
              <w:jc w:val="center"/>
              <w:rPr>
                <w:rFonts w:asciiTheme="majorHAnsi" w:hAnsiTheme="majorHAnsi" w:cstheme="majorHAnsi"/>
                <w:sz w:val="20"/>
              </w:rPr>
            </w:pPr>
          </w:p>
        </w:tc>
        <w:tc>
          <w:tcPr>
            <w:tcW w:w="1417" w:type="dxa"/>
            <w:tcBorders>
              <w:top w:val="nil"/>
              <w:left w:val="nil"/>
              <w:bottom w:val="single" w:sz="4" w:space="0" w:color="auto"/>
              <w:right w:val="nil"/>
            </w:tcBorders>
            <w:shd w:val="clear" w:color="auto" w:fill="D9D9D9" w:themeFill="background1" w:themeFillShade="D9"/>
            <w:vAlign w:val="center"/>
          </w:tcPr>
          <w:p w14:paraId="32C379F7" w14:textId="29ECBBF9" w:rsidR="00115E01" w:rsidRDefault="00115E01" w:rsidP="003C27E2">
            <w:pPr>
              <w:spacing w:line="360" w:lineRule="auto"/>
              <w:jc w:val="center"/>
              <w:rPr>
                <w:rFonts w:asciiTheme="majorHAnsi" w:hAnsiTheme="majorHAnsi" w:cstheme="majorHAnsi"/>
                <w:sz w:val="20"/>
              </w:rPr>
            </w:pPr>
          </w:p>
        </w:tc>
        <w:tc>
          <w:tcPr>
            <w:tcW w:w="2410" w:type="dxa"/>
            <w:tcBorders>
              <w:top w:val="nil"/>
              <w:left w:val="nil"/>
              <w:bottom w:val="single" w:sz="4" w:space="0" w:color="auto"/>
              <w:right w:val="nil"/>
            </w:tcBorders>
            <w:shd w:val="clear" w:color="auto" w:fill="D9D9D9" w:themeFill="background1" w:themeFillShade="D9"/>
            <w:vAlign w:val="center"/>
          </w:tcPr>
          <w:p w14:paraId="102ACDB4" w14:textId="77777777" w:rsidR="00115E01" w:rsidRDefault="00115E01" w:rsidP="003C27E2">
            <w:pPr>
              <w:spacing w:line="360" w:lineRule="auto"/>
              <w:jc w:val="center"/>
              <w:rPr>
                <w:rFonts w:asciiTheme="majorHAnsi" w:hAnsiTheme="majorHAnsi" w:cstheme="majorHAnsi"/>
                <w:sz w:val="20"/>
              </w:rPr>
            </w:pPr>
          </w:p>
        </w:tc>
      </w:tr>
      <w:tr w:rsidR="00115E01" w:rsidRPr="007F6456" w14:paraId="534C57F7" w14:textId="77777777" w:rsidTr="003A17C2">
        <w:trPr>
          <w:trHeight w:hRule="exact" w:val="454"/>
          <w:jc w:val="center"/>
        </w:trPr>
        <w:tc>
          <w:tcPr>
            <w:tcW w:w="3119" w:type="dxa"/>
            <w:tcBorders>
              <w:top w:val="single" w:sz="4" w:space="0" w:color="auto"/>
              <w:left w:val="nil"/>
              <w:bottom w:val="nil"/>
              <w:right w:val="nil"/>
            </w:tcBorders>
            <w:vAlign w:val="center"/>
          </w:tcPr>
          <w:p w14:paraId="72C5FA4C" w14:textId="15584E64" w:rsidR="00115E01" w:rsidRPr="003A17C2" w:rsidRDefault="00115E01" w:rsidP="003C27E2">
            <w:pPr>
              <w:spacing w:line="360" w:lineRule="auto"/>
              <w:rPr>
                <w:rFonts w:asciiTheme="majorHAnsi" w:hAnsiTheme="majorHAnsi" w:cstheme="majorHAnsi"/>
                <w:i/>
                <w:iCs/>
                <w:sz w:val="20"/>
                <w:vertAlign w:val="superscript"/>
              </w:rPr>
            </w:pPr>
            <w:r w:rsidRPr="006D3C47">
              <w:rPr>
                <w:rFonts w:asciiTheme="majorHAnsi" w:hAnsiTheme="majorHAnsi" w:cstheme="majorHAnsi"/>
                <w:i/>
                <w:iCs/>
                <w:sz w:val="20"/>
              </w:rPr>
              <w:t>Complete nodal response</w:t>
            </w:r>
            <w:r w:rsidR="003A17C2">
              <w:rPr>
                <w:rFonts w:asciiTheme="majorHAnsi" w:hAnsiTheme="majorHAnsi" w:cstheme="majorHAnsi"/>
                <w:i/>
                <w:iCs/>
                <w:sz w:val="20"/>
              </w:rPr>
              <w:t xml:space="preserve"> </w:t>
            </w:r>
            <w:r w:rsidR="003A17C2">
              <w:rPr>
                <w:rFonts w:asciiTheme="majorHAnsi" w:hAnsiTheme="majorHAnsi" w:cstheme="majorHAnsi"/>
                <w:i/>
                <w:iCs/>
                <w:sz w:val="20"/>
                <w:vertAlign w:val="superscript"/>
              </w:rPr>
              <w:t>b</w:t>
            </w:r>
          </w:p>
        </w:tc>
        <w:tc>
          <w:tcPr>
            <w:tcW w:w="1559" w:type="dxa"/>
            <w:tcBorders>
              <w:top w:val="single" w:sz="4" w:space="0" w:color="auto"/>
              <w:left w:val="nil"/>
              <w:bottom w:val="nil"/>
              <w:right w:val="nil"/>
            </w:tcBorders>
            <w:vAlign w:val="center"/>
          </w:tcPr>
          <w:p w14:paraId="0BD9B450" w14:textId="3F866084"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93.3%</w:t>
            </w:r>
          </w:p>
        </w:tc>
        <w:tc>
          <w:tcPr>
            <w:tcW w:w="1417" w:type="dxa"/>
            <w:tcBorders>
              <w:top w:val="single" w:sz="4" w:space="0" w:color="auto"/>
              <w:left w:val="nil"/>
              <w:bottom w:val="nil"/>
              <w:right w:val="nil"/>
            </w:tcBorders>
            <w:vAlign w:val="center"/>
          </w:tcPr>
          <w:p w14:paraId="7B9C3223" w14:textId="21566E7F"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0.97</w:t>
            </w:r>
          </w:p>
        </w:tc>
        <w:tc>
          <w:tcPr>
            <w:tcW w:w="2410" w:type="dxa"/>
            <w:tcBorders>
              <w:top w:val="single" w:sz="4" w:space="0" w:color="auto"/>
              <w:left w:val="nil"/>
              <w:bottom w:val="nil"/>
              <w:right w:val="nil"/>
            </w:tcBorders>
            <w:vAlign w:val="center"/>
          </w:tcPr>
          <w:p w14:paraId="323C5330" w14:textId="79813F98"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0.90-1.02</w:t>
            </w:r>
          </w:p>
        </w:tc>
      </w:tr>
      <w:tr w:rsidR="00115E01" w:rsidRPr="007F6456" w14:paraId="0017FF26" w14:textId="77777777" w:rsidTr="003A17C2">
        <w:trPr>
          <w:trHeight w:hRule="exact" w:val="454"/>
          <w:jc w:val="center"/>
        </w:trPr>
        <w:tc>
          <w:tcPr>
            <w:tcW w:w="3119" w:type="dxa"/>
            <w:tcBorders>
              <w:top w:val="nil"/>
              <w:left w:val="nil"/>
              <w:bottom w:val="nil"/>
              <w:right w:val="nil"/>
            </w:tcBorders>
            <w:vAlign w:val="center"/>
          </w:tcPr>
          <w:p w14:paraId="533A5CEB" w14:textId="373EF493" w:rsidR="00115E01" w:rsidRPr="003A17C2" w:rsidRDefault="00115E01" w:rsidP="003C27E2">
            <w:pPr>
              <w:spacing w:line="360" w:lineRule="auto"/>
              <w:rPr>
                <w:rFonts w:asciiTheme="majorHAnsi" w:hAnsiTheme="majorHAnsi" w:cstheme="majorHAnsi"/>
                <w:i/>
                <w:iCs/>
                <w:sz w:val="20"/>
                <w:vertAlign w:val="superscript"/>
              </w:rPr>
            </w:pPr>
            <w:r w:rsidRPr="006D3C47">
              <w:rPr>
                <w:rFonts w:asciiTheme="majorHAnsi" w:hAnsiTheme="majorHAnsi" w:cstheme="majorHAnsi"/>
                <w:i/>
                <w:iCs/>
                <w:sz w:val="20"/>
              </w:rPr>
              <w:t>Partial nodal response</w:t>
            </w:r>
            <w:r w:rsidR="003A17C2">
              <w:rPr>
                <w:rFonts w:asciiTheme="majorHAnsi" w:hAnsiTheme="majorHAnsi" w:cstheme="majorHAnsi"/>
                <w:i/>
                <w:iCs/>
                <w:sz w:val="20"/>
              </w:rPr>
              <w:t xml:space="preserve"> </w:t>
            </w:r>
            <w:r w:rsidR="003A17C2">
              <w:rPr>
                <w:rFonts w:asciiTheme="majorHAnsi" w:hAnsiTheme="majorHAnsi" w:cstheme="majorHAnsi"/>
                <w:i/>
                <w:iCs/>
                <w:sz w:val="20"/>
                <w:vertAlign w:val="superscript"/>
              </w:rPr>
              <w:t>c</w:t>
            </w:r>
          </w:p>
        </w:tc>
        <w:tc>
          <w:tcPr>
            <w:tcW w:w="1559" w:type="dxa"/>
            <w:tcBorders>
              <w:top w:val="nil"/>
              <w:left w:val="nil"/>
              <w:bottom w:val="nil"/>
              <w:right w:val="nil"/>
            </w:tcBorders>
            <w:vAlign w:val="center"/>
          </w:tcPr>
          <w:p w14:paraId="72EBCE34" w14:textId="5D51F2C1" w:rsidR="00115E01" w:rsidRPr="006D3C47"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81.5%</w:t>
            </w:r>
          </w:p>
        </w:tc>
        <w:tc>
          <w:tcPr>
            <w:tcW w:w="1417" w:type="dxa"/>
            <w:tcBorders>
              <w:top w:val="nil"/>
              <w:left w:val="nil"/>
              <w:bottom w:val="nil"/>
              <w:right w:val="nil"/>
            </w:tcBorders>
            <w:vAlign w:val="center"/>
          </w:tcPr>
          <w:p w14:paraId="364737F6" w14:textId="39E7210D" w:rsidR="00115E01" w:rsidRPr="006D3C47" w:rsidRDefault="00115E01" w:rsidP="003C27E2">
            <w:pPr>
              <w:spacing w:line="360" w:lineRule="auto"/>
              <w:jc w:val="center"/>
              <w:rPr>
                <w:rFonts w:asciiTheme="majorHAnsi" w:hAnsiTheme="majorHAnsi" w:cstheme="majorHAnsi"/>
                <w:sz w:val="20"/>
              </w:rPr>
            </w:pPr>
            <w:r w:rsidRPr="006D3C47">
              <w:rPr>
                <w:rFonts w:asciiTheme="majorHAnsi" w:hAnsiTheme="majorHAnsi" w:cstheme="majorHAnsi"/>
                <w:sz w:val="20"/>
              </w:rPr>
              <w:t>0.87</w:t>
            </w:r>
          </w:p>
        </w:tc>
        <w:tc>
          <w:tcPr>
            <w:tcW w:w="2410" w:type="dxa"/>
            <w:tcBorders>
              <w:top w:val="nil"/>
              <w:left w:val="nil"/>
              <w:bottom w:val="nil"/>
              <w:right w:val="nil"/>
            </w:tcBorders>
            <w:vAlign w:val="center"/>
          </w:tcPr>
          <w:p w14:paraId="653A9E9C" w14:textId="5B7C6E29" w:rsidR="00115E01" w:rsidRPr="006D3C47" w:rsidRDefault="00115E01" w:rsidP="003C27E2">
            <w:pPr>
              <w:spacing w:line="360" w:lineRule="auto"/>
              <w:jc w:val="center"/>
              <w:rPr>
                <w:rFonts w:asciiTheme="majorHAnsi" w:hAnsiTheme="majorHAnsi" w:cstheme="majorHAnsi"/>
                <w:sz w:val="20"/>
              </w:rPr>
            </w:pPr>
            <w:r w:rsidRPr="006D3C47">
              <w:rPr>
                <w:rFonts w:asciiTheme="majorHAnsi" w:hAnsiTheme="majorHAnsi" w:cstheme="majorHAnsi"/>
                <w:sz w:val="20"/>
              </w:rPr>
              <w:t>0.74-0.86</w:t>
            </w:r>
          </w:p>
        </w:tc>
      </w:tr>
      <w:tr w:rsidR="00115E01" w:rsidRPr="007F6456" w14:paraId="0F572EB8" w14:textId="77777777" w:rsidTr="003A17C2">
        <w:trPr>
          <w:trHeight w:hRule="exact" w:val="454"/>
          <w:jc w:val="center"/>
        </w:trPr>
        <w:tc>
          <w:tcPr>
            <w:tcW w:w="3119" w:type="dxa"/>
            <w:tcBorders>
              <w:top w:val="nil"/>
              <w:left w:val="nil"/>
              <w:bottom w:val="nil"/>
              <w:right w:val="nil"/>
            </w:tcBorders>
            <w:vAlign w:val="center"/>
          </w:tcPr>
          <w:p w14:paraId="6B1B1671" w14:textId="43A87A90" w:rsidR="00115E01" w:rsidRPr="003A17C2" w:rsidRDefault="00115E01" w:rsidP="003C27E2">
            <w:pPr>
              <w:spacing w:line="360" w:lineRule="auto"/>
              <w:rPr>
                <w:rFonts w:asciiTheme="majorHAnsi" w:hAnsiTheme="majorHAnsi" w:cstheme="majorHAnsi"/>
                <w:i/>
                <w:iCs/>
                <w:sz w:val="20"/>
                <w:vertAlign w:val="superscript"/>
              </w:rPr>
            </w:pPr>
            <w:r>
              <w:rPr>
                <w:rFonts w:asciiTheme="majorHAnsi" w:hAnsiTheme="majorHAnsi" w:cstheme="majorHAnsi"/>
                <w:i/>
                <w:iCs/>
                <w:sz w:val="20"/>
              </w:rPr>
              <w:t>Poor / no</w:t>
            </w:r>
            <w:r w:rsidRPr="006D3C47">
              <w:rPr>
                <w:rFonts w:asciiTheme="majorHAnsi" w:hAnsiTheme="majorHAnsi" w:cstheme="majorHAnsi"/>
                <w:i/>
                <w:iCs/>
                <w:sz w:val="20"/>
              </w:rPr>
              <w:t xml:space="preserve"> </w:t>
            </w:r>
            <w:r w:rsidR="00850628">
              <w:rPr>
                <w:rFonts w:asciiTheme="majorHAnsi" w:hAnsiTheme="majorHAnsi" w:cstheme="majorHAnsi"/>
                <w:i/>
                <w:iCs/>
                <w:sz w:val="20"/>
              </w:rPr>
              <w:t xml:space="preserve">nodal </w:t>
            </w:r>
            <w:r w:rsidRPr="006D3C47">
              <w:rPr>
                <w:rFonts w:asciiTheme="majorHAnsi" w:hAnsiTheme="majorHAnsi" w:cstheme="majorHAnsi"/>
                <w:i/>
                <w:iCs/>
                <w:sz w:val="20"/>
              </w:rPr>
              <w:t>response</w:t>
            </w:r>
            <w:r w:rsidR="003A17C2">
              <w:rPr>
                <w:rFonts w:asciiTheme="majorHAnsi" w:hAnsiTheme="majorHAnsi" w:cstheme="majorHAnsi"/>
                <w:i/>
                <w:iCs/>
                <w:sz w:val="20"/>
              </w:rPr>
              <w:t xml:space="preserve"> </w:t>
            </w:r>
            <w:r w:rsidR="003A17C2">
              <w:rPr>
                <w:rFonts w:asciiTheme="majorHAnsi" w:hAnsiTheme="majorHAnsi" w:cstheme="majorHAnsi"/>
                <w:i/>
                <w:iCs/>
                <w:sz w:val="20"/>
                <w:vertAlign w:val="superscript"/>
              </w:rPr>
              <w:t>d</w:t>
            </w:r>
          </w:p>
        </w:tc>
        <w:tc>
          <w:tcPr>
            <w:tcW w:w="1559" w:type="dxa"/>
            <w:tcBorders>
              <w:top w:val="nil"/>
              <w:left w:val="nil"/>
              <w:bottom w:val="nil"/>
              <w:right w:val="nil"/>
            </w:tcBorders>
            <w:vAlign w:val="center"/>
          </w:tcPr>
          <w:p w14:paraId="0C42C429" w14:textId="5524E71F"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95.2%</w:t>
            </w:r>
          </w:p>
        </w:tc>
        <w:tc>
          <w:tcPr>
            <w:tcW w:w="1417" w:type="dxa"/>
            <w:tcBorders>
              <w:top w:val="nil"/>
              <w:left w:val="nil"/>
              <w:bottom w:val="nil"/>
              <w:right w:val="nil"/>
            </w:tcBorders>
            <w:vAlign w:val="center"/>
          </w:tcPr>
          <w:p w14:paraId="5A2BB1E3" w14:textId="5B52A2F7"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0.88</w:t>
            </w:r>
          </w:p>
        </w:tc>
        <w:tc>
          <w:tcPr>
            <w:tcW w:w="2410" w:type="dxa"/>
            <w:tcBorders>
              <w:top w:val="nil"/>
              <w:left w:val="nil"/>
              <w:bottom w:val="nil"/>
              <w:right w:val="nil"/>
            </w:tcBorders>
            <w:vAlign w:val="center"/>
          </w:tcPr>
          <w:p w14:paraId="5954368B" w14:textId="317D27E1"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0.74-0.86</w:t>
            </w:r>
          </w:p>
        </w:tc>
      </w:tr>
      <w:tr w:rsidR="00115E01" w:rsidRPr="007F6456" w14:paraId="5EA5DF32" w14:textId="77777777" w:rsidTr="003A17C2">
        <w:trPr>
          <w:trHeight w:hRule="exact" w:val="454"/>
          <w:jc w:val="center"/>
        </w:trPr>
        <w:tc>
          <w:tcPr>
            <w:tcW w:w="3119" w:type="dxa"/>
            <w:tcBorders>
              <w:top w:val="nil"/>
              <w:left w:val="nil"/>
              <w:right w:val="nil"/>
            </w:tcBorders>
            <w:vAlign w:val="center"/>
          </w:tcPr>
          <w:p w14:paraId="7B42E1E5" w14:textId="40A75FC4" w:rsidR="00115E01" w:rsidRPr="003A17C2" w:rsidRDefault="003A17C2" w:rsidP="003C27E2">
            <w:pPr>
              <w:spacing w:line="360" w:lineRule="auto"/>
              <w:rPr>
                <w:rFonts w:asciiTheme="majorHAnsi" w:hAnsiTheme="majorHAnsi" w:cstheme="majorHAnsi"/>
                <w:i/>
                <w:iCs/>
                <w:sz w:val="20"/>
              </w:rPr>
            </w:pPr>
            <w:r>
              <w:rPr>
                <w:rFonts w:asciiTheme="majorHAnsi" w:hAnsiTheme="majorHAnsi" w:cstheme="majorHAnsi"/>
                <w:i/>
                <w:iCs/>
                <w:sz w:val="20"/>
              </w:rPr>
              <w:t xml:space="preserve">Node negative </w:t>
            </w:r>
            <w:r>
              <w:rPr>
                <w:rFonts w:asciiTheme="majorHAnsi" w:hAnsiTheme="majorHAnsi" w:cstheme="majorHAnsi"/>
                <w:i/>
                <w:iCs/>
                <w:sz w:val="20"/>
                <w:vertAlign w:val="superscript"/>
              </w:rPr>
              <w:t>e</w:t>
            </w:r>
          </w:p>
        </w:tc>
        <w:tc>
          <w:tcPr>
            <w:tcW w:w="1559" w:type="dxa"/>
            <w:tcBorders>
              <w:top w:val="nil"/>
              <w:left w:val="nil"/>
              <w:right w:val="nil"/>
            </w:tcBorders>
            <w:vAlign w:val="center"/>
          </w:tcPr>
          <w:p w14:paraId="65E0F623" w14:textId="1437830C" w:rsidR="00115E01" w:rsidRDefault="00115E01" w:rsidP="00115E01">
            <w:pPr>
              <w:spacing w:line="360" w:lineRule="auto"/>
              <w:jc w:val="center"/>
              <w:rPr>
                <w:rFonts w:asciiTheme="majorHAnsi" w:hAnsiTheme="majorHAnsi" w:cstheme="majorHAnsi"/>
                <w:sz w:val="20"/>
              </w:rPr>
            </w:pPr>
            <w:r>
              <w:rPr>
                <w:rFonts w:asciiTheme="majorHAnsi" w:hAnsiTheme="majorHAnsi" w:cstheme="majorHAnsi"/>
                <w:sz w:val="20"/>
              </w:rPr>
              <w:t>100%</w:t>
            </w:r>
          </w:p>
        </w:tc>
        <w:tc>
          <w:tcPr>
            <w:tcW w:w="1417" w:type="dxa"/>
            <w:tcBorders>
              <w:top w:val="nil"/>
              <w:left w:val="nil"/>
              <w:right w:val="nil"/>
            </w:tcBorders>
            <w:vAlign w:val="center"/>
          </w:tcPr>
          <w:p w14:paraId="087C043C" w14:textId="786C17FB"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1.00</w:t>
            </w:r>
          </w:p>
        </w:tc>
        <w:tc>
          <w:tcPr>
            <w:tcW w:w="2410" w:type="dxa"/>
            <w:tcBorders>
              <w:top w:val="nil"/>
              <w:left w:val="nil"/>
              <w:right w:val="nil"/>
            </w:tcBorders>
            <w:vAlign w:val="center"/>
          </w:tcPr>
          <w:p w14:paraId="18BB25CD" w14:textId="294A68AE" w:rsidR="00115E01" w:rsidRPr="007F6456" w:rsidRDefault="00115E01" w:rsidP="003C27E2">
            <w:pPr>
              <w:spacing w:line="360" w:lineRule="auto"/>
              <w:jc w:val="center"/>
              <w:rPr>
                <w:rFonts w:asciiTheme="majorHAnsi" w:hAnsiTheme="majorHAnsi" w:cstheme="majorHAnsi"/>
                <w:sz w:val="20"/>
              </w:rPr>
            </w:pPr>
            <w:r>
              <w:rPr>
                <w:rFonts w:asciiTheme="majorHAnsi" w:hAnsiTheme="majorHAnsi" w:cstheme="majorHAnsi"/>
                <w:sz w:val="20"/>
              </w:rPr>
              <w:t>0.94-1.06</w:t>
            </w:r>
          </w:p>
        </w:tc>
      </w:tr>
      <w:tr w:rsidR="00115E01" w:rsidRPr="007F6456" w14:paraId="73DD6A31" w14:textId="77777777" w:rsidTr="003A17C2">
        <w:trPr>
          <w:trHeight w:hRule="exact" w:val="454"/>
          <w:jc w:val="center"/>
        </w:trPr>
        <w:tc>
          <w:tcPr>
            <w:tcW w:w="3119" w:type="dxa"/>
            <w:tcBorders>
              <w:left w:val="nil"/>
              <w:right w:val="nil"/>
            </w:tcBorders>
            <w:vAlign w:val="center"/>
          </w:tcPr>
          <w:p w14:paraId="7D83B7F7" w14:textId="55300304" w:rsidR="00115E01" w:rsidRDefault="00115E01" w:rsidP="003C27E2">
            <w:pPr>
              <w:spacing w:line="360" w:lineRule="auto"/>
              <w:rPr>
                <w:rFonts w:asciiTheme="majorHAnsi" w:hAnsiTheme="majorHAnsi" w:cstheme="majorHAnsi"/>
                <w:b/>
                <w:bCs/>
                <w:sz w:val="20"/>
              </w:rPr>
            </w:pPr>
            <w:r>
              <w:rPr>
                <w:rFonts w:asciiTheme="majorHAnsi" w:hAnsiTheme="majorHAnsi" w:cstheme="majorHAnsi"/>
                <w:b/>
                <w:bCs/>
                <w:sz w:val="20"/>
              </w:rPr>
              <w:t>Overall agreement</w:t>
            </w:r>
          </w:p>
        </w:tc>
        <w:tc>
          <w:tcPr>
            <w:tcW w:w="1559" w:type="dxa"/>
            <w:tcBorders>
              <w:left w:val="nil"/>
              <w:right w:val="nil"/>
            </w:tcBorders>
            <w:vAlign w:val="center"/>
          </w:tcPr>
          <w:p w14:paraId="3F7820C1" w14:textId="4FAD44DC" w:rsidR="00115E01" w:rsidRPr="006D3C47" w:rsidRDefault="00115E01" w:rsidP="00115E01">
            <w:pPr>
              <w:spacing w:line="360" w:lineRule="auto"/>
              <w:jc w:val="center"/>
              <w:rPr>
                <w:rFonts w:asciiTheme="majorHAnsi" w:hAnsiTheme="majorHAnsi" w:cstheme="majorHAnsi"/>
                <w:b/>
                <w:bCs/>
                <w:sz w:val="20"/>
              </w:rPr>
            </w:pPr>
            <w:r>
              <w:rPr>
                <w:rFonts w:asciiTheme="majorHAnsi" w:hAnsiTheme="majorHAnsi" w:cstheme="majorHAnsi"/>
                <w:b/>
                <w:bCs/>
                <w:sz w:val="20"/>
              </w:rPr>
              <w:t>90.7%</w:t>
            </w:r>
          </w:p>
        </w:tc>
        <w:tc>
          <w:tcPr>
            <w:tcW w:w="1417" w:type="dxa"/>
            <w:tcBorders>
              <w:left w:val="nil"/>
              <w:bottom w:val="single" w:sz="4" w:space="0" w:color="auto"/>
              <w:right w:val="nil"/>
            </w:tcBorders>
            <w:vAlign w:val="center"/>
          </w:tcPr>
          <w:p w14:paraId="3B36D54D" w14:textId="024F8398" w:rsidR="00115E01" w:rsidRPr="006D3C47" w:rsidRDefault="00115E01" w:rsidP="003C27E2">
            <w:pPr>
              <w:spacing w:line="360" w:lineRule="auto"/>
              <w:jc w:val="center"/>
              <w:rPr>
                <w:rFonts w:asciiTheme="majorHAnsi" w:hAnsiTheme="majorHAnsi" w:cstheme="majorHAnsi"/>
                <w:b/>
                <w:bCs/>
                <w:sz w:val="20"/>
              </w:rPr>
            </w:pPr>
            <w:r w:rsidRPr="006D3C47">
              <w:rPr>
                <w:rFonts w:asciiTheme="majorHAnsi" w:hAnsiTheme="majorHAnsi" w:cstheme="majorHAnsi"/>
                <w:b/>
                <w:bCs/>
                <w:sz w:val="20"/>
              </w:rPr>
              <w:t>0.87</w:t>
            </w:r>
          </w:p>
        </w:tc>
        <w:tc>
          <w:tcPr>
            <w:tcW w:w="2410" w:type="dxa"/>
            <w:tcBorders>
              <w:left w:val="nil"/>
              <w:bottom w:val="single" w:sz="4" w:space="0" w:color="auto"/>
              <w:right w:val="nil"/>
            </w:tcBorders>
            <w:vAlign w:val="center"/>
          </w:tcPr>
          <w:p w14:paraId="41A1B65A" w14:textId="10096128" w:rsidR="00115E01" w:rsidRPr="006D3C47" w:rsidRDefault="00115E01" w:rsidP="003C27E2">
            <w:pPr>
              <w:spacing w:line="360" w:lineRule="auto"/>
              <w:jc w:val="center"/>
              <w:rPr>
                <w:rFonts w:asciiTheme="majorHAnsi" w:hAnsiTheme="majorHAnsi" w:cstheme="majorHAnsi"/>
                <w:b/>
                <w:bCs/>
                <w:sz w:val="20"/>
              </w:rPr>
            </w:pPr>
            <w:r w:rsidRPr="006D3C47">
              <w:rPr>
                <w:rFonts w:asciiTheme="majorHAnsi" w:hAnsiTheme="majorHAnsi" w:cstheme="majorHAnsi"/>
                <w:b/>
                <w:bCs/>
                <w:sz w:val="20"/>
              </w:rPr>
              <w:t>0.84-0.91</w:t>
            </w:r>
          </w:p>
        </w:tc>
      </w:tr>
    </w:tbl>
    <w:p w14:paraId="5D9ED58F" w14:textId="29A8DC6D" w:rsidR="003C27E2" w:rsidRDefault="003C27E2" w:rsidP="003A17C2">
      <w:pPr>
        <w:spacing w:line="360" w:lineRule="auto"/>
        <w:jc w:val="right"/>
        <w:rPr>
          <w:rFonts w:ascii="Calibri" w:hAnsi="Calibri"/>
          <w:sz w:val="20"/>
          <w:szCs w:val="20"/>
        </w:rPr>
      </w:pPr>
      <w:r w:rsidRPr="003C27E2">
        <w:rPr>
          <w:rFonts w:ascii="Calibri" w:hAnsi="Calibri"/>
          <w:sz w:val="20"/>
          <w:szCs w:val="20"/>
          <w:vertAlign w:val="superscript"/>
        </w:rPr>
        <w:t>a</w:t>
      </w:r>
      <w:r w:rsidRPr="003C27E2">
        <w:rPr>
          <w:rFonts w:ascii="Calibri" w:hAnsi="Calibri"/>
          <w:sz w:val="20"/>
          <w:szCs w:val="20"/>
        </w:rPr>
        <w:t xml:space="preserve"> Lymph node regression score</w:t>
      </w:r>
    </w:p>
    <w:p w14:paraId="1632D00E" w14:textId="42D2A10D" w:rsidR="003A17C2" w:rsidRDefault="003A17C2" w:rsidP="003A17C2">
      <w:pPr>
        <w:spacing w:line="360" w:lineRule="auto"/>
        <w:jc w:val="right"/>
        <w:rPr>
          <w:rFonts w:ascii="Calibri" w:hAnsi="Calibri"/>
          <w:sz w:val="20"/>
          <w:szCs w:val="20"/>
        </w:rPr>
      </w:pPr>
      <w:r>
        <w:rPr>
          <w:rFonts w:ascii="Calibri" w:hAnsi="Calibri"/>
          <w:sz w:val="20"/>
          <w:szCs w:val="20"/>
          <w:vertAlign w:val="superscript"/>
        </w:rPr>
        <w:t>b</w:t>
      </w:r>
      <w:r>
        <w:rPr>
          <w:rFonts w:ascii="Calibri" w:hAnsi="Calibri"/>
          <w:sz w:val="20"/>
          <w:szCs w:val="20"/>
        </w:rPr>
        <w:t xml:space="preserve"> </w:t>
      </w:r>
      <w:r w:rsidRPr="003A17C2">
        <w:rPr>
          <w:rFonts w:ascii="Calibri" w:hAnsi="Calibri"/>
          <w:sz w:val="20"/>
          <w:szCs w:val="20"/>
        </w:rPr>
        <w:t xml:space="preserve">LNRS 1 ≥1 LN, no residual </w:t>
      </w:r>
      <w:proofErr w:type="spellStart"/>
      <w:r w:rsidR="0019785E">
        <w:rPr>
          <w:rFonts w:ascii="Calibri" w:hAnsi="Calibri"/>
          <w:sz w:val="20"/>
          <w:szCs w:val="20"/>
        </w:rPr>
        <w:t>tumor</w:t>
      </w:r>
      <w:proofErr w:type="spellEnd"/>
      <w:r w:rsidRPr="003A17C2">
        <w:rPr>
          <w:rFonts w:ascii="Calibri" w:hAnsi="Calibri"/>
          <w:sz w:val="20"/>
          <w:szCs w:val="20"/>
        </w:rPr>
        <w:t xml:space="preserve"> in any </w:t>
      </w:r>
      <w:r>
        <w:rPr>
          <w:rFonts w:ascii="Calibri" w:hAnsi="Calibri"/>
          <w:sz w:val="20"/>
          <w:szCs w:val="20"/>
        </w:rPr>
        <w:t>node</w:t>
      </w:r>
      <w:r w:rsidRPr="003A17C2">
        <w:rPr>
          <w:rFonts w:ascii="Calibri" w:hAnsi="Calibri"/>
          <w:sz w:val="20"/>
          <w:szCs w:val="20"/>
        </w:rPr>
        <w:t xml:space="preserve"> </w:t>
      </w:r>
    </w:p>
    <w:p w14:paraId="674F54F0" w14:textId="369B06EB" w:rsidR="003A17C2" w:rsidRDefault="003A17C2" w:rsidP="003A17C2">
      <w:pPr>
        <w:spacing w:line="360" w:lineRule="auto"/>
        <w:jc w:val="right"/>
        <w:rPr>
          <w:rFonts w:ascii="Calibri" w:hAnsi="Calibri"/>
          <w:sz w:val="20"/>
          <w:szCs w:val="20"/>
        </w:rPr>
      </w:pPr>
      <w:r>
        <w:rPr>
          <w:rFonts w:ascii="Calibri" w:hAnsi="Calibri"/>
          <w:sz w:val="20"/>
          <w:szCs w:val="20"/>
          <w:vertAlign w:val="superscript"/>
        </w:rPr>
        <w:t>c</w:t>
      </w:r>
      <w:r>
        <w:rPr>
          <w:rFonts w:ascii="Calibri" w:hAnsi="Calibri"/>
          <w:sz w:val="20"/>
          <w:szCs w:val="20"/>
        </w:rPr>
        <w:t xml:space="preserve"> </w:t>
      </w:r>
      <w:r w:rsidRPr="003A17C2">
        <w:rPr>
          <w:rFonts w:ascii="Calibri" w:hAnsi="Calibri"/>
          <w:sz w:val="20"/>
          <w:szCs w:val="20"/>
        </w:rPr>
        <w:t xml:space="preserve">LNRS 1-3 ≥1 LN, residual </w:t>
      </w:r>
      <w:proofErr w:type="spellStart"/>
      <w:r w:rsidR="0019785E">
        <w:rPr>
          <w:rFonts w:ascii="Calibri" w:hAnsi="Calibri"/>
          <w:sz w:val="20"/>
          <w:szCs w:val="20"/>
        </w:rPr>
        <w:t>tumor</w:t>
      </w:r>
      <w:proofErr w:type="spellEnd"/>
      <w:r w:rsidRPr="003A17C2">
        <w:rPr>
          <w:rFonts w:ascii="Calibri" w:hAnsi="Calibri"/>
          <w:sz w:val="20"/>
          <w:szCs w:val="20"/>
        </w:rPr>
        <w:t xml:space="preserve"> ≥1 </w:t>
      </w:r>
      <w:r>
        <w:rPr>
          <w:rFonts w:ascii="Calibri" w:hAnsi="Calibri"/>
          <w:sz w:val="20"/>
          <w:szCs w:val="20"/>
        </w:rPr>
        <w:t>node</w:t>
      </w:r>
      <w:r w:rsidRPr="003A17C2">
        <w:rPr>
          <w:rFonts w:ascii="Calibri" w:hAnsi="Calibri"/>
          <w:sz w:val="20"/>
          <w:szCs w:val="20"/>
        </w:rPr>
        <w:t xml:space="preserve"> </w:t>
      </w:r>
    </w:p>
    <w:p w14:paraId="4E1D161E" w14:textId="1CA27378" w:rsidR="003A17C2" w:rsidRDefault="003A17C2" w:rsidP="003A17C2">
      <w:pPr>
        <w:spacing w:line="360" w:lineRule="auto"/>
        <w:jc w:val="right"/>
        <w:rPr>
          <w:rFonts w:ascii="Calibri" w:hAnsi="Calibri"/>
          <w:sz w:val="20"/>
          <w:szCs w:val="20"/>
        </w:rPr>
      </w:pPr>
      <w:r>
        <w:rPr>
          <w:rFonts w:ascii="Calibri" w:hAnsi="Calibri"/>
          <w:sz w:val="20"/>
          <w:szCs w:val="20"/>
          <w:vertAlign w:val="superscript"/>
        </w:rPr>
        <w:t>d</w:t>
      </w:r>
      <w:r>
        <w:rPr>
          <w:rFonts w:ascii="Calibri" w:hAnsi="Calibri"/>
          <w:sz w:val="20"/>
          <w:szCs w:val="20"/>
        </w:rPr>
        <w:t xml:space="preserve"> </w:t>
      </w:r>
      <w:r w:rsidRPr="003A17C2">
        <w:rPr>
          <w:rFonts w:ascii="Calibri" w:hAnsi="Calibri"/>
          <w:sz w:val="20"/>
          <w:szCs w:val="20"/>
        </w:rPr>
        <w:t>LNRS 4-5</w:t>
      </w:r>
    </w:p>
    <w:p w14:paraId="4C490CFE" w14:textId="6C507F9D" w:rsidR="003A17C2" w:rsidRPr="003C27E2" w:rsidRDefault="003A17C2" w:rsidP="003A17C2">
      <w:pPr>
        <w:spacing w:line="360" w:lineRule="auto"/>
        <w:jc w:val="right"/>
        <w:rPr>
          <w:rFonts w:ascii="Calibri" w:hAnsi="Calibri"/>
          <w:sz w:val="20"/>
          <w:szCs w:val="20"/>
        </w:rPr>
      </w:pPr>
      <w:r>
        <w:rPr>
          <w:rFonts w:ascii="Calibri" w:hAnsi="Calibri"/>
          <w:sz w:val="20"/>
          <w:szCs w:val="20"/>
          <w:vertAlign w:val="superscript"/>
        </w:rPr>
        <w:t>e</w:t>
      </w:r>
      <w:r>
        <w:rPr>
          <w:rFonts w:ascii="Calibri" w:hAnsi="Calibri"/>
          <w:sz w:val="20"/>
          <w:szCs w:val="20"/>
        </w:rPr>
        <w:t xml:space="preserve"> N</w:t>
      </w:r>
      <w:r w:rsidRPr="003A17C2">
        <w:rPr>
          <w:rFonts w:ascii="Calibri" w:hAnsi="Calibri"/>
          <w:sz w:val="20"/>
          <w:szCs w:val="20"/>
        </w:rPr>
        <w:t xml:space="preserve">o evidence of </w:t>
      </w:r>
      <w:proofErr w:type="spellStart"/>
      <w:r w:rsidR="0019785E">
        <w:rPr>
          <w:rFonts w:ascii="Calibri" w:hAnsi="Calibri"/>
          <w:sz w:val="20"/>
          <w:szCs w:val="20"/>
        </w:rPr>
        <w:t>tumor</w:t>
      </w:r>
      <w:proofErr w:type="spellEnd"/>
      <w:r w:rsidRPr="003A17C2">
        <w:rPr>
          <w:rFonts w:ascii="Calibri" w:hAnsi="Calibri"/>
          <w:sz w:val="20"/>
          <w:szCs w:val="20"/>
        </w:rPr>
        <w:t xml:space="preserve"> or regression</w:t>
      </w:r>
    </w:p>
    <w:p w14:paraId="38E2C4BA" w14:textId="77777777" w:rsidR="000C697B" w:rsidRDefault="000C697B" w:rsidP="000C697B">
      <w:pPr>
        <w:spacing w:line="360" w:lineRule="auto"/>
        <w:rPr>
          <w:rFonts w:ascii="Calibri" w:hAnsi="Calibri"/>
        </w:rPr>
      </w:pPr>
    </w:p>
    <w:p w14:paraId="6EA1F666" w14:textId="77777777" w:rsidR="000C697B" w:rsidRDefault="000C697B" w:rsidP="000C697B">
      <w:pPr>
        <w:spacing w:line="360" w:lineRule="auto"/>
        <w:rPr>
          <w:rFonts w:ascii="Calibri" w:hAnsi="Calibri"/>
        </w:rPr>
      </w:pPr>
    </w:p>
    <w:p w14:paraId="5676974C" w14:textId="77777777" w:rsidR="000C697B" w:rsidRDefault="000C697B" w:rsidP="000C697B">
      <w:pPr>
        <w:spacing w:line="360" w:lineRule="auto"/>
        <w:rPr>
          <w:rFonts w:ascii="Calibri" w:hAnsi="Calibri"/>
        </w:rPr>
      </w:pPr>
    </w:p>
    <w:p w14:paraId="1E971C59" w14:textId="77777777" w:rsidR="000C697B" w:rsidRDefault="000C697B" w:rsidP="000C697B">
      <w:pPr>
        <w:spacing w:line="360" w:lineRule="auto"/>
        <w:rPr>
          <w:rFonts w:ascii="Calibri" w:hAnsi="Calibri"/>
        </w:rPr>
      </w:pPr>
    </w:p>
    <w:p w14:paraId="33EAEB2F" w14:textId="77777777" w:rsidR="00D604BE" w:rsidRDefault="00D604BE">
      <w:pPr>
        <w:rPr>
          <w:rFonts w:ascii="Calibri" w:hAnsi="Calibri"/>
        </w:rPr>
      </w:pPr>
      <w:r>
        <w:rPr>
          <w:rFonts w:ascii="Calibri" w:hAnsi="Calibri"/>
        </w:rPr>
        <w:br w:type="page"/>
      </w:r>
    </w:p>
    <w:p w14:paraId="04F0D8E9" w14:textId="3C73720B" w:rsidR="000C697B" w:rsidRPr="000C697B" w:rsidRDefault="000C697B" w:rsidP="000C697B">
      <w:pPr>
        <w:spacing w:line="360" w:lineRule="auto"/>
        <w:rPr>
          <w:rFonts w:ascii="Calibri" w:hAnsi="Calibri"/>
          <w:sz w:val="22"/>
          <w:szCs w:val="22"/>
        </w:rPr>
      </w:pPr>
      <w:r w:rsidRPr="000C697B">
        <w:rPr>
          <w:rFonts w:ascii="Calibri" w:hAnsi="Calibri"/>
          <w:b/>
          <w:bCs/>
          <w:sz w:val="22"/>
          <w:szCs w:val="22"/>
        </w:rPr>
        <w:lastRenderedPageBreak/>
        <w:t xml:space="preserve">Table </w:t>
      </w:r>
      <w:r w:rsidR="00D43198">
        <w:rPr>
          <w:rFonts w:ascii="Calibri" w:hAnsi="Calibri"/>
          <w:b/>
          <w:bCs/>
          <w:sz w:val="22"/>
          <w:szCs w:val="22"/>
        </w:rPr>
        <w:t>4</w:t>
      </w:r>
      <w:r w:rsidRPr="000C697B">
        <w:rPr>
          <w:rFonts w:ascii="Calibri" w:hAnsi="Calibri"/>
          <w:b/>
          <w:bCs/>
          <w:sz w:val="22"/>
          <w:szCs w:val="22"/>
        </w:rPr>
        <w:t>.</w:t>
      </w:r>
      <w:r w:rsidRPr="000C697B">
        <w:rPr>
          <w:rFonts w:ascii="Calibri" w:hAnsi="Calibri"/>
          <w:sz w:val="22"/>
          <w:szCs w:val="22"/>
        </w:rPr>
        <w:t xml:space="preserve"> Hazard ratios (HR) with 95% confidence intervals (CI) of survival in patients </w:t>
      </w:r>
      <w:r w:rsidR="00D43198">
        <w:rPr>
          <w:rFonts w:ascii="Calibri" w:hAnsi="Calibri"/>
          <w:sz w:val="22"/>
          <w:szCs w:val="22"/>
        </w:rPr>
        <w:t>treated with</w:t>
      </w:r>
      <w:r w:rsidR="00D43198" w:rsidRPr="000C697B">
        <w:rPr>
          <w:rFonts w:ascii="Calibri" w:hAnsi="Calibri"/>
          <w:sz w:val="22"/>
          <w:szCs w:val="22"/>
        </w:rPr>
        <w:t xml:space="preserve"> </w:t>
      </w:r>
      <w:proofErr w:type="spellStart"/>
      <w:r w:rsidR="0019785E">
        <w:rPr>
          <w:rFonts w:ascii="Calibri" w:hAnsi="Calibri"/>
          <w:sz w:val="22"/>
          <w:szCs w:val="22"/>
        </w:rPr>
        <w:t>esophageal</w:t>
      </w:r>
      <w:proofErr w:type="spellEnd"/>
      <w:r w:rsidR="00D43198" w:rsidRPr="000C697B">
        <w:rPr>
          <w:rFonts w:ascii="Calibri" w:hAnsi="Calibri"/>
          <w:sz w:val="22"/>
          <w:szCs w:val="22"/>
        </w:rPr>
        <w:t xml:space="preserve"> adenocarcinoma </w:t>
      </w:r>
      <w:r w:rsidR="00D43198">
        <w:rPr>
          <w:rFonts w:ascii="Calibri" w:hAnsi="Calibri"/>
          <w:sz w:val="22"/>
          <w:szCs w:val="22"/>
        </w:rPr>
        <w:t xml:space="preserve">treated with </w:t>
      </w:r>
      <w:r w:rsidR="00D43198" w:rsidRPr="000C697B">
        <w:rPr>
          <w:rFonts w:ascii="Calibri" w:hAnsi="Calibri"/>
          <w:sz w:val="22"/>
          <w:szCs w:val="22"/>
        </w:rPr>
        <w:t>neoadjuvant chemotherapy followed by surgical resection.</w:t>
      </w:r>
    </w:p>
    <w:tbl>
      <w:tblPr>
        <w:tblStyle w:val="TableGrid"/>
        <w:tblW w:w="11482" w:type="dxa"/>
        <w:jc w:val="center"/>
        <w:tblLayout w:type="fixed"/>
        <w:tblLook w:val="04A0" w:firstRow="1" w:lastRow="0" w:firstColumn="1" w:lastColumn="0" w:noHBand="0" w:noVBand="1"/>
      </w:tblPr>
      <w:tblGrid>
        <w:gridCol w:w="1276"/>
        <w:gridCol w:w="2552"/>
        <w:gridCol w:w="1701"/>
        <w:gridCol w:w="2126"/>
        <w:gridCol w:w="1702"/>
        <w:gridCol w:w="2125"/>
      </w:tblGrid>
      <w:tr w:rsidR="000C697B" w:rsidRPr="007F6456" w14:paraId="796624AC" w14:textId="77777777" w:rsidTr="003E1460">
        <w:trPr>
          <w:trHeight w:hRule="exact" w:val="662"/>
          <w:jc w:val="center"/>
        </w:trPr>
        <w:tc>
          <w:tcPr>
            <w:tcW w:w="3828" w:type="dxa"/>
            <w:gridSpan w:val="2"/>
            <w:vMerge w:val="restart"/>
            <w:tcBorders>
              <w:top w:val="single" w:sz="4" w:space="0" w:color="auto"/>
              <w:left w:val="nil"/>
              <w:right w:val="nil"/>
            </w:tcBorders>
            <w:shd w:val="clear" w:color="auto" w:fill="D9D9D9" w:themeFill="background1" w:themeFillShade="D9"/>
            <w:vAlign w:val="center"/>
          </w:tcPr>
          <w:p w14:paraId="26BE22DC" w14:textId="77777777" w:rsidR="000C697B" w:rsidRPr="007F6456" w:rsidRDefault="000C697B" w:rsidP="003E1460">
            <w:pPr>
              <w:spacing w:line="360" w:lineRule="auto"/>
              <w:rPr>
                <w:rFonts w:asciiTheme="majorHAnsi" w:hAnsiTheme="majorHAnsi" w:cstheme="majorHAnsi"/>
                <w:b/>
                <w:sz w:val="20"/>
              </w:rPr>
            </w:pPr>
            <w:r w:rsidRPr="007F6456">
              <w:rPr>
                <w:rFonts w:asciiTheme="majorHAnsi" w:hAnsiTheme="majorHAnsi" w:cstheme="majorHAnsi"/>
                <w:bCs/>
                <w:i/>
                <w:iCs/>
                <w:sz w:val="20"/>
              </w:rPr>
              <w:t>N=</w:t>
            </w:r>
            <w:r>
              <w:rPr>
                <w:rFonts w:asciiTheme="majorHAnsi" w:hAnsiTheme="majorHAnsi" w:cstheme="majorHAnsi"/>
                <w:bCs/>
                <w:i/>
                <w:iCs/>
                <w:sz w:val="20"/>
              </w:rPr>
              <w:t>763</w:t>
            </w:r>
          </w:p>
        </w:tc>
        <w:tc>
          <w:tcPr>
            <w:tcW w:w="3827" w:type="dxa"/>
            <w:gridSpan w:val="2"/>
            <w:tcBorders>
              <w:top w:val="single" w:sz="4" w:space="0" w:color="auto"/>
              <w:left w:val="nil"/>
              <w:bottom w:val="nil"/>
              <w:right w:val="nil"/>
            </w:tcBorders>
            <w:shd w:val="clear" w:color="auto" w:fill="D9D9D9" w:themeFill="background1" w:themeFillShade="D9"/>
            <w:vAlign w:val="center"/>
          </w:tcPr>
          <w:p w14:paraId="674C1EF2" w14:textId="77777777" w:rsidR="000C697B" w:rsidRPr="007F6456" w:rsidRDefault="000C697B" w:rsidP="003E1460">
            <w:pPr>
              <w:spacing w:line="360" w:lineRule="auto"/>
              <w:jc w:val="center"/>
              <w:rPr>
                <w:rFonts w:asciiTheme="majorHAnsi" w:hAnsiTheme="majorHAnsi" w:cstheme="majorHAnsi"/>
                <w:b/>
                <w:iCs/>
                <w:sz w:val="20"/>
              </w:rPr>
            </w:pPr>
            <w:r>
              <w:rPr>
                <w:rFonts w:asciiTheme="majorHAnsi" w:hAnsiTheme="majorHAnsi" w:cstheme="majorHAnsi"/>
                <w:b/>
                <w:iCs/>
                <w:sz w:val="20"/>
              </w:rPr>
              <w:t>Overall survival</w:t>
            </w:r>
          </w:p>
        </w:tc>
        <w:tc>
          <w:tcPr>
            <w:tcW w:w="3827" w:type="dxa"/>
            <w:gridSpan w:val="2"/>
            <w:tcBorders>
              <w:top w:val="single" w:sz="4" w:space="0" w:color="auto"/>
              <w:left w:val="nil"/>
              <w:bottom w:val="nil"/>
              <w:right w:val="nil"/>
            </w:tcBorders>
            <w:shd w:val="clear" w:color="auto" w:fill="D9D9D9" w:themeFill="background1" w:themeFillShade="D9"/>
            <w:vAlign w:val="center"/>
          </w:tcPr>
          <w:p w14:paraId="6E4C1FA0" w14:textId="77777777" w:rsidR="000C697B" w:rsidRPr="007F6456" w:rsidRDefault="000C697B" w:rsidP="003E1460">
            <w:pPr>
              <w:spacing w:line="360" w:lineRule="auto"/>
              <w:jc w:val="center"/>
              <w:rPr>
                <w:rFonts w:asciiTheme="majorHAnsi" w:hAnsiTheme="majorHAnsi" w:cstheme="majorHAnsi"/>
                <w:b/>
                <w:iCs/>
                <w:sz w:val="20"/>
              </w:rPr>
            </w:pPr>
            <w:r>
              <w:rPr>
                <w:rFonts w:asciiTheme="majorHAnsi" w:hAnsiTheme="majorHAnsi" w:cstheme="majorHAnsi"/>
                <w:b/>
                <w:iCs/>
                <w:sz w:val="20"/>
              </w:rPr>
              <w:t>Disease-free survival</w:t>
            </w:r>
          </w:p>
        </w:tc>
      </w:tr>
      <w:tr w:rsidR="000C697B" w:rsidRPr="007F6456" w14:paraId="28C04A05" w14:textId="77777777" w:rsidTr="003E1460">
        <w:trPr>
          <w:trHeight w:val="819"/>
          <w:jc w:val="center"/>
        </w:trPr>
        <w:tc>
          <w:tcPr>
            <w:tcW w:w="3828" w:type="dxa"/>
            <w:gridSpan w:val="2"/>
            <w:vMerge/>
            <w:tcBorders>
              <w:left w:val="nil"/>
              <w:bottom w:val="single" w:sz="4" w:space="0" w:color="auto"/>
              <w:right w:val="nil"/>
            </w:tcBorders>
            <w:shd w:val="clear" w:color="auto" w:fill="D9D9D9" w:themeFill="background1" w:themeFillShade="D9"/>
          </w:tcPr>
          <w:p w14:paraId="5E99DBE2" w14:textId="77777777" w:rsidR="000C697B" w:rsidRPr="007F6456" w:rsidRDefault="000C697B" w:rsidP="003E1460">
            <w:pPr>
              <w:spacing w:line="360" w:lineRule="auto"/>
              <w:rPr>
                <w:rFonts w:asciiTheme="majorHAnsi" w:hAnsiTheme="majorHAnsi" w:cstheme="majorHAnsi"/>
                <w:b/>
                <w:sz w:val="20"/>
              </w:rPr>
            </w:pPr>
          </w:p>
        </w:tc>
        <w:tc>
          <w:tcPr>
            <w:tcW w:w="1701" w:type="dxa"/>
            <w:tcBorders>
              <w:top w:val="nil"/>
              <w:left w:val="nil"/>
              <w:bottom w:val="single" w:sz="4" w:space="0" w:color="auto"/>
              <w:right w:val="nil"/>
            </w:tcBorders>
            <w:shd w:val="clear" w:color="auto" w:fill="D9D9D9" w:themeFill="background1" w:themeFillShade="D9"/>
          </w:tcPr>
          <w:p w14:paraId="4F95619D" w14:textId="77777777" w:rsidR="000C697B" w:rsidRPr="007F6456" w:rsidRDefault="000C697B" w:rsidP="003E1460">
            <w:pPr>
              <w:spacing w:line="360" w:lineRule="auto"/>
              <w:jc w:val="center"/>
              <w:rPr>
                <w:rFonts w:asciiTheme="majorHAnsi" w:hAnsiTheme="majorHAnsi" w:cstheme="majorHAnsi"/>
                <w:b/>
                <w:iCs/>
                <w:sz w:val="20"/>
              </w:rPr>
            </w:pPr>
            <w:r>
              <w:rPr>
                <w:rFonts w:asciiTheme="majorHAnsi" w:hAnsiTheme="majorHAnsi" w:cstheme="majorHAnsi"/>
                <w:b/>
                <w:iCs/>
                <w:sz w:val="20"/>
              </w:rPr>
              <w:t>Crude</w:t>
            </w:r>
          </w:p>
          <w:p w14:paraId="30CEAF2F" w14:textId="77777777" w:rsidR="000C697B" w:rsidRPr="007F6456" w:rsidRDefault="000C697B" w:rsidP="003E1460">
            <w:pPr>
              <w:spacing w:line="360" w:lineRule="auto"/>
              <w:jc w:val="center"/>
              <w:rPr>
                <w:rFonts w:asciiTheme="majorHAnsi" w:hAnsiTheme="majorHAnsi" w:cstheme="majorHAnsi"/>
                <w:bCs/>
                <w:iCs/>
                <w:sz w:val="20"/>
              </w:rPr>
            </w:pPr>
            <w:r w:rsidRPr="007F6456">
              <w:rPr>
                <w:rFonts w:asciiTheme="majorHAnsi" w:hAnsiTheme="majorHAnsi" w:cstheme="majorHAnsi"/>
                <w:bCs/>
                <w:i/>
                <w:sz w:val="20"/>
              </w:rPr>
              <w:t>HR 95% CI</w:t>
            </w:r>
          </w:p>
        </w:tc>
        <w:tc>
          <w:tcPr>
            <w:tcW w:w="2126" w:type="dxa"/>
            <w:tcBorders>
              <w:top w:val="nil"/>
              <w:left w:val="nil"/>
              <w:bottom w:val="single" w:sz="4" w:space="0" w:color="auto"/>
              <w:right w:val="nil"/>
            </w:tcBorders>
            <w:shd w:val="clear" w:color="auto" w:fill="D9D9D9" w:themeFill="background1" w:themeFillShade="D9"/>
          </w:tcPr>
          <w:p w14:paraId="04236E2D" w14:textId="5396C6CE" w:rsidR="000C697B" w:rsidRPr="00FC5197" w:rsidRDefault="000C697B" w:rsidP="003E1460">
            <w:pPr>
              <w:spacing w:line="360" w:lineRule="auto"/>
              <w:jc w:val="center"/>
              <w:rPr>
                <w:rFonts w:asciiTheme="majorHAnsi" w:hAnsiTheme="majorHAnsi" w:cstheme="majorHAnsi"/>
                <w:bCs/>
                <w:iCs/>
                <w:sz w:val="20"/>
              </w:rPr>
            </w:pPr>
            <w:r>
              <w:rPr>
                <w:rFonts w:asciiTheme="majorHAnsi" w:hAnsiTheme="majorHAnsi" w:cstheme="majorHAnsi"/>
                <w:b/>
                <w:iCs/>
                <w:sz w:val="20"/>
              </w:rPr>
              <w:t>Adjusted</w:t>
            </w:r>
            <w:r w:rsidR="00FC5197">
              <w:rPr>
                <w:rFonts w:asciiTheme="majorHAnsi" w:hAnsiTheme="majorHAnsi" w:cstheme="majorHAnsi"/>
                <w:b/>
                <w:iCs/>
                <w:sz w:val="20"/>
              </w:rPr>
              <w:t xml:space="preserve"> </w:t>
            </w:r>
            <w:r w:rsidR="00FC5197" w:rsidRPr="00FC5197">
              <w:rPr>
                <w:rFonts w:asciiTheme="majorHAnsi" w:hAnsiTheme="majorHAnsi" w:cstheme="majorHAnsi"/>
                <w:bCs/>
                <w:iCs/>
                <w:sz w:val="20"/>
                <w:vertAlign w:val="superscript"/>
              </w:rPr>
              <w:t>a</w:t>
            </w:r>
          </w:p>
          <w:p w14:paraId="5E466E7E" w14:textId="77777777" w:rsidR="000C697B" w:rsidRPr="007F6456" w:rsidRDefault="000C697B" w:rsidP="003E1460">
            <w:pPr>
              <w:spacing w:line="360" w:lineRule="auto"/>
              <w:jc w:val="center"/>
              <w:rPr>
                <w:rFonts w:asciiTheme="majorHAnsi" w:hAnsiTheme="majorHAnsi" w:cstheme="majorHAnsi"/>
                <w:bCs/>
                <w:iCs/>
                <w:sz w:val="20"/>
              </w:rPr>
            </w:pPr>
            <w:r w:rsidRPr="007F6456">
              <w:rPr>
                <w:rFonts w:asciiTheme="majorHAnsi" w:hAnsiTheme="majorHAnsi" w:cstheme="majorHAnsi"/>
                <w:bCs/>
                <w:i/>
                <w:sz w:val="20"/>
              </w:rPr>
              <w:t>HR 95% CI</w:t>
            </w:r>
          </w:p>
        </w:tc>
        <w:tc>
          <w:tcPr>
            <w:tcW w:w="1702" w:type="dxa"/>
            <w:tcBorders>
              <w:top w:val="nil"/>
              <w:left w:val="nil"/>
              <w:bottom w:val="single" w:sz="4" w:space="0" w:color="auto"/>
              <w:right w:val="nil"/>
            </w:tcBorders>
            <w:shd w:val="clear" w:color="auto" w:fill="D9D9D9" w:themeFill="background1" w:themeFillShade="D9"/>
          </w:tcPr>
          <w:p w14:paraId="4F09AFD0" w14:textId="77777777" w:rsidR="000C697B" w:rsidRPr="007F6456" w:rsidRDefault="000C697B" w:rsidP="003E1460">
            <w:pPr>
              <w:spacing w:line="360" w:lineRule="auto"/>
              <w:jc w:val="center"/>
              <w:rPr>
                <w:rFonts w:asciiTheme="majorHAnsi" w:hAnsiTheme="majorHAnsi" w:cstheme="majorHAnsi"/>
                <w:b/>
                <w:iCs/>
                <w:sz w:val="20"/>
              </w:rPr>
            </w:pPr>
            <w:r>
              <w:rPr>
                <w:rFonts w:asciiTheme="majorHAnsi" w:hAnsiTheme="majorHAnsi" w:cstheme="majorHAnsi"/>
                <w:b/>
                <w:iCs/>
                <w:sz w:val="20"/>
              </w:rPr>
              <w:t>Crude</w:t>
            </w:r>
          </w:p>
          <w:p w14:paraId="41AAA8D0" w14:textId="77777777" w:rsidR="000C697B" w:rsidRPr="007F6456" w:rsidRDefault="000C697B" w:rsidP="003E1460">
            <w:pPr>
              <w:spacing w:line="360" w:lineRule="auto"/>
              <w:jc w:val="center"/>
              <w:rPr>
                <w:rFonts w:asciiTheme="majorHAnsi" w:hAnsiTheme="majorHAnsi" w:cstheme="majorHAnsi"/>
                <w:bCs/>
                <w:iCs/>
                <w:sz w:val="20"/>
              </w:rPr>
            </w:pPr>
            <w:r w:rsidRPr="007F6456">
              <w:rPr>
                <w:rFonts w:asciiTheme="majorHAnsi" w:hAnsiTheme="majorHAnsi" w:cstheme="majorHAnsi"/>
                <w:bCs/>
                <w:i/>
                <w:sz w:val="20"/>
              </w:rPr>
              <w:t>HR 95% CI</w:t>
            </w:r>
          </w:p>
        </w:tc>
        <w:tc>
          <w:tcPr>
            <w:tcW w:w="2125" w:type="dxa"/>
            <w:tcBorders>
              <w:top w:val="nil"/>
              <w:left w:val="nil"/>
              <w:bottom w:val="single" w:sz="4" w:space="0" w:color="auto"/>
              <w:right w:val="nil"/>
            </w:tcBorders>
            <w:shd w:val="clear" w:color="auto" w:fill="D9D9D9" w:themeFill="background1" w:themeFillShade="D9"/>
          </w:tcPr>
          <w:p w14:paraId="4B1AFCC4" w14:textId="6915D046" w:rsidR="000C697B" w:rsidRPr="00FC5197" w:rsidRDefault="000C697B" w:rsidP="003E1460">
            <w:pPr>
              <w:spacing w:line="360" w:lineRule="auto"/>
              <w:jc w:val="center"/>
              <w:rPr>
                <w:rFonts w:asciiTheme="majorHAnsi" w:hAnsiTheme="majorHAnsi" w:cstheme="majorHAnsi"/>
                <w:b/>
                <w:iCs/>
                <w:sz w:val="20"/>
              </w:rPr>
            </w:pPr>
            <w:r>
              <w:rPr>
                <w:rFonts w:asciiTheme="majorHAnsi" w:hAnsiTheme="majorHAnsi" w:cstheme="majorHAnsi"/>
                <w:b/>
                <w:iCs/>
                <w:sz w:val="20"/>
              </w:rPr>
              <w:t>Adjusted</w:t>
            </w:r>
            <w:r w:rsidR="00FC5197" w:rsidRPr="00FC5197">
              <w:rPr>
                <w:rFonts w:asciiTheme="majorHAnsi" w:hAnsiTheme="majorHAnsi" w:cstheme="majorHAnsi"/>
                <w:bCs/>
                <w:iCs/>
                <w:sz w:val="20"/>
              </w:rPr>
              <w:t xml:space="preserve"> </w:t>
            </w:r>
            <w:r w:rsidR="00FC5197" w:rsidRPr="00FC5197">
              <w:rPr>
                <w:rFonts w:asciiTheme="majorHAnsi" w:hAnsiTheme="majorHAnsi" w:cstheme="majorHAnsi"/>
                <w:bCs/>
                <w:iCs/>
                <w:sz w:val="20"/>
                <w:vertAlign w:val="superscript"/>
              </w:rPr>
              <w:t>a</w:t>
            </w:r>
          </w:p>
          <w:p w14:paraId="655FD6CC" w14:textId="77777777" w:rsidR="000C697B" w:rsidRPr="007F6456" w:rsidRDefault="000C697B" w:rsidP="003E1460">
            <w:pPr>
              <w:spacing w:line="360" w:lineRule="auto"/>
              <w:jc w:val="center"/>
              <w:rPr>
                <w:rFonts w:asciiTheme="majorHAnsi" w:hAnsiTheme="majorHAnsi" w:cstheme="majorHAnsi"/>
                <w:bCs/>
                <w:iCs/>
                <w:sz w:val="20"/>
              </w:rPr>
            </w:pPr>
            <w:r w:rsidRPr="007F6456">
              <w:rPr>
                <w:rFonts w:asciiTheme="majorHAnsi" w:hAnsiTheme="majorHAnsi" w:cstheme="majorHAnsi"/>
                <w:bCs/>
                <w:i/>
                <w:sz w:val="20"/>
              </w:rPr>
              <w:t>HR 95% CI</w:t>
            </w:r>
          </w:p>
        </w:tc>
      </w:tr>
      <w:tr w:rsidR="00FC5197" w:rsidRPr="007F6456" w14:paraId="0FF236B8" w14:textId="77777777" w:rsidTr="00850628">
        <w:trPr>
          <w:trHeight w:hRule="exact" w:val="454"/>
          <w:jc w:val="center"/>
        </w:trPr>
        <w:tc>
          <w:tcPr>
            <w:tcW w:w="1276" w:type="dxa"/>
            <w:vMerge w:val="restart"/>
            <w:tcBorders>
              <w:left w:val="nil"/>
              <w:right w:val="nil"/>
            </w:tcBorders>
            <w:vAlign w:val="center"/>
          </w:tcPr>
          <w:p w14:paraId="55971F0D" w14:textId="05575A2C" w:rsidR="00FC5197" w:rsidRPr="007F6456" w:rsidRDefault="00FC5197" w:rsidP="00850628">
            <w:pPr>
              <w:spacing w:line="360" w:lineRule="auto"/>
              <w:jc w:val="center"/>
              <w:rPr>
                <w:rFonts w:asciiTheme="majorHAnsi" w:hAnsiTheme="majorHAnsi" w:cstheme="majorHAnsi"/>
                <w:b/>
                <w:bCs/>
                <w:sz w:val="20"/>
              </w:rPr>
            </w:pPr>
            <w:r w:rsidRPr="007F6456">
              <w:rPr>
                <w:rFonts w:asciiTheme="majorHAnsi" w:hAnsiTheme="majorHAnsi" w:cstheme="majorHAnsi"/>
                <w:b/>
                <w:bCs/>
                <w:sz w:val="20"/>
              </w:rPr>
              <w:t>L</w:t>
            </w:r>
            <w:r>
              <w:rPr>
                <w:rFonts w:asciiTheme="majorHAnsi" w:hAnsiTheme="majorHAnsi" w:cstheme="majorHAnsi"/>
                <w:b/>
                <w:bCs/>
                <w:sz w:val="20"/>
              </w:rPr>
              <w:t>ymph node</w:t>
            </w:r>
            <w:r w:rsidRPr="007F6456">
              <w:rPr>
                <w:rFonts w:asciiTheme="majorHAnsi" w:hAnsiTheme="majorHAnsi" w:cstheme="majorHAnsi"/>
                <w:b/>
                <w:bCs/>
                <w:sz w:val="20"/>
              </w:rPr>
              <w:t xml:space="preserve"> regression</w:t>
            </w:r>
          </w:p>
        </w:tc>
        <w:tc>
          <w:tcPr>
            <w:tcW w:w="2552" w:type="dxa"/>
            <w:tcBorders>
              <w:left w:val="nil"/>
              <w:bottom w:val="nil"/>
              <w:right w:val="nil"/>
            </w:tcBorders>
          </w:tcPr>
          <w:p w14:paraId="218F25AB" w14:textId="0BE74837" w:rsidR="00FC5197" w:rsidRPr="007F6456" w:rsidRDefault="00FC5197" w:rsidP="00FC5197">
            <w:pPr>
              <w:spacing w:line="360" w:lineRule="auto"/>
              <w:rPr>
                <w:rFonts w:asciiTheme="majorHAnsi" w:hAnsiTheme="majorHAnsi" w:cstheme="majorHAnsi"/>
                <w:sz w:val="20"/>
              </w:rPr>
            </w:pPr>
            <w:r w:rsidRPr="003A17C2">
              <w:rPr>
                <w:rFonts w:asciiTheme="majorHAnsi" w:hAnsiTheme="majorHAnsi" w:cstheme="majorHAnsi"/>
                <w:sz w:val="20"/>
              </w:rPr>
              <w:t xml:space="preserve">Poor / no </w:t>
            </w:r>
            <w:r w:rsidR="00850628">
              <w:rPr>
                <w:rFonts w:asciiTheme="majorHAnsi" w:hAnsiTheme="majorHAnsi" w:cstheme="majorHAnsi"/>
                <w:sz w:val="20"/>
              </w:rPr>
              <w:t xml:space="preserve">nodal </w:t>
            </w:r>
            <w:r w:rsidRPr="003A17C2">
              <w:rPr>
                <w:rFonts w:asciiTheme="majorHAnsi" w:hAnsiTheme="majorHAnsi" w:cstheme="majorHAnsi"/>
                <w:sz w:val="20"/>
              </w:rPr>
              <w:t>response</w:t>
            </w:r>
          </w:p>
        </w:tc>
        <w:tc>
          <w:tcPr>
            <w:tcW w:w="1701" w:type="dxa"/>
            <w:tcBorders>
              <w:left w:val="nil"/>
              <w:bottom w:val="nil"/>
              <w:right w:val="nil"/>
            </w:tcBorders>
          </w:tcPr>
          <w:p w14:paraId="0BA4D2D6" w14:textId="5DE47AC8" w:rsidR="00FC5197" w:rsidRPr="007F6456" w:rsidRDefault="00FC5197" w:rsidP="00FC5197">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c>
          <w:tcPr>
            <w:tcW w:w="2126" w:type="dxa"/>
            <w:tcBorders>
              <w:left w:val="nil"/>
              <w:bottom w:val="nil"/>
              <w:right w:val="nil"/>
            </w:tcBorders>
          </w:tcPr>
          <w:p w14:paraId="4D391AAE" w14:textId="4660537C" w:rsidR="00FC5197" w:rsidRPr="007F6456" w:rsidRDefault="00FC5197" w:rsidP="00FC5197">
            <w:pPr>
              <w:spacing w:line="360" w:lineRule="auto"/>
              <w:jc w:val="center"/>
              <w:rPr>
                <w:rFonts w:asciiTheme="majorHAnsi" w:hAnsiTheme="majorHAnsi" w:cstheme="majorHAnsi"/>
                <w:b/>
                <w:bCs/>
                <w:sz w:val="20"/>
              </w:rPr>
            </w:pPr>
            <w:r w:rsidRPr="007F6456">
              <w:rPr>
                <w:rFonts w:asciiTheme="majorHAnsi" w:hAnsiTheme="majorHAnsi" w:cstheme="majorHAnsi"/>
                <w:sz w:val="20"/>
              </w:rPr>
              <w:t>1.00</w:t>
            </w:r>
          </w:p>
        </w:tc>
        <w:tc>
          <w:tcPr>
            <w:tcW w:w="1702" w:type="dxa"/>
            <w:tcBorders>
              <w:left w:val="nil"/>
              <w:bottom w:val="nil"/>
              <w:right w:val="nil"/>
            </w:tcBorders>
          </w:tcPr>
          <w:p w14:paraId="22C1753B" w14:textId="69327587" w:rsidR="00FC5197" w:rsidRPr="007F6456" w:rsidRDefault="00FC5197" w:rsidP="00FC5197">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c>
          <w:tcPr>
            <w:tcW w:w="2125" w:type="dxa"/>
            <w:tcBorders>
              <w:left w:val="nil"/>
              <w:bottom w:val="nil"/>
              <w:right w:val="nil"/>
            </w:tcBorders>
          </w:tcPr>
          <w:p w14:paraId="72BB211C" w14:textId="0482C142" w:rsidR="00FC5197" w:rsidRPr="007F6456" w:rsidRDefault="00FC5197" w:rsidP="00FC5197">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r>
      <w:tr w:rsidR="00850628" w:rsidRPr="007F6456" w14:paraId="2C81A2E7" w14:textId="77777777" w:rsidTr="00850628">
        <w:trPr>
          <w:trHeight w:hRule="exact" w:val="454"/>
          <w:jc w:val="center"/>
        </w:trPr>
        <w:tc>
          <w:tcPr>
            <w:tcW w:w="1276" w:type="dxa"/>
            <w:vMerge/>
            <w:tcBorders>
              <w:left w:val="nil"/>
              <w:right w:val="nil"/>
            </w:tcBorders>
            <w:vAlign w:val="center"/>
          </w:tcPr>
          <w:p w14:paraId="5A29FAF2" w14:textId="77777777" w:rsidR="00850628" w:rsidRPr="007F6456" w:rsidRDefault="00850628" w:rsidP="00277830">
            <w:pPr>
              <w:spacing w:line="360" w:lineRule="auto"/>
              <w:jc w:val="center"/>
              <w:rPr>
                <w:rFonts w:asciiTheme="majorHAnsi" w:hAnsiTheme="majorHAnsi" w:cstheme="majorHAnsi"/>
                <w:b/>
                <w:bCs/>
                <w:sz w:val="20"/>
              </w:rPr>
            </w:pPr>
          </w:p>
        </w:tc>
        <w:tc>
          <w:tcPr>
            <w:tcW w:w="2552" w:type="dxa"/>
            <w:tcBorders>
              <w:top w:val="nil"/>
              <w:left w:val="nil"/>
              <w:bottom w:val="nil"/>
              <w:right w:val="nil"/>
            </w:tcBorders>
          </w:tcPr>
          <w:p w14:paraId="178D0868" w14:textId="2AC0CFAA" w:rsidR="00850628" w:rsidRPr="007F6456" w:rsidRDefault="00850628" w:rsidP="00850628">
            <w:pPr>
              <w:spacing w:line="360" w:lineRule="auto"/>
              <w:rPr>
                <w:rFonts w:asciiTheme="majorHAnsi" w:hAnsiTheme="majorHAnsi" w:cstheme="majorHAnsi"/>
                <w:sz w:val="20"/>
              </w:rPr>
            </w:pPr>
            <w:r>
              <w:rPr>
                <w:rFonts w:asciiTheme="majorHAnsi" w:hAnsiTheme="majorHAnsi" w:cstheme="majorHAnsi"/>
                <w:sz w:val="20"/>
              </w:rPr>
              <w:t>Complete nodal r</w:t>
            </w:r>
            <w:r w:rsidRPr="007F6456">
              <w:rPr>
                <w:rFonts w:asciiTheme="majorHAnsi" w:hAnsiTheme="majorHAnsi" w:cstheme="majorHAnsi"/>
                <w:sz w:val="20"/>
              </w:rPr>
              <w:t>espon</w:t>
            </w:r>
            <w:r>
              <w:rPr>
                <w:rFonts w:asciiTheme="majorHAnsi" w:hAnsiTheme="majorHAnsi" w:cstheme="majorHAnsi"/>
                <w:sz w:val="20"/>
              </w:rPr>
              <w:t>se</w:t>
            </w:r>
          </w:p>
        </w:tc>
        <w:tc>
          <w:tcPr>
            <w:tcW w:w="1701" w:type="dxa"/>
            <w:tcBorders>
              <w:top w:val="nil"/>
              <w:left w:val="nil"/>
              <w:bottom w:val="nil"/>
              <w:right w:val="nil"/>
            </w:tcBorders>
          </w:tcPr>
          <w:p w14:paraId="1888463D" w14:textId="1CDF00C8" w:rsidR="00850628" w:rsidRPr="00134343" w:rsidRDefault="00850628" w:rsidP="00850628">
            <w:pPr>
              <w:spacing w:line="360" w:lineRule="auto"/>
              <w:jc w:val="center"/>
              <w:rPr>
                <w:rFonts w:asciiTheme="majorHAnsi" w:hAnsiTheme="majorHAnsi" w:cstheme="majorHAnsi"/>
                <w:bCs/>
                <w:sz w:val="20"/>
              </w:rPr>
            </w:pPr>
            <w:r w:rsidRPr="0032166E">
              <w:rPr>
                <w:rFonts w:asciiTheme="majorHAnsi" w:hAnsiTheme="majorHAnsi" w:cstheme="majorHAnsi"/>
                <w:b/>
                <w:color w:val="FF0000"/>
                <w:sz w:val="20"/>
              </w:rPr>
              <w:t xml:space="preserve">0.24 </w:t>
            </w:r>
            <w:r>
              <w:rPr>
                <w:rFonts w:asciiTheme="majorHAnsi" w:hAnsiTheme="majorHAnsi" w:cstheme="majorHAnsi"/>
                <w:bCs/>
                <w:sz w:val="20"/>
              </w:rPr>
              <w:t>(0.16-0.37)</w:t>
            </w:r>
          </w:p>
        </w:tc>
        <w:tc>
          <w:tcPr>
            <w:tcW w:w="2126" w:type="dxa"/>
            <w:tcBorders>
              <w:top w:val="nil"/>
              <w:left w:val="nil"/>
              <w:bottom w:val="nil"/>
              <w:right w:val="nil"/>
            </w:tcBorders>
          </w:tcPr>
          <w:p w14:paraId="3EFB5E70" w14:textId="07DBC515" w:rsidR="00850628" w:rsidRPr="007F6456" w:rsidRDefault="00850628" w:rsidP="00850628">
            <w:pPr>
              <w:spacing w:line="360" w:lineRule="auto"/>
              <w:jc w:val="center"/>
              <w:rPr>
                <w:rFonts w:asciiTheme="majorHAnsi" w:hAnsiTheme="majorHAnsi" w:cstheme="majorHAnsi"/>
                <w:b/>
                <w:bCs/>
                <w:sz w:val="20"/>
              </w:rPr>
            </w:pPr>
            <w:r w:rsidRPr="007246E3">
              <w:rPr>
                <w:rFonts w:asciiTheme="majorHAnsi" w:hAnsiTheme="majorHAnsi" w:cstheme="majorHAnsi"/>
                <w:b/>
                <w:color w:val="FF0000"/>
                <w:sz w:val="20"/>
              </w:rPr>
              <w:t>0.3</w:t>
            </w:r>
            <w:r>
              <w:rPr>
                <w:rFonts w:asciiTheme="majorHAnsi" w:hAnsiTheme="majorHAnsi" w:cstheme="majorHAnsi"/>
                <w:b/>
                <w:color w:val="FF0000"/>
                <w:sz w:val="20"/>
              </w:rPr>
              <w:t>5</w:t>
            </w:r>
            <w:r w:rsidRPr="007246E3">
              <w:rPr>
                <w:rFonts w:asciiTheme="majorHAnsi" w:hAnsiTheme="majorHAnsi" w:cstheme="majorHAnsi"/>
                <w:b/>
                <w:color w:val="FF0000"/>
                <w:sz w:val="20"/>
              </w:rPr>
              <w:t xml:space="preserve"> </w:t>
            </w:r>
            <w:r w:rsidRPr="00E66642">
              <w:rPr>
                <w:rFonts w:asciiTheme="majorHAnsi" w:hAnsiTheme="majorHAnsi" w:cstheme="majorHAnsi"/>
                <w:bCs/>
                <w:sz w:val="20"/>
              </w:rPr>
              <w:t>(</w:t>
            </w:r>
            <w:r>
              <w:rPr>
                <w:rFonts w:asciiTheme="majorHAnsi" w:hAnsiTheme="majorHAnsi" w:cstheme="majorHAnsi"/>
                <w:bCs/>
                <w:sz w:val="20"/>
              </w:rPr>
              <w:t>0.22-0.56</w:t>
            </w:r>
            <w:r w:rsidRPr="00E66642">
              <w:rPr>
                <w:rFonts w:asciiTheme="majorHAnsi" w:hAnsiTheme="majorHAnsi" w:cstheme="majorHAnsi"/>
                <w:bCs/>
                <w:sz w:val="20"/>
              </w:rPr>
              <w:t>)</w:t>
            </w:r>
          </w:p>
        </w:tc>
        <w:tc>
          <w:tcPr>
            <w:tcW w:w="1702" w:type="dxa"/>
            <w:tcBorders>
              <w:top w:val="nil"/>
              <w:left w:val="nil"/>
              <w:bottom w:val="nil"/>
              <w:right w:val="nil"/>
            </w:tcBorders>
          </w:tcPr>
          <w:p w14:paraId="4C62C514" w14:textId="270741B0" w:rsidR="00850628" w:rsidRPr="007F6456" w:rsidRDefault="00850628" w:rsidP="00850628">
            <w:pPr>
              <w:spacing w:line="360" w:lineRule="auto"/>
              <w:jc w:val="center"/>
              <w:rPr>
                <w:rFonts w:asciiTheme="majorHAnsi" w:hAnsiTheme="majorHAnsi" w:cstheme="majorHAnsi"/>
                <w:b/>
                <w:sz w:val="20"/>
              </w:rPr>
            </w:pPr>
            <w:r w:rsidRPr="0032166E">
              <w:rPr>
                <w:rFonts w:asciiTheme="majorHAnsi" w:hAnsiTheme="majorHAnsi" w:cstheme="majorHAnsi"/>
                <w:b/>
                <w:color w:val="FF0000"/>
                <w:sz w:val="20"/>
              </w:rPr>
              <w:t xml:space="preserve">0.22 </w:t>
            </w:r>
            <w:r w:rsidRPr="00E66642">
              <w:rPr>
                <w:rFonts w:asciiTheme="majorHAnsi" w:hAnsiTheme="majorHAnsi" w:cstheme="majorHAnsi"/>
                <w:bCs/>
                <w:sz w:val="20"/>
              </w:rPr>
              <w:t>(</w:t>
            </w:r>
            <w:r>
              <w:rPr>
                <w:rFonts w:asciiTheme="majorHAnsi" w:hAnsiTheme="majorHAnsi" w:cstheme="majorHAnsi"/>
                <w:bCs/>
                <w:sz w:val="20"/>
              </w:rPr>
              <w:t>0.15-0.34</w:t>
            </w:r>
            <w:r w:rsidRPr="00E66642">
              <w:rPr>
                <w:rFonts w:asciiTheme="majorHAnsi" w:hAnsiTheme="majorHAnsi" w:cstheme="majorHAnsi"/>
                <w:bCs/>
                <w:sz w:val="20"/>
              </w:rPr>
              <w:t>)</w:t>
            </w:r>
          </w:p>
        </w:tc>
        <w:tc>
          <w:tcPr>
            <w:tcW w:w="2125" w:type="dxa"/>
            <w:tcBorders>
              <w:top w:val="nil"/>
              <w:left w:val="nil"/>
              <w:bottom w:val="nil"/>
              <w:right w:val="nil"/>
            </w:tcBorders>
          </w:tcPr>
          <w:p w14:paraId="042F7AAB" w14:textId="5A080D4D" w:rsidR="00850628" w:rsidRPr="007F6456" w:rsidRDefault="00BF220A" w:rsidP="00850628">
            <w:pPr>
              <w:spacing w:line="360" w:lineRule="auto"/>
              <w:jc w:val="center"/>
              <w:rPr>
                <w:rFonts w:asciiTheme="majorHAnsi" w:hAnsiTheme="majorHAnsi" w:cstheme="majorHAnsi"/>
                <w:b/>
                <w:sz w:val="20"/>
              </w:rPr>
            </w:pPr>
            <w:r w:rsidRPr="00CF1258">
              <w:rPr>
                <w:rFonts w:asciiTheme="majorHAnsi" w:hAnsiTheme="majorHAnsi" w:cstheme="majorHAnsi"/>
                <w:b/>
                <w:color w:val="FF0000"/>
                <w:sz w:val="20"/>
              </w:rPr>
              <w:t xml:space="preserve">0.32 </w:t>
            </w:r>
            <w:r>
              <w:rPr>
                <w:rFonts w:asciiTheme="majorHAnsi" w:hAnsiTheme="majorHAnsi" w:cstheme="majorHAnsi"/>
                <w:bCs/>
                <w:sz w:val="20"/>
              </w:rPr>
              <w:t>(0.20-0.51)</w:t>
            </w:r>
          </w:p>
        </w:tc>
      </w:tr>
      <w:tr w:rsidR="00850628" w:rsidRPr="007F6456" w14:paraId="41F8A8CD" w14:textId="77777777" w:rsidTr="00850628">
        <w:trPr>
          <w:trHeight w:hRule="exact" w:val="454"/>
          <w:jc w:val="center"/>
        </w:trPr>
        <w:tc>
          <w:tcPr>
            <w:tcW w:w="1276" w:type="dxa"/>
            <w:vMerge/>
            <w:tcBorders>
              <w:left w:val="nil"/>
              <w:right w:val="nil"/>
            </w:tcBorders>
            <w:vAlign w:val="center"/>
          </w:tcPr>
          <w:p w14:paraId="045334EA" w14:textId="77777777" w:rsidR="00850628" w:rsidRPr="007F6456" w:rsidRDefault="00850628" w:rsidP="00277830">
            <w:pPr>
              <w:spacing w:line="360" w:lineRule="auto"/>
              <w:jc w:val="center"/>
              <w:rPr>
                <w:rFonts w:asciiTheme="majorHAnsi" w:hAnsiTheme="majorHAnsi" w:cstheme="majorHAnsi"/>
                <w:b/>
                <w:bCs/>
                <w:sz w:val="20"/>
              </w:rPr>
            </w:pPr>
          </w:p>
        </w:tc>
        <w:tc>
          <w:tcPr>
            <w:tcW w:w="2552" w:type="dxa"/>
            <w:tcBorders>
              <w:top w:val="nil"/>
              <w:left w:val="nil"/>
              <w:bottom w:val="nil"/>
              <w:right w:val="nil"/>
            </w:tcBorders>
          </w:tcPr>
          <w:p w14:paraId="0721A2F1" w14:textId="7C287795" w:rsidR="00850628" w:rsidRPr="007F6456" w:rsidRDefault="00850628" w:rsidP="00850628">
            <w:pPr>
              <w:spacing w:line="360" w:lineRule="auto"/>
              <w:rPr>
                <w:rFonts w:asciiTheme="majorHAnsi" w:hAnsiTheme="majorHAnsi" w:cstheme="majorHAnsi"/>
                <w:sz w:val="20"/>
              </w:rPr>
            </w:pPr>
            <w:r>
              <w:rPr>
                <w:rFonts w:asciiTheme="majorHAnsi" w:hAnsiTheme="majorHAnsi" w:cstheme="majorHAnsi"/>
                <w:sz w:val="20"/>
              </w:rPr>
              <w:t>Partial nodal response</w:t>
            </w:r>
          </w:p>
        </w:tc>
        <w:tc>
          <w:tcPr>
            <w:tcW w:w="1701" w:type="dxa"/>
            <w:tcBorders>
              <w:top w:val="nil"/>
              <w:left w:val="nil"/>
              <w:bottom w:val="nil"/>
              <w:right w:val="nil"/>
            </w:tcBorders>
          </w:tcPr>
          <w:p w14:paraId="3074B84A" w14:textId="423FB2F5" w:rsidR="00850628" w:rsidRPr="00134343" w:rsidRDefault="00850628" w:rsidP="00850628">
            <w:pPr>
              <w:spacing w:line="360" w:lineRule="auto"/>
              <w:jc w:val="center"/>
              <w:rPr>
                <w:rFonts w:asciiTheme="majorHAnsi" w:hAnsiTheme="majorHAnsi" w:cstheme="majorHAnsi"/>
                <w:bCs/>
                <w:sz w:val="20"/>
              </w:rPr>
            </w:pPr>
            <w:r w:rsidRPr="0032166E">
              <w:rPr>
                <w:rFonts w:asciiTheme="majorHAnsi" w:hAnsiTheme="majorHAnsi" w:cstheme="majorHAnsi"/>
                <w:b/>
                <w:color w:val="FF0000"/>
                <w:sz w:val="20"/>
              </w:rPr>
              <w:t xml:space="preserve">0.63 </w:t>
            </w:r>
            <w:r>
              <w:rPr>
                <w:rFonts w:asciiTheme="majorHAnsi" w:hAnsiTheme="majorHAnsi" w:cstheme="majorHAnsi"/>
                <w:bCs/>
                <w:sz w:val="20"/>
              </w:rPr>
              <w:t>(0.49-0.80)</w:t>
            </w:r>
          </w:p>
        </w:tc>
        <w:tc>
          <w:tcPr>
            <w:tcW w:w="2126" w:type="dxa"/>
            <w:tcBorders>
              <w:top w:val="nil"/>
              <w:left w:val="nil"/>
              <w:bottom w:val="nil"/>
              <w:right w:val="nil"/>
            </w:tcBorders>
          </w:tcPr>
          <w:p w14:paraId="08CEC654" w14:textId="20DF9B7F" w:rsidR="00850628" w:rsidRPr="007F6456" w:rsidRDefault="00850628" w:rsidP="00850628">
            <w:pPr>
              <w:spacing w:line="360" w:lineRule="auto"/>
              <w:jc w:val="center"/>
              <w:rPr>
                <w:rFonts w:asciiTheme="majorHAnsi" w:hAnsiTheme="majorHAnsi" w:cstheme="majorHAnsi"/>
                <w:b/>
                <w:bCs/>
                <w:sz w:val="20"/>
              </w:rPr>
            </w:pPr>
            <w:r w:rsidRPr="007246E3">
              <w:rPr>
                <w:rFonts w:asciiTheme="majorHAnsi" w:hAnsiTheme="majorHAnsi" w:cstheme="majorHAnsi"/>
                <w:b/>
                <w:color w:val="FF0000"/>
                <w:sz w:val="20"/>
              </w:rPr>
              <w:t>0.</w:t>
            </w:r>
            <w:r>
              <w:rPr>
                <w:rFonts w:asciiTheme="majorHAnsi" w:hAnsiTheme="majorHAnsi" w:cstheme="majorHAnsi"/>
                <w:b/>
                <w:color w:val="FF0000"/>
                <w:sz w:val="20"/>
              </w:rPr>
              <w:t>72</w:t>
            </w:r>
            <w:r w:rsidRPr="007246E3">
              <w:rPr>
                <w:rFonts w:asciiTheme="majorHAnsi" w:hAnsiTheme="majorHAnsi" w:cstheme="majorHAnsi"/>
                <w:b/>
                <w:color w:val="FF0000"/>
                <w:sz w:val="20"/>
              </w:rPr>
              <w:t xml:space="preserve"> </w:t>
            </w:r>
            <w:r w:rsidRPr="00E66642">
              <w:rPr>
                <w:rFonts w:asciiTheme="majorHAnsi" w:hAnsiTheme="majorHAnsi" w:cstheme="majorHAnsi"/>
                <w:bCs/>
                <w:sz w:val="20"/>
              </w:rPr>
              <w:t>(</w:t>
            </w:r>
            <w:r>
              <w:rPr>
                <w:rFonts w:asciiTheme="majorHAnsi" w:hAnsiTheme="majorHAnsi" w:cstheme="majorHAnsi"/>
                <w:bCs/>
                <w:sz w:val="20"/>
              </w:rPr>
              <w:t>0.57-0.93</w:t>
            </w:r>
            <w:r w:rsidRPr="00E66642">
              <w:rPr>
                <w:rFonts w:asciiTheme="majorHAnsi" w:hAnsiTheme="majorHAnsi" w:cstheme="majorHAnsi"/>
                <w:bCs/>
                <w:sz w:val="20"/>
              </w:rPr>
              <w:t>)</w:t>
            </w:r>
          </w:p>
        </w:tc>
        <w:tc>
          <w:tcPr>
            <w:tcW w:w="1702" w:type="dxa"/>
            <w:tcBorders>
              <w:top w:val="nil"/>
              <w:left w:val="nil"/>
              <w:bottom w:val="nil"/>
              <w:right w:val="nil"/>
            </w:tcBorders>
          </w:tcPr>
          <w:p w14:paraId="7F9B3704" w14:textId="4226A744" w:rsidR="00850628" w:rsidRPr="002A7615" w:rsidRDefault="00850628" w:rsidP="00850628">
            <w:pPr>
              <w:spacing w:line="360" w:lineRule="auto"/>
              <w:jc w:val="center"/>
              <w:rPr>
                <w:rFonts w:asciiTheme="majorHAnsi" w:hAnsiTheme="majorHAnsi" w:cstheme="majorHAnsi"/>
                <w:bCs/>
                <w:sz w:val="20"/>
              </w:rPr>
            </w:pPr>
            <w:r w:rsidRPr="0032166E">
              <w:rPr>
                <w:rFonts w:asciiTheme="majorHAnsi" w:hAnsiTheme="majorHAnsi" w:cstheme="majorHAnsi"/>
                <w:b/>
                <w:color w:val="FF0000"/>
                <w:sz w:val="20"/>
              </w:rPr>
              <w:t xml:space="preserve">0.67 </w:t>
            </w:r>
            <w:r w:rsidRPr="00E66642">
              <w:rPr>
                <w:rFonts w:asciiTheme="majorHAnsi" w:hAnsiTheme="majorHAnsi" w:cstheme="majorHAnsi"/>
                <w:bCs/>
                <w:sz w:val="20"/>
              </w:rPr>
              <w:t>(</w:t>
            </w:r>
            <w:r>
              <w:rPr>
                <w:rFonts w:asciiTheme="majorHAnsi" w:hAnsiTheme="majorHAnsi" w:cstheme="majorHAnsi"/>
                <w:bCs/>
                <w:sz w:val="20"/>
              </w:rPr>
              <w:t>0.54-0.84</w:t>
            </w:r>
            <w:r w:rsidRPr="00E66642">
              <w:rPr>
                <w:rFonts w:asciiTheme="majorHAnsi" w:hAnsiTheme="majorHAnsi" w:cstheme="majorHAnsi"/>
                <w:bCs/>
                <w:sz w:val="20"/>
              </w:rPr>
              <w:t>)</w:t>
            </w:r>
          </w:p>
        </w:tc>
        <w:tc>
          <w:tcPr>
            <w:tcW w:w="2125" w:type="dxa"/>
            <w:tcBorders>
              <w:top w:val="nil"/>
              <w:left w:val="nil"/>
              <w:bottom w:val="nil"/>
              <w:right w:val="nil"/>
            </w:tcBorders>
          </w:tcPr>
          <w:p w14:paraId="009A7EA1" w14:textId="28C121D3" w:rsidR="00850628" w:rsidRPr="007F6456" w:rsidRDefault="00850628" w:rsidP="00850628">
            <w:pPr>
              <w:spacing w:line="360" w:lineRule="auto"/>
              <w:jc w:val="center"/>
              <w:rPr>
                <w:rFonts w:asciiTheme="majorHAnsi" w:hAnsiTheme="majorHAnsi" w:cstheme="majorHAnsi"/>
                <w:bCs/>
                <w:sz w:val="20"/>
              </w:rPr>
            </w:pPr>
            <w:r w:rsidRPr="00CF1258">
              <w:rPr>
                <w:rFonts w:asciiTheme="majorHAnsi" w:hAnsiTheme="majorHAnsi" w:cstheme="majorHAnsi"/>
                <w:b/>
                <w:color w:val="FF0000"/>
                <w:sz w:val="20"/>
              </w:rPr>
              <w:t>0.7</w:t>
            </w:r>
            <w:r>
              <w:rPr>
                <w:rFonts w:asciiTheme="majorHAnsi" w:hAnsiTheme="majorHAnsi" w:cstheme="majorHAnsi"/>
                <w:b/>
                <w:color w:val="FF0000"/>
                <w:sz w:val="20"/>
              </w:rPr>
              <w:t>6</w:t>
            </w:r>
            <w:r w:rsidRPr="00CF1258">
              <w:rPr>
                <w:rFonts w:asciiTheme="majorHAnsi" w:hAnsiTheme="majorHAnsi" w:cstheme="majorHAnsi"/>
                <w:b/>
                <w:color w:val="FF0000"/>
                <w:sz w:val="20"/>
              </w:rPr>
              <w:t xml:space="preserve"> </w:t>
            </w:r>
            <w:r>
              <w:rPr>
                <w:rFonts w:asciiTheme="majorHAnsi" w:hAnsiTheme="majorHAnsi" w:cstheme="majorHAnsi"/>
                <w:bCs/>
                <w:sz w:val="20"/>
              </w:rPr>
              <w:t>(0.60-0.96)</w:t>
            </w:r>
          </w:p>
        </w:tc>
      </w:tr>
      <w:tr w:rsidR="00850628" w:rsidRPr="007F6456" w14:paraId="5898A2FF" w14:textId="77777777" w:rsidTr="00850628">
        <w:trPr>
          <w:trHeight w:hRule="exact" w:val="454"/>
          <w:jc w:val="center"/>
        </w:trPr>
        <w:tc>
          <w:tcPr>
            <w:tcW w:w="1276" w:type="dxa"/>
            <w:vMerge/>
            <w:tcBorders>
              <w:left w:val="nil"/>
              <w:bottom w:val="single" w:sz="4" w:space="0" w:color="auto"/>
              <w:right w:val="nil"/>
            </w:tcBorders>
            <w:vAlign w:val="center"/>
          </w:tcPr>
          <w:p w14:paraId="7B7090CB" w14:textId="77777777" w:rsidR="00850628" w:rsidRPr="007F6456" w:rsidRDefault="00850628" w:rsidP="00277830">
            <w:pPr>
              <w:spacing w:line="360" w:lineRule="auto"/>
              <w:jc w:val="center"/>
              <w:rPr>
                <w:rFonts w:asciiTheme="majorHAnsi" w:hAnsiTheme="majorHAnsi" w:cstheme="majorHAnsi"/>
                <w:b/>
                <w:bCs/>
                <w:sz w:val="20"/>
              </w:rPr>
            </w:pPr>
          </w:p>
        </w:tc>
        <w:tc>
          <w:tcPr>
            <w:tcW w:w="2552" w:type="dxa"/>
            <w:tcBorders>
              <w:top w:val="nil"/>
              <w:left w:val="nil"/>
              <w:bottom w:val="single" w:sz="4" w:space="0" w:color="auto"/>
              <w:right w:val="nil"/>
            </w:tcBorders>
          </w:tcPr>
          <w:p w14:paraId="286FBCA0" w14:textId="51BCA54B" w:rsidR="00850628" w:rsidRPr="007F6456" w:rsidRDefault="00850628" w:rsidP="00850628">
            <w:pPr>
              <w:spacing w:line="360" w:lineRule="auto"/>
              <w:rPr>
                <w:rFonts w:asciiTheme="majorHAnsi" w:hAnsiTheme="majorHAnsi" w:cstheme="majorHAnsi"/>
                <w:sz w:val="20"/>
              </w:rPr>
            </w:pPr>
            <w:r w:rsidRPr="007F6456">
              <w:rPr>
                <w:rFonts w:asciiTheme="majorHAnsi" w:hAnsiTheme="majorHAnsi" w:cstheme="majorHAnsi"/>
                <w:sz w:val="20"/>
              </w:rPr>
              <w:t>Negative nodes</w:t>
            </w:r>
          </w:p>
        </w:tc>
        <w:tc>
          <w:tcPr>
            <w:tcW w:w="1701" w:type="dxa"/>
            <w:tcBorders>
              <w:top w:val="nil"/>
              <w:left w:val="nil"/>
              <w:bottom w:val="single" w:sz="4" w:space="0" w:color="auto"/>
              <w:right w:val="nil"/>
            </w:tcBorders>
          </w:tcPr>
          <w:p w14:paraId="61A409C9" w14:textId="46738754" w:rsidR="00850628" w:rsidRPr="00134343" w:rsidRDefault="00850628" w:rsidP="00850628">
            <w:pPr>
              <w:spacing w:line="360" w:lineRule="auto"/>
              <w:jc w:val="center"/>
              <w:rPr>
                <w:rFonts w:asciiTheme="majorHAnsi" w:hAnsiTheme="majorHAnsi" w:cstheme="majorHAnsi"/>
                <w:bCs/>
                <w:sz w:val="20"/>
              </w:rPr>
            </w:pPr>
            <w:r w:rsidRPr="0032166E">
              <w:rPr>
                <w:rFonts w:asciiTheme="majorHAnsi" w:hAnsiTheme="majorHAnsi" w:cstheme="majorHAnsi"/>
                <w:b/>
                <w:color w:val="FF0000"/>
                <w:sz w:val="20"/>
              </w:rPr>
              <w:t xml:space="preserve">0.24 </w:t>
            </w:r>
            <w:r>
              <w:rPr>
                <w:rFonts w:asciiTheme="majorHAnsi" w:hAnsiTheme="majorHAnsi" w:cstheme="majorHAnsi"/>
                <w:bCs/>
                <w:sz w:val="20"/>
              </w:rPr>
              <w:t>(0.19-0.31)</w:t>
            </w:r>
          </w:p>
        </w:tc>
        <w:tc>
          <w:tcPr>
            <w:tcW w:w="2126" w:type="dxa"/>
            <w:tcBorders>
              <w:top w:val="nil"/>
              <w:left w:val="nil"/>
              <w:bottom w:val="single" w:sz="4" w:space="0" w:color="auto"/>
              <w:right w:val="nil"/>
            </w:tcBorders>
          </w:tcPr>
          <w:p w14:paraId="6D183EAE" w14:textId="1317327E" w:rsidR="00850628" w:rsidRPr="007F6456" w:rsidRDefault="00850628" w:rsidP="00850628">
            <w:pPr>
              <w:spacing w:line="360" w:lineRule="auto"/>
              <w:jc w:val="center"/>
              <w:rPr>
                <w:rFonts w:asciiTheme="majorHAnsi" w:hAnsiTheme="majorHAnsi" w:cstheme="majorHAnsi"/>
                <w:b/>
                <w:bCs/>
                <w:sz w:val="20"/>
              </w:rPr>
            </w:pPr>
            <w:r w:rsidRPr="007246E3">
              <w:rPr>
                <w:rFonts w:asciiTheme="majorHAnsi" w:hAnsiTheme="majorHAnsi" w:cstheme="majorHAnsi"/>
                <w:b/>
                <w:color w:val="FF0000"/>
                <w:sz w:val="20"/>
              </w:rPr>
              <w:t>0.3</w:t>
            </w:r>
            <w:r>
              <w:rPr>
                <w:rFonts w:asciiTheme="majorHAnsi" w:hAnsiTheme="majorHAnsi" w:cstheme="majorHAnsi"/>
                <w:b/>
                <w:color w:val="FF0000"/>
                <w:sz w:val="20"/>
              </w:rPr>
              <w:t>2</w:t>
            </w:r>
            <w:r w:rsidRPr="007246E3">
              <w:rPr>
                <w:rFonts w:asciiTheme="majorHAnsi" w:hAnsiTheme="majorHAnsi" w:cstheme="majorHAnsi"/>
                <w:b/>
                <w:color w:val="FF0000"/>
                <w:sz w:val="20"/>
              </w:rPr>
              <w:t xml:space="preserve"> </w:t>
            </w:r>
            <w:r w:rsidRPr="00E66642">
              <w:rPr>
                <w:rFonts w:asciiTheme="majorHAnsi" w:hAnsiTheme="majorHAnsi" w:cstheme="majorHAnsi"/>
                <w:bCs/>
                <w:sz w:val="20"/>
              </w:rPr>
              <w:t>(</w:t>
            </w:r>
            <w:r>
              <w:rPr>
                <w:rFonts w:asciiTheme="majorHAnsi" w:hAnsiTheme="majorHAnsi" w:cstheme="majorHAnsi"/>
                <w:bCs/>
                <w:sz w:val="20"/>
              </w:rPr>
              <w:t>0.25-0.42</w:t>
            </w:r>
            <w:r w:rsidRPr="00E66642">
              <w:rPr>
                <w:rFonts w:asciiTheme="majorHAnsi" w:hAnsiTheme="majorHAnsi" w:cstheme="majorHAnsi"/>
                <w:bCs/>
                <w:sz w:val="20"/>
              </w:rPr>
              <w:t>)</w:t>
            </w:r>
          </w:p>
        </w:tc>
        <w:tc>
          <w:tcPr>
            <w:tcW w:w="1702" w:type="dxa"/>
            <w:tcBorders>
              <w:top w:val="nil"/>
              <w:left w:val="nil"/>
              <w:bottom w:val="single" w:sz="4" w:space="0" w:color="auto"/>
              <w:right w:val="nil"/>
            </w:tcBorders>
          </w:tcPr>
          <w:p w14:paraId="5629912C" w14:textId="7857AAAF" w:rsidR="00850628" w:rsidRPr="002A7615" w:rsidRDefault="00850628" w:rsidP="00850628">
            <w:pPr>
              <w:spacing w:line="360" w:lineRule="auto"/>
              <w:jc w:val="center"/>
              <w:rPr>
                <w:rFonts w:asciiTheme="majorHAnsi" w:hAnsiTheme="majorHAnsi" w:cstheme="majorHAnsi"/>
                <w:bCs/>
                <w:sz w:val="20"/>
              </w:rPr>
            </w:pPr>
            <w:r w:rsidRPr="0032166E">
              <w:rPr>
                <w:rFonts w:asciiTheme="majorHAnsi" w:hAnsiTheme="majorHAnsi" w:cstheme="majorHAnsi"/>
                <w:b/>
                <w:color w:val="FF0000"/>
                <w:sz w:val="20"/>
              </w:rPr>
              <w:t xml:space="preserve">0.24 </w:t>
            </w:r>
            <w:r w:rsidRPr="00E66642">
              <w:rPr>
                <w:rFonts w:asciiTheme="majorHAnsi" w:hAnsiTheme="majorHAnsi" w:cstheme="majorHAnsi"/>
                <w:bCs/>
                <w:sz w:val="20"/>
              </w:rPr>
              <w:t>(</w:t>
            </w:r>
            <w:r>
              <w:rPr>
                <w:rFonts w:asciiTheme="majorHAnsi" w:hAnsiTheme="majorHAnsi" w:cstheme="majorHAnsi"/>
                <w:bCs/>
                <w:sz w:val="20"/>
              </w:rPr>
              <w:t>0.18-0.30</w:t>
            </w:r>
            <w:r w:rsidRPr="00E66642">
              <w:rPr>
                <w:rFonts w:asciiTheme="majorHAnsi" w:hAnsiTheme="majorHAnsi" w:cstheme="majorHAnsi"/>
                <w:bCs/>
                <w:sz w:val="20"/>
              </w:rPr>
              <w:t>)</w:t>
            </w:r>
          </w:p>
        </w:tc>
        <w:tc>
          <w:tcPr>
            <w:tcW w:w="2125" w:type="dxa"/>
            <w:tcBorders>
              <w:top w:val="nil"/>
              <w:left w:val="nil"/>
              <w:bottom w:val="single" w:sz="4" w:space="0" w:color="auto"/>
              <w:right w:val="nil"/>
            </w:tcBorders>
          </w:tcPr>
          <w:p w14:paraId="13B3177C" w14:textId="65C7D331" w:rsidR="00850628" w:rsidRPr="007F6456" w:rsidRDefault="00BF220A" w:rsidP="00850628">
            <w:pPr>
              <w:spacing w:line="360" w:lineRule="auto"/>
              <w:jc w:val="center"/>
              <w:rPr>
                <w:rFonts w:asciiTheme="majorHAnsi" w:hAnsiTheme="majorHAnsi" w:cstheme="majorHAnsi"/>
                <w:bCs/>
                <w:sz w:val="20"/>
              </w:rPr>
            </w:pPr>
            <w:r w:rsidRPr="00CF1258">
              <w:rPr>
                <w:rFonts w:asciiTheme="majorHAnsi" w:hAnsiTheme="majorHAnsi" w:cstheme="majorHAnsi"/>
                <w:b/>
                <w:color w:val="FF0000"/>
                <w:sz w:val="20"/>
              </w:rPr>
              <w:t xml:space="preserve">0.31 </w:t>
            </w:r>
            <w:r>
              <w:rPr>
                <w:rFonts w:asciiTheme="majorHAnsi" w:hAnsiTheme="majorHAnsi" w:cstheme="majorHAnsi"/>
                <w:bCs/>
                <w:sz w:val="20"/>
              </w:rPr>
              <w:t>(0.24-0.41)</w:t>
            </w:r>
          </w:p>
        </w:tc>
      </w:tr>
      <w:tr w:rsidR="00850628" w:rsidRPr="007F6456" w14:paraId="0B2686BA" w14:textId="77777777" w:rsidTr="00850628">
        <w:trPr>
          <w:trHeight w:hRule="exact" w:val="454"/>
          <w:jc w:val="center"/>
        </w:trPr>
        <w:tc>
          <w:tcPr>
            <w:tcW w:w="1276" w:type="dxa"/>
            <w:vMerge w:val="restart"/>
            <w:tcBorders>
              <w:top w:val="single" w:sz="4" w:space="0" w:color="auto"/>
              <w:left w:val="nil"/>
              <w:right w:val="nil"/>
            </w:tcBorders>
            <w:vAlign w:val="center"/>
          </w:tcPr>
          <w:p w14:paraId="7241C966" w14:textId="1A425B9A" w:rsidR="00850628" w:rsidRPr="007F6456" w:rsidRDefault="00850628" w:rsidP="00850628">
            <w:pPr>
              <w:spacing w:line="360" w:lineRule="auto"/>
              <w:jc w:val="center"/>
              <w:rPr>
                <w:rFonts w:asciiTheme="majorHAnsi" w:hAnsiTheme="majorHAnsi" w:cstheme="majorHAnsi"/>
                <w:b/>
                <w:bCs/>
                <w:sz w:val="20"/>
              </w:rPr>
            </w:pPr>
            <w:proofErr w:type="spellStart"/>
            <w:r>
              <w:rPr>
                <w:rFonts w:asciiTheme="majorHAnsi" w:hAnsiTheme="majorHAnsi" w:cstheme="majorHAnsi"/>
                <w:b/>
                <w:bCs/>
                <w:sz w:val="20"/>
              </w:rPr>
              <w:t>Tumor</w:t>
            </w:r>
            <w:proofErr w:type="spellEnd"/>
            <w:r w:rsidRPr="007F6456">
              <w:rPr>
                <w:rFonts w:asciiTheme="majorHAnsi" w:hAnsiTheme="majorHAnsi" w:cstheme="majorHAnsi"/>
                <w:b/>
                <w:bCs/>
                <w:sz w:val="20"/>
              </w:rPr>
              <w:t xml:space="preserve"> regression</w:t>
            </w:r>
          </w:p>
        </w:tc>
        <w:tc>
          <w:tcPr>
            <w:tcW w:w="2552" w:type="dxa"/>
            <w:tcBorders>
              <w:top w:val="single" w:sz="4" w:space="0" w:color="auto"/>
              <w:left w:val="nil"/>
              <w:bottom w:val="nil"/>
              <w:right w:val="nil"/>
            </w:tcBorders>
          </w:tcPr>
          <w:p w14:paraId="60D836BA" w14:textId="533F5412" w:rsidR="00850628" w:rsidRPr="007F6456" w:rsidRDefault="00850628" w:rsidP="00850628">
            <w:pPr>
              <w:spacing w:line="360" w:lineRule="auto"/>
              <w:rPr>
                <w:rFonts w:asciiTheme="majorHAnsi" w:hAnsiTheme="majorHAnsi" w:cstheme="majorHAnsi"/>
                <w:sz w:val="20"/>
              </w:rPr>
            </w:pPr>
            <w:r>
              <w:rPr>
                <w:rFonts w:asciiTheme="majorHAnsi" w:hAnsiTheme="majorHAnsi" w:cstheme="majorHAnsi"/>
                <w:sz w:val="20"/>
              </w:rPr>
              <w:t>Mandard 4-5</w:t>
            </w:r>
          </w:p>
        </w:tc>
        <w:tc>
          <w:tcPr>
            <w:tcW w:w="1701" w:type="dxa"/>
            <w:tcBorders>
              <w:top w:val="single" w:sz="4" w:space="0" w:color="auto"/>
              <w:left w:val="nil"/>
              <w:bottom w:val="nil"/>
              <w:right w:val="nil"/>
            </w:tcBorders>
          </w:tcPr>
          <w:p w14:paraId="61B87454" w14:textId="77777777" w:rsidR="00850628" w:rsidRPr="007F6456" w:rsidRDefault="00850628" w:rsidP="00850628">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c>
          <w:tcPr>
            <w:tcW w:w="2126" w:type="dxa"/>
            <w:tcBorders>
              <w:top w:val="single" w:sz="4" w:space="0" w:color="auto"/>
              <w:left w:val="nil"/>
              <w:bottom w:val="nil"/>
              <w:right w:val="nil"/>
            </w:tcBorders>
          </w:tcPr>
          <w:p w14:paraId="7C53B6E5" w14:textId="77777777" w:rsidR="00850628" w:rsidRPr="007F6456" w:rsidRDefault="00850628" w:rsidP="00850628">
            <w:pPr>
              <w:spacing w:line="360" w:lineRule="auto"/>
              <w:jc w:val="center"/>
              <w:rPr>
                <w:rFonts w:asciiTheme="majorHAnsi" w:hAnsiTheme="majorHAnsi" w:cstheme="majorHAnsi"/>
                <w:b/>
                <w:bCs/>
                <w:sz w:val="20"/>
              </w:rPr>
            </w:pPr>
            <w:r w:rsidRPr="007F6456">
              <w:rPr>
                <w:rFonts w:asciiTheme="majorHAnsi" w:hAnsiTheme="majorHAnsi" w:cstheme="majorHAnsi"/>
                <w:sz w:val="20"/>
              </w:rPr>
              <w:t>1.00</w:t>
            </w:r>
          </w:p>
        </w:tc>
        <w:tc>
          <w:tcPr>
            <w:tcW w:w="1702" w:type="dxa"/>
            <w:tcBorders>
              <w:top w:val="single" w:sz="4" w:space="0" w:color="auto"/>
              <w:left w:val="nil"/>
              <w:bottom w:val="nil"/>
              <w:right w:val="nil"/>
            </w:tcBorders>
          </w:tcPr>
          <w:p w14:paraId="329C5D1D" w14:textId="77777777" w:rsidR="00850628" w:rsidRPr="007F6456" w:rsidRDefault="00850628" w:rsidP="00850628">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c>
          <w:tcPr>
            <w:tcW w:w="2125" w:type="dxa"/>
            <w:tcBorders>
              <w:top w:val="single" w:sz="4" w:space="0" w:color="auto"/>
              <w:left w:val="nil"/>
              <w:bottom w:val="nil"/>
              <w:right w:val="nil"/>
            </w:tcBorders>
          </w:tcPr>
          <w:p w14:paraId="33ACE6FF" w14:textId="77777777" w:rsidR="00850628" w:rsidRPr="007F6456" w:rsidRDefault="00850628" w:rsidP="00850628">
            <w:pPr>
              <w:spacing w:line="360" w:lineRule="auto"/>
              <w:jc w:val="center"/>
              <w:rPr>
                <w:rFonts w:asciiTheme="majorHAnsi" w:hAnsiTheme="majorHAnsi" w:cstheme="majorHAnsi"/>
                <w:b/>
                <w:sz w:val="20"/>
              </w:rPr>
            </w:pPr>
            <w:r w:rsidRPr="007F6456">
              <w:rPr>
                <w:rFonts w:asciiTheme="majorHAnsi" w:hAnsiTheme="majorHAnsi" w:cstheme="majorHAnsi"/>
                <w:sz w:val="20"/>
              </w:rPr>
              <w:t>1.00</w:t>
            </w:r>
          </w:p>
        </w:tc>
      </w:tr>
      <w:tr w:rsidR="00850628" w:rsidRPr="007F6456" w14:paraId="60268692" w14:textId="77777777" w:rsidTr="00850628">
        <w:trPr>
          <w:trHeight w:hRule="exact" w:val="454"/>
          <w:jc w:val="center"/>
        </w:trPr>
        <w:tc>
          <w:tcPr>
            <w:tcW w:w="1276" w:type="dxa"/>
            <w:vMerge/>
            <w:tcBorders>
              <w:left w:val="nil"/>
              <w:right w:val="nil"/>
            </w:tcBorders>
          </w:tcPr>
          <w:p w14:paraId="600B48FD" w14:textId="77777777" w:rsidR="00850628" w:rsidRPr="007F6456" w:rsidRDefault="00850628" w:rsidP="00850628">
            <w:pPr>
              <w:spacing w:line="360" w:lineRule="auto"/>
              <w:rPr>
                <w:rFonts w:asciiTheme="majorHAnsi" w:hAnsiTheme="majorHAnsi" w:cstheme="majorHAnsi"/>
                <w:b/>
                <w:bCs/>
                <w:sz w:val="20"/>
              </w:rPr>
            </w:pPr>
          </w:p>
        </w:tc>
        <w:tc>
          <w:tcPr>
            <w:tcW w:w="2552" w:type="dxa"/>
            <w:tcBorders>
              <w:top w:val="nil"/>
              <w:left w:val="nil"/>
              <w:bottom w:val="nil"/>
              <w:right w:val="nil"/>
            </w:tcBorders>
          </w:tcPr>
          <w:p w14:paraId="2BFBED53" w14:textId="0AE73525" w:rsidR="00850628" w:rsidRPr="007F6456" w:rsidRDefault="00850628" w:rsidP="00850628">
            <w:pPr>
              <w:spacing w:line="360" w:lineRule="auto"/>
              <w:rPr>
                <w:rFonts w:asciiTheme="majorHAnsi" w:hAnsiTheme="majorHAnsi" w:cstheme="majorHAnsi"/>
                <w:sz w:val="20"/>
              </w:rPr>
            </w:pPr>
            <w:r>
              <w:rPr>
                <w:rFonts w:asciiTheme="majorHAnsi" w:hAnsiTheme="majorHAnsi" w:cstheme="majorHAnsi"/>
                <w:sz w:val="20"/>
              </w:rPr>
              <w:t>Mandard 2-3</w:t>
            </w:r>
          </w:p>
        </w:tc>
        <w:tc>
          <w:tcPr>
            <w:tcW w:w="1701" w:type="dxa"/>
            <w:tcBorders>
              <w:top w:val="nil"/>
              <w:left w:val="nil"/>
              <w:bottom w:val="nil"/>
              <w:right w:val="nil"/>
            </w:tcBorders>
          </w:tcPr>
          <w:p w14:paraId="7ACC53B4" w14:textId="5089A47A" w:rsidR="00850628" w:rsidRPr="002723FF" w:rsidRDefault="00850628" w:rsidP="00850628">
            <w:pPr>
              <w:spacing w:line="360" w:lineRule="auto"/>
              <w:jc w:val="center"/>
              <w:rPr>
                <w:rFonts w:asciiTheme="majorHAnsi" w:hAnsiTheme="majorHAnsi" w:cstheme="majorHAnsi"/>
                <w:bCs/>
                <w:sz w:val="20"/>
              </w:rPr>
            </w:pPr>
            <w:r w:rsidRPr="00850628">
              <w:rPr>
                <w:rFonts w:asciiTheme="majorHAnsi" w:hAnsiTheme="majorHAnsi" w:cstheme="majorHAnsi"/>
                <w:b/>
                <w:color w:val="FF0000"/>
                <w:sz w:val="20"/>
              </w:rPr>
              <w:t>0.50</w:t>
            </w:r>
            <w:r w:rsidRPr="00850628">
              <w:rPr>
                <w:rFonts w:asciiTheme="majorHAnsi" w:hAnsiTheme="majorHAnsi" w:cstheme="majorHAnsi"/>
                <w:bCs/>
                <w:color w:val="FF0000"/>
                <w:sz w:val="20"/>
              </w:rPr>
              <w:t xml:space="preserve"> </w:t>
            </w:r>
            <w:r>
              <w:rPr>
                <w:rFonts w:asciiTheme="majorHAnsi" w:hAnsiTheme="majorHAnsi" w:cstheme="majorHAnsi"/>
                <w:bCs/>
                <w:sz w:val="20"/>
              </w:rPr>
              <w:t>(0.41-0.61)</w:t>
            </w:r>
          </w:p>
        </w:tc>
        <w:tc>
          <w:tcPr>
            <w:tcW w:w="2126" w:type="dxa"/>
            <w:tcBorders>
              <w:top w:val="nil"/>
              <w:left w:val="nil"/>
              <w:bottom w:val="nil"/>
              <w:right w:val="nil"/>
            </w:tcBorders>
          </w:tcPr>
          <w:p w14:paraId="0BB41655" w14:textId="2DC59CF2" w:rsidR="00850628" w:rsidRPr="00850628" w:rsidRDefault="00850628" w:rsidP="00850628">
            <w:pPr>
              <w:spacing w:line="360" w:lineRule="auto"/>
              <w:jc w:val="center"/>
              <w:rPr>
                <w:rFonts w:asciiTheme="majorHAnsi" w:hAnsiTheme="majorHAnsi" w:cstheme="majorHAnsi"/>
                <w:bCs/>
                <w:color w:val="000000" w:themeColor="text1"/>
                <w:sz w:val="20"/>
              </w:rPr>
            </w:pPr>
            <w:r w:rsidRPr="00850628">
              <w:rPr>
                <w:rFonts w:asciiTheme="majorHAnsi" w:hAnsiTheme="majorHAnsi" w:cstheme="majorHAnsi"/>
                <w:b/>
                <w:color w:val="FF0000"/>
                <w:sz w:val="20"/>
              </w:rPr>
              <w:t>0.70</w:t>
            </w:r>
            <w:r w:rsidRPr="00850628">
              <w:rPr>
                <w:rFonts w:asciiTheme="majorHAnsi" w:hAnsiTheme="majorHAnsi" w:cstheme="majorHAnsi"/>
                <w:bCs/>
                <w:color w:val="FF0000"/>
                <w:sz w:val="20"/>
              </w:rPr>
              <w:t xml:space="preserve"> </w:t>
            </w:r>
            <w:r>
              <w:rPr>
                <w:rFonts w:asciiTheme="majorHAnsi" w:hAnsiTheme="majorHAnsi" w:cstheme="majorHAnsi"/>
                <w:bCs/>
                <w:color w:val="000000" w:themeColor="text1"/>
                <w:sz w:val="20"/>
              </w:rPr>
              <w:t>(0.55-0.87)</w:t>
            </w:r>
          </w:p>
        </w:tc>
        <w:tc>
          <w:tcPr>
            <w:tcW w:w="1702" w:type="dxa"/>
            <w:tcBorders>
              <w:top w:val="nil"/>
              <w:left w:val="nil"/>
              <w:bottom w:val="nil"/>
              <w:right w:val="nil"/>
            </w:tcBorders>
          </w:tcPr>
          <w:p w14:paraId="16C96AC3" w14:textId="45F9B0BD" w:rsidR="00850628" w:rsidRPr="00C655B4" w:rsidRDefault="00850628" w:rsidP="00850628">
            <w:pPr>
              <w:spacing w:line="360" w:lineRule="auto"/>
              <w:jc w:val="center"/>
              <w:rPr>
                <w:rFonts w:asciiTheme="majorHAnsi" w:hAnsiTheme="majorHAnsi" w:cstheme="majorHAnsi"/>
                <w:bCs/>
                <w:sz w:val="20"/>
              </w:rPr>
            </w:pPr>
            <w:r w:rsidRPr="00850628">
              <w:rPr>
                <w:rFonts w:asciiTheme="majorHAnsi" w:hAnsiTheme="majorHAnsi" w:cstheme="majorHAnsi"/>
                <w:b/>
                <w:color w:val="FF0000"/>
                <w:sz w:val="20"/>
              </w:rPr>
              <w:t>0.50</w:t>
            </w:r>
            <w:r w:rsidRPr="00850628">
              <w:rPr>
                <w:rFonts w:asciiTheme="majorHAnsi" w:hAnsiTheme="majorHAnsi" w:cstheme="majorHAnsi"/>
                <w:bCs/>
                <w:color w:val="FF0000"/>
                <w:sz w:val="20"/>
              </w:rPr>
              <w:t xml:space="preserve"> </w:t>
            </w:r>
            <w:r>
              <w:rPr>
                <w:rFonts w:asciiTheme="majorHAnsi" w:hAnsiTheme="majorHAnsi" w:cstheme="majorHAnsi"/>
                <w:bCs/>
                <w:sz w:val="20"/>
              </w:rPr>
              <w:t>(0.40-0.61)</w:t>
            </w:r>
          </w:p>
        </w:tc>
        <w:tc>
          <w:tcPr>
            <w:tcW w:w="2125" w:type="dxa"/>
            <w:tcBorders>
              <w:top w:val="nil"/>
              <w:left w:val="nil"/>
              <w:bottom w:val="nil"/>
              <w:right w:val="nil"/>
            </w:tcBorders>
          </w:tcPr>
          <w:p w14:paraId="481170F0" w14:textId="5914EF15" w:rsidR="00850628" w:rsidRPr="007F6456" w:rsidRDefault="00850628" w:rsidP="00850628">
            <w:pPr>
              <w:spacing w:line="360" w:lineRule="auto"/>
              <w:jc w:val="center"/>
              <w:rPr>
                <w:rFonts w:asciiTheme="majorHAnsi" w:hAnsiTheme="majorHAnsi" w:cstheme="majorHAnsi"/>
                <w:b/>
                <w:sz w:val="20"/>
              </w:rPr>
            </w:pPr>
            <w:r w:rsidRPr="00BF207D">
              <w:rPr>
                <w:rFonts w:asciiTheme="majorHAnsi" w:hAnsiTheme="majorHAnsi" w:cstheme="majorHAnsi"/>
                <w:b/>
                <w:color w:val="FF0000"/>
                <w:sz w:val="20"/>
              </w:rPr>
              <w:t xml:space="preserve">0.70 </w:t>
            </w:r>
            <w:r w:rsidRPr="00BF207D">
              <w:rPr>
                <w:rFonts w:asciiTheme="majorHAnsi" w:hAnsiTheme="majorHAnsi" w:cstheme="majorHAnsi"/>
                <w:bCs/>
                <w:color w:val="000000" w:themeColor="text1"/>
                <w:sz w:val="20"/>
              </w:rPr>
              <w:t>(0.56-0.88)</w:t>
            </w:r>
          </w:p>
        </w:tc>
      </w:tr>
      <w:tr w:rsidR="00850628" w:rsidRPr="007F6456" w14:paraId="39922813" w14:textId="77777777" w:rsidTr="00850628">
        <w:trPr>
          <w:trHeight w:hRule="exact" w:val="454"/>
          <w:jc w:val="center"/>
        </w:trPr>
        <w:tc>
          <w:tcPr>
            <w:tcW w:w="1276" w:type="dxa"/>
            <w:vMerge/>
            <w:tcBorders>
              <w:left w:val="nil"/>
              <w:right w:val="nil"/>
            </w:tcBorders>
          </w:tcPr>
          <w:p w14:paraId="3D006B7E" w14:textId="77777777" w:rsidR="00850628" w:rsidRPr="007F6456" w:rsidRDefault="00850628" w:rsidP="00850628">
            <w:pPr>
              <w:spacing w:line="360" w:lineRule="auto"/>
              <w:rPr>
                <w:rFonts w:asciiTheme="majorHAnsi" w:hAnsiTheme="majorHAnsi" w:cstheme="majorHAnsi"/>
                <w:b/>
                <w:bCs/>
                <w:sz w:val="20"/>
              </w:rPr>
            </w:pPr>
          </w:p>
        </w:tc>
        <w:tc>
          <w:tcPr>
            <w:tcW w:w="2552" w:type="dxa"/>
            <w:tcBorders>
              <w:top w:val="nil"/>
              <w:left w:val="nil"/>
              <w:bottom w:val="nil"/>
              <w:right w:val="nil"/>
            </w:tcBorders>
          </w:tcPr>
          <w:p w14:paraId="5428839C" w14:textId="54B1EE32" w:rsidR="00850628" w:rsidRDefault="00850628" w:rsidP="00850628">
            <w:pPr>
              <w:spacing w:line="360" w:lineRule="auto"/>
              <w:rPr>
                <w:rFonts w:asciiTheme="majorHAnsi" w:hAnsiTheme="majorHAnsi" w:cstheme="majorHAnsi"/>
                <w:sz w:val="20"/>
              </w:rPr>
            </w:pPr>
            <w:r>
              <w:rPr>
                <w:rFonts w:asciiTheme="majorHAnsi" w:hAnsiTheme="majorHAnsi" w:cstheme="majorHAnsi"/>
                <w:sz w:val="20"/>
              </w:rPr>
              <w:t>Mandard 1</w:t>
            </w:r>
          </w:p>
        </w:tc>
        <w:tc>
          <w:tcPr>
            <w:tcW w:w="1701" w:type="dxa"/>
            <w:tcBorders>
              <w:top w:val="nil"/>
              <w:left w:val="nil"/>
              <w:bottom w:val="nil"/>
              <w:right w:val="nil"/>
            </w:tcBorders>
          </w:tcPr>
          <w:p w14:paraId="314DD269" w14:textId="1B75387D" w:rsidR="00850628" w:rsidRPr="00850628" w:rsidRDefault="00850628" w:rsidP="00850628">
            <w:pPr>
              <w:spacing w:line="360" w:lineRule="auto"/>
              <w:jc w:val="center"/>
              <w:rPr>
                <w:rFonts w:asciiTheme="majorHAnsi" w:hAnsiTheme="majorHAnsi" w:cstheme="majorHAnsi"/>
                <w:bCs/>
                <w:color w:val="000000" w:themeColor="text1"/>
                <w:sz w:val="20"/>
              </w:rPr>
            </w:pPr>
            <w:r>
              <w:rPr>
                <w:rFonts w:asciiTheme="majorHAnsi" w:hAnsiTheme="majorHAnsi" w:cstheme="majorHAnsi"/>
                <w:b/>
                <w:color w:val="FF0000"/>
                <w:sz w:val="20"/>
              </w:rPr>
              <w:t xml:space="preserve">0.24 </w:t>
            </w:r>
            <w:r>
              <w:rPr>
                <w:rFonts w:asciiTheme="majorHAnsi" w:hAnsiTheme="majorHAnsi" w:cstheme="majorHAnsi"/>
                <w:bCs/>
                <w:color w:val="000000" w:themeColor="text1"/>
                <w:sz w:val="20"/>
              </w:rPr>
              <w:t>(0.14-0.40)</w:t>
            </w:r>
          </w:p>
        </w:tc>
        <w:tc>
          <w:tcPr>
            <w:tcW w:w="2126" w:type="dxa"/>
            <w:tcBorders>
              <w:top w:val="nil"/>
              <w:left w:val="nil"/>
              <w:bottom w:val="nil"/>
              <w:right w:val="nil"/>
            </w:tcBorders>
          </w:tcPr>
          <w:p w14:paraId="118DDEB7" w14:textId="752FA9E1" w:rsidR="00850628" w:rsidRPr="00850628" w:rsidRDefault="00850628" w:rsidP="00850628">
            <w:pPr>
              <w:spacing w:line="360" w:lineRule="auto"/>
              <w:jc w:val="center"/>
              <w:rPr>
                <w:rFonts w:asciiTheme="majorHAnsi" w:hAnsiTheme="majorHAnsi" w:cstheme="majorHAnsi"/>
                <w:bCs/>
                <w:color w:val="000000" w:themeColor="text1"/>
                <w:sz w:val="20"/>
              </w:rPr>
            </w:pPr>
            <w:r>
              <w:rPr>
                <w:rFonts w:asciiTheme="majorHAnsi" w:hAnsiTheme="majorHAnsi" w:cstheme="majorHAnsi"/>
                <w:b/>
                <w:color w:val="FF0000"/>
                <w:sz w:val="20"/>
              </w:rPr>
              <w:t>0.49</w:t>
            </w:r>
            <w:r>
              <w:rPr>
                <w:rFonts w:asciiTheme="majorHAnsi" w:hAnsiTheme="majorHAnsi" w:cstheme="majorHAnsi"/>
                <w:bCs/>
                <w:color w:val="FF0000"/>
                <w:sz w:val="20"/>
              </w:rPr>
              <w:t xml:space="preserve"> </w:t>
            </w:r>
            <w:r>
              <w:rPr>
                <w:rFonts w:asciiTheme="majorHAnsi" w:hAnsiTheme="majorHAnsi" w:cstheme="majorHAnsi"/>
                <w:bCs/>
                <w:color w:val="000000" w:themeColor="text1"/>
                <w:sz w:val="20"/>
              </w:rPr>
              <w:t>(0.27-0.91)</w:t>
            </w:r>
          </w:p>
        </w:tc>
        <w:tc>
          <w:tcPr>
            <w:tcW w:w="1702" w:type="dxa"/>
            <w:tcBorders>
              <w:top w:val="nil"/>
              <w:left w:val="nil"/>
              <w:bottom w:val="nil"/>
              <w:right w:val="nil"/>
            </w:tcBorders>
          </w:tcPr>
          <w:p w14:paraId="0AA5BA6C" w14:textId="51BFFFA0" w:rsidR="00850628" w:rsidRPr="00850628" w:rsidRDefault="00850628" w:rsidP="00850628">
            <w:pPr>
              <w:spacing w:line="360" w:lineRule="auto"/>
              <w:jc w:val="center"/>
              <w:rPr>
                <w:rFonts w:asciiTheme="majorHAnsi" w:hAnsiTheme="majorHAnsi" w:cstheme="majorHAnsi"/>
                <w:bCs/>
                <w:color w:val="000000" w:themeColor="text1"/>
                <w:sz w:val="20"/>
              </w:rPr>
            </w:pPr>
            <w:r w:rsidRPr="00850628">
              <w:rPr>
                <w:rFonts w:asciiTheme="majorHAnsi" w:hAnsiTheme="majorHAnsi" w:cstheme="majorHAnsi"/>
                <w:b/>
                <w:color w:val="FF0000"/>
                <w:sz w:val="20"/>
              </w:rPr>
              <w:t>0.22</w:t>
            </w:r>
            <w:r w:rsidRPr="00850628">
              <w:rPr>
                <w:rFonts w:asciiTheme="majorHAnsi" w:hAnsiTheme="majorHAnsi" w:cstheme="majorHAnsi"/>
                <w:bCs/>
                <w:color w:val="FF0000"/>
                <w:sz w:val="20"/>
              </w:rPr>
              <w:t xml:space="preserve"> </w:t>
            </w:r>
            <w:r>
              <w:rPr>
                <w:rFonts w:asciiTheme="majorHAnsi" w:hAnsiTheme="majorHAnsi" w:cstheme="majorHAnsi"/>
                <w:bCs/>
                <w:color w:val="000000" w:themeColor="text1"/>
                <w:sz w:val="20"/>
              </w:rPr>
              <w:t>(0.13-0.40)</w:t>
            </w:r>
          </w:p>
        </w:tc>
        <w:tc>
          <w:tcPr>
            <w:tcW w:w="2125" w:type="dxa"/>
            <w:tcBorders>
              <w:top w:val="nil"/>
              <w:left w:val="nil"/>
              <w:bottom w:val="nil"/>
              <w:right w:val="nil"/>
            </w:tcBorders>
          </w:tcPr>
          <w:p w14:paraId="12ED6D98" w14:textId="1324D5EB" w:rsidR="00850628" w:rsidRPr="00CF1258" w:rsidRDefault="00850628" w:rsidP="00850628">
            <w:pPr>
              <w:spacing w:line="360" w:lineRule="auto"/>
              <w:jc w:val="center"/>
              <w:rPr>
                <w:rFonts w:asciiTheme="majorHAnsi" w:hAnsiTheme="majorHAnsi" w:cstheme="majorHAnsi"/>
                <w:b/>
                <w:color w:val="FF0000"/>
                <w:sz w:val="20"/>
              </w:rPr>
            </w:pPr>
            <w:r>
              <w:rPr>
                <w:rFonts w:asciiTheme="majorHAnsi" w:hAnsiTheme="majorHAnsi" w:cstheme="majorHAnsi"/>
                <w:b/>
                <w:color w:val="FF0000"/>
                <w:sz w:val="20"/>
              </w:rPr>
              <w:t xml:space="preserve">0.54 </w:t>
            </w:r>
            <w:r>
              <w:rPr>
                <w:rFonts w:asciiTheme="majorHAnsi" w:hAnsiTheme="majorHAnsi" w:cstheme="majorHAnsi"/>
                <w:bCs/>
                <w:color w:val="000000" w:themeColor="text1"/>
                <w:sz w:val="20"/>
              </w:rPr>
              <w:t>(0.31-0.96)</w:t>
            </w:r>
          </w:p>
        </w:tc>
      </w:tr>
      <w:tr w:rsidR="00850628" w:rsidRPr="007F6456" w14:paraId="6238522E" w14:textId="77777777" w:rsidTr="00850628">
        <w:trPr>
          <w:trHeight w:hRule="exact" w:val="454"/>
          <w:jc w:val="center"/>
        </w:trPr>
        <w:tc>
          <w:tcPr>
            <w:tcW w:w="1276" w:type="dxa"/>
            <w:vMerge/>
            <w:tcBorders>
              <w:left w:val="nil"/>
              <w:bottom w:val="single" w:sz="4" w:space="0" w:color="auto"/>
              <w:right w:val="nil"/>
            </w:tcBorders>
          </w:tcPr>
          <w:p w14:paraId="410571A5" w14:textId="77777777" w:rsidR="00850628" w:rsidRPr="007F6456" w:rsidRDefault="00850628" w:rsidP="00850628">
            <w:pPr>
              <w:spacing w:line="360" w:lineRule="auto"/>
              <w:rPr>
                <w:rFonts w:asciiTheme="majorHAnsi" w:hAnsiTheme="majorHAnsi" w:cstheme="majorHAnsi"/>
                <w:b/>
                <w:bCs/>
                <w:sz w:val="20"/>
              </w:rPr>
            </w:pPr>
          </w:p>
        </w:tc>
        <w:tc>
          <w:tcPr>
            <w:tcW w:w="2552" w:type="dxa"/>
            <w:tcBorders>
              <w:top w:val="nil"/>
              <w:left w:val="nil"/>
              <w:bottom w:val="single" w:sz="4" w:space="0" w:color="auto"/>
              <w:right w:val="nil"/>
            </w:tcBorders>
          </w:tcPr>
          <w:p w14:paraId="08E5A248" w14:textId="77777777" w:rsidR="00850628" w:rsidRPr="003A17C2" w:rsidRDefault="00850628" w:rsidP="00850628">
            <w:pPr>
              <w:spacing w:line="360" w:lineRule="auto"/>
              <w:rPr>
                <w:rFonts w:asciiTheme="majorHAnsi" w:hAnsiTheme="majorHAnsi" w:cstheme="majorHAnsi"/>
                <w:sz w:val="20"/>
              </w:rPr>
            </w:pPr>
            <w:r w:rsidRPr="003A17C2">
              <w:rPr>
                <w:rFonts w:asciiTheme="majorHAnsi" w:hAnsiTheme="majorHAnsi" w:cstheme="majorHAnsi"/>
                <w:sz w:val="20"/>
              </w:rPr>
              <w:t>Not recorded</w:t>
            </w:r>
          </w:p>
        </w:tc>
        <w:tc>
          <w:tcPr>
            <w:tcW w:w="1701" w:type="dxa"/>
            <w:tcBorders>
              <w:top w:val="nil"/>
              <w:left w:val="nil"/>
              <w:bottom w:val="single" w:sz="4" w:space="0" w:color="auto"/>
              <w:right w:val="nil"/>
            </w:tcBorders>
          </w:tcPr>
          <w:p w14:paraId="6C8F67BD" w14:textId="29965E89" w:rsidR="00850628" w:rsidRPr="002723FF" w:rsidRDefault="00850628" w:rsidP="00850628">
            <w:pPr>
              <w:spacing w:line="360" w:lineRule="auto"/>
              <w:jc w:val="center"/>
              <w:rPr>
                <w:rFonts w:asciiTheme="majorHAnsi" w:hAnsiTheme="majorHAnsi" w:cstheme="majorHAnsi"/>
                <w:bCs/>
                <w:sz w:val="20"/>
              </w:rPr>
            </w:pPr>
            <w:r>
              <w:rPr>
                <w:rFonts w:asciiTheme="majorHAnsi" w:hAnsiTheme="majorHAnsi" w:cstheme="majorHAnsi"/>
                <w:bCs/>
                <w:sz w:val="20"/>
              </w:rPr>
              <w:t>0.45 (0.20-1.01)</w:t>
            </w:r>
          </w:p>
        </w:tc>
        <w:tc>
          <w:tcPr>
            <w:tcW w:w="2126" w:type="dxa"/>
            <w:tcBorders>
              <w:top w:val="nil"/>
              <w:left w:val="nil"/>
              <w:bottom w:val="single" w:sz="4" w:space="0" w:color="auto"/>
              <w:right w:val="nil"/>
            </w:tcBorders>
          </w:tcPr>
          <w:p w14:paraId="548BB7B8" w14:textId="40950DE1" w:rsidR="00850628" w:rsidRPr="0064421D" w:rsidRDefault="00850628" w:rsidP="00850628">
            <w:pPr>
              <w:spacing w:line="360" w:lineRule="auto"/>
              <w:jc w:val="center"/>
              <w:rPr>
                <w:rFonts w:asciiTheme="majorHAnsi" w:hAnsiTheme="majorHAnsi" w:cstheme="majorHAnsi"/>
                <w:sz w:val="20"/>
              </w:rPr>
            </w:pPr>
            <w:r>
              <w:rPr>
                <w:rFonts w:asciiTheme="majorHAnsi" w:hAnsiTheme="majorHAnsi" w:cstheme="majorHAnsi"/>
                <w:bCs/>
                <w:sz w:val="20"/>
              </w:rPr>
              <w:t>0.60 (0.26-1.39)</w:t>
            </w:r>
          </w:p>
        </w:tc>
        <w:tc>
          <w:tcPr>
            <w:tcW w:w="1702" w:type="dxa"/>
            <w:tcBorders>
              <w:top w:val="nil"/>
              <w:left w:val="nil"/>
              <w:bottom w:val="single" w:sz="4" w:space="0" w:color="auto"/>
              <w:right w:val="nil"/>
            </w:tcBorders>
          </w:tcPr>
          <w:p w14:paraId="0F13E3A4" w14:textId="5AED5B20" w:rsidR="00850628" w:rsidRPr="00C655B4" w:rsidRDefault="00850628" w:rsidP="00850628">
            <w:pPr>
              <w:spacing w:line="360" w:lineRule="auto"/>
              <w:jc w:val="center"/>
              <w:rPr>
                <w:rFonts w:asciiTheme="majorHAnsi" w:hAnsiTheme="majorHAnsi" w:cstheme="majorHAnsi"/>
                <w:bCs/>
                <w:sz w:val="20"/>
              </w:rPr>
            </w:pPr>
            <w:r>
              <w:rPr>
                <w:rFonts w:asciiTheme="majorHAnsi" w:hAnsiTheme="majorHAnsi" w:cstheme="majorHAnsi"/>
                <w:bCs/>
                <w:sz w:val="20"/>
              </w:rPr>
              <w:t>0.44 (0.20-1.00)</w:t>
            </w:r>
          </w:p>
        </w:tc>
        <w:tc>
          <w:tcPr>
            <w:tcW w:w="2125" w:type="dxa"/>
            <w:tcBorders>
              <w:top w:val="nil"/>
              <w:left w:val="nil"/>
              <w:bottom w:val="single" w:sz="4" w:space="0" w:color="auto"/>
              <w:right w:val="nil"/>
            </w:tcBorders>
          </w:tcPr>
          <w:p w14:paraId="0910BD3C" w14:textId="70090522" w:rsidR="00850628" w:rsidRPr="007F6456" w:rsidRDefault="00850628" w:rsidP="00850628">
            <w:pPr>
              <w:spacing w:line="360" w:lineRule="auto"/>
              <w:jc w:val="center"/>
              <w:rPr>
                <w:rFonts w:asciiTheme="majorHAnsi" w:hAnsiTheme="majorHAnsi" w:cstheme="majorHAnsi"/>
                <w:bCs/>
                <w:sz w:val="20"/>
              </w:rPr>
            </w:pPr>
            <w:r>
              <w:rPr>
                <w:rFonts w:asciiTheme="majorHAnsi" w:hAnsiTheme="majorHAnsi" w:cstheme="majorHAnsi"/>
                <w:bCs/>
                <w:sz w:val="20"/>
              </w:rPr>
              <w:t>0.66 (0.28-1.53)</w:t>
            </w:r>
          </w:p>
        </w:tc>
      </w:tr>
    </w:tbl>
    <w:p w14:paraId="7FF65DDD" w14:textId="6C2D41EF" w:rsidR="00FC5197" w:rsidRDefault="00FC5197" w:rsidP="00FC5197">
      <w:pPr>
        <w:spacing w:line="360" w:lineRule="auto"/>
        <w:ind w:left="1080"/>
        <w:jc w:val="right"/>
        <w:rPr>
          <w:rFonts w:ascii="Calibri" w:hAnsi="Calibri"/>
          <w:sz w:val="20"/>
          <w:szCs w:val="20"/>
        </w:rPr>
      </w:pPr>
      <w:proofErr w:type="spellStart"/>
      <w:proofErr w:type="gramStart"/>
      <w:r>
        <w:rPr>
          <w:rFonts w:ascii="Calibri" w:hAnsi="Calibri"/>
          <w:sz w:val="20"/>
          <w:szCs w:val="20"/>
          <w:vertAlign w:val="superscript"/>
        </w:rPr>
        <w:t>a</w:t>
      </w:r>
      <w:proofErr w:type="spellEnd"/>
      <w:proofErr w:type="gramEnd"/>
      <w:r w:rsidRPr="00827EA1">
        <w:rPr>
          <w:rFonts w:ascii="Calibri" w:hAnsi="Calibri"/>
          <w:sz w:val="20"/>
          <w:szCs w:val="20"/>
        </w:rPr>
        <w:t xml:space="preserve"> Adjusted for </w:t>
      </w:r>
      <w:r>
        <w:rPr>
          <w:rFonts w:ascii="Calibri" w:hAnsi="Calibri"/>
          <w:sz w:val="20"/>
          <w:szCs w:val="20"/>
        </w:rPr>
        <w:t>a</w:t>
      </w:r>
      <w:r w:rsidRPr="00827EA1">
        <w:rPr>
          <w:rFonts w:ascii="Calibri" w:hAnsi="Calibri"/>
          <w:sz w:val="20"/>
          <w:szCs w:val="20"/>
        </w:rPr>
        <w:t xml:space="preserve">ge (continuous), </w:t>
      </w:r>
      <w:r>
        <w:rPr>
          <w:rFonts w:ascii="Calibri" w:hAnsi="Calibri"/>
          <w:sz w:val="20"/>
          <w:szCs w:val="20"/>
        </w:rPr>
        <w:t>s</w:t>
      </w:r>
      <w:r w:rsidRPr="00827EA1">
        <w:rPr>
          <w:rFonts w:ascii="Calibri" w:hAnsi="Calibri"/>
          <w:sz w:val="20"/>
          <w:szCs w:val="20"/>
        </w:rPr>
        <w:t>ex</w:t>
      </w:r>
      <w:r>
        <w:rPr>
          <w:rFonts w:ascii="Calibri" w:hAnsi="Calibri"/>
          <w:sz w:val="20"/>
          <w:szCs w:val="20"/>
        </w:rPr>
        <w:t xml:space="preserve"> (male or female)</w:t>
      </w:r>
      <w:r w:rsidRPr="00827EA1">
        <w:rPr>
          <w:rFonts w:ascii="Calibri" w:hAnsi="Calibri"/>
          <w:sz w:val="20"/>
          <w:szCs w:val="20"/>
        </w:rPr>
        <w:t xml:space="preserve">, </w:t>
      </w:r>
      <w:r>
        <w:rPr>
          <w:rFonts w:ascii="Calibri" w:hAnsi="Calibri"/>
          <w:sz w:val="20"/>
          <w:szCs w:val="20"/>
        </w:rPr>
        <w:t>chemotherapy</w:t>
      </w:r>
      <w:r w:rsidRPr="00827EA1">
        <w:rPr>
          <w:rFonts w:ascii="Calibri" w:hAnsi="Calibri"/>
          <w:sz w:val="20"/>
          <w:szCs w:val="20"/>
        </w:rPr>
        <w:t xml:space="preserve"> regimen (</w:t>
      </w:r>
      <w:r w:rsidR="00850628">
        <w:rPr>
          <w:rFonts w:ascii="Calibri" w:hAnsi="Calibri"/>
          <w:sz w:val="20"/>
          <w:szCs w:val="20"/>
        </w:rPr>
        <w:t>OEO2</w:t>
      </w:r>
      <w:r>
        <w:rPr>
          <w:rFonts w:ascii="Calibri" w:hAnsi="Calibri"/>
          <w:sz w:val="20"/>
          <w:szCs w:val="20"/>
        </w:rPr>
        <w:t xml:space="preserve">, </w:t>
      </w:r>
      <w:r w:rsidR="00850628">
        <w:rPr>
          <w:rFonts w:ascii="Calibri" w:hAnsi="Calibri"/>
          <w:sz w:val="20"/>
          <w:szCs w:val="20"/>
        </w:rPr>
        <w:t>MAGIC</w:t>
      </w:r>
      <w:r>
        <w:rPr>
          <w:rFonts w:ascii="Calibri" w:hAnsi="Calibri"/>
          <w:sz w:val="20"/>
          <w:szCs w:val="20"/>
        </w:rPr>
        <w:t xml:space="preserve">, </w:t>
      </w:r>
      <w:r w:rsidRPr="00827EA1">
        <w:rPr>
          <w:rFonts w:ascii="Calibri" w:hAnsi="Calibri"/>
          <w:sz w:val="20"/>
          <w:szCs w:val="20"/>
        </w:rPr>
        <w:t>FLOT</w:t>
      </w:r>
      <w:r>
        <w:rPr>
          <w:rFonts w:ascii="Calibri" w:hAnsi="Calibri"/>
          <w:sz w:val="20"/>
          <w:szCs w:val="20"/>
        </w:rPr>
        <w:t xml:space="preserve"> or </w:t>
      </w:r>
      <w:r w:rsidRPr="00827EA1">
        <w:rPr>
          <w:rFonts w:ascii="Calibri" w:hAnsi="Calibri"/>
          <w:sz w:val="20"/>
          <w:szCs w:val="20"/>
        </w:rPr>
        <w:t xml:space="preserve">other), </w:t>
      </w:r>
      <w:r w:rsidR="00D9501B">
        <w:rPr>
          <w:rFonts w:ascii="Calibri" w:hAnsi="Calibri"/>
          <w:sz w:val="20"/>
          <w:szCs w:val="20"/>
        </w:rPr>
        <w:t xml:space="preserve">LN yield (continuous), </w:t>
      </w:r>
      <w:r>
        <w:rPr>
          <w:rFonts w:ascii="Calibri" w:hAnsi="Calibri"/>
          <w:sz w:val="20"/>
          <w:szCs w:val="20"/>
        </w:rPr>
        <w:t>clinical stage (cT0-2 N0, cT0-2 N1-3, cT3-4 N0 or cT3-4 N1-3</w:t>
      </w:r>
      <w:r w:rsidRPr="00827EA1">
        <w:rPr>
          <w:rFonts w:ascii="Calibri" w:hAnsi="Calibri"/>
          <w:sz w:val="20"/>
          <w:szCs w:val="20"/>
        </w:rPr>
        <w:t>), differentiation (</w:t>
      </w:r>
      <w:r>
        <w:rPr>
          <w:rFonts w:ascii="Calibri" w:hAnsi="Calibri"/>
          <w:sz w:val="20"/>
          <w:szCs w:val="20"/>
        </w:rPr>
        <w:t>w</w:t>
      </w:r>
      <w:r w:rsidRPr="00827EA1">
        <w:rPr>
          <w:rFonts w:ascii="Calibri" w:hAnsi="Calibri"/>
          <w:sz w:val="20"/>
          <w:szCs w:val="20"/>
        </w:rPr>
        <w:t>ell-moderate</w:t>
      </w:r>
      <w:r>
        <w:rPr>
          <w:rFonts w:ascii="Calibri" w:hAnsi="Calibri"/>
          <w:sz w:val="20"/>
          <w:szCs w:val="20"/>
        </w:rPr>
        <w:t xml:space="preserve"> or </w:t>
      </w:r>
      <w:r w:rsidRPr="00827EA1">
        <w:rPr>
          <w:rFonts w:ascii="Calibri" w:hAnsi="Calibri"/>
          <w:sz w:val="20"/>
          <w:szCs w:val="20"/>
        </w:rPr>
        <w:t xml:space="preserve">poor), </w:t>
      </w:r>
      <w:r>
        <w:rPr>
          <w:rFonts w:ascii="Calibri" w:hAnsi="Calibri"/>
          <w:sz w:val="20"/>
          <w:szCs w:val="20"/>
        </w:rPr>
        <w:t>lymphovascular invasion</w:t>
      </w:r>
      <w:r w:rsidRPr="00827EA1">
        <w:rPr>
          <w:rFonts w:ascii="Calibri" w:hAnsi="Calibri"/>
          <w:sz w:val="20"/>
          <w:szCs w:val="20"/>
        </w:rPr>
        <w:t xml:space="preserve"> (yes</w:t>
      </w:r>
      <w:r>
        <w:rPr>
          <w:rFonts w:ascii="Calibri" w:hAnsi="Calibri"/>
          <w:sz w:val="20"/>
          <w:szCs w:val="20"/>
        </w:rPr>
        <w:t xml:space="preserve"> or </w:t>
      </w:r>
      <w:r w:rsidRPr="00827EA1">
        <w:rPr>
          <w:rFonts w:ascii="Calibri" w:hAnsi="Calibri"/>
          <w:sz w:val="20"/>
          <w:szCs w:val="20"/>
        </w:rPr>
        <w:t xml:space="preserve">no), primary </w:t>
      </w:r>
      <w:proofErr w:type="spellStart"/>
      <w:r w:rsidR="0019785E">
        <w:rPr>
          <w:rFonts w:ascii="Calibri" w:hAnsi="Calibri"/>
          <w:sz w:val="20"/>
          <w:szCs w:val="20"/>
        </w:rPr>
        <w:t>tumor</w:t>
      </w:r>
      <w:proofErr w:type="spellEnd"/>
      <w:r w:rsidRPr="00827EA1">
        <w:rPr>
          <w:rFonts w:ascii="Calibri" w:hAnsi="Calibri"/>
          <w:sz w:val="20"/>
          <w:szCs w:val="20"/>
        </w:rPr>
        <w:t xml:space="preserve"> </w:t>
      </w:r>
      <w:r>
        <w:rPr>
          <w:rFonts w:ascii="Calibri" w:hAnsi="Calibri"/>
          <w:sz w:val="20"/>
          <w:szCs w:val="20"/>
        </w:rPr>
        <w:t xml:space="preserve">response </w:t>
      </w:r>
      <w:r w:rsidRPr="00827EA1">
        <w:rPr>
          <w:rFonts w:ascii="Calibri" w:hAnsi="Calibri"/>
          <w:sz w:val="20"/>
          <w:szCs w:val="20"/>
        </w:rPr>
        <w:t>(</w:t>
      </w:r>
      <w:r w:rsidR="00850628">
        <w:rPr>
          <w:rFonts w:ascii="Calibri" w:hAnsi="Calibri"/>
          <w:sz w:val="20"/>
          <w:szCs w:val="20"/>
        </w:rPr>
        <w:t xml:space="preserve">Mandard 1, Mandard 2-3, Mandard 4-5 </w:t>
      </w:r>
      <w:r>
        <w:rPr>
          <w:rFonts w:ascii="Calibri" w:hAnsi="Calibri"/>
          <w:sz w:val="20"/>
          <w:szCs w:val="20"/>
        </w:rPr>
        <w:t>or not-recorded</w:t>
      </w:r>
      <w:r w:rsidRPr="00827EA1">
        <w:rPr>
          <w:rFonts w:ascii="Calibri" w:hAnsi="Calibri"/>
          <w:sz w:val="20"/>
          <w:szCs w:val="20"/>
        </w:rPr>
        <w:t>)</w:t>
      </w:r>
    </w:p>
    <w:p w14:paraId="0E882665" w14:textId="1835AB23" w:rsidR="009F71C5" w:rsidRDefault="009F71C5" w:rsidP="00FC5197">
      <w:pPr>
        <w:spacing w:line="360" w:lineRule="auto"/>
        <w:ind w:left="1080"/>
        <w:jc w:val="right"/>
        <w:rPr>
          <w:rFonts w:ascii="Calibri" w:hAnsi="Calibri"/>
          <w:sz w:val="20"/>
          <w:szCs w:val="20"/>
        </w:rPr>
      </w:pPr>
    </w:p>
    <w:p w14:paraId="5DF32B44" w14:textId="54CFA977" w:rsidR="009F71C5" w:rsidRDefault="009F71C5" w:rsidP="00FC5197">
      <w:pPr>
        <w:spacing w:line="360" w:lineRule="auto"/>
        <w:ind w:left="1080"/>
        <w:jc w:val="right"/>
        <w:rPr>
          <w:rFonts w:ascii="Calibri" w:hAnsi="Calibri"/>
          <w:sz w:val="20"/>
          <w:szCs w:val="20"/>
        </w:rPr>
      </w:pPr>
    </w:p>
    <w:p w14:paraId="3DA52B4C" w14:textId="18102C02" w:rsidR="009F71C5" w:rsidRDefault="009F71C5" w:rsidP="00A57BFC">
      <w:pPr>
        <w:spacing w:line="360" w:lineRule="auto"/>
        <w:ind w:left="1080"/>
        <w:jc w:val="center"/>
        <w:rPr>
          <w:rFonts w:ascii="Calibri" w:hAnsi="Calibri"/>
          <w:noProof/>
          <w:sz w:val="20"/>
          <w:szCs w:val="20"/>
        </w:rPr>
      </w:pPr>
    </w:p>
    <w:p w14:paraId="3F75166D" w14:textId="49B06F95" w:rsidR="000C319C" w:rsidRDefault="000C319C" w:rsidP="00A57BFC">
      <w:pPr>
        <w:spacing w:line="360" w:lineRule="auto"/>
        <w:ind w:left="1080"/>
        <w:jc w:val="center"/>
        <w:rPr>
          <w:rFonts w:ascii="Calibri" w:hAnsi="Calibri"/>
          <w:noProof/>
          <w:sz w:val="20"/>
          <w:szCs w:val="20"/>
        </w:rPr>
      </w:pPr>
    </w:p>
    <w:p w14:paraId="10B59474" w14:textId="210CDA25" w:rsidR="000C319C" w:rsidRDefault="000C319C" w:rsidP="00A57BFC">
      <w:pPr>
        <w:spacing w:line="360" w:lineRule="auto"/>
        <w:ind w:left="1080"/>
        <w:jc w:val="center"/>
        <w:rPr>
          <w:rFonts w:ascii="Calibri" w:hAnsi="Calibri"/>
          <w:noProof/>
          <w:sz w:val="20"/>
          <w:szCs w:val="20"/>
        </w:rPr>
      </w:pPr>
    </w:p>
    <w:p w14:paraId="0519732B" w14:textId="3C63F52A" w:rsidR="000C319C" w:rsidRDefault="000C319C" w:rsidP="00A57BFC">
      <w:pPr>
        <w:spacing w:line="360" w:lineRule="auto"/>
        <w:ind w:left="1080"/>
        <w:jc w:val="center"/>
        <w:rPr>
          <w:rFonts w:ascii="Calibri" w:hAnsi="Calibri"/>
          <w:noProof/>
          <w:sz w:val="20"/>
          <w:szCs w:val="20"/>
        </w:rPr>
      </w:pPr>
    </w:p>
    <w:p w14:paraId="61C11D1B" w14:textId="48866E46" w:rsidR="000C319C" w:rsidRDefault="000C319C" w:rsidP="00A57BFC">
      <w:pPr>
        <w:spacing w:line="360" w:lineRule="auto"/>
        <w:ind w:left="1080"/>
        <w:jc w:val="center"/>
        <w:rPr>
          <w:rFonts w:ascii="Calibri" w:hAnsi="Calibri"/>
          <w:noProof/>
          <w:sz w:val="20"/>
          <w:szCs w:val="20"/>
        </w:rPr>
      </w:pPr>
    </w:p>
    <w:p w14:paraId="6841489F" w14:textId="2B8BE9C2" w:rsidR="000C319C" w:rsidRDefault="000C319C" w:rsidP="00A57BFC">
      <w:pPr>
        <w:spacing w:line="360" w:lineRule="auto"/>
        <w:ind w:left="1080"/>
        <w:jc w:val="center"/>
        <w:rPr>
          <w:rFonts w:ascii="Calibri" w:hAnsi="Calibri"/>
          <w:noProof/>
          <w:sz w:val="20"/>
          <w:szCs w:val="20"/>
        </w:rPr>
      </w:pPr>
    </w:p>
    <w:p w14:paraId="319383D4" w14:textId="03353961" w:rsidR="000C319C" w:rsidRDefault="000C319C" w:rsidP="00A57BFC">
      <w:pPr>
        <w:spacing w:line="360" w:lineRule="auto"/>
        <w:ind w:left="1080"/>
        <w:jc w:val="center"/>
        <w:rPr>
          <w:rFonts w:ascii="Calibri" w:hAnsi="Calibri"/>
          <w:noProof/>
          <w:sz w:val="20"/>
          <w:szCs w:val="20"/>
        </w:rPr>
      </w:pPr>
    </w:p>
    <w:p w14:paraId="2BE6FE27" w14:textId="57B0F5AF" w:rsidR="000C319C" w:rsidRDefault="000C319C" w:rsidP="00A57BFC">
      <w:pPr>
        <w:spacing w:line="360" w:lineRule="auto"/>
        <w:ind w:left="1080"/>
        <w:jc w:val="center"/>
        <w:rPr>
          <w:rFonts w:ascii="Calibri" w:hAnsi="Calibri"/>
          <w:noProof/>
          <w:sz w:val="20"/>
          <w:szCs w:val="20"/>
        </w:rPr>
      </w:pPr>
    </w:p>
    <w:p w14:paraId="6D8695ED" w14:textId="77777777" w:rsidR="00D604BE" w:rsidRDefault="00D604BE">
      <w:pPr>
        <w:rPr>
          <w:rFonts w:ascii="Calibri" w:hAnsi="Calibri"/>
          <w:noProof/>
          <w:sz w:val="20"/>
          <w:szCs w:val="20"/>
        </w:rPr>
      </w:pPr>
      <w:r>
        <w:rPr>
          <w:rFonts w:ascii="Calibri" w:hAnsi="Calibri"/>
          <w:noProof/>
          <w:sz w:val="20"/>
          <w:szCs w:val="20"/>
        </w:rPr>
        <w:br w:type="page"/>
      </w:r>
    </w:p>
    <w:p w14:paraId="2E0EF3E2" w14:textId="7D953664" w:rsidR="004305B5" w:rsidRDefault="000B302A" w:rsidP="00B47C9E">
      <w:pPr>
        <w:spacing w:line="480" w:lineRule="auto"/>
        <w:rPr>
          <w:rFonts w:ascii="Calibri" w:hAnsi="Calibri"/>
          <w:b/>
          <w:bCs/>
          <w:sz w:val="22"/>
          <w:szCs w:val="22"/>
        </w:rPr>
      </w:pPr>
      <w:r>
        <w:rPr>
          <w:rFonts w:ascii="Calibri" w:hAnsi="Calibri"/>
          <w:b/>
          <w:bCs/>
          <w:noProof/>
          <w:sz w:val="22"/>
          <w:szCs w:val="22"/>
        </w:rPr>
        <w:lastRenderedPageBreak/>
        <w:drawing>
          <wp:inline distT="0" distB="0" distL="0" distR="0" wp14:anchorId="2BD2DDDD" wp14:editId="262956FB">
            <wp:extent cx="4767943" cy="7800414"/>
            <wp:effectExtent l="0" t="0" r="0" b="0"/>
            <wp:docPr id="5" name="Picture 5" descr="A picture containing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ink&#10;&#10;Description automatically generated"/>
                    <pic:cNvPicPr/>
                  </pic:nvPicPr>
                  <pic:blipFill rotWithShape="1">
                    <a:blip r:embed="rId9"/>
                    <a:srcRect l="1919" t="1560" r="21317" b="27794"/>
                    <a:stretch/>
                  </pic:blipFill>
                  <pic:spPr bwMode="auto">
                    <a:xfrm>
                      <a:off x="0" y="0"/>
                      <a:ext cx="4772290" cy="7807526"/>
                    </a:xfrm>
                    <a:prstGeom prst="rect">
                      <a:avLst/>
                    </a:prstGeom>
                    <a:ln>
                      <a:noFill/>
                    </a:ln>
                    <a:extLst>
                      <a:ext uri="{53640926-AAD7-44D8-BBD7-CCE9431645EC}">
                        <a14:shadowObscured xmlns:a14="http://schemas.microsoft.com/office/drawing/2010/main"/>
                      </a:ext>
                    </a:extLst>
                  </pic:spPr>
                </pic:pic>
              </a:graphicData>
            </a:graphic>
          </wp:inline>
        </w:drawing>
      </w:r>
    </w:p>
    <w:p w14:paraId="3D28F592" w14:textId="1E4E4725" w:rsidR="009F71C5" w:rsidRPr="000C697B" w:rsidRDefault="009F71C5" w:rsidP="00B47C9E">
      <w:pPr>
        <w:spacing w:line="480" w:lineRule="auto"/>
        <w:rPr>
          <w:rFonts w:ascii="Calibri" w:hAnsi="Calibri"/>
          <w:sz w:val="22"/>
          <w:szCs w:val="22"/>
        </w:rPr>
      </w:pPr>
      <w:r w:rsidRPr="000C697B">
        <w:rPr>
          <w:rFonts w:ascii="Calibri" w:hAnsi="Calibri"/>
          <w:b/>
          <w:bCs/>
          <w:sz w:val="22"/>
          <w:szCs w:val="22"/>
        </w:rPr>
        <w:t>Figure 1.</w:t>
      </w:r>
      <w:r w:rsidRPr="000C697B">
        <w:rPr>
          <w:rFonts w:ascii="Calibri" w:hAnsi="Calibri"/>
          <w:sz w:val="22"/>
          <w:szCs w:val="22"/>
        </w:rPr>
        <w:t xml:space="preserve"> </w:t>
      </w:r>
      <w:r w:rsidRPr="009F71C5">
        <w:rPr>
          <w:rFonts w:ascii="Calibri" w:hAnsi="Calibri"/>
          <w:sz w:val="22"/>
          <w:szCs w:val="22"/>
        </w:rPr>
        <w:t>Histological images of haematoxylin and eosin-stained lymph nodes representative of each lymph node regression score</w:t>
      </w:r>
      <w:r>
        <w:rPr>
          <w:rFonts w:ascii="Calibri" w:hAnsi="Calibri"/>
          <w:sz w:val="22"/>
          <w:szCs w:val="22"/>
        </w:rPr>
        <w:t xml:space="preserve"> (LNRS)</w:t>
      </w:r>
      <w:r w:rsidRPr="009F71C5">
        <w:rPr>
          <w:rFonts w:ascii="Calibri" w:hAnsi="Calibri"/>
          <w:sz w:val="22"/>
          <w:szCs w:val="22"/>
        </w:rPr>
        <w:t xml:space="preserve">. </w:t>
      </w:r>
      <w:r w:rsidRPr="009F71C5">
        <w:rPr>
          <w:rFonts w:ascii="Calibri" w:hAnsi="Calibri"/>
          <w:b/>
          <w:bCs/>
          <w:sz w:val="22"/>
          <w:szCs w:val="22"/>
        </w:rPr>
        <w:t>a</w:t>
      </w:r>
      <w:r w:rsidRPr="009F71C5">
        <w:rPr>
          <w:rFonts w:ascii="Calibri" w:hAnsi="Calibri"/>
          <w:sz w:val="22"/>
          <w:szCs w:val="22"/>
        </w:rPr>
        <w:t xml:space="preserve"> </w:t>
      </w:r>
      <w:r>
        <w:rPr>
          <w:rFonts w:ascii="Calibri" w:hAnsi="Calibri"/>
          <w:sz w:val="22"/>
          <w:szCs w:val="22"/>
        </w:rPr>
        <w:t>Complete nodal response / LNRS</w:t>
      </w:r>
      <w:r w:rsidRPr="009F71C5">
        <w:rPr>
          <w:rFonts w:ascii="Calibri" w:hAnsi="Calibri"/>
          <w:sz w:val="22"/>
          <w:szCs w:val="22"/>
        </w:rPr>
        <w:t xml:space="preserve"> 1: a lymph node with </w:t>
      </w:r>
      <w:proofErr w:type="spellStart"/>
      <w:r w:rsidR="0019785E">
        <w:rPr>
          <w:rFonts w:ascii="Calibri" w:hAnsi="Calibri"/>
          <w:sz w:val="22"/>
          <w:szCs w:val="22"/>
        </w:rPr>
        <w:t>tumor</w:t>
      </w:r>
      <w:proofErr w:type="spellEnd"/>
      <w:r w:rsidRPr="009F71C5">
        <w:rPr>
          <w:rFonts w:ascii="Calibri" w:hAnsi="Calibri"/>
          <w:sz w:val="22"/>
          <w:szCs w:val="22"/>
        </w:rPr>
        <w:t xml:space="preserve"> bed composed of central necrosis; there is no residual viable </w:t>
      </w:r>
      <w:proofErr w:type="spellStart"/>
      <w:r w:rsidR="0019785E">
        <w:rPr>
          <w:rFonts w:ascii="Calibri" w:hAnsi="Calibri"/>
          <w:sz w:val="22"/>
          <w:szCs w:val="22"/>
        </w:rPr>
        <w:t>tumor</w:t>
      </w:r>
      <w:proofErr w:type="spellEnd"/>
      <w:r w:rsidRPr="009F71C5">
        <w:rPr>
          <w:rFonts w:ascii="Calibri" w:hAnsi="Calibri"/>
          <w:sz w:val="22"/>
          <w:szCs w:val="22"/>
        </w:rPr>
        <w:t xml:space="preserve">. </w:t>
      </w:r>
      <w:r w:rsidRPr="009F71C5">
        <w:rPr>
          <w:rFonts w:ascii="Calibri" w:hAnsi="Calibri"/>
          <w:b/>
          <w:bCs/>
          <w:sz w:val="22"/>
          <w:szCs w:val="22"/>
        </w:rPr>
        <w:t xml:space="preserve">b </w:t>
      </w:r>
      <w:r>
        <w:rPr>
          <w:rFonts w:ascii="Calibri" w:hAnsi="Calibri"/>
          <w:sz w:val="22"/>
          <w:szCs w:val="22"/>
        </w:rPr>
        <w:lastRenderedPageBreak/>
        <w:t xml:space="preserve">Partial nodal response / LNRS 2: </w:t>
      </w:r>
      <w:r w:rsidRPr="009F71C5">
        <w:rPr>
          <w:rFonts w:ascii="Calibri" w:hAnsi="Calibri"/>
          <w:sz w:val="22"/>
          <w:szCs w:val="22"/>
        </w:rPr>
        <w:t xml:space="preserve">a lymph node with a </w:t>
      </w:r>
      <w:proofErr w:type="spellStart"/>
      <w:r w:rsidR="0019785E">
        <w:rPr>
          <w:rFonts w:ascii="Calibri" w:hAnsi="Calibri"/>
          <w:sz w:val="22"/>
          <w:szCs w:val="22"/>
        </w:rPr>
        <w:t>tumor</w:t>
      </w:r>
      <w:proofErr w:type="spellEnd"/>
      <w:r w:rsidRPr="009F71C5">
        <w:rPr>
          <w:rFonts w:ascii="Calibri" w:hAnsi="Calibri"/>
          <w:sz w:val="22"/>
          <w:szCs w:val="22"/>
        </w:rPr>
        <w:t xml:space="preserve"> bed of mostly acellular mucin pools with </w:t>
      </w:r>
      <w:r>
        <w:rPr>
          <w:rFonts w:ascii="Calibri" w:hAnsi="Calibri"/>
          <w:sz w:val="22"/>
          <w:szCs w:val="22"/>
        </w:rPr>
        <w:t>one</w:t>
      </w:r>
      <w:r w:rsidRPr="009F71C5">
        <w:rPr>
          <w:rFonts w:ascii="Calibri" w:hAnsi="Calibri"/>
          <w:sz w:val="22"/>
          <w:szCs w:val="22"/>
        </w:rPr>
        <w:t xml:space="preserve"> small groups of viable </w:t>
      </w:r>
      <w:proofErr w:type="spellStart"/>
      <w:r w:rsidR="0019785E">
        <w:rPr>
          <w:rFonts w:ascii="Calibri" w:hAnsi="Calibri"/>
          <w:sz w:val="22"/>
          <w:szCs w:val="22"/>
        </w:rPr>
        <w:t>tumor</w:t>
      </w:r>
      <w:proofErr w:type="spellEnd"/>
      <w:r w:rsidRPr="009F71C5">
        <w:rPr>
          <w:rFonts w:ascii="Calibri" w:hAnsi="Calibri"/>
          <w:sz w:val="22"/>
          <w:szCs w:val="22"/>
        </w:rPr>
        <w:t xml:space="preserve"> cells comprising less than 10 per cent of the total </w:t>
      </w:r>
      <w:proofErr w:type="spellStart"/>
      <w:r w:rsidR="0019785E">
        <w:rPr>
          <w:rFonts w:ascii="Calibri" w:hAnsi="Calibri"/>
          <w:sz w:val="22"/>
          <w:szCs w:val="22"/>
        </w:rPr>
        <w:t>tumor</w:t>
      </w:r>
      <w:proofErr w:type="spellEnd"/>
      <w:r w:rsidRPr="009F71C5">
        <w:rPr>
          <w:rFonts w:ascii="Calibri" w:hAnsi="Calibri"/>
          <w:sz w:val="22"/>
          <w:szCs w:val="22"/>
        </w:rPr>
        <w:t xml:space="preserve"> bed area</w:t>
      </w:r>
      <w:r>
        <w:rPr>
          <w:rFonts w:ascii="Calibri" w:hAnsi="Calibri"/>
          <w:sz w:val="22"/>
          <w:szCs w:val="22"/>
        </w:rPr>
        <w:t>.</w:t>
      </w:r>
      <w:r w:rsidRPr="009F71C5">
        <w:rPr>
          <w:rFonts w:ascii="Calibri" w:hAnsi="Calibri"/>
          <w:b/>
          <w:bCs/>
          <w:sz w:val="22"/>
          <w:szCs w:val="22"/>
        </w:rPr>
        <w:t xml:space="preserve"> c</w:t>
      </w:r>
      <w:r>
        <w:rPr>
          <w:rFonts w:ascii="Calibri" w:hAnsi="Calibri"/>
          <w:sz w:val="22"/>
          <w:szCs w:val="22"/>
        </w:rPr>
        <w:t xml:space="preserve"> Partial nodal response / LNRS</w:t>
      </w:r>
      <w:r w:rsidRPr="009F71C5">
        <w:rPr>
          <w:rFonts w:ascii="Calibri" w:hAnsi="Calibri"/>
          <w:sz w:val="22"/>
          <w:szCs w:val="22"/>
        </w:rPr>
        <w:t xml:space="preserve"> 2: a lymph node with a </w:t>
      </w:r>
      <w:proofErr w:type="spellStart"/>
      <w:r w:rsidR="0019785E">
        <w:rPr>
          <w:rFonts w:ascii="Calibri" w:hAnsi="Calibri"/>
          <w:sz w:val="22"/>
          <w:szCs w:val="22"/>
        </w:rPr>
        <w:t>tumor</w:t>
      </w:r>
      <w:proofErr w:type="spellEnd"/>
      <w:r w:rsidRPr="009F71C5">
        <w:rPr>
          <w:rFonts w:ascii="Calibri" w:hAnsi="Calibri"/>
          <w:sz w:val="22"/>
          <w:szCs w:val="22"/>
        </w:rPr>
        <w:t xml:space="preserve"> bed of mostly </w:t>
      </w:r>
      <w:r>
        <w:rPr>
          <w:rFonts w:ascii="Calibri" w:hAnsi="Calibri"/>
          <w:sz w:val="22"/>
          <w:szCs w:val="22"/>
        </w:rPr>
        <w:t xml:space="preserve">central necrosis </w:t>
      </w:r>
      <w:r w:rsidRPr="009F71C5">
        <w:rPr>
          <w:rFonts w:ascii="Calibri" w:hAnsi="Calibri"/>
          <w:sz w:val="22"/>
          <w:szCs w:val="22"/>
        </w:rPr>
        <w:t xml:space="preserve">with </w:t>
      </w:r>
      <w:r>
        <w:rPr>
          <w:rFonts w:ascii="Calibri" w:hAnsi="Calibri"/>
          <w:sz w:val="22"/>
          <w:szCs w:val="22"/>
        </w:rPr>
        <w:t xml:space="preserve">several </w:t>
      </w:r>
      <w:r w:rsidRPr="009F71C5">
        <w:rPr>
          <w:rFonts w:ascii="Calibri" w:hAnsi="Calibri"/>
          <w:sz w:val="22"/>
          <w:szCs w:val="22"/>
        </w:rPr>
        <w:t xml:space="preserve">small groups of viable </w:t>
      </w:r>
      <w:proofErr w:type="spellStart"/>
      <w:r w:rsidR="0019785E">
        <w:rPr>
          <w:rFonts w:ascii="Calibri" w:hAnsi="Calibri"/>
          <w:sz w:val="22"/>
          <w:szCs w:val="22"/>
        </w:rPr>
        <w:t>tumor</w:t>
      </w:r>
      <w:proofErr w:type="spellEnd"/>
      <w:r w:rsidRPr="009F71C5">
        <w:rPr>
          <w:rFonts w:ascii="Calibri" w:hAnsi="Calibri"/>
          <w:sz w:val="22"/>
          <w:szCs w:val="22"/>
        </w:rPr>
        <w:t xml:space="preserve"> cells comprising less than 10 per cent of the total </w:t>
      </w:r>
      <w:proofErr w:type="spellStart"/>
      <w:r w:rsidR="0019785E">
        <w:rPr>
          <w:rFonts w:ascii="Calibri" w:hAnsi="Calibri"/>
          <w:sz w:val="22"/>
          <w:szCs w:val="22"/>
        </w:rPr>
        <w:t>tumor</w:t>
      </w:r>
      <w:proofErr w:type="spellEnd"/>
      <w:r w:rsidRPr="009F71C5">
        <w:rPr>
          <w:rFonts w:ascii="Calibri" w:hAnsi="Calibri"/>
          <w:sz w:val="22"/>
          <w:szCs w:val="22"/>
        </w:rPr>
        <w:t xml:space="preserve"> bed area.</w:t>
      </w:r>
      <w:r>
        <w:rPr>
          <w:rFonts w:ascii="Calibri" w:hAnsi="Calibri"/>
          <w:sz w:val="22"/>
          <w:szCs w:val="22"/>
        </w:rPr>
        <w:t xml:space="preserve"> </w:t>
      </w:r>
      <w:r w:rsidRPr="009F71C5">
        <w:rPr>
          <w:rFonts w:ascii="Calibri" w:hAnsi="Calibri"/>
          <w:b/>
          <w:bCs/>
          <w:sz w:val="22"/>
          <w:szCs w:val="22"/>
        </w:rPr>
        <w:t xml:space="preserve">d </w:t>
      </w:r>
      <w:r>
        <w:rPr>
          <w:rFonts w:ascii="Calibri" w:hAnsi="Calibri"/>
          <w:sz w:val="22"/>
          <w:szCs w:val="22"/>
        </w:rPr>
        <w:t>Partial nodal response / LNRS</w:t>
      </w:r>
      <w:r w:rsidRPr="009F71C5">
        <w:rPr>
          <w:rFonts w:ascii="Calibri" w:hAnsi="Calibri"/>
          <w:sz w:val="22"/>
          <w:szCs w:val="22"/>
        </w:rPr>
        <w:t xml:space="preserve"> 3: a lymph node </w:t>
      </w:r>
      <w:r>
        <w:rPr>
          <w:rFonts w:ascii="Calibri" w:hAnsi="Calibri"/>
          <w:sz w:val="22"/>
          <w:szCs w:val="22"/>
        </w:rPr>
        <w:t>with a</w:t>
      </w:r>
      <w:r w:rsidRPr="009F71C5">
        <w:rPr>
          <w:rFonts w:ascii="Calibri" w:hAnsi="Calibri"/>
          <w:sz w:val="22"/>
          <w:szCs w:val="22"/>
        </w:rPr>
        <w:t xml:space="preserve"> </w:t>
      </w:r>
      <w:proofErr w:type="spellStart"/>
      <w:r w:rsidR="0019785E">
        <w:rPr>
          <w:rFonts w:ascii="Calibri" w:hAnsi="Calibri"/>
          <w:sz w:val="22"/>
          <w:szCs w:val="22"/>
        </w:rPr>
        <w:t>tumor</w:t>
      </w:r>
      <w:proofErr w:type="spellEnd"/>
      <w:r w:rsidRPr="009F71C5">
        <w:rPr>
          <w:rFonts w:ascii="Calibri" w:hAnsi="Calibri"/>
          <w:sz w:val="22"/>
          <w:szCs w:val="22"/>
        </w:rPr>
        <w:t xml:space="preserve"> bed </w:t>
      </w:r>
      <w:r>
        <w:rPr>
          <w:rFonts w:ascii="Calibri" w:hAnsi="Calibri"/>
          <w:sz w:val="22"/>
          <w:szCs w:val="22"/>
        </w:rPr>
        <w:t>of mostly acellular mucin pools</w:t>
      </w:r>
      <w:r w:rsidRPr="009F71C5">
        <w:rPr>
          <w:rFonts w:ascii="Calibri" w:hAnsi="Calibri"/>
          <w:sz w:val="22"/>
          <w:szCs w:val="22"/>
        </w:rPr>
        <w:t xml:space="preserve">; there is viable </w:t>
      </w:r>
      <w:proofErr w:type="spellStart"/>
      <w:r w:rsidR="0019785E">
        <w:rPr>
          <w:rFonts w:ascii="Calibri" w:hAnsi="Calibri"/>
          <w:sz w:val="22"/>
          <w:szCs w:val="22"/>
        </w:rPr>
        <w:t>tumor</w:t>
      </w:r>
      <w:proofErr w:type="spellEnd"/>
      <w:r w:rsidRPr="009F71C5">
        <w:rPr>
          <w:rFonts w:ascii="Calibri" w:hAnsi="Calibri"/>
          <w:sz w:val="22"/>
          <w:szCs w:val="22"/>
        </w:rPr>
        <w:t xml:space="preserve"> making up 10–50 per cent of the </w:t>
      </w:r>
      <w:proofErr w:type="spellStart"/>
      <w:r w:rsidR="0019785E">
        <w:rPr>
          <w:rFonts w:ascii="Calibri" w:hAnsi="Calibri"/>
          <w:sz w:val="22"/>
          <w:szCs w:val="22"/>
        </w:rPr>
        <w:t>tumor</w:t>
      </w:r>
      <w:proofErr w:type="spellEnd"/>
      <w:r w:rsidRPr="009F71C5">
        <w:rPr>
          <w:rFonts w:ascii="Calibri" w:hAnsi="Calibri"/>
          <w:sz w:val="22"/>
          <w:szCs w:val="22"/>
        </w:rPr>
        <w:t xml:space="preserve"> bed area. </w:t>
      </w:r>
      <w:r>
        <w:rPr>
          <w:rFonts w:ascii="Calibri" w:hAnsi="Calibri"/>
          <w:b/>
          <w:bCs/>
          <w:sz w:val="22"/>
          <w:szCs w:val="22"/>
        </w:rPr>
        <w:t>e</w:t>
      </w:r>
      <w:r w:rsidRPr="009F71C5">
        <w:rPr>
          <w:rFonts w:ascii="Calibri" w:hAnsi="Calibri"/>
          <w:b/>
          <w:bCs/>
          <w:sz w:val="22"/>
          <w:szCs w:val="22"/>
        </w:rPr>
        <w:t xml:space="preserve"> </w:t>
      </w:r>
      <w:r>
        <w:rPr>
          <w:rFonts w:ascii="Calibri" w:hAnsi="Calibri"/>
          <w:sz w:val="22"/>
          <w:szCs w:val="22"/>
        </w:rPr>
        <w:t>Poor / no nodal response / LNRS 4</w:t>
      </w:r>
      <w:r w:rsidRPr="009F71C5">
        <w:rPr>
          <w:rFonts w:ascii="Calibri" w:hAnsi="Calibri"/>
          <w:sz w:val="22"/>
          <w:szCs w:val="22"/>
        </w:rPr>
        <w:t xml:space="preserve">: a lymph node with a large </w:t>
      </w:r>
      <w:proofErr w:type="spellStart"/>
      <w:r w:rsidR="0019785E">
        <w:rPr>
          <w:rFonts w:ascii="Calibri" w:hAnsi="Calibri"/>
          <w:sz w:val="22"/>
          <w:szCs w:val="22"/>
        </w:rPr>
        <w:t>tumor</w:t>
      </w:r>
      <w:proofErr w:type="spellEnd"/>
      <w:r w:rsidRPr="009F71C5">
        <w:rPr>
          <w:rFonts w:ascii="Calibri" w:hAnsi="Calibri"/>
          <w:sz w:val="22"/>
          <w:szCs w:val="22"/>
        </w:rPr>
        <w:t xml:space="preserve"> bed area composed of </w:t>
      </w:r>
      <w:r>
        <w:rPr>
          <w:rFonts w:ascii="Calibri" w:hAnsi="Calibri"/>
          <w:sz w:val="22"/>
          <w:szCs w:val="22"/>
        </w:rPr>
        <w:t xml:space="preserve">mostly of viable </w:t>
      </w:r>
      <w:proofErr w:type="spellStart"/>
      <w:r w:rsidR="0019785E">
        <w:rPr>
          <w:rFonts w:ascii="Calibri" w:hAnsi="Calibri"/>
          <w:sz w:val="22"/>
          <w:szCs w:val="22"/>
        </w:rPr>
        <w:t>tumor</w:t>
      </w:r>
      <w:proofErr w:type="spellEnd"/>
      <w:r>
        <w:rPr>
          <w:rFonts w:ascii="Calibri" w:hAnsi="Calibri"/>
          <w:sz w:val="22"/>
          <w:szCs w:val="22"/>
        </w:rPr>
        <w:t xml:space="preserve"> with several acellular mucin pools;</w:t>
      </w:r>
      <w:r w:rsidR="00A57BFC">
        <w:rPr>
          <w:rFonts w:ascii="Calibri" w:hAnsi="Calibri"/>
          <w:sz w:val="22"/>
          <w:szCs w:val="22"/>
        </w:rPr>
        <w:t xml:space="preserve"> There is over</w:t>
      </w:r>
      <w:r w:rsidRPr="009F71C5">
        <w:rPr>
          <w:rFonts w:ascii="Calibri" w:hAnsi="Calibri"/>
          <w:sz w:val="22"/>
          <w:szCs w:val="22"/>
        </w:rPr>
        <w:t xml:space="preserve"> 50 per cent viable </w:t>
      </w:r>
      <w:proofErr w:type="spellStart"/>
      <w:r w:rsidR="0019785E">
        <w:rPr>
          <w:rFonts w:ascii="Calibri" w:hAnsi="Calibri"/>
          <w:sz w:val="22"/>
          <w:szCs w:val="22"/>
        </w:rPr>
        <w:t>tumor</w:t>
      </w:r>
      <w:proofErr w:type="spellEnd"/>
      <w:r w:rsidRPr="009F71C5">
        <w:rPr>
          <w:rFonts w:ascii="Calibri" w:hAnsi="Calibri"/>
          <w:sz w:val="22"/>
          <w:szCs w:val="22"/>
        </w:rPr>
        <w:t xml:space="preserve">, but with recognizable </w:t>
      </w:r>
      <w:r w:rsidR="00A57BFC">
        <w:rPr>
          <w:rFonts w:ascii="Calibri" w:hAnsi="Calibri"/>
          <w:sz w:val="22"/>
          <w:szCs w:val="22"/>
        </w:rPr>
        <w:t xml:space="preserve">features of </w:t>
      </w:r>
      <w:r w:rsidRPr="009F71C5">
        <w:rPr>
          <w:rFonts w:ascii="Calibri" w:hAnsi="Calibri"/>
          <w:sz w:val="22"/>
          <w:szCs w:val="22"/>
        </w:rPr>
        <w:t>regression.</w:t>
      </w:r>
      <w:r w:rsidR="00A57BFC" w:rsidRPr="00A57BFC">
        <w:rPr>
          <w:rFonts w:ascii="Calibri" w:hAnsi="Calibri"/>
          <w:b/>
          <w:bCs/>
          <w:sz w:val="22"/>
          <w:szCs w:val="22"/>
        </w:rPr>
        <w:t xml:space="preserve"> f</w:t>
      </w:r>
      <w:r w:rsidR="00A57BFC">
        <w:rPr>
          <w:rFonts w:ascii="Calibri" w:hAnsi="Calibri"/>
          <w:sz w:val="22"/>
          <w:szCs w:val="22"/>
        </w:rPr>
        <w:t xml:space="preserve"> Poor / no nodal response / LNRS</w:t>
      </w:r>
      <w:r w:rsidRPr="009F71C5">
        <w:rPr>
          <w:rFonts w:ascii="Calibri" w:hAnsi="Calibri"/>
          <w:sz w:val="22"/>
          <w:szCs w:val="22"/>
        </w:rPr>
        <w:t xml:space="preserve"> 5: a lymph node completely replaced by metastatic </w:t>
      </w:r>
      <w:proofErr w:type="spellStart"/>
      <w:r w:rsidR="0019785E">
        <w:rPr>
          <w:rFonts w:ascii="Calibri" w:hAnsi="Calibri"/>
          <w:sz w:val="22"/>
          <w:szCs w:val="22"/>
        </w:rPr>
        <w:t>tumor</w:t>
      </w:r>
      <w:proofErr w:type="spellEnd"/>
      <w:r w:rsidRPr="009F71C5">
        <w:rPr>
          <w:rFonts w:ascii="Calibri" w:hAnsi="Calibri"/>
          <w:sz w:val="22"/>
          <w:szCs w:val="22"/>
        </w:rPr>
        <w:t xml:space="preserve"> showing no clear signs of regression</w:t>
      </w:r>
    </w:p>
    <w:p w14:paraId="55D9A16F" w14:textId="76047E64" w:rsidR="009F71C5" w:rsidRDefault="009F71C5" w:rsidP="00B47C9E">
      <w:pPr>
        <w:spacing w:line="480" w:lineRule="auto"/>
        <w:ind w:left="1080"/>
        <w:jc w:val="center"/>
        <w:rPr>
          <w:rFonts w:ascii="Calibri" w:hAnsi="Calibri"/>
          <w:sz w:val="20"/>
          <w:szCs w:val="20"/>
        </w:rPr>
      </w:pPr>
    </w:p>
    <w:p w14:paraId="6CFD3107" w14:textId="118A433F" w:rsidR="00766C53" w:rsidRDefault="00766C53" w:rsidP="00B47C9E">
      <w:pPr>
        <w:spacing w:line="480" w:lineRule="auto"/>
        <w:rPr>
          <w:rFonts w:ascii="Calibri" w:hAnsi="Calibri"/>
        </w:rPr>
      </w:pPr>
    </w:p>
    <w:p w14:paraId="00427453" w14:textId="10753C9E" w:rsidR="004305B5" w:rsidRDefault="004305B5" w:rsidP="00B47C9E">
      <w:pPr>
        <w:spacing w:line="480" w:lineRule="auto"/>
        <w:rPr>
          <w:rFonts w:ascii="Calibri" w:hAnsi="Calibri"/>
        </w:rPr>
      </w:pPr>
    </w:p>
    <w:p w14:paraId="7CA3302B" w14:textId="1B7BE7BA" w:rsidR="004305B5" w:rsidRDefault="004305B5" w:rsidP="00B47C9E">
      <w:pPr>
        <w:spacing w:line="480" w:lineRule="auto"/>
        <w:rPr>
          <w:rFonts w:ascii="Calibri" w:hAnsi="Calibri"/>
        </w:rPr>
      </w:pPr>
    </w:p>
    <w:p w14:paraId="7B758B3B" w14:textId="676B4D45" w:rsidR="004305B5" w:rsidRDefault="004305B5" w:rsidP="00B47C9E">
      <w:pPr>
        <w:spacing w:line="480" w:lineRule="auto"/>
        <w:rPr>
          <w:rFonts w:ascii="Calibri" w:hAnsi="Calibri"/>
        </w:rPr>
      </w:pPr>
    </w:p>
    <w:p w14:paraId="1A802D34" w14:textId="4252F543" w:rsidR="004305B5" w:rsidRDefault="004305B5" w:rsidP="00B47C9E">
      <w:pPr>
        <w:spacing w:line="480" w:lineRule="auto"/>
        <w:rPr>
          <w:rFonts w:ascii="Calibri" w:hAnsi="Calibri"/>
        </w:rPr>
      </w:pPr>
    </w:p>
    <w:p w14:paraId="0397EF39" w14:textId="76C1160D" w:rsidR="004305B5" w:rsidRDefault="004305B5" w:rsidP="00B47C9E">
      <w:pPr>
        <w:spacing w:line="480" w:lineRule="auto"/>
        <w:rPr>
          <w:rFonts w:ascii="Calibri" w:hAnsi="Calibri"/>
        </w:rPr>
      </w:pPr>
    </w:p>
    <w:p w14:paraId="6877E156" w14:textId="5A0CA0BE" w:rsidR="004305B5" w:rsidRDefault="004305B5" w:rsidP="00B47C9E">
      <w:pPr>
        <w:spacing w:line="480" w:lineRule="auto"/>
        <w:rPr>
          <w:rFonts w:ascii="Calibri" w:hAnsi="Calibri"/>
        </w:rPr>
      </w:pPr>
    </w:p>
    <w:p w14:paraId="317F8692" w14:textId="045A57F3" w:rsidR="004305B5" w:rsidRDefault="004305B5" w:rsidP="00B47C9E">
      <w:pPr>
        <w:spacing w:line="480" w:lineRule="auto"/>
        <w:rPr>
          <w:rFonts w:ascii="Calibri" w:hAnsi="Calibri"/>
        </w:rPr>
      </w:pPr>
    </w:p>
    <w:p w14:paraId="18ECAEA4" w14:textId="4AF4873E" w:rsidR="004305B5" w:rsidRDefault="004305B5" w:rsidP="00B47C9E">
      <w:pPr>
        <w:spacing w:line="480" w:lineRule="auto"/>
        <w:rPr>
          <w:rFonts w:ascii="Calibri" w:hAnsi="Calibri"/>
        </w:rPr>
      </w:pPr>
    </w:p>
    <w:p w14:paraId="21F5422C" w14:textId="58F853FF" w:rsidR="004305B5" w:rsidRDefault="004305B5" w:rsidP="00B47C9E">
      <w:pPr>
        <w:spacing w:line="480" w:lineRule="auto"/>
        <w:rPr>
          <w:rFonts w:ascii="Calibri" w:hAnsi="Calibri"/>
        </w:rPr>
      </w:pPr>
    </w:p>
    <w:p w14:paraId="49BB3873" w14:textId="77777777" w:rsidR="004305B5" w:rsidRDefault="004305B5" w:rsidP="00B47C9E">
      <w:pPr>
        <w:spacing w:line="480" w:lineRule="auto"/>
        <w:rPr>
          <w:rFonts w:ascii="Calibri" w:hAnsi="Calibri"/>
        </w:rPr>
      </w:pPr>
    </w:p>
    <w:p w14:paraId="2DADC43A" w14:textId="17E99F19" w:rsidR="000C697B" w:rsidRPr="000C697B" w:rsidRDefault="004305B5" w:rsidP="00B47C9E">
      <w:pPr>
        <w:spacing w:line="480" w:lineRule="auto"/>
        <w:rPr>
          <w:rFonts w:ascii="Calibri" w:hAnsi="Calibri"/>
          <w:sz w:val="22"/>
          <w:szCs w:val="22"/>
        </w:rPr>
      </w:pPr>
      <w:r>
        <w:rPr>
          <w:rFonts w:ascii="Calibri" w:hAnsi="Calibri"/>
          <w:b/>
          <w:bCs/>
          <w:noProof/>
          <w:sz w:val="22"/>
          <w:szCs w:val="22"/>
        </w:rPr>
        <w:lastRenderedPageBreak/>
        <w:drawing>
          <wp:inline distT="0" distB="0" distL="0" distR="0" wp14:anchorId="78894EBB" wp14:editId="64F3DE36">
            <wp:extent cx="5390707" cy="53907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hqprint">
                      <a:extLst>
                        <a:ext uri="{28A0092B-C50C-407E-A947-70E740481C1C}">
                          <a14:useLocalDpi xmlns:a14="http://schemas.microsoft.com/office/drawing/2010/main"/>
                        </a:ext>
                      </a:extLst>
                    </a:blip>
                    <a:stretch>
                      <a:fillRect/>
                    </a:stretch>
                  </pic:blipFill>
                  <pic:spPr>
                    <a:xfrm>
                      <a:off x="0" y="0"/>
                      <a:ext cx="5391428" cy="5391428"/>
                    </a:xfrm>
                    <a:prstGeom prst="rect">
                      <a:avLst/>
                    </a:prstGeom>
                  </pic:spPr>
                </pic:pic>
              </a:graphicData>
            </a:graphic>
          </wp:inline>
        </w:drawing>
      </w:r>
      <w:r w:rsidR="000C697B" w:rsidRPr="000C697B">
        <w:rPr>
          <w:rFonts w:ascii="Calibri" w:hAnsi="Calibri"/>
          <w:b/>
          <w:bCs/>
          <w:sz w:val="22"/>
          <w:szCs w:val="22"/>
        </w:rPr>
        <w:t>Figure 2.</w:t>
      </w:r>
      <w:r w:rsidR="000C697B" w:rsidRPr="000C697B">
        <w:rPr>
          <w:rFonts w:ascii="Calibri" w:hAnsi="Calibri"/>
          <w:sz w:val="22"/>
          <w:szCs w:val="22"/>
        </w:rPr>
        <w:t xml:space="preserve"> </w:t>
      </w:r>
      <w:r w:rsidR="00BA14AB" w:rsidRPr="000C697B">
        <w:rPr>
          <w:rFonts w:ascii="Calibri" w:hAnsi="Calibri"/>
          <w:sz w:val="22"/>
          <w:szCs w:val="22"/>
        </w:rPr>
        <w:t xml:space="preserve">Kaplan-Meier survival analysis evaluating pathological </w:t>
      </w:r>
      <w:r w:rsidR="00BA14AB">
        <w:rPr>
          <w:rFonts w:ascii="Calibri" w:hAnsi="Calibri"/>
          <w:sz w:val="22"/>
          <w:szCs w:val="22"/>
        </w:rPr>
        <w:t xml:space="preserve">lymph </w:t>
      </w:r>
      <w:r w:rsidR="00BA14AB" w:rsidRPr="000C697B">
        <w:rPr>
          <w:rFonts w:ascii="Calibri" w:hAnsi="Calibri"/>
          <w:sz w:val="22"/>
          <w:szCs w:val="22"/>
        </w:rPr>
        <w:t>nod</w:t>
      </w:r>
      <w:r w:rsidR="00BA14AB">
        <w:rPr>
          <w:rFonts w:ascii="Calibri" w:hAnsi="Calibri"/>
          <w:sz w:val="22"/>
          <w:szCs w:val="22"/>
        </w:rPr>
        <w:t>e (LN)</w:t>
      </w:r>
      <w:r w:rsidR="00BA14AB" w:rsidRPr="000C697B">
        <w:rPr>
          <w:rFonts w:ascii="Calibri" w:hAnsi="Calibri"/>
          <w:sz w:val="22"/>
          <w:szCs w:val="22"/>
        </w:rPr>
        <w:t xml:space="preserve"> response for overall (A) and disease-free survival (B)</w:t>
      </w:r>
      <w:r w:rsidR="00BA14AB">
        <w:rPr>
          <w:rFonts w:ascii="Calibri" w:hAnsi="Calibri"/>
          <w:sz w:val="22"/>
          <w:szCs w:val="22"/>
        </w:rPr>
        <w:t xml:space="preserve"> and </w:t>
      </w:r>
      <w:r w:rsidR="005043D9" w:rsidRPr="000C697B">
        <w:rPr>
          <w:rFonts w:ascii="Calibri" w:hAnsi="Calibri"/>
          <w:sz w:val="22"/>
          <w:szCs w:val="22"/>
        </w:rPr>
        <w:t>overall survival stratified by pathological nodal stage</w:t>
      </w:r>
      <w:r w:rsidR="005043D9">
        <w:rPr>
          <w:rFonts w:ascii="Calibri" w:hAnsi="Calibri"/>
          <w:sz w:val="22"/>
          <w:szCs w:val="22"/>
        </w:rPr>
        <w:t xml:space="preserve"> (</w:t>
      </w:r>
      <w:r w:rsidR="00BA14AB">
        <w:rPr>
          <w:rFonts w:ascii="Calibri" w:hAnsi="Calibri"/>
          <w:sz w:val="22"/>
          <w:szCs w:val="22"/>
        </w:rPr>
        <w:t>C</w:t>
      </w:r>
      <w:r w:rsidR="005043D9">
        <w:rPr>
          <w:rFonts w:ascii="Calibri" w:hAnsi="Calibri"/>
          <w:sz w:val="22"/>
          <w:szCs w:val="22"/>
        </w:rPr>
        <w:t>-</w:t>
      </w:r>
      <w:r w:rsidR="00BA14AB">
        <w:rPr>
          <w:rFonts w:ascii="Calibri" w:hAnsi="Calibri"/>
          <w:sz w:val="22"/>
          <w:szCs w:val="22"/>
        </w:rPr>
        <w:t>E</w:t>
      </w:r>
      <w:r w:rsidR="005043D9">
        <w:rPr>
          <w:rFonts w:ascii="Calibri" w:hAnsi="Calibri"/>
          <w:sz w:val="22"/>
          <w:szCs w:val="22"/>
        </w:rPr>
        <w:t>)</w:t>
      </w:r>
      <w:r w:rsidR="00D60BBD">
        <w:rPr>
          <w:rFonts w:ascii="Calibri" w:hAnsi="Calibri"/>
          <w:sz w:val="22"/>
          <w:szCs w:val="22"/>
        </w:rPr>
        <w:t>,</w:t>
      </w:r>
      <w:r w:rsidR="005043D9">
        <w:rPr>
          <w:rFonts w:ascii="Calibri" w:hAnsi="Calibri"/>
          <w:sz w:val="22"/>
          <w:szCs w:val="22"/>
        </w:rPr>
        <w:t xml:space="preserve"> </w:t>
      </w:r>
      <w:r w:rsidR="00EF5F5D">
        <w:rPr>
          <w:rFonts w:ascii="Calibri" w:hAnsi="Calibri"/>
          <w:sz w:val="22"/>
          <w:szCs w:val="22"/>
        </w:rPr>
        <w:t>LN</w:t>
      </w:r>
      <w:r w:rsidR="005043D9">
        <w:rPr>
          <w:rFonts w:ascii="Calibri" w:hAnsi="Calibri"/>
          <w:sz w:val="22"/>
          <w:szCs w:val="22"/>
        </w:rPr>
        <w:t xml:space="preserve"> regression score (LNRS) (</w:t>
      </w:r>
      <w:r w:rsidR="00BA14AB">
        <w:rPr>
          <w:rFonts w:ascii="Calibri" w:hAnsi="Calibri"/>
          <w:sz w:val="22"/>
          <w:szCs w:val="22"/>
        </w:rPr>
        <w:t>F</w:t>
      </w:r>
      <w:r w:rsidR="005043D9">
        <w:rPr>
          <w:rFonts w:ascii="Calibri" w:hAnsi="Calibri"/>
          <w:sz w:val="22"/>
          <w:szCs w:val="22"/>
        </w:rPr>
        <w:t xml:space="preserve">) </w:t>
      </w:r>
      <w:r w:rsidR="00D60BBD">
        <w:rPr>
          <w:rFonts w:ascii="Calibri" w:hAnsi="Calibri"/>
          <w:sz w:val="22"/>
          <w:szCs w:val="22"/>
        </w:rPr>
        <w:t xml:space="preserve">and primary </w:t>
      </w:r>
      <w:proofErr w:type="spellStart"/>
      <w:r w:rsidR="0019785E">
        <w:rPr>
          <w:rFonts w:ascii="Calibri" w:hAnsi="Calibri"/>
          <w:sz w:val="22"/>
          <w:szCs w:val="22"/>
        </w:rPr>
        <w:t>tumor</w:t>
      </w:r>
      <w:proofErr w:type="spellEnd"/>
      <w:r w:rsidR="00D60BBD">
        <w:rPr>
          <w:rFonts w:ascii="Calibri" w:hAnsi="Calibri"/>
          <w:sz w:val="22"/>
          <w:szCs w:val="22"/>
        </w:rPr>
        <w:t xml:space="preserve"> regression (</w:t>
      </w:r>
      <w:r w:rsidR="00BA14AB">
        <w:rPr>
          <w:rFonts w:ascii="Calibri" w:hAnsi="Calibri"/>
          <w:sz w:val="22"/>
          <w:szCs w:val="22"/>
        </w:rPr>
        <w:t>G-H</w:t>
      </w:r>
      <w:r w:rsidR="00D60BBD">
        <w:rPr>
          <w:rFonts w:ascii="Calibri" w:hAnsi="Calibri"/>
          <w:sz w:val="22"/>
          <w:szCs w:val="22"/>
        </w:rPr>
        <w:t xml:space="preserve">) </w:t>
      </w:r>
      <w:r w:rsidR="005043D9">
        <w:rPr>
          <w:rFonts w:ascii="Calibri" w:hAnsi="Calibri"/>
          <w:sz w:val="22"/>
          <w:szCs w:val="22"/>
        </w:rPr>
        <w:t>in</w:t>
      </w:r>
      <w:r w:rsidR="000C697B" w:rsidRPr="000C697B">
        <w:rPr>
          <w:rFonts w:ascii="Calibri" w:hAnsi="Calibri"/>
          <w:sz w:val="22"/>
          <w:szCs w:val="22"/>
        </w:rPr>
        <w:t xml:space="preserve"> patients </w:t>
      </w:r>
      <w:r w:rsidR="005043D9">
        <w:rPr>
          <w:rFonts w:ascii="Calibri" w:hAnsi="Calibri"/>
          <w:sz w:val="22"/>
          <w:szCs w:val="22"/>
        </w:rPr>
        <w:t>with</w:t>
      </w:r>
      <w:r w:rsidR="000C697B" w:rsidRPr="000C697B">
        <w:rPr>
          <w:rFonts w:ascii="Calibri" w:hAnsi="Calibri"/>
          <w:sz w:val="22"/>
          <w:szCs w:val="22"/>
        </w:rPr>
        <w:t xml:space="preserve"> </w:t>
      </w:r>
      <w:proofErr w:type="spellStart"/>
      <w:r w:rsidR="0019785E">
        <w:rPr>
          <w:rFonts w:ascii="Calibri" w:hAnsi="Calibri"/>
          <w:sz w:val="22"/>
          <w:szCs w:val="22"/>
        </w:rPr>
        <w:t>esophageal</w:t>
      </w:r>
      <w:proofErr w:type="spellEnd"/>
      <w:r w:rsidR="005043D9" w:rsidRPr="000C697B">
        <w:rPr>
          <w:rFonts w:ascii="Calibri" w:hAnsi="Calibri"/>
          <w:sz w:val="22"/>
          <w:szCs w:val="22"/>
        </w:rPr>
        <w:t xml:space="preserve"> adenocarcinoma </w:t>
      </w:r>
      <w:r w:rsidR="005043D9">
        <w:rPr>
          <w:rFonts w:ascii="Calibri" w:hAnsi="Calibri"/>
          <w:sz w:val="22"/>
          <w:szCs w:val="22"/>
        </w:rPr>
        <w:t xml:space="preserve">treated with </w:t>
      </w:r>
      <w:r w:rsidR="000C697B" w:rsidRPr="000C697B">
        <w:rPr>
          <w:rFonts w:ascii="Calibri" w:hAnsi="Calibri"/>
          <w:sz w:val="22"/>
          <w:szCs w:val="22"/>
        </w:rPr>
        <w:t>neoadjuvant chemotherapy followed by surgical resection. The significance of the difference was calculated using the log-rank test.</w:t>
      </w:r>
    </w:p>
    <w:p w14:paraId="7E4DA37B" w14:textId="7C68C254" w:rsidR="000C697B" w:rsidRDefault="000C697B" w:rsidP="000C697B">
      <w:pPr>
        <w:spacing w:line="360" w:lineRule="auto"/>
        <w:rPr>
          <w:rFonts w:ascii="Calibri" w:hAnsi="Calibri"/>
        </w:rPr>
      </w:pPr>
    </w:p>
    <w:p w14:paraId="7FA2FDA8" w14:textId="7E7D9CE9" w:rsidR="00A019FF" w:rsidRDefault="00A019FF" w:rsidP="00A019FF">
      <w:pPr>
        <w:spacing w:line="360" w:lineRule="auto"/>
        <w:rPr>
          <w:rFonts w:asciiTheme="majorHAnsi" w:hAnsiTheme="majorHAnsi"/>
        </w:rPr>
      </w:pPr>
    </w:p>
    <w:p w14:paraId="5BC230CC" w14:textId="31892559" w:rsidR="00054E70" w:rsidRDefault="00D604BE" w:rsidP="00F95E69">
      <w:pPr>
        <w:spacing w:line="360" w:lineRule="auto"/>
        <w:rPr>
          <w:rFonts w:ascii="Calibri" w:hAnsi="Calibri"/>
          <w:b/>
          <w:bCs/>
          <w:sz w:val="22"/>
          <w:szCs w:val="22"/>
        </w:rPr>
      </w:pPr>
      <w:r>
        <w:rPr>
          <w:rFonts w:asciiTheme="majorHAnsi" w:hAnsiTheme="majorHAnsi"/>
        </w:rPr>
        <w:br w:type="page"/>
      </w:r>
      <w:r w:rsidR="00054E70" w:rsidRPr="000C697B">
        <w:rPr>
          <w:rFonts w:ascii="Calibri" w:hAnsi="Calibri"/>
          <w:b/>
          <w:bCs/>
          <w:sz w:val="22"/>
          <w:szCs w:val="22"/>
        </w:rPr>
        <w:lastRenderedPageBreak/>
        <w:t xml:space="preserve">Supplementary </w:t>
      </w:r>
      <w:r w:rsidR="00054E70">
        <w:rPr>
          <w:rFonts w:ascii="Calibri" w:hAnsi="Calibri"/>
          <w:b/>
          <w:bCs/>
          <w:sz w:val="22"/>
          <w:szCs w:val="22"/>
        </w:rPr>
        <w:t>Table 1</w:t>
      </w:r>
      <w:r w:rsidR="00054E70" w:rsidRPr="000C697B">
        <w:rPr>
          <w:rFonts w:ascii="Calibri" w:hAnsi="Calibri"/>
          <w:b/>
          <w:bCs/>
          <w:sz w:val="22"/>
          <w:szCs w:val="22"/>
        </w:rPr>
        <w:t>.</w:t>
      </w:r>
      <w:r w:rsidR="00054E70" w:rsidRPr="000C697B">
        <w:rPr>
          <w:rFonts w:ascii="Calibri" w:hAnsi="Calibri"/>
          <w:sz w:val="22"/>
          <w:szCs w:val="22"/>
        </w:rPr>
        <w:t xml:space="preserve"> </w:t>
      </w:r>
      <w:r w:rsidR="00345D6C">
        <w:rPr>
          <w:rFonts w:ascii="Calibri" w:hAnsi="Calibri"/>
          <w:sz w:val="22"/>
          <w:szCs w:val="22"/>
        </w:rPr>
        <w:t>Lymph node response classification definitions and rationale for inclusion.</w:t>
      </w:r>
    </w:p>
    <w:tbl>
      <w:tblPr>
        <w:tblStyle w:val="TableGrid"/>
        <w:tblpPr w:leftFromText="180" w:rightFromText="180" w:vertAnchor="text" w:horzAnchor="page" w:tblpX="301" w:tblpY="77"/>
        <w:tblW w:w="11344"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6666"/>
      </w:tblGrid>
      <w:tr w:rsidR="00054E70" w14:paraId="0D62DC5F" w14:textId="77777777" w:rsidTr="000566AB">
        <w:trPr>
          <w:trHeight w:val="742"/>
        </w:trPr>
        <w:tc>
          <w:tcPr>
            <w:tcW w:w="4678" w:type="dxa"/>
            <w:shd w:val="clear" w:color="auto" w:fill="D9D9D9" w:themeFill="background1" w:themeFillShade="D9"/>
            <w:vAlign w:val="center"/>
          </w:tcPr>
          <w:p w14:paraId="43D6D8BA" w14:textId="77777777" w:rsidR="00054E70" w:rsidRPr="0020276B" w:rsidRDefault="00054E70" w:rsidP="000566AB">
            <w:pPr>
              <w:spacing w:line="360" w:lineRule="auto"/>
              <w:rPr>
                <w:rFonts w:ascii="Calibri" w:hAnsi="Calibri"/>
                <w:b/>
                <w:sz w:val="20"/>
              </w:rPr>
            </w:pPr>
            <w:r>
              <w:rPr>
                <w:rFonts w:ascii="Calibri" w:hAnsi="Calibri"/>
                <w:b/>
                <w:sz w:val="20"/>
              </w:rPr>
              <w:t>Response category</w:t>
            </w:r>
          </w:p>
        </w:tc>
        <w:tc>
          <w:tcPr>
            <w:tcW w:w="6666" w:type="dxa"/>
            <w:shd w:val="clear" w:color="auto" w:fill="D9D9D9" w:themeFill="background1" w:themeFillShade="D9"/>
            <w:vAlign w:val="center"/>
          </w:tcPr>
          <w:p w14:paraId="24453083" w14:textId="77777777" w:rsidR="00054E70" w:rsidRPr="00065510" w:rsidRDefault="00054E70" w:rsidP="000566AB">
            <w:pPr>
              <w:spacing w:line="360" w:lineRule="auto"/>
              <w:jc w:val="center"/>
              <w:rPr>
                <w:rFonts w:ascii="Calibri" w:hAnsi="Calibri"/>
                <w:b/>
                <w:iCs/>
                <w:sz w:val="20"/>
              </w:rPr>
            </w:pPr>
            <w:r>
              <w:rPr>
                <w:rFonts w:ascii="Calibri" w:hAnsi="Calibri"/>
                <w:b/>
                <w:iCs/>
                <w:sz w:val="20"/>
              </w:rPr>
              <w:t>Definition and rationale</w:t>
            </w:r>
          </w:p>
        </w:tc>
      </w:tr>
      <w:tr w:rsidR="00054E70" w14:paraId="7DC8CBFD" w14:textId="77777777" w:rsidTr="000566AB">
        <w:trPr>
          <w:trHeight w:val="941"/>
        </w:trPr>
        <w:tc>
          <w:tcPr>
            <w:tcW w:w="4678" w:type="dxa"/>
            <w:shd w:val="clear" w:color="auto" w:fill="F2F2F2" w:themeFill="background1" w:themeFillShade="F2"/>
            <w:vAlign w:val="center"/>
          </w:tcPr>
          <w:p w14:paraId="24ACE6A1" w14:textId="4002CBAC" w:rsidR="00054E70" w:rsidRPr="00054E70" w:rsidRDefault="00054E70" w:rsidP="000566AB">
            <w:pPr>
              <w:spacing w:line="360" w:lineRule="auto"/>
              <w:rPr>
                <w:rFonts w:ascii="Calibri" w:hAnsi="Calibri"/>
                <w:b/>
                <w:sz w:val="20"/>
              </w:rPr>
            </w:pPr>
            <w:r w:rsidRPr="00850628">
              <w:rPr>
                <w:rFonts w:ascii="Calibri" w:hAnsi="Calibri"/>
                <w:b/>
                <w:sz w:val="20"/>
              </w:rPr>
              <w:t>Classification by best LNRS</w:t>
            </w:r>
            <w:r>
              <w:rPr>
                <w:rFonts w:ascii="Calibri" w:hAnsi="Calibri"/>
                <w:b/>
                <w:sz w:val="20"/>
              </w:rPr>
              <w:t xml:space="preserve"> </w:t>
            </w:r>
            <w:r w:rsidRPr="00054E70">
              <w:rPr>
                <w:rFonts w:ascii="Calibri" w:hAnsi="Calibri"/>
                <w:bCs/>
                <w:sz w:val="20"/>
                <w:vertAlign w:val="superscript"/>
              </w:rPr>
              <w:t>a</w:t>
            </w:r>
          </w:p>
        </w:tc>
        <w:tc>
          <w:tcPr>
            <w:tcW w:w="6666" w:type="dxa"/>
            <w:shd w:val="clear" w:color="auto" w:fill="F2F2F2" w:themeFill="background1" w:themeFillShade="F2"/>
            <w:vAlign w:val="center"/>
          </w:tcPr>
          <w:p w14:paraId="18187838" w14:textId="08EB1DEE" w:rsidR="00054E70" w:rsidRPr="00850628" w:rsidRDefault="00345D6C" w:rsidP="000566AB">
            <w:pPr>
              <w:spacing w:line="360" w:lineRule="auto"/>
              <w:rPr>
                <w:rFonts w:ascii="Calibri" w:hAnsi="Calibri"/>
                <w:b/>
                <w:iCs/>
                <w:sz w:val="20"/>
              </w:rPr>
            </w:pPr>
            <w:r>
              <w:rPr>
                <w:rFonts w:ascii="Calibri" w:hAnsi="Calibri"/>
                <w:b/>
                <w:iCs/>
                <w:sz w:val="20"/>
              </w:rPr>
              <w:t>P</w:t>
            </w:r>
            <w:r w:rsidRPr="00850628">
              <w:rPr>
                <w:rFonts w:ascii="Calibri" w:hAnsi="Calibri"/>
                <w:b/>
                <w:iCs/>
                <w:sz w:val="20"/>
              </w:rPr>
              <w:t>atients classified by best LNRS</w:t>
            </w:r>
            <w:r>
              <w:rPr>
                <w:rFonts w:ascii="Calibri" w:hAnsi="Calibri"/>
                <w:b/>
                <w:iCs/>
                <w:sz w:val="20"/>
              </w:rPr>
              <w:t xml:space="preserve"> (i.e. if varying degrees of regression identified in different LN, patients were classified by best responding LNRS)</w:t>
            </w:r>
          </w:p>
        </w:tc>
      </w:tr>
      <w:tr w:rsidR="00054E70" w14:paraId="60CBE325" w14:textId="77777777" w:rsidTr="000566AB">
        <w:trPr>
          <w:trHeight w:val="940"/>
        </w:trPr>
        <w:tc>
          <w:tcPr>
            <w:tcW w:w="4678" w:type="dxa"/>
            <w:vAlign w:val="center"/>
          </w:tcPr>
          <w:p w14:paraId="1B46AC56" w14:textId="3A574809" w:rsidR="00054E70" w:rsidRPr="00742A47" w:rsidRDefault="00054E70" w:rsidP="000566AB">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1-3)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4-5) vs</w:t>
            </w:r>
            <w:r w:rsidRPr="00742A47">
              <w:rPr>
                <w:rFonts w:ascii="Calibri" w:hAnsi="Calibri"/>
                <w:i/>
                <w:iCs/>
                <w:sz w:val="20"/>
                <w:szCs w:val="20"/>
              </w:rPr>
              <w:t xml:space="preserve"> Negative</w:t>
            </w:r>
            <w:r w:rsidR="0091459B">
              <w:rPr>
                <w:rFonts w:ascii="Calibri" w:hAnsi="Calibri"/>
                <w:i/>
                <w:iCs/>
                <w:sz w:val="20"/>
                <w:szCs w:val="20"/>
              </w:rPr>
              <w:t xml:space="preserve"> LNs</w:t>
            </w:r>
          </w:p>
        </w:tc>
        <w:tc>
          <w:tcPr>
            <w:tcW w:w="6666" w:type="dxa"/>
            <w:vAlign w:val="center"/>
          </w:tcPr>
          <w:p w14:paraId="014E29CD" w14:textId="77777777" w:rsid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sz w:val="20"/>
              </w:rPr>
              <w:t xml:space="preserve"> LNRS 1-3 in any LN.</w:t>
            </w:r>
          </w:p>
          <w:p w14:paraId="2EA646AF" w14:textId="77777777" w:rsidR="00054E70" w:rsidRDefault="00054E70" w:rsidP="000566AB">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LNRS 4-5 in any LN, no LNRS 1-3 in any LN.</w:t>
            </w:r>
          </w:p>
          <w:p w14:paraId="3BF27DAB" w14:textId="4D6EBA67" w:rsidR="00054E70" w:rsidRPr="00054E70" w:rsidRDefault="00054E70" w:rsidP="000566AB">
            <w:pPr>
              <w:spacing w:line="360" w:lineRule="auto"/>
              <w:rPr>
                <w:rFonts w:ascii="Calibri" w:hAnsi="Calibri"/>
                <w:sz w:val="20"/>
              </w:rPr>
            </w:pPr>
            <w:r w:rsidRPr="00850628">
              <w:rPr>
                <w:rFonts w:ascii="Calibri" w:hAnsi="Calibri"/>
                <w:b/>
                <w:bCs/>
                <w:sz w:val="20"/>
              </w:rPr>
              <w:t xml:space="preserve">Rationale: </w:t>
            </w:r>
            <w:r>
              <w:rPr>
                <w:rFonts w:ascii="Calibri" w:hAnsi="Calibri"/>
                <w:sz w:val="20"/>
              </w:rPr>
              <w:t xml:space="preserve">Similar to commonly utilised definition of primary </w:t>
            </w:r>
            <w:proofErr w:type="spellStart"/>
            <w:r>
              <w:rPr>
                <w:rFonts w:ascii="Calibri" w:hAnsi="Calibri"/>
                <w:sz w:val="20"/>
              </w:rPr>
              <w:t>tumor</w:t>
            </w:r>
            <w:proofErr w:type="spellEnd"/>
            <w:r>
              <w:rPr>
                <w:rFonts w:ascii="Calibri" w:hAnsi="Calibri"/>
                <w:sz w:val="20"/>
              </w:rPr>
              <w:t xml:space="preserve"> response. Previously utilised in studies </w:t>
            </w:r>
            <w:r w:rsidR="00991278">
              <w:rPr>
                <w:rFonts w:ascii="Calibri" w:hAnsi="Calibri"/>
                <w:sz w:val="20"/>
              </w:rPr>
              <w:t>evaluating LN regression</w:t>
            </w:r>
            <w:r>
              <w:rPr>
                <w:rFonts w:ascii="Calibri" w:hAnsi="Calibri"/>
                <w:sz w:val="20"/>
              </w:rPr>
              <w:t xml:space="preserve">. </w:t>
            </w:r>
            <w:r>
              <w:rPr>
                <w:rFonts w:ascii="Calibri" w:hAnsi="Calibri"/>
                <w:sz w:val="20"/>
                <w:vertAlign w:val="superscript"/>
              </w:rPr>
              <w:t>9</w:t>
            </w:r>
            <w:r w:rsidR="00991278">
              <w:rPr>
                <w:rFonts w:ascii="Calibri" w:hAnsi="Calibri"/>
                <w:sz w:val="20"/>
                <w:vertAlign w:val="superscript"/>
              </w:rPr>
              <w:t>-</w:t>
            </w:r>
            <w:r>
              <w:rPr>
                <w:rFonts w:ascii="Calibri" w:hAnsi="Calibri"/>
                <w:sz w:val="20"/>
                <w:vertAlign w:val="superscript"/>
              </w:rPr>
              <w:t>10</w:t>
            </w:r>
            <w:r>
              <w:rPr>
                <w:rFonts w:ascii="Calibri" w:hAnsi="Calibri"/>
                <w:sz w:val="20"/>
              </w:rPr>
              <w:t>.</w:t>
            </w:r>
          </w:p>
        </w:tc>
      </w:tr>
      <w:tr w:rsidR="00054E70" w14:paraId="1FACF655" w14:textId="77777777" w:rsidTr="000566AB">
        <w:trPr>
          <w:trHeight w:val="985"/>
        </w:trPr>
        <w:tc>
          <w:tcPr>
            <w:tcW w:w="4678" w:type="dxa"/>
            <w:vAlign w:val="center"/>
          </w:tcPr>
          <w:p w14:paraId="08D5F8AF" w14:textId="40C953EC" w:rsidR="00054E70" w:rsidRPr="00742A47" w:rsidRDefault="00054E70" w:rsidP="000566AB">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2</w:t>
            </w:r>
            <w:r w:rsidRPr="00742A47">
              <w:rPr>
                <w:rFonts w:ascii="Calibri" w:hAnsi="Calibri"/>
                <w:sz w:val="20"/>
                <w:szCs w:val="20"/>
              </w:rPr>
              <w:t xml:space="preserve">)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w:t>
            </w:r>
            <w:r>
              <w:rPr>
                <w:rFonts w:ascii="Calibri" w:hAnsi="Calibri"/>
                <w:sz w:val="20"/>
                <w:szCs w:val="20"/>
              </w:rPr>
              <w:t>3</w:t>
            </w:r>
            <w:r w:rsidRPr="00742A47">
              <w:rPr>
                <w:rFonts w:ascii="Calibri" w:hAnsi="Calibri"/>
                <w:sz w:val="20"/>
                <w:szCs w:val="20"/>
              </w:rPr>
              <w:t>-5) vs</w:t>
            </w:r>
            <w:r w:rsidRPr="00742A47">
              <w:rPr>
                <w:rFonts w:ascii="Calibri" w:hAnsi="Calibri"/>
                <w:i/>
                <w:iCs/>
                <w:sz w:val="20"/>
                <w:szCs w:val="20"/>
              </w:rPr>
              <w:t xml:space="preserve"> Negative</w:t>
            </w:r>
            <w:r w:rsidR="0091459B">
              <w:rPr>
                <w:rFonts w:ascii="Calibri" w:hAnsi="Calibri"/>
                <w:i/>
                <w:iCs/>
                <w:sz w:val="20"/>
                <w:szCs w:val="20"/>
              </w:rPr>
              <w:t xml:space="preserve"> LNs</w:t>
            </w:r>
          </w:p>
        </w:tc>
        <w:tc>
          <w:tcPr>
            <w:tcW w:w="6666" w:type="dxa"/>
            <w:vAlign w:val="center"/>
          </w:tcPr>
          <w:p w14:paraId="13B1F6D1" w14:textId="77777777" w:rsid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sz w:val="20"/>
              </w:rPr>
              <w:t xml:space="preserve"> LNRS 1-2 in any LN.</w:t>
            </w:r>
          </w:p>
          <w:p w14:paraId="2D566DF8" w14:textId="77777777" w:rsidR="00054E70" w:rsidRDefault="00054E70" w:rsidP="000566AB">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LNRS 3-5 in any LN, no LNRS 1-2 in any LN.</w:t>
            </w:r>
          </w:p>
          <w:p w14:paraId="67C585DA" w14:textId="7F08E9B3" w:rsidR="00054E70" w:rsidRPr="00850628" w:rsidRDefault="00054E70" w:rsidP="000566AB">
            <w:pPr>
              <w:spacing w:line="360" w:lineRule="auto"/>
              <w:rPr>
                <w:rFonts w:ascii="Calibri" w:hAnsi="Calibri"/>
                <w:sz w:val="20"/>
              </w:rPr>
            </w:pPr>
            <w:r w:rsidRPr="00850628">
              <w:rPr>
                <w:rFonts w:ascii="Calibri" w:hAnsi="Calibri"/>
                <w:b/>
                <w:bCs/>
                <w:sz w:val="20"/>
              </w:rPr>
              <w:t>Rationale</w:t>
            </w:r>
            <w:r>
              <w:rPr>
                <w:rFonts w:ascii="Calibri" w:hAnsi="Calibri"/>
                <w:b/>
                <w:bCs/>
                <w:sz w:val="20"/>
              </w:rPr>
              <w:t xml:space="preserve">: </w:t>
            </w:r>
            <w:r>
              <w:rPr>
                <w:rFonts w:ascii="Calibri" w:hAnsi="Calibri"/>
                <w:sz w:val="20"/>
              </w:rPr>
              <w:t xml:space="preserve">Variability in literature regarding whether patients with primary </w:t>
            </w:r>
            <w:proofErr w:type="spellStart"/>
            <w:r>
              <w:rPr>
                <w:rFonts w:ascii="Calibri" w:hAnsi="Calibri"/>
                <w:sz w:val="20"/>
              </w:rPr>
              <w:t>tumor</w:t>
            </w:r>
            <w:proofErr w:type="spellEnd"/>
            <w:r>
              <w:rPr>
                <w:rFonts w:ascii="Calibri" w:hAnsi="Calibri"/>
                <w:sz w:val="20"/>
              </w:rPr>
              <w:t xml:space="preserve"> Mandard scores of 3 are responders or non-responders</w:t>
            </w:r>
            <w:r w:rsidR="00B46CF0">
              <w:rPr>
                <w:rFonts w:ascii="Calibri" w:hAnsi="Calibri"/>
                <w:sz w:val="20"/>
              </w:rPr>
              <w:t xml:space="preserve"> </w:t>
            </w:r>
            <w:r w:rsidR="00B46CF0">
              <w:rPr>
                <w:rFonts w:ascii="Calibri" w:hAnsi="Calibri"/>
                <w:sz w:val="20"/>
                <w:vertAlign w:val="superscript"/>
              </w:rPr>
              <w:t>5</w:t>
            </w:r>
            <w:r>
              <w:rPr>
                <w:rFonts w:ascii="Calibri" w:hAnsi="Calibri"/>
                <w:sz w:val="20"/>
              </w:rPr>
              <w:t>. Therefore, alternative classification of LNRS 3 as non-responders of interest.</w:t>
            </w:r>
          </w:p>
        </w:tc>
      </w:tr>
      <w:tr w:rsidR="00054E70" w14:paraId="4837C1B2" w14:textId="77777777" w:rsidTr="000566AB">
        <w:trPr>
          <w:trHeight w:val="980"/>
        </w:trPr>
        <w:tc>
          <w:tcPr>
            <w:tcW w:w="4678" w:type="dxa"/>
            <w:vAlign w:val="center"/>
          </w:tcPr>
          <w:p w14:paraId="4972D134" w14:textId="0E83FF72" w:rsidR="00054E70" w:rsidRPr="00742A47" w:rsidRDefault="00054E70" w:rsidP="000566AB">
            <w:pPr>
              <w:spacing w:line="360" w:lineRule="auto"/>
              <w:rPr>
                <w:rFonts w:ascii="Calibri" w:hAnsi="Calibri"/>
                <w:sz w:val="20"/>
              </w:rPr>
            </w:pPr>
            <w:r w:rsidRPr="00742A47">
              <w:rPr>
                <w:rFonts w:ascii="Calibri" w:hAnsi="Calibri"/>
                <w:i/>
                <w:iCs/>
                <w:sz w:val="20"/>
                <w:szCs w:val="20"/>
              </w:rPr>
              <w:t xml:space="preserve">Complete response </w:t>
            </w:r>
            <w:r w:rsidRPr="00742A47">
              <w:rPr>
                <w:rFonts w:ascii="Calibri" w:hAnsi="Calibri"/>
                <w:sz w:val="20"/>
                <w:szCs w:val="20"/>
              </w:rPr>
              <w:t xml:space="preserve">(LNRS 1, no residual </w:t>
            </w:r>
            <w:proofErr w:type="spellStart"/>
            <w:r w:rsidRPr="00742A47">
              <w:rPr>
                <w:rFonts w:ascii="Calibri" w:hAnsi="Calibri"/>
                <w:sz w:val="20"/>
                <w:szCs w:val="20"/>
              </w:rPr>
              <w:t>tumor</w:t>
            </w:r>
            <w:proofErr w:type="spellEnd"/>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sidRPr="00742A47">
              <w:rPr>
                <w:rFonts w:ascii="Calibri" w:hAnsi="Calibri"/>
                <w:i/>
                <w:iCs/>
                <w:sz w:val="20"/>
                <w:szCs w:val="20"/>
              </w:rPr>
              <w:t>Partial response</w:t>
            </w:r>
            <w:r w:rsidRPr="00742A47">
              <w:rPr>
                <w:rFonts w:ascii="Calibri" w:hAnsi="Calibri"/>
                <w:sz w:val="20"/>
                <w:szCs w:val="20"/>
              </w:rPr>
              <w:t xml:space="preserve"> (LNRS 1-3, residual </w:t>
            </w:r>
            <w:proofErr w:type="spellStart"/>
            <w:r>
              <w:rPr>
                <w:rFonts w:ascii="Calibri" w:hAnsi="Calibri"/>
                <w:sz w:val="20"/>
                <w:szCs w:val="20"/>
              </w:rPr>
              <w:t>tumor</w:t>
            </w:r>
            <w:proofErr w:type="spellEnd"/>
            <w:r w:rsidRPr="00742A47">
              <w:rPr>
                <w:rFonts w:ascii="Calibri" w:hAnsi="Calibri"/>
                <w:sz w:val="20"/>
                <w:szCs w:val="20"/>
              </w:rPr>
              <w:t xml:space="preserve">) vs </w:t>
            </w:r>
            <w:r w:rsidRPr="00742A47">
              <w:rPr>
                <w:rFonts w:ascii="Calibri" w:hAnsi="Calibri"/>
                <w:i/>
                <w:iCs/>
                <w:sz w:val="20"/>
                <w:szCs w:val="20"/>
              </w:rPr>
              <w:t>No response</w:t>
            </w:r>
            <w:r w:rsidRPr="00742A47">
              <w:rPr>
                <w:rFonts w:ascii="Calibri" w:hAnsi="Calibri"/>
                <w:sz w:val="20"/>
                <w:szCs w:val="20"/>
              </w:rPr>
              <w:t xml:space="preserve"> (LNRS 4-5) vs </w:t>
            </w:r>
            <w:r w:rsidRPr="00742A47">
              <w:rPr>
                <w:rFonts w:ascii="Calibri" w:hAnsi="Calibri"/>
                <w:i/>
                <w:iCs/>
                <w:sz w:val="20"/>
                <w:szCs w:val="20"/>
              </w:rPr>
              <w:t>Negative</w:t>
            </w:r>
            <w:r w:rsidR="0091459B">
              <w:rPr>
                <w:rFonts w:ascii="Calibri" w:hAnsi="Calibri"/>
                <w:i/>
                <w:iCs/>
                <w:sz w:val="20"/>
                <w:szCs w:val="20"/>
              </w:rPr>
              <w:t xml:space="preserve"> LNs</w:t>
            </w:r>
          </w:p>
        </w:tc>
        <w:tc>
          <w:tcPr>
            <w:tcW w:w="6666" w:type="dxa"/>
            <w:vAlign w:val="center"/>
          </w:tcPr>
          <w:p w14:paraId="54D085D1" w14:textId="77777777" w:rsidR="00054E70" w:rsidRDefault="00054E70" w:rsidP="000566AB">
            <w:pPr>
              <w:spacing w:line="360" w:lineRule="auto"/>
              <w:rPr>
                <w:rFonts w:ascii="Calibri" w:hAnsi="Calibri"/>
                <w:color w:val="000000" w:themeColor="text1"/>
                <w:sz w:val="20"/>
              </w:rPr>
            </w:pPr>
            <w:r w:rsidRPr="00850628">
              <w:rPr>
                <w:rFonts w:ascii="Calibri" w:hAnsi="Calibri"/>
                <w:b/>
                <w:bCs/>
                <w:color w:val="000000" w:themeColor="text1"/>
                <w:sz w:val="20"/>
              </w:rPr>
              <w:t>Complete</w:t>
            </w:r>
            <w:r>
              <w:rPr>
                <w:rFonts w:ascii="Calibri" w:hAnsi="Calibri"/>
                <w:b/>
                <w:bCs/>
                <w:color w:val="000000" w:themeColor="text1"/>
                <w:sz w:val="20"/>
              </w:rPr>
              <w:t xml:space="preserve"> response</w:t>
            </w:r>
            <w:r w:rsidRPr="00850628">
              <w:rPr>
                <w:rFonts w:ascii="Calibri" w:hAnsi="Calibri"/>
                <w:b/>
                <w:bCs/>
                <w:color w:val="000000" w:themeColor="text1"/>
                <w:sz w:val="20"/>
              </w:rPr>
              <w:t>:</w:t>
            </w:r>
            <w:r>
              <w:rPr>
                <w:rFonts w:ascii="Calibri" w:hAnsi="Calibri"/>
                <w:color w:val="000000" w:themeColor="text1"/>
                <w:sz w:val="20"/>
              </w:rPr>
              <w:t xml:space="preserve"> LNRS 1 in any LN </w:t>
            </w:r>
            <w:r w:rsidRPr="00850628">
              <w:rPr>
                <w:rFonts w:ascii="Calibri" w:hAnsi="Calibri"/>
                <w:color w:val="000000" w:themeColor="text1"/>
                <w:sz w:val="20"/>
              </w:rPr>
              <w:t xml:space="preserve">and </w:t>
            </w:r>
            <w:r>
              <w:rPr>
                <w:rFonts w:ascii="Calibri" w:hAnsi="Calibri"/>
                <w:color w:val="000000" w:themeColor="text1"/>
                <w:sz w:val="20"/>
              </w:rPr>
              <w:t xml:space="preserve">no residual </w:t>
            </w:r>
            <w:proofErr w:type="spellStart"/>
            <w:r>
              <w:rPr>
                <w:rFonts w:ascii="Calibri" w:hAnsi="Calibri"/>
                <w:color w:val="000000" w:themeColor="text1"/>
                <w:sz w:val="20"/>
              </w:rPr>
              <w:t>tumor</w:t>
            </w:r>
            <w:proofErr w:type="spellEnd"/>
            <w:r>
              <w:rPr>
                <w:rFonts w:ascii="Calibri" w:hAnsi="Calibri"/>
                <w:color w:val="000000" w:themeColor="text1"/>
                <w:sz w:val="20"/>
              </w:rPr>
              <w:t xml:space="preserve"> in any LN.</w:t>
            </w:r>
          </w:p>
          <w:p w14:paraId="5EAA792B" w14:textId="77777777" w:rsidR="00054E70" w:rsidRDefault="00054E70" w:rsidP="000566AB">
            <w:pPr>
              <w:spacing w:line="360" w:lineRule="auto"/>
              <w:rPr>
                <w:rFonts w:ascii="Calibri" w:hAnsi="Calibri"/>
                <w:color w:val="000000" w:themeColor="text1"/>
                <w:sz w:val="20"/>
              </w:rPr>
            </w:pPr>
            <w:r w:rsidRPr="00850628">
              <w:rPr>
                <w:rFonts w:ascii="Calibri" w:hAnsi="Calibri"/>
                <w:b/>
                <w:bCs/>
                <w:color w:val="000000" w:themeColor="text1"/>
                <w:sz w:val="20"/>
              </w:rPr>
              <w:t>Partial</w:t>
            </w:r>
            <w:r>
              <w:rPr>
                <w:rFonts w:ascii="Calibri" w:hAnsi="Calibri"/>
                <w:b/>
                <w:bCs/>
                <w:color w:val="000000" w:themeColor="text1"/>
                <w:sz w:val="20"/>
              </w:rPr>
              <w:t xml:space="preserve"> response</w:t>
            </w:r>
            <w:r w:rsidRPr="00850628">
              <w:rPr>
                <w:rFonts w:ascii="Calibri" w:hAnsi="Calibri"/>
                <w:b/>
                <w:bCs/>
                <w:color w:val="000000" w:themeColor="text1"/>
                <w:sz w:val="20"/>
              </w:rPr>
              <w:t>:</w:t>
            </w:r>
            <w:r>
              <w:rPr>
                <w:rFonts w:ascii="Calibri" w:hAnsi="Calibri"/>
                <w:color w:val="000000" w:themeColor="text1"/>
                <w:sz w:val="20"/>
              </w:rPr>
              <w:t xml:space="preserve"> LNRS 1-3 in any LN, residual </w:t>
            </w:r>
            <w:proofErr w:type="spellStart"/>
            <w:r>
              <w:rPr>
                <w:rFonts w:ascii="Calibri" w:hAnsi="Calibri"/>
                <w:color w:val="000000" w:themeColor="text1"/>
                <w:sz w:val="20"/>
              </w:rPr>
              <w:t>tumor</w:t>
            </w:r>
            <w:proofErr w:type="spellEnd"/>
            <w:r>
              <w:rPr>
                <w:rFonts w:ascii="Calibri" w:hAnsi="Calibri"/>
                <w:color w:val="000000" w:themeColor="text1"/>
                <w:sz w:val="20"/>
              </w:rPr>
              <w:t xml:space="preserve"> in at least 1 LN.</w:t>
            </w:r>
          </w:p>
          <w:p w14:paraId="4CF74315" w14:textId="77777777" w:rsidR="00054E70" w:rsidRDefault="00054E70" w:rsidP="000566AB">
            <w:pPr>
              <w:spacing w:line="360" w:lineRule="auto"/>
              <w:rPr>
                <w:rFonts w:ascii="Calibri" w:hAnsi="Calibri"/>
                <w:sz w:val="20"/>
              </w:rPr>
            </w:pPr>
            <w:r w:rsidRPr="00850628">
              <w:rPr>
                <w:rFonts w:ascii="Calibri" w:hAnsi="Calibri"/>
                <w:b/>
                <w:bCs/>
                <w:color w:val="000000" w:themeColor="text1"/>
                <w:sz w:val="20"/>
              </w:rPr>
              <w:t>No response</w:t>
            </w:r>
            <w:r>
              <w:rPr>
                <w:rFonts w:ascii="Calibri" w:hAnsi="Calibri"/>
                <w:color w:val="000000" w:themeColor="text1"/>
                <w:sz w:val="20"/>
              </w:rPr>
              <w:t xml:space="preserve">: </w:t>
            </w:r>
            <w:r>
              <w:rPr>
                <w:rFonts w:ascii="Calibri" w:hAnsi="Calibri"/>
                <w:sz w:val="20"/>
              </w:rPr>
              <w:t xml:space="preserve"> LNRS 4-5 in any LN, no LNRS 1-3 in any LN.</w:t>
            </w:r>
          </w:p>
          <w:p w14:paraId="44D55C03" w14:textId="77777777" w:rsidR="00054E70" w:rsidRPr="00850628" w:rsidRDefault="00054E70" w:rsidP="000566AB">
            <w:pPr>
              <w:spacing w:line="360" w:lineRule="auto"/>
              <w:rPr>
                <w:rFonts w:ascii="Calibri" w:hAnsi="Calibri"/>
                <w:color w:val="000000" w:themeColor="text1"/>
                <w:sz w:val="20"/>
              </w:rPr>
            </w:pPr>
            <w:r w:rsidRPr="00850628">
              <w:rPr>
                <w:rFonts w:ascii="Calibri" w:hAnsi="Calibri"/>
                <w:b/>
                <w:bCs/>
                <w:sz w:val="20"/>
              </w:rPr>
              <w:t>Rationale</w:t>
            </w:r>
            <w:r>
              <w:rPr>
                <w:rFonts w:ascii="Calibri" w:hAnsi="Calibri"/>
                <w:b/>
                <w:bCs/>
                <w:sz w:val="20"/>
              </w:rPr>
              <w:t xml:space="preserve">: </w:t>
            </w:r>
            <w:r>
              <w:rPr>
                <w:rFonts w:ascii="Calibri" w:hAnsi="Calibri"/>
                <w:sz w:val="20"/>
              </w:rPr>
              <w:t>Of interest to establish whether there is a survival benefit in patients with evidence of LN regression who remain ypN positive (i.e. partial responders).</w:t>
            </w:r>
          </w:p>
        </w:tc>
      </w:tr>
      <w:tr w:rsidR="00345D6C" w14:paraId="5DC86FF9" w14:textId="77777777" w:rsidTr="000566AB">
        <w:trPr>
          <w:trHeight w:hRule="exact" w:val="919"/>
        </w:trPr>
        <w:tc>
          <w:tcPr>
            <w:tcW w:w="4678" w:type="dxa"/>
            <w:tcBorders>
              <w:bottom w:val="single" w:sz="4" w:space="0" w:color="auto"/>
            </w:tcBorders>
            <w:shd w:val="clear" w:color="auto" w:fill="F2F2F2" w:themeFill="background1" w:themeFillShade="F2"/>
            <w:vAlign w:val="center"/>
          </w:tcPr>
          <w:p w14:paraId="1E0EA501" w14:textId="77777777" w:rsidR="00345D6C" w:rsidRPr="00742A47" w:rsidRDefault="00345D6C" w:rsidP="00345D6C">
            <w:pPr>
              <w:spacing w:line="360" w:lineRule="auto"/>
              <w:rPr>
                <w:rFonts w:ascii="Calibri" w:hAnsi="Calibri"/>
                <w:b/>
                <w:i/>
                <w:iCs/>
                <w:sz w:val="20"/>
                <w:szCs w:val="20"/>
              </w:rPr>
            </w:pPr>
            <w:r w:rsidRPr="00742A47">
              <w:rPr>
                <w:rFonts w:ascii="Calibri" w:hAnsi="Calibri"/>
                <w:b/>
                <w:sz w:val="20"/>
              </w:rPr>
              <w:t>Classification by worst LNRS</w:t>
            </w:r>
          </w:p>
        </w:tc>
        <w:tc>
          <w:tcPr>
            <w:tcW w:w="6666" w:type="dxa"/>
            <w:tcBorders>
              <w:bottom w:val="single" w:sz="4" w:space="0" w:color="auto"/>
            </w:tcBorders>
            <w:shd w:val="clear" w:color="auto" w:fill="F2F2F2" w:themeFill="background1" w:themeFillShade="F2"/>
            <w:vAlign w:val="center"/>
          </w:tcPr>
          <w:p w14:paraId="32DCDAF3" w14:textId="603D84D7" w:rsidR="00345D6C" w:rsidRPr="00850628" w:rsidRDefault="00345D6C" w:rsidP="00345D6C">
            <w:pPr>
              <w:spacing w:line="360" w:lineRule="auto"/>
              <w:rPr>
                <w:rFonts w:ascii="Calibri" w:hAnsi="Calibri"/>
                <w:b/>
                <w:color w:val="FF0000"/>
                <w:sz w:val="20"/>
              </w:rPr>
            </w:pPr>
            <w:r>
              <w:rPr>
                <w:rFonts w:ascii="Calibri" w:hAnsi="Calibri"/>
                <w:b/>
                <w:iCs/>
                <w:sz w:val="20"/>
              </w:rPr>
              <w:t>P</w:t>
            </w:r>
            <w:r w:rsidRPr="00850628">
              <w:rPr>
                <w:rFonts w:ascii="Calibri" w:hAnsi="Calibri"/>
                <w:b/>
                <w:iCs/>
                <w:sz w:val="20"/>
              </w:rPr>
              <w:t xml:space="preserve">atients classified by </w:t>
            </w:r>
            <w:r>
              <w:rPr>
                <w:rFonts w:ascii="Calibri" w:hAnsi="Calibri"/>
                <w:b/>
                <w:iCs/>
                <w:sz w:val="20"/>
              </w:rPr>
              <w:t>worst</w:t>
            </w:r>
            <w:r w:rsidRPr="00850628">
              <w:rPr>
                <w:rFonts w:ascii="Calibri" w:hAnsi="Calibri"/>
                <w:b/>
                <w:iCs/>
                <w:sz w:val="20"/>
              </w:rPr>
              <w:t xml:space="preserve"> LNRS</w:t>
            </w:r>
            <w:r>
              <w:rPr>
                <w:rFonts w:ascii="Calibri" w:hAnsi="Calibri"/>
                <w:b/>
                <w:iCs/>
                <w:sz w:val="20"/>
              </w:rPr>
              <w:t xml:space="preserve"> (i.e. if varying degrees of regression identified in different LN, patients were classified by worst responding LNRS)</w:t>
            </w:r>
          </w:p>
        </w:tc>
      </w:tr>
      <w:tr w:rsidR="00054E70" w14:paraId="0A98527E" w14:textId="77777777" w:rsidTr="000566AB">
        <w:trPr>
          <w:trHeight w:val="907"/>
        </w:trPr>
        <w:tc>
          <w:tcPr>
            <w:tcW w:w="4678" w:type="dxa"/>
            <w:vAlign w:val="center"/>
          </w:tcPr>
          <w:p w14:paraId="6D7C792C" w14:textId="20648FFF" w:rsidR="00054E70" w:rsidRPr="00742A47" w:rsidRDefault="00054E70" w:rsidP="000566AB">
            <w:pPr>
              <w:spacing w:line="360" w:lineRule="auto"/>
              <w:rPr>
                <w:rFonts w:ascii="Calibri" w:hAnsi="Calibri"/>
                <w:sz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1-3)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4-5) vs</w:t>
            </w:r>
            <w:r w:rsidRPr="00742A47">
              <w:rPr>
                <w:rFonts w:ascii="Calibri" w:hAnsi="Calibri"/>
                <w:i/>
                <w:iCs/>
                <w:sz w:val="20"/>
                <w:szCs w:val="20"/>
              </w:rPr>
              <w:t xml:space="preserve"> Negative</w:t>
            </w:r>
            <w:r w:rsidR="0091459B">
              <w:rPr>
                <w:rFonts w:ascii="Calibri" w:hAnsi="Calibri"/>
                <w:i/>
                <w:iCs/>
                <w:sz w:val="20"/>
                <w:szCs w:val="20"/>
              </w:rPr>
              <w:t xml:space="preserve"> LNs</w:t>
            </w:r>
          </w:p>
        </w:tc>
        <w:tc>
          <w:tcPr>
            <w:tcW w:w="6666" w:type="dxa"/>
            <w:vAlign w:val="center"/>
          </w:tcPr>
          <w:p w14:paraId="5B418565" w14:textId="2677DF74" w:rsid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sz w:val="20"/>
              </w:rPr>
              <w:t xml:space="preserve"> LNRS 1-3 in any LN</w:t>
            </w:r>
            <w:r w:rsidR="00A752CF">
              <w:rPr>
                <w:rFonts w:ascii="Calibri" w:hAnsi="Calibri"/>
                <w:sz w:val="20"/>
              </w:rPr>
              <w:t>, no LNRS 4-5 in any node.</w:t>
            </w:r>
          </w:p>
          <w:p w14:paraId="14538587" w14:textId="6E1BABA4" w:rsidR="00A752CF" w:rsidRDefault="00054E70" w:rsidP="00A752CF">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LNRS 4-5 in any LN</w:t>
            </w:r>
          </w:p>
          <w:p w14:paraId="5BC0B2CD" w14:textId="77777777" w:rsidR="00054E70" w:rsidRPr="00BD08B2" w:rsidRDefault="00054E70" w:rsidP="00A752CF">
            <w:pPr>
              <w:spacing w:line="360" w:lineRule="auto"/>
              <w:rPr>
                <w:rFonts w:asciiTheme="majorHAnsi" w:hAnsiTheme="majorHAnsi" w:cs="Arial"/>
                <w:bCs/>
                <w:sz w:val="20"/>
                <w:szCs w:val="20"/>
              </w:rPr>
            </w:pPr>
            <w:r w:rsidRPr="00850628">
              <w:rPr>
                <w:rFonts w:ascii="Calibri" w:hAnsi="Calibri"/>
                <w:b/>
                <w:bCs/>
                <w:sz w:val="20"/>
              </w:rPr>
              <w:t xml:space="preserve">Rationale: </w:t>
            </w:r>
            <w:r>
              <w:rPr>
                <w:rFonts w:ascii="Calibri" w:hAnsi="Calibri"/>
                <w:sz w:val="20"/>
              </w:rPr>
              <w:t>Comparison with best LNRS classifications above to establish whether classification by best or worst responding LN better predicts survival.</w:t>
            </w:r>
          </w:p>
        </w:tc>
      </w:tr>
      <w:tr w:rsidR="00054E70" w14:paraId="7D33E75F" w14:textId="77777777" w:rsidTr="000566AB">
        <w:trPr>
          <w:trHeight w:val="977"/>
        </w:trPr>
        <w:tc>
          <w:tcPr>
            <w:tcW w:w="4678" w:type="dxa"/>
            <w:vAlign w:val="center"/>
          </w:tcPr>
          <w:p w14:paraId="10A17475" w14:textId="4FD926EE" w:rsidR="00054E70" w:rsidRPr="00742A47" w:rsidRDefault="00054E70" w:rsidP="000566AB">
            <w:pPr>
              <w:spacing w:line="360" w:lineRule="auto"/>
              <w:rPr>
                <w:rFonts w:ascii="Calibri" w:hAnsi="Calibri"/>
                <w:i/>
                <w:iCs/>
                <w:sz w:val="20"/>
                <w:szCs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2</w:t>
            </w:r>
            <w:r w:rsidRPr="00742A47">
              <w:rPr>
                <w:rFonts w:ascii="Calibri" w:hAnsi="Calibri"/>
                <w:sz w:val="20"/>
                <w:szCs w:val="20"/>
              </w:rPr>
              <w:t xml:space="preserve">) vs </w:t>
            </w:r>
            <w:r w:rsidRPr="00742A47">
              <w:rPr>
                <w:rFonts w:ascii="Calibri" w:hAnsi="Calibri"/>
                <w:i/>
                <w:iCs/>
                <w:sz w:val="20"/>
                <w:szCs w:val="20"/>
              </w:rPr>
              <w:t>No-respon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 xml:space="preserve">(LNRS </w:t>
            </w:r>
            <w:r>
              <w:rPr>
                <w:rFonts w:ascii="Calibri" w:hAnsi="Calibri"/>
                <w:sz w:val="20"/>
                <w:szCs w:val="20"/>
              </w:rPr>
              <w:t>3</w:t>
            </w:r>
            <w:r w:rsidRPr="00742A47">
              <w:rPr>
                <w:rFonts w:ascii="Calibri" w:hAnsi="Calibri"/>
                <w:sz w:val="20"/>
                <w:szCs w:val="20"/>
              </w:rPr>
              <w:t>-5) vs</w:t>
            </w:r>
            <w:r w:rsidRPr="00742A47">
              <w:rPr>
                <w:rFonts w:ascii="Calibri" w:hAnsi="Calibri"/>
                <w:i/>
                <w:iCs/>
                <w:sz w:val="20"/>
                <w:szCs w:val="20"/>
              </w:rPr>
              <w:t xml:space="preserve"> Negative</w:t>
            </w:r>
            <w:r w:rsidR="0091459B">
              <w:rPr>
                <w:rFonts w:ascii="Calibri" w:hAnsi="Calibri"/>
                <w:i/>
                <w:iCs/>
                <w:sz w:val="20"/>
                <w:szCs w:val="20"/>
              </w:rPr>
              <w:t xml:space="preserve"> LNs</w:t>
            </w:r>
          </w:p>
        </w:tc>
        <w:tc>
          <w:tcPr>
            <w:tcW w:w="6666" w:type="dxa"/>
            <w:vAlign w:val="center"/>
          </w:tcPr>
          <w:p w14:paraId="1CFD6753" w14:textId="4D3861A7" w:rsid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sz w:val="20"/>
              </w:rPr>
              <w:t xml:space="preserve"> LNRS 1-2 in any LN</w:t>
            </w:r>
            <w:r w:rsidR="00A752CF">
              <w:rPr>
                <w:rFonts w:ascii="Calibri" w:hAnsi="Calibri"/>
                <w:sz w:val="20"/>
              </w:rPr>
              <w:t>, no LNRS 3-5 in any node</w:t>
            </w:r>
            <w:r>
              <w:rPr>
                <w:rFonts w:ascii="Calibri" w:hAnsi="Calibri"/>
                <w:sz w:val="20"/>
              </w:rPr>
              <w:t>.</w:t>
            </w:r>
          </w:p>
          <w:p w14:paraId="4071A52F" w14:textId="1BC9335B" w:rsidR="00054E70" w:rsidRDefault="00054E70" w:rsidP="000566AB">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LNRS 3-5 in any LN.</w:t>
            </w:r>
          </w:p>
          <w:p w14:paraId="62DAC13B" w14:textId="77777777" w:rsidR="00054E70" w:rsidRDefault="00054E70" w:rsidP="000566AB">
            <w:pPr>
              <w:spacing w:line="360" w:lineRule="auto"/>
              <w:rPr>
                <w:rFonts w:ascii="Calibri" w:hAnsi="Calibri"/>
                <w:sz w:val="20"/>
              </w:rPr>
            </w:pPr>
            <w:r w:rsidRPr="00850628">
              <w:rPr>
                <w:rFonts w:ascii="Calibri" w:hAnsi="Calibri"/>
                <w:b/>
                <w:bCs/>
                <w:sz w:val="20"/>
              </w:rPr>
              <w:t>Rationale</w:t>
            </w:r>
            <w:r>
              <w:rPr>
                <w:rFonts w:ascii="Calibri" w:hAnsi="Calibri"/>
                <w:b/>
                <w:bCs/>
                <w:sz w:val="20"/>
              </w:rPr>
              <w:t xml:space="preserve">: </w:t>
            </w:r>
            <w:r>
              <w:rPr>
                <w:rFonts w:ascii="Calibri" w:hAnsi="Calibri"/>
                <w:sz w:val="20"/>
              </w:rPr>
              <w:t>Comparison with best LNRS classifications above.</w:t>
            </w:r>
          </w:p>
        </w:tc>
      </w:tr>
      <w:tr w:rsidR="00054E70" w14:paraId="06A15833" w14:textId="77777777" w:rsidTr="000566AB">
        <w:trPr>
          <w:trHeight w:val="990"/>
        </w:trPr>
        <w:tc>
          <w:tcPr>
            <w:tcW w:w="4678" w:type="dxa"/>
            <w:vAlign w:val="center"/>
          </w:tcPr>
          <w:p w14:paraId="4B4019C7" w14:textId="4B95C167" w:rsidR="00054E70" w:rsidRPr="00742A47" w:rsidRDefault="00054E70" w:rsidP="000566AB">
            <w:pPr>
              <w:spacing w:line="360" w:lineRule="auto"/>
              <w:rPr>
                <w:rFonts w:ascii="Calibri" w:hAnsi="Calibri"/>
                <w:sz w:val="20"/>
              </w:rPr>
            </w:pPr>
            <w:r w:rsidRPr="00742A47">
              <w:rPr>
                <w:rFonts w:ascii="Calibri" w:hAnsi="Calibri"/>
                <w:i/>
                <w:iCs/>
                <w:sz w:val="20"/>
                <w:szCs w:val="20"/>
              </w:rPr>
              <w:t xml:space="preserve">Complete response </w:t>
            </w:r>
            <w:r w:rsidRPr="00742A47">
              <w:rPr>
                <w:rFonts w:ascii="Calibri" w:hAnsi="Calibri"/>
                <w:sz w:val="20"/>
                <w:szCs w:val="20"/>
              </w:rPr>
              <w:t xml:space="preserve">(LNRS 1, no residual </w:t>
            </w:r>
            <w:proofErr w:type="spellStart"/>
            <w:r>
              <w:rPr>
                <w:rFonts w:ascii="Calibri" w:hAnsi="Calibri"/>
                <w:sz w:val="20"/>
                <w:szCs w:val="20"/>
              </w:rPr>
              <w:t>tumor</w:t>
            </w:r>
            <w:proofErr w:type="spellEnd"/>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sidRPr="00742A47">
              <w:rPr>
                <w:rFonts w:ascii="Calibri" w:hAnsi="Calibri"/>
                <w:i/>
                <w:iCs/>
                <w:sz w:val="20"/>
                <w:szCs w:val="20"/>
              </w:rPr>
              <w:t>Partial response</w:t>
            </w:r>
            <w:r w:rsidRPr="00742A47">
              <w:rPr>
                <w:rFonts w:ascii="Calibri" w:hAnsi="Calibri"/>
                <w:sz w:val="20"/>
                <w:szCs w:val="20"/>
              </w:rPr>
              <w:t xml:space="preserve"> (LNRS 1-3, residual </w:t>
            </w:r>
            <w:proofErr w:type="spellStart"/>
            <w:r>
              <w:rPr>
                <w:rFonts w:ascii="Calibri" w:hAnsi="Calibri"/>
                <w:sz w:val="20"/>
                <w:szCs w:val="20"/>
              </w:rPr>
              <w:t>tumor</w:t>
            </w:r>
            <w:proofErr w:type="spellEnd"/>
            <w:r w:rsidRPr="00742A47">
              <w:rPr>
                <w:rFonts w:ascii="Calibri" w:hAnsi="Calibri"/>
                <w:sz w:val="20"/>
                <w:szCs w:val="20"/>
              </w:rPr>
              <w:t xml:space="preserve">) vs </w:t>
            </w:r>
            <w:r w:rsidRPr="00742A47">
              <w:rPr>
                <w:rFonts w:ascii="Calibri" w:hAnsi="Calibri"/>
                <w:i/>
                <w:iCs/>
                <w:sz w:val="20"/>
                <w:szCs w:val="20"/>
              </w:rPr>
              <w:t>No response</w:t>
            </w:r>
            <w:r w:rsidRPr="00742A47">
              <w:rPr>
                <w:rFonts w:ascii="Calibri" w:hAnsi="Calibri"/>
                <w:sz w:val="20"/>
                <w:szCs w:val="20"/>
              </w:rPr>
              <w:t xml:space="preserve"> (LNRS 4-5) vs </w:t>
            </w:r>
            <w:r w:rsidRPr="00742A47">
              <w:rPr>
                <w:rFonts w:ascii="Calibri" w:hAnsi="Calibri"/>
                <w:i/>
                <w:iCs/>
                <w:sz w:val="20"/>
                <w:szCs w:val="20"/>
              </w:rPr>
              <w:t>Negative</w:t>
            </w:r>
            <w:r w:rsidR="0091459B">
              <w:rPr>
                <w:rFonts w:ascii="Calibri" w:hAnsi="Calibri"/>
                <w:i/>
                <w:iCs/>
                <w:sz w:val="20"/>
                <w:szCs w:val="20"/>
              </w:rPr>
              <w:t xml:space="preserve"> LNs</w:t>
            </w:r>
          </w:p>
        </w:tc>
        <w:tc>
          <w:tcPr>
            <w:tcW w:w="6666" w:type="dxa"/>
            <w:vAlign w:val="center"/>
          </w:tcPr>
          <w:p w14:paraId="7529C147" w14:textId="0F465F01" w:rsidR="00054E70" w:rsidRDefault="00054E70" w:rsidP="000566AB">
            <w:pPr>
              <w:spacing w:line="360" w:lineRule="auto"/>
              <w:rPr>
                <w:rFonts w:ascii="Calibri" w:hAnsi="Calibri"/>
                <w:color w:val="000000" w:themeColor="text1"/>
                <w:sz w:val="20"/>
              </w:rPr>
            </w:pPr>
            <w:r w:rsidRPr="00850628">
              <w:rPr>
                <w:rFonts w:ascii="Calibri" w:hAnsi="Calibri"/>
                <w:b/>
                <w:bCs/>
                <w:color w:val="000000" w:themeColor="text1"/>
                <w:sz w:val="20"/>
              </w:rPr>
              <w:t>Complete</w:t>
            </w:r>
            <w:r>
              <w:rPr>
                <w:rFonts w:ascii="Calibri" w:hAnsi="Calibri"/>
                <w:b/>
                <w:bCs/>
                <w:color w:val="000000" w:themeColor="text1"/>
                <w:sz w:val="20"/>
              </w:rPr>
              <w:t xml:space="preserve"> response</w:t>
            </w:r>
            <w:r w:rsidRPr="00850628">
              <w:rPr>
                <w:rFonts w:ascii="Calibri" w:hAnsi="Calibri"/>
                <w:b/>
                <w:bCs/>
                <w:color w:val="000000" w:themeColor="text1"/>
                <w:sz w:val="20"/>
              </w:rPr>
              <w:t>:</w:t>
            </w:r>
            <w:r>
              <w:rPr>
                <w:rFonts w:ascii="Calibri" w:hAnsi="Calibri"/>
                <w:color w:val="000000" w:themeColor="text1"/>
                <w:sz w:val="20"/>
              </w:rPr>
              <w:t xml:space="preserve"> LNRS 1 in any LN</w:t>
            </w:r>
            <w:r w:rsidR="00A752CF">
              <w:rPr>
                <w:rFonts w:ascii="Calibri" w:hAnsi="Calibri"/>
                <w:color w:val="000000" w:themeColor="text1"/>
                <w:sz w:val="20"/>
              </w:rPr>
              <w:t xml:space="preserve"> </w:t>
            </w:r>
            <w:r w:rsidRPr="00850628">
              <w:rPr>
                <w:rFonts w:ascii="Calibri" w:hAnsi="Calibri"/>
                <w:color w:val="000000" w:themeColor="text1"/>
                <w:sz w:val="20"/>
              </w:rPr>
              <w:t xml:space="preserve">and </w:t>
            </w:r>
            <w:r>
              <w:rPr>
                <w:rFonts w:ascii="Calibri" w:hAnsi="Calibri"/>
                <w:color w:val="000000" w:themeColor="text1"/>
                <w:sz w:val="20"/>
              </w:rPr>
              <w:t xml:space="preserve">no residual </w:t>
            </w:r>
            <w:proofErr w:type="spellStart"/>
            <w:r>
              <w:rPr>
                <w:rFonts w:ascii="Calibri" w:hAnsi="Calibri"/>
                <w:color w:val="000000" w:themeColor="text1"/>
                <w:sz w:val="20"/>
              </w:rPr>
              <w:t>tumor</w:t>
            </w:r>
            <w:proofErr w:type="spellEnd"/>
            <w:r>
              <w:rPr>
                <w:rFonts w:ascii="Calibri" w:hAnsi="Calibri"/>
                <w:color w:val="000000" w:themeColor="text1"/>
                <w:sz w:val="20"/>
              </w:rPr>
              <w:t xml:space="preserve"> in any LN.</w:t>
            </w:r>
          </w:p>
          <w:p w14:paraId="5DE8C6C3" w14:textId="48B11C28" w:rsidR="00054E70" w:rsidRDefault="00054E70" w:rsidP="000566AB">
            <w:pPr>
              <w:spacing w:line="360" w:lineRule="auto"/>
              <w:rPr>
                <w:rFonts w:ascii="Calibri" w:hAnsi="Calibri"/>
                <w:color w:val="000000" w:themeColor="text1"/>
                <w:sz w:val="20"/>
              </w:rPr>
            </w:pPr>
            <w:r w:rsidRPr="00850628">
              <w:rPr>
                <w:rFonts w:ascii="Calibri" w:hAnsi="Calibri"/>
                <w:b/>
                <w:bCs/>
                <w:color w:val="000000" w:themeColor="text1"/>
                <w:sz w:val="20"/>
              </w:rPr>
              <w:t>Partial</w:t>
            </w:r>
            <w:r>
              <w:rPr>
                <w:rFonts w:ascii="Calibri" w:hAnsi="Calibri"/>
                <w:b/>
                <w:bCs/>
                <w:color w:val="000000" w:themeColor="text1"/>
                <w:sz w:val="20"/>
              </w:rPr>
              <w:t xml:space="preserve"> response</w:t>
            </w:r>
            <w:r w:rsidRPr="00850628">
              <w:rPr>
                <w:rFonts w:ascii="Calibri" w:hAnsi="Calibri"/>
                <w:b/>
                <w:bCs/>
                <w:color w:val="000000" w:themeColor="text1"/>
                <w:sz w:val="20"/>
              </w:rPr>
              <w:t>:</w:t>
            </w:r>
            <w:r>
              <w:rPr>
                <w:rFonts w:ascii="Calibri" w:hAnsi="Calibri"/>
                <w:color w:val="000000" w:themeColor="text1"/>
                <w:sz w:val="20"/>
              </w:rPr>
              <w:t xml:space="preserve"> LNRS 1-3 in any LN, </w:t>
            </w:r>
            <w:r w:rsidR="00A752CF">
              <w:rPr>
                <w:rFonts w:ascii="Calibri" w:hAnsi="Calibri"/>
                <w:color w:val="000000" w:themeColor="text1"/>
                <w:sz w:val="20"/>
              </w:rPr>
              <w:t xml:space="preserve">no LNRS 4-5 in any node and </w:t>
            </w:r>
            <w:r>
              <w:rPr>
                <w:rFonts w:ascii="Calibri" w:hAnsi="Calibri"/>
                <w:color w:val="000000" w:themeColor="text1"/>
                <w:sz w:val="20"/>
              </w:rPr>
              <w:t xml:space="preserve">residual </w:t>
            </w:r>
            <w:proofErr w:type="spellStart"/>
            <w:r>
              <w:rPr>
                <w:rFonts w:ascii="Calibri" w:hAnsi="Calibri"/>
                <w:color w:val="000000" w:themeColor="text1"/>
                <w:sz w:val="20"/>
              </w:rPr>
              <w:t>tumor</w:t>
            </w:r>
            <w:proofErr w:type="spellEnd"/>
            <w:r>
              <w:rPr>
                <w:rFonts w:ascii="Calibri" w:hAnsi="Calibri"/>
                <w:color w:val="000000" w:themeColor="text1"/>
                <w:sz w:val="20"/>
              </w:rPr>
              <w:t xml:space="preserve"> in at least 1 LN.</w:t>
            </w:r>
          </w:p>
          <w:p w14:paraId="461E1E5A" w14:textId="46296590" w:rsidR="00054E70" w:rsidRDefault="00054E70" w:rsidP="000566AB">
            <w:pPr>
              <w:spacing w:line="360" w:lineRule="auto"/>
              <w:rPr>
                <w:rFonts w:ascii="Calibri" w:hAnsi="Calibri"/>
                <w:sz w:val="20"/>
              </w:rPr>
            </w:pPr>
            <w:r w:rsidRPr="00850628">
              <w:rPr>
                <w:rFonts w:ascii="Calibri" w:hAnsi="Calibri"/>
                <w:b/>
                <w:bCs/>
                <w:color w:val="000000" w:themeColor="text1"/>
                <w:sz w:val="20"/>
              </w:rPr>
              <w:t>No response</w:t>
            </w:r>
            <w:r>
              <w:rPr>
                <w:rFonts w:ascii="Calibri" w:hAnsi="Calibri"/>
                <w:color w:val="000000" w:themeColor="text1"/>
                <w:sz w:val="20"/>
              </w:rPr>
              <w:t xml:space="preserve">: </w:t>
            </w:r>
            <w:r>
              <w:rPr>
                <w:rFonts w:ascii="Calibri" w:hAnsi="Calibri"/>
                <w:sz w:val="20"/>
              </w:rPr>
              <w:t>LNRS 4-5 in any LN.</w:t>
            </w:r>
          </w:p>
          <w:p w14:paraId="0C7F31AC" w14:textId="77777777" w:rsidR="00054E70" w:rsidRPr="00054E70" w:rsidRDefault="00054E70" w:rsidP="000566AB">
            <w:pPr>
              <w:spacing w:line="360" w:lineRule="auto"/>
              <w:rPr>
                <w:rFonts w:ascii="Calibri" w:hAnsi="Calibri"/>
                <w:sz w:val="20"/>
              </w:rPr>
            </w:pPr>
            <w:r w:rsidRPr="00850628">
              <w:rPr>
                <w:rFonts w:ascii="Calibri" w:hAnsi="Calibri"/>
                <w:b/>
                <w:bCs/>
                <w:sz w:val="20"/>
              </w:rPr>
              <w:t>Rationale</w:t>
            </w:r>
            <w:r>
              <w:rPr>
                <w:rFonts w:ascii="Calibri" w:hAnsi="Calibri"/>
                <w:b/>
                <w:bCs/>
                <w:sz w:val="20"/>
              </w:rPr>
              <w:t xml:space="preserve">: </w:t>
            </w:r>
            <w:r>
              <w:rPr>
                <w:rFonts w:ascii="Calibri" w:hAnsi="Calibri"/>
                <w:sz w:val="20"/>
              </w:rPr>
              <w:t>Comparison with best LNRS classifications above.</w:t>
            </w:r>
          </w:p>
        </w:tc>
      </w:tr>
      <w:tr w:rsidR="00852A20" w14:paraId="7359D75C" w14:textId="77777777" w:rsidTr="00231E45">
        <w:trPr>
          <w:trHeight w:hRule="exact" w:val="512"/>
        </w:trPr>
        <w:tc>
          <w:tcPr>
            <w:tcW w:w="11344" w:type="dxa"/>
            <w:gridSpan w:val="2"/>
            <w:tcBorders>
              <w:bottom w:val="single" w:sz="4" w:space="0" w:color="auto"/>
            </w:tcBorders>
            <w:shd w:val="clear" w:color="auto" w:fill="F2F2F2" w:themeFill="background1" w:themeFillShade="F2"/>
            <w:vAlign w:val="center"/>
          </w:tcPr>
          <w:p w14:paraId="474313C2" w14:textId="01270567" w:rsidR="00852A20" w:rsidRDefault="00852A20" w:rsidP="000566AB">
            <w:pPr>
              <w:spacing w:line="360" w:lineRule="auto"/>
              <w:rPr>
                <w:rFonts w:asciiTheme="majorHAnsi" w:hAnsiTheme="majorHAnsi" w:cs="Arial"/>
                <w:bCs/>
                <w:sz w:val="20"/>
                <w:szCs w:val="20"/>
              </w:rPr>
            </w:pPr>
            <w:r>
              <w:rPr>
                <w:rFonts w:ascii="Calibri" w:hAnsi="Calibri"/>
                <w:b/>
                <w:bCs/>
                <w:sz w:val="20"/>
                <w:szCs w:val="20"/>
              </w:rPr>
              <w:lastRenderedPageBreak/>
              <w:t>Other classifications</w:t>
            </w:r>
          </w:p>
        </w:tc>
      </w:tr>
      <w:tr w:rsidR="00054E70" w14:paraId="16543005" w14:textId="77777777" w:rsidTr="000566AB">
        <w:trPr>
          <w:trHeight w:val="906"/>
        </w:trPr>
        <w:tc>
          <w:tcPr>
            <w:tcW w:w="4678" w:type="dxa"/>
            <w:vAlign w:val="center"/>
          </w:tcPr>
          <w:p w14:paraId="58A7D51D" w14:textId="29C74AC5" w:rsidR="00054E70" w:rsidRPr="00742A47" w:rsidRDefault="00054E70" w:rsidP="000566AB">
            <w:pPr>
              <w:spacing w:line="360" w:lineRule="auto"/>
              <w:rPr>
                <w:rFonts w:ascii="Calibri" w:hAnsi="Calibri"/>
                <w:sz w:val="20"/>
              </w:rPr>
            </w:pPr>
            <w:r w:rsidRPr="00742A47">
              <w:rPr>
                <w:rFonts w:ascii="Calibri" w:hAnsi="Calibri"/>
                <w:i/>
                <w:iCs/>
                <w:sz w:val="20"/>
                <w:szCs w:val="20"/>
              </w:rPr>
              <w:t>Respon</w:t>
            </w:r>
            <w:r>
              <w:rPr>
                <w:rFonts w:ascii="Calibri" w:hAnsi="Calibri"/>
                <w:i/>
                <w:iCs/>
                <w:sz w:val="20"/>
                <w:szCs w:val="20"/>
              </w:rPr>
              <w:t>se</w:t>
            </w:r>
            <w:r w:rsidRPr="00742A47">
              <w:rPr>
                <w:rFonts w:ascii="Calibri" w:hAnsi="Calibri"/>
                <w:i/>
                <w:iCs/>
                <w:sz w:val="20"/>
                <w:szCs w:val="20"/>
              </w:rPr>
              <w:t xml:space="preserve"> </w:t>
            </w:r>
            <w:r w:rsidRPr="00742A47">
              <w:rPr>
                <w:rFonts w:ascii="Calibri" w:hAnsi="Calibri"/>
                <w:sz w:val="20"/>
                <w:szCs w:val="20"/>
              </w:rPr>
              <w:t>(</w:t>
            </w:r>
            <w:r>
              <w:rPr>
                <w:rFonts w:ascii="Calibri" w:hAnsi="Calibri"/>
                <w:sz w:val="20"/>
                <w:szCs w:val="20"/>
              </w:rPr>
              <w:t xml:space="preserve">total number </w:t>
            </w:r>
            <w:r w:rsidRPr="00742A47">
              <w:rPr>
                <w:rFonts w:ascii="Calibri" w:hAnsi="Calibri"/>
                <w:sz w:val="20"/>
                <w:szCs w:val="20"/>
              </w:rPr>
              <w:t>LNRS 1-3</w:t>
            </w:r>
            <w:r>
              <w:rPr>
                <w:rFonts w:ascii="Calibri" w:hAnsi="Calibri"/>
                <w:sz w:val="20"/>
                <w:szCs w:val="20"/>
              </w:rPr>
              <w:t xml:space="preserve"> &gt; LNRS 4-5</w:t>
            </w:r>
            <w:r w:rsidRPr="00742A47">
              <w:rPr>
                <w:rFonts w:ascii="Calibri" w:hAnsi="Calibri"/>
                <w:sz w:val="20"/>
                <w:szCs w:val="20"/>
              </w:rPr>
              <w:t xml:space="preserve">) vs </w:t>
            </w:r>
            <w:r w:rsidRPr="00742A47">
              <w:rPr>
                <w:rFonts w:ascii="Calibri" w:hAnsi="Calibri"/>
                <w:i/>
                <w:iCs/>
                <w:sz w:val="20"/>
                <w:szCs w:val="20"/>
              </w:rPr>
              <w:t>No-respo</w:t>
            </w:r>
            <w:r>
              <w:rPr>
                <w:rFonts w:ascii="Calibri" w:hAnsi="Calibri"/>
                <w:i/>
                <w:iCs/>
                <w:sz w:val="20"/>
                <w:szCs w:val="20"/>
              </w:rPr>
              <w:t>nse</w:t>
            </w:r>
            <w:r w:rsidRPr="00742A47">
              <w:rPr>
                <w:rFonts w:ascii="Calibri" w:hAnsi="Calibri"/>
                <w:i/>
                <w:iCs/>
                <w:sz w:val="20"/>
                <w:szCs w:val="20"/>
              </w:rPr>
              <w:t xml:space="preserve"> </w:t>
            </w:r>
            <w:r w:rsidRPr="00742A47">
              <w:rPr>
                <w:rFonts w:ascii="Calibri" w:hAnsi="Calibri"/>
                <w:sz w:val="20"/>
                <w:szCs w:val="20"/>
              </w:rPr>
              <w:t>(</w:t>
            </w:r>
            <w:r>
              <w:rPr>
                <w:rFonts w:ascii="Calibri" w:hAnsi="Calibri"/>
                <w:sz w:val="20"/>
                <w:szCs w:val="20"/>
              </w:rPr>
              <w:t xml:space="preserve">total number </w:t>
            </w:r>
            <w:r w:rsidRPr="00006AFD">
              <w:rPr>
                <w:rFonts w:ascii="Calibri" w:hAnsi="Calibri"/>
                <w:sz w:val="20"/>
                <w:szCs w:val="20"/>
              </w:rPr>
              <w:t>LNRS</w:t>
            </w:r>
            <w:r w:rsidRPr="00742A47">
              <w:rPr>
                <w:rFonts w:ascii="Calibri" w:hAnsi="Calibri"/>
                <w:sz w:val="20"/>
                <w:szCs w:val="20"/>
              </w:rPr>
              <w:t xml:space="preserve"> 4-5</w:t>
            </w:r>
            <w:r>
              <w:rPr>
                <w:rFonts w:ascii="Calibri" w:hAnsi="Calibri"/>
                <w:sz w:val="20"/>
                <w:szCs w:val="20"/>
              </w:rPr>
              <w:t xml:space="preserve"> &lt; LNRS 1-3</w:t>
            </w:r>
            <w:r w:rsidRPr="00742A47">
              <w:rPr>
                <w:rFonts w:ascii="Calibri" w:hAnsi="Calibri"/>
                <w:sz w:val="20"/>
                <w:szCs w:val="20"/>
              </w:rPr>
              <w:t>) vs</w:t>
            </w:r>
            <w:r w:rsidRPr="00742A47">
              <w:rPr>
                <w:rFonts w:ascii="Calibri" w:hAnsi="Calibri"/>
                <w:i/>
                <w:iCs/>
                <w:sz w:val="20"/>
                <w:szCs w:val="20"/>
              </w:rPr>
              <w:t xml:space="preserve"> Negative</w:t>
            </w:r>
            <w:r w:rsidR="0091459B">
              <w:rPr>
                <w:rFonts w:ascii="Calibri" w:hAnsi="Calibri"/>
                <w:i/>
                <w:iCs/>
                <w:sz w:val="20"/>
                <w:szCs w:val="20"/>
              </w:rPr>
              <w:t xml:space="preserve"> LNs</w:t>
            </w:r>
          </w:p>
        </w:tc>
        <w:tc>
          <w:tcPr>
            <w:tcW w:w="6666" w:type="dxa"/>
            <w:vAlign w:val="center"/>
          </w:tcPr>
          <w:p w14:paraId="39A79A91" w14:textId="77777777" w:rsid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sz w:val="20"/>
              </w:rPr>
              <w:t xml:space="preserve"> T</w:t>
            </w:r>
            <w:r>
              <w:rPr>
                <w:rFonts w:ascii="Calibri" w:hAnsi="Calibri"/>
                <w:sz w:val="20"/>
                <w:szCs w:val="20"/>
              </w:rPr>
              <w:t xml:space="preserve">otal number LN with </w:t>
            </w:r>
            <w:r w:rsidRPr="00742A47">
              <w:rPr>
                <w:rFonts w:ascii="Calibri" w:hAnsi="Calibri"/>
                <w:sz w:val="20"/>
                <w:szCs w:val="20"/>
              </w:rPr>
              <w:t>LNRS 1-3</w:t>
            </w:r>
            <w:r>
              <w:rPr>
                <w:rFonts w:ascii="Calibri" w:hAnsi="Calibri"/>
                <w:sz w:val="20"/>
                <w:szCs w:val="20"/>
              </w:rPr>
              <w:t xml:space="preserve"> &gt; </w:t>
            </w:r>
            <w:r>
              <w:rPr>
                <w:rFonts w:ascii="Calibri" w:hAnsi="Calibri"/>
                <w:sz w:val="20"/>
              </w:rPr>
              <w:t>T</w:t>
            </w:r>
            <w:r>
              <w:rPr>
                <w:rFonts w:ascii="Calibri" w:hAnsi="Calibri"/>
                <w:sz w:val="20"/>
                <w:szCs w:val="20"/>
              </w:rPr>
              <w:t>otal number LN with LNRS 4-5.</w:t>
            </w:r>
          </w:p>
          <w:p w14:paraId="6DE18F21" w14:textId="77777777" w:rsidR="00054E70" w:rsidRDefault="00054E70" w:rsidP="000566AB">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T</w:t>
            </w:r>
            <w:r>
              <w:rPr>
                <w:rFonts w:ascii="Calibri" w:hAnsi="Calibri"/>
                <w:sz w:val="20"/>
                <w:szCs w:val="20"/>
              </w:rPr>
              <w:t xml:space="preserve">otal number LN with </w:t>
            </w:r>
            <w:r w:rsidRPr="00742A47">
              <w:rPr>
                <w:rFonts w:ascii="Calibri" w:hAnsi="Calibri"/>
                <w:sz w:val="20"/>
                <w:szCs w:val="20"/>
              </w:rPr>
              <w:t xml:space="preserve">LNRS </w:t>
            </w:r>
            <w:r>
              <w:rPr>
                <w:rFonts w:ascii="Calibri" w:hAnsi="Calibri"/>
                <w:sz w:val="20"/>
                <w:szCs w:val="20"/>
              </w:rPr>
              <w:t xml:space="preserve">4-5 &gt; </w:t>
            </w:r>
            <w:r>
              <w:rPr>
                <w:rFonts w:ascii="Calibri" w:hAnsi="Calibri"/>
                <w:sz w:val="20"/>
              </w:rPr>
              <w:t>T</w:t>
            </w:r>
            <w:r>
              <w:rPr>
                <w:rFonts w:ascii="Calibri" w:hAnsi="Calibri"/>
                <w:sz w:val="20"/>
                <w:szCs w:val="20"/>
              </w:rPr>
              <w:t>otal number LN with LNRS 1-3.</w:t>
            </w:r>
          </w:p>
          <w:p w14:paraId="013CD8C2" w14:textId="77777777" w:rsidR="00054E70" w:rsidRPr="00850628" w:rsidRDefault="00054E70" w:rsidP="000566AB">
            <w:pPr>
              <w:spacing w:line="360" w:lineRule="auto"/>
              <w:rPr>
                <w:rFonts w:asciiTheme="majorHAnsi" w:hAnsiTheme="majorHAnsi" w:cs="Arial"/>
                <w:sz w:val="20"/>
                <w:szCs w:val="20"/>
              </w:rPr>
            </w:pPr>
            <w:r w:rsidRPr="00850628">
              <w:rPr>
                <w:rFonts w:ascii="Calibri" w:hAnsi="Calibri"/>
                <w:b/>
                <w:bCs/>
                <w:sz w:val="20"/>
              </w:rPr>
              <w:t>Rationale</w:t>
            </w:r>
            <w:r>
              <w:rPr>
                <w:rFonts w:ascii="Calibri" w:hAnsi="Calibri"/>
                <w:b/>
                <w:bCs/>
                <w:sz w:val="20"/>
              </w:rPr>
              <w:t xml:space="preserve">: </w:t>
            </w:r>
            <w:r>
              <w:rPr>
                <w:rFonts w:ascii="Calibri" w:hAnsi="Calibri"/>
                <w:sz w:val="20"/>
              </w:rPr>
              <w:t xml:space="preserve"> Similar to concept of pathologic lymph node ratio. Evaluating whether ratio of LN which demonstrate a pathological response (LNRS 1-3) to no response (LNRS 4-5) predicts survival. </w:t>
            </w:r>
          </w:p>
        </w:tc>
      </w:tr>
      <w:tr w:rsidR="00054E70" w14:paraId="16B7D75F" w14:textId="77777777" w:rsidTr="000566AB">
        <w:trPr>
          <w:trHeight w:val="989"/>
        </w:trPr>
        <w:tc>
          <w:tcPr>
            <w:tcW w:w="4678" w:type="dxa"/>
            <w:vAlign w:val="center"/>
          </w:tcPr>
          <w:p w14:paraId="36C2E35E" w14:textId="78A64396" w:rsidR="00054E70" w:rsidRPr="00713CA2" w:rsidRDefault="00054E70" w:rsidP="000566AB">
            <w:pPr>
              <w:spacing w:line="360" w:lineRule="auto"/>
              <w:rPr>
                <w:rFonts w:ascii="Calibri" w:hAnsi="Calibri"/>
                <w:b/>
                <w:bCs/>
                <w:sz w:val="20"/>
              </w:rPr>
            </w:pPr>
            <w:r>
              <w:rPr>
                <w:rFonts w:ascii="Calibri" w:hAnsi="Calibri"/>
                <w:i/>
                <w:iCs/>
                <w:sz w:val="20"/>
                <w:szCs w:val="20"/>
              </w:rPr>
              <w:t>Response</w:t>
            </w:r>
            <w:r w:rsidRPr="00742A47">
              <w:rPr>
                <w:rFonts w:ascii="Calibri" w:hAnsi="Calibri"/>
                <w:i/>
                <w:iCs/>
                <w:sz w:val="20"/>
                <w:szCs w:val="20"/>
              </w:rPr>
              <w:t xml:space="preserve"> </w:t>
            </w:r>
            <w:r w:rsidRPr="00742A47">
              <w:rPr>
                <w:rFonts w:ascii="Calibri" w:hAnsi="Calibri"/>
                <w:sz w:val="20"/>
                <w:szCs w:val="20"/>
              </w:rPr>
              <w:t>(LNRS 1</w:t>
            </w:r>
            <w:r>
              <w:rPr>
                <w:rFonts w:ascii="Calibri" w:hAnsi="Calibri"/>
                <w:sz w:val="20"/>
                <w:szCs w:val="20"/>
              </w:rPr>
              <w:t>-3, no LNRS 4-5</w:t>
            </w:r>
            <w:r w:rsidRPr="00742A47">
              <w:rPr>
                <w:rFonts w:ascii="Calibri" w:hAnsi="Calibri"/>
                <w:sz w:val="20"/>
                <w:szCs w:val="20"/>
              </w:rPr>
              <w:t>)</w:t>
            </w:r>
            <w:r w:rsidRPr="00742A47">
              <w:rPr>
                <w:rFonts w:ascii="Calibri" w:hAnsi="Calibri"/>
                <w:i/>
                <w:iCs/>
                <w:sz w:val="20"/>
                <w:szCs w:val="20"/>
              </w:rPr>
              <w:t xml:space="preserve"> </w:t>
            </w:r>
            <w:r w:rsidRPr="00742A47">
              <w:rPr>
                <w:rFonts w:ascii="Calibri" w:hAnsi="Calibri"/>
                <w:sz w:val="20"/>
                <w:szCs w:val="20"/>
              </w:rPr>
              <w:t xml:space="preserve">vs </w:t>
            </w:r>
            <w:r>
              <w:rPr>
                <w:rFonts w:ascii="Calibri" w:hAnsi="Calibri"/>
                <w:i/>
                <w:iCs/>
                <w:sz w:val="20"/>
                <w:szCs w:val="20"/>
              </w:rPr>
              <w:t xml:space="preserve">Mixed response </w:t>
            </w:r>
            <w:r w:rsidRPr="00742A47">
              <w:rPr>
                <w:rFonts w:ascii="Calibri" w:hAnsi="Calibri"/>
                <w:sz w:val="20"/>
                <w:szCs w:val="20"/>
              </w:rPr>
              <w:t>(LNRS 1-</w:t>
            </w:r>
            <w:r>
              <w:rPr>
                <w:rFonts w:ascii="Calibri" w:hAnsi="Calibri"/>
                <w:sz w:val="20"/>
                <w:szCs w:val="20"/>
              </w:rPr>
              <w:t xml:space="preserve">3 and LNRS 4-5) </w:t>
            </w:r>
            <w:r w:rsidRPr="00742A47">
              <w:rPr>
                <w:rFonts w:ascii="Calibri" w:hAnsi="Calibri"/>
                <w:sz w:val="20"/>
                <w:szCs w:val="20"/>
              </w:rPr>
              <w:t xml:space="preserve">vs </w:t>
            </w:r>
            <w:r w:rsidRPr="00742A47">
              <w:rPr>
                <w:rFonts w:ascii="Calibri" w:hAnsi="Calibri"/>
                <w:i/>
                <w:iCs/>
                <w:sz w:val="20"/>
                <w:szCs w:val="20"/>
              </w:rPr>
              <w:t>No response</w:t>
            </w:r>
            <w:r w:rsidRPr="00742A47">
              <w:rPr>
                <w:rFonts w:ascii="Calibri" w:hAnsi="Calibri"/>
                <w:sz w:val="20"/>
                <w:szCs w:val="20"/>
              </w:rPr>
              <w:t xml:space="preserve"> (LNRS 4-5</w:t>
            </w:r>
            <w:r>
              <w:rPr>
                <w:rFonts w:ascii="Calibri" w:hAnsi="Calibri"/>
                <w:sz w:val="20"/>
                <w:szCs w:val="20"/>
              </w:rPr>
              <w:t>, no LNRS 1-3</w:t>
            </w:r>
            <w:r w:rsidRPr="00742A47">
              <w:rPr>
                <w:rFonts w:ascii="Calibri" w:hAnsi="Calibri"/>
                <w:sz w:val="20"/>
                <w:szCs w:val="20"/>
              </w:rPr>
              <w:t xml:space="preserve">) vs </w:t>
            </w:r>
            <w:r w:rsidRPr="00742A47">
              <w:rPr>
                <w:rFonts w:ascii="Calibri" w:hAnsi="Calibri"/>
                <w:i/>
                <w:iCs/>
                <w:sz w:val="20"/>
                <w:szCs w:val="20"/>
              </w:rPr>
              <w:t>Negative</w:t>
            </w:r>
            <w:r w:rsidR="0091459B">
              <w:rPr>
                <w:rFonts w:ascii="Calibri" w:hAnsi="Calibri"/>
                <w:i/>
                <w:iCs/>
                <w:sz w:val="20"/>
                <w:szCs w:val="20"/>
              </w:rPr>
              <w:t xml:space="preserve"> LNs</w:t>
            </w:r>
          </w:p>
        </w:tc>
        <w:tc>
          <w:tcPr>
            <w:tcW w:w="6666" w:type="dxa"/>
            <w:vAlign w:val="center"/>
          </w:tcPr>
          <w:p w14:paraId="6D99714A" w14:textId="77777777" w:rsidR="00054E70" w:rsidRPr="00054E70" w:rsidRDefault="00054E70" w:rsidP="000566AB">
            <w:pPr>
              <w:spacing w:line="360" w:lineRule="auto"/>
              <w:rPr>
                <w:rFonts w:ascii="Calibri" w:hAnsi="Calibri"/>
                <w:sz w:val="20"/>
              </w:rPr>
            </w:pPr>
            <w:r w:rsidRPr="00850628">
              <w:rPr>
                <w:rFonts w:ascii="Calibri" w:hAnsi="Calibri"/>
                <w:b/>
                <w:bCs/>
                <w:sz w:val="20"/>
              </w:rPr>
              <w:t>Response:</w:t>
            </w:r>
            <w:r>
              <w:rPr>
                <w:rFonts w:ascii="Calibri" w:hAnsi="Calibri"/>
                <w:b/>
                <w:bCs/>
                <w:sz w:val="20"/>
              </w:rPr>
              <w:t xml:space="preserve"> </w:t>
            </w:r>
            <w:r>
              <w:rPr>
                <w:rFonts w:ascii="Calibri" w:hAnsi="Calibri"/>
                <w:sz w:val="20"/>
              </w:rPr>
              <w:t>LNRS 1-3 in any LN, no LNRS 4-5 in any LN.</w:t>
            </w:r>
          </w:p>
          <w:p w14:paraId="329C07D7" w14:textId="77777777" w:rsidR="00054E70" w:rsidRPr="00054E70" w:rsidRDefault="00054E70" w:rsidP="000566AB">
            <w:pPr>
              <w:spacing w:line="360" w:lineRule="auto"/>
              <w:rPr>
                <w:rFonts w:ascii="Calibri" w:hAnsi="Calibri"/>
                <w:sz w:val="20"/>
              </w:rPr>
            </w:pPr>
            <w:r>
              <w:rPr>
                <w:rFonts w:ascii="Calibri" w:hAnsi="Calibri"/>
                <w:b/>
                <w:bCs/>
                <w:sz w:val="20"/>
              </w:rPr>
              <w:t xml:space="preserve">Mixed response: </w:t>
            </w:r>
            <w:r>
              <w:rPr>
                <w:rFonts w:ascii="Calibri" w:hAnsi="Calibri"/>
                <w:sz w:val="20"/>
              </w:rPr>
              <w:t>LNRS 1-3 in any LN</w:t>
            </w:r>
            <w:r w:rsidRPr="00054E70">
              <w:rPr>
                <w:rFonts w:ascii="Calibri" w:hAnsi="Calibri"/>
                <w:sz w:val="20"/>
              </w:rPr>
              <w:t xml:space="preserve"> </w:t>
            </w:r>
            <w:r w:rsidRPr="00054E70">
              <w:rPr>
                <w:rFonts w:ascii="Calibri" w:hAnsi="Calibri"/>
                <w:sz w:val="20"/>
                <w:u w:val="single"/>
              </w:rPr>
              <w:t>and</w:t>
            </w:r>
            <w:r>
              <w:rPr>
                <w:rFonts w:ascii="Calibri" w:hAnsi="Calibri"/>
                <w:sz w:val="20"/>
              </w:rPr>
              <w:t xml:space="preserve"> LNRS 4-5 in any LN.</w:t>
            </w:r>
          </w:p>
          <w:p w14:paraId="26E58292" w14:textId="77777777" w:rsidR="00054E70" w:rsidRPr="00054E70" w:rsidRDefault="00054E70" w:rsidP="000566AB">
            <w:pPr>
              <w:spacing w:line="360" w:lineRule="auto"/>
              <w:rPr>
                <w:rFonts w:ascii="Calibri" w:hAnsi="Calibri"/>
                <w:sz w:val="20"/>
              </w:rPr>
            </w:pPr>
            <w:r w:rsidRPr="00850628">
              <w:rPr>
                <w:rFonts w:ascii="Calibri" w:hAnsi="Calibri"/>
                <w:b/>
                <w:bCs/>
                <w:sz w:val="20"/>
              </w:rPr>
              <w:t>No response:</w:t>
            </w:r>
            <w:r>
              <w:rPr>
                <w:rFonts w:ascii="Calibri" w:hAnsi="Calibri"/>
                <w:sz w:val="20"/>
              </w:rPr>
              <w:t xml:space="preserve"> LNRS 4-5 in any LN, no LNRS 1-3 in any LN.</w:t>
            </w:r>
          </w:p>
          <w:p w14:paraId="4DCEEF1C" w14:textId="77777777" w:rsidR="00054E70" w:rsidRPr="00054E70" w:rsidRDefault="00054E70" w:rsidP="000566AB">
            <w:pPr>
              <w:spacing w:line="360" w:lineRule="auto"/>
              <w:rPr>
                <w:rFonts w:ascii="Calibri" w:hAnsi="Calibri"/>
                <w:sz w:val="20"/>
              </w:rPr>
            </w:pPr>
            <w:r w:rsidRPr="00850628">
              <w:rPr>
                <w:rFonts w:ascii="Calibri" w:hAnsi="Calibri"/>
                <w:b/>
                <w:bCs/>
                <w:sz w:val="20"/>
              </w:rPr>
              <w:t>Rationale</w:t>
            </w:r>
            <w:r>
              <w:rPr>
                <w:rFonts w:ascii="Calibri" w:hAnsi="Calibri"/>
                <w:b/>
                <w:bCs/>
                <w:sz w:val="20"/>
              </w:rPr>
              <w:t xml:space="preserve">: </w:t>
            </w:r>
            <w:r>
              <w:rPr>
                <w:rFonts w:ascii="Calibri" w:hAnsi="Calibri"/>
                <w:sz w:val="20"/>
              </w:rPr>
              <w:t>Exploring cohort of patients who demonstrate a mixed LN response (i.e. some LN which demonstrate a response and others that don’t) to see whether this predicts survival.</w:t>
            </w:r>
          </w:p>
        </w:tc>
      </w:tr>
    </w:tbl>
    <w:p w14:paraId="25CE14F4" w14:textId="77777777" w:rsidR="00054E70" w:rsidRPr="00054E70" w:rsidRDefault="00054E70" w:rsidP="00054E70">
      <w:pPr>
        <w:rPr>
          <w:rFonts w:ascii="Calibri" w:hAnsi="Calibri"/>
          <w:sz w:val="22"/>
          <w:szCs w:val="22"/>
        </w:rPr>
      </w:pPr>
      <w:r w:rsidRPr="000C697B">
        <w:rPr>
          <w:rFonts w:ascii="Calibri" w:hAnsi="Calibri"/>
          <w:b/>
          <w:bCs/>
          <w:sz w:val="22"/>
          <w:szCs w:val="22"/>
        </w:rPr>
        <w:t xml:space="preserve"> </w:t>
      </w:r>
    </w:p>
    <w:p w14:paraId="22C7BC2D" w14:textId="77777777" w:rsidR="00054E70" w:rsidRDefault="00054E70" w:rsidP="00054E70">
      <w:pPr>
        <w:spacing w:line="360" w:lineRule="auto"/>
        <w:jc w:val="right"/>
        <w:rPr>
          <w:rFonts w:ascii="Calibri" w:hAnsi="Calibri"/>
          <w:sz w:val="20"/>
          <w:szCs w:val="20"/>
        </w:rPr>
      </w:pPr>
      <w:r w:rsidRPr="000C697B">
        <w:rPr>
          <w:rFonts w:ascii="Calibri" w:hAnsi="Calibri"/>
          <w:b/>
          <w:bCs/>
          <w:sz w:val="22"/>
          <w:szCs w:val="22"/>
        </w:rPr>
        <w:t xml:space="preserve"> </w:t>
      </w:r>
      <w:r w:rsidRPr="003C27E2">
        <w:rPr>
          <w:rFonts w:ascii="Calibri" w:hAnsi="Calibri"/>
          <w:sz w:val="20"/>
          <w:szCs w:val="20"/>
          <w:vertAlign w:val="superscript"/>
        </w:rPr>
        <w:t>a</w:t>
      </w:r>
      <w:r w:rsidRPr="003C27E2">
        <w:rPr>
          <w:rFonts w:ascii="Calibri" w:hAnsi="Calibri"/>
          <w:sz w:val="20"/>
          <w:szCs w:val="20"/>
        </w:rPr>
        <w:t xml:space="preserve"> Lymph node regression score</w:t>
      </w:r>
    </w:p>
    <w:p w14:paraId="46091E0C" w14:textId="77777777" w:rsidR="00F95E69" w:rsidRDefault="00F95E69">
      <w:pPr>
        <w:rPr>
          <w:rFonts w:asciiTheme="majorHAnsi" w:hAnsiTheme="majorHAnsi"/>
        </w:rPr>
      </w:pPr>
      <w:r>
        <w:rPr>
          <w:rFonts w:asciiTheme="majorHAnsi" w:hAnsiTheme="majorHAnsi"/>
        </w:rPr>
        <w:br w:type="page"/>
      </w:r>
    </w:p>
    <w:p w14:paraId="28542B99" w14:textId="6E54CB53" w:rsidR="00054E70" w:rsidRPr="00F95E69" w:rsidRDefault="00A019FF" w:rsidP="00F95E69">
      <w:pPr>
        <w:spacing w:line="360" w:lineRule="auto"/>
        <w:rPr>
          <w:rFonts w:asciiTheme="majorHAnsi" w:hAnsiTheme="majorHAnsi"/>
        </w:rPr>
      </w:pPr>
      <w:r w:rsidRPr="00A019FF">
        <w:rPr>
          <w:rFonts w:asciiTheme="majorHAnsi" w:hAnsiTheme="majorHAnsi"/>
          <w:b/>
          <w:bCs/>
          <w:sz w:val="22"/>
          <w:szCs w:val="22"/>
        </w:rPr>
        <w:lastRenderedPageBreak/>
        <w:t xml:space="preserve">Supplementary </w:t>
      </w:r>
      <w:r w:rsidR="00A27AFA">
        <w:rPr>
          <w:rFonts w:asciiTheme="majorHAnsi" w:hAnsiTheme="majorHAnsi"/>
          <w:b/>
          <w:bCs/>
          <w:sz w:val="22"/>
          <w:szCs w:val="22"/>
        </w:rPr>
        <w:t>T</w:t>
      </w:r>
      <w:r w:rsidRPr="00A019FF">
        <w:rPr>
          <w:rFonts w:asciiTheme="majorHAnsi" w:hAnsiTheme="majorHAnsi"/>
          <w:b/>
          <w:bCs/>
          <w:sz w:val="22"/>
          <w:szCs w:val="22"/>
        </w:rPr>
        <w:t xml:space="preserve">able </w:t>
      </w:r>
      <w:r w:rsidR="00346C01">
        <w:rPr>
          <w:rFonts w:asciiTheme="majorHAnsi" w:hAnsiTheme="majorHAnsi"/>
          <w:b/>
          <w:bCs/>
          <w:sz w:val="22"/>
          <w:szCs w:val="22"/>
        </w:rPr>
        <w:t>2</w:t>
      </w:r>
      <w:r w:rsidRPr="00A019FF">
        <w:rPr>
          <w:rFonts w:asciiTheme="majorHAnsi" w:hAnsiTheme="majorHAnsi"/>
          <w:b/>
          <w:bCs/>
          <w:sz w:val="22"/>
          <w:szCs w:val="22"/>
        </w:rPr>
        <w:t>.</w:t>
      </w:r>
      <w:r w:rsidRPr="00A019FF">
        <w:rPr>
          <w:rFonts w:asciiTheme="majorHAnsi" w:hAnsiTheme="majorHAnsi"/>
          <w:sz w:val="22"/>
          <w:szCs w:val="22"/>
        </w:rPr>
        <w:t xml:space="preserve"> </w:t>
      </w:r>
      <w:r w:rsidR="00850628">
        <w:rPr>
          <w:rFonts w:asciiTheme="majorHAnsi" w:hAnsiTheme="majorHAnsi"/>
          <w:sz w:val="22"/>
          <w:szCs w:val="22"/>
        </w:rPr>
        <w:t xml:space="preserve">Number of chemotherapy cycles and </w:t>
      </w:r>
      <w:r w:rsidR="00850628">
        <w:rPr>
          <w:rFonts w:asciiTheme="majorHAnsi" w:hAnsiTheme="majorHAnsi" w:cstheme="majorHAnsi"/>
          <w:sz w:val="22"/>
          <w:szCs w:val="22"/>
        </w:rPr>
        <w:t>p</w:t>
      </w:r>
      <w:r w:rsidRPr="00A019FF">
        <w:rPr>
          <w:rFonts w:asciiTheme="majorHAnsi" w:hAnsiTheme="majorHAnsi" w:cstheme="majorHAnsi"/>
          <w:sz w:val="22"/>
          <w:szCs w:val="22"/>
        </w:rPr>
        <w:t>athological response</w:t>
      </w:r>
      <w:r w:rsidR="00FC5197">
        <w:rPr>
          <w:rFonts w:asciiTheme="majorHAnsi" w:hAnsiTheme="majorHAnsi" w:cstheme="majorHAnsi"/>
          <w:sz w:val="22"/>
          <w:szCs w:val="22"/>
        </w:rPr>
        <w:t xml:space="preserve"> rates in lymph nodes and the primary </w:t>
      </w:r>
      <w:proofErr w:type="spellStart"/>
      <w:r w:rsidR="0019785E">
        <w:rPr>
          <w:rFonts w:asciiTheme="majorHAnsi" w:hAnsiTheme="majorHAnsi" w:cstheme="majorHAnsi"/>
          <w:sz w:val="22"/>
          <w:szCs w:val="22"/>
        </w:rPr>
        <w:t>tumor</w:t>
      </w:r>
      <w:proofErr w:type="spellEnd"/>
      <w:r w:rsidR="00FC5197">
        <w:rPr>
          <w:rFonts w:asciiTheme="majorHAnsi" w:hAnsiTheme="majorHAnsi" w:cstheme="majorHAnsi"/>
          <w:sz w:val="22"/>
          <w:szCs w:val="22"/>
        </w:rPr>
        <w:t xml:space="preserve"> for</w:t>
      </w:r>
      <w:r w:rsidRPr="00A019FF">
        <w:rPr>
          <w:rFonts w:asciiTheme="majorHAnsi" w:hAnsiTheme="majorHAnsi" w:cstheme="majorHAnsi"/>
          <w:sz w:val="22"/>
          <w:szCs w:val="22"/>
        </w:rPr>
        <w:t xml:space="preserve"> </w:t>
      </w:r>
      <w:r w:rsidR="00FC5197">
        <w:rPr>
          <w:rFonts w:asciiTheme="majorHAnsi" w:hAnsiTheme="majorHAnsi" w:cstheme="majorHAnsi"/>
          <w:sz w:val="22"/>
          <w:szCs w:val="22"/>
        </w:rPr>
        <w:t xml:space="preserve">different </w:t>
      </w:r>
      <w:r w:rsidRPr="00A019FF">
        <w:rPr>
          <w:rFonts w:asciiTheme="majorHAnsi" w:hAnsiTheme="majorHAnsi" w:cstheme="majorHAnsi"/>
          <w:sz w:val="22"/>
          <w:szCs w:val="22"/>
        </w:rPr>
        <w:t>neoadjuvant chemotherapy regimen</w:t>
      </w:r>
      <w:r w:rsidR="00FC5197">
        <w:rPr>
          <w:rFonts w:asciiTheme="majorHAnsi" w:hAnsiTheme="majorHAnsi" w:cstheme="majorHAnsi"/>
          <w:sz w:val="22"/>
          <w:szCs w:val="22"/>
        </w:rPr>
        <w:t>s</w:t>
      </w:r>
      <w:r w:rsidRPr="00A019FF">
        <w:rPr>
          <w:rFonts w:asciiTheme="majorHAnsi" w:hAnsiTheme="majorHAnsi" w:cstheme="majorHAnsi"/>
          <w:sz w:val="22"/>
          <w:szCs w:val="22"/>
        </w:rPr>
        <w:t xml:space="preserve"> in patients having undergone resection for </w:t>
      </w:r>
      <w:proofErr w:type="spellStart"/>
      <w:r w:rsidR="0019785E">
        <w:rPr>
          <w:rFonts w:asciiTheme="majorHAnsi" w:hAnsiTheme="majorHAnsi" w:cstheme="majorHAnsi"/>
          <w:sz w:val="22"/>
          <w:szCs w:val="22"/>
        </w:rPr>
        <w:t>esophageal</w:t>
      </w:r>
      <w:proofErr w:type="spellEnd"/>
      <w:r w:rsidRPr="00A019FF">
        <w:rPr>
          <w:rFonts w:asciiTheme="majorHAnsi" w:hAnsiTheme="majorHAnsi" w:cstheme="majorHAnsi"/>
          <w:sz w:val="22"/>
          <w:szCs w:val="22"/>
        </w:rPr>
        <w:t xml:space="preserve"> adenocarcinoma.</w:t>
      </w:r>
    </w:p>
    <w:tbl>
      <w:tblPr>
        <w:tblStyle w:val="TableGrid"/>
        <w:tblW w:w="1148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2693"/>
        <w:gridCol w:w="1559"/>
        <w:gridCol w:w="1276"/>
        <w:gridCol w:w="1559"/>
        <w:gridCol w:w="1134"/>
        <w:gridCol w:w="1701"/>
      </w:tblGrid>
      <w:tr w:rsidR="00FC5197" w:rsidRPr="00A019FF" w14:paraId="5894E5D5" w14:textId="77777777" w:rsidTr="00850628">
        <w:trPr>
          <w:trHeight w:val="872"/>
          <w:jc w:val="center"/>
        </w:trPr>
        <w:tc>
          <w:tcPr>
            <w:tcW w:w="1560" w:type="dxa"/>
            <w:shd w:val="clear" w:color="auto" w:fill="D9D9D9" w:themeFill="background1" w:themeFillShade="D9"/>
          </w:tcPr>
          <w:p w14:paraId="795F3012" w14:textId="77777777" w:rsidR="00FC5197" w:rsidRPr="00A019FF" w:rsidRDefault="00FC5197" w:rsidP="001F2750">
            <w:pPr>
              <w:spacing w:line="480" w:lineRule="auto"/>
              <w:jc w:val="center"/>
              <w:rPr>
                <w:rFonts w:asciiTheme="majorHAnsi" w:hAnsiTheme="majorHAnsi" w:cs="Arial"/>
                <w:sz w:val="20"/>
                <w:szCs w:val="20"/>
              </w:rPr>
            </w:pPr>
          </w:p>
        </w:tc>
        <w:tc>
          <w:tcPr>
            <w:tcW w:w="2693" w:type="dxa"/>
            <w:tcBorders>
              <w:bottom w:val="single" w:sz="4" w:space="0" w:color="auto"/>
            </w:tcBorders>
            <w:shd w:val="clear" w:color="auto" w:fill="D9D9D9" w:themeFill="background1" w:themeFillShade="D9"/>
          </w:tcPr>
          <w:p w14:paraId="53C42909" w14:textId="77777777" w:rsidR="00FC5197" w:rsidRPr="00A019FF" w:rsidRDefault="00FC5197" w:rsidP="001F2750">
            <w:pPr>
              <w:spacing w:line="480" w:lineRule="auto"/>
              <w:jc w:val="center"/>
              <w:rPr>
                <w:rFonts w:asciiTheme="majorHAnsi" w:hAnsiTheme="majorHAnsi" w:cs="Arial"/>
                <w:b/>
                <w:bCs/>
                <w:sz w:val="20"/>
                <w:szCs w:val="20"/>
              </w:rPr>
            </w:pPr>
          </w:p>
        </w:tc>
        <w:tc>
          <w:tcPr>
            <w:tcW w:w="1559" w:type="dxa"/>
            <w:tcBorders>
              <w:bottom w:val="single" w:sz="4" w:space="0" w:color="auto"/>
            </w:tcBorders>
            <w:shd w:val="clear" w:color="auto" w:fill="D9D9D9" w:themeFill="background1" w:themeFillShade="D9"/>
            <w:vAlign w:val="center"/>
          </w:tcPr>
          <w:p w14:paraId="276719E9" w14:textId="11A85C0D" w:rsidR="00FC5197" w:rsidRPr="00A019FF" w:rsidRDefault="00850628" w:rsidP="001F2750">
            <w:pPr>
              <w:spacing w:line="480" w:lineRule="auto"/>
              <w:jc w:val="center"/>
              <w:rPr>
                <w:rFonts w:asciiTheme="majorHAnsi" w:hAnsiTheme="majorHAnsi" w:cs="Arial"/>
                <w:sz w:val="20"/>
                <w:szCs w:val="20"/>
                <w:vertAlign w:val="superscript"/>
              </w:rPr>
            </w:pPr>
            <w:r>
              <w:rPr>
                <w:rFonts w:asciiTheme="majorHAnsi" w:hAnsiTheme="majorHAnsi" w:cs="Arial"/>
                <w:b/>
                <w:bCs/>
                <w:sz w:val="20"/>
                <w:szCs w:val="20"/>
              </w:rPr>
              <w:t>OEO2</w:t>
            </w:r>
            <w:r w:rsidR="00FC5197" w:rsidRPr="00A019FF">
              <w:rPr>
                <w:rFonts w:asciiTheme="majorHAnsi" w:hAnsiTheme="majorHAnsi" w:cs="Arial"/>
                <w:b/>
                <w:bCs/>
                <w:sz w:val="20"/>
                <w:szCs w:val="20"/>
                <w:vertAlign w:val="superscript"/>
              </w:rPr>
              <w:t xml:space="preserve"> </w:t>
            </w:r>
            <w:r w:rsidR="00FC5197" w:rsidRPr="00A019FF">
              <w:rPr>
                <w:rFonts w:asciiTheme="majorHAnsi" w:hAnsiTheme="majorHAnsi" w:cs="Arial"/>
                <w:sz w:val="20"/>
                <w:szCs w:val="20"/>
                <w:vertAlign w:val="superscript"/>
              </w:rPr>
              <w:t>a</w:t>
            </w:r>
          </w:p>
          <w:p w14:paraId="3959B8BE" w14:textId="77777777" w:rsidR="00FC5197" w:rsidRPr="00A019FF" w:rsidRDefault="00FC5197" w:rsidP="001F2750">
            <w:pPr>
              <w:spacing w:line="480" w:lineRule="auto"/>
              <w:jc w:val="center"/>
              <w:rPr>
                <w:rFonts w:asciiTheme="majorHAnsi" w:hAnsiTheme="majorHAnsi" w:cs="Arial"/>
                <w:i/>
                <w:iCs/>
                <w:sz w:val="20"/>
                <w:szCs w:val="20"/>
              </w:rPr>
            </w:pPr>
            <w:r w:rsidRPr="00A019FF">
              <w:rPr>
                <w:rFonts w:asciiTheme="majorHAnsi" w:hAnsiTheme="majorHAnsi" w:cs="Arial"/>
                <w:i/>
                <w:iCs/>
                <w:sz w:val="20"/>
                <w:szCs w:val="20"/>
              </w:rPr>
              <w:t>n=66</w:t>
            </w:r>
          </w:p>
        </w:tc>
        <w:tc>
          <w:tcPr>
            <w:tcW w:w="1276" w:type="dxa"/>
            <w:tcBorders>
              <w:bottom w:val="single" w:sz="4" w:space="0" w:color="auto"/>
            </w:tcBorders>
            <w:shd w:val="clear" w:color="auto" w:fill="D9D9D9" w:themeFill="background1" w:themeFillShade="D9"/>
            <w:vAlign w:val="center"/>
          </w:tcPr>
          <w:p w14:paraId="4211143C" w14:textId="02E029CE" w:rsidR="00FC5197" w:rsidRPr="00A019FF" w:rsidRDefault="00850628" w:rsidP="001F2750">
            <w:pPr>
              <w:spacing w:line="480" w:lineRule="auto"/>
              <w:jc w:val="center"/>
              <w:rPr>
                <w:rFonts w:asciiTheme="majorHAnsi" w:hAnsiTheme="majorHAnsi" w:cs="Arial"/>
                <w:sz w:val="20"/>
                <w:szCs w:val="20"/>
                <w:vertAlign w:val="superscript"/>
              </w:rPr>
            </w:pPr>
            <w:r>
              <w:rPr>
                <w:rFonts w:asciiTheme="majorHAnsi" w:hAnsiTheme="majorHAnsi" w:cs="Arial"/>
                <w:b/>
                <w:bCs/>
                <w:sz w:val="20"/>
                <w:szCs w:val="20"/>
              </w:rPr>
              <w:t xml:space="preserve">MAGIC </w:t>
            </w:r>
            <w:r w:rsidR="00FC5197" w:rsidRPr="00A019FF">
              <w:rPr>
                <w:rFonts w:asciiTheme="majorHAnsi" w:hAnsiTheme="majorHAnsi" w:cs="Arial"/>
                <w:b/>
                <w:bCs/>
                <w:sz w:val="20"/>
                <w:szCs w:val="20"/>
              </w:rPr>
              <w:t xml:space="preserve"> </w:t>
            </w:r>
            <w:r w:rsidR="00FC5197" w:rsidRPr="00A019FF">
              <w:rPr>
                <w:rFonts w:asciiTheme="majorHAnsi" w:hAnsiTheme="majorHAnsi" w:cs="Arial"/>
                <w:sz w:val="20"/>
                <w:szCs w:val="20"/>
                <w:vertAlign w:val="superscript"/>
              </w:rPr>
              <w:t>b</w:t>
            </w:r>
          </w:p>
          <w:p w14:paraId="24421904" w14:textId="77777777" w:rsidR="00FC5197" w:rsidRPr="00A019FF" w:rsidRDefault="00FC5197" w:rsidP="001F2750">
            <w:pPr>
              <w:spacing w:line="480" w:lineRule="auto"/>
              <w:jc w:val="center"/>
              <w:rPr>
                <w:rFonts w:asciiTheme="majorHAnsi" w:hAnsiTheme="majorHAnsi" w:cs="Arial"/>
                <w:i/>
                <w:iCs/>
                <w:sz w:val="20"/>
                <w:szCs w:val="20"/>
              </w:rPr>
            </w:pPr>
            <w:r w:rsidRPr="00A019FF">
              <w:rPr>
                <w:rFonts w:asciiTheme="majorHAnsi" w:hAnsiTheme="majorHAnsi" w:cs="Arial"/>
                <w:i/>
                <w:iCs/>
                <w:sz w:val="20"/>
                <w:szCs w:val="20"/>
              </w:rPr>
              <w:t>n=595</w:t>
            </w:r>
          </w:p>
        </w:tc>
        <w:tc>
          <w:tcPr>
            <w:tcW w:w="1559" w:type="dxa"/>
            <w:tcBorders>
              <w:bottom w:val="single" w:sz="4" w:space="0" w:color="auto"/>
            </w:tcBorders>
            <w:shd w:val="clear" w:color="auto" w:fill="D9D9D9" w:themeFill="background1" w:themeFillShade="D9"/>
            <w:vAlign w:val="center"/>
          </w:tcPr>
          <w:p w14:paraId="16C6726A" w14:textId="77777777" w:rsidR="00FC5197" w:rsidRPr="00A019FF" w:rsidRDefault="00FC5197" w:rsidP="001F2750">
            <w:pPr>
              <w:spacing w:line="480" w:lineRule="auto"/>
              <w:jc w:val="center"/>
              <w:rPr>
                <w:rFonts w:asciiTheme="majorHAnsi" w:hAnsiTheme="majorHAnsi" w:cs="Arial"/>
                <w:sz w:val="20"/>
                <w:szCs w:val="20"/>
                <w:vertAlign w:val="superscript"/>
              </w:rPr>
            </w:pPr>
            <w:r w:rsidRPr="00A019FF">
              <w:rPr>
                <w:rFonts w:asciiTheme="majorHAnsi" w:hAnsiTheme="majorHAnsi" w:cs="Arial"/>
                <w:b/>
                <w:bCs/>
                <w:sz w:val="20"/>
                <w:szCs w:val="20"/>
              </w:rPr>
              <w:t xml:space="preserve">FLOT </w:t>
            </w:r>
            <w:r w:rsidRPr="00A019FF">
              <w:rPr>
                <w:rFonts w:asciiTheme="majorHAnsi" w:hAnsiTheme="majorHAnsi" w:cs="Arial"/>
                <w:sz w:val="20"/>
                <w:szCs w:val="20"/>
                <w:vertAlign w:val="superscript"/>
              </w:rPr>
              <w:t>c</w:t>
            </w:r>
          </w:p>
          <w:p w14:paraId="56201CAE" w14:textId="77777777" w:rsidR="00FC5197" w:rsidRPr="00A019FF" w:rsidRDefault="00FC5197" w:rsidP="001F2750">
            <w:pPr>
              <w:spacing w:line="480" w:lineRule="auto"/>
              <w:jc w:val="center"/>
              <w:rPr>
                <w:rFonts w:asciiTheme="majorHAnsi" w:hAnsiTheme="majorHAnsi" w:cs="Arial"/>
                <w:b/>
                <w:bCs/>
                <w:sz w:val="20"/>
                <w:szCs w:val="20"/>
              </w:rPr>
            </w:pPr>
            <w:r w:rsidRPr="00A019FF">
              <w:rPr>
                <w:rFonts w:asciiTheme="majorHAnsi" w:hAnsiTheme="majorHAnsi" w:cs="Arial"/>
                <w:i/>
                <w:iCs/>
                <w:sz w:val="20"/>
                <w:szCs w:val="20"/>
              </w:rPr>
              <w:t>n=89</w:t>
            </w:r>
          </w:p>
        </w:tc>
        <w:tc>
          <w:tcPr>
            <w:tcW w:w="1134" w:type="dxa"/>
            <w:tcBorders>
              <w:bottom w:val="single" w:sz="4" w:space="0" w:color="auto"/>
            </w:tcBorders>
            <w:shd w:val="clear" w:color="auto" w:fill="D9D9D9" w:themeFill="background1" w:themeFillShade="D9"/>
            <w:vAlign w:val="center"/>
          </w:tcPr>
          <w:p w14:paraId="28F926B0" w14:textId="77777777" w:rsidR="00FC5197" w:rsidRPr="00A019FF" w:rsidRDefault="00FC5197" w:rsidP="001F2750">
            <w:pPr>
              <w:spacing w:line="480" w:lineRule="auto"/>
              <w:jc w:val="center"/>
              <w:rPr>
                <w:rFonts w:asciiTheme="majorHAnsi" w:hAnsiTheme="majorHAnsi" w:cs="Arial"/>
                <w:b/>
                <w:bCs/>
                <w:sz w:val="20"/>
                <w:szCs w:val="20"/>
              </w:rPr>
            </w:pPr>
            <w:r w:rsidRPr="00A019FF">
              <w:rPr>
                <w:rFonts w:asciiTheme="majorHAnsi" w:hAnsiTheme="majorHAnsi" w:cs="Arial"/>
                <w:b/>
                <w:bCs/>
                <w:sz w:val="20"/>
                <w:szCs w:val="20"/>
              </w:rPr>
              <w:t>Other</w:t>
            </w:r>
          </w:p>
          <w:p w14:paraId="794E01DB" w14:textId="77777777" w:rsidR="00FC5197" w:rsidRPr="00A019FF" w:rsidRDefault="00FC5197" w:rsidP="001F2750">
            <w:pPr>
              <w:spacing w:line="480" w:lineRule="auto"/>
              <w:jc w:val="center"/>
              <w:rPr>
                <w:rFonts w:asciiTheme="majorHAnsi" w:hAnsiTheme="majorHAnsi" w:cs="Arial"/>
                <w:b/>
                <w:bCs/>
                <w:sz w:val="20"/>
                <w:szCs w:val="20"/>
                <w:vertAlign w:val="superscript"/>
              </w:rPr>
            </w:pPr>
            <w:r w:rsidRPr="00A019FF">
              <w:rPr>
                <w:rFonts w:asciiTheme="majorHAnsi" w:hAnsiTheme="majorHAnsi" w:cs="Arial"/>
                <w:i/>
                <w:iCs/>
                <w:sz w:val="20"/>
                <w:szCs w:val="20"/>
              </w:rPr>
              <w:t>n=13</w:t>
            </w:r>
          </w:p>
        </w:tc>
        <w:tc>
          <w:tcPr>
            <w:tcW w:w="1701" w:type="dxa"/>
            <w:tcBorders>
              <w:bottom w:val="single" w:sz="4" w:space="0" w:color="auto"/>
            </w:tcBorders>
            <w:shd w:val="clear" w:color="auto" w:fill="D9D9D9" w:themeFill="background1" w:themeFillShade="D9"/>
            <w:vAlign w:val="center"/>
          </w:tcPr>
          <w:p w14:paraId="40AA192F" w14:textId="77777777" w:rsidR="00FC5197" w:rsidRPr="00A019FF" w:rsidRDefault="00FC5197" w:rsidP="001F2750">
            <w:pPr>
              <w:spacing w:line="480" w:lineRule="auto"/>
              <w:jc w:val="center"/>
              <w:rPr>
                <w:rFonts w:asciiTheme="majorHAnsi" w:hAnsiTheme="majorHAnsi" w:cs="Arial"/>
                <w:i/>
                <w:iCs/>
                <w:sz w:val="20"/>
                <w:szCs w:val="20"/>
              </w:rPr>
            </w:pPr>
            <w:r w:rsidRPr="00A019FF">
              <w:rPr>
                <w:rFonts w:asciiTheme="majorHAnsi" w:hAnsiTheme="majorHAnsi" w:cs="Arial"/>
                <w:i/>
                <w:iCs/>
                <w:sz w:val="20"/>
                <w:szCs w:val="20"/>
              </w:rPr>
              <w:t>p-value</w:t>
            </w:r>
          </w:p>
        </w:tc>
      </w:tr>
      <w:tr w:rsidR="00850628" w:rsidRPr="00A019FF" w14:paraId="0DE6C5E5" w14:textId="77777777" w:rsidTr="00850628">
        <w:trPr>
          <w:trHeight w:val="83"/>
          <w:jc w:val="center"/>
        </w:trPr>
        <w:tc>
          <w:tcPr>
            <w:tcW w:w="1560" w:type="dxa"/>
            <w:vMerge w:val="restart"/>
            <w:shd w:val="clear" w:color="auto" w:fill="auto"/>
            <w:vAlign w:val="center"/>
          </w:tcPr>
          <w:p w14:paraId="33FCBA74" w14:textId="3927E790" w:rsidR="00850628" w:rsidRPr="00852A20" w:rsidRDefault="00850628" w:rsidP="00850628">
            <w:pPr>
              <w:spacing w:line="480" w:lineRule="auto"/>
              <w:jc w:val="center"/>
              <w:rPr>
                <w:rFonts w:asciiTheme="majorHAnsi" w:hAnsiTheme="majorHAnsi" w:cs="Arial"/>
                <w:b/>
                <w:bCs/>
                <w:sz w:val="20"/>
                <w:szCs w:val="20"/>
              </w:rPr>
            </w:pPr>
            <w:r w:rsidRPr="00852A20">
              <w:rPr>
                <w:rFonts w:asciiTheme="majorHAnsi" w:hAnsiTheme="majorHAnsi" w:cs="Arial"/>
                <w:b/>
                <w:bCs/>
                <w:sz w:val="20"/>
                <w:szCs w:val="20"/>
              </w:rPr>
              <w:t xml:space="preserve">Number of </w:t>
            </w:r>
            <w:r w:rsidR="00345D6C">
              <w:rPr>
                <w:rFonts w:asciiTheme="majorHAnsi" w:hAnsiTheme="majorHAnsi" w:cs="Arial"/>
                <w:b/>
                <w:bCs/>
                <w:sz w:val="20"/>
                <w:szCs w:val="20"/>
              </w:rPr>
              <w:t xml:space="preserve">chemotherapy </w:t>
            </w:r>
            <w:r w:rsidRPr="00852A20">
              <w:rPr>
                <w:rFonts w:asciiTheme="majorHAnsi" w:hAnsiTheme="majorHAnsi" w:cs="Arial"/>
                <w:b/>
                <w:bCs/>
                <w:sz w:val="20"/>
                <w:szCs w:val="20"/>
              </w:rPr>
              <w:t>cycles</w:t>
            </w:r>
          </w:p>
        </w:tc>
        <w:tc>
          <w:tcPr>
            <w:tcW w:w="2693" w:type="dxa"/>
            <w:tcBorders>
              <w:bottom w:val="nil"/>
            </w:tcBorders>
            <w:shd w:val="clear" w:color="auto" w:fill="auto"/>
            <w:vAlign w:val="center"/>
          </w:tcPr>
          <w:p w14:paraId="0189B5B5" w14:textId="22F7C6C1" w:rsidR="00850628" w:rsidRPr="00850628" w:rsidRDefault="00850628" w:rsidP="00850628">
            <w:pPr>
              <w:spacing w:line="480" w:lineRule="auto"/>
              <w:jc w:val="center"/>
              <w:rPr>
                <w:rFonts w:asciiTheme="majorHAnsi" w:hAnsiTheme="majorHAnsi" w:cs="Arial"/>
                <w:sz w:val="20"/>
                <w:szCs w:val="20"/>
              </w:rPr>
            </w:pPr>
            <w:r w:rsidRPr="00850628">
              <w:rPr>
                <w:rFonts w:asciiTheme="majorHAnsi" w:hAnsiTheme="majorHAnsi" w:cs="Arial"/>
                <w:sz w:val="20"/>
                <w:szCs w:val="20"/>
              </w:rPr>
              <w:t>1</w:t>
            </w:r>
            <w:r>
              <w:rPr>
                <w:rFonts w:asciiTheme="majorHAnsi" w:hAnsiTheme="majorHAnsi" w:cs="Arial"/>
                <w:sz w:val="20"/>
                <w:szCs w:val="20"/>
              </w:rPr>
              <w:t xml:space="preserve"> cycle</w:t>
            </w:r>
          </w:p>
        </w:tc>
        <w:tc>
          <w:tcPr>
            <w:tcW w:w="1559" w:type="dxa"/>
            <w:tcBorders>
              <w:bottom w:val="nil"/>
            </w:tcBorders>
            <w:shd w:val="clear" w:color="auto" w:fill="auto"/>
            <w:vAlign w:val="center"/>
          </w:tcPr>
          <w:p w14:paraId="1B0C91C2" w14:textId="5A0D8A49"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2 (3.0%)</w:t>
            </w:r>
          </w:p>
        </w:tc>
        <w:tc>
          <w:tcPr>
            <w:tcW w:w="1276" w:type="dxa"/>
            <w:tcBorders>
              <w:bottom w:val="nil"/>
            </w:tcBorders>
            <w:shd w:val="clear" w:color="auto" w:fill="auto"/>
            <w:vAlign w:val="center"/>
          </w:tcPr>
          <w:p w14:paraId="4C409160" w14:textId="455563C3"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8 (1.3%)</w:t>
            </w:r>
          </w:p>
        </w:tc>
        <w:tc>
          <w:tcPr>
            <w:tcW w:w="1559" w:type="dxa"/>
            <w:tcBorders>
              <w:bottom w:val="nil"/>
            </w:tcBorders>
            <w:shd w:val="clear" w:color="auto" w:fill="auto"/>
            <w:vAlign w:val="center"/>
          </w:tcPr>
          <w:p w14:paraId="6415E34E" w14:textId="505721AB"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0 (0%)</w:t>
            </w:r>
          </w:p>
        </w:tc>
        <w:tc>
          <w:tcPr>
            <w:tcW w:w="1134" w:type="dxa"/>
            <w:tcBorders>
              <w:bottom w:val="nil"/>
            </w:tcBorders>
            <w:shd w:val="clear" w:color="auto" w:fill="auto"/>
            <w:vAlign w:val="center"/>
          </w:tcPr>
          <w:p w14:paraId="36BE1E2C" w14:textId="7F6CCDF9"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0 (0%)</w:t>
            </w:r>
          </w:p>
        </w:tc>
        <w:tc>
          <w:tcPr>
            <w:tcW w:w="1701" w:type="dxa"/>
            <w:vMerge w:val="restart"/>
            <w:shd w:val="clear" w:color="auto" w:fill="auto"/>
            <w:vAlign w:val="center"/>
          </w:tcPr>
          <w:p w14:paraId="36985AF9" w14:textId="5D673819" w:rsidR="00850628" w:rsidRPr="00850628" w:rsidRDefault="00850628" w:rsidP="00850628">
            <w:pPr>
              <w:spacing w:line="480" w:lineRule="auto"/>
              <w:jc w:val="center"/>
              <w:rPr>
                <w:rFonts w:asciiTheme="majorHAnsi" w:hAnsiTheme="majorHAnsi" w:cs="Arial"/>
                <w:b/>
                <w:bCs/>
                <w:i/>
                <w:iCs/>
                <w:color w:val="FF0000"/>
                <w:sz w:val="20"/>
              </w:rPr>
            </w:pPr>
            <w:r w:rsidRPr="006C0D6D">
              <w:rPr>
                <w:rFonts w:asciiTheme="majorHAnsi" w:hAnsiTheme="majorHAnsi" w:cs="Arial"/>
                <w:b/>
                <w:bCs/>
                <w:i/>
                <w:iCs/>
                <w:color w:val="FF0000"/>
                <w:sz w:val="20"/>
              </w:rPr>
              <w:t>p&lt;0.001</w:t>
            </w:r>
          </w:p>
        </w:tc>
      </w:tr>
      <w:tr w:rsidR="00850628" w:rsidRPr="00A019FF" w14:paraId="01560373" w14:textId="77777777" w:rsidTr="00850628">
        <w:trPr>
          <w:trHeight w:val="83"/>
          <w:jc w:val="center"/>
        </w:trPr>
        <w:tc>
          <w:tcPr>
            <w:tcW w:w="1560" w:type="dxa"/>
            <w:vMerge/>
            <w:shd w:val="clear" w:color="auto" w:fill="auto"/>
            <w:vAlign w:val="center"/>
          </w:tcPr>
          <w:p w14:paraId="7BAA36DF" w14:textId="77777777" w:rsidR="00850628" w:rsidRDefault="00850628" w:rsidP="00850628">
            <w:pPr>
              <w:spacing w:line="480" w:lineRule="auto"/>
              <w:jc w:val="center"/>
              <w:rPr>
                <w:rFonts w:asciiTheme="majorHAnsi" w:hAnsiTheme="majorHAnsi" w:cs="Arial"/>
                <w:sz w:val="20"/>
                <w:szCs w:val="20"/>
              </w:rPr>
            </w:pPr>
          </w:p>
        </w:tc>
        <w:tc>
          <w:tcPr>
            <w:tcW w:w="2693" w:type="dxa"/>
            <w:tcBorders>
              <w:top w:val="nil"/>
              <w:bottom w:val="nil"/>
            </w:tcBorders>
            <w:shd w:val="clear" w:color="auto" w:fill="auto"/>
            <w:vAlign w:val="center"/>
          </w:tcPr>
          <w:p w14:paraId="4C08088A" w14:textId="2B4FE335"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2 cycles</w:t>
            </w:r>
          </w:p>
        </w:tc>
        <w:tc>
          <w:tcPr>
            <w:tcW w:w="1559" w:type="dxa"/>
            <w:tcBorders>
              <w:top w:val="nil"/>
              <w:bottom w:val="nil"/>
            </w:tcBorders>
            <w:shd w:val="clear" w:color="auto" w:fill="auto"/>
            <w:vAlign w:val="center"/>
          </w:tcPr>
          <w:p w14:paraId="6B3C75F7" w14:textId="7706D37C"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52 (78.8%)</w:t>
            </w:r>
          </w:p>
        </w:tc>
        <w:tc>
          <w:tcPr>
            <w:tcW w:w="1276" w:type="dxa"/>
            <w:tcBorders>
              <w:top w:val="nil"/>
              <w:bottom w:val="nil"/>
            </w:tcBorders>
            <w:shd w:val="clear" w:color="auto" w:fill="auto"/>
            <w:vAlign w:val="center"/>
          </w:tcPr>
          <w:p w14:paraId="09866AC9" w14:textId="13DE9C62"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31 (5.2%)</w:t>
            </w:r>
          </w:p>
        </w:tc>
        <w:tc>
          <w:tcPr>
            <w:tcW w:w="1559" w:type="dxa"/>
            <w:tcBorders>
              <w:top w:val="nil"/>
              <w:bottom w:val="nil"/>
            </w:tcBorders>
            <w:shd w:val="clear" w:color="auto" w:fill="auto"/>
            <w:vAlign w:val="center"/>
          </w:tcPr>
          <w:p w14:paraId="04BB63C9" w14:textId="6B5EC53D"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0 (0%)</w:t>
            </w:r>
          </w:p>
        </w:tc>
        <w:tc>
          <w:tcPr>
            <w:tcW w:w="1134" w:type="dxa"/>
            <w:tcBorders>
              <w:top w:val="nil"/>
              <w:bottom w:val="nil"/>
            </w:tcBorders>
            <w:shd w:val="clear" w:color="auto" w:fill="auto"/>
            <w:vAlign w:val="center"/>
          </w:tcPr>
          <w:p w14:paraId="23EFC36E" w14:textId="3B2EE5B6"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0 (0%)</w:t>
            </w:r>
          </w:p>
        </w:tc>
        <w:tc>
          <w:tcPr>
            <w:tcW w:w="1701" w:type="dxa"/>
            <w:vMerge/>
            <w:shd w:val="clear" w:color="auto" w:fill="auto"/>
            <w:vAlign w:val="center"/>
          </w:tcPr>
          <w:p w14:paraId="40290949" w14:textId="77777777" w:rsidR="00850628" w:rsidRPr="00A019FF" w:rsidRDefault="00850628" w:rsidP="00850628">
            <w:pPr>
              <w:spacing w:line="480" w:lineRule="auto"/>
              <w:jc w:val="center"/>
              <w:rPr>
                <w:rFonts w:asciiTheme="majorHAnsi" w:hAnsiTheme="majorHAnsi" w:cs="Arial"/>
                <w:i/>
                <w:iCs/>
                <w:sz w:val="20"/>
                <w:szCs w:val="20"/>
              </w:rPr>
            </w:pPr>
          </w:p>
        </w:tc>
      </w:tr>
      <w:tr w:rsidR="00850628" w:rsidRPr="00A019FF" w14:paraId="07E9AA35" w14:textId="77777777" w:rsidTr="00850628">
        <w:trPr>
          <w:trHeight w:val="83"/>
          <w:jc w:val="center"/>
        </w:trPr>
        <w:tc>
          <w:tcPr>
            <w:tcW w:w="1560" w:type="dxa"/>
            <w:vMerge/>
            <w:shd w:val="clear" w:color="auto" w:fill="auto"/>
            <w:vAlign w:val="center"/>
          </w:tcPr>
          <w:p w14:paraId="0087501E" w14:textId="77777777" w:rsidR="00850628" w:rsidRDefault="00850628" w:rsidP="00850628">
            <w:pPr>
              <w:spacing w:line="480" w:lineRule="auto"/>
              <w:jc w:val="center"/>
              <w:rPr>
                <w:rFonts w:asciiTheme="majorHAnsi" w:hAnsiTheme="majorHAnsi" w:cs="Arial"/>
                <w:sz w:val="20"/>
                <w:szCs w:val="20"/>
              </w:rPr>
            </w:pPr>
          </w:p>
        </w:tc>
        <w:tc>
          <w:tcPr>
            <w:tcW w:w="2693" w:type="dxa"/>
            <w:tcBorders>
              <w:top w:val="nil"/>
              <w:bottom w:val="nil"/>
            </w:tcBorders>
            <w:shd w:val="clear" w:color="auto" w:fill="auto"/>
            <w:vAlign w:val="center"/>
          </w:tcPr>
          <w:p w14:paraId="62194CA3" w14:textId="4F54D1FA"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3 cycles</w:t>
            </w:r>
          </w:p>
        </w:tc>
        <w:tc>
          <w:tcPr>
            <w:tcW w:w="1559" w:type="dxa"/>
            <w:tcBorders>
              <w:top w:val="nil"/>
              <w:bottom w:val="nil"/>
            </w:tcBorders>
            <w:shd w:val="clear" w:color="auto" w:fill="auto"/>
            <w:vAlign w:val="center"/>
          </w:tcPr>
          <w:p w14:paraId="7F9DFCD4" w14:textId="69AB025C"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8 (12.1%)</w:t>
            </w:r>
          </w:p>
        </w:tc>
        <w:tc>
          <w:tcPr>
            <w:tcW w:w="1276" w:type="dxa"/>
            <w:tcBorders>
              <w:top w:val="nil"/>
              <w:bottom w:val="nil"/>
            </w:tcBorders>
            <w:shd w:val="clear" w:color="auto" w:fill="auto"/>
            <w:vAlign w:val="center"/>
          </w:tcPr>
          <w:p w14:paraId="6AF940BB" w14:textId="6FD9F3C5" w:rsidR="00850628" w:rsidRPr="00850628" w:rsidDel="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477 (80.2%)</w:t>
            </w:r>
          </w:p>
        </w:tc>
        <w:tc>
          <w:tcPr>
            <w:tcW w:w="1559" w:type="dxa"/>
            <w:tcBorders>
              <w:top w:val="nil"/>
              <w:bottom w:val="nil"/>
            </w:tcBorders>
            <w:shd w:val="clear" w:color="auto" w:fill="auto"/>
            <w:vAlign w:val="center"/>
          </w:tcPr>
          <w:p w14:paraId="77353F8A" w14:textId="279A9B56"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1 (1.1%)</w:t>
            </w:r>
          </w:p>
        </w:tc>
        <w:tc>
          <w:tcPr>
            <w:tcW w:w="1134" w:type="dxa"/>
            <w:tcBorders>
              <w:top w:val="nil"/>
              <w:bottom w:val="nil"/>
            </w:tcBorders>
            <w:shd w:val="clear" w:color="auto" w:fill="auto"/>
            <w:vAlign w:val="center"/>
          </w:tcPr>
          <w:p w14:paraId="50D389D7" w14:textId="174FA2B2"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5 (38.5%)</w:t>
            </w:r>
          </w:p>
        </w:tc>
        <w:tc>
          <w:tcPr>
            <w:tcW w:w="1701" w:type="dxa"/>
            <w:vMerge/>
            <w:shd w:val="clear" w:color="auto" w:fill="auto"/>
            <w:vAlign w:val="center"/>
          </w:tcPr>
          <w:p w14:paraId="5E5BEEEC" w14:textId="77777777" w:rsidR="00850628" w:rsidRPr="00A019FF" w:rsidRDefault="00850628" w:rsidP="00850628">
            <w:pPr>
              <w:spacing w:line="480" w:lineRule="auto"/>
              <w:jc w:val="center"/>
              <w:rPr>
                <w:rFonts w:asciiTheme="majorHAnsi" w:hAnsiTheme="majorHAnsi" w:cs="Arial"/>
                <w:i/>
                <w:iCs/>
                <w:sz w:val="20"/>
                <w:szCs w:val="20"/>
              </w:rPr>
            </w:pPr>
          </w:p>
        </w:tc>
      </w:tr>
      <w:tr w:rsidR="00850628" w:rsidRPr="00A019FF" w14:paraId="17DB12A8" w14:textId="77777777" w:rsidTr="00850628">
        <w:trPr>
          <w:trHeight w:val="83"/>
          <w:jc w:val="center"/>
        </w:trPr>
        <w:tc>
          <w:tcPr>
            <w:tcW w:w="1560" w:type="dxa"/>
            <w:vMerge/>
            <w:shd w:val="clear" w:color="auto" w:fill="auto"/>
            <w:vAlign w:val="center"/>
          </w:tcPr>
          <w:p w14:paraId="3AFEA3FF" w14:textId="77777777" w:rsidR="00850628" w:rsidRDefault="00850628" w:rsidP="00850628">
            <w:pPr>
              <w:spacing w:line="480" w:lineRule="auto"/>
              <w:jc w:val="center"/>
              <w:rPr>
                <w:rFonts w:asciiTheme="majorHAnsi" w:hAnsiTheme="majorHAnsi" w:cs="Arial"/>
                <w:sz w:val="20"/>
                <w:szCs w:val="20"/>
              </w:rPr>
            </w:pPr>
          </w:p>
        </w:tc>
        <w:tc>
          <w:tcPr>
            <w:tcW w:w="2693" w:type="dxa"/>
            <w:tcBorders>
              <w:top w:val="nil"/>
              <w:bottom w:val="nil"/>
            </w:tcBorders>
            <w:shd w:val="clear" w:color="auto" w:fill="auto"/>
            <w:vAlign w:val="center"/>
          </w:tcPr>
          <w:p w14:paraId="55E62FDF" w14:textId="00D1B895" w:rsidR="00850628" w:rsidRDefault="00850628" w:rsidP="00850628">
            <w:pPr>
              <w:spacing w:line="480" w:lineRule="auto"/>
              <w:jc w:val="center"/>
              <w:rPr>
                <w:rFonts w:asciiTheme="majorHAnsi" w:hAnsiTheme="majorHAnsi" w:cs="Arial"/>
                <w:sz w:val="20"/>
                <w:szCs w:val="20"/>
              </w:rPr>
            </w:pPr>
            <w:r w:rsidRPr="00850628">
              <w:rPr>
                <w:rFonts w:asciiTheme="majorHAnsi" w:hAnsiTheme="majorHAnsi" w:cs="Arial"/>
                <w:sz w:val="20"/>
                <w:szCs w:val="20"/>
              </w:rPr>
              <w:t>≥</w:t>
            </w:r>
            <w:r>
              <w:rPr>
                <w:rFonts w:asciiTheme="majorHAnsi" w:hAnsiTheme="majorHAnsi" w:cs="Arial"/>
                <w:sz w:val="20"/>
                <w:szCs w:val="20"/>
              </w:rPr>
              <w:t>4 cycles</w:t>
            </w:r>
          </w:p>
        </w:tc>
        <w:tc>
          <w:tcPr>
            <w:tcW w:w="1559" w:type="dxa"/>
            <w:tcBorders>
              <w:top w:val="nil"/>
              <w:bottom w:val="nil"/>
            </w:tcBorders>
            <w:shd w:val="clear" w:color="auto" w:fill="auto"/>
            <w:vAlign w:val="center"/>
          </w:tcPr>
          <w:p w14:paraId="7AC76DBA" w14:textId="017B558E"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3 (4.5%)</w:t>
            </w:r>
          </w:p>
        </w:tc>
        <w:tc>
          <w:tcPr>
            <w:tcW w:w="1276" w:type="dxa"/>
            <w:tcBorders>
              <w:top w:val="nil"/>
              <w:bottom w:val="nil"/>
            </w:tcBorders>
            <w:shd w:val="clear" w:color="auto" w:fill="auto"/>
            <w:vAlign w:val="center"/>
          </w:tcPr>
          <w:p w14:paraId="4FC9721A" w14:textId="411C3393"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77 (12.9%)</w:t>
            </w:r>
          </w:p>
        </w:tc>
        <w:tc>
          <w:tcPr>
            <w:tcW w:w="1559" w:type="dxa"/>
            <w:tcBorders>
              <w:top w:val="nil"/>
              <w:bottom w:val="nil"/>
            </w:tcBorders>
            <w:shd w:val="clear" w:color="auto" w:fill="auto"/>
            <w:vAlign w:val="center"/>
          </w:tcPr>
          <w:p w14:paraId="7E2B4142" w14:textId="3BEA2BD6"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88 (98.9%)</w:t>
            </w:r>
          </w:p>
        </w:tc>
        <w:tc>
          <w:tcPr>
            <w:tcW w:w="1134" w:type="dxa"/>
            <w:tcBorders>
              <w:top w:val="nil"/>
              <w:bottom w:val="nil"/>
            </w:tcBorders>
            <w:shd w:val="clear" w:color="auto" w:fill="auto"/>
            <w:vAlign w:val="center"/>
          </w:tcPr>
          <w:p w14:paraId="5C737DCE" w14:textId="52587CF7"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3 (23.1%)</w:t>
            </w:r>
          </w:p>
        </w:tc>
        <w:tc>
          <w:tcPr>
            <w:tcW w:w="1701" w:type="dxa"/>
            <w:vMerge/>
            <w:shd w:val="clear" w:color="auto" w:fill="auto"/>
            <w:vAlign w:val="center"/>
          </w:tcPr>
          <w:p w14:paraId="55AE395A" w14:textId="77777777" w:rsidR="00850628" w:rsidRPr="00A019FF" w:rsidRDefault="00850628" w:rsidP="00850628">
            <w:pPr>
              <w:spacing w:line="480" w:lineRule="auto"/>
              <w:jc w:val="center"/>
              <w:rPr>
                <w:rFonts w:asciiTheme="majorHAnsi" w:hAnsiTheme="majorHAnsi" w:cs="Arial"/>
                <w:i/>
                <w:iCs/>
                <w:sz w:val="20"/>
                <w:szCs w:val="20"/>
              </w:rPr>
            </w:pPr>
          </w:p>
        </w:tc>
      </w:tr>
      <w:tr w:rsidR="00850628" w:rsidRPr="00A019FF" w14:paraId="421A2FBA" w14:textId="77777777" w:rsidTr="00850628">
        <w:trPr>
          <w:trHeight w:val="83"/>
          <w:jc w:val="center"/>
        </w:trPr>
        <w:tc>
          <w:tcPr>
            <w:tcW w:w="1560" w:type="dxa"/>
            <w:vMerge/>
            <w:shd w:val="clear" w:color="auto" w:fill="auto"/>
            <w:vAlign w:val="center"/>
          </w:tcPr>
          <w:p w14:paraId="16DC2053" w14:textId="77777777" w:rsidR="00850628" w:rsidRDefault="00850628" w:rsidP="00850628">
            <w:pPr>
              <w:spacing w:line="480" w:lineRule="auto"/>
              <w:jc w:val="center"/>
              <w:rPr>
                <w:rFonts w:asciiTheme="majorHAnsi" w:hAnsiTheme="majorHAnsi" w:cs="Arial"/>
                <w:sz w:val="20"/>
                <w:szCs w:val="20"/>
              </w:rPr>
            </w:pPr>
          </w:p>
        </w:tc>
        <w:tc>
          <w:tcPr>
            <w:tcW w:w="2693" w:type="dxa"/>
            <w:tcBorders>
              <w:top w:val="nil"/>
              <w:bottom w:val="single" w:sz="4" w:space="0" w:color="auto"/>
            </w:tcBorders>
            <w:shd w:val="clear" w:color="auto" w:fill="auto"/>
            <w:vAlign w:val="center"/>
          </w:tcPr>
          <w:p w14:paraId="15D0C20F" w14:textId="3F33DBC7" w:rsidR="00850628" w:rsidRP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No</w:t>
            </w:r>
            <w:r w:rsidR="00345D6C">
              <w:rPr>
                <w:rFonts w:asciiTheme="majorHAnsi" w:hAnsiTheme="majorHAnsi" w:cs="Arial"/>
                <w:sz w:val="20"/>
                <w:szCs w:val="20"/>
              </w:rPr>
              <w:t>t</w:t>
            </w:r>
            <w:r>
              <w:rPr>
                <w:rFonts w:asciiTheme="majorHAnsi" w:hAnsiTheme="majorHAnsi" w:cs="Arial"/>
                <w:sz w:val="20"/>
                <w:szCs w:val="20"/>
              </w:rPr>
              <w:t xml:space="preserve"> recorded</w:t>
            </w:r>
          </w:p>
        </w:tc>
        <w:tc>
          <w:tcPr>
            <w:tcW w:w="1559" w:type="dxa"/>
            <w:tcBorders>
              <w:top w:val="nil"/>
              <w:bottom w:val="single" w:sz="4" w:space="0" w:color="auto"/>
            </w:tcBorders>
            <w:shd w:val="clear" w:color="auto" w:fill="auto"/>
            <w:vAlign w:val="center"/>
          </w:tcPr>
          <w:p w14:paraId="04B16BE1" w14:textId="0B7D4AC3"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 xml:space="preserve">1 (1.5%) </w:t>
            </w:r>
          </w:p>
        </w:tc>
        <w:tc>
          <w:tcPr>
            <w:tcW w:w="1276" w:type="dxa"/>
            <w:tcBorders>
              <w:top w:val="nil"/>
              <w:bottom w:val="single" w:sz="4" w:space="0" w:color="auto"/>
            </w:tcBorders>
            <w:shd w:val="clear" w:color="auto" w:fill="auto"/>
            <w:vAlign w:val="center"/>
          </w:tcPr>
          <w:p w14:paraId="25845395" w14:textId="5E5729B0"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2 (0.3%)</w:t>
            </w:r>
          </w:p>
        </w:tc>
        <w:tc>
          <w:tcPr>
            <w:tcW w:w="1559" w:type="dxa"/>
            <w:tcBorders>
              <w:top w:val="nil"/>
              <w:bottom w:val="single" w:sz="4" w:space="0" w:color="auto"/>
            </w:tcBorders>
            <w:shd w:val="clear" w:color="auto" w:fill="auto"/>
            <w:vAlign w:val="center"/>
          </w:tcPr>
          <w:p w14:paraId="6087417C" w14:textId="0F6F80A2"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0 (0.0%)</w:t>
            </w:r>
          </w:p>
        </w:tc>
        <w:tc>
          <w:tcPr>
            <w:tcW w:w="1134" w:type="dxa"/>
            <w:tcBorders>
              <w:top w:val="nil"/>
              <w:bottom w:val="single" w:sz="4" w:space="0" w:color="auto"/>
            </w:tcBorders>
            <w:shd w:val="clear" w:color="auto" w:fill="auto"/>
            <w:vAlign w:val="center"/>
          </w:tcPr>
          <w:p w14:paraId="3FE82164" w14:textId="7F6E5C8C"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5 (38.5%)</w:t>
            </w:r>
          </w:p>
        </w:tc>
        <w:tc>
          <w:tcPr>
            <w:tcW w:w="1701" w:type="dxa"/>
            <w:vMerge/>
            <w:shd w:val="clear" w:color="auto" w:fill="auto"/>
            <w:vAlign w:val="center"/>
          </w:tcPr>
          <w:p w14:paraId="4755D005" w14:textId="77777777" w:rsidR="00850628" w:rsidRPr="00A019FF" w:rsidRDefault="00850628" w:rsidP="00850628">
            <w:pPr>
              <w:spacing w:line="480" w:lineRule="auto"/>
              <w:jc w:val="center"/>
              <w:rPr>
                <w:rFonts w:asciiTheme="majorHAnsi" w:hAnsiTheme="majorHAnsi" w:cs="Arial"/>
                <w:i/>
                <w:iCs/>
                <w:sz w:val="20"/>
                <w:szCs w:val="20"/>
              </w:rPr>
            </w:pPr>
          </w:p>
        </w:tc>
      </w:tr>
      <w:tr w:rsidR="00FC5197" w:rsidRPr="00A019FF" w14:paraId="10FF1EFA" w14:textId="77777777" w:rsidTr="00850628">
        <w:trPr>
          <w:trHeight w:val="577"/>
          <w:jc w:val="center"/>
        </w:trPr>
        <w:tc>
          <w:tcPr>
            <w:tcW w:w="1560" w:type="dxa"/>
            <w:vMerge w:val="restart"/>
            <w:vAlign w:val="center"/>
          </w:tcPr>
          <w:p w14:paraId="6341FA56" w14:textId="48A196BD" w:rsidR="00FC5197" w:rsidRPr="006C0D6D" w:rsidRDefault="00BA14AB" w:rsidP="001F2750">
            <w:pPr>
              <w:spacing w:line="480" w:lineRule="auto"/>
              <w:jc w:val="center"/>
              <w:rPr>
                <w:rFonts w:asciiTheme="majorHAnsi" w:hAnsiTheme="majorHAnsi" w:cs="Arial"/>
                <w:b/>
                <w:bCs/>
                <w:sz w:val="20"/>
                <w:szCs w:val="20"/>
              </w:rPr>
            </w:pPr>
            <w:r>
              <w:rPr>
                <w:rFonts w:asciiTheme="majorHAnsi" w:hAnsiTheme="majorHAnsi" w:cs="Arial"/>
                <w:b/>
                <w:bCs/>
                <w:sz w:val="20"/>
                <w:szCs w:val="20"/>
              </w:rPr>
              <w:t>Lymph node</w:t>
            </w:r>
            <w:r w:rsidR="00FC5197" w:rsidRPr="006C0D6D">
              <w:rPr>
                <w:rFonts w:asciiTheme="majorHAnsi" w:hAnsiTheme="majorHAnsi" w:cs="Arial"/>
                <w:b/>
                <w:bCs/>
                <w:sz w:val="20"/>
                <w:szCs w:val="20"/>
              </w:rPr>
              <w:t xml:space="preserve"> response</w:t>
            </w:r>
          </w:p>
        </w:tc>
        <w:tc>
          <w:tcPr>
            <w:tcW w:w="2693" w:type="dxa"/>
            <w:tcBorders>
              <w:bottom w:val="nil"/>
            </w:tcBorders>
            <w:vAlign w:val="center"/>
          </w:tcPr>
          <w:p w14:paraId="752DACE6"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Negative nodes</w:t>
            </w:r>
          </w:p>
        </w:tc>
        <w:tc>
          <w:tcPr>
            <w:tcW w:w="1559" w:type="dxa"/>
            <w:tcBorders>
              <w:bottom w:val="nil"/>
            </w:tcBorders>
            <w:vAlign w:val="center"/>
          </w:tcPr>
          <w:p w14:paraId="744EF6D4"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27 (40.9%)</w:t>
            </w:r>
          </w:p>
        </w:tc>
        <w:tc>
          <w:tcPr>
            <w:tcW w:w="1276" w:type="dxa"/>
            <w:tcBorders>
              <w:bottom w:val="nil"/>
            </w:tcBorders>
            <w:vAlign w:val="center"/>
          </w:tcPr>
          <w:p w14:paraId="146005D9"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rPr>
              <w:t>181 (30.4%)</w:t>
            </w:r>
          </w:p>
        </w:tc>
        <w:tc>
          <w:tcPr>
            <w:tcW w:w="1559" w:type="dxa"/>
            <w:tcBorders>
              <w:bottom w:val="nil"/>
            </w:tcBorders>
            <w:vAlign w:val="center"/>
          </w:tcPr>
          <w:p w14:paraId="42CD1FC9"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32 (36.0%)</w:t>
            </w:r>
          </w:p>
        </w:tc>
        <w:tc>
          <w:tcPr>
            <w:tcW w:w="1134" w:type="dxa"/>
            <w:tcBorders>
              <w:bottom w:val="nil"/>
            </w:tcBorders>
            <w:vAlign w:val="center"/>
          </w:tcPr>
          <w:p w14:paraId="52494693"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3 (23.1%)</w:t>
            </w:r>
          </w:p>
        </w:tc>
        <w:tc>
          <w:tcPr>
            <w:tcW w:w="1701" w:type="dxa"/>
            <w:vMerge w:val="restart"/>
            <w:vAlign w:val="center"/>
          </w:tcPr>
          <w:p w14:paraId="73D1207A" w14:textId="78AFFA5E" w:rsidR="00AA553F" w:rsidRPr="00AA553F" w:rsidRDefault="00FC5197" w:rsidP="00AA553F">
            <w:pPr>
              <w:spacing w:line="480" w:lineRule="auto"/>
              <w:jc w:val="center"/>
              <w:rPr>
                <w:rFonts w:asciiTheme="majorHAnsi" w:hAnsiTheme="majorHAnsi" w:cs="Arial"/>
                <w:b/>
                <w:bCs/>
                <w:i/>
                <w:iCs/>
                <w:color w:val="FF0000"/>
                <w:sz w:val="20"/>
              </w:rPr>
            </w:pPr>
            <w:r>
              <w:rPr>
                <w:rFonts w:asciiTheme="majorHAnsi" w:hAnsiTheme="majorHAnsi" w:cs="Arial"/>
                <w:b/>
                <w:bCs/>
                <w:i/>
                <w:iCs/>
                <w:color w:val="FF0000"/>
                <w:sz w:val="20"/>
              </w:rPr>
              <w:t>p=</w:t>
            </w:r>
            <w:r w:rsidRPr="00A019FF">
              <w:rPr>
                <w:rFonts w:asciiTheme="majorHAnsi" w:hAnsiTheme="majorHAnsi" w:cs="Arial"/>
                <w:b/>
                <w:bCs/>
                <w:i/>
                <w:iCs/>
                <w:color w:val="FF0000"/>
                <w:sz w:val="20"/>
              </w:rPr>
              <w:t>0.004</w:t>
            </w:r>
          </w:p>
          <w:p w14:paraId="60254619" w14:textId="6CB07776" w:rsidR="00AA553F" w:rsidRPr="00AA553F" w:rsidRDefault="00AA553F" w:rsidP="001F2750">
            <w:pPr>
              <w:spacing w:line="480" w:lineRule="auto"/>
              <w:jc w:val="center"/>
              <w:rPr>
                <w:rFonts w:asciiTheme="majorHAnsi" w:hAnsiTheme="majorHAnsi" w:cs="Arial"/>
                <w:i/>
                <w:iCs/>
                <w:sz w:val="20"/>
              </w:rPr>
            </w:pPr>
            <w:r w:rsidRPr="00AA553F">
              <w:rPr>
                <w:rFonts w:asciiTheme="majorHAnsi" w:hAnsiTheme="majorHAnsi" w:cs="Arial"/>
                <w:i/>
                <w:iCs/>
                <w:color w:val="000000" w:themeColor="text1"/>
                <w:sz w:val="15"/>
                <w:szCs w:val="20"/>
              </w:rPr>
              <w:t xml:space="preserve">FLOT vs </w:t>
            </w:r>
            <w:r w:rsidR="00850628">
              <w:rPr>
                <w:rFonts w:asciiTheme="majorHAnsi" w:hAnsiTheme="majorHAnsi" w:cs="Arial"/>
                <w:i/>
                <w:iCs/>
                <w:color w:val="000000" w:themeColor="text1"/>
                <w:sz w:val="15"/>
                <w:szCs w:val="20"/>
              </w:rPr>
              <w:t xml:space="preserve">MAGIC </w:t>
            </w:r>
            <w:r w:rsidR="00850628" w:rsidRPr="00AA553F">
              <w:rPr>
                <w:rFonts w:asciiTheme="majorHAnsi" w:hAnsiTheme="majorHAnsi" w:cs="Arial"/>
                <w:i/>
                <w:iCs/>
                <w:color w:val="000000" w:themeColor="text1"/>
                <w:sz w:val="15"/>
                <w:szCs w:val="20"/>
              </w:rPr>
              <w:t xml:space="preserve"> </w:t>
            </w:r>
            <w:r w:rsidRPr="00AA553F">
              <w:rPr>
                <w:rFonts w:asciiTheme="majorHAnsi" w:hAnsiTheme="majorHAnsi" w:cs="Arial"/>
                <w:i/>
                <w:iCs/>
                <w:color w:val="FF0000"/>
                <w:sz w:val="15"/>
                <w:szCs w:val="20"/>
              </w:rPr>
              <w:t>p=0.01</w:t>
            </w:r>
          </w:p>
        </w:tc>
      </w:tr>
      <w:tr w:rsidR="00FC5197" w:rsidRPr="00A019FF" w14:paraId="49519233" w14:textId="77777777" w:rsidTr="00850628">
        <w:trPr>
          <w:trHeight w:val="676"/>
          <w:jc w:val="center"/>
        </w:trPr>
        <w:tc>
          <w:tcPr>
            <w:tcW w:w="1560" w:type="dxa"/>
            <w:vMerge/>
            <w:vAlign w:val="center"/>
          </w:tcPr>
          <w:p w14:paraId="265413E5" w14:textId="77777777" w:rsidR="00FC5197" w:rsidRPr="006C0D6D" w:rsidRDefault="00FC5197" w:rsidP="001F2750">
            <w:pPr>
              <w:spacing w:line="480" w:lineRule="auto"/>
              <w:jc w:val="center"/>
              <w:rPr>
                <w:rFonts w:asciiTheme="majorHAnsi" w:hAnsiTheme="majorHAnsi" w:cs="Arial"/>
                <w:b/>
                <w:bCs/>
                <w:sz w:val="20"/>
                <w:szCs w:val="20"/>
              </w:rPr>
            </w:pPr>
          </w:p>
        </w:tc>
        <w:tc>
          <w:tcPr>
            <w:tcW w:w="2693" w:type="dxa"/>
            <w:tcBorders>
              <w:top w:val="nil"/>
              <w:bottom w:val="nil"/>
            </w:tcBorders>
            <w:vAlign w:val="center"/>
          </w:tcPr>
          <w:p w14:paraId="028BFF14"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Complete nodal response</w:t>
            </w:r>
          </w:p>
        </w:tc>
        <w:tc>
          <w:tcPr>
            <w:tcW w:w="1559" w:type="dxa"/>
            <w:tcBorders>
              <w:top w:val="nil"/>
              <w:bottom w:val="nil"/>
            </w:tcBorders>
            <w:vAlign w:val="center"/>
          </w:tcPr>
          <w:p w14:paraId="4FC54F4C"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2 (3.0%)</w:t>
            </w:r>
          </w:p>
        </w:tc>
        <w:tc>
          <w:tcPr>
            <w:tcW w:w="1276" w:type="dxa"/>
            <w:tcBorders>
              <w:top w:val="nil"/>
              <w:bottom w:val="nil"/>
            </w:tcBorders>
            <w:vAlign w:val="center"/>
          </w:tcPr>
          <w:p w14:paraId="5F7FF6D1"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rPr>
              <w:t>43 (7.2%)</w:t>
            </w:r>
          </w:p>
        </w:tc>
        <w:tc>
          <w:tcPr>
            <w:tcW w:w="1559" w:type="dxa"/>
            <w:tcBorders>
              <w:top w:val="nil"/>
              <w:bottom w:val="nil"/>
            </w:tcBorders>
            <w:vAlign w:val="center"/>
          </w:tcPr>
          <w:p w14:paraId="4B2CA976"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14 (15.7%)</w:t>
            </w:r>
          </w:p>
        </w:tc>
        <w:tc>
          <w:tcPr>
            <w:tcW w:w="1134" w:type="dxa"/>
            <w:tcBorders>
              <w:top w:val="nil"/>
              <w:bottom w:val="nil"/>
            </w:tcBorders>
            <w:vAlign w:val="center"/>
          </w:tcPr>
          <w:p w14:paraId="0B6DDF2C"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3 (23.1%)</w:t>
            </w:r>
          </w:p>
        </w:tc>
        <w:tc>
          <w:tcPr>
            <w:tcW w:w="1701" w:type="dxa"/>
            <w:vMerge/>
          </w:tcPr>
          <w:p w14:paraId="11176385" w14:textId="77777777" w:rsidR="00FC5197" w:rsidRPr="00A019FF" w:rsidRDefault="00FC5197" w:rsidP="001F2750">
            <w:pPr>
              <w:spacing w:line="480" w:lineRule="auto"/>
              <w:jc w:val="center"/>
              <w:rPr>
                <w:rFonts w:asciiTheme="majorHAnsi" w:hAnsiTheme="majorHAnsi" w:cs="Arial"/>
                <w:sz w:val="20"/>
              </w:rPr>
            </w:pPr>
          </w:p>
        </w:tc>
      </w:tr>
      <w:tr w:rsidR="00FC5197" w:rsidRPr="00A019FF" w14:paraId="36EB25E2" w14:textId="77777777" w:rsidTr="00850628">
        <w:trPr>
          <w:trHeight w:val="664"/>
          <w:jc w:val="center"/>
        </w:trPr>
        <w:tc>
          <w:tcPr>
            <w:tcW w:w="1560" w:type="dxa"/>
            <w:vMerge/>
            <w:vAlign w:val="center"/>
          </w:tcPr>
          <w:p w14:paraId="596280CC" w14:textId="77777777" w:rsidR="00FC5197" w:rsidRPr="006C0D6D" w:rsidRDefault="00FC5197" w:rsidP="001F2750">
            <w:pPr>
              <w:spacing w:line="480" w:lineRule="auto"/>
              <w:jc w:val="center"/>
              <w:rPr>
                <w:rFonts w:asciiTheme="majorHAnsi" w:hAnsiTheme="majorHAnsi" w:cs="Arial"/>
                <w:b/>
                <w:bCs/>
                <w:sz w:val="20"/>
                <w:szCs w:val="20"/>
              </w:rPr>
            </w:pPr>
          </w:p>
        </w:tc>
        <w:tc>
          <w:tcPr>
            <w:tcW w:w="2693" w:type="dxa"/>
            <w:tcBorders>
              <w:top w:val="nil"/>
              <w:bottom w:val="nil"/>
            </w:tcBorders>
            <w:vAlign w:val="center"/>
          </w:tcPr>
          <w:p w14:paraId="32F3FCE2"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Partial nodal response</w:t>
            </w:r>
          </w:p>
        </w:tc>
        <w:tc>
          <w:tcPr>
            <w:tcW w:w="1559" w:type="dxa"/>
            <w:tcBorders>
              <w:top w:val="nil"/>
              <w:bottom w:val="nil"/>
            </w:tcBorders>
            <w:vAlign w:val="center"/>
          </w:tcPr>
          <w:p w14:paraId="55393DB8"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szCs w:val="20"/>
              </w:rPr>
              <w:t>7 (10.6%)</w:t>
            </w:r>
          </w:p>
        </w:tc>
        <w:tc>
          <w:tcPr>
            <w:tcW w:w="1276" w:type="dxa"/>
            <w:tcBorders>
              <w:top w:val="nil"/>
              <w:bottom w:val="nil"/>
            </w:tcBorders>
            <w:vAlign w:val="center"/>
          </w:tcPr>
          <w:p w14:paraId="1001B0F6" w14:textId="77777777" w:rsidR="00FC5197" w:rsidRPr="00A019FF" w:rsidRDefault="00FC5197" w:rsidP="001F2750">
            <w:pPr>
              <w:spacing w:line="480" w:lineRule="auto"/>
              <w:jc w:val="center"/>
              <w:rPr>
                <w:rFonts w:asciiTheme="majorHAnsi" w:hAnsiTheme="majorHAnsi" w:cs="Arial"/>
                <w:sz w:val="20"/>
                <w:szCs w:val="20"/>
              </w:rPr>
            </w:pPr>
            <w:r w:rsidRPr="00A019FF">
              <w:rPr>
                <w:rFonts w:asciiTheme="majorHAnsi" w:hAnsiTheme="majorHAnsi" w:cs="Arial"/>
                <w:sz w:val="20"/>
              </w:rPr>
              <w:t>126 (21.2%)</w:t>
            </w:r>
          </w:p>
        </w:tc>
        <w:tc>
          <w:tcPr>
            <w:tcW w:w="1559" w:type="dxa"/>
            <w:tcBorders>
              <w:top w:val="nil"/>
              <w:bottom w:val="nil"/>
            </w:tcBorders>
            <w:vAlign w:val="center"/>
          </w:tcPr>
          <w:p w14:paraId="2BEE7D2C"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20 (22.5%)</w:t>
            </w:r>
          </w:p>
        </w:tc>
        <w:tc>
          <w:tcPr>
            <w:tcW w:w="1134" w:type="dxa"/>
            <w:tcBorders>
              <w:top w:val="nil"/>
              <w:bottom w:val="nil"/>
            </w:tcBorders>
            <w:vAlign w:val="center"/>
          </w:tcPr>
          <w:p w14:paraId="7744D679"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2 (15.4%)</w:t>
            </w:r>
          </w:p>
        </w:tc>
        <w:tc>
          <w:tcPr>
            <w:tcW w:w="1701" w:type="dxa"/>
            <w:vMerge/>
          </w:tcPr>
          <w:p w14:paraId="26E4E9D4" w14:textId="77777777" w:rsidR="00FC5197" w:rsidRPr="00A019FF" w:rsidRDefault="00FC5197" w:rsidP="001F2750">
            <w:pPr>
              <w:spacing w:line="480" w:lineRule="auto"/>
              <w:jc w:val="center"/>
              <w:rPr>
                <w:rFonts w:asciiTheme="majorHAnsi" w:hAnsiTheme="majorHAnsi" w:cs="Arial"/>
                <w:sz w:val="20"/>
              </w:rPr>
            </w:pPr>
          </w:p>
        </w:tc>
      </w:tr>
      <w:tr w:rsidR="00FC5197" w:rsidRPr="00A019FF" w14:paraId="4CA36CEE" w14:textId="77777777" w:rsidTr="00277830">
        <w:trPr>
          <w:trHeight w:val="664"/>
          <w:jc w:val="center"/>
        </w:trPr>
        <w:tc>
          <w:tcPr>
            <w:tcW w:w="1560" w:type="dxa"/>
            <w:vMerge/>
            <w:vAlign w:val="center"/>
          </w:tcPr>
          <w:p w14:paraId="76192DF5" w14:textId="77777777" w:rsidR="00FC5197" w:rsidRPr="006C0D6D" w:rsidRDefault="00FC5197" w:rsidP="001F2750">
            <w:pPr>
              <w:spacing w:line="480" w:lineRule="auto"/>
              <w:jc w:val="center"/>
              <w:rPr>
                <w:rFonts w:asciiTheme="majorHAnsi" w:hAnsiTheme="majorHAnsi" w:cs="Arial"/>
                <w:b/>
                <w:bCs/>
                <w:sz w:val="20"/>
                <w:szCs w:val="20"/>
              </w:rPr>
            </w:pPr>
          </w:p>
        </w:tc>
        <w:tc>
          <w:tcPr>
            <w:tcW w:w="2693" w:type="dxa"/>
            <w:tcBorders>
              <w:top w:val="nil"/>
              <w:bottom w:val="single" w:sz="4" w:space="0" w:color="auto"/>
            </w:tcBorders>
            <w:vAlign w:val="center"/>
          </w:tcPr>
          <w:p w14:paraId="3F050E8F" w14:textId="77777777" w:rsidR="00FC5197" w:rsidRPr="00A019FF" w:rsidRDefault="00FC5197" w:rsidP="001F2750">
            <w:pPr>
              <w:spacing w:line="480" w:lineRule="auto"/>
              <w:jc w:val="center"/>
              <w:rPr>
                <w:rFonts w:asciiTheme="majorHAnsi" w:hAnsiTheme="majorHAnsi" w:cs="Arial"/>
                <w:sz w:val="20"/>
              </w:rPr>
            </w:pPr>
            <w:r>
              <w:rPr>
                <w:rFonts w:asciiTheme="majorHAnsi" w:hAnsiTheme="majorHAnsi" w:cs="Arial"/>
                <w:sz w:val="20"/>
                <w:szCs w:val="20"/>
              </w:rPr>
              <w:t>Poor / no</w:t>
            </w:r>
            <w:r w:rsidRPr="00A019FF">
              <w:rPr>
                <w:rFonts w:asciiTheme="majorHAnsi" w:hAnsiTheme="majorHAnsi" w:cs="Arial"/>
                <w:sz w:val="20"/>
                <w:szCs w:val="20"/>
              </w:rPr>
              <w:t xml:space="preserve"> response</w:t>
            </w:r>
          </w:p>
        </w:tc>
        <w:tc>
          <w:tcPr>
            <w:tcW w:w="1559" w:type="dxa"/>
            <w:tcBorders>
              <w:top w:val="nil"/>
              <w:bottom w:val="single" w:sz="4" w:space="0" w:color="auto"/>
            </w:tcBorders>
            <w:vAlign w:val="center"/>
          </w:tcPr>
          <w:p w14:paraId="400C55D9"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30 (45.5%)</w:t>
            </w:r>
          </w:p>
        </w:tc>
        <w:tc>
          <w:tcPr>
            <w:tcW w:w="1276" w:type="dxa"/>
            <w:tcBorders>
              <w:top w:val="nil"/>
              <w:bottom w:val="single" w:sz="4" w:space="0" w:color="auto"/>
            </w:tcBorders>
            <w:vAlign w:val="center"/>
          </w:tcPr>
          <w:p w14:paraId="34462DC4"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245 (41.2%)</w:t>
            </w:r>
          </w:p>
        </w:tc>
        <w:tc>
          <w:tcPr>
            <w:tcW w:w="1559" w:type="dxa"/>
            <w:tcBorders>
              <w:top w:val="nil"/>
              <w:bottom w:val="single" w:sz="4" w:space="0" w:color="auto"/>
            </w:tcBorders>
            <w:vAlign w:val="center"/>
          </w:tcPr>
          <w:p w14:paraId="03567A12"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23 (25.8%)</w:t>
            </w:r>
          </w:p>
        </w:tc>
        <w:tc>
          <w:tcPr>
            <w:tcW w:w="1134" w:type="dxa"/>
            <w:tcBorders>
              <w:top w:val="nil"/>
              <w:bottom w:val="single" w:sz="4" w:space="0" w:color="auto"/>
            </w:tcBorders>
            <w:vAlign w:val="center"/>
          </w:tcPr>
          <w:p w14:paraId="2795AB0E" w14:textId="77777777" w:rsidR="00FC5197" w:rsidRPr="00A019FF" w:rsidRDefault="00FC5197" w:rsidP="001F2750">
            <w:pPr>
              <w:spacing w:line="480" w:lineRule="auto"/>
              <w:jc w:val="center"/>
              <w:rPr>
                <w:rFonts w:asciiTheme="majorHAnsi" w:hAnsiTheme="majorHAnsi" w:cs="Arial"/>
                <w:sz w:val="20"/>
              </w:rPr>
            </w:pPr>
            <w:r w:rsidRPr="00A019FF">
              <w:rPr>
                <w:rFonts w:asciiTheme="majorHAnsi" w:hAnsiTheme="majorHAnsi" w:cs="Arial"/>
                <w:sz w:val="20"/>
              </w:rPr>
              <w:t>5 (38.5%)</w:t>
            </w:r>
          </w:p>
        </w:tc>
        <w:tc>
          <w:tcPr>
            <w:tcW w:w="1701" w:type="dxa"/>
            <w:vMerge/>
            <w:tcBorders>
              <w:bottom w:val="single" w:sz="4" w:space="0" w:color="auto"/>
            </w:tcBorders>
          </w:tcPr>
          <w:p w14:paraId="33CFF980" w14:textId="77777777" w:rsidR="00FC5197" w:rsidRPr="00A019FF" w:rsidRDefault="00FC5197" w:rsidP="001F2750">
            <w:pPr>
              <w:spacing w:line="480" w:lineRule="auto"/>
              <w:jc w:val="center"/>
              <w:rPr>
                <w:rFonts w:asciiTheme="majorHAnsi" w:hAnsiTheme="majorHAnsi" w:cs="Arial"/>
                <w:sz w:val="20"/>
              </w:rPr>
            </w:pPr>
          </w:p>
        </w:tc>
      </w:tr>
      <w:tr w:rsidR="00850628" w:rsidRPr="00A019FF" w14:paraId="57646A6A" w14:textId="77777777" w:rsidTr="00277830">
        <w:trPr>
          <w:trHeight w:val="664"/>
          <w:jc w:val="center"/>
        </w:trPr>
        <w:tc>
          <w:tcPr>
            <w:tcW w:w="1560" w:type="dxa"/>
            <w:vMerge w:val="restart"/>
            <w:vAlign w:val="center"/>
          </w:tcPr>
          <w:p w14:paraId="3496C09A" w14:textId="3FC9725B" w:rsidR="00850628" w:rsidRPr="006C0D6D" w:rsidRDefault="00850628" w:rsidP="00850628">
            <w:pPr>
              <w:spacing w:line="480" w:lineRule="auto"/>
              <w:jc w:val="center"/>
              <w:rPr>
                <w:rFonts w:asciiTheme="majorHAnsi" w:hAnsiTheme="majorHAnsi" w:cs="Arial"/>
                <w:b/>
                <w:bCs/>
                <w:sz w:val="20"/>
                <w:szCs w:val="20"/>
              </w:rPr>
            </w:pPr>
            <w:r w:rsidRPr="006C0D6D">
              <w:rPr>
                <w:rFonts w:asciiTheme="majorHAnsi" w:hAnsiTheme="majorHAnsi" w:cs="Arial"/>
                <w:b/>
                <w:bCs/>
                <w:sz w:val="20"/>
                <w:szCs w:val="20"/>
              </w:rPr>
              <w:t xml:space="preserve">Primary </w:t>
            </w:r>
            <w:proofErr w:type="spellStart"/>
            <w:r>
              <w:rPr>
                <w:rFonts w:asciiTheme="majorHAnsi" w:hAnsiTheme="majorHAnsi" w:cs="Arial"/>
                <w:b/>
                <w:bCs/>
                <w:sz w:val="20"/>
                <w:szCs w:val="20"/>
              </w:rPr>
              <w:t>tumor</w:t>
            </w:r>
            <w:proofErr w:type="spellEnd"/>
            <w:r w:rsidRPr="006C0D6D">
              <w:rPr>
                <w:rFonts w:asciiTheme="majorHAnsi" w:hAnsiTheme="majorHAnsi" w:cs="Arial"/>
                <w:b/>
                <w:bCs/>
                <w:sz w:val="20"/>
                <w:szCs w:val="20"/>
              </w:rPr>
              <w:t xml:space="preserve"> response</w:t>
            </w:r>
          </w:p>
        </w:tc>
        <w:tc>
          <w:tcPr>
            <w:tcW w:w="2693" w:type="dxa"/>
            <w:tcBorders>
              <w:bottom w:val="nil"/>
            </w:tcBorders>
            <w:vAlign w:val="center"/>
          </w:tcPr>
          <w:p w14:paraId="16679B21" w14:textId="65B5358B"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szCs w:val="20"/>
              </w:rPr>
              <w:t>Mandard 1</w:t>
            </w:r>
          </w:p>
        </w:tc>
        <w:tc>
          <w:tcPr>
            <w:tcW w:w="1559" w:type="dxa"/>
            <w:tcBorders>
              <w:bottom w:val="nil"/>
            </w:tcBorders>
            <w:vAlign w:val="center"/>
          </w:tcPr>
          <w:p w14:paraId="1FB709E5" w14:textId="73D408BC"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2 (3.0%)</w:t>
            </w:r>
          </w:p>
        </w:tc>
        <w:tc>
          <w:tcPr>
            <w:tcW w:w="1276" w:type="dxa"/>
            <w:tcBorders>
              <w:bottom w:val="nil"/>
            </w:tcBorders>
            <w:vAlign w:val="center"/>
          </w:tcPr>
          <w:p w14:paraId="4C0365EA" w14:textId="285FFC13"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34 (5.7%)</w:t>
            </w:r>
          </w:p>
        </w:tc>
        <w:tc>
          <w:tcPr>
            <w:tcW w:w="1559" w:type="dxa"/>
            <w:tcBorders>
              <w:bottom w:val="nil"/>
            </w:tcBorders>
            <w:vAlign w:val="center"/>
          </w:tcPr>
          <w:p w14:paraId="3969A60A" w14:textId="05562E69"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15 (16.9%)</w:t>
            </w:r>
          </w:p>
        </w:tc>
        <w:tc>
          <w:tcPr>
            <w:tcW w:w="1134" w:type="dxa"/>
            <w:tcBorders>
              <w:bottom w:val="nil"/>
            </w:tcBorders>
            <w:vAlign w:val="center"/>
          </w:tcPr>
          <w:p w14:paraId="251393EB" w14:textId="563F2CE3"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2 (15.4%)</w:t>
            </w:r>
          </w:p>
        </w:tc>
        <w:tc>
          <w:tcPr>
            <w:tcW w:w="1701" w:type="dxa"/>
            <w:vMerge w:val="restart"/>
            <w:vAlign w:val="center"/>
          </w:tcPr>
          <w:p w14:paraId="5A980201" w14:textId="77777777" w:rsidR="00850628" w:rsidRDefault="00850628" w:rsidP="00850628">
            <w:pPr>
              <w:spacing w:line="480" w:lineRule="auto"/>
              <w:jc w:val="center"/>
              <w:rPr>
                <w:rFonts w:asciiTheme="majorHAnsi" w:hAnsiTheme="majorHAnsi" w:cs="Arial"/>
                <w:b/>
                <w:bCs/>
                <w:i/>
                <w:iCs/>
                <w:color w:val="FF0000"/>
                <w:sz w:val="20"/>
              </w:rPr>
            </w:pPr>
            <w:r w:rsidRPr="006C0D6D">
              <w:rPr>
                <w:rFonts w:asciiTheme="majorHAnsi" w:hAnsiTheme="majorHAnsi" w:cs="Arial"/>
                <w:b/>
                <w:bCs/>
                <w:i/>
                <w:iCs/>
                <w:color w:val="FF0000"/>
                <w:sz w:val="20"/>
              </w:rPr>
              <w:t>p&lt;0.001</w:t>
            </w:r>
          </w:p>
          <w:p w14:paraId="7B1E6061" w14:textId="50A9E9E3" w:rsidR="00850628" w:rsidRPr="006C0D6D" w:rsidRDefault="00850628" w:rsidP="00850628">
            <w:pPr>
              <w:spacing w:line="480" w:lineRule="auto"/>
              <w:jc w:val="center"/>
              <w:rPr>
                <w:rFonts w:asciiTheme="majorHAnsi" w:hAnsiTheme="majorHAnsi" w:cs="Arial"/>
                <w:b/>
                <w:bCs/>
                <w:i/>
                <w:iCs/>
                <w:sz w:val="20"/>
              </w:rPr>
            </w:pPr>
            <w:r w:rsidRPr="00AA553F">
              <w:rPr>
                <w:rFonts w:asciiTheme="majorHAnsi" w:hAnsiTheme="majorHAnsi" w:cs="Arial"/>
                <w:i/>
                <w:iCs/>
                <w:color w:val="000000" w:themeColor="text1"/>
                <w:sz w:val="15"/>
                <w:szCs w:val="20"/>
              </w:rPr>
              <w:t xml:space="preserve">FLOT vs </w:t>
            </w:r>
            <w:r>
              <w:rPr>
                <w:rFonts w:asciiTheme="majorHAnsi" w:hAnsiTheme="majorHAnsi" w:cs="Arial"/>
                <w:i/>
                <w:iCs/>
                <w:color w:val="000000" w:themeColor="text1"/>
                <w:sz w:val="15"/>
                <w:szCs w:val="20"/>
              </w:rPr>
              <w:t>MAGIC</w:t>
            </w:r>
            <w:r w:rsidRPr="00AA553F">
              <w:rPr>
                <w:rFonts w:asciiTheme="majorHAnsi" w:hAnsiTheme="majorHAnsi" w:cs="Arial"/>
                <w:i/>
                <w:iCs/>
                <w:color w:val="000000" w:themeColor="text1"/>
                <w:sz w:val="15"/>
                <w:szCs w:val="20"/>
              </w:rPr>
              <w:t xml:space="preserve"> </w:t>
            </w:r>
            <w:r w:rsidRPr="00AA553F">
              <w:rPr>
                <w:rFonts w:asciiTheme="majorHAnsi" w:hAnsiTheme="majorHAnsi" w:cs="Arial"/>
                <w:i/>
                <w:iCs/>
                <w:color w:val="FF0000"/>
                <w:sz w:val="15"/>
                <w:szCs w:val="20"/>
              </w:rPr>
              <w:t>p</w:t>
            </w:r>
            <w:r>
              <w:rPr>
                <w:rFonts w:asciiTheme="majorHAnsi" w:hAnsiTheme="majorHAnsi" w:cs="Arial"/>
                <w:i/>
                <w:iCs/>
                <w:color w:val="FF0000"/>
                <w:sz w:val="15"/>
                <w:szCs w:val="20"/>
              </w:rPr>
              <w:t>&lt;</w:t>
            </w:r>
            <w:r w:rsidRPr="00AA553F">
              <w:rPr>
                <w:rFonts w:asciiTheme="majorHAnsi" w:hAnsiTheme="majorHAnsi" w:cs="Arial"/>
                <w:i/>
                <w:iCs/>
                <w:color w:val="FF0000"/>
                <w:sz w:val="15"/>
                <w:szCs w:val="20"/>
              </w:rPr>
              <w:t>0.0</w:t>
            </w:r>
            <w:r>
              <w:rPr>
                <w:rFonts w:asciiTheme="majorHAnsi" w:hAnsiTheme="majorHAnsi" w:cs="Arial"/>
                <w:i/>
                <w:iCs/>
                <w:color w:val="FF0000"/>
                <w:sz w:val="15"/>
                <w:szCs w:val="20"/>
              </w:rPr>
              <w:t>0</w:t>
            </w:r>
            <w:r w:rsidRPr="00AA553F">
              <w:rPr>
                <w:rFonts w:asciiTheme="majorHAnsi" w:hAnsiTheme="majorHAnsi" w:cs="Arial"/>
                <w:i/>
                <w:iCs/>
                <w:color w:val="FF0000"/>
                <w:sz w:val="15"/>
                <w:szCs w:val="20"/>
              </w:rPr>
              <w:t>1</w:t>
            </w:r>
          </w:p>
        </w:tc>
      </w:tr>
      <w:tr w:rsidR="00850628" w:rsidRPr="00A019FF" w14:paraId="05A448F0" w14:textId="77777777" w:rsidTr="00277830">
        <w:trPr>
          <w:trHeight w:val="664"/>
          <w:jc w:val="center"/>
        </w:trPr>
        <w:tc>
          <w:tcPr>
            <w:tcW w:w="1560" w:type="dxa"/>
            <w:vMerge/>
            <w:vAlign w:val="center"/>
          </w:tcPr>
          <w:p w14:paraId="3E36F6EE" w14:textId="77777777" w:rsidR="00850628" w:rsidRPr="006C0D6D" w:rsidRDefault="00850628" w:rsidP="00850628">
            <w:pPr>
              <w:spacing w:line="480" w:lineRule="auto"/>
              <w:jc w:val="center"/>
              <w:rPr>
                <w:rFonts w:asciiTheme="majorHAnsi" w:hAnsiTheme="majorHAnsi" w:cs="Arial"/>
                <w:b/>
                <w:bCs/>
                <w:sz w:val="20"/>
                <w:szCs w:val="20"/>
              </w:rPr>
            </w:pPr>
          </w:p>
        </w:tc>
        <w:tc>
          <w:tcPr>
            <w:tcW w:w="2693" w:type="dxa"/>
            <w:tcBorders>
              <w:top w:val="nil"/>
              <w:bottom w:val="nil"/>
            </w:tcBorders>
            <w:vAlign w:val="center"/>
          </w:tcPr>
          <w:p w14:paraId="5DABED8A" w14:textId="55E178DF" w:rsidR="00850628" w:rsidRPr="00345D6C" w:rsidRDefault="00850628" w:rsidP="00850628">
            <w:pPr>
              <w:spacing w:line="480" w:lineRule="auto"/>
              <w:jc w:val="center"/>
              <w:rPr>
                <w:rFonts w:asciiTheme="majorHAnsi" w:hAnsiTheme="majorHAnsi" w:cs="Arial"/>
                <w:sz w:val="20"/>
                <w:szCs w:val="20"/>
              </w:rPr>
            </w:pPr>
            <w:r w:rsidRPr="00345D6C">
              <w:rPr>
                <w:rFonts w:asciiTheme="majorHAnsi" w:hAnsiTheme="majorHAnsi" w:cs="Arial"/>
                <w:sz w:val="20"/>
                <w:szCs w:val="20"/>
              </w:rPr>
              <w:t>Mandard 2-3</w:t>
            </w:r>
          </w:p>
        </w:tc>
        <w:tc>
          <w:tcPr>
            <w:tcW w:w="1559" w:type="dxa"/>
            <w:tcBorders>
              <w:top w:val="nil"/>
              <w:bottom w:val="nil"/>
            </w:tcBorders>
            <w:vAlign w:val="center"/>
          </w:tcPr>
          <w:p w14:paraId="27C4A23F" w14:textId="078484D7" w:rsidR="00850628" w:rsidRPr="00345D6C" w:rsidRDefault="00850628" w:rsidP="00850628">
            <w:pPr>
              <w:spacing w:line="480" w:lineRule="auto"/>
              <w:jc w:val="center"/>
              <w:rPr>
                <w:rFonts w:asciiTheme="majorHAnsi" w:hAnsiTheme="majorHAnsi" w:cs="Arial"/>
                <w:sz w:val="20"/>
              </w:rPr>
            </w:pPr>
            <w:r w:rsidRPr="00345D6C">
              <w:rPr>
                <w:rFonts w:asciiTheme="majorHAnsi" w:hAnsiTheme="majorHAnsi" w:cs="Arial"/>
                <w:sz w:val="20"/>
              </w:rPr>
              <w:t>18 (27.3%)</w:t>
            </w:r>
          </w:p>
        </w:tc>
        <w:tc>
          <w:tcPr>
            <w:tcW w:w="1276" w:type="dxa"/>
            <w:tcBorders>
              <w:top w:val="nil"/>
              <w:bottom w:val="nil"/>
            </w:tcBorders>
            <w:vAlign w:val="center"/>
          </w:tcPr>
          <w:p w14:paraId="3D911FEE" w14:textId="15F51846" w:rsidR="00850628" w:rsidRPr="00345D6C" w:rsidRDefault="00850628" w:rsidP="00850628">
            <w:pPr>
              <w:spacing w:line="480" w:lineRule="auto"/>
              <w:jc w:val="center"/>
              <w:rPr>
                <w:rFonts w:asciiTheme="majorHAnsi" w:hAnsiTheme="majorHAnsi" w:cs="Arial"/>
                <w:sz w:val="20"/>
              </w:rPr>
            </w:pPr>
            <w:r w:rsidRPr="00345D6C">
              <w:rPr>
                <w:rFonts w:asciiTheme="majorHAnsi" w:hAnsiTheme="majorHAnsi" w:cs="Arial"/>
                <w:sz w:val="20"/>
              </w:rPr>
              <w:t>199 (33.4%)</w:t>
            </w:r>
          </w:p>
        </w:tc>
        <w:tc>
          <w:tcPr>
            <w:tcW w:w="1559" w:type="dxa"/>
            <w:tcBorders>
              <w:top w:val="nil"/>
              <w:bottom w:val="nil"/>
            </w:tcBorders>
            <w:vAlign w:val="center"/>
          </w:tcPr>
          <w:p w14:paraId="0382CD86" w14:textId="04AA01C9" w:rsidR="00850628" w:rsidRPr="00345D6C" w:rsidRDefault="00850628" w:rsidP="00850628">
            <w:pPr>
              <w:spacing w:line="480" w:lineRule="auto"/>
              <w:jc w:val="center"/>
              <w:rPr>
                <w:rFonts w:asciiTheme="majorHAnsi" w:hAnsiTheme="majorHAnsi" w:cs="Arial"/>
                <w:sz w:val="20"/>
              </w:rPr>
            </w:pPr>
            <w:r w:rsidRPr="00345D6C">
              <w:rPr>
                <w:rFonts w:asciiTheme="majorHAnsi" w:hAnsiTheme="majorHAnsi" w:cs="Arial"/>
                <w:sz w:val="20"/>
              </w:rPr>
              <w:t>48 (53.9%)</w:t>
            </w:r>
          </w:p>
        </w:tc>
        <w:tc>
          <w:tcPr>
            <w:tcW w:w="1134" w:type="dxa"/>
            <w:tcBorders>
              <w:top w:val="nil"/>
              <w:bottom w:val="nil"/>
            </w:tcBorders>
            <w:vAlign w:val="center"/>
          </w:tcPr>
          <w:p w14:paraId="4C133BE9" w14:textId="44DA79DA" w:rsidR="00850628" w:rsidRPr="00345D6C" w:rsidRDefault="00850628" w:rsidP="00850628">
            <w:pPr>
              <w:spacing w:line="480" w:lineRule="auto"/>
              <w:jc w:val="center"/>
              <w:rPr>
                <w:rFonts w:asciiTheme="majorHAnsi" w:hAnsiTheme="majorHAnsi" w:cs="Arial"/>
                <w:sz w:val="20"/>
              </w:rPr>
            </w:pPr>
            <w:r w:rsidRPr="00345D6C">
              <w:rPr>
                <w:rFonts w:asciiTheme="majorHAnsi" w:hAnsiTheme="majorHAnsi" w:cs="Arial"/>
                <w:sz w:val="20"/>
              </w:rPr>
              <w:t>4 (30.8%)</w:t>
            </w:r>
          </w:p>
        </w:tc>
        <w:tc>
          <w:tcPr>
            <w:tcW w:w="1701" w:type="dxa"/>
            <w:vMerge/>
            <w:vAlign w:val="center"/>
          </w:tcPr>
          <w:p w14:paraId="18EE3642" w14:textId="77777777" w:rsidR="00850628" w:rsidRPr="006C0D6D" w:rsidRDefault="00850628" w:rsidP="00850628">
            <w:pPr>
              <w:spacing w:line="480" w:lineRule="auto"/>
              <w:jc w:val="center"/>
              <w:rPr>
                <w:rFonts w:asciiTheme="majorHAnsi" w:hAnsiTheme="majorHAnsi" w:cs="Arial"/>
                <w:b/>
                <w:bCs/>
                <w:i/>
                <w:iCs/>
                <w:color w:val="FF0000"/>
                <w:sz w:val="20"/>
              </w:rPr>
            </w:pPr>
          </w:p>
        </w:tc>
      </w:tr>
      <w:tr w:rsidR="00850628" w:rsidRPr="00A019FF" w14:paraId="312917DD" w14:textId="77777777" w:rsidTr="00850628">
        <w:trPr>
          <w:trHeight w:val="664"/>
          <w:jc w:val="center"/>
        </w:trPr>
        <w:tc>
          <w:tcPr>
            <w:tcW w:w="1560" w:type="dxa"/>
            <w:vMerge/>
            <w:vAlign w:val="center"/>
          </w:tcPr>
          <w:p w14:paraId="4253440B" w14:textId="77777777" w:rsidR="00850628" w:rsidRDefault="00850628" w:rsidP="00850628">
            <w:pPr>
              <w:spacing w:line="480" w:lineRule="auto"/>
              <w:rPr>
                <w:rFonts w:asciiTheme="majorHAnsi" w:hAnsiTheme="majorHAnsi" w:cs="Arial"/>
                <w:sz w:val="20"/>
                <w:szCs w:val="20"/>
              </w:rPr>
            </w:pPr>
          </w:p>
        </w:tc>
        <w:tc>
          <w:tcPr>
            <w:tcW w:w="2693" w:type="dxa"/>
            <w:tcBorders>
              <w:top w:val="nil"/>
              <w:bottom w:val="nil"/>
            </w:tcBorders>
            <w:vAlign w:val="center"/>
          </w:tcPr>
          <w:p w14:paraId="0F66242E" w14:textId="10C49361"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szCs w:val="20"/>
              </w:rPr>
              <w:t>Mandard 4-5</w:t>
            </w:r>
          </w:p>
        </w:tc>
        <w:tc>
          <w:tcPr>
            <w:tcW w:w="1559" w:type="dxa"/>
            <w:tcBorders>
              <w:top w:val="nil"/>
              <w:bottom w:val="nil"/>
            </w:tcBorders>
            <w:vAlign w:val="center"/>
          </w:tcPr>
          <w:p w14:paraId="5C86A571" w14:textId="01981D70"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45 (68.2%)</w:t>
            </w:r>
          </w:p>
        </w:tc>
        <w:tc>
          <w:tcPr>
            <w:tcW w:w="1276" w:type="dxa"/>
            <w:tcBorders>
              <w:top w:val="nil"/>
              <w:bottom w:val="nil"/>
            </w:tcBorders>
            <w:vAlign w:val="center"/>
          </w:tcPr>
          <w:p w14:paraId="3485CAC0" w14:textId="689AA348"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353 (59.3%)</w:t>
            </w:r>
          </w:p>
        </w:tc>
        <w:tc>
          <w:tcPr>
            <w:tcW w:w="1559" w:type="dxa"/>
            <w:tcBorders>
              <w:top w:val="nil"/>
              <w:bottom w:val="nil"/>
            </w:tcBorders>
            <w:vAlign w:val="center"/>
          </w:tcPr>
          <w:p w14:paraId="0BBFF468" w14:textId="77777777"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26 (29.2%)</w:t>
            </w:r>
          </w:p>
        </w:tc>
        <w:tc>
          <w:tcPr>
            <w:tcW w:w="1134" w:type="dxa"/>
            <w:tcBorders>
              <w:top w:val="nil"/>
              <w:bottom w:val="nil"/>
            </w:tcBorders>
            <w:vAlign w:val="center"/>
          </w:tcPr>
          <w:p w14:paraId="5E0FE64A" w14:textId="77777777"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7 (53.8%)</w:t>
            </w:r>
          </w:p>
        </w:tc>
        <w:tc>
          <w:tcPr>
            <w:tcW w:w="1701" w:type="dxa"/>
            <w:vMerge/>
          </w:tcPr>
          <w:p w14:paraId="23027AAE" w14:textId="77777777" w:rsidR="00850628" w:rsidRPr="00A019FF" w:rsidRDefault="00850628" w:rsidP="00850628">
            <w:pPr>
              <w:spacing w:line="480" w:lineRule="auto"/>
              <w:jc w:val="center"/>
              <w:rPr>
                <w:rFonts w:asciiTheme="majorHAnsi" w:hAnsiTheme="majorHAnsi" w:cs="Arial"/>
                <w:sz w:val="20"/>
              </w:rPr>
            </w:pPr>
          </w:p>
        </w:tc>
      </w:tr>
      <w:tr w:rsidR="00850628" w:rsidRPr="00A019FF" w14:paraId="4D30553A" w14:textId="77777777" w:rsidTr="00850628">
        <w:trPr>
          <w:trHeight w:val="664"/>
          <w:jc w:val="center"/>
        </w:trPr>
        <w:tc>
          <w:tcPr>
            <w:tcW w:w="1560" w:type="dxa"/>
            <w:vMerge/>
            <w:vAlign w:val="center"/>
          </w:tcPr>
          <w:p w14:paraId="10854B09" w14:textId="77777777" w:rsidR="00850628" w:rsidRDefault="00850628" w:rsidP="00850628">
            <w:pPr>
              <w:spacing w:line="480" w:lineRule="auto"/>
              <w:rPr>
                <w:rFonts w:asciiTheme="majorHAnsi" w:hAnsiTheme="majorHAnsi" w:cs="Arial"/>
                <w:sz w:val="20"/>
                <w:szCs w:val="20"/>
              </w:rPr>
            </w:pPr>
          </w:p>
        </w:tc>
        <w:tc>
          <w:tcPr>
            <w:tcW w:w="2693" w:type="dxa"/>
            <w:tcBorders>
              <w:top w:val="nil"/>
            </w:tcBorders>
            <w:vAlign w:val="center"/>
          </w:tcPr>
          <w:p w14:paraId="649C5243" w14:textId="77777777" w:rsidR="00850628" w:rsidRDefault="00850628" w:rsidP="00850628">
            <w:pPr>
              <w:spacing w:line="480" w:lineRule="auto"/>
              <w:jc w:val="center"/>
              <w:rPr>
                <w:rFonts w:asciiTheme="majorHAnsi" w:hAnsiTheme="majorHAnsi" w:cs="Arial"/>
                <w:sz w:val="20"/>
                <w:szCs w:val="20"/>
              </w:rPr>
            </w:pPr>
            <w:r>
              <w:rPr>
                <w:rFonts w:asciiTheme="majorHAnsi" w:hAnsiTheme="majorHAnsi" w:cs="Arial"/>
                <w:sz w:val="20"/>
                <w:szCs w:val="20"/>
              </w:rPr>
              <w:t>Not recorded</w:t>
            </w:r>
          </w:p>
        </w:tc>
        <w:tc>
          <w:tcPr>
            <w:tcW w:w="1559" w:type="dxa"/>
            <w:tcBorders>
              <w:top w:val="nil"/>
            </w:tcBorders>
            <w:vAlign w:val="center"/>
          </w:tcPr>
          <w:p w14:paraId="5C0CC4CE" w14:textId="0687683F"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1 (1.5%)</w:t>
            </w:r>
          </w:p>
        </w:tc>
        <w:tc>
          <w:tcPr>
            <w:tcW w:w="1276" w:type="dxa"/>
            <w:tcBorders>
              <w:top w:val="nil"/>
            </w:tcBorders>
            <w:vAlign w:val="center"/>
          </w:tcPr>
          <w:p w14:paraId="70E70553" w14:textId="60BE97A6"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9 (1.5%)</w:t>
            </w:r>
          </w:p>
        </w:tc>
        <w:tc>
          <w:tcPr>
            <w:tcW w:w="1559" w:type="dxa"/>
            <w:tcBorders>
              <w:top w:val="nil"/>
            </w:tcBorders>
            <w:vAlign w:val="center"/>
          </w:tcPr>
          <w:p w14:paraId="69C42FF8" w14:textId="106047B2"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0 (0%)</w:t>
            </w:r>
          </w:p>
        </w:tc>
        <w:tc>
          <w:tcPr>
            <w:tcW w:w="1134" w:type="dxa"/>
            <w:tcBorders>
              <w:top w:val="nil"/>
            </w:tcBorders>
            <w:vAlign w:val="center"/>
          </w:tcPr>
          <w:p w14:paraId="26712FD0" w14:textId="744B5502" w:rsidR="00850628" w:rsidRPr="00A019FF" w:rsidRDefault="00850628" w:rsidP="00850628">
            <w:pPr>
              <w:spacing w:line="480" w:lineRule="auto"/>
              <w:jc w:val="center"/>
              <w:rPr>
                <w:rFonts w:asciiTheme="majorHAnsi" w:hAnsiTheme="majorHAnsi" w:cs="Arial"/>
                <w:sz w:val="20"/>
              </w:rPr>
            </w:pPr>
            <w:r>
              <w:rPr>
                <w:rFonts w:asciiTheme="majorHAnsi" w:hAnsiTheme="majorHAnsi" w:cs="Arial"/>
                <w:sz w:val="20"/>
              </w:rPr>
              <w:t>0 (0%)</w:t>
            </w:r>
          </w:p>
        </w:tc>
        <w:tc>
          <w:tcPr>
            <w:tcW w:w="1701" w:type="dxa"/>
            <w:vMerge/>
          </w:tcPr>
          <w:p w14:paraId="5F43F58F" w14:textId="77777777" w:rsidR="00850628" w:rsidRPr="00A019FF" w:rsidRDefault="00850628" w:rsidP="00850628">
            <w:pPr>
              <w:spacing w:line="480" w:lineRule="auto"/>
              <w:jc w:val="center"/>
              <w:rPr>
                <w:rFonts w:asciiTheme="majorHAnsi" w:hAnsiTheme="majorHAnsi" w:cs="Arial"/>
                <w:sz w:val="20"/>
              </w:rPr>
            </w:pPr>
          </w:p>
        </w:tc>
      </w:tr>
    </w:tbl>
    <w:p w14:paraId="1C2E8963" w14:textId="6056994C" w:rsidR="00A019FF" w:rsidRPr="00A019FF" w:rsidRDefault="00A019FF" w:rsidP="003A17C2">
      <w:pPr>
        <w:spacing w:line="360" w:lineRule="auto"/>
        <w:jc w:val="right"/>
        <w:rPr>
          <w:rFonts w:asciiTheme="majorHAnsi" w:hAnsiTheme="majorHAnsi"/>
          <w:sz w:val="20"/>
          <w:szCs w:val="20"/>
        </w:rPr>
      </w:pPr>
      <w:proofErr w:type="spellStart"/>
      <w:r w:rsidRPr="00A019FF">
        <w:rPr>
          <w:rFonts w:asciiTheme="majorHAnsi" w:hAnsiTheme="majorHAnsi"/>
          <w:sz w:val="20"/>
          <w:szCs w:val="20"/>
          <w:vertAlign w:val="superscript"/>
        </w:rPr>
        <w:t>a</w:t>
      </w:r>
      <w:proofErr w:type="spellEnd"/>
      <w:r w:rsidRPr="00A019FF">
        <w:rPr>
          <w:rFonts w:asciiTheme="majorHAnsi" w:hAnsiTheme="majorHAnsi"/>
          <w:sz w:val="20"/>
          <w:szCs w:val="20"/>
        </w:rPr>
        <w:t xml:space="preserve"> </w:t>
      </w:r>
      <w:r w:rsidR="00850628">
        <w:rPr>
          <w:rFonts w:asciiTheme="majorHAnsi" w:hAnsiTheme="majorHAnsi"/>
          <w:sz w:val="20"/>
          <w:szCs w:val="20"/>
        </w:rPr>
        <w:t>Includes all platinum based dual agent chemotherapy</w:t>
      </w:r>
      <w:r w:rsidRPr="00A019FF">
        <w:rPr>
          <w:rFonts w:asciiTheme="majorHAnsi" w:hAnsiTheme="majorHAnsi"/>
          <w:sz w:val="20"/>
          <w:szCs w:val="20"/>
        </w:rPr>
        <w:t xml:space="preserve"> </w:t>
      </w:r>
      <w:r w:rsidR="00850628">
        <w:rPr>
          <w:rFonts w:asciiTheme="majorHAnsi" w:hAnsiTheme="majorHAnsi"/>
          <w:sz w:val="20"/>
          <w:szCs w:val="20"/>
        </w:rPr>
        <w:t xml:space="preserve">regimen (e.g. </w:t>
      </w:r>
      <w:r w:rsidRPr="00A019FF">
        <w:rPr>
          <w:rFonts w:asciiTheme="majorHAnsi" w:hAnsiTheme="majorHAnsi"/>
          <w:sz w:val="20"/>
          <w:szCs w:val="20"/>
        </w:rPr>
        <w:t>cisplatin and fluorouracil</w:t>
      </w:r>
      <w:r w:rsidR="00850628">
        <w:rPr>
          <w:rFonts w:asciiTheme="majorHAnsi" w:hAnsiTheme="majorHAnsi"/>
          <w:sz w:val="20"/>
          <w:szCs w:val="20"/>
        </w:rPr>
        <w:t>)</w:t>
      </w:r>
    </w:p>
    <w:p w14:paraId="40594946" w14:textId="7543E720" w:rsidR="00A019FF" w:rsidRPr="00A019FF" w:rsidRDefault="00A019FF" w:rsidP="003A17C2">
      <w:pPr>
        <w:spacing w:line="360" w:lineRule="auto"/>
        <w:jc w:val="right"/>
        <w:rPr>
          <w:rFonts w:asciiTheme="majorHAnsi" w:hAnsiTheme="majorHAnsi"/>
          <w:sz w:val="20"/>
          <w:szCs w:val="20"/>
        </w:rPr>
      </w:pPr>
      <w:r w:rsidRPr="00A019FF">
        <w:rPr>
          <w:rFonts w:asciiTheme="majorHAnsi" w:hAnsiTheme="majorHAnsi"/>
          <w:sz w:val="20"/>
          <w:szCs w:val="20"/>
          <w:vertAlign w:val="superscript"/>
        </w:rPr>
        <w:t>b</w:t>
      </w:r>
      <w:r w:rsidR="00850628">
        <w:rPr>
          <w:rFonts w:asciiTheme="majorHAnsi" w:hAnsiTheme="majorHAnsi"/>
          <w:sz w:val="20"/>
          <w:szCs w:val="20"/>
        </w:rPr>
        <w:t xml:space="preserve"> Includes all epirubicin containing</w:t>
      </w:r>
      <w:r w:rsidR="00852A20">
        <w:rPr>
          <w:rFonts w:asciiTheme="majorHAnsi" w:hAnsiTheme="majorHAnsi"/>
          <w:sz w:val="20"/>
          <w:szCs w:val="20"/>
        </w:rPr>
        <w:t xml:space="preserve"> platinum based</w:t>
      </w:r>
      <w:r w:rsidR="00850628">
        <w:rPr>
          <w:rFonts w:asciiTheme="majorHAnsi" w:hAnsiTheme="majorHAnsi"/>
          <w:sz w:val="20"/>
          <w:szCs w:val="20"/>
        </w:rPr>
        <w:t xml:space="preserve"> triplet chemotherapy regimens (e.g. epirubicin, </w:t>
      </w:r>
      <w:r w:rsidRPr="00A019FF">
        <w:rPr>
          <w:rFonts w:asciiTheme="majorHAnsi" w:hAnsiTheme="majorHAnsi"/>
          <w:sz w:val="20"/>
          <w:szCs w:val="20"/>
        </w:rPr>
        <w:t>cisplatin and fluorouracil</w:t>
      </w:r>
      <w:r w:rsidR="00850628">
        <w:rPr>
          <w:rFonts w:asciiTheme="majorHAnsi" w:hAnsiTheme="majorHAnsi"/>
          <w:sz w:val="20"/>
          <w:szCs w:val="20"/>
        </w:rPr>
        <w:t>)</w:t>
      </w:r>
    </w:p>
    <w:p w14:paraId="59F3F8F7" w14:textId="0ACC9CCA" w:rsidR="00A019FF" w:rsidRPr="00AA553F" w:rsidRDefault="00A019FF" w:rsidP="00AA553F">
      <w:pPr>
        <w:spacing w:line="360" w:lineRule="auto"/>
        <w:jc w:val="right"/>
        <w:rPr>
          <w:rFonts w:asciiTheme="majorHAnsi" w:hAnsiTheme="majorHAnsi"/>
          <w:sz w:val="20"/>
          <w:szCs w:val="20"/>
        </w:rPr>
      </w:pPr>
      <w:r w:rsidRPr="00A019FF">
        <w:rPr>
          <w:rFonts w:asciiTheme="majorHAnsi" w:hAnsiTheme="majorHAnsi"/>
          <w:sz w:val="20"/>
          <w:szCs w:val="20"/>
          <w:vertAlign w:val="superscript"/>
        </w:rPr>
        <w:t>c</w:t>
      </w:r>
      <w:r w:rsidRPr="00A019FF">
        <w:rPr>
          <w:rFonts w:asciiTheme="majorHAnsi" w:hAnsiTheme="majorHAnsi"/>
          <w:sz w:val="20"/>
          <w:szCs w:val="20"/>
        </w:rPr>
        <w:t xml:space="preserve"> fluorouracil plus leucovorin, oxaliplatin, and docetaxel</w:t>
      </w:r>
    </w:p>
    <w:p w14:paraId="2B366A40" w14:textId="6196F1BD" w:rsidR="00A019FF" w:rsidRDefault="00A019FF" w:rsidP="000C697B">
      <w:pPr>
        <w:spacing w:line="360" w:lineRule="auto"/>
        <w:rPr>
          <w:rFonts w:ascii="Calibri" w:hAnsi="Calibri"/>
        </w:rPr>
      </w:pPr>
    </w:p>
    <w:p w14:paraId="76C4CD5A" w14:textId="7706F2E6" w:rsidR="00A019FF" w:rsidRDefault="00A019FF" w:rsidP="000C697B">
      <w:pPr>
        <w:spacing w:line="360" w:lineRule="auto"/>
        <w:rPr>
          <w:rFonts w:ascii="Calibri" w:hAnsi="Calibri"/>
        </w:rPr>
      </w:pPr>
    </w:p>
    <w:p w14:paraId="60A14F79" w14:textId="2772C0C8" w:rsidR="00A019FF" w:rsidRDefault="00A019FF" w:rsidP="000C697B">
      <w:pPr>
        <w:spacing w:line="360" w:lineRule="auto"/>
        <w:rPr>
          <w:rFonts w:ascii="Calibri" w:hAnsi="Calibri"/>
        </w:rPr>
      </w:pPr>
    </w:p>
    <w:p w14:paraId="23F214B5" w14:textId="574413D9" w:rsidR="00D604BE" w:rsidRDefault="00D604BE">
      <w:pPr>
        <w:rPr>
          <w:rFonts w:ascii="Calibri" w:hAnsi="Calibri"/>
        </w:rPr>
      </w:pPr>
    </w:p>
    <w:p w14:paraId="750EC84F" w14:textId="179BDA54" w:rsidR="00346C01" w:rsidRDefault="00346C01">
      <w:pPr>
        <w:rPr>
          <w:rFonts w:ascii="Calibri" w:hAnsi="Calibri"/>
        </w:rPr>
      </w:pPr>
      <w:r>
        <w:rPr>
          <w:rFonts w:ascii="Calibri" w:hAnsi="Calibri"/>
        </w:rPr>
        <w:br w:type="page"/>
      </w:r>
    </w:p>
    <w:p w14:paraId="0385B1A7" w14:textId="3995F95B" w:rsidR="000C697B" w:rsidRPr="000C697B" w:rsidRDefault="000C697B" w:rsidP="00303EE5">
      <w:pPr>
        <w:spacing w:line="360" w:lineRule="auto"/>
        <w:rPr>
          <w:rFonts w:ascii="Calibri" w:hAnsi="Calibri"/>
          <w:sz w:val="22"/>
          <w:szCs w:val="22"/>
        </w:rPr>
      </w:pPr>
      <w:r w:rsidRPr="000C697B">
        <w:rPr>
          <w:rFonts w:ascii="Calibri" w:hAnsi="Calibri"/>
          <w:b/>
          <w:bCs/>
          <w:sz w:val="22"/>
          <w:szCs w:val="22"/>
        </w:rPr>
        <w:lastRenderedPageBreak/>
        <w:t xml:space="preserve">Supplementary </w:t>
      </w:r>
      <w:r w:rsidR="00A27AFA">
        <w:rPr>
          <w:rFonts w:ascii="Calibri" w:hAnsi="Calibri"/>
          <w:b/>
          <w:bCs/>
          <w:sz w:val="22"/>
          <w:szCs w:val="22"/>
        </w:rPr>
        <w:t>T</w:t>
      </w:r>
      <w:r w:rsidRPr="000C697B">
        <w:rPr>
          <w:rFonts w:ascii="Calibri" w:hAnsi="Calibri"/>
          <w:b/>
          <w:bCs/>
          <w:sz w:val="22"/>
          <w:szCs w:val="22"/>
        </w:rPr>
        <w:t xml:space="preserve">able </w:t>
      </w:r>
      <w:r w:rsidR="00346C01">
        <w:rPr>
          <w:rFonts w:ascii="Calibri" w:hAnsi="Calibri"/>
          <w:b/>
          <w:bCs/>
          <w:sz w:val="22"/>
          <w:szCs w:val="22"/>
        </w:rPr>
        <w:t>3</w:t>
      </w:r>
      <w:r w:rsidRPr="000C697B">
        <w:rPr>
          <w:rFonts w:ascii="Calibri" w:hAnsi="Calibri"/>
          <w:b/>
          <w:bCs/>
          <w:sz w:val="22"/>
          <w:szCs w:val="22"/>
        </w:rPr>
        <w:t>.</w:t>
      </w:r>
      <w:r w:rsidRPr="000C697B">
        <w:rPr>
          <w:rFonts w:ascii="Calibri" w:hAnsi="Calibri"/>
          <w:sz w:val="22"/>
          <w:szCs w:val="22"/>
        </w:rPr>
        <w:t xml:space="preserve"> Hazard ratios (HR) with 95% confidence intervals (CI) of survival in patients having undergone neoadjuvant chemotherapy following by surgical resection for </w:t>
      </w:r>
      <w:proofErr w:type="spellStart"/>
      <w:r w:rsidR="0019785E">
        <w:rPr>
          <w:rFonts w:ascii="Calibri" w:hAnsi="Calibri"/>
          <w:sz w:val="22"/>
          <w:szCs w:val="22"/>
        </w:rPr>
        <w:t>esophageal</w:t>
      </w:r>
      <w:proofErr w:type="spellEnd"/>
      <w:r w:rsidRPr="000C697B">
        <w:rPr>
          <w:rFonts w:ascii="Calibri" w:hAnsi="Calibri"/>
          <w:sz w:val="22"/>
          <w:szCs w:val="22"/>
        </w:rPr>
        <w:t xml:space="preserve"> adenocarcinoma stratified by pathological nodal stage</w:t>
      </w:r>
      <w:r w:rsidR="00D60BBD">
        <w:rPr>
          <w:rFonts w:ascii="Calibri" w:hAnsi="Calibri"/>
          <w:sz w:val="22"/>
          <w:szCs w:val="22"/>
        </w:rPr>
        <w:t xml:space="preserve"> and primary </w:t>
      </w:r>
      <w:proofErr w:type="spellStart"/>
      <w:r w:rsidR="0019785E">
        <w:rPr>
          <w:rFonts w:ascii="Calibri" w:hAnsi="Calibri"/>
          <w:sz w:val="22"/>
          <w:szCs w:val="22"/>
        </w:rPr>
        <w:t>tumor</w:t>
      </w:r>
      <w:proofErr w:type="spellEnd"/>
      <w:r w:rsidR="00D60BBD">
        <w:rPr>
          <w:rFonts w:ascii="Calibri" w:hAnsi="Calibri"/>
          <w:sz w:val="22"/>
          <w:szCs w:val="22"/>
        </w:rPr>
        <w:t xml:space="preserve"> regression</w:t>
      </w:r>
      <w:r w:rsidRPr="000C697B">
        <w:rPr>
          <w:rFonts w:ascii="Calibri" w:hAnsi="Calibri"/>
          <w:sz w:val="22"/>
          <w:szCs w:val="22"/>
        </w:rPr>
        <w:t>.</w:t>
      </w:r>
    </w:p>
    <w:tbl>
      <w:tblPr>
        <w:tblStyle w:val="TableGrid"/>
        <w:tblW w:w="10916" w:type="dxa"/>
        <w:jc w:val="center"/>
        <w:tblLayout w:type="fixed"/>
        <w:tblLook w:val="04A0" w:firstRow="1" w:lastRow="0" w:firstColumn="1" w:lastColumn="0" w:noHBand="0" w:noVBand="1"/>
      </w:tblPr>
      <w:tblGrid>
        <w:gridCol w:w="2410"/>
        <w:gridCol w:w="2269"/>
        <w:gridCol w:w="1559"/>
        <w:gridCol w:w="1559"/>
        <w:gridCol w:w="1559"/>
        <w:gridCol w:w="1560"/>
      </w:tblGrid>
      <w:tr w:rsidR="000C697B" w:rsidRPr="002371AA" w14:paraId="0FEA4479" w14:textId="77777777" w:rsidTr="000004D8">
        <w:trPr>
          <w:trHeight w:val="223"/>
          <w:jc w:val="center"/>
        </w:trPr>
        <w:tc>
          <w:tcPr>
            <w:tcW w:w="2410" w:type="dxa"/>
            <w:tcBorders>
              <w:left w:val="nil"/>
              <w:bottom w:val="nil"/>
              <w:right w:val="nil"/>
            </w:tcBorders>
            <w:shd w:val="clear" w:color="auto" w:fill="D9D9D9" w:themeFill="background1" w:themeFillShade="D9"/>
            <w:vAlign w:val="center"/>
          </w:tcPr>
          <w:p w14:paraId="3AFD12D5" w14:textId="77777777" w:rsidR="000C697B" w:rsidRPr="00115E01" w:rsidRDefault="000C697B" w:rsidP="003E1460">
            <w:pPr>
              <w:spacing w:line="480" w:lineRule="auto"/>
              <w:rPr>
                <w:rFonts w:asciiTheme="majorHAnsi" w:hAnsiTheme="majorHAnsi" w:cstheme="majorHAnsi"/>
                <w:sz w:val="20"/>
                <w:szCs w:val="20"/>
              </w:rPr>
            </w:pPr>
          </w:p>
        </w:tc>
        <w:tc>
          <w:tcPr>
            <w:tcW w:w="2269" w:type="dxa"/>
            <w:tcBorders>
              <w:left w:val="nil"/>
              <w:bottom w:val="nil"/>
              <w:right w:val="nil"/>
            </w:tcBorders>
            <w:shd w:val="clear" w:color="auto" w:fill="D9D9D9" w:themeFill="background1" w:themeFillShade="D9"/>
          </w:tcPr>
          <w:p w14:paraId="19C853F1" w14:textId="77777777" w:rsidR="000C697B" w:rsidRPr="00115E01" w:rsidRDefault="000C697B" w:rsidP="003E1460">
            <w:pPr>
              <w:spacing w:line="480" w:lineRule="auto"/>
              <w:jc w:val="center"/>
              <w:rPr>
                <w:rFonts w:asciiTheme="majorHAnsi" w:hAnsiTheme="majorHAnsi" w:cstheme="majorHAnsi"/>
                <w:sz w:val="20"/>
                <w:szCs w:val="20"/>
              </w:rPr>
            </w:pPr>
          </w:p>
        </w:tc>
        <w:tc>
          <w:tcPr>
            <w:tcW w:w="3118" w:type="dxa"/>
            <w:gridSpan w:val="2"/>
            <w:tcBorders>
              <w:left w:val="nil"/>
              <w:bottom w:val="nil"/>
              <w:right w:val="nil"/>
            </w:tcBorders>
            <w:shd w:val="clear" w:color="auto" w:fill="D9D9D9" w:themeFill="background1" w:themeFillShade="D9"/>
            <w:vAlign w:val="center"/>
          </w:tcPr>
          <w:p w14:paraId="354900DE" w14:textId="77777777" w:rsidR="000C697B" w:rsidRPr="00115E01" w:rsidRDefault="000C697B" w:rsidP="003E1460">
            <w:pPr>
              <w:spacing w:line="480" w:lineRule="auto"/>
              <w:jc w:val="center"/>
              <w:rPr>
                <w:rFonts w:asciiTheme="majorHAnsi" w:hAnsiTheme="majorHAnsi" w:cstheme="majorHAnsi"/>
                <w:b/>
                <w:bCs/>
                <w:i/>
                <w:iCs/>
                <w:sz w:val="20"/>
                <w:szCs w:val="20"/>
              </w:rPr>
            </w:pPr>
            <w:r w:rsidRPr="00115E01">
              <w:rPr>
                <w:rFonts w:asciiTheme="majorHAnsi" w:hAnsiTheme="majorHAnsi" w:cstheme="majorHAnsi"/>
                <w:b/>
                <w:bCs/>
                <w:i/>
                <w:iCs/>
                <w:sz w:val="20"/>
                <w:szCs w:val="20"/>
              </w:rPr>
              <w:t>Overall survival</w:t>
            </w:r>
          </w:p>
        </w:tc>
        <w:tc>
          <w:tcPr>
            <w:tcW w:w="3119" w:type="dxa"/>
            <w:gridSpan w:val="2"/>
            <w:tcBorders>
              <w:left w:val="nil"/>
              <w:bottom w:val="nil"/>
              <w:right w:val="nil"/>
            </w:tcBorders>
            <w:shd w:val="clear" w:color="auto" w:fill="D9D9D9" w:themeFill="background1" w:themeFillShade="D9"/>
            <w:vAlign w:val="center"/>
          </w:tcPr>
          <w:p w14:paraId="4CB326F4" w14:textId="77777777" w:rsidR="000C697B" w:rsidRPr="00115E01" w:rsidRDefault="000C697B" w:rsidP="003E1460">
            <w:pPr>
              <w:spacing w:line="480" w:lineRule="auto"/>
              <w:jc w:val="center"/>
              <w:rPr>
                <w:rFonts w:asciiTheme="majorHAnsi" w:hAnsiTheme="majorHAnsi" w:cstheme="majorHAnsi"/>
                <w:b/>
                <w:bCs/>
                <w:i/>
                <w:iCs/>
                <w:sz w:val="20"/>
                <w:szCs w:val="20"/>
              </w:rPr>
            </w:pPr>
            <w:r w:rsidRPr="00115E01">
              <w:rPr>
                <w:rFonts w:asciiTheme="majorHAnsi" w:hAnsiTheme="majorHAnsi" w:cstheme="majorHAnsi"/>
                <w:b/>
                <w:bCs/>
                <w:i/>
                <w:iCs/>
                <w:sz w:val="20"/>
                <w:szCs w:val="20"/>
              </w:rPr>
              <w:t>Disease-free survival</w:t>
            </w:r>
          </w:p>
        </w:tc>
      </w:tr>
      <w:tr w:rsidR="000C697B" w:rsidRPr="002371AA" w14:paraId="2FA17D2B" w14:textId="77777777" w:rsidTr="000004D8">
        <w:trPr>
          <w:trHeight w:val="872"/>
          <w:jc w:val="center"/>
        </w:trPr>
        <w:tc>
          <w:tcPr>
            <w:tcW w:w="2410" w:type="dxa"/>
            <w:tcBorders>
              <w:top w:val="nil"/>
              <w:left w:val="nil"/>
              <w:bottom w:val="single" w:sz="4" w:space="0" w:color="auto"/>
              <w:right w:val="nil"/>
            </w:tcBorders>
            <w:shd w:val="clear" w:color="auto" w:fill="D9D9D9" w:themeFill="background1" w:themeFillShade="D9"/>
            <w:vAlign w:val="center"/>
          </w:tcPr>
          <w:p w14:paraId="295183AA" w14:textId="77777777" w:rsidR="000C697B" w:rsidRPr="00115E01" w:rsidRDefault="000C697B" w:rsidP="003E1460">
            <w:pPr>
              <w:spacing w:line="480" w:lineRule="auto"/>
              <w:rPr>
                <w:rFonts w:asciiTheme="majorHAnsi" w:hAnsiTheme="majorHAnsi" w:cstheme="majorHAnsi"/>
                <w:sz w:val="20"/>
                <w:szCs w:val="20"/>
              </w:rPr>
            </w:pPr>
          </w:p>
        </w:tc>
        <w:tc>
          <w:tcPr>
            <w:tcW w:w="2269" w:type="dxa"/>
            <w:tcBorders>
              <w:top w:val="nil"/>
              <w:left w:val="nil"/>
              <w:bottom w:val="single" w:sz="4" w:space="0" w:color="auto"/>
              <w:right w:val="nil"/>
            </w:tcBorders>
            <w:shd w:val="clear" w:color="auto" w:fill="D9D9D9" w:themeFill="background1" w:themeFillShade="D9"/>
          </w:tcPr>
          <w:p w14:paraId="3734E2F4" w14:textId="77777777" w:rsidR="000C697B" w:rsidRPr="00115E01" w:rsidRDefault="000C697B" w:rsidP="003E1460">
            <w:pPr>
              <w:spacing w:line="480" w:lineRule="auto"/>
              <w:jc w:val="center"/>
              <w:rPr>
                <w:rFonts w:asciiTheme="majorHAnsi" w:hAnsiTheme="majorHAnsi" w:cstheme="majorHAnsi"/>
                <w:sz w:val="20"/>
                <w:szCs w:val="20"/>
              </w:rPr>
            </w:pPr>
          </w:p>
        </w:tc>
        <w:tc>
          <w:tcPr>
            <w:tcW w:w="1559" w:type="dxa"/>
            <w:tcBorders>
              <w:top w:val="nil"/>
              <w:left w:val="nil"/>
              <w:bottom w:val="single" w:sz="4" w:space="0" w:color="auto"/>
              <w:right w:val="nil"/>
            </w:tcBorders>
            <w:shd w:val="clear" w:color="auto" w:fill="D9D9D9" w:themeFill="background1" w:themeFillShade="D9"/>
            <w:vAlign w:val="center"/>
          </w:tcPr>
          <w:p w14:paraId="02F38E73" w14:textId="77777777" w:rsidR="000C697B" w:rsidRPr="00115E01" w:rsidRDefault="000C697B" w:rsidP="003E1460">
            <w:pPr>
              <w:spacing w:line="480" w:lineRule="auto"/>
              <w:jc w:val="center"/>
              <w:rPr>
                <w:rFonts w:asciiTheme="majorHAnsi" w:hAnsiTheme="majorHAnsi" w:cstheme="majorHAnsi"/>
                <w:b/>
                <w:bCs/>
                <w:sz w:val="20"/>
                <w:szCs w:val="20"/>
              </w:rPr>
            </w:pPr>
            <w:r w:rsidRPr="00115E01">
              <w:rPr>
                <w:rFonts w:asciiTheme="majorHAnsi" w:hAnsiTheme="majorHAnsi" w:cstheme="majorHAnsi"/>
                <w:b/>
                <w:bCs/>
                <w:sz w:val="20"/>
                <w:szCs w:val="20"/>
              </w:rPr>
              <w:t>Crude</w:t>
            </w:r>
          </w:p>
          <w:p w14:paraId="54AC8327" w14:textId="77777777" w:rsidR="000C697B" w:rsidRPr="00115E01" w:rsidRDefault="000C697B" w:rsidP="003E1460">
            <w:pPr>
              <w:spacing w:line="480" w:lineRule="auto"/>
              <w:jc w:val="center"/>
              <w:rPr>
                <w:rFonts w:asciiTheme="majorHAnsi" w:hAnsiTheme="majorHAnsi" w:cstheme="majorHAnsi"/>
                <w:i/>
                <w:iCs/>
                <w:sz w:val="20"/>
                <w:szCs w:val="20"/>
              </w:rPr>
            </w:pPr>
            <w:r w:rsidRPr="00115E01">
              <w:rPr>
                <w:rFonts w:asciiTheme="majorHAnsi" w:hAnsiTheme="majorHAnsi" w:cstheme="majorHAnsi"/>
                <w:i/>
                <w:iCs/>
                <w:sz w:val="20"/>
                <w:szCs w:val="20"/>
              </w:rPr>
              <w:t>HR (95% CI)</w:t>
            </w:r>
          </w:p>
        </w:tc>
        <w:tc>
          <w:tcPr>
            <w:tcW w:w="1559" w:type="dxa"/>
            <w:tcBorders>
              <w:top w:val="nil"/>
              <w:left w:val="nil"/>
              <w:bottom w:val="single" w:sz="4" w:space="0" w:color="auto"/>
              <w:right w:val="nil"/>
            </w:tcBorders>
            <w:shd w:val="clear" w:color="auto" w:fill="D9D9D9" w:themeFill="background1" w:themeFillShade="D9"/>
            <w:vAlign w:val="center"/>
          </w:tcPr>
          <w:p w14:paraId="793063E8" w14:textId="77777777" w:rsidR="000C697B" w:rsidRPr="00115E01" w:rsidRDefault="000C697B" w:rsidP="003E1460">
            <w:pPr>
              <w:spacing w:line="480" w:lineRule="auto"/>
              <w:jc w:val="center"/>
              <w:rPr>
                <w:rFonts w:asciiTheme="majorHAnsi" w:hAnsiTheme="majorHAnsi" w:cstheme="majorHAnsi"/>
                <w:b/>
                <w:bCs/>
                <w:sz w:val="20"/>
                <w:szCs w:val="20"/>
              </w:rPr>
            </w:pPr>
            <w:r w:rsidRPr="00115E01">
              <w:rPr>
                <w:rFonts w:asciiTheme="majorHAnsi" w:hAnsiTheme="majorHAnsi" w:cstheme="majorHAnsi"/>
                <w:b/>
                <w:bCs/>
                <w:sz w:val="20"/>
                <w:szCs w:val="20"/>
              </w:rPr>
              <w:t xml:space="preserve">Adjusted </w:t>
            </w:r>
            <w:r w:rsidRPr="00115E01">
              <w:rPr>
                <w:rFonts w:asciiTheme="majorHAnsi" w:hAnsiTheme="majorHAnsi" w:cstheme="majorHAnsi"/>
                <w:b/>
                <w:bCs/>
                <w:sz w:val="20"/>
                <w:szCs w:val="20"/>
                <w:vertAlign w:val="superscript"/>
              </w:rPr>
              <w:t>a</w:t>
            </w:r>
          </w:p>
          <w:p w14:paraId="5075ABF9" w14:textId="77777777" w:rsidR="000C697B" w:rsidRPr="00115E01" w:rsidRDefault="000C697B" w:rsidP="003E1460">
            <w:pPr>
              <w:spacing w:line="480" w:lineRule="auto"/>
              <w:jc w:val="center"/>
              <w:rPr>
                <w:rFonts w:asciiTheme="majorHAnsi" w:hAnsiTheme="majorHAnsi" w:cstheme="majorHAnsi"/>
                <w:i/>
                <w:iCs/>
                <w:sz w:val="20"/>
                <w:szCs w:val="20"/>
              </w:rPr>
            </w:pPr>
            <w:r w:rsidRPr="00115E01">
              <w:rPr>
                <w:rFonts w:asciiTheme="majorHAnsi" w:hAnsiTheme="majorHAnsi" w:cstheme="majorHAnsi"/>
                <w:i/>
                <w:iCs/>
                <w:sz w:val="20"/>
                <w:szCs w:val="20"/>
              </w:rPr>
              <w:t>HR (95% CI)</w:t>
            </w:r>
          </w:p>
        </w:tc>
        <w:tc>
          <w:tcPr>
            <w:tcW w:w="1559" w:type="dxa"/>
            <w:tcBorders>
              <w:top w:val="nil"/>
              <w:left w:val="nil"/>
              <w:bottom w:val="single" w:sz="4" w:space="0" w:color="auto"/>
              <w:right w:val="nil"/>
            </w:tcBorders>
            <w:shd w:val="clear" w:color="auto" w:fill="D9D9D9" w:themeFill="background1" w:themeFillShade="D9"/>
            <w:vAlign w:val="center"/>
          </w:tcPr>
          <w:p w14:paraId="4D53507D" w14:textId="77777777" w:rsidR="000C697B" w:rsidRPr="00115E01" w:rsidRDefault="000C697B" w:rsidP="003E1460">
            <w:pPr>
              <w:spacing w:line="480" w:lineRule="auto"/>
              <w:jc w:val="center"/>
              <w:rPr>
                <w:rFonts w:asciiTheme="majorHAnsi" w:hAnsiTheme="majorHAnsi" w:cstheme="majorHAnsi"/>
                <w:b/>
                <w:bCs/>
                <w:sz w:val="20"/>
                <w:szCs w:val="20"/>
              </w:rPr>
            </w:pPr>
            <w:r w:rsidRPr="00115E01">
              <w:rPr>
                <w:rFonts w:asciiTheme="majorHAnsi" w:hAnsiTheme="majorHAnsi" w:cstheme="majorHAnsi"/>
                <w:b/>
                <w:bCs/>
                <w:sz w:val="20"/>
                <w:szCs w:val="20"/>
              </w:rPr>
              <w:t>Crude</w:t>
            </w:r>
          </w:p>
          <w:p w14:paraId="1043ADDF" w14:textId="77777777" w:rsidR="000C697B" w:rsidRPr="00115E01" w:rsidRDefault="000C697B" w:rsidP="003E1460">
            <w:pPr>
              <w:spacing w:line="480" w:lineRule="auto"/>
              <w:jc w:val="center"/>
              <w:rPr>
                <w:rFonts w:asciiTheme="majorHAnsi" w:hAnsiTheme="majorHAnsi" w:cstheme="majorHAnsi"/>
                <w:sz w:val="20"/>
                <w:szCs w:val="20"/>
              </w:rPr>
            </w:pPr>
            <w:r w:rsidRPr="00115E01">
              <w:rPr>
                <w:rFonts w:asciiTheme="majorHAnsi" w:hAnsiTheme="majorHAnsi" w:cstheme="majorHAnsi"/>
                <w:i/>
                <w:iCs/>
                <w:sz w:val="20"/>
                <w:szCs w:val="20"/>
              </w:rPr>
              <w:t>HR (95% CI)</w:t>
            </w:r>
          </w:p>
        </w:tc>
        <w:tc>
          <w:tcPr>
            <w:tcW w:w="1560" w:type="dxa"/>
            <w:tcBorders>
              <w:top w:val="nil"/>
              <w:left w:val="nil"/>
              <w:bottom w:val="single" w:sz="4" w:space="0" w:color="auto"/>
              <w:right w:val="nil"/>
            </w:tcBorders>
            <w:shd w:val="clear" w:color="auto" w:fill="D9D9D9" w:themeFill="background1" w:themeFillShade="D9"/>
            <w:vAlign w:val="center"/>
          </w:tcPr>
          <w:p w14:paraId="0F71EB0D" w14:textId="77777777" w:rsidR="000C697B" w:rsidRPr="00115E01" w:rsidRDefault="000C697B" w:rsidP="003E1460">
            <w:pPr>
              <w:spacing w:line="480" w:lineRule="auto"/>
              <w:jc w:val="center"/>
              <w:rPr>
                <w:rFonts w:asciiTheme="majorHAnsi" w:hAnsiTheme="majorHAnsi" w:cstheme="majorHAnsi"/>
                <w:b/>
                <w:bCs/>
                <w:sz w:val="20"/>
                <w:szCs w:val="20"/>
                <w:vertAlign w:val="superscript"/>
              </w:rPr>
            </w:pPr>
            <w:r w:rsidRPr="00115E01">
              <w:rPr>
                <w:rFonts w:asciiTheme="majorHAnsi" w:hAnsiTheme="majorHAnsi" w:cstheme="majorHAnsi"/>
                <w:b/>
                <w:bCs/>
                <w:sz w:val="20"/>
                <w:szCs w:val="20"/>
              </w:rPr>
              <w:t xml:space="preserve">Adjusted </w:t>
            </w:r>
            <w:r w:rsidRPr="00115E01">
              <w:rPr>
                <w:rFonts w:asciiTheme="majorHAnsi" w:hAnsiTheme="majorHAnsi" w:cstheme="majorHAnsi"/>
                <w:b/>
                <w:bCs/>
                <w:sz w:val="20"/>
                <w:szCs w:val="20"/>
                <w:vertAlign w:val="superscript"/>
              </w:rPr>
              <w:t>a</w:t>
            </w:r>
          </w:p>
          <w:p w14:paraId="20531D8D" w14:textId="77777777" w:rsidR="000C697B" w:rsidRPr="00115E01" w:rsidRDefault="000C697B" w:rsidP="003E1460">
            <w:pPr>
              <w:spacing w:line="480" w:lineRule="auto"/>
              <w:jc w:val="center"/>
              <w:rPr>
                <w:rFonts w:asciiTheme="majorHAnsi" w:hAnsiTheme="majorHAnsi" w:cstheme="majorHAnsi"/>
                <w:i/>
                <w:iCs/>
                <w:sz w:val="20"/>
                <w:szCs w:val="20"/>
              </w:rPr>
            </w:pPr>
            <w:r w:rsidRPr="00115E01">
              <w:rPr>
                <w:rFonts w:asciiTheme="majorHAnsi" w:hAnsiTheme="majorHAnsi" w:cstheme="majorHAnsi"/>
                <w:i/>
                <w:iCs/>
                <w:sz w:val="20"/>
                <w:szCs w:val="20"/>
              </w:rPr>
              <w:t>HR (95% CI)</w:t>
            </w:r>
          </w:p>
        </w:tc>
      </w:tr>
      <w:tr w:rsidR="000004D8" w:rsidRPr="002371AA" w14:paraId="384ECDCB" w14:textId="77777777" w:rsidTr="000004D8">
        <w:trPr>
          <w:trHeight w:val="577"/>
          <w:jc w:val="center"/>
        </w:trPr>
        <w:tc>
          <w:tcPr>
            <w:tcW w:w="2410" w:type="dxa"/>
            <w:vMerge w:val="restart"/>
            <w:tcBorders>
              <w:top w:val="single" w:sz="4" w:space="0" w:color="auto"/>
              <w:left w:val="nil"/>
              <w:bottom w:val="nil"/>
              <w:right w:val="nil"/>
            </w:tcBorders>
            <w:vAlign w:val="center"/>
          </w:tcPr>
          <w:p w14:paraId="614BB761" w14:textId="77777777" w:rsidR="000004D8" w:rsidRPr="00115E01" w:rsidRDefault="000004D8" w:rsidP="000004D8">
            <w:pPr>
              <w:spacing w:line="480" w:lineRule="auto"/>
              <w:rPr>
                <w:rFonts w:asciiTheme="majorHAnsi" w:hAnsiTheme="majorHAnsi" w:cstheme="majorHAnsi"/>
                <w:sz w:val="20"/>
                <w:szCs w:val="20"/>
              </w:rPr>
            </w:pPr>
            <w:r w:rsidRPr="00115E01">
              <w:rPr>
                <w:rFonts w:asciiTheme="majorHAnsi" w:hAnsiTheme="majorHAnsi" w:cstheme="majorHAnsi"/>
                <w:b/>
                <w:bCs/>
                <w:sz w:val="20"/>
              </w:rPr>
              <w:t>ypN1</w:t>
            </w:r>
            <w:r w:rsidRPr="00115E01">
              <w:rPr>
                <w:rFonts w:asciiTheme="majorHAnsi" w:hAnsiTheme="majorHAnsi" w:cstheme="majorHAnsi"/>
                <w:sz w:val="20"/>
              </w:rPr>
              <w:t xml:space="preserve"> </w:t>
            </w:r>
            <w:r w:rsidRPr="00115E01">
              <w:rPr>
                <w:rFonts w:asciiTheme="majorHAnsi" w:hAnsiTheme="majorHAnsi" w:cstheme="majorHAnsi"/>
                <w:i/>
                <w:iCs/>
                <w:sz w:val="20"/>
              </w:rPr>
              <w:t>(n=192)</w:t>
            </w:r>
          </w:p>
        </w:tc>
        <w:tc>
          <w:tcPr>
            <w:tcW w:w="2269" w:type="dxa"/>
            <w:tcBorders>
              <w:top w:val="single" w:sz="4" w:space="0" w:color="auto"/>
              <w:left w:val="nil"/>
              <w:bottom w:val="nil"/>
              <w:right w:val="nil"/>
            </w:tcBorders>
            <w:vAlign w:val="center"/>
          </w:tcPr>
          <w:p w14:paraId="30C6FF7F" w14:textId="5573908B" w:rsidR="000004D8" w:rsidRPr="000004D8" w:rsidRDefault="000004D8" w:rsidP="000004D8">
            <w:pPr>
              <w:spacing w:line="480" w:lineRule="auto"/>
              <w:rPr>
                <w:rFonts w:asciiTheme="majorHAnsi" w:hAnsiTheme="majorHAnsi" w:cstheme="majorHAnsi"/>
                <w:sz w:val="20"/>
                <w:szCs w:val="20"/>
                <w:vertAlign w:val="superscript"/>
              </w:rPr>
            </w:pPr>
            <w:r>
              <w:rPr>
                <w:rFonts w:asciiTheme="majorHAnsi" w:hAnsiTheme="majorHAnsi" w:cstheme="majorHAnsi"/>
                <w:sz w:val="20"/>
                <w:szCs w:val="20"/>
              </w:rPr>
              <w:t>Poor/n</w:t>
            </w:r>
            <w:r w:rsidRPr="00115E01">
              <w:rPr>
                <w:rFonts w:asciiTheme="majorHAnsi" w:hAnsiTheme="majorHAnsi" w:cstheme="majorHAnsi"/>
                <w:sz w:val="20"/>
                <w:szCs w:val="20"/>
              </w:rPr>
              <w:t xml:space="preserve">o </w:t>
            </w:r>
            <w:r>
              <w:rPr>
                <w:rFonts w:asciiTheme="majorHAnsi" w:hAnsiTheme="majorHAnsi" w:cstheme="majorHAnsi"/>
                <w:sz w:val="20"/>
                <w:szCs w:val="20"/>
              </w:rPr>
              <w:t xml:space="preserve">LN </w:t>
            </w:r>
            <w:r w:rsidRPr="00115E01">
              <w:rPr>
                <w:rFonts w:asciiTheme="majorHAnsi" w:hAnsiTheme="majorHAnsi" w:cstheme="majorHAnsi"/>
                <w:sz w:val="20"/>
                <w:szCs w:val="20"/>
              </w:rPr>
              <w:t xml:space="preserve">response </w:t>
            </w:r>
            <w:r>
              <w:rPr>
                <w:rFonts w:asciiTheme="majorHAnsi" w:hAnsiTheme="majorHAnsi" w:cstheme="majorHAnsi"/>
                <w:sz w:val="20"/>
                <w:szCs w:val="20"/>
                <w:vertAlign w:val="superscript"/>
              </w:rPr>
              <w:t>b</w:t>
            </w:r>
          </w:p>
        </w:tc>
        <w:tc>
          <w:tcPr>
            <w:tcW w:w="1559" w:type="dxa"/>
            <w:tcBorders>
              <w:top w:val="single" w:sz="4" w:space="0" w:color="auto"/>
              <w:left w:val="nil"/>
              <w:bottom w:val="nil"/>
              <w:right w:val="nil"/>
            </w:tcBorders>
            <w:vAlign w:val="center"/>
          </w:tcPr>
          <w:p w14:paraId="5D447D42"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 (reference)</w:t>
            </w:r>
          </w:p>
        </w:tc>
        <w:tc>
          <w:tcPr>
            <w:tcW w:w="1559" w:type="dxa"/>
            <w:tcBorders>
              <w:top w:val="single" w:sz="4" w:space="0" w:color="auto"/>
              <w:left w:val="nil"/>
              <w:bottom w:val="nil"/>
              <w:right w:val="nil"/>
            </w:tcBorders>
            <w:vAlign w:val="center"/>
          </w:tcPr>
          <w:p w14:paraId="278629D1"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 (reference)</w:t>
            </w:r>
          </w:p>
        </w:tc>
        <w:tc>
          <w:tcPr>
            <w:tcW w:w="1559" w:type="dxa"/>
            <w:tcBorders>
              <w:top w:val="single" w:sz="4" w:space="0" w:color="auto"/>
              <w:left w:val="nil"/>
              <w:bottom w:val="nil"/>
              <w:right w:val="nil"/>
            </w:tcBorders>
            <w:vAlign w:val="center"/>
          </w:tcPr>
          <w:p w14:paraId="60FEEC6C"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 (reference)</w:t>
            </w:r>
          </w:p>
        </w:tc>
        <w:tc>
          <w:tcPr>
            <w:tcW w:w="1560" w:type="dxa"/>
            <w:tcBorders>
              <w:top w:val="single" w:sz="4" w:space="0" w:color="auto"/>
              <w:left w:val="nil"/>
              <w:bottom w:val="nil"/>
              <w:right w:val="nil"/>
            </w:tcBorders>
            <w:vAlign w:val="center"/>
          </w:tcPr>
          <w:p w14:paraId="2EC0DF99"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 (reference)</w:t>
            </w:r>
          </w:p>
        </w:tc>
      </w:tr>
      <w:tr w:rsidR="000004D8" w:rsidRPr="002371AA" w14:paraId="7C9F81CD" w14:textId="77777777" w:rsidTr="000004D8">
        <w:trPr>
          <w:trHeight w:val="79"/>
          <w:jc w:val="center"/>
        </w:trPr>
        <w:tc>
          <w:tcPr>
            <w:tcW w:w="2410" w:type="dxa"/>
            <w:vMerge/>
            <w:tcBorders>
              <w:top w:val="nil"/>
              <w:left w:val="nil"/>
              <w:bottom w:val="nil"/>
              <w:right w:val="nil"/>
            </w:tcBorders>
            <w:vAlign w:val="center"/>
          </w:tcPr>
          <w:p w14:paraId="4239BD16"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nil"/>
              <w:right w:val="nil"/>
            </w:tcBorders>
            <w:vAlign w:val="center"/>
          </w:tcPr>
          <w:p w14:paraId="3C17D4C0" w14:textId="50414EE3" w:rsidR="000004D8" w:rsidRPr="000004D8"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 xml:space="preserve">LN response </w:t>
            </w:r>
            <w:r>
              <w:rPr>
                <w:rFonts w:asciiTheme="majorHAnsi" w:hAnsiTheme="majorHAnsi" w:cstheme="majorHAnsi"/>
                <w:sz w:val="20"/>
                <w:szCs w:val="20"/>
                <w:vertAlign w:val="superscript"/>
              </w:rPr>
              <w:t>c</w:t>
            </w:r>
          </w:p>
        </w:tc>
        <w:tc>
          <w:tcPr>
            <w:tcW w:w="1559" w:type="dxa"/>
            <w:tcBorders>
              <w:top w:val="nil"/>
              <w:left w:val="nil"/>
              <w:bottom w:val="nil"/>
              <w:right w:val="nil"/>
            </w:tcBorders>
            <w:vAlign w:val="center"/>
          </w:tcPr>
          <w:p w14:paraId="7949A8D5" w14:textId="77777777" w:rsidR="000004D8" w:rsidRPr="00115E01" w:rsidRDefault="000004D8" w:rsidP="000004D8">
            <w:pPr>
              <w:spacing w:line="480" w:lineRule="auto"/>
              <w:jc w:val="center"/>
              <w:rPr>
                <w:rFonts w:asciiTheme="majorHAnsi" w:hAnsiTheme="majorHAnsi" w:cstheme="majorHAnsi"/>
                <w:color w:val="000000" w:themeColor="text1"/>
                <w:sz w:val="20"/>
                <w:szCs w:val="20"/>
              </w:rPr>
            </w:pPr>
            <w:r w:rsidRPr="00115E01">
              <w:rPr>
                <w:rFonts w:asciiTheme="majorHAnsi" w:hAnsiTheme="majorHAnsi" w:cstheme="majorHAnsi"/>
                <w:b/>
                <w:bCs/>
                <w:color w:val="000000" w:themeColor="text1"/>
                <w:sz w:val="20"/>
              </w:rPr>
              <w:t>0.73</w:t>
            </w:r>
            <w:r w:rsidRPr="00115E01">
              <w:rPr>
                <w:rFonts w:asciiTheme="majorHAnsi" w:hAnsiTheme="majorHAnsi" w:cstheme="majorHAnsi"/>
                <w:color w:val="000000" w:themeColor="text1"/>
                <w:sz w:val="20"/>
              </w:rPr>
              <w:t xml:space="preserve"> (0.49-1.08)</w:t>
            </w:r>
          </w:p>
        </w:tc>
        <w:tc>
          <w:tcPr>
            <w:tcW w:w="1559" w:type="dxa"/>
            <w:tcBorders>
              <w:top w:val="nil"/>
              <w:left w:val="nil"/>
              <w:bottom w:val="nil"/>
              <w:right w:val="nil"/>
            </w:tcBorders>
            <w:vAlign w:val="center"/>
          </w:tcPr>
          <w:p w14:paraId="19DEE07A" w14:textId="7D9E1112" w:rsidR="000004D8" w:rsidRPr="00115E01" w:rsidRDefault="000004D8" w:rsidP="000004D8">
            <w:pPr>
              <w:spacing w:line="480" w:lineRule="auto"/>
              <w:jc w:val="center"/>
              <w:rPr>
                <w:rFonts w:asciiTheme="majorHAnsi" w:hAnsiTheme="majorHAnsi" w:cstheme="majorHAnsi"/>
                <w:color w:val="000000" w:themeColor="text1"/>
                <w:sz w:val="20"/>
                <w:szCs w:val="20"/>
              </w:rPr>
            </w:pPr>
            <w:r w:rsidRPr="00115E01">
              <w:rPr>
                <w:rFonts w:asciiTheme="majorHAnsi" w:hAnsiTheme="majorHAnsi" w:cstheme="majorHAnsi"/>
                <w:b/>
                <w:bCs/>
                <w:color w:val="000000" w:themeColor="text1"/>
                <w:sz w:val="20"/>
              </w:rPr>
              <w:t>0.8</w:t>
            </w:r>
            <w:r>
              <w:rPr>
                <w:rFonts w:asciiTheme="majorHAnsi" w:hAnsiTheme="majorHAnsi" w:cstheme="majorHAnsi"/>
                <w:b/>
                <w:bCs/>
                <w:color w:val="000000" w:themeColor="text1"/>
                <w:sz w:val="20"/>
              </w:rPr>
              <w:t>7</w:t>
            </w:r>
            <w:r w:rsidRPr="00115E01">
              <w:rPr>
                <w:rFonts w:asciiTheme="majorHAnsi" w:hAnsiTheme="majorHAnsi" w:cstheme="majorHAnsi"/>
                <w:color w:val="000000" w:themeColor="text1"/>
                <w:sz w:val="20"/>
              </w:rPr>
              <w:t xml:space="preserve"> (0.5</w:t>
            </w:r>
            <w:r>
              <w:rPr>
                <w:rFonts w:asciiTheme="majorHAnsi" w:hAnsiTheme="majorHAnsi" w:cstheme="majorHAnsi"/>
                <w:color w:val="000000" w:themeColor="text1"/>
                <w:sz w:val="20"/>
              </w:rPr>
              <w:t>6</w:t>
            </w:r>
            <w:r w:rsidRPr="00115E01">
              <w:rPr>
                <w:rFonts w:asciiTheme="majorHAnsi" w:hAnsiTheme="majorHAnsi" w:cstheme="majorHAnsi"/>
                <w:color w:val="000000" w:themeColor="text1"/>
                <w:sz w:val="20"/>
              </w:rPr>
              <w:t>-1.</w:t>
            </w:r>
            <w:r>
              <w:rPr>
                <w:rFonts w:asciiTheme="majorHAnsi" w:hAnsiTheme="majorHAnsi" w:cstheme="majorHAnsi"/>
                <w:color w:val="000000" w:themeColor="text1"/>
                <w:sz w:val="20"/>
              </w:rPr>
              <w:t>34</w:t>
            </w:r>
            <w:r w:rsidRPr="00115E01">
              <w:rPr>
                <w:rFonts w:asciiTheme="majorHAnsi" w:hAnsiTheme="majorHAnsi" w:cstheme="majorHAnsi"/>
                <w:color w:val="000000" w:themeColor="text1"/>
                <w:sz w:val="20"/>
              </w:rPr>
              <w:t>)</w:t>
            </w:r>
          </w:p>
        </w:tc>
        <w:tc>
          <w:tcPr>
            <w:tcW w:w="1559" w:type="dxa"/>
            <w:tcBorders>
              <w:top w:val="nil"/>
              <w:left w:val="nil"/>
              <w:bottom w:val="nil"/>
              <w:right w:val="nil"/>
            </w:tcBorders>
            <w:vAlign w:val="center"/>
          </w:tcPr>
          <w:p w14:paraId="16566DC8" w14:textId="77777777" w:rsidR="000004D8" w:rsidRPr="00115E01" w:rsidRDefault="000004D8" w:rsidP="000004D8">
            <w:pPr>
              <w:spacing w:line="480" w:lineRule="auto"/>
              <w:jc w:val="center"/>
              <w:rPr>
                <w:rFonts w:asciiTheme="majorHAnsi" w:hAnsiTheme="majorHAnsi" w:cstheme="majorHAnsi"/>
                <w:b/>
                <w:bCs/>
                <w:color w:val="000000" w:themeColor="text1"/>
                <w:sz w:val="20"/>
              </w:rPr>
            </w:pPr>
            <w:r w:rsidRPr="00115E01">
              <w:rPr>
                <w:rFonts w:asciiTheme="majorHAnsi" w:hAnsiTheme="majorHAnsi" w:cstheme="majorHAnsi"/>
                <w:b/>
                <w:bCs/>
                <w:color w:val="000000" w:themeColor="text1"/>
                <w:sz w:val="20"/>
              </w:rPr>
              <w:t>0.85</w:t>
            </w:r>
            <w:r w:rsidRPr="00115E01">
              <w:rPr>
                <w:rFonts w:asciiTheme="majorHAnsi" w:hAnsiTheme="majorHAnsi" w:cstheme="majorHAnsi"/>
                <w:color w:val="000000" w:themeColor="text1"/>
                <w:sz w:val="20"/>
              </w:rPr>
              <w:t xml:space="preserve"> (0.59-1.23)</w:t>
            </w:r>
          </w:p>
        </w:tc>
        <w:tc>
          <w:tcPr>
            <w:tcW w:w="1560" w:type="dxa"/>
            <w:tcBorders>
              <w:top w:val="nil"/>
              <w:left w:val="nil"/>
              <w:bottom w:val="nil"/>
              <w:right w:val="nil"/>
            </w:tcBorders>
            <w:vAlign w:val="center"/>
          </w:tcPr>
          <w:p w14:paraId="0CBE53BF" w14:textId="43B4992A" w:rsidR="000004D8" w:rsidRPr="00115E01" w:rsidRDefault="000004D8" w:rsidP="000004D8">
            <w:pPr>
              <w:spacing w:line="480" w:lineRule="auto"/>
              <w:jc w:val="center"/>
              <w:rPr>
                <w:rFonts w:asciiTheme="majorHAnsi" w:hAnsiTheme="majorHAnsi" w:cstheme="majorHAnsi"/>
                <w:b/>
                <w:bCs/>
                <w:color w:val="000000" w:themeColor="text1"/>
                <w:sz w:val="20"/>
              </w:rPr>
            </w:pPr>
            <w:r w:rsidRPr="00115E01">
              <w:rPr>
                <w:rFonts w:asciiTheme="majorHAnsi" w:hAnsiTheme="majorHAnsi" w:cstheme="majorHAnsi"/>
                <w:b/>
                <w:bCs/>
                <w:color w:val="000000" w:themeColor="text1"/>
                <w:sz w:val="20"/>
              </w:rPr>
              <w:t>0.9</w:t>
            </w:r>
            <w:r>
              <w:rPr>
                <w:rFonts w:asciiTheme="majorHAnsi" w:hAnsiTheme="majorHAnsi" w:cstheme="majorHAnsi"/>
                <w:b/>
                <w:bCs/>
                <w:color w:val="000000" w:themeColor="text1"/>
                <w:sz w:val="20"/>
              </w:rPr>
              <w:t>5</w:t>
            </w:r>
            <w:r w:rsidRPr="00115E01">
              <w:rPr>
                <w:rFonts w:asciiTheme="majorHAnsi" w:hAnsiTheme="majorHAnsi" w:cstheme="majorHAnsi"/>
                <w:color w:val="000000" w:themeColor="text1"/>
                <w:sz w:val="20"/>
              </w:rPr>
              <w:t xml:space="preserve"> (0.6</w:t>
            </w:r>
            <w:r>
              <w:rPr>
                <w:rFonts w:asciiTheme="majorHAnsi" w:hAnsiTheme="majorHAnsi" w:cstheme="majorHAnsi"/>
                <w:color w:val="000000" w:themeColor="text1"/>
                <w:sz w:val="20"/>
              </w:rPr>
              <w:t>3</w:t>
            </w:r>
            <w:r w:rsidRPr="00115E01">
              <w:rPr>
                <w:rFonts w:asciiTheme="majorHAnsi" w:hAnsiTheme="majorHAnsi" w:cstheme="majorHAnsi"/>
                <w:color w:val="000000" w:themeColor="text1"/>
                <w:sz w:val="20"/>
              </w:rPr>
              <w:t>-1.</w:t>
            </w:r>
            <w:r>
              <w:rPr>
                <w:rFonts w:asciiTheme="majorHAnsi" w:hAnsiTheme="majorHAnsi" w:cstheme="majorHAnsi"/>
                <w:color w:val="000000" w:themeColor="text1"/>
                <w:sz w:val="20"/>
              </w:rPr>
              <w:t>44</w:t>
            </w:r>
            <w:r w:rsidRPr="00115E01">
              <w:rPr>
                <w:rFonts w:asciiTheme="majorHAnsi" w:hAnsiTheme="majorHAnsi" w:cstheme="majorHAnsi"/>
                <w:color w:val="000000" w:themeColor="text1"/>
                <w:sz w:val="20"/>
              </w:rPr>
              <w:t>)</w:t>
            </w:r>
          </w:p>
        </w:tc>
      </w:tr>
      <w:tr w:rsidR="000004D8" w:rsidRPr="002371AA" w14:paraId="319DF963" w14:textId="77777777" w:rsidTr="000004D8">
        <w:trPr>
          <w:trHeight w:val="676"/>
          <w:jc w:val="center"/>
        </w:trPr>
        <w:tc>
          <w:tcPr>
            <w:tcW w:w="2410" w:type="dxa"/>
            <w:vMerge w:val="restart"/>
            <w:tcBorders>
              <w:top w:val="single" w:sz="4" w:space="0" w:color="auto"/>
              <w:left w:val="nil"/>
              <w:bottom w:val="nil"/>
              <w:right w:val="nil"/>
            </w:tcBorders>
            <w:vAlign w:val="center"/>
          </w:tcPr>
          <w:p w14:paraId="0E439740" w14:textId="77777777" w:rsidR="000004D8" w:rsidRPr="00115E01" w:rsidRDefault="000004D8" w:rsidP="000004D8">
            <w:pPr>
              <w:spacing w:line="480" w:lineRule="auto"/>
              <w:rPr>
                <w:rFonts w:asciiTheme="majorHAnsi" w:hAnsiTheme="majorHAnsi" w:cstheme="majorHAnsi"/>
                <w:sz w:val="20"/>
                <w:szCs w:val="20"/>
              </w:rPr>
            </w:pPr>
            <w:r w:rsidRPr="00115E01">
              <w:rPr>
                <w:rFonts w:asciiTheme="majorHAnsi" w:hAnsiTheme="majorHAnsi" w:cstheme="majorHAnsi"/>
                <w:b/>
                <w:bCs/>
                <w:sz w:val="20"/>
              </w:rPr>
              <w:t xml:space="preserve">ypN2 </w:t>
            </w:r>
            <w:r w:rsidRPr="00115E01">
              <w:rPr>
                <w:rFonts w:asciiTheme="majorHAnsi" w:hAnsiTheme="majorHAnsi" w:cstheme="majorHAnsi"/>
                <w:i/>
                <w:iCs/>
                <w:sz w:val="20"/>
              </w:rPr>
              <w:t>(n=150)</w:t>
            </w:r>
          </w:p>
        </w:tc>
        <w:tc>
          <w:tcPr>
            <w:tcW w:w="2269" w:type="dxa"/>
            <w:tcBorders>
              <w:top w:val="single" w:sz="4" w:space="0" w:color="auto"/>
              <w:left w:val="nil"/>
              <w:bottom w:val="nil"/>
              <w:right w:val="nil"/>
            </w:tcBorders>
            <w:vAlign w:val="center"/>
          </w:tcPr>
          <w:p w14:paraId="520E3CCE" w14:textId="34620F6D"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Poor/n</w:t>
            </w:r>
            <w:r w:rsidRPr="00115E01">
              <w:rPr>
                <w:rFonts w:asciiTheme="majorHAnsi" w:hAnsiTheme="majorHAnsi" w:cstheme="majorHAnsi"/>
                <w:sz w:val="20"/>
                <w:szCs w:val="20"/>
              </w:rPr>
              <w:t xml:space="preserve">o </w:t>
            </w:r>
            <w:r>
              <w:rPr>
                <w:rFonts w:asciiTheme="majorHAnsi" w:hAnsiTheme="majorHAnsi" w:cstheme="majorHAnsi"/>
                <w:sz w:val="20"/>
                <w:szCs w:val="20"/>
              </w:rPr>
              <w:t xml:space="preserve">LN </w:t>
            </w:r>
            <w:r w:rsidRPr="00115E01">
              <w:rPr>
                <w:rFonts w:asciiTheme="majorHAnsi" w:hAnsiTheme="majorHAnsi" w:cstheme="majorHAnsi"/>
                <w:sz w:val="20"/>
                <w:szCs w:val="20"/>
              </w:rPr>
              <w:t xml:space="preserve">response </w:t>
            </w:r>
          </w:p>
        </w:tc>
        <w:tc>
          <w:tcPr>
            <w:tcW w:w="1559" w:type="dxa"/>
            <w:tcBorders>
              <w:top w:val="single" w:sz="4" w:space="0" w:color="auto"/>
              <w:left w:val="nil"/>
              <w:bottom w:val="nil"/>
              <w:right w:val="nil"/>
            </w:tcBorders>
            <w:vAlign w:val="center"/>
          </w:tcPr>
          <w:p w14:paraId="073F7A6A"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2947E43D"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460BC6AF"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w:t>
            </w:r>
          </w:p>
        </w:tc>
        <w:tc>
          <w:tcPr>
            <w:tcW w:w="1560" w:type="dxa"/>
            <w:tcBorders>
              <w:top w:val="single" w:sz="4" w:space="0" w:color="auto"/>
              <w:left w:val="nil"/>
              <w:bottom w:val="nil"/>
              <w:right w:val="nil"/>
            </w:tcBorders>
            <w:vAlign w:val="center"/>
          </w:tcPr>
          <w:p w14:paraId="4CD20F33"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w:t>
            </w:r>
          </w:p>
        </w:tc>
      </w:tr>
      <w:tr w:rsidR="000004D8" w:rsidRPr="002371AA" w14:paraId="227B16D2" w14:textId="77777777" w:rsidTr="000004D8">
        <w:trPr>
          <w:trHeight w:val="79"/>
          <w:jc w:val="center"/>
        </w:trPr>
        <w:tc>
          <w:tcPr>
            <w:tcW w:w="2410" w:type="dxa"/>
            <w:vMerge/>
            <w:tcBorders>
              <w:top w:val="nil"/>
              <w:left w:val="nil"/>
              <w:bottom w:val="single" w:sz="4" w:space="0" w:color="auto"/>
              <w:right w:val="nil"/>
            </w:tcBorders>
            <w:vAlign w:val="center"/>
          </w:tcPr>
          <w:p w14:paraId="147506FC"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single" w:sz="4" w:space="0" w:color="auto"/>
              <w:right w:val="nil"/>
            </w:tcBorders>
            <w:vAlign w:val="center"/>
          </w:tcPr>
          <w:p w14:paraId="6899B7FA" w14:textId="7C72A604"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LN response</w:t>
            </w:r>
          </w:p>
        </w:tc>
        <w:tc>
          <w:tcPr>
            <w:tcW w:w="1559" w:type="dxa"/>
            <w:tcBorders>
              <w:top w:val="nil"/>
              <w:left w:val="nil"/>
              <w:bottom w:val="single" w:sz="4" w:space="0" w:color="auto"/>
              <w:right w:val="nil"/>
            </w:tcBorders>
            <w:vAlign w:val="center"/>
          </w:tcPr>
          <w:p w14:paraId="6C33E821"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b/>
                <w:bCs/>
                <w:color w:val="FF0000"/>
                <w:sz w:val="20"/>
              </w:rPr>
              <w:t>0.55</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(0.36-0.84)</w:t>
            </w:r>
          </w:p>
        </w:tc>
        <w:tc>
          <w:tcPr>
            <w:tcW w:w="1559" w:type="dxa"/>
            <w:tcBorders>
              <w:top w:val="nil"/>
              <w:left w:val="nil"/>
              <w:bottom w:val="single" w:sz="4" w:space="0" w:color="auto"/>
              <w:right w:val="nil"/>
            </w:tcBorders>
            <w:vAlign w:val="center"/>
          </w:tcPr>
          <w:p w14:paraId="1E5D32ED" w14:textId="0954B3E4"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b/>
                <w:bCs/>
                <w:color w:val="FF0000"/>
                <w:sz w:val="20"/>
              </w:rPr>
              <w:t>0.6</w:t>
            </w:r>
            <w:r>
              <w:rPr>
                <w:rFonts w:asciiTheme="majorHAnsi" w:hAnsiTheme="majorHAnsi" w:cstheme="majorHAnsi"/>
                <w:b/>
                <w:bCs/>
                <w:color w:val="FF0000"/>
                <w:sz w:val="20"/>
              </w:rPr>
              <w:t>4</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(0.38-0.9</w:t>
            </w:r>
            <w:r>
              <w:rPr>
                <w:rFonts w:asciiTheme="majorHAnsi" w:hAnsiTheme="majorHAnsi" w:cstheme="majorHAnsi"/>
                <w:color w:val="000000" w:themeColor="text1"/>
                <w:sz w:val="20"/>
              </w:rPr>
              <w:t>7</w:t>
            </w:r>
            <w:r w:rsidRPr="00115E01">
              <w:rPr>
                <w:rFonts w:asciiTheme="majorHAnsi" w:hAnsiTheme="majorHAnsi" w:cstheme="majorHAnsi"/>
                <w:color w:val="000000" w:themeColor="text1"/>
                <w:sz w:val="20"/>
              </w:rPr>
              <w:t>)</w:t>
            </w:r>
          </w:p>
        </w:tc>
        <w:tc>
          <w:tcPr>
            <w:tcW w:w="1559" w:type="dxa"/>
            <w:tcBorders>
              <w:top w:val="nil"/>
              <w:left w:val="nil"/>
              <w:bottom w:val="single" w:sz="4" w:space="0" w:color="auto"/>
              <w:right w:val="nil"/>
            </w:tcBorders>
            <w:vAlign w:val="center"/>
          </w:tcPr>
          <w:p w14:paraId="7877682A" w14:textId="77777777"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b/>
                <w:bCs/>
                <w:color w:val="FF0000"/>
                <w:sz w:val="20"/>
              </w:rPr>
              <w:t>0.52</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(0.34-0.79)</w:t>
            </w:r>
          </w:p>
        </w:tc>
        <w:tc>
          <w:tcPr>
            <w:tcW w:w="1560" w:type="dxa"/>
            <w:tcBorders>
              <w:top w:val="nil"/>
              <w:left w:val="nil"/>
              <w:bottom w:val="single" w:sz="4" w:space="0" w:color="auto"/>
              <w:right w:val="nil"/>
            </w:tcBorders>
            <w:vAlign w:val="center"/>
          </w:tcPr>
          <w:p w14:paraId="17E40AB2" w14:textId="2AF711DE"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b/>
                <w:bCs/>
                <w:color w:val="FF0000"/>
                <w:sz w:val="20"/>
              </w:rPr>
              <w:t>0.5</w:t>
            </w:r>
            <w:r>
              <w:rPr>
                <w:rFonts w:asciiTheme="majorHAnsi" w:hAnsiTheme="majorHAnsi" w:cstheme="majorHAnsi"/>
                <w:b/>
                <w:bCs/>
                <w:color w:val="FF0000"/>
                <w:sz w:val="20"/>
              </w:rPr>
              <w:t>7</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(0.34-0.8</w:t>
            </w:r>
            <w:r>
              <w:rPr>
                <w:rFonts w:asciiTheme="majorHAnsi" w:hAnsiTheme="majorHAnsi" w:cstheme="majorHAnsi"/>
                <w:color w:val="000000" w:themeColor="text1"/>
                <w:sz w:val="20"/>
              </w:rPr>
              <w:t>8</w:t>
            </w:r>
            <w:r w:rsidRPr="00115E01">
              <w:rPr>
                <w:rFonts w:asciiTheme="majorHAnsi" w:hAnsiTheme="majorHAnsi" w:cstheme="majorHAnsi"/>
                <w:color w:val="000000" w:themeColor="text1"/>
                <w:sz w:val="20"/>
              </w:rPr>
              <w:t>)</w:t>
            </w:r>
          </w:p>
        </w:tc>
      </w:tr>
      <w:tr w:rsidR="000004D8" w:rsidRPr="002371AA" w14:paraId="6696E522" w14:textId="77777777" w:rsidTr="000004D8">
        <w:trPr>
          <w:trHeight w:val="664"/>
          <w:jc w:val="center"/>
        </w:trPr>
        <w:tc>
          <w:tcPr>
            <w:tcW w:w="2410" w:type="dxa"/>
            <w:vMerge w:val="restart"/>
            <w:tcBorders>
              <w:left w:val="nil"/>
              <w:bottom w:val="nil"/>
              <w:right w:val="nil"/>
            </w:tcBorders>
            <w:vAlign w:val="center"/>
          </w:tcPr>
          <w:p w14:paraId="67274D0E" w14:textId="77777777" w:rsidR="000004D8" w:rsidRPr="00115E01" w:rsidRDefault="000004D8" w:rsidP="000004D8">
            <w:pPr>
              <w:spacing w:line="480" w:lineRule="auto"/>
              <w:rPr>
                <w:rFonts w:asciiTheme="majorHAnsi" w:hAnsiTheme="majorHAnsi" w:cstheme="majorHAnsi"/>
                <w:sz w:val="20"/>
              </w:rPr>
            </w:pPr>
            <w:r w:rsidRPr="00115E01">
              <w:rPr>
                <w:rFonts w:asciiTheme="majorHAnsi" w:hAnsiTheme="majorHAnsi" w:cstheme="majorHAnsi"/>
                <w:b/>
                <w:bCs/>
                <w:sz w:val="20"/>
              </w:rPr>
              <w:t xml:space="preserve">ypN3 </w:t>
            </w:r>
            <w:r w:rsidRPr="00115E01">
              <w:rPr>
                <w:rFonts w:asciiTheme="majorHAnsi" w:hAnsiTheme="majorHAnsi" w:cstheme="majorHAnsi"/>
                <w:i/>
                <w:iCs/>
                <w:sz w:val="20"/>
              </w:rPr>
              <w:t>(n=116)</w:t>
            </w:r>
          </w:p>
        </w:tc>
        <w:tc>
          <w:tcPr>
            <w:tcW w:w="2269" w:type="dxa"/>
            <w:tcBorders>
              <w:top w:val="single" w:sz="4" w:space="0" w:color="auto"/>
              <w:left w:val="nil"/>
              <w:bottom w:val="nil"/>
              <w:right w:val="nil"/>
            </w:tcBorders>
            <w:vAlign w:val="center"/>
          </w:tcPr>
          <w:p w14:paraId="69C3F8F6" w14:textId="116985A5"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Poor/n</w:t>
            </w:r>
            <w:r w:rsidRPr="00115E01">
              <w:rPr>
                <w:rFonts w:asciiTheme="majorHAnsi" w:hAnsiTheme="majorHAnsi" w:cstheme="majorHAnsi"/>
                <w:sz w:val="20"/>
                <w:szCs w:val="20"/>
              </w:rPr>
              <w:t xml:space="preserve">o </w:t>
            </w:r>
            <w:r>
              <w:rPr>
                <w:rFonts w:asciiTheme="majorHAnsi" w:hAnsiTheme="majorHAnsi" w:cstheme="majorHAnsi"/>
                <w:sz w:val="20"/>
                <w:szCs w:val="20"/>
              </w:rPr>
              <w:t xml:space="preserve">LN </w:t>
            </w:r>
            <w:r w:rsidRPr="00115E01">
              <w:rPr>
                <w:rFonts w:asciiTheme="majorHAnsi" w:hAnsiTheme="majorHAnsi" w:cstheme="majorHAnsi"/>
                <w:sz w:val="20"/>
                <w:szCs w:val="20"/>
              </w:rPr>
              <w:t xml:space="preserve">response </w:t>
            </w:r>
          </w:p>
        </w:tc>
        <w:tc>
          <w:tcPr>
            <w:tcW w:w="1559" w:type="dxa"/>
            <w:tcBorders>
              <w:top w:val="single" w:sz="4" w:space="0" w:color="auto"/>
              <w:left w:val="nil"/>
              <w:bottom w:val="nil"/>
              <w:right w:val="nil"/>
            </w:tcBorders>
            <w:vAlign w:val="center"/>
          </w:tcPr>
          <w:p w14:paraId="1E32DE45"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2085BBEF"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45878283"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w:t>
            </w:r>
          </w:p>
        </w:tc>
        <w:tc>
          <w:tcPr>
            <w:tcW w:w="1560" w:type="dxa"/>
            <w:tcBorders>
              <w:top w:val="single" w:sz="4" w:space="0" w:color="auto"/>
              <w:left w:val="nil"/>
              <w:bottom w:val="nil"/>
              <w:right w:val="nil"/>
            </w:tcBorders>
            <w:vAlign w:val="center"/>
          </w:tcPr>
          <w:p w14:paraId="7AA6A863" w14:textId="77777777" w:rsidR="000004D8" w:rsidRPr="00115E01" w:rsidRDefault="000004D8" w:rsidP="000004D8">
            <w:pPr>
              <w:spacing w:line="480" w:lineRule="auto"/>
              <w:jc w:val="center"/>
              <w:rPr>
                <w:rFonts w:asciiTheme="majorHAnsi" w:hAnsiTheme="majorHAnsi" w:cstheme="majorHAnsi"/>
                <w:sz w:val="20"/>
              </w:rPr>
            </w:pPr>
            <w:r w:rsidRPr="00115E01">
              <w:rPr>
                <w:rFonts w:asciiTheme="majorHAnsi" w:hAnsiTheme="majorHAnsi" w:cstheme="majorHAnsi"/>
                <w:sz w:val="20"/>
              </w:rPr>
              <w:t>1.00</w:t>
            </w:r>
          </w:p>
        </w:tc>
      </w:tr>
      <w:tr w:rsidR="000004D8" w:rsidRPr="002371AA" w14:paraId="135DCDFD" w14:textId="77777777" w:rsidTr="000004D8">
        <w:trPr>
          <w:trHeight w:val="79"/>
          <w:jc w:val="center"/>
        </w:trPr>
        <w:tc>
          <w:tcPr>
            <w:tcW w:w="2410" w:type="dxa"/>
            <w:vMerge/>
            <w:tcBorders>
              <w:top w:val="nil"/>
              <w:left w:val="nil"/>
              <w:bottom w:val="single" w:sz="4" w:space="0" w:color="auto"/>
              <w:right w:val="nil"/>
            </w:tcBorders>
            <w:vAlign w:val="center"/>
          </w:tcPr>
          <w:p w14:paraId="45E13D44"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single" w:sz="4" w:space="0" w:color="auto"/>
              <w:right w:val="nil"/>
            </w:tcBorders>
            <w:vAlign w:val="center"/>
          </w:tcPr>
          <w:p w14:paraId="6CF83377" w14:textId="53BD02BE"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LN response</w:t>
            </w:r>
          </w:p>
        </w:tc>
        <w:tc>
          <w:tcPr>
            <w:tcW w:w="1559" w:type="dxa"/>
            <w:tcBorders>
              <w:top w:val="nil"/>
              <w:left w:val="nil"/>
              <w:bottom w:val="single" w:sz="4" w:space="0" w:color="auto"/>
              <w:right w:val="nil"/>
            </w:tcBorders>
            <w:vAlign w:val="center"/>
          </w:tcPr>
          <w:p w14:paraId="08DB4D4D" w14:textId="77777777"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b/>
                <w:bCs/>
                <w:color w:val="FF0000"/>
                <w:sz w:val="20"/>
              </w:rPr>
              <w:t>0.60</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(0.39-0.91)</w:t>
            </w:r>
          </w:p>
        </w:tc>
        <w:tc>
          <w:tcPr>
            <w:tcW w:w="1559" w:type="dxa"/>
            <w:tcBorders>
              <w:top w:val="nil"/>
              <w:left w:val="nil"/>
              <w:bottom w:val="single" w:sz="4" w:space="0" w:color="auto"/>
              <w:right w:val="nil"/>
            </w:tcBorders>
            <w:vAlign w:val="center"/>
          </w:tcPr>
          <w:p w14:paraId="60313A31" w14:textId="1DB0ADED" w:rsidR="000004D8" w:rsidRPr="00115E01" w:rsidRDefault="000004D8" w:rsidP="000004D8">
            <w:pPr>
              <w:spacing w:line="480" w:lineRule="auto"/>
              <w:jc w:val="center"/>
              <w:rPr>
                <w:rFonts w:asciiTheme="majorHAnsi" w:hAnsiTheme="majorHAnsi" w:cstheme="majorHAnsi"/>
                <w:sz w:val="20"/>
                <w:szCs w:val="20"/>
              </w:rPr>
            </w:pPr>
            <w:r w:rsidRPr="00115E01">
              <w:rPr>
                <w:rFonts w:asciiTheme="majorHAnsi" w:hAnsiTheme="majorHAnsi" w:cstheme="majorHAnsi"/>
                <w:b/>
                <w:bCs/>
                <w:color w:val="FF0000"/>
                <w:sz w:val="20"/>
              </w:rPr>
              <w:t>0.5</w:t>
            </w:r>
            <w:r>
              <w:rPr>
                <w:rFonts w:asciiTheme="majorHAnsi" w:hAnsiTheme="majorHAnsi" w:cstheme="majorHAnsi"/>
                <w:b/>
                <w:bCs/>
                <w:color w:val="FF0000"/>
                <w:sz w:val="20"/>
              </w:rPr>
              <w:t>9</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w:t>
            </w:r>
            <w:r>
              <w:rPr>
                <w:rFonts w:asciiTheme="majorHAnsi" w:hAnsiTheme="majorHAnsi" w:cstheme="majorHAnsi"/>
                <w:color w:val="000000" w:themeColor="text1"/>
                <w:sz w:val="20"/>
              </w:rPr>
              <w:t>8</w:t>
            </w:r>
            <w:r w:rsidRPr="00115E01">
              <w:rPr>
                <w:rFonts w:asciiTheme="majorHAnsi" w:hAnsiTheme="majorHAnsi" w:cstheme="majorHAnsi"/>
                <w:color w:val="000000" w:themeColor="text1"/>
                <w:sz w:val="20"/>
              </w:rPr>
              <w:t>-0.9</w:t>
            </w:r>
            <w:r>
              <w:rPr>
                <w:rFonts w:asciiTheme="majorHAnsi" w:hAnsiTheme="majorHAnsi" w:cstheme="majorHAnsi"/>
                <w:color w:val="000000" w:themeColor="text1"/>
                <w:sz w:val="20"/>
              </w:rPr>
              <w:t>4</w:t>
            </w:r>
            <w:r w:rsidRPr="00115E01">
              <w:rPr>
                <w:rFonts w:asciiTheme="majorHAnsi" w:hAnsiTheme="majorHAnsi" w:cstheme="majorHAnsi"/>
                <w:color w:val="000000" w:themeColor="text1"/>
                <w:sz w:val="20"/>
              </w:rPr>
              <w:t>)</w:t>
            </w:r>
          </w:p>
        </w:tc>
        <w:tc>
          <w:tcPr>
            <w:tcW w:w="1559" w:type="dxa"/>
            <w:tcBorders>
              <w:top w:val="nil"/>
              <w:left w:val="nil"/>
              <w:bottom w:val="single" w:sz="4" w:space="0" w:color="auto"/>
              <w:right w:val="nil"/>
            </w:tcBorders>
            <w:vAlign w:val="center"/>
          </w:tcPr>
          <w:p w14:paraId="5B9264FB" w14:textId="77777777"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b/>
                <w:bCs/>
                <w:color w:val="FF0000"/>
                <w:sz w:val="20"/>
              </w:rPr>
              <w:t>0.65</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(0.43-0.97)</w:t>
            </w:r>
          </w:p>
        </w:tc>
        <w:tc>
          <w:tcPr>
            <w:tcW w:w="1560" w:type="dxa"/>
            <w:tcBorders>
              <w:top w:val="nil"/>
              <w:left w:val="nil"/>
              <w:bottom w:val="single" w:sz="4" w:space="0" w:color="auto"/>
              <w:right w:val="nil"/>
            </w:tcBorders>
            <w:vAlign w:val="center"/>
          </w:tcPr>
          <w:p w14:paraId="1A38E2B4" w14:textId="1AFA9E32"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b/>
                <w:bCs/>
                <w:color w:val="FF0000"/>
                <w:sz w:val="20"/>
              </w:rPr>
              <w:t>0.6</w:t>
            </w:r>
            <w:r>
              <w:rPr>
                <w:rFonts w:asciiTheme="majorHAnsi" w:hAnsiTheme="majorHAnsi" w:cstheme="majorHAnsi"/>
                <w:b/>
                <w:bCs/>
                <w:color w:val="FF0000"/>
                <w:sz w:val="20"/>
              </w:rPr>
              <w:t>1</w:t>
            </w:r>
            <w:r w:rsidRPr="00115E01">
              <w:rPr>
                <w:rFonts w:asciiTheme="majorHAnsi" w:hAnsiTheme="majorHAnsi" w:cstheme="majorHAnsi"/>
                <w:color w:val="FF0000"/>
                <w:sz w:val="20"/>
              </w:rPr>
              <w:t xml:space="preserve"> </w:t>
            </w:r>
            <w:r w:rsidRPr="00115E01">
              <w:rPr>
                <w:rFonts w:asciiTheme="majorHAnsi" w:hAnsiTheme="majorHAnsi" w:cstheme="majorHAnsi"/>
                <w:color w:val="000000" w:themeColor="text1"/>
                <w:sz w:val="20"/>
              </w:rPr>
              <w:t>(0.3</w:t>
            </w:r>
            <w:r>
              <w:rPr>
                <w:rFonts w:asciiTheme="majorHAnsi" w:hAnsiTheme="majorHAnsi" w:cstheme="majorHAnsi"/>
                <w:color w:val="000000" w:themeColor="text1"/>
                <w:sz w:val="20"/>
              </w:rPr>
              <w:t>9</w:t>
            </w:r>
            <w:r w:rsidRPr="00115E01">
              <w:rPr>
                <w:rFonts w:asciiTheme="majorHAnsi" w:hAnsiTheme="majorHAnsi" w:cstheme="majorHAnsi"/>
                <w:color w:val="000000" w:themeColor="text1"/>
                <w:sz w:val="20"/>
              </w:rPr>
              <w:t>-0.9</w:t>
            </w:r>
            <w:r>
              <w:rPr>
                <w:rFonts w:asciiTheme="majorHAnsi" w:hAnsiTheme="majorHAnsi" w:cstheme="majorHAnsi"/>
                <w:color w:val="000000" w:themeColor="text1"/>
                <w:sz w:val="20"/>
              </w:rPr>
              <w:t>6</w:t>
            </w:r>
            <w:r w:rsidRPr="00115E01">
              <w:rPr>
                <w:rFonts w:asciiTheme="majorHAnsi" w:hAnsiTheme="majorHAnsi" w:cstheme="majorHAnsi"/>
                <w:color w:val="000000" w:themeColor="text1"/>
                <w:sz w:val="20"/>
              </w:rPr>
              <w:t>)</w:t>
            </w:r>
          </w:p>
        </w:tc>
      </w:tr>
      <w:tr w:rsidR="000004D8" w:rsidRPr="002371AA" w14:paraId="1A30F604" w14:textId="77777777" w:rsidTr="000004D8">
        <w:trPr>
          <w:trHeight w:val="578"/>
          <w:jc w:val="center"/>
        </w:trPr>
        <w:tc>
          <w:tcPr>
            <w:tcW w:w="2410" w:type="dxa"/>
            <w:vMerge w:val="restart"/>
            <w:tcBorders>
              <w:top w:val="single" w:sz="4" w:space="0" w:color="auto"/>
              <w:left w:val="nil"/>
              <w:right w:val="nil"/>
            </w:tcBorders>
            <w:vAlign w:val="center"/>
          </w:tcPr>
          <w:p w14:paraId="3992A09F" w14:textId="27BFC59D" w:rsidR="000004D8" w:rsidRPr="000004D8" w:rsidRDefault="000004D8" w:rsidP="000004D8">
            <w:pPr>
              <w:spacing w:line="480" w:lineRule="auto"/>
              <w:rPr>
                <w:rFonts w:asciiTheme="majorHAnsi" w:hAnsiTheme="majorHAnsi" w:cstheme="majorHAnsi"/>
                <w:b/>
                <w:bCs/>
                <w:sz w:val="20"/>
                <w:szCs w:val="20"/>
                <w:vertAlign w:val="superscript"/>
              </w:rPr>
            </w:pPr>
            <w:r w:rsidRPr="00D60BBD">
              <w:rPr>
                <w:rFonts w:asciiTheme="majorHAnsi" w:hAnsiTheme="majorHAnsi" w:cstheme="majorHAnsi"/>
                <w:b/>
                <w:bCs/>
                <w:sz w:val="20"/>
                <w:szCs w:val="20"/>
              </w:rPr>
              <w:t xml:space="preserve">Primary </w:t>
            </w:r>
            <w:proofErr w:type="spellStart"/>
            <w:r w:rsidR="0019785E">
              <w:rPr>
                <w:rFonts w:asciiTheme="majorHAnsi" w:hAnsiTheme="majorHAnsi" w:cstheme="majorHAnsi"/>
                <w:b/>
                <w:bCs/>
                <w:sz w:val="20"/>
                <w:szCs w:val="20"/>
              </w:rPr>
              <w:t>tumor</w:t>
            </w:r>
            <w:proofErr w:type="spellEnd"/>
            <w:r w:rsidRPr="00D60BBD">
              <w:rPr>
                <w:rFonts w:asciiTheme="majorHAnsi" w:hAnsiTheme="majorHAnsi" w:cstheme="majorHAnsi"/>
                <w:b/>
                <w:bCs/>
                <w:sz w:val="20"/>
                <w:szCs w:val="20"/>
              </w:rPr>
              <w:t xml:space="preserve"> responder (Mandard 1-3) </w:t>
            </w:r>
            <w:r>
              <w:rPr>
                <w:rFonts w:asciiTheme="majorHAnsi" w:hAnsiTheme="majorHAnsi" w:cstheme="majorHAnsi"/>
                <w:sz w:val="20"/>
                <w:szCs w:val="20"/>
              </w:rPr>
              <w:t xml:space="preserve">(n=323) </w:t>
            </w:r>
            <w:r>
              <w:rPr>
                <w:rFonts w:asciiTheme="majorHAnsi" w:hAnsiTheme="majorHAnsi" w:cstheme="majorHAnsi"/>
                <w:sz w:val="20"/>
                <w:szCs w:val="20"/>
                <w:vertAlign w:val="superscript"/>
              </w:rPr>
              <w:t>d</w:t>
            </w:r>
          </w:p>
        </w:tc>
        <w:tc>
          <w:tcPr>
            <w:tcW w:w="2269" w:type="dxa"/>
            <w:tcBorders>
              <w:top w:val="single" w:sz="4" w:space="0" w:color="auto"/>
              <w:left w:val="nil"/>
              <w:bottom w:val="nil"/>
              <w:right w:val="nil"/>
            </w:tcBorders>
            <w:vAlign w:val="center"/>
          </w:tcPr>
          <w:p w14:paraId="4928CE0D" w14:textId="35D0557E"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Poor/n</w:t>
            </w:r>
            <w:r w:rsidRPr="00115E01">
              <w:rPr>
                <w:rFonts w:asciiTheme="majorHAnsi" w:hAnsiTheme="majorHAnsi" w:cstheme="majorHAnsi"/>
                <w:sz w:val="20"/>
                <w:szCs w:val="20"/>
              </w:rPr>
              <w:t xml:space="preserve">o </w:t>
            </w:r>
            <w:r>
              <w:rPr>
                <w:rFonts w:asciiTheme="majorHAnsi" w:hAnsiTheme="majorHAnsi" w:cstheme="majorHAnsi"/>
                <w:sz w:val="20"/>
                <w:szCs w:val="20"/>
              </w:rPr>
              <w:t xml:space="preserve">LN </w:t>
            </w:r>
            <w:r w:rsidRPr="00115E01">
              <w:rPr>
                <w:rFonts w:asciiTheme="majorHAnsi" w:hAnsiTheme="majorHAnsi" w:cstheme="majorHAnsi"/>
                <w:sz w:val="20"/>
                <w:szCs w:val="20"/>
              </w:rPr>
              <w:t xml:space="preserve">response </w:t>
            </w:r>
          </w:p>
        </w:tc>
        <w:tc>
          <w:tcPr>
            <w:tcW w:w="1559" w:type="dxa"/>
            <w:tcBorders>
              <w:top w:val="single" w:sz="4" w:space="0" w:color="auto"/>
              <w:left w:val="nil"/>
              <w:bottom w:val="nil"/>
              <w:right w:val="nil"/>
            </w:tcBorders>
            <w:vAlign w:val="center"/>
          </w:tcPr>
          <w:p w14:paraId="3D759DD7" w14:textId="11C5AFAE"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64352821" w14:textId="67F16FA3"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665170D3" w14:textId="3454C0B8"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60" w:type="dxa"/>
            <w:tcBorders>
              <w:top w:val="single" w:sz="4" w:space="0" w:color="auto"/>
              <w:left w:val="nil"/>
              <w:bottom w:val="nil"/>
              <w:right w:val="nil"/>
            </w:tcBorders>
            <w:vAlign w:val="center"/>
          </w:tcPr>
          <w:p w14:paraId="5D622BA3" w14:textId="32721A07"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r>
      <w:tr w:rsidR="000004D8" w:rsidRPr="002371AA" w14:paraId="7DF1BDB5" w14:textId="77777777" w:rsidTr="000004D8">
        <w:trPr>
          <w:trHeight w:val="135"/>
          <w:jc w:val="center"/>
        </w:trPr>
        <w:tc>
          <w:tcPr>
            <w:tcW w:w="2410" w:type="dxa"/>
            <w:vMerge/>
            <w:tcBorders>
              <w:left w:val="nil"/>
              <w:right w:val="nil"/>
            </w:tcBorders>
            <w:vAlign w:val="center"/>
          </w:tcPr>
          <w:p w14:paraId="4FFC3F2D"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nil"/>
              <w:right w:val="nil"/>
            </w:tcBorders>
            <w:vAlign w:val="center"/>
          </w:tcPr>
          <w:p w14:paraId="1B10762B" w14:textId="232342D8"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LN response</w:t>
            </w:r>
          </w:p>
        </w:tc>
        <w:tc>
          <w:tcPr>
            <w:tcW w:w="1559" w:type="dxa"/>
            <w:tcBorders>
              <w:top w:val="nil"/>
              <w:left w:val="nil"/>
              <w:bottom w:val="nil"/>
              <w:right w:val="nil"/>
            </w:tcBorders>
            <w:vAlign w:val="center"/>
          </w:tcPr>
          <w:p w14:paraId="61921AC6" w14:textId="7CF95A4D"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0.51</w:t>
            </w:r>
            <w:r>
              <w:rPr>
                <w:rFonts w:asciiTheme="majorHAnsi" w:hAnsiTheme="majorHAnsi" w:cstheme="majorHAnsi"/>
                <w:sz w:val="20"/>
              </w:rPr>
              <w:t xml:space="preserve"> (0.34-0.76)</w:t>
            </w:r>
          </w:p>
        </w:tc>
        <w:tc>
          <w:tcPr>
            <w:tcW w:w="1559" w:type="dxa"/>
            <w:tcBorders>
              <w:top w:val="nil"/>
              <w:left w:val="nil"/>
              <w:bottom w:val="nil"/>
              <w:right w:val="nil"/>
            </w:tcBorders>
            <w:vAlign w:val="center"/>
          </w:tcPr>
          <w:p w14:paraId="3D19FEE3" w14:textId="40FBC43E"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0.57</w:t>
            </w:r>
            <w:r>
              <w:rPr>
                <w:rFonts w:asciiTheme="majorHAnsi" w:hAnsiTheme="majorHAnsi" w:cstheme="majorHAnsi"/>
                <w:sz w:val="20"/>
              </w:rPr>
              <w:t xml:space="preserve"> (0.36-0.90)</w:t>
            </w:r>
          </w:p>
        </w:tc>
        <w:tc>
          <w:tcPr>
            <w:tcW w:w="1559" w:type="dxa"/>
            <w:tcBorders>
              <w:top w:val="nil"/>
              <w:left w:val="nil"/>
              <w:bottom w:val="nil"/>
              <w:right w:val="nil"/>
            </w:tcBorders>
            <w:vAlign w:val="center"/>
          </w:tcPr>
          <w:p w14:paraId="295425F4" w14:textId="56CCB210"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0.50</w:t>
            </w:r>
            <w:r>
              <w:rPr>
                <w:rFonts w:asciiTheme="majorHAnsi" w:hAnsiTheme="majorHAnsi" w:cstheme="majorHAnsi"/>
                <w:color w:val="FF0000"/>
                <w:sz w:val="20"/>
              </w:rPr>
              <w:t xml:space="preserve"> </w:t>
            </w:r>
            <w:r>
              <w:rPr>
                <w:rFonts w:asciiTheme="majorHAnsi" w:hAnsiTheme="majorHAnsi" w:cstheme="majorHAnsi"/>
                <w:sz w:val="20"/>
              </w:rPr>
              <w:t>(0.34-0.73)</w:t>
            </w:r>
          </w:p>
        </w:tc>
        <w:tc>
          <w:tcPr>
            <w:tcW w:w="1560" w:type="dxa"/>
            <w:tcBorders>
              <w:top w:val="nil"/>
              <w:left w:val="nil"/>
              <w:bottom w:val="nil"/>
              <w:right w:val="nil"/>
            </w:tcBorders>
            <w:vAlign w:val="center"/>
          </w:tcPr>
          <w:p w14:paraId="1C40D32A" w14:textId="33FB5155"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0.56</w:t>
            </w:r>
            <w:r>
              <w:rPr>
                <w:rFonts w:asciiTheme="majorHAnsi" w:hAnsiTheme="majorHAnsi" w:cstheme="majorHAnsi"/>
                <w:sz w:val="20"/>
              </w:rPr>
              <w:t xml:space="preserve"> (0.36-0.87)</w:t>
            </w:r>
          </w:p>
        </w:tc>
      </w:tr>
      <w:tr w:rsidR="000004D8" w:rsidRPr="002371AA" w14:paraId="25842700" w14:textId="77777777" w:rsidTr="000004D8">
        <w:trPr>
          <w:trHeight w:val="79"/>
          <w:jc w:val="center"/>
        </w:trPr>
        <w:tc>
          <w:tcPr>
            <w:tcW w:w="2410" w:type="dxa"/>
            <w:vMerge/>
            <w:tcBorders>
              <w:left w:val="nil"/>
              <w:bottom w:val="single" w:sz="4" w:space="0" w:color="auto"/>
              <w:right w:val="nil"/>
            </w:tcBorders>
            <w:vAlign w:val="center"/>
          </w:tcPr>
          <w:p w14:paraId="16CE18DB"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single" w:sz="4" w:space="0" w:color="auto"/>
              <w:right w:val="nil"/>
            </w:tcBorders>
            <w:vAlign w:val="center"/>
          </w:tcPr>
          <w:p w14:paraId="7B9C4007" w14:textId="025F7104"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Negative nodes</w:t>
            </w:r>
          </w:p>
        </w:tc>
        <w:tc>
          <w:tcPr>
            <w:tcW w:w="1559" w:type="dxa"/>
            <w:tcBorders>
              <w:top w:val="nil"/>
              <w:left w:val="nil"/>
              <w:bottom w:val="single" w:sz="4" w:space="0" w:color="auto"/>
              <w:right w:val="nil"/>
            </w:tcBorders>
            <w:vAlign w:val="center"/>
          </w:tcPr>
          <w:p w14:paraId="34514EC5" w14:textId="0E57FDE8"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0.27</w:t>
            </w:r>
            <w:r>
              <w:rPr>
                <w:rFonts w:asciiTheme="majorHAnsi" w:hAnsiTheme="majorHAnsi" w:cstheme="majorHAnsi"/>
                <w:color w:val="FF0000"/>
                <w:sz w:val="20"/>
              </w:rPr>
              <w:t xml:space="preserve"> </w:t>
            </w:r>
            <w:r>
              <w:rPr>
                <w:rFonts w:asciiTheme="majorHAnsi" w:hAnsiTheme="majorHAnsi" w:cstheme="majorHAnsi"/>
                <w:sz w:val="20"/>
              </w:rPr>
              <w:t>(0.17-0.41)</w:t>
            </w:r>
          </w:p>
        </w:tc>
        <w:tc>
          <w:tcPr>
            <w:tcW w:w="1559" w:type="dxa"/>
            <w:tcBorders>
              <w:top w:val="nil"/>
              <w:left w:val="nil"/>
              <w:bottom w:val="single" w:sz="4" w:space="0" w:color="auto"/>
              <w:right w:val="nil"/>
            </w:tcBorders>
            <w:vAlign w:val="center"/>
          </w:tcPr>
          <w:p w14:paraId="2E47A9B8" w14:textId="6321AC4D"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0.30</w:t>
            </w:r>
            <w:r>
              <w:rPr>
                <w:rFonts w:asciiTheme="majorHAnsi" w:hAnsiTheme="majorHAnsi" w:cstheme="majorHAnsi"/>
                <w:sz w:val="20"/>
              </w:rPr>
              <w:t xml:space="preserve"> (0.18-0.48)</w:t>
            </w:r>
          </w:p>
        </w:tc>
        <w:tc>
          <w:tcPr>
            <w:tcW w:w="1559" w:type="dxa"/>
            <w:tcBorders>
              <w:top w:val="nil"/>
              <w:left w:val="nil"/>
              <w:bottom w:val="single" w:sz="4" w:space="0" w:color="auto"/>
              <w:right w:val="nil"/>
            </w:tcBorders>
            <w:vAlign w:val="center"/>
          </w:tcPr>
          <w:p w14:paraId="0E46BCA2" w14:textId="2B3C55A4"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 xml:space="preserve">0.24 </w:t>
            </w:r>
            <w:r>
              <w:rPr>
                <w:rFonts w:asciiTheme="majorHAnsi" w:hAnsiTheme="majorHAnsi" w:cstheme="majorHAnsi"/>
                <w:sz w:val="20"/>
              </w:rPr>
              <w:t>(0.16-0.37)</w:t>
            </w:r>
          </w:p>
        </w:tc>
        <w:tc>
          <w:tcPr>
            <w:tcW w:w="1560" w:type="dxa"/>
            <w:tcBorders>
              <w:top w:val="nil"/>
              <w:left w:val="nil"/>
              <w:bottom w:val="single" w:sz="4" w:space="0" w:color="auto"/>
              <w:right w:val="nil"/>
            </w:tcBorders>
            <w:vAlign w:val="center"/>
          </w:tcPr>
          <w:p w14:paraId="4ABF3C96" w14:textId="5E16CBB9"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0.27</w:t>
            </w:r>
            <w:r>
              <w:rPr>
                <w:rFonts w:asciiTheme="majorHAnsi" w:hAnsiTheme="majorHAnsi" w:cstheme="majorHAnsi"/>
                <w:sz w:val="20"/>
              </w:rPr>
              <w:t xml:space="preserve"> (0.17-0.44)</w:t>
            </w:r>
          </w:p>
        </w:tc>
      </w:tr>
      <w:tr w:rsidR="000004D8" w:rsidRPr="002371AA" w14:paraId="3321B574" w14:textId="77777777" w:rsidTr="000004D8">
        <w:trPr>
          <w:trHeight w:val="544"/>
          <w:jc w:val="center"/>
        </w:trPr>
        <w:tc>
          <w:tcPr>
            <w:tcW w:w="2410" w:type="dxa"/>
            <w:vMerge w:val="restart"/>
            <w:tcBorders>
              <w:top w:val="single" w:sz="4" w:space="0" w:color="auto"/>
              <w:left w:val="nil"/>
              <w:right w:val="nil"/>
            </w:tcBorders>
            <w:vAlign w:val="center"/>
          </w:tcPr>
          <w:p w14:paraId="1F4C7709" w14:textId="2290F115" w:rsidR="000004D8" w:rsidRPr="000004D8" w:rsidRDefault="000004D8" w:rsidP="000004D8">
            <w:pPr>
              <w:spacing w:line="480" w:lineRule="auto"/>
              <w:rPr>
                <w:rFonts w:asciiTheme="majorHAnsi" w:hAnsiTheme="majorHAnsi" w:cstheme="majorHAnsi"/>
                <w:b/>
                <w:bCs/>
                <w:sz w:val="20"/>
                <w:szCs w:val="20"/>
                <w:vertAlign w:val="superscript"/>
              </w:rPr>
            </w:pPr>
            <w:r w:rsidRPr="00D60BBD">
              <w:rPr>
                <w:rFonts w:asciiTheme="majorHAnsi" w:hAnsiTheme="majorHAnsi" w:cstheme="majorHAnsi"/>
                <w:b/>
                <w:bCs/>
                <w:sz w:val="20"/>
                <w:szCs w:val="20"/>
              </w:rPr>
              <w:t xml:space="preserve">Primary </w:t>
            </w:r>
            <w:proofErr w:type="spellStart"/>
            <w:r w:rsidR="0019785E">
              <w:rPr>
                <w:rFonts w:asciiTheme="majorHAnsi" w:hAnsiTheme="majorHAnsi" w:cstheme="majorHAnsi"/>
                <w:b/>
                <w:bCs/>
                <w:sz w:val="20"/>
                <w:szCs w:val="20"/>
              </w:rPr>
              <w:t>tumor</w:t>
            </w:r>
            <w:proofErr w:type="spellEnd"/>
            <w:r w:rsidRPr="00D60BBD">
              <w:rPr>
                <w:rFonts w:asciiTheme="majorHAnsi" w:hAnsiTheme="majorHAnsi" w:cstheme="majorHAnsi"/>
                <w:b/>
                <w:bCs/>
                <w:sz w:val="20"/>
                <w:szCs w:val="20"/>
              </w:rPr>
              <w:t xml:space="preserve"> </w:t>
            </w:r>
            <w:r>
              <w:rPr>
                <w:rFonts w:asciiTheme="majorHAnsi" w:hAnsiTheme="majorHAnsi" w:cstheme="majorHAnsi"/>
                <w:b/>
                <w:bCs/>
                <w:sz w:val="20"/>
                <w:szCs w:val="20"/>
              </w:rPr>
              <w:t>non-</w:t>
            </w:r>
            <w:r w:rsidRPr="00D60BBD">
              <w:rPr>
                <w:rFonts w:asciiTheme="majorHAnsi" w:hAnsiTheme="majorHAnsi" w:cstheme="majorHAnsi"/>
                <w:b/>
                <w:bCs/>
                <w:sz w:val="20"/>
                <w:szCs w:val="20"/>
              </w:rPr>
              <w:t xml:space="preserve">responder (Mandard </w:t>
            </w:r>
            <w:r>
              <w:rPr>
                <w:rFonts w:asciiTheme="majorHAnsi" w:hAnsiTheme="majorHAnsi" w:cstheme="majorHAnsi"/>
                <w:b/>
                <w:bCs/>
                <w:sz w:val="20"/>
                <w:szCs w:val="20"/>
              </w:rPr>
              <w:t>4-5</w:t>
            </w:r>
            <w:r w:rsidRPr="00D60BBD">
              <w:rPr>
                <w:rFonts w:asciiTheme="majorHAnsi" w:hAnsiTheme="majorHAnsi" w:cstheme="majorHAnsi"/>
                <w:b/>
                <w:bCs/>
                <w:sz w:val="20"/>
                <w:szCs w:val="20"/>
              </w:rPr>
              <w:t>)</w:t>
            </w:r>
            <w:r>
              <w:rPr>
                <w:rFonts w:asciiTheme="majorHAnsi" w:hAnsiTheme="majorHAnsi" w:cstheme="majorHAnsi"/>
                <w:sz w:val="20"/>
                <w:szCs w:val="20"/>
              </w:rPr>
              <w:t xml:space="preserve"> (n=432) </w:t>
            </w:r>
            <w:r>
              <w:rPr>
                <w:rFonts w:asciiTheme="majorHAnsi" w:hAnsiTheme="majorHAnsi" w:cstheme="majorHAnsi"/>
                <w:sz w:val="20"/>
                <w:szCs w:val="20"/>
                <w:vertAlign w:val="superscript"/>
              </w:rPr>
              <w:t>d</w:t>
            </w:r>
          </w:p>
        </w:tc>
        <w:tc>
          <w:tcPr>
            <w:tcW w:w="2269" w:type="dxa"/>
            <w:tcBorders>
              <w:top w:val="single" w:sz="4" w:space="0" w:color="auto"/>
              <w:left w:val="nil"/>
              <w:bottom w:val="nil"/>
              <w:right w:val="nil"/>
            </w:tcBorders>
            <w:vAlign w:val="center"/>
          </w:tcPr>
          <w:p w14:paraId="537F5F46" w14:textId="67BE68C0"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Poor/n</w:t>
            </w:r>
            <w:r w:rsidRPr="00115E01">
              <w:rPr>
                <w:rFonts w:asciiTheme="majorHAnsi" w:hAnsiTheme="majorHAnsi" w:cstheme="majorHAnsi"/>
                <w:sz w:val="20"/>
                <w:szCs w:val="20"/>
              </w:rPr>
              <w:t xml:space="preserve">o </w:t>
            </w:r>
            <w:r>
              <w:rPr>
                <w:rFonts w:asciiTheme="majorHAnsi" w:hAnsiTheme="majorHAnsi" w:cstheme="majorHAnsi"/>
                <w:sz w:val="20"/>
                <w:szCs w:val="20"/>
              </w:rPr>
              <w:t xml:space="preserve">LN </w:t>
            </w:r>
            <w:r w:rsidRPr="00115E01">
              <w:rPr>
                <w:rFonts w:asciiTheme="majorHAnsi" w:hAnsiTheme="majorHAnsi" w:cstheme="majorHAnsi"/>
                <w:sz w:val="20"/>
                <w:szCs w:val="20"/>
              </w:rPr>
              <w:t xml:space="preserve">response </w:t>
            </w:r>
          </w:p>
        </w:tc>
        <w:tc>
          <w:tcPr>
            <w:tcW w:w="1559" w:type="dxa"/>
            <w:tcBorders>
              <w:top w:val="single" w:sz="4" w:space="0" w:color="auto"/>
              <w:left w:val="nil"/>
              <w:bottom w:val="nil"/>
              <w:right w:val="nil"/>
            </w:tcBorders>
            <w:vAlign w:val="center"/>
          </w:tcPr>
          <w:p w14:paraId="5876D373" w14:textId="4C5AC350"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619AC681" w14:textId="5103AEE0"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59" w:type="dxa"/>
            <w:tcBorders>
              <w:top w:val="single" w:sz="4" w:space="0" w:color="auto"/>
              <w:left w:val="nil"/>
              <w:bottom w:val="nil"/>
              <w:right w:val="nil"/>
            </w:tcBorders>
            <w:vAlign w:val="center"/>
          </w:tcPr>
          <w:p w14:paraId="09BE3A01" w14:textId="1558A6E9"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c>
          <w:tcPr>
            <w:tcW w:w="1560" w:type="dxa"/>
            <w:tcBorders>
              <w:top w:val="single" w:sz="4" w:space="0" w:color="auto"/>
              <w:left w:val="nil"/>
              <w:bottom w:val="nil"/>
              <w:right w:val="nil"/>
            </w:tcBorders>
            <w:vAlign w:val="center"/>
          </w:tcPr>
          <w:p w14:paraId="61C3E47F" w14:textId="050802D4" w:rsidR="000004D8" w:rsidRPr="00115E01" w:rsidRDefault="000004D8" w:rsidP="000004D8">
            <w:pPr>
              <w:spacing w:line="480" w:lineRule="auto"/>
              <w:jc w:val="center"/>
              <w:rPr>
                <w:rFonts w:asciiTheme="majorHAnsi" w:hAnsiTheme="majorHAnsi" w:cstheme="majorHAnsi"/>
                <w:b/>
                <w:bCs/>
                <w:color w:val="FF0000"/>
                <w:sz w:val="20"/>
              </w:rPr>
            </w:pPr>
            <w:r w:rsidRPr="00115E01">
              <w:rPr>
                <w:rFonts w:asciiTheme="majorHAnsi" w:hAnsiTheme="majorHAnsi" w:cstheme="majorHAnsi"/>
                <w:sz w:val="20"/>
              </w:rPr>
              <w:t>1.00</w:t>
            </w:r>
          </w:p>
        </w:tc>
      </w:tr>
      <w:tr w:rsidR="000004D8" w:rsidRPr="002371AA" w14:paraId="147ACBD9" w14:textId="77777777" w:rsidTr="000004D8">
        <w:trPr>
          <w:trHeight w:val="79"/>
          <w:jc w:val="center"/>
        </w:trPr>
        <w:tc>
          <w:tcPr>
            <w:tcW w:w="2410" w:type="dxa"/>
            <w:vMerge/>
            <w:tcBorders>
              <w:left w:val="nil"/>
              <w:right w:val="nil"/>
            </w:tcBorders>
            <w:vAlign w:val="center"/>
          </w:tcPr>
          <w:p w14:paraId="2AE542A1"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nil"/>
              <w:right w:val="nil"/>
            </w:tcBorders>
            <w:vAlign w:val="center"/>
          </w:tcPr>
          <w:p w14:paraId="3839E03F" w14:textId="4A6B0C41"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LN response</w:t>
            </w:r>
          </w:p>
        </w:tc>
        <w:tc>
          <w:tcPr>
            <w:tcW w:w="1559" w:type="dxa"/>
            <w:tcBorders>
              <w:top w:val="nil"/>
              <w:left w:val="nil"/>
              <w:bottom w:val="nil"/>
              <w:right w:val="nil"/>
            </w:tcBorders>
            <w:vAlign w:val="center"/>
          </w:tcPr>
          <w:p w14:paraId="1F5CAED9" w14:textId="1817B189" w:rsidR="000004D8" w:rsidRPr="000004D8" w:rsidRDefault="000004D8" w:rsidP="000004D8">
            <w:pPr>
              <w:spacing w:line="480" w:lineRule="auto"/>
              <w:jc w:val="center"/>
              <w:rPr>
                <w:rFonts w:asciiTheme="majorHAnsi" w:hAnsiTheme="majorHAnsi" w:cstheme="majorHAnsi"/>
                <w:b/>
                <w:bCs/>
                <w:sz w:val="20"/>
              </w:rPr>
            </w:pPr>
            <w:r>
              <w:rPr>
                <w:rFonts w:asciiTheme="majorHAnsi" w:hAnsiTheme="majorHAnsi" w:cstheme="majorHAnsi"/>
                <w:b/>
                <w:bCs/>
                <w:color w:val="FF0000"/>
                <w:sz w:val="20"/>
              </w:rPr>
              <w:t>0.61</w:t>
            </w:r>
            <w:r>
              <w:rPr>
                <w:rFonts w:asciiTheme="majorHAnsi" w:hAnsiTheme="majorHAnsi" w:cstheme="majorHAnsi"/>
                <w:b/>
                <w:bCs/>
                <w:sz w:val="20"/>
              </w:rPr>
              <w:t xml:space="preserve"> </w:t>
            </w:r>
            <w:r w:rsidRPr="000004D8">
              <w:rPr>
                <w:rFonts w:asciiTheme="majorHAnsi" w:hAnsiTheme="majorHAnsi" w:cstheme="majorHAnsi"/>
                <w:sz w:val="20"/>
              </w:rPr>
              <w:t>(0.46-0.81)</w:t>
            </w:r>
          </w:p>
        </w:tc>
        <w:tc>
          <w:tcPr>
            <w:tcW w:w="1559" w:type="dxa"/>
            <w:tcBorders>
              <w:top w:val="nil"/>
              <w:left w:val="nil"/>
              <w:bottom w:val="nil"/>
              <w:right w:val="nil"/>
            </w:tcBorders>
            <w:vAlign w:val="center"/>
          </w:tcPr>
          <w:p w14:paraId="41AC8C21" w14:textId="1DF28A54"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0.66</w:t>
            </w:r>
            <w:r>
              <w:rPr>
                <w:rFonts w:asciiTheme="majorHAnsi" w:hAnsiTheme="majorHAnsi" w:cstheme="majorHAnsi"/>
                <w:color w:val="FF0000"/>
                <w:sz w:val="20"/>
              </w:rPr>
              <w:t xml:space="preserve"> </w:t>
            </w:r>
            <w:r>
              <w:rPr>
                <w:rFonts w:asciiTheme="majorHAnsi" w:hAnsiTheme="majorHAnsi" w:cstheme="majorHAnsi"/>
                <w:sz w:val="20"/>
              </w:rPr>
              <w:t>(0.49-0.88)</w:t>
            </w:r>
          </w:p>
        </w:tc>
        <w:tc>
          <w:tcPr>
            <w:tcW w:w="1559" w:type="dxa"/>
            <w:tcBorders>
              <w:top w:val="nil"/>
              <w:left w:val="nil"/>
              <w:bottom w:val="nil"/>
              <w:right w:val="nil"/>
            </w:tcBorders>
            <w:vAlign w:val="center"/>
          </w:tcPr>
          <w:p w14:paraId="1388AAE7" w14:textId="771C70F3"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0.66</w:t>
            </w:r>
            <w:r>
              <w:rPr>
                <w:rFonts w:asciiTheme="majorHAnsi" w:hAnsiTheme="majorHAnsi" w:cstheme="majorHAnsi"/>
                <w:b/>
                <w:bCs/>
                <w:sz w:val="20"/>
              </w:rPr>
              <w:t xml:space="preserve"> </w:t>
            </w:r>
            <w:r>
              <w:rPr>
                <w:rFonts w:asciiTheme="majorHAnsi" w:hAnsiTheme="majorHAnsi" w:cstheme="majorHAnsi"/>
                <w:sz w:val="20"/>
              </w:rPr>
              <w:t>(0.50-0.86)</w:t>
            </w:r>
          </w:p>
        </w:tc>
        <w:tc>
          <w:tcPr>
            <w:tcW w:w="1560" w:type="dxa"/>
            <w:tcBorders>
              <w:top w:val="nil"/>
              <w:left w:val="nil"/>
              <w:bottom w:val="nil"/>
              <w:right w:val="nil"/>
            </w:tcBorders>
            <w:vAlign w:val="center"/>
          </w:tcPr>
          <w:p w14:paraId="7D111C62" w14:textId="0DDE80D2"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0.68</w:t>
            </w:r>
            <w:r>
              <w:rPr>
                <w:rFonts w:asciiTheme="majorHAnsi" w:hAnsiTheme="majorHAnsi" w:cstheme="majorHAnsi"/>
                <w:sz w:val="20"/>
              </w:rPr>
              <w:t xml:space="preserve"> (0.52-0.90)</w:t>
            </w:r>
          </w:p>
        </w:tc>
      </w:tr>
      <w:tr w:rsidR="000004D8" w:rsidRPr="002371AA" w14:paraId="026030E9" w14:textId="77777777" w:rsidTr="000004D8">
        <w:trPr>
          <w:trHeight w:val="79"/>
          <w:jc w:val="center"/>
        </w:trPr>
        <w:tc>
          <w:tcPr>
            <w:tcW w:w="2410" w:type="dxa"/>
            <w:vMerge/>
            <w:tcBorders>
              <w:left w:val="nil"/>
              <w:bottom w:val="single" w:sz="4" w:space="0" w:color="auto"/>
              <w:right w:val="nil"/>
            </w:tcBorders>
            <w:vAlign w:val="center"/>
          </w:tcPr>
          <w:p w14:paraId="00406941" w14:textId="77777777" w:rsidR="000004D8" w:rsidRPr="00115E01" w:rsidRDefault="000004D8" w:rsidP="000004D8">
            <w:pPr>
              <w:spacing w:line="480" w:lineRule="auto"/>
              <w:rPr>
                <w:rFonts w:asciiTheme="majorHAnsi" w:hAnsiTheme="majorHAnsi" w:cstheme="majorHAnsi"/>
                <w:sz w:val="20"/>
                <w:szCs w:val="20"/>
              </w:rPr>
            </w:pPr>
          </w:p>
        </w:tc>
        <w:tc>
          <w:tcPr>
            <w:tcW w:w="2269" w:type="dxa"/>
            <w:tcBorders>
              <w:top w:val="nil"/>
              <w:left w:val="nil"/>
              <w:bottom w:val="single" w:sz="4" w:space="0" w:color="auto"/>
              <w:right w:val="nil"/>
            </w:tcBorders>
            <w:vAlign w:val="center"/>
          </w:tcPr>
          <w:p w14:paraId="42128588" w14:textId="7BE18530" w:rsidR="000004D8" w:rsidRPr="00115E01" w:rsidRDefault="000004D8" w:rsidP="000004D8">
            <w:pPr>
              <w:spacing w:line="480" w:lineRule="auto"/>
              <w:rPr>
                <w:rFonts w:asciiTheme="majorHAnsi" w:hAnsiTheme="majorHAnsi" w:cstheme="majorHAnsi"/>
                <w:sz w:val="20"/>
                <w:szCs w:val="20"/>
              </w:rPr>
            </w:pPr>
            <w:r>
              <w:rPr>
                <w:rFonts w:asciiTheme="majorHAnsi" w:hAnsiTheme="majorHAnsi" w:cstheme="majorHAnsi"/>
                <w:sz w:val="20"/>
                <w:szCs w:val="20"/>
              </w:rPr>
              <w:t>LN negative</w:t>
            </w:r>
          </w:p>
        </w:tc>
        <w:tc>
          <w:tcPr>
            <w:tcW w:w="1559" w:type="dxa"/>
            <w:tcBorders>
              <w:top w:val="nil"/>
              <w:left w:val="nil"/>
              <w:bottom w:val="single" w:sz="4" w:space="0" w:color="auto"/>
              <w:right w:val="nil"/>
            </w:tcBorders>
            <w:vAlign w:val="center"/>
          </w:tcPr>
          <w:p w14:paraId="5B997E9C" w14:textId="33EBC891"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0.31</w:t>
            </w:r>
            <w:r>
              <w:rPr>
                <w:rFonts w:asciiTheme="majorHAnsi" w:hAnsiTheme="majorHAnsi" w:cstheme="majorHAnsi"/>
                <w:sz w:val="20"/>
              </w:rPr>
              <w:t xml:space="preserve"> (0.22-0.43)</w:t>
            </w:r>
          </w:p>
        </w:tc>
        <w:tc>
          <w:tcPr>
            <w:tcW w:w="1559" w:type="dxa"/>
            <w:tcBorders>
              <w:top w:val="nil"/>
              <w:left w:val="nil"/>
              <w:bottom w:val="single" w:sz="4" w:space="0" w:color="auto"/>
              <w:right w:val="nil"/>
            </w:tcBorders>
            <w:vAlign w:val="center"/>
          </w:tcPr>
          <w:p w14:paraId="2A9B047C" w14:textId="159A07F3"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0.34</w:t>
            </w:r>
            <w:r>
              <w:rPr>
                <w:rFonts w:asciiTheme="majorHAnsi" w:hAnsiTheme="majorHAnsi" w:cstheme="majorHAnsi"/>
                <w:sz w:val="20"/>
              </w:rPr>
              <w:t xml:space="preserve"> (0.24-0.48)</w:t>
            </w:r>
          </w:p>
        </w:tc>
        <w:tc>
          <w:tcPr>
            <w:tcW w:w="1559" w:type="dxa"/>
            <w:tcBorders>
              <w:top w:val="nil"/>
              <w:left w:val="nil"/>
              <w:bottom w:val="single" w:sz="4" w:space="0" w:color="auto"/>
              <w:right w:val="nil"/>
            </w:tcBorders>
            <w:vAlign w:val="center"/>
          </w:tcPr>
          <w:p w14:paraId="1807CC69" w14:textId="7E064CB4"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0.31</w:t>
            </w:r>
            <w:r>
              <w:rPr>
                <w:rFonts w:asciiTheme="majorHAnsi" w:hAnsiTheme="majorHAnsi" w:cstheme="majorHAnsi"/>
                <w:color w:val="FF0000"/>
                <w:sz w:val="20"/>
              </w:rPr>
              <w:t xml:space="preserve"> </w:t>
            </w:r>
            <w:r>
              <w:rPr>
                <w:rFonts w:asciiTheme="majorHAnsi" w:hAnsiTheme="majorHAnsi" w:cstheme="majorHAnsi"/>
                <w:sz w:val="20"/>
              </w:rPr>
              <w:t>(0.22-0.42)</w:t>
            </w:r>
          </w:p>
        </w:tc>
        <w:tc>
          <w:tcPr>
            <w:tcW w:w="1560" w:type="dxa"/>
            <w:tcBorders>
              <w:top w:val="nil"/>
              <w:left w:val="nil"/>
              <w:bottom w:val="single" w:sz="4" w:space="0" w:color="auto"/>
              <w:right w:val="nil"/>
            </w:tcBorders>
            <w:vAlign w:val="center"/>
          </w:tcPr>
          <w:p w14:paraId="7E3996EE" w14:textId="59F31864" w:rsidR="000004D8" w:rsidRPr="000004D8" w:rsidRDefault="000004D8" w:rsidP="000004D8">
            <w:pPr>
              <w:spacing w:line="480" w:lineRule="auto"/>
              <w:jc w:val="center"/>
              <w:rPr>
                <w:rFonts w:asciiTheme="majorHAnsi" w:hAnsiTheme="majorHAnsi" w:cstheme="majorHAnsi"/>
                <w:sz w:val="20"/>
              </w:rPr>
            </w:pPr>
            <w:r>
              <w:rPr>
                <w:rFonts w:asciiTheme="majorHAnsi" w:hAnsiTheme="majorHAnsi" w:cstheme="majorHAnsi"/>
                <w:b/>
                <w:bCs/>
                <w:color w:val="FF0000"/>
                <w:sz w:val="20"/>
              </w:rPr>
              <w:t>0.35</w:t>
            </w:r>
            <w:r>
              <w:rPr>
                <w:rFonts w:asciiTheme="majorHAnsi" w:hAnsiTheme="majorHAnsi" w:cstheme="majorHAnsi"/>
                <w:color w:val="FF0000"/>
                <w:sz w:val="20"/>
              </w:rPr>
              <w:t xml:space="preserve"> </w:t>
            </w:r>
            <w:r>
              <w:rPr>
                <w:rFonts w:asciiTheme="majorHAnsi" w:hAnsiTheme="majorHAnsi" w:cstheme="majorHAnsi"/>
                <w:sz w:val="20"/>
              </w:rPr>
              <w:t>(0.25-0.49)</w:t>
            </w:r>
          </w:p>
        </w:tc>
      </w:tr>
    </w:tbl>
    <w:p w14:paraId="4D66A1DD" w14:textId="03FF678E" w:rsidR="00CB0D9A" w:rsidRDefault="00CB0D9A" w:rsidP="00CB0D9A">
      <w:pPr>
        <w:spacing w:line="360" w:lineRule="auto"/>
        <w:ind w:left="1080"/>
        <w:jc w:val="right"/>
        <w:rPr>
          <w:rFonts w:ascii="Calibri" w:hAnsi="Calibri"/>
          <w:sz w:val="20"/>
          <w:szCs w:val="20"/>
        </w:rPr>
      </w:pPr>
      <w:proofErr w:type="spellStart"/>
      <w:proofErr w:type="gramStart"/>
      <w:r>
        <w:rPr>
          <w:rFonts w:ascii="Calibri" w:hAnsi="Calibri"/>
          <w:sz w:val="20"/>
          <w:szCs w:val="20"/>
          <w:vertAlign w:val="superscript"/>
        </w:rPr>
        <w:t>a</w:t>
      </w:r>
      <w:proofErr w:type="spellEnd"/>
      <w:proofErr w:type="gramEnd"/>
      <w:r w:rsidRPr="00827EA1">
        <w:rPr>
          <w:rFonts w:ascii="Calibri" w:hAnsi="Calibri"/>
          <w:sz w:val="20"/>
          <w:szCs w:val="20"/>
        </w:rPr>
        <w:t xml:space="preserve"> Adjusted for </w:t>
      </w:r>
      <w:r>
        <w:rPr>
          <w:rFonts w:ascii="Calibri" w:hAnsi="Calibri"/>
          <w:sz w:val="20"/>
          <w:szCs w:val="20"/>
        </w:rPr>
        <w:t>a</w:t>
      </w:r>
      <w:r w:rsidRPr="00827EA1">
        <w:rPr>
          <w:rFonts w:ascii="Calibri" w:hAnsi="Calibri"/>
          <w:sz w:val="20"/>
          <w:szCs w:val="20"/>
        </w:rPr>
        <w:t xml:space="preserve">ge (continuous), </w:t>
      </w:r>
      <w:r>
        <w:rPr>
          <w:rFonts w:ascii="Calibri" w:hAnsi="Calibri"/>
          <w:sz w:val="20"/>
          <w:szCs w:val="20"/>
        </w:rPr>
        <w:t>s</w:t>
      </w:r>
      <w:r w:rsidRPr="00827EA1">
        <w:rPr>
          <w:rFonts w:ascii="Calibri" w:hAnsi="Calibri"/>
          <w:sz w:val="20"/>
          <w:szCs w:val="20"/>
        </w:rPr>
        <w:t>ex</w:t>
      </w:r>
      <w:r>
        <w:rPr>
          <w:rFonts w:ascii="Calibri" w:hAnsi="Calibri"/>
          <w:sz w:val="20"/>
          <w:szCs w:val="20"/>
        </w:rPr>
        <w:t xml:space="preserve"> (male or female)</w:t>
      </w:r>
      <w:r w:rsidRPr="00827EA1">
        <w:rPr>
          <w:rFonts w:ascii="Calibri" w:hAnsi="Calibri"/>
          <w:sz w:val="20"/>
          <w:szCs w:val="20"/>
        </w:rPr>
        <w:t xml:space="preserve">, </w:t>
      </w:r>
      <w:r>
        <w:rPr>
          <w:rFonts w:ascii="Calibri" w:hAnsi="Calibri"/>
          <w:sz w:val="20"/>
          <w:szCs w:val="20"/>
        </w:rPr>
        <w:t>chemotherapy</w:t>
      </w:r>
      <w:r w:rsidRPr="00827EA1">
        <w:rPr>
          <w:rFonts w:ascii="Calibri" w:hAnsi="Calibri"/>
          <w:sz w:val="20"/>
          <w:szCs w:val="20"/>
        </w:rPr>
        <w:t xml:space="preserve"> regimen (</w:t>
      </w:r>
      <w:r w:rsidR="00850628">
        <w:rPr>
          <w:rFonts w:ascii="Calibri" w:hAnsi="Calibri"/>
          <w:sz w:val="20"/>
          <w:szCs w:val="20"/>
        </w:rPr>
        <w:t>OEO2, MAGIC</w:t>
      </w:r>
      <w:r>
        <w:rPr>
          <w:rFonts w:ascii="Calibri" w:hAnsi="Calibri"/>
          <w:sz w:val="20"/>
          <w:szCs w:val="20"/>
        </w:rPr>
        <w:t xml:space="preserve">, </w:t>
      </w:r>
      <w:r w:rsidRPr="00827EA1">
        <w:rPr>
          <w:rFonts w:ascii="Calibri" w:hAnsi="Calibri"/>
          <w:sz w:val="20"/>
          <w:szCs w:val="20"/>
        </w:rPr>
        <w:t>FLOT</w:t>
      </w:r>
      <w:r>
        <w:rPr>
          <w:rFonts w:ascii="Calibri" w:hAnsi="Calibri"/>
          <w:sz w:val="20"/>
          <w:szCs w:val="20"/>
        </w:rPr>
        <w:t xml:space="preserve"> or </w:t>
      </w:r>
      <w:r w:rsidRPr="00827EA1">
        <w:rPr>
          <w:rFonts w:ascii="Calibri" w:hAnsi="Calibri"/>
          <w:sz w:val="20"/>
          <w:szCs w:val="20"/>
        </w:rPr>
        <w:t xml:space="preserve">other), </w:t>
      </w:r>
      <w:r w:rsidR="00D9501B">
        <w:rPr>
          <w:rFonts w:ascii="Calibri" w:hAnsi="Calibri"/>
          <w:sz w:val="20"/>
          <w:szCs w:val="20"/>
        </w:rPr>
        <w:t xml:space="preserve">LN yield (continuous), </w:t>
      </w:r>
      <w:r>
        <w:rPr>
          <w:rFonts w:ascii="Calibri" w:hAnsi="Calibri"/>
          <w:sz w:val="20"/>
          <w:szCs w:val="20"/>
        </w:rPr>
        <w:t>clinical stage (cT0-2 N0, cT0-2 N1-3, cT3-4 N0 or cT3-4 N1-3</w:t>
      </w:r>
      <w:r w:rsidRPr="00827EA1">
        <w:rPr>
          <w:rFonts w:ascii="Calibri" w:hAnsi="Calibri"/>
          <w:sz w:val="20"/>
          <w:szCs w:val="20"/>
        </w:rPr>
        <w:t>), differentiation (</w:t>
      </w:r>
      <w:r>
        <w:rPr>
          <w:rFonts w:ascii="Calibri" w:hAnsi="Calibri"/>
          <w:sz w:val="20"/>
          <w:szCs w:val="20"/>
        </w:rPr>
        <w:t>w</w:t>
      </w:r>
      <w:r w:rsidRPr="00827EA1">
        <w:rPr>
          <w:rFonts w:ascii="Calibri" w:hAnsi="Calibri"/>
          <w:sz w:val="20"/>
          <w:szCs w:val="20"/>
        </w:rPr>
        <w:t>ell-moderate</w:t>
      </w:r>
      <w:r>
        <w:rPr>
          <w:rFonts w:ascii="Calibri" w:hAnsi="Calibri"/>
          <w:sz w:val="20"/>
          <w:szCs w:val="20"/>
        </w:rPr>
        <w:t xml:space="preserve"> or </w:t>
      </w:r>
      <w:r w:rsidRPr="00827EA1">
        <w:rPr>
          <w:rFonts w:ascii="Calibri" w:hAnsi="Calibri"/>
          <w:sz w:val="20"/>
          <w:szCs w:val="20"/>
        </w:rPr>
        <w:t xml:space="preserve">poor), </w:t>
      </w:r>
      <w:r>
        <w:rPr>
          <w:rFonts w:ascii="Calibri" w:hAnsi="Calibri"/>
          <w:sz w:val="20"/>
          <w:szCs w:val="20"/>
        </w:rPr>
        <w:t>lymphovascular invasion</w:t>
      </w:r>
      <w:r w:rsidRPr="00827EA1">
        <w:rPr>
          <w:rFonts w:ascii="Calibri" w:hAnsi="Calibri"/>
          <w:sz w:val="20"/>
          <w:szCs w:val="20"/>
        </w:rPr>
        <w:t xml:space="preserve"> (yes</w:t>
      </w:r>
      <w:r>
        <w:rPr>
          <w:rFonts w:ascii="Calibri" w:hAnsi="Calibri"/>
          <w:sz w:val="20"/>
          <w:szCs w:val="20"/>
        </w:rPr>
        <w:t xml:space="preserve"> or </w:t>
      </w:r>
      <w:r w:rsidRPr="00827EA1">
        <w:rPr>
          <w:rFonts w:ascii="Calibri" w:hAnsi="Calibri"/>
          <w:sz w:val="20"/>
          <w:szCs w:val="20"/>
        </w:rPr>
        <w:t xml:space="preserve">no), primary </w:t>
      </w:r>
      <w:proofErr w:type="spellStart"/>
      <w:r w:rsidR="0019785E">
        <w:rPr>
          <w:rFonts w:ascii="Calibri" w:hAnsi="Calibri"/>
          <w:sz w:val="20"/>
          <w:szCs w:val="20"/>
        </w:rPr>
        <w:t>tumor</w:t>
      </w:r>
      <w:proofErr w:type="spellEnd"/>
      <w:r w:rsidRPr="00827EA1">
        <w:rPr>
          <w:rFonts w:ascii="Calibri" w:hAnsi="Calibri"/>
          <w:sz w:val="20"/>
          <w:szCs w:val="20"/>
        </w:rPr>
        <w:t xml:space="preserve"> </w:t>
      </w:r>
      <w:r>
        <w:rPr>
          <w:rFonts w:ascii="Calibri" w:hAnsi="Calibri"/>
          <w:sz w:val="20"/>
          <w:szCs w:val="20"/>
        </w:rPr>
        <w:t xml:space="preserve">response </w:t>
      </w:r>
      <w:r w:rsidRPr="00827EA1">
        <w:rPr>
          <w:rFonts w:ascii="Calibri" w:hAnsi="Calibri"/>
          <w:sz w:val="20"/>
          <w:szCs w:val="20"/>
        </w:rPr>
        <w:t>(</w:t>
      </w:r>
      <w:r>
        <w:rPr>
          <w:rFonts w:ascii="Calibri" w:hAnsi="Calibri"/>
          <w:sz w:val="20"/>
          <w:szCs w:val="20"/>
        </w:rPr>
        <w:t>r</w:t>
      </w:r>
      <w:r w:rsidRPr="00827EA1">
        <w:rPr>
          <w:rFonts w:ascii="Calibri" w:hAnsi="Calibri"/>
          <w:sz w:val="20"/>
          <w:szCs w:val="20"/>
        </w:rPr>
        <w:t>esponder</w:t>
      </w:r>
      <w:r>
        <w:rPr>
          <w:rFonts w:ascii="Calibri" w:hAnsi="Calibri"/>
          <w:sz w:val="20"/>
          <w:szCs w:val="20"/>
        </w:rPr>
        <w:t>, n</w:t>
      </w:r>
      <w:r w:rsidRPr="00827EA1">
        <w:rPr>
          <w:rFonts w:ascii="Calibri" w:hAnsi="Calibri"/>
          <w:sz w:val="20"/>
          <w:szCs w:val="20"/>
        </w:rPr>
        <w:t>on-responder</w:t>
      </w:r>
      <w:r>
        <w:rPr>
          <w:rFonts w:ascii="Calibri" w:hAnsi="Calibri"/>
          <w:sz w:val="20"/>
          <w:szCs w:val="20"/>
        </w:rPr>
        <w:t xml:space="preserve"> or not-recorded</w:t>
      </w:r>
      <w:r w:rsidRPr="00827EA1">
        <w:rPr>
          <w:rFonts w:ascii="Calibri" w:hAnsi="Calibri"/>
          <w:sz w:val="20"/>
          <w:szCs w:val="20"/>
        </w:rPr>
        <w:t>)</w:t>
      </w:r>
    </w:p>
    <w:p w14:paraId="755C7904" w14:textId="4C1D30E3" w:rsidR="00CB0D9A" w:rsidRDefault="00CB0D9A" w:rsidP="00CB0D9A">
      <w:pPr>
        <w:spacing w:line="360" w:lineRule="auto"/>
        <w:ind w:left="1080"/>
        <w:jc w:val="right"/>
        <w:rPr>
          <w:rFonts w:ascii="Calibri" w:hAnsi="Calibri"/>
          <w:sz w:val="20"/>
          <w:szCs w:val="20"/>
        </w:rPr>
      </w:pPr>
      <w:r>
        <w:rPr>
          <w:rFonts w:ascii="Calibri" w:hAnsi="Calibri"/>
          <w:sz w:val="20"/>
          <w:szCs w:val="20"/>
          <w:vertAlign w:val="superscript"/>
        </w:rPr>
        <w:t xml:space="preserve">b </w:t>
      </w:r>
      <w:r>
        <w:rPr>
          <w:rFonts w:ascii="Calibri" w:hAnsi="Calibri"/>
          <w:sz w:val="20"/>
          <w:szCs w:val="20"/>
        </w:rPr>
        <w:t>Lymph node regression score</w:t>
      </w:r>
      <w:r w:rsidR="000004D8">
        <w:rPr>
          <w:rFonts w:ascii="Calibri" w:hAnsi="Calibri"/>
          <w:sz w:val="20"/>
          <w:szCs w:val="20"/>
        </w:rPr>
        <w:t xml:space="preserve"> (LNRS) 4-5</w:t>
      </w:r>
    </w:p>
    <w:p w14:paraId="0FEC5252" w14:textId="441584F9" w:rsidR="000004D8" w:rsidRDefault="000004D8" w:rsidP="000004D8">
      <w:pPr>
        <w:spacing w:line="360" w:lineRule="auto"/>
        <w:ind w:left="1080"/>
        <w:jc w:val="right"/>
        <w:rPr>
          <w:rFonts w:ascii="Calibri" w:hAnsi="Calibri"/>
          <w:sz w:val="20"/>
          <w:szCs w:val="20"/>
        </w:rPr>
      </w:pPr>
      <w:r>
        <w:rPr>
          <w:rFonts w:ascii="Calibri" w:hAnsi="Calibri"/>
          <w:sz w:val="20"/>
          <w:szCs w:val="20"/>
          <w:vertAlign w:val="superscript"/>
        </w:rPr>
        <w:t xml:space="preserve">c </w:t>
      </w:r>
      <w:r>
        <w:rPr>
          <w:rFonts w:ascii="Calibri" w:hAnsi="Calibri"/>
          <w:sz w:val="20"/>
          <w:szCs w:val="20"/>
        </w:rPr>
        <w:t>LNRS 1-3</w:t>
      </w:r>
    </w:p>
    <w:p w14:paraId="1C01A4B7" w14:textId="7377468F" w:rsidR="000004D8" w:rsidRPr="000004D8" w:rsidRDefault="000004D8" w:rsidP="000004D8">
      <w:pPr>
        <w:spacing w:line="360" w:lineRule="auto"/>
        <w:ind w:left="1080"/>
        <w:jc w:val="right"/>
        <w:rPr>
          <w:rFonts w:ascii="Calibri" w:hAnsi="Calibri"/>
          <w:sz w:val="20"/>
          <w:szCs w:val="20"/>
        </w:rPr>
      </w:pPr>
      <w:r>
        <w:rPr>
          <w:rFonts w:ascii="Calibri" w:hAnsi="Calibri"/>
          <w:sz w:val="20"/>
          <w:szCs w:val="20"/>
          <w:vertAlign w:val="superscript"/>
        </w:rPr>
        <w:t>d</w:t>
      </w:r>
      <w:r>
        <w:rPr>
          <w:rFonts w:ascii="Calibri" w:hAnsi="Calibri"/>
          <w:sz w:val="20"/>
          <w:szCs w:val="20"/>
        </w:rPr>
        <w:t xml:space="preserve"> Not adjusted for primary </w:t>
      </w:r>
      <w:proofErr w:type="spellStart"/>
      <w:r w:rsidR="0019785E">
        <w:rPr>
          <w:rFonts w:ascii="Calibri" w:hAnsi="Calibri"/>
          <w:sz w:val="20"/>
          <w:szCs w:val="20"/>
        </w:rPr>
        <w:t>tumor</w:t>
      </w:r>
      <w:proofErr w:type="spellEnd"/>
      <w:r>
        <w:rPr>
          <w:rFonts w:ascii="Calibri" w:hAnsi="Calibri"/>
          <w:sz w:val="20"/>
          <w:szCs w:val="20"/>
        </w:rPr>
        <w:t xml:space="preserve"> response</w:t>
      </w:r>
    </w:p>
    <w:p w14:paraId="16E9519B" w14:textId="77777777" w:rsidR="000004D8" w:rsidRPr="00DC22EF" w:rsidRDefault="000004D8" w:rsidP="00CB0D9A">
      <w:pPr>
        <w:spacing w:line="360" w:lineRule="auto"/>
        <w:ind w:left="1080"/>
        <w:jc w:val="right"/>
        <w:rPr>
          <w:rFonts w:ascii="Calibri" w:hAnsi="Calibri"/>
          <w:sz w:val="20"/>
          <w:szCs w:val="20"/>
        </w:rPr>
      </w:pPr>
    </w:p>
    <w:p w14:paraId="04AB5134" w14:textId="64F57CBF" w:rsidR="000C697B" w:rsidRDefault="000C697B" w:rsidP="000C697B">
      <w:pPr>
        <w:spacing w:line="360" w:lineRule="auto"/>
        <w:rPr>
          <w:rFonts w:asciiTheme="majorHAnsi" w:hAnsiTheme="majorHAnsi"/>
        </w:rPr>
      </w:pPr>
    </w:p>
    <w:p w14:paraId="4D2F0DB3" w14:textId="77777777" w:rsidR="00054E70" w:rsidRDefault="00054E70" w:rsidP="000C697B">
      <w:pPr>
        <w:spacing w:line="360" w:lineRule="auto"/>
        <w:rPr>
          <w:rFonts w:asciiTheme="majorHAnsi" w:hAnsiTheme="majorHAnsi"/>
        </w:rPr>
      </w:pPr>
    </w:p>
    <w:p w14:paraId="5750E813" w14:textId="3289203A" w:rsidR="00054E70" w:rsidRDefault="00054E70">
      <w:pPr>
        <w:rPr>
          <w:rFonts w:ascii="Calibri" w:hAnsi="Calibri"/>
          <w:b/>
          <w:bCs/>
          <w:sz w:val="22"/>
          <w:szCs w:val="22"/>
        </w:rPr>
      </w:pPr>
    </w:p>
    <w:p w14:paraId="1F3BC4F6" w14:textId="4041566B" w:rsidR="00850628" w:rsidRPr="00054E70" w:rsidRDefault="00850628" w:rsidP="00054E70">
      <w:pPr>
        <w:spacing w:line="360" w:lineRule="auto"/>
        <w:rPr>
          <w:rFonts w:ascii="Calibri" w:hAnsi="Calibri"/>
          <w:sz w:val="22"/>
          <w:szCs w:val="22"/>
        </w:rPr>
      </w:pPr>
    </w:p>
    <w:p w14:paraId="2B4EFF3C" w14:textId="6DA6E51B" w:rsidR="00850628" w:rsidRDefault="004305B5">
      <w:pPr>
        <w:rPr>
          <w:rFonts w:asciiTheme="majorHAnsi" w:hAnsiTheme="majorHAnsi"/>
        </w:rPr>
      </w:pPr>
      <w:r>
        <w:rPr>
          <w:rFonts w:asciiTheme="majorHAnsi" w:hAnsiTheme="majorHAnsi"/>
          <w:noProof/>
        </w:rPr>
        <w:drawing>
          <wp:inline distT="0" distB="0" distL="0" distR="0" wp14:anchorId="36B033DF" wp14:editId="69F11470">
            <wp:extent cx="5270500" cy="2819400"/>
            <wp:effectExtent l="0" t="0" r="0" b="0"/>
            <wp:docPr id="3" name="Picture 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10;&#10;Description automatically generated"/>
                    <pic:cNvPicPr/>
                  </pic:nvPicPr>
                  <pic:blipFill>
                    <a:blip r:embed="rId11"/>
                    <a:stretch>
                      <a:fillRect/>
                    </a:stretch>
                  </pic:blipFill>
                  <pic:spPr>
                    <a:xfrm>
                      <a:off x="0" y="0"/>
                      <a:ext cx="5270500" cy="2819400"/>
                    </a:xfrm>
                    <a:prstGeom prst="rect">
                      <a:avLst/>
                    </a:prstGeom>
                  </pic:spPr>
                </pic:pic>
              </a:graphicData>
            </a:graphic>
          </wp:inline>
        </w:drawing>
      </w:r>
    </w:p>
    <w:p w14:paraId="32497431" w14:textId="77777777" w:rsidR="00850628" w:rsidRDefault="00850628" w:rsidP="00B47C9E">
      <w:pPr>
        <w:spacing w:line="480" w:lineRule="auto"/>
        <w:rPr>
          <w:rFonts w:ascii="Calibri" w:hAnsi="Calibri"/>
          <w:b/>
          <w:bCs/>
          <w:sz w:val="22"/>
          <w:szCs w:val="22"/>
        </w:rPr>
      </w:pPr>
    </w:p>
    <w:p w14:paraId="38A50F54" w14:textId="77777777" w:rsidR="00850628" w:rsidRDefault="00850628" w:rsidP="00B47C9E">
      <w:pPr>
        <w:spacing w:line="480" w:lineRule="auto"/>
        <w:rPr>
          <w:rFonts w:ascii="Calibri" w:hAnsi="Calibri"/>
          <w:b/>
          <w:bCs/>
          <w:sz w:val="22"/>
          <w:szCs w:val="22"/>
        </w:rPr>
      </w:pPr>
    </w:p>
    <w:p w14:paraId="06A9CFEF" w14:textId="57AD911E" w:rsidR="004C56A5" w:rsidRPr="000C697B" w:rsidRDefault="004C56A5" w:rsidP="00B47C9E">
      <w:pPr>
        <w:spacing w:line="480" w:lineRule="auto"/>
        <w:rPr>
          <w:rFonts w:ascii="Calibri" w:hAnsi="Calibri"/>
          <w:sz w:val="22"/>
          <w:szCs w:val="22"/>
        </w:rPr>
      </w:pPr>
      <w:r>
        <w:rPr>
          <w:rFonts w:ascii="Calibri" w:hAnsi="Calibri"/>
          <w:b/>
          <w:bCs/>
          <w:sz w:val="22"/>
          <w:szCs w:val="22"/>
        </w:rPr>
        <w:t xml:space="preserve">Supplementary </w:t>
      </w:r>
      <w:r w:rsidR="00A27AFA">
        <w:rPr>
          <w:rFonts w:ascii="Calibri" w:hAnsi="Calibri"/>
          <w:b/>
          <w:bCs/>
          <w:sz w:val="22"/>
          <w:szCs w:val="22"/>
        </w:rPr>
        <w:t>F</w:t>
      </w:r>
      <w:r>
        <w:rPr>
          <w:rFonts w:ascii="Calibri" w:hAnsi="Calibri"/>
          <w:b/>
          <w:bCs/>
          <w:sz w:val="22"/>
          <w:szCs w:val="22"/>
        </w:rPr>
        <w:t>igure 1</w:t>
      </w:r>
      <w:r w:rsidRPr="000C697B">
        <w:rPr>
          <w:rFonts w:ascii="Calibri" w:hAnsi="Calibri"/>
          <w:b/>
          <w:bCs/>
          <w:sz w:val="22"/>
          <w:szCs w:val="22"/>
        </w:rPr>
        <w:t>.</w:t>
      </w:r>
      <w:r w:rsidRPr="000C697B">
        <w:rPr>
          <w:rFonts w:ascii="Calibri" w:hAnsi="Calibri"/>
          <w:sz w:val="22"/>
          <w:szCs w:val="22"/>
        </w:rPr>
        <w:t xml:space="preserve"> </w:t>
      </w:r>
      <w:r>
        <w:rPr>
          <w:rFonts w:ascii="Calibri" w:hAnsi="Calibri"/>
          <w:sz w:val="22"/>
          <w:szCs w:val="22"/>
        </w:rPr>
        <w:t>Study flowsheet.</w:t>
      </w:r>
    </w:p>
    <w:p w14:paraId="03FB8527" w14:textId="77777777" w:rsidR="004C56A5" w:rsidRDefault="004C56A5" w:rsidP="00B47C9E">
      <w:pPr>
        <w:spacing w:line="480" w:lineRule="auto"/>
        <w:rPr>
          <w:rFonts w:asciiTheme="majorHAnsi" w:hAnsiTheme="majorHAnsi"/>
        </w:rPr>
      </w:pPr>
    </w:p>
    <w:p w14:paraId="7D217698" w14:textId="6BAD1DAC" w:rsidR="00A019FF" w:rsidRDefault="004305B5" w:rsidP="00B47C9E">
      <w:pPr>
        <w:spacing w:line="480" w:lineRule="auto"/>
        <w:rPr>
          <w:rFonts w:asciiTheme="majorHAnsi" w:hAnsiTheme="majorHAnsi"/>
        </w:rPr>
      </w:pPr>
      <w:r>
        <w:rPr>
          <w:rFonts w:asciiTheme="majorHAnsi" w:hAnsiTheme="majorHAnsi"/>
          <w:noProof/>
        </w:rPr>
        <w:lastRenderedPageBreak/>
        <w:drawing>
          <wp:inline distT="0" distB="0" distL="0" distR="0" wp14:anchorId="6B58530E" wp14:editId="6FA54308">
            <wp:extent cx="5270500" cy="5719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270500" cy="5719445"/>
                    </a:xfrm>
                    <a:prstGeom prst="rect">
                      <a:avLst/>
                    </a:prstGeom>
                  </pic:spPr>
                </pic:pic>
              </a:graphicData>
            </a:graphic>
          </wp:inline>
        </w:drawing>
      </w:r>
    </w:p>
    <w:p w14:paraId="4B0DC92B" w14:textId="39A620A8" w:rsidR="005043D9" w:rsidRPr="000C697B" w:rsidRDefault="005043D9" w:rsidP="00B47C9E">
      <w:pPr>
        <w:spacing w:line="480" w:lineRule="auto"/>
        <w:rPr>
          <w:rFonts w:ascii="Calibri" w:hAnsi="Calibri"/>
          <w:sz w:val="22"/>
          <w:szCs w:val="22"/>
        </w:rPr>
      </w:pPr>
      <w:r>
        <w:rPr>
          <w:rFonts w:ascii="Calibri" w:hAnsi="Calibri"/>
          <w:b/>
          <w:bCs/>
          <w:sz w:val="22"/>
          <w:szCs w:val="22"/>
        </w:rPr>
        <w:t xml:space="preserve">Supplementary </w:t>
      </w:r>
      <w:r w:rsidR="00A27AFA">
        <w:rPr>
          <w:rFonts w:ascii="Calibri" w:hAnsi="Calibri"/>
          <w:b/>
          <w:bCs/>
          <w:sz w:val="22"/>
          <w:szCs w:val="22"/>
        </w:rPr>
        <w:t>F</w:t>
      </w:r>
      <w:r>
        <w:rPr>
          <w:rFonts w:ascii="Calibri" w:hAnsi="Calibri"/>
          <w:b/>
          <w:bCs/>
          <w:sz w:val="22"/>
          <w:szCs w:val="22"/>
        </w:rPr>
        <w:t xml:space="preserve">igure </w:t>
      </w:r>
      <w:r w:rsidR="004C56A5">
        <w:rPr>
          <w:rFonts w:ascii="Calibri" w:hAnsi="Calibri"/>
          <w:b/>
          <w:bCs/>
          <w:sz w:val="22"/>
          <w:szCs w:val="22"/>
        </w:rPr>
        <w:t>2</w:t>
      </w:r>
      <w:r w:rsidRPr="000C697B">
        <w:rPr>
          <w:rFonts w:ascii="Calibri" w:hAnsi="Calibri"/>
          <w:b/>
          <w:bCs/>
          <w:sz w:val="22"/>
          <w:szCs w:val="22"/>
        </w:rPr>
        <w:t>.</w:t>
      </w:r>
      <w:r w:rsidRPr="000C697B">
        <w:rPr>
          <w:rFonts w:ascii="Calibri" w:hAnsi="Calibri"/>
          <w:sz w:val="22"/>
          <w:szCs w:val="22"/>
        </w:rPr>
        <w:t xml:space="preserve"> Kaplan-Meier survival analysis evaluating overall survival </w:t>
      </w:r>
      <w:r>
        <w:rPr>
          <w:rFonts w:ascii="Calibri" w:hAnsi="Calibri"/>
          <w:sz w:val="22"/>
          <w:szCs w:val="22"/>
        </w:rPr>
        <w:t xml:space="preserve">for </w:t>
      </w:r>
      <w:r w:rsidRPr="000C697B">
        <w:rPr>
          <w:rFonts w:ascii="Calibri" w:hAnsi="Calibri"/>
          <w:sz w:val="22"/>
          <w:szCs w:val="22"/>
        </w:rPr>
        <w:t>pathological nodal response</w:t>
      </w:r>
      <w:r>
        <w:rPr>
          <w:rFonts w:ascii="Calibri" w:hAnsi="Calibri"/>
          <w:sz w:val="22"/>
          <w:szCs w:val="22"/>
        </w:rPr>
        <w:t xml:space="preserve"> </w:t>
      </w:r>
      <w:r w:rsidRPr="000C697B">
        <w:rPr>
          <w:rFonts w:ascii="Calibri" w:hAnsi="Calibri"/>
          <w:sz w:val="22"/>
          <w:szCs w:val="22"/>
        </w:rPr>
        <w:t xml:space="preserve">stratified by </w:t>
      </w:r>
      <w:r>
        <w:rPr>
          <w:rFonts w:ascii="Calibri" w:hAnsi="Calibri"/>
          <w:sz w:val="22"/>
          <w:szCs w:val="22"/>
        </w:rPr>
        <w:t>neoadjuvant chemotherapy regimen in</w:t>
      </w:r>
      <w:r w:rsidRPr="000C697B">
        <w:rPr>
          <w:rFonts w:ascii="Calibri" w:hAnsi="Calibri"/>
          <w:sz w:val="22"/>
          <w:szCs w:val="22"/>
        </w:rPr>
        <w:t xml:space="preserve"> patients </w:t>
      </w:r>
      <w:r>
        <w:rPr>
          <w:rFonts w:ascii="Calibri" w:hAnsi="Calibri"/>
          <w:sz w:val="22"/>
          <w:szCs w:val="22"/>
        </w:rPr>
        <w:t>treated with</w:t>
      </w:r>
      <w:r w:rsidRPr="000C697B">
        <w:rPr>
          <w:rFonts w:ascii="Calibri" w:hAnsi="Calibri"/>
          <w:sz w:val="22"/>
          <w:szCs w:val="22"/>
        </w:rPr>
        <w:t xml:space="preserve"> </w:t>
      </w:r>
      <w:proofErr w:type="spellStart"/>
      <w:r w:rsidR="0019785E">
        <w:rPr>
          <w:rFonts w:ascii="Calibri" w:hAnsi="Calibri"/>
          <w:sz w:val="22"/>
          <w:szCs w:val="22"/>
        </w:rPr>
        <w:t>esophageal</w:t>
      </w:r>
      <w:proofErr w:type="spellEnd"/>
      <w:r w:rsidRPr="000C697B">
        <w:rPr>
          <w:rFonts w:ascii="Calibri" w:hAnsi="Calibri"/>
          <w:sz w:val="22"/>
          <w:szCs w:val="22"/>
        </w:rPr>
        <w:t xml:space="preserve"> adenocarcinoma </w:t>
      </w:r>
      <w:r>
        <w:rPr>
          <w:rFonts w:ascii="Calibri" w:hAnsi="Calibri"/>
          <w:sz w:val="22"/>
          <w:szCs w:val="22"/>
        </w:rPr>
        <w:t xml:space="preserve">treated with </w:t>
      </w:r>
      <w:r w:rsidRPr="000C697B">
        <w:rPr>
          <w:rFonts w:ascii="Calibri" w:hAnsi="Calibri"/>
          <w:sz w:val="22"/>
          <w:szCs w:val="22"/>
        </w:rPr>
        <w:t>neoadjuvant chemotherapy followed by surgical resection. The significance of the difference was calculated using the log-rank test.</w:t>
      </w:r>
    </w:p>
    <w:p w14:paraId="3017DDA9" w14:textId="77777777" w:rsidR="000C697B" w:rsidRPr="00A019FF" w:rsidRDefault="000C697B" w:rsidP="00CB0D9A">
      <w:pPr>
        <w:widowControl w:val="0"/>
        <w:autoSpaceDE w:val="0"/>
        <w:autoSpaceDN w:val="0"/>
        <w:adjustRightInd w:val="0"/>
        <w:spacing w:line="360" w:lineRule="auto"/>
        <w:rPr>
          <w:rFonts w:asciiTheme="majorHAnsi" w:hAnsiTheme="majorHAnsi"/>
        </w:rPr>
      </w:pPr>
    </w:p>
    <w:sectPr w:rsidR="000C697B" w:rsidRPr="00A019FF" w:rsidSect="000D7606">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579BC" w14:textId="77777777" w:rsidR="00EF7F74" w:rsidRDefault="00EF7F74" w:rsidP="00DB10F3">
      <w:r>
        <w:separator/>
      </w:r>
    </w:p>
  </w:endnote>
  <w:endnote w:type="continuationSeparator" w:id="0">
    <w:p w14:paraId="4F776187" w14:textId="77777777" w:rsidR="00EF7F74" w:rsidRDefault="00EF7F74" w:rsidP="00DB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2284961"/>
      <w:docPartObj>
        <w:docPartGallery w:val="Page Numbers (Bottom of Page)"/>
        <w:docPartUnique/>
      </w:docPartObj>
    </w:sdtPr>
    <w:sdtEndPr>
      <w:rPr>
        <w:rStyle w:val="PageNumber"/>
      </w:rPr>
    </w:sdtEndPr>
    <w:sdtContent>
      <w:p w14:paraId="7555F958" w14:textId="3759F751" w:rsidR="00DB10F3" w:rsidRDefault="00DB10F3" w:rsidP="003266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86060" w14:textId="77777777" w:rsidR="00DB10F3" w:rsidRDefault="00DB1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2443625"/>
      <w:docPartObj>
        <w:docPartGallery w:val="Page Numbers (Bottom of Page)"/>
        <w:docPartUnique/>
      </w:docPartObj>
    </w:sdtPr>
    <w:sdtEndPr>
      <w:rPr>
        <w:rStyle w:val="PageNumber"/>
      </w:rPr>
    </w:sdtEndPr>
    <w:sdtContent>
      <w:p w14:paraId="50E7D755" w14:textId="2FA5F058" w:rsidR="00DB10F3" w:rsidRDefault="00DB10F3" w:rsidP="003266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9C719" w14:textId="77777777" w:rsidR="00DB10F3" w:rsidRDefault="00DB1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90F61" w14:textId="77777777" w:rsidR="00EF7F74" w:rsidRDefault="00EF7F74" w:rsidP="00DB10F3">
      <w:r>
        <w:separator/>
      </w:r>
    </w:p>
  </w:footnote>
  <w:footnote w:type="continuationSeparator" w:id="0">
    <w:p w14:paraId="54986DB7" w14:textId="77777777" w:rsidR="00EF7F74" w:rsidRDefault="00EF7F74" w:rsidP="00DB1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17375"/>
    <w:multiLevelType w:val="hybridMultilevel"/>
    <w:tmpl w:val="371EE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9702C"/>
    <w:multiLevelType w:val="hybridMultilevel"/>
    <w:tmpl w:val="29063A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87A56"/>
    <w:multiLevelType w:val="hybridMultilevel"/>
    <w:tmpl w:val="AB9E4B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C32B9"/>
    <w:multiLevelType w:val="hybridMultilevel"/>
    <w:tmpl w:val="5322BF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65023"/>
    <w:multiLevelType w:val="hybridMultilevel"/>
    <w:tmpl w:val="4686DE58"/>
    <w:lvl w:ilvl="0" w:tplc="0809001B">
      <w:start w:val="1"/>
      <w:numFmt w:val="lowerRoman"/>
      <w:lvlText w:val="%1."/>
      <w:lvlJc w:val="right"/>
      <w:pPr>
        <w:ind w:left="216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4C2C40"/>
    <w:multiLevelType w:val="hybridMultilevel"/>
    <w:tmpl w:val="30E091A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0A02CF"/>
    <w:multiLevelType w:val="hybridMultilevel"/>
    <w:tmpl w:val="61C08E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10455"/>
    <w:multiLevelType w:val="hybridMultilevel"/>
    <w:tmpl w:val="7C6A6E32"/>
    <w:lvl w:ilvl="0" w:tplc="7F22C86C">
      <w:start w:val="2"/>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A2666"/>
    <w:multiLevelType w:val="multilevel"/>
    <w:tmpl w:val="BA7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4049A"/>
    <w:multiLevelType w:val="hybridMultilevel"/>
    <w:tmpl w:val="C14ADADA"/>
    <w:lvl w:ilvl="0" w:tplc="2D4044D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07EB0"/>
    <w:multiLevelType w:val="hybridMultilevel"/>
    <w:tmpl w:val="F65857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F3E2CC0"/>
    <w:multiLevelType w:val="hybridMultilevel"/>
    <w:tmpl w:val="AFF499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C36485"/>
    <w:multiLevelType w:val="hybridMultilevel"/>
    <w:tmpl w:val="41FE0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262B6A"/>
    <w:multiLevelType w:val="hybridMultilevel"/>
    <w:tmpl w:val="97587D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4618562A"/>
    <w:multiLevelType w:val="hybridMultilevel"/>
    <w:tmpl w:val="A170D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12DA7"/>
    <w:multiLevelType w:val="hybridMultilevel"/>
    <w:tmpl w:val="56A46044"/>
    <w:lvl w:ilvl="0" w:tplc="12C2F3EC">
      <w:start w:val="1"/>
      <w:numFmt w:val="bullet"/>
      <w:lvlText w:val="-"/>
      <w:lvlJc w:val="left"/>
      <w:pPr>
        <w:ind w:left="1800" w:hanging="360"/>
      </w:pPr>
      <w:rPr>
        <w:rFonts w:ascii="Calibri" w:eastAsiaTheme="minorEastAsia"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5C82FB4"/>
    <w:multiLevelType w:val="hybridMultilevel"/>
    <w:tmpl w:val="37D094DE"/>
    <w:lvl w:ilvl="0" w:tplc="100639C6">
      <w:start w:val="2"/>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7D4E01"/>
    <w:multiLevelType w:val="hybridMultilevel"/>
    <w:tmpl w:val="7F2A0A50"/>
    <w:lvl w:ilvl="0" w:tplc="7F22C86C">
      <w:start w:val="2"/>
      <w:numFmt w:val="bullet"/>
      <w:lvlText w:val="-"/>
      <w:lvlJc w:val="left"/>
      <w:pPr>
        <w:ind w:left="3600" w:hanging="360"/>
      </w:pPr>
      <w:rPr>
        <w:rFonts w:ascii="Helvetica" w:eastAsia="Times New Roman" w:hAnsi="Helvetica" w:cs="Times New Roman"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614B4B5F"/>
    <w:multiLevelType w:val="hybridMultilevel"/>
    <w:tmpl w:val="B4C6AEA0"/>
    <w:lvl w:ilvl="0" w:tplc="100639C6">
      <w:start w:val="2"/>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720AC2"/>
    <w:multiLevelType w:val="hybridMultilevel"/>
    <w:tmpl w:val="238AA61E"/>
    <w:lvl w:ilvl="0" w:tplc="7110F1D2">
      <w:start w:val="1"/>
      <w:numFmt w:val="decimal"/>
      <w:lvlText w:val="%1-"/>
      <w:lvlJc w:val="left"/>
      <w:pPr>
        <w:ind w:left="785"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F724B0"/>
    <w:multiLevelType w:val="hybridMultilevel"/>
    <w:tmpl w:val="467424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09684F"/>
    <w:multiLevelType w:val="hybridMultilevel"/>
    <w:tmpl w:val="DBA29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194CDA"/>
    <w:multiLevelType w:val="hybridMultilevel"/>
    <w:tmpl w:val="61C08E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A745A"/>
    <w:multiLevelType w:val="hybridMultilevel"/>
    <w:tmpl w:val="AF62E4F6"/>
    <w:lvl w:ilvl="0" w:tplc="AD58BBE8">
      <w:start w:val="2"/>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20"/>
  </w:num>
  <w:num w:numId="4">
    <w:abstractNumId w:val="22"/>
  </w:num>
  <w:num w:numId="5">
    <w:abstractNumId w:val="14"/>
  </w:num>
  <w:num w:numId="6">
    <w:abstractNumId w:val="2"/>
  </w:num>
  <w:num w:numId="7">
    <w:abstractNumId w:val="10"/>
  </w:num>
  <w:num w:numId="8">
    <w:abstractNumId w:val="23"/>
  </w:num>
  <w:num w:numId="9">
    <w:abstractNumId w:val="16"/>
  </w:num>
  <w:num w:numId="10">
    <w:abstractNumId w:val="18"/>
  </w:num>
  <w:num w:numId="11">
    <w:abstractNumId w:val="21"/>
  </w:num>
  <w:num w:numId="12">
    <w:abstractNumId w:val="5"/>
  </w:num>
  <w:num w:numId="13">
    <w:abstractNumId w:val="4"/>
  </w:num>
  <w:num w:numId="14">
    <w:abstractNumId w:val="15"/>
  </w:num>
  <w:num w:numId="15">
    <w:abstractNumId w:val="6"/>
  </w:num>
  <w:num w:numId="16">
    <w:abstractNumId w:val="19"/>
  </w:num>
  <w:num w:numId="17">
    <w:abstractNumId w:val="8"/>
  </w:num>
  <w:num w:numId="18">
    <w:abstractNumId w:val="9"/>
  </w:num>
  <w:num w:numId="19">
    <w:abstractNumId w:val="3"/>
  </w:num>
  <w:num w:numId="20">
    <w:abstractNumId w:val="1"/>
  </w:num>
  <w:num w:numId="21">
    <w:abstractNumId w:val="7"/>
  </w:num>
  <w:num w:numId="22">
    <w:abstractNumId w:val="17"/>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8C"/>
    <w:rsid w:val="000004D8"/>
    <w:rsid w:val="00002300"/>
    <w:rsid w:val="0000683D"/>
    <w:rsid w:val="00006AFD"/>
    <w:rsid w:val="00006C53"/>
    <w:rsid w:val="00011C72"/>
    <w:rsid w:val="0001586D"/>
    <w:rsid w:val="000161D5"/>
    <w:rsid w:val="000256AE"/>
    <w:rsid w:val="00032989"/>
    <w:rsid w:val="00036595"/>
    <w:rsid w:val="000403A5"/>
    <w:rsid w:val="000447D6"/>
    <w:rsid w:val="00054E70"/>
    <w:rsid w:val="0006380D"/>
    <w:rsid w:val="00077427"/>
    <w:rsid w:val="000928B6"/>
    <w:rsid w:val="0009351E"/>
    <w:rsid w:val="00093AC6"/>
    <w:rsid w:val="0009437B"/>
    <w:rsid w:val="000A02D0"/>
    <w:rsid w:val="000B302A"/>
    <w:rsid w:val="000B3C2E"/>
    <w:rsid w:val="000C18CC"/>
    <w:rsid w:val="000C319C"/>
    <w:rsid w:val="000C697B"/>
    <w:rsid w:val="000D1186"/>
    <w:rsid w:val="000D4F7A"/>
    <w:rsid w:val="000D589D"/>
    <w:rsid w:val="000D7606"/>
    <w:rsid w:val="000E1312"/>
    <w:rsid w:val="000E33A7"/>
    <w:rsid w:val="000E4F4A"/>
    <w:rsid w:val="00103CFC"/>
    <w:rsid w:val="00105406"/>
    <w:rsid w:val="0010676E"/>
    <w:rsid w:val="00113296"/>
    <w:rsid w:val="00114C60"/>
    <w:rsid w:val="00115E01"/>
    <w:rsid w:val="001230AD"/>
    <w:rsid w:val="0012495A"/>
    <w:rsid w:val="0013205F"/>
    <w:rsid w:val="00134343"/>
    <w:rsid w:val="00142AD2"/>
    <w:rsid w:val="00146837"/>
    <w:rsid w:val="00147E2D"/>
    <w:rsid w:val="00147E71"/>
    <w:rsid w:val="00152F8C"/>
    <w:rsid w:val="00156F25"/>
    <w:rsid w:val="00161AFA"/>
    <w:rsid w:val="00165D3C"/>
    <w:rsid w:val="0017006B"/>
    <w:rsid w:val="00173B10"/>
    <w:rsid w:val="00185D7E"/>
    <w:rsid w:val="00187775"/>
    <w:rsid w:val="0019170C"/>
    <w:rsid w:val="0019785E"/>
    <w:rsid w:val="001A1AEC"/>
    <w:rsid w:val="001A4E80"/>
    <w:rsid w:val="001B0B6F"/>
    <w:rsid w:val="001B35E1"/>
    <w:rsid w:val="001B683F"/>
    <w:rsid w:val="001D6BA3"/>
    <w:rsid w:val="001E67C0"/>
    <w:rsid w:val="00200C4F"/>
    <w:rsid w:val="002033AD"/>
    <w:rsid w:val="00207317"/>
    <w:rsid w:val="00207D67"/>
    <w:rsid w:val="00213094"/>
    <w:rsid w:val="00225A62"/>
    <w:rsid w:val="00233545"/>
    <w:rsid w:val="0025248F"/>
    <w:rsid w:val="002557E9"/>
    <w:rsid w:val="00264FEE"/>
    <w:rsid w:val="002723FF"/>
    <w:rsid w:val="00277830"/>
    <w:rsid w:val="002813F2"/>
    <w:rsid w:val="00281670"/>
    <w:rsid w:val="00283EB6"/>
    <w:rsid w:val="00285606"/>
    <w:rsid w:val="00291A51"/>
    <w:rsid w:val="00294E48"/>
    <w:rsid w:val="00294EE6"/>
    <w:rsid w:val="002A566F"/>
    <w:rsid w:val="002A7175"/>
    <w:rsid w:val="002A7615"/>
    <w:rsid w:val="002B142D"/>
    <w:rsid w:val="002B20CB"/>
    <w:rsid w:val="002B5269"/>
    <w:rsid w:val="002B7B19"/>
    <w:rsid w:val="002C2B08"/>
    <w:rsid w:val="002C68B7"/>
    <w:rsid w:val="002D54F8"/>
    <w:rsid w:val="002D7FBB"/>
    <w:rsid w:val="002E18AF"/>
    <w:rsid w:val="002E65A2"/>
    <w:rsid w:val="0030301A"/>
    <w:rsid w:val="00303EE5"/>
    <w:rsid w:val="00307E10"/>
    <w:rsid w:val="0032166E"/>
    <w:rsid w:val="003240DB"/>
    <w:rsid w:val="00325499"/>
    <w:rsid w:val="00325E88"/>
    <w:rsid w:val="00330BA2"/>
    <w:rsid w:val="00331A2A"/>
    <w:rsid w:val="00331CEF"/>
    <w:rsid w:val="0033259B"/>
    <w:rsid w:val="0033517A"/>
    <w:rsid w:val="00335C9C"/>
    <w:rsid w:val="00345D6C"/>
    <w:rsid w:val="00346C01"/>
    <w:rsid w:val="0035049B"/>
    <w:rsid w:val="003528CB"/>
    <w:rsid w:val="003539D3"/>
    <w:rsid w:val="00367668"/>
    <w:rsid w:val="003853B9"/>
    <w:rsid w:val="003853DB"/>
    <w:rsid w:val="00386188"/>
    <w:rsid w:val="003A17C2"/>
    <w:rsid w:val="003A1A40"/>
    <w:rsid w:val="003A657D"/>
    <w:rsid w:val="003B07E3"/>
    <w:rsid w:val="003B1A12"/>
    <w:rsid w:val="003B202A"/>
    <w:rsid w:val="003B27F0"/>
    <w:rsid w:val="003B407E"/>
    <w:rsid w:val="003B588C"/>
    <w:rsid w:val="003B5AFC"/>
    <w:rsid w:val="003B7EE6"/>
    <w:rsid w:val="003C27E2"/>
    <w:rsid w:val="003C3004"/>
    <w:rsid w:val="003D002F"/>
    <w:rsid w:val="003D0D50"/>
    <w:rsid w:val="003D6F55"/>
    <w:rsid w:val="003E1460"/>
    <w:rsid w:val="003E4062"/>
    <w:rsid w:val="003F00E7"/>
    <w:rsid w:val="003F019A"/>
    <w:rsid w:val="003F20DD"/>
    <w:rsid w:val="003F64CC"/>
    <w:rsid w:val="003F7FFD"/>
    <w:rsid w:val="00400EF4"/>
    <w:rsid w:val="004041CA"/>
    <w:rsid w:val="0041734F"/>
    <w:rsid w:val="00425EC9"/>
    <w:rsid w:val="004305B5"/>
    <w:rsid w:val="004315C9"/>
    <w:rsid w:val="00435CAC"/>
    <w:rsid w:val="0043627D"/>
    <w:rsid w:val="0043650F"/>
    <w:rsid w:val="00440001"/>
    <w:rsid w:val="00442F98"/>
    <w:rsid w:val="00447782"/>
    <w:rsid w:val="0045780A"/>
    <w:rsid w:val="00460502"/>
    <w:rsid w:val="00467E2B"/>
    <w:rsid w:val="004778A1"/>
    <w:rsid w:val="004870E0"/>
    <w:rsid w:val="00490AE1"/>
    <w:rsid w:val="004934AD"/>
    <w:rsid w:val="00496E1E"/>
    <w:rsid w:val="004A52A0"/>
    <w:rsid w:val="004A652F"/>
    <w:rsid w:val="004A6855"/>
    <w:rsid w:val="004B2B04"/>
    <w:rsid w:val="004C2047"/>
    <w:rsid w:val="004C56A5"/>
    <w:rsid w:val="004C6BB4"/>
    <w:rsid w:val="004C6CF7"/>
    <w:rsid w:val="004D563C"/>
    <w:rsid w:val="004E08CA"/>
    <w:rsid w:val="004F2244"/>
    <w:rsid w:val="004F5BE3"/>
    <w:rsid w:val="004F5E68"/>
    <w:rsid w:val="005043D9"/>
    <w:rsid w:val="005152D5"/>
    <w:rsid w:val="00522043"/>
    <w:rsid w:val="0052499D"/>
    <w:rsid w:val="005249C4"/>
    <w:rsid w:val="0053738A"/>
    <w:rsid w:val="0054261B"/>
    <w:rsid w:val="00557B73"/>
    <w:rsid w:val="00564B86"/>
    <w:rsid w:val="00564F19"/>
    <w:rsid w:val="00597A25"/>
    <w:rsid w:val="005A20C8"/>
    <w:rsid w:val="005B2B10"/>
    <w:rsid w:val="005C2819"/>
    <w:rsid w:val="005C46E6"/>
    <w:rsid w:val="005C5353"/>
    <w:rsid w:val="005C7A24"/>
    <w:rsid w:val="005D4FA2"/>
    <w:rsid w:val="005D5A55"/>
    <w:rsid w:val="005E16FF"/>
    <w:rsid w:val="005E2571"/>
    <w:rsid w:val="005E4CD1"/>
    <w:rsid w:val="005E4D3E"/>
    <w:rsid w:val="005F66B6"/>
    <w:rsid w:val="00604B9B"/>
    <w:rsid w:val="00610A1F"/>
    <w:rsid w:val="006123E0"/>
    <w:rsid w:val="00621D83"/>
    <w:rsid w:val="0064421D"/>
    <w:rsid w:val="00654347"/>
    <w:rsid w:val="00655C7F"/>
    <w:rsid w:val="00664601"/>
    <w:rsid w:val="006770F3"/>
    <w:rsid w:val="00685CFA"/>
    <w:rsid w:val="0069079C"/>
    <w:rsid w:val="00694299"/>
    <w:rsid w:val="006A0299"/>
    <w:rsid w:val="006A274B"/>
    <w:rsid w:val="006B3AD8"/>
    <w:rsid w:val="006B7B17"/>
    <w:rsid w:val="006C7C10"/>
    <w:rsid w:val="006D3C47"/>
    <w:rsid w:val="006D688C"/>
    <w:rsid w:val="006E696A"/>
    <w:rsid w:val="006E7562"/>
    <w:rsid w:val="006F1963"/>
    <w:rsid w:val="006F24EC"/>
    <w:rsid w:val="006F7FF6"/>
    <w:rsid w:val="00705206"/>
    <w:rsid w:val="007054A7"/>
    <w:rsid w:val="00707FF4"/>
    <w:rsid w:val="0071070E"/>
    <w:rsid w:val="00712DEF"/>
    <w:rsid w:val="007246E3"/>
    <w:rsid w:val="0072560D"/>
    <w:rsid w:val="007323E6"/>
    <w:rsid w:val="007362BA"/>
    <w:rsid w:val="00736DA6"/>
    <w:rsid w:val="0074568B"/>
    <w:rsid w:val="00746325"/>
    <w:rsid w:val="0075180C"/>
    <w:rsid w:val="00766C53"/>
    <w:rsid w:val="00785B42"/>
    <w:rsid w:val="00792AAF"/>
    <w:rsid w:val="007950A4"/>
    <w:rsid w:val="00795BAE"/>
    <w:rsid w:val="00796931"/>
    <w:rsid w:val="007A53B9"/>
    <w:rsid w:val="007C4EF8"/>
    <w:rsid w:val="007C619E"/>
    <w:rsid w:val="007D4AFA"/>
    <w:rsid w:val="007D5650"/>
    <w:rsid w:val="007E46C0"/>
    <w:rsid w:val="007E7F4B"/>
    <w:rsid w:val="007F6456"/>
    <w:rsid w:val="008148FE"/>
    <w:rsid w:val="008157D6"/>
    <w:rsid w:val="00817D45"/>
    <w:rsid w:val="00820A59"/>
    <w:rsid w:val="00822B27"/>
    <w:rsid w:val="00823FE8"/>
    <w:rsid w:val="0082589D"/>
    <w:rsid w:val="00826ACC"/>
    <w:rsid w:val="00827EA1"/>
    <w:rsid w:val="00843D30"/>
    <w:rsid w:val="00847FC1"/>
    <w:rsid w:val="00850628"/>
    <w:rsid w:val="008519E1"/>
    <w:rsid w:val="00852A20"/>
    <w:rsid w:val="00865279"/>
    <w:rsid w:val="00867A8B"/>
    <w:rsid w:val="00875A00"/>
    <w:rsid w:val="00876028"/>
    <w:rsid w:val="00876773"/>
    <w:rsid w:val="00877169"/>
    <w:rsid w:val="0088105F"/>
    <w:rsid w:val="008842CD"/>
    <w:rsid w:val="0089358A"/>
    <w:rsid w:val="00893C99"/>
    <w:rsid w:val="00895471"/>
    <w:rsid w:val="00895850"/>
    <w:rsid w:val="008A03F5"/>
    <w:rsid w:val="008A0D59"/>
    <w:rsid w:val="008B07F7"/>
    <w:rsid w:val="008C0AF3"/>
    <w:rsid w:val="008C38BE"/>
    <w:rsid w:val="008C3BCD"/>
    <w:rsid w:val="008D4852"/>
    <w:rsid w:val="008E16FF"/>
    <w:rsid w:val="008E487E"/>
    <w:rsid w:val="008E5644"/>
    <w:rsid w:val="008E7E9F"/>
    <w:rsid w:val="008F4704"/>
    <w:rsid w:val="008F6990"/>
    <w:rsid w:val="008F6EDA"/>
    <w:rsid w:val="008F7656"/>
    <w:rsid w:val="00900152"/>
    <w:rsid w:val="0091459B"/>
    <w:rsid w:val="00924E8E"/>
    <w:rsid w:val="009330A3"/>
    <w:rsid w:val="00934A08"/>
    <w:rsid w:val="00935F7C"/>
    <w:rsid w:val="00950682"/>
    <w:rsid w:val="009513F3"/>
    <w:rsid w:val="0095511D"/>
    <w:rsid w:val="00956AF6"/>
    <w:rsid w:val="00961C6C"/>
    <w:rsid w:val="00962D57"/>
    <w:rsid w:val="00965D15"/>
    <w:rsid w:val="0096716D"/>
    <w:rsid w:val="00971DF0"/>
    <w:rsid w:val="009744C6"/>
    <w:rsid w:val="00991278"/>
    <w:rsid w:val="009954B3"/>
    <w:rsid w:val="009A1D92"/>
    <w:rsid w:val="009A78A8"/>
    <w:rsid w:val="009B0E03"/>
    <w:rsid w:val="009B4E4F"/>
    <w:rsid w:val="009B4E6B"/>
    <w:rsid w:val="009C3559"/>
    <w:rsid w:val="009D15C8"/>
    <w:rsid w:val="009D40B7"/>
    <w:rsid w:val="009E03D0"/>
    <w:rsid w:val="009E0498"/>
    <w:rsid w:val="009E0547"/>
    <w:rsid w:val="009E6D48"/>
    <w:rsid w:val="009E77E0"/>
    <w:rsid w:val="009F5AE8"/>
    <w:rsid w:val="009F5BAD"/>
    <w:rsid w:val="009F6BCF"/>
    <w:rsid w:val="009F71C5"/>
    <w:rsid w:val="00A01452"/>
    <w:rsid w:val="00A019FF"/>
    <w:rsid w:val="00A0775F"/>
    <w:rsid w:val="00A10CED"/>
    <w:rsid w:val="00A22605"/>
    <w:rsid w:val="00A250E1"/>
    <w:rsid w:val="00A27AFA"/>
    <w:rsid w:val="00A45338"/>
    <w:rsid w:val="00A5231E"/>
    <w:rsid w:val="00A57BFC"/>
    <w:rsid w:val="00A66F89"/>
    <w:rsid w:val="00A7340A"/>
    <w:rsid w:val="00A752CF"/>
    <w:rsid w:val="00A77B26"/>
    <w:rsid w:val="00A831F7"/>
    <w:rsid w:val="00A8629F"/>
    <w:rsid w:val="00A91069"/>
    <w:rsid w:val="00A910B5"/>
    <w:rsid w:val="00AA1CBF"/>
    <w:rsid w:val="00AA4BD0"/>
    <w:rsid w:val="00AA553F"/>
    <w:rsid w:val="00AA55F9"/>
    <w:rsid w:val="00AA6773"/>
    <w:rsid w:val="00AC0C45"/>
    <w:rsid w:val="00AC1B37"/>
    <w:rsid w:val="00AC5896"/>
    <w:rsid w:val="00AD20C7"/>
    <w:rsid w:val="00AD284A"/>
    <w:rsid w:val="00AD4A22"/>
    <w:rsid w:val="00AE05C5"/>
    <w:rsid w:val="00AE2D04"/>
    <w:rsid w:val="00AE6E9B"/>
    <w:rsid w:val="00AE79E1"/>
    <w:rsid w:val="00AF0A0A"/>
    <w:rsid w:val="00AF4EB9"/>
    <w:rsid w:val="00AF7096"/>
    <w:rsid w:val="00AF7A3F"/>
    <w:rsid w:val="00B01A68"/>
    <w:rsid w:val="00B029BF"/>
    <w:rsid w:val="00B0467B"/>
    <w:rsid w:val="00B10AB3"/>
    <w:rsid w:val="00B12375"/>
    <w:rsid w:val="00B15A7F"/>
    <w:rsid w:val="00B24260"/>
    <w:rsid w:val="00B27499"/>
    <w:rsid w:val="00B274AC"/>
    <w:rsid w:val="00B31347"/>
    <w:rsid w:val="00B31967"/>
    <w:rsid w:val="00B435F0"/>
    <w:rsid w:val="00B446E5"/>
    <w:rsid w:val="00B46CF0"/>
    <w:rsid w:val="00B47C9E"/>
    <w:rsid w:val="00B55815"/>
    <w:rsid w:val="00B60771"/>
    <w:rsid w:val="00B62574"/>
    <w:rsid w:val="00B6316B"/>
    <w:rsid w:val="00B668ED"/>
    <w:rsid w:val="00B72C6F"/>
    <w:rsid w:val="00B8247C"/>
    <w:rsid w:val="00B82D6A"/>
    <w:rsid w:val="00B92A86"/>
    <w:rsid w:val="00B95A8F"/>
    <w:rsid w:val="00B975EE"/>
    <w:rsid w:val="00BA007C"/>
    <w:rsid w:val="00BA14AB"/>
    <w:rsid w:val="00BA58DB"/>
    <w:rsid w:val="00BB35BD"/>
    <w:rsid w:val="00BB70B5"/>
    <w:rsid w:val="00BC56A0"/>
    <w:rsid w:val="00BD08B2"/>
    <w:rsid w:val="00BD14D8"/>
    <w:rsid w:val="00BD79F6"/>
    <w:rsid w:val="00BF207D"/>
    <w:rsid w:val="00BF220A"/>
    <w:rsid w:val="00BF4D87"/>
    <w:rsid w:val="00BF5078"/>
    <w:rsid w:val="00C21329"/>
    <w:rsid w:val="00C25EB4"/>
    <w:rsid w:val="00C2693F"/>
    <w:rsid w:val="00C354B9"/>
    <w:rsid w:val="00C40D17"/>
    <w:rsid w:val="00C630B0"/>
    <w:rsid w:val="00C631B0"/>
    <w:rsid w:val="00C655B4"/>
    <w:rsid w:val="00C67528"/>
    <w:rsid w:val="00C70CDB"/>
    <w:rsid w:val="00C71E71"/>
    <w:rsid w:val="00C72589"/>
    <w:rsid w:val="00C72B35"/>
    <w:rsid w:val="00C8624D"/>
    <w:rsid w:val="00C9060C"/>
    <w:rsid w:val="00CA0AC5"/>
    <w:rsid w:val="00CA730A"/>
    <w:rsid w:val="00CB0530"/>
    <w:rsid w:val="00CB0D9A"/>
    <w:rsid w:val="00CB2FD6"/>
    <w:rsid w:val="00CB3C75"/>
    <w:rsid w:val="00CB68FA"/>
    <w:rsid w:val="00CC227D"/>
    <w:rsid w:val="00CC34ED"/>
    <w:rsid w:val="00CC444D"/>
    <w:rsid w:val="00CC59BB"/>
    <w:rsid w:val="00CD4545"/>
    <w:rsid w:val="00CD558A"/>
    <w:rsid w:val="00CF1258"/>
    <w:rsid w:val="00CF20AD"/>
    <w:rsid w:val="00CF4F24"/>
    <w:rsid w:val="00D1034A"/>
    <w:rsid w:val="00D17E5B"/>
    <w:rsid w:val="00D23FFE"/>
    <w:rsid w:val="00D26070"/>
    <w:rsid w:val="00D305B4"/>
    <w:rsid w:val="00D33A50"/>
    <w:rsid w:val="00D37523"/>
    <w:rsid w:val="00D43198"/>
    <w:rsid w:val="00D431C6"/>
    <w:rsid w:val="00D46309"/>
    <w:rsid w:val="00D46C63"/>
    <w:rsid w:val="00D51598"/>
    <w:rsid w:val="00D55E76"/>
    <w:rsid w:val="00D604BE"/>
    <w:rsid w:val="00D606EB"/>
    <w:rsid w:val="00D60BBD"/>
    <w:rsid w:val="00D62568"/>
    <w:rsid w:val="00D64375"/>
    <w:rsid w:val="00D65AD8"/>
    <w:rsid w:val="00D65BDA"/>
    <w:rsid w:val="00D6772E"/>
    <w:rsid w:val="00D8513F"/>
    <w:rsid w:val="00D85889"/>
    <w:rsid w:val="00D904FC"/>
    <w:rsid w:val="00D92775"/>
    <w:rsid w:val="00D93B1C"/>
    <w:rsid w:val="00D9501B"/>
    <w:rsid w:val="00D96EF6"/>
    <w:rsid w:val="00D96F49"/>
    <w:rsid w:val="00D9754B"/>
    <w:rsid w:val="00DA0F0A"/>
    <w:rsid w:val="00DA307B"/>
    <w:rsid w:val="00DB00FE"/>
    <w:rsid w:val="00DB10F3"/>
    <w:rsid w:val="00DB2184"/>
    <w:rsid w:val="00DB290C"/>
    <w:rsid w:val="00DC0ECB"/>
    <w:rsid w:val="00DC22EF"/>
    <w:rsid w:val="00DC3020"/>
    <w:rsid w:val="00DD0481"/>
    <w:rsid w:val="00DD3514"/>
    <w:rsid w:val="00DD5BC3"/>
    <w:rsid w:val="00DE08DD"/>
    <w:rsid w:val="00DE14FE"/>
    <w:rsid w:val="00DE4A0E"/>
    <w:rsid w:val="00DF7B73"/>
    <w:rsid w:val="00E02638"/>
    <w:rsid w:val="00E250EE"/>
    <w:rsid w:val="00E25F87"/>
    <w:rsid w:val="00E3722B"/>
    <w:rsid w:val="00E4132E"/>
    <w:rsid w:val="00E50523"/>
    <w:rsid w:val="00E62797"/>
    <w:rsid w:val="00E71B7A"/>
    <w:rsid w:val="00E71D53"/>
    <w:rsid w:val="00E74686"/>
    <w:rsid w:val="00E75ACE"/>
    <w:rsid w:val="00E75AFA"/>
    <w:rsid w:val="00E8190B"/>
    <w:rsid w:val="00E81C40"/>
    <w:rsid w:val="00E823EF"/>
    <w:rsid w:val="00E8529C"/>
    <w:rsid w:val="00E8790B"/>
    <w:rsid w:val="00E907D5"/>
    <w:rsid w:val="00E979F4"/>
    <w:rsid w:val="00EA508F"/>
    <w:rsid w:val="00EA53CF"/>
    <w:rsid w:val="00EC3461"/>
    <w:rsid w:val="00EC6002"/>
    <w:rsid w:val="00EC75D9"/>
    <w:rsid w:val="00EC7990"/>
    <w:rsid w:val="00ED0247"/>
    <w:rsid w:val="00ED7770"/>
    <w:rsid w:val="00EE1475"/>
    <w:rsid w:val="00EE1720"/>
    <w:rsid w:val="00EE332C"/>
    <w:rsid w:val="00EE36FF"/>
    <w:rsid w:val="00EF237F"/>
    <w:rsid w:val="00EF3318"/>
    <w:rsid w:val="00EF4DD5"/>
    <w:rsid w:val="00EF5F5D"/>
    <w:rsid w:val="00EF7B3C"/>
    <w:rsid w:val="00EF7F74"/>
    <w:rsid w:val="00F005D3"/>
    <w:rsid w:val="00F038B4"/>
    <w:rsid w:val="00F118F3"/>
    <w:rsid w:val="00F11BF0"/>
    <w:rsid w:val="00F1537D"/>
    <w:rsid w:val="00F16A9D"/>
    <w:rsid w:val="00F16F40"/>
    <w:rsid w:val="00F176D2"/>
    <w:rsid w:val="00F20261"/>
    <w:rsid w:val="00F2418B"/>
    <w:rsid w:val="00F242ED"/>
    <w:rsid w:val="00F30199"/>
    <w:rsid w:val="00F33A21"/>
    <w:rsid w:val="00F43B42"/>
    <w:rsid w:val="00F470A1"/>
    <w:rsid w:val="00F607B3"/>
    <w:rsid w:val="00F61835"/>
    <w:rsid w:val="00F65D8D"/>
    <w:rsid w:val="00F667C4"/>
    <w:rsid w:val="00F66C1B"/>
    <w:rsid w:val="00F67DA8"/>
    <w:rsid w:val="00F70B3E"/>
    <w:rsid w:val="00F83D04"/>
    <w:rsid w:val="00F85B4E"/>
    <w:rsid w:val="00F92612"/>
    <w:rsid w:val="00F94E1E"/>
    <w:rsid w:val="00F95E69"/>
    <w:rsid w:val="00F96AF9"/>
    <w:rsid w:val="00FA4F1D"/>
    <w:rsid w:val="00FA57A9"/>
    <w:rsid w:val="00FC5197"/>
    <w:rsid w:val="00FD1EF8"/>
    <w:rsid w:val="00FD27AD"/>
    <w:rsid w:val="00FD3B23"/>
    <w:rsid w:val="00FE720C"/>
    <w:rsid w:val="00FF44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E7E72"/>
  <w15:docId w15:val="{88E3BA8D-18D7-094E-B93B-1E974E16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BC3"/>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F242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2E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242ED"/>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F242ED"/>
    <w:rPr>
      <w:rFonts w:ascii="Lucida Grande" w:hAnsi="Lucida Grande"/>
      <w:sz w:val="18"/>
      <w:szCs w:val="18"/>
    </w:rPr>
  </w:style>
  <w:style w:type="character" w:customStyle="1" w:styleId="BalloonTextChar">
    <w:name w:val="Balloon Text Char"/>
    <w:basedOn w:val="DefaultParagraphFont"/>
    <w:link w:val="BalloonText"/>
    <w:uiPriority w:val="99"/>
    <w:semiHidden/>
    <w:rsid w:val="00F242ED"/>
    <w:rPr>
      <w:rFonts w:ascii="Lucida Grande" w:hAnsi="Lucida Grande"/>
      <w:sz w:val="18"/>
      <w:szCs w:val="18"/>
    </w:rPr>
  </w:style>
  <w:style w:type="paragraph" w:styleId="TOC1">
    <w:name w:val="toc 1"/>
    <w:basedOn w:val="Normal"/>
    <w:next w:val="Normal"/>
    <w:autoRedefine/>
    <w:uiPriority w:val="39"/>
    <w:unhideWhenUsed/>
    <w:rsid w:val="00F242ED"/>
    <w:pPr>
      <w:spacing w:before="120"/>
    </w:pPr>
    <w:rPr>
      <w:b/>
    </w:rPr>
  </w:style>
  <w:style w:type="paragraph" w:styleId="TOC2">
    <w:name w:val="toc 2"/>
    <w:basedOn w:val="Normal"/>
    <w:next w:val="Normal"/>
    <w:autoRedefine/>
    <w:uiPriority w:val="39"/>
    <w:unhideWhenUsed/>
    <w:rsid w:val="00F242ED"/>
    <w:pPr>
      <w:ind w:left="240"/>
    </w:pPr>
    <w:rPr>
      <w:b/>
      <w:sz w:val="22"/>
      <w:szCs w:val="22"/>
    </w:rPr>
  </w:style>
  <w:style w:type="paragraph" w:styleId="TOC3">
    <w:name w:val="toc 3"/>
    <w:basedOn w:val="Normal"/>
    <w:next w:val="Normal"/>
    <w:autoRedefine/>
    <w:uiPriority w:val="39"/>
    <w:unhideWhenUsed/>
    <w:rsid w:val="00F242ED"/>
    <w:pPr>
      <w:ind w:left="480"/>
    </w:pPr>
    <w:rPr>
      <w:sz w:val="22"/>
      <w:szCs w:val="22"/>
    </w:rPr>
  </w:style>
  <w:style w:type="paragraph" w:styleId="TOC4">
    <w:name w:val="toc 4"/>
    <w:basedOn w:val="Normal"/>
    <w:next w:val="Normal"/>
    <w:autoRedefine/>
    <w:uiPriority w:val="39"/>
    <w:semiHidden/>
    <w:unhideWhenUsed/>
    <w:rsid w:val="00F242ED"/>
    <w:pPr>
      <w:ind w:left="720"/>
    </w:pPr>
    <w:rPr>
      <w:sz w:val="20"/>
      <w:szCs w:val="20"/>
    </w:rPr>
  </w:style>
  <w:style w:type="paragraph" w:styleId="TOC5">
    <w:name w:val="toc 5"/>
    <w:basedOn w:val="Normal"/>
    <w:next w:val="Normal"/>
    <w:autoRedefine/>
    <w:uiPriority w:val="39"/>
    <w:semiHidden/>
    <w:unhideWhenUsed/>
    <w:rsid w:val="00F242ED"/>
    <w:pPr>
      <w:ind w:left="960"/>
    </w:pPr>
    <w:rPr>
      <w:sz w:val="20"/>
      <w:szCs w:val="20"/>
    </w:rPr>
  </w:style>
  <w:style w:type="paragraph" w:styleId="TOC6">
    <w:name w:val="toc 6"/>
    <w:basedOn w:val="Normal"/>
    <w:next w:val="Normal"/>
    <w:autoRedefine/>
    <w:uiPriority w:val="39"/>
    <w:semiHidden/>
    <w:unhideWhenUsed/>
    <w:rsid w:val="00F242ED"/>
    <w:pPr>
      <w:ind w:left="1200"/>
    </w:pPr>
    <w:rPr>
      <w:sz w:val="20"/>
      <w:szCs w:val="20"/>
    </w:rPr>
  </w:style>
  <w:style w:type="paragraph" w:styleId="TOC7">
    <w:name w:val="toc 7"/>
    <w:basedOn w:val="Normal"/>
    <w:next w:val="Normal"/>
    <w:autoRedefine/>
    <w:uiPriority w:val="39"/>
    <w:semiHidden/>
    <w:unhideWhenUsed/>
    <w:rsid w:val="00F242ED"/>
    <w:pPr>
      <w:ind w:left="1440"/>
    </w:pPr>
    <w:rPr>
      <w:sz w:val="20"/>
      <w:szCs w:val="20"/>
    </w:rPr>
  </w:style>
  <w:style w:type="paragraph" w:styleId="TOC8">
    <w:name w:val="toc 8"/>
    <w:basedOn w:val="Normal"/>
    <w:next w:val="Normal"/>
    <w:autoRedefine/>
    <w:uiPriority w:val="39"/>
    <w:semiHidden/>
    <w:unhideWhenUsed/>
    <w:rsid w:val="00F242ED"/>
    <w:pPr>
      <w:ind w:left="1680"/>
    </w:pPr>
    <w:rPr>
      <w:sz w:val="20"/>
      <w:szCs w:val="20"/>
    </w:rPr>
  </w:style>
  <w:style w:type="paragraph" w:styleId="TOC9">
    <w:name w:val="toc 9"/>
    <w:basedOn w:val="Normal"/>
    <w:next w:val="Normal"/>
    <w:autoRedefine/>
    <w:uiPriority w:val="39"/>
    <w:semiHidden/>
    <w:unhideWhenUsed/>
    <w:rsid w:val="00F242ED"/>
    <w:pPr>
      <w:ind w:left="1920"/>
    </w:pPr>
    <w:rPr>
      <w:sz w:val="20"/>
      <w:szCs w:val="20"/>
    </w:rPr>
  </w:style>
  <w:style w:type="paragraph" w:styleId="ListParagraph">
    <w:name w:val="List Paragraph"/>
    <w:basedOn w:val="Normal"/>
    <w:uiPriority w:val="34"/>
    <w:qFormat/>
    <w:rsid w:val="008C0AF3"/>
    <w:pPr>
      <w:ind w:left="720"/>
      <w:contextualSpacing/>
    </w:pPr>
  </w:style>
  <w:style w:type="table" w:styleId="TableGrid">
    <w:name w:val="Table Grid"/>
    <w:basedOn w:val="TableNormal"/>
    <w:uiPriority w:val="59"/>
    <w:rsid w:val="00CC3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5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75D9"/>
    <w:rPr>
      <w:sz w:val="16"/>
      <w:szCs w:val="16"/>
    </w:rPr>
  </w:style>
  <w:style w:type="paragraph" w:styleId="CommentText">
    <w:name w:val="annotation text"/>
    <w:basedOn w:val="Normal"/>
    <w:link w:val="CommentTextChar"/>
    <w:uiPriority w:val="99"/>
    <w:semiHidden/>
    <w:unhideWhenUsed/>
    <w:rsid w:val="00EC75D9"/>
    <w:rPr>
      <w:sz w:val="20"/>
      <w:szCs w:val="20"/>
    </w:rPr>
  </w:style>
  <w:style w:type="character" w:customStyle="1" w:styleId="CommentTextChar">
    <w:name w:val="Comment Text Char"/>
    <w:basedOn w:val="DefaultParagraphFont"/>
    <w:link w:val="CommentText"/>
    <w:uiPriority w:val="99"/>
    <w:semiHidden/>
    <w:rsid w:val="00EC75D9"/>
    <w:rPr>
      <w:sz w:val="20"/>
      <w:szCs w:val="20"/>
    </w:rPr>
  </w:style>
  <w:style w:type="paragraph" w:styleId="CommentSubject">
    <w:name w:val="annotation subject"/>
    <w:basedOn w:val="CommentText"/>
    <w:next w:val="CommentText"/>
    <w:link w:val="CommentSubjectChar"/>
    <w:uiPriority w:val="99"/>
    <w:semiHidden/>
    <w:unhideWhenUsed/>
    <w:rsid w:val="00EC75D9"/>
    <w:rPr>
      <w:b/>
      <w:bCs/>
    </w:rPr>
  </w:style>
  <w:style w:type="character" w:customStyle="1" w:styleId="CommentSubjectChar">
    <w:name w:val="Comment Subject Char"/>
    <w:basedOn w:val="CommentTextChar"/>
    <w:link w:val="CommentSubject"/>
    <w:uiPriority w:val="99"/>
    <w:semiHidden/>
    <w:rsid w:val="00EC75D9"/>
    <w:rPr>
      <w:b/>
      <w:bCs/>
      <w:sz w:val="20"/>
      <w:szCs w:val="20"/>
    </w:rPr>
  </w:style>
  <w:style w:type="character" w:styleId="Hyperlink">
    <w:name w:val="Hyperlink"/>
    <w:basedOn w:val="DefaultParagraphFont"/>
    <w:uiPriority w:val="99"/>
    <w:unhideWhenUsed/>
    <w:rsid w:val="00A019FF"/>
    <w:rPr>
      <w:color w:val="0000FF" w:themeColor="hyperlink"/>
      <w:u w:val="single"/>
    </w:rPr>
  </w:style>
  <w:style w:type="character" w:styleId="UnresolvedMention">
    <w:name w:val="Unresolved Mention"/>
    <w:basedOn w:val="DefaultParagraphFont"/>
    <w:uiPriority w:val="99"/>
    <w:semiHidden/>
    <w:unhideWhenUsed/>
    <w:rsid w:val="00A019FF"/>
    <w:rPr>
      <w:color w:val="605E5C"/>
      <w:shd w:val="clear" w:color="auto" w:fill="E1DFDD"/>
    </w:rPr>
  </w:style>
  <w:style w:type="paragraph" w:styleId="Revision">
    <w:name w:val="Revision"/>
    <w:hidden/>
    <w:uiPriority w:val="99"/>
    <w:semiHidden/>
    <w:rsid w:val="00FC5197"/>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DB10F3"/>
    <w:pPr>
      <w:tabs>
        <w:tab w:val="center" w:pos="4513"/>
        <w:tab w:val="right" w:pos="9026"/>
      </w:tabs>
    </w:pPr>
  </w:style>
  <w:style w:type="character" w:customStyle="1" w:styleId="FooterChar">
    <w:name w:val="Footer Char"/>
    <w:basedOn w:val="DefaultParagraphFont"/>
    <w:link w:val="Footer"/>
    <w:uiPriority w:val="99"/>
    <w:rsid w:val="00DB10F3"/>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DB10F3"/>
  </w:style>
  <w:style w:type="paragraph" w:styleId="Header">
    <w:name w:val="header"/>
    <w:basedOn w:val="Normal"/>
    <w:link w:val="HeaderChar"/>
    <w:uiPriority w:val="99"/>
    <w:unhideWhenUsed/>
    <w:rsid w:val="00054E70"/>
    <w:pPr>
      <w:tabs>
        <w:tab w:val="center" w:pos="4513"/>
        <w:tab w:val="right" w:pos="9026"/>
      </w:tabs>
    </w:pPr>
  </w:style>
  <w:style w:type="character" w:customStyle="1" w:styleId="HeaderChar">
    <w:name w:val="Header Char"/>
    <w:basedOn w:val="DefaultParagraphFont"/>
    <w:link w:val="Header"/>
    <w:uiPriority w:val="99"/>
    <w:rsid w:val="00054E70"/>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7908">
      <w:bodyDiv w:val="1"/>
      <w:marLeft w:val="0"/>
      <w:marRight w:val="0"/>
      <w:marTop w:val="0"/>
      <w:marBottom w:val="0"/>
      <w:divBdr>
        <w:top w:val="none" w:sz="0" w:space="0" w:color="auto"/>
        <w:left w:val="none" w:sz="0" w:space="0" w:color="auto"/>
        <w:bottom w:val="none" w:sz="0" w:space="0" w:color="auto"/>
        <w:right w:val="none" w:sz="0" w:space="0" w:color="auto"/>
      </w:divBdr>
    </w:div>
    <w:div w:id="284820267">
      <w:bodyDiv w:val="1"/>
      <w:marLeft w:val="0"/>
      <w:marRight w:val="0"/>
      <w:marTop w:val="0"/>
      <w:marBottom w:val="0"/>
      <w:divBdr>
        <w:top w:val="none" w:sz="0" w:space="0" w:color="auto"/>
        <w:left w:val="none" w:sz="0" w:space="0" w:color="auto"/>
        <w:bottom w:val="none" w:sz="0" w:space="0" w:color="auto"/>
        <w:right w:val="none" w:sz="0" w:space="0" w:color="auto"/>
      </w:divBdr>
    </w:div>
    <w:div w:id="302346925">
      <w:bodyDiv w:val="1"/>
      <w:marLeft w:val="0"/>
      <w:marRight w:val="0"/>
      <w:marTop w:val="0"/>
      <w:marBottom w:val="0"/>
      <w:divBdr>
        <w:top w:val="none" w:sz="0" w:space="0" w:color="auto"/>
        <w:left w:val="none" w:sz="0" w:space="0" w:color="auto"/>
        <w:bottom w:val="none" w:sz="0" w:space="0" w:color="auto"/>
        <w:right w:val="none" w:sz="0" w:space="0" w:color="auto"/>
      </w:divBdr>
      <w:divsChild>
        <w:div w:id="1736466422">
          <w:marLeft w:val="0"/>
          <w:marRight w:val="0"/>
          <w:marTop w:val="0"/>
          <w:marBottom w:val="0"/>
          <w:divBdr>
            <w:top w:val="none" w:sz="0" w:space="0" w:color="auto"/>
            <w:left w:val="none" w:sz="0" w:space="0" w:color="auto"/>
            <w:bottom w:val="none" w:sz="0" w:space="0" w:color="auto"/>
            <w:right w:val="none" w:sz="0" w:space="0" w:color="auto"/>
          </w:divBdr>
          <w:divsChild>
            <w:div w:id="256867266">
              <w:marLeft w:val="0"/>
              <w:marRight w:val="0"/>
              <w:marTop w:val="0"/>
              <w:marBottom w:val="0"/>
              <w:divBdr>
                <w:top w:val="none" w:sz="0" w:space="0" w:color="auto"/>
                <w:left w:val="none" w:sz="0" w:space="0" w:color="auto"/>
                <w:bottom w:val="none" w:sz="0" w:space="0" w:color="auto"/>
                <w:right w:val="none" w:sz="0" w:space="0" w:color="auto"/>
              </w:divBdr>
              <w:divsChild>
                <w:div w:id="20306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4594">
      <w:bodyDiv w:val="1"/>
      <w:marLeft w:val="0"/>
      <w:marRight w:val="0"/>
      <w:marTop w:val="0"/>
      <w:marBottom w:val="0"/>
      <w:divBdr>
        <w:top w:val="none" w:sz="0" w:space="0" w:color="auto"/>
        <w:left w:val="none" w:sz="0" w:space="0" w:color="auto"/>
        <w:bottom w:val="none" w:sz="0" w:space="0" w:color="auto"/>
        <w:right w:val="none" w:sz="0" w:space="0" w:color="auto"/>
      </w:divBdr>
    </w:div>
    <w:div w:id="353770647">
      <w:bodyDiv w:val="1"/>
      <w:marLeft w:val="0"/>
      <w:marRight w:val="0"/>
      <w:marTop w:val="0"/>
      <w:marBottom w:val="0"/>
      <w:divBdr>
        <w:top w:val="none" w:sz="0" w:space="0" w:color="auto"/>
        <w:left w:val="none" w:sz="0" w:space="0" w:color="auto"/>
        <w:bottom w:val="none" w:sz="0" w:space="0" w:color="auto"/>
        <w:right w:val="none" w:sz="0" w:space="0" w:color="auto"/>
      </w:divBdr>
    </w:div>
    <w:div w:id="452748681">
      <w:bodyDiv w:val="1"/>
      <w:marLeft w:val="0"/>
      <w:marRight w:val="0"/>
      <w:marTop w:val="0"/>
      <w:marBottom w:val="0"/>
      <w:divBdr>
        <w:top w:val="none" w:sz="0" w:space="0" w:color="auto"/>
        <w:left w:val="none" w:sz="0" w:space="0" w:color="auto"/>
        <w:bottom w:val="none" w:sz="0" w:space="0" w:color="auto"/>
        <w:right w:val="none" w:sz="0" w:space="0" w:color="auto"/>
      </w:divBdr>
    </w:div>
    <w:div w:id="485708577">
      <w:bodyDiv w:val="1"/>
      <w:marLeft w:val="0"/>
      <w:marRight w:val="0"/>
      <w:marTop w:val="0"/>
      <w:marBottom w:val="0"/>
      <w:divBdr>
        <w:top w:val="none" w:sz="0" w:space="0" w:color="auto"/>
        <w:left w:val="none" w:sz="0" w:space="0" w:color="auto"/>
        <w:bottom w:val="none" w:sz="0" w:space="0" w:color="auto"/>
        <w:right w:val="none" w:sz="0" w:space="0" w:color="auto"/>
      </w:divBdr>
    </w:div>
    <w:div w:id="491917008">
      <w:bodyDiv w:val="1"/>
      <w:marLeft w:val="0"/>
      <w:marRight w:val="0"/>
      <w:marTop w:val="0"/>
      <w:marBottom w:val="0"/>
      <w:divBdr>
        <w:top w:val="none" w:sz="0" w:space="0" w:color="auto"/>
        <w:left w:val="none" w:sz="0" w:space="0" w:color="auto"/>
        <w:bottom w:val="none" w:sz="0" w:space="0" w:color="auto"/>
        <w:right w:val="none" w:sz="0" w:space="0" w:color="auto"/>
      </w:divBdr>
    </w:div>
    <w:div w:id="516696875">
      <w:bodyDiv w:val="1"/>
      <w:marLeft w:val="0"/>
      <w:marRight w:val="0"/>
      <w:marTop w:val="0"/>
      <w:marBottom w:val="0"/>
      <w:divBdr>
        <w:top w:val="none" w:sz="0" w:space="0" w:color="auto"/>
        <w:left w:val="none" w:sz="0" w:space="0" w:color="auto"/>
        <w:bottom w:val="none" w:sz="0" w:space="0" w:color="auto"/>
        <w:right w:val="none" w:sz="0" w:space="0" w:color="auto"/>
      </w:divBdr>
      <w:divsChild>
        <w:div w:id="1170678547">
          <w:marLeft w:val="0"/>
          <w:marRight w:val="0"/>
          <w:marTop w:val="0"/>
          <w:marBottom w:val="0"/>
          <w:divBdr>
            <w:top w:val="none" w:sz="0" w:space="0" w:color="auto"/>
            <w:left w:val="none" w:sz="0" w:space="0" w:color="auto"/>
            <w:bottom w:val="none" w:sz="0" w:space="0" w:color="auto"/>
            <w:right w:val="none" w:sz="0" w:space="0" w:color="auto"/>
          </w:divBdr>
          <w:divsChild>
            <w:div w:id="605238614">
              <w:marLeft w:val="0"/>
              <w:marRight w:val="0"/>
              <w:marTop w:val="0"/>
              <w:marBottom w:val="0"/>
              <w:divBdr>
                <w:top w:val="none" w:sz="0" w:space="0" w:color="auto"/>
                <w:left w:val="none" w:sz="0" w:space="0" w:color="auto"/>
                <w:bottom w:val="none" w:sz="0" w:space="0" w:color="auto"/>
                <w:right w:val="none" w:sz="0" w:space="0" w:color="auto"/>
              </w:divBdr>
              <w:divsChild>
                <w:div w:id="8287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0576">
      <w:bodyDiv w:val="1"/>
      <w:marLeft w:val="0"/>
      <w:marRight w:val="0"/>
      <w:marTop w:val="0"/>
      <w:marBottom w:val="0"/>
      <w:divBdr>
        <w:top w:val="none" w:sz="0" w:space="0" w:color="auto"/>
        <w:left w:val="none" w:sz="0" w:space="0" w:color="auto"/>
        <w:bottom w:val="none" w:sz="0" w:space="0" w:color="auto"/>
        <w:right w:val="none" w:sz="0" w:space="0" w:color="auto"/>
      </w:divBdr>
    </w:div>
    <w:div w:id="567423813">
      <w:bodyDiv w:val="1"/>
      <w:marLeft w:val="0"/>
      <w:marRight w:val="0"/>
      <w:marTop w:val="0"/>
      <w:marBottom w:val="0"/>
      <w:divBdr>
        <w:top w:val="none" w:sz="0" w:space="0" w:color="auto"/>
        <w:left w:val="none" w:sz="0" w:space="0" w:color="auto"/>
        <w:bottom w:val="none" w:sz="0" w:space="0" w:color="auto"/>
        <w:right w:val="none" w:sz="0" w:space="0" w:color="auto"/>
      </w:divBdr>
    </w:div>
    <w:div w:id="627593298">
      <w:bodyDiv w:val="1"/>
      <w:marLeft w:val="0"/>
      <w:marRight w:val="0"/>
      <w:marTop w:val="0"/>
      <w:marBottom w:val="0"/>
      <w:divBdr>
        <w:top w:val="none" w:sz="0" w:space="0" w:color="auto"/>
        <w:left w:val="none" w:sz="0" w:space="0" w:color="auto"/>
        <w:bottom w:val="none" w:sz="0" w:space="0" w:color="auto"/>
        <w:right w:val="none" w:sz="0" w:space="0" w:color="auto"/>
      </w:divBdr>
      <w:divsChild>
        <w:div w:id="190534763">
          <w:marLeft w:val="0"/>
          <w:marRight w:val="0"/>
          <w:marTop w:val="0"/>
          <w:marBottom w:val="0"/>
          <w:divBdr>
            <w:top w:val="none" w:sz="0" w:space="0" w:color="auto"/>
            <w:left w:val="none" w:sz="0" w:space="0" w:color="auto"/>
            <w:bottom w:val="none" w:sz="0" w:space="0" w:color="auto"/>
            <w:right w:val="none" w:sz="0" w:space="0" w:color="auto"/>
          </w:divBdr>
          <w:divsChild>
            <w:div w:id="1594585990">
              <w:marLeft w:val="0"/>
              <w:marRight w:val="0"/>
              <w:marTop w:val="0"/>
              <w:marBottom w:val="0"/>
              <w:divBdr>
                <w:top w:val="none" w:sz="0" w:space="0" w:color="auto"/>
                <w:left w:val="none" w:sz="0" w:space="0" w:color="auto"/>
                <w:bottom w:val="none" w:sz="0" w:space="0" w:color="auto"/>
                <w:right w:val="none" w:sz="0" w:space="0" w:color="auto"/>
              </w:divBdr>
              <w:divsChild>
                <w:div w:id="67797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275">
      <w:bodyDiv w:val="1"/>
      <w:marLeft w:val="0"/>
      <w:marRight w:val="0"/>
      <w:marTop w:val="0"/>
      <w:marBottom w:val="0"/>
      <w:divBdr>
        <w:top w:val="none" w:sz="0" w:space="0" w:color="auto"/>
        <w:left w:val="none" w:sz="0" w:space="0" w:color="auto"/>
        <w:bottom w:val="none" w:sz="0" w:space="0" w:color="auto"/>
        <w:right w:val="none" w:sz="0" w:space="0" w:color="auto"/>
      </w:divBdr>
    </w:div>
    <w:div w:id="658268391">
      <w:bodyDiv w:val="1"/>
      <w:marLeft w:val="0"/>
      <w:marRight w:val="0"/>
      <w:marTop w:val="0"/>
      <w:marBottom w:val="0"/>
      <w:divBdr>
        <w:top w:val="none" w:sz="0" w:space="0" w:color="auto"/>
        <w:left w:val="none" w:sz="0" w:space="0" w:color="auto"/>
        <w:bottom w:val="none" w:sz="0" w:space="0" w:color="auto"/>
        <w:right w:val="none" w:sz="0" w:space="0" w:color="auto"/>
      </w:divBdr>
    </w:div>
    <w:div w:id="658461761">
      <w:bodyDiv w:val="1"/>
      <w:marLeft w:val="0"/>
      <w:marRight w:val="0"/>
      <w:marTop w:val="0"/>
      <w:marBottom w:val="0"/>
      <w:divBdr>
        <w:top w:val="none" w:sz="0" w:space="0" w:color="auto"/>
        <w:left w:val="none" w:sz="0" w:space="0" w:color="auto"/>
        <w:bottom w:val="none" w:sz="0" w:space="0" w:color="auto"/>
        <w:right w:val="none" w:sz="0" w:space="0" w:color="auto"/>
      </w:divBdr>
      <w:divsChild>
        <w:div w:id="1895002351">
          <w:marLeft w:val="0"/>
          <w:marRight w:val="0"/>
          <w:marTop w:val="0"/>
          <w:marBottom w:val="0"/>
          <w:divBdr>
            <w:top w:val="none" w:sz="0" w:space="0" w:color="auto"/>
            <w:left w:val="none" w:sz="0" w:space="0" w:color="auto"/>
            <w:bottom w:val="none" w:sz="0" w:space="0" w:color="auto"/>
            <w:right w:val="none" w:sz="0" w:space="0" w:color="auto"/>
          </w:divBdr>
          <w:divsChild>
            <w:div w:id="1819297239">
              <w:marLeft w:val="0"/>
              <w:marRight w:val="0"/>
              <w:marTop w:val="0"/>
              <w:marBottom w:val="0"/>
              <w:divBdr>
                <w:top w:val="none" w:sz="0" w:space="0" w:color="auto"/>
                <w:left w:val="none" w:sz="0" w:space="0" w:color="auto"/>
                <w:bottom w:val="none" w:sz="0" w:space="0" w:color="auto"/>
                <w:right w:val="none" w:sz="0" w:space="0" w:color="auto"/>
              </w:divBdr>
              <w:divsChild>
                <w:div w:id="20638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0075">
      <w:bodyDiv w:val="1"/>
      <w:marLeft w:val="0"/>
      <w:marRight w:val="0"/>
      <w:marTop w:val="0"/>
      <w:marBottom w:val="0"/>
      <w:divBdr>
        <w:top w:val="none" w:sz="0" w:space="0" w:color="auto"/>
        <w:left w:val="none" w:sz="0" w:space="0" w:color="auto"/>
        <w:bottom w:val="none" w:sz="0" w:space="0" w:color="auto"/>
        <w:right w:val="none" w:sz="0" w:space="0" w:color="auto"/>
      </w:divBdr>
    </w:div>
    <w:div w:id="816533553">
      <w:bodyDiv w:val="1"/>
      <w:marLeft w:val="0"/>
      <w:marRight w:val="0"/>
      <w:marTop w:val="0"/>
      <w:marBottom w:val="0"/>
      <w:divBdr>
        <w:top w:val="none" w:sz="0" w:space="0" w:color="auto"/>
        <w:left w:val="none" w:sz="0" w:space="0" w:color="auto"/>
        <w:bottom w:val="none" w:sz="0" w:space="0" w:color="auto"/>
        <w:right w:val="none" w:sz="0" w:space="0" w:color="auto"/>
      </w:divBdr>
      <w:divsChild>
        <w:div w:id="397821441">
          <w:marLeft w:val="0"/>
          <w:marRight w:val="0"/>
          <w:marTop w:val="0"/>
          <w:marBottom w:val="0"/>
          <w:divBdr>
            <w:top w:val="none" w:sz="0" w:space="0" w:color="auto"/>
            <w:left w:val="none" w:sz="0" w:space="0" w:color="auto"/>
            <w:bottom w:val="none" w:sz="0" w:space="0" w:color="auto"/>
            <w:right w:val="none" w:sz="0" w:space="0" w:color="auto"/>
          </w:divBdr>
          <w:divsChild>
            <w:div w:id="536937049">
              <w:marLeft w:val="0"/>
              <w:marRight w:val="0"/>
              <w:marTop w:val="0"/>
              <w:marBottom w:val="0"/>
              <w:divBdr>
                <w:top w:val="none" w:sz="0" w:space="0" w:color="auto"/>
                <w:left w:val="none" w:sz="0" w:space="0" w:color="auto"/>
                <w:bottom w:val="none" w:sz="0" w:space="0" w:color="auto"/>
                <w:right w:val="none" w:sz="0" w:space="0" w:color="auto"/>
              </w:divBdr>
              <w:divsChild>
                <w:div w:id="415250086">
                  <w:marLeft w:val="0"/>
                  <w:marRight w:val="0"/>
                  <w:marTop w:val="0"/>
                  <w:marBottom w:val="0"/>
                  <w:divBdr>
                    <w:top w:val="none" w:sz="0" w:space="0" w:color="auto"/>
                    <w:left w:val="none" w:sz="0" w:space="0" w:color="auto"/>
                    <w:bottom w:val="none" w:sz="0" w:space="0" w:color="auto"/>
                    <w:right w:val="none" w:sz="0" w:space="0" w:color="auto"/>
                  </w:divBdr>
                  <w:divsChild>
                    <w:div w:id="1078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4201">
      <w:bodyDiv w:val="1"/>
      <w:marLeft w:val="0"/>
      <w:marRight w:val="0"/>
      <w:marTop w:val="0"/>
      <w:marBottom w:val="0"/>
      <w:divBdr>
        <w:top w:val="none" w:sz="0" w:space="0" w:color="auto"/>
        <w:left w:val="none" w:sz="0" w:space="0" w:color="auto"/>
        <w:bottom w:val="none" w:sz="0" w:space="0" w:color="auto"/>
        <w:right w:val="none" w:sz="0" w:space="0" w:color="auto"/>
      </w:divBdr>
    </w:div>
    <w:div w:id="1068841478">
      <w:bodyDiv w:val="1"/>
      <w:marLeft w:val="0"/>
      <w:marRight w:val="0"/>
      <w:marTop w:val="0"/>
      <w:marBottom w:val="0"/>
      <w:divBdr>
        <w:top w:val="none" w:sz="0" w:space="0" w:color="auto"/>
        <w:left w:val="none" w:sz="0" w:space="0" w:color="auto"/>
        <w:bottom w:val="none" w:sz="0" w:space="0" w:color="auto"/>
        <w:right w:val="none" w:sz="0" w:space="0" w:color="auto"/>
      </w:divBdr>
      <w:divsChild>
        <w:div w:id="1150749698">
          <w:marLeft w:val="0"/>
          <w:marRight w:val="0"/>
          <w:marTop w:val="0"/>
          <w:marBottom w:val="0"/>
          <w:divBdr>
            <w:top w:val="none" w:sz="0" w:space="0" w:color="auto"/>
            <w:left w:val="none" w:sz="0" w:space="0" w:color="auto"/>
            <w:bottom w:val="none" w:sz="0" w:space="0" w:color="auto"/>
            <w:right w:val="none" w:sz="0" w:space="0" w:color="auto"/>
          </w:divBdr>
          <w:divsChild>
            <w:div w:id="713043319">
              <w:marLeft w:val="0"/>
              <w:marRight w:val="0"/>
              <w:marTop w:val="0"/>
              <w:marBottom w:val="0"/>
              <w:divBdr>
                <w:top w:val="none" w:sz="0" w:space="0" w:color="auto"/>
                <w:left w:val="none" w:sz="0" w:space="0" w:color="auto"/>
                <w:bottom w:val="none" w:sz="0" w:space="0" w:color="auto"/>
                <w:right w:val="none" w:sz="0" w:space="0" w:color="auto"/>
              </w:divBdr>
              <w:divsChild>
                <w:div w:id="13735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5115">
      <w:bodyDiv w:val="1"/>
      <w:marLeft w:val="0"/>
      <w:marRight w:val="0"/>
      <w:marTop w:val="0"/>
      <w:marBottom w:val="0"/>
      <w:divBdr>
        <w:top w:val="none" w:sz="0" w:space="0" w:color="auto"/>
        <w:left w:val="none" w:sz="0" w:space="0" w:color="auto"/>
        <w:bottom w:val="none" w:sz="0" w:space="0" w:color="auto"/>
        <w:right w:val="none" w:sz="0" w:space="0" w:color="auto"/>
      </w:divBdr>
    </w:div>
    <w:div w:id="1166091718">
      <w:bodyDiv w:val="1"/>
      <w:marLeft w:val="0"/>
      <w:marRight w:val="0"/>
      <w:marTop w:val="0"/>
      <w:marBottom w:val="0"/>
      <w:divBdr>
        <w:top w:val="none" w:sz="0" w:space="0" w:color="auto"/>
        <w:left w:val="none" w:sz="0" w:space="0" w:color="auto"/>
        <w:bottom w:val="none" w:sz="0" w:space="0" w:color="auto"/>
        <w:right w:val="none" w:sz="0" w:space="0" w:color="auto"/>
      </w:divBdr>
    </w:div>
    <w:div w:id="1229343967">
      <w:bodyDiv w:val="1"/>
      <w:marLeft w:val="0"/>
      <w:marRight w:val="0"/>
      <w:marTop w:val="0"/>
      <w:marBottom w:val="0"/>
      <w:divBdr>
        <w:top w:val="none" w:sz="0" w:space="0" w:color="auto"/>
        <w:left w:val="none" w:sz="0" w:space="0" w:color="auto"/>
        <w:bottom w:val="none" w:sz="0" w:space="0" w:color="auto"/>
        <w:right w:val="none" w:sz="0" w:space="0" w:color="auto"/>
      </w:divBdr>
    </w:div>
    <w:div w:id="1277372165">
      <w:bodyDiv w:val="1"/>
      <w:marLeft w:val="0"/>
      <w:marRight w:val="0"/>
      <w:marTop w:val="0"/>
      <w:marBottom w:val="0"/>
      <w:divBdr>
        <w:top w:val="none" w:sz="0" w:space="0" w:color="auto"/>
        <w:left w:val="none" w:sz="0" w:space="0" w:color="auto"/>
        <w:bottom w:val="none" w:sz="0" w:space="0" w:color="auto"/>
        <w:right w:val="none" w:sz="0" w:space="0" w:color="auto"/>
      </w:divBdr>
    </w:div>
    <w:div w:id="1303461565">
      <w:bodyDiv w:val="1"/>
      <w:marLeft w:val="0"/>
      <w:marRight w:val="0"/>
      <w:marTop w:val="0"/>
      <w:marBottom w:val="0"/>
      <w:divBdr>
        <w:top w:val="none" w:sz="0" w:space="0" w:color="auto"/>
        <w:left w:val="none" w:sz="0" w:space="0" w:color="auto"/>
        <w:bottom w:val="none" w:sz="0" w:space="0" w:color="auto"/>
        <w:right w:val="none" w:sz="0" w:space="0" w:color="auto"/>
      </w:divBdr>
    </w:div>
    <w:div w:id="1364092301">
      <w:bodyDiv w:val="1"/>
      <w:marLeft w:val="0"/>
      <w:marRight w:val="0"/>
      <w:marTop w:val="0"/>
      <w:marBottom w:val="0"/>
      <w:divBdr>
        <w:top w:val="none" w:sz="0" w:space="0" w:color="auto"/>
        <w:left w:val="none" w:sz="0" w:space="0" w:color="auto"/>
        <w:bottom w:val="none" w:sz="0" w:space="0" w:color="auto"/>
        <w:right w:val="none" w:sz="0" w:space="0" w:color="auto"/>
      </w:divBdr>
    </w:div>
    <w:div w:id="1392269453">
      <w:bodyDiv w:val="1"/>
      <w:marLeft w:val="0"/>
      <w:marRight w:val="0"/>
      <w:marTop w:val="0"/>
      <w:marBottom w:val="0"/>
      <w:divBdr>
        <w:top w:val="none" w:sz="0" w:space="0" w:color="auto"/>
        <w:left w:val="none" w:sz="0" w:space="0" w:color="auto"/>
        <w:bottom w:val="none" w:sz="0" w:space="0" w:color="auto"/>
        <w:right w:val="none" w:sz="0" w:space="0" w:color="auto"/>
      </w:divBdr>
    </w:div>
    <w:div w:id="1411926145">
      <w:bodyDiv w:val="1"/>
      <w:marLeft w:val="0"/>
      <w:marRight w:val="0"/>
      <w:marTop w:val="0"/>
      <w:marBottom w:val="0"/>
      <w:divBdr>
        <w:top w:val="none" w:sz="0" w:space="0" w:color="auto"/>
        <w:left w:val="none" w:sz="0" w:space="0" w:color="auto"/>
        <w:bottom w:val="none" w:sz="0" w:space="0" w:color="auto"/>
        <w:right w:val="none" w:sz="0" w:space="0" w:color="auto"/>
      </w:divBdr>
      <w:divsChild>
        <w:div w:id="1074469288">
          <w:marLeft w:val="0"/>
          <w:marRight w:val="0"/>
          <w:marTop w:val="0"/>
          <w:marBottom w:val="0"/>
          <w:divBdr>
            <w:top w:val="none" w:sz="0" w:space="0" w:color="auto"/>
            <w:left w:val="none" w:sz="0" w:space="0" w:color="auto"/>
            <w:bottom w:val="none" w:sz="0" w:space="0" w:color="auto"/>
            <w:right w:val="none" w:sz="0" w:space="0" w:color="auto"/>
          </w:divBdr>
          <w:divsChild>
            <w:div w:id="429589679">
              <w:marLeft w:val="0"/>
              <w:marRight w:val="0"/>
              <w:marTop w:val="0"/>
              <w:marBottom w:val="0"/>
              <w:divBdr>
                <w:top w:val="none" w:sz="0" w:space="0" w:color="auto"/>
                <w:left w:val="none" w:sz="0" w:space="0" w:color="auto"/>
                <w:bottom w:val="none" w:sz="0" w:space="0" w:color="auto"/>
                <w:right w:val="none" w:sz="0" w:space="0" w:color="auto"/>
              </w:divBdr>
              <w:divsChild>
                <w:div w:id="19244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5147">
      <w:bodyDiv w:val="1"/>
      <w:marLeft w:val="0"/>
      <w:marRight w:val="0"/>
      <w:marTop w:val="0"/>
      <w:marBottom w:val="0"/>
      <w:divBdr>
        <w:top w:val="none" w:sz="0" w:space="0" w:color="auto"/>
        <w:left w:val="none" w:sz="0" w:space="0" w:color="auto"/>
        <w:bottom w:val="none" w:sz="0" w:space="0" w:color="auto"/>
        <w:right w:val="none" w:sz="0" w:space="0" w:color="auto"/>
      </w:divBdr>
    </w:div>
    <w:div w:id="1648392233">
      <w:bodyDiv w:val="1"/>
      <w:marLeft w:val="0"/>
      <w:marRight w:val="0"/>
      <w:marTop w:val="0"/>
      <w:marBottom w:val="0"/>
      <w:divBdr>
        <w:top w:val="none" w:sz="0" w:space="0" w:color="auto"/>
        <w:left w:val="none" w:sz="0" w:space="0" w:color="auto"/>
        <w:bottom w:val="none" w:sz="0" w:space="0" w:color="auto"/>
        <w:right w:val="none" w:sz="0" w:space="0" w:color="auto"/>
      </w:divBdr>
    </w:div>
    <w:div w:id="1788699087">
      <w:bodyDiv w:val="1"/>
      <w:marLeft w:val="0"/>
      <w:marRight w:val="0"/>
      <w:marTop w:val="0"/>
      <w:marBottom w:val="0"/>
      <w:divBdr>
        <w:top w:val="none" w:sz="0" w:space="0" w:color="auto"/>
        <w:left w:val="none" w:sz="0" w:space="0" w:color="auto"/>
        <w:bottom w:val="none" w:sz="0" w:space="0" w:color="auto"/>
        <w:right w:val="none" w:sz="0" w:space="0" w:color="auto"/>
      </w:divBdr>
      <w:divsChild>
        <w:div w:id="802041852">
          <w:marLeft w:val="0"/>
          <w:marRight w:val="0"/>
          <w:marTop w:val="0"/>
          <w:marBottom w:val="0"/>
          <w:divBdr>
            <w:top w:val="none" w:sz="0" w:space="0" w:color="auto"/>
            <w:left w:val="none" w:sz="0" w:space="0" w:color="auto"/>
            <w:bottom w:val="none" w:sz="0" w:space="0" w:color="auto"/>
            <w:right w:val="none" w:sz="0" w:space="0" w:color="auto"/>
          </w:divBdr>
          <w:divsChild>
            <w:div w:id="769012437">
              <w:marLeft w:val="0"/>
              <w:marRight w:val="0"/>
              <w:marTop w:val="0"/>
              <w:marBottom w:val="0"/>
              <w:divBdr>
                <w:top w:val="none" w:sz="0" w:space="0" w:color="auto"/>
                <w:left w:val="none" w:sz="0" w:space="0" w:color="auto"/>
                <w:bottom w:val="none" w:sz="0" w:space="0" w:color="auto"/>
                <w:right w:val="none" w:sz="0" w:space="0" w:color="auto"/>
              </w:divBdr>
              <w:divsChild>
                <w:div w:id="2076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31246">
      <w:bodyDiv w:val="1"/>
      <w:marLeft w:val="0"/>
      <w:marRight w:val="0"/>
      <w:marTop w:val="0"/>
      <w:marBottom w:val="0"/>
      <w:divBdr>
        <w:top w:val="none" w:sz="0" w:space="0" w:color="auto"/>
        <w:left w:val="none" w:sz="0" w:space="0" w:color="auto"/>
        <w:bottom w:val="none" w:sz="0" w:space="0" w:color="auto"/>
        <w:right w:val="none" w:sz="0" w:space="0" w:color="auto"/>
      </w:divBdr>
      <w:divsChild>
        <w:div w:id="1839926192">
          <w:marLeft w:val="0"/>
          <w:marRight w:val="0"/>
          <w:marTop w:val="0"/>
          <w:marBottom w:val="0"/>
          <w:divBdr>
            <w:top w:val="none" w:sz="0" w:space="0" w:color="auto"/>
            <w:left w:val="none" w:sz="0" w:space="0" w:color="auto"/>
            <w:bottom w:val="none" w:sz="0" w:space="0" w:color="auto"/>
            <w:right w:val="none" w:sz="0" w:space="0" w:color="auto"/>
          </w:divBdr>
          <w:divsChild>
            <w:div w:id="1071660046">
              <w:marLeft w:val="0"/>
              <w:marRight w:val="0"/>
              <w:marTop w:val="0"/>
              <w:marBottom w:val="0"/>
              <w:divBdr>
                <w:top w:val="none" w:sz="0" w:space="0" w:color="auto"/>
                <w:left w:val="none" w:sz="0" w:space="0" w:color="auto"/>
                <w:bottom w:val="none" w:sz="0" w:space="0" w:color="auto"/>
                <w:right w:val="none" w:sz="0" w:space="0" w:color="auto"/>
              </w:divBdr>
              <w:divsChild>
                <w:div w:id="6240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0320">
      <w:bodyDiv w:val="1"/>
      <w:marLeft w:val="0"/>
      <w:marRight w:val="0"/>
      <w:marTop w:val="0"/>
      <w:marBottom w:val="0"/>
      <w:divBdr>
        <w:top w:val="none" w:sz="0" w:space="0" w:color="auto"/>
        <w:left w:val="none" w:sz="0" w:space="0" w:color="auto"/>
        <w:bottom w:val="none" w:sz="0" w:space="0" w:color="auto"/>
        <w:right w:val="none" w:sz="0" w:space="0" w:color="auto"/>
      </w:divBdr>
    </w:div>
    <w:div w:id="1917670804">
      <w:bodyDiv w:val="1"/>
      <w:marLeft w:val="0"/>
      <w:marRight w:val="0"/>
      <w:marTop w:val="0"/>
      <w:marBottom w:val="0"/>
      <w:divBdr>
        <w:top w:val="none" w:sz="0" w:space="0" w:color="auto"/>
        <w:left w:val="none" w:sz="0" w:space="0" w:color="auto"/>
        <w:bottom w:val="none" w:sz="0" w:space="0" w:color="auto"/>
        <w:right w:val="none" w:sz="0" w:space="0" w:color="auto"/>
      </w:divBdr>
    </w:div>
    <w:div w:id="1977024903">
      <w:bodyDiv w:val="1"/>
      <w:marLeft w:val="0"/>
      <w:marRight w:val="0"/>
      <w:marTop w:val="0"/>
      <w:marBottom w:val="0"/>
      <w:divBdr>
        <w:top w:val="none" w:sz="0" w:space="0" w:color="auto"/>
        <w:left w:val="none" w:sz="0" w:space="0" w:color="auto"/>
        <w:bottom w:val="none" w:sz="0" w:space="0" w:color="auto"/>
        <w:right w:val="none" w:sz="0" w:space="0" w:color="auto"/>
      </w:divBdr>
      <w:divsChild>
        <w:div w:id="1351102767">
          <w:marLeft w:val="0"/>
          <w:marRight w:val="0"/>
          <w:marTop w:val="0"/>
          <w:marBottom w:val="0"/>
          <w:divBdr>
            <w:top w:val="none" w:sz="0" w:space="0" w:color="auto"/>
            <w:left w:val="none" w:sz="0" w:space="0" w:color="auto"/>
            <w:bottom w:val="none" w:sz="0" w:space="0" w:color="auto"/>
            <w:right w:val="none" w:sz="0" w:space="0" w:color="auto"/>
          </w:divBdr>
          <w:divsChild>
            <w:div w:id="1472479822">
              <w:marLeft w:val="0"/>
              <w:marRight w:val="0"/>
              <w:marTop w:val="0"/>
              <w:marBottom w:val="0"/>
              <w:divBdr>
                <w:top w:val="none" w:sz="0" w:space="0" w:color="auto"/>
                <w:left w:val="none" w:sz="0" w:space="0" w:color="auto"/>
                <w:bottom w:val="none" w:sz="0" w:space="0" w:color="auto"/>
                <w:right w:val="none" w:sz="0" w:space="0" w:color="auto"/>
              </w:divBdr>
              <w:divsChild>
                <w:div w:id="657658904">
                  <w:marLeft w:val="0"/>
                  <w:marRight w:val="0"/>
                  <w:marTop w:val="0"/>
                  <w:marBottom w:val="0"/>
                  <w:divBdr>
                    <w:top w:val="none" w:sz="0" w:space="0" w:color="auto"/>
                    <w:left w:val="none" w:sz="0" w:space="0" w:color="auto"/>
                    <w:bottom w:val="none" w:sz="0" w:space="0" w:color="auto"/>
                    <w:right w:val="none" w:sz="0" w:space="0" w:color="auto"/>
                  </w:divBdr>
                  <w:divsChild>
                    <w:div w:id="501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drew.Davies1@gstt.nhs.uk"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F8820C59F7DB44AF17585BBFE262AF" ma:contentTypeVersion="16" ma:contentTypeDescription="Create a new document." ma:contentTypeScope="" ma:versionID="ff779b04091214413287bca773c98bff">
  <xsd:schema xmlns:xsd="http://www.w3.org/2001/XMLSchema" xmlns:xs="http://www.w3.org/2001/XMLSchema" xmlns:p="http://schemas.microsoft.com/office/2006/metadata/properties" xmlns:ns2="9f388467-9efe-4693-bfbe-48868c26f428" xmlns:ns3="e0add79f-e4a5-41d7-8c97-420cab30ddc2" targetNamespace="http://schemas.microsoft.com/office/2006/metadata/properties" ma:root="true" ma:fieldsID="71e33d1969df7e6f3267bfefe26d95f3" ns2:_="" ns3:_="">
    <xsd:import namespace="9f388467-9efe-4693-bfbe-48868c26f428"/>
    <xsd:import namespace="e0add79f-e4a5-41d7-8c97-420cab30dd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8467-9efe-4693-bfbe-48868c26f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dd79f-e4a5-41d7-8c97-420cab30ddc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016a911-0c1f-4153-953d-434a0fff0190}" ma:internalName="TaxCatchAll" ma:showField="CatchAllData" ma:web="e0add79f-e4a5-41d7-8c97-420cab30ddc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80E7AF-E531-48B3-B0C9-6DB214CA81AB}">
  <ds:schemaRefs>
    <ds:schemaRef ds:uri="http://schemas.openxmlformats.org/officeDocument/2006/bibliography"/>
  </ds:schemaRefs>
</ds:datastoreItem>
</file>

<file path=customXml/itemProps2.xml><?xml version="1.0" encoding="utf-8"?>
<ds:datastoreItem xmlns:ds="http://schemas.openxmlformats.org/officeDocument/2006/customXml" ds:itemID="{0BDE57C2-C907-4FA4-B006-0A8BA41FFF79}"/>
</file>

<file path=customXml/itemProps3.xml><?xml version="1.0" encoding="utf-8"?>
<ds:datastoreItem xmlns:ds="http://schemas.openxmlformats.org/officeDocument/2006/customXml" ds:itemID="{51FDDA84-B52F-4CE1-8FAC-33DBC62DAC49}"/>
</file>

<file path=docProps/app.xml><?xml version="1.0" encoding="utf-8"?>
<Properties xmlns="http://schemas.openxmlformats.org/officeDocument/2006/extended-properties" xmlns:vt="http://schemas.openxmlformats.org/officeDocument/2006/docPropsVTypes">
  <Template>Normal.dotm</Template>
  <TotalTime>3</TotalTime>
  <Pages>44</Pages>
  <Words>46254</Words>
  <Characters>263651</Characters>
  <Application>Microsoft Office Word</Application>
  <DocSecurity>0</DocSecurity>
  <Lines>2197</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Moore</dc:creator>
  <cp:keywords/>
  <dc:description/>
  <cp:lastModifiedBy>Jon Moore</cp:lastModifiedBy>
  <cp:revision>3</cp:revision>
  <dcterms:created xsi:type="dcterms:W3CDTF">2023-06-23T20:25:00Z</dcterms:created>
  <dcterms:modified xsi:type="dcterms:W3CDTF">2023-06-23T20:27:00Z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8618654a-b628-31d0-a83e-e26abb545716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