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0000A" w14:textId="518C4B37" w:rsidR="001F2A0B" w:rsidRDefault="001F2A0B">
      <w:pPr>
        <w:spacing w:after="162" w:line="259" w:lineRule="auto"/>
        <w:ind w:left="0" w:right="0" w:firstLine="0"/>
        <w:jc w:val="left"/>
      </w:pPr>
    </w:p>
    <w:p w14:paraId="46393B94" w14:textId="291DFF61" w:rsidR="001F2A0B" w:rsidRDefault="00BC538D" w:rsidP="003427E1">
      <w:pPr>
        <w:tabs>
          <w:tab w:val="right" w:pos="7825"/>
        </w:tabs>
        <w:spacing w:after="0" w:line="259" w:lineRule="auto"/>
        <w:ind w:left="0" w:right="0" w:firstLine="0"/>
        <w:jc w:val="left"/>
      </w:pPr>
      <w:r>
        <w:rPr>
          <w:rFonts w:ascii="Calibri" w:eastAsia="Calibri" w:hAnsi="Calibri" w:cs="Calibri"/>
          <w:sz w:val="36"/>
        </w:rPr>
        <w:t>Evaluation of European Union</w:t>
      </w:r>
      <w:r w:rsidR="003427E1">
        <w:rPr>
          <w:rFonts w:ascii="Calibri" w:eastAsia="Calibri" w:hAnsi="Calibri" w:cs="Calibri"/>
          <w:sz w:val="36"/>
        </w:rPr>
        <w:t xml:space="preserve"> </w:t>
      </w:r>
      <w:r>
        <w:rPr>
          <w:rFonts w:ascii="Calibri" w:eastAsia="Calibri" w:hAnsi="Calibri" w:cs="Calibri"/>
          <w:sz w:val="36"/>
        </w:rPr>
        <w:t>carbon and energy networks:</w:t>
      </w:r>
      <w:r w:rsidR="003427E1">
        <w:rPr>
          <w:rFonts w:ascii="Calibri" w:eastAsia="Calibri" w:hAnsi="Calibri" w:cs="Calibri"/>
          <w:sz w:val="36"/>
        </w:rPr>
        <w:t xml:space="preserve"> </w:t>
      </w:r>
      <w:r>
        <w:rPr>
          <w:rFonts w:ascii="Calibri" w:eastAsia="Calibri" w:hAnsi="Calibri" w:cs="Calibri"/>
          <w:sz w:val="36"/>
        </w:rPr>
        <w:t>Evidence from market ef</w:t>
      </w:r>
      <w:r w:rsidR="003427E1">
        <w:rPr>
          <w:rFonts w:ascii="Calibri" w:eastAsia="Calibri" w:hAnsi="Calibri" w:cs="Calibri"/>
          <w:sz w:val="36"/>
        </w:rPr>
        <w:t>ficiency</w:t>
      </w:r>
    </w:p>
    <w:p w14:paraId="1CAF6706" w14:textId="77777777" w:rsidR="001F2A0B" w:rsidRDefault="00BC538D">
      <w:pPr>
        <w:pStyle w:val="Heading1"/>
        <w:spacing w:after="691"/>
        <w:ind w:left="-5"/>
      </w:pPr>
      <w:proofErr w:type="spellStart"/>
      <w:r>
        <w:t>Xiaohang</w:t>
      </w:r>
      <w:proofErr w:type="spellEnd"/>
      <w:r>
        <w:t xml:space="preserve"> Ren</w:t>
      </w:r>
      <w:r>
        <w:rPr>
          <w:vertAlign w:val="superscript"/>
        </w:rPr>
        <w:t>1</w:t>
      </w:r>
      <w:r>
        <w:t xml:space="preserve">, </w:t>
      </w:r>
      <w:proofErr w:type="spellStart"/>
      <w:r>
        <w:t>Yiying</w:t>
      </w:r>
      <w:proofErr w:type="spellEnd"/>
      <w:r>
        <w:t xml:space="preserve"> Li</w:t>
      </w:r>
      <w:r>
        <w:rPr>
          <w:vertAlign w:val="superscript"/>
        </w:rPr>
        <w:t>2</w:t>
      </w:r>
      <w:r>
        <w:t>, Kun Duan</w:t>
      </w:r>
      <w:r>
        <w:rPr>
          <w:vertAlign w:val="superscript"/>
        </w:rPr>
        <w:t xml:space="preserve">3 </w:t>
      </w:r>
      <w:r>
        <w:rPr>
          <w:noProof/>
          <w:sz w:val="22"/>
        </w:rPr>
        <mc:AlternateContent>
          <mc:Choice Requires="wpg">
            <w:drawing>
              <wp:inline distT="0" distB="0" distL="0" distR="0" wp14:anchorId="13B070F7" wp14:editId="72EA6A0D">
                <wp:extent cx="151917" cy="151917"/>
                <wp:effectExtent l="0" t="0" r="0" b="0"/>
                <wp:docPr id="25356" name="Group 25356"/>
                <wp:cNvGraphicFramePr/>
                <a:graphic xmlns:a="http://schemas.openxmlformats.org/drawingml/2006/main">
                  <a:graphicData uri="http://schemas.microsoft.com/office/word/2010/wordprocessingGroup">
                    <wpg:wgp>
                      <wpg:cNvGrpSpPr/>
                      <wpg:grpSpPr>
                        <a:xfrm>
                          <a:off x="0" y="0"/>
                          <a:ext cx="151917" cy="151917"/>
                          <a:chOff x="0" y="0"/>
                          <a:chExt cx="151917" cy="151917"/>
                        </a:xfrm>
                      </wpg:grpSpPr>
                      <wps:wsp>
                        <wps:cNvPr id="17" name="Shape 17"/>
                        <wps:cNvSpPr/>
                        <wps:spPr>
                          <a:xfrm>
                            <a:off x="0" y="0"/>
                            <a:ext cx="151917" cy="151917"/>
                          </a:xfrm>
                          <a:custGeom>
                            <a:avLst/>
                            <a:gdLst/>
                            <a:ahLst/>
                            <a:cxnLst/>
                            <a:rect l="0" t="0" r="0" b="0"/>
                            <a:pathLst>
                              <a:path w="151917" h="151917">
                                <a:moveTo>
                                  <a:pt x="76200" y="0"/>
                                </a:moveTo>
                                <a:cubicBezTo>
                                  <a:pt x="107766" y="0"/>
                                  <a:pt x="134845" y="19188"/>
                                  <a:pt x="146412" y="46538"/>
                                </a:cubicBezTo>
                                <a:lnTo>
                                  <a:pt x="151917" y="73810"/>
                                </a:lnTo>
                                <a:lnTo>
                                  <a:pt x="151917" y="78590"/>
                                </a:lnTo>
                                <a:lnTo>
                                  <a:pt x="146412" y="105862"/>
                                </a:lnTo>
                                <a:cubicBezTo>
                                  <a:pt x="138701" y="124095"/>
                                  <a:pt x="124095" y="138701"/>
                                  <a:pt x="105862" y="146412"/>
                                </a:cubicBezTo>
                                <a:lnTo>
                                  <a:pt x="78591" y="151917"/>
                                </a:lnTo>
                                <a:lnTo>
                                  <a:pt x="73809" y="151917"/>
                                </a:lnTo>
                                <a:lnTo>
                                  <a:pt x="46538" y="146412"/>
                                </a:lnTo>
                                <a:cubicBezTo>
                                  <a:pt x="19188" y="134845"/>
                                  <a:pt x="0" y="107766"/>
                                  <a:pt x="0" y="76200"/>
                                </a:cubicBezTo>
                                <a:cubicBezTo>
                                  <a:pt x="0" y="34112"/>
                                  <a:pt x="34112" y="0"/>
                                  <a:pt x="76200" y="0"/>
                                </a:cubicBezTo>
                                <a:close/>
                              </a:path>
                            </a:pathLst>
                          </a:custGeom>
                          <a:ln w="0" cap="flat">
                            <a:miter lim="127000"/>
                          </a:ln>
                        </wps:spPr>
                        <wps:style>
                          <a:lnRef idx="0">
                            <a:srgbClr val="000000">
                              <a:alpha val="0"/>
                            </a:srgbClr>
                          </a:lnRef>
                          <a:fillRef idx="1">
                            <a:srgbClr val="A4C638"/>
                          </a:fillRef>
                          <a:effectRef idx="0">
                            <a:scrgbClr r="0" g="0" b="0"/>
                          </a:effectRef>
                          <a:fontRef idx="none"/>
                        </wps:style>
                        <wps:bodyPr/>
                      </wps:wsp>
                      <wps:wsp>
                        <wps:cNvPr id="32252" name="Shape 32252"/>
                        <wps:cNvSpPr/>
                        <wps:spPr>
                          <a:xfrm>
                            <a:off x="42202" y="47079"/>
                            <a:ext cx="9169" cy="63767"/>
                          </a:xfrm>
                          <a:custGeom>
                            <a:avLst/>
                            <a:gdLst/>
                            <a:ahLst/>
                            <a:cxnLst/>
                            <a:rect l="0" t="0" r="0" b="0"/>
                            <a:pathLst>
                              <a:path w="9169" h="63767">
                                <a:moveTo>
                                  <a:pt x="0" y="0"/>
                                </a:moveTo>
                                <a:lnTo>
                                  <a:pt x="9169" y="0"/>
                                </a:lnTo>
                                <a:lnTo>
                                  <a:pt x="9169" y="63767"/>
                                </a:lnTo>
                                <a:lnTo>
                                  <a:pt x="0" y="6376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 name="Shape 19"/>
                        <wps:cNvSpPr/>
                        <wps:spPr>
                          <a:xfrm>
                            <a:off x="64821" y="47092"/>
                            <a:ext cx="29235" cy="63805"/>
                          </a:xfrm>
                          <a:custGeom>
                            <a:avLst/>
                            <a:gdLst/>
                            <a:ahLst/>
                            <a:cxnLst/>
                            <a:rect l="0" t="0" r="0" b="0"/>
                            <a:pathLst>
                              <a:path w="29235" h="63805">
                                <a:moveTo>
                                  <a:pt x="0" y="0"/>
                                </a:moveTo>
                                <a:lnTo>
                                  <a:pt x="24765" y="0"/>
                                </a:lnTo>
                                <a:lnTo>
                                  <a:pt x="29235" y="840"/>
                                </a:lnTo>
                                <a:lnTo>
                                  <a:pt x="29235" y="10389"/>
                                </a:lnTo>
                                <a:lnTo>
                                  <a:pt x="23279" y="8268"/>
                                </a:lnTo>
                                <a:lnTo>
                                  <a:pt x="9169" y="8268"/>
                                </a:lnTo>
                                <a:lnTo>
                                  <a:pt x="9169" y="55537"/>
                                </a:lnTo>
                                <a:lnTo>
                                  <a:pt x="23749" y="55537"/>
                                </a:lnTo>
                                <a:lnTo>
                                  <a:pt x="29235" y="54425"/>
                                </a:lnTo>
                                <a:lnTo>
                                  <a:pt x="29235" y="62982"/>
                                </a:lnTo>
                                <a:lnTo>
                                  <a:pt x="24892" y="63805"/>
                                </a:lnTo>
                                <a:lnTo>
                                  <a:pt x="0" y="6380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 name="Shape 20"/>
                        <wps:cNvSpPr/>
                        <wps:spPr>
                          <a:xfrm>
                            <a:off x="94056" y="47932"/>
                            <a:ext cx="29464" cy="62141"/>
                          </a:xfrm>
                          <a:custGeom>
                            <a:avLst/>
                            <a:gdLst/>
                            <a:ahLst/>
                            <a:cxnLst/>
                            <a:rect l="0" t="0" r="0" b="0"/>
                            <a:pathLst>
                              <a:path w="29464" h="62141">
                                <a:moveTo>
                                  <a:pt x="0" y="0"/>
                                </a:moveTo>
                                <a:lnTo>
                                  <a:pt x="10781" y="2026"/>
                                </a:lnTo>
                                <a:cubicBezTo>
                                  <a:pt x="23642" y="7469"/>
                                  <a:pt x="29464" y="19766"/>
                                  <a:pt x="29464" y="31062"/>
                                </a:cubicBezTo>
                                <a:cubicBezTo>
                                  <a:pt x="29464" y="43349"/>
                                  <a:pt x="22263" y="55151"/>
                                  <a:pt x="9801" y="60284"/>
                                </a:cubicBezTo>
                                <a:lnTo>
                                  <a:pt x="0" y="62141"/>
                                </a:lnTo>
                                <a:lnTo>
                                  <a:pt x="0" y="53585"/>
                                </a:lnTo>
                                <a:lnTo>
                                  <a:pt x="7277" y="52109"/>
                                </a:lnTo>
                                <a:cubicBezTo>
                                  <a:pt x="17387" y="47305"/>
                                  <a:pt x="20066" y="36958"/>
                                  <a:pt x="20066" y="31062"/>
                                </a:cubicBezTo>
                                <a:cubicBezTo>
                                  <a:pt x="20066" y="24661"/>
                                  <a:pt x="18024" y="18753"/>
                                  <a:pt x="13751" y="14444"/>
                                </a:cubicBezTo>
                                <a:lnTo>
                                  <a:pt x="0" y="954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 name="Shape 21"/>
                        <wps:cNvSpPr/>
                        <wps:spPr>
                          <a:xfrm>
                            <a:off x="40767" y="27800"/>
                            <a:ext cx="12027" cy="12027"/>
                          </a:xfrm>
                          <a:custGeom>
                            <a:avLst/>
                            <a:gdLst/>
                            <a:ahLst/>
                            <a:cxnLst/>
                            <a:rect l="0" t="0" r="0" b="0"/>
                            <a:pathLst>
                              <a:path w="12027" h="12027">
                                <a:moveTo>
                                  <a:pt x="6020" y="0"/>
                                </a:moveTo>
                                <a:cubicBezTo>
                                  <a:pt x="9347" y="0"/>
                                  <a:pt x="12027" y="2743"/>
                                  <a:pt x="12027" y="6020"/>
                                </a:cubicBezTo>
                                <a:cubicBezTo>
                                  <a:pt x="12027" y="9296"/>
                                  <a:pt x="9347" y="12027"/>
                                  <a:pt x="6020" y="12027"/>
                                </a:cubicBezTo>
                                <a:cubicBezTo>
                                  <a:pt x="2680" y="12027"/>
                                  <a:pt x="0" y="9296"/>
                                  <a:pt x="0" y="6020"/>
                                </a:cubicBezTo>
                                <a:cubicBezTo>
                                  <a:pt x="0" y="2680"/>
                                  <a:pt x="2680" y="0"/>
                                  <a:pt x="602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25356" style="width:11.962pt;height:11.962pt;mso-position-horizontal-relative:char;mso-position-vertical-relative:line" coordsize="1519,1519">
                <v:shape id="Shape 17" style="position:absolute;width:1519;height:1519;left:0;top:0;" coordsize="151917,151917" path="m76200,0c107766,0,134845,19188,146412,46538l151917,73810l151917,78590l146412,105862c138701,124095,124095,138701,105862,146412l78591,151917l73809,151917l46538,146412c19188,134845,0,107766,0,76200c0,34112,34112,0,76200,0x">
                  <v:stroke weight="0pt" endcap="flat" joinstyle="miter" miterlimit="10" on="false" color="#000000" opacity="0"/>
                  <v:fill on="true" color="#a4c638"/>
                </v:shape>
                <v:shape id="Shape 32253" style="position:absolute;width:91;height:637;left:422;top:470;" coordsize="9169,63767" path="m0,0l9169,0l9169,63767l0,63767l0,0">
                  <v:stroke weight="0pt" endcap="flat" joinstyle="miter" miterlimit="10" on="false" color="#000000" opacity="0"/>
                  <v:fill on="true" color="#fffefd"/>
                </v:shape>
                <v:shape id="Shape 19" style="position:absolute;width:292;height:638;left:648;top:470;" coordsize="29235,63805" path="m0,0l24765,0l29235,840l29235,10389l23279,8268l9169,8268l9169,55537l23749,55537l29235,54425l29235,62982l24892,63805l0,63805l0,0x">
                  <v:stroke weight="0pt" endcap="flat" joinstyle="miter" miterlimit="10" on="false" color="#000000" opacity="0"/>
                  <v:fill on="true" color="#fffefd"/>
                </v:shape>
                <v:shape id="Shape 20" style="position:absolute;width:294;height:621;left:940;top:479;" coordsize="29464,62141" path="m0,0l10781,2026c23642,7469,29464,19766,29464,31062c29464,43349,22263,55151,9801,60284l0,62141l0,53585l7277,52109c17387,47305,20066,36958,20066,31062c20066,24661,18024,18753,13751,14444l0,9548l0,0x">
                  <v:stroke weight="0pt" endcap="flat" joinstyle="miter" miterlimit="10" on="false" color="#000000" opacity="0"/>
                  <v:fill on="true" color="#fffefd"/>
                </v:shape>
                <v:shape id="Shape 21" style="position:absolute;width:120;height:120;left:407;top:278;" coordsize="12027,12027" path="m6020,0c9347,0,12027,2743,12027,6020c12027,9296,9347,12027,6020,12027c2680,12027,0,9296,0,6020c0,2680,2680,0,6020,0x">
                  <v:stroke weight="0pt" endcap="flat" joinstyle="miter" miterlimit="10" on="false" color="#000000" opacity="0"/>
                  <v:fill on="true" color="#fffefd"/>
                </v:shape>
              </v:group>
            </w:pict>
          </mc:Fallback>
        </mc:AlternateContent>
      </w:r>
      <w:r>
        <w:t>and Tapas Mishra</w:t>
      </w:r>
      <w:r>
        <w:rPr>
          <w:vertAlign w:val="superscript"/>
        </w:rPr>
        <w:t>4</w:t>
      </w:r>
    </w:p>
    <w:p w14:paraId="101004E2" w14:textId="77777777" w:rsidR="001F2A0B" w:rsidRDefault="00BC538D">
      <w:pPr>
        <w:pStyle w:val="Heading2"/>
        <w:spacing w:after="0"/>
        <w:ind w:left="-5"/>
      </w:pPr>
      <w:r>
        <w:t>Abstract</w:t>
      </w:r>
    </w:p>
    <w:p w14:paraId="51981250" w14:textId="0D1D11CA" w:rsidR="001F2A0B" w:rsidRDefault="00BC538D">
      <w:pPr>
        <w:spacing w:after="344" w:line="240" w:lineRule="auto"/>
        <w:ind w:left="-5" w:right="-14"/>
      </w:pPr>
      <w:r>
        <w:rPr>
          <w:rFonts w:ascii="Calibri" w:eastAsia="Calibri" w:hAnsi="Calibri" w:cs="Calibri"/>
        </w:rPr>
        <w:t>This article investigates dynamic networks of the informational efficiency between European Union carbon and energy markets in a quantile-based framework. The market (in)efficiency degree is gauged by capturing the potentially fractional integration order of the market price series using the Feasible Exact Local Whittle estimator on a rolling basis. Rather than relying on a mean-based method, we employ the causality-in-quantiles approach, through which the cross-market linkage of the inefficiency degree is uncovered in a full-distributional characterization. The 4dynamic linkage is identified through the perspectives of data in return and volatility, respectively. We find that both carbon and energy markets are inefficient, while the inefficiency degree of the former is slightly higher. The inefficiency degree of the two types of markets is featured by asymmetry and non-linearity over the data distribution, while its cross-market linkage is found to be bi-directional. The spillover degree of the dynamic linkage remains the highest at around the median quantile of the “information giver,” while such the degree weakens at the extreme quantiles. Our findings possess insightful implications for effective operations of the emission trading toward a low carbon transition.</w:t>
      </w:r>
    </w:p>
    <w:p w14:paraId="52037A74" w14:textId="77777777" w:rsidR="001F2A0B" w:rsidRDefault="00BC538D">
      <w:pPr>
        <w:pStyle w:val="Heading2"/>
        <w:spacing w:after="0"/>
        <w:ind w:left="-5"/>
      </w:pPr>
      <w:r>
        <w:t>Keywords</w:t>
      </w:r>
    </w:p>
    <w:p w14:paraId="6A7D837D" w14:textId="7EDAF43E" w:rsidR="001F2A0B" w:rsidRDefault="00BC538D">
      <w:pPr>
        <w:spacing w:after="870" w:line="240" w:lineRule="auto"/>
        <w:ind w:left="-5" w:right="-14"/>
      </w:pPr>
      <w:r>
        <w:rPr>
          <w:rFonts w:ascii="Calibri" w:eastAsia="Calibri" w:hAnsi="Calibri" w:cs="Calibri"/>
        </w:rPr>
        <w:t>Market efficiency, European Union emission trading scheme, energy market, network, causality-in</w:t>
      </w:r>
      <w:r w:rsidR="003427E1">
        <w:rPr>
          <w:rFonts w:ascii="Calibri" w:eastAsia="Calibri" w:hAnsi="Calibri" w:cs="Calibri"/>
        </w:rPr>
        <w:t xml:space="preserve"> </w:t>
      </w:r>
      <w:r>
        <w:rPr>
          <w:rFonts w:ascii="Calibri" w:eastAsia="Calibri" w:hAnsi="Calibri" w:cs="Calibri"/>
        </w:rPr>
        <w:t>quantiles</w:t>
      </w:r>
    </w:p>
    <w:p w14:paraId="6C2A39F5" w14:textId="77777777" w:rsidR="001F2A0B" w:rsidRDefault="00BC538D">
      <w:pPr>
        <w:spacing w:after="170" w:line="259" w:lineRule="auto"/>
        <w:ind w:left="0" w:right="0" w:firstLine="0"/>
        <w:jc w:val="left"/>
      </w:pPr>
      <w:r>
        <w:rPr>
          <w:rFonts w:ascii="Calibri" w:eastAsia="Calibri" w:hAnsi="Calibri" w:cs="Calibri"/>
          <w:noProof/>
          <w:sz w:val="22"/>
        </w:rPr>
        <mc:AlternateContent>
          <mc:Choice Requires="wpg">
            <w:drawing>
              <wp:inline distT="0" distB="0" distL="0" distR="0" wp14:anchorId="3F658F57" wp14:editId="3638DBFD">
                <wp:extent cx="4967999" cy="2880"/>
                <wp:effectExtent l="0" t="0" r="0" b="0"/>
                <wp:docPr id="25371" name="Group 25371"/>
                <wp:cNvGraphicFramePr/>
                <a:graphic xmlns:a="http://schemas.openxmlformats.org/drawingml/2006/main">
                  <a:graphicData uri="http://schemas.microsoft.com/office/word/2010/wordprocessingGroup">
                    <wpg:wgp>
                      <wpg:cNvGrpSpPr/>
                      <wpg:grpSpPr>
                        <a:xfrm>
                          <a:off x="0" y="0"/>
                          <a:ext cx="4967999" cy="2880"/>
                          <a:chOff x="0" y="0"/>
                          <a:chExt cx="4967999" cy="2880"/>
                        </a:xfrm>
                      </wpg:grpSpPr>
                      <wps:wsp>
                        <wps:cNvPr id="32254" name="Shape 32254"/>
                        <wps:cNvSpPr/>
                        <wps:spPr>
                          <a:xfrm>
                            <a:off x="0" y="0"/>
                            <a:ext cx="4967999" cy="9144"/>
                          </a:xfrm>
                          <a:custGeom>
                            <a:avLst/>
                            <a:gdLst/>
                            <a:ahLst/>
                            <a:cxnLst/>
                            <a:rect l="0" t="0" r="0" b="0"/>
                            <a:pathLst>
                              <a:path w="4967999" h="9144">
                                <a:moveTo>
                                  <a:pt x="0" y="0"/>
                                </a:moveTo>
                                <a:lnTo>
                                  <a:pt x="4967999" y="0"/>
                                </a:lnTo>
                                <a:lnTo>
                                  <a:pt x="4967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371" style="width:391.181pt;height:0.226807pt;mso-position-horizontal-relative:char;mso-position-vertical-relative:line" coordsize="49679,28">
                <v:shape id="Shape 32255" style="position:absolute;width:49679;height:91;left:0;top:0;" coordsize="4967999,9144" path="m0,0l4967999,0l4967999,9144l0,9144l0,0">
                  <v:stroke weight="0pt" endcap="flat" joinstyle="miter" miterlimit="10" on="false" color="#000000" opacity="0"/>
                  <v:fill on="true" color="#000000"/>
                </v:shape>
              </v:group>
            </w:pict>
          </mc:Fallback>
        </mc:AlternateContent>
      </w:r>
    </w:p>
    <w:p w14:paraId="2AFE6D42" w14:textId="77777777" w:rsidR="001F2A0B" w:rsidRDefault="00BC538D">
      <w:pPr>
        <w:spacing w:after="21" w:line="265" w:lineRule="auto"/>
        <w:ind w:left="-5" w:right="0"/>
      </w:pPr>
      <w:r>
        <w:rPr>
          <w:rFonts w:ascii="Calibri" w:eastAsia="Calibri" w:hAnsi="Calibri" w:cs="Calibri"/>
          <w:sz w:val="16"/>
          <w:vertAlign w:val="superscript"/>
        </w:rPr>
        <w:t>1</w:t>
      </w:r>
      <w:r>
        <w:rPr>
          <w:rFonts w:ascii="Calibri" w:eastAsia="Calibri" w:hAnsi="Calibri" w:cs="Calibri"/>
          <w:sz w:val="16"/>
        </w:rPr>
        <w:t>School of Business, Central South University, Changsha, Hunan, China</w:t>
      </w:r>
    </w:p>
    <w:p w14:paraId="7DB23D30" w14:textId="77777777" w:rsidR="001F2A0B" w:rsidRDefault="00BC538D">
      <w:pPr>
        <w:spacing w:after="21" w:line="265" w:lineRule="auto"/>
        <w:ind w:left="-5" w:right="0"/>
      </w:pPr>
      <w:r>
        <w:rPr>
          <w:rFonts w:ascii="Calibri" w:eastAsia="Calibri" w:hAnsi="Calibri" w:cs="Calibri"/>
          <w:sz w:val="16"/>
          <w:vertAlign w:val="superscript"/>
        </w:rPr>
        <w:t>2</w:t>
      </w:r>
      <w:r>
        <w:rPr>
          <w:rFonts w:ascii="Calibri" w:eastAsia="Calibri" w:hAnsi="Calibri" w:cs="Calibri"/>
          <w:sz w:val="16"/>
        </w:rPr>
        <w:t>School of Finance, Renmin University of China, Beijing, China</w:t>
      </w:r>
    </w:p>
    <w:p w14:paraId="39E24DD4" w14:textId="77777777" w:rsidR="001F2A0B" w:rsidRDefault="00BC538D">
      <w:pPr>
        <w:spacing w:after="21" w:line="265" w:lineRule="auto"/>
        <w:ind w:left="-5" w:right="0"/>
      </w:pPr>
      <w:r>
        <w:rPr>
          <w:rFonts w:ascii="Calibri" w:eastAsia="Calibri" w:hAnsi="Calibri" w:cs="Calibri"/>
          <w:sz w:val="16"/>
          <w:vertAlign w:val="superscript"/>
        </w:rPr>
        <w:t>3</w:t>
      </w:r>
      <w:r>
        <w:rPr>
          <w:rFonts w:ascii="Calibri" w:eastAsia="Calibri" w:hAnsi="Calibri" w:cs="Calibri"/>
          <w:sz w:val="16"/>
        </w:rPr>
        <w:t>School of Economics, Huazhong University of Science and Technology, Wuhan, China</w:t>
      </w:r>
    </w:p>
    <w:p w14:paraId="39D08D5E" w14:textId="77777777" w:rsidR="001F2A0B" w:rsidRDefault="00BC538D">
      <w:pPr>
        <w:spacing w:after="72" w:line="265" w:lineRule="auto"/>
        <w:ind w:left="-5" w:right="0"/>
      </w:pPr>
      <w:r>
        <w:rPr>
          <w:rFonts w:ascii="Calibri" w:eastAsia="Calibri" w:hAnsi="Calibri" w:cs="Calibri"/>
          <w:sz w:val="16"/>
          <w:vertAlign w:val="superscript"/>
        </w:rPr>
        <w:t>4</w:t>
      </w:r>
      <w:r>
        <w:rPr>
          <w:rFonts w:ascii="Calibri" w:eastAsia="Calibri" w:hAnsi="Calibri" w:cs="Calibri"/>
          <w:sz w:val="16"/>
        </w:rPr>
        <w:t>Southampton Business School, University of Southampton, Southampton, UK</w:t>
      </w:r>
    </w:p>
    <w:p w14:paraId="10CC1057" w14:textId="77777777" w:rsidR="001F2A0B" w:rsidRDefault="00BC538D">
      <w:pPr>
        <w:spacing w:after="0" w:line="259" w:lineRule="auto"/>
        <w:ind w:left="0" w:right="0" w:firstLine="0"/>
        <w:jc w:val="left"/>
      </w:pPr>
      <w:r>
        <w:rPr>
          <w:rFonts w:ascii="Calibri" w:eastAsia="Calibri" w:hAnsi="Calibri" w:cs="Calibri"/>
          <w:sz w:val="16"/>
        </w:rPr>
        <w:t>Corresponding author:</w:t>
      </w:r>
    </w:p>
    <w:p w14:paraId="7F9B8E20" w14:textId="77777777" w:rsidR="001F2A0B" w:rsidRDefault="00BC538D">
      <w:pPr>
        <w:spacing w:after="21" w:line="265" w:lineRule="auto"/>
        <w:ind w:left="-5" w:right="0"/>
      </w:pPr>
      <w:r>
        <w:rPr>
          <w:rFonts w:ascii="Calibri" w:eastAsia="Calibri" w:hAnsi="Calibri" w:cs="Calibri"/>
          <w:sz w:val="16"/>
        </w:rPr>
        <w:t xml:space="preserve">Kun Duan, School of Economics, Huazhong University of Science and Technology, </w:t>
      </w:r>
      <w:proofErr w:type="spellStart"/>
      <w:r>
        <w:rPr>
          <w:rFonts w:ascii="Calibri" w:eastAsia="Calibri" w:hAnsi="Calibri" w:cs="Calibri"/>
          <w:sz w:val="16"/>
        </w:rPr>
        <w:t>Luoyu</w:t>
      </w:r>
      <w:proofErr w:type="spellEnd"/>
      <w:r>
        <w:rPr>
          <w:rFonts w:ascii="Calibri" w:eastAsia="Calibri" w:hAnsi="Calibri" w:cs="Calibri"/>
          <w:sz w:val="16"/>
        </w:rPr>
        <w:t xml:space="preserve"> Road, Wuhan, 430074, China.</w:t>
      </w:r>
    </w:p>
    <w:p w14:paraId="0DA86E7E" w14:textId="77777777" w:rsidR="001F2A0B" w:rsidRDefault="00BC538D">
      <w:pPr>
        <w:spacing w:after="21" w:line="265" w:lineRule="auto"/>
        <w:ind w:left="-5" w:right="0"/>
      </w:pPr>
      <w:r>
        <w:rPr>
          <w:rFonts w:ascii="Calibri" w:eastAsia="Calibri" w:hAnsi="Calibri" w:cs="Calibri"/>
          <w:sz w:val="16"/>
        </w:rPr>
        <w:t>Email: kduan15@outlook.com</w:t>
      </w:r>
    </w:p>
    <w:p w14:paraId="11A39DD6" w14:textId="77777777" w:rsidR="001F2A0B" w:rsidRDefault="00BC538D">
      <w:pPr>
        <w:pStyle w:val="Heading1"/>
        <w:ind w:left="-5" w:right="0"/>
      </w:pPr>
      <w:r>
        <w:t>Introduction</w:t>
      </w:r>
    </w:p>
    <w:p w14:paraId="4CEAC7D9" w14:textId="77777777" w:rsidR="001F2A0B" w:rsidRDefault="00BC538D">
      <w:pPr>
        <w:ind w:left="-5" w:right="0"/>
      </w:pPr>
      <w:r>
        <w:t xml:space="preserve">Over recent decades, climate warming has been claimed to be the most serious environmental issue worldwide that not only weakens the stability of the natural ecosystem but also hinders economic </w:t>
      </w:r>
      <w:r>
        <w:lastRenderedPageBreak/>
        <w:t xml:space="preserve">development and even threatens the safety of human beings. To combat the global warming, the emission trading scheme (ETS) of carbon allowances has been manifested as an effective tool in reductions of carbon emissions with a minimum economic cost. Initialized in 2005, European Union (EU) ETS is known to be the </w:t>
      </w:r>
      <w:r>
        <w:rPr>
          <w:rFonts w:ascii="Calibri" w:eastAsia="Calibri" w:hAnsi="Calibri" w:cs="Calibri"/>
        </w:rPr>
        <w:t>fi</w:t>
      </w:r>
      <w:r>
        <w:t>rst and the largest trading market of carbon allowances worldwide, which has demonstrated its effectiveness in internalizing environmental costs of carbon emissions to the production of installations powered by fossil fuels, and then confronting the climate challenge.</w:t>
      </w:r>
      <w:r>
        <w:rPr>
          <w:vertAlign w:val="superscript"/>
        </w:rPr>
        <w:t>1</w:t>
      </w:r>
      <w:r>
        <w:rPr>
          <w:rFonts w:ascii="Calibri" w:eastAsia="Calibri" w:hAnsi="Calibri" w:cs="Calibri"/>
          <w:vertAlign w:val="superscript"/>
        </w:rPr>
        <w:t>–</w:t>
      </w:r>
      <w:r>
        <w:rPr>
          <w:vertAlign w:val="superscript"/>
        </w:rPr>
        <w:t xml:space="preserve">3 </w:t>
      </w:r>
      <w:r>
        <w:t>Thus, it is evident that an accurate interpretation of the naturally-interlinked (fossil) energy consumption and carbon emissions is crucial. Despite a policy signi</w:t>
      </w:r>
      <w:r>
        <w:rPr>
          <w:rFonts w:ascii="Calibri" w:eastAsia="Calibri" w:hAnsi="Calibri" w:cs="Calibri"/>
        </w:rPr>
        <w:t>fi</w:t>
      </w:r>
      <w:r>
        <w:t>cance, it still has been devoid of in-depth research in this regard.</w:t>
      </w:r>
    </w:p>
    <w:p w14:paraId="6601B702" w14:textId="77777777" w:rsidR="001F2A0B" w:rsidRDefault="00BC538D">
      <w:pPr>
        <w:ind w:left="-15" w:right="0" w:firstLine="240"/>
      </w:pPr>
      <w:r>
        <w:t>The existing research by far studies the relationship between carbon and energy markets through the price channel on both aspects of return and volatility. It nevertheless imposes a strict assumption that the market price is an unbiased information indicator for resource allocations, that is, the market is assumed to be ef</w:t>
      </w:r>
      <w:r>
        <w:rPr>
          <w:rFonts w:ascii="Calibri" w:eastAsia="Calibri" w:hAnsi="Calibri" w:cs="Calibri"/>
        </w:rPr>
        <w:t>fi</w:t>
      </w:r>
      <w:r>
        <w:t>cient. However, this is far from the reality since the status of an ef</w:t>
      </w:r>
      <w:r>
        <w:rPr>
          <w:rFonts w:ascii="Calibri" w:eastAsia="Calibri" w:hAnsi="Calibri" w:cs="Calibri"/>
        </w:rPr>
        <w:t>fi</w:t>
      </w:r>
      <w:r>
        <w:t>cient market is usually hard to achieve. It indicates that the price dynamics may only be a partial re</w:t>
      </w:r>
      <w:r>
        <w:rPr>
          <w:rFonts w:ascii="Calibri" w:eastAsia="Calibri" w:hAnsi="Calibri" w:cs="Calibri"/>
        </w:rPr>
        <w:t>fl</w:t>
      </w:r>
      <w:r>
        <w:t>ection of available market information,</w:t>
      </w:r>
      <w:r>
        <w:rPr>
          <w:vertAlign w:val="superscript"/>
        </w:rPr>
        <w:t xml:space="preserve">4,5 </w:t>
      </w:r>
      <w:r>
        <w:t>and, therefore, inferences drawn by the price linkage between markets would lead to unreliable inferences. To what extent can the target asset/commodity price re</w:t>
      </w:r>
      <w:r>
        <w:rPr>
          <w:rFonts w:ascii="Calibri" w:eastAsia="Calibri" w:hAnsi="Calibri" w:cs="Calibri"/>
        </w:rPr>
        <w:t>fl</w:t>
      </w:r>
      <w:r>
        <w:t>ect relevant information depends on the extent to which the market is ef</w:t>
      </w:r>
      <w:r>
        <w:rPr>
          <w:rFonts w:ascii="Calibri" w:eastAsia="Calibri" w:hAnsi="Calibri" w:cs="Calibri"/>
        </w:rPr>
        <w:t>fi</w:t>
      </w:r>
      <w:r>
        <w:t>cient.</w:t>
      </w:r>
      <w:r>
        <w:rPr>
          <w:vertAlign w:val="superscript"/>
        </w:rPr>
        <w:t xml:space="preserve">6 </w:t>
      </w:r>
      <w:r>
        <w:t>This suggests that studying the interaction of the market (in)ef</w:t>
      </w:r>
      <w:r>
        <w:rPr>
          <w:rFonts w:ascii="Calibri" w:eastAsia="Calibri" w:hAnsi="Calibri" w:cs="Calibri"/>
        </w:rPr>
        <w:t>fi</w:t>
      </w:r>
      <w:r>
        <w:t>ciency degree can better identify the real cross-market linkage by capturing the extent of market information re</w:t>
      </w:r>
      <w:r>
        <w:rPr>
          <w:rFonts w:ascii="Calibri" w:eastAsia="Calibri" w:hAnsi="Calibri" w:cs="Calibri"/>
        </w:rPr>
        <w:t>fl</w:t>
      </w:r>
      <w:r>
        <w:t>ected by the price, while existing related research is surprisingly scant. In addition, extensive evidence has shown the asymmetric pattern of the linkage between carbon and energy market,</w:t>
      </w:r>
      <w:r>
        <w:rPr>
          <w:vertAlign w:val="superscript"/>
        </w:rPr>
        <w:t xml:space="preserve">7,8 </w:t>
      </w:r>
      <w:r>
        <w:t xml:space="preserve">indicating that the conventional mean-based method would lose the micro-level information. To this end, our paper </w:t>
      </w:r>
      <w:r>
        <w:rPr>
          <w:rFonts w:ascii="Calibri" w:eastAsia="Calibri" w:hAnsi="Calibri" w:cs="Calibri"/>
        </w:rPr>
        <w:t>fi</w:t>
      </w:r>
      <w:r>
        <w:t>lls the gap by gauging the inef</w:t>
      </w:r>
      <w:r>
        <w:rPr>
          <w:rFonts w:ascii="Calibri" w:eastAsia="Calibri" w:hAnsi="Calibri" w:cs="Calibri"/>
        </w:rPr>
        <w:t>fi</w:t>
      </w:r>
      <w:r>
        <w:t>ciency degree of both carbon and energy markets, and then investigating the cross-market causal linkage of the informational ef</w:t>
      </w:r>
      <w:r>
        <w:rPr>
          <w:rFonts w:ascii="Calibri" w:eastAsia="Calibri" w:hAnsi="Calibri" w:cs="Calibri"/>
        </w:rPr>
        <w:t>fi</w:t>
      </w:r>
      <w:r>
        <w:t>ciency over the entire data distribution.</w:t>
      </w:r>
    </w:p>
    <w:p w14:paraId="6AD6A622" w14:textId="77777777" w:rsidR="001F2A0B" w:rsidRDefault="00BC538D">
      <w:pPr>
        <w:spacing w:after="36"/>
        <w:ind w:left="-15" w:right="0" w:firstLine="240"/>
      </w:pPr>
      <w:r>
        <w:t>Identifying the linkage of informational inef</w:t>
      </w:r>
      <w:r>
        <w:rPr>
          <w:rFonts w:ascii="Calibri" w:eastAsia="Calibri" w:hAnsi="Calibri" w:cs="Calibri"/>
        </w:rPr>
        <w:t>fi</w:t>
      </w:r>
      <w:r>
        <w:t>ciency degree between carbon and energy markets is important to various stakeholders. Speci</w:t>
      </w:r>
      <w:r>
        <w:rPr>
          <w:rFonts w:ascii="Calibri" w:eastAsia="Calibri" w:hAnsi="Calibri" w:cs="Calibri"/>
        </w:rPr>
        <w:t>fi</w:t>
      </w:r>
      <w:r>
        <w:t>cally, a clear linkage identi</w:t>
      </w:r>
      <w:r>
        <w:rPr>
          <w:rFonts w:ascii="Calibri" w:eastAsia="Calibri" w:hAnsi="Calibri" w:cs="Calibri"/>
        </w:rPr>
        <w:t>fi</w:t>
      </w:r>
      <w:r>
        <w:t>cation could help carbon-intensive sectors gain reliable information between carbon and energy market relationship to adjust their energy consumption structures towards low-carbon compliance with minimum adjustment cost.</w:t>
      </w:r>
      <w:r>
        <w:rPr>
          <w:vertAlign w:val="superscript"/>
        </w:rPr>
        <w:t xml:space="preserve">9,10 </w:t>
      </w:r>
      <w:r>
        <w:t>Importantly, a precise understanding of the carbon and energy market linkage could contribute to an effective climate policy against global warming and for the promotion of cleaner energy inputs.</w:t>
      </w:r>
      <w:r>
        <w:rPr>
          <w:vertAlign w:val="superscript"/>
        </w:rPr>
        <w:t xml:space="preserve">7 </w:t>
      </w:r>
      <w:r>
        <w:t xml:space="preserve">As for </w:t>
      </w:r>
      <w:r>
        <w:rPr>
          <w:rFonts w:ascii="Calibri" w:eastAsia="Calibri" w:hAnsi="Calibri" w:cs="Calibri"/>
        </w:rPr>
        <w:t>fi</w:t>
      </w:r>
      <w:r>
        <w:t xml:space="preserve">nancial investors, in the face of globalization and market </w:t>
      </w:r>
      <w:r>
        <w:rPr>
          <w:rFonts w:ascii="Calibri" w:eastAsia="Calibri" w:hAnsi="Calibri" w:cs="Calibri"/>
        </w:rPr>
        <w:t>fi</w:t>
      </w:r>
      <w:r>
        <w:t>nancialization, accurately interpreting information transmission between the two markets is helpful for risk diversi</w:t>
      </w:r>
      <w:r>
        <w:rPr>
          <w:rFonts w:ascii="Calibri" w:eastAsia="Calibri" w:hAnsi="Calibri" w:cs="Calibri"/>
        </w:rPr>
        <w:t>fi</w:t>
      </w:r>
      <w:r>
        <w:t>cation in their investment portfolios.</w:t>
      </w:r>
      <w:r>
        <w:rPr>
          <w:vertAlign w:val="superscript"/>
        </w:rPr>
        <w:t xml:space="preserve">11 </w:t>
      </w:r>
      <w:r>
        <w:t>Since an inef</w:t>
      </w:r>
      <w:r>
        <w:rPr>
          <w:rFonts w:ascii="Calibri" w:eastAsia="Calibri" w:hAnsi="Calibri" w:cs="Calibri"/>
        </w:rPr>
        <w:t>fi</w:t>
      </w:r>
      <w:r>
        <w:t>cient market suggests the presence of arbitrage opportunities, an accurate grasp of the linkage would offer valuable information for arbitragers to pursue excess pro</w:t>
      </w:r>
      <w:r>
        <w:rPr>
          <w:rFonts w:ascii="Calibri" w:eastAsia="Calibri" w:hAnsi="Calibri" w:cs="Calibri"/>
        </w:rPr>
        <w:t>fi</w:t>
      </w:r>
      <w:r>
        <w:t>ts across markets, and eventually contributing to a co-movement between markets towards an ef</w:t>
      </w:r>
      <w:r>
        <w:rPr>
          <w:rFonts w:ascii="Calibri" w:eastAsia="Calibri" w:hAnsi="Calibri" w:cs="Calibri"/>
        </w:rPr>
        <w:t>fi</w:t>
      </w:r>
      <w:r>
        <w:t>cient status.</w:t>
      </w:r>
      <w:r>
        <w:rPr>
          <w:vertAlign w:val="superscript"/>
        </w:rPr>
        <w:t>12</w:t>
      </w:r>
    </w:p>
    <w:p w14:paraId="47B06175" w14:textId="77777777" w:rsidR="001F2A0B" w:rsidRDefault="00BC538D">
      <w:pPr>
        <w:ind w:left="-15" w:right="0" w:firstLine="240"/>
      </w:pPr>
      <w:r>
        <w:t>According to the ef</w:t>
      </w:r>
      <w:r>
        <w:rPr>
          <w:rFonts w:ascii="Calibri" w:eastAsia="Calibri" w:hAnsi="Calibri" w:cs="Calibri"/>
        </w:rPr>
        <w:t>fi</w:t>
      </w:r>
      <w:r>
        <w:t>cient market hypothesis (EMH),</w:t>
      </w:r>
      <w:r>
        <w:rPr>
          <w:vertAlign w:val="superscript"/>
        </w:rPr>
        <w:t xml:space="preserve">13 </w:t>
      </w:r>
      <w:r>
        <w:t>when available market information can be entirely and instantly re</w:t>
      </w:r>
      <w:r>
        <w:rPr>
          <w:rFonts w:ascii="Calibri" w:eastAsia="Calibri" w:hAnsi="Calibri" w:cs="Calibri"/>
        </w:rPr>
        <w:t>fl</w:t>
      </w:r>
      <w:r>
        <w:t>ected in the current dynamics of the price series, the market is de</w:t>
      </w:r>
      <w:r>
        <w:rPr>
          <w:rFonts w:ascii="Calibri" w:eastAsia="Calibri" w:hAnsi="Calibri" w:cs="Calibri"/>
        </w:rPr>
        <w:t>fi</w:t>
      </w:r>
      <w:r>
        <w:t>ned to be ef</w:t>
      </w:r>
      <w:r>
        <w:rPr>
          <w:rFonts w:ascii="Calibri" w:eastAsia="Calibri" w:hAnsi="Calibri" w:cs="Calibri"/>
        </w:rPr>
        <w:t>fi</w:t>
      </w:r>
      <w:r>
        <w:t xml:space="preserve">cient; in this case, the price series has one unit root, that is, </w:t>
      </w:r>
      <w:proofErr w:type="spellStart"/>
      <w:r>
        <w:t>an</w:t>
      </w:r>
      <w:proofErr w:type="spellEnd"/>
      <w:r>
        <w:t xml:space="preserve"> </w:t>
      </w:r>
      <w:proofErr w:type="gramStart"/>
      <w:r>
        <w:t>I(</w:t>
      </w:r>
      <w:proofErr w:type="gramEnd"/>
      <w:r>
        <w:t>1) series. However, the dynamics of energy and carbon markets, in reality, tend to be featured by various frictions, which indicate that the current market price may be only a partial re</w:t>
      </w:r>
      <w:r>
        <w:rPr>
          <w:rFonts w:ascii="Calibri" w:eastAsia="Calibri" w:hAnsi="Calibri" w:cs="Calibri"/>
        </w:rPr>
        <w:t>fl</w:t>
      </w:r>
      <w:r>
        <w:t>ection of relevant information, suggesting that the market is inef</w:t>
      </w:r>
      <w:r>
        <w:rPr>
          <w:rFonts w:ascii="Calibri" w:eastAsia="Calibri" w:hAnsi="Calibri" w:cs="Calibri"/>
        </w:rPr>
        <w:t>fi</w:t>
      </w:r>
      <w:r>
        <w:t xml:space="preserve">cient (see, </w:t>
      </w:r>
      <w:proofErr w:type="gramStart"/>
      <w:r>
        <w:t>e.g.</w:t>
      </w:r>
      <w:proofErr w:type="gramEnd"/>
      <w:r>
        <w:t xml:space="preserve"> Daskalakis et al.,</w:t>
      </w:r>
      <w:r>
        <w:rPr>
          <w:vertAlign w:val="superscript"/>
        </w:rPr>
        <w:t>14</w:t>
      </w:r>
      <w:r>
        <w:t>). Following the extant literature (see e.g. Duan et al.,</w:t>
      </w:r>
      <w:r>
        <w:rPr>
          <w:vertAlign w:val="superscript"/>
        </w:rPr>
        <w:t>6</w:t>
      </w:r>
      <w:r>
        <w:t>) the market (in)ef</w:t>
      </w:r>
      <w:r>
        <w:rPr>
          <w:rFonts w:ascii="Calibri" w:eastAsia="Calibri" w:hAnsi="Calibri" w:cs="Calibri"/>
        </w:rPr>
        <w:t>fi</w:t>
      </w:r>
      <w:r>
        <w:t xml:space="preserve">ciency degree, that is, the closeness to the </w:t>
      </w:r>
      <w:r>
        <w:lastRenderedPageBreak/>
        <w:t>ef</w:t>
      </w:r>
      <w:r>
        <w:rPr>
          <w:rFonts w:ascii="Calibri" w:eastAsia="Calibri" w:hAnsi="Calibri" w:cs="Calibri"/>
        </w:rPr>
        <w:t>fi</w:t>
      </w:r>
      <w:r>
        <w:t>cient market status, is computed as the absolute difference between the (fractional) integration order of the price series and 1.</w:t>
      </w:r>
      <w:r>
        <w:rPr>
          <w:vertAlign w:val="superscript"/>
        </w:rPr>
        <w:t xml:space="preserve">1 </w:t>
      </w:r>
      <w:r>
        <w:t>Clearly, the measure of the market inef</w:t>
      </w:r>
      <w:r>
        <w:rPr>
          <w:rFonts w:ascii="Calibri" w:eastAsia="Calibri" w:hAnsi="Calibri" w:cs="Calibri"/>
        </w:rPr>
        <w:t>fi</w:t>
      </w:r>
      <w:r>
        <w:t xml:space="preserve">ciency degree is realized by relaxing the traditional assumption of integer integration order to capture its fractionality and the associated </w:t>
      </w:r>
      <w:proofErr w:type="spellStart"/>
      <w:r>
        <w:t>longmemory</w:t>
      </w:r>
      <w:proofErr w:type="spellEnd"/>
      <w:r>
        <w:t xml:space="preserve"> feature of the</w:t>
      </w:r>
      <w:r>
        <w:rPr>
          <w:vertAlign w:val="superscript"/>
        </w:rPr>
        <w:t xml:space="preserve">15 </w:t>
      </w:r>
      <w:r>
        <w:t>in carbon and energy markets.</w:t>
      </w:r>
      <w:r>
        <w:rPr>
          <w:vertAlign w:val="superscript"/>
        </w:rPr>
        <w:t xml:space="preserve">2 </w:t>
      </w:r>
      <w:r>
        <w:t>In addition, the informational inef</w:t>
      </w:r>
      <w:r>
        <w:rPr>
          <w:rFonts w:ascii="Calibri" w:eastAsia="Calibri" w:hAnsi="Calibri" w:cs="Calibri"/>
        </w:rPr>
        <w:t>fi</w:t>
      </w:r>
      <w:r>
        <w:t>ciency in carbon and energy markets is also found to possess a time-varying property (see e.g. Fan et al.</w:t>
      </w:r>
      <w:r>
        <w:rPr>
          <w:vertAlign w:val="superscript"/>
        </w:rPr>
        <w:t>16</w:t>
      </w:r>
      <w:r>
        <w:t>).</w:t>
      </w:r>
    </w:p>
    <w:p w14:paraId="5497B020" w14:textId="77777777" w:rsidR="001F2A0B" w:rsidRDefault="00BC538D">
      <w:pPr>
        <w:ind w:left="-15" w:right="0" w:firstLine="240"/>
      </w:pPr>
      <w:r>
        <w:t>Therefore, our paper studies the causal relationship of the informational ef</w:t>
      </w:r>
      <w:r>
        <w:rPr>
          <w:rFonts w:ascii="Calibri" w:eastAsia="Calibri" w:hAnsi="Calibri" w:cs="Calibri"/>
        </w:rPr>
        <w:t>fi</w:t>
      </w:r>
      <w:r>
        <w:t>ciency between EU carbon and (fossil) energy (</w:t>
      </w:r>
      <w:proofErr w:type="gramStart"/>
      <w:r>
        <w:t>i.e.</w:t>
      </w:r>
      <w:proofErr w:type="gramEnd"/>
      <w:r>
        <w:t xml:space="preserve"> crude oil, natural gas, and coal) markets in a quantile-based framework. The market inef</w:t>
      </w:r>
      <w:r>
        <w:rPr>
          <w:rFonts w:ascii="Calibri" w:eastAsia="Calibri" w:hAnsi="Calibri" w:cs="Calibri"/>
        </w:rPr>
        <w:t>fi</w:t>
      </w:r>
      <w:r>
        <w:t>ciency degree is gauged by estimating the (fractional) integration order of the price series using the Feasible Exact Local Whittle (FELW) estimator developed by Shimotsu</w:t>
      </w:r>
      <w:r>
        <w:rPr>
          <w:vertAlign w:val="superscript"/>
        </w:rPr>
        <w:t xml:space="preserve">17 </w:t>
      </w:r>
      <w:r>
        <w:t xml:space="preserve">on a rolling-window basis. Unlike many existing results drawn by using the mean-based method, we employ the causality-in-quantiles (CIQs) approach proposed by </w:t>
      </w:r>
      <w:proofErr w:type="spellStart"/>
      <w:r>
        <w:t>Jeong</w:t>
      </w:r>
      <w:proofErr w:type="spellEnd"/>
      <w:r>
        <w:t xml:space="preserve"> et al.,</w:t>
      </w:r>
      <w:r>
        <w:rPr>
          <w:vertAlign w:val="superscript"/>
        </w:rPr>
        <w:t xml:space="preserve">18 </w:t>
      </w:r>
      <w:r>
        <w:t>through which the relationship of the informational inef</w:t>
      </w:r>
      <w:r>
        <w:rPr>
          <w:rFonts w:ascii="Calibri" w:eastAsia="Calibri" w:hAnsi="Calibri" w:cs="Calibri"/>
        </w:rPr>
        <w:t>fi</w:t>
      </w:r>
      <w:r>
        <w:t>ciency degree between carbon and energy markets is uncovered in a full distributional characterization. It is worth mentioning that, in addition to the data in levels (</w:t>
      </w:r>
      <w:proofErr w:type="gramStart"/>
      <w:r>
        <w:t>i.e.</w:t>
      </w:r>
      <w:proofErr w:type="gramEnd"/>
      <w:r>
        <w:t xml:space="preserve"> data in mean), we further investigate the dynamic relationship in the second moment of the data over the distribution by using the realized volatility of the market inef</w:t>
      </w:r>
      <w:r>
        <w:rPr>
          <w:rFonts w:ascii="Calibri" w:eastAsia="Calibri" w:hAnsi="Calibri" w:cs="Calibri"/>
        </w:rPr>
        <w:t>fi</w:t>
      </w:r>
      <w:r>
        <w:t>ciency degree. Through this, a comprehensive study of the cross-market linkage of the inef</w:t>
      </w:r>
      <w:r>
        <w:rPr>
          <w:rFonts w:ascii="Calibri" w:eastAsia="Calibri" w:hAnsi="Calibri" w:cs="Calibri"/>
        </w:rPr>
        <w:t>fi</w:t>
      </w:r>
      <w:r>
        <w:t>ciency degree on perspectives of its levels data and volatility is conducted, respectively.</w:t>
      </w:r>
    </w:p>
    <w:p w14:paraId="5A4CA7AC" w14:textId="77777777" w:rsidR="001F2A0B" w:rsidRDefault="00BC538D">
      <w:pPr>
        <w:ind w:left="-15" w:right="0" w:firstLine="240"/>
      </w:pPr>
      <w:r>
        <w:t>Our paper contributes to the existing literature on the following aspects. First, unlike the existing research on the causal relationship between carbon and energy markets that mostly relies on the price channel, we extend the above research by relaxing the conventional assumption of the ef</w:t>
      </w:r>
      <w:r>
        <w:rPr>
          <w:rFonts w:ascii="Calibri" w:eastAsia="Calibri" w:hAnsi="Calibri" w:cs="Calibri"/>
        </w:rPr>
        <w:t>fi</w:t>
      </w:r>
      <w:r>
        <w:t>cient market to study the market linkage using the informational inef</w:t>
      </w:r>
      <w:r>
        <w:rPr>
          <w:rFonts w:ascii="Calibri" w:eastAsia="Calibri" w:hAnsi="Calibri" w:cs="Calibri"/>
        </w:rPr>
        <w:t>fi</w:t>
      </w:r>
      <w:r>
        <w:t>ciency degree. It is known that the latter considers the presence of market inef</w:t>
      </w:r>
      <w:r>
        <w:rPr>
          <w:rFonts w:ascii="Calibri" w:eastAsia="Calibri" w:hAnsi="Calibri" w:cs="Calibri"/>
        </w:rPr>
        <w:t>fi</w:t>
      </w:r>
      <w:r>
        <w:t xml:space="preserve">ciency that can better identify the real </w:t>
      </w:r>
      <w:proofErr w:type="spellStart"/>
      <w:r>
        <w:t>crossmarket</w:t>
      </w:r>
      <w:proofErr w:type="spellEnd"/>
      <w:r>
        <w:t xml:space="preserve"> relationship by capturing the extent of market information re</w:t>
      </w:r>
      <w:r>
        <w:rPr>
          <w:rFonts w:ascii="Calibri" w:eastAsia="Calibri" w:hAnsi="Calibri" w:cs="Calibri"/>
        </w:rPr>
        <w:t>fl</w:t>
      </w:r>
      <w:r>
        <w:t xml:space="preserve">ected by the price. Second, our employed nonparametric CIQs method provides a comprehensive way to examine the Granger causality of potentially bi-directional cross-market </w:t>
      </w:r>
      <w:proofErr w:type="spellStart"/>
      <w:r>
        <w:t>spillovers</w:t>
      </w:r>
      <w:proofErr w:type="spellEnd"/>
      <w:r>
        <w:t xml:space="preserve"> of the inef</w:t>
      </w:r>
      <w:r>
        <w:rPr>
          <w:rFonts w:ascii="Calibri" w:eastAsia="Calibri" w:hAnsi="Calibri" w:cs="Calibri"/>
        </w:rPr>
        <w:t>fi</w:t>
      </w:r>
      <w:r>
        <w:t xml:space="preserve">ciency degree over the data distribution. In contrast to the mean-based approach that would result in information loss due to the neglect of the asymmetry of the relationship, our employed method tests the Granger causality of the potential bidirectional market linkage on different data quantiles. In addition, based on such a quantile-based method, we can produce robust results even in the face of the complex nonlinear dynamics of carbon and energy prices, notably involving the feature of </w:t>
      </w:r>
      <w:r>
        <w:rPr>
          <w:rFonts w:ascii="Calibri" w:eastAsia="Calibri" w:hAnsi="Calibri" w:cs="Calibri"/>
        </w:rPr>
        <w:t>“</w:t>
      </w:r>
      <w:r>
        <w:t>fat-tails,</w:t>
      </w:r>
      <w:r>
        <w:rPr>
          <w:rFonts w:ascii="Calibri" w:eastAsia="Calibri" w:hAnsi="Calibri" w:cs="Calibri"/>
        </w:rPr>
        <w:t>” “</w:t>
      </w:r>
      <w:r>
        <w:t>volatility-clustering,</w:t>
      </w:r>
      <w:r>
        <w:rPr>
          <w:rFonts w:ascii="Calibri" w:eastAsia="Calibri" w:hAnsi="Calibri" w:cs="Calibri"/>
        </w:rPr>
        <w:t xml:space="preserve">” </w:t>
      </w:r>
      <w:r>
        <w:t xml:space="preserve">and </w:t>
      </w:r>
      <w:r>
        <w:rPr>
          <w:rFonts w:ascii="Calibri" w:eastAsia="Calibri" w:hAnsi="Calibri" w:cs="Calibri"/>
        </w:rPr>
        <w:t>“</w:t>
      </w:r>
      <w:r>
        <w:t>outliers</w:t>
      </w:r>
      <w:r>
        <w:rPr>
          <w:rFonts w:ascii="Calibri" w:eastAsia="Calibri" w:hAnsi="Calibri" w:cs="Calibri"/>
        </w:rPr>
        <w:t xml:space="preserve">” </w:t>
      </w:r>
      <w:r>
        <w:t xml:space="preserve">in the real data. To the best of our knowledge, our research is among the </w:t>
      </w:r>
      <w:r>
        <w:rPr>
          <w:rFonts w:ascii="Calibri" w:eastAsia="Calibri" w:hAnsi="Calibri" w:cs="Calibri"/>
        </w:rPr>
        <w:t>fi</w:t>
      </w:r>
      <w:r>
        <w:t>rst to study the spillover of the informational ef</w:t>
      </w:r>
      <w:r>
        <w:rPr>
          <w:rFonts w:ascii="Calibri" w:eastAsia="Calibri" w:hAnsi="Calibri" w:cs="Calibri"/>
        </w:rPr>
        <w:t>fi</w:t>
      </w:r>
      <w:r>
        <w:t>ciency between carbon and energy markets over the entire data distribution.</w:t>
      </w:r>
    </w:p>
    <w:p w14:paraId="49C9487A" w14:textId="77777777" w:rsidR="001F2A0B" w:rsidRDefault="00BC538D">
      <w:pPr>
        <w:spacing w:after="46"/>
        <w:ind w:left="-15" w:right="0" w:firstLine="240"/>
      </w:pPr>
      <w:r>
        <w:t xml:space="preserve">We </w:t>
      </w:r>
      <w:r>
        <w:rPr>
          <w:rFonts w:ascii="Calibri" w:eastAsia="Calibri" w:hAnsi="Calibri" w:cs="Calibri"/>
        </w:rPr>
        <w:t>fi</w:t>
      </w:r>
      <w:r>
        <w:t>nd that carbon and energy markets are featured by informational inef</w:t>
      </w:r>
      <w:r>
        <w:rPr>
          <w:rFonts w:ascii="Calibri" w:eastAsia="Calibri" w:hAnsi="Calibri" w:cs="Calibri"/>
        </w:rPr>
        <w:t>fi</w:t>
      </w:r>
      <w:r>
        <w:t>ciency, while the inef</w:t>
      </w:r>
      <w:r>
        <w:rPr>
          <w:rFonts w:ascii="Calibri" w:eastAsia="Calibri" w:hAnsi="Calibri" w:cs="Calibri"/>
        </w:rPr>
        <w:t>fi</w:t>
      </w:r>
      <w:r>
        <w:t>ciency degree of the carbon market is slightly higher than that of all energy markets. This is attributed to the shorter time period of development of the carbon market compared to that of the fossil energy markets. The inef</w:t>
      </w:r>
      <w:r>
        <w:rPr>
          <w:rFonts w:ascii="Calibri" w:eastAsia="Calibri" w:hAnsi="Calibri" w:cs="Calibri"/>
        </w:rPr>
        <w:t>fi</w:t>
      </w:r>
      <w:r>
        <w:t>ciency degree of carbon and energy markets depicts a signi</w:t>
      </w:r>
      <w:r>
        <w:rPr>
          <w:rFonts w:ascii="Calibri" w:eastAsia="Calibri" w:hAnsi="Calibri" w:cs="Calibri"/>
        </w:rPr>
        <w:t>fi</w:t>
      </w:r>
      <w:r>
        <w:t>cant and bi-directional causal relationship both in levels (</w:t>
      </w:r>
      <w:proofErr w:type="gramStart"/>
      <w:r>
        <w:t>i.e.</w:t>
      </w:r>
      <w:proofErr w:type="gramEnd"/>
      <w:r>
        <w:t xml:space="preserve"> mean) and variance over different quantiles of the data distribution. The intensity of the relationship demonstrates a dynamic and asymmetric pattern over the data distribution: its highest value achieves at the median quantile of the speci</w:t>
      </w:r>
      <w:r>
        <w:rPr>
          <w:rFonts w:ascii="Calibri" w:eastAsia="Calibri" w:hAnsi="Calibri" w:cs="Calibri"/>
        </w:rPr>
        <w:t>fi</w:t>
      </w:r>
      <w:r>
        <w:t xml:space="preserve">c market served as the </w:t>
      </w:r>
      <w:r>
        <w:rPr>
          <w:rFonts w:ascii="Calibri" w:eastAsia="Calibri" w:hAnsi="Calibri" w:cs="Calibri"/>
        </w:rPr>
        <w:t>“</w:t>
      </w:r>
      <w:r>
        <w:t>information</w:t>
      </w:r>
      <w:r>
        <w:rPr>
          <w:rFonts w:ascii="Calibri" w:eastAsia="Calibri" w:hAnsi="Calibri" w:cs="Calibri"/>
        </w:rPr>
        <w:t xml:space="preserve">” </w:t>
      </w:r>
      <w:r>
        <w:t>giver, while the spillover intensity weakens at the extreme quantiles. Our results possess important implications for various stakeholders for effective climate policy design, sensible cost-evaluation for carbon-intensive sectors, as well as effective arbitrage activities and risk diversi</w:t>
      </w:r>
      <w:r>
        <w:rPr>
          <w:rFonts w:ascii="Calibri" w:eastAsia="Calibri" w:hAnsi="Calibri" w:cs="Calibri"/>
        </w:rPr>
        <w:t>fi</w:t>
      </w:r>
      <w:r>
        <w:t>cation for market investors.</w:t>
      </w:r>
    </w:p>
    <w:p w14:paraId="49EE45BD" w14:textId="77777777" w:rsidR="001F2A0B" w:rsidRDefault="00BC538D">
      <w:pPr>
        <w:spacing w:line="322" w:lineRule="auto"/>
        <w:ind w:left="-15" w:right="0" w:firstLine="240"/>
      </w:pPr>
      <w:r>
        <w:lastRenderedPageBreak/>
        <w:t xml:space="preserve">The remainder of the paper proceeds as follows. Section </w:t>
      </w:r>
      <w:r>
        <w:rPr>
          <w:rFonts w:ascii="Calibri" w:eastAsia="Calibri" w:hAnsi="Calibri" w:cs="Calibri"/>
        </w:rPr>
        <w:t>“</w:t>
      </w:r>
      <w:r>
        <w:t>Literature review</w:t>
      </w:r>
      <w:r>
        <w:rPr>
          <w:rFonts w:ascii="Calibri" w:eastAsia="Calibri" w:hAnsi="Calibri" w:cs="Calibri"/>
        </w:rPr>
        <w:t xml:space="preserve">” </w:t>
      </w:r>
      <w:r>
        <w:t xml:space="preserve">reviews the extant related literature; Section </w:t>
      </w:r>
      <w:r>
        <w:rPr>
          <w:rFonts w:ascii="Calibri" w:eastAsia="Calibri" w:hAnsi="Calibri" w:cs="Calibri"/>
        </w:rPr>
        <w:t>“</w:t>
      </w:r>
      <w:r>
        <w:t>Methodology and data</w:t>
      </w:r>
      <w:r>
        <w:rPr>
          <w:rFonts w:ascii="Calibri" w:eastAsia="Calibri" w:hAnsi="Calibri" w:cs="Calibri"/>
        </w:rPr>
        <w:t xml:space="preserve">” </w:t>
      </w:r>
      <w:r>
        <w:t xml:space="preserve">describes our employed methods and the dataset; Section </w:t>
      </w:r>
      <w:r>
        <w:rPr>
          <w:rFonts w:ascii="Calibri" w:eastAsia="Calibri" w:hAnsi="Calibri" w:cs="Calibri"/>
        </w:rPr>
        <w:t>“</w:t>
      </w:r>
      <w:r>
        <w:t>Empirical results</w:t>
      </w:r>
      <w:r>
        <w:rPr>
          <w:rFonts w:ascii="Calibri" w:eastAsia="Calibri" w:hAnsi="Calibri" w:cs="Calibri"/>
        </w:rPr>
        <w:t xml:space="preserve">” </w:t>
      </w:r>
      <w:r>
        <w:t xml:space="preserve">discusses the empirical results; Section </w:t>
      </w:r>
      <w:r>
        <w:rPr>
          <w:rFonts w:ascii="Calibri" w:eastAsia="Calibri" w:hAnsi="Calibri" w:cs="Calibri"/>
        </w:rPr>
        <w:t>“</w:t>
      </w:r>
      <w:r>
        <w:t>Conclusion</w:t>
      </w:r>
      <w:r>
        <w:rPr>
          <w:rFonts w:ascii="Calibri" w:eastAsia="Calibri" w:hAnsi="Calibri" w:cs="Calibri"/>
        </w:rPr>
        <w:t xml:space="preserve">” </w:t>
      </w:r>
      <w:r>
        <w:t>concludes.</w:t>
      </w:r>
    </w:p>
    <w:p w14:paraId="54F64032" w14:textId="77777777" w:rsidR="001F2A0B" w:rsidRDefault="00BC538D">
      <w:pPr>
        <w:pStyle w:val="Heading1"/>
        <w:ind w:left="-5" w:right="0"/>
      </w:pPr>
      <w:r>
        <w:t>Literature review</w:t>
      </w:r>
    </w:p>
    <w:p w14:paraId="0609A485" w14:textId="77777777" w:rsidR="001F2A0B" w:rsidRDefault="00BC538D">
      <w:pPr>
        <w:ind w:left="-5" w:right="0"/>
      </w:pPr>
      <w:r>
        <w:t>Our research is closely linked with two strands of literature, that is, the linkage between carbon and (fossil) energy markets, and the informational (in)ef</w:t>
      </w:r>
      <w:r>
        <w:rPr>
          <w:rFonts w:ascii="Calibri" w:eastAsia="Calibri" w:hAnsi="Calibri" w:cs="Calibri"/>
        </w:rPr>
        <w:t>fi</w:t>
      </w:r>
      <w:r>
        <w:t>ciency degree of the two markets. As for the carbon and energy market relationship, Zhang and Wei</w:t>
      </w:r>
      <w:r>
        <w:rPr>
          <w:vertAlign w:val="superscript"/>
        </w:rPr>
        <w:t xml:space="preserve">19 </w:t>
      </w:r>
      <w:r>
        <w:rPr>
          <w:rFonts w:ascii="Calibri" w:eastAsia="Calibri" w:hAnsi="Calibri" w:cs="Calibri"/>
        </w:rPr>
        <w:t>fi</w:t>
      </w:r>
      <w:r>
        <w:t>nd that there exists a time-varying cointegrating relationship between prices of carbon and energy sources. Among others, the crude oil price acts as the most signi</w:t>
      </w:r>
      <w:r>
        <w:rPr>
          <w:rFonts w:ascii="Calibri" w:eastAsia="Calibri" w:hAnsi="Calibri" w:cs="Calibri"/>
        </w:rPr>
        <w:t>fi</w:t>
      </w:r>
      <w:r>
        <w:t xml:space="preserve">cant factor driving the dynamics of carbon prices. </w:t>
      </w:r>
      <w:proofErr w:type="spellStart"/>
      <w:r>
        <w:t>Hammoudeh</w:t>
      </w:r>
      <w:proofErr w:type="spellEnd"/>
      <w:r>
        <w:t xml:space="preserve"> et al.</w:t>
      </w:r>
      <w:r>
        <w:rPr>
          <w:vertAlign w:val="superscript"/>
        </w:rPr>
        <w:t xml:space="preserve">7 </w:t>
      </w:r>
      <w:r>
        <w:t>point out the signi</w:t>
      </w:r>
      <w:r>
        <w:rPr>
          <w:rFonts w:ascii="Calibri" w:eastAsia="Calibri" w:hAnsi="Calibri" w:cs="Calibri"/>
        </w:rPr>
        <w:t>fi</w:t>
      </w:r>
      <w:r>
        <w:t xml:space="preserve">cant impact of fossil energy prices on carbon </w:t>
      </w:r>
      <w:proofErr w:type="gramStart"/>
      <w:r>
        <w:t>prices, and</w:t>
      </w:r>
      <w:proofErr w:type="gramEnd"/>
      <w:r>
        <w:t xml:space="preserve"> </w:t>
      </w:r>
      <w:r>
        <w:rPr>
          <w:rFonts w:ascii="Calibri" w:eastAsia="Calibri" w:hAnsi="Calibri" w:cs="Calibri"/>
        </w:rPr>
        <w:t>fi</w:t>
      </w:r>
      <w:r>
        <w:t xml:space="preserve">nd that the impact is featured by evident asymmetry over different quantiles of the carbon price distribution. </w:t>
      </w:r>
      <w:proofErr w:type="spellStart"/>
      <w:r>
        <w:t>Creti</w:t>
      </w:r>
      <w:proofErr w:type="spellEnd"/>
      <w:r>
        <w:t xml:space="preserve"> et al.</w:t>
      </w:r>
      <w:r>
        <w:rPr>
          <w:vertAlign w:val="superscript"/>
        </w:rPr>
        <w:t xml:space="preserve">20 </w:t>
      </w:r>
      <w:r>
        <w:t xml:space="preserve">study the carbon price determination and </w:t>
      </w:r>
      <w:r>
        <w:rPr>
          <w:rFonts w:ascii="Calibri" w:eastAsia="Calibri" w:hAnsi="Calibri" w:cs="Calibri"/>
        </w:rPr>
        <w:t>fi</w:t>
      </w:r>
      <w:r>
        <w:t>nd the signi</w:t>
      </w:r>
      <w:r>
        <w:rPr>
          <w:rFonts w:ascii="Calibri" w:eastAsia="Calibri" w:hAnsi="Calibri" w:cs="Calibri"/>
        </w:rPr>
        <w:t>fi</w:t>
      </w:r>
      <w:r>
        <w:t>cant impact of crude oil prices in both Phases I and II of the EU ETS, while prices of natural gas and coal also play an important role.</w:t>
      </w:r>
    </w:p>
    <w:p w14:paraId="3AF93A70" w14:textId="77777777" w:rsidR="001F2A0B" w:rsidRDefault="00BC538D">
      <w:pPr>
        <w:ind w:left="-15" w:right="0" w:firstLine="240"/>
      </w:pPr>
      <w:r>
        <w:t>At the same time, it is known that carbon prices can also impact energy prices, suggesting the two markets could be linked in a bi-directional manner.</w:t>
      </w:r>
      <w:r>
        <w:rPr>
          <w:vertAlign w:val="superscript"/>
        </w:rPr>
        <w:t xml:space="preserve">21 </w:t>
      </w:r>
      <w:proofErr w:type="spellStart"/>
      <w:r>
        <w:t>Fezzi</w:t>
      </w:r>
      <w:proofErr w:type="spellEnd"/>
      <w:r>
        <w:t xml:space="preserve"> and Bunn</w:t>
      </w:r>
      <w:r>
        <w:rPr>
          <w:vertAlign w:val="superscript"/>
        </w:rPr>
        <w:t xml:space="preserve">22 </w:t>
      </w:r>
      <w:r>
        <w:rPr>
          <w:rFonts w:ascii="Calibri" w:eastAsia="Calibri" w:hAnsi="Calibri" w:cs="Calibri"/>
        </w:rPr>
        <w:t>fi</w:t>
      </w:r>
      <w:r>
        <w:t>nd that the dynamics of natural gas prices are governed by the level of carbon prices. Kim et al.</w:t>
      </w:r>
      <w:r>
        <w:rPr>
          <w:vertAlign w:val="superscript"/>
        </w:rPr>
        <w:t xml:space="preserve">23 </w:t>
      </w:r>
      <w:r>
        <w:t>hold that carbon costs either in the form of emission permits or tax would be re</w:t>
      </w:r>
      <w:r>
        <w:rPr>
          <w:rFonts w:ascii="Calibri" w:eastAsia="Calibri" w:hAnsi="Calibri" w:cs="Calibri"/>
        </w:rPr>
        <w:t>fl</w:t>
      </w:r>
      <w:r>
        <w:t>ected in a higher electricity price, which then induce the production cost of various electricity-powered industries, eventually leading to a fuel switching from high-carbon coal to low-carbon natural gas.</w:t>
      </w:r>
      <w:r>
        <w:rPr>
          <w:vertAlign w:val="superscript"/>
        </w:rPr>
        <w:t xml:space="preserve">24 </w:t>
      </w:r>
      <w:r>
        <w:t xml:space="preserve">Such a switching will further raise both the demand and price of natural gas. </w:t>
      </w:r>
      <w:proofErr w:type="spellStart"/>
      <w:r>
        <w:t>Marimoutou</w:t>
      </w:r>
      <w:proofErr w:type="spellEnd"/>
      <w:r>
        <w:t xml:space="preserve"> and Soury</w:t>
      </w:r>
      <w:r>
        <w:rPr>
          <w:vertAlign w:val="superscript"/>
        </w:rPr>
        <w:t xml:space="preserve">25 </w:t>
      </w:r>
      <w:r>
        <w:t xml:space="preserve">examine the carbon and energy market dependence between carbon and energy price volatility, and </w:t>
      </w:r>
      <w:r>
        <w:rPr>
          <w:rFonts w:ascii="Calibri" w:eastAsia="Calibri" w:hAnsi="Calibri" w:cs="Calibri"/>
        </w:rPr>
        <w:t>fi</w:t>
      </w:r>
      <w:r>
        <w:t xml:space="preserve">nd that the dependence is </w:t>
      </w:r>
      <w:r>
        <w:rPr>
          <w:rFonts w:ascii="Calibri" w:eastAsia="Calibri" w:hAnsi="Calibri" w:cs="Calibri"/>
        </w:rPr>
        <w:t>fl</w:t>
      </w:r>
      <w:r>
        <w:t xml:space="preserve">uctuating over time, especially during the period of </w:t>
      </w:r>
      <w:r>
        <w:rPr>
          <w:rFonts w:ascii="Calibri" w:eastAsia="Calibri" w:hAnsi="Calibri" w:cs="Calibri"/>
        </w:rPr>
        <w:t>fi</w:t>
      </w:r>
      <w:r>
        <w:t>nancial turmoil. Wang and Guo</w:t>
      </w:r>
      <w:r>
        <w:rPr>
          <w:vertAlign w:val="superscript"/>
        </w:rPr>
        <w:t xml:space="preserve">26 </w:t>
      </w:r>
      <w:r>
        <w:t>identify the dynamic interaction between carbon and energy markets by constructing the spillover index in both perspectives of return and volatility. They provide quantitative evidence to show that the crude oil market contributes to the strongest spillover effect on the carbon market, while markets of both natural gas and coal also play an important role in the information transmission to the carbon market.</w:t>
      </w:r>
    </w:p>
    <w:p w14:paraId="0643B667" w14:textId="77777777" w:rsidR="001F2A0B" w:rsidRDefault="00BC538D">
      <w:pPr>
        <w:ind w:left="-15" w:right="0" w:firstLine="240"/>
      </w:pPr>
      <w:r>
        <w:t>The research on the carbon and energy market ef</w:t>
      </w:r>
      <w:r>
        <w:rPr>
          <w:rFonts w:ascii="Calibri" w:eastAsia="Calibri" w:hAnsi="Calibri" w:cs="Calibri"/>
        </w:rPr>
        <w:t>fi</w:t>
      </w:r>
      <w:r>
        <w:t xml:space="preserve">ciency has raised increasing attention with the ongoing development of carbon trading and rapid </w:t>
      </w:r>
      <w:r>
        <w:rPr>
          <w:rFonts w:ascii="Calibri" w:eastAsia="Calibri" w:hAnsi="Calibri" w:cs="Calibri"/>
        </w:rPr>
        <w:t>fi</w:t>
      </w:r>
      <w:r>
        <w:t>nancialization of these commodity markets worldwide.</w:t>
      </w:r>
      <w:r>
        <w:rPr>
          <w:vertAlign w:val="superscript"/>
        </w:rPr>
        <w:t>8,27</w:t>
      </w:r>
      <w:r>
        <w:rPr>
          <w:rFonts w:ascii="Calibri" w:eastAsia="Calibri" w:hAnsi="Calibri" w:cs="Calibri"/>
          <w:vertAlign w:val="superscript"/>
        </w:rPr>
        <w:t>–</w:t>
      </w:r>
      <w:r>
        <w:rPr>
          <w:vertAlign w:val="superscript"/>
        </w:rPr>
        <w:t xml:space="preserve">29 </w:t>
      </w:r>
      <w:r>
        <w:t xml:space="preserve">Previous studies using early market transaction data </w:t>
      </w:r>
      <w:r>
        <w:rPr>
          <w:rFonts w:ascii="Calibri" w:eastAsia="Calibri" w:hAnsi="Calibri" w:cs="Calibri"/>
        </w:rPr>
        <w:t>fi</w:t>
      </w:r>
      <w:r>
        <w:t>nd that the EU ETS was far from being ef</w:t>
      </w:r>
      <w:r>
        <w:rPr>
          <w:rFonts w:ascii="Calibri" w:eastAsia="Calibri" w:hAnsi="Calibri" w:cs="Calibri"/>
        </w:rPr>
        <w:t>fi</w:t>
      </w:r>
      <w:r>
        <w:t>cient in Phase I.</w:t>
      </w:r>
      <w:r>
        <w:rPr>
          <w:vertAlign w:val="superscript"/>
        </w:rPr>
        <w:t xml:space="preserve">5 </w:t>
      </w:r>
      <w:r>
        <w:t xml:space="preserve">The empirical evidence on characteristics of price dynamics that </w:t>
      </w:r>
      <w:proofErr w:type="spellStart"/>
      <w:r>
        <w:t>favor</w:t>
      </w:r>
      <w:proofErr w:type="spellEnd"/>
      <w:r>
        <w:t xml:space="preserve"> inef</w:t>
      </w:r>
      <w:r>
        <w:rPr>
          <w:rFonts w:ascii="Calibri" w:eastAsia="Calibri" w:hAnsi="Calibri" w:cs="Calibri"/>
        </w:rPr>
        <w:t>fi</w:t>
      </w:r>
      <w:r>
        <w:t>cient carbon market notably includes the jump behavior</w:t>
      </w:r>
      <w:r>
        <w:rPr>
          <w:vertAlign w:val="superscript"/>
        </w:rPr>
        <w:t xml:space="preserve">14 </w:t>
      </w:r>
      <w:r>
        <w:t>and the short-memory.</w:t>
      </w:r>
      <w:r>
        <w:rPr>
          <w:vertAlign w:val="superscript"/>
        </w:rPr>
        <w:t xml:space="preserve">30 </w:t>
      </w:r>
      <w:r>
        <w:t>Daskalakis and Markellos</w:t>
      </w:r>
      <w:r>
        <w:rPr>
          <w:vertAlign w:val="superscript"/>
        </w:rPr>
        <w:t xml:space="preserve">5 </w:t>
      </w:r>
      <w:r>
        <w:t>attribute the inef</w:t>
      </w:r>
      <w:r>
        <w:rPr>
          <w:rFonts w:ascii="Calibri" w:eastAsia="Calibri" w:hAnsi="Calibri" w:cs="Calibri"/>
        </w:rPr>
        <w:t>fi</w:t>
      </w:r>
      <w:r>
        <w:t xml:space="preserve">ciency of the EU ETS during Phase I to the banking limitation of carbon allowances over phases. </w:t>
      </w:r>
      <w:proofErr w:type="spellStart"/>
      <w:r>
        <w:t>Montagnoli</w:t>
      </w:r>
      <w:proofErr w:type="spellEnd"/>
      <w:r>
        <w:t xml:space="preserve"> and De Vries</w:t>
      </w:r>
      <w:r>
        <w:rPr>
          <w:vertAlign w:val="superscript"/>
        </w:rPr>
        <w:t xml:space="preserve">31 </w:t>
      </w:r>
      <w:r>
        <w:t>perform a series of variance ratio tests to conclude the inef</w:t>
      </w:r>
      <w:r>
        <w:rPr>
          <w:rFonts w:ascii="Calibri" w:eastAsia="Calibri" w:hAnsi="Calibri" w:cs="Calibri"/>
        </w:rPr>
        <w:t>fi</w:t>
      </w:r>
      <w:r>
        <w:t xml:space="preserve">ciency in Phase I of the EU ETS, while they also </w:t>
      </w:r>
      <w:r>
        <w:rPr>
          <w:rFonts w:ascii="Calibri" w:eastAsia="Calibri" w:hAnsi="Calibri" w:cs="Calibri"/>
        </w:rPr>
        <w:t>fi</w:t>
      </w:r>
      <w:r>
        <w:t>nd the extent of ef</w:t>
      </w:r>
      <w:r>
        <w:rPr>
          <w:rFonts w:ascii="Calibri" w:eastAsia="Calibri" w:hAnsi="Calibri" w:cs="Calibri"/>
        </w:rPr>
        <w:t>fi</w:t>
      </w:r>
      <w:r>
        <w:t>ciency of EU ETS gradually increases towards an ef</w:t>
      </w:r>
      <w:r>
        <w:rPr>
          <w:rFonts w:ascii="Calibri" w:eastAsia="Calibri" w:hAnsi="Calibri" w:cs="Calibri"/>
        </w:rPr>
        <w:t>fi</w:t>
      </w:r>
      <w:r>
        <w:t xml:space="preserve">cient market in the following phases. This </w:t>
      </w:r>
      <w:r>
        <w:rPr>
          <w:rFonts w:ascii="Calibri" w:eastAsia="Calibri" w:hAnsi="Calibri" w:cs="Calibri"/>
        </w:rPr>
        <w:t>fi</w:t>
      </w:r>
      <w:r>
        <w:t>nding is consistent with existing literature,</w:t>
      </w:r>
      <w:r>
        <w:rPr>
          <w:vertAlign w:val="superscript"/>
        </w:rPr>
        <w:t xml:space="preserve">32 </w:t>
      </w:r>
      <w:proofErr w:type="gramStart"/>
      <w:r>
        <w:t>and also</w:t>
      </w:r>
      <w:proofErr w:type="gramEnd"/>
      <w:r>
        <w:t xml:space="preserve"> con</w:t>
      </w:r>
      <w:r>
        <w:rPr>
          <w:rFonts w:ascii="Calibri" w:eastAsia="Calibri" w:hAnsi="Calibri" w:cs="Calibri"/>
        </w:rPr>
        <w:t>fi</w:t>
      </w:r>
      <w:r>
        <w:t>rms the time-varying property of the ef</w:t>
      </w:r>
      <w:r>
        <w:rPr>
          <w:rFonts w:ascii="Calibri" w:eastAsia="Calibri" w:hAnsi="Calibri" w:cs="Calibri"/>
        </w:rPr>
        <w:t>fi</w:t>
      </w:r>
      <w:r>
        <w:t>ciency degree of the carbon market.</w:t>
      </w:r>
      <w:r>
        <w:rPr>
          <w:vertAlign w:val="superscript"/>
        </w:rPr>
        <w:t>33</w:t>
      </w:r>
    </w:p>
    <w:p w14:paraId="6EB94D7B" w14:textId="77777777" w:rsidR="001F2A0B" w:rsidRDefault="00BC538D">
      <w:pPr>
        <w:spacing w:after="628"/>
        <w:ind w:left="-15" w:right="0" w:firstLine="240"/>
      </w:pPr>
      <w:r>
        <w:t>In terms of energy markets, empirical evidence also supports the time-varying market ef</w:t>
      </w:r>
      <w:r>
        <w:rPr>
          <w:rFonts w:ascii="Calibri" w:eastAsia="Calibri" w:hAnsi="Calibri" w:cs="Calibri"/>
        </w:rPr>
        <w:t>fi</w:t>
      </w:r>
      <w:r>
        <w:t>ciency degree of fossil energy sources (</w:t>
      </w:r>
      <w:proofErr w:type="gramStart"/>
      <w:r>
        <w:t>i.e.</w:t>
      </w:r>
      <w:proofErr w:type="gramEnd"/>
      <w:r>
        <w:t xml:space="preserve"> crude oil, natural gas, and coal) (see e.g. Alvarez-Ramirez et al.</w:t>
      </w:r>
      <w:r>
        <w:rPr>
          <w:vertAlign w:val="superscript"/>
        </w:rPr>
        <w:t>34</w:t>
      </w:r>
      <w:r>
        <w:t xml:space="preserve">, </w:t>
      </w:r>
      <w:proofErr w:type="spellStart"/>
      <w:r>
        <w:t>Kuruppuarachchi</w:t>
      </w:r>
      <w:proofErr w:type="spellEnd"/>
      <w:r>
        <w:t xml:space="preserve"> et al.,</w:t>
      </w:r>
      <w:r>
        <w:rPr>
          <w:vertAlign w:val="superscript"/>
        </w:rPr>
        <w:t xml:space="preserve">35 </w:t>
      </w:r>
      <w:proofErr w:type="spellStart"/>
      <w:r>
        <w:t>Kristoufek</w:t>
      </w:r>
      <w:proofErr w:type="spellEnd"/>
      <w:r>
        <w:t xml:space="preserve"> and Vosvrda</w:t>
      </w:r>
      <w:r>
        <w:rPr>
          <w:vertAlign w:val="superscript"/>
        </w:rPr>
        <w:t>36</w:t>
      </w:r>
      <w:r>
        <w:t xml:space="preserve">). Among others, </w:t>
      </w:r>
      <w:proofErr w:type="spellStart"/>
      <w:r>
        <w:t>Kuruppuarachchi</w:t>
      </w:r>
      <w:proofErr w:type="spellEnd"/>
      <w:r>
        <w:t xml:space="preserve"> et al.</w:t>
      </w:r>
      <w:r>
        <w:rPr>
          <w:vertAlign w:val="superscript"/>
        </w:rPr>
        <w:t xml:space="preserve">35 </w:t>
      </w:r>
      <w:r>
        <w:t>proposes a novel index to gauge the informational ef</w:t>
      </w:r>
      <w:r>
        <w:rPr>
          <w:rFonts w:ascii="Calibri" w:eastAsia="Calibri" w:hAnsi="Calibri" w:cs="Calibri"/>
        </w:rPr>
        <w:t>fi</w:t>
      </w:r>
      <w:r>
        <w:t xml:space="preserve">ciency in energy futures markets of crude </w:t>
      </w:r>
      <w:r>
        <w:lastRenderedPageBreak/>
        <w:t xml:space="preserve">oil, natural gas, heating oil, and gas oil, and </w:t>
      </w:r>
      <w:r>
        <w:rPr>
          <w:rFonts w:ascii="Calibri" w:eastAsia="Calibri" w:hAnsi="Calibri" w:cs="Calibri"/>
        </w:rPr>
        <w:t>fi</w:t>
      </w:r>
      <w:r>
        <w:t>nd dynamic degrees of the market ef</w:t>
      </w:r>
      <w:r>
        <w:rPr>
          <w:rFonts w:ascii="Calibri" w:eastAsia="Calibri" w:hAnsi="Calibri" w:cs="Calibri"/>
        </w:rPr>
        <w:t>fi</w:t>
      </w:r>
      <w:r>
        <w:t xml:space="preserve">ciency across terms and energy types. They </w:t>
      </w:r>
      <w:r>
        <w:rPr>
          <w:rFonts w:ascii="Calibri" w:eastAsia="Calibri" w:hAnsi="Calibri" w:cs="Calibri"/>
        </w:rPr>
        <w:t>fi</w:t>
      </w:r>
      <w:r>
        <w:t>nd that the gas oil futures market is ranked as the most ef</w:t>
      </w:r>
      <w:r>
        <w:rPr>
          <w:rFonts w:ascii="Calibri" w:eastAsia="Calibri" w:hAnsi="Calibri" w:cs="Calibri"/>
        </w:rPr>
        <w:t>fi</w:t>
      </w:r>
      <w:r>
        <w:t>cient and the natural gas futures market has the lowest ef</w:t>
      </w:r>
      <w:r>
        <w:rPr>
          <w:rFonts w:ascii="Calibri" w:eastAsia="Calibri" w:hAnsi="Calibri" w:cs="Calibri"/>
        </w:rPr>
        <w:t>fi</w:t>
      </w:r>
      <w:r>
        <w:t>ciency, while the ef</w:t>
      </w:r>
      <w:r>
        <w:rPr>
          <w:rFonts w:ascii="Calibri" w:eastAsia="Calibri" w:hAnsi="Calibri" w:cs="Calibri"/>
        </w:rPr>
        <w:t>fi</w:t>
      </w:r>
      <w:r>
        <w:t xml:space="preserve">ciency degree across markets is shown to be interacted. </w:t>
      </w:r>
      <w:proofErr w:type="spellStart"/>
      <w:r>
        <w:t>Kristoufek</w:t>
      </w:r>
      <w:proofErr w:type="spellEnd"/>
      <w:r>
        <w:t xml:space="preserve"> and Vosvrda</w:t>
      </w:r>
      <w:r>
        <w:rPr>
          <w:vertAlign w:val="superscript"/>
        </w:rPr>
        <w:t xml:space="preserve">36 </w:t>
      </w:r>
      <w:r>
        <w:rPr>
          <w:rFonts w:ascii="Calibri" w:eastAsia="Calibri" w:hAnsi="Calibri" w:cs="Calibri"/>
        </w:rPr>
        <w:t>fi</w:t>
      </w:r>
      <w:r>
        <w:t>nd that markets of energy commodities possess higher ef</w:t>
      </w:r>
      <w:r>
        <w:rPr>
          <w:rFonts w:ascii="Calibri" w:eastAsia="Calibri" w:hAnsi="Calibri" w:cs="Calibri"/>
        </w:rPr>
        <w:t>fi</w:t>
      </w:r>
      <w:r>
        <w:t>ciency degrees compared to that of agricultural commodities. Focusing on the crude oil market, Alvarez-Ramirez et al.</w:t>
      </w:r>
      <w:r>
        <w:rPr>
          <w:vertAlign w:val="superscript"/>
        </w:rPr>
        <w:t xml:space="preserve">34 </w:t>
      </w:r>
      <w:r>
        <w:t>provide mix empirical results on whether the market is ef</w:t>
      </w:r>
      <w:r>
        <w:rPr>
          <w:rFonts w:ascii="Calibri" w:eastAsia="Calibri" w:hAnsi="Calibri" w:cs="Calibri"/>
        </w:rPr>
        <w:t>fi</w:t>
      </w:r>
      <w:r>
        <w:t>cient, indicating that conclusions of the oil market ef</w:t>
      </w:r>
      <w:r>
        <w:rPr>
          <w:rFonts w:ascii="Calibri" w:eastAsia="Calibri" w:hAnsi="Calibri" w:cs="Calibri"/>
        </w:rPr>
        <w:t>fi</w:t>
      </w:r>
      <w:r>
        <w:t>ciency degree are still not de</w:t>
      </w:r>
      <w:r>
        <w:rPr>
          <w:rFonts w:ascii="Calibri" w:eastAsia="Calibri" w:hAnsi="Calibri" w:cs="Calibri"/>
        </w:rPr>
        <w:t>fi</w:t>
      </w:r>
      <w:r>
        <w:t xml:space="preserve">nite. By reviewing the extant related literature, </w:t>
      </w:r>
      <w:proofErr w:type="gramStart"/>
      <w:r>
        <w:t>it is clear that while</w:t>
      </w:r>
      <w:proofErr w:type="gramEnd"/>
      <w:r>
        <w:t xml:space="preserve"> studying the interaction of the informational (in) ef</w:t>
      </w:r>
      <w:r>
        <w:rPr>
          <w:rFonts w:ascii="Calibri" w:eastAsia="Calibri" w:hAnsi="Calibri" w:cs="Calibri"/>
        </w:rPr>
        <w:t>fi</w:t>
      </w:r>
      <w:r>
        <w:t>ciency degree can better identify the cross-market linkage than the inferences drawn by simply relying on the price information, existing research in this regard is still scant, especially with regard to the markets of energy and carbon. In addition, the potentially asymmetric market interaction still entails an in-depth investigation through a quantile-based framework.</w:t>
      </w:r>
    </w:p>
    <w:p w14:paraId="55DE4D23" w14:textId="77777777" w:rsidR="001F2A0B" w:rsidRDefault="00BC538D">
      <w:pPr>
        <w:spacing w:after="128" w:line="265" w:lineRule="auto"/>
        <w:ind w:left="-5" w:right="0"/>
        <w:jc w:val="left"/>
      </w:pPr>
      <w:r>
        <w:rPr>
          <w:rFonts w:ascii="Calibri" w:eastAsia="Calibri" w:hAnsi="Calibri" w:cs="Calibri"/>
          <w:sz w:val="24"/>
        </w:rPr>
        <w:t>Methodology and data</w:t>
      </w:r>
    </w:p>
    <w:p w14:paraId="4C420F75" w14:textId="77777777" w:rsidR="001F2A0B" w:rsidRDefault="00BC538D">
      <w:pPr>
        <w:pStyle w:val="Heading1"/>
        <w:spacing w:after="27" w:line="259" w:lineRule="auto"/>
        <w:ind w:left="-5" w:right="0"/>
      </w:pPr>
      <w:r>
        <w:t>Methodology</w:t>
      </w:r>
    </w:p>
    <w:p w14:paraId="1D57C9E2" w14:textId="77777777" w:rsidR="001F2A0B" w:rsidRDefault="00BC538D">
      <w:pPr>
        <w:spacing w:after="164"/>
        <w:ind w:left="-5" w:right="0"/>
      </w:pPr>
      <w:r>
        <w:rPr>
          <w:rFonts w:ascii="Calibri" w:eastAsia="Calibri" w:hAnsi="Calibri" w:cs="Calibri"/>
        </w:rPr>
        <w:t xml:space="preserve">The market (in)efficiency degree. </w:t>
      </w:r>
      <w:r>
        <w:t>As previously discussed, the degree of the market (in)ef</w:t>
      </w:r>
      <w:r>
        <w:rPr>
          <w:rFonts w:ascii="Calibri" w:eastAsia="Calibri" w:hAnsi="Calibri" w:cs="Calibri"/>
        </w:rPr>
        <w:t>fi</w:t>
      </w:r>
      <w:r>
        <w:t>ciency is measured by gauging the closeness of the actual market condition to the theoretical ef</w:t>
      </w:r>
      <w:r>
        <w:rPr>
          <w:rFonts w:ascii="Calibri" w:eastAsia="Calibri" w:hAnsi="Calibri" w:cs="Calibri"/>
        </w:rPr>
        <w:t>fi</w:t>
      </w:r>
      <w:r>
        <w:t>cient market status. And the theoretical ef</w:t>
      </w:r>
      <w:r>
        <w:rPr>
          <w:rFonts w:ascii="Calibri" w:eastAsia="Calibri" w:hAnsi="Calibri" w:cs="Calibri"/>
        </w:rPr>
        <w:t>fi</w:t>
      </w:r>
      <w:r>
        <w:t xml:space="preserve">cient market status can be achieved when the market price series follows a random walk shown as an </w:t>
      </w:r>
      <w:proofErr w:type="gramStart"/>
      <w:r>
        <w:t>I(</w:t>
      </w:r>
      <w:proofErr w:type="gramEnd"/>
      <w:r>
        <w:t>1) process. In other words, what we are measuring is the difference between the performance of the actual and the theoretical ef</w:t>
      </w:r>
      <w:r>
        <w:rPr>
          <w:rFonts w:ascii="Calibri" w:eastAsia="Calibri" w:hAnsi="Calibri" w:cs="Calibri"/>
        </w:rPr>
        <w:t>fi</w:t>
      </w:r>
      <w:r>
        <w:t>cient market price series. To ensure an accurate and simple calculation, we follow Duan et al.</w:t>
      </w:r>
      <w:r>
        <w:rPr>
          <w:vertAlign w:val="superscript"/>
        </w:rPr>
        <w:t xml:space="preserve">37 </w:t>
      </w:r>
      <w:r>
        <w:t>by relaxing the conventional assumption of integer integration order (d) to fully capture the potential existence of fractional d value of the price series. This approach enables longer-term market price information to be captured, reducing information interference and facilitating comparisons between individual markets.</w:t>
      </w:r>
      <w:r>
        <w:rPr>
          <w:vertAlign w:val="superscript"/>
        </w:rPr>
        <w:t xml:space="preserve">6 </w:t>
      </w:r>
      <w:r>
        <w:t>Through this, a comprehensive measurement of d values is provided, and the market inef</w:t>
      </w:r>
      <w:r>
        <w:rPr>
          <w:rFonts w:ascii="Calibri" w:eastAsia="Calibri" w:hAnsi="Calibri" w:cs="Calibri"/>
        </w:rPr>
        <w:t>fi</w:t>
      </w:r>
      <w:r>
        <w:t>ciency degree (D) can be then computed by taking the absolute difference between d of the price series and 1 (representing the standard value of the theoretical ef</w:t>
      </w:r>
      <w:r>
        <w:rPr>
          <w:rFonts w:ascii="Calibri" w:eastAsia="Calibri" w:hAnsi="Calibri" w:cs="Calibri"/>
        </w:rPr>
        <w:t>fi</w:t>
      </w:r>
      <w:r>
        <w:t>cient market).</w:t>
      </w:r>
    </w:p>
    <w:p w14:paraId="4BE8966D" w14:textId="77777777" w:rsidR="001F2A0B" w:rsidRDefault="00BC538D">
      <w:pPr>
        <w:tabs>
          <w:tab w:val="center" w:pos="3912"/>
          <w:tab w:val="right" w:pos="7825"/>
        </w:tabs>
        <w:spacing w:after="458" w:line="265" w:lineRule="auto"/>
        <w:ind w:left="0" w:right="-14" w:firstLine="0"/>
        <w:jc w:val="left"/>
      </w:pPr>
      <w:r>
        <w:rPr>
          <w:rFonts w:ascii="Calibri" w:eastAsia="Calibri" w:hAnsi="Calibri" w:cs="Calibri"/>
          <w:sz w:val="22"/>
        </w:rPr>
        <w:tab/>
      </w:r>
      <w:r>
        <w:t>D</w:t>
      </w:r>
      <w:r>
        <w:rPr>
          <w:vertAlign w:val="subscript"/>
        </w:rPr>
        <w:t xml:space="preserve">t </w:t>
      </w:r>
      <w:r>
        <w:rPr>
          <w:rFonts w:ascii="Calibri" w:eastAsia="Calibri" w:hAnsi="Calibri" w:cs="Calibri"/>
        </w:rPr>
        <w:t>= |</w:t>
      </w:r>
      <w:r>
        <w:t xml:space="preserve">1 </w:t>
      </w:r>
      <w:r>
        <w:rPr>
          <w:rFonts w:ascii="Calibri" w:eastAsia="Calibri" w:hAnsi="Calibri" w:cs="Calibri"/>
        </w:rPr>
        <w:t xml:space="preserve">− </w:t>
      </w:r>
      <w:r>
        <w:t>d</w:t>
      </w:r>
      <w:r>
        <w:rPr>
          <w:vertAlign w:val="subscript"/>
        </w:rPr>
        <w:t>t</w:t>
      </w:r>
      <w:r>
        <w:rPr>
          <w:rFonts w:ascii="Calibri" w:eastAsia="Calibri" w:hAnsi="Calibri" w:cs="Calibri"/>
        </w:rPr>
        <w:t>|</w:t>
      </w:r>
      <w:r>
        <w:rPr>
          <w:rFonts w:ascii="Calibri" w:eastAsia="Calibri" w:hAnsi="Calibri" w:cs="Calibri"/>
        </w:rPr>
        <w:tab/>
      </w:r>
      <w:r>
        <w:t>(1)</w:t>
      </w:r>
    </w:p>
    <w:p w14:paraId="34DFBDB2" w14:textId="77777777" w:rsidR="001F2A0B" w:rsidRDefault="00BC538D">
      <w:pPr>
        <w:ind w:left="-15" w:right="0" w:firstLine="240"/>
      </w:pPr>
      <w:r>
        <w:t>To explain the term of the market ef</w:t>
      </w:r>
      <w:r>
        <w:rPr>
          <w:rFonts w:ascii="Calibri" w:eastAsia="Calibri" w:hAnsi="Calibri" w:cs="Calibri"/>
        </w:rPr>
        <w:t>fi</w:t>
      </w:r>
      <w:r>
        <w:t>ciency degree, the larger the distance between the actual market condition and the ef</w:t>
      </w:r>
      <w:r>
        <w:rPr>
          <w:rFonts w:ascii="Calibri" w:eastAsia="Calibri" w:hAnsi="Calibri" w:cs="Calibri"/>
        </w:rPr>
        <w:t>fi</w:t>
      </w:r>
      <w:r>
        <w:t>cient status, the more inef</w:t>
      </w:r>
      <w:r>
        <w:rPr>
          <w:rFonts w:ascii="Calibri" w:eastAsia="Calibri" w:hAnsi="Calibri" w:cs="Calibri"/>
        </w:rPr>
        <w:t>fi</w:t>
      </w:r>
      <w:r>
        <w:t>cient the market, and the greater the market inef</w:t>
      </w:r>
      <w:r>
        <w:rPr>
          <w:rFonts w:ascii="Calibri" w:eastAsia="Calibri" w:hAnsi="Calibri" w:cs="Calibri"/>
        </w:rPr>
        <w:t>fi</w:t>
      </w:r>
      <w:r>
        <w:t>ciency degree (D) will be. Following Duan et al.,</w:t>
      </w:r>
      <w:r>
        <w:rPr>
          <w:vertAlign w:val="superscript"/>
        </w:rPr>
        <w:t xml:space="preserve">6 </w:t>
      </w:r>
      <w:r>
        <w:t>each of the rolling-window sizes is set as a whole year.</w:t>
      </w:r>
    </w:p>
    <w:p w14:paraId="067D374D" w14:textId="77777777" w:rsidR="001F2A0B" w:rsidRDefault="00BC538D">
      <w:pPr>
        <w:spacing w:after="333"/>
        <w:ind w:left="-15" w:right="0" w:firstLine="240"/>
      </w:pPr>
      <w:r>
        <w:t>Regarding the calculation of (fractional) integration order (d), we follow the extant literature by estimating d through the Feasible Exact Local Whittle (FELW) estimator developed by Shimotsu.</w:t>
      </w:r>
      <w:r>
        <w:rPr>
          <w:vertAlign w:val="superscript"/>
        </w:rPr>
        <w:t xml:space="preserve">17 </w:t>
      </w:r>
      <w:r>
        <w:t>Speci</w:t>
      </w:r>
      <w:r>
        <w:rPr>
          <w:rFonts w:ascii="Calibri" w:eastAsia="Calibri" w:hAnsi="Calibri" w:cs="Calibri"/>
        </w:rPr>
        <w:t>fi</w:t>
      </w:r>
      <w:r>
        <w:t xml:space="preserve">cally, the FELW estimator is built based on the ELW estimator developed by </w:t>
      </w:r>
      <w:proofErr w:type="spellStart"/>
      <w:r>
        <w:t>Shimotsu</w:t>
      </w:r>
      <w:proofErr w:type="spellEnd"/>
      <w:r>
        <w:t xml:space="preserve"> et al.,</w:t>
      </w:r>
      <w:r>
        <w:rPr>
          <w:vertAlign w:val="superscript"/>
        </w:rPr>
        <w:t xml:space="preserve">38 </w:t>
      </w:r>
      <w:r>
        <w:t>through which the d value of the target price series (</w:t>
      </w:r>
      <w:proofErr w:type="spellStart"/>
      <w:r>
        <w:t>Y</w:t>
      </w:r>
      <w:r>
        <w:rPr>
          <w:vertAlign w:val="subscript"/>
        </w:rPr>
        <w:t>t</w:t>
      </w:r>
      <w:proofErr w:type="spellEnd"/>
      <w:r>
        <w:t>) is estimated by minimizing the following objective function.</w:t>
      </w:r>
    </w:p>
    <w:p w14:paraId="0CBF2C17" w14:textId="77777777" w:rsidR="001F2A0B" w:rsidRDefault="00BC538D">
      <w:pPr>
        <w:tabs>
          <w:tab w:val="center" w:pos="4003"/>
          <w:tab w:val="center" w:pos="4344"/>
          <w:tab w:val="center" w:pos="4823"/>
          <w:tab w:val="center" w:pos="5594"/>
        </w:tabs>
        <w:spacing w:after="49"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E5C5B84" wp14:editId="782FB24A">
                <wp:simplePos x="0" y="0"/>
                <wp:positionH relativeFrom="column">
                  <wp:posOffset>1837467</wp:posOffset>
                </wp:positionH>
                <wp:positionV relativeFrom="paragraph">
                  <wp:posOffset>55795</wp:posOffset>
                </wp:positionV>
                <wp:extent cx="91440" cy="5041"/>
                <wp:effectExtent l="0" t="0" r="0" b="0"/>
                <wp:wrapSquare wrapText="bothSides"/>
                <wp:docPr id="25313" name="Group 25313"/>
                <wp:cNvGraphicFramePr/>
                <a:graphic xmlns:a="http://schemas.openxmlformats.org/drawingml/2006/main">
                  <a:graphicData uri="http://schemas.microsoft.com/office/word/2010/wordprocessingGroup">
                    <wpg:wgp>
                      <wpg:cNvGrpSpPr/>
                      <wpg:grpSpPr>
                        <a:xfrm>
                          <a:off x="0" y="0"/>
                          <a:ext cx="91440" cy="5041"/>
                          <a:chOff x="0" y="0"/>
                          <a:chExt cx="91440" cy="5041"/>
                        </a:xfrm>
                      </wpg:grpSpPr>
                      <wps:wsp>
                        <wps:cNvPr id="32256" name="Shape 32256"/>
                        <wps:cNvSpPr/>
                        <wps:spPr>
                          <a:xfrm>
                            <a:off x="0" y="0"/>
                            <a:ext cx="91440" cy="9144"/>
                          </a:xfrm>
                          <a:custGeom>
                            <a:avLst/>
                            <a:gdLst/>
                            <a:ahLst/>
                            <a:cxnLst/>
                            <a:rect l="0" t="0" r="0" b="0"/>
                            <a:pathLst>
                              <a:path w="91440" h="9144">
                                <a:moveTo>
                                  <a:pt x="0" y="0"/>
                                </a:moveTo>
                                <a:lnTo>
                                  <a:pt x="91440" y="0"/>
                                </a:lnTo>
                                <a:lnTo>
                                  <a:pt x="91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313" style="width:7.2pt;height:0.396912pt;position:absolute;mso-position-horizontal-relative:text;mso-position-horizontal:absolute;margin-left:144.682pt;mso-position-vertical-relative:text;margin-top:4.39331pt;" coordsize="914,50">
                <v:shape id="Shape 32257" style="position:absolute;width:914;height:91;left:0;top:0;" coordsize="91440,9144" path="m0,0l91440,0l91440,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rPr>
          <w:rFonts w:ascii="Calibri" w:eastAsia="Calibri" w:hAnsi="Calibri" w:cs="Calibri"/>
        </w:rPr>
        <w:t>λ</w:t>
      </w:r>
      <w:r>
        <w:rPr>
          <w:rFonts w:ascii="Calibri" w:eastAsia="Calibri" w:hAnsi="Calibri" w:cs="Calibri"/>
        </w:rPr>
        <w:tab/>
      </w:r>
      <w:r>
        <w:t>)</w:t>
      </w:r>
      <w:r>
        <w:tab/>
        <w:t>1</w:t>
      </w:r>
      <w:r>
        <w:rPr>
          <w:rFonts w:ascii="Calibri" w:eastAsia="Calibri" w:hAnsi="Calibri" w:cs="Calibri"/>
        </w:rPr>
        <w:t>/</w:t>
      </w:r>
      <w:r>
        <w:t>GI</w:t>
      </w:r>
      <w:r>
        <w:tab/>
        <w:t>(</w:t>
      </w:r>
    </w:p>
    <w:p w14:paraId="1D0B1ACA" w14:textId="77777777" w:rsidR="001F2A0B" w:rsidRDefault="00BC538D">
      <w:pPr>
        <w:tabs>
          <w:tab w:val="center" w:pos="3232"/>
          <w:tab w:val="center" w:pos="5481"/>
          <w:tab w:val="right" w:pos="7825"/>
        </w:tabs>
        <w:spacing w:after="720" w:line="265" w:lineRule="auto"/>
        <w:ind w:left="0" w:right="-14" w:firstLine="0"/>
        <w:jc w:val="left"/>
      </w:pPr>
      <w:r>
        <w:rPr>
          <w:rFonts w:ascii="Calibri" w:eastAsia="Calibri" w:hAnsi="Calibri" w:cs="Calibri"/>
          <w:sz w:val="22"/>
        </w:rPr>
        <w:lastRenderedPageBreak/>
        <w:tab/>
      </w:r>
      <w:proofErr w:type="spellStart"/>
      <w:proofErr w:type="gramStart"/>
      <w:r>
        <w:t>Q</w:t>
      </w:r>
      <w:r>
        <w:rPr>
          <w:vertAlign w:val="subscript"/>
        </w:rPr>
        <w:t>m</w:t>
      </w:r>
      <w:proofErr w:type="spellEnd"/>
      <w:r>
        <w:t>(</w:t>
      </w:r>
      <w:proofErr w:type="gramEnd"/>
      <w:r>
        <w:t>G</w:t>
      </w:r>
      <w:r>
        <w:rPr>
          <w:rFonts w:ascii="Calibri" w:eastAsia="Calibri" w:hAnsi="Calibri" w:cs="Calibri"/>
        </w:rPr>
        <w:t xml:space="preserve">, </w:t>
      </w:r>
      <w:r>
        <w:t xml:space="preserve">d) </w:t>
      </w:r>
      <w:r>
        <w:rPr>
          <w:rFonts w:ascii="Calibri" w:eastAsia="Calibri" w:hAnsi="Calibri" w:cs="Calibri"/>
        </w:rPr>
        <w:t xml:space="preserve">= </w:t>
      </w:r>
      <w:r>
        <w:t xml:space="preserve">m1 </w:t>
      </w:r>
      <w:r>
        <w:rPr>
          <w:sz w:val="14"/>
        </w:rPr>
        <w:t>i</w:t>
      </w:r>
      <w:r>
        <w:rPr>
          <w:rFonts w:ascii="Calibri" w:eastAsia="Calibri" w:hAnsi="Calibri" w:cs="Calibri"/>
          <w:sz w:val="14"/>
        </w:rPr>
        <w:t>=</w:t>
      </w:r>
      <w:r>
        <w:rPr>
          <w:sz w:val="14"/>
        </w:rPr>
        <w:t xml:space="preserve">m1 </w:t>
      </w:r>
      <w:r>
        <w:t xml:space="preserve">log(G </w:t>
      </w:r>
      <w:r>
        <w:rPr>
          <w:vertAlign w:val="subscript"/>
        </w:rPr>
        <w:t>j</w:t>
      </w:r>
      <w:r>
        <w:rPr>
          <w:rFonts w:ascii="Calibri" w:eastAsia="Calibri" w:hAnsi="Calibri" w:cs="Calibri"/>
          <w:vertAlign w:val="superscript"/>
        </w:rPr>
        <w:t>−</w:t>
      </w:r>
      <w:r>
        <w:rPr>
          <w:sz w:val="14"/>
        </w:rPr>
        <w:t xml:space="preserve">2d </w:t>
      </w:r>
      <w:r>
        <w:rPr>
          <w:rFonts w:ascii="Calibri" w:eastAsia="Calibri" w:hAnsi="Calibri" w:cs="Calibri"/>
        </w:rPr>
        <w:t>+</w:t>
      </w:r>
      <w:r>
        <w:rPr>
          <w:rFonts w:ascii="Calibri" w:eastAsia="Calibri" w:hAnsi="Calibri" w:cs="Calibri"/>
        </w:rPr>
        <w:tab/>
      </w:r>
      <w:r>
        <w:rPr>
          <w:sz w:val="14"/>
        </w:rPr>
        <w:t>(1</w:t>
      </w:r>
      <w:r>
        <w:rPr>
          <w:rFonts w:ascii="Calibri" w:eastAsia="Calibri" w:hAnsi="Calibri" w:cs="Calibri"/>
          <w:sz w:val="14"/>
        </w:rPr>
        <w:t>−</w:t>
      </w:r>
      <w:r>
        <w:rPr>
          <w:sz w:val="14"/>
        </w:rPr>
        <w:t>L)</w:t>
      </w:r>
      <w:proofErr w:type="spellStart"/>
      <w:r>
        <w:rPr>
          <w:sz w:val="10"/>
        </w:rPr>
        <w:t>d</w:t>
      </w:r>
      <w:r>
        <w:rPr>
          <w:sz w:val="14"/>
        </w:rPr>
        <w:t>Y</w:t>
      </w:r>
      <w:r>
        <w:rPr>
          <w:sz w:val="10"/>
        </w:rPr>
        <w:t>t</w:t>
      </w:r>
      <w:proofErr w:type="spellEnd"/>
      <w:r>
        <w:rPr>
          <w:sz w:val="10"/>
        </w:rPr>
        <w:t xml:space="preserve"> </w:t>
      </w:r>
      <w:proofErr w:type="spellStart"/>
      <w:r>
        <w:rPr>
          <w:rFonts w:ascii="Calibri" w:eastAsia="Calibri" w:hAnsi="Calibri" w:cs="Calibri"/>
        </w:rPr>
        <w:t>λ</w:t>
      </w:r>
      <w:r>
        <w:rPr>
          <w:sz w:val="14"/>
        </w:rPr>
        <w:t>j</w:t>
      </w:r>
      <w:proofErr w:type="spellEnd"/>
      <w:r>
        <w:t>)</w:t>
      </w:r>
      <w:r>
        <w:rPr>
          <w:rFonts w:ascii="Calibri" w:eastAsia="Calibri" w:hAnsi="Calibri" w:cs="Calibri"/>
        </w:rPr>
        <w:tab/>
      </w:r>
      <w:r>
        <w:t>(2)</w:t>
      </w:r>
    </w:p>
    <w:p w14:paraId="4E0F8635" w14:textId="77777777" w:rsidR="001F2A0B" w:rsidRDefault="00BC538D">
      <w:pPr>
        <w:spacing w:after="295"/>
        <w:ind w:left="-5" w:right="0"/>
      </w:pPr>
      <w:r>
        <w:t xml:space="preserve">Concentrating </w:t>
      </w:r>
      <w:proofErr w:type="spellStart"/>
      <w:proofErr w:type="gramStart"/>
      <w:r>
        <w:t>Q</w:t>
      </w:r>
      <w:r>
        <w:rPr>
          <w:vertAlign w:val="subscript"/>
        </w:rPr>
        <w:t>m</w:t>
      </w:r>
      <w:proofErr w:type="spellEnd"/>
      <w:r>
        <w:t>(</w:t>
      </w:r>
      <w:proofErr w:type="gramEnd"/>
      <w:r>
        <w:t>G</w:t>
      </w:r>
      <w:r>
        <w:rPr>
          <w:rFonts w:ascii="Calibri" w:eastAsia="Calibri" w:hAnsi="Calibri" w:cs="Calibri"/>
        </w:rPr>
        <w:t xml:space="preserve">, </w:t>
      </w:r>
      <w:r>
        <w:t>d) with regard to G, the ELW estimator is exhibited as</w:t>
      </w:r>
    </w:p>
    <w:p w14:paraId="449C7C64" w14:textId="77777777" w:rsidR="001F2A0B" w:rsidRDefault="00BC538D">
      <w:pPr>
        <w:tabs>
          <w:tab w:val="center" w:pos="3912"/>
          <w:tab w:val="right" w:pos="7825"/>
        </w:tabs>
        <w:spacing w:after="271" w:line="265" w:lineRule="auto"/>
        <w:ind w:left="0" w:right="-14" w:firstLine="0"/>
        <w:jc w:val="left"/>
      </w:pPr>
      <w:r>
        <w:rPr>
          <w:rFonts w:ascii="Calibri" w:eastAsia="Calibri" w:hAnsi="Calibri" w:cs="Calibri"/>
          <w:sz w:val="22"/>
        </w:rPr>
        <w:tab/>
      </w:r>
      <w:r>
        <w:t>d</w:t>
      </w:r>
      <w:r>
        <w:rPr>
          <w:rFonts w:ascii="Calibri" w:eastAsia="Calibri" w:hAnsi="Calibri" w:cs="Calibri"/>
        </w:rPr>
        <w:t xml:space="preserve">ˆ </w:t>
      </w:r>
      <w:r>
        <w:rPr>
          <w:noProof/>
        </w:rPr>
        <w:drawing>
          <wp:inline distT="0" distB="0" distL="0" distR="0" wp14:anchorId="58D7AAD5" wp14:editId="64C18139">
            <wp:extent cx="518160" cy="213360"/>
            <wp:effectExtent l="0" t="0" r="0" b="0"/>
            <wp:docPr id="31613" name="Picture 31613"/>
            <wp:cNvGraphicFramePr/>
            <a:graphic xmlns:a="http://schemas.openxmlformats.org/drawingml/2006/main">
              <a:graphicData uri="http://schemas.openxmlformats.org/drawingml/2006/picture">
                <pic:pic xmlns:pic="http://schemas.openxmlformats.org/drawingml/2006/picture">
                  <pic:nvPicPr>
                    <pic:cNvPr id="31613" name="Picture 31613"/>
                    <pic:cNvPicPr/>
                  </pic:nvPicPr>
                  <pic:blipFill>
                    <a:blip r:embed="rId7"/>
                    <a:stretch>
                      <a:fillRect/>
                    </a:stretch>
                  </pic:blipFill>
                  <pic:spPr>
                    <a:xfrm>
                      <a:off x="0" y="0"/>
                      <a:ext cx="518160" cy="213360"/>
                    </a:xfrm>
                    <a:prstGeom prst="rect">
                      <a:avLst/>
                    </a:prstGeom>
                  </pic:spPr>
                </pic:pic>
              </a:graphicData>
            </a:graphic>
          </wp:inline>
        </w:drawing>
      </w:r>
      <w:r>
        <w:t>R(d)</w:t>
      </w:r>
      <w:r>
        <w:tab/>
        <w:t>(3)</w:t>
      </w:r>
    </w:p>
    <w:p w14:paraId="425CD9B3" w14:textId="77777777" w:rsidR="001F2A0B" w:rsidRDefault="00BC538D">
      <w:pPr>
        <w:spacing w:after="248"/>
        <w:ind w:left="-5" w:right="0"/>
      </w:pPr>
      <w:r>
        <w:t xml:space="preserve">where m is the truncation parameter of function (2), </w:t>
      </w:r>
      <w:r>
        <w:rPr>
          <w:rFonts w:ascii="Calibri" w:eastAsia="Calibri" w:hAnsi="Calibri" w:cs="Calibri"/>
        </w:rPr>
        <w:t>Δ</w:t>
      </w:r>
      <w:r>
        <w:rPr>
          <w:vertAlign w:val="subscript"/>
        </w:rPr>
        <w:t xml:space="preserve">1 </w:t>
      </w:r>
      <w:r>
        <w:t xml:space="preserve">and </w:t>
      </w:r>
      <w:r>
        <w:rPr>
          <w:rFonts w:ascii="Calibri" w:eastAsia="Calibri" w:hAnsi="Calibri" w:cs="Calibri"/>
        </w:rPr>
        <w:t>Δ</w:t>
      </w:r>
      <w:r>
        <w:rPr>
          <w:vertAlign w:val="subscript"/>
        </w:rPr>
        <w:t>2</w:t>
      </w:r>
      <w:r>
        <w:t xml:space="preserve">, respectively, denote lower and upper bounds of admissible values of d subject to </w:t>
      </w:r>
      <w:r>
        <w:rPr>
          <w:rFonts w:ascii="Calibri" w:eastAsia="Calibri" w:hAnsi="Calibri" w:cs="Calibri"/>
        </w:rPr>
        <w:t>−∞ &lt; Δ</w:t>
      </w:r>
      <w:r>
        <w:rPr>
          <w:vertAlign w:val="subscript"/>
        </w:rPr>
        <w:t xml:space="preserve">1 </w:t>
      </w:r>
      <w:r>
        <w:rPr>
          <w:rFonts w:ascii="Calibri" w:eastAsia="Calibri" w:hAnsi="Calibri" w:cs="Calibri"/>
        </w:rPr>
        <w:t>&lt; Δ</w:t>
      </w:r>
      <w:r>
        <w:rPr>
          <w:vertAlign w:val="subscript"/>
        </w:rPr>
        <w:t xml:space="preserve">2 </w:t>
      </w:r>
      <w:r>
        <w:rPr>
          <w:rFonts w:ascii="Calibri" w:eastAsia="Calibri" w:hAnsi="Calibri" w:cs="Calibri"/>
        </w:rPr>
        <w:t>&lt; +∞</w:t>
      </w:r>
      <w:r>
        <w:t>, and</w:t>
      </w:r>
    </w:p>
    <w:p w14:paraId="7F188BE7" w14:textId="77777777" w:rsidR="001F2A0B" w:rsidRDefault="00BC538D">
      <w:pPr>
        <w:spacing w:after="0" w:line="259" w:lineRule="auto"/>
        <w:ind w:left="1129" w:right="0"/>
        <w:jc w:val="center"/>
      </w:pPr>
      <w:r>
        <w:t xml:space="preserve">1 </w:t>
      </w:r>
      <w:r>
        <w:rPr>
          <w:sz w:val="14"/>
        </w:rPr>
        <w:t>m</w:t>
      </w:r>
    </w:p>
    <w:p w14:paraId="6BBC21FD" w14:textId="77777777" w:rsidR="001F2A0B" w:rsidRDefault="00BC538D">
      <w:pPr>
        <w:tabs>
          <w:tab w:val="center" w:pos="3798"/>
          <w:tab w:val="right" w:pos="7825"/>
        </w:tabs>
        <w:spacing w:after="317" w:line="265" w:lineRule="auto"/>
        <w:ind w:left="0" w:right="-14" w:firstLine="0"/>
        <w:jc w:val="left"/>
      </w:pPr>
      <w:r>
        <w:rPr>
          <w:rFonts w:ascii="Calibri" w:eastAsia="Calibri" w:hAnsi="Calibri" w:cs="Calibri"/>
          <w:sz w:val="22"/>
        </w:rPr>
        <w:tab/>
      </w:r>
      <w:r>
        <w:t>R</w:t>
      </w:r>
      <w:r>
        <w:rPr>
          <w:noProof/>
        </w:rPr>
        <w:drawing>
          <wp:inline distT="0" distB="0" distL="0" distR="0" wp14:anchorId="6E874B5C" wp14:editId="5762F897">
            <wp:extent cx="1627632" cy="265176"/>
            <wp:effectExtent l="0" t="0" r="0" b="0"/>
            <wp:docPr id="31614" name="Picture 31614"/>
            <wp:cNvGraphicFramePr/>
            <a:graphic xmlns:a="http://schemas.openxmlformats.org/drawingml/2006/main">
              <a:graphicData uri="http://schemas.openxmlformats.org/drawingml/2006/picture">
                <pic:pic xmlns:pic="http://schemas.openxmlformats.org/drawingml/2006/picture">
                  <pic:nvPicPr>
                    <pic:cNvPr id="31614" name="Picture 31614"/>
                    <pic:cNvPicPr/>
                  </pic:nvPicPr>
                  <pic:blipFill>
                    <a:blip r:embed="rId8"/>
                    <a:stretch>
                      <a:fillRect/>
                    </a:stretch>
                  </pic:blipFill>
                  <pic:spPr>
                    <a:xfrm>
                      <a:off x="0" y="0"/>
                      <a:ext cx="1627632" cy="265176"/>
                    </a:xfrm>
                    <a:prstGeom prst="rect">
                      <a:avLst/>
                    </a:prstGeom>
                  </pic:spPr>
                </pic:pic>
              </a:graphicData>
            </a:graphic>
          </wp:inline>
        </w:drawing>
      </w:r>
      <w:r>
        <w:t>)</w:t>
      </w:r>
      <w:r>
        <w:tab/>
        <w:t>(4)</w:t>
      </w:r>
    </w:p>
    <w:p w14:paraId="2B70D787" w14:textId="77777777" w:rsidR="001F2A0B" w:rsidRDefault="00BC538D">
      <w:pPr>
        <w:tabs>
          <w:tab w:val="center" w:pos="2900"/>
          <w:tab w:val="center" w:pos="3870"/>
          <w:tab w:val="right" w:pos="7825"/>
        </w:tabs>
        <w:spacing w:after="0" w:line="265" w:lineRule="auto"/>
        <w:ind w:left="0" w:right="-14" w:firstLine="0"/>
        <w:jc w:val="left"/>
      </w:pPr>
      <w:r>
        <w:rPr>
          <w:rFonts w:ascii="Calibri" w:eastAsia="Calibri" w:hAnsi="Calibri" w:cs="Calibri"/>
          <w:sz w:val="22"/>
        </w:rPr>
        <w:tab/>
      </w:r>
      <w:r>
        <w:t>G</w:t>
      </w:r>
      <w:r>
        <w:rPr>
          <w:rFonts w:ascii="Calibri" w:eastAsia="Calibri" w:hAnsi="Calibri" w:cs="Calibri"/>
          <w:sz w:val="31"/>
          <w:vertAlign w:val="superscript"/>
        </w:rPr>
        <w:t>ˆ</w:t>
      </w:r>
      <w:r>
        <w:rPr>
          <w:rFonts w:ascii="Calibri" w:eastAsia="Calibri" w:hAnsi="Calibri" w:cs="Calibri"/>
          <w:sz w:val="31"/>
          <w:vertAlign w:val="superscript"/>
        </w:rPr>
        <w:tab/>
      </w:r>
      <w:r>
        <w:rPr>
          <w:noProof/>
        </w:rPr>
        <w:drawing>
          <wp:inline distT="0" distB="0" distL="0" distR="0" wp14:anchorId="0AE78F8D" wp14:editId="707ACDC4">
            <wp:extent cx="606552" cy="262128"/>
            <wp:effectExtent l="0" t="0" r="0" b="0"/>
            <wp:docPr id="31615" name="Picture 31615"/>
            <wp:cNvGraphicFramePr/>
            <a:graphic xmlns:a="http://schemas.openxmlformats.org/drawingml/2006/main">
              <a:graphicData uri="http://schemas.openxmlformats.org/drawingml/2006/picture">
                <pic:pic xmlns:pic="http://schemas.openxmlformats.org/drawingml/2006/picture">
                  <pic:nvPicPr>
                    <pic:cNvPr id="31615" name="Picture 31615"/>
                    <pic:cNvPicPr/>
                  </pic:nvPicPr>
                  <pic:blipFill>
                    <a:blip r:embed="rId9"/>
                    <a:stretch>
                      <a:fillRect/>
                    </a:stretch>
                  </pic:blipFill>
                  <pic:spPr>
                    <a:xfrm>
                      <a:off x="0" y="0"/>
                      <a:ext cx="606552" cy="262128"/>
                    </a:xfrm>
                    <a:prstGeom prst="rect">
                      <a:avLst/>
                    </a:prstGeom>
                  </pic:spPr>
                </pic:pic>
              </a:graphicData>
            </a:graphic>
          </wp:inline>
        </w:drawing>
      </w:r>
      <w:r>
        <w:t xml:space="preserve">1 </w:t>
      </w:r>
      <w:r>
        <w:rPr>
          <w:vertAlign w:val="superscript"/>
        </w:rPr>
        <w:t xml:space="preserve">m </w:t>
      </w:r>
      <w:proofErr w:type="spellStart"/>
      <w:r>
        <w:rPr>
          <w:sz w:val="31"/>
          <w:vertAlign w:val="superscript"/>
        </w:rPr>
        <w:t>I</w:t>
      </w:r>
      <w:r>
        <w:rPr>
          <w:rFonts w:ascii="Calibri" w:eastAsia="Calibri" w:hAnsi="Calibri" w:cs="Calibri"/>
          <w:vertAlign w:val="subscript"/>
        </w:rPr>
        <w:t>Δ</w:t>
      </w:r>
      <w:r>
        <w:rPr>
          <w:sz w:val="10"/>
        </w:rPr>
        <w:t>dYt</w:t>
      </w:r>
      <w:proofErr w:type="spellEnd"/>
      <w:r>
        <w:rPr>
          <w:sz w:val="10"/>
        </w:rPr>
        <w:t xml:space="preserve"> </w:t>
      </w:r>
      <w:r>
        <w:t>log(</w:t>
      </w:r>
      <w:proofErr w:type="spellStart"/>
      <w:r>
        <w:rPr>
          <w:rFonts w:ascii="Calibri" w:eastAsia="Calibri" w:hAnsi="Calibri" w:cs="Calibri"/>
        </w:rPr>
        <w:t>λ</w:t>
      </w:r>
      <w:r>
        <w:rPr>
          <w:vertAlign w:val="subscript"/>
        </w:rPr>
        <w:t>i</w:t>
      </w:r>
      <w:proofErr w:type="spellEnd"/>
      <w:r>
        <w:t>)</w:t>
      </w:r>
      <w:r>
        <w:tab/>
        <w:t>(5)</w:t>
      </w:r>
    </w:p>
    <w:p w14:paraId="2309302F" w14:textId="77777777" w:rsidR="001F2A0B" w:rsidRDefault="00BC538D">
      <w:pPr>
        <w:spacing w:line="446" w:lineRule="auto"/>
        <w:ind w:left="-5" w:right="0"/>
      </w:pPr>
      <w:r>
        <w:rPr>
          <w:noProof/>
        </w:rPr>
        <w:drawing>
          <wp:anchor distT="0" distB="0" distL="114300" distR="114300" simplePos="0" relativeHeight="251660288" behindDoc="0" locked="0" layoutInCell="1" allowOverlap="0" wp14:anchorId="3234C53A" wp14:editId="2D7F00A3">
            <wp:simplePos x="0" y="0"/>
            <wp:positionH relativeFrom="column">
              <wp:posOffset>3129154</wp:posOffset>
            </wp:positionH>
            <wp:positionV relativeFrom="paragraph">
              <wp:posOffset>194559</wp:posOffset>
            </wp:positionV>
            <wp:extent cx="298704" cy="158496"/>
            <wp:effectExtent l="0" t="0" r="0" b="0"/>
            <wp:wrapSquare wrapText="bothSides"/>
            <wp:docPr id="31618" name="Picture 31618"/>
            <wp:cNvGraphicFramePr/>
            <a:graphic xmlns:a="http://schemas.openxmlformats.org/drawingml/2006/main">
              <a:graphicData uri="http://schemas.openxmlformats.org/drawingml/2006/picture">
                <pic:pic xmlns:pic="http://schemas.openxmlformats.org/drawingml/2006/picture">
                  <pic:nvPicPr>
                    <pic:cNvPr id="31618" name="Picture 31618"/>
                    <pic:cNvPicPr/>
                  </pic:nvPicPr>
                  <pic:blipFill>
                    <a:blip r:embed="rId10"/>
                    <a:stretch>
                      <a:fillRect/>
                    </a:stretch>
                  </pic:blipFill>
                  <pic:spPr>
                    <a:xfrm>
                      <a:off x="0" y="0"/>
                      <a:ext cx="298704" cy="158496"/>
                    </a:xfrm>
                    <a:prstGeom prst="rect">
                      <a:avLst/>
                    </a:prstGeom>
                  </pic:spPr>
                </pic:pic>
              </a:graphicData>
            </a:graphic>
          </wp:anchor>
        </w:drawing>
      </w:r>
      <w:r>
        <w:t xml:space="preserve">In certain conditions notably when </w:t>
      </w:r>
      <w:r>
        <w:rPr>
          <w:noProof/>
        </w:rPr>
        <w:drawing>
          <wp:inline distT="0" distB="0" distL="0" distR="0" wp14:anchorId="7C483A63" wp14:editId="79F4EB9C">
            <wp:extent cx="640080" cy="155448"/>
            <wp:effectExtent l="0" t="0" r="0" b="0"/>
            <wp:docPr id="31616" name="Picture 31616"/>
            <wp:cNvGraphicFramePr/>
            <a:graphic xmlns:a="http://schemas.openxmlformats.org/drawingml/2006/main">
              <a:graphicData uri="http://schemas.openxmlformats.org/drawingml/2006/picture">
                <pic:pic xmlns:pic="http://schemas.openxmlformats.org/drawingml/2006/picture">
                  <pic:nvPicPr>
                    <pic:cNvPr id="31616" name="Picture 31616"/>
                    <pic:cNvPicPr/>
                  </pic:nvPicPr>
                  <pic:blipFill>
                    <a:blip r:embed="rId11"/>
                    <a:stretch>
                      <a:fillRect/>
                    </a:stretch>
                  </pic:blipFill>
                  <pic:spPr>
                    <a:xfrm>
                      <a:off x="0" y="0"/>
                      <a:ext cx="640080" cy="155448"/>
                    </a:xfrm>
                    <a:prstGeom prst="rect">
                      <a:avLst/>
                    </a:prstGeom>
                  </pic:spPr>
                </pic:pic>
              </a:graphicData>
            </a:graphic>
          </wp:inline>
        </w:drawing>
      </w:r>
      <w:r>
        <w:t xml:space="preserve">, the ELW estimator is consistent following an asymptotic normal distribution such that </w:t>
      </w:r>
      <w:r>
        <w:rPr>
          <w:rFonts w:ascii="Calibri" w:eastAsia="Calibri" w:hAnsi="Calibri" w:cs="Calibri"/>
        </w:rPr>
        <w:t>√</w:t>
      </w:r>
      <w:proofErr w:type="gramStart"/>
      <w:r>
        <w:t>m(</w:t>
      </w:r>
      <w:proofErr w:type="gramEnd"/>
      <w:r>
        <w:t>d</w:t>
      </w:r>
      <w:r>
        <w:rPr>
          <w:rFonts w:ascii="Calibri" w:eastAsia="Calibri" w:hAnsi="Calibri" w:cs="Calibri"/>
        </w:rPr>
        <w:t xml:space="preserve">ˆ </w:t>
      </w:r>
      <w:r>
        <w:rPr>
          <w:noProof/>
        </w:rPr>
        <w:drawing>
          <wp:inline distT="0" distB="0" distL="0" distR="0" wp14:anchorId="43FFC56B" wp14:editId="46457C8D">
            <wp:extent cx="896112" cy="155448"/>
            <wp:effectExtent l="0" t="0" r="0" b="0"/>
            <wp:docPr id="31617" name="Picture 31617"/>
            <wp:cNvGraphicFramePr/>
            <a:graphic xmlns:a="http://schemas.openxmlformats.org/drawingml/2006/main">
              <a:graphicData uri="http://schemas.openxmlformats.org/drawingml/2006/picture">
                <pic:pic xmlns:pic="http://schemas.openxmlformats.org/drawingml/2006/picture">
                  <pic:nvPicPr>
                    <pic:cNvPr id="31617" name="Picture 31617"/>
                    <pic:cNvPicPr/>
                  </pic:nvPicPr>
                  <pic:blipFill>
                    <a:blip r:embed="rId12"/>
                    <a:stretch>
                      <a:fillRect/>
                    </a:stretch>
                  </pic:blipFill>
                  <pic:spPr>
                    <a:xfrm>
                      <a:off x="0" y="0"/>
                      <a:ext cx="896112" cy="155448"/>
                    </a:xfrm>
                    <a:prstGeom prst="rect">
                      <a:avLst/>
                    </a:prstGeom>
                  </pic:spPr>
                </pic:pic>
              </a:graphicData>
            </a:graphic>
          </wp:inline>
        </w:drawing>
      </w:r>
      <w:r>
        <w:t xml:space="preserve"> , n </w:t>
      </w:r>
      <w:r>
        <w:rPr>
          <w:rFonts w:ascii="Calibri" w:eastAsia="Calibri" w:hAnsi="Calibri" w:cs="Calibri"/>
        </w:rPr>
        <w:t xml:space="preserve"> ∞</w:t>
      </w:r>
      <w:r>
        <w:t>, where n stands for the sample size and d</w:t>
      </w:r>
      <w:r>
        <w:rPr>
          <w:vertAlign w:val="subscript"/>
        </w:rPr>
        <w:t xml:space="preserve">0 </w:t>
      </w:r>
      <w:r>
        <w:t>stands for the true value of</w:t>
      </w:r>
      <w:r>
        <w:rPr>
          <w:rFonts w:ascii="Calibri" w:eastAsia="Calibri" w:hAnsi="Calibri" w:cs="Calibri"/>
        </w:rPr>
        <w:t xml:space="preserve"> </w:t>
      </w:r>
      <w:r>
        <w:t>d, d</w:t>
      </w:r>
      <w:r>
        <w:rPr>
          <w:vertAlign w:val="subscript"/>
        </w:rPr>
        <w:t xml:space="preserve">0 </w:t>
      </w:r>
      <w:r>
        <w:rPr>
          <w:rFonts w:ascii="Calibri" w:eastAsia="Calibri" w:hAnsi="Calibri" w:cs="Calibri"/>
        </w:rPr>
        <w:t xml:space="preserve">∈ </w:t>
      </w:r>
      <w:r>
        <w:t>(</w:t>
      </w:r>
      <w:r>
        <w:rPr>
          <w:rFonts w:ascii="Calibri" w:eastAsia="Calibri" w:hAnsi="Calibri" w:cs="Calibri"/>
        </w:rPr>
        <w:t>Δ</w:t>
      </w:r>
      <w:r>
        <w:rPr>
          <w:vertAlign w:val="subscript"/>
        </w:rPr>
        <w:t>1</w:t>
      </w:r>
      <w:r>
        <w:rPr>
          <w:rFonts w:ascii="Calibri" w:eastAsia="Calibri" w:hAnsi="Calibri" w:cs="Calibri"/>
        </w:rPr>
        <w:t>, Δ</w:t>
      </w:r>
      <w:r>
        <w:rPr>
          <w:vertAlign w:val="subscript"/>
        </w:rPr>
        <w:t>2</w:t>
      </w:r>
      <w:r>
        <w:t>).</w:t>
      </w:r>
    </w:p>
    <w:p w14:paraId="328A4242" w14:textId="77777777" w:rsidR="001F2A0B" w:rsidRDefault="00BC538D">
      <w:pPr>
        <w:spacing w:after="92"/>
        <w:ind w:left="-15" w:right="0" w:firstLine="240"/>
      </w:pPr>
      <w:r>
        <w:t>The ELW estimator can be further extended to the FELW estimator, which estimates the unknown mean value (</w:t>
      </w:r>
      <w:r>
        <w:rPr>
          <w:rFonts w:ascii="Calibri" w:eastAsia="Calibri" w:hAnsi="Calibri" w:cs="Calibri"/>
        </w:rPr>
        <w:t>μ</w:t>
      </w:r>
      <w:r>
        <w:t xml:space="preserve">) of </w:t>
      </w:r>
      <w:proofErr w:type="spellStart"/>
      <w:r>
        <w:t>Y</w:t>
      </w:r>
      <w:r>
        <w:rPr>
          <w:vertAlign w:val="subscript"/>
        </w:rPr>
        <w:t>t</w:t>
      </w:r>
      <w:proofErr w:type="spellEnd"/>
      <w:r>
        <w:rPr>
          <w:vertAlign w:val="subscript"/>
        </w:rPr>
        <w:t xml:space="preserve"> </w:t>
      </w:r>
      <w:r>
        <w:t>using the following function</w:t>
      </w:r>
    </w:p>
    <w:p w14:paraId="7D1CA6E1" w14:textId="77777777" w:rsidR="001F2A0B" w:rsidRDefault="00BC538D">
      <w:pPr>
        <w:tabs>
          <w:tab w:val="center" w:pos="3798"/>
          <w:tab w:val="right" w:pos="7825"/>
        </w:tabs>
        <w:spacing w:after="85" w:line="265" w:lineRule="auto"/>
        <w:ind w:left="0" w:right="-14" w:firstLine="0"/>
        <w:jc w:val="left"/>
      </w:pPr>
      <w:r>
        <w:rPr>
          <w:rFonts w:ascii="Calibri" w:eastAsia="Calibri" w:hAnsi="Calibri" w:cs="Calibri"/>
          <w:sz w:val="22"/>
        </w:rPr>
        <w:tab/>
      </w:r>
      <w:r>
        <w:rPr>
          <w:noProof/>
        </w:rPr>
        <w:drawing>
          <wp:inline distT="0" distB="0" distL="0" distR="0" wp14:anchorId="72C80F87" wp14:editId="000893E0">
            <wp:extent cx="1798320" cy="134112"/>
            <wp:effectExtent l="0" t="0" r="0" b="0"/>
            <wp:docPr id="31619" name="Picture 31619"/>
            <wp:cNvGraphicFramePr/>
            <a:graphic xmlns:a="http://schemas.openxmlformats.org/drawingml/2006/main">
              <a:graphicData uri="http://schemas.openxmlformats.org/drawingml/2006/picture">
                <pic:pic xmlns:pic="http://schemas.openxmlformats.org/drawingml/2006/picture">
                  <pic:nvPicPr>
                    <pic:cNvPr id="31619" name="Picture 31619"/>
                    <pic:cNvPicPr/>
                  </pic:nvPicPr>
                  <pic:blipFill>
                    <a:blip r:embed="rId13"/>
                    <a:stretch>
                      <a:fillRect/>
                    </a:stretch>
                  </pic:blipFill>
                  <pic:spPr>
                    <a:xfrm>
                      <a:off x="0" y="0"/>
                      <a:ext cx="1798320" cy="134112"/>
                    </a:xfrm>
                    <a:prstGeom prst="rect">
                      <a:avLst/>
                    </a:prstGeom>
                  </pic:spPr>
                </pic:pic>
              </a:graphicData>
            </a:graphic>
          </wp:inline>
        </w:drawing>
      </w:r>
      <w:r>
        <w:t>}</w:t>
      </w:r>
      <w:r>
        <w:tab/>
        <w:t>(6)</w:t>
      </w:r>
    </w:p>
    <w:p w14:paraId="4F3AFBD3" w14:textId="77777777" w:rsidR="001F2A0B" w:rsidRDefault="00BC538D">
      <w:pPr>
        <w:spacing w:after="359" w:line="406" w:lineRule="auto"/>
        <w:ind w:left="-5" w:right="0"/>
      </w:pPr>
      <w:r>
        <w:t>where Y</w:t>
      </w:r>
      <w:r>
        <w:rPr>
          <w:rFonts w:ascii="Calibri" w:eastAsia="Calibri" w:hAnsi="Calibri" w:cs="Calibri"/>
        </w:rPr>
        <w:t xml:space="preserve"> </w:t>
      </w:r>
      <w:r>
        <w:t xml:space="preserve">denotes the sample average of </w:t>
      </w:r>
      <w:proofErr w:type="spellStart"/>
      <w:r>
        <w:t>Y</w:t>
      </w:r>
      <w:r>
        <w:rPr>
          <w:vertAlign w:val="subscript"/>
        </w:rPr>
        <w:t>t</w:t>
      </w:r>
      <w:proofErr w:type="spellEnd"/>
      <w:r>
        <w:t>, L{</w:t>
      </w:r>
      <w:r>
        <w:rPr>
          <w:rFonts w:ascii="Calibri" w:eastAsia="Calibri" w:hAnsi="Calibri" w:cs="Calibri"/>
        </w:rPr>
        <w:t>.</w:t>
      </w:r>
      <w:r>
        <w:t xml:space="preserve">} denotes an indicator function with c </w:t>
      </w:r>
      <w:r>
        <w:rPr>
          <w:noProof/>
        </w:rPr>
        <w:drawing>
          <wp:inline distT="0" distB="0" distL="0" distR="0" wp14:anchorId="641DA628" wp14:editId="607C25B2">
            <wp:extent cx="399288" cy="158496"/>
            <wp:effectExtent l="0" t="0" r="0" b="0"/>
            <wp:docPr id="31620" name="Picture 31620"/>
            <wp:cNvGraphicFramePr/>
            <a:graphic xmlns:a="http://schemas.openxmlformats.org/drawingml/2006/main">
              <a:graphicData uri="http://schemas.openxmlformats.org/drawingml/2006/picture">
                <pic:pic xmlns:pic="http://schemas.openxmlformats.org/drawingml/2006/picture">
                  <pic:nvPicPr>
                    <pic:cNvPr id="31620" name="Picture 31620"/>
                    <pic:cNvPicPr/>
                  </pic:nvPicPr>
                  <pic:blipFill>
                    <a:blip r:embed="rId14"/>
                    <a:stretch>
                      <a:fillRect/>
                    </a:stretch>
                  </pic:blipFill>
                  <pic:spPr>
                    <a:xfrm>
                      <a:off x="0" y="0"/>
                      <a:ext cx="399288" cy="158496"/>
                    </a:xfrm>
                    <a:prstGeom prst="rect">
                      <a:avLst/>
                    </a:prstGeom>
                  </pic:spPr>
                </pic:pic>
              </a:graphicData>
            </a:graphic>
          </wp:inline>
        </w:drawing>
      </w:r>
      <w:r>
        <w:rPr>
          <w:rFonts w:ascii="Calibri" w:eastAsia="Calibri" w:hAnsi="Calibri" w:cs="Calibri"/>
        </w:rPr>
        <w:t xml:space="preserve"> </w:t>
      </w:r>
      <w:r>
        <w:t xml:space="preserve">. Overall, </w:t>
      </w:r>
      <w:proofErr w:type="gramStart"/>
      <w:r>
        <w:t>it is clear that the</w:t>
      </w:r>
      <w:proofErr w:type="gramEnd"/>
      <w:r>
        <w:t xml:space="preserve"> FELW estimator for (fractional) integration order (d) of </w:t>
      </w:r>
      <w:proofErr w:type="spellStart"/>
      <w:r>
        <w:t>Y</w:t>
      </w:r>
      <w:r>
        <w:rPr>
          <w:vertAlign w:val="subscript"/>
        </w:rPr>
        <w:t>t</w:t>
      </w:r>
      <w:proofErr w:type="spellEnd"/>
      <w:r>
        <w:rPr>
          <w:vertAlign w:val="subscript"/>
        </w:rPr>
        <w:t xml:space="preserve"> </w:t>
      </w:r>
      <w:r>
        <w:t xml:space="preserve">can be established through the ELW d estimator of the demeaned </w:t>
      </w:r>
      <w:proofErr w:type="spellStart"/>
      <w:r>
        <w:t>Y</w:t>
      </w:r>
      <w:r>
        <w:rPr>
          <w:vertAlign w:val="subscript"/>
        </w:rPr>
        <w:t>t</w:t>
      </w:r>
      <w:proofErr w:type="spellEnd"/>
      <w:r>
        <w:t xml:space="preserve">, that is, </w:t>
      </w:r>
      <w:proofErr w:type="spellStart"/>
      <w:r>
        <w:t>Y</w:t>
      </w:r>
      <w:r>
        <w:rPr>
          <w:vertAlign w:val="subscript"/>
        </w:rPr>
        <w:t>t</w:t>
      </w:r>
      <w:proofErr w:type="spellEnd"/>
      <w:r>
        <w:rPr>
          <w:vertAlign w:val="subscript"/>
        </w:rPr>
        <w:t xml:space="preserve"> </w:t>
      </w:r>
      <w:r>
        <w:rPr>
          <w:rFonts w:ascii="Calibri" w:eastAsia="Calibri" w:hAnsi="Calibri" w:cs="Calibri"/>
        </w:rPr>
        <w:t>− μˆ</w:t>
      </w:r>
      <w:r>
        <w:t>(d).</w:t>
      </w:r>
    </w:p>
    <w:p w14:paraId="24DBB1AF" w14:textId="77777777" w:rsidR="001F2A0B" w:rsidRDefault="00BC538D">
      <w:pPr>
        <w:ind w:left="-5" w:right="0"/>
      </w:pPr>
      <w:r>
        <w:rPr>
          <w:rFonts w:ascii="Calibri" w:eastAsia="Calibri" w:hAnsi="Calibri" w:cs="Calibri"/>
        </w:rPr>
        <w:t xml:space="preserve">The CIQs approach. </w:t>
      </w:r>
      <w:r>
        <w:t xml:space="preserve">In this section, we introduce our employed causality-in-quality approach initially developed by </w:t>
      </w:r>
      <w:proofErr w:type="spellStart"/>
      <w:r>
        <w:t>Jeong</w:t>
      </w:r>
      <w:proofErr w:type="spellEnd"/>
      <w:r>
        <w:t xml:space="preserve"> et al.,</w:t>
      </w:r>
      <w:r>
        <w:rPr>
          <w:vertAlign w:val="superscript"/>
        </w:rPr>
        <w:t xml:space="preserve">18 </w:t>
      </w:r>
      <w:r>
        <w:t>through which the relationship of the market inef</w:t>
      </w:r>
      <w:r>
        <w:rPr>
          <w:rFonts w:ascii="Calibri" w:eastAsia="Calibri" w:hAnsi="Calibri" w:cs="Calibri"/>
        </w:rPr>
        <w:t>fi</w:t>
      </w:r>
      <w:r>
        <w:t xml:space="preserve">ciency degree between carbon and three energy markets is studied. It is worth mentioning that </w:t>
      </w:r>
      <w:proofErr w:type="spellStart"/>
      <w:r>
        <w:t>Balcilar</w:t>
      </w:r>
      <w:proofErr w:type="spellEnd"/>
      <w:r>
        <w:t xml:space="preserve"> et al.</w:t>
      </w:r>
      <w:r>
        <w:rPr>
          <w:vertAlign w:val="superscript"/>
        </w:rPr>
        <w:t xml:space="preserve">39 </w:t>
      </w:r>
      <w:proofErr w:type="spellStart"/>
      <w:r>
        <w:t>extendJeong</w:t>
      </w:r>
      <w:proofErr w:type="spellEnd"/>
      <w:r>
        <w:t xml:space="preserve"> et al.</w:t>
      </w:r>
      <w:r>
        <w:rPr>
          <w:vertAlign w:val="superscript"/>
        </w:rPr>
        <w:t xml:space="preserve">18 </w:t>
      </w:r>
      <w:r>
        <w:t xml:space="preserve">by </w:t>
      </w:r>
      <w:proofErr w:type="spellStart"/>
      <w:r>
        <w:t>modeling</w:t>
      </w:r>
      <w:proofErr w:type="spellEnd"/>
      <w:r>
        <w:t xml:space="preserve"> the causality between target series based on the </w:t>
      </w:r>
      <w:r>
        <w:rPr>
          <w:rFonts w:ascii="Calibri" w:eastAsia="Calibri" w:hAnsi="Calibri" w:cs="Calibri"/>
        </w:rPr>
        <w:t>fi</w:t>
      </w:r>
      <w:r>
        <w:t>rst-order moment to that based on the second-order moment.</w:t>
      </w:r>
    </w:p>
    <w:p w14:paraId="1B3C4CDC" w14:textId="77777777" w:rsidR="001F2A0B" w:rsidRDefault="00BC538D">
      <w:pPr>
        <w:ind w:left="-15" w:right="0" w:firstLine="240"/>
      </w:pPr>
      <w:r>
        <w:t xml:space="preserve">The different quartiles in many cases represent different market states, bear or bull markets, or the level of shocks, and so on (see </w:t>
      </w:r>
      <w:proofErr w:type="gramStart"/>
      <w:r>
        <w:t>e.g.</w:t>
      </w:r>
      <w:proofErr w:type="gramEnd"/>
      <w:r>
        <w:t xml:space="preserve"> Peng et al.,</w:t>
      </w:r>
      <w:r>
        <w:rPr>
          <w:vertAlign w:val="superscript"/>
        </w:rPr>
        <w:t xml:space="preserve">40 </w:t>
      </w:r>
      <w:proofErr w:type="spellStart"/>
      <w:r>
        <w:t>Scarcioffolo</w:t>
      </w:r>
      <w:proofErr w:type="spellEnd"/>
      <w:r>
        <w:t xml:space="preserve"> and Etienne,</w:t>
      </w:r>
      <w:r>
        <w:rPr>
          <w:vertAlign w:val="superscript"/>
        </w:rPr>
        <w:t xml:space="preserve">41 </w:t>
      </w:r>
      <w:r>
        <w:t>Ren et al.</w:t>
      </w:r>
      <w:r>
        <w:rPr>
          <w:vertAlign w:val="superscript"/>
        </w:rPr>
        <w:t>42</w:t>
      </w:r>
      <w:r>
        <w:t>). Therefore, our use of quantile Granger causality tests can help us to understand more fully the correlation between different levels of market ef</w:t>
      </w:r>
      <w:r>
        <w:rPr>
          <w:rFonts w:ascii="Calibri" w:eastAsia="Calibri" w:hAnsi="Calibri" w:cs="Calibri"/>
        </w:rPr>
        <w:t>fi</w:t>
      </w:r>
      <w:r>
        <w:t xml:space="preserve">ciency across carbon markets and each of the three energy markets. Unlike the causality test in the </w:t>
      </w:r>
      <w:r>
        <w:rPr>
          <w:rFonts w:ascii="Calibri" w:eastAsia="Calibri" w:hAnsi="Calibri" w:cs="Calibri"/>
        </w:rPr>
        <w:t>fi</w:t>
      </w:r>
      <w:r>
        <w:t>rst-order moment, which is usually questioned by signi</w:t>
      </w:r>
      <w:r>
        <w:rPr>
          <w:rFonts w:ascii="Calibri" w:eastAsia="Calibri" w:hAnsi="Calibri" w:cs="Calibri"/>
        </w:rPr>
        <w:t>fi</w:t>
      </w:r>
      <w:r>
        <w:t xml:space="preserve">cant uncertainty and confusion, we investigate the linkage of the market </w:t>
      </w:r>
      <w:r>
        <w:lastRenderedPageBreak/>
        <w:t>inef</w:t>
      </w:r>
      <w:r>
        <w:rPr>
          <w:rFonts w:ascii="Calibri" w:eastAsia="Calibri" w:hAnsi="Calibri" w:cs="Calibri"/>
        </w:rPr>
        <w:t>fi</w:t>
      </w:r>
      <w:r>
        <w:t xml:space="preserve">ciency degree between these markets through a comprehensive manner on both the </w:t>
      </w:r>
      <w:r>
        <w:rPr>
          <w:rFonts w:ascii="Calibri" w:eastAsia="Calibri" w:hAnsi="Calibri" w:cs="Calibri"/>
        </w:rPr>
        <w:t>fi</w:t>
      </w:r>
      <w:r>
        <w:t>rst- and second-order moments, that is, data in levels and volatility, respectively.</w:t>
      </w:r>
    </w:p>
    <w:p w14:paraId="735D55EE" w14:textId="77777777" w:rsidR="001F2A0B" w:rsidRDefault="00BC538D">
      <w:pPr>
        <w:spacing w:after="43" w:line="317" w:lineRule="auto"/>
        <w:ind w:left="-15" w:right="0" w:firstLine="240"/>
      </w:pPr>
      <w:r>
        <w:t>Denote the market ef</w:t>
      </w:r>
      <w:r>
        <w:rPr>
          <w:rFonts w:ascii="Calibri" w:eastAsia="Calibri" w:hAnsi="Calibri" w:cs="Calibri"/>
        </w:rPr>
        <w:t>fi</w:t>
      </w:r>
      <w:r>
        <w:t xml:space="preserve">ciency of carbon futures as </w:t>
      </w:r>
      <w:proofErr w:type="spellStart"/>
      <w:r>
        <w:t>y</w:t>
      </w:r>
      <w:r>
        <w:rPr>
          <w:vertAlign w:val="subscript"/>
        </w:rPr>
        <w:t>t</w:t>
      </w:r>
      <w:proofErr w:type="spellEnd"/>
      <w:r>
        <w:rPr>
          <w:vertAlign w:val="subscript"/>
        </w:rPr>
        <w:t xml:space="preserve"> </w:t>
      </w:r>
      <w:r>
        <w:t>and the market ef</w:t>
      </w:r>
      <w:r>
        <w:rPr>
          <w:rFonts w:ascii="Calibri" w:eastAsia="Calibri" w:hAnsi="Calibri" w:cs="Calibri"/>
        </w:rPr>
        <w:t>fi</w:t>
      </w:r>
      <w:r>
        <w:t>ciency of the other three energy futures markets is de</w:t>
      </w:r>
      <w:r>
        <w:rPr>
          <w:rFonts w:ascii="Calibri" w:eastAsia="Calibri" w:hAnsi="Calibri" w:cs="Calibri"/>
        </w:rPr>
        <w:t>fi</w:t>
      </w:r>
      <w:r>
        <w:t xml:space="preserve">ned as </w:t>
      </w:r>
      <w:proofErr w:type="spellStart"/>
      <w:proofErr w:type="gramStart"/>
      <w:r>
        <w:t>x</w:t>
      </w:r>
      <w:r>
        <w:rPr>
          <w:vertAlign w:val="superscript"/>
        </w:rPr>
        <w:t>n</w:t>
      </w:r>
      <w:r>
        <w:rPr>
          <w:vertAlign w:val="subscript"/>
        </w:rPr>
        <w:t>t</w:t>
      </w:r>
      <w:proofErr w:type="spellEnd"/>
      <w:r>
        <w:rPr>
          <w:vertAlign w:val="subscript"/>
        </w:rPr>
        <w:t xml:space="preserve"> </w:t>
      </w:r>
      <w:r>
        <w:t>,</w:t>
      </w:r>
      <w:proofErr w:type="gramEnd"/>
      <w:r>
        <w:t xml:space="preserve"> where n </w:t>
      </w:r>
      <w:r>
        <w:rPr>
          <w:rFonts w:ascii="Calibri" w:eastAsia="Calibri" w:hAnsi="Calibri" w:cs="Calibri"/>
        </w:rPr>
        <w:t xml:space="preserve">= </w:t>
      </w:r>
      <w:r>
        <w:t>1</w:t>
      </w:r>
      <w:r>
        <w:rPr>
          <w:rFonts w:ascii="Calibri" w:eastAsia="Calibri" w:hAnsi="Calibri" w:cs="Calibri"/>
        </w:rPr>
        <w:t xml:space="preserve">, </w:t>
      </w:r>
      <w:r>
        <w:t>2</w:t>
      </w:r>
      <w:r>
        <w:rPr>
          <w:rFonts w:ascii="Calibri" w:eastAsia="Calibri" w:hAnsi="Calibri" w:cs="Calibri"/>
        </w:rPr>
        <w:t xml:space="preserve">, </w:t>
      </w:r>
      <w:r>
        <w:t>3 represent crude oil futures, natural gas futures, and coal futures, respectively. Then, using the de</w:t>
      </w:r>
      <w:r>
        <w:rPr>
          <w:rFonts w:ascii="Calibri" w:eastAsia="Calibri" w:hAnsi="Calibri" w:cs="Calibri"/>
        </w:rPr>
        <w:t>fi</w:t>
      </w:r>
      <w:r>
        <w:t xml:space="preserve">nition of quantile causality of </w:t>
      </w:r>
      <w:proofErr w:type="spellStart"/>
      <w:r>
        <w:t>Jeong</w:t>
      </w:r>
      <w:proofErr w:type="spellEnd"/>
      <w:r>
        <w:t xml:space="preserve"> et al.</w:t>
      </w:r>
      <w:r>
        <w:rPr>
          <w:vertAlign w:val="superscript"/>
        </w:rPr>
        <w:t xml:space="preserve">18 </w:t>
      </w:r>
      <w:r>
        <w:t>and taking their lag terms {y</w:t>
      </w:r>
      <w:r>
        <w:rPr>
          <w:sz w:val="14"/>
        </w:rPr>
        <w:t>t</w:t>
      </w:r>
      <w:r>
        <w:rPr>
          <w:rFonts w:ascii="Calibri" w:eastAsia="Calibri" w:hAnsi="Calibri" w:cs="Calibri"/>
          <w:vertAlign w:val="subscript"/>
        </w:rPr>
        <w:t>−</w:t>
      </w:r>
      <w:r>
        <w:rPr>
          <w:sz w:val="14"/>
        </w:rPr>
        <w:t>1</w:t>
      </w:r>
      <w:r>
        <w:rPr>
          <w:rFonts w:ascii="Calibri" w:eastAsia="Calibri" w:hAnsi="Calibri" w:cs="Calibri"/>
        </w:rPr>
        <w:t xml:space="preserve">, ..., </w:t>
      </w:r>
      <w:proofErr w:type="spellStart"/>
      <w:r>
        <w:t>y</w:t>
      </w:r>
      <w:r>
        <w:rPr>
          <w:sz w:val="14"/>
        </w:rPr>
        <w:t>t</w:t>
      </w:r>
      <w:proofErr w:type="spellEnd"/>
      <w:r>
        <w:rPr>
          <w:rFonts w:ascii="Calibri" w:eastAsia="Calibri" w:hAnsi="Calibri" w:cs="Calibri"/>
          <w:vertAlign w:val="subscript"/>
        </w:rPr>
        <w:t>−</w:t>
      </w:r>
      <w:r>
        <w:rPr>
          <w:sz w:val="14"/>
        </w:rPr>
        <w:t>p</w:t>
      </w:r>
      <w:r>
        <w:rPr>
          <w:rFonts w:ascii="Calibri" w:eastAsia="Calibri" w:hAnsi="Calibri" w:cs="Calibri"/>
        </w:rPr>
        <w:t xml:space="preserve">, </w:t>
      </w:r>
      <w:r>
        <w:t>x</w:t>
      </w:r>
      <w:r>
        <w:rPr>
          <w:vertAlign w:val="superscript"/>
        </w:rPr>
        <w:t>n</w:t>
      </w:r>
      <w:r>
        <w:rPr>
          <w:vertAlign w:val="subscript"/>
        </w:rPr>
        <w:t>t</w:t>
      </w:r>
      <w:r>
        <w:rPr>
          <w:rFonts w:ascii="Calibri" w:eastAsia="Calibri" w:hAnsi="Calibri" w:cs="Calibri"/>
          <w:sz w:val="14"/>
        </w:rPr>
        <w:t>−</w:t>
      </w:r>
      <w:r>
        <w:rPr>
          <w:sz w:val="14"/>
        </w:rPr>
        <w:t>1</w:t>
      </w:r>
      <w:r>
        <w:rPr>
          <w:rFonts w:ascii="Calibri" w:eastAsia="Calibri" w:hAnsi="Calibri" w:cs="Calibri"/>
        </w:rPr>
        <w:t xml:space="preserve">, ..., </w:t>
      </w:r>
      <w:proofErr w:type="spellStart"/>
      <w:r>
        <w:t>x</w:t>
      </w:r>
      <w:r>
        <w:rPr>
          <w:vertAlign w:val="superscript"/>
        </w:rPr>
        <w:t>n</w:t>
      </w:r>
      <w:r>
        <w:rPr>
          <w:vertAlign w:val="subscript"/>
        </w:rPr>
        <w:t>t</w:t>
      </w:r>
      <w:proofErr w:type="spellEnd"/>
      <w:r>
        <w:rPr>
          <w:rFonts w:ascii="Calibri" w:eastAsia="Calibri" w:hAnsi="Calibri" w:cs="Calibri"/>
          <w:sz w:val="14"/>
        </w:rPr>
        <w:t>−</w:t>
      </w:r>
      <w:r>
        <w:rPr>
          <w:sz w:val="14"/>
        </w:rPr>
        <w:t>p</w:t>
      </w:r>
      <w:r>
        <w:t xml:space="preserve">} </w:t>
      </w:r>
      <w:proofErr w:type="gramStart"/>
      <w:r>
        <w:t>in to</w:t>
      </w:r>
      <w:proofErr w:type="gramEnd"/>
      <w:r>
        <w:t xml:space="preserve"> account, </w:t>
      </w:r>
      <w:proofErr w:type="spellStart"/>
      <w:r>
        <w:t>x</w:t>
      </w:r>
      <w:r>
        <w:rPr>
          <w:vertAlign w:val="superscript"/>
        </w:rPr>
        <w:t>n</w:t>
      </w:r>
      <w:r>
        <w:rPr>
          <w:vertAlign w:val="subscript"/>
        </w:rPr>
        <w:t>t</w:t>
      </w:r>
      <w:proofErr w:type="spellEnd"/>
      <w:r>
        <w:rPr>
          <w:vertAlign w:val="subscript"/>
        </w:rPr>
        <w:t xml:space="preserve"> </w:t>
      </w:r>
      <w:r>
        <w:t xml:space="preserve">does not Granger cause </w:t>
      </w:r>
      <w:proofErr w:type="spellStart"/>
      <w:r>
        <w:t>y</w:t>
      </w:r>
      <w:r>
        <w:rPr>
          <w:vertAlign w:val="subscript"/>
        </w:rPr>
        <w:t>t</w:t>
      </w:r>
      <w:proofErr w:type="spellEnd"/>
      <w:r>
        <w:rPr>
          <w:vertAlign w:val="subscript"/>
        </w:rPr>
        <w:t xml:space="preserve"> </w:t>
      </w:r>
      <w:r>
        <w:t xml:space="preserve">in the </w:t>
      </w:r>
      <w:r>
        <w:rPr>
          <w:rFonts w:ascii="Calibri" w:eastAsia="Calibri" w:hAnsi="Calibri" w:cs="Calibri"/>
        </w:rPr>
        <w:t>θ</w:t>
      </w:r>
      <w:r>
        <w:rPr>
          <w:sz w:val="31"/>
          <w:vertAlign w:val="subscript"/>
        </w:rPr>
        <w:t>-</w:t>
      </w:r>
      <w:proofErr w:type="spellStart"/>
      <w:r>
        <w:rPr>
          <w:sz w:val="31"/>
          <w:vertAlign w:val="subscript"/>
        </w:rPr>
        <w:t>th</w:t>
      </w:r>
      <w:proofErr w:type="spellEnd"/>
      <w:r>
        <w:rPr>
          <w:sz w:val="31"/>
          <w:vertAlign w:val="subscript"/>
        </w:rPr>
        <w:t xml:space="preserve"> quantile if:</w:t>
      </w:r>
    </w:p>
    <w:p w14:paraId="5EB68CA3" w14:textId="77777777" w:rsidR="001F2A0B" w:rsidRDefault="00BC538D">
      <w:pPr>
        <w:tabs>
          <w:tab w:val="center" w:pos="3529"/>
          <w:tab w:val="center" w:pos="4203"/>
          <w:tab w:val="center" w:pos="4844"/>
          <w:tab w:val="center" w:pos="6042"/>
          <w:tab w:val="right" w:pos="7825"/>
        </w:tabs>
        <w:spacing w:after="396" w:line="259" w:lineRule="auto"/>
        <w:ind w:left="0" w:right="0" w:firstLine="0"/>
        <w:jc w:val="left"/>
      </w:pPr>
      <w:r>
        <w:rPr>
          <w:rFonts w:ascii="Calibri" w:eastAsia="Calibri" w:hAnsi="Calibri" w:cs="Calibri"/>
          <w:sz w:val="22"/>
        </w:rPr>
        <w:tab/>
      </w:r>
      <w:r>
        <w:t>Q</w:t>
      </w:r>
      <w:r>
        <w:rPr>
          <w:rFonts w:ascii="Calibri" w:eastAsia="Calibri" w:hAnsi="Calibri" w:cs="Calibri"/>
          <w:sz w:val="14"/>
        </w:rPr>
        <w:t>θ</w:t>
      </w:r>
      <w:r>
        <w:t>y</w:t>
      </w:r>
      <w:r>
        <w:rPr>
          <w:vertAlign w:val="subscript"/>
        </w:rPr>
        <w:t>t</w:t>
      </w:r>
      <w:r>
        <w:rPr>
          <w:rFonts w:ascii="Calibri" w:eastAsia="Calibri" w:hAnsi="Calibri" w:cs="Calibri"/>
        </w:rPr>
        <w:t>|</w:t>
      </w:r>
      <w:r>
        <w:t>y</w:t>
      </w:r>
      <w:r>
        <w:rPr>
          <w:vertAlign w:val="subscript"/>
        </w:rPr>
        <w:t>t</w:t>
      </w:r>
      <w:r>
        <w:rPr>
          <w:rFonts w:ascii="Calibri" w:eastAsia="Calibri" w:hAnsi="Calibri" w:cs="Calibri"/>
          <w:vertAlign w:val="subscript"/>
        </w:rPr>
        <w:t>−</w:t>
      </w:r>
      <w:r>
        <w:rPr>
          <w:sz w:val="14"/>
        </w:rPr>
        <w:t>1</w:t>
      </w:r>
      <w:r>
        <w:rPr>
          <w:rFonts w:ascii="Calibri" w:eastAsia="Calibri" w:hAnsi="Calibri" w:cs="Calibri"/>
        </w:rPr>
        <w:t xml:space="preserve">, </w:t>
      </w:r>
      <w:r>
        <w:rPr>
          <w:noProof/>
        </w:rPr>
        <w:drawing>
          <wp:inline distT="0" distB="0" distL="0" distR="0" wp14:anchorId="15BF0AFD" wp14:editId="5D153FE9">
            <wp:extent cx="2188464" cy="152400"/>
            <wp:effectExtent l="0" t="0" r="0" b="0"/>
            <wp:docPr id="31621" name="Picture 31621"/>
            <wp:cNvGraphicFramePr/>
            <a:graphic xmlns:a="http://schemas.openxmlformats.org/drawingml/2006/main">
              <a:graphicData uri="http://schemas.openxmlformats.org/drawingml/2006/picture">
                <pic:pic xmlns:pic="http://schemas.openxmlformats.org/drawingml/2006/picture">
                  <pic:nvPicPr>
                    <pic:cNvPr id="31621" name="Picture 31621"/>
                    <pic:cNvPicPr/>
                  </pic:nvPicPr>
                  <pic:blipFill>
                    <a:blip r:embed="rId15"/>
                    <a:stretch>
                      <a:fillRect/>
                    </a:stretch>
                  </pic:blipFill>
                  <pic:spPr>
                    <a:xfrm>
                      <a:off x="0" y="0"/>
                      <a:ext cx="2188464" cy="152400"/>
                    </a:xfrm>
                    <a:prstGeom prst="rect">
                      <a:avLst/>
                    </a:prstGeom>
                  </pic:spPr>
                </pic:pic>
              </a:graphicData>
            </a:graphic>
          </wp:inline>
        </w:drawing>
      </w:r>
      <w:r>
        <w:rPr>
          <w:rFonts w:ascii="Calibri" w:eastAsia="Calibri" w:hAnsi="Calibri" w:cs="Calibri"/>
          <w:sz w:val="31"/>
          <w:vertAlign w:val="superscript"/>
        </w:rPr>
        <w:tab/>
      </w:r>
      <w:r>
        <w:rPr>
          <w:rFonts w:ascii="Calibri" w:eastAsia="Calibri" w:hAnsi="Calibri" w:cs="Calibri"/>
        </w:rPr>
        <w:tab/>
        <w:t xml:space="preserve">, </w:t>
      </w:r>
      <w:proofErr w:type="spellStart"/>
      <w:r>
        <w:t>y</w:t>
      </w:r>
      <w:r>
        <w:rPr>
          <w:vertAlign w:val="subscript"/>
        </w:rPr>
        <w:t>t</w:t>
      </w:r>
      <w:proofErr w:type="spellEnd"/>
      <w:r>
        <w:rPr>
          <w:rFonts w:ascii="Calibri" w:eastAsia="Calibri" w:hAnsi="Calibri" w:cs="Calibri"/>
          <w:vertAlign w:val="subscript"/>
        </w:rPr>
        <w:t>−</w:t>
      </w:r>
      <w:r>
        <w:rPr>
          <w:sz w:val="14"/>
        </w:rPr>
        <w:t>p</w:t>
      </w:r>
      <w:r>
        <w:rPr>
          <w:rFonts w:ascii="Calibri" w:eastAsia="Calibri" w:hAnsi="Calibri" w:cs="Calibri"/>
        </w:rPr>
        <w:tab/>
      </w:r>
      <w:r>
        <w:t>(7)</w:t>
      </w:r>
    </w:p>
    <w:p w14:paraId="1C3E28C0" w14:textId="77777777" w:rsidR="001F2A0B" w:rsidRDefault="00BC538D">
      <w:pPr>
        <w:spacing w:after="203"/>
        <w:ind w:left="-5" w:right="0"/>
      </w:pPr>
      <w:proofErr w:type="spellStart"/>
      <w:r>
        <w:t>where</w:t>
      </w:r>
      <w:r>
        <w:rPr>
          <w:vertAlign w:val="superscript"/>
        </w:rPr>
        <w:t>n</w:t>
      </w:r>
      <w:proofErr w:type="spellEnd"/>
      <w:r>
        <w:rPr>
          <w:vertAlign w:val="superscript"/>
        </w:rPr>
        <w:t xml:space="preserve"> </w:t>
      </w:r>
      <w:r>
        <w:rPr>
          <w:rFonts w:ascii="Calibri" w:eastAsia="Calibri" w:hAnsi="Calibri" w:cs="Calibri"/>
        </w:rPr>
        <w:t>≡</w:t>
      </w:r>
      <w:r>
        <w:t>Q(</w:t>
      </w:r>
      <w:proofErr w:type="spellStart"/>
      <w:r>
        <w:t>x</w:t>
      </w:r>
      <w:r>
        <w:rPr>
          <w:rFonts w:ascii="Calibri" w:eastAsia="Calibri" w:hAnsi="Calibri" w:cs="Calibri"/>
          <w:vertAlign w:val="subscript"/>
        </w:rPr>
        <w:t>θ</w:t>
      </w:r>
      <w:r>
        <w:rPr>
          <w:vertAlign w:val="subscript"/>
        </w:rPr>
        <w:t>t</w:t>
      </w:r>
      <w:proofErr w:type="spellEnd"/>
      <w:r>
        <w:t>(</w:t>
      </w:r>
      <w:r>
        <w:rPr>
          <w:rFonts w:ascii="Calibri" w:eastAsia="Calibri" w:hAnsi="Calibri" w:cs="Calibri"/>
          <w:sz w:val="14"/>
        </w:rPr>
        <w:t>−</w:t>
      </w:r>
      <w:r>
        <w:t>y</w:t>
      </w:r>
      <w:r>
        <w:rPr>
          <w:sz w:val="14"/>
        </w:rPr>
        <w:t>1</w:t>
      </w:r>
      <w:proofErr w:type="gramStart"/>
      <w:r>
        <w:rPr>
          <w:vertAlign w:val="subscript"/>
        </w:rPr>
        <w:t>t</w:t>
      </w:r>
      <w:r>
        <w:rPr>
          <w:rFonts w:ascii="Calibri" w:eastAsia="Calibri" w:hAnsi="Calibri" w:cs="Calibri"/>
        </w:rPr>
        <w:t>,|</w:t>
      </w:r>
      <w:proofErr w:type="gramEnd"/>
      <w:r>
        <w:t>)</w:t>
      </w:r>
      <w:r>
        <w:rPr>
          <w:rFonts w:ascii="Calibri" w:eastAsia="Calibri" w:hAnsi="Calibri" w:cs="Calibri"/>
        </w:rPr>
        <w:t>...</w:t>
      </w:r>
      <w:r>
        <w:t>is the</w:t>
      </w:r>
      <w:r>
        <w:rPr>
          <w:rFonts w:ascii="Calibri" w:eastAsia="Calibri" w:hAnsi="Calibri" w:cs="Calibri"/>
        </w:rPr>
        <w:t xml:space="preserve">, </w:t>
      </w:r>
      <w:proofErr w:type="spellStart"/>
      <w:r>
        <w:t>x</w:t>
      </w:r>
      <w:r>
        <w:rPr>
          <w:vertAlign w:val="subscript"/>
        </w:rPr>
        <w:t>t</w:t>
      </w:r>
      <w:r>
        <w:rPr>
          <w:rFonts w:ascii="Calibri" w:eastAsia="Calibri" w:hAnsi="Calibri" w:cs="Calibri"/>
          <w:sz w:val="14"/>
        </w:rPr>
        <w:t>−</w:t>
      </w:r>
      <w:r>
        <w:rPr>
          <w:sz w:val="14"/>
        </w:rPr>
        <w:t>p</w:t>
      </w:r>
      <w:r>
        <w:rPr>
          <w:rFonts w:ascii="Calibri" w:eastAsia="Calibri" w:hAnsi="Calibri" w:cs="Calibri"/>
        </w:rPr>
        <w:t>θ</w:t>
      </w:r>
      <w:proofErr w:type="spellEnd"/>
      <w:r>
        <w:t>)-,</w:t>
      </w:r>
      <w:proofErr w:type="spellStart"/>
      <w:r>
        <w:t>th</w:t>
      </w:r>
      <w:proofErr w:type="spellEnd"/>
      <w:r>
        <w:t xml:space="preserve"> quantile </w:t>
      </w:r>
      <w:proofErr w:type="spellStart"/>
      <w:r>
        <w:t>ofZ</w:t>
      </w:r>
      <w:r>
        <w:rPr>
          <w:vertAlign w:val="subscript"/>
        </w:rPr>
        <w:t>t</w:t>
      </w:r>
      <w:proofErr w:type="spellEnd"/>
      <w:r>
        <w:rPr>
          <w:vertAlign w:val="subscript"/>
        </w:rPr>
        <w:t xml:space="preserve"> </w:t>
      </w:r>
      <w:r>
        <w:rPr>
          <w:rFonts w:ascii="Calibri" w:eastAsia="Calibri" w:hAnsi="Calibri" w:cs="Calibri"/>
        </w:rPr>
        <w:t xml:space="preserve">= </w:t>
      </w:r>
      <w:r>
        <w:t>(</w:t>
      </w:r>
      <w:proofErr w:type="spellStart"/>
      <w:r>
        <w:t>X</w:t>
      </w:r>
      <w:r>
        <w:rPr>
          <w:vertAlign w:val="subscript"/>
        </w:rPr>
        <w:t>t</w:t>
      </w:r>
      <w:r>
        <w:rPr>
          <w:vertAlign w:val="superscript"/>
        </w:rPr>
        <w:t>n</w:t>
      </w:r>
      <w:proofErr w:type="spellEnd"/>
      <w:r>
        <w:rPr>
          <w:rFonts w:ascii="Calibri" w:eastAsia="Calibri" w:hAnsi="Calibri" w:cs="Calibri"/>
        </w:rPr>
        <w:t xml:space="preserve">, </w:t>
      </w:r>
      <w:proofErr w:type="spellStart"/>
      <w:r>
        <w:t>Y</w:t>
      </w:r>
      <w:r>
        <w:rPr>
          <w:vertAlign w:val="subscript"/>
        </w:rPr>
        <w:t>t</w:t>
      </w:r>
      <w:proofErr w:type="spellEnd"/>
      <w:r>
        <w:t xml:space="preserve">), </w:t>
      </w:r>
      <w:proofErr w:type="spellStart"/>
      <w:r>
        <w:t>andy</w:t>
      </w:r>
      <w:r>
        <w:rPr>
          <w:vertAlign w:val="subscript"/>
        </w:rPr>
        <w:t>t</w:t>
      </w:r>
      <w:proofErr w:type="spellEnd"/>
      <w:r>
        <w:rPr>
          <w:vertAlign w:val="subscript"/>
        </w:rPr>
        <w:t xml:space="preserve"> </w:t>
      </w:r>
      <w:r>
        <w:t>in tiimeF</w:t>
      </w:r>
      <w:r>
        <w:rPr>
          <w:vertAlign w:val="subscript"/>
        </w:rPr>
        <w:t>y</w:t>
      </w:r>
      <w:r>
        <w:rPr>
          <w:sz w:val="15"/>
          <w:vertAlign w:val="subscript"/>
        </w:rPr>
        <w:t>t</w:t>
      </w:r>
      <w:r>
        <w:rPr>
          <w:rFonts w:ascii="Calibri" w:eastAsia="Calibri" w:hAnsi="Calibri" w:cs="Calibri"/>
          <w:sz w:val="14"/>
        </w:rPr>
        <w:t>|</w:t>
      </w:r>
      <w:r>
        <w:rPr>
          <w:sz w:val="14"/>
        </w:rPr>
        <w:t>Z</w:t>
      </w:r>
      <w:r>
        <w:rPr>
          <w:sz w:val="14"/>
          <w:vertAlign w:val="subscript"/>
        </w:rPr>
        <w:t>t</w:t>
      </w:r>
      <w:r>
        <w:rPr>
          <w:rFonts w:ascii="Calibri" w:eastAsia="Calibri" w:hAnsi="Calibri" w:cs="Calibri"/>
          <w:sz w:val="14"/>
          <w:vertAlign w:val="subscript"/>
        </w:rPr>
        <w:t>−</w:t>
      </w:r>
      <w:r>
        <w:rPr>
          <w:sz w:val="10"/>
        </w:rPr>
        <w:t>1</w:t>
      </w:r>
      <w:r>
        <w:t>(</w:t>
      </w:r>
      <w:proofErr w:type="spellStart"/>
      <w:r>
        <w:t>yt</w:t>
      </w:r>
      <w:r>
        <w:rPr>
          <w:vertAlign w:val="subscript"/>
        </w:rPr>
        <w:t>t</w:t>
      </w:r>
      <w:r>
        <w:rPr>
          <w:rFonts w:ascii="Calibri" w:eastAsia="Calibri" w:hAnsi="Calibri" w:cs="Calibri"/>
        </w:rPr>
        <w:t>|</w:t>
      </w:r>
      <w:r>
        <w:t>and</w:t>
      </w:r>
      <w:proofErr w:type="spellEnd"/>
      <w:r>
        <w:t xml:space="preserve"> 0Z</w:t>
      </w:r>
      <w:r>
        <w:rPr>
          <w:vertAlign w:val="subscript"/>
        </w:rPr>
        <w:t>t</w:t>
      </w:r>
      <w:r>
        <w:rPr>
          <w:rFonts w:ascii="Calibri" w:eastAsia="Calibri" w:hAnsi="Calibri" w:cs="Calibri"/>
          <w:sz w:val="14"/>
        </w:rPr>
        <w:t>−</w:t>
      </w:r>
      <w:r>
        <w:rPr>
          <w:sz w:val="14"/>
        </w:rPr>
        <w:t>1</w:t>
      </w:r>
      <w:r>
        <w:t xml:space="preserve">) denote the conditional distribution </w:t>
      </w:r>
      <w:proofErr w:type="spellStart"/>
      <w:r>
        <w:t>func</w:t>
      </w:r>
      <w:proofErr w:type="spellEnd"/>
      <w:r>
        <w:rPr>
          <w:rFonts w:ascii="Calibri" w:eastAsia="Calibri" w:hAnsi="Calibri" w:cs="Calibri"/>
        </w:rPr>
        <w:t xml:space="preserve">&lt; θ &lt; </w:t>
      </w:r>
      <w:r>
        <w:t>1</w:t>
      </w:r>
      <w:r>
        <w:rPr>
          <w:vertAlign w:val="superscript"/>
        </w:rPr>
        <w:t xml:space="preserve">3 </w:t>
      </w:r>
      <w:r>
        <w:t>. Let Y</w:t>
      </w:r>
      <w:r>
        <w:rPr>
          <w:vertAlign w:val="subscript"/>
        </w:rPr>
        <w:t>t</w:t>
      </w:r>
      <w:r>
        <w:rPr>
          <w:rFonts w:ascii="Calibri" w:eastAsia="Calibri" w:hAnsi="Calibri" w:cs="Calibri"/>
          <w:sz w:val="14"/>
        </w:rPr>
        <w:t>−</w:t>
      </w:r>
      <w:r>
        <w:rPr>
          <w:sz w:val="14"/>
        </w:rPr>
        <w:t xml:space="preserve">1 </w:t>
      </w:r>
      <w:r>
        <w:rPr>
          <w:rFonts w:ascii="Calibri" w:eastAsia="Calibri" w:hAnsi="Calibri" w:cs="Calibri"/>
        </w:rPr>
        <w:t xml:space="preserve">≡ </w:t>
      </w:r>
      <w:r>
        <w:t>(y</w:t>
      </w:r>
      <w:r>
        <w:rPr>
          <w:vertAlign w:val="subscript"/>
        </w:rPr>
        <w:t>t</w:t>
      </w:r>
      <w:r>
        <w:rPr>
          <w:rFonts w:ascii="Calibri" w:eastAsia="Calibri" w:hAnsi="Calibri" w:cs="Calibri"/>
          <w:sz w:val="14"/>
        </w:rPr>
        <w:t>−</w:t>
      </w:r>
      <w:r>
        <w:rPr>
          <w:sz w:val="14"/>
        </w:rPr>
        <w:t>1</w:t>
      </w:r>
      <w:r>
        <w:rPr>
          <w:rFonts w:ascii="Calibri" w:eastAsia="Calibri" w:hAnsi="Calibri" w:cs="Calibri"/>
        </w:rPr>
        <w:t xml:space="preserve">, ..., </w:t>
      </w:r>
      <w:proofErr w:type="spellStart"/>
      <w:r>
        <w:t>y</w:t>
      </w:r>
      <w:r>
        <w:rPr>
          <w:vertAlign w:val="subscript"/>
        </w:rPr>
        <w:t>t</w:t>
      </w:r>
      <w:proofErr w:type="spellEnd"/>
      <w:r>
        <w:rPr>
          <w:rFonts w:ascii="Calibri" w:eastAsia="Calibri" w:hAnsi="Calibri" w:cs="Calibri"/>
          <w:sz w:val="14"/>
        </w:rPr>
        <w:t>−</w:t>
      </w:r>
      <w:r>
        <w:rPr>
          <w:sz w:val="14"/>
        </w:rPr>
        <w:t>p</w:t>
      </w:r>
      <w:r>
        <w:t>)-,</w:t>
      </w:r>
    </w:p>
    <w:p w14:paraId="17AE17EF" w14:textId="77777777" w:rsidR="001F2A0B" w:rsidRDefault="00BC538D">
      <w:pPr>
        <w:spacing w:after="706" w:line="345" w:lineRule="auto"/>
        <w:ind w:left="-5" w:right="347"/>
      </w:pPr>
      <w:r>
        <w:t>X</w:t>
      </w:r>
      <w:r>
        <w:rPr>
          <w:vertAlign w:val="subscript"/>
        </w:rPr>
        <w:t>t</w:t>
      </w:r>
      <w:r>
        <w:rPr>
          <w:rFonts w:ascii="Calibri" w:eastAsia="Calibri" w:hAnsi="Calibri" w:cs="Calibri"/>
          <w:sz w:val="14"/>
        </w:rPr>
        <w:t>−</w:t>
      </w:r>
      <w:r>
        <w:rPr>
          <w:sz w:val="14"/>
        </w:rPr>
        <w:t xml:space="preserve">1 </w:t>
      </w:r>
      <w:proofErr w:type="spellStart"/>
      <w:r>
        <w:t>tions</w:t>
      </w:r>
      <w:proofErr w:type="spellEnd"/>
      <w:r>
        <w:t xml:space="preserve"> of </w:t>
      </w:r>
      <w:proofErr w:type="spellStart"/>
      <w:r>
        <w:t>y</w:t>
      </w:r>
      <w:r>
        <w:rPr>
          <w:vertAlign w:val="subscript"/>
        </w:rPr>
        <w:t>t</w:t>
      </w:r>
      <w:proofErr w:type="spellEnd"/>
      <w:r>
        <w:rPr>
          <w:vertAlign w:val="subscript"/>
        </w:rPr>
        <w:t xml:space="preserve"> </w:t>
      </w:r>
      <w:proofErr w:type="gramStart"/>
      <w:r>
        <w:t>in a given</w:t>
      </w:r>
      <w:proofErr w:type="gramEnd"/>
      <w:r>
        <w:t xml:space="preserve"> Z</w:t>
      </w:r>
      <w:r>
        <w:rPr>
          <w:vertAlign w:val="subscript"/>
        </w:rPr>
        <w:t>t</w:t>
      </w:r>
      <w:r>
        <w:rPr>
          <w:rFonts w:ascii="Calibri" w:eastAsia="Calibri" w:hAnsi="Calibri" w:cs="Calibri"/>
          <w:sz w:val="14"/>
        </w:rPr>
        <w:t>−</w:t>
      </w:r>
      <w:r>
        <w:rPr>
          <w:sz w:val="14"/>
        </w:rPr>
        <w:t>1</w:t>
      </w:r>
      <w:r>
        <w:t>. In this way, we can express the hypothesis in the following form:</w:t>
      </w:r>
    </w:p>
    <w:tbl>
      <w:tblPr>
        <w:tblStyle w:val="TableGrid"/>
        <w:tblpPr w:vertAnchor="text" w:tblpX="2260" w:tblpY="-481"/>
        <w:tblOverlap w:val="never"/>
        <w:tblW w:w="5564" w:type="dxa"/>
        <w:tblInd w:w="0" w:type="dxa"/>
        <w:tblCellMar>
          <w:top w:w="34" w:type="dxa"/>
        </w:tblCellMar>
        <w:tblLook w:val="04A0" w:firstRow="1" w:lastRow="0" w:firstColumn="1" w:lastColumn="0" w:noHBand="0" w:noVBand="1"/>
      </w:tblPr>
      <w:tblGrid>
        <w:gridCol w:w="5330"/>
        <w:gridCol w:w="234"/>
      </w:tblGrid>
      <w:tr w:rsidR="001F2A0B" w14:paraId="52D1C039" w14:textId="77777777">
        <w:trPr>
          <w:trHeight w:val="798"/>
        </w:trPr>
        <w:tc>
          <w:tcPr>
            <w:tcW w:w="5335" w:type="dxa"/>
            <w:tcBorders>
              <w:top w:val="nil"/>
              <w:left w:val="nil"/>
              <w:bottom w:val="nil"/>
              <w:right w:val="nil"/>
            </w:tcBorders>
          </w:tcPr>
          <w:p w14:paraId="0CD8D88F" w14:textId="77777777" w:rsidR="001F2A0B" w:rsidRDefault="00BC538D">
            <w:pPr>
              <w:spacing w:after="454" w:line="259" w:lineRule="auto"/>
              <w:ind w:left="0" w:right="0" w:firstLine="0"/>
              <w:jc w:val="left"/>
            </w:pPr>
            <w:r>
              <w:t>H</w:t>
            </w:r>
            <w:r>
              <w:rPr>
                <w:sz w:val="14"/>
              </w:rPr>
              <w:t xml:space="preserve">0 </w:t>
            </w:r>
            <w:r>
              <w:rPr>
                <w:rFonts w:ascii="Calibri" w:eastAsia="Calibri" w:hAnsi="Calibri" w:cs="Calibri"/>
              </w:rPr>
              <w:t xml:space="preserve">= </w:t>
            </w:r>
            <w:r>
              <w:t xml:space="preserve">P </w:t>
            </w:r>
            <w:proofErr w:type="gramStart"/>
            <w:r>
              <w:t>F</w:t>
            </w:r>
            <w:r>
              <w:rPr>
                <w:rFonts w:ascii="Calibri" w:eastAsia="Calibri" w:hAnsi="Calibri" w:cs="Calibri"/>
              </w:rPr>
              <w:t xml:space="preserve">  </w:t>
            </w:r>
            <w:r>
              <w:rPr>
                <w:sz w:val="14"/>
              </w:rPr>
              <w:t>y</w:t>
            </w:r>
            <w:r>
              <w:rPr>
                <w:sz w:val="10"/>
              </w:rPr>
              <w:t>t</w:t>
            </w:r>
            <w:proofErr w:type="gramEnd"/>
            <w:r>
              <w:rPr>
                <w:rFonts w:ascii="Calibri" w:eastAsia="Calibri" w:hAnsi="Calibri" w:cs="Calibri"/>
                <w:sz w:val="14"/>
              </w:rPr>
              <w:t>|</w:t>
            </w:r>
            <w:r>
              <w:rPr>
                <w:sz w:val="14"/>
              </w:rPr>
              <w:t>Z</w:t>
            </w:r>
            <w:r>
              <w:rPr>
                <w:sz w:val="10"/>
              </w:rPr>
              <w:t>t</w:t>
            </w:r>
            <w:r>
              <w:rPr>
                <w:rFonts w:ascii="Calibri" w:eastAsia="Calibri" w:hAnsi="Calibri" w:cs="Calibri"/>
                <w:sz w:val="10"/>
              </w:rPr>
              <w:t>−</w:t>
            </w:r>
            <w:r>
              <w:rPr>
                <w:sz w:val="10"/>
              </w:rPr>
              <w:t>1</w:t>
            </w:r>
            <w:r>
              <w:rPr>
                <w:rFonts w:ascii="Calibri" w:eastAsia="Calibri" w:hAnsi="Calibri" w:cs="Calibri"/>
              </w:rPr>
              <w:t>{</w:t>
            </w:r>
            <w:proofErr w:type="spellStart"/>
            <w:r>
              <w:t>Q</w:t>
            </w:r>
            <w:r>
              <w:rPr>
                <w:rFonts w:ascii="Calibri" w:eastAsia="Calibri" w:hAnsi="Calibri" w:cs="Calibri"/>
                <w:sz w:val="14"/>
              </w:rPr>
              <w:t>θ</w:t>
            </w:r>
            <w:proofErr w:type="spellEnd"/>
            <w:r>
              <w:rPr>
                <w:rFonts w:ascii="Calibri" w:eastAsia="Calibri" w:hAnsi="Calibri" w:cs="Calibri"/>
              </w:rPr>
              <w:t>(</w:t>
            </w:r>
            <w:r>
              <w:t>Y</w:t>
            </w:r>
            <w:r>
              <w:rPr>
                <w:sz w:val="14"/>
              </w:rPr>
              <w:t>t</w:t>
            </w:r>
            <w:r>
              <w:rPr>
                <w:rFonts w:ascii="Calibri" w:eastAsia="Calibri" w:hAnsi="Calibri" w:cs="Calibri"/>
                <w:sz w:val="14"/>
              </w:rPr>
              <w:t>−</w:t>
            </w:r>
            <w:r>
              <w:rPr>
                <w:sz w:val="14"/>
              </w:rPr>
              <w:t>1</w:t>
            </w:r>
            <w:r>
              <w:rPr>
                <w:rFonts w:ascii="Calibri" w:eastAsia="Calibri" w:hAnsi="Calibri" w:cs="Calibri"/>
              </w:rPr>
              <w:t>)|</w:t>
            </w:r>
            <w:r>
              <w:t>Z</w:t>
            </w:r>
            <w:r>
              <w:rPr>
                <w:sz w:val="14"/>
              </w:rPr>
              <w:t>t</w:t>
            </w:r>
            <w:r>
              <w:rPr>
                <w:rFonts w:ascii="Calibri" w:eastAsia="Calibri" w:hAnsi="Calibri" w:cs="Calibri"/>
                <w:sz w:val="14"/>
              </w:rPr>
              <w:t>−</w:t>
            </w:r>
            <w:r>
              <w:rPr>
                <w:sz w:val="14"/>
              </w:rPr>
              <w:t>1</w:t>
            </w:r>
            <w:r>
              <w:rPr>
                <w:rFonts w:ascii="Calibri" w:eastAsia="Calibri" w:hAnsi="Calibri" w:cs="Calibri"/>
              </w:rPr>
              <w:t xml:space="preserve">} = θ = </w:t>
            </w:r>
            <w:r>
              <w:t>1</w:t>
            </w:r>
          </w:p>
          <w:p w14:paraId="75F8AA48" w14:textId="77777777" w:rsidR="001F2A0B" w:rsidRDefault="00BC538D">
            <w:pPr>
              <w:spacing w:after="0" w:line="259" w:lineRule="auto"/>
              <w:ind w:left="22" w:right="0" w:firstLine="0"/>
              <w:jc w:val="left"/>
            </w:pPr>
            <w:r>
              <w:t>H</w:t>
            </w:r>
            <w:r>
              <w:rPr>
                <w:sz w:val="14"/>
              </w:rPr>
              <w:t xml:space="preserve">1 </w:t>
            </w:r>
            <w:r>
              <w:rPr>
                <w:rFonts w:ascii="Calibri" w:eastAsia="Calibri" w:hAnsi="Calibri" w:cs="Calibri"/>
              </w:rPr>
              <w:t xml:space="preserve">= </w:t>
            </w:r>
            <w:r>
              <w:t xml:space="preserve">P </w:t>
            </w:r>
            <w:proofErr w:type="spellStart"/>
            <w:r>
              <w:t>F</w:t>
            </w:r>
            <w:r>
              <w:rPr>
                <w:sz w:val="14"/>
              </w:rPr>
              <w:t>y</w:t>
            </w:r>
            <w:r>
              <w:rPr>
                <w:sz w:val="10"/>
              </w:rPr>
              <w:t>t</w:t>
            </w:r>
            <w:r>
              <w:rPr>
                <w:rFonts w:ascii="Calibri" w:eastAsia="Calibri" w:hAnsi="Calibri" w:cs="Calibri"/>
                <w:sz w:val="14"/>
              </w:rPr>
              <w:t>|</w:t>
            </w:r>
            <w:r>
              <w:rPr>
                <w:sz w:val="14"/>
              </w:rPr>
              <w:t>Z</w:t>
            </w:r>
            <w:r>
              <w:rPr>
                <w:sz w:val="10"/>
              </w:rPr>
              <w:t>t</w:t>
            </w:r>
            <w:proofErr w:type="spellEnd"/>
            <w:r>
              <w:rPr>
                <w:sz w:val="10"/>
              </w:rPr>
              <w:t xml:space="preserve"> 1</w:t>
            </w:r>
            <w:r>
              <w:rPr>
                <w:rFonts w:ascii="Calibri" w:eastAsia="Calibri" w:hAnsi="Calibri" w:cs="Calibri"/>
              </w:rPr>
              <w:t>{</w:t>
            </w:r>
            <w:proofErr w:type="spellStart"/>
            <w:r>
              <w:t>Q</w:t>
            </w:r>
            <w:r>
              <w:rPr>
                <w:rFonts w:ascii="Calibri" w:eastAsia="Calibri" w:hAnsi="Calibri" w:cs="Calibri"/>
                <w:sz w:val="14"/>
              </w:rPr>
              <w:t>θ</w:t>
            </w:r>
            <w:proofErr w:type="spellEnd"/>
            <w:r>
              <w:rPr>
                <w:rFonts w:ascii="Calibri" w:eastAsia="Calibri" w:hAnsi="Calibri" w:cs="Calibri"/>
              </w:rPr>
              <w:t>(</w:t>
            </w:r>
            <w:r>
              <w:t>Y</w:t>
            </w:r>
            <w:r>
              <w:rPr>
                <w:sz w:val="14"/>
              </w:rPr>
              <w:t>t</w:t>
            </w:r>
            <w:r>
              <w:rPr>
                <w:rFonts w:ascii="Calibri" w:eastAsia="Calibri" w:hAnsi="Calibri" w:cs="Calibri"/>
                <w:sz w:val="14"/>
              </w:rPr>
              <w:t>−</w:t>
            </w:r>
            <w:proofErr w:type="gramStart"/>
            <w:r>
              <w:rPr>
                <w:sz w:val="14"/>
              </w:rPr>
              <w:t>1</w:t>
            </w:r>
            <w:r>
              <w:rPr>
                <w:rFonts w:ascii="Calibri" w:eastAsia="Calibri" w:hAnsi="Calibri" w:cs="Calibri"/>
              </w:rPr>
              <w:t>)|</w:t>
            </w:r>
            <w:proofErr w:type="gramEnd"/>
            <w:r>
              <w:t>Z</w:t>
            </w:r>
            <w:r>
              <w:rPr>
                <w:sz w:val="14"/>
              </w:rPr>
              <w:t>t</w:t>
            </w:r>
            <w:r>
              <w:rPr>
                <w:rFonts w:ascii="Calibri" w:eastAsia="Calibri" w:hAnsi="Calibri" w:cs="Calibri"/>
                <w:sz w:val="14"/>
              </w:rPr>
              <w:t>−</w:t>
            </w:r>
            <w:r>
              <w:rPr>
                <w:sz w:val="14"/>
              </w:rPr>
              <w:t>1</w:t>
            </w:r>
            <w:r>
              <w:rPr>
                <w:rFonts w:ascii="Calibri" w:eastAsia="Calibri" w:hAnsi="Calibri" w:cs="Calibri"/>
              </w:rPr>
              <w:t xml:space="preserve">} = θ &lt; </w:t>
            </w:r>
            <w:r>
              <w:t>1</w:t>
            </w:r>
          </w:p>
        </w:tc>
        <w:tc>
          <w:tcPr>
            <w:tcW w:w="229" w:type="dxa"/>
            <w:tcBorders>
              <w:top w:val="nil"/>
              <w:left w:val="nil"/>
              <w:bottom w:val="nil"/>
              <w:right w:val="nil"/>
            </w:tcBorders>
          </w:tcPr>
          <w:p w14:paraId="5FA97F2B" w14:textId="77777777" w:rsidR="001F2A0B" w:rsidRDefault="00BC538D">
            <w:pPr>
              <w:spacing w:after="187" w:line="259" w:lineRule="auto"/>
              <w:ind w:left="0" w:right="0" w:firstLine="0"/>
            </w:pPr>
            <w:r>
              <w:t>(8)</w:t>
            </w:r>
          </w:p>
          <w:p w14:paraId="04808DEF" w14:textId="77777777" w:rsidR="001F2A0B" w:rsidRDefault="00BC538D">
            <w:pPr>
              <w:spacing w:after="0" w:line="259" w:lineRule="auto"/>
              <w:ind w:left="0" w:right="0" w:firstLine="0"/>
            </w:pPr>
            <w:r>
              <w:t>(9)</w:t>
            </w:r>
          </w:p>
        </w:tc>
      </w:tr>
    </w:tbl>
    <w:p w14:paraId="53C81F9A" w14:textId="77777777" w:rsidR="001F2A0B" w:rsidRDefault="00BC538D">
      <w:pPr>
        <w:tabs>
          <w:tab w:val="center" w:pos="2780"/>
          <w:tab w:val="center" w:pos="3284"/>
          <w:tab w:val="center" w:pos="5010"/>
        </w:tabs>
        <w:spacing w:after="0" w:line="259" w:lineRule="auto"/>
        <w:ind w:left="0" w:right="0" w:firstLine="0"/>
        <w:jc w:val="left"/>
      </w:pPr>
      <w:r>
        <w:rPr>
          <w:rFonts w:ascii="Calibri" w:eastAsia="Calibri" w:hAnsi="Calibri" w:cs="Calibri"/>
          <w:sz w:val="22"/>
        </w:rPr>
        <w:tab/>
      </w:r>
      <w:r>
        <w:rPr>
          <w:rFonts w:ascii="Calibri" w:eastAsia="Calibri" w:hAnsi="Calibri" w:cs="Calibri"/>
        </w:rPr>
        <w:t xml:space="preserve"> </w:t>
      </w:r>
      <w:r>
        <w:rPr>
          <w:rFonts w:ascii="Calibri" w:eastAsia="Calibri" w:hAnsi="Calibri" w:cs="Calibri"/>
        </w:rPr>
        <w:tab/>
      </w:r>
      <w:r>
        <w:rPr>
          <w:rFonts w:ascii="Calibri" w:eastAsia="Calibri" w:hAnsi="Calibri" w:cs="Calibri"/>
          <w:sz w:val="10"/>
        </w:rPr>
        <w:t>−</w:t>
      </w:r>
      <w:r>
        <w:rPr>
          <w:rFonts w:ascii="Calibri" w:eastAsia="Calibri" w:hAnsi="Calibri" w:cs="Calibri"/>
          <w:sz w:val="10"/>
        </w:rPr>
        <w:tab/>
      </w:r>
    </w:p>
    <w:p w14:paraId="3F712911" w14:textId="77777777" w:rsidR="001F2A0B" w:rsidRDefault="00BC538D">
      <w:pPr>
        <w:spacing w:after="509"/>
        <w:ind w:left="-5" w:right="0"/>
      </w:pPr>
      <w:r>
        <w:t xml:space="preserve">In this step, </w:t>
      </w:r>
      <w:proofErr w:type="spellStart"/>
      <w:r>
        <w:t>Jeong</w:t>
      </w:r>
      <w:proofErr w:type="spellEnd"/>
      <w:r>
        <w:t xml:space="preserve"> et al.</w:t>
      </w:r>
      <w:r>
        <w:rPr>
          <w:vertAlign w:val="superscript"/>
        </w:rPr>
        <w:t xml:space="preserve">18 </w:t>
      </w:r>
      <w:r>
        <w:t>considers the following form of distance measurement</w:t>
      </w:r>
    </w:p>
    <w:p w14:paraId="73414E02" w14:textId="77777777" w:rsidR="001F2A0B" w:rsidRDefault="00BC538D">
      <w:pPr>
        <w:tabs>
          <w:tab w:val="center" w:pos="3865"/>
          <w:tab w:val="right" w:pos="7825"/>
        </w:tabs>
        <w:spacing w:after="503" w:line="259" w:lineRule="auto"/>
        <w:ind w:left="0" w:right="-13" w:firstLine="0"/>
        <w:jc w:val="left"/>
      </w:pPr>
      <w:r>
        <w:rPr>
          <w:rFonts w:ascii="Calibri" w:eastAsia="Calibri" w:hAnsi="Calibri" w:cs="Calibri"/>
          <w:sz w:val="22"/>
        </w:rPr>
        <w:tab/>
      </w:r>
      <w:r>
        <w:t xml:space="preserve">J </w:t>
      </w:r>
      <w:r>
        <w:rPr>
          <w:rFonts w:ascii="Calibri" w:eastAsia="Calibri" w:hAnsi="Calibri" w:cs="Calibri"/>
        </w:rPr>
        <w:t xml:space="preserve">= </w:t>
      </w:r>
      <w:r>
        <w:t>E</w:t>
      </w:r>
      <w:r>
        <w:rPr>
          <w:rFonts w:ascii="Calibri" w:eastAsia="Calibri" w:hAnsi="Calibri" w:cs="Calibri"/>
        </w:rPr>
        <w:t xml:space="preserve"> </w:t>
      </w:r>
      <w:proofErr w:type="spellStart"/>
      <w:r>
        <w:t>F</w:t>
      </w:r>
      <w:r>
        <w:rPr>
          <w:sz w:val="14"/>
        </w:rPr>
        <w:t>y</w:t>
      </w:r>
      <w:r>
        <w:rPr>
          <w:sz w:val="10"/>
        </w:rPr>
        <w:t>t</w:t>
      </w:r>
      <w:proofErr w:type="spellEnd"/>
      <w:r>
        <w:rPr>
          <w:sz w:val="10"/>
        </w:rPr>
        <w:t xml:space="preserve"> </w:t>
      </w:r>
      <w:r>
        <w:rPr>
          <w:rFonts w:ascii="Calibri" w:eastAsia="Calibri" w:hAnsi="Calibri" w:cs="Calibri"/>
        </w:rPr>
        <w:t>|</w:t>
      </w:r>
      <w:r>
        <w:t>Z</w:t>
      </w:r>
      <w:r>
        <w:rPr>
          <w:sz w:val="14"/>
        </w:rPr>
        <w:t>t</w:t>
      </w:r>
      <w:r>
        <w:rPr>
          <w:rFonts w:ascii="Calibri" w:eastAsia="Calibri" w:hAnsi="Calibri" w:cs="Calibri"/>
          <w:sz w:val="14"/>
        </w:rPr>
        <w:t>−</w:t>
      </w:r>
      <w:r>
        <w:rPr>
          <w:sz w:val="14"/>
        </w:rPr>
        <w:t>1</w:t>
      </w:r>
      <w:r>
        <w:rPr>
          <w:rFonts w:ascii="Calibri" w:eastAsia="Calibri" w:hAnsi="Calibri" w:cs="Calibri"/>
        </w:rPr>
        <w:t>{</w:t>
      </w:r>
      <w:proofErr w:type="spellStart"/>
      <w:r>
        <w:t>Q</w:t>
      </w:r>
      <w:r>
        <w:rPr>
          <w:rFonts w:ascii="Calibri" w:eastAsia="Calibri" w:hAnsi="Calibri" w:cs="Calibri"/>
          <w:sz w:val="14"/>
        </w:rPr>
        <w:t>θ</w:t>
      </w:r>
      <w:proofErr w:type="spellEnd"/>
      <w:r>
        <w:rPr>
          <w:rFonts w:ascii="Calibri" w:eastAsia="Calibri" w:hAnsi="Calibri" w:cs="Calibri"/>
        </w:rPr>
        <w:t>(</w:t>
      </w:r>
      <w:r>
        <w:t>Y</w:t>
      </w:r>
      <w:r>
        <w:rPr>
          <w:sz w:val="14"/>
        </w:rPr>
        <w:t>t</w:t>
      </w:r>
      <w:r>
        <w:rPr>
          <w:rFonts w:ascii="Calibri" w:eastAsia="Calibri" w:hAnsi="Calibri" w:cs="Calibri"/>
          <w:sz w:val="14"/>
        </w:rPr>
        <w:t>−</w:t>
      </w:r>
      <w:proofErr w:type="gramStart"/>
      <w:r>
        <w:rPr>
          <w:sz w:val="14"/>
        </w:rPr>
        <w:t>1</w:t>
      </w:r>
      <w:r>
        <w:rPr>
          <w:rFonts w:ascii="Calibri" w:eastAsia="Calibri" w:hAnsi="Calibri" w:cs="Calibri"/>
        </w:rPr>
        <w:t>)|</w:t>
      </w:r>
      <w:proofErr w:type="gramEnd"/>
      <w:r>
        <w:t>Z</w:t>
      </w:r>
      <w:r>
        <w:rPr>
          <w:sz w:val="14"/>
        </w:rPr>
        <w:t>t</w:t>
      </w:r>
      <w:r>
        <w:rPr>
          <w:rFonts w:ascii="Calibri" w:eastAsia="Calibri" w:hAnsi="Calibri" w:cs="Calibri"/>
          <w:sz w:val="14"/>
        </w:rPr>
        <w:t>−</w:t>
      </w:r>
      <w:r>
        <w:rPr>
          <w:sz w:val="14"/>
        </w:rPr>
        <w:t>1</w:t>
      </w:r>
      <w:r>
        <w:rPr>
          <w:rFonts w:ascii="Calibri" w:eastAsia="Calibri" w:hAnsi="Calibri" w:cs="Calibri"/>
        </w:rPr>
        <w:t>} − θ</w:t>
      </w:r>
      <w:r>
        <w:rPr>
          <w:sz w:val="14"/>
        </w:rPr>
        <w:t>2</w:t>
      </w:r>
      <w:r>
        <w:t>f</w:t>
      </w:r>
      <w:r>
        <w:rPr>
          <w:sz w:val="14"/>
        </w:rPr>
        <w:t>Z</w:t>
      </w:r>
      <w:r>
        <w:rPr>
          <w:rFonts w:ascii="Calibri" w:eastAsia="Calibri" w:hAnsi="Calibri" w:cs="Calibri"/>
        </w:rPr>
        <w:t>(</w:t>
      </w:r>
      <w:r>
        <w:t>Z</w:t>
      </w:r>
      <w:r>
        <w:rPr>
          <w:sz w:val="14"/>
        </w:rPr>
        <w:t>t</w:t>
      </w:r>
      <w:r>
        <w:rPr>
          <w:rFonts w:ascii="Calibri" w:eastAsia="Calibri" w:hAnsi="Calibri" w:cs="Calibri"/>
          <w:sz w:val="14"/>
        </w:rPr>
        <w:t>−</w:t>
      </w:r>
      <w:r>
        <w:rPr>
          <w:sz w:val="14"/>
        </w:rPr>
        <w:t>1</w:t>
      </w:r>
      <w:r>
        <w:rPr>
          <w:rFonts w:ascii="Calibri" w:eastAsia="Calibri" w:hAnsi="Calibri" w:cs="Calibri"/>
        </w:rPr>
        <w:t xml:space="preserve">) </w:t>
      </w:r>
      <w:r>
        <w:rPr>
          <w:rFonts w:ascii="Calibri" w:eastAsia="Calibri" w:hAnsi="Calibri" w:cs="Calibri"/>
        </w:rPr>
        <w:tab/>
      </w:r>
      <w:r>
        <w:t>(10)</w:t>
      </w:r>
    </w:p>
    <w:p w14:paraId="2B5AA4F4" w14:textId="77777777" w:rsidR="001F2A0B" w:rsidRDefault="00BC538D">
      <w:pPr>
        <w:spacing w:after="116"/>
        <w:ind w:left="-5" w:right="0"/>
      </w:pPr>
      <w:r>
        <w:t xml:space="preserve">where </w:t>
      </w:r>
      <w:proofErr w:type="spellStart"/>
      <w:proofErr w:type="gramStart"/>
      <w:r>
        <w:t>f</w:t>
      </w:r>
      <w:r>
        <w:rPr>
          <w:vertAlign w:val="subscript"/>
        </w:rPr>
        <w:t>Z</w:t>
      </w:r>
      <w:proofErr w:type="spellEnd"/>
      <w:r>
        <w:t>(</w:t>
      </w:r>
      <w:proofErr w:type="gramEnd"/>
      <w:r>
        <w:t>Z</w:t>
      </w:r>
      <w:r>
        <w:rPr>
          <w:vertAlign w:val="subscript"/>
        </w:rPr>
        <w:t>t</w:t>
      </w:r>
      <w:r>
        <w:rPr>
          <w:rFonts w:ascii="Calibri" w:eastAsia="Calibri" w:hAnsi="Calibri" w:cs="Calibri"/>
          <w:sz w:val="14"/>
        </w:rPr>
        <w:t>−</w:t>
      </w:r>
      <w:r>
        <w:rPr>
          <w:sz w:val="14"/>
        </w:rPr>
        <w:t>1</w:t>
      </w:r>
      <w:r>
        <w:t>) is the marginal density function of Z</w:t>
      </w:r>
      <w:r>
        <w:rPr>
          <w:vertAlign w:val="subscript"/>
        </w:rPr>
        <w:t>t</w:t>
      </w:r>
      <w:r>
        <w:rPr>
          <w:rFonts w:ascii="Calibri" w:eastAsia="Calibri" w:hAnsi="Calibri" w:cs="Calibri"/>
          <w:sz w:val="14"/>
        </w:rPr>
        <w:t>−</w:t>
      </w:r>
      <w:r>
        <w:rPr>
          <w:sz w:val="14"/>
        </w:rPr>
        <w:t>1</w:t>
      </w:r>
      <w:r>
        <w:t xml:space="preserve">. Note that J </w:t>
      </w:r>
      <w:r>
        <w:rPr>
          <w:rFonts w:ascii="Calibri" w:eastAsia="Calibri" w:hAnsi="Calibri" w:cs="Calibri"/>
        </w:rPr>
        <w:t xml:space="preserve">≥ </w:t>
      </w:r>
      <w:r>
        <w:t>0, if and only if, H</w:t>
      </w:r>
      <w:r>
        <w:rPr>
          <w:vertAlign w:val="subscript"/>
        </w:rPr>
        <w:t xml:space="preserve">0 </w:t>
      </w:r>
      <w:r>
        <w:t>is true.</w:t>
      </w:r>
    </w:p>
    <w:p w14:paraId="4F76F2CA" w14:textId="77777777" w:rsidR="001F2A0B" w:rsidRDefault="00BC538D">
      <w:pPr>
        <w:spacing w:after="176"/>
        <w:ind w:left="-5" w:right="0"/>
      </w:pPr>
      <w:r>
        <w:t>Therefore, we can use J to test H</w:t>
      </w:r>
      <w:r>
        <w:rPr>
          <w:vertAlign w:val="subscript"/>
        </w:rPr>
        <w:t xml:space="preserve">0 </w:t>
      </w:r>
      <w:r>
        <w:t>consistently. The kernel-based test statistic for J is</w:t>
      </w:r>
    </w:p>
    <w:p w14:paraId="214D1A88" w14:textId="77777777" w:rsidR="001F2A0B" w:rsidRDefault="00BC538D">
      <w:pPr>
        <w:tabs>
          <w:tab w:val="center" w:pos="4004"/>
          <w:tab w:val="center" w:pos="4576"/>
        </w:tabs>
        <w:spacing w:after="0" w:line="259" w:lineRule="auto"/>
        <w:ind w:left="0" w:right="0" w:firstLine="0"/>
        <w:jc w:val="left"/>
      </w:pPr>
      <w:r>
        <w:rPr>
          <w:rFonts w:ascii="Calibri" w:eastAsia="Calibri" w:hAnsi="Calibri" w:cs="Calibri"/>
          <w:sz w:val="22"/>
        </w:rPr>
        <w:tab/>
      </w:r>
      <w:r>
        <w:rPr>
          <w:sz w:val="14"/>
        </w:rPr>
        <w:t>T</w:t>
      </w:r>
      <w:r>
        <w:rPr>
          <w:sz w:val="14"/>
        </w:rPr>
        <w:tab/>
      </w:r>
      <w:proofErr w:type="spellStart"/>
      <w:r>
        <w:rPr>
          <w:sz w:val="14"/>
        </w:rPr>
        <w:t>T</w:t>
      </w:r>
      <w:proofErr w:type="spellEnd"/>
    </w:p>
    <w:p w14:paraId="25FFA382" w14:textId="77777777" w:rsidR="001F2A0B" w:rsidRDefault="00BC538D">
      <w:pPr>
        <w:tabs>
          <w:tab w:val="center" w:pos="3907"/>
          <w:tab w:val="right" w:pos="7825"/>
        </w:tabs>
        <w:spacing w:after="0" w:line="259" w:lineRule="auto"/>
        <w:ind w:left="0" w:right="0" w:firstLine="0"/>
        <w:jc w:val="left"/>
      </w:pPr>
      <w:r>
        <w:rPr>
          <w:rFonts w:ascii="Calibri" w:eastAsia="Calibri" w:hAnsi="Calibri" w:cs="Calibri"/>
          <w:sz w:val="22"/>
        </w:rPr>
        <w:tab/>
      </w:r>
      <w:r>
        <w:t>J</w:t>
      </w:r>
      <w:r>
        <w:rPr>
          <w:rFonts w:ascii="Calibri" w:eastAsia="Calibri" w:hAnsi="Calibri" w:cs="Calibri"/>
        </w:rPr>
        <w:t>ˆ</w:t>
      </w:r>
      <w:r>
        <w:rPr>
          <w:sz w:val="14"/>
        </w:rPr>
        <w:t xml:space="preserve">T </w:t>
      </w:r>
      <w:r>
        <w:rPr>
          <w:noProof/>
        </w:rPr>
        <w:drawing>
          <wp:inline distT="0" distB="0" distL="0" distR="0" wp14:anchorId="1341A9BC" wp14:editId="59194DD6">
            <wp:extent cx="1481328" cy="335280"/>
            <wp:effectExtent l="0" t="0" r="0" b="0"/>
            <wp:docPr id="31622" name="Picture 31622"/>
            <wp:cNvGraphicFramePr/>
            <a:graphic xmlns:a="http://schemas.openxmlformats.org/drawingml/2006/main">
              <a:graphicData uri="http://schemas.openxmlformats.org/drawingml/2006/picture">
                <pic:pic xmlns:pic="http://schemas.openxmlformats.org/drawingml/2006/picture">
                  <pic:nvPicPr>
                    <pic:cNvPr id="31622" name="Picture 31622"/>
                    <pic:cNvPicPr/>
                  </pic:nvPicPr>
                  <pic:blipFill>
                    <a:blip r:embed="rId16"/>
                    <a:stretch>
                      <a:fillRect/>
                    </a:stretch>
                  </pic:blipFill>
                  <pic:spPr>
                    <a:xfrm>
                      <a:off x="0" y="0"/>
                      <a:ext cx="1481328" cy="335280"/>
                    </a:xfrm>
                    <a:prstGeom prst="rect">
                      <a:avLst/>
                    </a:prstGeom>
                  </pic:spPr>
                </pic:pic>
              </a:graphicData>
            </a:graphic>
          </wp:inline>
        </w:drawing>
      </w:r>
      <w:r>
        <w:t xml:space="preserve"> </w:t>
      </w:r>
      <w:proofErr w:type="spellStart"/>
      <w:r>
        <w:t>K</w:t>
      </w:r>
      <w:r>
        <w:rPr>
          <w:sz w:val="14"/>
        </w:rPr>
        <w:t>ts</w:t>
      </w:r>
      <w:r>
        <w:rPr>
          <w:rFonts w:ascii="Calibri" w:eastAsia="Calibri" w:hAnsi="Calibri" w:cs="Calibri"/>
        </w:rPr>
        <w:t>εˆ</w:t>
      </w:r>
      <w:r>
        <w:rPr>
          <w:sz w:val="14"/>
        </w:rPr>
        <w:t>t</w:t>
      </w:r>
      <w:r>
        <w:rPr>
          <w:rFonts w:ascii="Calibri" w:eastAsia="Calibri" w:hAnsi="Calibri" w:cs="Calibri"/>
        </w:rPr>
        <w:t>εˆ</w:t>
      </w:r>
      <w:r>
        <w:rPr>
          <w:sz w:val="14"/>
        </w:rPr>
        <w:t>s</w:t>
      </w:r>
      <w:proofErr w:type="spellEnd"/>
      <w:r>
        <w:rPr>
          <w:sz w:val="14"/>
        </w:rPr>
        <w:tab/>
      </w:r>
      <w:r>
        <w:t>(11)</w:t>
      </w:r>
    </w:p>
    <w:p w14:paraId="5B306C5F" w14:textId="77777777" w:rsidR="001F2A0B" w:rsidRDefault="00BC538D">
      <w:pPr>
        <w:tabs>
          <w:tab w:val="center" w:pos="2337"/>
          <w:tab w:val="center" w:pos="2911"/>
        </w:tabs>
        <w:spacing w:after="213" w:line="259" w:lineRule="auto"/>
        <w:ind w:left="0" w:right="0" w:firstLine="0"/>
        <w:jc w:val="left"/>
      </w:pPr>
      <w:r>
        <w:rPr>
          <w:rFonts w:ascii="Calibri" w:eastAsia="Calibri" w:hAnsi="Calibri" w:cs="Calibri"/>
          <w:sz w:val="22"/>
        </w:rPr>
        <w:tab/>
      </w:r>
      <w:r>
        <w:rPr>
          <w:sz w:val="14"/>
        </w:rPr>
        <w:t>T</w:t>
      </w:r>
      <w:r>
        <w:rPr>
          <w:sz w:val="14"/>
        </w:rPr>
        <w:tab/>
      </w:r>
      <w:proofErr w:type="spellStart"/>
      <w:r>
        <w:rPr>
          <w:sz w:val="14"/>
        </w:rPr>
        <w:t>T</w:t>
      </w:r>
      <w:proofErr w:type="spellEnd"/>
    </w:p>
    <w:p w14:paraId="6BBA508D" w14:textId="77777777" w:rsidR="001F2A0B" w:rsidRDefault="00BC538D">
      <w:pPr>
        <w:tabs>
          <w:tab w:val="center" w:pos="2344"/>
          <w:tab w:val="center" w:pos="2916"/>
          <w:tab w:val="center" w:pos="5097"/>
          <w:tab w:val="right" w:pos="7825"/>
        </w:tabs>
        <w:spacing w:after="193" w:line="259" w:lineRule="auto"/>
        <w:ind w:left="0" w:right="-13" w:firstLine="0"/>
        <w:jc w:val="left"/>
      </w:pPr>
      <w:r>
        <w:rPr>
          <w:noProof/>
        </w:rPr>
        <w:drawing>
          <wp:anchor distT="0" distB="0" distL="114300" distR="114300" simplePos="0" relativeHeight="251661312" behindDoc="0" locked="0" layoutInCell="1" allowOverlap="0" wp14:anchorId="3ACC01F4" wp14:editId="3F73C71B">
            <wp:simplePos x="0" y="0"/>
            <wp:positionH relativeFrom="column">
              <wp:posOffset>583201</wp:posOffset>
            </wp:positionH>
            <wp:positionV relativeFrom="paragraph">
              <wp:posOffset>-74820</wp:posOffset>
            </wp:positionV>
            <wp:extent cx="752856" cy="286512"/>
            <wp:effectExtent l="0" t="0" r="0" b="0"/>
            <wp:wrapSquare wrapText="bothSides"/>
            <wp:docPr id="31623" name="Picture 31623"/>
            <wp:cNvGraphicFramePr/>
            <a:graphic xmlns:a="http://schemas.openxmlformats.org/drawingml/2006/main">
              <a:graphicData uri="http://schemas.openxmlformats.org/drawingml/2006/picture">
                <pic:pic xmlns:pic="http://schemas.openxmlformats.org/drawingml/2006/picture">
                  <pic:nvPicPr>
                    <pic:cNvPr id="31623" name="Picture 31623"/>
                    <pic:cNvPicPr/>
                  </pic:nvPicPr>
                  <pic:blipFill>
                    <a:blip r:embed="rId17"/>
                    <a:stretch>
                      <a:fillRect/>
                    </a:stretch>
                  </pic:blipFill>
                  <pic:spPr>
                    <a:xfrm>
                      <a:off x="0" y="0"/>
                      <a:ext cx="752856" cy="286512"/>
                    </a:xfrm>
                    <a:prstGeom prst="rect">
                      <a:avLst/>
                    </a:prstGeom>
                  </pic:spPr>
                </pic:pic>
              </a:graphicData>
            </a:graphic>
          </wp:anchor>
        </w:drawing>
      </w:r>
      <w:r>
        <w:rPr>
          <w:rFonts w:ascii="Calibri" w:eastAsia="Calibri" w:hAnsi="Calibri" w:cs="Calibri"/>
          <w:sz w:val="22"/>
        </w:rPr>
        <w:tab/>
      </w:r>
      <w:r>
        <w:rPr>
          <w:rFonts w:ascii="Calibri" w:eastAsia="Calibri" w:hAnsi="Calibri" w:cs="Calibri"/>
        </w:rPr>
        <w:tab/>
      </w:r>
      <w:r>
        <w:rPr>
          <w:rFonts w:ascii="Calibri" w:eastAsia="Calibri" w:hAnsi="Calibri" w:cs="Calibri"/>
        </w:rPr>
        <w:tab/>
      </w:r>
      <w:r>
        <w:t>K</w:t>
      </w:r>
      <w:r>
        <w:rPr>
          <w:sz w:val="14"/>
        </w:rPr>
        <w:t>ts</w:t>
      </w:r>
      <w:r>
        <w:t>1</w:t>
      </w:r>
      <w:r>
        <w:rPr>
          <w:rFonts w:ascii="Calibri" w:eastAsia="Calibri" w:hAnsi="Calibri" w:cs="Calibri"/>
        </w:rPr>
        <w:t xml:space="preserve"> </w:t>
      </w:r>
      <w:proofErr w:type="spellStart"/>
      <w:r>
        <w:t>y</w:t>
      </w:r>
      <w:r>
        <w:rPr>
          <w:sz w:val="14"/>
        </w:rPr>
        <w:t>t</w:t>
      </w:r>
      <w:proofErr w:type="spellEnd"/>
      <w:r>
        <w:rPr>
          <w:sz w:val="14"/>
        </w:rPr>
        <w:t xml:space="preserve"> </w:t>
      </w:r>
      <w:r>
        <w:rPr>
          <w:rFonts w:ascii="Calibri" w:eastAsia="Calibri" w:hAnsi="Calibri" w:cs="Calibri"/>
        </w:rPr>
        <w:t xml:space="preserve">≤ </w:t>
      </w:r>
      <w:r>
        <w:t>Q</w:t>
      </w:r>
      <w:r>
        <w:rPr>
          <w:rFonts w:ascii="Calibri" w:eastAsia="Calibri" w:hAnsi="Calibri" w:cs="Calibri"/>
        </w:rPr>
        <w:t xml:space="preserve">ˆ </w:t>
      </w:r>
      <w:proofErr w:type="gramStart"/>
      <w:r>
        <w:rPr>
          <w:rFonts w:ascii="Calibri" w:eastAsia="Calibri" w:hAnsi="Calibri" w:cs="Calibri"/>
          <w:sz w:val="14"/>
        </w:rPr>
        <w:t>θ</w:t>
      </w:r>
      <w:r>
        <w:rPr>
          <w:rFonts w:ascii="Calibri" w:eastAsia="Calibri" w:hAnsi="Calibri" w:cs="Calibri"/>
        </w:rPr>
        <w:t>( )</w:t>
      </w:r>
      <w:proofErr w:type="spellStart"/>
      <w:proofErr w:type="gramEnd"/>
      <w:r>
        <w:t>x</w:t>
      </w:r>
      <w:r>
        <w:rPr>
          <w:sz w:val="14"/>
        </w:rPr>
        <w:t>t</w:t>
      </w:r>
      <w:proofErr w:type="spellEnd"/>
      <w:r>
        <w:rPr>
          <w:sz w:val="14"/>
        </w:rPr>
        <w:t xml:space="preserve"> </w:t>
      </w:r>
      <w:r>
        <w:rPr>
          <w:rFonts w:ascii="Calibri" w:eastAsia="Calibri" w:hAnsi="Calibri" w:cs="Calibri"/>
        </w:rPr>
        <w:t xml:space="preserve"> − θ</w:t>
      </w:r>
      <w:r>
        <w:t>1</w:t>
      </w:r>
      <w:r>
        <w:rPr>
          <w:rFonts w:ascii="Calibri" w:eastAsia="Calibri" w:hAnsi="Calibri" w:cs="Calibri"/>
        </w:rPr>
        <w:t xml:space="preserve"> </w:t>
      </w:r>
      <w:proofErr w:type="spellStart"/>
      <w:r>
        <w:t>y</w:t>
      </w:r>
      <w:r>
        <w:rPr>
          <w:sz w:val="14"/>
        </w:rPr>
        <w:t>s</w:t>
      </w:r>
      <w:proofErr w:type="spellEnd"/>
      <w:r>
        <w:rPr>
          <w:sz w:val="14"/>
        </w:rPr>
        <w:t xml:space="preserve"> </w:t>
      </w:r>
      <w:r>
        <w:rPr>
          <w:rFonts w:ascii="Calibri" w:eastAsia="Calibri" w:hAnsi="Calibri" w:cs="Calibri"/>
        </w:rPr>
        <w:t xml:space="preserve">≤ </w:t>
      </w:r>
      <w:r>
        <w:t>Q</w:t>
      </w:r>
      <w:r>
        <w:rPr>
          <w:rFonts w:ascii="Calibri" w:eastAsia="Calibri" w:hAnsi="Calibri" w:cs="Calibri"/>
        </w:rPr>
        <w:t xml:space="preserve">ˆ </w:t>
      </w:r>
      <w:r>
        <w:rPr>
          <w:rFonts w:ascii="Calibri" w:eastAsia="Calibri" w:hAnsi="Calibri" w:cs="Calibri"/>
          <w:sz w:val="14"/>
        </w:rPr>
        <w:t>θ</w:t>
      </w:r>
      <w:r>
        <w:rPr>
          <w:rFonts w:ascii="Calibri" w:eastAsia="Calibri" w:hAnsi="Calibri" w:cs="Calibri"/>
        </w:rPr>
        <w:t>( )</w:t>
      </w:r>
      <w:proofErr w:type="spellStart"/>
      <w:r>
        <w:t>x</w:t>
      </w:r>
      <w:r>
        <w:rPr>
          <w:sz w:val="14"/>
        </w:rPr>
        <w:t>s</w:t>
      </w:r>
      <w:proofErr w:type="spellEnd"/>
      <w:r>
        <w:rPr>
          <w:sz w:val="14"/>
        </w:rPr>
        <w:t xml:space="preserve"> </w:t>
      </w:r>
      <w:r>
        <w:rPr>
          <w:rFonts w:ascii="Calibri" w:eastAsia="Calibri" w:hAnsi="Calibri" w:cs="Calibri"/>
        </w:rPr>
        <w:t xml:space="preserve"> − θ</w:t>
      </w:r>
      <w:r>
        <w:rPr>
          <w:rFonts w:ascii="Calibri" w:eastAsia="Calibri" w:hAnsi="Calibri" w:cs="Calibri"/>
        </w:rPr>
        <w:tab/>
      </w:r>
      <w:r>
        <w:t>(12)</w:t>
      </w:r>
    </w:p>
    <w:p w14:paraId="65B11B78" w14:textId="77777777" w:rsidR="001F2A0B" w:rsidRDefault="00BC538D">
      <w:pPr>
        <w:spacing w:after="385" w:line="259" w:lineRule="auto"/>
        <w:ind w:left="928" w:right="0"/>
        <w:jc w:val="left"/>
      </w:pPr>
      <w:r>
        <w:rPr>
          <w:sz w:val="14"/>
        </w:rPr>
        <w:t>t</w:t>
      </w:r>
      <w:r>
        <w:rPr>
          <w:rFonts w:ascii="Calibri" w:eastAsia="Calibri" w:hAnsi="Calibri" w:cs="Calibri"/>
          <w:sz w:val="14"/>
        </w:rPr>
        <w:t>=</w:t>
      </w:r>
      <w:r>
        <w:rPr>
          <w:sz w:val="14"/>
        </w:rPr>
        <w:t>p</w:t>
      </w:r>
      <w:r>
        <w:rPr>
          <w:rFonts w:ascii="Calibri" w:eastAsia="Calibri" w:hAnsi="Calibri" w:cs="Calibri"/>
          <w:sz w:val="14"/>
        </w:rPr>
        <w:t>+</w:t>
      </w:r>
      <w:r>
        <w:rPr>
          <w:sz w:val="14"/>
        </w:rPr>
        <w:t>1 s</w:t>
      </w:r>
      <w:r>
        <w:rPr>
          <w:rFonts w:ascii="Calibri" w:eastAsia="Calibri" w:hAnsi="Calibri" w:cs="Calibri"/>
          <w:sz w:val="14"/>
        </w:rPr>
        <w:t>=</w:t>
      </w:r>
      <w:r>
        <w:rPr>
          <w:sz w:val="14"/>
        </w:rPr>
        <w:t>p</w:t>
      </w:r>
      <w:r>
        <w:rPr>
          <w:rFonts w:ascii="Calibri" w:eastAsia="Calibri" w:hAnsi="Calibri" w:cs="Calibri"/>
          <w:sz w:val="14"/>
        </w:rPr>
        <w:t>+</w:t>
      </w:r>
      <w:r>
        <w:rPr>
          <w:sz w:val="14"/>
        </w:rPr>
        <w:t>1</w:t>
      </w:r>
      <w:r>
        <w:rPr>
          <w:rFonts w:ascii="Calibri" w:eastAsia="Calibri" w:hAnsi="Calibri" w:cs="Calibri"/>
          <w:sz w:val="14"/>
        </w:rPr>
        <w:t xml:space="preserve">, </w:t>
      </w:r>
      <w:proofErr w:type="spellStart"/>
      <w:r>
        <w:rPr>
          <w:sz w:val="14"/>
        </w:rPr>
        <w:t>s</w:t>
      </w:r>
      <w:r>
        <w:rPr>
          <w:rFonts w:ascii="Calibri" w:eastAsia="Calibri" w:hAnsi="Calibri" w:cs="Calibri"/>
          <w:sz w:val="14"/>
        </w:rPr>
        <w:t>≠</w:t>
      </w:r>
      <w:r>
        <w:rPr>
          <w:sz w:val="14"/>
        </w:rPr>
        <w:t>t</w:t>
      </w:r>
      <w:proofErr w:type="spellEnd"/>
    </w:p>
    <w:p w14:paraId="5677BA50" w14:textId="77777777" w:rsidR="001F2A0B" w:rsidRDefault="00BC538D">
      <w:pPr>
        <w:spacing w:line="455" w:lineRule="auto"/>
        <w:ind w:left="-5" w:right="0"/>
      </w:pPr>
      <w:r>
        <w:t>where K</w:t>
      </w:r>
      <w:r>
        <w:rPr>
          <w:vertAlign w:val="subscript"/>
        </w:rPr>
        <w:t xml:space="preserve">ts </w:t>
      </w:r>
      <w:r>
        <w:rPr>
          <w:rFonts w:ascii="Calibri" w:eastAsia="Calibri" w:hAnsi="Calibri" w:cs="Calibri"/>
        </w:rPr>
        <w:t xml:space="preserve">= </w:t>
      </w:r>
      <w:proofErr w:type="gramStart"/>
      <w:r>
        <w:t xml:space="preserve">K( </w:t>
      </w:r>
      <w:r>
        <w:rPr>
          <w:u w:val="single" w:color="000000"/>
          <w:vertAlign w:val="superscript"/>
        </w:rPr>
        <w:t>Z</w:t>
      </w:r>
      <w:r>
        <w:rPr>
          <w:sz w:val="15"/>
          <w:u w:val="single" w:color="000000"/>
          <w:vertAlign w:val="superscript"/>
        </w:rPr>
        <w:t>t</w:t>
      </w:r>
      <w:proofErr w:type="gramEnd"/>
      <w:r>
        <w:rPr>
          <w:rFonts w:ascii="Calibri" w:eastAsia="Calibri" w:hAnsi="Calibri" w:cs="Calibri"/>
          <w:sz w:val="10"/>
          <w:u w:val="single" w:color="000000"/>
        </w:rPr>
        <w:t>−</w:t>
      </w:r>
      <w:r>
        <w:rPr>
          <w:sz w:val="15"/>
          <w:u w:val="single" w:color="000000"/>
          <w:vertAlign w:val="superscript"/>
        </w:rPr>
        <w:t>1</w:t>
      </w:r>
      <w:r>
        <w:rPr>
          <w:rFonts w:ascii="Calibri" w:eastAsia="Calibri" w:hAnsi="Calibri" w:cs="Calibri"/>
          <w:u w:val="single" w:color="000000"/>
          <w:vertAlign w:val="superscript"/>
        </w:rPr>
        <w:t>−</w:t>
      </w:r>
      <w:r>
        <w:rPr>
          <w:vertAlign w:val="subscript"/>
        </w:rPr>
        <w:t>h</w:t>
      </w:r>
      <w:r>
        <w:rPr>
          <w:u w:val="single" w:color="000000"/>
          <w:vertAlign w:val="superscript"/>
        </w:rPr>
        <w:t>Z</w:t>
      </w:r>
      <w:r>
        <w:rPr>
          <w:sz w:val="15"/>
          <w:u w:val="single" w:color="000000"/>
          <w:vertAlign w:val="superscript"/>
        </w:rPr>
        <w:t>s</w:t>
      </w:r>
      <w:r>
        <w:rPr>
          <w:rFonts w:ascii="Calibri" w:eastAsia="Calibri" w:hAnsi="Calibri" w:cs="Calibri"/>
          <w:sz w:val="10"/>
          <w:u w:val="single" w:color="000000"/>
        </w:rPr>
        <w:t>−</w:t>
      </w:r>
      <w:r>
        <w:rPr>
          <w:sz w:val="15"/>
          <w:u w:val="single" w:color="000000"/>
          <w:vertAlign w:val="superscript"/>
        </w:rPr>
        <w:t xml:space="preserve">1 </w:t>
      </w:r>
      <w:r>
        <w:t xml:space="preserve">) is the kernel function, h is a bandwidth and T is the sample size. p represents the number of lags, and </w:t>
      </w:r>
      <w:proofErr w:type="spellStart"/>
      <w:r>
        <w:rPr>
          <w:rFonts w:ascii="Calibri" w:eastAsia="Calibri" w:hAnsi="Calibri" w:cs="Calibri"/>
        </w:rPr>
        <w:t>εˆ</w:t>
      </w:r>
      <w:r>
        <w:rPr>
          <w:vertAlign w:val="subscript"/>
        </w:rPr>
        <w:t>t</w:t>
      </w:r>
      <w:proofErr w:type="spellEnd"/>
      <w:r>
        <w:rPr>
          <w:vertAlign w:val="subscript"/>
        </w:rPr>
        <w:t xml:space="preserve"> </w:t>
      </w:r>
      <w:r>
        <w:t>is an estimate of the error of the regression process.</w:t>
      </w:r>
    </w:p>
    <w:p w14:paraId="4A33623C" w14:textId="77777777" w:rsidR="001F2A0B" w:rsidRDefault="00BC538D">
      <w:pPr>
        <w:spacing w:after="498"/>
        <w:ind w:left="-15" w:right="0" w:firstLine="240"/>
      </w:pPr>
      <w:proofErr w:type="spellStart"/>
      <w:r>
        <w:lastRenderedPageBreak/>
        <w:t>Balcilar</w:t>
      </w:r>
      <w:proofErr w:type="spellEnd"/>
      <w:r>
        <w:t xml:space="preserve"> et al.</w:t>
      </w:r>
      <w:r>
        <w:rPr>
          <w:vertAlign w:val="superscript"/>
        </w:rPr>
        <w:t xml:space="preserve">39 </w:t>
      </w:r>
      <w:r>
        <w:t xml:space="preserve">further expands </w:t>
      </w:r>
      <w:proofErr w:type="spellStart"/>
      <w:r>
        <w:t>Jeong</w:t>
      </w:r>
      <w:proofErr w:type="spellEnd"/>
      <w:r>
        <w:t xml:space="preserve"> et al.</w:t>
      </w:r>
      <w:r>
        <w:rPr>
          <w:vertAlign w:val="superscript"/>
        </w:rPr>
        <w:t xml:space="preserve">18 </w:t>
      </w:r>
      <w:r>
        <w:t>by putting forward a null and alternative test hypothesis about the causal relationship in variances. The speci</w:t>
      </w:r>
      <w:r>
        <w:rPr>
          <w:rFonts w:ascii="Calibri" w:eastAsia="Calibri" w:hAnsi="Calibri" w:cs="Calibri"/>
        </w:rPr>
        <w:t>fi</w:t>
      </w:r>
      <w:r>
        <w:t>c equation is as follows</w:t>
      </w:r>
    </w:p>
    <w:p w14:paraId="304C631A" w14:textId="77777777" w:rsidR="001F2A0B" w:rsidRDefault="00BC538D">
      <w:pPr>
        <w:tabs>
          <w:tab w:val="center" w:pos="3912"/>
          <w:tab w:val="right" w:pos="7825"/>
        </w:tabs>
        <w:spacing w:after="614" w:line="259" w:lineRule="auto"/>
        <w:ind w:left="0" w:right="-13" w:firstLine="0"/>
        <w:jc w:val="left"/>
      </w:pPr>
      <w:r>
        <w:rPr>
          <w:rFonts w:ascii="Calibri" w:eastAsia="Calibri" w:hAnsi="Calibri" w:cs="Calibri"/>
          <w:sz w:val="22"/>
        </w:rPr>
        <w:tab/>
      </w:r>
      <w:r>
        <w:t>H</w:t>
      </w:r>
      <w:r>
        <w:rPr>
          <w:sz w:val="14"/>
        </w:rPr>
        <w:t xml:space="preserve">0 </w:t>
      </w:r>
      <w:r>
        <w:rPr>
          <w:rFonts w:ascii="Calibri" w:eastAsia="Calibri" w:hAnsi="Calibri" w:cs="Calibri"/>
        </w:rPr>
        <w:t xml:space="preserve">= </w:t>
      </w:r>
      <w:r>
        <w:t>P F</w:t>
      </w:r>
      <w:r>
        <w:rPr>
          <w:rFonts w:ascii="Calibri" w:eastAsia="Calibri" w:hAnsi="Calibri" w:cs="Calibri"/>
        </w:rPr>
        <w:t xml:space="preserve"> </w:t>
      </w:r>
      <w:r>
        <w:rPr>
          <w:sz w:val="14"/>
        </w:rPr>
        <w:t>y</w:t>
      </w:r>
      <w:r>
        <w:rPr>
          <w:sz w:val="10"/>
        </w:rPr>
        <w:t xml:space="preserve">2t </w:t>
      </w:r>
      <w:r>
        <w:rPr>
          <w:rFonts w:ascii="Calibri" w:eastAsia="Calibri" w:hAnsi="Calibri" w:cs="Calibri"/>
          <w:sz w:val="14"/>
        </w:rPr>
        <w:t>|</w:t>
      </w:r>
      <w:r>
        <w:rPr>
          <w:sz w:val="14"/>
        </w:rPr>
        <w:t>Z</w:t>
      </w:r>
      <w:r>
        <w:rPr>
          <w:sz w:val="10"/>
        </w:rPr>
        <w:t>t</w:t>
      </w:r>
      <w:r>
        <w:rPr>
          <w:rFonts w:ascii="Calibri" w:eastAsia="Calibri" w:hAnsi="Calibri" w:cs="Calibri"/>
          <w:sz w:val="10"/>
        </w:rPr>
        <w:t>−</w:t>
      </w:r>
      <w:r>
        <w:rPr>
          <w:sz w:val="10"/>
        </w:rPr>
        <w:t>1</w:t>
      </w:r>
      <w:r>
        <w:rPr>
          <w:rFonts w:ascii="Calibri" w:eastAsia="Calibri" w:hAnsi="Calibri" w:cs="Calibri"/>
        </w:rPr>
        <w:t>{</w:t>
      </w:r>
      <w:proofErr w:type="spellStart"/>
      <w:r>
        <w:t>Q</w:t>
      </w:r>
      <w:r>
        <w:rPr>
          <w:rFonts w:ascii="Calibri" w:eastAsia="Calibri" w:hAnsi="Calibri" w:cs="Calibri"/>
          <w:sz w:val="14"/>
        </w:rPr>
        <w:t>θ</w:t>
      </w:r>
      <w:proofErr w:type="spellEnd"/>
      <w:r>
        <w:rPr>
          <w:rFonts w:ascii="Calibri" w:eastAsia="Calibri" w:hAnsi="Calibri" w:cs="Calibri"/>
        </w:rPr>
        <w:t>(</w:t>
      </w:r>
      <w:r>
        <w:t>Y</w:t>
      </w:r>
      <w:r>
        <w:rPr>
          <w:sz w:val="14"/>
        </w:rPr>
        <w:t>t</w:t>
      </w:r>
      <w:r>
        <w:rPr>
          <w:rFonts w:ascii="Calibri" w:eastAsia="Calibri" w:hAnsi="Calibri" w:cs="Calibri"/>
          <w:sz w:val="14"/>
        </w:rPr>
        <w:t>−</w:t>
      </w:r>
      <w:proofErr w:type="gramStart"/>
      <w:r>
        <w:rPr>
          <w:sz w:val="14"/>
        </w:rPr>
        <w:t>1</w:t>
      </w:r>
      <w:r>
        <w:rPr>
          <w:rFonts w:ascii="Calibri" w:eastAsia="Calibri" w:hAnsi="Calibri" w:cs="Calibri"/>
        </w:rPr>
        <w:t>)|</w:t>
      </w:r>
      <w:proofErr w:type="gramEnd"/>
      <w:r>
        <w:t>Z</w:t>
      </w:r>
      <w:r>
        <w:rPr>
          <w:sz w:val="14"/>
        </w:rPr>
        <w:t>t</w:t>
      </w:r>
      <w:r>
        <w:rPr>
          <w:rFonts w:ascii="Calibri" w:eastAsia="Calibri" w:hAnsi="Calibri" w:cs="Calibri"/>
          <w:sz w:val="14"/>
        </w:rPr>
        <w:t>−</w:t>
      </w:r>
      <w:r>
        <w:rPr>
          <w:sz w:val="14"/>
        </w:rPr>
        <w:t>1</w:t>
      </w:r>
      <w:r>
        <w:rPr>
          <w:rFonts w:ascii="Calibri" w:eastAsia="Calibri" w:hAnsi="Calibri" w:cs="Calibri"/>
        </w:rPr>
        <w:t xml:space="preserve">} = θ = </w:t>
      </w:r>
      <w:r>
        <w:t>1</w:t>
      </w:r>
      <w:r>
        <w:tab/>
        <w:t>(13)</w:t>
      </w:r>
    </w:p>
    <w:p w14:paraId="7D82A4F9" w14:textId="77777777" w:rsidR="001F2A0B" w:rsidRDefault="00BC538D">
      <w:pPr>
        <w:tabs>
          <w:tab w:val="center" w:pos="3912"/>
          <w:tab w:val="right" w:pos="7825"/>
        </w:tabs>
        <w:spacing w:after="444" w:line="259" w:lineRule="auto"/>
        <w:ind w:left="0" w:right="-13" w:firstLine="0"/>
        <w:jc w:val="left"/>
      </w:pPr>
      <w:r>
        <w:rPr>
          <w:rFonts w:ascii="Calibri" w:eastAsia="Calibri" w:hAnsi="Calibri" w:cs="Calibri"/>
          <w:sz w:val="22"/>
        </w:rPr>
        <w:tab/>
      </w:r>
      <w:r>
        <w:t>H</w:t>
      </w:r>
      <w:r>
        <w:rPr>
          <w:sz w:val="14"/>
        </w:rPr>
        <w:t xml:space="preserve">1 </w:t>
      </w:r>
      <w:r>
        <w:rPr>
          <w:rFonts w:ascii="Calibri" w:eastAsia="Calibri" w:hAnsi="Calibri" w:cs="Calibri"/>
        </w:rPr>
        <w:t xml:space="preserve">= </w:t>
      </w:r>
      <w:r>
        <w:t>P F</w:t>
      </w:r>
      <w:r>
        <w:rPr>
          <w:rFonts w:ascii="Calibri" w:eastAsia="Calibri" w:hAnsi="Calibri" w:cs="Calibri"/>
        </w:rPr>
        <w:t xml:space="preserve"> </w:t>
      </w:r>
      <w:r>
        <w:rPr>
          <w:sz w:val="14"/>
        </w:rPr>
        <w:t>y</w:t>
      </w:r>
      <w:r>
        <w:rPr>
          <w:sz w:val="10"/>
        </w:rPr>
        <w:t xml:space="preserve">2t </w:t>
      </w:r>
      <w:r>
        <w:rPr>
          <w:rFonts w:ascii="Calibri" w:eastAsia="Calibri" w:hAnsi="Calibri" w:cs="Calibri"/>
          <w:sz w:val="14"/>
        </w:rPr>
        <w:t>|</w:t>
      </w:r>
      <w:r>
        <w:rPr>
          <w:sz w:val="14"/>
        </w:rPr>
        <w:t>Z</w:t>
      </w:r>
      <w:r>
        <w:rPr>
          <w:sz w:val="10"/>
        </w:rPr>
        <w:t>t</w:t>
      </w:r>
      <w:r>
        <w:rPr>
          <w:rFonts w:ascii="Calibri" w:eastAsia="Calibri" w:hAnsi="Calibri" w:cs="Calibri"/>
          <w:sz w:val="10"/>
        </w:rPr>
        <w:t>−</w:t>
      </w:r>
      <w:r>
        <w:rPr>
          <w:sz w:val="10"/>
        </w:rPr>
        <w:t>1</w:t>
      </w:r>
      <w:r>
        <w:rPr>
          <w:rFonts w:ascii="Calibri" w:eastAsia="Calibri" w:hAnsi="Calibri" w:cs="Calibri"/>
        </w:rPr>
        <w:t>{</w:t>
      </w:r>
      <w:proofErr w:type="spellStart"/>
      <w:r>
        <w:t>Q</w:t>
      </w:r>
      <w:r>
        <w:rPr>
          <w:rFonts w:ascii="Calibri" w:eastAsia="Calibri" w:hAnsi="Calibri" w:cs="Calibri"/>
          <w:sz w:val="14"/>
        </w:rPr>
        <w:t>θ</w:t>
      </w:r>
      <w:proofErr w:type="spellEnd"/>
      <w:r>
        <w:rPr>
          <w:rFonts w:ascii="Calibri" w:eastAsia="Calibri" w:hAnsi="Calibri" w:cs="Calibri"/>
        </w:rPr>
        <w:t>(</w:t>
      </w:r>
      <w:r>
        <w:t>Y</w:t>
      </w:r>
      <w:r>
        <w:rPr>
          <w:sz w:val="14"/>
        </w:rPr>
        <w:t>t</w:t>
      </w:r>
      <w:r>
        <w:rPr>
          <w:rFonts w:ascii="Calibri" w:eastAsia="Calibri" w:hAnsi="Calibri" w:cs="Calibri"/>
          <w:sz w:val="14"/>
        </w:rPr>
        <w:t>−</w:t>
      </w:r>
      <w:proofErr w:type="gramStart"/>
      <w:r>
        <w:rPr>
          <w:sz w:val="14"/>
        </w:rPr>
        <w:t>1</w:t>
      </w:r>
      <w:r>
        <w:rPr>
          <w:rFonts w:ascii="Calibri" w:eastAsia="Calibri" w:hAnsi="Calibri" w:cs="Calibri"/>
        </w:rPr>
        <w:t>)|</w:t>
      </w:r>
      <w:proofErr w:type="gramEnd"/>
      <w:r>
        <w:t>Z</w:t>
      </w:r>
      <w:r>
        <w:rPr>
          <w:sz w:val="14"/>
        </w:rPr>
        <w:t>t</w:t>
      </w:r>
      <w:r>
        <w:rPr>
          <w:rFonts w:ascii="Calibri" w:eastAsia="Calibri" w:hAnsi="Calibri" w:cs="Calibri"/>
          <w:sz w:val="14"/>
        </w:rPr>
        <w:t>−</w:t>
      </w:r>
      <w:r>
        <w:rPr>
          <w:sz w:val="14"/>
        </w:rPr>
        <w:t>1</w:t>
      </w:r>
      <w:r>
        <w:rPr>
          <w:rFonts w:ascii="Calibri" w:eastAsia="Calibri" w:hAnsi="Calibri" w:cs="Calibri"/>
        </w:rPr>
        <w:t xml:space="preserve">} = θ &lt; </w:t>
      </w:r>
      <w:r>
        <w:t>1</w:t>
      </w:r>
      <w:r>
        <w:tab/>
        <w:t>(14)</w:t>
      </w:r>
    </w:p>
    <w:p w14:paraId="17FFDE12" w14:textId="77777777" w:rsidR="001F2A0B" w:rsidRDefault="00BC538D">
      <w:pPr>
        <w:spacing w:after="400"/>
        <w:ind w:left="-5" w:right="0"/>
      </w:pPr>
      <w:r>
        <w:t xml:space="preserve">The extended test method enables researchers to observe the Granger causal correlations among </w:t>
      </w:r>
      <w:proofErr w:type="spellStart"/>
      <w:r>
        <w:t>x</w:t>
      </w:r>
      <w:r>
        <w:rPr>
          <w:vertAlign w:val="superscript"/>
        </w:rPr>
        <w:t>n</w:t>
      </w:r>
      <w:r>
        <w:rPr>
          <w:vertAlign w:val="subscript"/>
        </w:rPr>
        <w:t>t</w:t>
      </w:r>
      <w:proofErr w:type="spellEnd"/>
      <w:r>
        <w:rPr>
          <w:vertAlign w:val="subscript"/>
        </w:rPr>
        <w:t xml:space="preserve"> </w:t>
      </w:r>
      <w:r>
        <w:t xml:space="preserve">and </w:t>
      </w:r>
      <w:proofErr w:type="spellStart"/>
      <w:r>
        <w:t>y</w:t>
      </w:r>
      <w:r>
        <w:rPr>
          <w:vertAlign w:val="subscript"/>
        </w:rPr>
        <w:t>t</w:t>
      </w:r>
      <w:proofErr w:type="spellEnd"/>
      <w:r>
        <w:rPr>
          <w:vertAlign w:val="subscript"/>
        </w:rPr>
        <w:t xml:space="preserve"> </w:t>
      </w:r>
      <w:r>
        <w:t xml:space="preserve">in </w:t>
      </w:r>
      <w:proofErr w:type="spellStart"/>
      <w:r>
        <w:rPr>
          <w:rFonts w:ascii="Calibri" w:eastAsia="Calibri" w:hAnsi="Calibri" w:cs="Calibri"/>
        </w:rPr>
        <w:t>θ</w:t>
      </w:r>
      <w:r>
        <w:t>th</w:t>
      </w:r>
      <w:proofErr w:type="spellEnd"/>
      <w:r>
        <w:t xml:space="preserve"> quantile at higher moments while using equation (13) to formulate the feasible </w:t>
      </w:r>
      <w:proofErr w:type="spellStart"/>
      <w:r>
        <w:t>kernelbased</w:t>
      </w:r>
      <w:proofErr w:type="spellEnd"/>
      <w:r>
        <w:t xml:space="preserve"> test statistic following </w:t>
      </w:r>
      <w:proofErr w:type="spellStart"/>
      <w:r>
        <w:t>Jeong</w:t>
      </w:r>
      <w:proofErr w:type="spellEnd"/>
      <w:r>
        <w:t xml:space="preserve"> et al.</w:t>
      </w:r>
      <w:r>
        <w:rPr>
          <w:vertAlign w:val="superscript"/>
        </w:rPr>
        <w:t>18</w:t>
      </w:r>
      <w:r>
        <w:t>. This article focuses on the interaction between the market ef</w:t>
      </w:r>
      <w:r>
        <w:rPr>
          <w:rFonts w:ascii="Calibri" w:eastAsia="Calibri" w:hAnsi="Calibri" w:cs="Calibri"/>
        </w:rPr>
        <w:t>fi</w:t>
      </w:r>
      <w:r>
        <w:t>ciency of crude oil, natural gas, and coal, which are the three dominant energy futures markets, and the market ef</w:t>
      </w:r>
      <w:r>
        <w:rPr>
          <w:rFonts w:ascii="Calibri" w:eastAsia="Calibri" w:hAnsi="Calibri" w:cs="Calibri"/>
        </w:rPr>
        <w:t>fi</w:t>
      </w:r>
      <w:r>
        <w:t>ciency of carbon futures markets. For each energy futures market, we will conduct the quantile causality test above with the carbon futures.</w:t>
      </w:r>
    </w:p>
    <w:p w14:paraId="4DF70485" w14:textId="77777777" w:rsidR="001F2A0B" w:rsidRDefault="00BC538D">
      <w:pPr>
        <w:pStyle w:val="Heading1"/>
        <w:spacing w:after="27" w:line="259" w:lineRule="auto"/>
        <w:ind w:left="-5" w:right="0"/>
      </w:pPr>
      <w:r>
        <w:t>Data</w:t>
      </w:r>
    </w:p>
    <w:p w14:paraId="1875540F" w14:textId="77777777" w:rsidR="001F2A0B" w:rsidRDefault="00BC538D">
      <w:pPr>
        <w:spacing w:after="38"/>
        <w:ind w:left="-5" w:right="0"/>
      </w:pPr>
      <w:r>
        <w:t>To study the dependence of market inef</w:t>
      </w:r>
      <w:r>
        <w:rPr>
          <w:rFonts w:ascii="Calibri" w:eastAsia="Calibri" w:hAnsi="Calibri" w:cs="Calibri"/>
        </w:rPr>
        <w:t>fi</w:t>
      </w:r>
      <w:r>
        <w:t>ciency degree between carbon and (fossil) energy (</w:t>
      </w:r>
      <w:proofErr w:type="gramStart"/>
      <w:r>
        <w:t>i.e.</w:t>
      </w:r>
      <w:proofErr w:type="gramEnd"/>
      <w:r>
        <w:t xml:space="preserve"> crude oil, natural gas, and coal) markets, we accordingly collect daily price data of ECX EUA carbon futures prices, Brent crude oil futures prices, UK natural gas futures prices, and Rotterdam coal futures prices. The data are retrieved from the Intercontinental Exchange (ICE) covering the period of 6 June 2014 to 16 April 2021. As previously discussed in </w:t>
      </w:r>
      <w:r>
        <w:rPr>
          <w:rFonts w:ascii="Calibri" w:eastAsia="Calibri" w:hAnsi="Calibri" w:cs="Calibri"/>
        </w:rPr>
        <w:t>“</w:t>
      </w:r>
      <w:r>
        <w:t>Methodology</w:t>
      </w:r>
      <w:r>
        <w:rPr>
          <w:rFonts w:ascii="Calibri" w:eastAsia="Calibri" w:hAnsi="Calibri" w:cs="Calibri"/>
        </w:rPr>
        <w:t xml:space="preserve">” </w:t>
      </w:r>
      <w:r>
        <w:t>section, the market inef</w:t>
      </w:r>
      <w:r>
        <w:rPr>
          <w:rFonts w:ascii="Calibri" w:eastAsia="Calibri" w:hAnsi="Calibri" w:cs="Calibri"/>
        </w:rPr>
        <w:t>fi</w:t>
      </w:r>
      <w:r>
        <w:t>ciency degree is computed using equation (1) as the absolute difference between the fractional integration order (d) of the price series and 1 where d is estimated using the FELW estimator. Following extant literature,</w:t>
      </w:r>
      <w:r>
        <w:rPr>
          <w:vertAlign w:val="superscript"/>
        </w:rPr>
        <w:t xml:space="preserve">43,44 </w:t>
      </w:r>
      <w:r>
        <w:t>we focus on futures rather than spot contracts to eliminate risks notably including abnormal price jumps and structural breaks potentially being exposed in the spot price series.</w:t>
      </w:r>
      <w:r>
        <w:rPr>
          <w:vertAlign w:val="superscript"/>
        </w:rPr>
        <w:t>4</w:t>
      </w:r>
    </w:p>
    <w:p w14:paraId="682692F2" w14:textId="77777777" w:rsidR="001F2A0B" w:rsidRDefault="00BC538D">
      <w:pPr>
        <w:ind w:left="-15" w:right="0" w:firstLine="240"/>
      </w:pPr>
      <w:r>
        <w:t>Figure 1 plots the daily dynamics of the market inef</w:t>
      </w:r>
      <w:r>
        <w:rPr>
          <w:rFonts w:ascii="Calibri" w:eastAsia="Calibri" w:hAnsi="Calibri" w:cs="Calibri"/>
        </w:rPr>
        <w:t>fi</w:t>
      </w:r>
      <w:r>
        <w:t>ciency degree of the ECX EUA carbon futures, Brent crude oil futures, UK natural gas futures, and Rotterdam coal futures, respectively. It is intuitive that there is no de</w:t>
      </w:r>
      <w:r>
        <w:rPr>
          <w:rFonts w:ascii="Calibri" w:eastAsia="Calibri" w:hAnsi="Calibri" w:cs="Calibri"/>
        </w:rPr>
        <w:t>fi</w:t>
      </w:r>
      <w:r>
        <w:t>nite moving tendency in the dynamics of the inef</w:t>
      </w:r>
      <w:r>
        <w:rPr>
          <w:rFonts w:ascii="Calibri" w:eastAsia="Calibri" w:hAnsi="Calibri" w:cs="Calibri"/>
        </w:rPr>
        <w:t>fi</w:t>
      </w:r>
      <w:r>
        <w:t>ciency degree of the four markets during the sample period. Corresponding descriptive statistics are reported in Table 1. Intuitively, the statistical property of the series of market inef</w:t>
      </w:r>
      <w:r>
        <w:rPr>
          <w:rFonts w:ascii="Calibri" w:eastAsia="Calibri" w:hAnsi="Calibri" w:cs="Calibri"/>
        </w:rPr>
        <w:t>fi</w:t>
      </w:r>
      <w:r>
        <w:t>ciency</w:t>
      </w:r>
    </w:p>
    <w:p w14:paraId="2AE04367" w14:textId="77777777" w:rsidR="001F2A0B" w:rsidRDefault="00BC538D">
      <w:pPr>
        <w:spacing w:after="246" w:line="259" w:lineRule="auto"/>
        <w:ind w:left="312" w:right="0" w:firstLine="0"/>
        <w:jc w:val="left"/>
      </w:pPr>
      <w:r>
        <w:rPr>
          <w:noProof/>
        </w:rPr>
        <w:lastRenderedPageBreak/>
        <w:drawing>
          <wp:inline distT="0" distB="0" distL="0" distR="0" wp14:anchorId="57AA2C00" wp14:editId="3666E9FF">
            <wp:extent cx="4572000" cy="3309836"/>
            <wp:effectExtent l="0" t="0" r="0" b="0"/>
            <wp:docPr id="1657" name="Picture 1657"/>
            <wp:cNvGraphicFramePr/>
            <a:graphic xmlns:a="http://schemas.openxmlformats.org/drawingml/2006/main">
              <a:graphicData uri="http://schemas.openxmlformats.org/drawingml/2006/picture">
                <pic:pic xmlns:pic="http://schemas.openxmlformats.org/drawingml/2006/picture">
                  <pic:nvPicPr>
                    <pic:cNvPr id="1657" name="Picture 1657"/>
                    <pic:cNvPicPr/>
                  </pic:nvPicPr>
                  <pic:blipFill>
                    <a:blip r:embed="rId18"/>
                    <a:stretch>
                      <a:fillRect/>
                    </a:stretch>
                  </pic:blipFill>
                  <pic:spPr>
                    <a:xfrm>
                      <a:off x="0" y="0"/>
                      <a:ext cx="4572000" cy="3309836"/>
                    </a:xfrm>
                    <a:prstGeom prst="rect">
                      <a:avLst/>
                    </a:prstGeom>
                  </pic:spPr>
                </pic:pic>
              </a:graphicData>
            </a:graphic>
          </wp:inline>
        </w:drawing>
      </w:r>
    </w:p>
    <w:p w14:paraId="78869910" w14:textId="77777777" w:rsidR="001F2A0B" w:rsidRDefault="00BC538D">
      <w:pPr>
        <w:spacing w:after="1100" w:line="254" w:lineRule="auto"/>
        <w:ind w:left="-5" w:right="0"/>
      </w:pPr>
      <w:r>
        <w:rPr>
          <w:rFonts w:ascii="Calibri" w:eastAsia="Calibri" w:hAnsi="Calibri" w:cs="Calibri"/>
          <w:sz w:val="18"/>
        </w:rPr>
        <w:t>Figure 1. Time series plots of the inefficiency degree of carbon futures, Brent crude oil futures, natural gas futures, and coal futures markets from 2014-06-06 to 2021-04-16. (a) Carbon futures market. (b) Brent crude oil futures market. (c) Natural gas futures market. (d) Coal futures market.</w:t>
      </w:r>
    </w:p>
    <w:p w14:paraId="5EAAE210" w14:textId="77777777" w:rsidR="001F2A0B" w:rsidRDefault="00BC538D">
      <w:pPr>
        <w:spacing w:after="6" w:line="254" w:lineRule="auto"/>
        <w:ind w:left="-5" w:right="0"/>
      </w:pPr>
      <w:r>
        <w:rPr>
          <w:rFonts w:ascii="Calibri" w:eastAsia="Calibri" w:hAnsi="Calibri" w:cs="Calibri"/>
          <w:sz w:val="18"/>
        </w:rPr>
        <w:t>Table 1. Descriptive statistics.</w:t>
      </w:r>
    </w:p>
    <w:tbl>
      <w:tblPr>
        <w:tblStyle w:val="TableGrid"/>
        <w:tblW w:w="7824" w:type="dxa"/>
        <w:tblInd w:w="0" w:type="dxa"/>
        <w:tblCellMar>
          <w:top w:w="20" w:type="dxa"/>
          <w:right w:w="10" w:type="dxa"/>
        </w:tblCellMar>
        <w:tblLook w:val="04A0" w:firstRow="1" w:lastRow="0" w:firstColumn="1" w:lastColumn="0" w:noHBand="0" w:noVBand="1"/>
      </w:tblPr>
      <w:tblGrid>
        <w:gridCol w:w="634"/>
        <w:gridCol w:w="2109"/>
        <w:gridCol w:w="3544"/>
        <w:gridCol w:w="808"/>
        <w:gridCol w:w="730"/>
      </w:tblGrid>
      <w:tr w:rsidR="001F2A0B" w14:paraId="665B5E03" w14:textId="77777777">
        <w:trPr>
          <w:trHeight w:val="370"/>
        </w:trPr>
        <w:tc>
          <w:tcPr>
            <w:tcW w:w="1660" w:type="dxa"/>
            <w:tcBorders>
              <w:top w:val="single" w:sz="4" w:space="0" w:color="000000"/>
              <w:left w:val="nil"/>
              <w:bottom w:val="single" w:sz="4" w:space="0" w:color="000000"/>
              <w:right w:val="nil"/>
            </w:tcBorders>
          </w:tcPr>
          <w:p w14:paraId="5CAF6557" w14:textId="77777777" w:rsidR="001F2A0B" w:rsidRDefault="001F2A0B">
            <w:pPr>
              <w:spacing w:after="160" w:line="259" w:lineRule="auto"/>
              <w:ind w:left="0" w:right="0" w:firstLine="0"/>
              <w:jc w:val="left"/>
            </w:pPr>
          </w:p>
        </w:tc>
        <w:tc>
          <w:tcPr>
            <w:tcW w:w="1706" w:type="dxa"/>
            <w:tcBorders>
              <w:top w:val="single" w:sz="4" w:space="0" w:color="000000"/>
              <w:left w:val="nil"/>
              <w:bottom w:val="single" w:sz="4" w:space="0" w:color="000000"/>
              <w:right w:val="nil"/>
            </w:tcBorders>
          </w:tcPr>
          <w:p w14:paraId="4FCF992A" w14:textId="77777777" w:rsidR="001F2A0B" w:rsidRDefault="00BC538D">
            <w:pPr>
              <w:spacing w:after="0" w:line="259" w:lineRule="auto"/>
              <w:ind w:left="305" w:right="0" w:firstLine="0"/>
              <w:jc w:val="left"/>
            </w:pPr>
            <w:r>
              <w:rPr>
                <w:rFonts w:ascii="Calibri" w:eastAsia="Calibri" w:hAnsi="Calibri" w:cs="Calibri"/>
                <w:sz w:val="18"/>
              </w:rPr>
              <w:t>Oil</w:t>
            </w:r>
          </w:p>
        </w:tc>
        <w:tc>
          <w:tcPr>
            <w:tcW w:w="1746" w:type="dxa"/>
            <w:tcBorders>
              <w:top w:val="single" w:sz="4" w:space="0" w:color="000000"/>
              <w:left w:val="nil"/>
              <w:bottom w:val="single" w:sz="4" w:space="0" w:color="000000"/>
              <w:right w:val="nil"/>
            </w:tcBorders>
          </w:tcPr>
          <w:p w14:paraId="6A33C2F0" w14:textId="77777777" w:rsidR="001F2A0B" w:rsidRDefault="00BC538D">
            <w:pPr>
              <w:spacing w:after="0" w:line="259" w:lineRule="auto"/>
              <w:ind w:left="163" w:right="0" w:firstLine="0"/>
              <w:jc w:val="left"/>
            </w:pPr>
            <w:r>
              <w:rPr>
                <w:rFonts w:ascii="Calibri" w:eastAsia="Calibri" w:hAnsi="Calibri" w:cs="Calibri"/>
                <w:sz w:val="18"/>
              </w:rPr>
              <w:t>Carbon</w:t>
            </w:r>
          </w:p>
        </w:tc>
        <w:tc>
          <w:tcPr>
            <w:tcW w:w="1836" w:type="dxa"/>
            <w:tcBorders>
              <w:top w:val="single" w:sz="4" w:space="0" w:color="000000"/>
              <w:left w:val="nil"/>
              <w:bottom w:val="single" w:sz="4" w:space="0" w:color="000000"/>
              <w:right w:val="nil"/>
            </w:tcBorders>
          </w:tcPr>
          <w:p w14:paraId="5ECA537E" w14:textId="77777777" w:rsidR="001F2A0B" w:rsidRDefault="00BC538D">
            <w:pPr>
              <w:spacing w:after="0" w:line="259" w:lineRule="auto"/>
              <w:ind w:left="345" w:right="0" w:firstLine="0"/>
              <w:jc w:val="left"/>
            </w:pPr>
            <w:r>
              <w:rPr>
                <w:rFonts w:ascii="Calibri" w:eastAsia="Calibri" w:hAnsi="Calibri" w:cs="Calibri"/>
                <w:sz w:val="18"/>
              </w:rPr>
              <w:t>Gas</w:t>
            </w:r>
          </w:p>
        </w:tc>
        <w:tc>
          <w:tcPr>
            <w:tcW w:w="875" w:type="dxa"/>
            <w:tcBorders>
              <w:top w:val="single" w:sz="4" w:space="0" w:color="000000"/>
              <w:left w:val="nil"/>
              <w:bottom w:val="single" w:sz="4" w:space="0" w:color="000000"/>
              <w:right w:val="nil"/>
            </w:tcBorders>
          </w:tcPr>
          <w:p w14:paraId="12F1EE9B" w14:textId="77777777" w:rsidR="001F2A0B" w:rsidRDefault="00BC538D">
            <w:pPr>
              <w:spacing w:after="0" w:line="259" w:lineRule="auto"/>
              <w:ind w:left="9" w:right="0" w:firstLine="0"/>
              <w:jc w:val="center"/>
            </w:pPr>
            <w:r>
              <w:rPr>
                <w:rFonts w:ascii="Calibri" w:eastAsia="Calibri" w:hAnsi="Calibri" w:cs="Calibri"/>
                <w:sz w:val="18"/>
              </w:rPr>
              <w:t>Coal</w:t>
            </w:r>
          </w:p>
        </w:tc>
      </w:tr>
      <w:tr w:rsidR="001F2A0B" w14:paraId="6A024AFB" w14:textId="77777777">
        <w:trPr>
          <w:trHeight w:val="314"/>
        </w:trPr>
        <w:tc>
          <w:tcPr>
            <w:tcW w:w="1660" w:type="dxa"/>
            <w:tcBorders>
              <w:top w:val="single" w:sz="4" w:space="0" w:color="000000"/>
              <w:left w:val="nil"/>
              <w:bottom w:val="nil"/>
              <w:right w:val="nil"/>
            </w:tcBorders>
          </w:tcPr>
          <w:p w14:paraId="5A3291A6" w14:textId="77777777" w:rsidR="001F2A0B" w:rsidRDefault="00BC538D">
            <w:pPr>
              <w:spacing w:after="0" w:line="259" w:lineRule="auto"/>
              <w:ind w:left="0" w:right="0" w:firstLine="0"/>
              <w:jc w:val="left"/>
            </w:pPr>
            <w:r>
              <w:rPr>
                <w:rFonts w:ascii="Calibri" w:eastAsia="Calibri" w:hAnsi="Calibri" w:cs="Calibri"/>
                <w:sz w:val="18"/>
              </w:rPr>
              <w:t>Minimum</w:t>
            </w:r>
          </w:p>
        </w:tc>
        <w:tc>
          <w:tcPr>
            <w:tcW w:w="1706" w:type="dxa"/>
            <w:tcBorders>
              <w:top w:val="single" w:sz="4" w:space="0" w:color="000000"/>
              <w:left w:val="nil"/>
              <w:bottom w:val="nil"/>
              <w:right w:val="nil"/>
            </w:tcBorders>
          </w:tcPr>
          <w:p w14:paraId="610A711C" w14:textId="77777777" w:rsidR="001F2A0B" w:rsidRDefault="00BC538D">
            <w:pPr>
              <w:spacing w:after="0" w:line="259" w:lineRule="auto"/>
              <w:ind w:left="141" w:right="0" w:firstLine="0"/>
              <w:jc w:val="left"/>
            </w:pPr>
            <w:r>
              <w:rPr>
                <w:rFonts w:ascii="Calibri" w:eastAsia="Calibri" w:hAnsi="Calibri" w:cs="Calibri"/>
                <w:sz w:val="18"/>
              </w:rPr>
              <w:t>0.0003</w:t>
            </w:r>
          </w:p>
        </w:tc>
        <w:tc>
          <w:tcPr>
            <w:tcW w:w="1746" w:type="dxa"/>
            <w:tcBorders>
              <w:top w:val="single" w:sz="4" w:space="0" w:color="000000"/>
              <w:left w:val="nil"/>
              <w:bottom w:val="nil"/>
              <w:right w:val="nil"/>
            </w:tcBorders>
          </w:tcPr>
          <w:p w14:paraId="68A216E9" w14:textId="77777777" w:rsidR="001F2A0B" w:rsidRDefault="00BC538D">
            <w:pPr>
              <w:spacing w:after="0" w:line="259" w:lineRule="auto"/>
              <w:ind w:left="180" w:right="0" w:firstLine="0"/>
              <w:jc w:val="left"/>
            </w:pPr>
            <w:r>
              <w:rPr>
                <w:rFonts w:ascii="Calibri" w:eastAsia="Calibri" w:hAnsi="Calibri" w:cs="Calibri"/>
                <w:sz w:val="18"/>
              </w:rPr>
              <w:t>0.0002</w:t>
            </w:r>
          </w:p>
        </w:tc>
        <w:tc>
          <w:tcPr>
            <w:tcW w:w="1836" w:type="dxa"/>
            <w:tcBorders>
              <w:top w:val="single" w:sz="4" w:space="0" w:color="000000"/>
              <w:left w:val="nil"/>
              <w:bottom w:val="nil"/>
              <w:right w:val="nil"/>
            </w:tcBorders>
          </w:tcPr>
          <w:p w14:paraId="2D55DD62" w14:textId="77777777" w:rsidR="001F2A0B" w:rsidRDefault="00BC538D">
            <w:pPr>
              <w:spacing w:after="0" w:line="259" w:lineRule="auto"/>
              <w:ind w:left="270" w:right="0" w:firstLine="0"/>
              <w:jc w:val="left"/>
            </w:pPr>
            <w:r>
              <w:rPr>
                <w:rFonts w:ascii="Calibri" w:eastAsia="Calibri" w:hAnsi="Calibri" w:cs="Calibri"/>
                <w:sz w:val="18"/>
              </w:rPr>
              <w:t>0.0000</w:t>
            </w:r>
          </w:p>
        </w:tc>
        <w:tc>
          <w:tcPr>
            <w:tcW w:w="875" w:type="dxa"/>
            <w:tcBorders>
              <w:top w:val="single" w:sz="4" w:space="0" w:color="000000"/>
              <w:left w:val="nil"/>
              <w:bottom w:val="nil"/>
              <w:right w:val="nil"/>
            </w:tcBorders>
          </w:tcPr>
          <w:p w14:paraId="521AD24A" w14:textId="77777777" w:rsidR="001F2A0B" w:rsidRDefault="00BC538D">
            <w:pPr>
              <w:spacing w:after="0" w:line="259" w:lineRule="auto"/>
              <w:ind w:left="0" w:right="16" w:firstLine="0"/>
              <w:jc w:val="center"/>
            </w:pPr>
            <w:r>
              <w:rPr>
                <w:rFonts w:ascii="Calibri" w:eastAsia="Calibri" w:hAnsi="Calibri" w:cs="Calibri"/>
                <w:sz w:val="18"/>
              </w:rPr>
              <w:t>0.0000</w:t>
            </w:r>
          </w:p>
        </w:tc>
      </w:tr>
      <w:tr w:rsidR="001F2A0B" w14:paraId="1F0D963D" w14:textId="77777777">
        <w:trPr>
          <w:trHeight w:val="220"/>
        </w:trPr>
        <w:tc>
          <w:tcPr>
            <w:tcW w:w="1660" w:type="dxa"/>
            <w:tcBorders>
              <w:top w:val="nil"/>
              <w:left w:val="nil"/>
              <w:bottom w:val="nil"/>
              <w:right w:val="nil"/>
            </w:tcBorders>
          </w:tcPr>
          <w:p w14:paraId="750360D0" w14:textId="77777777" w:rsidR="001F2A0B" w:rsidRDefault="00BC538D">
            <w:pPr>
              <w:spacing w:after="0" w:line="259" w:lineRule="auto"/>
              <w:ind w:left="0" w:right="0" w:firstLine="0"/>
              <w:jc w:val="left"/>
            </w:pPr>
            <w:r>
              <w:rPr>
                <w:rFonts w:ascii="Calibri" w:eastAsia="Calibri" w:hAnsi="Calibri" w:cs="Calibri"/>
                <w:sz w:val="18"/>
              </w:rPr>
              <w:t>Maximum</w:t>
            </w:r>
          </w:p>
        </w:tc>
        <w:tc>
          <w:tcPr>
            <w:tcW w:w="1706" w:type="dxa"/>
            <w:tcBorders>
              <w:top w:val="nil"/>
              <w:left w:val="nil"/>
              <w:bottom w:val="nil"/>
              <w:right w:val="nil"/>
            </w:tcBorders>
          </w:tcPr>
          <w:p w14:paraId="1DA5FF67" w14:textId="77777777" w:rsidR="001F2A0B" w:rsidRDefault="00BC538D">
            <w:pPr>
              <w:spacing w:after="0" w:line="259" w:lineRule="auto"/>
              <w:ind w:left="141" w:right="0" w:firstLine="0"/>
              <w:jc w:val="left"/>
            </w:pPr>
            <w:r>
              <w:rPr>
                <w:rFonts w:ascii="Calibri" w:eastAsia="Calibri" w:hAnsi="Calibri" w:cs="Calibri"/>
                <w:sz w:val="18"/>
              </w:rPr>
              <w:t>0.3032</w:t>
            </w:r>
          </w:p>
        </w:tc>
        <w:tc>
          <w:tcPr>
            <w:tcW w:w="1746" w:type="dxa"/>
            <w:tcBorders>
              <w:top w:val="nil"/>
              <w:left w:val="nil"/>
              <w:bottom w:val="nil"/>
              <w:right w:val="nil"/>
            </w:tcBorders>
          </w:tcPr>
          <w:p w14:paraId="0443E55E" w14:textId="77777777" w:rsidR="001F2A0B" w:rsidRDefault="00BC538D">
            <w:pPr>
              <w:spacing w:after="0" w:line="259" w:lineRule="auto"/>
              <w:ind w:left="180" w:right="0" w:firstLine="0"/>
              <w:jc w:val="left"/>
            </w:pPr>
            <w:r>
              <w:rPr>
                <w:rFonts w:ascii="Calibri" w:eastAsia="Calibri" w:hAnsi="Calibri" w:cs="Calibri"/>
                <w:sz w:val="18"/>
              </w:rPr>
              <w:t>0.3231</w:t>
            </w:r>
          </w:p>
        </w:tc>
        <w:tc>
          <w:tcPr>
            <w:tcW w:w="1836" w:type="dxa"/>
            <w:tcBorders>
              <w:top w:val="nil"/>
              <w:left w:val="nil"/>
              <w:bottom w:val="nil"/>
              <w:right w:val="nil"/>
            </w:tcBorders>
          </w:tcPr>
          <w:p w14:paraId="3BC2FD8C" w14:textId="77777777" w:rsidR="001F2A0B" w:rsidRDefault="00BC538D">
            <w:pPr>
              <w:spacing w:after="0" w:line="259" w:lineRule="auto"/>
              <w:ind w:left="270" w:right="0" w:firstLine="0"/>
              <w:jc w:val="left"/>
            </w:pPr>
            <w:r>
              <w:rPr>
                <w:rFonts w:ascii="Calibri" w:eastAsia="Calibri" w:hAnsi="Calibri" w:cs="Calibri"/>
                <w:sz w:val="18"/>
              </w:rPr>
              <w:t>0.2903</w:t>
            </w:r>
          </w:p>
        </w:tc>
        <w:tc>
          <w:tcPr>
            <w:tcW w:w="875" w:type="dxa"/>
            <w:tcBorders>
              <w:top w:val="nil"/>
              <w:left w:val="nil"/>
              <w:bottom w:val="nil"/>
              <w:right w:val="nil"/>
            </w:tcBorders>
          </w:tcPr>
          <w:p w14:paraId="4285B8C1" w14:textId="77777777" w:rsidR="001F2A0B" w:rsidRDefault="00BC538D">
            <w:pPr>
              <w:spacing w:after="0" w:line="259" w:lineRule="auto"/>
              <w:ind w:left="0" w:right="16" w:firstLine="0"/>
              <w:jc w:val="center"/>
            </w:pPr>
            <w:r>
              <w:rPr>
                <w:rFonts w:ascii="Calibri" w:eastAsia="Calibri" w:hAnsi="Calibri" w:cs="Calibri"/>
                <w:sz w:val="18"/>
              </w:rPr>
              <w:t>0.2776</w:t>
            </w:r>
          </w:p>
        </w:tc>
      </w:tr>
      <w:tr w:rsidR="001F2A0B" w14:paraId="3EE8652A" w14:textId="77777777">
        <w:trPr>
          <w:trHeight w:val="220"/>
        </w:trPr>
        <w:tc>
          <w:tcPr>
            <w:tcW w:w="1660" w:type="dxa"/>
            <w:tcBorders>
              <w:top w:val="nil"/>
              <w:left w:val="nil"/>
              <w:bottom w:val="nil"/>
              <w:right w:val="nil"/>
            </w:tcBorders>
          </w:tcPr>
          <w:p w14:paraId="674958A2" w14:textId="77777777" w:rsidR="001F2A0B" w:rsidRDefault="00BC538D">
            <w:pPr>
              <w:spacing w:after="0" w:line="259" w:lineRule="auto"/>
              <w:ind w:left="0" w:right="0" w:firstLine="0"/>
              <w:jc w:val="left"/>
            </w:pPr>
            <w:r>
              <w:rPr>
                <w:rFonts w:ascii="Calibri" w:eastAsia="Calibri" w:hAnsi="Calibri" w:cs="Calibri"/>
                <w:sz w:val="18"/>
              </w:rPr>
              <w:t>1. Quartile</w:t>
            </w:r>
          </w:p>
        </w:tc>
        <w:tc>
          <w:tcPr>
            <w:tcW w:w="1706" w:type="dxa"/>
            <w:tcBorders>
              <w:top w:val="nil"/>
              <w:left w:val="nil"/>
              <w:bottom w:val="nil"/>
              <w:right w:val="nil"/>
            </w:tcBorders>
          </w:tcPr>
          <w:p w14:paraId="03DA1AB8" w14:textId="77777777" w:rsidR="001F2A0B" w:rsidRDefault="00BC538D">
            <w:pPr>
              <w:spacing w:after="0" w:line="259" w:lineRule="auto"/>
              <w:ind w:left="141" w:right="0" w:firstLine="0"/>
              <w:jc w:val="left"/>
            </w:pPr>
            <w:r>
              <w:rPr>
                <w:rFonts w:ascii="Calibri" w:eastAsia="Calibri" w:hAnsi="Calibri" w:cs="Calibri"/>
                <w:sz w:val="18"/>
              </w:rPr>
              <w:t>0.0441</w:t>
            </w:r>
          </w:p>
        </w:tc>
        <w:tc>
          <w:tcPr>
            <w:tcW w:w="1746" w:type="dxa"/>
            <w:tcBorders>
              <w:top w:val="nil"/>
              <w:left w:val="nil"/>
              <w:bottom w:val="nil"/>
              <w:right w:val="nil"/>
            </w:tcBorders>
          </w:tcPr>
          <w:p w14:paraId="613FAC7B" w14:textId="77777777" w:rsidR="001F2A0B" w:rsidRDefault="00BC538D">
            <w:pPr>
              <w:spacing w:after="0" w:line="259" w:lineRule="auto"/>
              <w:ind w:left="180" w:right="0" w:firstLine="0"/>
              <w:jc w:val="left"/>
            </w:pPr>
            <w:r>
              <w:rPr>
                <w:rFonts w:ascii="Calibri" w:eastAsia="Calibri" w:hAnsi="Calibri" w:cs="Calibri"/>
                <w:sz w:val="18"/>
              </w:rPr>
              <w:t>0.0329</w:t>
            </w:r>
          </w:p>
        </w:tc>
        <w:tc>
          <w:tcPr>
            <w:tcW w:w="1836" w:type="dxa"/>
            <w:tcBorders>
              <w:top w:val="nil"/>
              <w:left w:val="nil"/>
              <w:bottom w:val="nil"/>
              <w:right w:val="nil"/>
            </w:tcBorders>
          </w:tcPr>
          <w:p w14:paraId="62C8C7E5" w14:textId="77777777" w:rsidR="001F2A0B" w:rsidRDefault="00BC538D">
            <w:pPr>
              <w:spacing w:after="0" w:line="259" w:lineRule="auto"/>
              <w:ind w:left="270" w:right="0" w:firstLine="0"/>
              <w:jc w:val="left"/>
            </w:pPr>
            <w:r>
              <w:rPr>
                <w:rFonts w:ascii="Calibri" w:eastAsia="Calibri" w:hAnsi="Calibri" w:cs="Calibri"/>
                <w:sz w:val="18"/>
              </w:rPr>
              <w:t>0.0207</w:t>
            </w:r>
          </w:p>
        </w:tc>
        <w:tc>
          <w:tcPr>
            <w:tcW w:w="875" w:type="dxa"/>
            <w:tcBorders>
              <w:top w:val="nil"/>
              <w:left w:val="nil"/>
              <w:bottom w:val="nil"/>
              <w:right w:val="nil"/>
            </w:tcBorders>
          </w:tcPr>
          <w:p w14:paraId="4BA97488" w14:textId="77777777" w:rsidR="001F2A0B" w:rsidRDefault="00BC538D">
            <w:pPr>
              <w:spacing w:after="0" w:line="259" w:lineRule="auto"/>
              <w:ind w:left="0" w:right="16" w:firstLine="0"/>
              <w:jc w:val="center"/>
            </w:pPr>
            <w:r>
              <w:rPr>
                <w:rFonts w:ascii="Calibri" w:eastAsia="Calibri" w:hAnsi="Calibri" w:cs="Calibri"/>
                <w:sz w:val="18"/>
              </w:rPr>
              <w:t>0.0432</w:t>
            </w:r>
          </w:p>
        </w:tc>
      </w:tr>
      <w:tr w:rsidR="001F2A0B" w14:paraId="4909D1AD" w14:textId="77777777">
        <w:trPr>
          <w:trHeight w:val="220"/>
        </w:trPr>
        <w:tc>
          <w:tcPr>
            <w:tcW w:w="1660" w:type="dxa"/>
            <w:tcBorders>
              <w:top w:val="nil"/>
              <w:left w:val="nil"/>
              <w:bottom w:val="nil"/>
              <w:right w:val="nil"/>
            </w:tcBorders>
          </w:tcPr>
          <w:p w14:paraId="747DDB57" w14:textId="77777777" w:rsidR="001F2A0B" w:rsidRDefault="00BC538D">
            <w:pPr>
              <w:spacing w:after="0" w:line="259" w:lineRule="auto"/>
              <w:ind w:left="0" w:right="0" w:firstLine="0"/>
              <w:jc w:val="left"/>
            </w:pPr>
            <w:r>
              <w:rPr>
                <w:rFonts w:ascii="Calibri" w:eastAsia="Calibri" w:hAnsi="Calibri" w:cs="Calibri"/>
                <w:sz w:val="18"/>
              </w:rPr>
              <w:t>3. Quartile</w:t>
            </w:r>
          </w:p>
        </w:tc>
        <w:tc>
          <w:tcPr>
            <w:tcW w:w="1706" w:type="dxa"/>
            <w:tcBorders>
              <w:top w:val="nil"/>
              <w:left w:val="nil"/>
              <w:bottom w:val="nil"/>
              <w:right w:val="nil"/>
            </w:tcBorders>
          </w:tcPr>
          <w:p w14:paraId="1B5485B4" w14:textId="77777777" w:rsidR="001F2A0B" w:rsidRDefault="00BC538D">
            <w:pPr>
              <w:spacing w:after="0" w:line="259" w:lineRule="auto"/>
              <w:ind w:left="141" w:right="0" w:firstLine="0"/>
              <w:jc w:val="left"/>
            </w:pPr>
            <w:r>
              <w:rPr>
                <w:rFonts w:ascii="Calibri" w:eastAsia="Calibri" w:hAnsi="Calibri" w:cs="Calibri"/>
                <w:sz w:val="18"/>
              </w:rPr>
              <w:t>0.1584</w:t>
            </w:r>
          </w:p>
        </w:tc>
        <w:tc>
          <w:tcPr>
            <w:tcW w:w="1746" w:type="dxa"/>
            <w:tcBorders>
              <w:top w:val="nil"/>
              <w:left w:val="nil"/>
              <w:bottom w:val="nil"/>
              <w:right w:val="nil"/>
            </w:tcBorders>
          </w:tcPr>
          <w:p w14:paraId="149A0FDA" w14:textId="77777777" w:rsidR="001F2A0B" w:rsidRDefault="00BC538D">
            <w:pPr>
              <w:spacing w:after="0" w:line="259" w:lineRule="auto"/>
              <w:ind w:left="180" w:right="0" w:firstLine="0"/>
              <w:jc w:val="left"/>
            </w:pPr>
            <w:r>
              <w:rPr>
                <w:rFonts w:ascii="Calibri" w:eastAsia="Calibri" w:hAnsi="Calibri" w:cs="Calibri"/>
                <w:sz w:val="18"/>
              </w:rPr>
              <w:t>0.1836</w:t>
            </w:r>
          </w:p>
        </w:tc>
        <w:tc>
          <w:tcPr>
            <w:tcW w:w="1836" w:type="dxa"/>
            <w:tcBorders>
              <w:top w:val="nil"/>
              <w:left w:val="nil"/>
              <w:bottom w:val="nil"/>
              <w:right w:val="nil"/>
            </w:tcBorders>
          </w:tcPr>
          <w:p w14:paraId="755EE047" w14:textId="77777777" w:rsidR="001F2A0B" w:rsidRDefault="00BC538D">
            <w:pPr>
              <w:spacing w:after="0" w:line="259" w:lineRule="auto"/>
              <w:ind w:left="270" w:right="0" w:firstLine="0"/>
              <w:jc w:val="left"/>
            </w:pPr>
            <w:r>
              <w:rPr>
                <w:rFonts w:ascii="Calibri" w:eastAsia="Calibri" w:hAnsi="Calibri" w:cs="Calibri"/>
                <w:sz w:val="18"/>
              </w:rPr>
              <w:t>0.0854</w:t>
            </w:r>
          </w:p>
        </w:tc>
        <w:tc>
          <w:tcPr>
            <w:tcW w:w="875" w:type="dxa"/>
            <w:tcBorders>
              <w:top w:val="nil"/>
              <w:left w:val="nil"/>
              <w:bottom w:val="nil"/>
              <w:right w:val="nil"/>
            </w:tcBorders>
          </w:tcPr>
          <w:p w14:paraId="53CF0BF0" w14:textId="77777777" w:rsidR="001F2A0B" w:rsidRDefault="00BC538D">
            <w:pPr>
              <w:spacing w:after="0" w:line="259" w:lineRule="auto"/>
              <w:ind w:left="0" w:right="16" w:firstLine="0"/>
              <w:jc w:val="center"/>
            </w:pPr>
            <w:r>
              <w:rPr>
                <w:rFonts w:ascii="Calibri" w:eastAsia="Calibri" w:hAnsi="Calibri" w:cs="Calibri"/>
                <w:sz w:val="18"/>
              </w:rPr>
              <w:t>0.1142</w:t>
            </w:r>
          </w:p>
        </w:tc>
      </w:tr>
      <w:tr w:rsidR="001F2A0B" w14:paraId="02399AB8" w14:textId="77777777">
        <w:trPr>
          <w:trHeight w:val="220"/>
        </w:trPr>
        <w:tc>
          <w:tcPr>
            <w:tcW w:w="1660" w:type="dxa"/>
            <w:tcBorders>
              <w:top w:val="nil"/>
              <w:left w:val="nil"/>
              <w:bottom w:val="nil"/>
              <w:right w:val="nil"/>
            </w:tcBorders>
          </w:tcPr>
          <w:p w14:paraId="18BDAB5F" w14:textId="77777777" w:rsidR="001F2A0B" w:rsidRDefault="00BC538D">
            <w:pPr>
              <w:spacing w:after="0" w:line="259" w:lineRule="auto"/>
              <w:ind w:left="0" w:right="0" w:firstLine="0"/>
              <w:jc w:val="left"/>
            </w:pPr>
            <w:r>
              <w:rPr>
                <w:rFonts w:ascii="Calibri" w:eastAsia="Calibri" w:hAnsi="Calibri" w:cs="Calibri"/>
                <w:sz w:val="18"/>
              </w:rPr>
              <w:t>Mean</w:t>
            </w:r>
          </w:p>
        </w:tc>
        <w:tc>
          <w:tcPr>
            <w:tcW w:w="1706" w:type="dxa"/>
            <w:tcBorders>
              <w:top w:val="nil"/>
              <w:left w:val="nil"/>
              <w:bottom w:val="nil"/>
              <w:right w:val="nil"/>
            </w:tcBorders>
          </w:tcPr>
          <w:p w14:paraId="3F6426F7" w14:textId="77777777" w:rsidR="001F2A0B" w:rsidRDefault="00BC538D">
            <w:pPr>
              <w:spacing w:after="0" w:line="259" w:lineRule="auto"/>
              <w:ind w:left="141" w:right="0" w:firstLine="0"/>
              <w:jc w:val="left"/>
            </w:pPr>
            <w:r>
              <w:rPr>
                <w:rFonts w:ascii="Calibri" w:eastAsia="Calibri" w:hAnsi="Calibri" w:cs="Calibri"/>
                <w:sz w:val="18"/>
              </w:rPr>
              <w:t>0.1086</w:t>
            </w:r>
          </w:p>
        </w:tc>
        <w:tc>
          <w:tcPr>
            <w:tcW w:w="1746" w:type="dxa"/>
            <w:tcBorders>
              <w:top w:val="nil"/>
              <w:left w:val="nil"/>
              <w:bottom w:val="nil"/>
              <w:right w:val="nil"/>
            </w:tcBorders>
          </w:tcPr>
          <w:p w14:paraId="0037A834" w14:textId="77777777" w:rsidR="001F2A0B" w:rsidRDefault="00BC538D">
            <w:pPr>
              <w:spacing w:after="0" w:line="259" w:lineRule="auto"/>
              <w:ind w:left="180" w:right="0" w:firstLine="0"/>
              <w:jc w:val="left"/>
            </w:pPr>
            <w:r>
              <w:rPr>
                <w:rFonts w:ascii="Calibri" w:eastAsia="Calibri" w:hAnsi="Calibri" w:cs="Calibri"/>
                <w:sz w:val="18"/>
              </w:rPr>
              <w:t>0.1099</w:t>
            </w:r>
          </w:p>
        </w:tc>
        <w:tc>
          <w:tcPr>
            <w:tcW w:w="1836" w:type="dxa"/>
            <w:tcBorders>
              <w:top w:val="nil"/>
              <w:left w:val="nil"/>
              <w:bottom w:val="nil"/>
              <w:right w:val="nil"/>
            </w:tcBorders>
          </w:tcPr>
          <w:p w14:paraId="723C7787" w14:textId="77777777" w:rsidR="001F2A0B" w:rsidRDefault="00BC538D">
            <w:pPr>
              <w:spacing w:after="0" w:line="259" w:lineRule="auto"/>
              <w:ind w:left="270" w:right="0" w:firstLine="0"/>
              <w:jc w:val="left"/>
            </w:pPr>
            <w:r>
              <w:rPr>
                <w:rFonts w:ascii="Calibri" w:eastAsia="Calibri" w:hAnsi="Calibri" w:cs="Calibri"/>
                <w:sz w:val="18"/>
              </w:rPr>
              <w:t>0.0607</w:t>
            </w:r>
          </w:p>
        </w:tc>
        <w:tc>
          <w:tcPr>
            <w:tcW w:w="875" w:type="dxa"/>
            <w:tcBorders>
              <w:top w:val="nil"/>
              <w:left w:val="nil"/>
              <w:bottom w:val="nil"/>
              <w:right w:val="nil"/>
            </w:tcBorders>
          </w:tcPr>
          <w:p w14:paraId="14C26F6E" w14:textId="77777777" w:rsidR="001F2A0B" w:rsidRDefault="00BC538D">
            <w:pPr>
              <w:spacing w:after="0" w:line="259" w:lineRule="auto"/>
              <w:ind w:left="0" w:right="16" w:firstLine="0"/>
              <w:jc w:val="center"/>
            </w:pPr>
            <w:r>
              <w:rPr>
                <w:rFonts w:ascii="Calibri" w:eastAsia="Calibri" w:hAnsi="Calibri" w:cs="Calibri"/>
                <w:sz w:val="18"/>
              </w:rPr>
              <w:t>0.0864</w:t>
            </w:r>
          </w:p>
        </w:tc>
      </w:tr>
      <w:tr w:rsidR="001F2A0B" w14:paraId="5C63257A" w14:textId="77777777">
        <w:trPr>
          <w:trHeight w:val="220"/>
        </w:trPr>
        <w:tc>
          <w:tcPr>
            <w:tcW w:w="1660" w:type="dxa"/>
            <w:tcBorders>
              <w:top w:val="nil"/>
              <w:left w:val="nil"/>
              <w:bottom w:val="nil"/>
              <w:right w:val="nil"/>
            </w:tcBorders>
          </w:tcPr>
          <w:p w14:paraId="76F12A74" w14:textId="77777777" w:rsidR="001F2A0B" w:rsidRDefault="00BC538D">
            <w:pPr>
              <w:spacing w:after="0" w:line="259" w:lineRule="auto"/>
              <w:ind w:left="0" w:right="0" w:firstLine="0"/>
              <w:jc w:val="left"/>
            </w:pPr>
            <w:proofErr w:type="spellStart"/>
            <w:r>
              <w:rPr>
                <w:rFonts w:ascii="Calibri" w:eastAsia="Calibri" w:hAnsi="Calibri" w:cs="Calibri"/>
                <w:sz w:val="18"/>
              </w:rPr>
              <w:t>Stdev</w:t>
            </w:r>
            <w:proofErr w:type="spellEnd"/>
          </w:p>
        </w:tc>
        <w:tc>
          <w:tcPr>
            <w:tcW w:w="1706" w:type="dxa"/>
            <w:tcBorders>
              <w:top w:val="nil"/>
              <w:left w:val="nil"/>
              <w:bottom w:val="nil"/>
              <w:right w:val="nil"/>
            </w:tcBorders>
          </w:tcPr>
          <w:p w14:paraId="1CF6AB64" w14:textId="77777777" w:rsidR="001F2A0B" w:rsidRDefault="00BC538D">
            <w:pPr>
              <w:spacing w:after="0" w:line="259" w:lineRule="auto"/>
              <w:ind w:left="141" w:right="0" w:firstLine="0"/>
              <w:jc w:val="left"/>
            </w:pPr>
            <w:r>
              <w:rPr>
                <w:rFonts w:ascii="Calibri" w:eastAsia="Calibri" w:hAnsi="Calibri" w:cs="Calibri"/>
                <w:sz w:val="18"/>
              </w:rPr>
              <w:t>0.0745</w:t>
            </w:r>
          </w:p>
        </w:tc>
        <w:tc>
          <w:tcPr>
            <w:tcW w:w="1746" w:type="dxa"/>
            <w:tcBorders>
              <w:top w:val="nil"/>
              <w:left w:val="nil"/>
              <w:bottom w:val="nil"/>
              <w:right w:val="nil"/>
            </w:tcBorders>
          </w:tcPr>
          <w:p w14:paraId="3E19E07D" w14:textId="77777777" w:rsidR="001F2A0B" w:rsidRDefault="00BC538D">
            <w:pPr>
              <w:spacing w:after="0" w:line="259" w:lineRule="auto"/>
              <w:ind w:left="180" w:right="0" w:firstLine="0"/>
              <w:jc w:val="left"/>
            </w:pPr>
            <w:r>
              <w:rPr>
                <w:rFonts w:ascii="Calibri" w:eastAsia="Calibri" w:hAnsi="Calibri" w:cs="Calibri"/>
                <w:sz w:val="18"/>
              </w:rPr>
              <w:t>0.0839</w:t>
            </w:r>
          </w:p>
        </w:tc>
        <w:tc>
          <w:tcPr>
            <w:tcW w:w="1836" w:type="dxa"/>
            <w:tcBorders>
              <w:top w:val="nil"/>
              <w:left w:val="nil"/>
              <w:bottom w:val="nil"/>
              <w:right w:val="nil"/>
            </w:tcBorders>
          </w:tcPr>
          <w:p w14:paraId="01C5E7FE" w14:textId="77777777" w:rsidR="001F2A0B" w:rsidRDefault="00BC538D">
            <w:pPr>
              <w:spacing w:after="0" w:line="259" w:lineRule="auto"/>
              <w:ind w:left="270" w:right="0" w:firstLine="0"/>
              <w:jc w:val="left"/>
            </w:pPr>
            <w:r>
              <w:rPr>
                <w:rFonts w:ascii="Calibri" w:eastAsia="Calibri" w:hAnsi="Calibri" w:cs="Calibri"/>
                <w:sz w:val="18"/>
              </w:rPr>
              <w:t>0.0505</w:t>
            </w:r>
          </w:p>
        </w:tc>
        <w:tc>
          <w:tcPr>
            <w:tcW w:w="875" w:type="dxa"/>
            <w:tcBorders>
              <w:top w:val="nil"/>
              <w:left w:val="nil"/>
              <w:bottom w:val="nil"/>
              <w:right w:val="nil"/>
            </w:tcBorders>
          </w:tcPr>
          <w:p w14:paraId="2061A0D1" w14:textId="77777777" w:rsidR="001F2A0B" w:rsidRDefault="00BC538D">
            <w:pPr>
              <w:spacing w:after="0" w:line="259" w:lineRule="auto"/>
              <w:ind w:left="0" w:right="16" w:firstLine="0"/>
              <w:jc w:val="center"/>
            </w:pPr>
            <w:r>
              <w:rPr>
                <w:rFonts w:ascii="Calibri" w:eastAsia="Calibri" w:hAnsi="Calibri" w:cs="Calibri"/>
                <w:sz w:val="18"/>
              </w:rPr>
              <w:t>0.0650</w:t>
            </w:r>
          </w:p>
        </w:tc>
      </w:tr>
      <w:tr w:rsidR="001F2A0B" w14:paraId="101F72D1" w14:textId="77777777">
        <w:trPr>
          <w:trHeight w:val="212"/>
        </w:trPr>
        <w:tc>
          <w:tcPr>
            <w:tcW w:w="1660" w:type="dxa"/>
            <w:tcBorders>
              <w:top w:val="nil"/>
              <w:left w:val="nil"/>
              <w:bottom w:val="nil"/>
              <w:right w:val="nil"/>
            </w:tcBorders>
          </w:tcPr>
          <w:p w14:paraId="62A1A8F6" w14:textId="77777777" w:rsidR="001F2A0B" w:rsidRDefault="00BC538D">
            <w:pPr>
              <w:spacing w:after="0" w:line="259" w:lineRule="auto"/>
              <w:ind w:left="0" w:right="0" w:firstLine="0"/>
              <w:jc w:val="left"/>
            </w:pPr>
            <w:r>
              <w:rPr>
                <w:rFonts w:ascii="Calibri" w:eastAsia="Calibri" w:hAnsi="Calibri" w:cs="Calibri"/>
                <w:sz w:val="18"/>
              </w:rPr>
              <w:t>Skewness</w:t>
            </w:r>
          </w:p>
        </w:tc>
        <w:tc>
          <w:tcPr>
            <w:tcW w:w="1706" w:type="dxa"/>
            <w:tcBorders>
              <w:top w:val="nil"/>
              <w:left w:val="nil"/>
              <w:bottom w:val="nil"/>
              <w:right w:val="nil"/>
            </w:tcBorders>
          </w:tcPr>
          <w:p w14:paraId="6EDBD7EE" w14:textId="77777777" w:rsidR="001F2A0B" w:rsidRDefault="00BC538D">
            <w:pPr>
              <w:spacing w:after="0" w:line="259" w:lineRule="auto"/>
              <w:ind w:left="141" w:right="0" w:firstLine="0"/>
              <w:jc w:val="left"/>
            </w:pPr>
            <w:r>
              <w:rPr>
                <w:rFonts w:ascii="Calibri" w:eastAsia="Calibri" w:hAnsi="Calibri" w:cs="Calibri"/>
                <w:sz w:val="18"/>
              </w:rPr>
              <w:t>0.5392</w:t>
            </w:r>
          </w:p>
        </w:tc>
        <w:tc>
          <w:tcPr>
            <w:tcW w:w="1746" w:type="dxa"/>
            <w:tcBorders>
              <w:top w:val="nil"/>
              <w:left w:val="nil"/>
              <w:bottom w:val="nil"/>
              <w:right w:val="nil"/>
            </w:tcBorders>
          </w:tcPr>
          <w:p w14:paraId="02F7BB41" w14:textId="77777777" w:rsidR="001F2A0B" w:rsidRDefault="00BC538D">
            <w:pPr>
              <w:spacing w:after="0" w:line="259" w:lineRule="auto"/>
              <w:ind w:left="180" w:right="0" w:firstLine="0"/>
              <w:jc w:val="left"/>
            </w:pPr>
            <w:r>
              <w:rPr>
                <w:rFonts w:ascii="Calibri" w:eastAsia="Calibri" w:hAnsi="Calibri" w:cs="Calibri"/>
                <w:sz w:val="18"/>
              </w:rPr>
              <w:t>0.4980</w:t>
            </w:r>
          </w:p>
        </w:tc>
        <w:tc>
          <w:tcPr>
            <w:tcW w:w="1836" w:type="dxa"/>
            <w:tcBorders>
              <w:top w:val="nil"/>
              <w:left w:val="nil"/>
              <w:bottom w:val="nil"/>
              <w:right w:val="nil"/>
            </w:tcBorders>
          </w:tcPr>
          <w:p w14:paraId="74D74E67" w14:textId="77777777" w:rsidR="001F2A0B" w:rsidRDefault="00BC538D">
            <w:pPr>
              <w:spacing w:after="0" w:line="259" w:lineRule="auto"/>
              <w:ind w:left="270" w:right="0" w:firstLine="0"/>
              <w:jc w:val="left"/>
            </w:pPr>
            <w:r>
              <w:rPr>
                <w:rFonts w:ascii="Calibri" w:eastAsia="Calibri" w:hAnsi="Calibri" w:cs="Calibri"/>
                <w:sz w:val="18"/>
              </w:rPr>
              <w:t>1.5336</w:t>
            </w:r>
          </w:p>
        </w:tc>
        <w:tc>
          <w:tcPr>
            <w:tcW w:w="875" w:type="dxa"/>
            <w:tcBorders>
              <w:top w:val="nil"/>
              <w:left w:val="nil"/>
              <w:bottom w:val="nil"/>
              <w:right w:val="nil"/>
            </w:tcBorders>
          </w:tcPr>
          <w:p w14:paraId="02E7C28E" w14:textId="77777777" w:rsidR="001F2A0B" w:rsidRDefault="00BC538D">
            <w:pPr>
              <w:spacing w:after="0" w:line="259" w:lineRule="auto"/>
              <w:ind w:left="0" w:right="16" w:firstLine="0"/>
              <w:jc w:val="center"/>
            </w:pPr>
            <w:r>
              <w:rPr>
                <w:rFonts w:ascii="Calibri" w:eastAsia="Calibri" w:hAnsi="Calibri" w:cs="Calibri"/>
                <w:sz w:val="18"/>
              </w:rPr>
              <w:t>1.2655</w:t>
            </w:r>
          </w:p>
        </w:tc>
      </w:tr>
      <w:tr w:rsidR="001F2A0B" w14:paraId="2563136B" w14:textId="77777777">
        <w:trPr>
          <w:trHeight w:val="435"/>
        </w:trPr>
        <w:tc>
          <w:tcPr>
            <w:tcW w:w="1660" w:type="dxa"/>
            <w:tcBorders>
              <w:top w:val="nil"/>
              <w:left w:val="nil"/>
              <w:bottom w:val="nil"/>
              <w:right w:val="nil"/>
            </w:tcBorders>
          </w:tcPr>
          <w:p w14:paraId="21847C5E" w14:textId="77777777" w:rsidR="001F2A0B" w:rsidRDefault="00BC538D">
            <w:pPr>
              <w:spacing w:after="0" w:line="259" w:lineRule="auto"/>
              <w:ind w:left="0" w:right="0" w:firstLine="0"/>
              <w:jc w:val="left"/>
            </w:pPr>
            <w:r>
              <w:rPr>
                <w:rFonts w:ascii="Calibri" w:eastAsia="Calibri" w:hAnsi="Calibri" w:cs="Calibri"/>
                <w:sz w:val="18"/>
              </w:rPr>
              <w:t>Kurtosis</w:t>
            </w:r>
          </w:p>
          <w:p w14:paraId="72A3F4B7" w14:textId="77777777" w:rsidR="001F2A0B" w:rsidRDefault="00BC538D">
            <w:pPr>
              <w:spacing w:after="0" w:line="259" w:lineRule="auto"/>
              <w:ind w:left="0" w:right="0" w:firstLine="0"/>
              <w:jc w:val="left"/>
            </w:pPr>
            <w:r>
              <w:rPr>
                <w:rFonts w:ascii="Calibri" w:eastAsia="Calibri" w:hAnsi="Calibri" w:cs="Calibri"/>
                <w:sz w:val="18"/>
              </w:rPr>
              <w:lastRenderedPageBreak/>
              <w:t>JB test</w:t>
            </w:r>
          </w:p>
        </w:tc>
        <w:tc>
          <w:tcPr>
            <w:tcW w:w="1706" w:type="dxa"/>
            <w:tcBorders>
              <w:top w:val="nil"/>
              <w:left w:val="nil"/>
              <w:bottom w:val="nil"/>
              <w:right w:val="nil"/>
            </w:tcBorders>
          </w:tcPr>
          <w:p w14:paraId="16F01721" w14:textId="77777777" w:rsidR="001F2A0B" w:rsidRDefault="00BC538D">
            <w:pPr>
              <w:spacing w:after="0" w:line="259" w:lineRule="auto"/>
              <w:ind w:left="0" w:right="0" w:firstLine="0"/>
              <w:jc w:val="left"/>
            </w:pPr>
            <w:r>
              <w:rPr>
                <w:noProof/>
              </w:rPr>
              <w:lastRenderedPageBreak/>
              <w:drawing>
                <wp:inline distT="0" distB="0" distL="0" distR="0" wp14:anchorId="252BA7FE" wp14:editId="16D87246">
                  <wp:extent cx="1588008" cy="249936"/>
                  <wp:effectExtent l="0" t="0" r="0" b="0"/>
                  <wp:docPr id="31624" name="Picture 31624"/>
                  <wp:cNvGraphicFramePr/>
                  <a:graphic xmlns:a="http://schemas.openxmlformats.org/drawingml/2006/main">
                    <a:graphicData uri="http://schemas.openxmlformats.org/drawingml/2006/picture">
                      <pic:pic xmlns:pic="http://schemas.openxmlformats.org/drawingml/2006/picture">
                        <pic:nvPicPr>
                          <pic:cNvPr id="31624" name="Picture 31624"/>
                          <pic:cNvPicPr/>
                        </pic:nvPicPr>
                        <pic:blipFill>
                          <a:blip r:embed="rId19"/>
                          <a:stretch>
                            <a:fillRect/>
                          </a:stretch>
                        </pic:blipFill>
                        <pic:spPr>
                          <a:xfrm>
                            <a:off x="0" y="0"/>
                            <a:ext cx="1588008" cy="249936"/>
                          </a:xfrm>
                          <a:prstGeom prst="rect">
                            <a:avLst/>
                          </a:prstGeom>
                        </pic:spPr>
                      </pic:pic>
                    </a:graphicData>
                  </a:graphic>
                </wp:inline>
              </w:drawing>
            </w:r>
          </w:p>
        </w:tc>
        <w:tc>
          <w:tcPr>
            <w:tcW w:w="1746" w:type="dxa"/>
            <w:tcBorders>
              <w:top w:val="nil"/>
              <w:left w:val="nil"/>
              <w:bottom w:val="nil"/>
              <w:right w:val="nil"/>
            </w:tcBorders>
          </w:tcPr>
          <w:p w14:paraId="13B41034" w14:textId="77777777" w:rsidR="001F2A0B" w:rsidRDefault="00BC538D">
            <w:pPr>
              <w:spacing w:after="0" w:line="259" w:lineRule="auto"/>
              <w:ind w:left="0" w:right="0" w:firstLine="0"/>
              <w:jc w:val="left"/>
            </w:pPr>
            <w:r>
              <w:rPr>
                <w:noProof/>
              </w:rPr>
              <w:drawing>
                <wp:inline distT="0" distB="0" distL="0" distR="0" wp14:anchorId="08A4A759" wp14:editId="2FB4B27C">
                  <wp:extent cx="2673096" cy="225551"/>
                  <wp:effectExtent l="0" t="0" r="0" b="0"/>
                  <wp:docPr id="31625" name="Picture 31625"/>
                  <wp:cNvGraphicFramePr/>
                  <a:graphic xmlns:a="http://schemas.openxmlformats.org/drawingml/2006/main">
                    <a:graphicData uri="http://schemas.openxmlformats.org/drawingml/2006/picture">
                      <pic:pic xmlns:pic="http://schemas.openxmlformats.org/drawingml/2006/picture">
                        <pic:nvPicPr>
                          <pic:cNvPr id="31625" name="Picture 31625"/>
                          <pic:cNvPicPr/>
                        </pic:nvPicPr>
                        <pic:blipFill>
                          <a:blip r:embed="rId20"/>
                          <a:stretch>
                            <a:fillRect/>
                          </a:stretch>
                        </pic:blipFill>
                        <pic:spPr>
                          <a:xfrm>
                            <a:off x="0" y="0"/>
                            <a:ext cx="2673096" cy="225551"/>
                          </a:xfrm>
                          <a:prstGeom prst="rect">
                            <a:avLst/>
                          </a:prstGeom>
                        </pic:spPr>
                      </pic:pic>
                    </a:graphicData>
                  </a:graphic>
                </wp:inline>
              </w:drawing>
            </w:r>
          </w:p>
        </w:tc>
        <w:tc>
          <w:tcPr>
            <w:tcW w:w="1836" w:type="dxa"/>
            <w:tcBorders>
              <w:top w:val="nil"/>
              <w:left w:val="nil"/>
              <w:bottom w:val="nil"/>
              <w:right w:val="nil"/>
            </w:tcBorders>
          </w:tcPr>
          <w:p w14:paraId="7DDE4BBE" w14:textId="77777777" w:rsidR="001F2A0B" w:rsidRDefault="00BC538D">
            <w:pPr>
              <w:spacing w:after="0" w:line="259" w:lineRule="auto"/>
              <w:ind w:left="270" w:right="0" w:firstLine="0"/>
              <w:jc w:val="left"/>
            </w:pPr>
            <w:r>
              <w:rPr>
                <w:rFonts w:ascii="Calibri" w:eastAsia="Calibri" w:hAnsi="Calibri" w:cs="Calibri"/>
                <w:sz w:val="18"/>
              </w:rPr>
              <w:t>3.4054</w:t>
            </w:r>
          </w:p>
          <w:p w14:paraId="540CA259" w14:textId="77777777" w:rsidR="001F2A0B" w:rsidRDefault="00BC538D">
            <w:pPr>
              <w:spacing w:after="0" w:line="259" w:lineRule="auto"/>
              <w:ind w:left="0" w:right="0" w:firstLine="0"/>
              <w:jc w:val="left"/>
            </w:pPr>
            <w:r>
              <w:rPr>
                <w:rFonts w:ascii="Calibri" w:eastAsia="Calibri" w:hAnsi="Calibri" w:cs="Calibri"/>
                <w:sz w:val="18"/>
              </w:rPr>
              <w:lastRenderedPageBreak/>
              <w:t>1549.5612</w:t>
            </w:r>
            <w:r>
              <w:rPr>
                <w:rFonts w:ascii="Calibri" w:eastAsia="Calibri" w:hAnsi="Calibri" w:cs="Calibri"/>
                <w:sz w:val="18"/>
                <w:vertAlign w:val="superscript"/>
              </w:rPr>
              <w:t>∗∗∗</w:t>
            </w:r>
          </w:p>
        </w:tc>
        <w:tc>
          <w:tcPr>
            <w:tcW w:w="875" w:type="dxa"/>
            <w:tcBorders>
              <w:top w:val="nil"/>
              <w:left w:val="nil"/>
              <w:bottom w:val="nil"/>
              <w:right w:val="nil"/>
            </w:tcBorders>
          </w:tcPr>
          <w:p w14:paraId="03BD0096" w14:textId="77777777" w:rsidR="001F2A0B" w:rsidRDefault="00BC538D">
            <w:pPr>
              <w:spacing w:after="0" w:line="259" w:lineRule="auto"/>
              <w:ind w:left="0" w:right="16" w:firstLine="0"/>
              <w:jc w:val="center"/>
            </w:pPr>
            <w:r>
              <w:rPr>
                <w:rFonts w:ascii="Calibri" w:eastAsia="Calibri" w:hAnsi="Calibri" w:cs="Calibri"/>
                <w:sz w:val="18"/>
              </w:rPr>
              <w:lastRenderedPageBreak/>
              <w:t>0.9803</w:t>
            </w:r>
          </w:p>
          <w:p w14:paraId="04CC1C37" w14:textId="77777777" w:rsidR="001F2A0B" w:rsidRDefault="00BC538D">
            <w:pPr>
              <w:spacing w:after="0" w:line="259" w:lineRule="auto"/>
              <w:ind w:left="0" w:right="0" w:firstLine="0"/>
            </w:pPr>
            <w:r>
              <w:rPr>
                <w:rFonts w:ascii="Calibri" w:eastAsia="Calibri" w:hAnsi="Calibri" w:cs="Calibri"/>
                <w:sz w:val="18"/>
              </w:rPr>
              <w:lastRenderedPageBreak/>
              <w:t>543.2381</w:t>
            </w:r>
            <w:r>
              <w:rPr>
                <w:rFonts w:ascii="Calibri" w:eastAsia="Calibri" w:hAnsi="Calibri" w:cs="Calibri"/>
                <w:sz w:val="18"/>
                <w:vertAlign w:val="superscript"/>
              </w:rPr>
              <w:t>∗∗∗</w:t>
            </w:r>
          </w:p>
        </w:tc>
      </w:tr>
      <w:tr w:rsidR="001F2A0B" w14:paraId="775C63F9" w14:textId="77777777">
        <w:trPr>
          <w:trHeight w:val="289"/>
        </w:trPr>
        <w:tc>
          <w:tcPr>
            <w:tcW w:w="1660" w:type="dxa"/>
            <w:tcBorders>
              <w:top w:val="nil"/>
              <w:left w:val="nil"/>
              <w:bottom w:val="single" w:sz="4" w:space="0" w:color="000000"/>
              <w:right w:val="nil"/>
            </w:tcBorders>
          </w:tcPr>
          <w:p w14:paraId="64ECB481" w14:textId="77777777" w:rsidR="001F2A0B" w:rsidRDefault="00BC538D">
            <w:pPr>
              <w:spacing w:after="0" w:line="259" w:lineRule="auto"/>
              <w:ind w:left="0" w:right="0" w:firstLine="0"/>
              <w:jc w:val="left"/>
            </w:pPr>
            <w:r>
              <w:rPr>
                <w:rFonts w:ascii="Calibri" w:eastAsia="Calibri" w:hAnsi="Calibri" w:cs="Calibri"/>
                <w:sz w:val="18"/>
              </w:rPr>
              <w:lastRenderedPageBreak/>
              <w:t>ADF test</w:t>
            </w:r>
          </w:p>
        </w:tc>
        <w:tc>
          <w:tcPr>
            <w:tcW w:w="1706" w:type="dxa"/>
            <w:tcBorders>
              <w:top w:val="nil"/>
              <w:left w:val="nil"/>
              <w:bottom w:val="single" w:sz="4" w:space="0" w:color="000000"/>
              <w:right w:val="nil"/>
            </w:tcBorders>
          </w:tcPr>
          <w:p w14:paraId="67D5A163" w14:textId="77777777" w:rsidR="001F2A0B" w:rsidRDefault="00BC538D">
            <w:pPr>
              <w:spacing w:after="0" w:line="259" w:lineRule="auto"/>
              <w:ind w:left="0" w:right="0" w:firstLine="0"/>
              <w:jc w:val="left"/>
            </w:pPr>
            <w:r>
              <w:rPr>
                <w:rFonts w:ascii="Calibri" w:eastAsia="Calibri" w:hAnsi="Calibri" w:cs="Calibri"/>
                <w:sz w:val="18"/>
              </w:rPr>
              <w:t>−2.7187</w:t>
            </w:r>
            <w:r>
              <w:rPr>
                <w:rFonts w:ascii="Calibri" w:eastAsia="Calibri" w:hAnsi="Calibri" w:cs="Calibri"/>
                <w:sz w:val="18"/>
                <w:vertAlign w:val="superscript"/>
              </w:rPr>
              <w:t>∗∗∗</w:t>
            </w:r>
          </w:p>
        </w:tc>
        <w:tc>
          <w:tcPr>
            <w:tcW w:w="1746" w:type="dxa"/>
            <w:tcBorders>
              <w:top w:val="nil"/>
              <w:left w:val="nil"/>
              <w:bottom w:val="single" w:sz="4" w:space="0" w:color="000000"/>
              <w:right w:val="nil"/>
            </w:tcBorders>
          </w:tcPr>
          <w:p w14:paraId="099D3BB8" w14:textId="77777777" w:rsidR="001F2A0B" w:rsidRDefault="00BC538D">
            <w:pPr>
              <w:spacing w:after="0" w:line="259" w:lineRule="auto"/>
              <w:ind w:left="40" w:right="0" w:firstLine="0"/>
              <w:jc w:val="left"/>
            </w:pPr>
            <w:r>
              <w:rPr>
                <w:rFonts w:ascii="Calibri" w:eastAsia="Calibri" w:hAnsi="Calibri" w:cs="Calibri"/>
                <w:sz w:val="18"/>
              </w:rPr>
              <w:t>−2.4700</w:t>
            </w:r>
            <w:r>
              <w:rPr>
                <w:rFonts w:ascii="Calibri" w:eastAsia="Calibri" w:hAnsi="Calibri" w:cs="Calibri"/>
                <w:sz w:val="18"/>
                <w:vertAlign w:val="superscript"/>
              </w:rPr>
              <w:t>∗∗∗</w:t>
            </w:r>
          </w:p>
        </w:tc>
        <w:tc>
          <w:tcPr>
            <w:tcW w:w="1836" w:type="dxa"/>
            <w:tcBorders>
              <w:top w:val="nil"/>
              <w:left w:val="nil"/>
              <w:bottom w:val="single" w:sz="4" w:space="0" w:color="000000"/>
              <w:right w:val="nil"/>
            </w:tcBorders>
          </w:tcPr>
          <w:p w14:paraId="7008B2C5" w14:textId="77777777" w:rsidR="001F2A0B" w:rsidRDefault="00BC538D">
            <w:pPr>
              <w:spacing w:after="0" w:line="259" w:lineRule="auto"/>
              <w:ind w:left="129" w:right="0" w:firstLine="0"/>
              <w:jc w:val="left"/>
            </w:pPr>
            <w:r>
              <w:rPr>
                <w:rFonts w:ascii="Calibri" w:eastAsia="Calibri" w:hAnsi="Calibri" w:cs="Calibri"/>
                <w:sz w:val="18"/>
              </w:rPr>
              <w:t>−2.9887</w:t>
            </w:r>
            <w:r>
              <w:rPr>
                <w:rFonts w:ascii="Calibri" w:eastAsia="Calibri" w:hAnsi="Calibri" w:cs="Calibri"/>
                <w:sz w:val="18"/>
                <w:vertAlign w:val="superscript"/>
              </w:rPr>
              <w:t>∗∗∗</w:t>
            </w:r>
          </w:p>
        </w:tc>
        <w:tc>
          <w:tcPr>
            <w:tcW w:w="875" w:type="dxa"/>
            <w:tcBorders>
              <w:top w:val="nil"/>
              <w:left w:val="nil"/>
              <w:bottom w:val="single" w:sz="4" w:space="0" w:color="000000"/>
              <w:right w:val="nil"/>
            </w:tcBorders>
          </w:tcPr>
          <w:p w14:paraId="18BF20DC" w14:textId="77777777" w:rsidR="001F2A0B" w:rsidRDefault="00BC538D">
            <w:pPr>
              <w:spacing w:after="0" w:line="259" w:lineRule="auto"/>
              <w:ind w:left="40" w:right="0" w:firstLine="0"/>
            </w:pPr>
            <w:r>
              <w:rPr>
                <w:rFonts w:ascii="Calibri" w:eastAsia="Calibri" w:hAnsi="Calibri" w:cs="Calibri"/>
                <w:sz w:val="18"/>
              </w:rPr>
              <w:t>−3.3670</w:t>
            </w:r>
            <w:r>
              <w:rPr>
                <w:rFonts w:ascii="Calibri" w:eastAsia="Calibri" w:hAnsi="Calibri" w:cs="Calibri"/>
                <w:sz w:val="18"/>
                <w:vertAlign w:val="superscript"/>
              </w:rPr>
              <w:t>∗∗∗</w:t>
            </w:r>
          </w:p>
        </w:tc>
      </w:tr>
    </w:tbl>
    <w:p w14:paraId="2E742F4F" w14:textId="77777777" w:rsidR="001F2A0B" w:rsidRDefault="00BC538D">
      <w:pPr>
        <w:spacing w:after="21" w:line="265" w:lineRule="auto"/>
        <w:ind w:left="-5" w:right="0"/>
      </w:pPr>
      <w:r>
        <w:rPr>
          <w:rFonts w:ascii="Calibri" w:eastAsia="Calibri" w:hAnsi="Calibri" w:cs="Calibri"/>
          <w:sz w:val="16"/>
        </w:rPr>
        <w:t xml:space="preserve">Note: (i) This table summarizes descriptive statistics of the daily market efficiency of carbon futures, Brent crude oil futures, natural gas futures and coal futures markets. (ii) The sample period is from 2014-06-06 to 2021-04-16. (iii) The Jarque-Bera (JB) statistics test for the null hypothesis of normality of target series. The Augmented Dickey-Fuller (ADF) test reports unit root test results with the null hypothesis of non-stationarity. (iv) </w:t>
      </w:r>
      <w:r>
        <w:rPr>
          <w:rFonts w:ascii="Calibri" w:eastAsia="Calibri" w:hAnsi="Calibri" w:cs="Calibri"/>
          <w:sz w:val="16"/>
          <w:vertAlign w:val="superscript"/>
        </w:rPr>
        <w:t xml:space="preserve">∗ </w:t>
      </w:r>
      <w:r>
        <w:rPr>
          <w:rFonts w:ascii="Calibri" w:eastAsia="Calibri" w:hAnsi="Calibri" w:cs="Calibri"/>
          <w:sz w:val="16"/>
        </w:rPr>
        <w:t xml:space="preserve">denotes the 10% significance level; </w:t>
      </w:r>
      <w:r>
        <w:rPr>
          <w:rFonts w:ascii="Calibri" w:eastAsia="Calibri" w:hAnsi="Calibri" w:cs="Calibri"/>
          <w:sz w:val="16"/>
          <w:vertAlign w:val="superscript"/>
        </w:rPr>
        <w:t xml:space="preserve">∗∗ </w:t>
      </w:r>
      <w:r>
        <w:rPr>
          <w:rFonts w:ascii="Calibri" w:eastAsia="Calibri" w:hAnsi="Calibri" w:cs="Calibri"/>
          <w:sz w:val="16"/>
        </w:rPr>
        <w:t xml:space="preserve">denotes the 5% significance level; </w:t>
      </w:r>
      <w:r>
        <w:rPr>
          <w:rFonts w:ascii="Calibri" w:eastAsia="Calibri" w:hAnsi="Calibri" w:cs="Calibri"/>
          <w:sz w:val="16"/>
          <w:vertAlign w:val="superscript"/>
        </w:rPr>
        <w:t xml:space="preserve">∗∗∗ </w:t>
      </w:r>
      <w:r>
        <w:rPr>
          <w:rFonts w:ascii="Calibri" w:eastAsia="Calibri" w:hAnsi="Calibri" w:cs="Calibri"/>
          <w:sz w:val="16"/>
        </w:rPr>
        <w:t>denotes the 1% significance level.</w:t>
      </w:r>
    </w:p>
    <w:p w14:paraId="3A47BA3F" w14:textId="77777777" w:rsidR="001F2A0B" w:rsidRDefault="00BC538D">
      <w:pPr>
        <w:ind w:left="-5" w:right="0"/>
      </w:pPr>
      <w:r>
        <w:t>degrees of carbon and energy markets appears to be highly similar. Speci</w:t>
      </w:r>
      <w:r>
        <w:rPr>
          <w:rFonts w:ascii="Calibri" w:eastAsia="Calibri" w:hAnsi="Calibri" w:cs="Calibri"/>
        </w:rPr>
        <w:t>fi</w:t>
      </w:r>
      <w:r>
        <w:t>cally, as the latest emerging market, the carbon futures market has the largest average market inef</w:t>
      </w:r>
      <w:r>
        <w:rPr>
          <w:rFonts w:ascii="Calibri" w:eastAsia="Calibri" w:hAnsi="Calibri" w:cs="Calibri"/>
        </w:rPr>
        <w:t>fi</w:t>
      </w:r>
      <w:r>
        <w:t>ciency degree (0.1099), while its volatility is also ranked as the highest (0.0839). Among others, the kurtosis value is positive, indicating that the data is featured by evident asymmetry with heavier tails compare to the normal distribution. The rejection of the null of the Jarque-Bera (JB) test further manifests the non-normal distribution of our empirical data. In addition, the signi</w:t>
      </w:r>
      <w:r>
        <w:rPr>
          <w:rFonts w:ascii="Calibri" w:eastAsia="Calibri" w:hAnsi="Calibri" w:cs="Calibri"/>
        </w:rPr>
        <w:t>fi</w:t>
      </w:r>
      <w:r>
        <w:t>cant rejection of the null of the Augmented Dickey-Fuller (ADF) test suggests the stationarity of each of the target series.</w:t>
      </w:r>
    </w:p>
    <w:p w14:paraId="6CC0E6D7" w14:textId="77777777" w:rsidR="001F2A0B" w:rsidRDefault="00BC538D">
      <w:pPr>
        <w:spacing w:after="398"/>
        <w:ind w:left="-15" w:right="0" w:firstLine="240"/>
      </w:pPr>
      <w:r>
        <w:t>To further visualize the distribution of our empirical data, we report the density plot of the four series of the market inef</w:t>
      </w:r>
      <w:r>
        <w:rPr>
          <w:rFonts w:ascii="Calibri" w:eastAsia="Calibri" w:hAnsi="Calibri" w:cs="Calibri"/>
        </w:rPr>
        <w:t>fi</w:t>
      </w:r>
      <w:r>
        <w:t xml:space="preserve">ciency degree as shown in Figure 2. Each of the sub-plot offers an intuitive comparison between the distribution of each of the target series and the normal distribution. </w:t>
      </w:r>
      <w:proofErr w:type="gramStart"/>
      <w:r>
        <w:t>It is clear that the</w:t>
      </w:r>
      <w:proofErr w:type="gramEnd"/>
      <w:r>
        <w:t xml:space="preserve"> data distribution of the market inef</w:t>
      </w:r>
      <w:r>
        <w:rPr>
          <w:rFonts w:ascii="Calibri" w:eastAsia="Calibri" w:hAnsi="Calibri" w:cs="Calibri"/>
        </w:rPr>
        <w:t>fi</w:t>
      </w:r>
      <w:r>
        <w:t xml:space="preserve">ciency degree is featured by positive skewness with a presentation of </w:t>
      </w:r>
      <w:r>
        <w:rPr>
          <w:rFonts w:ascii="Calibri" w:eastAsia="Calibri" w:hAnsi="Calibri" w:cs="Calibri"/>
        </w:rPr>
        <w:t>“</w:t>
      </w:r>
      <w:r>
        <w:t>fat-tails,</w:t>
      </w:r>
      <w:r>
        <w:rPr>
          <w:rFonts w:ascii="Calibri" w:eastAsia="Calibri" w:hAnsi="Calibri" w:cs="Calibri"/>
        </w:rPr>
        <w:t xml:space="preserve">” </w:t>
      </w:r>
      <w:r>
        <w:t>indicating the asymmetry of the distribution. Such the asymmetric data distribution is also consistent with the existing research on the ef</w:t>
      </w:r>
      <w:r>
        <w:rPr>
          <w:rFonts w:ascii="Calibri" w:eastAsia="Calibri" w:hAnsi="Calibri" w:cs="Calibri"/>
        </w:rPr>
        <w:t>fi</w:t>
      </w:r>
      <w:r>
        <w:t xml:space="preserve">ciency of the energy and European carbon markets (see </w:t>
      </w:r>
      <w:proofErr w:type="gramStart"/>
      <w:r>
        <w:t>e.g.</w:t>
      </w:r>
      <w:proofErr w:type="gramEnd"/>
      <w:r>
        <w:t xml:space="preserve"> Zou and Zhang</w:t>
      </w:r>
      <w:r>
        <w:rPr>
          <w:vertAlign w:val="superscript"/>
        </w:rPr>
        <w:t>45</w:t>
      </w:r>
      <w:r>
        <w:t>). Overall, empirical evidence from both the</w:t>
      </w:r>
    </w:p>
    <w:p w14:paraId="3F64ABC9" w14:textId="77777777" w:rsidR="001F2A0B" w:rsidRDefault="00BC538D">
      <w:pPr>
        <w:spacing w:after="246" w:line="259" w:lineRule="auto"/>
        <w:ind w:left="312" w:right="0" w:firstLine="0"/>
        <w:jc w:val="left"/>
      </w:pPr>
      <w:r>
        <w:rPr>
          <w:noProof/>
        </w:rPr>
        <w:lastRenderedPageBreak/>
        <w:drawing>
          <wp:inline distT="0" distB="0" distL="0" distR="0" wp14:anchorId="42301EE1" wp14:editId="4B1D83CA">
            <wp:extent cx="4572000" cy="3939121"/>
            <wp:effectExtent l="0" t="0" r="0" b="0"/>
            <wp:docPr id="1766" name="Picture 1766"/>
            <wp:cNvGraphicFramePr/>
            <a:graphic xmlns:a="http://schemas.openxmlformats.org/drawingml/2006/main">
              <a:graphicData uri="http://schemas.openxmlformats.org/drawingml/2006/picture">
                <pic:pic xmlns:pic="http://schemas.openxmlformats.org/drawingml/2006/picture">
                  <pic:nvPicPr>
                    <pic:cNvPr id="1766" name="Picture 1766"/>
                    <pic:cNvPicPr/>
                  </pic:nvPicPr>
                  <pic:blipFill>
                    <a:blip r:embed="rId21"/>
                    <a:stretch>
                      <a:fillRect/>
                    </a:stretch>
                  </pic:blipFill>
                  <pic:spPr>
                    <a:xfrm>
                      <a:off x="0" y="0"/>
                      <a:ext cx="4572000" cy="3939121"/>
                    </a:xfrm>
                    <a:prstGeom prst="rect">
                      <a:avLst/>
                    </a:prstGeom>
                  </pic:spPr>
                </pic:pic>
              </a:graphicData>
            </a:graphic>
          </wp:inline>
        </w:drawing>
      </w:r>
    </w:p>
    <w:p w14:paraId="141F043B" w14:textId="77777777" w:rsidR="001F2A0B" w:rsidRDefault="00BC538D">
      <w:pPr>
        <w:spacing w:after="0" w:line="231" w:lineRule="auto"/>
        <w:ind w:left="0" w:right="0" w:firstLine="0"/>
        <w:jc w:val="left"/>
      </w:pPr>
      <w:r>
        <w:rPr>
          <w:rFonts w:ascii="Calibri" w:eastAsia="Calibri" w:hAnsi="Calibri" w:cs="Calibri"/>
          <w:sz w:val="18"/>
        </w:rPr>
        <w:t>Figure 2. Density plots of the inefficiency degree of carbon futures, Brent crude oil futures, natural gas futures, and coal futures markets from 2014-06-06 to 2021-04-16. (a) Carbon futures market. (b) Brent crude oil futures market. (c) Natural gas futures market. (d) Coal futures market.</w:t>
      </w:r>
    </w:p>
    <w:p w14:paraId="04F2067B" w14:textId="77777777" w:rsidR="001F2A0B" w:rsidRDefault="00BC538D">
      <w:pPr>
        <w:spacing w:after="385"/>
        <w:ind w:left="-5" w:right="0"/>
      </w:pPr>
      <w:r>
        <w:t>statistical nature of the data and the data visualization demonstrates the presence of evident asymmetry of our data, further indicating the appropriateness of employing a quantile method rather than conventional mean-based ones in our study.</w:t>
      </w:r>
    </w:p>
    <w:p w14:paraId="53EF5541" w14:textId="77777777" w:rsidR="001F2A0B" w:rsidRDefault="00BC538D">
      <w:pPr>
        <w:pStyle w:val="Heading1"/>
        <w:ind w:left="-5" w:right="0"/>
      </w:pPr>
      <w:r>
        <w:t>Empirical results</w:t>
      </w:r>
    </w:p>
    <w:p w14:paraId="1FA67DC6" w14:textId="77777777" w:rsidR="001F2A0B" w:rsidRDefault="00BC538D">
      <w:pPr>
        <w:spacing w:after="308"/>
        <w:ind w:left="-5" w:right="0"/>
      </w:pPr>
      <w:r>
        <w:t xml:space="preserve">Motivated by asymmetry and non-linearity in the data distribution, and in the light of </w:t>
      </w:r>
      <w:proofErr w:type="spellStart"/>
      <w:r>
        <w:t>Jeong</w:t>
      </w:r>
      <w:proofErr w:type="spellEnd"/>
      <w:r>
        <w:t xml:space="preserve"> et al.</w:t>
      </w:r>
      <w:r>
        <w:rPr>
          <w:vertAlign w:val="superscript"/>
        </w:rPr>
        <w:t>18</w:t>
      </w:r>
      <w:r>
        <w:t xml:space="preserve">, </w:t>
      </w:r>
      <w:proofErr w:type="spellStart"/>
      <w:r>
        <w:t>Balcilar</w:t>
      </w:r>
      <w:proofErr w:type="spellEnd"/>
      <w:r>
        <w:t xml:space="preserve"> et al.</w:t>
      </w:r>
      <w:r>
        <w:rPr>
          <w:vertAlign w:val="superscript"/>
        </w:rPr>
        <w:t>39</w:t>
      </w:r>
      <w:r>
        <w:t>, we employ the non-parametric CIQ test to study the pairwise and causal relationship of the inef</w:t>
      </w:r>
      <w:r>
        <w:rPr>
          <w:rFonts w:ascii="Calibri" w:eastAsia="Calibri" w:hAnsi="Calibri" w:cs="Calibri"/>
        </w:rPr>
        <w:t>fi</w:t>
      </w:r>
      <w:r>
        <w:t>ciency degree between carbon and energy (</w:t>
      </w:r>
      <w:proofErr w:type="gramStart"/>
      <w:r>
        <w:t>i.e.</w:t>
      </w:r>
      <w:proofErr w:type="gramEnd"/>
      <w:r>
        <w:t xml:space="preserve"> crude oil, natural gas, and coal) markets. The bi-directional and causal relationship of the inef</w:t>
      </w:r>
      <w:r>
        <w:rPr>
          <w:rFonts w:ascii="Calibri" w:eastAsia="Calibri" w:hAnsi="Calibri" w:cs="Calibri"/>
        </w:rPr>
        <w:t>fi</w:t>
      </w:r>
      <w:r>
        <w:t>ciency degree is, respectively, studied using the data in levels (</w:t>
      </w:r>
      <w:proofErr w:type="gramStart"/>
      <w:r>
        <w:t>i.e.</w:t>
      </w:r>
      <w:proofErr w:type="gramEnd"/>
      <w:r>
        <w:t xml:space="preserve"> mean) and volatility with the corresponding results reported in Figures 3 to 5. Through this, both the direction and magnitude of the</w:t>
      </w:r>
    </w:p>
    <w:p w14:paraId="5133E2A1" w14:textId="77777777" w:rsidR="001F2A0B" w:rsidRDefault="00BC538D">
      <w:pPr>
        <w:spacing w:after="246" w:line="259" w:lineRule="auto"/>
        <w:ind w:left="252" w:right="0" w:firstLine="0"/>
        <w:jc w:val="left"/>
      </w:pPr>
      <w:r>
        <w:rPr>
          <w:noProof/>
        </w:rPr>
        <w:lastRenderedPageBreak/>
        <w:drawing>
          <wp:inline distT="0" distB="0" distL="0" distR="0" wp14:anchorId="4655C55B" wp14:editId="63812041">
            <wp:extent cx="4647603" cy="3512160"/>
            <wp:effectExtent l="0" t="0" r="0" b="0"/>
            <wp:docPr id="1802" name="Picture 1802"/>
            <wp:cNvGraphicFramePr/>
            <a:graphic xmlns:a="http://schemas.openxmlformats.org/drawingml/2006/main">
              <a:graphicData uri="http://schemas.openxmlformats.org/drawingml/2006/picture">
                <pic:pic xmlns:pic="http://schemas.openxmlformats.org/drawingml/2006/picture">
                  <pic:nvPicPr>
                    <pic:cNvPr id="1802" name="Picture 1802"/>
                    <pic:cNvPicPr/>
                  </pic:nvPicPr>
                  <pic:blipFill>
                    <a:blip r:embed="rId22"/>
                    <a:stretch>
                      <a:fillRect/>
                    </a:stretch>
                  </pic:blipFill>
                  <pic:spPr>
                    <a:xfrm>
                      <a:off x="0" y="0"/>
                      <a:ext cx="4647603" cy="3512160"/>
                    </a:xfrm>
                    <a:prstGeom prst="rect">
                      <a:avLst/>
                    </a:prstGeom>
                  </pic:spPr>
                </pic:pic>
              </a:graphicData>
            </a:graphic>
          </wp:inline>
        </w:drawing>
      </w:r>
    </w:p>
    <w:p w14:paraId="4E8A2230" w14:textId="77777777" w:rsidR="001F2A0B" w:rsidRDefault="00BC538D">
      <w:pPr>
        <w:spacing w:after="6" w:line="254" w:lineRule="auto"/>
        <w:ind w:left="-5" w:right="0"/>
      </w:pPr>
      <w:r>
        <w:rPr>
          <w:rFonts w:ascii="Calibri" w:eastAsia="Calibri" w:hAnsi="Calibri" w:cs="Calibri"/>
          <w:sz w:val="18"/>
        </w:rPr>
        <w:t>Figure 3. Causality-in-quantiles (CIQs) test results for the relationship of the inefficiency degree between the carbon and crude oil markets. (a) Mean (Oil → Carbon); (b) Variance (Oil → Carbon); (c) Mean (Carbon → Oil); and (d) Variance (Carbon → Oil).</w:t>
      </w:r>
    </w:p>
    <w:p w14:paraId="244E7444" w14:textId="77777777" w:rsidR="001F2A0B" w:rsidRDefault="00BC538D">
      <w:pPr>
        <w:spacing w:after="6" w:line="254" w:lineRule="auto"/>
        <w:ind w:left="-5" w:right="0"/>
      </w:pPr>
      <w:r>
        <w:rPr>
          <w:rFonts w:ascii="Calibri" w:eastAsia="Calibri" w:hAnsi="Calibri" w:cs="Calibri"/>
          <w:sz w:val="18"/>
        </w:rPr>
        <w:t>Note: (i) This figure plots the CIQ test results of the spillover effect of the inefficiency degree between the carbon and crude oil markets formed by both data in levels (</w:t>
      </w:r>
      <w:proofErr w:type="gramStart"/>
      <w:r>
        <w:rPr>
          <w:rFonts w:ascii="Calibri" w:eastAsia="Calibri" w:hAnsi="Calibri" w:cs="Calibri"/>
          <w:sz w:val="18"/>
        </w:rPr>
        <w:t>i.e.</w:t>
      </w:r>
      <w:proofErr w:type="gramEnd"/>
      <w:r>
        <w:rPr>
          <w:rFonts w:ascii="Calibri" w:eastAsia="Calibri" w:hAnsi="Calibri" w:cs="Calibri"/>
          <w:sz w:val="18"/>
        </w:rPr>
        <w:t xml:space="preserve"> mean) and volatility, respectively. The corresponding results in the data format of levels (shown in (a) and (c)) and volatility (shown in (b) and (d)) are</w:t>
      </w:r>
      <w:proofErr w:type="gramStart"/>
      <w:r>
        <w:rPr>
          <w:rFonts w:ascii="Calibri" w:eastAsia="Calibri" w:hAnsi="Calibri" w:cs="Calibri"/>
          <w:sz w:val="18"/>
        </w:rPr>
        <w:t>: ,</w:t>
      </w:r>
      <w:proofErr w:type="gramEnd"/>
      <w:r>
        <w:rPr>
          <w:rFonts w:ascii="Calibri" w:eastAsia="Calibri" w:hAnsi="Calibri" w:cs="Calibri"/>
          <w:sz w:val="18"/>
        </w:rPr>
        <w:t xml:space="preserve"> respectively, reported. The estimated critical value (CV) at 5% level is represented as the horizontal red solid line in each sub-plot. (ii) The vertical axis reports the test statistics of the null hypothesis of the CIQ test, and the horizontal axis indicates the different quantile levels of the specific market of the information “giver” (from q = 0.05 to q = 0.95).</w:t>
      </w:r>
    </w:p>
    <w:p w14:paraId="70CF0C99" w14:textId="77777777" w:rsidR="001F2A0B" w:rsidRDefault="00BC538D">
      <w:pPr>
        <w:spacing w:after="246" w:line="259" w:lineRule="auto"/>
        <w:ind w:left="252" w:right="0" w:firstLine="0"/>
        <w:jc w:val="left"/>
      </w:pPr>
      <w:r>
        <w:rPr>
          <w:noProof/>
        </w:rPr>
        <w:lastRenderedPageBreak/>
        <w:drawing>
          <wp:inline distT="0" distB="0" distL="0" distR="0" wp14:anchorId="6BBF428A" wp14:editId="23689BAD">
            <wp:extent cx="4647603" cy="3532315"/>
            <wp:effectExtent l="0" t="0" r="0" b="0"/>
            <wp:docPr id="1880" name="Picture 1880"/>
            <wp:cNvGraphicFramePr/>
            <a:graphic xmlns:a="http://schemas.openxmlformats.org/drawingml/2006/main">
              <a:graphicData uri="http://schemas.openxmlformats.org/drawingml/2006/picture">
                <pic:pic xmlns:pic="http://schemas.openxmlformats.org/drawingml/2006/picture">
                  <pic:nvPicPr>
                    <pic:cNvPr id="1880" name="Picture 1880"/>
                    <pic:cNvPicPr/>
                  </pic:nvPicPr>
                  <pic:blipFill>
                    <a:blip r:embed="rId23"/>
                    <a:stretch>
                      <a:fillRect/>
                    </a:stretch>
                  </pic:blipFill>
                  <pic:spPr>
                    <a:xfrm>
                      <a:off x="0" y="0"/>
                      <a:ext cx="4647603" cy="3532315"/>
                    </a:xfrm>
                    <a:prstGeom prst="rect">
                      <a:avLst/>
                    </a:prstGeom>
                  </pic:spPr>
                </pic:pic>
              </a:graphicData>
            </a:graphic>
          </wp:inline>
        </w:drawing>
      </w:r>
    </w:p>
    <w:p w14:paraId="522336C0" w14:textId="77777777" w:rsidR="001F2A0B" w:rsidRDefault="00BC538D">
      <w:pPr>
        <w:spacing w:after="6" w:line="254" w:lineRule="auto"/>
        <w:ind w:left="-5" w:right="0"/>
      </w:pPr>
      <w:r>
        <w:rPr>
          <w:rFonts w:ascii="Calibri" w:eastAsia="Calibri" w:hAnsi="Calibri" w:cs="Calibri"/>
          <w:sz w:val="18"/>
        </w:rPr>
        <w:t>Figure 4. Causality-in-quantiles (CIQs) test results for the relationship of the inefficiency degree between the carbon and natural gas markets. (a) Mean (Natural Gas → Carbon); (b) Variance (Natural Gas → Carbon); (c) Mean Carbon → Natural Gas); and (d) Variance (Carbon → Natural Gas).</w:t>
      </w:r>
    </w:p>
    <w:p w14:paraId="2BF8569E" w14:textId="77777777" w:rsidR="001F2A0B" w:rsidRDefault="00BC538D">
      <w:pPr>
        <w:spacing w:after="451" w:line="254" w:lineRule="auto"/>
        <w:ind w:left="-5" w:right="0"/>
      </w:pPr>
      <w:r>
        <w:rPr>
          <w:rFonts w:ascii="Calibri" w:eastAsia="Calibri" w:hAnsi="Calibri" w:cs="Calibri"/>
          <w:sz w:val="18"/>
        </w:rPr>
        <w:t>Note: (i) This figure plots the CIQ test results of the spillover effect of the inefficiency degree between the carbon and natural gas markets formed by both data in levels (</w:t>
      </w:r>
      <w:proofErr w:type="gramStart"/>
      <w:r>
        <w:rPr>
          <w:rFonts w:ascii="Calibri" w:eastAsia="Calibri" w:hAnsi="Calibri" w:cs="Calibri"/>
          <w:sz w:val="18"/>
        </w:rPr>
        <w:t>i.e.</w:t>
      </w:r>
      <w:proofErr w:type="gramEnd"/>
      <w:r>
        <w:rPr>
          <w:rFonts w:ascii="Calibri" w:eastAsia="Calibri" w:hAnsi="Calibri" w:cs="Calibri"/>
          <w:sz w:val="18"/>
        </w:rPr>
        <w:t xml:space="preserve"> mean) and volatility, respectively. The corresponding results in the data format of levels (shown in (a) and (c)) and volatility (shown in (b) and (d)) are, respectively, reported. The estimated critical value (CV) at 5% level is represented as the horizontal red solid line in each sub-plot. (ii) The vertical axis reports the test statistics of the null hypothesis of the CIQ test, and the horizontal axis indicates the different quantile levels of the specific market of the information “giver” (from q = 0.05 to q = 0.95).</w:t>
      </w:r>
    </w:p>
    <w:p w14:paraId="711FB054" w14:textId="77777777" w:rsidR="001F2A0B" w:rsidRDefault="00BC538D">
      <w:pPr>
        <w:spacing w:after="473"/>
        <w:ind w:left="-5" w:right="0"/>
      </w:pPr>
      <w:r>
        <w:t xml:space="preserve">causal relationship between markets </w:t>
      </w:r>
      <w:proofErr w:type="gramStart"/>
      <w:r>
        <w:t>are</w:t>
      </w:r>
      <w:proofErr w:type="gramEnd"/>
      <w:r>
        <w:t xml:space="preserve"> investigated. That is, both the information </w:t>
      </w:r>
      <w:r>
        <w:rPr>
          <w:rFonts w:ascii="Calibri" w:eastAsia="Calibri" w:hAnsi="Calibri" w:cs="Calibri"/>
        </w:rPr>
        <w:t>“</w:t>
      </w:r>
      <w:r>
        <w:t>giver</w:t>
      </w:r>
      <w:r>
        <w:rPr>
          <w:rFonts w:ascii="Calibri" w:eastAsia="Calibri" w:hAnsi="Calibri" w:cs="Calibri"/>
        </w:rPr>
        <w:t xml:space="preserve">” </w:t>
      </w:r>
      <w:r>
        <w:t xml:space="preserve">and </w:t>
      </w:r>
      <w:r>
        <w:rPr>
          <w:rFonts w:ascii="Calibri" w:eastAsia="Calibri" w:hAnsi="Calibri" w:cs="Calibri"/>
        </w:rPr>
        <w:t>“</w:t>
      </w:r>
      <w:r>
        <w:t>receiver,</w:t>
      </w:r>
      <w:r>
        <w:rPr>
          <w:rFonts w:ascii="Calibri" w:eastAsia="Calibri" w:hAnsi="Calibri" w:cs="Calibri"/>
        </w:rPr>
        <w:t xml:space="preserve">” </w:t>
      </w:r>
      <w:r>
        <w:t>as well as their impact magnitude, during the transmission are identi</w:t>
      </w:r>
      <w:r>
        <w:rPr>
          <w:rFonts w:ascii="Calibri" w:eastAsia="Calibri" w:hAnsi="Calibri" w:cs="Calibri"/>
        </w:rPr>
        <w:t>fi</w:t>
      </w:r>
      <w:r>
        <w:t xml:space="preserve">ed. We then discuss our research </w:t>
      </w:r>
      <w:r>
        <w:rPr>
          <w:rFonts w:ascii="Calibri" w:eastAsia="Calibri" w:hAnsi="Calibri" w:cs="Calibri"/>
        </w:rPr>
        <w:t>fi</w:t>
      </w:r>
      <w:r>
        <w:t>ndings.</w:t>
      </w:r>
    </w:p>
    <w:p w14:paraId="67BC8AE9" w14:textId="77777777" w:rsidR="001F2A0B" w:rsidRDefault="00BC538D">
      <w:pPr>
        <w:pStyle w:val="Heading1"/>
        <w:spacing w:after="51" w:line="259" w:lineRule="auto"/>
        <w:ind w:left="-5" w:right="0"/>
      </w:pPr>
      <w:r>
        <w:t>Information spillover of the inefficiency degree across markets</w:t>
      </w:r>
    </w:p>
    <w:p w14:paraId="472A0B59" w14:textId="77777777" w:rsidR="001F2A0B" w:rsidRDefault="00BC538D">
      <w:pPr>
        <w:ind w:left="-5" w:right="0"/>
      </w:pPr>
      <w:r>
        <w:t xml:space="preserve">We </w:t>
      </w:r>
      <w:r>
        <w:rPr>
          <w:rFonts w:ascii="Calibri" w:eastAsia="Calibri" w:hAnsi="Calibri" w:cs="Calibri"/>
        </w:rPr>
        <w:t>fi</w:t>
      </w:r>
      <w:r>
        <w:t>rst conduct a quantile decomposition on the inef</w:t>
      </w:r>
      <w:r>
        <w:rPr>
          <w:rFonts w:ascii="Calibri" w:eastAsia="Calibri" w:hAnsi="Calibri" w:cs="Calibri"/>
        </w:rPr>
        <w:t>fi</w:t>
      </w:r>
      <w:r>
        <w:t>ciency degree of carbon, crude oil, natural gas, and coal futures markets both in levels (</w:t>
      </w:r>
      <w:proofErr w:type="gramStart"/>
      <w:r>
        <w:t>i.e.</w:t>
      </w:r>
      <w:proofErr w:type="gramEnd"/>
      <w:r>
        <w:t xml:space="preserve"> mean) and volatility. Then, the CIQ test is employed to identify the potentially bi-directional causal linkage of the inef</w:t>
      </w:r>
      <w:r>
        <w:rPr>
          <w:rFonts w:ascii="Calibri" w:eastAsia="Calibri" w:hAnsi="Calibri" w:cs="Calibri"/>
        </w:rPr>
        <w:t>fi</w:t>
      </w:r>
      <w:r>
        <w:t xml:space="preserve">ciency degree on the perspectives of mean and variance between carbon and each of the energy markets. An associated </w:t>
      </w:r>
      <w:r>
        <w:lastRenderedPageBreak/>
        <w:t xml:space="preserve">discussion is provided to summarize our </w:t>
      </w:r>
      <w:r>
        <w:rPr>
          <w:rFonts w:ascii="Calibri" w:eastAsia="Calibri" w:hAnsi="Calibri" w:cs="Calibri"/>
        </w:rPr>
        <w:t>fi</w:t>
      </w:r>
      <w:r>
        <w:t>ndings. In terms of the relationship between carbon and crude oil markets, as shown in Figure 3, except for minor and extreme status (i.e.</w:t>
      </w:r>
    </w:p>
    <w:p w14:paraId="33023517" w14:textId="77777777" w:rsidR="001F2A0B" w:rsidRDefault="00BC538D">
      <w:pPr>
        <w:spacing w:after="247" w:line="259" w:lineRule="auto"/>
        <w:ind w:left="252" w:right="0" w:firstLine="0"/>
        <w:jc w:val="left"/>
      </w:pPr>
      <w:r>
        <w:rPr>
          <w:noProof/>
        </w:rPr>
        <w:drawing>
          <wp:inline distT="0" distB="0" distL="0" distR="0" wp14:anchorId="7F28F2EB" wp14:editId="60FC0E9D">
            <wp:extent cx="4647603" cy="3512160"/>
            <wp:effectExtent l="0" t="0" r="0" b="0"/>
            <wp:docPr id="1962" name="Picture 1962"/>
            <wp:cNvGraphicFramePr/>
            <a:graphic xmlns:a="http://schemas.openxmlformats.org/drawingml/2006/main">
              <a:graphicData uri="http://schemas.openxmlformats.org/drawingml/2006/picture">
                <pic:pic xmlns:pic="http://schemas.openxmlformats.org/drawingml/2006/picture">
                  <pic:nvPicPr>
                    <pic:cNvPr id="1962" name="Picture 1962"/>
                    <pic:cNvPicPr/>
                  </pic:nvPicPr>
                  <pic:blipFill>
                    <a:blip r:embed="rId24"/>
                    <a:stretch>
                      <a:fillRect/>
                    </a:stretch>
                  </pic:blipFill>
                  <pic:spPr>
                    <a:xfrm>
                      <a:off x="0" y="0"/>
                      <a:ext cx="4647603" cy="3512160"/>
                    </a:xfrm>
                    <a:prstGeom prst="rect">
                      <a:avLst/>
                    </a:prstGeom>
                  </pic:spPr>
                </pic:pic>
              </a:graphicData>
            </a:graphic>
          </wp:inline>
        </w:drawing>
      </w:r>
    </w:p>
    <w:p w14:paraId="76BB9270" w14:textId="77777777" w:rsidR="001F2A0B" w:rsidRDefault="00BC538D">
      <w:pPr>
        <w:spacing w:after="6" w:line="254" w:lineRule="auto"/>
        <w:ind w:left="-5" w:right="0"/>
      </w:pPr>
      <w:r>
        <w:rPr>
          <w:rFonts w:ascii="Calibri" w:eastAsia="Calibri" w:hAnsi="Calibri" w:cs="Calibri"/>
          <w:sz w:val="18"/>
        </w:rPr>
        <w:t>Figure 5. Causality-in-quantiles (CIQs) test results for the relationship of the inefficiency degree between the carbon and coal markets. (a) Mean (Coal → Carbon); (b) Variance (Coal → Carbon); (c) Mean (Carbon → Coal); and (d) Variance (Carbon → Coal).</w:t>
      </w:r>
    </w:p>
    <w:p w14:paraId="14EDBFC9" w14:textId="77777777" w:rsidR="001F2A0B" w:rsidRDefault="00BC538D">
      <w:pPr>
        <w:spacing w:after="517" w:line="254" w:lineRule="auto"/>
        <w:ind w:left="-5" w:right="0"/>
      </w:pPr>
      <w:r>
        <w:rPr>
          <w:rFonts w:ascii="Calibri" w:eastAsia="Calibri" w:hAnsi="Calibri" w:cs="Calibri"/>
          <w:sz w:val="18"/>
        </w:rPr>
        <w:t>Note: (i) This figure plots the CIQ test results of the spillover effect of the inefficiency degree between the carbon and coal markets formed by both data in levels (</w:t>
      </w:r>
      <w:proofErr w:type="gramStart"/>
      <w:r>
        <w:rPr>
          <w:rFonts w:ascii="Calibri" w:eastAsia="Calibri" w:hAnsi="Calibri" w:cs="Calibri"/>
          <w:sz w:val="18"/>
        </w:rPr>
        <w:t>i.e.</w:t>
      </w:r>
      <w:proofErr w:type="gramEnd"/>
      <w:r>
        <w:rPr>
          <w:rFonts w:ascii="Calibri" w:eastAsia="Calibri" w:hAnsi="Calibri" w:cs="Calibri"/>
          <w:sz w:val="18"/>
        </w:rPr>
        <w:t xml:space="preserve"> mean) and volatility, respectively. The corresponding results in the data format of levels (shown in (a) and (c)) and volatility (shown in (b) and (d)) are</w:t>
      </w:r>
      <w:proofErr w:type="gramStart"/>
      <w:r>
        <w:rPr>
          <w:rFonts w:ascii="Calibri" w:eastAsia="Calibri" w:hAnsi="Calibri" w:cs="Calibri"/>
          <w:sz w:val="18"/>
        </w:rPr>
        <w:t>: ,</w:t>
      </w:r>
      <w:proofErr w:type="gramEnd"/>
      <w:r>
        <w:rPr>
          <w:rFonts w:ascii="Calibri" w:eastAsia="Calibri" w:hAnsi="Calibri" w:cs="Calibri"/>
          <w:sz w:val="18"/>
        </w:rPr>
        <w:t xml:space="preserve"> respectively, reported. The estimated critical value (CV) at 5% level is represented as the horizontal red solid line in each sub-plot. (ii) The vertical axis reports the test statistics of the null hypothesis of the CIQ test, and the horizontal axis indicates the different quantile levels of the specific market of the information “giver” (from q = 0.05 to q = 0.95).</w:t>
      </w:r>
    </w:p>
    <w:p w14:paraId="7FE34779" w14:textId="77777777" w:rsidR="001F2A0B" w:rsidRDefault="00BC538D">
      <w:pPr>
        <w:ind w:left="-5" w:right="0"/>
      </w:pPr>
      <w:r>
        <w:t>extreme high or low quantiles), the ef</w:t>
      </w:r>
      <w:r>
        <w:rPr>
          <w:rFonts w:ascii="Calibri" w:eastAsia="Calibri" w:hAnsi="Calibri" w:cs="Calibri"/>
        </w:rPr>
        <w:t>fi</w:t>
      </w:r>
      <w:r>
        <w:t>ciency degree of the two markets is causally and signi</w:t>
      </w:r>
      <w:r>
        <w:rPr>
          <w:rFonts w:ascii="Calibri" w:eastAsia="Calibri" w:hAnsi="Calibri" w:cs="Calibri"/>
        </w:rPr>
        <w:t>fi</w:t>
      </w:r>
      <w:r>
        <w:t>cantly related to each other in both directions across different locations of the data distribution at 5% level. Such the bidirectional causal relationship of the market inef</w:t>
      </w:r>
      <w:r>
        <w:rPr>
          <w:rFonts w:ascii="Calibri" w:eastAsia="Calibri" w:hAnsi="Calibri" w:cs="Calibri"/>
        </w:rPr>
        <w:t>fi</w:t>
      </w:r>
      <w:r>
        <w:t>ciency degree is found in the data format of levels (</w:t>
      </w:r>
      <w:proofErr w:type="gramStart"/>
      <w:r>
        <w:t>i.e.</w:t>
      </w:r>
      <w:proofErr w:type="gramEnd"/>
      <w:r>
        <w:t xml:space="preserve"> mean) (shown in Figure 3(a) and (c)) and volatility (shown in Figure 3(b) and (d)), respectively.</w:t>
      </w:r>
    </w:p>
    <w:p w14:paraId="4D39FBC5" w14:textId="77777777" w:rsidR="001F2A0B" w:rsidRDefault="00BC538D">
      <w:pPr>
        <w:ind w:left="-15" w:right="0" w:firstLine="240"/>
      </w:pPr>
      <w:r>
        <w:t>Importantly, while the causal relationship obtained by using both mean and volatility data shows the highest magnitude at about the median quantile, the spillover pattern of the inef</w:t>
      </w:r>
      <w:r>
        <w:rPr>
          <w:rFonts w:ascii="Calibri" w:eastAsia="Calibri" w:hAnsi="Calibri" w:cs="Calibri"/>
        </w:rPr>
        <w:t>fi</w:t>
      </w:r>
      <w:r>
        <w:t>ciency degree using the two data types differ at low quantiles. When the inef</w:t>
      </w:r>
      <w:r>
        <w:rPr>
          <w:rFonts w:ascii="Calibri" w:eastAsia="Calibri" w:hAnsi="Calibri" w:cs="Calibri"/>
        </w:rPr>
        <w:t>fi</w:t>
      </w:r>
      <w:r>
        <w:t xml:space="preserve">ciency degree of the information </w:t>
      </w:r>
      <w:r>
        <w:rPr>
          <w:rFonts w:ascii="Calibri" w:eastAsia="Calibri" w:hAnsi="Calibri" w:cs="Calibri"/>
        </w:rPr>
        <w:lastRenderedPageBreak/>
        <w:t>“</w:t>
      </w:r>
      <w:r>
        <w:t>giver</w:t>
      </w:r>
      <w:r>
        <w:rPr>
          <w:rFonts w:ascii="Calibri" w:eastAsia="Calibri" w:hAnsi="Calibri" w:cs="Calibri"/>
        </w:rPr>
        <w:t xml:space="preserve">” </w:t>
      </w:r>
      <w:r>
        <w:t>market is low, the intensity of the cross-market spillover is also weak using the levels (</w:t>
      </w:r>
      <w:proofErr w:type="gramStart"/>
      <w:r>
        <w:t>i.e.</w:t>
      </w:r>
      <w:proofErr w:type="gramEnd"/>
      <w:r>
        <w:t xml:space="preserve"> mean) data, while being relatively strong using the volatility data. The cross-market spillover intensity is consistently weak using both the two types when the inef</w:t>
      </w:r>
      <w:r>
        <w:rPr>
          <w:rFonts w:ascii="Calibri" w:eastAsia="Calibri" w:hAnsi="Calibri" w:cs="Calibri"/>
        </w:rPr>
        <w:t>fi</w:t>
      </w:r>
      <w:r>
        <w:t xml:space="preserve">ciency degree of the information </w:t>
      </w:r>
      <w:r>
        <w:rPr>
          <w:rFonts w:ascii="Calibri" w:eastAsia="Calibri" w:hAnsi="Calibri" w:cs="Calibri"/>
        </w:rPr>
        <w:t>“</w:t>
      </w:r>
      <w:r>
        <w:t>giver</w:t>
      </w:r>
      <w:r>
        <w:rPr>
          <w:rFonts w:ascii="Calibri" w:eastAsia="Calibri" w:hAnsi="Calibri" w:cs="Calibri"/>
        </w:rPr>
        <w:t xml:space="preserve">” </w:t>
      </w:r>
      <w:r>
        <w:t>is at high quantiles. Our results are consistent with the extant literature, which has widely reported the signi</w:t>
      </w:r>
      <w:r>
        <w:rPr>
          <w:rFonts w:ascii="Calibri" w:eastAsia="Calibri" w:hAnsi="Calibri" w:cs="Calibri"/>
        </w:rPr>
        <w:t>fi</w:t>
      </w:r>
      <w:r>
        <w:t>cant bi-directional correlation between carbon and crude oil markets</w:t>
      </w:r>
      <w:r>
        <w:rPr>
          <w:vertAlign w:val="superscript"/>
        </w:rPr>
        <w:t>46,47</w:t>
      </w:r>
      <w:r>
        <w:t>. On top of that, we clearly identify the potential asymmetry and non-linearity of the correlation.</w:t>
      </w:r>
    </w:p>
    <w:p w14:paraId="447C967F" w14:textId="77777777" w:rsidR="001F2A0B" w:rsidRDefault="00BC538D">
      <w:pPr>
        <w:ind w:left="-15" w:right="0" w:firstLine="240"/>
      </w:pPr>
      <w:r>
        <w:t>Regarding the relationship of the inef</w:t>
      </w:r>
      <w:r>
        <w:rPr>
          <w:rFonts w:ascii="Calibri" w:eastAsia="Calibri" w:hAnsi="Calibri" w:cs="Calibri"/>
        </w:rPr>
        <w:t>fi</w:t>
      </w:r>
      <w:r>
        <w:t xml:space="preserve">ciency degree of the carbon market with that of gas and coal markets, it is highly </w:t>
      </w:r>
      <w:proofErr w:type="gramStart"/>
      <w:r>
        <w:t>similar to</w:t>
      </w:r>
      <w:proofErr w:type="gramEnd"/>
      <w:r>
        <w:t xml:space="preserve"> such the relationship between carbon and oil markets. The causal linkage between carbon and gas markets, as well as between carbon and coal markets are shown in Figures 4 and 5, respectively. For each pairwise linkage, the magnitude and direction of the causality are examined by using the data format of levels (i.e., mean) and variance. Speci</w:t>
      </w:r>
      <w:r>
        <w:rPr>
          <w:rFonts w:ascii="Calibri" w:eastAsia="Calibri" w:hAnsi="Calibri" w:cs="Calibri"/>
        </w:rPr>
        <w:t>fi</w:t>
      </w:r>
      <w:r>
        <w:t>cally, as for the carbon and gas market interaction, the spillover of the inef</w:t>
      </w:r>
      <w:r>
        <w:rPr>
          <w:rFonts w:ascii="Calibri" w:eastAsia="Calibri" w:hAnsi="Calibri" w:cs="Calibri"/>
        </w:rPr>
        <w:t>fi</w:t>
      </w:r>
      <w:r>
        <w:t>ciency degree is shown to be signi</w:t>
      </w:r>
      <w:r>
        <w:rPr>
          <w:rFonts w:ascii="Calibri" w:eastAsia="Calibri" w:hAnsi="Calibri" w:cs="Calibri"/>
        </w:rPr>
        <w:t>fi</w:t>
      </w:r>
      <w:r>
        <w:t>cant and asymmetric on both directions at most quantiles of the data distribution at 5% level, except for minor status at extremely high or low quantiles. Moreover, the intensity of the spillover exhibits the highest at around the median quantile, except for the speci</w:t>
      </w:r>
      <w:r>
        <w:rPr>
          <w:rFonts w:ascii="Calibri" w:eastAsia="Calibri" w:hAnsi="Calibri" w:cs="Calibri"/>
        </w:rPr>
        <w:t>fi</w:t>
      </w:r>
      <w:r>
        <w:t>c spillover from carbon to gas markets when using volatility data. Although being signi</w:t>
      </w:r>
      <w:r>
        <w:rPr>
          <w:rFonts w:ascii="Calibri" w:eastAsia="Calibri" w:hAnsi="Calibri" w:cs="Calibri"/>
        </w:rPr>
        <w:t>fi</w:t>
      </w:r>
      <w:r>
        <w:t xml:space="preserve">cant, the spillover formed by levels data tends to be weak at both extremely high and low quantiles of the information </w:t>
      </w:r>
      <w:r>
        <w:rPr>
          <w:rFonts w:ascii="Calibri" w:eastAsia="Calibri" w:hAnsi="Calibri" w:cs="Calibri"/>
        </w:rPr>
        <w:t>“</w:t>
      </w:r>
      <w:r>
        <w:t>giver</w:t>
      </w:r>
      <w:r>
        <w:rPr>
          <w:rFonts w:ascii="Calibri" w:eastAsia="Calibri" w:hAnsi="Calibri" w:cs="Calibri"/>
        </w:rPr>
        <w:t xml:space="preserve">” </w:t>
      </w:r>
      <w:r>
        <w:t>market, while a weak spillover when using volatility data only occurs at extremely high quantiles.</w:t>
      </w:r>
    </w:p>
    <w:p w14:paraId="7AA66F7C" w14:textId="77777777" w:rsidR="001F2A0B" w:rsidRDefault="00BC538D">
      <w:pPr>
        <w:spacing w:after="60"/>
        <w:ind w:left="-15" w:right="0" w:firstLine="240"/>
      </w:pPr>
      <w:r>
        <w:t>Similarly, the spillover of the inef</w:t>
      </w:r>
      <w:r>
        <w:rPr>
          <w:rFonts w:ascii="Calibri" w:eastAsia="Calibri" w:hAnsi="Calibri" w:cs="Calibri"/>
        </w:rPr>
        <w:t>fi</w:t>
      </w:r>
      <w:r>
        <w:t>ciency degree between carbon and coal markets formed by both levels and volatility data depicts an asymmetric and nonlinear pattern over the data distribution, while having the highest intensity at around the median quantile. The spillover intensity weakens and approaches to the lowest value at extremely (high and low) quantiles when using levels data, but the intensity reduces to the lowest level only at extremely high quantiles when using volatility data. Except when the inef</w:t>
      </w:r>
      <w:r>
        <w:rPr>
          <w:rFonts w:ascii="Calibri" w:eastAsia="Calibri" w:hAnsi="Calibri" w:cs="Calibri"/>
        </w:rPr>
        <w:t>fi</w:t>
      </w:r>
      <w:r>
        <w:t>ciency degree of the speci</w:t>
      </w:r>
      <w:r>
        <w:rPr>
          <w:rFonts w:ascii="Calibri" w:eastAsia="Calibri" w:hAnsi="Calibri" w:cs="Calibri"/>
        </w:rPr>
        <w:t>fi</w:t>
      </w:r>
      <w:r>
        <w:t xml:space="preserve">c information </w:t>
      </w:r>
      <w:r>
        <w:rPr>
          <w:rFonts w:ascii="Calibri" w:eastAsia="Calibri" w:hAnsi="Calibri" w:cs="Calibri"/>
        </w:rPr>
        <w:t>“</w:t>
      </w:r>
      <w:r>
        <w:t>giver</w:t>
      </w:r>
      <w:r>
        <w:rPr>
          <w:rFonts w:ascii="Calibri" w:eastAsia="Calibri" w:hAnsi="Calibri" w:cs="Calibri"/>
        </w:rPr>
        <w:t xml:space="preserve">” </w:t>
      </w:r>
      <w:r>
        <w:t>market is at very low or high levels, the spillover remains signi</w:t>
      </w:r>
      <w:r>
        <w:rPr>
          <w:rFonts w:ascii="Calibri" w:eastAsia="Calibri" w:hAnsi="Calibri" w:cs="Calibri"/>
        </w:rPr>
        <w:t>fi</w:t>
      </w:r>
      <w:r>
        <w:t xml:space="preserve">cant over the entire distribution at 5% level. Our </w:t>
      </w:r>
      <w:r>
        <w:rPr>
          <w:rFonts w:ascii="Calibri" w:eastAsia="Calibri" w:hAnsi="Calibri" w:cs="Calibri"/>
        </w:rPr>
        <w:t>fi</w:t>
      </w:r>
      <w:r>
        <w:t xml:space="preserve">ndings in </w:t>
      </w:r>
      <w:proofErr w:type="spellStart"/>
      <w:r>
        <w:t>favor</w:t>
      </w:r>
      <w:proofErr w:type="spellEnd"/>
      <w:r>
        <w:t xml:space="preserve"> of the signi</w:t>
      </w:r>
      <w:r>
        <w:rPr>
          <w:rFonts w:ascii="Calibri" w:eastAsia="Calibri" w:hAnsi="Calibri" w:cs="Calibri"/>
        </w:rPr>
        <w:t>fi</w:t>
      </w:r>
      <w:r>
        <w:t xml:space="preserve">cant linkage between the carbon market and both gas and coal markets are in line with the existing literature (see </w:t>
      </w:r>
      <w:proofErr w:type="gramStart"/>
      <w:r>
        <w:t>e.g.</w:t>
      </w:r>
      <w:proofErr w:type="gramEnd"/>
      <w:r>
        <w:t xml:space="preserve"> Li and An</w:t>
      </w:r>
      <w:r>
        <w:rPr>
          <w:vertAlign w:val="superscript"/>
        </w:rPr>
        <w:t>48</w:t>
      </w:r>
      <w:r>
        <w:t>, Jiang et al.</w:t>
      </w:r>
      <w:r>
        <w:rPr>
          <w:vertAlign w:val="superscript"/>
        </w:rPr>
        <w:t>49</w:t>
      </w:r>
      <w:r>
        <w:t>, Chen et al.</w:t>
      </w:r>
      <w:r>
        <w:rPr>
          <w:vertAlign w:val="superscript"/>
        </w:rPr>
        <w:t>50</w:t>
      </w:r>
      <w:r>
        <w:t>).</w:t>
      </w:r>
    </w:p>
    <w:p w14:paraId="5E0FD0B8" w14:textId="77777777" w:rsidR="001F2A0B" w:rsidRDefault="00BC538D">
      <w:pPr>
        <w:spacing w:after="373"/>
        <w:ind w:left="-15" w:right="0" w:firstLine="240"/>
      </w:pPr>
      <w:r>
        <w:t xml:space="preserve">Overall, we </w:t>
      </w:r>
      <w:r>
        <w:rPr>
          <w:rFonts w:ascii="Calibri" w:eastAsia="Calibri" w:hAnsi="Calibri" w:cs="Calibri"/>
        </w:rPr>
        <w:t>fi</w:t>
      </w:r>
      <w:r>
        <w:t>nd that the spillover effect of the inef</w:t>
      </w:r>
      <w:r>
        <w:rPr>
          <w:rFonts w:ascii="Calibri" w:eastAsia="Calibri" w:hAnsi="Calibri" w:cs="Calibri"/>
        </w:rPr>
        <w:t>fi</w:t>
      </w:r>
      <w:r>
        <w:t>ciency degree between the carbon market and the target fossil energy markets formed by both data in levels and volatility is bi-directional, asymmetric, nonlinear, and signi</w:t>
      </w:r>
      <w:r>
        <w:rPr>
          <w:rFonts w:ascii="Calibri" w:eastAsia="Calibri" w:hAnsi="Calibri" w:cs="Calibri"/>
        </w:rPr>
        <w:t>fi</w:t>
      </w:r>
      <w:r>
        <w:t xml:space="preserve">cant over the data distribution. Generally, the spillover intensity tends to be the highest at around the median quantile, while the intensity weakens and approaches to the lowest value at extreme quantiles. </w:t>
      </w:r>
      <w:proofErr w:type="gramStart"/>
      <w:r>
        <w:t>In particular, as</w:t>
      </w:r>
      <w:proofErr w:type="gramEnd"/>
      <w:r>
        <w:t xml:space="preserve"> for the spillover from energy to carbon markets, the interdependence remains highest at around normal values, that is, the median quantile of the inef</w:t>
      </w:r>
      <w:r>
        <w:rPr>
          <w:rFonts w:ascii="Calibri" w:eastAsia="Calibri" w:hAnsi="Calibri" w:cs="Calibri"/>
        </w:rPr>
        <w:t>fi</w:t>
      </w:r>
      <w:r>
        <w:t>ciency degree of the carbon market. The lowest intensity of the spillover achieves when the carbon market is either highly inef</w:t>
      </w:r>
      <w:r>
        <w:rPr>
          <w:rFonts w:ascii="Calibri" w:eastAsia="Calibri" w:hAnsi="Calibri" w:cs="Calibri"/>
        </w:rPr>
        <w:t>fi</w:t>
      </w:r>
      <w:r>
        <w:t>cient, that is, high quantiles of the carbon inef</w:t>
      </w:r>
      <w:r>
        <w:rPr>
          <w:rFonts w:ascii="Calibri" w:eastAsia="Calibri" w:hAnsi="Calibri" w:cs="Calibri"/>
        </w:rPr>
        <w:t>fi</w:t>
      </w:r>
      <w:r>
        <w:t xml:space="preserve">ciency degree, or </w:t>
      </w:r>
      <w:proofErr w:type="gramStart"/>
      <w:r>
        <w:t>high</w:t>
      </w:r>
      <w:proofErr w:type="gramEnd"/>
      <w:r>
        <w:t xml:space="preserve"> ef</w:t>
      </w:r>
      <w:r>
        <w:rPr>
          <w:rFonts w:ascii="Calibri" w:eastAsia="Calibri" w:hAnsi="Calibri" w:cs="Calibri"/>
        </w:rPr>
        <w:t>fi</w:t>
      </w:r>
      <w:r>
        <w:t>cient, that is, low quantiles. It indicates that the spillover of the inef</w:t>
      </w:r>
      <w:r>
        <w:rPr>
          <w:rFonts w:ascii="Calibri" w:eastAsia="Calibri" w:hAnsi="Calibri" w:cs="Calibri"/>
        </w:rPr>
        <w:t>fi</w:t>
      </w:r>
      <w:r>
        <w:t>ciency degree from energy to the carbon markets is the highest when the carbon market inef</w:t>
      </w:r>
      <w:r>
        <w:rPr>
          <w:rFonts w:ascii="Calibri" w:eastAsia="Calibri" w:hAnsi="Calibri" w:cs="Calibri"/>
        </w:rPr>
        <w:t>fi</w:t>
      </w:r>
      <w:r>
        <w:t xml:space="preserve">ciency degree is at the normal quantile of its distribution. In parallel, the carbon market is far from a mere information </w:t>
      </w:r>
      <w:r>
        <w:rPr>
          <w:rFonts w:ascii="Calibri" w:eastAsia="Calibri" w:hAnsi="Calibri" w:cs="Calibri"/>
        </w:rPr>
        <w:t>“</w:t>
      </w:r>
      <w:r>
        <w:t>receiver</w:t>
      </w:r>
      <w:r>
        <w:rPr>
          <w:rFonts w:ascii="Calibri" w:eastAsia="Calibri" w:hAnsi="Calibri" w:cs="Calibri"/>
        </w:rPr>
        <w:t>”</w:t>
      </w:r>
      <w:r>
        <w:t xml:space="preserve">; instead, it could also serve as a </w:t>
      </w:r>
      <w:r>
        <w:rPr>
          <w:rFonts w:ascii="Calibri" w:eastAsia="Calibri" w:hAnsi="Calibri" w:cs="Calibri"/>
        </w:rPr>
        <w:t>“</w:t>
      </w:r>
      <w:r>
        <w:t>giver</w:t>
      </w:r>
      <w:r>
        <w:rPr>
          <w:rFonts w:ascii="Calibri" w:eastAsia="Calibri" w:hAnsi="Calibri" w:cs="Calibri"/>
        </w:rPr>
        <w:t xml:space="preserve">” </w:t>
      </w:r>
      <w:r>
        <w:t>and provide information to energy markets, forming a bi-directional and important impacting loop.</w:t>
      </w:r>
    </w:p>
    <w:p w14:paraId="1FC7199B" w14:textId="77777777" w:rsidR="001F2A0B" w:rsidRDefault="00BC538D">
      <w:pPr>
        <w:pStyle w:val="Heading1"/>
        <w:spacing w:after="50" w:line="259" w:lineRule="auto"/>
        <w:ind w:left="-5" w:right="0"/>
      </w:pPr>
      <w:r>
        <w:lastRenderedPageBreak/>
        <w:t>Robustness checks</w:t>
      </w:r>
    </w:p>
    <w:p w14:paraId="342E2554" w14:textId="77777777" w:rsidR="001F2A0B" w:rsidRDefault="00BC538D">
      <w:pPr>
        <w:ind w:left="-5" w:right="0"/>
      </w:pPr>
      <w:r>
        <w:t xml:space="preserve">How robust will our </w:t>
      </w:r>
      <w:r>
        <w:rPr>
          <w:rFonts w:ascii="Calibri" w:eastAsia="Calibri" w:hAnsi="Calibri" w:cs="Calibri"/>
        </w:rPr>
        <w:t>fi</w:t>
      </w:r>
      <w:r>
        <w:t>ndings behave in the face of research alternations such as the data transformation and the estimation technique? To examine the robustness, we accordingly conduct two additional analyses. First, instead of using the demeaned and detrended data, we apply the raw series to the estimation of (fractional) integration order (d) of the target price series and the following analysis of the interaction of the inef</w:t>
      </w:r>
      <w:r>
        <w:rPr>
          <w:rFonts w:ascii="Calibri" w:eastAsia="Calibri" w:hAnsi="Calibri" w:cs="Calibri"/>
        </w:rPr>
        <w:t>fi</w:t>
      </w:r>
      <w:r>
        <w:t>ciency degree between carbon and energy markets. The corresponding CIQ test results of the cross-market spillover effect are shown in Figures 1 to 3.</w:t>
      </w:r>
    </w:p>
    <w:p w14:paraId="695ACF12" w14:textId="77777777" w:rsidR="001F2A0B" w:rsidRDefault="00BC538D">
      <w:pPr>
        <w:spacing w:after="372"/>
        <w:ind w:left="-5" w:right="0"/>
      </w:pPr>
      <w:r>
        <w:t xml:space="preserve">Second, as for the d estimation, we replace the FELW estimator employed in the main analysis to another popular semi-parametric d estimator, that is, Exact Local Whittle (ELW) estimator initially developed by </w:t>
      </w:r>
      <w:proofErr w:type="spellStart"/>
      <w:r>
        <w:t>Shimotsu</w:t>
      </w:r>
      <w:proofErr w:type="spellEnd"/>
      <w:r>
        <w:t xml:space="preserve"> et al.</w:t>
      </w:r>
      <w:r>
        <w:rPr>
          <w:vertAlign w:val="superscript"/>
        </w:rPr>
        <w:t>38</w:t>
      </w:r>
      <w:r>
        <w:t>, and then generate the d series for the carbon and energy markets. The CIQ test results regarding the cross-market spillover of the inef</w:t>
      </w:r>
      <w:r>
        <w:rPr>
          <w:rFonts w:ascii="Calibri" w:eastAsia="Calibri" w:hAnsi="Calibri" w:cs="Calibri"/>
        </w:rPr>
        <w:t>fi</w:t>
      </w:r>
      <w:r>
        <w:t xml:space="preserve">ciency degree based on the newly generated d series are accordingly exhibited in Figures 4 to 6. Overall, </w:t>
      </w:r>
      <w:proofErr w:type="gramStart"/>
      <w:r>
        <w:t>with regard to</w:t>
      </w:r>
      <w:proofErr w:type="gramEnd"/>
      <w:r>
        <w:t xml:space="preserve"> the cross-market spillover of the inef</w:t>
      </w:r>
      <w:r>
        <w:rPr>
          <w:rFonts w:ascii="Calibri" w:eastAsia="Calibri" w:hAnsi="Calibri" w:cs="Calibri"/>
        </w:rPr>
        <w:t>fi</w:t>
      </w:r>
      <w:r>
        <w:t xml:space="preserve">ciency degree formed by both data in levels and volatility, it is clear that the conclusions from the above additional analyses are highly consistent with that of our main analysis as well as the extant related literature. Thus, the robustness of our </w:t>
      </w:r>
      <w:r>
        <w:rPr>
          <w:rFonts w:ascii="Calibri" w:eastAsia="Calibri" w:hAnsi="Calibri" w:cs="Calibri"/>
        </w:rPr>
        <w:t>fi</w:t>
      </w:r>
      <w:r>
        <w:t>ndings is reassured that the carbon market is far from being independent; instead, it forms a dynamic system with energy markets where the spillover of the informational (in)ef</w:t>
      </w:r>
      <w:r>
        <w:rPr>
          <w:rFonts w:ascii="Calibri" w:eastAsia="Calibri" w:hAnsi="Calibri" w:cs="Calibri"/>
        </w:rPr>
        <w:t>fi</w:t>
      </w:r>
      <w:r>
        <w:t>ciency degree exists in a bi-directional manner.</w:t>
      </w:r>
    </w:p>
    <w:p w14:paraId="5BC6D149" w14:textId="77777777" w:rsidR="001F2A0B" w:rsidRDefault="00BC538D">
      <w:pPr>
        <w:pStyle w:val="Heading1"/>
        <w:ind w:left="-5" w:right="0"/>
      </w:pPr>
      <w:r>
        <w:t>Conclusion</w:t>
      </w:r>
    </w:p>
    <w:p w14:paraId="7557BF00" w14:textId="77777777" w:rsidR="001F2A0B" w:rsidRDefault="00BC538D">
      <w:pPr>
        <w:ind w:left="-5" w:right="0"/>
      </w:pPr>
      <w:r>
        <w:t>This article estimates the inef</w:t>
      </w:r>
      <w:r>
        <w:rPr>
          <w:rFonts w:ascii="Calibri" w:eastAsia="Calibri" w:hAnsi="Calibri" w:cs="Calibri"/>
        </w:rPr>
        <w:t>fi</w:t>
      </w:r>
      <w:r>
        <w:t>ciency degree of carbon and (fossil) energy (</w:t>
      </w:r>
      <w:proofErr w:type="gramStart"/>
      <w:r>
        <w:t>i.e.</w:t>
      </w:r>
      <w:proofErr w:type="gramEnd"/>
      <w:r>
        <w:t xml:space="preserve"> crude oil, natural gas, and coal) markets using the FELW estimator, and then investigate the possibly bi-directional causal linkage of the cross-market inef</w:t>
      </w:r>
      <w:r>
        <w:rPr>
          <w:rFonts w:ascii="Calibri" w:eastAsia="Calibri" w:hAnsi="Calibri" w:cs="Calibri"/>
        </w:rPr>
        <w:t>fi</w:t>
      </w:r>
      <w:r>
        <w:t>ciency degree formed by both data in levels (i.e. mean) and volatility, respectively. The potential asymmetric and non-linear feature of the cross-market causal linkage over the data distribution is captured by employing the recently developed CIQs test.</w:t>
      </w:r>
    </w:p>
    <w:p w14:paraId="424748E7" w14:textId="77777777" w:rsidR="001F2A0B" w:rsidRDefault="00BC538D">
      <w:pPr>
        <w:ind w:left="-15" w:right="0" w:firstLine="240"/>
      </w:pPr>
      <w:r>
        <w:t xml:space="preserve">We </w:t>
      </w:r>
      <w:r>
        <w:rPr>
          <w:rFonts w:ascii="Calibri" w:eastAsia="Calibri" w:hAnsi="Calibri" w:cs="Calibri"/>
        </w:rPr>
        <w:t>fi</w:t>
      </w:r>
      <w:r>
        <w:t>nd that both the carbon and energy markets are featured by informational inef</w:t>
      </w:r>
      <w:r>
        <w:rPr>
          <w:rFonts w:ascii="Calibri" w:eastAsia="Calibri" w:hAnsi="Calibri" w:cs="Calibri"/>
        </w:rPr>
        <w:t>fi</w:t>
      </w:r>
      <w:r>
        <w:t>ciency. While being similar, both the mean and variance of the inef</w:t>
      </w:r>
      <w:r>
        <w:rPr>
          <w:rFonts w:ascii="Calibri" w:eastAsia="Calibri" w:hAnsi="Calibri" w:cs="Calibri"/>
        </w:rPr>
        <w:t>fi</w:t>
      </w:r>
      <w:r>
        <w:t>ciency degree of the carbon market are higher than that of all energy markets. This is in line with our expectations that the carbon market tends to be more inef</w:t>
      </w:r>
      <w:r>
        <w:rPr>
          <w:rFonts w:ascii="Calibri" w:eastAsia="Calibri" w:hAnsi="Calibri" w:cs="Calibri"/>
        </w:rPr>
        <w:t>fi</w:t>
      </w:r>
      <w:r>
        <w:t>cient and immature due to its shorter period of development against fossil energy markets. The inef</w:t>
      </w:r>
      <w:r>
        <w:rPr>
          <w:rFonts w:ascii="Calibri" w:eastAsia="Calibri" w:hAnsi="Calibri" w:cs="Calibri"/>
        </w:rPr>
        <w:t>fi</w:t>
      </w:r>
      <w:r>
        <w:t>ciency degree of carbon and energy markets exhibits a bi-directional and asymmetric causal relationship, which is signi</w:t>
      </w:r>
      <w:r>
        <w:rPr>
          <w:rFonts w:ascii="Calibri" w:eastAsia="Calibri" w:hAnsi="Calibri" w:cs="Calibri"/>
        </w:rPr>
        <w:t>fi</w:t>
      </w:r>
      <w:r>
        <w:t>cant over the data distribution except at a minor status of extremely high or low quantiles. The spillover intensity is the highest at around normal values, that is, the median quantile of the speci</w:t>
      </w:r>
      <w:r>
        <w:rPr>
          <w:rFonts w:ascii="Calibri" w:eastAsia="Calibri" w:hAnsi="Calibri" w:cs="Calibri"/>
        </w:rPr>
        <w:t>fi</w:t>
      </w:r>
      <w:r>
        <w:t xml:space="preserve">c market served as the </w:t>
      </w:r>
      <w:r>
        <w:rPr>
          <w:rFonts w:ascii="Calibri" w:eastAsia="Calibri" w:hAnsi="Calibri" w:cs="Calibri"/>
        </w:rPr>
        <w:t>“</w:t>
      </w:r>
      <w:r>
        <w:t>information giver,</w:t>
      </w:r>
      <w:r>
        <w:rPr>
          <w:rFonts w:ascii="Calibri" w:eastAsia="Calibri" w:hAnsi="Calibri" w:cs="Calibri"/>
        </w:rPr>
        <w:t xml:space="preserve">” </w:t>
      </w:r>
      <w:r>
        <w:t xml:space="preserve">while its intensity weakens and approaches to the lowest at the extreme quantiles. The above </w:t>
      </w:r>
      <w:r>
        <w:rPr>
          <w:rFonts w:ascii="Calibri" w:eastAsia="Calibri" w:hAnsi="Calibri" w:cs="Calibri"/>
        </w:rPr>
        <w:t>fi</w:t>
      </w:r>
      <w:r>
        <w:t>ndings con</w:t>
      </w:r>
      <w:r>
        <w:rPr>
          <w:rFonts w:ascii="Calibri" w:eastAsia="Calibri" w:hAnsi="Calibri" w:cs="Calibri"/>
        </w:rPr>
        <w:t>fi</w:t>
      </w:r>
      <w:r>
        <w:t>rm that the carbon market forms a dynamic system with energy markets where the cross-market spillover pattern of the informational (in)ef</w:t>
      </w:r>
      <w:r>
        <w:rPr>
          <w:rFonts w:ascii="Calibri" w:eastAsia="Calibri" w:hAnsi="Calibri" w:cs="Calibri"/>
        </w:rPr>
        <w:t>fi</w:t>
      </w:r>
      <w:r>
        <w:t>ciency degree is bi-directional, asymmetric, and nonlinear.</w:t>
      </w:r>
    </w:p>
    <w:p w14:paraId="43C4A0F5" w14:textId="77777777" w:rsidR="001F2A0B" w:rsidRDefault="00BC538D">
      <w:pPr>
        <w:ind w:left="-15" w:right="0" w:firstLine="240"/>
      </w:pPr>
      <w:r>
        <w:t xml:space="preserve">Our </w:t>
      </w:r>
      <w:r>
        <w:rPr>
          <w:rFonts w:ascii="Calibri" w:eastAsia="Calibri" w:hAnsi="Calibri" w:cs="Calibri"/>
        </w:rPr>
        <w:t>fi</w:t>
      </w:r>
      <w:r>
        <w:t xml:space="preserve">ndings have important implications for various stakeholders. In general, our </w:t>
      </w:r>
      <w:r>
        <w:rPr>
          <w:rFonts w:ascii="Calibri" w:eastAsia="Calibri" w:hAnsi="Calibri" w:cs="Calibri"/>
        </w:rPr>
        <w:t>fi</w:t>
      </w:r>
      <w:r>
        <w:t>ndings of the strong co-movement of the (in)ef</w:t>
      </w:r>
      <w:r>
        <w:rPr>
          <w:rFonts w:ascii="Calibri" w:eastAsia="Calibri" w:hAnsi="Calibri" w:cs="Calibri"/>
        </w:rPr>
        <w:t>fi</w:t>
      </w:r>
      <w:r>
        <w:t>ciency degree between carbon and energy (</w:t>
      </w:r>
      <w:proofErr w:type="gramStart"/>
      <w:r>
        <w:t>i.e.</w:t>
      </w:r>
      <w:proofErr w:type="gramEnd"/>
      <w:r>
        <w:t xml:space="preserve"> crude oil, natural gas, and coal) markets indicate high predictability of the market dynamics by using the information from one another. This may be </w:t>
      </w:r>
      <w:proofErr w:type="gramStart"/>
      <w:r>
        <w:t>due to the fact that</w:t>
      </w:r>
      <w:proofErr w:type="gramEnd"/>
      <w:r>
        <w:t xml:space="preserve"> there exist certain common factors that drive the dynamics of the (in)ef</w:t>
      </w:r>
      <w:r>
        <w:rPr>
          <w:rFonts w:ascii="Calibri" w:eastAsia="Calibri" w:hAnsi="Calibri" w:cs="Calibri"/>
        </w:rPr>
        <w:t>fi</w:t>
      </w:r>
      <w:r>
        <w:t xml:space="preserve">ciency degree of carbon and energy markets simultaneously. </w:t>
      </w:r>
      <w:r>
        <w:lastRenderedPageBreak/>
        <w:t xml:space="preserve">The above </w:t>
      </w:r>
      <w:r>
        <w:rPr>
          <w:rFonts w:ascii="Calibri" w:eastAsia="Calibri" w:hAnsi="Calibri" w:cs="Calibri"/>
        </w:rPr>
        <w:t>fi</w:t>
      </w:r>
      <w:r>
        <w:t xml:space="preserve">ndings question the function of the </w:t>
      </w:r>
      <w:r>
        <w:rPr>
          <w:rFonts w:ascii="Calibri" w:eastAsia="Calibri" w:hAnsi="Calibri" w:cs="Calibri"/>
        </w:rPr>
        <w:t>“</w:t>
      </w:r>
      <w:r>
        <w:t>safe haven</w:t>
      </w:r>
      <w:r>
        <w:rPr>
          <w:rFonts w:ascii="Calibri" w:eastAsia="Calibri" w:hAnsi="Calibri" w:cs="Calibri"/>
        </w:rPr>
        <w:t xml:space="preserve">” </w:t>
      </w:r>
      <w:r>
        <w:t>of carbon and/or energy markets when building the investment portfolio by using assets/commodities from these markets. This is because that variations in the (in)ef</w:t>
      </w:r>
      <w:r>
        <w:rPr>
          <w:rFonts w:ascii="Calibri" w:eastAsia="Calibri" w:hAnsi="Calibri" w:cs="Calibri"/>
        </w:rPr>
        <w:t>fi</w:t>
      </w:r>
      <w:r>
        <w:t>ciency degree from one market could quickly transmit to another market, and investors may have insuf</w:t>
      </w:r>
      <w:r>
        <w:rPr>
          <w:rFonts w:ascii="Calibri" w:eastAsia="Calibri" w:hAnsi="Calibri" w:cs="Calibri"/>
        </w:rPr>
        <w:t>fi</w:t>
      </w:r>
      <w:r>
        <w:t xml:space="preserve">cient time to respond accordingly. The </w:t>
      </w:r>
      <w:r>
        <w:rPr>
          <w:rFonts w:ascii="Calibri" w:eastAsia="Calibri" w:hAnsi="Calibri" w:cs="Calibri"/>
        </w:rPr>
        <w:t>fi</w:t>
      </w:r>
      <w:r>
        <w:t xml:space="preserve">ndings also help market investors identify the potentially close linkage of the carbon and energy related assets, and then contribute to the risk mitigation when building a portfolio. In parallel, an accurate interpretation of the carbon and energy market linkage </w:t>
      </w:r>
      <w:proofErr w:type="gramStart"/>
      <w:r>
        <w:t>with regard to</w:t>
      </w:r>
      <w:proofErr w:type="gramEnd"/>
      <w:r>
        <w:t xml:space="preserve"> the inef</w:t>
      </w:r>
      <w:r>
        <w:rPr>
          <w:rFonts w:ascii="Calibri" w:eastAsia="Calibri" w:hAnsi="Calibri" w:cs="Calibri"/>
        </w:rPr>
        <w:t>fi</w:t>
      </w:r>
      <w:r>
        <w:t xml:space="preserve">ciency degree also offers valuable information to policymakers for effective operations of the ETS and sensible climate policy implementation. The </w:t>
      </w:r>
      <w:r>
        <w:rPr>
          <w:rFonts w:ascii="Calibri" w:eastAsia="Calibri" w:hAnsi="Calibri" w:cs="Calibri"/>
        </w:rPr>
        <w:t>fi</w:t>
      </w:r>
      <w:r>
        <w:t>ndings also provide valuable information to carbon-intensive sectors for reliable assessment of their production cost, adjusting their energy consumption structures towards the low carbon target with a minimum economic cost.</w:t>
      </w:r>
    </w:p>
    <w:p w14:paraId="695FA514" w14:textId="77777777" w:rsidR="001F2A0B" w:rsidRDefault="00BC538D">
      <w:pPr>
        <w:pStyle w:val="Heading1"/>
        <w:spacing w:after="43"/>
        <w:ind w:left="-5" w:right="0"/>
      </w:pPr>
      <w:r>
        <w:t>Compliance with ethical standards</w:t>
      </w:r>
    </w:p>
    <w:p w14:paraId="154CD473" w14:textId="77777777" w:rsidR="001F2A0B" w:rsidRDefault="00BC538D">
      <w:pPr>
        <w:spacing w:after="333"/>
        <w:ind w:left="-5" w:right="0"/>
      </w:pPr>
      <w:r>
        <w:t xml:space="preserve">The authors declare no relevant </w:t>
      </w:r>
      <w:r>
        <w:rPr>
          <w:rFonts w:ascii="Calibri" w:eastAsia="Calibri" w:hAnsi="Calibri" w:cs="Calibri"/>
        </w:rPr>
        <w:t>fi</w:t>
      </w:r>
      <w:r>
        <w:t>nancial or non-</w:t>
      </w:r>
      <w:r>
        <w:rPr>
          <w:rFonts w:ascii="Calibri" w:eastAsia="Calibri" w:hAnsi="Calibri" w:cs="Calibri"/>
        </w:rPr>
        <w:t>fi</w:t>
      </w:r>
      <w:r>
        <w:t>nancial interests to disclose. The authors con</w:t>
      </w:r>
      <w:r>
        <w:rPr>
          <w:rFonts w:ascii="Calibri" w:eastAsia="Calibri" w:hAnsi="Calibri" w:cs="Calibri"/>
        </w:rPr>
        <w:t>fi</w:t>
      </w:r>
      <w:r>
        <w:t>rm that their research in the manuscript involves no human participants and/or animals. They can also con</w:t>
      </w:r>
      <w:r>
        <w:rPr>
          <w:rFonts w:ascii="Calibri" w:eastAsia="Calibri" w:hAnsi="Calibri" w:cs="Calibri"/>
        </w:rPr>
        <w:t>fi</w:t>
      </w:r>
      <w:r>
        <w:t xml:space="preserve">rm that the manuscript has not been previously published, is not currently submitted for review to any other </w:t>
      </w:r>
      <w:proofErr w:type="gramStart"/>
      <w:r>
        <w:t>journal, and</w:t>
      </w:r>
      <w:proofErr w:type="gramEnd"/>
      <w:r>
        <w:t xml:space="preserve"> will not be submitted elsewhere before a decision is made by this journal.</w:t>
      </w:r>
    </w:p>
    <w:p w14:paraId="3F7EEDA2" w14:textId="77777777" w:rsidR="001F2A0B" w:rsidRDefault="00BC538D">
      <w:pPr>
        <w:pStyle w:val="Heading2"/>
        <w:ind w:left="-5"/>
      </w:pPr>
      <w:r>
        <w:t>Declaration of conflicting interests</w:t>
      </w:r>
    </w:p>
    <w:p w14:paraId="036F3FFD" w14:textId="77777777" w:rsidR="001F2A0B" w:rsidRDefault="00BC538D">
      <w:pPr>
        <w:spacing w:after="313" w:line="298" w:lineRule="auto"/>
        <w:ind w:left="-15" w:right="0" w:firstLine="0"/>
      </w:pPr>
      <w:r>
        <w:rPr>
          <w:sz w:val="18"/>
        </w:rPr>
        <w:t>The author(s) declared no potential con</w:t>
      </w:r>
      <w:r>
        <w:rPr>
          <w:rFonts w:ascii="Calibri" w:eastAsia="Calibri" w:hAnsi="Calibri" w:cs="Calibri"/>
          <w:sz w:val="18"/>
        </w:rPr>
        <w:t>fl</w:t>
      </w:r>
      <w:r>
        <w:rPr>
          <w:sz w:val="18"/>
        </w:rPr>
        <w:t>icts of interest with respect to the research, authorship, and/or publication of this article.</w:t>
      </w:r>
    </w:p>
    <w:p w14:paraId="5DF6821C" w14:textId="77777777" w:rsidR="001F2A0B" w:rsidRDefault="00BC538D">
      <w:pPr>
        <w:spacing w:after="57" w:line="259" w:lineRule="auto"/>
        <w:ind w:left="-5" w:right="0"/>
        <w:jc w:val="left"/>
      </w:pPr>
      <w:r>
        <w:rPr>
          <w:rFonts w:ascii="Calibri" w:eastAsia="Calibri" w:hAnsi="Calibri" w:cs="Calibri"/>
        </w:rPr>
        <w:t>Funding</w:t>
      </w:r>
    </w:p>
    <w:p w14:paraId="54EA44A9" w14:textId="77777777" w:rsidR="001F2A0B" w:rsidRDefault="00BC538D">
      <w:pPr>
        <w:spacing w:after="305" w:line="298" w:lineRule="auto"/>
        <w:ind w:left="-15" w:right="0" w:firstLine="0"/>
      </w:pPr>
      <w:r>
        <w:rPr>
          <w:sz w:val="18"/>
        </w:rPr>
        <w:t xml:space="preserve">The author(s) received no </w:t>
      </w:r>
      <w:r>
        <w:rPr>
          <w:rFonts w:ascii="Calibri" w:eastAsia="Calibri" w:hAnsi="Calibri" w:cs="Calibri"/>
          <w:sz w:val="18"/>
        </w:rPr>
        <w:t>fi</w:t>
      </w:r>
      <w:r>
        <w:rPr>
          <w:sz w:val="18"/>
        </w:rPr>
        <w:t>nancial support for the research, authorship, and/or publication of this article.</w:t>
      </w:r>
    </w:p>
    <w:p w14:paraId="3A58F517" w14:textId="77777777" w:rsidR="001F2A0B" w:rsidRDefault="00BC538D">
      <w:pPr>
        <w:pStyle w:val="Heading2"/>
        <w:spacing w:after="23"/>
        <w:ind w:left="-5"/>
      </w:pPr>
      <w:r>
        <w:t xml:space="preserve">ORCID </w:t>
      </w:r>
      <w:proofErr w:type="spellStart"/>
      <w:r>
        <w:t>iD</w:t>
      </w:r>
      <w:proofErr w:type="spellEnd"/>
    </w:p>
    <w:p w14:paraId="01BF4A34" w14:textId="77777777" w:rsidR="001F2A0B" w:rsidRDefault="00BC538D">
      <w:pPr>
        <w:spacing w:after="316" w:line="298" w:lineRule="auto"/>
        <w:ind w:left="-15" w:right="0" w:firstLine="0"/>
      </w:pPr>
      <w:r>
        <w:rPr>
          <w:sz w:val="18"/>
        </w:rPr>
        <w:t xml:space="preserve">Kun Duan </w:t>
      </w:r>
      <w:r>
        <w:rPr>
          <w:rFonts w:ascii="Calibri" w:eastAsia="Calibri" w:hAnsi="Calibri" w:cs="Calibri"/>
          <w:noProof/>
          <w:sz w:val="22"/>
        </w:rPr>
        <mc:AlternateContent>
          <mc:Choice Requires="wpg">
            <w:drawing>
              <wp:inline distT="0" distB="0" distL="0" distR="0" wp14:anchorId="40C996F2" wp14:editId="10B089B3">
                <wp:extent cx="136804" cy="136804"/>
                <wp:effectExtent l="0" t="0" r="0" b="0"/>
                <wp:docPr id="26202" name="Group 26202"/>
                <wp:cNvGraphicFramePr/>
                <a:graphic xmlns:a="http://schemas.openxmlformats.org/drawingml/2006/main">
                  <a:graphicData uri="http://schemas.microsoft.com/office/word/2010/wordprocessingGroup">
                    <wpg:wgp>
                      <wpg:cNvGrpSpPr/>
                      <wpg:grpSpPr>
                        <a:xfrm>
                          <a:off x="0" y="0"/>
                          <a:ext cx="136804" cy="136804"/>
                          <a:chOff x="0" y="0"/>
                          <a:chExt cx="136804" cy="136804"/>
                        </a:xfrm>
                      </wpg:grpSpPr>
                      <wps:wsp>
                        <wps:cNvPr id="2281" name="Shape 2281"/>
                        <wps:cNvSpPr/>
                        <wps:spPr>
                          <a:xfrm>
                            <a:off x="0" y="0"/>
                            <a:ext cx="136804" cy="136804"/>
                          </a:xfrm>
                          <a:custGeom>
                            <a:avLst/>
                            <a:gdLst/>
                            <a:ahLst/>
                            <a:cxnLst/>
                            <a:rect l="0" t="0" r="0" b="0"/>
                            <a:pathLst>
                              <a:path w="136804" h="136804">
                                <a:moveTo>
                                  <a:pt x="68580" y="0"/>
                                </a:moveTo>
                                <a:cubicBezTo>
                                  <a:pt x="96993" y="0"/>
                                  <a:pt x="121363" y="17266"/>
                                  <a:pt x="131772" y="41882"/>
                                </a:cubicBezTo>
                                <a:lnTo>
                                  <a:pt x="136804" y="66818"/>
                                </a:lnTo>
                                <a:lnTo>
                                  <a:pt x="136804" y="70341"/>
                                </a:lnTo>
                                <a:lnTo>
                                  <a:pt x="131772" y="95278"/>
                                </a:lnTo>
                                <a:cubicBezTo>
                                  <a:pt x="124832" y="111688"/>
                                  <a:pt x="111688" y="124832"/>
                                  <a:pt x="95278" y="131772"/>
                                </a:cubicBezTo>
                                <a:lnTo>
                                  <a:pt x="70341" y="136804"/>
                                </a:lnTo>
                                <a:lnTo>
                                  <a:pt x="66819" y="136804"/>
                                </a:lnTo>
                                <a:lnTo>
                                  <a:pt x="41887" y="131772"/>
                                </a:lnTo>
                                <a:cubicBezTo>
                                  <a:pt x="25478" y="124832"/>
                                  <a:pt x="12331" y="111688"/>
                                  <a:pt x="5390" y="95278"/>
                                </a:cubicBezTo>
                                <a:lnTo>
                                  <a:pt x="0" y="68580"/>
                                </a:lnTo>
                                <a:lnTo>
                                  <a:pt x="0" y="68580"/>
                                </a:lnTo>
                                <a:lnTo>
                                  <a:pt x="5390" y="41882"/>
                                </a:lnTo>
                                <a:cubicBezTo>
                                  <a:pt x="15802" y="17266"/>
                                  <a:pt x="40176" y="0"/>
                                  <a:pt x="68580" y="0"/>
                                </a:cubicBezTo>
                                <a:close/>
                              </a:path>
                            </a:pathLst>
                          </a:custGeom>
                          <a:ln w="0" cap="flat">
                            <a:miter lim="127000"/>
                          </a:ln>
                        </wps:spPr>
                        <wps:style>
                          <a:lnRef idx="0">
                            <a:srgbClr val="000000">
                              <a:alpha val="0"/>
                            </a:srgbClr>
                          </a:lnRef>
                          <a:fillRef idx="1">
                            <a:srgbClr val="A4C638"/>
                          </a:fillRef>
                          <a:effectRef idx="0">
                            <a:scrgbClr r="0" g="0" b="0"/>
                          </a:effectRef>
                          <a:fontRef idx="none"/>
                        </wps:style>
                        <wps:bodyPr/>
                      </wps:wsp>
                      <wps:wsp>
                        <wps:cNvPr id="32258" name="Shape 32258"/>
                        <wps:cNvSpPr/>
                        <wps:spPr>
                          <a:xfrm>
                            <a:off x="37988" y="42370"/>
                            <a:ext cx="9144" cy="57389"/>
                          </a:xfrm>
                          <a:custGeom>
                            <a:avLst/>
                            <a:gdLst/>
                            <a:ahLst/>
                            <a:cxnLst/>
                            <a:rect l="0" t="0" r="0" b="0"/>
                            <a:pathLst>
                              <a:path w="9144" h="57389">
                                <a:moveTo>
                                  <a:pt x="0" y="0"/>
                                </a:moveTo>
                                <a:lnTo>
                                  <a:pt x="9144" y="0"/>
                                </a:lnTo>
                                <a:lnTo>
                                  <a:pt x="9144" y="57389"/>
                                </a:lnTo>
                                <a:lnTo>
                                  <a:pt x="0" y="5738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83" name="Shape 2283"/>
                        <wps:cNvSpPr/>
                        <wps:spPr>
                          <a:xfrm>
                            <a:off x="58344" y="42367"/>
                            <a:ext cx="26314" cy="57429"/>
                          </a:xfrm>
                          <a:custGeom>
                            <a:avLst/>
                            <a:gdLst/>
                            <a:ahLst/>
                            <a:cxnLst/>
                            <a:rect l="0" t="0" r="0" b="0"/>
                            <a:pathLst>
                              <a:path w="26314" h="57429">
                                <a:moveTo>
                                  <a:pt x="0" y="0"/>
                                </a:moveTo>
                                <a:lnTo>
                                  <a:pt x="22289" y="0"/>
                                </a:lnTo>
                                <a:lnTo>
                                  <a:pt x="26314" y="757"/>
                                </a:lnTo>
                                <a:lnTo>
                                  <a:pt x="26314" y="9351"/>
                                </a:lnTo>
                                <a:lnTo>
                                  <a:pt x="20955" y="7442"/>
                                </a:lnTo>
                                <a:lnTo>
                                  <a:pt x="8255" y="7442"/>
                                </a:lnTo>
                                <a:lnTo>
                                  <a:pt x="8255" y="49987"/>
                                </a:lnTo>
                                <a:lnTo>
                                  <a:pt x="21374" y="49987"/>
                                </a:lnTo>
                                <a:lnTo>
                                  <a:pt x="26314" y="48985"/>
                                </a:lnTo>
                                <a:lnTo>
                                  <a:pt x="26314" y="56688"/>
                                </a:lnTo>
                                <a:lnTo>
                                  <a:pt x="22403" y="57429"/>
                                </a:lnTo>
                                <a:lnTo>
                                  <a:pt x="0" y="5742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84" name="Shape 2284"/>
                        <wps:cNvSpPr/>
                        <wps:spPr>
                          <a:xfrm>
                            <a:off x="84658" y="43124"/>
                            <a:ext cx="26518" cy="55931"/>
                          </a:xfrm>
                          <a:custGeom>
                            <a:avLst/>
                            <a:gdLst/>
                            <a:ahLst/>
                            <a:cxnLst/>
                            <a:rect l="0" t="0" r="0" b="0"/>
                            <a:pathLst>
                              <a:path w="26518" h="55931">
                                <a:moveTo>
                                  <a:pt x="0" y="0"/>
                                </a:moveTo>
                                <a:lnTo>
                                  <a:pt x="9700" y="1824"/>
                                </a:lnTo>
                                <a:cubicBezTo>
                                  <a:pt x="21274" y="6724"/>
                                  <a:pt x="26518" y="17795"/>
                                  <a:pt x="26518" y="27958"/>
                                </a:cubicBezTo>
                                <a:cubicBezTo>
                                  <a:pt x="26518" y="39016"/>
                                  <a:pt x="20038" y="49639"/>
                                  <a:pt x="8821" y="54259"/>
                                </a:cubicBezTo>
                                <a:lnTo>
                                  <a:pt x="0" y="55931"/>
                                </a:lnTo>
                                <a:lnTo>
                                  <a:pt x="0" y="48228"/>
                                </a:lnTo>
                                <a:lnTo>
                                  <a:pt x="6545" y="46901"/>
                                </a:lnTo>
                                <a:cubicBezTo>
                                  <a:pt x="15645" y="42576"/>
                                  <a:pt x="18059" y="33263"/>
                                  <a:pt x="18059" y="27958"/>
                                </a:cubicBezTo>
                                <a:cubicBezTo>
                                  <a:pt x="18059" y="22198"/>
                                  <a:pt x="16221" y="16880"/>
                                  <a:pt x="12375" y="13002"/>
                                </a:cubicBezTo>
                                <a:lnTo>
                                  <a:pt x="0" y="859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85" name="Shape 2285"/>
                        <wps:cNvSpPr/>
                        <wps:spPr>
                          <a:xfrm>
                            <a:off x="36703" y="25006"/>
                            <a:ext cx="10820" cy="10833"/>
                          </a:xfrm>
                          <a:custGeom>
                            <a:avLst/>
                            <a:gdLst/>
                            <a:ahLst/>
                            <a:cxnLst/>
                            <a:rect l="0" t="0" r="0" b="0"/>
                            <a:pathLst>
                              <a:path w="10820" h="10833">
                                <a:moveTo>
                                  <a:pt x="5410" y="0"/>
                                </a:moveTo>
                                <a:cubicBezTo>
                                  <a:pt x="8407" y="0"/>
                                  <a:pt x="10820" y="2477"/>
                                  <a:pt x="10820" y="5423"/>
                                </a:cubicBezTo>
                                <a:cubicBezTo>
                                  <a:pt x="10820" y="8369"/>
                                  <a:pt x="8407" y="10833"/>
                                  <a:pt x="5410" y="10833"/>
                                </a:cubicBezTo>
                                <a:cubicBezTo>
                                  <a:pt x="2413" y="10833"/>
                                  <a:pt x="0" y="8369"/>
                                  <a:pt x="0" y="5423"/>
                                </a:cubicBezTo>
                                <a:cubicBezTo>
                                  <a:pt x="0" y="2413"/>
                                  <a:pt x="2413" y="0"/>
                                  <a:pt x="54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26202" style="width:10.772pt;height:10.772pt;mso-position-horizontal-relative:char;mso-position-vertical-relative:line" coordsize="1368,1368">
                <v:shape id="Shape 2281" style="position:absolute;width:1368;height:1368;left:0;top:0;" coordsize="136804,136804" path="m68580,0c96993,0,121363,17266,131772,41882l136804,66818l136804,70341l131772,95278c124832,111688,111688,124832,95278,131772l70341,136804l66819,136804l41887,131772c25478,124832,12331,111688,5390,95278l0,68580l0,68580l5390,41882c15802,17266,40176,0,68580,0x">
                  <v:stroke weight="0pt" endcap="flat" joinstyle="miter" miterlimit="10" on="false" color="#000000" opacity="0"/>
                  <v:fill on="true" color="#a4c638"/>
                </v:shape>
                <v:shape id="Shape 32259" style="position:absolute;width:91;height:573;left:379;top:423;" coordsize="9144,57389" path="m0,0l9144,0l9144,57389l0,57389l0,0">
                  <v:stroke weight="0pt" endcap="flat" joinstyle="miter" miterlimit="10" on="false" color="#000000" opacity="0"/>
                  <v:fill on="true" color="#fffefd"/>
                </v:shape>
                <v:shape id="Shape 2283" style="position:absolute;width:263;height:574;left:583;top:423;" coordsize="26314,57429" path="m0,0l22289,0l26314,757l26314,9351l20955,7442l8255,7442l8255,49987l21374,49987l26314,48985l26314,56688l22403,57429l0,57429l0,0x">
                  <v:stroke weight="0pt" endcap="flat" joinstyle="miter" miterlimit="10" on="false" color="#000000" opacity="0"/>
                  <v:fill on="true" color="#fffefd"/>
                </v:shape>
                <v:shape id="Shape 2284" style="position:absolute;width:265;height:559;left:846;top:431;" coordsize="26518,55931" path="m0,0l9700,1824c21274,6724,26518,17795,26518,27958c26518,39016,20038,49639,8821,54259l0,55931l0,48228l6545,46901c15645,42576,18059,33263,18059,27958c18059,22198,16221,16880,12375,13002l0,8594l0,0x">
                  <v:stroke weight="0pt" endcap="flat" joinstyle="miter" miterlimit="10" on="false" color="#000000" opacity="0"/>
                  <v:fill on="true" color="#fffefd"/>
                </v:shape>
                <v:shape id="Shape 2285" style="position:absolute;width:108;height:108;left:367;top:250;" coordsize="10820,10833" path="m5410,0c8407,0,10820,2477,10820,5423c10820,8369,8407,10833,5410,10833c2413,10833,0,8369,0,5423c0,2413,2413,0,5410,0x">
                  <v:stroke weight="0pt" endcap="flat" joinstyle="miter" miterlimit="10" on="false" color="#000000" opacity="0"/>
                  <v:fill on="true" color="#fffefd"/>
                </v:shape>
              </v:group>
            </w:pict>
          </mc:Fallback>
        </mc:AlternateContent>
      </w:r>
      <w:r>
        <w:rPr>
          <w:sz w:val="18"/>
        </w:rPr>
        <w:t xml:space="preserve"> </w:t>
      </w:r>
      <w:hyperlink r:id="rId25">
        <w:r>
          <w:rPr>
            <w:sz w:val="18"/>
          </w:rPr>
          <w:t>https://orcid.org/0000-0003-3897-4081</w:t>
        </w:r>
      </w:hyperlink>
    </w:p>
    <w:p w14:paraId="228E4E03" w14:textId="77777777" w:rsidR="001F2A0B" w:rsidRDefault="00BC538D">
      <w:pPr>
        <w:pStyle w:val="Heading2"/>
        <w:ind w:left="-5"/>
      </w:pPr>
      <w:r>
        <w:t>Notes</w:t>
      </w:r>
    </w:p>
    <w:p w14:paraId="48538782" w14:textId="77777777" w:rsidR="001F2A0B" w:rsidRDefault="00BC538D">
      <w:pPr>
        <w:numPr>
          <w:ilvl w:val="0"/>
          <w:numId w:val="1"/>
        </w:numPr>
        <w:spacing w:after="5" w:line="246" w:lineRule="auto"/>
        <w:ind w:right="0" w:hanging="240"/>
      </w:pPr>
      <w:r>
        <w:rPr>
          <w:sz w:val="18"/>
        </w:rPr>
        <w:t xml:space="preserve">The </w:t>
      </w:r>
      <w:proofErr w:type="gramStart"/>
      <w:r>
        <w:rPr>
          <w:sz w:val="18"/>
        </w:rPr>
        <w:t>I(</w:t>
      </w:r>
      <w:proofErr w:type="gramEnd"/>
      <w:r>
        <w:rPr>
          <w:sz w:val="18"/>
        </w:rPr>
        <w:t>1) price series indicates that the market is ef</w:t>
      </w:r>
      <w:r>
        <w:rPr>
          <w:rFonts w:ascii="Calibri" w:eastAsia="Calibri" w:hAnsi="Calibri" w:cs="Calibri"/>
          <w:sz w:val="18"/>
        </w:rPr>
        <w:t>fi</w:t>
      </w:r>
      <w:r>
        <w:rPr>
          <w:sz w:val="18"/>
        </w:rPr>
        <w:t>cient. Any deviation of the integration order from 1 indicates the presence of inef</w:t>
      </w:r>
      <w:r>
        <w:rPr>
          <w:rFonts w:ascii="Calibri" w:eastAsia="Calibri" w:hAnsi="Calibri" w:cs="Calibri"/>
          <w:sz w:val="18"/>
        </w:rPr>
        <w:t>fi</w:t>
      </w:r>
      <w:r>
        <w:rPr>
          <w:sz w:val="18"/>
        </w:rPr>
        <w:t>ciency, and the market inef</w:t>
      </w:r>
      <w:r>
        <w:rPr>
          <w:rFonts w:ascii="Calibri" w:eastAsia="Calibri" w:hAnsi="Calibri" w:cs="Calibri"/>
          <w:sz w:val="18"/>
        </w:rPr>
        <w:t>fi</w:t>
      </w:r>
      <w:r>
        <w:rPr>
          <w:sz w:val="18"/>
        </w:rPr>
        <w:t>ciency degree indicates the extent of the deviation. The greater the market inef</w:t>
      </w:r>
      <w:r>
        <w:rPr>
          <w:rFonts w:ascii="Calibri" w:eastAsia="Calibri" w:hAnsi="Calibri" w:cs="Calibri"/>
          <w:sz w:val="18"/>
        </w:rPr>
        <w:t>fi</w:t>
      </w:r>
      <w:r>
        <w:rPr>
          <w:sz w:val="18"/>
        </w:rPr>
        <w:t>ciency degree, the large deviation of the market from the ef</w:t>
      </w:r>
      <w:r>
        <w:rPr>
          <w:rFonts w:ascii="Calibri" w:eastAsia="Calibri" w:hAnsi="Calibri" w:cs="Calibri"/>
          <w:sz w:val="18"/>
        </w:rPr>
        <w:t>fi</w:t>
      </w:r>
      <w:r>
        <w:rPr>
          <w:sz w:val="18"/>
        </w:rPr>
        <w:t>ciency status.</w:t>
      </w:r>
    </w:p>
    <w:p w14:paraId="47825C78" w14:textId="77777777" w:rsidR="001F2A0B" w:rsidRDefault="00BC538D">
      <w:pPr>
        <w:numPr>
          <w:ilvl w:val="0"/>
          <w:numId w:val="1"/>
        </w:numPr>
        <w:spacing w:after="5" w:line="298" w:lineRule="auto"/>
        <w:ind w:right="0" w:hanging="240"/>
      </w:pPr>
      <w:r>
        <w:rPr>
          <w:sz w:val="18"/>
        </w:rPr>
        <w:t xml:space="preserve">There exists </w:t>
      </w:r>
      <w:proofErr w:type="gramStart"/>
      <w:r>
        <w:rPr>
          <w:sz w:val="18"/>
        </w:rPr>
        <w:t>an increasing evidence</w:t>
      </w:r>
      <w:proofErr w:type="gramEnd"/>
      <w:r>
        <w:rPr>
          <w:sz w:val="18"/>
        </w:rPr>
        <w:t xml:space="preserve"> showing the presence of fractional integration order of carbon </w:t>
      </w:r>
      <w:proofErr w:type="spellStart"/>
      <w:r>
        <w:rPr>
          <w:sz w:val="18"/>
        </w:rPr>
        <w:t>andenergy</w:t>
      </w:r>
      <w:proofErr w:type="spellEnd"/>
      <w:r>
        <w:rPr>
          <w:sz w:val="18"/>
        </w:rPr>
        <w:t xml:space="preserve"> prices, and the associated long-memory property (see e.g. Liu and Chen,</w:t>
      </w:r>
      <w:r>
        <w:rPr>
          <w:sz w:val="18"/>
          <w:vertAlign w:val="superscript"/>
        </w:rPr>
        <w:t xml:space="preserve">51 </w:t>
      </w:r>
      <w:r>
        <w:rPr>
          <w:sz w:val="18"/>
        </w:rPr>
        <w:t>Elder and Serletis,</w:t>
      </w:r>
      <w:r>
        <w:rPr>
          <w:sz w:val="18"/>
          <w:vertAlign w:val="superscript"/>
        </w:rPr>
        <w:t xml:space="preserve">52 </w:t>
      </w:r>
      <w:r>
        <w:rPr>
          <w:sz w:val="18"/>
        </w:rPr>
        <w:t>Tiwari et al.</w:t>
      </w:r>
      <w:r>
        <w:rPr>
          <w:sz w:val="18"/>
          <w:vertAlign w:val="superscript"/>
        </w:rPr>
        <w:t>53</w:t>
      </w:r>
      <w:r>
        <w:rPr>
          <w:sz w:val="18"/>
        </w:rPr>
        <w:t>).</w:t>
      </w:r>
    </w:p>
    <w:p w14:paraId="6F22440D" w14:textId="77777777" w:rsidR="001F2A0B" w:rsidRDefault="00BC538D">
      <w:pPr>
        <w:numPr>
          <w:ilvl w:val="0"/>
          <w:numId w:val="1"/>
        </w:numPr>
        <w:spacing w:after="5" w:line="298" w:lineRule="auto"/>
        <w:ind w:right="0" w:hanging="240"/>
      </w:pPr>
      <w:r>
        <w:rPr>
          <w:sz w:val="18"/>
        </w:rPr>
        <w:t>In this article, each of the individual sequences are divided into 19 quantile points, speci</w:t>
      </w:r>
      <w:r>
        <w:rPr>
          <w:rFonts w:ascii="Calibri" w:eastAsia="Calibri" w:hAnsi="Calibri" w:cs="Calibri"/>
          <w:sz w:val="18"/>
        </w:rPr>
        <w:t>fi</w:t>
      </w:r>
      <w:r>
        <w:rPr>
          <w:sz w:val="18"/>
        </w:rPr>
        <w:t>cally: 0.05, 0.1,</w:t>
      </w:r>
    </w:p>
    <w:p w14:paraId="1099AC79" w14:textId="77777777" w:rsidR="001F2A0B" w:rsidRDefault="00BC538D">
      <w:pPr>
        <w:spacing w:after="5" w:line="298" w:lineRule="auto"/>
        <w:ind w:left="240" w:right="0" w:firstLine="0"/>
      </w:pPr>
      <w:proofErr w:type="gramStart"/>
      <w:r>
        <w:rPr>
          <w:sz w:val="18"/>
        </w:rPr>
        <w:t>0.15,</w:t>
      </w:r>
      <w:r>
        <w:rPr>
          <w:rFonts w:ascii="Calibri" w:eastAsia="Calibri" w:hAnsi="Calibri" w:cs="Calibri"/>
          <w:sz w:val="18"/>
        </w:rPr>
        <w:t>…</w:t>
      </w:r>
      <w:proofErr w:type="gramEnd"/>
      <w:r>
        <w:rPr>
          <w:sz w:val="18"/>
        </w:rPr>
        <w:t>, 0.95.</w:t>
      </w:r>
    </w:p>
    <w:p w14:paraId="727A5A46" w14:textId="77777777" w:rsidR="001F2A0B" w:rsidRDefault="00BC538D">
      <w:pPr>
        <w:numPr>
          <w:ilvl w:val="0"/>
          <w:numId w:val="1"/>
        </w:numPr>
        <w:spacing w:after="341" w:line="298" w:lineRule="auto"/>
        <w:ind w:right="0" w:hanging="240"/>
      </w:pPr>
      <w:r>
        <w:rPr>
          <w:sz w:val="18"/>
        </w:rPr>
        <w:t>Prior to the empirical analysis including the d estimates and the analysis of the interaction of the inef</w:t>
      </w:r>
      <w:r>
        <w:rPr>
          <w:rFonts w:ascii="Calibri" w:eastAsia="Calibri" w:hAnsi="Calibri" w:cs="Calibri"/>
          <w:sz w:val="18"/>
        </w:rPr>
        <w:t>fi</w:t>
      </w:r>
      <w:r>
        <w:rPr>
          <w:sz w:val="18"/>
        </w:rPr>
        <w:t>ciency degree between carbon and energy markets, each of the raw series is demeaned and detrended to make it be more comparable over time</w:t>
      </w:r>
      <w:r>
        <w:rPr>
          <w:sz w:val="18"/>
          <w:vertAlign w:val="superscript"/>
        </w:rPr>
        <w:t>6</w:t>
      </w:r>
      <w:r>
        <w:rPr>
          <w:sz w:val="18"/>
        </w:rPr>
        <w:t>.</w:t>
      </w:r>
    </w:p>
    <w:p w14:paraId="5AE611BC" w14:textId="77777777" w:rsidR="001F2A0B" w:rsidRDefault="00BC538D">
      <w:pPr>
        <w:pStyle w:val="Heading2"/>
        <w:ind w:left="-5"/>
      </w:pPr>
      <w:r>
        <w:lastRenderedPageBreak/>
        <w:t>References</w:t>
      </w:r>
    </w:p>
    <w:p w14:paraId="47433F20" w14:textId="77777777" w:rsidR="001F2A0B" w:rsidRDefault="00BC538D">
      <w:pPr>
        <w:numPr>
          <w:ilvl w:val="0"/>
          <w:numId w:val="2"/>
        </w:numPr>
        <w:spacing w:after="5" w:line="298" w:lineRule="auto"/>
        <w:ind w:right="0" w:hanging="324"/>
      </w:pPr>
      <w:r>
        <w:rPr>
          <w:sz w:val="18"/>
        </w:rPr>
        <w:t>Ren X, Dou Y, Dong K, Li Y, et al. Information spillover and market connectedness: multi-</w:t>
      </w:r>
      <w:proofErr w:type="spellStart"/>
      <w:r>
        <w:rPr>
          <w:sz w:val="18"/>
        </w:rPr>
        <w:t>scalequantile</w:t>
      </w:r>
      <w:proofErr w:type="spellEnd"/>
      <w:r>
        <w:rPr>
          <w:sz w:val="18"/>
        </w:rPr>
        <w:t xml:space="preserve">-on-quantile analysis of the crude oil and carbon markets. </w:t>
      </w:r>
      <w:proofErr w:type="spellStart"/>
      <w:r>
        <w:rPr>
          <w:sz w:val="18"/>
        </w:rPr>
        <w:t>Appl</w:t>
      </w:r>
      <w:proofErr w:type="spellEnd"/>
      <w:r>
        <w:rPr>
          <w:sz w:val="18"/>
        </w:rPr>
        <w:t xml:space="preserve"> Econ 2022a; 54: 4465</w:t>
      </w:r>
      <w:r>
        <w:rPr>
          <w:rFonts w:ascii="Calibri" w:eastAsia="Calibri" w:hAnsi="Calibri" w:cs="Calibri"/>
          <w:sz w:val="18"/>
        </w:rPr>
        <w:t>–</w:t>
      </w:r>
      <w:r>
        <w:rPr>
          <w:sz w:val="18"/>
        </w:rPr>
        <w:t>4485.</w:t>
      </w:r>
    </w:p>
    <w:p w14:paraId="79D982B1" w14:textId="77777777" w:rsidR="001F2A0B" w:rsidRDefault="00BC538D">
      <w:pPr>
        <w:numPr>
          <w:ilvl w:val="0"/>
          <w:numId w:val="2"/>
        </w:numPr>
        <w:spacing w:after="5" w:line="298" w:lineRule="auto"/>
        <w:ind w:right="0" w:hanging="324"/>
      </w:pPr>
      <w:r>
        <w:rPr>
          <w:sz w:val="18"/>
        </w:rPr>
        <w:t xml:space="preserve">Wei P, Qi Y, Ren X, Duan K, et al. Does economic policy uncertainty affect green bond </w:t>
      </w:r>
      <w:proofErr w:type="spellStart"/>
      <w:proofErr w:type="gramStart"/>
      <w:r>
        <w:rPr>
          <w:sz w:val="18"/>
        </w:rPr>
        <w:t>markets?Evidence</w:t>
      </w:r>
      <w:proofErr w:type="spellEnd"/>
      <w:proofErr w:type="gramEnd"/>
      <w:r>
        <w:rPr>
          <w:sz w:val="18"/>
        </w:rPr>
        <w:t xml:space="preserve"> from wavelet-based quantile analysis. </w:t>
      </w:r>
      <w:proofErr w:type="spellStart"/>
      <w:r>
        <w:rPr>
          <w:sz w:val="18"/>
        </w:rPr>
        <w:t>Emerg</w:t>
      </w:r>
      <w:proofErr w:type="spellEnd"/>
      <w:r>
        <w:rPr>
          <w:sz w:val="18"/>
        </w:rPr>
        <w:t xml:space="preserve"> Mark </w:t>
      </w:r>
      <w:proofErr w:type="spellStart"/>
      <w:r>
        <w:rPr>
          <w:sz w:val="18"/>
        </w:rPr>
        <w:t>Financ</w:t>
      </w:r>
      <w:proofErr w:type="spellEnd"/>
      <w:r>
        <w:rPr>
          <w:sz w:val="18"/>
        </w:rPr>
        <w:t xml:space="preserve"> Trade 2022; 58(15): 4375</w:t>
      </w:r>
      <w:r>
        <w:rPr>
          <w:rFonts w:ascii="Calibri" w:eastAsia="Calibri" w:hAnsi="Calibri" w:cs="Calibri"/>
          <w:sz w:val="18"/>
        </w:rPr>
        <w:t>–</w:t>
      </w:r>
      <w:r>
        <w:rPr>
          <w:sz w:val="18"/>
        </w:rPr>
        <w:t>4388.</w:t>
      </w:r>
    </w:p>
    <w:p w14:paraId="2877B8DD" w14:textId="77777777" w:rsidR="001F2A0B" w:rsidRDefault="00BC538D">
      <w:pPr>
        <w:numPr>
          <w:ilvl w:val="0"/>
          <w:numId w:val="2"/>
        </w:numPr>
        <w:spacing w:after="5" w:line="298" w:lineRule="auto"/>
        <w:ind w:right="0" w:hanging="324"/>
      </w:pPr>
      <w:r>
        <w:rPr>
          <w:sz w:val="18"/>
        </w:rPr>
        <w:t xml:space="preserve">Yu L, Li J and Tang L. Dynamic volatility spillover effect analysis between carbon market and crude </w:t>
      </w:r>
      <w:proofErr w:type="spellStart"/>
      <w:r>
        <w:rPr>
          <w:sz w:val="18"/>
        </w:rPr>
        <w:t>oilmarket</w:t>
      </w:r>
      <w:proofErr w:type="spellEnd"/>
      <w:r>
        <w:rPr>
          <w:sz w:val="18"/>
        </w:rPr>
        <w:t>: a DCC-ICSS approach. Int J Glob Energy Issues 2015a; 38: 242</w:t>
      </w:r>
      <w:r>
        <w:rPr>
          <w:rFonts w:ascii="Calibri" w:eastAsia="Calibri" w:hAnsi="Calibri" w:cs="Calibri"/>
          <w:sz w:val="18"/>
        </w:rPr>
        <w:t>–</w:t>
      </w:r>
      <w:r>
        <w:rPr>
          <w:sz w:val="18"/>
        </w:rPr>
        <w:t>256.</w:t>
      </w:r>
    </w:p>
    <w:p w14:paraId="13FBB3CE" w14:textId="77777777" w:rsidR="001F2A0B" w:rsidRDefault="00BC538D">
      <w:pPr>
        <w:numPr>
          <w:ilvl w:val="0"/>
          <w:numId w:val="2"/>
        </w:numPr>
        <w:spacing w:after="5" w:line="298" w:lineRule="auto"/>
        <w:ind w:right="0" w:hanging="324"/>
      </w:pPr>
      <w:r>
        <w:rPr>
          <w:sz w:val="18"/>
        </w:rPr>
        <w:t xml:space="preserve">Chen J, Wang Y and Ren X. Asymmetric effects of non-ferrous metal price shocks on clean energy stocks: evidence from a quantile-on-quantile method. </w:t>
      </w:r>
      <w:proofErr w:type="spellStart"/>
      <w:r>
        <w:rPr>
          <w:sz w:val="18"/>
        </w:rPr>
        <w:t>Resour</w:t>
      </w:r>
      <w:proofErr w:type="spellEnd"/>
      <w:r>
        <w:rPr>
          <w:sz w:val="18"/>
        </w:rPr>
        <w:t xml:space="preserve"> Policy 2022; 78: 102796.</w:t>
      </w:r>
    </w:p>
    <w:p w14:paraId="3A2D9E2F" w14:textId="77777777" w:rsidR="001F2A0B" w:rsidRDefault="00BC538D">
      <w:pPr>
        <w:numPr>
          <w:ilvl w:val="0"/>
          <w:numId w:val="2"/>
        </w:numPr>
        <w:spacing w:after="5" w:line="298" w:lineRule="auto"/>
        <w:ind w:right="0" w:hanging="324"/>
      </w:pPr>
      <w:r>
        <w:rPr>
          <w:sz w:val="18"/>
        </w:rPr>
        <w:t>Daskalakis G and Markellos RN. Are the European carbon markets ef</w:t>
      </w:r>
      <w:r>
        <w:rPr>
          <w:rFonts w:ascii="Calibri" w:eastAsia="Calibri" w:hAnsi="Calibri" w:cs="Calibri"/>
          <w:sz w:val="18"/>
        </w:rPr>
        <w:t>fi</w:t>
      </w:r>
      <w:r>
        <w:rPr>
          <w:sz w:val="18"/>
        </w:rPr>
        <w:t>cient. Rev Futures Mark 2008; 17: 103</w:t>
      </w:r>
      <w:r>
        <w:rPr>
          <w:rFonts w:ascii="Calibri" w:eastAsia="Calibri" w:hAnsi="Calibri" w:cs="Calibri"/>
          <w:sz w:val="18"/>
        </w:rPr>
        <w:t>–</w:t>
      </w:r>
      <w:r>
        <w:rPr>
          <w:sz w:val="18"/>
        </w:rPr>
        <w:t>128.</w:t>
      </w:r>
    </w:p>
    <w:p w14:paraId="031A3B55" w14:textId="77777777" w:rsidR="001F2A0B" w:rsidRDefault="00BC538D">
      <w:pPr>
        <w:numPr>
          <w:ilvl w:val="0"/>
          <w:numId w:val="2"/>
        </w:numPr>
        <w:spacing w:after="5" w:line="298" w:lineRule="auto"/>
        <w:ind w:right="0" w:hanging="324"/>
      </w:pPr>
      <w:r>
        <w:rPr>
          <w:sz w:val="18"/>
        </w:rPr>
        <w:t>Duan K, Li Z, Urquhart A, Ye J, et al. Dynamic ef</w:t>
      </w:r>
      <w:r>
        <w:rPr>
          <w:rFonts w:ascii="Calibri" w:eastAsia="Calibri" w:hAnsi="Calibri" w:cs="Calibri"/>
          <w:sz w:val="18"/>
        </w:rPr>
        <w:t>fi</w:t>
      </w:r>
      <w:r>
        <w:rPr>
          <w:sz w:val="18"/>
        </w:rPr>
        <w:t xml:space="preserve">ciency and arbitrage potential in bitcoin: a </w:t>
      </w:r>
      <w:proofErr w:type="spellStart"/>
      <w:r>
        <w:rPr>
          <w:sz w:val="18"/>
        </w:rPr>
        <w:t>longmemory</w:t>
      </w:r>
      <w:proofErr w:type="spellEnd"/>
      <w:r>
        <w:rPr>
          <w:sz w:val="18"/>
        </w:rPr>
        <w:t xml:space="preserve"> approach. Int Rev </w:t>
      </w:r>
      <w:proofErr w:type="spellStart"/>
      <w:r>
        <w:rPr>
          <w:sz w:val="18"/>
        </w:rPr>
        <w:t>Financ</w:t>
      </w:r>
      <w:proofErr w:type="spellEnd"/>
      <w:r>
        <w:rPr>
          <w:sz w:val="18"/>
        </w:rPr>
        <w:t xml:space="preserve"> Anal 2021a; 75: 101725.</w:t>
      </w:r>
    </w:p>
    <w:p w14:paraId="2062DF95" w14:textId="77777777" w:rsidR="001F2A0B" w:rsidRDefault="00BC538D">
      <w:pPr>
        <w:numPr>
          <w:ilvl w:val="0"/>
          <w:numId w:val="2"/>
        </w:numPr>
        <w:spacing w:after="5" w:line="298" w:lineRule="auto"/>
        <w:ind w:right="0" w:hanging="324"/>
      </w:pPr>
      <w:proofErr w:type="spellStart"/>
      <w:r>
        <w:rPr>
          <w:sz w:val="18"/>
        </w:rPr>
        <w:t>Hammoudeh</w:t>
      </w:r>
      <w:proofErr w:type="spellEnd"/>
      <w:r>
        <w:rPr>
          <w:sz w:val="18"/>
        </w:rPr>
        <w:t xml:space="preserve"> S, Nguyen DK and Sousa RM. Energy prices and CO2 emission allowance prices: a </w:t>
      </w:r>
      <w:proofErr w:type="spellStart"/>
      <w:r>
        <w:rPr>
          <w:sz w:val="18"/>
        </w:rPr>
        <w:t>quantileregression</w:t>
      </w:r>
      <w:proofErr w:type="spellEnd"/>
      <w:r>
        <w:rPr>
          <w:sz w:val="18"/>
        </w:rPr>
        <w:t xml:space="preserve"> approach. </w:t>
      </w:r>
      <w:proofErr w:type="spellStart"/>
      <w:r>
        <w:rPr>
          <w:sz w:val="18"/>
        </w:rPr>
        <w:t>Energ</w:t>
      </w:r>
      <w:proofErr w:type="spellEnd"/>
      <w:r>
        <w:rPr>
          <w:sz w:val="18"/>
        </w:rPr>
        <w:t xml:space="preserve"> Policy 2014; 70: 201</w:t>
      </w:r>
      <w:r>
        <w:rPr>
          <w:rFonts w:ascii="Calibri" w:eastAsia="Calibri" w:hAnsi="Calibri" w:cs="Calibri"/>
          <w:sz w:val="18"/>
        </w:rPr>
        <w:t>–</w:t>
      </w:r>
      <w:r>
        <w:rPr>
          <w:sz w:val="18"/>
        </w:rPr>
        <w:t>206.</w:t>
      </w:r>
    </w:p>
    <w:p w14:paraId="0C281759" w14:textId="77777777" w:rsidR="001F2A0B" w:rsidRDefault="00BC538D">
      <w:pPr>
        <w:numPr>
          <w:ilvl w:val="0"/>
          <w:numId w:val="2"/>
        </w:numPr>
        <w:spacing w:after="5" w:line="298" w:lineRule="auto"/>
        <w:ind w:right="0" w:hanging="324"/>
      </w:pPr>
      <w:r>
        <w:rPr>
          <w:sz w:val="18"/>
        </w:rPr>
        <w:t xml:space="preserve">Ren X, Duan K, Tao L, Shi Y, Yan C, et al. Carbon prices forecasting in quantiles. </w:t>
      </w:r>
      <w:proofErr w:type="spellStart"/>
      <w:r>
        <w:rPr>
          <w:sz w:val="18"/>
        </w:rPr>
        <w:t>Energ</w:t>
      </w:r>
      <w:proofErr w:type="spellEnd"/>
      <w:r>
        <w:rPr>
          <w:sz w:val="18"/>
        </w:rPr>
        <w:t xml:space="preserve"> Econ 2022b; 108: 105862.</w:t>
      </w:r>
    </w:p>
    <w:p w14:paraId="79146EFF" w14:textId="77777777" w:rsidR="001F2A0B" w:rsidRDefault="00BC538D">
      <w:pPr>
        <w:numPr>
          <w:ilvl w:val="0"/>
          <w:numId w:val="2"/>
        </w:numPr>
        <w:spacing w:after="5" w:line="298" w:lineRule="auto"/>
        <w:ind w:right="0" w:hanging="324"/>
      </w:pPr>
      <w:r>
        <w:rPr>
          <w:sz w:val="18"/>
        </w:rPr>
        <w:t xml:space="preserve">Duan K, Ren X, Shi Y, Mishra T, Yan C, et al. The marginal impacts of energy prices on carbon </w:t>
      </w:r>
      <w:proofErr w:type="spellStart"/>
      <w:r>
        <w:rPr>
          <w:sz w:val="18"/>
        </w:rPr>
        <w:t>pricevariations</w:t>
      </w:r>
      <w:proofErr w:type="spellEnd"/>
      <w:r>
        <w:rPr>
          <w:sz w:val="18"/>
        </w:rPr>
        <w:t xml:space="preserve">: evidence from a quantile-on-quantile approach. </w:t>
      </w:r>
      <w:proofErr w:type="spellStart"/>
      <w:r>
        <w:rPr>
          <w:sz w:val="18"/>
        </w:rPr>
        <w:t>Energ</w:t>
      </w:r>
      <w:proofErr w:type="spellEnd"/>
      <w:r>
        <w:rPr>
          <w:sz w:val="18"/>
        </w:rPr>
        <w:t xml:space="preserve"> Econ 2021b; 95: 105131.</w:t>
      </w:r>
    </w:p>
    <w:p w14:paraId="1FF31949" w14:textId="77777777" w:rsidR="001F2A0B" w:rsidRDefault="00BC538D">
      <w:pPr>
        <w:numPr>
          <w:ilvl w:val="0"/>
          <w:numId w:val="2"/>
        </w:numPr>
        <w:spacing w:after="5" w:line="298" w:lineRule="auto"/>
        <w:ind w:right="0" w:hanging="324"/>
      </w:pPr>
      <w:r>
        <w:rPr>
          <w:sz w:val="18"/>
        </w:rPr>
        <w:t xml:space="preserve">Zhang YJ and Sun YF. The dynamic volatility spillover between European carbon trading market </w:t>
      </w:r>
      <w:proofErr w:type="spellStart"/>
      <w:r>
        <w:rPr>
          <w:sz w:val="18"/>
        </w:rPr>
        <w:t>andfossil</w:t>
      </w:r>
      <w:proofErr w:type="spellEnd"/>
      <w:r>
        <w:rPr>
          <w:sz w:val="18"/>
        </w:rPr>
        <w:t xml:space="preserve"> energy market. J Clean Prod 2016; 112: 2654</w:t>
      </w:r>
      <w:r>
        <w:rPr>
          <w:rFonts w:ascii="Calibri" w:eastAsia="Calibri" w:hAnsi="Calibri" w:cs="Calibri"/>
          <w:sz w:val="18"/>
        </w:rPr>
        <w:t>–</w:t>
      </w:r>
      <w:r>
        <w:rPr>
          <w:sz w:val="18"/>
        </w:rPr>
        <w:t>2663.</w:t>
      </w:r>
    </w:p>
    <w:p w14:paraId="4C1DC7AE" w14:textId="77777777" w:rsidR="001F2A0B" w:rsidRDefault="00BC538D">
      <w:pPr>
        <w:numPr>
          <w:ilvl w:val="0"/>
          <w:numId w:val="2"/>
        </w:numPr>
        <w:spacing w:after="28" w:line="298" w:lineRule="auto"/>
        <w:ind w:right="0" w:hanging="324"/>
      </w:pPr>
      <w:r>
        <w:rPr>
          <w:sz w:val="18"/>
        </w:rPr>
        <w:t xml:space="preserve">Subramaniam N, </w:t>
      </w:r>
      <w:proofErr w:type="spellStart"/>
      <w:r>
        <w:rPr>
          <w:sz w:val="18"/>
        </w:rPr>
        <w:t>Wahyuni</w:t>
      </w:r>
      <w:proofErr w:type="spellEnd"/>
      <w:r>
        <w:rPr>
          <w:sz w:val="18"/>
        </w:rPr>
        <w:t xml:space="preserve"> D, Cooper BJ, Leung P, Wines G, et al. Integration of carbon risks and opportunities in enterprise risk management systems: evidence from Australian </w:t>
      </w:r>
      <w:r>
        <w:rPr>
          <w:rFonts w:ascii="Calibri" w:eastAsia="Calibri" w:hAnsi="Calibri" w:cs="Calibri"/>
          <w:sz w:val="18"/>
        </w:rPr>
        <w:t>fi</w:t>
      </w:r>
      <w:r>
        <w:rPr>
          <w:sz w:val="18"/>
        </w:rPr>
        <w:t>rms. J Clean Prod 2015; 96: 407</w:t>
      </w:r>
      <w:r>
        <w:rPr>
          <w:rFonts w:ascii="Calibri" w:eastAsia="Calibri" w:hAnsi="Calibri" w:cs="Calibri"/>
          <w:sz w:val="18"/>
        </w:rPr>
        <w:t>–</w:t>
      </w:r>
      <w:r>
        <w:rPr>
          <w:sz w:val="18"/>
        </w:rPr>
        <w:t>417.</w:t>
      </w:r>
    </w:p>
    <w:p w14:paraId="2D8246F6" w14:textId="77777777" w:rsidR="001F2A0B" w:rsidRDefault="00BC538D">
      <w:pPr>
        <w:numPr>
          <w:ilvl w:val="0"/>
          <w:numId w:val="2"/>
        </w:numPr>
        <w:spacing w:after="5" w:line="298" w:lineRule="auto"/>
        <w:ind w:right="0" w:hanging="324"/>
      </w:pPr>
      <w:r>
        <w:rPr>
          <w:sz w:val="18"/>
        </w:rPr>
        <w:t>Fan JH and Todorova N. Dynamics of China</w:t>
      </w:r>
      <w:r>
        <w:rPr>
          <w:rFonts w:ascii="Calibri" w:eastAsia="Calibri" w:hAnsi="Calibri" w:cs="Calibri"/>
          <w:sz w:val="18"/>
        </w:rPr>
        <w:t>’</w:t>
      </w:r>
      <w:r>
        <w:rPr>
          <w:sz w:val="18"/>
        </w:rPr>
        <w:t xml:space="preserve">s carbon prices in the pilot trading phase. </w:t>
      </w:r>
      <w:proofErr w:type="spellStart"/>
      <w:r>
        <w:rPr>
          <w:sz w:val="18"/>
        </w:rPr>
        <w:t>Appl</w:t>
      </w:r>
      <w:proofErr w:type="spellEnd"/>
      <w:r>
        <w:rPr>
          <w:sz w:val="18"/>
        </w:rPr>
        <w:t xml:space="preserve"> Energy 2017; 208: 1452</w:t>
      </w:r>
      <w:r>
        <w:rPr>
          <w:rFonts w:ascii="Calibri" w:eastAsia="Calibri" w:hAnsi="Calibri" w:cs="Calibri"/>
          <w:sz w:val="18"/>
        </w:rPr>
        <w:t>–</w:t>
      </w:r>
      <w:r>
        <w:rPr>
          <w:sz w:val="18"/>
        </w:rPr>
        <w:t>1467.</w:t>
      </w:r>
    </w:p>
    <w:p w14:paraId="79E922A8" w14:textId="77777777" w:rsidR="001F2A0B" w:rsidRDefault="00BC538D">
      <w:pPr>
        <w:numPr>
          <w:ilvl w:val="0"/>
          <w:numId w:val="2"/>
        </w:numPr>
        <w:spacing w:after="5" w:line="298" w:lineRule="auto"/>
        <w:ind w:right="0" w:hanging="324"/>
      </w:pPr>
      <w:proofErr w:type="spellStart"/>
      <w:r>
        <w:rPr>
          <w:sz w:val="18"/>
        </w:rPr>
        <w:t>Fama</w:t>
      </w:r>
      <w:proofErr w:type="spellEnd"/>
      <w:r>
        <w:rPr>
          <w:sz w:val="18"/>
        </w:rPr>
        <w:t xml:space="preserve"> EF. Ef</w:t>
      </w:r>
      <w:r>
        <w:rPr>
          <w:rFonts w:ascii="Calibri" w:eastAsia="Calibri" w:hAnsi="Calibri" w:cs="Calibri"/>
          <w:sz w:val="18"/>
        </w:rPr>
        <w:t>fi</w:t>
      </w:r>
      <w:r>
        <w:rPr>
          <w:sz w:val="18"/>
        </w:rPr>
        <w:t>cient capital markets: a review of theory and empirical work. J Finance 1970; 25: 383</w:t>
      </w:r>
      <w:r>
        <w:rPr>
          <w:rFonts w:ascii="Calibri" w:eastAsia="Calibri" w:hAnsi="Calibri" w:cs="Calibri"/>
          <w:sz w:val="18"/>
        </w:rPr>
        <w:t>–</w:t>
      </w:r>
      <w:r>
        <w:rPr>
          <w:sz w:val="18"/>
        </w:rPr>
        <w:t xml:space="preserve">417 </w:t>
      </w:r>
      <w:hyperlink r:id="rId26">
        <w:r>
          <w:rPr>
            <w:sz w:val="18"/>
          </w:rPr>
          <w:t>10.1111/j.1540-6261.1970.tb00518.x.</w:t>
        </w:r>
      </w:hyperlink>
      <w:r>
        <w:rPr>
          <w:sz w:val="18"/>
        </w:rPr>
        <w:t xml:space="preserve"> </w:t>
      </w:r>
      <w:hyperlink r:id="rId27">
        <w:r>
          <w:rPr>
            <w:sz w:val="18"/>
          </w:rPr>
          <w:t xml:space="preserve">http://arxiv.org/abs/https://onlinelibrary.wiley.com/doi/pdf/10. </w:t>
        </w:r>
      </w:hyperlink>
      <w:hyperlink r:id="rId28">
        <w:r>
          <w:rPr>
            <w:sz w:val="18"/>
          </w:rPr>
          <w:t>1111/j.1540-</w:t>
        </w:r>
        <w:proofErr w:type="gramStart"/>
        <w:r>
          <w:rPr>
            <w:sz w:val="18"/>
          </w:rPr>
          <w:t>6261.1970.tb</w:t>
        </w:r>
        <w:proofErr w:type="gramEnd"/>
        <w:r>
          <w:rPr>
            <w:sz w:val="18"/>
          </w:rPr>
          <w:t>00518.x</w:t>
        </w:r>
      </w:hyperlink>
      <w:r>
        <w:rPr>
          <w:sz w:val="18"/>
        </w:rPr>
        <w:t>.</w:t>
      </w:r>
    </w:p>
    <w:p w14:paraId="7FE37852" w14:textId="77777777" w:rsidR="001F2A0B" w:rsidRDefault="00BC538D">
      <w:pPr>
        <w:numPr>
          <w:ilvl w:val="0"/>
          <w:numId w:val="2"/>
        </w:numPr>
        <w:spacing w:after="27" w:line="298" w:lineRule="auto"/>
        <w:ind w:right="0" w:hanging="324"/>
      </w:pPr>
      <w:r>
        <w:rPr>
          <w:sz w:val="18"/>
        </w:rPr>
        <w:t xml:space="preserve">Daskalakis G, </w:t>
      </w:r>
      <w:proofErr w:type="spellStart"/>
      <w:r>
        <w:rPr>
          <w:sz w:val="18"/>
        </w:rPr>
        <w:t>Psychoyios</w:t>
      </w:r>
      <w:proofErr w:type="spellEnd"/>
      <w:r>
        <w:rPr>
          <w:sz w:val="18"/>
        </w:rPr>
        <w:t xml:space="preserve"> D and Markellos RN. </w:t>
      </w:r>
      <w:proofErr w:type="spellStart"/>
      <w:r>
        <w:rPr>
          <w:sz w:val="18"/>
        </w:rPr>
        <w:t>Modeling</w:t>
      </w:r>
      <w:proofErr w:type="spellEnd"/>
      <w:r>
        <w:rPr>
          <w:sz w:val="18"/>
        </w:rPr>
        <w:t xml:space="preserve"> CO2 emission allowance prices and derivatives: evidence from the European trading scheme. J Bank </w:t>
      </w:r>
      <w:proofErr w:type="spellStart"/>
      <w:r>
        <w:rPr>
          <w:sz w:val="18"/>
        </w:rPr>
        <w:t>Financ</w:t>
      </w:r>
      <w:proofErr w:type="spellEnd"/>
      <w:r>
        <w:rPr>
          <w:sz w:val="18"/>
        </w:rPr>
        <w:t xml:space="preserve"> 2009; 33: 1230</w:t>
      </w:r>
      <w:r>
        <w:rPr>
          <w:rFonts w:ascii="Calibri" w:eastAsia="Calibri" w:hAnsi="Calibri" w:cs="Calibri"/>
          <w:sz w:val="18"/>
        </w:rPr>
        <w:t>–</w:t>
      </w:r>
      <w:r>
        <w:rPr>
          <w:sz w:val="18"/>
        </w:rPr>
        <w:t>1241.</w:t>
      </w:r>
    </w:p>
    <w:p w14:paraId="548BD434" w14:textId="77777777" w:rsidR="001F2A0B" w:rsidRDefault="00BC538D">
      <w:pPr>
        <w:numPr>
          <w:ilvl w:val="0"/>
          <w:numId w:val="2"/>
        </w:numPr>
        <w:spacing w:after="5" w:line="298" w:lineRule="auto"/>
        <w:ind w:right="0" w:hanging="324"/>
      </w:pPr>
      <w:r>
        <w:rPr>
          <w:sz w:val="18"/>
        </w:rPr>
        <w:t>Wu L and Chen S. Long memory and ef</w:t>
      </w:r>
      <w:r>
        <w:rPr>
          <w:rFonts w:ascii="Calibri" w:eastAsia="Calibri" w:hAnsi="Calibri" w:cs="Calibri"/>
          <w:sz w:val="18"/>
        </w:rPr>
        <w:t>fi</w:t>
      </w:r>
      <w:r>
        <w:rPr>
          <w:sz w:val="18"/>
        </w:rPr>
        <w:t xml:space="preserve">ciency of bitcoin under heavy tails. </w:t>
      </w:r>
      <w:proofErr w:type="spellStart"/>
      <w:r>
        <w:rPr>
          <w:sz w:val="18"/>
        </w:rPr>
        <w:t>Appl</w:t>
      </w:r>
      <w:proofErr w:type="spellEnd"/>
      <w:r>
        <w:rPr>
          <w:sz w:val="18"/>
        </w:rPr>
        <w:t xml:space="preserve"> Econ 2020; 52: 5298</w:t>
      </w:r>
      <w:r>
        <w:rPr>
          <w:rFonts w:ascii="Calibri" w:eastAsia="Calibri" w:hAnsi="Calibri" w:cs="Calibri"/>
          <w:sz w:val="18"/>
        </w:rPr>
        <w:t xml:space="preserve">– </w:t>
      </w:r>
      <w:r>
        <w:rPr>
          <w:sz w:val="18"/>
        </w:rPr>
        <w:t>5309.</w:t>
      </w:r>
    </w:p>
    <w:p w14:paraId="1358B6D2" w14:textId="77777777" w:rsidR="001F2A0B" w:rsidRDefault="00BC538D">
      <w:pPr>
        <w:numPr>
          <w:ilvl w:val="0"/>
          <w:numId w:val="2"/>
        </w:numPr>
        <w:spacing w:after="5" w:line="298" w:lineRule="auto"/>
        <w:ind w:right="0" w:hanging="324"/>
      </w:pPr>
      <w:r>
        <w:rPr>
          <w:sz w:val="18"/>
        </w:rPr>
        <w:t>Fan X, Lv X, Yin J, Tian L, Liang J, et al. Multifractality and market ef</w:t>
      </w:r>
      <w:r>
        <w:rPr>
          <w:rFonts w:ascii="Calibri" w:eastAsia="Calibri" w:hAnsi="Calibri" w:cs="Calibri"/>
          <w:sz w:val="18"/>
        </w:rPr>
        <w:t>fi</w:t>
      </w:r>
      <w:r>
        <w:rPr>
          <w:sz w:val="18"/>
        </w:rPr>
        <w:t xml:space="preserve">ciency of carbon emission trading market: analysis using the multifractal detrended </w:t>
      </w:r>
      <w:r>
        <w:rPr>
          <w:rFonts w:ascii="Calibri" w:eastAsia="Calibri" w:hAnsi="Calibri" w:cs="Calibri"/>
          <w:sz w:val="18"/>
        </w:rPr>
        <w:t>fl</w:t>
      </w:r>
      <w:r>
        <w:rPr>
          <w:sz w:val="18"/>
        </w:rPr>
        <w:t xml:space="preserve">uctuation technique. </w:t>
      </w:r>
      <w:proofErr w:type="spellStart"/>
      <w:r>
        <w:rPr>
          <w:sz w:val="18"/>
        </w:rPr>
        <w:t>Appl</w:t>
      </w:r>
      <w:proofErr w:type="spellEnd"/>
      <w:r>
        <w:rPr>
          <w:sz w:val="18"/>
        </w:rPr>
        <w:t xml:space="preserve"> Energy 2019; 251: 113333. 17. </w:t>
      </w:r>
      <w:proofErr w:type="spellStart"/>
      <w:r>
        <w:rPr>
          <w:sz w:val="18"/>
        </w:rPr>
        <w:t>Shimotsu</w:t>
      </w:r>
      <w:proofErr w:type="spellEnd"/>
      <w:r>
        <w:rPr>
          <w:sz w:val="18"/>
        </w:rPr>
        <w:t xml:space="preserve"> K. Exact local Whittle estimation of fractional integration with unknown mean and time trend. Econ Theory 2010; 26: 501</w:t>
      </w:r>
      <w:r>
        <w:rPr>
          <w:rFonts w:ascii="Calibri" w:eastAsia="Calibri" w:hAnsi="Calibri" w:cs="Calibri"/>
          <w:sz w:val="18"/>
        </w:rPr>
        <w:t>–</w:t>
      </w:r>
      <w:r>
        <w:rPr>
          <w:sz w:val="18"/>
        </w:rPr>
        <w:t>540.</w:t>
      </w:r>
    </w:p>
    <w:p w14:paraId="4D6A474B" w14:textId="77777777" w:rsidR="001F2A0B" w:rsidRDefault="00BC538D">
      <w:pPr>
        <w:numPr>
          <w:ilvl w:val="0"/>
          <w:numId w:val="3"/>
        </w:numPr>
        <w:spacing w:after="5" w:line="298" w:lineRule="auto"/>
        <w:ind w:right="0" w:hanging="324"/>
      </w:pPr>
      <w:proofErr w:type="spellStart"/>
      <w:r>
        <w:rPr>
          <w:sz w:val="18"/>
        </w:rPr>
        <w:t>Jeong</w:t>
      </w:r>
      <w:proofErr w:type="spellEnd"/>
      <w:r>
        <w:rPr>
          <w:sz w:val="18"/>
        </w:rPr>
        <w:t xml:space="preserve"> K, </w:t>
      </w:r>
      <w:proofErr w:type="spellStart"/>
      <w:r>
        <w:rPr>
          <w:sz w:val="18"/>
        </w:rPr>
        <w:t>Härdle</w:t>
      </w:r>
      <w:proofErr w:type="spellEnd"/>
      <w:r>
        <w:rPr>
          <w:sz w:val="18"/>
        </w:rPr>
        <w:t xml:space="preserve"> WK and Song S. A consistent nonparametric test for causality in quantile. Econ Theory 2012; 28: 861</w:t>
      </w:r>
      <w:r>
        <w:rPr>
          <w:rFonts w:ascii="Calibri" w:eastAsia="Calibri" w:hAnsi="Calibri" w:cs="Calibri"/>
          <w:sz w:val="18"/>
        </w:rPr>
        <w:t>–</w:t>
      </w:r>
      <w:r>
        <w:rPr>
          <w:sz w:val="18"/>
        </w:rPr>
        <w:t xml:space="preserve">887 </w:t>
      </w:r>
      <w:hyperlink r:id="rId29">
        <w:r>
          <w:rPr>
            <w:sz w:val="18"/>
          </w:rPr>
          <w:t>10.1017/s0266466611000685</w:t>
        </w:r>
      </w:hyperlink>
      <w:r>
        <w:rPr>
          <w:sz w:val="18"/>
        </w:rPr>
        <w:t>.</w:t>
      </w:r>
    </w:p>
    <w:p w14:paraId="013DDA26" w14:textId="77777777" w:rsidR="001F2A0B" w:rsidRDefault="00BC538D">
      <w:pPr>
        <w:numPr>
          <w:ilvl w:val="0"/>
          <w:numId w:val="3"/>
        </w:numPr>
        <w:spacing w:after="5" w:line="298" w:lineRule="auto"/>
        <w:ind w:right="0" w:hanging="324"/>
      </w:pPr>
      <w:r>
        <w:rPr>
          <w:sz w:val="18"/>
        </w:rPr>
        <w:lastRenderedPageBreak/>
        <w:t xml:space="preserve">Zhang YJ and Wei YM. An overview of current research on EU ETS: evidence from its operating mechanism and economic effect. </w:t>
      </w:r>
      <w:proofErr w:type="spellStart"/>
      <w:r>
        <w:rPr>
          <w:sz w:val="18"/>
        </w:rPr>
        <w:t>Appl</w:t>
      </w:r>
      <w:proofErr w:type="spellEnd"/>
      <w:r>
        <w:rPr>
          <w:sz w:val="18"/>
        </w:rPr>
        <w:t xml:space="preserve"> Energy 2010; 87: 1804</w:t>
      </w:r>
      <w:r>
        <w:rPr>
          <w:rFonts w:ascii="Calibri" w:eastAsia="Calibri" w:hAnsi="Calibri" w:cs="Calibri"/>
          <w:sz w:val="18"/>
        </w:rPr>
        <w:t>–</w:t>
      </w:r>
      <w:r>
        <w:rPr>
          <w:sz w:val="18"/>
        </w:rPr>
        <w:t>1814.</w:t>
      </w:r>
    </w:p>
    <w:p w14:paraId="3CE68560" w14:textId="77777777" w:rsidR="001F2A0B" w:rsidRDefault="00BC538D">
      <w:pPr>
        <w:numPr>
          <w:ilvl w:val="0"/>
          <w:numId w:val="3"/>
        </w:numPr>
        <w:spacing w:after="5" w:line="298" w:lineRule="auto"/>
        <w:ind w:right="0" w:hanging="324"/>
      </w:pPr>
      <w:proofErr w:type="spellStart"/>
      <w:r>
        <w:rPr>
          <w:sz w:val="18"/>
        </w:rPr>
        <w:t>Creti</w:t>
      </w:r>
      <w:proofErr w:type="spellEnd"/>
      <w:r>
        <w:rPr>
          <w:sz w:val="18"/>
        </w:rPr>
        <w:t xml:space="preserve"> A, </w:t>
      </w:r>
      <w:proofErr w:type="spellStart"/>
      <w:r>
        <w:rPr>
          <w:sz w:val="18"/>
        </w:rPr>
        <w:t>Jouvet</w:t>
      </w:r>
      <w:proofErr w:type="spellEnd"/>
      <w:r>
        <w:rPr>
          <w:sz w:val="18"/>
        </w:rPr>
        <w:t xml:space="preserve"> PA and Mignon V. Carbon price drivers: phase I versus phase II equilibrium? Energy Econ 2012; 34: 327</w:t>
      </w:r>
      <w:r>
        <w:rPr>
          <w:rFonts w:ascii="Calibri" w:eastAsia="Calibri" w:hAnsi="Calibri" w:cs="Calibri"/>
          <w:sz w:val="18"/>
        </w:rPr>
        <w:t>–</w:t>
      </w:r>
      <w:r>
        <w:rPr>
          <w:sz w:val="18"/>
        </w:rPr>
        <w:t>334.</w:t>
      </w:r>
    </w:p>
    <w:p w14:paraId="729775BC" w14:textId="77777777" w:rsidR="001F2A0B" w:rsidRDefault="00BC538D">
      <w:pPr>
        <w:numPr>
          <w:ilvl w:val="0"/>
          <w:numId w:val="3"/>
        </w:numPr>
        <w:spacing w:after="5" w:line="298" w:lineRule="auto"/>
        <w:ind w:right="0" w:hanging="324"/>
      </w:pPr>
      <w:r>
        <w:rPr>
          <w:sz w:val="18"/>
        </w:rPr>
        <w:t xml:space="preserve">Yu L, Li J, Tang L, Wang S, et al. Linear and nonlinear Granger causality investigation between </w:t>
      </w:r>
      <w:proofErr w:type="spellStart"/>
      <w:r>
        <w:rPr>
          <w:sz w:val="18"/>
        </w:rPr>
        <w:t>carbonmarket</w:t>
      </w:r>
      <w:proofErr w:type="spellEnd"/>
      <w:r>
        <w:rPr>
          <w:sz w:val="18"/>
        </w:rPr>
        <w:t xml:space="preserve"> and crude oil market: a multi-scale approach. Energy Econ 2015b; 51: 300</w:t>
      </w:r>
      <w:r>
        <w:rPr>
          <w:rFonts w:ascii="Calibri" w:eastAsia="Calibri" w:hAnsi="Calibri" w:cs="Calibri"/>
          <w:sz w:val="18"/>
        </w:rPr>
        <w:t>–</w:t>
      </w:r>
      <w:r>
        <w:rPr>
          <w:sz w:val="18"/>
        </w:rPr>
        <w:t>311.</w:t>
      </w:r>
    </w:p>
    <w:p w14:paraId="378CAC00" w14:textId="77777777" w:rsidR="001F2A0B" w:rsidRDefault="00BC538D">
      <w:pPr>
        <w:numPr>
          <w:ilvl w:val="0"/>
          <w:numId w:val="3"/>
        </w:numPr>
        <w:spacing w:after="5" w:line="298" w:lineRule="auto"/>
        <w:ind w:right="0" w:hanging="324"/>
      </w:pPr>
      <w:proofErr w:type="spellStart"/>
      <w:r>
        <w:rPr>
          <w:sz w:val="18"/>
        </w:rPr>
        <w:t>Fezzi</w:t>
      </w:r>
      <w:proofErr w:type="spellEnd"/>
      <w:r>
        <w:rPr>
          <w:sz w:val="18"/>
        </w:rPr>
        <w:t xml:space="preserve"> C and Bunn DW. Structural interactions of European carbon trading and energy prices. J Energy Mark 2009; 2: 53.</w:t>
      </w:r>
    </w:p>
    <w:p w14:paraId="2AAF5BD6" w14:textId="77777777" w:rsidR="001F2A0B" w:rsidRDefault="00BC538D">
      <w:pPr>
        <w:numPr>
          <w:ilvl w:val="0"/>
          <w:numId w:val="3"/>
        </w:numPr>
        <w:spacing w:after="5" w:line="298" w:lineRule="auto"/>
        <w:ind w:right="0" w:hanging="324"/>
      </w:pPr>
      <w:r>
        <w:rPr>
          <w:sz w:val="18"/>
        </w:rPr>
        <w:t xml:space="preserve">Kim W, Chattopadhyay D and Park Jb. Impact of carbon cost on wholesale electricity price: a note </w:t>
      </w:r>
      <w:proofErr w:type="spellStart"/>
      <w:r>
        <w:rPr>
          <w:sz w:val="18"/>
        </w:rPr>
        <w:t>onprice</w:t>
      </w:r>
      <w:proofErr w:type="spellEnd"/>
      <w:r>
        <w:rPr>
          <w:sz w:val="18"/>
        </w:rPr>
        <w:t xml:space="preserve"> pass-through issues. Energy 2010; 35: 3441</w:t>
      </w:r>
      <w:r>
        <w:rPr>
          <w:rFonts w:ascii="Calibri" w:eastAsia="Calibri" w:hAnsi="Calibri" w:cs="Calibri"/>
          <w:sz w:val="18"/>
        </w:rPr>
        <w:t>–</w:t>
      </w:r>
      <w:r>
        <w:rPr>
          <w:sz w:val="18"/>
        </w:rPr>
        <w:t>3448.</w:t>
      </w:r>
    </w:p>
    <w:p w14:paraId="2462E06F" w14:textId="77777777" w:rsidR="001F2A0B" w:rsidRDefault="00BC538D">
      <w:pPr>
        <w:numPr>
          <w:ilvl w:val="0"/>
          <w:numId w:val="3"/>
        </w:numPr>
        <w:spacing w:after="5" w:line="298" w:lineRule="auto"/>
        <w:ind w:right="0" w:hanging="324"/>
      </w:pPr>
      <w:proofErr w:type="spellStart"/>
      <w:r>
        <w:rPr>
          <w:sz w:val="18"/>
        </w:rPr>
        <w:t>Squalli</w:t>
      </w:r>
      <w:proofErr w:type="spellEnd"/>
      <w:r>
        <w:rPr>
          <w:sz w:val="18"/>
        </w:rPr>
        <w:t xml:space="preserve"> J. Renewable energy, coal as a baseload power source, and greenhouse gas emissions: </w:t>
      </w:r>
      <w:proofErr w:type="spellStart"/>
      <w:r>
        <w:rPr>
          <w:sz w:val="18"/>
        </w:rPr>
        <w:t>evidencefrom</w:t>
      </w:r>
      <w:proofErr w:type="spellEnd"/>
      <w:r>
        <w:rPr>
          <w:sz w:val="18"/>
        </w:rPr>
        <w:t xml:space="preserve"> US state-level data. Energy 2017; 127: 479</w:t>
      </w:r>
      <w:r>
        <w:rPr>
          <w:rFonts w:ascii="Calibri" w:eastAsia="Calibri" w:hAnsi="Calibri" w:cs="Calibri"/>
          <w:sz w:val="18"/>
        </w:rPr>
        <w:t>–</w:t>
      </w:r>
      <w:r>
        <w:rPr>
          <w:sz w:val="18"/>
        </w:rPr>
        <w:t>488.</w:t>
      </w:r>
    </w:p>
    <w:p w14:paraId="0048C4F1" w14:textId="77777777" w:rsidR="001F2A0B" w:rsidRDefault="00BC538D">
      <w:pPr>
        <w:numPr>
          <w:ilvl w:val="0"/>
          <w:numId w:val="3"/>
        </w:numPr>
        <w:spacing w:after="5" w:line="298" w:lineRule="auto"/>
        <w:ind w:right="0" w:hanging="324"/>
      </w:pPr>
      <w:proofErr w:type="spellStart"/>
      <w:r>
        <w:rPr>
          <w:sz w:val="18"/>
        </w:rPr>
        <w:t>Marimoutou</w:t>
      </w:r>
      <w:proofErr w:type="spellEnd"/>
      <w:r>
        <w:rPr>
          <w:sz w:val="18"/>
        </w:rPr>
        <w:t xml:space="preserve"> V and </w:t>
      </w:r>
      <w:proofErr w:type="spellStart"/>
      <w:r>
        <w:rPr>
          <w:sz w:val="18"/>
        </w:rPr>
        <w:t>Soury</w:t>
      </w:r>
      <w:proofErr w:type="spellEnd"/>
      <w:r>
        <w:rPr>
          <w:sz w:val="18"/>
        </w:rPr>
        <w:t xml:space="preserve"> M. Energy markets and CO2 emissions: analysis by stochastic copula autoregressive model. Energy 2015; 88: 417</w:t>
      </w:r>
      <w:r>
        <w:rPr>
          <w:rFonts w:ascii="Calibri" w:eastAsia="Calibri" w:hAnsi="Calibri" w:cs="Calibri"/>
          <w:sz w:val="18"/>
        </w:rPr>
        <w:t>–</w:t>
      </w:r>
      <w:r>
        <w:rPr>
          <w:sz w:val="18"/>
        </w:rPr>
        <w:t>429.</w:t>
      </w:r>
    </w:p>
    <w:p w14:paraId="02B7F106" w14:textId="77777777" w:rsidR="001F2A0B" w:rsidRDefault="00BC538D">
      <w:pPr>
        <w:numPr>
          <w:ilvl w:val="0"/>
          <w:numId w:val="3"/>
        </w:numPr>
        <w:spacing w:after="5" w:line="298" w:lineRule="auto"/>
        <w:ind w:right="0" w:hanging="324"/>
      </w:pPr>
      <w:r>
        <w:rPr>
          <w:sz w:val="18"/>
        </w:rPr>
        <w:t>Wang Y and Guo Z. The dynamic spillover between carbon and energy markets: new evidence. Energy 2018; 149: 24</w:t>
      </w:r>
      <w:r>
        <w:rPr>
          <w:rFonts w:ascii="Calibri" w:eastAsia="Calibri" w:hAnsi="Calibri" w:cs="Calibri"/>
          <w:sz w:val="18"/>
        </w:rPr>
        <w:t>–</w:t>
      </w:r>
      <w:r>
        <w:rPr>
          <w:sz w:val="18"/>
        </w:rPr>
        <w:t>33.</w:t>
      </w:r>
    </w:p>
    <w:p w14:paraId="65A631BF" w14:textId="77777777" w:rsidR="001F2A0B" w:rsidRDefault="00BC538D">
      <w:pPr>
        <w:numPr>
          <w:ilvl w:val="0"/>
          <w:numId w:val="3"/>
        </w:numPr>
        <w:spacing w:after="5" w:line="298" w:lineRule="auto"/>
        <w:ind w:right="0" w:hanging="324"/>
      </w:pPr>
      <w:r>
        <w:rPr>
          <w:sz w:val="18"/>
        </w:rPr>
        <w:t xml:space="preserve">Duan K, Ren X, Wen F, Chen J, et al. Evolution of the information transmission between Chinese </w:t>
      </w:r>
      <w:proofErr w:type="spellStart"/>
      <w:r>
        <w:rPr>
          <w:sz w:val="18"/>
        </w:rPr>
        <w:t>andinternational</w:t>
      </w:r>
      <w:proofErr w:type="spellEnd"/>
      <w:r>
        <w:rPr>
          <w:sz w:val="18"/>
        </w:rPr>
        <w:t xml:space="preserve"> oil markets: a quantile-based framework. J Commodity Mark 2023; 29: 100304.</w:t>
      </w:r>
    </w:p>
    <w:p w14:paraId="33CF47F0" w14:textId="77777777" w:rsidR="001F2A0B" w:rsidRDefault="00BC538D">
      <w:pPr>
        <w:numPr>
          <w:ilvl w:val="0"/>
          <w:numId w:val="3"/>
        </w:numPr>
        <w:spacing w:after="5" w:line="298" w:lineRule="auto"/>
        <w:ind w:right="0" w:hanging="324"/>
      </w:pPr>
      <w:r>
        <w:rPr>
          <w:sz w:val="18"/>
        </w:rPr>
        <w:t xml:space="preserve">Ren X, Li Y, Qi Y, Duan K, et al. Asymmetric effects of decomposed oil-price shocks on the EU </w:t>
      </w:r>
      <w:proofErr w:type="spellStart"/>
      <w:r>
        <w:rPr>
          <w:sz w:val="18"/>
        </w:rPr>
        <w:t>carbonmarket</w:t>
      </w:r>
      <w:proofErr w:type="spellEnd"/>
      <w:r>
        <w:rPr>
          <w:sz w:val="18"/>
        </w:rPr>
        <w:t xml:space="preserve"> dynamics. Energy 2022c; 254: 124172.</w:t>
      </w:r>
    </w:p>
    <w:p w14:paraId="32079AC1" w14:textId="77777777" w:rsidR="001F2A0B" w:rsidRDefault="00BC538D">
      <w:pPr>
        <w:numPr>
          <w:ilvl w:val="0"/>
          <w:numId w:val="3"/>
        </w:numPr>
        <w:spacing w:after="5" w:line="298" w:lineRule="auto"/>
        <w:ind w:right="0" w:hanging="324"/>
      </w:pPr>
      <w:r>
        <w:rPr>
          <w:sz w:val="18"/>
        </w:rPr>
        <w:t xml:space="preserve">Ren X, Wang R, Duan K, Chen J, et al. Dynamics of the sheltering role of bitcoin against crude oil </w:t>
      </w:r>
      <w:proofErr w:type="spellStart"/>
      <w:r>
        <w:rPr>
          <w:sz w:val="18"/>
        </w:rPr>
        <w:t>marketcrash</w:t>
      </w:r>
      <w:proofErr w:type="spellEnd"/>
      <w:r>
        <w:rPr>
          <w:sz w:val="18"/>
        </w:rPr>
        <w:t xml:space="preserve"> with varying severity of the Covid-19: a comparison with gold. Res Int Bus </w:t>
      </w:r>
      <w:proofErr w:type="spellStart"/>
      <w:r>
        <w:rPr>
          <w:sz w:val="18"/>
        </w:rPr>
        <w:t>Financ</w:t>
      </w:r>
      <w:proofErr w:type="spellEnd"/>
      <w:r>
        <w:rPr>
          <w:sz w:val="18"/>
        </w:rPr>
        <w:t xml:space="preserve"> 2022e; 62: 101672.</w:t>
      </w:r>
    </w:p>
    <w:p w14:paraId="68C8AC69" w14:textId="77777777" w:rsidR="001F2A0B" w:rsidRDefault="00BC538D">
      <w:pPr>
        <w:numPr>
          <w:ilvl w:val="0"/>
          <w:numId w:val="3"/>
        </w:numPr>
        <w:spacing w:after="5" w:line="298" w:lineRule="auto"/>
        <w:ind w:right="0" w:hanging="324"/>
      </w:pPr>
      <w:r>
        <w:rPr>
          <w:sz w:val="18"/>
        </w:rPr>
        <w:t xml:space="preserve">Feng ZH, Zou LL and Wei YM. Carbon price volatility: evidence from EU ETS. </w:t>
      </w:r>
      <w:proofErr w:type="spellStart"/>
      <w:r>
        <w:rPr>
          <w:sz w:val="18"/>
        </w:rPr>
        <w:t>Appl</w:t>
      </w:r>
      <w:proofErr w:type="spellEnd"/>
      <w:r>
        <w:rPr>
          <w:sz w:val="18"/>
        </w:rPr>
        <w:t xml:space="preserve"> Energy 2011; 88: 590</w:t>
      </w:r>
      <w:r>
        <w:rPr>
          <w:rFonts w:ascii="Calibri" w:eastAsia="Calibri" w:hAnsi="Calibri" w:cs="Calibri"/>
          <w:sz w:val="18"/>
        </w:rPr>
        <w:t>–</w:t>
      </w:r>
      <w:r>
        <w:rPr>
          <w:sz w:val="18"/>
        </w:rPr>
        <w:t>598.</w:t>
      </w:r>
    </w:p>
    <w:p w14:paraId="758B313A" w14:textId="77777777" w:rsidR="001F2A0B" w:rsidRDefault="00BC538D">
      <w:pPr>
        <w:numPr>
          <w:ilvl w:val="0"/>
          <w:numId w:val="3"/>
        </w:numPr>
        <w:spacing w:after="5" w:line="298" w:lineRule="auto"/>
        <w:ind w:right="0" w:hanging="324"/>
      </w:pPr>
      <w:proofErr w:type="spellStart"/>
      <w:r>
        <w:rPr>
          <w:sz w:val="18"/>
        </w:rPr>
        <w:t>Montagnoli</w:t>
      </w:r>
      <w:proofErr w:type="spellEnd"/>
      <w:r>
        <w:rPr>
          <w:sz w:val="18"/>
        </w:rPr>
        <w:t xml:space="preserve"> A and De Vries FP. Carbon trading thickness and market ef</w:t>
      </w:r>
      <w:r>
        <w:rPr>
          <w:rFonts w:ascii="Calibri" w:eastAsia="Calibri" w:hAnsi="Calibri" w:cs="Calibri"/>
          <w:sz w:val="18"/>
        </w:rPr>
        <w:t>fi</w:t>
      </w:r>
      <w:r>
        <w:rPr>
          <w:sz w:val="18"/>
        </w:rPr>
        <w:t>ciency. Energy Econ 2010; 32: 1331</w:t>
      </w:r>
      <w:r>
        <w:rPr>
          <w:rFonts w:ascii="Calibri" w:eastAsia="Calibri" w:hAnsi="Calibri" w:cs="Calibri"/>
          <w:sz w:val="18"/>
        </w:rPr>
        <w:t>–</w:t>
      </w:r>
      <w:r>
        <w:rPr>
          <w:sz w:val="18"/>
        </w:rPr>
        <w:t>1336.</w:t>
      </w:r>
    </w:p>
    <w:p w14:paraId="77EC6C49" w14:textId="77777777" w:rsidR="001F2A0B" w:rsidRDefault="00BC538D">
      <w:pPr>
        <w:numPr>
          <w:ilvl w:val="0"/>
          <w:numId w:val="3"/>
        </w:numPr>
        <w:spacing w:after="27" w:line="298" w:lineRule="auto"/>
        <w:ind w:right="0" w:hanging="324"/>
      </w:pPr>
      <w:r>
        <w:rPr>
          <w:sz w:val="18"/>
        </w:rPr>
        <w:t>Daskalakis G. On the ef</w:t>
      </w:r>
      <w:r>
        <w:rPr>
          <w:rFonts w:ascii="Calibri" w:eastAsia="Calibri" w:hAnsi="Calibri" w:cs="Calibri"/>
          <w:sz w:val="18"/>
        </w:rPr>
        <w:t>fi</w:t>
      </w:r>
      <w:r>
        <w:rPr>
          <w:sz w:val="18"/>
        </w:rPr>
        <w:t>ciency of the European carbon market: new evidence from phase II. Energy Policy 2013; 54: 369</w:t>
      </w:r>
      <w:r>
        <w:rPr>
          <w:rFonts w:ascii="Calibri" w:eastAsia="Calibri" w:hAnsi="Calibri" w:cs="Calibri"/>
          <w:sz w:val="18"/>
        </w:rPr>
        <w:t>–</w:t>
      </w:r>
      <w:r>
        <w:rPr>
          <w:sz w:val="18"/>
        </w:rPr>
        <w:t>375.</w:t>
      </w:r>
    </w:p>
    <w:p w14:paraId="44033437" w14:textId="77777777" w:rsidR="001F2A0B" w:rsidRDefault="00BC538D">
      <w:pPr>
        <w:numPr>
          <w:ilvl w:val="0"/>
          <w:numId w:val="3"/>
        </w:numPr>
        <w:spacing w:after="5" w:line="298" w:lineRule="auto"/>
        <w:ind w:right="0" w:hanging="324"/>
      </w:pPr>
      <w:r>
        <w:rPr>
          <w:sz w:val="18"/>
        </w:rPr>
        <w:t>Wu R and Qin Z. Assessing market ef</w:t>
      </w:r>
      <w:r>
        <w:rPr>
          <w:rFonts w:ascii="Calibri" w:eastAsia="Calibri" w:hAnsi="Calibri" w:cs="Calibri"/>
          <w:sz w:val="18"/>
        </w:rPr>
        <w:t>fi</w:t>
      </w:r>
      <w:r>
        <w:rPr>
          <w:sz w:val="18"/>
        </w:rPr>
        <w:t>ciency and liquidity: evidence from China</w:t>
      </w:r>
      <w:r>
        <w:rPr>
          <w:rFonts w:ascii="Calibri" w:eastAsia="Calibri" w:hAnsi="Calibri" w:cs="Calibri"/>
          <w:sz w:val="18"/>
        </w:rPr>
        <w:t>’</w:t>
      </w:r>
      <w:r>
        <w:rPr>
          <w:sz w:val="18"/>
        </w:rPr>
        <w:t>s emissions trading scheme pilots. Sci Total Environ 2021; 769: 144707.</w:t>
      </w:r>
    </w:p>
    <w:p w14:paraId="49F6FA05" w14:textId="77777777" w:rsidR="001F2A0B" w:rsidRDefault="00BC538D">
      <w:pPr>
        <w:numPr>
          <w:ilvl w:val="0"/>
          <w:numId w:val="3"/>
        </w:numPr>
        <w:spacing w:after="5" w:line="298" w:lineRule="auto"/>
        <w:ind w:right="0" w:hanging="324"/>
      </w:pPr>
      <w:r>
        <w:rPr>
          <w:sz w:val="18"/>
        </w:rPr>
        <w:t>Alvarez-Ramirez J, Alvarez J and Solis R. Crude oil market ef</w:t>
      </w:r>
      <w:r>
        <w:rPr>
          <w:rFonts w:ascii="Calibri" w:eastAsia="Calibri" w:hAnsi="Calibri" w:cs="Calibri"/>
          <w:sz w:val="18"/>
        </w:rPr>
        <w:t>fi</w:t>
      </w:r>
      <w:r>
        <w:rPr>
          <w:sz w:val="18"/>
        </w:rPr>
        <w:t xml:space="preserve">ciency and </w:t>
      </w:r>
      <w:proofErr w:type="spellStart"/>
      <w:r>
        <w:rPr>
          <w:sz w:val="18"/>
        </w:rPr>
        <w:t>modeling</w:t>
      </w:r>
      <w:proofErr w:type="spellEnd"/>
      <w:r>
        <w:rPr>
          <w:sz w:val="18"/>
        </w:rPr>
        <w:t xml:space="preserve">: insights from the </w:t>
      </w:r>
      <w:proofErr w:type="spellStart"/>
      <w:r>
        <w:rPr>
          <w:sz w:val="18"/>
        </w:rPr>
        <w:t>multiscaling</w:t>
      </w:r>
      <w:proofErr w:type="spellEnd"/>
      <w:r>
        <w:rPr>
          <w:sz w:val="18"/>
        </w:rPr>
        <w:t xml:space="preserve"> autocorrelation pattern. Energy Econ 2010; 32: 993</w:t>
      </w:r>
      <w:r>
        <w:rPr>
          <w:rFonts w:ascii="Calibri" w:eastAsia="Calibri" w:hAnsi="Calibri" w:cs="Calibri"/>
          <w:sz w:val="18"/>
        </w:rPr>
        <w:t>–</w:t>
      </w:r>
      <w:r>
        <w:rPr>
          <w:sz w:val="18"/>
        </w:rPr>
        <w:t>1000.</w:t>
      </w:r>
    </w:p>
    <w:p w14:paraId="22E27C11" w14:textId="77777777" w:rsidR="001F2A0B" w:rsidRDefault="00BC538D">
      <w:pPr>
        <w:numPr>
          <w:ilvl w:val="0"/>
          <w:numId w:val="3"/>
        </w:numPr>
        <w:spacing w:after="27" w:line="298" w:lineRule="auto"/>
        <w:ind w:right="0" w:hanging="324"/>
      </w:pPr>
      <w:proofErr w:type="spellStart"/>
      <w:r>
        <w:rPr>
          <w:sz w:val="18"/>
        </w:rPr>
        <w:t>Kuruppuarachchi</w:t>
      </w:r>
      <w:proofErr w:type="spellEnd"/>
      <w:r>
        <w:rPr>
          <w:sz w:val="18"/>
        </w:rPr>
        <w:t xml:space="preserve"> D, </w:t>
      </w:r>
      <w:proofErr w:type="spellStart"/>
      <w:r>
        <w:rPr>
          <w:sz w:val="18"/>
        </w:rPr>
        <w:t>Premachandra</w:t>
      </w:r>
      <w:proofErr w:type="spellEnd"/>
      <w:r>
        <w:rPr>
          <w:sz w:val="18"/>
        </w:rPr>
        <w:t xml:space="preserve"> I and Roberts H. A novel market ef</w:t>
      </w:r>
      <w:r>
        <w:rPr>
          <w:rFonts w:ascii="Calibri" w:eastAsia="Calibri" w:hAnsi="Calibri" w:cs="Calibri"/>
          <w:sz w:val="18"/>
        </w:rPr>
        <w:t>fi</w:t>
      </w:r>
      <w:r>
        <w:rPr>
          <w:sz w:val="18"/>
        </w:rPr>
        <w:t>ciency index for energy futures and their term structure risk premiums. Energy Econ 2019; 77: 23</w:t>
      </w:r>
      <w:r>
        <w:rPr>
          <w:rFonts w:ascii="Calibri" w:eastAsia="Calibri" w:hAnsi="Calibri" w:cs="Calibri"/>
          <w:sz w:val="18"/>
        </w:rPr>
        <w:t>–</w:t>
      </w:r>
      <w:r>
        <w:rPr>
          <w:sz w:val="18"/>
        </w:rPr>
        <w:t>33.</w:t>
      </w:r>
    </w:p>
    <w:p w14:paraId="65BE6161" w14:textId="77777777" w:rsidR="001F2A0B" w:rsidRDefault="00BC538D">
      <w:pPr>
        <w:numPr>
          <w:ilvl w:val="0"/>
          <w:numId w:val="3"/>
        </w:numPr>
        <w:spacing w:after="5" w:line="298" w:lineRule="auto"/>
        <w:ind w:right="0" w:hanging="324"/>
      </w:pPr>
      <w:proofErr w:type="spellStart"/>
      <w:r>
        <w:rPr>
          <w:sz w:val="18"/>
        </w:rPr>
        <w:t>Kristoufek</w:t>
      </w:r>
      <w:proofErr w:type="spellEnd"/>
      <w:r>
        <w:rPr>
          <w:sz w:val="18"/>
        </w:rPr>
        <w:t xml:space="preserve"> L and </w:t>
      </w:r>
      <w:proofErr w:type="spellStart"/>
      <w:r>
        <w:rPr>
          <w:sz w:val="18"/>
        </w:rPr>
        <w:t>Vosvrda</w:t>
      </w:r>
      <w:proofErr w:type="spellEnd"/>
      <w:r>
        <w:rPr>
          <w:sz w:val="18"/>
        </w:rPr>
        <w:t xml:space="preserve"> M. Commodity futures and market ef</w:t>
      </w:r>
      <w:r>
        <w:rPr>
          <w:rFonts w:ascii="Calibri" w:eastAsia="Calibri" w:hAnsi="Calibri" w:cs="Calibri"/>
          <w:sz w:val="18"/>
        </w:rPr>
        <w:t>fi</w:t>
      </w:r>
      <w:r>
        <w:rPr>
          <w:sz w:val="18"/>
        </w:rPr>
        <w:t>ciency. Energy Econ 2014; 42: 50</w:t>
      </w:r>
      <w:r>
        <w:rPr>
          <w:rFonts w:ascii="Calibri" w:eastAsia="Calibri" w:hAnsi="Calibri" w:cs="Calibri"/>
          <w:sz w:val="18"/>
        </w:rPr>
        <w:t>–</w:t>
      </w:r>
      <w:r>
        <w:rPr>
          <w:sz w:val="18"/>
        </w:rPr>
        <w:t>57.</w:t>
      </w:r>
    </w:p>
    <w:p w14:paraId="53AAB1D6" w14:textId="77777777" w:rsidR="001F2A0B" w:rsidRDefault="00BC538D">
      <w:pPr>
        <w:numPr>
          <w:ilvl w:val="0"/>
          <w:numId w:val="3"/>
        </w:numPr>
        <w:spacing w:after="5" w:line="298" w:lineRule="auto"/>
        <w:ind w:right="0" w:hanging="324"/>
      </w:pPr>
      <w:r>
        <w:rPr>
          <w:sz w:val="18"/>
        </w:rPr>
        <w:t xml:space="preserve">Duan K and Urquhart A. The instability of </w:t>
      </w:r>
      <w:proofErr w:type="spellStart"/>
      <w:r>
        <w:rPr>
          <w:sz w:val="18"/>
        </w:rPr>
        <w:t>stablecoins</w:t>
      </w:r>
      <w:proofErr w:type="spellEnd"/>
      <w:r>
        <w:rPr>
          <w:sz w:val="18"/>
        </w:rPr>
        <w:t>. Finance Res Lett 2023; 52: 103573.</w:t>
      </w:r>
    </w:p>
    <w:p w14:paraId="56753249" w14:textId="77777777" w:rsidR="001F2A0B" w:rsidRDefault="00BC538D">
      <w:pPr>
        <w:numPr>
          <w:ilvl w:val="0"/>
          <w:numId w:val="3"/>
        </w:numPr>
        <w:spacing w:after="5" w:line="298" w:lineRule="auto"/>
        <w:ind w:right="0" w:hanging="324"/>
      </w:pPr>
      <w:proofErr w:type="spellStart"/>
      <w:r>
        <w:rPr>
          <w:sz w:val="18"/>
        </w:rPr>
        <w:t>Shimotsu</w:t>
      </w:r>
      <w:proofErr w:type="spellEnd"/>
      <w:r>
        <w:rPr>
          <w:sz w:val="18"/>
        </w:rPr>
        <w:t xml:space="preserve"> K, Phillips PC </w:t>
      </w:r>
      <w:proofErr w:type="gramStart"/>
      <w:r>
        <w:rPr>
          <w:sz w:val="18"/>
        </w:rPr>
        <w:t>and et al.</w:t>
      </w:r>
      <w:proofErr w:type="gramEnd"/>
      <w:r>
        <w:rPr>
          <w:sz w:val="18"/>
        </w:rPr>
        <w:t xml:space="preserve"> Exact local Whittle estimation of fractional integration. Ann Stat 2005; 33: 1890</w:t>
      </w:r>
      <w:r>
        <w:rPr>
          <w:rFonts w:ascii="Calibri" w:eastAsia="Calibri" w:hAnsi="Calibri" w:cs="Calibri"/>
          <w:sz w:val="18"/>
        </w:rPr>
        <w:t>–</w:t>
      </w:r>
      <w:r>
        <w:rPr>
          <w:sz w:val="18"/>
        </w:rPr>
        <w:t>1933.</w:t>
      </w:r>
    </w:p>
    <w:p w14:paraId="691708A9" w14:textId="77777777" w:rsidR="001F2A0B" w:rsidRDefault="00BC538D">
      <w:pPr>
        <w:numPr>
          <w:ilvl w:val="0"/>
          <w:numId w:val="3"/>
        </w:numPr>
        <w:spacing w:after="26" w:line="298" w:lineRule="auto"/>
        <w:ind w:right="0" w:hanging="324"/>
      </w:pPr>
      <w:proofErr w:type="spellStart"/>
      <w:r>
        <w:rPr>
          <w:sz w:val="18"/>
        </w:rPr>
        <w:t>Balcilar</w:t>
      </w:r>
      <w:proofErr w:type="spellEnd"/>
      <w:r>
        <w:rPr>
          <w:sz w:val="18"/>
        </w:rPr>
        <w:t xml:space="preserve"> M, </w:t>
      </w:r>
      <w:proofErr w:type="spellStart"/>
      <w:r>
        <w:rPr>
          <w:sz w:val="18"/>
        </w:rPr>
        <w:t>Bekiros</w:t>
      </w:r>
      <w:proofErr w:type="spellEnd"/>
      <w:r>
        <w:rPr>
          <w:sz w:val="18"/>
        </w:rPr>
        <w:t xml:space="preserve"> S and Gupta R. The role of news-based uncertainty indices in predicting oil markets: </w:t>
      </w:r>
      <w:proofErr w:type="spellStart"/>
      <w:r>
        <w:rPr>
          <w:sz w:val="18"/>
        </w:rPr>
        <w:t>ahybrid</w:t>
      </w:r>
      <w:proofErr w:type="spellEnd"/>
      <w:r>
        <w:rPr>
          <w:sz w:val="18"/>
        </w:rPr>
        <w:t xml:space="preserve"> nonparametric quantile causality method. </w:t>
      </w:r>
      <w:proofErr w:type="spellStart"/>
      <w:r>
        <w:rPr>
          <w:sz w:val="18"/>
        </w:rPr>
        <w:t>Empir</w:t>
      </w:r>
      <w:proofErr w:type="spellEnd"/>
      <w:r>
        <w:rPr>
          <w:sz w:val="18"/>
        </w:rPr>
        <w:t xml:space="preserve"> Econ 2017; 53: 879</w:t>
      </w:r>
      <w:r>
        <w:rPr>
          <w:rFonts w:ascii="Calibri" w:eastAsia="Calibri" w:hAnsi="Calibri" w:cs="Calibri"/>
          <w:sz w:val="18"/>
        </w:rPr>
        <w:t>–</w:t>
      </w:r>
      <w:r>
        <w:rPr>
          <w:sz w:val="18"/>
        </w:rPr>
        <w:t>889.</w:t>
      </w:r>
    </w:p>
    <w:p w14:paraId="33B43C0C" w14:textId="77777777" w:rsidR="001F2A0B" w:rsidRDefault="00BC538D">
      <w:pPr>
        <w:numPr>
          <w:ilvl w:val="0"/>
          <w:numId w:val="3"/>
        </w:numPr>
        <w:spacing w:after="5" w:line="298" w:lineRule="auto"/>
        <w:ind w:right="0" w:hanging="324"/>
      </w:pPr>
      <w:r>
        <w:rPr>
          <w:sz w:val="18"/>
        </w:rPr>
        <w:lastRenderedPageBreak/>
        <w:t xml:space="preserve">Peng C, Zhu H, Guo Y, Chen X, et al. Risk spillover of international crude oil to </w:t>
      </w:r>
      <w:proofErr w:type="spellStart"/>
      <w:r>
        <w:rPr>
          <w:sz w:val="18"/>
        </w:rPr>
        <w:t>china</w:t>
      </w:r>
      <w:r>
        <w:rPr>
          <w:rFonts w:ascii="Calibri" w:eastAsia="Calibri" w:hAnsi="Calibri" w:cs="Calibri"/>
          <w:sz w:val="18"/>
        </w:rPr>
        <w:t>’</w:t>
      </w:r>
      <w:r>
        <w:rPr>
          <w:sz w:val="18"/>
        </w:rPr>
        <w:t>s</w:t>
      </w:r>
      <w:proofErr w:type="spellEnd"/>
      <w:r>
        <w:rPr>
          <w:sz w:val="18"/>
        </w:rPr>
        <w:t xml:space="preserve"> </w:t>
      </w:r>
      <w:r>
        <w:rPr>
          <w:rFonts w:ascii="Calibri" w:eastAsia="Calibri" w:hAnsi="Calibri" w:cs="Calibri"/>
          <w:sz w:val="18"/>
        </w:rPr>
        <w:t>fi</w:t>
      </w:r>
      <w:r>
        <w:rPr>
          <w:sz w:val="18"/>
        </w:rPr>
        <w:t>rms: evidence from Granger causality across quantile. Energy Econ 2018; 72: 188</w:t>
      </w:r>
      <w:r>
        <w:rPr>
          <w:rFonts w:ascii="Calibri" w:eastAsia="Calibri" w:hAnsi="Calibri" w:cs="Calibri"/>
          <w:sz w:val="18"/>
        </w:rPr>
        <w:t>–</w:t>
      </w:r>
      <w:r>
        <w:rPr>
          <w:sz w:val="18"/>
        </w:rPr>
        <w:t>199.</w:t>
      </w:r>
    </w:p>
    <w:p w14:paraId="24706D7B" w14:textId="77777777" w:rsidR="001F2A0B" w:rsidRDefault="00BC538D">
      <w:pPr>
        <w:numPr>
          <w:ilvl w:val="0"/>
          <w:numId w:val="3"/>
        </w:numPr>
        <w:spacing w:after="5" w:line="298" w:lineRule="auto"/>
        <w:ind w:right="0" w:hanging="324"/>
      </w:pPr>
      <w:proofErr w:type="spellStart"/>
      <w:r>
        <w:rPr>
          <w:sz w:val="18"/>
        </w:rPr>
        <w:t>Scarcioffolo</w:t>
      </w:r>
      <w:proofErr w:type="spellEnd"/>
      <w:r>
        <w:rPr>
          <w:sz w:val="18"/>
        </w:rPr>
        <w:t xml:space="preserve"> AR and Etienne X. Testing directional predictability between energy prices: a quantile-</w:t>
      </w:r>
      <w:proofErr w:type="spellStart"/>
      <w:r>
        <w:rPr>
          <w:sz w:val="18"/>
        </w:rPr>
        <w:t>basedanalysis</w:t>
      </w:r>
      <w:proofErr w:type="spellEnd"/>
      <w:r>
        <w:rPr>
          <w:sz w:val="18"/>
        </w:rPr>
        <w:t xml:space="preserve">. </w:t>
      </w:r>
      <w:proofErr w:type="spellStart"/>
      <w:r>
        <w:rPr>
          <w:sz w:val="18"/>
        </w:rPr>
        <w:t>Resour</w:t>
      </w:r>
      <w:proofErr w:type="spellEnd"/>
      <w:r>
        <w:rPr>
          <w:sz w:val="18"/>
        </w:rPr>
        <w:t xml:space="preserve"> Policy 2021; 74: 102258.</w:t>
      </w:r>
    </w:p>
    <w:p w14:paraId="0824C85A" w14:textId="77777777" w:rsidR="001F2A0B" w:rsidRDefault="00BC538D">
      <w:pPr>
        <w:numPr>
          <w:ilvl w:val="0"/>
          <w:numId w:val="3"/>
        </w:numPr>
        <w:spacing w:after="5" w:line="298" w:lineRule="auto"/>
        <w:ind w:right="0" w:hanging="324"/>
      </w:pPr>
      <w:r>
        <w:rPr>
          <w:sz w:val="18"/>
        </w:rPr>
        <w:t xml:space="preserve">Ren X, Li Y, Wen F, Lu Z, et al, et al. The interrelationship between the carbon market and the </w:t>
      </w:r>
      <w:proofErr w:type="spellStart"/>
      <w:r>
        <w:rPr>
          <w:sz w:val="18"/>
        </w:rPr>
        <w:t>greenbonds</w:t>
      </w:r>
      <w:proofErr w:type="spellEnd"/>
      <w:r>
        <w:rPr>
          <w:sz w:val="18"/>
        </w:rPr>
        <w:t xml:space="preserve"> market: evidence from wavelet quantile-on-quantile method. </w:t>
      </w:r>
      <w:proofErr w:type="spellStart"/>
      <w:r>
        <w:rPr>
          <w:sz w:val="18"/>
        </w:rPr>
        <w:t>Technol</w:t>
      </w:r>
      <w:proofErr w:type="spellEnd"/>
      <w:r>
        <w:rPr>
          <w:sz w:val="18"/>
        </w:rPr>
        <w:t xml:space="preserve"> Forecast Soc Change 2022d; 179: 121611.</w:t>
      </w:r>
    </w:p>
    <w:p w14:paraId="0626CECF" w14:textId="77777777" w:rsidR="001F2A0B" w:rsidRDefault="00BC538D">
      <w:pPr>
        <w:numPr>
          <w:ilvl w:val="0"/>
          <w:numId w:val="3"/>
        </w:numPr>
        <w:spacing w:after="26" w:line="298" w:lineRule="auto"/>
        <w:ind w:right="0" w:hanging="324"/>
      </w:pPr>
      <w:r>
        <w:rPr>
          <w:sz w:val="18"/>
        </w:rPr>
        <w:t xml:space="preserve">Bredin D and </w:t>
      </w:r>
      <w:proofErr w:type="spellStart"/>
      <w:r>
        <w:rPr>
          <w:sz w:val="18"/>
        </w:rPr>
        <w:t>Muckley</w:t>
      </w:r>
      <w:proofErr w:type="spellEnd"/>
      <w:r>
        <w:rPr>
          <w:sz w:val="18"/>
        </w:rPr>
        <w:t xml:space="preserve"> C. An emerging equilibrium in the EU emissions trading scheme. Energy Econ 2011; 33: 353</w:t>
      </w:r>
      <w:r>
        <w:rPr>
          <w:rFonts w:ascii="Calibri" w:eastAsia="Calibri" w:hAnsi="Calibri" w:cs="Calibri"/>
          <w:sz w:val="18"/>
        </w:rPr>
        <w:t>–</w:t>
      </w:r>
      <w:r>
        <w:rPr>
          <w:sz w:val="18"/>
        </w:rPr>
        <w:t>362.</w:t>
      </w:r>
    </w:p>
    <w:p w14:paraId="19D891D3" w14:textId="77777777" w:rsidR="001F2A0B" w:rsidRDefault="00BC538D">
      <w:pPr>
        <w:numPr>
          <w:ilvl w:val="0"/>
          <w:numId w:val="3"/>
        </w:numPr>
        <w:spacing w:after="5" w:line="298" w:lineRule="auto"/>
        <w:ind w:right="0" w:hanging="324"/>
      </w:pPr>
      <w:proofErr w:type="spellStart"/>
      <w:r>
        <w:rPr>
          <w:sz w:val="18"/>
        </w:rPr>
        <w:t>Mansanet</w:t>
      </w:r>
      <w:proofErr w:type="spellEnd"/>
      <w:r>
        <w:rPr>
          <w:sz w:val="18"/>
        </w:rPr>
        <w:t xml:space="preserve">-Bataller M, Pardo A and </w:t>
      </w:r>
      <w:proofErr w:type="spellStart"/>
      <w:r>
        <w:rPr>
          <w:sz w:val="18"/>
        </w:rPr>
        <w:t>Valor</w:t>
      </w:r>
      <w:proofErr w:type="spellEnd"/>
      <w:r>
        <w:rPr>
          <w:sz w:val="18"/>
        </w:rPr>
        <w:t xml:space="preserve"> E. CO2 prices, energy and weather. Energy J 2007; 28: 73</w:t>
      </w:r>
      <w:r>
        <w:rPr>
          <w:rFonts w:ascii="Calibri" w:eastAsia="Calibri" w:hAnsi="Calibri" w:cs="Calibri"/>
          <w:sz w:val="18"/>
        </w:rPr>
        <w:t>–</w:t>
      </w:r>
      <w:r>
        <w:rPr>
          <w:sz w:val="18"/>
        </w:rPr>
        <w:t>92.</w:t>
      </w:r>
    </w:p>
    <w:p w14:paraId="245F0F17" w14:textId="77777777" w:rsidR="001F2A0B" w:rsidRDefault="00BC538D">
      <w:pPr>
        <w:numPr>
          <w:ilvl w:val="0"/>
          <w:numId w:val="3"/>
        </w:numPr>
        <w:spacing w:after="29" w:line="298" w:lineRule="auto"/>
        <w:ind w:right="0" w:hanging="324"/>
      </w:pPr>
      <w:r>
        <w:rPr>
          <w:sz w:val="18"/>
        </w:rPr>
        <w:t xml:space="preserve">Zou S and Zhang T. Multifractal detrended cross-correlation analysis of the relation between price </w:t>
      </w:r>
      <w:proofErr w:type="spellStart"/>
      <w:r>
        <w:rPr>
          <w:sz w:val="18"/>
        </w:rPr>
        <w:t>andvolume</w:t>
      </w:r>
      <w:proofErr w:type="spellEnd"/>
      <w:r>
        <w:rPr>
          <w:sz w:val="18"/>
        </w:rPr>
        <w:t xml:space="preserve"> in European carbon futures markets. </w:t>
      </w:r>
      <w:proofErr w:type="spellStart"/>
      <w:r>
        <w:rPr>
          <w:sz w:val="18"/>
        </w:rPr>
        <w:t>Physica</w:t>
      </w:r>
      <w:proofErr w:type="spellEnd"/>
      <w:r>
        <w:rPr>
          <w:sz w:val="18"/>
        </w:rPr>
        <w:t xml:space="preserve"> A: Stat Mech </w:t>
      </w:r>
      <w:proofErr w:type="spellStart"/>
      <w:r>
        <w:rPr>
          <w:sz w:val="18"/>
        </w:rPr>
        <w:t>Appl</w:t>
      </w:r>
      <w:proofErr w:type="spellEnd"/>
      <w:r>
        <w:rPr>
          <w:sz w:val="18"/>
        </w:rPr>
        <w:t xml:space="preserve"> 2020; 537: 122310.</w:t>
      </w:r>
    </w:p>
    <w:p w14:paraId="6DD2AB1C" w14:textId="77777777" w:rsidR="001F2A0B" w:rsidRDefault="00BC538D">
      <w:pPr>
        <w:numPr>
          <w:ilvl w:val="0"/>
          <w:numId w:val="3"/>
        </w:numPr>
        <w:spacing w:after="5" w:line="298" w:lineRule="auto"/>
        <w:ind w:right="0" w:hanging="324"/>
      </w:pPr>
      <w:proofErr w:type="spellStart"/>
      <w:r>
        <w:rPr>
          <w:sz w:val="18"/>
        </w:rPr>
        <w:t>Alberola</w:t>
      </w:r>
      <w:proofErr w:type="spellEnd"/>
      <w:r>
        <w:rPr>
          <w:sz w:val="18"/>
        </w:rPr>
        <w:t xml:space="preserve"> E, </w:t>
      </w:r>
      <w:proofErr w:type="spellStart"/>
      <w:r>
        <w:rPr>
          <w:sz w:val="18"/>
        </w:rPr>
        <w:t>Chevallier</w:t>
      </w:r>
      <w:proofErr w:type="spellEnd"/>
      <w:r>
        <w:rPr>
          <w:sz w:val="18"/>
        </w:rPr>
        <w:t xml:space="preserve"> J and </w:t>
      </w:r>
      <w:proofErr w:type="spellStart"/>
      <w:r>
        <w:rPr>
          <w:sz w:val="18"/>
        </w:rPr>
        <w:t>Chèze</w:t>
      </w:r>
      <w:proofErr w:type="spellEnd"/>
      <w:r>
        <w:rPr>
          <w:sz w:val="18"/>
        </w:rPr>
        <w:t xml:space="preserve"> B. Price drivers and structural breaks in European carbon prices 2005</w:t>
      </w:r>
      <w:r>
        <w:rPr>
          <w:rFonts w:ascii="Calibri" w:eastAsia="Calibri" w:hAnsi="Calibri" w:cs="Calibri"/>
          <w:sz w:val="18"/>
        </w:rPr>
        <w:t xml:space="preserve">– </w:t>
      </w:r>
      <w:r>
        <w:rPr>
          <w:sz w:val="18"/>
        </w:rPr>
        <w:t>2007. Energy Policy 2008; 36: 787</w:t>
      </w:r>
      <w:r>
        <w:rPr>
          <w:rFonts w:ascii="Calibri" w:eastAsia="Calibri" w:hAnsi="Calibri" w:cs="Calibri"/>
          <w:sz w:val="18"/>
        </w:rPr>
        <w:t>–</w:t>
      </w:r>
      <w:r>
        <w:rPr>
          <w:sz w:val="18"/>
        </w:rPr>
        <w:t>797.</w:t>
      </w:r>
    </w:p>
    <w:p w14:paraId="45FB557F" w14:textId="77777777" w:rsidR="001F2A0B" w:rsidRDefault="00BC538D">
      <w:pPr>
        <w:numPr>
          <w:ilvl w:val="0"/>
          <w:numId w:val="3"/>
        </w:numPr>
        <w:spacing w:after="5" w:line="298" w:lineRule="auto"/>
        <w:ind w:right="0" w:hanging="324"/>
      </w:pPr>
      <w:r>
        <w:rPr>
          <w:sz w:val="18"/>
        </w:rPr>
        <w:t xml:space="preserve">Yu L, Li J, Tang L, Wang S, et al. Linear and nonlinear granger causality investigation between </w:t>
      </w:r>
      <w:proofErr w:type="spellStart"/>
      <w:r>
        <w:rPr>
          <w:sz w:val="18"/>
        </w:rPr>
        <w:t>carbonmarket</w:t>
      </w:r>
      <w:proofErr w:type="spellEnd"/>
      <w:r>
        <w:rPr>
          <w:sz w:val="18"/>
        </w:rPr>
        <w:t xml:space="preserve"> and crude oil market: a multi-scale approach. Energy Econ 2015c; 51: 300</w:t>
      </w:r>
      <w:r>
        <w:rPr>
          <w:rFonts w:ascii="Calibri" w:eastAsia="Calibri" w:hAnsi="Calibri" w:cs="Calibri"/>
          <w:sz w:val="18"/>
        </w:rPr>
        <w:t>–</w:t>
      </w:r>
      <w:r>
        <w:rPr>
          <w:sz w:val="18"/>
        </w:rPr>
        <w:t>311.</w:t>
      </w:r>
    </w:p>
    <w:p w14:paraId="560BBA95" w14:textId="77777777" w:rsidR="001F2A0B" w:rsidRDefault="00BC538D">
      <w:pPr>
        <w:numPr>
          <w:ilvl w:val="0"/>
          <w:numId w:val="3"/>
        </w:numPr>
        <w:spacing w:after="5" w:line="298" w:lineRule="auto"/>
        <w:ind w:right="0" w:hanging="324"/>
      </w:pPr>
      <w:r>
        <w:rPr>
          <w:sz w:val="18"/>
        </w:rPr>
        <w:t xml:space="preserve">Li H and An H. How does the coal stock market, carbon market and coal price co-movement with </w:t>
      </w:r>
      <w:proofErr w:type="spellStart"/>
      <w:r>
        <w:rPr>
          <w:sz w:val="18"/>
        </w:rPr>
        <w:t>eachother</w:t>
      </w:r>
      <w:proofErr w:type="spellEnd"/>
      <w:r>
        <w:rPr>
          <w:sz w:val="18"/>
        </w:rPr>
        <w:t xml:space="preserve"> in </w:t>
      </w:r>
      <w:proofErr w:type="spellStart"/>
      <w:r>
        <w:rPr>
          <w:sz w:val="18"/>
        </w:rPr>
        <w:t>china</w:t>
      </w:r>
      <w:proofErr w:type="spellEnd"/>
      <w:r>
        <w:rPr>
          <w:sz w:val="18"/>
        </w:rPr>
        <w:t>: a co-movement matrix transmission network perspective. Energy Procedia 2017; 105: 3479</w:t>
      </w:r>
      <w:r>
        <w:rPr>
          <w:rFonts w:ascii="Calibri" w:eastAsia="Calibri" w:hAnsi="Calibri" w:cs="Calibri"/>
          <w:sz w:val="18"/>
        </w:rPr>
        <w:t>–</w:t>
      </w:r>
      <w:r>
        <w:rPr>
          <w:sz w:val="18"/>
        </w:rPr>
        <w:t>3484.</w:t>
      </w:r>
    </w:p>
    <w:p w14:paraId="1B01D0FB" w14:textId="77777777" w:rsidR="001F2A0B" w:rsidRDefault="00BC538D">
      <w:pPr>
        <w:numPr>
          <w:ilvl w:val="0"/>
          <w:numId w:val="3"/>
        </w:numPr>
        <w:spacing w:after="5" w:line="298" w:lineRule="auto"/>
        <w:ind w:right="0" w:hanging="324"/>
      </w:pPr>
      <w:r>
        <w:rPr>
          <w:sz w:val="18"/>
        </w:rPr>
        <w:t xml:space="preserve">Jiang H, Xue MM, Dong K, Liang QM, et al. How will natural gas market reforms affect carbon </w:t>
      </w:r>
      <w:proofErr w:type="spellStart"/>
      <w:r>
        <w:rPr>
          <w:sz w:val="18"/>
        </w:rPr>
        <w:t>marginalabatement</w:t>
      </w:r>
      <w:proofErr w:type="spellEnd"/>
      <w:r>
        <w:rPr>
          <w:sz w:val="18"/>
        </w:rPr>
        <w:t xml:space="preserve"> costs? Evidence from China. Econ </w:t>
      </w:r>
      <w:proofErr w:type="spellStart"/>
      <w:r>
        <w:rPr>
          <w:sz w:val="18"/>
        </w:rPr>
        <w:t>Syst</w:t>
      </w:r>
      <w:proofErr w:type="spellEnd"/>
      <w:r>
        <w:rPr>
          <w:sz w:val="18"/>
        </w:rPr>
        <w:t xml:space="preserve"> Res 2022; 34(2): 129</w:t>
      </w:r>
      <w:r>
        <w:rPr>
          <w:rFonts w:ascii="Calibri" w:eastAsia="Calibri" w:hAnsi="Calibri" w:cs="Calibri"/>
          <w:sz w:val="18"/>
        </w:rPr>
        <w:t>–</w:t>
      </w:r>
      <w:r>
        <w:rPr>
          <w:sz w:val="18"/>
        </w:rPr>
        <w:t>150.</w:t>
      </w:r>
    </w:p>
    <w:p w14:paraId="2FBAE169" w14:textId="77777777" w:rsidR="001F2A0B" w:rsidRDefault="00BC538D">
      <w:pPr>
        <w:numPr>
          <w:ilvl w:val="0"/>
          <w:numId w:val="3"/>
        </w:numPr>
        <w:spacing w:after="5" w:line="298" w:lineRule="auto"/>
        <w:ind w:right="0" w:hanging="324"/>
      </w:pPr>
      <w:r>
        <w:rPr>
          <w:sz w:val="18"/>
        </w:rPr>
        <w:t xml:space="preserve">Chen S, </w:t>
      </w:r>
      <w:proofErr w:type="spellStart"/>
      <w:r>
        <w:rPr>
          <w:sz w:val="18"/>
        </w:rPr>
        <w:t>Conejo</w:t>
      </w:r>
      <w:proofErr w:type="spellEnd"/>
      <w:r>
        <w:rPr>
          <w:sz w:val="18"/>
        </w:rPr>
        <w:t xml:space="preserve"> AJ and Wei Z. Conjectural-variations equilibria in electricity, natural-gas, and carbon-</w:t>
      </w:r>
      <w:proofErr w:type="spellStart"/>
      <w:r>
        <w:rPr>
          <w:sz w:val="18"/>
        </w:rPr>
        <w:t>emissionmarkets</w:t>
      </w:r>
      <w:proofErr w:type="spellEnd"/>
      <w:r>
        <w:rPr>
          <w:sz w:val="18"/>
        </w:rPr>
        <w:t xml:space="preserve">. IEEE Trans Power </w:t>
      </w:r>
      <w:proofErr w:type="spellStart"/>
      <w:r>
        <w:rPr>
          <w:sz w:val="18"/>
        </w:rPr>
        <w:t>Syst</w:t>
      </w:r>
      <w:proofErr w:type="spellEnd"/>
      <w:r>
        <w:rPr>
          <w:sz w:val="18"/>
        </w:rPr>
        <w:t xml:space="preserve"> 2021; 36(5): 4161</w:t>
      </w:r>
      <w:r>
        <w:rPr>
          <w:rFonts w:ascii="Calibri" w:eastAsia="Calibri" w:hAnsi="Calibri" w:cs="Calibri"/>
          <w:sz w:val="18"/>
        </w:rPr>
        <w:t>–</w:t>
      </w:r>
      <w:r>
        <w:rPr>
          <w:sz w:val="18"/>
        </w:rPr>
        <w:t>4171.</w:t>
      </w:r>
    </w:p>
    <w:p w14:paraId="2F6643C6" w14:textId="77777777" w:rsidR="001F2A0B" w:rsidRDefault="00BC538D">
      <w:pPr>
        <w:numPr>
          <w:ilvl w:val="0"/>
          <w:numId w:val="3"/>
        </w:numPr>
        <w:spacing w:after="27" w:line="298" w:lineRule="auto"/>
        <w:ind w:right="0" w:hanging="324"/>
      </w:pPr>
      <w:r>
        <w:rPr>
          <w:sz w:val="18"/>
        </w:rPr>
        <w:t xml:space="preserve">Liu H-H and Chen Y-C. A study on the volatility </w:t>
      </w:r>
      <w:proofErr w:type="spellStart"/>
      <w:r>
        <w:rPr>
          <w:sz w:val="18"/>
        </w:rPr>
        <w:t>spillovers</w:t>
      </w:r>
      <w:proofErr w:type="spellEnd"/>
      <w:r>
        <w:rPr>
          <w:sz w:val="18"/>
        </w:rPr>
        <w:t xml:space="preserve">, long memory effects and interactions </w:t>
      </w:r>
      <w:proofErr w:type="spellStart"/>
      <w:r>
        <w:rPr>
          <w:sz w:val="18"/>
        </w:rPr>
        <w:t>betweencarbon</w:t>
      </w:r>
      <w:proofErr w:type="spellEnd"/>
      <w:r>
        <w:rPr>
          <w:sz w:val="18"/>
        </w:rPr>
        <w:t xml:space="preserve"> and energy markets: the impacts of extreme weather. Econ Model 2013; 35: 840</w:t>
      </w:r>
      <w:r>
        <w:rPr>
          <w:rFonts w:ascii="Calibri" w:eastAsia="Calibri" w:hAnsi="Calibri" w:cs="Calibri"/>
          <w:sz w:val="18"/>
        </w:rPr>
        <w:t>–</w:t>
      </w:r>
      <w:r>
        <w:rPr>
          <w:sz w:val="18"/>
        </w:rPr>
        <w:t>855.</w:t>
      </w:r>
    </w:p>
    <w:p w14:paraId="0142D97A" w14:textId="77777777" w:rsidR="001F2A0B" w:rsidRDefault="00BC538D">
      <w:pPr>
        <w:numPr>
          <w:ilvl w:val="0"/>
          <w:numId w:val="3"/>
        </w:numPr>
        <w:spacing w:after="681" w:line="298" w:lineRule="auto"/>
        <w:ind w:right="0" w:hanging="324"/>
      </w:pPr>
      <w:r>
        <w:rPr>
          <w:sz w:val="18"/>
        </w:rPr>
        <w:t xml:space="preserve">Elder J and </w:t>
      </w:r>
      <w:proofErr w:type="spellStart"/>
      <w:r>
        <w:rPr>
          <w:sz w:val="18"/>
        </w:rPr>
        <w:t>Serletis</w:t>
      </w:r>
      <w:proofErr w:type="spellEnd"/>
      <w:r>
        <w:rPr>
          <w:sz w:val="18"/>
        </w:rPr>
        <w:t xml:space="preserve"> A. Long memory in energy futures prices. Rev </w:t>
      </w:r>
      <w:proofErr w:type="spellStart"/>
      <w:r>
        <w:rPr>
          <w:sz w:val="18"/>
        </w:rPr>
        <w:t>Financ</w:t>
      </w:r>
      <w:proofErr w:type="spellEnd"/>
      <w:r>
        <w:rPr>
          <w:sz w:val="18"/>
        </w:rPr>
        <w:t xml:space="preserve"> Econ 2008; 17 2)</w:t>
      </w:r>
      <w:proofErr w:type="gramStart"/>
      <w:r>
        <w:rPr>
          <w:sz w:val="18"/>
        </w:rPr>
        <w:t>: :</w:t>
      </w:r>
      <w:proofErr w:type="gramEnd"/>
      <w:r>
        <w:rPr>
          <w:sz w:val="18"/>
        </w:rPr>
        <w:t xml:space="preserve"> 146</w:t>
      </w:r>
      <w:r>
        <w:rPr>
          <w:rFonts w:ascii="Calibri" w:eastAsia="Calibri" w:hAnsi="Calibri" w:cs="Calibri"/>
          <w:sz w:val="18"/>
        </w:rPr>
        <w:t>–</w:t>
      </w:r>
      <w:r>
        <w:rPr>
          <w:sz w:val="18"/>
        </w:rPr>
        <w:t xml:space="preserve">155. 53. Tiwari AK, Umar Z and </w:t>
      </w:r>
      <w:proofErr w:type="spellStart"/>
      <w:r>
        <w:rPr>
          <w:sz w:val="18"/>
        </w:rPr>
        <w:t>Alqahtani</w:t>
      </w:r>
      <w:proofErr w:type="spellEnd"/>
      <w:r>
        <w:rPr>
          <w:sz w:val="18"/>
        </w:rPr>
        <w:t xml:space="preserve"> F. Existence of long memory in crude oil and petroleum products: Generalised hurst exponent approach. Res Int Bus </w:t>
      </w:r>
      <w:proofErr w:type="spellStart"/>
      <w:r>
        <w:rPr>
          <w:sz w:val="18"/>
        </w:rPr>
        <w:t>Financ</w:t>
      </w:r>
      <w:proofErr w:type="spellEnd"/>
      <w:r>
        <w:rPr>
          <w:sz w:val="18"/>
        </w:rPr>
        <w:t xml:space="preserve"> 2021; 57: 101403.</w:t>
      </w:r>
    </w:p>
    <w:p w14:paraId="7C9DC8ED" w14:textId="77777777" w:rsidR="001F2A0B" w:rsidRDefault="00BC538D">
      <w:pPr>
        <w:pStyle w:val="Heading1"/>
        <w:spacing w:after="59"/>
        <w:ind w:left="-5" w:right="0"/>
      </w:pPr>
      <w:r>
        <w:t>Author biographies</w:t>
      </w:r>
    </w:p>
    <w:p w14:paraId="4C32215C" w14:textId="77777777" w:rsidR="001F2A0B" w:rsidRDefault="00BC538D">
      <w:pPr>
        <w:spacing w:after="297"/>
        <w:ind w:left="-5" w:right="0"/>
      </w:pPr>
      <w:proofErr w:type="spellStart"/>
      <w:r>
        <w:rPr>
          <w:rFonts w:ascii="Calibri" w:eastAsia="Calibri" w:hAnsi="Calibri" w:cs="Calibri"/>
        </w:rPr>
        <w:t>Xiaohang</w:t>
      </w:r>
      <w:proofErr w:type="spellEnd"/>
      <w:r>
        <w:rPr>
          <w:rFonts w:ascii="Calibri" w:eastAsia="Calibri" w:hAnsi="Calibri" w:cs="Calibri"/>
        </w:rPr>
        <w:t xml:space="preserve"> Ren </w:t>
      </w:r>
      <w:r>
        <w:t xml:space="preserve">is an Associate Professor at School of Business, Central South University. His research interests include econometrics, green </w:t>
      </w:r>
      <w:r>
        <w:rPr>
          <w:rFonts w:ascii="Calibri" w:eastAsia="Calibri" w:hAnsi="Calibri" w:cs="Calibri"/>
        </w:rPr>
        <w:t>fi</w:t>
      </w:r>
      <w:r>
        <w:t xml:space="preserve">nance, energy </w:t>
      </w:r>
      <w:r>
        <w:rPr>
          <w:rFonts w:ascii="Calibri" w:eastAsia="Calibri" w:hAnsi="Calibri" w:cs="Calibri"/>
        </w:rPr>
        <w:t>fi</w:t>
      </w:r>
      <w:r>
        <w:t>nance, energy economics, and environmental economics. He has published more than 70 papers in journals such as Journal of the American Statistical Association, Transportation Research Part A: Policy and Practice, Energy Economics, International Review of Financial Analysis, Technological Forecasting and Social Change, and Journal of Environmental Management.</w:t>
      </w:r>
    </w:p>
    <w:p w14:paraId="3A36B624" w14:textId="77777777" w:rsidR="001F2A0B" w:rsidRDefault="00BC538D">
      <w:pPr>
        <w:spacing w:after="276"/>
        <w:ind w:left="-5" w:right="0"/>
      </w:pPr>
      <w:proofErr w:type="spellStart"/>
      <w:r>
        <w:rPr>
          <w:rFonts w:ascii="Calibri" w:eastAsia="Calibri" w:hAnsi="Calibri" w:cs="Calibri"/>
        </w:rPr>
        <w:t>Yiying</w:t>
      </w:r>
      <w:proofErr w:type="spellEnd"/>
      <w:r>
        <w:rPr>
          <w:rFonts w:ascii="Calibri" w:eastAsia="Calibri" w:hAnsi="Calibri" w:cs="Calibri"/>
        </w:rPr>
        <w:t xml:space="preserve"> Li </w:t>
      </w:r>
      <w:r>
        <w:t xml:space="preserve">is a doctoral student at the School of Finance, Renmin University of China. Her research interests include corporate </w:t>
      </w:r>
      <w:r>
        <w:rPr>
          <w:rFonts w:ascii="Calibri" w:eastAsia="Calibri" w:hAnsi="Calibri" w:cs="Calibri"/>
        </w:rPr>
        <w:t>fi</w:t>
      </w:r>
      <w:r>
        <w:t xml:space="preserve">nance, green </w:t>
      </w:r>
      <w:r>
        <w:rPr>
          <w:rFonts w:ascii="Calibri" w:eastAsia="Calibri" w:hAnsi="Calibri" w:cs="Calibri"/>
        </w:rPr>
        <w:t>fi</w:t>
      </w:r>
      <w:r>
        <w:t xml:space="preserve">nance, energy market, and climate risk. She has published some papers in journals, such as </w:t>
      </w:r>
      <w:proofErr w:type="spellStart"/>
      <w:r>
        <w:t>Bussiness</w:t>
      </w:r>
      <w:proofErr w:type="spellEnd"/>
      <w:r>
        <w:t xml:space="preserve"> Strategy and the Environment, Technological Forecasting and Social Change, Resources Policy, etc.</w:t>
      </w:r>
    </w:p>
    <w:p w14:paraId="5FF6563F" w14:textId="77777777" w:rsidR="001F2A0B" w:rsidRDefault="00BC538D">
      <w:pPr>
        <w:spacing w:after="275"/>
        <w:ind w:left="-5" w:right="0"/>
      </w:pPr>
      <w:r>
        <w:rPr>
          <w:rFonts w:ascii="Calibri" w:eastAsia="Calibri" w:hAnsi="Calibri" w:cs="Calibri"/>
        </w:rPr>
        <w:lastRenderedPageBreak/>
        <w:t xml:space="preserve">Kun Duan </w:t>
      </w:r>
      <w:r>
        <w:t xml:space="preserve">is an Assistant Professor at School of Economics, Huazhong University of Science and Technology. His research interests mainly </w:t>
      </w:r>
      <w:proofErr w:type="gramStart"/>
      <w:r>
        <w:t>involves</w:t>
      </w:r>
      <w:proofErr w:type="gramEnd"/>
      <w:r>
        <w:t xml:space="preserve"> behavioral economics, and asset market. He has recently published mover 20 papers in </w:t>
      </w:r>
      <w:proofErr w:type="gramStart"/>
      <w:r>
        <w:t>internationally-renowned</w:t>
      </w:r>
      <w:proofErr w:type="gramEnd"/>
      <w:r>
        <w:t xml:space="preserve"> journals such as Journal of International Financial Markets, Institutions and Money, Energy Economics, International Review of Financial Analysis, European Journal of Finance, etc.</w:t>
      </w:r>
    </w:p>
    <w:p w14:paraId="0857A08F" w14:textId="77777777" w:rsidR="001F2A0B" w:rsidRDefault="00BC538D">
      <w:pPr>
        <w:ind w:left="-5" w:right="0"/>
      </w:pPr>
      <w:r>
        <w:rPr>
          <w:rFonts w:ascii="Calibri" w:eastAsia="Calibri" w:hAnsi="Calibri" w:cs="Calibri"/>
        </w:rPr>
        <w:t xml:space="preserve">Tapas Mishra </w:t>
      </w:r>
      <w:r>
        <w:t>is a Professor of Financial Economics, Head of Banking and Finance and the</w:t>
      </w:r>
    </w:p>
    <w:p w14:paraId="24B7301E" w14:textId="77777777" w:rsidR="001F2A0B" w:rsidRDefault="00BC538D">
      <w:pPr>
        <w:ind w:left="-5" w:right="0"/>
      </w:pPr>
      <w:r>
        <w:t xml:space="preserve">Director of the Centre for Empirical Research in Finance and Banking at the Southampton Business School, University of Southampton. His main research interests are climate change, sustainable dimensions of </w:t>
      </w:r>
      <w:r>
        <w:rPr>
          <w:rFonts w:ascii="Calibri" w:eastAsia="Calibri" w:hAnsi="Calibri" w:cs="Calibri"/>
        </w:rPr>
        <w:t>fi</w:t>
      </w:r>
      <w:r>
        <w:t xml:space="preserve">nance and growth, theoretical and applied aspects of time series and panel data econometrics. He has published over 60 research papers in many </w:t>
      </w:r>
      <w:proofErr w:type="gramStart"/>
      <w:r>
        <w:t>world</w:t>
      </w:r>
      <w:proofErr w:type="gramEnd"/>
      <w:r>
        <w:t xml:space="preserve"> leading journals such as the Nature, the Energy Economics, the Journal of Economic Behaviour and Organisation, the Review of International Economics, among others.</w:t>
      </w:r>
      <w:r>
        <w:br w:type="page"/>
      </w:r>
    </w:p>
    <w:p w14:paraId="22BDC225" w14:textId="77777777" w:rsidR="001F2A0B" w:rsidRDefault="00BC538D">
      <w:pPr>
        <w:pStyle w:val="Heading1"/>
        <w:spacing w:after="177"/>
        <w:ind w:left="-5" w:right="0"/>
      </w:pPr>
      <w:r>
        <w:lastRenderedPageBreak/>
        <w:t>Appendix A. Estimation of the Monetary Policy in China</w:t>
      </w:r>
    </w:p>
    <w:p w14:paraId="64CDD7B6" w14:textId="77777777" w:rsidR="001F2A0B" w:rsidRDefault="00BC538D">
      <w:pPr>
        <w:spacing w:after="246" w:line="259" w:lineRule="auto"/>
        <w:ind w:left="252" w:right="0" w:firstLine="0"/>
        <w:jc w:val="left"/>
      </w:pPr>
      <w:r>
        <w:rPr>
          <w:noProof/>
        </w:rPr>
        <w:drawing>
          <wp:inline distT="0" distB="0" distL="0" distR="0" wp14:anchorId="5F9F4BF3" wp14:editId="7D31A4C1">
            <wp:extent cx="4647603" cy="3536633"/>
            <wp:effectExtent l="0" t="0" r="0" b="0"/>
            <wp:docPr id="2884" name="Picture 2884"/>
            <wp:cNvGraphicFramePr/>
            <a:graphic xmlns:a="http://schemas.openxmlformats.org/drawingml/2006/main">
              <a:graphicData uri="http://schemas.openxmlformats.org/drawingml/2006/picture">
                <pic:pic xmlns:pic="http://schemas.openxmlformats.org/drawingml/2006/picture">
                  <pic:nvPicPr>
                    <pic:cNvPr id="2884" name="Picture 2884"/>
                    <pic:cNvPicPr/>
                  </pic:nvPicPr>
                  <pic:blipFill>
                    <a:blip r:embed="rId30"/>
                    <a:stretch>
                      <a:fillRect/>
                    </a:stretch>
                  </pic:blipFill>
                  <pic:spPr>
                    <a:xfrm>
                      <a:off x="0" y="0"/>
                      <a:ext cx="4647603" cy="3536633"/>
                    </a:xfrm>
                    <a:prstGeom prst="rect">
                      <a:avLst/>
                    </a:prstGeom>
                  </pic:spPr>
                </pic:pic>
              </a:graphicData>
            </a:graphic>
          </wp:inline>
        </w:drawing>
      </w:r>
    </w:p>
    <w:p w14:paraId="47D94BE4" w14:textId="77777777" w:rsidR="001F2A0B" w:rsidRDefault="00BC538D">
      <w:pPr>
        <w:spacing w:after="6" w:line="254" w:lineRule="auto"/>
        <w:ind w:left="-5" w:right="0"/>
      </w:pPr>
      <w:r>
        <w:rPr>
          <w:rFonts w:ascii="Calibri" w:eastAsia="Calibri" w:hAnsi="Calibri" w:cs="Calibri"/>
          <w:sz w:val="18"/>
        </w:rPr>
        <w:t>Figure A1. Robust result I: Causality-in-quantiles (CIQs) test results for the relationship of the inefficiency degree between the carbon and crude oil markets. (a) Mean (Oil → Carbon); (b) Variance (Oil → Carbon); (c) Mean (Carbon → Oil); and (d) Variance (Carbon → Oil).</w:t>
      </w:r>
    </w:p>
    <w:p w14:paraId="76413D72" w14:textId="77777777" w:rsidR="001F2A0B" w:rsidRDefault="00BC538D">
      <w:pPr>
        <w:spacing w:after="6" w:line="254" w:lineRule="auto"/>
        <w:ind w:left="-5" w:right="0"/>
      </w:pPr>
      <w:r>
        <w:rPr>
          <w:rFonts w:ascii="Calibri" w:eastAsia="Calibri" w:hAnsi="Calibri" w:cs="Calibri"/>
          <w:sz w:val="18"/>
        </w:rPr>
        <w:t>Note: (i) This figure plots the CIQ test results of the spillover effect of the inefficiency degree between the carbon and crude oil markets formed by both data in levels (</w:t>
      </w:r>
      <w:proofErr w:type="gramStart"/>
      <w:r>
        <w:rPr>
          <w:rFonts w:ascii="Calibri" w:eastAsia="Calibri" w:hAnsi="Calibri" w:cs="Calibri"/>
          <w:sz w:val="18"/>
        </w:rPr>
        <w:t>i.e.</w:t>
      </w:r>
      <w:proofErr w:type="gramEnd"/>
      <w:r>
        <w:rPr>
          <w:rFonts w:ascii="Calibri" w:eastAsia="Calibri" w:hAnsi="Calibri" w:cs="Calibri"/>
          <w:sz w:val="18"/>
        </w:rPr>
        <w:t xml:space="preserve"> mean) and volatility, respectively. The corresponding results in the data format of levels (shown in (a) and (c)) and volatility (shown in (b) and (d)) are</w:t>
      </w:r>
      <w:proofErr w:type="gramStart"/>
      <w:r>
        <w:rPr>
          <w:rFonts w:ascii="Calibri" w:eastAsia="Calibri" w:hAnsi="Calibri" w:cs="Calibri"/>
          <w:sz w:val="18"/>
        </w:rPr>
        <w:t>: ,</w:t>
      </w:r>
      <w:proofErr w:type="gramEnd"/>
      <w:r>
        <w:rPr>
          <w:rFonts w:ascii="Calibri" w:eastAsia="Calibri" w:hAnsi="Calibri" w:cs="Calibri"/>
          <w:sz w:val="18"/>
        </w:rPr>
        <w:t xml:space="preserve"> respectively, reported. The estimated critical value (CV) at 5% level is represented as the horizontal red solid line in each sub-plot. (ii) The vertical axis reports the test statistics of the null hypothesis of the CIQ test, and the horizontal axis indicates the different quantile levels of the specific market of the information “giver” (from q = 0.05 to q = 0.95).</w:t>
      </w:r>
    </w:p>
    <w:p w14:paraId="3FDF3387" w14:textId="77777777" w:rsidR="001F2A0B" w:rsidRDefault="001F2A0B">
      <w:pPr>
        <w:sectPr w:rsidR="001F2A0B">
          <w:headerReference w:type="even" r:id="rId31"/>
          <w:headerReference w:type="default" r:id="rId32"/>
          <w:footerReference w:type="even" r:id="rId33"/>
          <w:footerReference w:type="default" r:id="rId34"/>
          <w:headerReference w:type="first" r:id="rId35"/>
          <w:footerReference w:type="first" r:id="rId36"/>
          <w:pgSz w:w="9638" w:h="13720"/>
          <w:pgMar w:top="939" w:right="849" w:bottom="1075" w:left="964" w:header="720" w:footer="720" w:gutter="0"/>
          <w:cols w:space="720"/>
          <w:titlePg/>
        </w:sectPr>
      </w:pPr>
    </w:p>
    <w:p w14:paraId="70C89848" w14:textId="77777777" w:rsidR="001F2A0B" w:rsidRDefault="00BC538D">
      <w:pPr>
        <w:spacing w:after="247" w:line="259" w:lineRule="auto"/>
        <w:ind w:left="252" w:right="0" w:firstLine="0"/>
        <w:jc w:val="left"/>
      </w:pPr>
      <w:r>
        <w:rPr>
          <w:noProof/>
        </w:rPr>
        <w:lastRenderedPageBreak/>
        <w:drawing>
          <wp:inline distT="0" distB="0" distL="0" distR="0" wp14:anchorId="748A8D80" wp14:editId="02635E6A">
            <wp:extent cx="4647603" cy="3512160"/>
            <wp:effectExtent l="0" t="0" r="0" b="0"/>
            <wp:docPr id="2934" name="Picture 2934"/>
            <wp:cNvGraphicFramePr/>
            <a:graphic xmlns:a="http://schemas.openxmlformats.org/drawingml/2006/main">
              <a:graphicData uri="http://schemas.openxmlformats.org/drawingml/2006/picture">
                <pic:pic xmlns:pic="http://schemas.openxmlformats.org/drawingml/2006/picture">
                  <pic:nvPicPr>
                    <pic:cNvPr id="2934" name="Picture 2934"/>
                    <pic:cNvPicPr/>
                  </pic:nvPicPr>
                  <pic:blipFill>
                    <a:blip r:embed="rId37"/>
                    <a:stretch>
                      <a:fillRect/>
                    </a:stretch>
                  </pic:blipFill>
                  <pic:spPr>
                    <a:xfrm>
                      <a:off x="0" y="0"/>
                      <a:ext cx="4647603" cy="3512160"/>
                    </a:xfrm>
                    <a:prstGeom prst="rect">
                      <a:avLst/>
                    </a:prstGeom>
                  </pic:spPr>
                </pic:pic>
              </a:graphicData>
            </a:graphic>
          </wp:inline>
        </w:drawing>
      </w:r>
    </w:p>
    <w:p w14:paraId="5A8704FB" w14:textId="77777777" w:rsidR="001F2A0B" w:rsidRDefault="00BC538D">
      <w:pPr>
        <w:spacing w:after="6" w:line="254" w:lineRule="auto"/>
        <w:ind w:left="-5" w:right="0"/>
      </w:pPr>
      <w:r>
        <w:rPr>
          <w:rFonts w:ascii="Calibri" w:eastAsia="Calibri" w:hAnsi="Calibri" w:cs="Calibri"/>
          <w:sz w:val="18"/>
        </w:rPr>
        <w:t>Figure A2. Robust result I: Causality-in-quantiles (CIQs) test results for the relationship of the inefficiency degree between the carbon and natural gas markets. (a) Mean (Natural Gas → Carbon); (b) Variance (Natural Gas → Carbon); (c) Mean (Carbon → Natural Gas); and (d) Variance (Carbon → Natural Gas).</w:t>
      </w:r>
    </w:p>
    <w:p w14:paraId="08D6F0B9" w14:textId="77777777" w:rsidR="001F2A0B" w:rsidRDefault="00BC538D">
      <w:pPr>
        <w:spacing w:after="6" w:line="254" w:lineRule="auto"/>
        <w:ind w:left="-5" w:right="0"/>
      </w:pPr>
      <w:r>
        <w:rPr>
          <w:rFonts w:ascii="Calibri" w:eastAsia="Calibri" w:hAnsi="Calibri" w:cs="Calibri"/>
          <w:sz w:val="18"/>
        </w:rPr>
        <w:t>Note: (i) This figure plots the CIQ test results of the spillover effect of the inefficiency degree between the carbon and natural gas markets formed by both data in levels (</w:t>
      </w:r>
      <w:proofErr w:type="gramStart"/>
      <w:r>
        <w:rPr>
          <w:rFonts w:ascii="Calibri" w:eastAsia="Calibri" w:hAnsi="Calibri" w:cs="Calibri"/>
          <w:sz w:val="18"/>
        </w:rPr>
        <w:t>i.e.</w:t>
      </w:r>
      <w:proofErr w:type="gramEnd"/>
      <w:r>
        <w:rPr>
          <w:rFonts w:ascii="Calibri" w:eastAsia="Calibri" w:hAnsi="Calibri" w:cs="Calibri"/>
          <w:sz w:val="18"/>
        </w:rPr>
        <w:t xml:space="preserve"> mean) and volatility, respectively. The corresponding results in the data format of levels (shown in (a) and (c)) and volatility (shown in (b) and (d)) are, respectively, reported. The estimated critical value (CV) at 5% level is represented as the horizontal red</w:t>
      </w:r>
    </w:p>
    <w:p w14:paraId="38DD8D06" w14:textId="77777777" w:rsidR="001F2A0B" w:rsidRDefault="00BC538D">
      <w:pPr>
        <w:spacing w:after="246" w:line="259" w:lineRule="auto"/>
        <w:ind w:left="252" w:right="0" w:firstLine="0"/>
        <w:jc w:val="left"/>
      </w:pPr>
      <w:r>
        <w:rPr>
          <w:noProof/>
        </w:rPr>
        <w:lastRenderedPageBreak/>
        <w:drawing>
          <wp:inline distT="0" distB="0" distL="0" distR="0" wp14:anchorId="3929C62D" wp14:editId="12A472A3">
            <wp:extent cx="4647603" cy="3521520"/>
            <wp:effectExtent l="0" t="0" r="0" b="0"/>
            <wp:docPr id="2982" name="Picture 2982"/>
            <wp:cNvGraphicFramePr/>
            <a:graphic xmlns:a="http://schemas.openxmlformats.org/drawingml/2006/main">
              <a:graphicData uri="http://schemas.openxmlformats.org/drawingml/2006/picture">
                <pic:pic xmlns:pic="http://schemas.openxmlformats.org/drawingml/2006/picture">
                  <pic:nvPicPr>
                    <pic:cNvPr id="2982" name="Picture 2982"/>
                    <pic:cNvPicPr/>
                  </pic:nvPicPr>
                  <pic:blipFill>
                    <a:blip r:embed="rId38"/>
                    <a:stretch>
                      <a:fillRect/>
                    </a:stretch>
                  </pic:blipFill>
                  <pic:spPr>
                    <a:xfrm>
                      <a:off x="0" y="0"/>
                      <a:ext cx="4647603" cy="3521520"/>
                    </a:xfrm>
                    <a:prstGeom prst="rect">
                      <a:avLst/>
                    </a:prstGeom>
                  </pic:spPr>
                </pic:pic>
              </a:graphicData>
            </a:graphic>
          </wp:inline>
        </w:drawing>
      </w:r>
    </w:p>
    <w:p w14:paraId="2677F247" w14:textId="77777777" w:rsidR="001F2A0B" w:rsidRDefault="00BC538D">
      <w:pPr>
        <w:spacing w:after="6" w:line="254" w:lineRule="auto"/>
        <w:ind w:left="-5" w:right="0"/>
      </w:pPr>
      <w:r>
        <w:rPr>
          <w:rFonts w:ascii="Calibri" w:eastAsia="Calibri" w:hAnsi="Calibri" w:cs="Calibri"/>
          <w:sz w:val="18"/>
        </w:rPr>
        <w:t>Figure A3. Robust result I: Causality-in-quantiles (CIQs) test results for the relationship of the inefficiency degree between the carbon and coal markets. (a) Mean (Coal → Carbon); (b) Variance (Coal → Carbon); (c) Mean (Carbon → Coal); and (d) Variance (Carbon → Coal).</w:t>
      </w:r>
    </w:p>
    <w:p w14:paraId="62965220" w14:textId="77777777" w:rsidR="001F2A0B" w:rsidRDefault="00BC538D">
      <w:pPr>
        <w:spacing w:after="6" w:line="254" w:lineRule="auto"/>
        <w:ind w:left="-5" w:right="0"/>
      </w:pPr>
      <w:r>
        <w:rPr>
          <w:rFonts w:ascii="Calibri" w:eastAsia="Calibri" w:hAnsi="Calibri" w:cs="Calibri"/>
          <w:sz w:val="18"/>
        </w:rPr>
        <w:t>Note: (i) This figure plots the CIQ test results of the spillover effect of the inefficiency degree between the carbon and coal markets formed by both data in levels (</w:t>
      </w:r>
      <w:proofErr w:type="gramStart"/>
      <w:r>
        <w:rPr>
          <w:rFonts w:ascii="Calibri" w:eastAsia="Calibri" w:hAnsi="Calibri" w:cs="Calibri"/>
          <w:sz w:val="18"/>
        </w:rPr>
        <w:t>i.e.</w:t>
      </w:r>
      <w:proofErr w:type="gramEnd"/>
      <w:r>
        <w:rPr>
          <w:rFonts w:ascii="Calibri" w:eastAsia="Calibri" w:hAnsi="Calibri" w:cs="Calibri"/>
          <w:sz w:val="18"/>
        </w:rPr>
        <w:t xml:space="preserve"> mean) and volatility, respectively. The corresponding results in the data format of levels (shown in (a) and (c)) and volatility (shown in (b) and (d)) are</w:t>
      </w:r>
      <w:proofErr w:type="gramStart"/>
      <w:r>
        <w:rPr>
          <w:rFonts w:ascii="Calibri" w:eastAsia="Calibri" w:hAnsi="Calibri" w:cs="Calibri"/>
          <w:sz w:val="18"/>
        </w:rPr>
        <w:t>: ,</w:t>
      </w:r>
      <w:proofErr w:type="gramEnd"/>
      <w:r>
        <w:rPr>
          <w:rFonts w:ascii="Calibri" w:eastAsia="Calibri" w:hAnsi="Calibri" w:cs="Calibri"/>
          <w:sz w:val="18"/>
        </w:rPr>
        <w:t xml:space="preserve"> respectively, reported. The estimated critical value (CV) at 5% level is represented as the horizontal red solid line in each sub-plot. (ii) The vertical axis reports the test statistics of the null hypothesis of the CIQ test, and the horizontal axis indicates the different quantile levels of the specific market of the information “giver” (from q = 0.05 to q = 0.95).</w:t>
      </w:r>
    </w:p>
    <w:p w14:paraId="3BD988A4" w14:textId="77777777" w:rsidR="001F2A0B" w:rsidRDefault="00BC538D">
      <w:pPr>
        <w:spacing w:after="247" w:line="259" w:lineRule="auto"/>
        <w:ind w:left="252" w:right="0" w:firstLine="0"/>
        <w:jc w:val="left"/>
      </w:pPr>
      <w:r>
        <w:rPr>
          <w:noProof/>
        </w:rPr>
        <w:lastRenderedPageBreak/>
        <w:drawing>
          <wp:inline distT="0" distB="0" distL="0" distR="0" wp14:anchorId="49CE89DE" wp14:editId="138BDB66">
            <wp:extent cx="4647603" cy="3512160"/>
            <wp:effectExtent l="0" t="0" r="0" b="0"/>
            <wp:docPr id="3030" name="Picture 3030"/>
            <wp:cNvGraphicFramePr/>
            <a:graphic xmlns:a="http://schemas.openxmlformats.org/drawingml/2006/main">
              <a:graphicData uri="http://schemas.openxmlformats.org/drawingml/2006/picture">
                <pic:pic xmlns:pic="http://schemas.openxmlformats.org/drawingml/2006/picture">
                  <pic:nvPicPr>
                    <pic:cNvPr id="3030" name="Picture 3030"/>
                    <pic:cNvPicPr/>
                  </pic:nvPicPr>
                  <pic:blipFill>
                    <a:blip r:embed="rId39"/>
                    <a:stretch>
                      <a:fillRect/>
                    </a:stretch>
                  </pic:blipFill>
                  <pic:spPr>
                    <a:xfrm>
                      <a:off x="0" y="0"/>
                      <a:ext cx="4647603" cy="3512160"/>
                    </a:xfrm>
                    <a:prstGeom prst="rect">
                      <a:avLst/>
                    </a:prstGeom>
                  </pic:spPr>
                </pic:pic>
              </a:graphicData>
            </a:graphic>
          </wp:inline>
        </w:drawing>
      </w:r>
    </w:p>
    <w:p w14:paraId="235BCE73" w14:textId="77777777" w:rsidR="001F2A0B" w:rsidRDefault="00BC538D">
      <w:pPr>
        <w:spacing w:after="6" w:line="254" w:lineRule="auto"/>
        <w:ind w:left="-5" w:right="0"/>
      </w:pPr>
      <w:r>
        <w:rPr>
          <w:rFonts w:ascii="Calibri" w:eastAsia="Calibri" w:hAnsi="Calibri" w:cs="Calibri"/>
          <w:sz w:val="18"/>
        </w:rPr>
        <w:t>Figure A4. Robust result II: Causality-in-quantiles (CIQs) test results for the relationship of the inefficiency degree between the carbon and crude oil markets. (a) Mean (Oil → Carbon); (b) Variance (Oil → Carbon); (c) Mean (Carbon → Oil); and (d) Variance (Carbon → Oil).</w:t>
      </w:r>
    </w:p>
    <w:p w14:paraId="140BE793" w14:textId="77777777" w:rsidR="001F2A0B" w:rsidRDefault="00BC538D">
      <w:pPr>
        <w:spacing w:after="6" w:line="254" w:lineRule="auto"/>
        <w:ind w:left="-5" w:right="0"/>
      </w:pPr>
      <w:r>
        <w:rPr>
          <w:rFonts w:ascii="Calibri" w:eastAsia="Calibri" w:hAnsi="Calibri" w:cs="Calibri"/>
          <w:sz w:val="18"/>
        </w:rPr>
        <w:t>Note: (i) This figure plots the CIQ test results of the spillover effect of the inefficiency degree between the carbon and crude oil markets formed by both data in levels (</w:t>
      </w:r>
      <w:proofErr w:type="gramStart"/>
      <w:r>
        <w:rPr>
          <w:rFonts w:ascii="Calibri" w:eastAsia="Calibri" w:hAnsi="Calibri" w:cs="Calibri"/>
          <w:sz w:val="18"/>
        </w:rPr>
        <w:t>i.e.</w:t>
      </w:r>
      <w:proofErr w:type="gramEnd"/>
      <w:r>
        <w:rPr>
          <w:rFonts w:ascii="Calibri" w:eastAsia="Calibri" w:hAnsi="Calibri" w:cs="Calibri"/>
          <w:sz w:val="18"/>
        </w:rPr>
        <w:t xml:space="preserve"> mean) and volatility, respectively. The corresponding results in the data format of levels (shown in (a) and (c)) and volatility (shown in (b) and (d)) </w:t>
      </w:r>
      <w:proofErr w:type="gramStart"/>
      <w:r>
        <w:rPr>
          <w:rFonts w:ascii="Calibri" w:eastAsia="Calibri" w:hAnsi="Calibri" w:cs="Calibri"/>
          <w:sz w:val="18"/>
        </w:rPr>
        <w:t>are:,</w:t>
      </w:r>
      <w:proofErr w:type="gramEnd"/>
      <w:r>
        <w:rPr>
          <w:rFonts w:ascii="Calibri" w:eastAsia="Calibri" w:hAnsi="Calibri" w:cs="Calibri"/>
          <w:sz w:val="18"/>
        </w:rPr>
        <w:t xml:space="preserve"> respectively, reported. The estimated critical value (CV) at 5% level is represented as the horizontal red</w:t>
      </w:r>
    </w:p>
    <w:p w14:paraId="27BFA50E" w14:textId="77777777" w:rsidR="001F2A0B" w:rsidRDefault="00BC538D">
      <w:pPr>
        <w:spacing w:after="247" w:line="259" w:lineRule="auto"/>
        <w:ind w:left="252" w:right="0" w:firstLine="0"/>
        <w:jc w:val="left"/>
      </w:pPr>
      <w:r>
        <w:rPr>
          <w:noProof/>
        </w:rPr>
        <w:lastRenderedPageBreak/>
        <w:drawing>
          <wp:inline distT="0" distB="0" distL="0" distR="0" wp14:anchorId="776C920C" wp14:editId="1B2BC6D4">
            <wp:extent cx="4647603" cy="3512160"/>
            <wp:effectExtent l="0" t="0" r="0" b="0"/>
            <wp:docPr id="3080" name="Picture 3080"/>
            <wp:cNvGraphicFramePr/>
            <a:graphic xmlns:a="http://schemas.openxmlformats.org/drawingml/2006/main">
              <a:graphicData uri="http://schemas.openxmlformats.org/drawingml/2006/picture">
                <pic:pic xmlns:pic="http://schemas.openxmlformats.org/drawingml/2006/picture">
                  <pic:nvPicPr>
                    <pic:cNvPr id="3080" name="Picture 3080"/>
                    <pic:cNvPicPr/>
                  </pic:nvPicPr>
                  <pic:blipFill>
                    <a:blip r:embed="rId40"/>
                    <a:stretch>
                      <a:fillRect/>
                    </a:stretch>
                  </pic:blipFill>
                  <pic:spPr>
                    <a:xfrm>
                      <a:off x="0" y="0"/>
                      <a:ext cx="4647603" cy="3512160"/>
                    </a:xfrm>
                    <a:prstGeom prst="rect">
                      <a:avLst/>
                    </a:prstGeom>
                  </pic:spPr>
                </pic:pic>
              </a:graphicData>
            </a:graphic>
          </wp:inline>
        </w:drawing>
      </w:r>
    </w:p>
    <w:p w14:paraId="7E2BDBD4" w14:textId="77777777" w:rsidR="001F2A0B" w:rsidRDefault="00BC538D">
      <w:pPr>
        <w:spacing w:after="6" w:line="254" w:lineRule="auto"/>
        <w:ind w:left="-5" w:right="0"/>
      </w:pPr>
      <w:r>
        <w:rPr>
          <w:rFonts w:ascii="Calibri" w:eastAsia="Calibri" w:hAnsi="Calibri" w:cs="Calibri"/>
          <w:sz w:val="18"/>
        </w:rPr>
        <w:t>Figure A5. Robust result II: Causality-in-quantiles (CIQs) test results for the relationship of the inefficiency degree between the carbon and natural gas markets. (a) Mean (Natural Gas → Carbon); (b) Variance (Natural Gas → Carbon); (c) Mean (Carbon → Natural Gas); and (d) Variance (Carbon → Natural Gas).</w:t>
      </w:r>
    </w:p>
    <w:p w14:paraId="739D5ABC" w14:textId="77777777" w:rsidR="001F2A0B" w:rsidRDefault="00BC538D">
      <w:pPr>
        <w:spacing w:after="6" w:line="254" w:lineRule="auto"/>
        <w:ind w:left="-5" w:right="0"/>
      </w:pPr>
      <w:r>
        <w:rPr>
          <w:rFonts w:ascii="Calibri" w:eastAsia="Calibri" w:hAnsi="Calibri" w:cs="Calibri"/>
          <w:sz w:val="18"/>
        </w:rPr>
        <w:t>Note: (i) This figure plots the CIQ test results of the spillover effect of the inefficiency degree between the carbon and natural gas markets formed by both data in levels (</w:t>
      </w:r>
      <w:proofErr w:type="gramStart"/>
      <w:r>
        <w:rPr>
          <w:rFonts w:ascii="Calibri" w:eastAsia="Calibri" w:hAnsi="Calibri" w:cs="Calibri"/>
          <w:sz w:val="18"/>
        </w:rPr>
        <w:t>i.e.</w:t>
      </w:r>
      <w:proofErr w:type="gramEnd"/>
      <w:r>
        <w:rPr>
          <w:rFonts w:ascii="Calibri" w:eastAsia="Calibri" w:hAnsi="Calibri" w:cs="Calibri"/>
          <w:sz w:val="18"/>
        </w:rPr>
        <w:t xml:space="preserve"> mean) and volatility, respectively. The corresponding results in the data format of levels (shown in (a) and (c)) and volatility (shown in (b) and (d)) </w:t>
      </w:r>
      <w:proofErr w:type="gramStart"/>
      <w:r>
        <w:rPr>
          <w:rFonts w:ascii="Calibri" w:eastAsia="Calibri" w:hAnsi="Calibri" w:cs="Calibri"/>
          <w:sz w:val="18"/>
        </w:rPr>
        <w:t>are:,</w:t>
      </w:r>
      <w:proofErr w:type="gramEnd"/>
      <w:r>
        <w:rPr>
          <w:rFonts w:ascii="Calibri" w:eastAsia="Calibri" w:hAnsi="Calibri" w:cs="Calibri"/>
          <w:sz w:val="18"/>
        </w:rPr>
        <w:t xml:space="preserve"> respectively, reported. The estimated critical value (CV) at 5% level is represented as the horizontal red solid line in each sub-plot. (ii) The vertical axis reports the test statistics of the null hypothesis of the CIQ test, and the horizontal axis indicates the different quantile levels of the specific market of the information “giver” (from q = 0.05 to q = 0.95).</w:t>
      </w:r>
    </w:p>
    <w:p w14:paraId="76AECEE9" w14:textId="77777777" w:rsidR="001F2A0B" w:rsidRDefault="00BC538D">
      <w:pPr>
        <w:spacing w:after="246" w:line="259" w:lineRule="auto"/>
        <w:ind w:left="252" w:right="0" w:firstLine="0"/>
        <w:jc w:val="left"/>
      </w:pPr>
      <w:r>
        <w:rPr>
          <w:noProof/>
        </w:rPr>
        <w:lastRenderedPageBreak/>
        <w:drawing>
          <wp:inline distT="0" distB="0" distL="0" distR="0" wp14:anchorId="79777F37" wp14:editId="785856C4">
            <wp:extent cx="4647603" cy="3521520"/>
            <wp:effectExtent l="0" t="0" r="0" b="0"/>
            <wp:docPr id="3128" name="Picture 3128"/>
            <wp:cNvGraphicFramePr/>
            <a:graphic xmlns:a="http://schemas.openxmlformats.org/drawingml/2006/main">
              <a:graphicData uri="http://schemas.openxmlformats.org/drawingml/2006/picture">
                <pic:pic xmlns:pic="http://schemas.openxmlformats.org/drawingml/2006/picture">
                  <pic:nvPicPr>
                    <pic:cNvPr id="3128" name="Picture 3128"/>
                    <pic:cNvPicPr/>
                  </pic:nvPicPr>
                  <pic:blipFill>
                    <a:blip r:embed="rId41"/>
                    <a:stretch>
                      <a:fillRect/>
                    </a:stretch>
                  </pic:blipFill>
                  <pic:spPr>
                    <a:xfrm>
                      <a:off x="0" y="0"/>
                      <a:ext cx="4647603" cy="3521520"/>
                    </a:xfrm>
                    <a:prstGeom prst="rect">
                      <a:avLst/>
                    </a:prstGeom>
                  </pic:spPr>
                </pic:pic>
              </a:graphicData>
            </a:graphic>
          </wp:inline>
        </w:drawing>
      </w:r>
    </w:p>
    <w:p w14:paraId="2B44C126" w14:textId="77777777" w:rsidR="001F2A0B" w:rsidRDefault="00BC538D">
      <w:pPr>
        <w:spacing w:after="6" w:line="254" w:lineRule="auto"/>
        <w:ind w:left="-5" w:right="0"/>
      </w:pPr>
      <w:r>
        <w:rPr>
          <w:rFonts w:ascii="Calibri" w:eastAsia="Calibri" w:hAnsi="Calibri" w:cs="Calibri"/>
          <w:sz w:val="18"/>
        </w:rPr>
        <w:t>Figure A6. Robust result II: Causality-in-quantiles (CIQs) test results for the relationship of the inefficiency degree between the carbon and coal markets. (a) Mean (Coal → Carbon); (b) Variance (Coal → Carbon); (c) Mean (Carbon → Coal); and (d) Variance (Carbon → Coal).</w:t>
      </w:r>
    </w:p>
    <w:p w14:paraId="07B29611" w14:textId="77777777" w:rsidR="001F2A0B" w:rsidRDefault="00BC538D">
      <w:pPr>
        <w:spacing w:after="6" w:line="254" w:lineRule="auto"/>
        <w:ind w:left="-5" w:right="0"/>
      </w:pPr>
      <w:r>
        <w:rPr>
          <w:rFonts w:ascii="Calibri" w:eastAsia="Calibri" w:hAnsi="Calibri" w:cs="Calibri"/>
          <w:sz w:val="18"/>
        </w:rPr>
        <w:t>Note: (i) This figure plots the CIQ test results of the spillover effect of the inefficiency degree between the carbon and coal markets formed by both data in levels (</w:t>
      </w:r>
      <w:proofErr w:type="gramStart"/>
      <w:r>
        <w:rPr>
          <w:rFonts w:ascii="Calibri" w:eastAsia="Calibri" w:hAnsi="Calibri" w:cs="Calibri"/>
          <w:sz w:val="18"/>
        </w:rPr>
        <w:t>i.e.</w:t>
      </w:r>
      <w:proofErr w:type="gramEnd"/>
      <w:r>
        <w:rPr>
          <w:rFonts w:ascii="Calibri" w:eastAsia="Calibri" w:hAnsi="Calibri" w:cs="Calibri"/>
          <w:sz w:val="18"/>
        </w:rPr>
        <w:t xml:space="preserve"> mean) and volatility, respectively. The corresponding results in the data format of levels (shown in (a) and (c)) and volatility (shown in (b) and (d)) </w:t>
      </w:r>
      <w:proofErr w:type="gramStart"/>
      <w:r>
        <w:rPr>
          <w:rFonts w:ascii="Calibri" w:eastAsia="Calibri" w:hAnsi="Calibri" w:cs="Calibri"/>
          <w:sz w:val="18"/>
        </w:rPr>
        <w:t>are:,</w:t>
      </w:r>
      <w:proofErr w:type="gramEnd"/>
      <w:r>
        <w:rPr>
          <w:rFonts w:ascii="Calibri" w:eastAsia="Calibri" w:hAnsi="Calibri" w:cs="Calibri"/>
          <w:sz w:val="18"/>
        </w:rPr>
        <w:t xml:space="preserve"> respectively, reported. The estimated critical value (CV) at 5% level is represented as the horizontal red</w:t>
      </w:r>
    </w:p>
    <w:sectPr w:rsidR="001F2A0B">
      <w:headerReference w:type="even" r:id="rId42"/>
      <w:headerReference w:type="default" r:id="rId43"/>
      <w:footerReference w:type="even" r:id="rId44"/>
      <w:footerReference w:type="default" r:id="rId45"/>
      <w:headerReference w:type="first" r:id="rId46"/>
      <w:footerReference w:type="first" r:id="rId47"/>
      <w:pgSz w:w="9638" w:h="13720"/>
      <w:pgMar w:top="1274" w:right="849" w:bottom="1440" w:left="850" w:header="683"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AD79D" w14:textId="77777777" w:rsidR="00E31830" w:rsidRDefault="00BC538D">
      <w:pPr>
        <w:spacing w:after="0" w:line="240" w:lineRule="auto"/>
      </w:pPr>
      <w:r>
        <w:separator/>
      </w:r>
    </w:p>
  </w:endnote>
  <w:endnote w:type="continuationSeparator" w:id="0">
    <w:p w14:paraId="2B31DD3A" w14:textId="77777777" w:rsidR="00E31830" w:rsidRDefault="00BC5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3766" w14:textId="77777777" w:rsidR="001F2A0B" w:rsidRDefault="001F2A0B">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96998" w14:textId="77777777" w:rsidR="001F2A0B" w:rsidRDefault="001F2A0B">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51038" w14:textId="77777777" w:rsidR="001F2A0B" w:rsidRDefault="001F2A0B">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86F90" w14:textId="77777777" w:rsidR="001F2A0B" w:rsidRDefault="00BC538D">
    <w:pPr>
      <w:spacing w:after="0" w:line="267" w:lineRule="auto"/>
      <w:ind w:left="0" w:right="115" w:firstLine="0"/>
    </w:pPr>
    <w:r>
      <w:rPr>
        <w:rFonts w:ascii="Calibri" w:eastAsia="Calibri" w:hAnsi="Calibri" w:cs="Calibri"/>
        <w:sz w:val="18"/>
      </w:rPr>
      <w:t>solid line in each sub-plot. (ii) The vertical axis reports the test statistics of the null hypothesis of the CIQ test, and the horizontal axis indicates the different quantile levels of the specific market of the information “giver” (from q = 0.05 to q = 0.95).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1EE5" w14:textId="77777777" w:rsidR="001F2A0B" w:rsidRDefault="001F2A0B">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8CD83" w14:textId="77777777" w:rsidR="001F2A0B" w:rsidRDefault="00BC538D">
    <w:pPr>
      <w:spacing w:after="0" w:line="267" w:lineRule="auto"/>
      <w:ind w:left="0" w:right="115" w:firstLine="0"/>
    </w:pPr>
    <w:r>
      <w:rPr>
        <w:rFonts w:ascii="Calibri" w:eastAsia="Calibri" w:hAnsi="Calibri" w:cs="Calibri"/>
        <w:sz w:val="18"/>
      </w:rPr>
      <w:t>solid line in each sub-plot. (ii) The vertical axis reports the test statistics of the null hypothesis of the CIQ test, and the horizontal axis indicates the different quantile levels of the specific market of the information “giver” (from q = 0.05 to q = 0.95).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58BB8" w14:textId="77777777" w:rsidR="00E31830" w:rsidRDefault="00BC538D">
      <w:pPr>
        <w:spacing w:after="0" w:line="240" w:lineRule="auto"/>
      </w:pPr>
      <w:r>
        <w:separator/>
      </w:r>
    </w:p>
  </w:footnote>
  <w:footnote w:type="continuationSeparator" w:id="0">
    <w:p w14:paraId="3F242D48" w14:textId="77777777" w:rsidR="00E31830" w:rsidRDefault="00BC53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B179F" w14:textId="77777777" w:rsidR="001F2A0B" w:rsidRDefault="00BC538D">
    <w:pPr>
      <w:tabs>
        <w:tab w:val="right" w:pos="7825"/>
      </w:tabs>
      <w:spacing w:after="0" w:line="259" w:lineRule="auto"/>
      <w:ind w:left="-113"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010FBC6" wp14:editId="76978590">
              <wp:simplePos x="0" y="0"/>
              <wp:positionH relativeFrom="page">
                <wp:posOffset>540004</wp:posOffset>
              </wp:positionH>
              <wp:positionV relativeFrom="page">
                <wp:posOffset>574555</wp:posOffset>
              </wp:positionV>
              <wp:extent cx="4967999" cy="3600"/>
              <wp:effectExtent l="0" t="0" r="0" b="0"/>
              <wp:wrapSquare wrapText="bothSides"/>
              <wp:docPr id="31648" name="Group 31648"/>
              <wp:cNvGraphicFramePr/>
              <a:graphic xmlns:a="http://schemas.openxmlformats.org/drawingml/2006/main">
                <a:graphicData uri="http://schemas.microsoft.com/office/word/2010/wordprocessingGroup">
                  <wpg:wgp>
                    <wpg:cNvGrpSpPr/>
                    <wpg:grpSpPr>
                      <a:xfrm>
                        <a:off x="0" y="0"/>
                        <a:ext cx="4967999" cy="3600"/>
                        <a:chOff x="0" y="0"/>
                        <a:chExt cx="4967999" cy="3600"/>
                      </a:xfrm>
                    </wpg:grpSpPr>
                    <wps:wsp>
                      <wps:cNvPr id="32372" name="Shape 32372"/>
                      <wps:cNvSpPr/>
                      <wps:spPr>
                        <a:xfrm>
                          <a:off x="0" y="0"/>
                          <a:ext cx="4967999" cy="9144"/>
                        </a:xfrm>
                        <a:custGeom>
                          <a:avLst/>
                          <a:gdLst/>
                          <a:ahLst/>
                          <a:cxnLst/>
                          <a:rect l="0" t="0" r="0" b="0"/>
                          <a:pathLst>
                            <a:path w="4967999" h="9144">
                              <a:moveTo>
                                <a:pt x="0" y="0"/>
                              </a:moveTo>
                              <a:lnTo>
                                <a:pt x="4967999" y="0"/>
                              </a:lnTo>
                              <a:lnTo>
                                <a:pt x="4967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648" style="width:391.181pt;height:0.283447pt;position:absolute;mso-position-horizontal-relative:page;mso-position-horizontal:absolute;margin-left:42.52pt;mso-position-vertical-relative:page;margin-top:45.2405pt;" coordsize="49679,36">
              <v:shape id="Shape 32373" style="position:absolute;width:49679;height:91;left:0;top:0;" coordsize="4967999,9144" path="m0,0l4967999,0l4967999,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ab/>
      <w:t>Energy &amp; Environment 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D3752" w14:textId="77777777" w:rsidR="001F2A0B" w:rsidRDefault="00BC538D">
    <w:pPr>
      <w:tabs>
        <w:tab w:val="right" w:pos="7825"/>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DEBCCB7" wp14:editId="4A19556E">
              <wp:simplePos x="0" y="0"/>
              <wp:positionH relativeFrom="page">
                <wp:posOffset>612000</wp:posOffset>
              </wp:positionH>
              <wp:positionV relativeFrom="page">
                <wp:posOffset>575276</wp:posOffset>
              </wp:positionV>
              <wp:extent cx="4967999" cy="2879"/>
              <wp:effectExtent l="0" t="0" r="0" b="0"/>
              <wp:wrapSquare wrapText="bothSides"/>
              <wp:docPr id="31637" name="Group 31637"/>
              <wp:cNvGraphicFramePr/>
              <a:graphic xmlns:a="http://schemas.openxmlformats.org/drawingml/2006/main">
                <a:graphicData uri="http://schemas.microsoft.com/office/word/2010/wordprocessingGroup">
                  <wpg:wgp>
                    <wpg:cNvGrpSpPr/>
                    <wpg:grpSpPr>
                      <a:xfrm>
                        <a:off x="0" y="0"/>
                        <a:ext cx="4967999" cy="2879"/>
                        <a:chOff x="0" y="0"/>
                        <a:chExt cx="4967999" cy="2879"/>
                      </a:xfrm>
                    </wpg:grpSpPr>
                    <wps:wsp>
                      <wps:cNvPr id="32370" name="Shape 32370"/>
                      <wps:cNvSpPr/>
                      <wps:spPr>
                        <a:xfrm>
                          <a:off x="0" y="0"/>
                          <a:ext cx="4967999" cy="9144"/>
                        </a:xfrm>
                        <a:custGeom>
                          <a:avLst/>
                          <a:gdLst/>
                          <a:ahLst/>
                          <a:cxnLst/>
                          <a:rect l="0" t="0" r="0" b="0"/>
                          <a:pathLst>
                            <a:path w="4967999" h="9144">
                              <a:moveTo>
                                <a:pt x="0" y="0"/>
                              </a:moveTo>
                              <a:lnTo>
                                <a:pt x="4967999" y="0"/>
                              </a:lnTo>
                              <a:lnTo>
                                <a:pt x="4967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637" style="width:391.181pt;height:0.226685pt;position:absolute;mso-position-horizontal-relative:page;mso-position-horizontal:absolute;margin-left:48.189pt;mso-position-vertical-relative:page;margin-top:45.2973pt;" coordsize="49679,28">
              <v:shape id="Shape 32371" style="position:absolute;width:49679;height:91;left:0;top:0;" coordsize="4967999,9144" path="m0,0l4967999,0l4967999,9144l0,9144l0,0">
                <v:stroke weight="0pt" endcap="flat" joinstyle="miter" miterlimit="10" on="false" color="#000000" opacity="0"/>
                <v:fill on="true" color="#000000"/>
              </v:shape>
              <w10:wrap type="square"/>
            </v:group>
          </w:pict>
        </mc:Fallback>
      </mc:AlternateContent>
    </w:r>
    <w:r>
      <w:rPr>
        <w:rFonts w:ascii="Calibri" w:eastAsia="Calibri" w:hAnsi="Calibri" w:cs="Calibri"/>
      </w:rPr>
      <w:t>Ren et al.</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3</w:t>
    </w:r>
    <w:r>
      <w:rPr>
        <w:rFonts w:ascii="Calibri" w:eastAsia="Calibri" w:hAnsi="Calibri" w:cs="Calibri"/>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EBECF" w14:textId="77777777" w:rsidR="001F2A0B" w:rsidRDefault="001F2A0B">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633FC" w14:textId="77777777" w:rsidR="001F2A0B" w:rsidRDefault="00BC538D">
    <w:pPr>
      <w:tabs>
        <w:tab w:val="right" w:pos="7939"/>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8EF4BB4" wp14:editId="1F382411">
              <wp:simplePos x="0" y="0"/>
              <wp:positionH relativeFrom="page">
                <wp:posOffset>540004</wp:posOffset>
              </wp:positionH>
              <wp:positionV relativeFrom="page">
                <wp:posOffset>574555</wp:posOffset>
              </wp:positionV>
              <wp:extent cx="4967999" cy="3600"/>
              <wp:effectExtent l="0" t="0" r="0" b="0"/>
              <wp:wrapSquare wrapText="bothSides"/>
              <wp:docPr id="31708" name="Group 31708"/>
              <wp:cNvGraphicFramePr/>
              <a:graphic xmlns:a="http://schemas.openxmlformats.org/drawingml/2006/main">
                <a:graphicData uri="http://schemas.microsoft.com/office/word/2010/wordprocessingGroup">
                  <wpg:wgp>
                    <wpg:cNvGrpSpPr/>
                    <wpg:grpSpPr>
                      <a:xfrm>
                        <a:off x="0" y="0"/>
                        <a:ext cx="4967999" cy="3600"/>
                        <a:chOff x="0" y="0"/>
                        <a:chExt cx="4967999" cy="3600"/>
                      </a:xfrm>
                    </wpg:grpSpPr>
                    <wps:wsp>
                      <wps:cNvPr id="32378" name="Shape 32378"/>
                      <wps:cNvSpPr/>
                      <wps:spPr>
                        <a:xfrm>
                          <a:off x="0" y="0"/>
                          <a:ext cx="4967999" cy="9144"/>
                        </a:xfrm>
                        <a:custGeom>
                          <a:avLst/>
                          <a:gdLst/>
                          <a:ahLst/>
                          <a:cxnLst/>
                          <a:rect l="0" t="0" r="0" b="0"/>
                          <a:pathLst>
                            <a:path w="4967999" h="9144">
                              <a:moveTo>
                                <a:pt x="0" y="0"/>
                              </a:moveTo>
                              <a:lnTo>
                                <a:pt x="4967999" y="0"/>
                              </a:lnTo>
                              <a:lnTo>
                                <a:pt x="4967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708" style="width:391.181pt;height:0.283447pt;position:absolute;mso-position-horizontal-relative:page;mso-position-horizontal:absolute;margin-left:42.52pt;mso-position-vertical-relative:page;margin-top:45.2405pt;" coordsize="49679,36">
              <v:shape id="Shape 32379" style="position:absolute;width:49679;height:91;left:0;top:0;" coordsize="4967999,9144" path="m0,0l4967999,0l4967999,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ab/>
      <w:t>Energy &amp; Environment 0(0)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B669" w14:textId="77777777" w:rsidR="001F2A0B" w:rsidRDefault="00BC538D">
    <w:pPr>
      <w:tabs>
        <w:tab w:val="right" w:pos="7939"/>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7CC5453" wp14:editId="04CBDE2E">
              <wp:simplePos x="0" y="0"/>
              <wp:positionH relativeFrom="page">
                <wp:posOffset>612000</wp:posOffset>
              </wp:positionH>
              <wp:positionV relativeFrom="page">
                <wp:posOffset>575276</wp:posOffset>
              </wp:positionV>
              <wp:extent cx="4967999" cy="2879"/>
              <wp:effectExtent l="0" t="0" r="0" b="0"/>
              <wp:wrapSquare wrapText="bothSides"/>
              <wp:docPr id="31697" name="Group 31697"/>
              <wp:cNvGraphicFramePr/>
              <a:graphic xmlns:a="http://schemas.openxmlformats.org/drawingml/2006/main">
                <a:graphicData uri="http://schemas.microsoft.com/office/word/2010/wordprocessingGroup">
                  <wpg:wgp>
                    <wpg:cNvGrpSpPr/>
                    <wpg:grpSpPr>
                      <a:xfrm>
                        <a:off x="0" y="0"/>
                        <a:ext cx="4967999" cy="2879"/>
                        <a:chOff x="0" y="0"/>
                        <a:chExt cx="4967999" cy="2879"/>
                      </a:xfrm>
                    </wpg:grpSpPr>
                    <wps:wsp>
                      <wps:cNvPr id="32376" name="Shape 32376"/>
                      <wps:cNvSpPr/>
                      <wps:spPr>
                        <a:xfrm>
                          <a:off x="0" y="0"/>
                          <a:ext cx="4967999" cy="9144"/>
                        </a:xfrm>
                        <a:custGeom>
                          <a:avLst/>
                          <a:gdLst/>
                          <a:ahLst/>
                          <a:cxnLst/>
                          <a:rect l="0" t="0" r="0" b="0"/>
                          <a:pathLst>
                            <a:path w="4967999" h="9144">
                              <a:moveTo>
                                <a:pt x="0" y="0"/>
                              </a:moveTo>
                              <a:lnTo>
                                <a:pt x="4967999" y="0"/>
                              </a:lnTo>
                              <a:lnTo>
                                <a:pt x="4967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697" style="width:391.181pt;height:0.226685pt;position:absolute;mso-position-horizontal-relative:page;mso-position-horizontal:absolute;margin-left:48.189pt;mso-position-vertical-relative:page;margin-top:45.2973pt;" coordsize="49679,28">
              <v:shape id="Shape 32377" style="position:absolute;width:49679;height:91;left:0;top:0;" coordsize="4967999,9144" path="m0,0l4967999,0l4967999,9144l0,9144l0,0">
                <v:stroke weight="0pt" endcap="flat" joinstyle="miter" miterlimit="10" on="false" color="#000000" opacity="0"/>
                <v:fill on="true" color="#000000"/>
              </v:shape>
              <w10:wrap type="square"/>
            </v:group>
          </w:pict>
        </mc:Fallback>
      </mc:AlternateContent>
    </w:r>
    <w:r>
      <w:rPr>
        <w:rFonts w:ascii="Calibri" w:eastAsia="Calibri" w:hAnsi="Calibri" w:cs="Calibri"/>
      </w:rPr>
      <w:t>Ren et al.</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3</w:t>
    </w:r>
    <w:r>
      <w:rPr>
        <w:rFonts w:ascii="Calibri" w:eastAsia="Calibri" w:hAnsi="Calibri" w:cs="Calibri"/>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633A5" w14:textId="77777777" w:rsidR="001F2A0B" w:rsidRDefault="00BC538D">
    <w:pPr>
      <w:tabs>
        <w:tab w:val="right" w:pos="7939"/>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C173F03" wp14:editId="42D927B0">
              <wp:simplePos x="0" y="0"/>
              <wp:positionH relativeFrom="page">
                <wp:posOffset>540004</wp:posOffset>
              </wp:positionH>
              <wp:positionV relativeFrom="page">
                <wp:posOffset>574555</wp:posOffset>
              </wp:positionV>
              <wp:extent cx="4967999" cy="3600"/>
              <wp:effectExtent l="0" t="0" r="0" b="0"/>
              <wp:wrapSquare wrapText="bothSides"/>
              <wp:docPr id="31660" name="Group 31660"/>
              <wp:cNvGraphicFramePr/>
              <a:graphic xmlns:a="http://schemas.openxmlformats.org/drawingml/2006/main">
                <a:graphicData uri="http://schemas.microsoft.com/office/word/2010/wordprocessingGroup">
                  <wpg:wgp>
                    <wpg:cNvGrpSpPr/>
                    <wpg:grpSpPr>
                      <a:xfrm>
                        <a:off x="0" y="0"/>
                        <a:ext cx="4967999" cy="3600"/>
                        <a:chOff x="0" y="0"/>
                        <a:chExt cx="4967999" cy="3600"/>
                      </a:xfrm>
                    </wpg:grpSpPr>
                    <wps:wsp>
                      <wps:cNvPr id="32374" name="Shape 32374"/>
                      <wps:cNvSpPr/>
                      <wps:spPr>
                        <a:xfrm>
                          <a:off x="0" y="0"/>
                          <a:ext cx="4967999" cy="9144"/>
                        </a:xfrm>
                        <a:custGeom>
                          <a:avLst/>
                          <a:gdLst/>
                          <a:ahLst/>
                          <a:cxnLst/>
                          <a:rect l="0" t="0" r="0" b="0"/>
                          <a:pathLst>
                            <a:path w="4967999" h="9144">
                              <a:moveTo>
                                <a:pt x="0" y="0"/>
                              </a:moveTo>
                              <a:lnTo>
                                <a:pt x="4967999" y="0"/>
                              </a:lnTo>
                              <a:lnTo>
                                <a:pt x="4967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660" style="width:391.181pt;height:0.283447pt;position:absolute;mso-position-horizontal-relative:page;mso-position-horizontal:absolute;margin-left:42.52pt;mso-position-vertical-relative:page;margin-top:45.2405pt;" coordsize="49679,36">
              <v:shape id="Shape 32375" style="position:absolute;width:49679;height:91;left:0;top:0;" coordsize="4967999,9144" path="m0,0l4967999,0l4967999,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ab/>
      <w:t>Energy &amp; Environment 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0578B"/>
    <w:multiLevelType w:val="hybridMultilevel"/>
    <w:tmpl w:val="51E89C06"/>
    <w:lvl w:ilvl="0" w:tplc="34260010">
      <w:start w:val="18"/>
      <w:numFmt w:val="decimal"/>
      <w:lvlText w:val="%1."/>
      <w:lvlJc w:val="left"/>
      <w:pPr>
        <w:ind w:left="3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20E16AE">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58A0E00">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7542BAE">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B103DBA">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974F202">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FCCF3BC">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F4046BE">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D08248C">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52F421A1"/>
    <w:multiLevelType w:val="hybridMultilevel"/>
    <w:tmpl w:val="B0AA0E1C"/>
    <w:lvl w:ilvl="0" w:tplc="8862A51E">
      <w:start w:val="1"/>
      <w:numFmt w:val="decimal"/>
      <w:lvlText w:val="%1."/>
      <w:lvlJc w:val="left"/>
      <w:pPr>
        <w:ind w:left="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5EE98D0">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002384C">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788CD18">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0A02C2C">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C82C5A8">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872D170">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6B898F2">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902B81A">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6C2F02B6"/>
    <w:multiLevelType w:val="hybridMultilevel"/>
    <w:tmpl w:val="3EACD2EE"/>
    <w:lvl w:ilvl="0" w:tplc="84320272">
      <w:start w:val="1"/>
      <w:numFmt w:val="decimal"/>
      <w:lvlText w:val="%1."/>
      <w:lvlJc w:val="left"/>
      <w:pPr>
        <w:ind w:left="4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4B0BE22">
      <w:start w:val="1"/>
      <w:numFmt w:val="lowerLetter"/>
      <w:lvlText w:val="%2"/>
      <w:lvlJc w:val="left"/>
      <w:pPr>
        <w:ind w:left="11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2BE5C36">
      <w:start w:val="1"/>
      <w:numFmt w:val="lowerRoman"/>
      <w:lvlText w:val="%3"/>
      <w:lvlJc w:val="left"/>
      <w:pPr>
        <w:ind w:left="18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B7210EE">
      <w:start w:val="1"/>
      <w:numFmt w:val="decimal"/>
      <w:lvlText w:val="%4"/>
      <w:lvlJc w:val="left"/>
      <w:pPr>
        <w:ind w:left="25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E6A721A">
      <w:start w:val="1"/>
      <w:numFmt w:val="lowerLetter"/>
      <w:lvlText w:val="%5"/>
      <w:lvlJc w:val="left"/>
      <w:pPr>
        <w:ind w:left="32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5B4EE4A">
      <w:start w:val="1"/>
      <w:numFmt w:val="lowerRoman"/>
      <w:lvlText w:val="%6"/>
      <w:lvlJc w:val="left"/>
      <w:pPr>
        <w:ind w:left="40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2D6EFE4">
      <w:start w:val="1"/>
      <w:numFmt w:val="decimal"/>
      <w:lvlText w:val="%7"/>
      <w:lvlJc w:val="left"/>
      <w:pPr>
        <w:ind w:left="47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9FE0D7E">
      <w:start w:val="1"/>
      <w:numFmt w:val="lowerLetter"/>
      <w:lvlText w:val="%8"/>
      <w:lvlJc w:val="left"/>
      <w:pPr>
        <w:ind w:left="54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71E0696">
      <w:start w:val="1"/>
      <w:numFmt w:val="lowerRoman"/>
      <w:lvlText w:val="%9"/>
      <w:lvlJc w:val="left"/>
      <w:pPr>
        <w:ind w:left="61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16cid:durableId="1573155419">
    <w:abstractNumId w:val="1"/>
  </w:num>
  <w:num w:numId="2" w16cid:durableId="980227433">
    <w:abstractNumId w:val="2"/>
  </w:num>
  <w:num w:numId="3" w16cid:durableId="7682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A0B"/>
    <w:rsid w:val="001F2A0B"/>
    <w:rsid w:val="003427E1"/>
    <w:rsid w:val="00B64DEB"/>
    <w:rsid w:val="00BC538D"/>
    <w:rsid w:val="00E318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35CA2"/>
  <w15:docId w15:val="{A227876D-9F5A-4F2C-AA27-925B2EE02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7" w:lineRule="auto"/>
      <w:ind w:left="10" w:right="1"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17" w:line="265" w:lineRule="auto"/>
      <w:ind w:left="10" w:right="2917" w:hanging="10"/>
      <w:outlineLvl w:val="0"/>
    </w:pPr>
    <w:rPr>
      <w:rFonts w:ascii="Calibri" w:eastAsia="Calibri" w:hAnsi="Calibri" w:cs="Calibri"/>
      <w:color w:val="000000"/>
      <w:sz w:val="24"/>
    </w:rPr>
  </w:style>
  <w:style w:type="paragraph" w:styleId="Heading2">
    <w:name w:val="heading 2"/>
    <w:next w:val="Normal"/>
    <w:link w:val="Heading2Char"/>
    <w:uiPriority w:val="9"/>
    <w:unhideWhenUsed/>
    <w:qFormat/>
    <w:pPr>
      <w:keepNext/>
      <w:keepLines/>
      <w:spacing w:after="57"/>
      <w:ind w:left="10" w:hanging="10"/>
      <w:outlineLvl w:val="1"/>
    </w:pPr>
    <w:rPr>
      <w:rFonts w:ascii="Calibri" w:eastAsia="Calibri" w:hAnsi="Calibri" w:cs="Calibr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0"/>
    </w:rPr>
  </w:style>
  <w:style w:type="character" w:customStyle="1" w:styleId="Heading1Char">
    <w:name w:val="Heading 1 Char"/>
    <w:link w:val="Heading1"/>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hyperlink" Target="http://dx.doi.org/10.1111/j.1540-6261.1970.tb00518.x" TargetMode="External"/><Relationship Id="rId39" Type="http://schemas.openxmlformats.org/officeDocument/2006/relationships/image" Target="media/image22.jpg"/><Relationship Id="rId21" Type="http://schemas.openxmlformats.org/officeDocument/2006/relationships/image" Target="media/image15.jpg"/><Relationship Id="rId34" Type="http://schemas.openxmlformats.org/officeDocument/2006/relationships/footer" Target="footer2.xml"/><Relationship Id="rId42" Type="http://schemas.openxmlformats.org/officeDocument/2006/relationships/header" Target="header4.xml"/><Relationship Id="rId47" Type="http://schemas.openxmlformats.org/officeDocument/2006/relationships/footer" Target="footer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dx.doi.org/10.1017/s0266466611000685" TargetMode="Externa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header" Target="header2.xml"/><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hyperlink" Target="http://arxiv.org/abs/https://onlinelibrary.wiley.com/doi/pdf/10.1111/j.1540-6261.1970.tb00518.x" TargetMode="External"/><Relationship Id="rId36" Type="http://schemas.openxmlformats.org/officeDocument/2006/relationships/footer" Target="footer3.xm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hyperlink" Target="http://arxiv.org/abs/https://onlinelibrary.wiley.com/doi/pdf/10.1111/j.1540-6261.1970.tb00518.x" TargetMode="External"/><Relationship Id="rId30" Type="http://schemas.openxmlformats.org/officeDocument/2006/relationships/image" Target="media/image19.jpg"/><Relationship Id="rId35" Type="http://schemas.openxmlformats.org/officeDocument/2006/relationships/header" Target="header3.xml"/><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orcid.org/0000-0003-3897-4081" TargetMode="External"/><Relationship Id="rId33" Type="http://schemas.openxmlformats.org/officeDocument/2006/relationships/footer" Target="footer1.xml"/><Relationship Id="rId38" Type="http://schemas.openxmlformats.org/officeDocument/2006/relationships/image" Target="media/image21.jpg"/><Relationship Id="rId46" Type="http://schemas.openxmlformats.org/officeDocument/2006/relationships/header" Target="header6.xml"/><Relationship Id="rId20" Type="http://schemas.openxmlformats.org/officeDocument/2006/relationships/image" Target="media/image14.png"/><Relationship Id="rId41" Type="http://schemas.openxmlformats.org/officeDocument/2006/relationships/image" Target="media/image24.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8653</Words>
  <Characters>49325</Characters>
  <Application>Microsoft Office Word</Application>
  <DocSecurity>4</DocSecurity>
  <Lines>411</Lines>
  <Paragraphs>115</Paragraphs>
  <ScaleCrop>false</ScaleCrop>
  <Company>University of Southampton</Company>
  <LinksUpToDate>false</LinksUpToDate>
  <CharactersWithSpaces>57863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European Union carbon and energy networks: Evidence from market efficiency</dc:title>
  <dc:subject>Energy &amp; Environment 0.0:0958305X231156411</dc:subject>
  <dc:creator>Xiaohang Ren, Yiying Li, Kun Duan, and Tapas Mishra</dc:creator>
  <cp:keywords>Market efficiency,European Union emission trading scheme,energy market,network,causality-in-quantiles</cp:keywords>
  <cp:lastModifiedBy>Linda Edwards</cp:lastModifiedBy>
  <cp:revision>2</cp:revision>
  <dcterms:created xsi:type="dcterms:W3CDTF">2023-07-07T14:22:00Z</dcterms:created>
  <dcterms:modified xsi:type="dcterms:W3CDTF">2023-07-07T14:22:00Z</dcterms:modified>
</cp:coreProperties>
</file>