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7A89" w14:textId="79CA7986" w:rsidR="003F46C2" w:rsidRDefault="003F46C2" w:rsidP="00372963">
      <w:pPr>
        <w:pStyle w:val="Title"/>
      </w:pPr>
    </w:p>
    <w:p w14:paraId="117EF071" w14:textId="37D6A298" w:rsidR="00202EAB" w:rsidRDefault="00202EAB" w:rsidP="00372963">
      <w:pPr>
        <w:pStyle w:val="Title"/>
      </w:pPr>
      <w:r w:rsidRPr="00202EAB">
        <w:t>Against Progress: Democratic Enactments and Embracing a Precarious Future</w:t>
      </w:r>
    </w:p>
    <w:p w14:paraId="15852961" w14:textId="30913832" w:rsidR="006968F1" w:rsidRPr="00E90790" w:rsidRDefault="006968F1" w:rsidP="002762D3">
      <w:pPr>
        <w:rPr>
          <w:rFonts w:cs="Arial"/>
          <w:lang w:val="en-IN"/>
        </w:rPr>
      </w:pPr>
    </w:p>
    <w:p w14:paraId="4E25945B" w14:textId="3E2ED1BF" w:rsidR="006968F1" w:rsidRPr="00E90790" w:rsidRDefault="006968F1" w:rsidP="002762D3">
      <w:pPr>
        <w:rPr>
          <w:rFonts w:cs="Arial"/>
          <w:lang w:val="en-IN"/>
        </w:rPr>
      </w:pPr>
      <w:r w:rsidRPr="00E90790">
        <w:rPr>
          <w:rFonts w:cs="Arial"/>
          <w:lang w:val="en-IN"/>
        </w:rPr>
        <w:t>Tanay Gandhi</w:t>
      </w:r>
    </w:p>
    <w:p w14:paraId="15038E99" w14:textId="6FC497ED" w:rsidR="006968F1" w:rsidRPr="00E90790" w:rsidRDefault="006968F1" w:rsidP="002762D3">
      <w:pPr>
        <w:rPr>
          <w:rFonts w:cs="Arial"/>
          <w:lang w:val="en-IN"/>
        </w:rPr>
      </w:pPr>
      <w:r w:rsidRPr="00E90790">
        <w:rPr>
          <w:rFonts w:cs="Arial"/>
          <w:lang w:val="en-IN"/>
        </w:rPr>
        <w:t xml:space="preserve">Tanay Gandhi is </w:t>
      </w:r>
      <w:r w:rsidR="006F3E8F" w:rsidRPr="00E90790">
        <w:rPr>
          <w:rFonts w:cs="Arial"/>
          <w:lang w:val="en-IN"/>
        </w:rPr>
        <w:t xml:space="preserve">a PhD researcher in </w:t>
      </w:r>
      <w:r w:rsidR="00970671" w:rsidRPr="00E90790">
        <w:rPr>
          <w:rFonts w:cs="Arial"/>
          <w:lang w:val="en-IN"/>
        </w:rPr>
        <w:t>the Department of Politics and International Relations</w:t>
      </w:r>
      <w:r w:rsidR="006F3E8F" w:rsidRPr="00E90790">
        <w:rPr>
          <w:rFonts w:cs="Arial"/>
          <w:lang w:val="en-IN"/>
        </w:rPr>
        <w:t xml:space="preserve"> at the University of Southampton. His research is funded by an ESRC </w:t>
      </w:r>
      <w:r w:rsidR="004A358D" w:rsidRPr="00E90790">
        <w:rPr>
          <w:rFonts w:cs="Arial"/>
          <w:lang w:val="en-IN"/>
        </w:rPr>
        <w:t>South Coast DTP Studentship.</w:t>
      </w:r>
    </w:p>
    <w:p w14:paraId="07F20B9B" w14:textId="77777777" w:rsidR="00C1217F" w:rsidRDefault="00C1217F" w:rsidP="00C1217F">
      <w:pPr>
        <w:rPr>
          <w:lang w:val="de-DE"/>
        </w:rPr>
      </w:pPr>
    </w:p>
    <w:p w14:paraId="660B581F" w14:textId="3003416F" w:rsidR="00F74AE9" w:rsidRPr="003E2617" w:rsidRDefault="00F74AE9" w:rsidP="00F74AE9">
      <w:pPr>
        <w:pStyle w:val="Heading1"/>
        <w:rPr>
          <w:lang w:val="de-DE"/>
        </w:rPr>
      </w:pPr>
      <w:r w:rsidRPr="003E2617">
        <w:rPr>
          <w:lang w:val="de-DE"/>
        </w:rPr>
        <w:t>Abstract:</w:t>
      </w:r>
    </w:p>
    <w:p w14:paraId="5C40857C" w14:textId="65C11829" w:rsidR="00F74AE9" w:rsidRPr="00E90790" w:rsidRDefault="00F74AE9" w:rsidP="00F74AE9">
      <w:pPr>
        <w:rPr>
          <w:rFonts w:cs="Arial"/>
          <w:lang w:val="en-IN"/>
        </w:rPr>
      </w:pPr>
      <w:r w:rsidRPr="00E90790">
        <w:rPr>
          <w:rFonts w:cs="Arial"/>
          <w:lang w:val="en-IN"/>
        </w:rPr>
        <w:t xml:space="preserve">How can we reimagine a future that escapes dichotomies of progress and regress? What does such a radically reimagined future look like? This paper develops an answer in two parts by arguing for a vision of the future as unstable, calling for modes of response that are distinctly democratic. It sets out an imaginary of the future as inescapably precarious; composed of multiple actants in constant relations of collusion and conflict that escape human ordering or control; a future that we, as humans, must embrace precisely as precarious. Such an </w:t>
      </w:r>
      <w:r w:rsidR="009E50CA">
        <w:rPr>
          <w:rFonts w:cs="Arial"/>
          <w:lang w:val="en-IN"/>
        </w:rPr>
        <w:t>affirmation</w:t>
      </w:r>
      <w:r w:rsidRPr="00E90790">
        <w:rPr>
          <w:rFonts w:cs="Arial"/>
          <w:lang w:val="en-IN"/>
        </w:rPr>
        <w:t xml:space="preserve"> calls for a cultivated democratic sensibility. Following post-foundational perspectives, I identify democracy as constituted by contingency and plurality. This is not simply in terms of an openness </w:t>
      </w:r>
      <w:r w:rsidRPr="001B5864">
        <w:rPr>
          <w:rFonts w:cs="Arial"/>
          <w:lang w:val="en-IN"/>
        </w:rPr>
        <w:t>to</w:t>
      </w:r>
      <w:r w:rsidRPr="00E90790">
        <w:rPr>
          <w:rFonts w:cs="Arial"/>
          <w:lang w:val="en-IN"/>
        </w:rPr>
        <w:t xml:space="preserve"> </w:t>
      </w:r>
      <w:r w:rsidR="001B5864">
        <w:rPr>
          <w:rFonts w:cs="Arial"/>
          <w:lang w:val="en-IN"/>
        </w:rPr>
        <w:t>plurality</w:t>
      </w:r>
      <w:r w:rsidRPr="00E90790">
        <w:rPr>
          <w:rFonts w:cs="Arial"/>
          <w:lang w:val="en-IN"/>
        </w:rPr>
        <w:t xml:space="preserve">, </w:t>
      </w:r>
      <w:r w:rsidR="001B5864">
        <w:rPr>
          <w:rFonts w:cs="Arial"/>
          <w:lang w:val="en-IN"/>
        </w:rPr>
        <w:t>but</w:t>
      </w:r>
      <w:r w:rsidRPr="00E90790">
        <w:rPr>
          <w:rFonts w:cs="Arial"/>
          <w:lang w:val="en-IN"/>
        </w:rPr>
        <w:t xml:space="preserve"> a cultivated </w:t>
      </w:r>
      <w:r w:rsidRPr="001B5864">
        <w:rPr>
          <w:rFonts w:cs="Arial"/>
          <w:lang w:val="en-IN"/>
        </w:rPr>
        <w:t>receptivity</w:t>
      </w:r>
      <w:r w:rsidRPr="00E90790">
        <w:rPr>
          <w:rFonts w:cs="Arial"/>
          <w:lang w:val="en-IN"/>
        </w:rPr>
        <w:t xml:space="preserve"> to modes of activity that operate below and beyond conscious human willing.  </w:t>
      </w:r>
      <w:r w:rsidR="009E50CA">
        <w:rPr>
          <w:rFonts w:cs="Arial"/>
          <w:lang w:val="en-IN"/>
        </w:rPr>
        <w:t>A</w:t>
      </w:r>
      <w:r w:rsidR="001B5864">
        <w:rPr>
          <w:rFonts w:cs="Arial"/>
          <w:lang w:val="en-IN"/>
        </w:rPr>
        <w:t>n</w:t>
      </w:r>
      <w:r w:rsidRPr="00E90790">
        <w:rPr>
          <w:rFonts w:cs="Arial"/>
          <w:lang w:val="en-IN"/>
        </w:rPr>
        <w:t xml:space="preserve"> ethos that expresses affirming sensitivity to the uncertainties of a precarious future. </w:t>
      </w:r>
    </w:p>
    <w:p w14:paraId="6F95AD4B" w14:textId="027DB14E" w:rsidR="00F74AE9" w:rsidRPr="00E90790" w:rsidRDefault="00F74AE9" w:rsidP="00F74AE9">
      <w:pPr>
        <w:rPr>
          <w:rFonts w:cs="Arial"/>
          <w:lang w:val="en-IN"/>
        </w:rPr>
      </w:pPr>
      <w:r w:rsidRPr="00E90790">
        <w:rPr>
          <w:rFonts w:cs="Arial"/>
          <w:u w:val="single"/>
          <w:lang w:val="en-IN"/>
        </w:rPr>
        <w:t>Keywords:</w:t>
      </w:r>
      <w:r w:rsidRPr="00E90790">
        <w:rPr>
          <w:rFonts w:cs="Arial"/>
          <w:lang w:val="en-IN"/>
        </w:rPr>
        <w:t xml:space="preserve"> futur</w:t>
      </w:r>
      <w:r w:rsidR="00845AC7">
        <w:rPr>
          <w:rFonts w:cs="Arial"/>
          <w:lang w:val="en-IN"/>
        </w:rPr>
        <w:t>ity</w:t>
      </w:r>
      <w:r w:rsidRPr="00E90790">
        <w:rPr>
          <w:rFonts w:cs="Arial"/>
          <w:lang w:val="en-IN"/>
        </w:rPr>
        <w:t xml:space="preserve">; democracy; precarity; Nietzsche; new materialism; democratic ethos. </w:t>
      </w:r>
    </w:p>
    <w:p w14:paraId="32293559" w14:textId="77B94C23" w:rsidR="00E90790" w:rsidRDefault="00E90790" w:rsidP="00F74AE9"/>
    <w:p w14:paraId="13E973A8" w14:textId="29C62940" w:rsidR="007A338E" w:rsidRDefault="007A338E" w:rsidP="00A07D18">
      <w:pPr>
        <w:pStyle w:val="Heading1"/>
      </w:pPr>
      <w:r>
        <w:t>Introduction</w:t>
      </w:r>
    </w:p>
    <w:p w14:paraId="47182E02" w14:textId="56088B17" w:rsidR="000C7192" w:rsidRPr="00372963" w:rsidRDefault="002E7ABC" w:rsidP="00D922CF">
      <w:pPr>
        <w:rPr>
          <w:rFonts w:cs="Arial"/>
          <w:lang w:val="en-IN" w:bidi="ar-SA"/>
        </w:rPr>
      </w:pPr>
      <w:r w:rsidRPr="00372963">
        <w:rPr>
          <w:rFonts w:cs="Arial"/>
          <w:lang w:val="en-IN" w:bidi="ar-SA"/>
        </w:rPr>
        <w:t xml:space="preserve">There would appear to be a certain comfort in the future. </w:t>
      </w:r>
      <w:proofErr w:type="spellStart"/>
      <w:r w:rsidRPr="00372963">
        <w:rPr>
          <w:rFonts w:cs="Arial"/>
          <w:lang w:val="en-IN" w:bidi="ar-SA"/>
        </w:rPr>
        <w:t>Kautsky</w:t>
      </w:r>
      <w:proofErr w:type="spellEnd"/>
      <w:r w:rsidRPr="00372963">
        <w:rPr>
          <w:rFonts w:cs="Arial"/>
          <w:lang w:val="en-IN" w:bidi="ar-SA"/>
        </w:rPr>
        <w:t xml:space="preserve"> (and most of the Second International with him), for instance, basked in the glory of the immovable laws of history, </w:t>
      </w:r>
      <w:r w:rsidR="00850116" w:rsidRPr="00372963">
        <w:rPr>
          <w:rFonts w:cs="Arial"/>
          <w:lang w:val="en-IN" w:bidi="ar-SA"/>
        </w:rPr>
        <w:t>progressing</w:t>
      </w:r>
      <w:r w:rsidRPr="00372963">
        <w:rPr>
          <w:rFonts w:cs="Arial"/>
          <w:lang w:val="en-IN" w:bidi="ar-SA"/>
        </w:rPr>
        <w:t xml:space="preserve"> at their own pace and fixing places and roles of everyone and everything</w:t>
      </w:r>
      <w:r w:rsidR="004513D7" w:rsidRPr="00372963">
        <w:rPr>
          <w:rFonts w:cs="Arial"/>
          <w:lang w:val="en-IN" w:bidi="ar-SA"/>
        </w:rPr>
        <w:t>.</w:t>
      </w:r>
      <w:r w:rsidR="004804D9" w:rsidRPr="00372963">
        <w:rPr>
          <w:rFonts w:cs="Arial"/>
          <w:lang w:val="en-IN" w:bidi="ar-SA"/>
        </w:rPr>
        <w:fldChar w:fldCharType="begin"/>
      </w:r>
      <w:r w:rsidR="00ED4108" w:rsidRPr="00372963">
        <w:rPr>
          <w:rFonts w:cs="Arial"/>
          <w:lang w:val="en-IN" w:bidi="ar-SA"/>
        </w:rPr>
        <w:instrText xml:space="preserve"> ADDIN EN.CITE &lt;EndNote&gt;&lt;Cite&gt;&lt;Author&gt;Laclau&lt;/Author&gt;&lt;Year&gt;2014&lt;/Year&gt;&lt;RecNum&gt;148&lt;/RecNum&gt;&lt;Pages&gt;8-23&lt;/Pages&gt;&lt;record&gt;&lt;rec-number&gt;148&lt;/rec-number&gt;&lt;foreign-keys&gt;&lt;key app="EN" db-id="we29r2t0jxre0lee92q5vewcsazwtvp9zte5" timestamp="1630666061"&gt;148&lt;/key&gt;&lt;/foreign-keys&gt;&lt;ref-type name="Book"&gt;6&lt;/ref-type&gt;&lt;contributors&gt;&lt;authors&gt;&lt;author&gt;Laclau, Ernesto&lt;/author&gt;&lt;author&gt;Mouffe, Chantal&lt;/author&gt;&lt;/authors&gt;&lt;/contributors&gt;&lt;titles&gt;&lt;title&gt;Hegemony and Socialist Strategy&lt;/title&gt;&lt;/titles&gt;&lt;dates&gt;&lt;year&gt;2014&lt;/year&gt;&lt;/dates&gt;&lt;pub-location&gt;London&lt;/pub-location&gt;&lt;publisher&gt;Verso&lt;/publisher&gt;&lt;urls&gt;&lt;/urls&gt;&lt;/record&gt;&lt;/Cite&gt;&lt;/EndNote&gt;</w:instrText>
      </w:r>
      <w:r w:rsidR="00C1217F">
        <w:rPr>
          <w:rFonts w:cs="Arial"/>
          <w:lang w:val="en-IN" w:bidi="ar-SA"/>
        </w:rPr>
        <w:fldChar w:fldCharType="separate"/>
      </w:r>
      <w:r w:rsidR="004804D9" w:rsidRPr="00372963">
        <w:rPr>
          <w:rFonts w:cs="Arial"/>
          <w:lang w:val="en-IN" w:bidi="ar-SA"/>
        </w:rPr>
        <w:fldChar w:fldCharType="end"/>
      </w:r>
      <w:r w:rsidR="00153BD4" w:rsidRPr="00372963">
        <w:rPr>
          <w:rStyle w:val="FootnoteReference"/>
          <w:rFonts w:cs="Arial"/>
          <w:lang w:val="en-IN" w:bidi="ar-SA"/>
        </w:rPr>
        <w:footnoteReference w:id="1"/>
      </w:r>
      <w:r w:rsidRPr="00372963">
        <w:rPr>
          <w:rFonts w:cs="Arial"/>
          <w:lang w:val="en-IN" w:bidi="ar-SA"/>
        </w:rPr>
        <w:t xml:space="preserve"> </w:t>
      </w:r>
      <w:r w:rsidR="00850116" w:rsidRPr="00372963">
        <w:rPr>
          <w:rFonts w:cs="Arial"/>
          <w:lang w:val="en-IN" w:bidi="ar-SA"/>
        </w:rPr>
        <w:t>Classless</w:t>
      </w:r>
      <w:r w:rsidRPr="00372963">
        <w:rPr>
          <w:rFonts w:cs="Arial"/>
          <w:lang w:val="en-IN" w:bidi="ar-SA"/>
        </w:rPr>
        <w:t xml:space="preserve"> society was always a certainty, the outcome of </w:t>
      </w:r>
      <w:r w:rsidR="00850116" w:rsidRPr="00372963">
        <w:rPr>
          <w:rFonts w:cs="Arial"/>
          <w:lang w:val="en-IN" w:bidi="ar-SA"/>
        </w:rPr>
        <w:t>the mechanical assembly line of history</w:t>
      </w:r>
      <w:r w:rsidRPr="00372963">
        <w:rPr>
          <w:rFonts w:cs="Arial"/>
          <w:lang w:val="en-IN" w:bidi="ar-SA"/>
        </w:rPr>
        <w:t xml:space="preserve">. The future, then, is a warm blanket on a winter morning – wrap yourself in it, curl up and go to sleep. </w:t>
      </w:r>
      <w:r w:rsidR="007E764C" w:rsidRPr="00372963">
        <w:rPr>
          <w:rFonts w:cs="Arial"/>
          <w:lang w:val="en-IN" w:bidi="ar-SA"/>
        </w:rPr>
        <w:t xml:space="preserve">The </w:t>
      </w:r>
      <w:r w:rsidR="007E764C" w:rsidRPr="00372963">
        <w:rPr>
          <w:rFonts w:cs="Arial"/>
          <w:lang w:val="en-IN" w:bidi="ar-SA"/>
        </w:rPr>
        <w:lastRenderedPageBreak/>
        <w:t>Marxists are not alone here.</w:t>
      </w:r>
      <w:r w:rsidRPr="00372963">
        <w:rPr>
          <w:rFonts w:cs="Arial"/>
          <w:lang w:val="en-IN" w:bidi="ar-SA"/>
        </w:rPr>
        <w:t xml:space="preserve"> </w:t>
      </w:r>
      <w:r w:rsidR="00850116" w:rsidRPr="00372963">
        <w:rPr>
          <w:rFonts w:cs="Arial"/>
          <w:lang w:val="en-IN" w:bidi="ar-SA"/>
        </w:rPr>
        <w:t xml:space="preserve">Allen </w:t>
      </w:r>
      <w:r w:rsidRPr="00372963">
        <w:rPr>
          <w:rFonts w:cs="Arial"/>
          <w:lang w:val="en-IN" w:bidi="ar-SA"/>
        </w:rPr>
        <w:t xml:space="preserve">shows us how both Habermas and </w:t>
      </w:r>
      <w:proofErr w:type="spellStart"/>
      <w:r w:rsidRPr="00372963">
        <w:rPr>
          <w:rFonts w:cs="Arial"/>
          <w:lang w:val="en-IN" w:bidi="ar-SA"/>
        </w:rPr>
        <w:t>Honneth</w:t>
      </w:r>
      <w:proofErr w:type="spellEnd"/>
      <w:r w:rsidRPr="00372963">
        <w:rPr>
          <w:rFonts w:cs="Arial"/>
          <w:lang w:val="en-IN" w:bidi="ar-SA"/>
        </w:rPr>
        <w:t xml:space="preserve"> </w:t>
      </w:r>
      <w:r w:rsidR="007E764C" w:rsidRPr="00372963">
        <w:rPr>
          <w:rFonts w:cs="Arial"/>
          <w:lang w:val="en-IN" w:bidi="ar-SA"/>
        </w:rPr>
        <w:t>– though in a less deterministic sense – build on a certain left-Hegelian imaginary of a progressive future – progress as imperative or fact</w:t>
      </w:r>
      <w:r w:rsidR="00511572" w:rsidRPr="00372963">
        <w:rPr>
          <w:rFonts w:cs="Arial"/>
          <w:lang w:val="en-IN" w:bidi="ar-SA"/>
        </w:rPr>
        <w:fldChar w:fldCharType="begin"/>
      </w:r>
      <w:r w:rsidR="00511572" w:rsidRPr="00372963">
        <w:rPr>
          <w:rFonts w:cs="Arial"/>
          <w:lang w:val="en-IN" w:bidi="ar-SA"/>
        </w:rPr>
        <w:instrText xml:space="preserve"> ADDIN EN.CITE &lt;EndNote&gt;&lt;Cite&gt;&lt;Author&gt;Allen&lt;/Author&gt;&lt;Year&gt;2017&lt;/Year&gt;&lt;RecNum&gt;394&lt;/RecNum&gt;&lt;record&gt;&lt;rec-number&gt;394&lt;/rec-number&gt;&lt;foreign-keys&gt;&lt;key app="EN" db-id="we29r2t0jxre0lee92q5vewcsazwtvp9zte5" timestamp="1651506322"&gt;394&lt;/key&gt;&lt;/foreign-keys&gt;&lt;ref-type name="Book Section"&gt;5&lt;/ref-type&gt;&lt;contributors&gt;&lt;authors&gt;&lt;author&gt;Allen, Amy&lt;/author&gt;&lt;/authors&gt;&lt;secondary-authors&gt;&lt;author&gt;Deutscher, Penelope&lt;/author&gt;&lt;author&gt;Lafont, Cristina&lt;/author&gt;&lt;/secondary-authors&gt;&lt;/contributors&gt;&lt;titles&gt;&lt;title&gt;Adorno, Foucault, and The End of Progress: Critical Theory in Postcolonial Times&lt;/title&gt;&lt;secondary-title&gt;Critical Theory in Critical Times&lt;/secondary-title&gt;&lt;/titles&gt;&lt;pages&gt;183-206&lt;/pages&gt;&lt;dates&gt;&lt;year&gt;2017&lt;/year&gt;&lt;/dates&gt;&lt;pub-location&gt;New York&lt;/pub-location&gt;&lt;publisher&gt;Columbia University Press&lt;/publisher&gt;&lt;urls&gt;&lt;/urls&gt;&lt;/record&gt;&lt;/Cite&gt;&lt;/EndNote&gt;</w:instrText>
      </w:r>
      <w:r w:rsidR="00C1217F">
        <w:rPr>
          <w:rFonts w:cs="Arial"/>
          <w:lang w:val="en-IN" w:bidi="ar-SA"/>
        </w:rPr>
        <w:fldChar w:fldCharType="separate"/>
      </w:r>
      <w:r w:rsidR="00511572" w:rsidRPr="00372963">
        <w:rPr>
          <w:rFonts w:cs="Arial"/>
          <w:lang w:val="en-IN" w:bidi="ar-SA"/>
        </w:rPr>
        <w:fldChar w:fldCharType="end"/>
      </w:r>
      <w:r w:rsidR="004513D7" w:rsidRPr="00372963">
        <w:rPr>
          <w:rFonts w:cs="Arial"/>
          <w:lang w:val="en-IN" w:bidi="ar-SA"/>
        </w:rPr>
        <w:t>.</w:t>
      </w:r>
      <w:r w:rsidR="00153BD4" w:rsidRPr="00372963">
        <w:rPr>
          <w:rStyle w:val="FootnoteReference"/>
          <w:rFonts w:cs="Arial"/>
          <w:lang w:val="en-IN" w:bidi="ar-SA"/>
        </w:rPr>
        <w:footnoteReference w:id="2"/>
      </w:r>
      <w:r w:rsidR="004513D7" w:rsidRPr="00372963">
        <w:rPr>
          <w:rFonts w:cs="Arial"/>
          <w:lang w:val="en-IN" w:bidi="ar-SA"/>
        </w:rPr>
        <w:t xml:space="preserve"> </w:t>
      </w:r>
      <w:r w:rsidR="00732507" w:rsidRPr="00372963">
        <w:rPr>
          <w:rFonts w:cs="Arial"/>
          <w:lang w:val="en-IN" w:bidi="ar-SA"/>
        </w:rPr>
        <w:t xml:space="preserve">But, </w:t>
      </w:r>
      <w:r w:rsidR="00747416" w:rsidRPr="00372963">
        <w:rPr>
          <w:rFonts w:cs="Arial"/>
          <w:lang w:val="en-IN" w:bidi="ar-SA"/>
        </w:rPr>
        <w:t xml:space="preserve">beyond progress – indeed, against it – </w:t>
      </w:r>
      <w:r w:rsidR="00732507" w:rsidRPr="00372963">
        <w:rPr>
          <w:rFonts w:cs="Arial"/>
          <w:lang w:val="en-IN" w:bidi="ar-SA"/>
        </w:rPr>
        <w:t xml:space="preserve">is there another imaginary of the future that can emerge? One that subverts strict divisions and hierarchies in favour of practices of </w:t>
      </w:r>
      <w:r w:rsidR="00747416" w:rsidRPr="00372963">
        <w:rPr>
          <w:rFonts w:cs="Arial"/>
          <w:lang w:val="en-IN" w:bidi="ar-SA"/>
        </w:rPr>
        <w:t xml:space="preserve">a certain </w:t>
      </w:r>
      <w:r w:rsidR="00732507" w:rsidRPr="00372963">
        <w:rPr>
          <w:rFonts w:cs="Arial"/>
          <w:lang w:val="en-IN" w:bidi="ar-SA"/>
        </w:rPr>
        <w:t>“transformative resistance”</w:t>
      </w:r>
      <w:r w:rsidR="00BD1EB3" w:rsidRPr="00372963">
        <w:rPr>
          <w:rFonts w:cs="Arial"/>
          <w:lang w:val="en-IN" w:bidi="ar-SA"/>
        </w:rPr>
        <w:t>.</w:t>
      </w:r>
      <w:r w:rsidR="00153BD4" w:rsidRPr="00372963">
        <w:rPr>
          <w:rStyle w:val="FootnoteReference"/>
          <w:rFonts w:cs="Arial"/>
          <w:lang w:val="en-IN" w:bidi="ar-SA"/>
        </w:rPr>
        <w:footnoteReference w:id="3"/>
      </w:r>
      <w:r w:rsidR="00732507" w:rsidRPr="00372963">
        <w:rPr>
          <w:rFonts w:cs="Arial"/>
          <w:lang w:val="en-IN"/>
        </w:rPr>
        <w:t xml:space="preserve"> </w:t>
      </w:r>
      <w:r w:rsidR="00732507" w:rsidRPr="00372963">
        <w:rPr>
          <w:rFonts w:cs="Arial"/>
          <w:lang w:val="en-IN" w:bidi="ar-SA"/>
        </w:rPr>
        <w:t>What sort of image is this? And what are the consequences of such an imagination on our thinking of that most futural of all human activity – politics?</w:t>
      </w:r>
    </w:p>
    <w:p w14:paraId="682D86BE" w14:textId="3C1420FB" w:rsidR="00007DF7" w:rsidRPr="00372963" w:rsidRDefault="00732507" w:rsidP="00D922CF">
      <w:pPr>
        <w:rPr>
          <w:rFonts w:cs="Arial"/>
          <w:lang w:val="en-IN" w:bidi="ar-SA"/>
        </w:rPr>
      </w:pPr>
      <w:r w:rsidRPr="00372963">
        <w:rPr>
          <w:rFonts w:cs="Arial"/>
          <w:lang w:val="en-IN" w:bidi="ar-SA"/>
        </w:rPr>
        <w:t>This paper aims to develop – if only in outline – such an image</w:t>
      </w:r>
      <w:r w:rsidR="00A34EAA">
        <w:rPr>
          <w:rFonts w:cs="Arial"/>
          <w:lang w:val="en-IN" w:bidi="ar-SA"/>
        </w:rPr>
        <w:t>, b</w:t>
      </w:r>
      <w:r w:rsidRPr="00372963">
        <w:rPr>
          <w:rFonts w:cs="Arial"/>
          <w:lang w:val="en-IN" w:bidi="ar-SA"/>
        </w:rPr>
        <w:t xml:space="preserve">uilding on indigenous cosmologies of the </w:t>
      </w:r>
      <w:proofErr w:type="spellStart"/>
      <w:r w:rsidRPr="00372963">
        <w:rPr>
          <w:rFonts w:cs="Arial"/>
          <w:i/>
          <w:iCs/>
          <w:lang w:val="en-IN" w:bidi="ar-SA"/>
        </w:rPr>
        <w:t>Bhilala</w:t>
      </w:r>
      <w:proofErr w:type="spellEnd"/>
      <w:r w:rsidRPr="00372963">
        <w:rPr>
          <w:rFonts w:cs="Arial"/>
          <w:lang w:val="en-IN" w:bidi="ar-SA"/>
        </w:rPr>
        <w:t xml:space="preserve"> indigenous community</w:t>
      </w:r>
      <w:r w:rsidRPr="00372963">
        <w:rPr>
          <w:rStyle w:val="FootnoteReference"/>
          <w:rFonts w:cs="Arial"/>
          <w:lang w:val="en-IN" w:bidi="ar-SA"/>
        </w:rPr>
        <w:footnoteReference w:id="4"/>
      </w:r>
      <w:r w:rsidRPr="00372963">
        <w:rPr>
          <w:rFonts w:cs="Arial"/>
          <w:lang w:val="en-IN" w:bidi="ar-SA"/>
        </w:rPr>
        <w:t xml:space="preserve">, a marginal tradition of western philosophy moving through Nietzsche </w:t>
      </w:r>
      <w:r w:rsidR="00B209A4" w:rsidRPr="00372963">
        <w:rPr>
          <w:rFonts w:cs="Arial"/>
          <w:lang w:val="en-IN" w:bidi="ar-SA"/>
        </w:rPr>
        <w:t xml:space="preserve">and </w:t>
      </w:r>
      <w:r w:rsidRPr="00372963">
        <w:rPr>
          <w:rFonts w:cs="Arial"/>
          <w:lang w:val="en-IN" w:bidi="ar-SA"/>
        </w:rPr>
        <w:t xml:space="preserve">Deleuze, and a strand of materialist theory that </w:t>
      </w:r>
      <w:r w:rsidR="00B209A4" w:rsidRPr="00372963">
        <w:rPr>
          <w:rFonts w:cs="Arial"/>
          <w:lang w:val="en-IN" w:bidi="ar-SA"/>
        </w:rPr>
        <w:t>recognises vitality and agency in forces below and beyond the register of conscious human willing. It argues for a future characterised by an inescapable precarity and uncertainty – susceptible to sudden moments of destabilisation that spur creative self-organisation on planes occupied by multiplicities of agents in constant relations of collusion and conflict that escape any human control, order, or progressive/regressive determination</w:t>
      </w:r>
      <w:r w:rsidR="00230159" w:rsidRPr="00372963">
        <w:rPr>
          <w:rFonts w:cs="Arial"/>
          <w:lang w:val="en-IN" w:bidi="ar-SA"/>
        </w:rPr>
        <w:t xml:space="preserve"> or </w:t>
      </w:r>
      <w:r w:rsidR="00B209A4" w:rsidRPr="00372963">
        <w:rPr>
          <w:rFonts w:cs="Arial"/>
          <w:lang w:val="en-IN" w:bidi="ar-SA"/>
        </w:rPr>
        <w:t xml:space="preserve">teleology. </w:t>
      </w:r>
      <w:r w:rsidR="00AE0EFF" w:rsidRPr="00372963">
        <w:rPr>
          <w:rFonts w:cs="Arial"/>
          <w:lang w:val="en-IN" w:bidi="ar-SA"/>
        </w:rPr>
        <w:t xml:space="preserve">A radical imaginary that recognises a fundamental incongruity between past and future, rendering the latter open to potentialities engendered by forces dispersed across a continuum of agential power. </w:t>
      </w:r>
    </w:p>
    <w:p w14:paraId="5EFB69CE" w14:textId="6B420796" w:rsidR="000C7192" w:rsidRPr="00372963" w:rsidRDefault="00AE0EFF" w:rsidP="00D922CF">
      <w:pPr>
        <w:rPr>
          <w:rFonts w:cs="Arial"/>
          <w:lang w:val="en-IN" w:bidi="ar-SA"/>
        </w:rPr>
      </w:pPr>
      <w:r w:rsidRPr="00372963">
        <w:rPr>
          <w:rFonts w:cs="Arial"/>
          <w:lang w:val="en-IN" w:bidi="ar-SA"/>
        </w:rPr>
        <w:t xml:space="preserve">But why adopt such an imaginary? To explode the binaries of progress/regress, to reveal a richer terrain of possibility lying beyond. To develop an attentiveness to </w:t>
      </w:r>
      <w:r w:rsidR="00007DF7" w:rsidRPr="00372963">
        <w:rPr>
          <w:rFonts w:cs="Arial"/>
          <w:lang w:val="en-IN" w:bidi="ar-SA"/>
        </w:rPr>
        <w:t>processes by which novel modes of being and becoming emerge</w:t>
      </w:r>
      <w:r w:rsidR="00A34EAA">
        <w:rPr>
          <w:rFonts w:cs="Arial"/>
          <w:lang w:val="en-IN" w:bidi="ar-SA"/>
        </w:rPr>
        <w:t>,</w:t>
      </w:r>
      <w:r w:rsidR="00007DF7" w:rsidRPr="00372963">
        <w:rPr>
          <w:rFonts w:cs="Arial"/>
          <w:lang w:val="en-IN" w:bidi="ar-SA"/>
        </w:rPr>
        <w:t xml:space="preserve"> that are incapable of capture within established </w:t>
      </w:r>
      <w:r w:rsidR="00DA0B7A" w:rsidRPr="00372963">
        <w:rPr>
          <w:rFonts w:cs="Arial"/>
          <w:lang w:val="en-IN" w:bidi="ar-SA"/>
        </w:rPr>
        <w:t>modes</w:t>
      </w:r>
      <w:r w:rsidR="00007DF7" w:rsidRPr="00372963">
        <w:rPr>
          <w:rFonts w:cs="Arial"/>
          <w:lang w:val="en-IN" w:bidi="ar-SA"/>
        </w:rPr>
        <w:t xml:space="preserve"> of knowledge and perception</w:t>
      </w:r>
      <w:r w:rsidR="004513D7" w:rsidRPr="00372963">
        <w:rPr>
          <w:rFonts w:cs="Arial"/>
          <w:lang w:val="en-IN" w:bidi="ar-SA"/>
        </w:rPr>
        <w:t>.</w:t>
      </w:r>
      <w:r w:rsidR="00153BD4" w:rsidRPr="00372963">
        <w:rPr>
          <w:rStyle w:val="FootnoteReference"/>
          <w:rFonts w:cs="Arial"/>
          <w:lang w:val="en-IN" w:bidi="ar-SA"/>
        </w:rPr>
        <w:footnoteReference w:id="5"/>
      </w:r>
      <w:r w:rsidR="00007DF7" w:rsidRPr="00372963">
        <w:rPr>
          <w:rFonts w:cs="Arial"/>
          <w:lang w:val="en-IN" w:bidi="ar-SA"/>
        </w:rPr>
        <w:t xml:space="preserve"> </w:t>
      </w:r>
      <w:r w:rsidR="00416802" w:rsidRPr="00372963">
        <w:rPr>
          <w:rFonts w:cs="Arial"/>
          <w:lang w:val="en-IN" w:bidi="ar-SA"/>
        </w:rPr>
        <w:t>To reveal precarity as the positive condition of possibility of human agency</w:t>
      </w:r>
      <w:r w:rsidR="00DA0B7A" w:rsidRPr="00372963">
        <w:rPr>
          <w:rFonts w:cs="Arial"/>
          <w:lang w:val="en-IN" w:bidi="ar-SA"/>
        </w:rPr>
        <w:t xml:space="preserve"> and enactments </w:t>
      </w:r>
      <w:r w:rsidR="00416802" w:rsidRPr="00372963">
        <w:rPr>
          <w:rFonts w:cs="Arial"/>
          <w:lang w:val="en-IN" w:bidi="ar-SA"/>
        </w:rPr>
        <w:t xml:space="preserve">embedded within </w:t>
      </w:r>
      <w:r w:rsidR="00DA0B7A" w:rsidRPr="00372963">
        <w:rPr>
          <w:rFonts w:cs="Arial"/>
          <w:lang w:val="en-IN" w:bidi="ar-SA"/>
        </w:rPr>
        <w:t xml:space="preserve">larger </w:t>
      </w:r>
      <w:r w:rsidR="00416802" w:rsidRPr="00372963">
        <w:rPr>
          <w:rFonts w:cs="Arial"/>
          <w:lang w:val="en-IN" w:bidi="ar-SA"/>
        </w:rPr>
        <w:t>assemblages</w:t>
      </w:r>
      <w:r w:rsidR="00DA0B7A" w:rsidRPr="00372963">
        <w:rPr>
          <w:rFonts w:cs="Arial"/>
          <w:lang w:val="en-IN" w:bidi="ar-SA"/>
        </w:rPr>
        <w:t xml:space="preserve"> of human and non-human forces</w:t>
      </w:r>
      <w:r w:rsidR="00416802" w:rsidRPr="00372963">
        <w:rPr>
          <w:rFonts w:cs="Arial"/>
          <w:lang w:val="en-IN" w:bidi="ar-SA"/>
        </w:rPr>
        <w:t xml:space="preserve">. </w:t>
      </w:r>
    </w:p>
    <w:p w14:paraId="281F0ABA" w14:textId="7EEDC7FD" w:rsidR="00CB3F56" w:rsidRPr="00372963" w:rsidRDefault="00AE0EFF" w:rsidP="00D922CF">
      <w:pPr>
        <w:rPr>
          <w:rFonts w:cs="Arial"/>
          <w:lang w:val="en-IN" w:bidi="ar-SA"/>
        </w:rPr>
      </w:pPr>
      <w:r w:rsidRPr="00372963">
        <w:rPr>
          <w:rFonts w:cs="Arial"/>
          <w:lang w:val="en-IN" w:bidi="ar-SA"/>
        </w:rPr>
        <w:t>At the same time, t</w:t>
      </w:r>
      <w:r w:rsidR="00CB3F56" w:rsidRPr="00372963">
        <w:rPr>
          <w:rFonts w:cs="Arial"/>
          <w:lang w:val="en-IN" w:bidi="ar-SA"/>
        </w:rPr>
        <w:t>he aim is not to develop a conclusive theorisation of the future; only to explore</w:t>
      </w:r>
      <w:r w:rsidR="00DA0B7A" w:rsidRPr="00372963">
        <w:rPr>
          <w:rFonts w:cs="Arial"/>
          <w:lang w:val="en-IN" w:bidi="ar-SA"/>
        </w:rPr>
        <w:t xml:space="preserve"> possibilities</w:t>
      </w:r>
      <w:r w:rsidR="00CB3F56" w:rsidRPr="00372963">
        <w:rPr>
          <w:rFonts w:cs="Arial"/>
          <w:lang w:val="en-IN" w:bidi="ar-SA"/>
        </w:rPr>
        <w:t xml:space="preserve"> tentatively, and to identify the consequences of accepting such possibilities on our shared imaginaries of it. I thus aim to map out a speculative story and our responses to such a story </w:t>
      </w:r>
      <w:r w:rsidR="00DA0B7A" w:rsidRPr="00372963">
        <w:rPr>
          <w:rFonts w:cs="Arial"/>
          <w:lang w:val="en-IN" w:bidi="ar-SA"/>
        </w:rPr>
        <w:t>a</w:t>
      </w:r>
      <w:r w:rsidRPr="00372963">
        <w:rPr>
          <w:rFonts w:cs="Arial"/>
          <w:lang w:val="en-IN" w:bidi="ar-SA"/>
        </w:rPr>
        <w:t>dopting</w:t>
      </w:r>
      <w:r w:rsidR="00CB3F56" w:rsidRPr="00372963">
        <w:rPr>
          <w:rFonts w:cs="Arial"/>
          <w:lang w:val="en-IN" w:bidi="ar-SA"/>
        </w:rPr>
        <w:t xml:space="preserve"> what </w:t>
      </w:r>
      <w:r w:rsidR="00A34EAA">
        <w:rPr>
          <w:rFonts w:cs="Arial"/>
          <w:lang w:val="en-IN" w:bidi="ar-SA"/>
        </w:rPr>
        <w:t xml:space="preserve">William E. </w:t>
      </w:r>
      <w:r w:rsidR="00CB3F56" w:rsidRPr="00372963">
        <w:rPr>
          <w:rFonts w:cs="Arial"/>
          <w:lang w:val="en-IN" w:bidi="ar-SA"/>
        </w:rPr>
        <w:t xml:space="preserve">Connolly </w:t>
      </w:r>
      <w:r w:rsidR="004513D7" w:rsidRPr="00372963">
        <w:rPr>
          <w:rFonts w:cs="Arial"/>
          <w:lang w:val="en-IN" w:bidi="ar-SA"/>
        </w:rPr>
        <w:t>calls an onto-political stance.</w:t>
      </w:r>
      <w:r w:rsidR="00153BD4" w:rsidRPr="00372963">
        <w:rPr>
          <w:rStyle w:val="FootnoteReference"/>
          <w:rFonts w:cs="Arial"/>
          <w:lang w:val="en-IN" w:bidi="ar-SA"/>
        </w:rPr>
        <w:footnoteReference w:id="6"/>
      </w:r>
      <w:r w:rsidR="00DA0B7A" w:rsidRPr="00372963">
        <w:rPr>
          <w:rFonts w:cs="Arial"/>
          <w:lang w:val="en-IN" w:bidi="ar-SA"/>
        </w:rPr>
        <w:t xml:space="preserve"> </w:t>
      </w:r>
      <w:r w:rsidRPr="00372963">
        <w:rPr>
          <w:rFonts w:cs="Arial"/>
          <w:lang w:val="en-IN" w:bidi="ar-SA"/>
        </w:rPr>
        <w:t xml:space="preserve">I put </w:t>
      </w:r>
      <w:r w:rsidR="00CB3F56" w:rsidRPr="00372963">
        <w:rPr>
          <w:rFonts w:cs="Arial"/>
          <w:lang w:val="en-IN" w:bidi="ar-SA"/>
        </w:rPr>
        <w:t xml:space="preserve">forth what I believe </w:t>
      </w:r>
      <w:r w:rsidR="00CB3F56" w:rsidRPr="00372963">
        <w:rPr>
          <w:rFonts w:cs="Arial"/>
          <w:lang w:val="en-IN" w:bidi="ar-SA"/>
        </w:rPr>
        <w:lastRenderedPageBreak/>
        <w:t xml:space="preserve">is a compelling view of the future, while simultaneously recognising its contestability and partial nature. </w:t>
      </w:r>
    </w:p>
    <w:p w14:paraId="37CFFE1A" w14:textId="66DF3695" w:rsidR="00491E4C" w:rsidRPr="00372963" w:rsidRDefault="00416802" w:rsidP="00A07D18">
      <w:pPr>
        <w:rPr>
          <w:rFonts w:cs="Arial"/>
          <w:lang w:val="en-IN" w:bidi="ar-SA"/>
        </w:rPr>
      </w:pPr>
      <w:r w:rsidRPr="00372963">
        <w:rPr>
          <w:rFonts w:cs="Arial"/>
          <w:lang w:val="en-IN" w:bidi="ar-SA"/>
        </w:rPr>
        <w:t xml:space="preserve">The paper advances in two parts. In the first, I explore an imaginary of the future as precarious. In a first step, I lay out an account of vitality – of a world composed of multiplicities of actants with differing </w:t>
      </w:r>
      <w:r w:rsidR="008A4C23" w:rsidRPr="00372963">
        <w:rPr>
          <w:rFonts w:cs="Arial"/>
          <w:lang w:val="en-IN" w:bidi="ar-SA"/>
        </w:rPr>
        <w:t>degrees</w:t>
      </w:r>
      <w:r w:rsidRPr="00372963">
        <w:rPr>
          <w:rFonts w:cs="Arial"/>
          <w:lang w:val="en-IN" w:bidi="ar-SA"/>
        </w:rPr>
        <w:t xml:space="preserve"> of agential forces entering into and breaking apart from complex assemblages. Such a view problematises the notion of a fully-formed human subject/agent in favour of a dispersed materiality of agential capacities. Building on such an account</w:t>
      </w:r>
      <w:r w:rsidR="00A34EAA">
        <w:rPr>
          <w:rFonts w:cs="Arial"/>
          <w:lang w:val="en-IN" w:bidi="ar-SA"/>
        </w:rPr>
        <w:t>,</w:t>
      </w:r>
      <w:r w:rsidRPr="00372963">
        <w:rPr>
          <w:rFonts w:cs="Arial"/>
          <w:lang w:val="en-IN" w:bidi="ar-SA"/>
        </w:rPr>
        <w:t xml:space="preserve"> I then go on to argue for an image of the future as precarious precisely because it opens itself up – in durational moments – to the interinvolvements of heterogenous temporal registers </w:t>
      </w:r>
      <w:r w:rsidR="00BD1EB3" w:rsidRPr="00372963">
        <w:rPr>
          <w:rFonts w:cs="Arial"/>
          <w:lang w:val="en-IN" w:bidi="ar-SA"/>
        </w:rPr>
        <w:t>(occupied by actants with differing degrees of agency)</w:t>
      </w:r>
      <w:r w:rsidR="00A34EAA">
        <w:rPr>
          <w:rFonts w:cs="Arial"/>
          <w:lang w:val="en-IN" w:bidi="ar-SA"/>
        </w:rPr>
        <w:t>,</w:t>
      </w:r>
      <w:r w:rsidR="00BD1EB3" w:rsidRPr="00372963">
        <w:rPr>
          <w:rFonts w:cs="Arial"/>
          <w:lang w:val="en-IN" w:bidi="ar-SA"/>
        </w:rPr>
        <w:t xml:space="preserve"> </w:t>
      </w:r>
      <w:r w:rsidRPr="00372963">
        <w:rPr>
          <w:rFonts w:cs="Arial"/>
          <w:lang w:val="en-IN" w:bidi="ar-SA"/>
        </w:rPr>
        <w:t>spurring unpredictable and novel modes of self-organisation. In the second part, I turn to the question of the relation between politics and such an imaginary of the future. Building on an essentially post-foundational account of democratic politics – identifying it as first and foremost an act of radical imagination –</w:t>
      </w:r>
      <w:r w:rsidR="00A34EAA">
        <w:rPr>
          <w:rFonts w:cs="Arial"/>
          <w:lang w:val="en-IN" w:bidi="ar-SA"/>
        </w:rPr>
        <w:t>,</w:t>
      </w:r>
      <w:r w:rsidRPr="00372963">
        <w:rPr>
          <w:rFonts w:cs="Arial"/>
          <w:lang w:val="en-IN" w:bidi="ar-SA"/>
        </w:rPr>
        <w:t xml:space="preserve"> I argue that an affirming relation to a precarious future demands a cultivated sensitivity towards radical plurality – a sensitivity embodied in democratic politics. </w:t>
      </w:r>
      <w:r w:rsidR="008A1FEA" w:rsidRPr="00372963">
        <w:rPr>
          <w:rFonts w:cs="Arial"/>
          <w:lang w:val="en-IN" w:bidi="ar-SA"/>
        </w:rPr>
        <w:t>The paper explores two dimensions of this relation</w:t>
      </w:r>
      <w:r w:rsidR="00A34EAA">
        <w:rPr>
          <w:rFonts w:cs="Arial"/>
          <w:lang w:val="en-IN" w:bidi="ar-SA"/>
        </w:rPr>
        <w:t>:</w:t>
      </w:r>
      <w:r w:rsidR="008A1FEA" w:rsidRPr="00372963">
        <w:rPr>
          <w:rFonts w:cs="Arial"/>
          <w:lang w:val="en-IN" w:bidi="ar-SA"/>
        </w:rPr>
        <w:t xml:space="preserve"> plurality (horizontality) and ethos (sensitivity)</w:t>
      </w:r>
      <w:r w:rsidR="00A34EAA">
        <w:rPr>
          <w:rFonts w:cs="Arial"/>
          <w:lang w:val="en-IN" w:bidi="ar-SA"/>
        </w:rPr>
        <w:t xml:space="preserve"> and </w:t>
      </w:r>
      <w:r w:rsidR="008A1FEA" w:rsidRPr="00372963">
        <w:rPr>
          <w:rFonts w:cs="Arial"/>
          <w:lang w:val="en-IN" w:bidi="ar-SA"/>
        </w:rPr>
        <w:t>then concludes.</w:t>
      </w:r>
    </w:p>
    <w:p w14:paraId="5DCE5B13" w14:textId="77777777" w:rsidR="00A07D18" w:rsidRPr="00372963" w:rsidRDefault="00A07D18" w:rsidP="00A07D18">
      <w:pPr>
        <w:rPr>
          <w:rFonts w:cs="Arial"/>
          <w:lang w:val="en-IN"/>
        </w:rPr>
      </w:pPr>
    </w:p>
    <w:p w14:paraId="413CD8C0" w14:textId="269ADE53" w:rsidR="00C6547E" w:rsidRDefault="00577F57" w:rsidP="00A07D18">
      <w:pPr>
        <w:pStyle w:val="Heading1"/>
      </w:pPr>
      <w:r>
        <w:t>Mapping Precarity</w:t>
      </w:r>
    </w:p>
    <w:p w14:paraId="2D9E79B2" w14:textId="1C3DD6D6" w:rsidR="00C15BAC" w:rsidRPr="00372963" w:rsidRDefault="00491E4C" w:rsidP="003C1798">
      <w:pPr>
        <w:rPr>
          <w:rFonts w:cs="Arial"/>
          <w:lang w:val="en-IN" w:bidi="ar-SA"/>
        </w:rPr>
      </w:pPr>
      <w:r w:rsidRPr="00372963">
        <w:rPr>
          <w:rFonts w:cs="Arial"/>
          <w:lang w:val="en-IN" w:bidi="ar-SA"/>
        </w:rPr>
        <w:t>I seek to begin by drawing</w:t>
      </w:r>
      <w:r w:rsidR="00127BC3" w:rsidRPr="00372963">
        <w:rPr>
          <w:rFonts w:cs="Arial"/>
          <w:lang w:val="en-IN" w:bidi="ar-SA"/>
        </w:rPr>
        <w:t xml:space="preserve"> a map –</w:t>
      </w:r>
      <w:r w:rsidRPr="00372963">
        <w:rPr>
          <w:rFonts w:cs="Arial"/>
          <w:lang w:val="en-IN" w:bidi="ar-SA"/>
        </w:rPr>
        <w:t xml:space="preserve"> </w:t>
      </w:r>
      <w:r w:rsidR="00127BC3" w:rsidRPr="00372963">
        <w:rPr>
          <w:rFonts w:cs="Arial"/>
          <w:lang w:val="en-IN" w:bidi="ar-SA"/>
        </w:rPr>
        <w:t xml:space="preserve">charting </w:t>
      </w:r>
      <w:r w:rsidRPr="00372963">
        <w:rPr>
          <w:rFonts w:cs="Arial"/>
          <w:lang w:val="en-IN" w:bidi="ar-SA"/>
        </w:rPr>
        <w:t xml:space="preserve">a set of </w:t>
      </w:r>
      <w:r w:rsidR="00127BC3" w:rsidRPr="00372963">
        <w:rPr>
          <w:rFonts w:cs="Arial"/>
          <w:lang w:val="en-IN" w:bidi="ar-SA"/>
        </w:rPr>
        <w:t xml:space="preserve">resonances and affinities between </w:t>
      </w:r>
      <w:r w:rsidR="000F3089" w:rsidRPr="00372963">
        <w:rPr>
          <w:rFonts w:cs="Arial"/>
          <w:lang w:val="en-IN" w:bidi="ar-SA"/>
        </w:rPr>
        <w:t xml:space="preserve">disparate accounts of a world of complexity prone to moments of destabilisation. </w:t>
      </w:r>
      <w:r w:rsidR="00D922CF" w:rsidRPr="00372963">
        <w:rPr>
          <w:rFonts w:cs="Arial"/>
          <w:lang w:val="en-IN" w:bidi="ar-SA"/>
        </w:rPr>
        <w:t xml:space="preserve">What are these resonances, and what sort of future do they enable us to imagine/recognise? </w:t>
      </w:r>
      <w:r w:rsidR="00BD1EB3" w:rsidRPr="00372963">
        <w:rPr>
          <w:rFonts w:cs="Arial"/>
          <w:lang w:val="en-IN" w:bidi="ar-SA"/>
        </w:rPr>
        <w:t>I suggest an image of a</w:t>
      </w:r>
      <w:r w:rsidRPr="00372963">
        <w:rPr>
          <w:rFonts w:cs="Arial"/>
          <w:lang w:val="en-IN" w:bidi="ar-SA"/>
        </w:rPr>
        <w:t xml:space="preserve"> future characterised by </w:t>
      </w:r>
      <w:r w:rsidR="00BD1EB3" w:rsidRPr="00372963">
        <w:rPr>
          <w:rFonts w:cs="Arial"/>
          <w:lang w:val="en-IN" w:bidi="ar-SA"/>
        </w:rPr>
        <w:t xml:space="preserve">a certain </w:t>
      </w:r>
      <w:r w:rsidRPr="00372963">
        <w:rPr>
          <w:rFonts w:cs="Arial"/>
          <w:lang w:val="en-IN" w:bidi="ar-SA"/>
        </w:rPr>
        <w:t>flux</w:t>
      </w:r>
      <w:r w:rsidR="001B638B" w:rsidRPr="00372963">
        <w:rPr>
          <w:rFonts w:cs="Arial"/>
          <w:lang w:val="en-IN" w:bidi="ar-SA"/>
        </w:rPr>
        <w:t xml:space="preserve"> – an element of chanciness, uncertainty, or instability as constitutive of the world and its future(s)</w:t>
      </w:r>
      <w:r w:rsidRPr="00372963">
        <w:rPr>
          <w:rFonts w:cs="Arial"/>
          <w:lang w:val="en-IN" w:bidi="ar-SA"/>
        </w:rPr>
        <w:t xml:space="preserve">. </w:t>
      </w:r>
      <w:r w:rsidR="001B638B" w:rsidRPr="00372963">
        <w:rPr>
          <w:rFonts w:cs="Arial"/>
          <w:lang w:val="en-IN" w:bidi="ar-SA"/>
        </w:rPr>
        <w:t>But</w:t>
      </w:r>
      <w:r w:rsidRPr="00372963">
        <w:rPr>
          <w:rFonts w:cs="Arial"/>
          <w:lang w:val="en-IN" w:bidi="ar-SA"/>
        </w:rPr>
        <w:t xml:space="preserve"> t</w:t>
      </w:r>
      <w:r w:rsidR="001B638B" w:rsidRPr="00372963">
        <w:rPr>
          <w:rFonts w:cs="Arial"/>
          <w:lang w:val="en-IN" w:bidi="ar-SA"/>
        </w:rPr>
        <w:t>he first step t</w:t>
      </w:r>
      <w:r w:rsidRPr="00372963">
        <w:rPr>
          <w:rFonts w:cs="Arial"/>
          <w:lang w:val="en-IN" w:bidi="ar-SA"/>
        </w:rPr>
        <w:t>o recognis</w:t>
      </w:r>
      <w:r w:rsidR="001B638B" w:rsidRPr="00372963">
        <w:rPr>
          <w:rFonts w:cs="Arial"/>
          <w:lang w:val="en-IN" w:bidi="ar-SA"/>
        </w:rPr>
        <w:t>ing</w:t>
      </w:r>
      <w:r w:rsidRPr="00372963">
        <w:rPr>
          <w:rFonts w:cs="Arial"/>
          <w:lang w:val="en-IN" w:bidi="ar-SA"/>
        </w:rPr>
        <w:t xml:space="preserve"> such uncertainty </w:t>
      </w:r>
      <w:r w:rsidR="001B638B" w:rsidRPr="00372963">
        <w:rPr>
          <w:rFonts w:cs="Arial"/>
          <w:lang w:val="en-IN" w:bidi="ar-SA"/>
        </w:rPr>
        <w:t xml:space="preserve">is an expanded </w:t>
      </w:r>
      <w:r w:rsidRPr="00372963">
        <w:rPr>
          <w:rFonts w:cs="Arial"/>
          <w:lang w:val="en-IN" w:bidi="ar-SA"/>
        </w:rPr>
        <w:t xml:space="preserve">understanding of the sites and forces that act into and on the future. We must then, first of all, come to terms with a certain vitality in </w:t>
      </w:r>
      <w:r w:rsidR="001B638B" w:rsidRPr="00372963">
        <w:rPr>
          <w:rFonts w:cs="Arial"/>
          <w:lang w:val="en-IN" w:bidi="ar-SA"/>
        </w:rPr>
        <w:t>a complex and multi-layered</w:t>
      </w:r>
      <w:r w:rsidRPr="00372963">
        <w:rPr>
          <w:rFonts w:cs="Arial"/>
          <w:lang w:val="en-IN" w:bidi="ar-SA"/>
        </w:rPr>
        <w:t xml:space="preserve"> world. Here, the </w:t>
      </w:r>
      <w:proofErr w:type="spellStart"/>
      <w:r w:rsidRPr="00372963">
        <w:rPr>
          <w:rFonts w:cs="Arial"/>
          <w:i/>
          <w:iCs/>
          <w:lang w:val="en-IN" w:bidi="ar-SA"/>
        </w:rPr>
        <w:t>Bhilala</w:t>
      </w:r>
      <w:proofErr w:type="spellEnd"/>
      <w:r w:rsidRPr="00372963">
        <w:rPr>
          <w:rFonts w:cs="Arial"/>
          <w:lang w:val="en-IN" w:bidi="ar-SA"/>
        </w:rPr>
        <w:t xml:space="preserve"> origin-myth – the </w:t>
      </w:r>
      <w:proofErr w:type="spellStart"/>
      <w:r w:rsidRPr="00372963">
        <w:rPr>
          <w:rFonts w:cs="Arial"/>
          <w:i/>
          <w:iCs/>
          <w:lang w:val="en-IN" w:bidi="ar-SA"/>
        </w:rPr>
        <w:t>Gayana</w:t>
      </w:r>
      <w:proofErr w:type="spellEnd"/>
      <w:r w:rsidRPr="00372963">
        <w:rPr>
          <w:rFonts w:cs="Arial"/>
          <w:lang w:val="en-IN" w:bidi="ar-SA"/>
        </w:rPr>
        <w:t xml:space="preserve"> – can orient us, helping us on our way. </w:t>
      </w:r>
    </w:p>
    <w:p w14:paraId="4C33BB20" w14:textId="77777777" w:rsidR="00BD1EB3" w:rsidRPr="00202EAB" w:rsidRDefault="00BD1EB3" w:rsidP="003C1798">
      <w:pPr>
        <w:rPr>
          <w:rFonts w:ascii="Arial" w:hAnsi="Arial" w:cs="Arial"/>
          <w:lang w:val="en-IN" w:bidi="ar-SA"/>
        </w:rPr>
      </w:pPr>
    </w:p>
    <w:p w14:paraId="121F5B07" w14:textId="0B678804" w:rsidR="000E7338" w:rsidRPr="00202EAB" w:rsidRDefault="000E7338" w:rsidP="000E7338">
      <w:pPr>
        <w:pStyle w:val="Heading2"/>
        <w:rPr>
          <w:rFonts w:cs="Arial"/>
        </w:rPr>
      </w:pPr>
      <w:r w:rsidRPr="00202EAB">
        <w:rPr>
          <w:rFonts w:cs="Arial"/>
        </w:rPr>
        <w:lastRenderedPageBreak/>
        <w:t xml:space="preserve">Vitality: Actants, Creativity, and Misbehaving </w:t>
      </w:r>
      <w:r w:rsidR="00A34EAA">
        <w:rPr>
          <w:rFonts w:cs="Arial"/>
        </w:rPr>
        <w:t>M</w:t>
      </w:r>
      <w:r w:rsidRPr="00202EAB">
        <w:rPr>
          <w:rFonts w:cs="Arial"/>
        </w:rPr>
        <w:t>ountains</w:t>
      </w:r>
    </w:p>
    <w:p w14:paraId="031889BE" w14:textId="1889ADA7" w:rsidR="00732193" w:rsidRPr="00372963" w:rsidRDefault="00CB3F56" w:rsidP="00732193">
      <w:pPr>
        <w:spacing w:after="0"/>
        <w:rPr>
          <w:rFonts w:cs="Arial"/>
          <w:lang w:val="en-US" w:bidi="ar-SA"/>
        </w:rPr>
      </w:pPr>
      <w:r w:rsidRPr="00372963">
        <w:rPr>
          <w:rFonts w:cs="Arial"/>
          <w:lang w:val="en-US" w:bidi="ar-SA"/>
        </w:rPr>
        <w:t xml:space="preserve">In the world of the </w:t>
      </w:r>
      <w:proofErr w:type="spellStart"/>
      <w:r w:rsidRPr="00372963">
        <w:rPr>
          <w:rFonts w:cs="Arial"/>
          <w:i/>
          <w:iCs/>
          <w:lang w:val="en-US" w:bidi="ar-SA"/>
        </w:rPr>
        <w:t>Gayana</w:t>
      </w:r>
      <w:proofErr w:type="spellEnd"/>
      <w:r w:rsidRPr="00372963">
        <w:rPr>
          <w:rFonts w:cs="Arial"/>
          <w:lang w:val="en-US" w:bidi="ar-SA"/>
        </w:rPr>
        <w:t>, the mountains misbehave, animals run riot and rivers, in fits of rage, creat</w:t>
      </w:r>
      <w:r w:rsidR="00DD5142" w:rsidRPr="00372963">
        <w:rPr>
          <w:rFonts w:cs="Arial"/>
          <w:lang w:val="en-US" w:bidi="ar-SA"/>
        </w:rPr>
        <w:t>e</w:t>
      </w:r>
      <w:r w:rsidRPr="00372963">
        <w:rPr>
          <w:rFonts w:cs="Arial"/>
          <w:lang w:val="en-US" w:bidi="ar-SA"/>
        </w:rPr>
        <w:t xml:space="preserve"> mountains where there were only plains before</w:t>
      </w:r>
      <w:r w:rsidR="00732193" w:rsidRPr="00372963">
        <w:rPr>
          <w:rFonts w:cs="Arial"/>
          <w:lang w:val="en-US" w:bidi="ar-SA"/>
        </w:rPr>
        <w:t>.</w:t>
      </w:r>
      <w:r w:rsidR="00153BD4" w:rsidRPr="00372963">
        <w:rPr>
          <w:rStyle w:val="FootnoteReference"/>
          <w:rFonts w:cs="Arial"/>
          <w:lang w:val="en-US" w:bidi="ar-SA"/>
        </w:rPr>
        <w:footnoteReference w:id="7"/>
      </w:r>
      <w:r w:rsidRPr="00372963">
        <w:rPr>
          <w:rFonts w:cs="Arial"/>
          <w:lang w:val="en-US" w:bidi="ar-SA"/>
        </w:rPr>
        <w:t xml:space="preserve"> </w:t>
      </w:r>
      <w:r w:rsidR="00557A6A" w:rsidRPr="00372963">
        <w:rPr>
          <w:rFonts w:cs="Arial"/>
          <w:lang w:val="en-US" w:bidi="ar-SA"/>
        </w:rPr>
        <w:t>A</w:t>
      </w:r>
      <w:r w:rsidR="008F15B1" w:rsidRPr="00372963">
        <w:rPr>
          <w:rFonts w:cs="Arial"/>
          <w:lang w:val="en-US" w:bidi="ar-SA"/>
        </w:rPr>
        <w:t>n intricate interweaving of human and non-human agen</w:t>
      </w:r>
      <w:r w:rsidR="00557A6A" w:rsidRPr="00372963">
        <w:rPr>
          <w:rFonts w:cs="Arial"/>
          <w:lang w:val="en-US" w:bidi="ar-SA"/>
        </w:rPr>
        <w:t>ts</w:t>
      </w:r>
      <w:r w:rsidR="00710295" w:rsidRPr="00372963">
        <w:rPr>
          <w:rFonts w:cs="Arial"/>
          <w:lang w:val="en-US" w:bidi="ar-SA"/>
        </w:rPr>
        <w:t>, forces and flows that move interchangeably across the artifice of subject/object. The forest, the mountains, the river are not just the stage on which human agents act</w:t>
      </w:r>
      <w:r w:rsidR="00557A6A" w:rsidRPr="00372963">
        <w:rPr>
          <w:rFonts w:cs="Arial"/>
          <w:lang w:val="en-US" w:bidi="ar-SA"/>
        </w:rPr>
        <w:t xml:space="preserve"> </w:t>
      </w:r>
      <w:r w:rsidR="00710295" w:rsidRPr="00372963">
        <w:rPr>
          <w:rFonts w:cs="Arial"/>
          <w:lang w:val="en-US" w:bidi="ar-SA"/>
        </w:rPr>
        <w:t xml:space="preserve">but are – to a greater or lesser extent – actors alongside humans. </w:t>
      </w:r>
      <w:r w:rsidR="00557A6A" w:rsidRPr="00372963">
        <w:rPr>
          <w:rFonts w:cs="Arial"/>
          <w:lang w:val="en-US" w:bidi="ar-SA"/>
        </w:rPr>
        <w:t>A</w:t>
      </w:r>
      <w:r w:rsidR="00710295" w:rsidRPr="00372963">
        <w:rPr>
          <w:rFonts w:cs="Arial"/>
          <w:lang w:val="en-US" w:bidi="ar-SA"/>
        </w:rPr>
        <w:t xml:space="preserve">s </w:t>
      </w:r>
      <w:proofErr w:type="spellStart"/>
      <w:r w:rsidR="00710295" w:rsidRPr="00372963">
        <w:rPr>
          <w:rFonts w:cs="Arial"/>
          <w:lang w:val="en-US" w:bidi="ar-SA"/>
        </w:rPr>
        <w:t>Baviskar</w:t>
      </w:r>
      <w:proofErr w:type="spellEnd"/>
      <w:r w:rsidR="00710295" w:rsidRPr="00372963">
        <w:rPr>
          <w:rFonts w:cs="Arial"/>
          <w:lang w:val="en-US" w:bidi="ar-SA"/>
        </w:rPr>
        <w:t xml:space="preserve"> point</w:t>
      </w:r>
      <w:r w:rsidR="00557A6A" w:rsidRPr="00372963">
        <w:rPr>
          <w:rFonts w:cs="Arial"/>
          <w:lang w:val="en-US" w:bidi="ar-SA"/>
        </w:rPr>
        <w:t>s</w:t>
      </w:r>
      <w:r w:rsidR="00710295" w:rsidRPr="00372963">
        <w:rPr>
          <w:rFonts w:cs="Arial"/>
          <w:lang w:val="en-US" w:bidi="ar-SA"/>
        </w:rPr>
        <w:t xml:space="preserve"> out, “For </w:t>
      </w:r>
      <w:proofErr w:type="spellStart"/>
      <w:r w:rsidR="00710295" w:rsidRPr="00372963">
        <w:rPr>
          <w:rFonts w:cs="Arial"/>
          <w:i/>
          <w:iCs/>
          <w:lang w:val="en-US" w:bidi="ar-SA"/>
        </w:rPr>
        <w:t>Bhilalas</w:t>
      </w:r>
      <w:proofErr w:type="spellEnd"/>
      <w:r w:rsidR="00710295" w:rsidRPr="00372963">
        <w:rPr>
          <w:rFonts w:cs="Arial"/>
          <w:lang w:val="en-US" w:bidi="ar-SA"/>
        </w:rPr>
        <w:t>, affecting nature’s cycle is intrinsic to a cosmology that imbues all natural phenomena with a spiritual life, so that the hills, trees, stones and crops actively intervene in people’s daily lives”</w:t>
      </w:r>
      <w:r w:rsidR="00732193" w:rsidRPr="00372963">
        <w:rPr>
          <w:rFonts w:cs="Arial"/>
          <w:lang w:val="en-US" w:bidi="ar-SA"/>
        </w:rPr>
        <w:t>.</w:t>
      </w:r>
      <w:r w:rsidR="00153BD4" w:rsidRPr="00372963">
        <w:rPr>
          <w:rStyle w:val="FootnoteReference"/>
          <w:rFonts w:cs="Arial"/>
          <w:lang w:val="en-US" w:bidi="ar-SA"/>
        </w:rPr>
        <w:footnoteReference w:id="8"/>
      </w:r>
    </w:p>
    <w:p w14:paraId="5E19DDFF" w14:textId="1DD9C4BE" w:rsidR="000E7338" w:rsidRPr="00372963" w:rsidRDefault="002D2DE0" w:rsidP="009D590F">
      <w:pPr>
        <w:rPr>
          <w:rFonts w:cs="Arial"/>
          <w:lang w:val="en-US" w:bidi="ar-SA"/>
        </w:rPr>
      </w:pPr>
      <w:r w:rsidRPr="00372963">
        <w:rPr>
          <w:rFonts w:cs="Arial"/>
          <w:lang w:val="en-US" w:bidi="ar-SA"/>
        </w:rPr>
        <w:t xml:space="preserve">The </w:t>
      </w:r>
      <w:proofErr w:type="spellStart"/>
      <w:r w:rsidRPr="00372963">
        <w:rPr>
          <w:rFonts w:cs="Arial"/>
          <w:i/>
          <w:iCs/>
          <w:lang w:val="en-US" w:bidi="ar-SA"/>
        </w:rPr>
        <w:t>Gayana</w:t>
      </w:r>
      <w:proofErr w:type="spellEnd"/>
      <w:r w:rsidRPr="00372963">
        <w:rPr>
          <w:rFonts w:cs="Arial"/>
          <w:lang w:val="en-US" w:bidi="ar-SA"/>
        </w:rPr>
        <w:t xml:space="preserve"> paints a </w:t>
      </w:r>
      <w:r w:rsidR="00557A6A" w:rsidRPr="00372963">
        <w:rPr>
          <w:rFonts w:cs="Arial"/>
          <w:lang w:val="en-US" w:bidi="ar-SA"/>
        </w:rPr>
        <w:t>picture of the world</w:t>
      </w:r>
      <w:r w:rsidRPr="00372963">
        <w:rPr>
          <w:rFonts w:cs="Arial"/>
          <w:lang w:val="en-US" w:bidi="ar-SA"/>
        </w:rPr>
        <w:t xml:space="preserve"> </w:t>
      </w:r>
      <w:r w:rsidR="00557A6A" w:rsidRPr="00372963">
        <w:rPr>
          <w:rFonts w:cs="Arial"/>
          <w:lang w:val="en-US" w:bidi="ar-SA"/>
        </w:rPr>
        <w:t>–</w:t>
      </w:r>
      <w:r w:rsidR="001B638B" w:rsidRPr="00372963">
        <w:rPr>
          <w:rFonts w:cs="Arial"/>
          <w:lang w:val="en-US" w:bidi="ar-SA"/>
        </w:rPr>
        <w:t xml:space="preserve"> drawing </w:t>
      </w:r>
      <w:r w:rsidRPr="00372963">
        <w:rPr>
          <w:rFonts w:cs="Arial"/>
          <w:lang w:val="en-US" w:bidi="ar-SA"/>
        </w:rPr>
        <w:t>relationships between human, forest, animal, river and mountain</w:t>
      </w:r>
      <w:r w:rsidR="00557A6A" w:rsidRPr="00372963">
        <w:rPr>
          <w:rFonts w:cs="Arial"/>
          <w:lang w:val="en-US" w:bidi="ar-SA"/>
        </w:rPr>
        <w:t xml:space="preserve"> – </w:t>
      </w:r>
      <w:r w:rsidRPr="00372963">
        <w:rPr>
          <w:rFonts w:cs="Arial"/>
          <w:lang w:val="en-US" w:bidi="ar-SA"/>
        </w:rPr>
        <w:t xml:space="preserve">not in terms of control or exploitation, but </w:t>
      </w:r>
      <w:r w:rsidR="001B638B" w:rsidRPr="00372963">
        <w:rPr>
          <w:rFonts w:cs="Arial"/>
          <w:lang w:val="en-US" w:bidi="ar-SA"/>
        </w:rPr>
        <w:t>in a way that attributes and acknowledges agential capacities and consciousness within ‘nature’ itself</w:t>
      </w:r>
      <w:r w:rsidR="00732193" w:rsidRPr="00372963">
        <w:rPr>
          <w:rFonts w:cs="Arial"/>
          <w:lang w:val="en-US" w:bidi="ar-SA"/>
        </w:rPr>
        <w:t>.</w:t>
      </w:r>
      <w:r w:rsidR="00153BD4" w:rsidRPr="00372963">
        <w:rPr>
          <w:rStyle w:val="FootnoteReference"/>
          <w:rFonts w:cs="Arial"/>
          <w:lang w:val="en-US" w:bidi="ar-SA"/>
        </w:rPr>
        <w:footnoteReference w:id="9"/>
      </w:r>
      <w:r w:rsidRPr="00372963">
        <w:rPr>
          <w:rFonts w:cs="Arial"/>
          <w:lang w:val="en-US" w:bidi="ar-SA"/>
        </w:rPr>
        <w:t xml:space="preserve"> It is</w:t>
      </w:r>
      <w:r w:rsidR="001B638B" w:rsidRPr="00372963">
        <w:rPr>
          <w:rFonts w:cs="Arial"/>
          <w:lang w:val="en-US" w:bidi="ar-SA"/>
        </w:rPr>
        <w:t>, after all,</w:t>
      </w:r>
      <w:r w:rsidRPr="00372963">
        <w:rPr>
          <w:rFonts w:cs="Arial"/>
          <w:lang w:val="en-US" w:bidi="ar-SA"/>
        </w:rPr>
        <w:t xml:space="preserve"> the mountains themselves that misbehave. </w:t>
      </w:r>
      <w:r w:rsidR="00732193" w:rsidRPr="00372963">
        <w:rPr>
          <w:rFonts w:cs="Arial"/>
          <w:lang w:val="en-US" w:bidi="ar-SA"/>
        </w:rPr>
        <w:t>It</w:t>
      </w:r>
      <w:r w:rsidR="005E152D" w:rsidRPr="00372963">
        <w:rPr>
          <w:rFonts w:cs="Arial"/>
          <w:lang w:val="en-US" w:bidi="ar-SA"/>
        </w:rPr>
        <w:t xml:space="preserve"> draws our attention to </w:t>
      </w:r>
      <w:r w:rsidR="00557A6A" w:rsidRPr="00372963">
        <w:rPr>
          <w:rFonts w:cs="Arial"/>
          <w:lang w:val="en-US" w:bidi="ar-SA"/>
        </w:rPr>
        <w:t xml:space="preserve">these </w:t>
      </w:r>
      <w:r w:rsidR="005E152D" w:rsidRPr="00372963">
        <w:rPr>
          <w:rFonts w:cs="Arial"/>
          <w:lang w:val="en-US" w:bidi="ar-SA"/>
        </w:rPr>
        <w:t xml:space="preserve">multiple, overlapping </w:t>
      </w:r>
      <w:r w:rsidR="001B638B" w:rsidRPr="00372963">
        <w:rPr>
          <w:rFonts w:cs="Arial"/>
          <w:lang w:val="en-US" w:bidi="ar-SA"/>
        </w:rPr>
        <w:t>agential processes</w:t>
      </w:r>
      <w:r w:rsidR="005E152D" w:rsidRPr="00372963">
        <w:rPr>
          <w:rFonts w:cs="Arial"/>
          <w:lang w:val="en-US" w:bidi="ar-SA"/>
        </w:rPr>
        <w:t xml:space="preserve"> constantly underway, to how </w:t>
      </w:r>
      <w:r w:rsidR="001B638B" w:rsidRPr="00372963">
        <w:rPr>
          <w:rFonts w:cs="Arial"/>
          <w:lang w:val="en-US" w:bidi="ar-SA"/>
        </w:rPr>
        <w:t>they</w:t>
      </w:r>
      <w:r w:rsidR="005E152D" w:rsidRPr="00372963">
        <w:rPr>
          <w:rFonts w:cs="Arial"/>
          <w:lang w:val="en-US" w:bidi="ar-SA"/>
        </w:rPr>
        <w:t xml:space="preserve"> exceed human ordering or control and consequently how human </w:t>
      </w:r>
      <w:r w:rsidR="00557A6A" w:rsidRPr="00372963">
        <w:rPr>
          <w:rFonts w:cs="Arial"/>
          <w:lang w:val="en-US" w:bidi="ar-SA"/>
        </w:rPr>
        <w:t>enactments are themselves</w:t>
      </w:r>
      <w:r w:rsidR="005E152D" w:rsidRPr="00372963">
        <w:rPr>
          <w:rFonts w:cs="Arial"/>
          <w:lang w:val="en-US" w:bidi="ar-SA"/>
        </w:rPr>
        <w:t xml:space="preserve"> embedded within </w:t>
      </w:r>
      <w:r w:rsidR="00557A6A" w:rsidRPr="00372963">
        <w:rPr>
          <w:rFonts w:cs="Arial"/>
          <w:lang w:val="en-US" w:bidi="ar-SA"/>
        </w:rPr>
        <w:t>larger tapestries of agential forces</w:t>
      </w:r>
      <w:r w:rsidR="005E152D" w:rsidRPr="00372963">
        <w:rPr>
          <w:rFonts w:cs="Arial"/>
          <w:lang w:val="en-US" w:bidi="ar-SA"/>
        </w:rPr>
        <w:t xml:space="preserve">. </w:t>
      </w:r>
    </w:p>
    <w:p w14:paraId="04DB01D1" w14:textId="316EC767" w:rsidR="00BA36C7" w:rsidRPr="00372963" w:rsidRDefault="00732193" w:rsidP="009D590F">
      <w:pPr>
        <w:rPr>
          <w:rFonts w:cs="Arial"/>
          <w:lang w:val="en-US" w:bidi="ar-SA"/>
        </w:rPr>
      </w:pPr>
      <w:r w:rsidRPr="00372963">
        <w:rPr>
          <w:rFonts w:cs="Arial"/>
          <w:lang w:val="en-US" w:bidi="ar-SA"/>
        </w:rPr>
        <w:t xml:space="preserve">One finds </w:t>
      </w:r>
      <w:r w:rsidR="005E152D" w:rsidRPr="00372963">
        <w:rPr>
          <w:rFonts w:cs="Arial"/>
          <w:lang w:val="en-US" w:bidi="ar-SA"/>
        </w:rPr>
        <w:t xml:space="preserve">deep and profound resonances between the vivid imagery of the </w:t>
      </w:r>
      <w:proofErr w:type="spellStart"/>
      <w:r w:rsidR="005E152D" w:rsidRPr="00372963">
        <w:rPr>
          <w:rFonts w:cs="Arial"/>
          <w:i/>
          <w:iCs/>
          <w:lang w:val="en-US" w:bidi="ar-SA"/>
        </w:rPr>
        <w:t>Gayana</w:t>
      </w:r>
      <w:proofErr w:type="spellEnd"/>
      <w:r w:rsidR="005E152D" w:rsidRPr="00372963">
        <w:rPr>
          <w:rFonts w:cs="Arial"/>
          <w:lang w:val="en-US" w:bidi="ar-SA"/>
        </w:rPr>
        <w:t xml:space="preserve"> and </w:t>
      </w:r>
      <w:r w:rsidR="00557A6A" w:rsidRPr="00372963">
        <w:rPr>
          <w:rFonts w:cs="Arial"/>
          <w:lang w:val="en-US" w:bidi="ar-SA"/>
        </w:rPr>
        <w:t>strands</w:t>
      </w:r>
      <w:r w:rsidR="005E152D" w:rsidRPr="00372963">
        <w:rPr>
          <w:rFonts w:cs="Arial"/>
          <w:lang w:val="en-US" w:bidi="ar-SA"/>
        </w:rPr>
        <w:t xml:space="preserve"> of materialist thought that seeks to cultivate an attentiveness to vitality in things and their power</w:t>
      </w:r>
      <w:r w:rsidR="00557A6A" w:rsidRPr="00372963">
        <w:rPr>
          <w:rFonts w:cs="Arial"/>
          <w:lang w:val="en-US" w:bidi="ar-SA"/>
        </w:rPr>
        <w:t xml:space="preserve"> </w:t>
      </w:r>
      <w:r w:rsidR="005E152D" w:rsidRPr="00372963">
        <w:rPr>
          <w:rFonts w:cs="Arial"/>
          <w:lang w:val="en-US" w:bidi="ar-SA"/>
        </w:rPr>
        <w:t xml:space="preserve">to move us, to affect us, and to engender change. A thing-power </w:t>
      </w:r>
      <w:proofErr w:type="spellStart"/>
      <w:r w:rsidR="005E152D" w:rsidRPr="00372963">
        <w:rPr>
          <w:rFonts w:cs="Arial"/>
          <w:lang w:val="en-US" w:bidi="ar-SA"/>
        </w:rPr>
        <w:t>characterised</w:t>
      </w:r>
      <w:proofErr w:type="spellEnd"/>
      <w:r w:rsidR="005E152D" w:rsidRPr="00372963">
        <w:rPr>
          <w:rFonts w:cs="Arial"/>
          <w:lang w:val="en-US" w:bidi="ar-SA"/>
        </w:rPr>
        <w:t xml:space="preserve"> by “the curious ability of inanimate things to animate, to act, to produce effects dramatic and subtle”</w:t>
      </w:r>
      <w:r w:rsidRPr="00372963">
        <w:rPr>
          <w:rFonts w:cs="Arial"/>
          <w:lang w:val="en-US" w:bidi="ar-SA"/>
        </w:rPr>
        <w:t>.</w:t>
      </w:r>
      <w:r w:rsidR="00153BD4" w:rsidRPr="00372963">
        <w:rPr>
          <w:rStyle w:val="FootnoteReference"/>
          <w:rFonts w:cs="Arial"/>
          <w:lang w:val="en-US" w:bidi="ar-SA"/>
        </w:rPr>
        <w:footnoteReference w:id="10"/>
      </w:r>
      <w:r w:rsidR="00AC3784" w:rsidRPr="00372963">
        <w:rPr>
          <w:rFonts w:cs="Arial"/>
          <w:lang w:val="en-US" w:bidi="ar-SA"/>
        </w:rPr>
        <w:t xml:space="preserve"> </w:t>
      </w:r>
      <w:r w:rsidR="00C15BAC" w:rsidRPr="00372963">
        <w:rPr>
          <w:rFonts w:cs="Arial"/>
          <w:lang w:val="en-US" w:bidi="ar-SA"/>
        </w:rPr>
        <w:t>The rivers and mountains act, decide, collude</w:t>
      </w:r>
      <w:r w:rsidR="00195919">
        <w:rPr>
          <w:rFonts w:cs="Arial"/>
          <w:lang w:val="en-US" w:bidi="ar-SA"/>
        </w:rPr>
        <w:t>,</w:t>
      </w:r>
      <w:r w:rsidR="00C15BAC" w:rsidRPr="00372963">
        <w:rPr>
          <w:rFonts w:cs="Arial"/>
          <w:lang w:val="en-US" w:bidi="ar-SA"/>
        </w:rPr>
        <w:t xml:space="preserve"> or collide, and produce effects on other sites of agency, including the human. Thing-power: when the river as a jilted lover creates mountains out of fertile alluvial plains; or, more prosaically, when multiple agential forces (the seed, the soil, the rain) on different registers of temporality collude and collaborate to bring forth grain. </w:t>
      </w:r>
    </w:p>
    <w:p w14:paraId="506009EF" w14:textId="465D64D8" w:rsidR="0011627F" w:rsidRPr="00372963" w:rsidRDefault="001B638B" w:rsidP="009D590F">
      <w:pPr>
        <w:rPr>
          <w:rFonts w:cs="Arial"/>
          <w:lang w:val="en-US" w:bidi="ar-SA"/>
        </w:rPr>
      </w:pPr>
      <w:r w:rsidRPr="00372963">
        <w:rPr>
          <w:rFonts w:cs="Arial"/>
          <w:lang w:val="en-US" w:bidi="ar-SA"/>
        </w:rPr>
        <w:t>F</w:t>
      </w:r>
      <w:r w:rsidR="00C15BAC" w:rsidRPr="00372963">
        <w:rPr>
          <w:rFonts w:cs="Arial"/>
          <w:lang w:val="en-US" w:bidi="ar-SA"/>
        </w:rPr>
        <w:t xml:space="preserve">our key dimensions </w:t>
      </w:r>
      <w:r w:rsidRPr="00372963">
        <w:rPr>
          <w:rFonts w:cs="Arial"/>
          <w:lang w:val="en-US" w:bidi="ar-SA"/>
        </w:rPr>
        <w:t>of</w:t>
      </w:r>
      <w:r w:rsidR="00C15BAC" w:rsidRPr="00372963">
        <w:rPr>
          <w:rFonts w:cs="Arial"/>
          <w:lang w:val="en-US" w:bidi="ar-SA"/>
        </w:rPr>
        <w:t xml:space="preserve"> thing-power</w:t>
      </w:r>
      <w:r w:rsidR="0011627F" w:rsidRPr="00372963">
        <w:rPr>
          <w:rFonts w:cs="Arial"/>
          <w:lang w:val="en-US" w:bidi="ar-SA"/>
        </w:rPr>
        <w:t xml:space="preserve"> </w:t>
      </w:r>
      <w:r w:rsidRPr="00372963">
        <w:rPr>
          <w:rFonts w:cs="Arial"/>
          <w:lang w:val="en-US" w:bidi="ar-SA"/>
        </w:rPr>
        <w:t xml:space="preserve">stand out vis-à-vis </w:t>
      </w:r>
      <w:r w:rsidR="0011627F" w:rsidRPr="00372963">
        <w:rPr>
          <w:rFonts w:cs="Arial"/>
          <w:lang w:val="en-US" w:bidi="ar-SA"/>
        </w:rPr>
        <w:t>our discussion</w:t>
      </w:r>
      <w:r w:rsidR="00C15BAC" w:rsidRPr="00372963">
        <w:rPr>
          <w:rFonts w:cs="Arial"/>
          <w:lang w:val="en-US" w:bidi="ar-SA"/>
        </w:rPr>
        <w:t xml:space="preserve">. First, animation; that things possess the ability to </w:t>
      </w:r>
      <w:r w:rsidR="00FF3D67" w:rsidRPr="00372963">
        <w:rPr>
          <w:rFonts w:cs="Arial"/>
          <w:lang w:val="en-US" w:bidi="ar-SA"/>
        </w:rPr>
        <w:t xml:space="preserve">animate themselves, to come alive, to become-organic. Second, creativity; that things </w:t>
      </w:r>
      <w:r w:rsidR="00707B49" w:rsidRPr="00372963">
        <w:rPr>
          <w:rFonts w:cs="Arial"/>
          <w:lang w:val="en-US" w:bidi="ar-SA"/>
        </w:rPr>
        <w:t>can self-</w:t>
      </w:r>
      <w:proofErr w:type="spellStart"/>
      <w:r w:rsidR="00707B49" w:rsidRPr="00372963">
        <w:rPr>
          <w:rFonts w:cs="Arial"/>
          <w:lang w:val="en-US" w:bidi="ar-SA"/>
        </w:rPr>
        <w:t>organise</w:t>
      </w:r>
      <w:proofErr w:type="spellEnd"/>
      <w:r w:rsidR="00707B49" w:rsidRPr="00372963">
        <w:rPr>
          <w:rFonts w:cs="Arial"/>
          <w:lang w:val="en-US" w:bidi="ar-SA"/>
        </w:rPr>
        <w:t xml:space="preserve"> in novel and </w:t>
      </w:r>
      <w:r w:rsidR="00FF3D67" w:rsidRPr="00372963">
        <w:rPr>
          <w:rFonts w:cs="Arial"/>
          <w:lang w:val="en-US" w:bidi="ar-SA"/>
        </w:rPr>
        <w:t>creative</w:t>
      </w:r>
      <w:r w:rsidR="00707B49" w:rsidRPr="00372963">
        <w:rPr>
          <w:rFonts w:cs="Arial"/>
          <w:lang w:val="en-US" w:bidi="ar-SA"/>
        </w:rPr>
        <w:t xml:space="preserve"> ways</w:t>
      </w:r>
      <w:r w:rsidR="00732193" w:rsidRPr="00372963">
        <w:rPr>
          <w:rFonts w:cs="Arial"/>
          <w:lang w:val="en-US" w:bidi="ar-SA"/>
        </w:rPr>
        <w:t>.</w:t>
      </w:r>
      <w:r w:rsidR="00153BD4" w:rsidRPr="00372963">
        <w:rPr>
          <w:rStyle w:val="FootnoteReference"/>
          <w:rFonts w:cs="Arial"/>
          <w:lang w:val="en-US" w:bidi="ar-SA"/>
        </w:rPr>
        <w:footnoteReference w:id="11"/>
      </w:r>
      <w:r w:rsidR="00FF3D67" w:rsidRPr="00372963">
        <w:rPr>
          <w:rFonts w:cs="Arial"/>
          <w:lang w:val="en-US" w:bidi="ar-SA"/>
        </w:rPr>
        <w:t xml:space="preserve"> </w:t>
      </w:r>
      <w:r w:rsidRPr="00372963">
        <w:rPr>
          <w:rFonts w:cs="Arial"/>
          <w:lang w:val="en-US" w:bidi="ar-SA"/>
        </w:rPr>
        <w:t xml:space="preserve">Creativity as </w:t>
      </w:r>
      <w:r w:rsidR="00FF3D67" w:rsidRPr="00372963">
        <w:rPr>
          <w:rFonts w:cs="Arial"/>
          <w:lang w:val="en-US" w:bidi="ar-SA"/>
        </w:rPr>
        <w:t xml:space="preserve">autopoiesis – a bringing forth into presence of that which is </w:t>
      </w:r>
      <w:r w:rsidRPr="00372963">
        <w:rPr>
          <w:rFonts w:cs="Arial"/>
          <w:lang w:val="en-US" w:bidi="ar-SA"/>
        </w:rPr>
        <w:t>concealed</w:t>
      </w:r>
      <w:r w:rsidR="00732193" w:rsidRPr="00372963">
        <w:rPr>
          <w:rFonts w:cs="Arial"/>
          <w:lang w:val="en-US" w:bidi="ar-SA"/>
        </w:rPr>
        <w:t>.</w:t>
      </w:r>
      <w:r w:rsidR="00153BD4" w:rsidRPr="00372963">
        <w:rPr>
          <w:rStyle w:val="FootnoteReference"/>
          <w:rFonts w:cs="Arial"/>
          <w:lang w:val="en-US" w:bidi="ar-SA"/>
        </w:rPr>
        <w:footnoteReference w:id="12"/>
      </w:r>
      <w:r w:rsidR="00FF3D67" w:rsidRPr="00372963">
        <w:rPr>
          <w:rFonts w:cs="Arial"/>
          <w:lang w:val="en-US" w:bidi="ar-SA"/>
        </w:rPr>
        <w:t xml:space="preserve"> </w:t>
      </w:r>
      <w:r w:rsidR="004A1B46" w:rsidRPr="00372963">
        <w:rPr>
          <w:rFonts w:cs="Arial"/>
          <w:lang w:val="en-US" w:bidi="ar-SA"/>
        </w:rPr>
        <w:t xml:space="preserve">But </w:t>
      </w:r>
      <w:r w:rsidR="0011627F" w:rsidRPr="00372963">
        <w:rPr>
          <w:rFonts w:cs="Arial"/>
          <w:lang w:val="en-US" w:bidi="ar-SA"/>
        </w:rPr>
        <w:t xml:space="preserve">such </w:t>
      </w:r>
      <w:r w:rsidR="004A1B46" w:rsidRPr="00372963">
        <w:rPr>
          <w:rFonts w:cs="Arial"/>
          <w:lang w:val="en-US" w:bidi="ar-SA"/>
        </w:rPr>
        <w:t>creativ</w:t>
      </w:r>
      <w:r w:rsidR="0011627F" w:rsidRPr="00372963">
        <w:rPr>
          <w:rFonts w:cs="Arial"/>
          <w:lang w:val="en-US" w:bidi="ar-SA"/>
        </w:rPr>
        <w:t>ity</w:t>
      </w:r>
      <w:r w:rsidR="004A1B46" w:rsidRPr="00372963">
        <w:rPr>
          <w:rFonts w:cs="Arial"/>
          <w:lang w:val="en-US" w:bidi="ar-SA"/>
        </w:rPr>
        <w:t xml:space="preserve"> </w:t>
      </w:r>
      <w:r w:rsidR="0011627F" w:rsidRPr="00372963">
        <w:rPr>
          <w:rFonts w:cs="Arial"/>
          <w:lang w:val="en-US" w:bidi="ar-SA"/>
        </w:rPr>
        <w:t>is</w:t>
      </w:r>
      <w:r w:rsidR="004A1B46" w:rsidRPr="00372963">
        <w:rPr>
          <w:rFonts w:cs="Arial"/>
          <w:lang w:val="en-US" w:bidi="ar-SA"/>
        </w:rPr>
        <w:t xml:space="preserve"> also relational, and this is the third dimension. As </w:t>
      </w:r>
      <w:r w:rsidR="00A34EAA">
        <w:rPr>
          <w:rFonts w:cs="Arial"/>
          <w:lang w:val="en-US" w:bidi="ar-SA"/>
        </w:rPr>
        <w:t xml:space="preserve">Jane </w:t>
      </w:r>
      <w:r w:rsidR="004A1B46" w:rsidRPr="00372963">
        <w:rPr>
          <w:rFonts w:cs="Arial"/>
          <w:lang w:val="en-US" w:bidi="ar-SA"/>
        </w:rPr>
        <w:t xml:space="preserve">Bennett </w:t>
      </w:r>
      <w:r w:rsidR="0011627F" w:rsidRPr="00372963">
        <w:rPr>
          <w:rFonts w:cs="Arial"/>
          <w:lang w:val="en-US" w:bidi="ar-SA"/>
        </w:rPr>
        <w:t>argues</w:t>
      </w:r>
      <w:r w:rsidR="004A1B46" w:rsidRPr="00372963">
        <w:rPr>
          <w:rFonts w:cs="Arial"/>
          <w:lang w:val="en-US" w:bidi="ar-SA"/>
        </w:rPr>
        <w:t xml:space="preserve">, “a material body always resides within some </w:t>
      </w:r>
      <w:r w:rsidR="004A1B46" w:rsidRPr="00372963">
        <w:rPr>
          <w:rFonts w:cs="Arial"/>
          <w:lang w:val="en-US" w:bidi="ar-SA"/>
        </w:rPr>
        <w:lastRenderedPageBreak/>
        <w:t>assemblage or the other, and its thing-power is a function of that grouping. A thing has power by virtue of its operating in conjunction with other things”</w:t>
      </w:r>
      <w:r w:rsidR="00732193" w:rsidRPr="00372963">
        <w:rPr>
          <w:rFonts w:cs="Arial"/>
          <w:lang w:val="en-US" w:bidi="ar-SA"/>
        </w:rPr>
        <w:t>.</w:t>
      </w:r>
      <w:r w:rsidR="00153BD4" w:rsidRPr="00372963">
        <w:rPr>
          <w:rStyle w:val="FootnoteReference"/>
          <w:rFonts w:cs="Arial"/>
          <w:lang w:val="en-US" w:bidi="ar-SA"/>
        </w:rPr>
        <w:footnoteReference w:id="13"/>
      </w:r>
      <w:r w:rsidR="004A1B46" w:rsidRPr="00372963">
        <w:rPr>
          <w:rFonts w:cs="Arial"/>
          <w:lang w:val="en-US" w:bidi="ar-SA"/>
        </w:rPr>
        <w:t xml:space="preserve"> </w:t>
      </w:r>
    </w:p>
    <w:p w14:paraId="3349561B" w14:textId="70D18C2C" w:rsidR="00797D06" w:rsidRPr="00372963" w:rsidRDefault="0011627F" w:rsidP="009D590F">
      <w:pPr>
        <w:rPr>
          <w:rFonts w:cs="Arial"/>
          <w:lang w:val="en-US" w:bidi="ar-SA"/>
        </w:rPr>
      </w:pPr>
      <w:r w:rsidRPr="00372963">
        <w:rPr>
          <w:rFonts w:cs="Arial"/>
          <w:lang w:val="en-US" w:bidi="ar-SA"/>
        </w:rPr>
        <w:t>The thing-power of rain</w:t>
      </w:r>
      <w:r w:rsidR="00732193" w:rsidRPr="00372963">
        <w:rPr>
          <w:rFonts w:cs="Arial"/>
          <w:lang w:val="en-US" w:bidi="ar-SA"/>
        </w:rPr>
        <w:t xml:space="preserve"> (or the monsoon), for instance,</w:t>
      </w:r>
      <w:r w:rsidRPr="00372963">
        <w:rPr>
          <w:rFonts w:cs="Arial"/>
          <w:lang w:val="en-US" w:bidi="ar-SA"/>
        </w:rPr>
        <w:t xml:space="preserve"> within an autopoietic flow is specific to the assemblage/group seed-soil-rain-sunlight-plough-bull-farmer. </w:t>
      </w:r>
      <w:r w:rsidR="004A1B46" w:rsidRPr="00372963">
        <w:rPr>
          <w:rFonts w:cs="Arial"/>
          <w:lang w:val="en-US" w:bidi="ar-SA"/>
        </w:rPr>
        <w:t xml:space="preserve">For, the same rain can form a different assemblage: thunder-wind-rain-lightning-flood that can cause horrific devastation. </w:t>
      </w:r>
    </w:p>
    <w:p w14:paraId="6D22010B" w14:textId="36C1CE02" w:rsidR="00C15BAC" w:rsidRPr="00372963" w:rsidRDefault="00707B49" w:rsidP="009D590F">
      <w:pPr>
        <w:rPr>
          <w:rFonts w:cs="Arial"/>
          <w:lang w:val="en-US" w:bidi="ar-SA"/>
        </w:rPr>
      </w:pPr>
      <w:r w:rsidRPr="00372963">
        <w:rPr>
          <w:rFonts w:cs="Arial"/>
          <w:lang w:val="en-US" w:bidi="ar-SA"/>
        </w:rPr>
        <w:t>T</w:t>
      </w:r>
      <w:r w:rsidR="008B2806" w:rsidRPr="00372963">
        <w:rPr>
          <w:rFonts w:cs="Arial"/>
          <w:lang w:val="en-US" w:bidi="ar-SA"/>
        </w:rPr>
        <w:t xml:space="preserve">he point </w:t>
      </w:r>
      <w:r w:rsidR="0011627F" w:rsidRPr="00372963">
        <w:rPr>
          <w:rFonts w:cs="Arial"/>
          <w:lang w:val="en-US" w:bidi="ar-SA"/>
        </w:rPr>
        <w:t>is not</w:t>
      </w:r>
      <w:r w:rsidR="008B2806" w:rsidRPr="00372963">
        <w:rPr>
          <w:rFonts w:cs="Arial"/>
          <w:lang w:val="en-US" w:bidi="ar-SA"/>
        </w:rPr>
        <w:t xml:space="preserve"> some crude equivalence between </w:t>
      </w:r>
      <w:r w:rsidR="0011627F" w:rsidRPr="00372963">
        <w:rPr>
          <w:rFonts w:cs="Arial"/>
          <w:lang w:val="en-US" w:bidi="ar-SA"/>
        </w:rPr>
        <w:t>human and non-human</w:t>
      </w:r>
      <w:r w:rsidR="008B2806" w:rsidRPr="00372963">
        <w:rPr>
          <w:rFonts w:cs="Arial"/>
          <w:lang w:val="en-US" w:bidi="ar-SA"/>
        </w:rPr>
        <w:t xml:space="preserve">. </w:t>
      </w:r>
      <w:r w:rsidR="0011627F" w:rsidRPr="00372963">
        <w:rPr>
          <w:rFonts w:cs="Arial"/>
          <w:lang w:val="en-US" w:bidi="ar-SA"/>
        </w:rPr>
        <w:t>It</w:t>
      </w:r>
      <w:r w:rsidR="008B2806" w:rsidRPr="00372963">
        <w:rPr>
          <w:rFonts w:cs="Arial"/>
          <w:lang w:val="en-US" w:bidi="ar-SA"/>
        </w:rPr>
        <w:t xml:space="preserve"> is to build sensitivity towards </w:t>
      </w:r>
      <w:r w:rsidRPr="00372963">
        <w:rPr>
          <w:rFonts w:cs="Arial"/>
          <w:lang w:val="en-US" w:bidi="ar-SA"/>
        </w:rPr>
        <w:t>the</w:t>
      </w:r>
      <w:r w:rsidR="008B2806" w:rsidRPr="00372963">
        <w:rPr>
          <w:rFonts w:cs="Arial"/>
          <w:lang w:val="en-US" w:bidi="ar-SA"/>
        </w:rPr>
        <w:t xml:space="preserve"> vitality of things below and beyond the register of conscious human thinking. </w:t>
      </w:r>
      <w:r w:rsidR="0011627F" w:rsidRPr="00372963">
        <w:rPr>
          <w:rFonts w:cs="Arial"/>
          <w:lang w:val="en-US" w:bidi="ar-SA"/>
        </w:rPr>
        <w:t xml:space="preserve">A </w:t>
      </w:r>
      <w:r w:rsidRPr="00372963">
        <w:rPr>
          <w:rFonts w:cs="Arial"/>
          <w:lang w:val="en-US" w:bidi="ar-SA"/>
        </w:rPr>
        <w:t>responsiveness to</w:t>
      </w:r>
      <w:r w:rsidR="0011627F" w:rsidRPr="00372963">
        <w:rPr>
          <w:rFonts w:cs="Arial"/>
          <w:lang w:val="en-US" w:bidi="ar-SA"/>
        </w:rPr>
        <w:t xml:space="preserve"> </w:t>
      </w:r>
      <w:proofErr w:type="spellStart"/>
      <w:r w:rsidR="0011627F" w:rsidRPr="00372963">
        <w:rPr>
          <w:rFonts w:cs="Arial"/>
          <w:lang w:val="en-US" w:bidi="ar-SA"/>
        </w:rPr>
        <w:t>actancy</w:t>
      </w:r>
      <w:proofErr w:type="spellEnd"/>
      <w:r w:rsidR="00C4357D" w:rsidRPr="00372963">
        <w:rPr>
          <w:rFonts w:cs="Arial"/>
          <w:lang w:val="en-US" w:bidi="ar-SA"/>
        </w:rPr>
        <w:t xml:space="preserve"> (the fourth dimension)</w:t>
      </w:r>
      <w:r w:rsidRPr="00372963">
        <w:rPr>
          <w:rFonts w:cs="Arial"/>
          <w:lang w:val="en-US" w:bidi="ar-SA"/>
        </w:rPr>
        <w:t xml:space="preserve">, identified as </w:t>
      </w:r>
      <w:r w:rsidR="005F3268" w:rsidRPr="00372963">
        <w:rPr>
          <w:rFonts w:cs="Arial"/>
          <w:lang w:val="en-US" w:bidi="ar-SA"/>
        </w:rPr>
        <w:t>that “</w:t>
      </w:r>
      <w:r w:rsidR="008B2806" w:rsidRPr="00372963">
        <w:rPr>
          <w:rFonts w:cs="Arial"/>
          <w:lang w:val="en-US" w:bidi="ar-SA"/>
        </w:rPr>
        <w:t>which does something, has sufficient coherence to perform actions, produce effects and alter situations”</w:t>
      </w:r>
      <w:r w:rsidR="00732193" w:rsidRPr="00372963">
        <w:rPr>
          <w:rFonts w:cs="Arial"/>
          <w:lang w:val="en-US" w:bidi="ar-SA"/>
        </w:rPr>
        <w:t>.</w:t>
      </w:r>
      <w:r w:rsidR="00153BD4" w:rsidRPr="00372963">
        <w:rPr>
          <w:rStyle w:val="FootnoteReference"/>
          <w:rFonts w:cs="Arial"/>
          <w:lang w:val="en-US" w:bidi="ar-SA"/>
        </w:rPr>
        <w:footnoteReference w:id="14"/>
      </w:r>
      <w:r w:rsidR="005F3268" w:rsidRPr="00372963">
        <w:rPr>
          <w:rFonts w:cs="Arial"/>
          <w:lang w:val="en-US" w:bidi="ar-SA"/>
        </w:rPr>
        <w:t xml:space="preserve"> </w:t>
      </w:r>
      <w:r w:rsidRPr="00372963">
        <w:rPr>
          <w:rFonts w:cs="Arial"/>
          <w:lang w:val="en-US" w:bidi="ar-SA"/>
        </w:rPr>
        <w:t>A</w:t>
      </w:r>
      <w:r w:rsidR="005F3268" w:rsidRPr="00372963">
        <w:rPr>
          <w:rFonts w:cs="Arial"/>
          <w:lang w:val="en-US" w:bidi="ar-SA"/>
        </w:rPr>
        <w:t>gential forces and capacities</w:t>
      </w:r>
      <w:r w:rsidR="003A4E68" w:rsidRPr="00372963">
        <w:rPr>
          <w:rFonts w:cs="Arial"/>
          <w:lang w:val="en-US" w:bidi="ar-SA"/>
        </w:rPr>
        <w:t xml:space="preserve"> operating below registers of conscious will</w:t>
      </w:r>
      <w:r w:rsidR="0011627F" w:rsidRPr="00372963">
        <w:rPr>
          <w:rFonts w:cs="Arial"/>
          <w:lang w:val="en-US" w:bidi="ar-SA"/>
        </w:rPr>
        <w:t>ing</w:t>
      </w:r>
      <w:r w:rsidR="003A4E68" w:rsidRPr="00372963">
        <w:rPr>
          <w:rFonts w:cs="Arial"/>
          <w:lang w:val="en-US" w:bidi="ar-SA"/>
        </w:rPr>
        <w:t>, but above that of a blind causality – “less intentional than participants, yet more autonomous than actors”</w:t>
      </w:r>
      <w:r w:rsidR="00732193" w:rsidRPr="00372963">
        <w:rPr>
          <w:rFonts w:cs="Arial"/>
          <w:lang w:val="en-US" w:bidi="ar-SA"/>
        </w:rPr>
        <w:t>.</w:t>
      </w:r>
      <w:r w:rsidR="00153BD4" w:rsidRPr="00372963">
        <w:rPr>
          <w:rStyle w:val="FootnoteReference"/>
          <w:rFonts w:cs="Arial"/>
          <w:lang w:val="en-US" w:bidi="ar-SA"/>
        </w:rPr>
        <w:footnoteReference w:id="15"/>
      </w:r>
      <w:r w:rsidR="00732193" w:rsidRPr="00372963">
        <w:rPr>
          <w:rFonts w:cs="Arial"/>
          <w:lang w:val="en-US" w:bidi="ar-SA"/>
        </w:rPr>
        <w:t xml:space="preserve"> </w:t>
      </w:r>
      <w:r w:rsidR="003A4E68" w:rsidRPr="00372963">
        <w:rPr>
          <w:rFonts w:cs="Arial"/>
          <w:lang w:val="en-US" w:bidi="ar-SA"/>
        </w:rPr>
        <w:t>Indeed, the actant problematizes any conception of a fully-formed conscious agent, for lurking always below the surface is a multiplicity of interinvolved flows of agential processes at differing degrees of coherence and sophistication that are constitutive of the image of the whole. Heterogenous agential force-fields, not conscious, but not dead, in continuing processes of becoming that enable the emergence of novel modes of self-</w:t>
      </w:r>
      <w:proofErr w:type="spellStart"/>
      <w:r w:rsidR="003A4E68" w:rsidRPr="00372963">
        <w:rPr>
          <w:rFonts w:cs="Arial"/>
          <w:lang w:val="en-US" w:bidi="ar-SA"/>
        </w:rPr>
        <w:t>organisation</w:t>
      </w:r>
      <w:proofErr w:type="spellEnd"/>
      <w:r w:rsidR="00732193" w:rsidRPr="00372963">
        <w:rPr>
          <w:rFonts w:cs="Arial"/>
          <w:lang w:val="en-US" w:bidi="ar-SA"/>
        </w:rPr>
        <w:t>.</w:t>
      </w:r>
      <w:r w:rsidR="00153BD4" w:rsidRPr="00372963">
        <w:rPr>
          <w:rStyle w:val="FootnoteReference"/>
          <w:rFonts w:cs="Arial"/>
          <w:lang w:val="en-US" w:bidi="ar-SA"/>
        </w:rPr>
        <w:footnoteReference w:id="16"/>
      </w:r>
    </w:p>
    <w:p w14:paraId="4C3408F0" w14:textId="29382C6A" w:rsidR="00482775" w:rsidRPr="00372963" w:rsidRDefault="0011627F" w:rsidP="009D590F">
      <w:pPr>
        <w:rPr>
          <w:rFonts w:cs="Arial"/>
          <w:lang w:val="en-US" w:bidi="ar-SA"/>
        </w:rPr>
      </w:pPr>
      <w:r w:rsidRPr="00372963">
        <w:rPr>
          <w:rFonts w:cs="Arial"/>
          <w:lang w:val="en-US" w:bidi="ar-SA"/>
        </w:rPr>
        <w:t xml:space="preserve">We </w:t>
      </w:r>
      <w:r w:rsidR="00707B49" w:rsidRPr="00372963">
        <w:rPr>
          <w:rFonts w:cs="Arial"/>
          <w:lang w:val="en-US" w:bidi="ar-SA"/>
        </w:rPr>
        <w:t>thus face</w:t>
      </w:r>
      <w:r w:rsidRPr="00372963">
        <w:rPr>
          <w:rFonts w:cs="Arial"/>
          <w:lang w:val="en-US" w:bidi="ar-SA"/>
        </w:rPr>
        <w:t xml:space="preserve"> a </w:t>
      </w:r>
      <w:r w:rsidR="00461A4B" w:rsidRPr="00372963">
        <w:rPr>
          <w:rFonts w:cs="Arial"/>
          <w:lang w:val="en-US" w:bidi="ar-SA"/>
        </w:rPr>
        <w:t>continuum of actant</w:t>
      </w:r>
      <w:r w:rsidRPr="00372963">
        <w:rPr>
          <w:rFonts w:cs="Arial"/>
          <w:lang w:val="en-US" w:bidi="ar-SA"/>
        </w:rPr>
        <w:t>s</w:t>
      </w:r>
      <w:r w:rsidR="00461A4B" w:rsidRPr="00372963">
        <w:rPr>
          <w:rFonts w:cs="Arial"/>
          <w:lang w:val="en-US" w:bidi="ar-SA"/>
        </w:rPr>
        <w:t xml:space="preserve">; each actant an animated site of agential energy, in conjunctions and interinvolvements with other such sites </w:t>
      </w:r>
      <w:r w:rsidR="00E37161" w:rsidRPr="00372963">
        <w:rPr>
          <w:rFonts w:cs="Arial"/>
          <w:lang w:val="en-US" w:bidi="ar-SA"/>
        </w:rPr>
        <w:t xml:space="preserve">as they hurtle each other forwards. </w:t>
      </w:r>
      <w:r w:rsidR="00FD371B" w:rsidRPr="00372963">
        <w:rPr>
          <w:rFonts w:cs="Arial"/>
          <w:lang w:val="en-US" w:bidi="ar-SA"/>
        </w:rPr>
        <w:t>A flowing materiality capable of astonishing varieties of configurations through entering</w:t>
      </w:r>
      <w:r w:rsidR="00C4357D" w:rsidRPr="00372963">
        <w:rPr>
          <w:rFonts w:cs="Arial"/>
          <w:lang w:val="en-US" w:bidi="ar-SA"/>
        </w:rPr>
        <w:t>, subverting, infiltrating</w:t>
      </w:r>
      <w:r w:rsidR="00FD371B" w:rsidRPr="00372963">
        <w:rPr>
          <w:rFonts w:cs="Arial"/>
          <w:lang w:val="en-US" w:bidi="ar-SA"/>
        </w:rPr>
        <w:t xml:space="preserve"> and </w:t>
      </w:r>
      <w:r w:rsidR="00C4357D" w:rsidRPr="00372963">
        <w:rPr>
          <w:rFonts w:cs="Arial"/>
          <w:lang w:val="en-US" w:bidi="ar-SA"/>
        </w:rPr>
        <w:t>disbanding</w:t>
      </w:r>
      <w:r w:rsidR="00FD371B" w:rsidRPr="00372963">
        <w:rPr>
          <w:rFonts w:cs="Arial"/>
          <w:lang w:val="en-US" w:bidi="ar-SA"/>
        </w:rPr>
        <w:t xml:space="preserve"> assemblages. </w:t>
      </w:r>
      <w:r w:rsidRPr="00372963">
        <w:rPr>
          <w:rFonts w:cs="Arial"/>
          <w:lang w:val="en-US" w:bidi="ar-SA"/>
        </w:rPr>
        <w:t>Affirming</w:t>
      </w:r>
      <w:r w:rsidR="00FD371B" w:rsidRPr="00372963">
        <w:rPr>
          <w:rFonts w:cs="Arial"/>
          <w:lang w:val="en-US" w:bidi="ar-SA"/>
        </w:rPr>
        <w:t xml:space="preserve"> </w:t>
      </w:r>
      <w:r w:rsidRPr="00372963">
        <w:rPr>
          <w:rFonts w:cs="Arial"/>
          <w:lang w:val="en-US" w:bidi="ar-SA"/>
        </w:rPr>
        <w:t>such</w:t>
      </w:r>
      <w:r w:rsidR="00FD371B" w:rsidRPr="00372963">
        <w:rPr>
          <w:rFonts w:cs="Arial"/>
          <w:lang w:val="en-US" w:bidi="ar-SA"/>
        </w:rPr>
        <w:t xml:space="preserve"> vital</w:t>
      </w:r>
      <w:r w:rsidRPr="00372963">
        <w:rPr>
          <w:rFonts w:cs="Arial"/>
          <w:lang w:val="en-US" w:bidi="ar-SA"/>
        </w:rPr>
        <w:t xml:space="preserve">ity </w:t>
      </w:r>
      <w:r w:rsidR="00FD371B" w:rsidRPr="00372963">
        <w:rPr>
          <w:rFonts w:cs="Arial"/>
          <w:lang w:val="en-US" w:bidi="ar-SA"/>
        </w:rPr>
        <w:t xml:space="preserve">is to locate </w:t>
      </w:r>
      <w:r w:rsidR="00C4357D" w:rsidRPr="00372963">
        <w:rPr>
          <w:rFonts w:cs="Arial"/>
          <w:lang w:val="en-US" w:bidi="ar-SA"/>
        </w:rPr>
        <w:t xml:space="preserve">(seemingly human) </w:t>
      </w:r>
      <w:r w:rsidR="00FD371B" w:rsidRPr="00372963">
        <w:rPr>
          <w:rFonts w:cs="Arial"/>
          <w:lang w:val="en-US" w:bidi="ar-SA"/>
        </w:rPr>
        <w:t>agency itself as dispersed, diffused; to see</w:t>
      </w:r>
      <w:r w:rsidR="00C4357D" w:rsidRPr="00372963">
        <w:rPr>
          <w:rFonts w:cs="Arial"/>
          <w:lang w:val="en-US" w:bidi="ar-SA"/>
        </w:rPr>
        <w:t>, that is,</w:t>
      </w:r>
      <w:r w:rsidR="00FD371B" w:rsidRPr="00372963">
        <w:rPr>
          <w:rFonts w:cs="Arial"/>
          <w:lang w:val="en-US" w:bidi="ar-SA"/>
        </w:rPr>
        <w:t xml:space="preserve"> “a halo of instinct in intelligence, a nebula of intelligence in instinct, a hint of the </w:t>
      </w:r>
      <w:r w:rsidR="00FD371B" w:rsidRPr="00372963">
        <w:rPr>
          <w:rFonts w:cs="Arial"/>
          <w:lang w:bidi="ar-SA"/>
        </w:rPr>
        <w:t>animate</w:t>
      </w:r>
      <w:r w:rsidR="00FD371B" w:rsidRPr="00372963">
        <w:rPr>
          <w:rFonts w:cs="Arial"/>
          <w:lang w:val="en-US" w:bidi="ar-SA"/>
        </w:rPr>
        <w:t xml:space="preserve"> in plants and of the vegetable in animals”</w:t>
      </w:r>
      <w:r w:rsidR="009F13E4" w:rsidRPr="00372963">
        <w:rPr>
          <w:rFonts w:cs="Arial"/>
          <w:lang w:val="en-US" w:bidi="ar-SA"/>
        </w:rPr>
        <w:t>.</w:t>
      </w:r>
      <w:r w:rsidR="00153BD4" w:rsidRPr="00372963">
        <w:rPr>
          <w:rStyle w:val="FootnoteReference"/>
          <w:rFonts w:cs="Arial"/>
          <w:lang w:val="en-US" w:bidi="ar-SA"/>
        </w:rPr>
        <w:footnoteReference w:id="17"/>
      </w:r>
      <w:r w:rsidR="00FD371B" w:rsidRPr="00372963">
        <w:rPr>
          <w:rFonts w:cs="Arial"/>
          <w:lang w:val="en-US" w:bidi="ar-SA"/>
        </w:rPr>
        <w:t xml:space="preserve"> </w:t>
      </w:r>
      <w:r w:rsidRPr="00372963">
        <w:rPr>
          <w:rFonts w:cs="Arial"/>
          <w:lang w:val="en-US" w:bidi="ar-SA"/>
        </w:rPr>
        <w:t>V</w:t>
      </w:r>
      <w:r w:rsidR="00FD371B" w:rsidRPr="00372963">
        <w:rPr>
          <w:rFonts w:cs="Arial"/>
          <w:lang w:val="en-US" w:bidi="ar-SA"/>
        </w:rPr>
        <w:t xml:space="preserve">ital materialism, </w:t>
      </w:r>
      <w:r w:rsidRPr="00372963">
        <w:rPr>
          <w:rFonts w:cs="Arial"/>
          <w:lang w:val="en-US" w:bidi="ar-SA"/>
        </w:rPr>
        <w:t>with</w:t>
      </w:r>
      <w:r w:rsidR="00FD371B" w:rsidRPr="00372963">
        <w:rPr>
          <w:rFonts w:cs="Arial"/>
          <w:lang w:val="en-US" w:bidi="ar-SA"/>
        </w:rPr>
        <w:t xml:space="preserve"> its multiple sites of agency</w:t>
      </w:r>
      <w:r w:rsidRPr="00372963">
        <w:rPr>
          <w:rFonts w:cs="Arial"/>
          <w:lang w:val="en-US" w:bidi="ar-SA"/>
        </w:rPr>
        <w:t>,</w:t>
      </w:r>
      <w:r w:rsidR="00FD371B" w:rsidRPr="00372963">
        <w:rPr>
          <w:rFonts w:cs="Arial"/>
          <w:lang w:val="en-US" w:bidi="ar-SA"/>
        </w:rPr>
        <w:t xml:space="preserve"> provides insight into a world of complexity within which humanity and human agency is itself embedded</w:t>
      </w:r>
      <w:r w:rsidR="00E00FEB" w:rsidRPr="00372963">
        <w:rPr>
          <w:rFonts w:cs="Arial"/>
          <w:lang w:val="en-US" w:bidi="ar-SA"/>
        </w:rPr>
        <w:t>.</w:t>
      </w:r>
      <w:r w:rsidR="00153BD4" w:rsidRPr="00372963">
        <w:rPr>
          <w:rStyle w:val="FootnoteReference"/>
          <w:rFonts w:cs="Arial"/>
          <w:lang w:val="en-US" w:bidi="ar-SA"/>
        </w:rPr>
        <w:footnoteReference w:id="18"/>
      </w:r>
      <w:r w:rsidR="00FD371B" w:rsidRPr="00372963">
        <w:rPr>
          <w:rFonts w:cs="Arial"/>
          <w:lang w:val="en-IN"/>
        </w:rPr>
        <w:t xml:space="preserve"> </w:t>
      </w:r>
      <w:r w:rsidR="009D590F" w:rsidRPr="00372963">
        <w:rPr>
          <w:rFonts w:cs="Arial"/>
          <w:lang w:val="en-IN"/>
        </w:rPr>
        <w:t>A vibrant world of criss-crossing and interinvolved forces brimming with possibility</w:t>
      </w:r>
      <w:r w:rsidR="00C4357D" w:rsidRPr="00372963">
        <w:rPr>
          <w:rFonts w:cs="Arial"/>
          <w:lang w:val="en-IN"/>
        </w:rPr>
        <w:t xml:space="preserve"> each time they come together or break apart</w:t>
      </w:r>
      <w:r w:rsidR="009D590F" w:rsidRPr="00372963">
        <w:rPr>
          <w:rFonts w:cs="Arial"/>
          <w:lang w:val="en-IN"/>
        </w:rPr>
        <w:t xml:space="preserve">. The </w:t>
      </w:r>
      <w:r w:rsidR="00410C75" w:rsidRPr="00372963">
        <w:rPr>
          <w:rFonts w:cs="Arial"/>
          <w:lang w:val="en-IN"/>
        </w:rPr>
        <w:t>flowing river, misbehaving mountains and animals running wild</w:t>
      </w:r>
      <w:r w:rsidR="00195919">
        <w:rPr>
          <w:rFonts w:cs="Arial"/>
          <w:lang w:val="en-IN"/>
        </w:rPr>
        <w:t>,</w:t>
      </w:r>
      <w:r w:rsidR="00410C75" w:rsidRPr="00372963">
        <w:rPr>
          <w:rFonts w:cs="Arial"/>
          <w:lang w:val="en-IN"/>
        </w:rPr>
        <w:t xml:space="preserve"> all come together in complex assemblages that enable the </w:t>
      </w:r>
      <w:proofErr w:type="spellStart"/>
      <w:r w:rsidR="00410C75" w:rsidRPr="00372963">
        <w:rPr>
          <w:rFonts w:cs="Arial"/>
          <w:i/>
          <w:iCs/>
          <w:lang w:val="en-IN"/>
        </w:rPr>
        <w:t>Bhilala</w:t>
      </w:r>
      <w:proofErr w:type="spellEnd"/>
      <w:r w:rsidR="00410C75" w:rsidRPr="00372963">
        <w:rPr>
          <w:rFonts w:cs="Arial"/>
          <w:lang w:val="en-IN"/>
        </w:rPr>
        <w:t xml:space="preserve"> to </w:t>
      </w:r>
      <w:r w:rsidR="00DD5142" w:rsidRPr="00372963">
        <w:rPr>
          <w:rFonts w:cs="Arial"/>
          <w:lang w:val="en-IN"/>
        </w:rPr>
        <w:t>subsist</w:t>
      </w:r>
      <w:r w:rsidR="00410C75" w:rsidRPr="00372963">
        <w:rPr>
          <w:rFonts w:cs="Arial"/>
          <w:lang w:val="en-IN"/>
        </w:rPr>
        <w:t>. Had the river never carved out its gorge through the ‘wild’ mountains</w:t>
      </w:r>
      <w:r w:rsidR="00195919">
        <w:rPr>
          <w:rFonts w:cs="Arial"/>
          <w:lang w:val="en-IN"/>
        </w:rPr>
        <w:t>,</w:t>
      </w:r>
      <w:r w:rsidR="00410C75" w:rsidRPr="00372963">
        <w:rPr>
          <w:rFonts w:cs="Arial"/>
          <w:lang w:val="en-IN"/>
        </w:rPr>
        <w:t xml:space="preserve"> the </w:t>
      </w:r>
      <w:proofErr w:type="spellStart"/>
      <w:r w:rsidR="00410C75" w:rsidRPr="00372963">
        <w:rPr>
          <w:rFonts w:cs="Arial"/>
          <w:i/>
          <w:iCs/>
          <w:lang w:val="en-IN"/>
        </w:rPr>
        <w:t>Bhilala</w:t>
      </w:r>
      <w:proofErr w:type="spellEnd"/>
      <w:r w:rsidR="00410C75" w:rsidRPr="00372963">
        <w:rPr>
          <w:rFonts w:cs="Arial"/>
          <w:lang w:val="en-IN"/>
        </w:rPr>
        <w:t xml:space="preserve"> would have nowhere to live; and when the river ceases to flow again </w:t>
      </w:r>
      <w:r w:rsidR="00410C75" w:rsidRPr="00372963">
        <w:rPr>
          <w:rFonts w:cs="Arial"/>
          <w:lang w:val="en-IN"/>
        </w:rPr>
        <w:lastRenderedPageBreak/>
        <w:t>(as it soon will, with the aggressive damming of the Narmada</w:t>
      </w:r>
      <w:r w:rsidR="00E00FEB" w:rsidRPr="00372963">
        <w:rPr>
          <w:rStyle w:val="FootnoteReference"/>
          <w:rFonts w:cs="Arial"/>
          <w:lang w:val="en-IN"/>
        </w:rPr>
        <w:footnoteReference w:id="19"/>
      </w:r>
      <w:r w:rsidR="00410C75" w:rsidRPr="00372963">
        <w:rPr>
          <w:rFonts w:cs="Arial"/>
          <w:lang w:val="en-IN"/>
        </w:rPr>
        <w:t>)</w:t>
      </w:r>
      <w:r w:rsidR="00195919">
        <w:rPr>
          <w:rFonts w:cs="Arial"/>
          <w:lang w:val="en-IN"/>
        </w:rPr>
        <w:t>,</w:t>
      </w:r>
      <w:r w:rsidR="00410C75" w:rsidRPr="00372963">
        <w:rPr>
          <w:rFonts w:cs="Arial"/>
          <w:lang w:val="en-IN"/>
        </w:rPr>
        <w:t xml:space="preserve"> the </w:t>
      </w:r>
      <w:proofErr w:type="spellStart"/>
      <w:r w:rsidR="00410C75" w:rsidRPr="00372963">
        <w:rPr>
          <w:rFonts w:cs="Arial"/>
          <w:i/>
          <w:iCs/>
          <w:lang w:val="en-IN"/>
        </w:rPr>
        <w:t>Bhilala</w:t>
      </w:r>
      <w:proofErr w:type="spellEnd"/>
      <w:r w:rsidR="00410C75" w:rsidRPr="00372963">
        <w:rPr>
          <w:rFonts w:cs="Arial"/>
          <w:lang w:val="en-IN"/>
        </w:rPr>
        <w:t xml:space="preserve"> (and millions of others, too) will once again have no place to live.</w:t>
      </w:r>
    </w:p>
    <w:p w14:paraId="6204166C" w14:textId="77777777" w:rsidR="00A07D18" w:rsidRPr="00202EAB" w:rsidRDefault="00A07D18" w:rsidP="009D590F">
      <w:pPr>
        <w:rPr>
          <w:rFonts w:ascii="Arial" w:hAnsi="Arial" w:cs="Arial"/>
          <w:lang w:val="en-US" w:bidi="ar-SA"/>
        </w:rPr>
      </w:pPr>
    </w:p>
    <w:p w14:paraId="6F812B02" w14:textId="43005742" w:rsidR="00482775" w:rsidRPr="00202EAB" w:rsidRDefault="00482775" w:rsidP="00372963">
      <w:pPr>
        <w:pStyle w:val="Heading1"/>
      </w:pPr>
      <w:r w:rsidRPr="00202EAB">
        <w:t>Flux –</w:t>
      </w:r>
      <w:r w:rsidR="00577F57" w:rsidRPr="00202EAB">
        <w:t xml:space="preserve"> </w:t>
      </w:r>
      <w:r w:rsidR="00E008FC" w:rsidRPr="00202EAB">
        <w:rPr>
          <w:i/>
          <w:iCs/>
        </w:rPr>
        <w:t>Poojas</w:t>
      </w:r>
      <w:r w:rsidR="00E008FC" w:rsidRPr="00202EAB">
        <w:t xml:space="preserve">, </w:t>
      </w:r>
      <w:proofErr w:type="spellStart"/>
      <w:r w:rsidR="00577F57" w:rsidRPr="00202EAB">
        <w:t>Durationality</w:t>
      </w:r>
      <w:proofErr w:type="spellEnd"/>
      <w:r w:rsidR="00577F57" w:rsidRPr="00202EAB">
        <w:t xml:space="preserve">, Virtuality </w:t>
      </w:r>
    </w:p>
    <w:p w14:paraId="5D51B123" w14:textId="095EE378" w:rsidR="00482775" w:rsidRPr="00372963" w:rsidRDefault="002878C7" w:rsidP="009D590F">
      <w:pPr>
        <w:rPr>
          <w:rFonts w:cs="Arial"/>
          <w:lang w:val="en-IN" w:bidi="ar-SA"/>
        </w:rPr>
      </w:pPr>
      <w:r w:rsidRPr="00372963">
        <w:rPr>
          <w:rFonts w:cs="Arial"/>
          <w:lang w:val="en-IN" w:bidi="ar-SA"/>
        </w:rPr>
        <w:t>So, what sort of imag</w:t>
      </w:r>
      <w:r w:rsidR="00C4357D" w:rsidRPr="00372963">
        <w:rPr>
          <w:rFonts w:cs="Arial"/>
          <w:lang w:val="en-IN" w:bidi="ar-SA"/>
        </w:rPr>
        <w:t>inary</w:t>
      </w:r>
      <w:r w:rsidRPr="00372963">
        <w:rPr>
          <w:rFonts w:cs="Arial"/>
          <w:lang w:val="en-IN" w:bidi="ar-SA"/>
        </w:rPr>
        <w:t xml:space="preserve"> of the future/s emerges for us once, and if, we accept a world of such vitality? It is my argument that this is </w:t>
      </w:r>
      <w:r w:rsidR="00E00FEB" w:rsidRPr="00372963">
        <w:rPr>
          <w:rFonts w:cs="Arial"/>
          <w:lang w:val="en-IN" w:bidi="ar-SA"/>
        </w:rPr>
        <w:t xml:space="preserve">one </w:t>
      </w:r>
      <w:r w:rsidRPr="00372963">
        <w:rPr>
          <w:rFonts w:cs="Arial"/>
          <w:lang w:val="en-IN" w:bidi="ar-SA"/>
        </w:rPr>
        <w:t xml:space="preserve">of the future as radically uncertain, precarious, prone to destabilisation and sudden turns. For the moment we open ourselves up to agential forces that exceed human control or direction, we open ourselves to possibilities </w:t>
      </w:r>
      <w:r w:rsidR="00DD5142" w:rsidRPr="00372963">
        <w:rPr>
          <w:rFonts w:cs="Arial"/>
          <w:lang w:val="en-IN" w:bidi="ar-SA"/>
        </w:rPr>
        <w:t xml:space="preserve">– engendered by such forces – </w:t>
      </w:r>
      <w:r w:rsidRPr="00372963">
        <w:rPr>
          <w:rFonts w:cs="Arial"/>
          <w:lang w:val="en-IN" w:bidi="ar-SA"/>
        </w:rPr>
        <w:t xml:space="preserve">of </w:t>
      </w:r>
      <w:r w:rsidR="002C4982" w:rsidRPr="00372963">
        <w:rPr>
          <w:rFonts w:cs="Arial"/>
          <w:lang w:val="en-IN" w:bidi="ar-SA"/>
        </w:rPr>
        <w:t>radical transformation</w:t>
      </w:r>
      <w:r w:rsidR="00684C05" w:rsidRPr="00372963">
        <w:rPr>
          <w:rFonts w:cs="Arial"/>
          <w:lang w:val="en-IN" w:bidi="ar-SA"/>
        </w:rPr>
        <w:t xml:space="preserve">s </w:t>
      </w:r>
      <w:r w:rsidR="002C4982" w:rsidRPr="00372963">
        <w:rPr>
          <w:rFonts w:cs="Arial"/>
          <w:lang w:val="en-IN" w:bidi="ar-SA"/>
        </w:rPr>
        <w:t>of</w:t>
      </w:r>
      <w:r w:rsidR="00DE7FE9" w:rsidRPr="00372963">
        <w:rPr>
          <w:rFonts w:cs="Arial"/>
          <w:lang w:val="en-IN" w:bidi="ar-SA"/>
        </w:rPr>
        <w:t xml:space="preserve"> the future</w:t>
      </w:r>
      <w:r w:rsidR="002C4982" w:rsidRPr="00372963">
        <w:rPr>
          <w:rFonts w:cs="Arial"/>
          <w:lang w:val="en-IN" w:bidi="ar-SA"/>
        </w:rPr>
        <w:t>/s</w:t>
      </w:r>
      <w:r w:rsidRPr="00372963">
        <w:rPr>
          <w:rFonts w:cs="Arial"/>
          <w:lang w:val="en-IN" w:bidi="ar-SA"/>
        </w:rPr>
        <w:t xml:space="preserve">. </w:t>
      </w:r>
    </w:p>
    <w:p w14:paraId="65E44EAA" w14:textId="00D7CF09" w:rsidR="008E5136" w:rsidRPr="00372963" w:rsidRDefault="008E5136" w:rsidP="009D590F">
      <w:pPr>
        <w:rPr>
          <w:rFonts w:cs="Arial"/>
          <w:lang w:val="en-IN" w:bidi="ar-SA"/>
        </w:rPr>
      </w:pPr>
      <w:r w:rsidRPr="00372963">
        <w:rPr>
          <w:rFonts w:cs="Arial"/>
          <w:lang w:val="en-IN" w:bidi="ar-SA"/>
        </w:rPr>
        <w:t xml:space="preserve">Consider, once again, the </w:t>
      </w:r>
      <w:proofErr w:type="spellStart"/>
      <w:r w:rsidRPr="00372963">
        <w:rPr>
          <w:rFonts w:cs="Arial"/>
          <w:i/>
          <w:iCs/>
          <w:lang w:val="en-IN" w:bidi="ar-SA"/>
        </w:rPr>
        <w:t>Gayana</w:t>
      </w:r>
      <w:proofErr w:type="spellEnd"/>
      <w:r w:rsidRPr="00372963">
        <w:rPr>
          <w:rFonts w:cs="Arial"/>
          <w:lang w:val="en-IN" w:bidi="ar-SA"/>
        </w:rPr>
        <w:t xml:space="preserve">. </w:t>
      </w:r>
      <w:r w:rsidR="00797FF7" w:rsidRPr="00372963">
        <w:rPr>
          <w:rFonts w:cs="Arial"/>
          <w:lang w:val="en-IN" w:bidi="ar-SA"/>
        </w:rPr>
        <w:t xml:space="preserve">As an origin-myth song, it is performed </w:t>
      </w:r>
      <w:r w:rsidR="008D7B23" w:rsidRPr="00372963">
        <w:rPr>
          <w:rFonts w:cs="Arial"/>
          <w:lang w:val="en-IN" w:bidi="ar-SA"/>
        </w:rPr>
        <w:t>repeatedly as part of elaborate rituals at particular times of the year</w:t>
      </w:r>
      <w:r w:rsidR="00195919">
        <w:rPr>
          <w:rFonts w:cs="Arial"/>
          <w:lang w:val="en-IN" w:bidi="ar-SA"/>
        </w:rPr>
        <w:t>,</w:t>
      </w:r>
      <w:r w:rsidR="008D7B23" w:rsidRPr="00372963">
        <w:rPr>
          <w:rFonts w:cs="Arial"/>
          <w:lang w:val="en-IN" w:bidi="ar-SA"/>
        </w:rPr>
        <w:t xml:space="preserve"> notably just before the first rains of the monsoon (</w:t>
      </w:r>
      <w:proofErr w:type="spellStart"/>
      <w:r w:rsidR="008D7B23" w:rsidRPr="00372963">
        <w:rPr>
          <w:rFonts w:cs="Arial"/>
          <w:i/>
          <w:iCs/>
          <w:lang w:val="en-IN" w:bidi="ar-SA"/>
        </w:rPr>
        <w:t>Indal</w:t>
      </w:r>
      <w:proofErr w:type="spellEnd"/>
      <w:r w:rsidR="008D7B23" w:rsidRPr="00372963">
        <w:rPr>
          <w:rFonts w:cs="Arial"/>
          <w:lang w:val="en-IN" w:bidi="ar-SA"/>
        </w:rPr>
        <w:t xml:space="preserve"> </w:t>
      </w:r>
      <w:r w:rsidR="008D7B23" w:rsidRPr="00372963">
        <w:rPr>
          <w:rFonts w:cs="Arial"/>
          <w:i/>
          <w:iCs/>
          <w:lang w:val="en-IN" w:bidi="ar-SA"/>
        </w:rPr>
        <w:t>Pooja</w:t>
      </w:r>
      <w:r w:rsidR="008D7B23" w:rsidRPr="00372963">
        <w:rPr>
          <w:rFonts w:cs="Arial"/>
          <w:lang w:val="en-IN" w:bidi="ar-SA"/>
        </w:rPr>
        <w:t>), and right after the seasonal harvest (</w:t>
      </w:r>
      <w:proofErr w:type="spellStart"/>
      <w:r w:rsidR="008D7B23" w:rsidRPr="00372963">
        <w:rPr>
          <w:rFonts w:cs="Arial"/>
          <w:i/>
          <w:iCs/>
          <w:lang w:val="en-IN" w:bidi="ar-SA"/>
        </w:rPr>
        <w:t>Divaha</w:t>
      </w:r>
      <w:proofErr w:type="spellEnd"/>
      <w:r w:rsidR="008D7B23" w:rsidRPr="00372963">
        <w:rPr>
          <w:rFonts w:cs="Arial"/>
          <w:lang w:val="en-IN" w:bidi="ar-SA"/>
        </w:rPr>
        <w:t>)</w:t>
      </w:r>
      <w:r w:rsidR="00E00FEB" w:rsidRPr="00372963">
        <w:rPr>
          <w:rFonts w:cs="Arial"/>
          <w:lang w:val="en-IN" w:bidi="ar-SA"/>
        </w:rPr>
        <w:t>.</w:t>
      </w:r>
      <w:r w:rsidR="00153BD4" w:rsidRPr="00372963">
        <w:rPr>
          <w:rStyle w:val="FootnoteReference"/>
          <w:rFonts w:cs="Arial"/>
          <w:lang w:val="en-IN" w:bidi="ar-SA"/>
        </w:rPr>
        <w:footnoteReference w:id="20"/>
      </w:r>
      <w:r w:rsidR="00797FF7" w:rsidRPr="00372963">
        <w:rPr>
          <w:rFonts w:cs="Arial"/>
          <w:lang w:val="en-IN" w:bidi="ar-SA"/>
        </w:rPr>
        <w:t xml:space="preserve"> </w:t>
      </w:r>
      <w:r w:rsidR="00C4357D" w:rsidRPr="00372963">
        <w:rPr>
          <w:rFonts w:cs="Arial"/>
          <w:lang w:val="en-IN" w:bidi="ar-SA"/>
        </w:rPr>
        <w:t xml:space="preserve">But does not such repetition also point to the </w:t>
      </w:r>
      <w:proofErr w:type="spellStart"/>
      <w:r w:rsidR="00C4357D" w:rsidRPr="00372963">
        <w:rPr>
          <w:rFonts w:cs="Arial"/>
          <w:i/>
          <w:iCs/>
          <w:lang w:val="en-IN" w:bidi="ar-SA"/>
        </w:rPr>
        <w:t>Gayana</w:t>
      </w:r>
      <w:proofErr w:type="spellEnd"/>
      <w:r w:rsidR="00C4357D" w:rsidRPr="00372963">
        <w:rPr>
          <w:rFonts w:cs="Arial"/>
          <w:lang w:val="en-IN" w:bidi="ar-SA"/>
        </w:rPr>
        <w:t xml:space="preserve"> being more than an origin-myth?</w:t>
      </w:r>
      <w:r w:rsidR="00797FF7" w:rsidRPr="00372963">
        <w:rPr>
          <w:rFonts w:cs="Arial"/>
          <w:lang w:val="en-IN" w:bidi="ar-SA"/>
        </w:rPr>
        <w:t xml:space="preserve"> </w:t>
      </w:r>
      <w:r w:rsidR="00BA08E3" w:rsidRPr="00372963">
        <w:rPr>
          <w:rFonts w:cs="Arial"/>
          <w:lang w:val="en-IN" w:bidi="ar-SA"/>
        </w:rPr>
        <w:t xml:space="preserve">The misbehaving mountains of the </w:t>
      </w:r>
      <w:proofErr w:type="spellStart"/>
      <w:r w:rsidR="00BA08E3" w:rsidRPr="00372963">
        <w:rPr>
          <w:rFonts w:cs="Arial"/>
          <w:i/>
          <w:iCs/>
          <w:lang w:val="en-IN" w:bidi="ar-SA"/>
        </w:rPr>
        <w:t>Gayana</w:t>
      </w:r>
      <w:proofErr w:type="spellEnd"/>
      <w:r w:rsidR="00BA08E3" w:rsidRPr="00372963">
        <w:rPr>
          <w:rFonts w:cs="Arial"/>
          <w:lang w:val="en-IN" w:bidi="ar-SA"/>
        </w:rPr>
        <w:t xml:space="preserve"> are not just a primordial chaos – they are always looming, always a spectre. Uncertainty, a sudden twist or turn, is always around the corner. The </w:t>
      </w:r>
      <w:proofErr w:type="spellStart"/>
      <w:r w:rsidR="00287F33" w:rsidRPr="00372963">
        <w:rPr>
          <w:rFonts w:cs="Arial"/>
          <w:i/>
          <w:iCs/>
          <w:lang w:val="en-IN" w:bidi="ar-SA"/>
        </w:rPr>
        <w:t>I</w:t>
      </w:r>
      <w:r w:rsidR="00BA08E3" w:rsidRPr="00372963">
        <w:rPr>
          <w:rFonts w:cs="Arial"/>
          <w:i/>
          <w:iCs/>
          <w:lang w:val="en-IN" w:bidi="ar-SA"/>
        </w:rPr>
        <w:t>ndal</w:t>
      </w:r>
      <w:proofErr w:type="spellEnd"/>
      <w:r w:rsidR="00BA08E3" w:rsidRPr="00372963">
        <w:rPr>
          <w:rFonts w:cs="Arial"/>
          <w:lang w:val="en-IN" w:bidi="ar-SA"/>
        </w:rPr>
        <w:t xml:space="preserve"> </w:t>
      </w:r>
      <w:r w:rsidR="00287F33" w:rsidRPr="00372963">
        <w:rPr>
          <w:rFonts w:cs="Arial"/>
          <w:i/>
          <w:iCs/>
          <w:lang w:val="en-IN" w:bidi="ar-SA"/>
        </w:rPr>
        <w:t>P</w:t>
      </w:r>
      <w:r w:rsidR="00BA08E3" w:rsidRPr="00372963">
        <w:rPr>
          <w:rFonts w:cs="Arial"/>
          <w:i/>
          <w:iCs/>
          <w:lang w:val="en-IN" w:bidi="ar-SA"/>
        </w:rPr>
        <w:t>ooja</w:t>
      </w:r>
      <w:r w:rsidR="00BA08E3" w:rsidRPr="00372963">
        <w:rPr>
          <w:rFonts w:cs="Arial"/>
          <w:lang w:val="en-IN" w:bidi="ar-SA"/>
        </w:rPr>
        <w:t xml:space="preserve"> calls on the union of earth and rain that brings forth the grain on which the </w:t>
      </w:r>
      <w:proofErr w:type="spellStart"/>
      <w:r w:rsidR="00BA08E3" w:rsidRPr="00372963">
        <w:rPr>
          <w:rFonts w:cs="Arial"/>
          <w:i/>
          <w:iCs/>
          <w:lang w:val="en-IN" w:bidi="ar-SA"/>
        </w:rPr>
        <w:t>Bhilala</w:t>
      </w:r>
      <w:proofErr w:type="spellEnd"/>
      <w:r w:rsidR="00BA08E3" w:rsidRPr="00372963">
        <w:rPr>
          <w:rFonts w:cs="Arial"/>
          <w:lang w:val="en-IN" w:bidi="ar-SA"/>
        </w:rPr>
        <w:t xml:space="preserve"> subsist</w:t>
      </w:r>
      <w:r w:rsidR="00153BD4" w:rsidRPr="00372963">
        <w:rPr>
          <w:rStyle w:val="FootnoteReference"/>
          <w:rFonts w:cs="Arial"/>
          <w:lang w:val="en-IN" w:bidi="ar-SA"/>
        </w:rPr>
        <w:footnoteReference w:id="21"/>
      </w:r>
      <w:r w:rsidR="00BA08E3" w:rsidRPr="00372963">
        <w:rPr>
          <w:rFonts w:cs="Arial"/>
          <w:lang w:val="en-IN" w:bidi="ar-SA"/>
        </w:rPr>
        <w:t xml:space="preserve">; but </w:t>
      </w:r>
      <w:r w:rsidR="002C4982" w:rsidRPr="00372963">
        <w:rPr>
          <w:rFonts w:cs="Arial"/>
          <w:lang w:val="en-IN" w:bidi="ar-SA"/>
        </w:rPr>
        <w:t>such a union</w:t>
      </w:r>
      <w:r w:rsidR="00BA08E3" w:rsidRPr="00372963">
        <w:rPr>
          <w:rFonts w:cs="Arial"/>
          <w:lang w:val="en-IN" w:bidi="ar-SA"/>
        </w:rPr>
        <w:t xml:space="preserve"> could just as easily not come about</w:t>
      </w:r>
      <w:r w:rsidR="00195919">
        <w:rPr>
          <w:rFonts w:cs="Arial"/>
          <w:lang w:val="en-IN" w:bidi="ar-SA"/>
        </w:rPr>
        <w:t>:</w:t>
      </w:r>
      <w:r w:rsidR="00BA08E3" w:rsidRPr="00372963">
        <w:rPr>
          <w:rFonts w:cs="Arial"/>
          <w:lang w:val="en-IN" w:bidi="ar-SA"/>
        </w:rPr>
        <w:t xml:space="preserve">  the rains may fail, or they may be delayed, parching the earth and ruining the crop. The </w:t>
      </w:r>
      <w:r w:rsidR="00BA08E3" w:rsidRPr="00372963">
        <w:rPr>
          <w:rFonts w:cs="Arial"/>
          <w:i/>
          <w:iCs/>
          <w:lang w:val="en-IN" w:bidi="ar-SA"/>
        </w:rPr>
        <w:t>pooja</w:t>
      </w:r>
      <w:r w:rsidR="00BA08E3" w:rsidRPr="00372963">
        <w:rPr>
          <w:rFonts w:cs="Arial"/>
          <w:lang w:val="en-IN" w:bidi="ar-SA"/>
        </w:rPr>
        <w:t xml:space="preserve"> is a recognition of such uncertainty</w:t>
      </w:r>
      <w:r w:rsidR="002C4982" w:rsidRPr="00372963">
        <w:rPr>
          <w:rFonts w:cs="Arial"/>
          <w:lang w:val="en-IN" w:bidi="ar-SA"/>
        </w:rPr>
        <w:t>.</w:t>
      </w:r>
      <w:r w:rsidR="00BA08E3" w:rsidRPr="00372963">
        <w:rPr>
          <w:rFonts w:cs="Arial"/>
          <w:lang w:val="en-IN" w:bidi="ar-SA"/>
        </w:rPr>
        <w:t xml:space="preserve"> </w:t>
      </w:r>
      <w:r w:rsidR="002C4982" w:rsidRPr="00372963">
        <w:rPr>
          <w:rFonts w:cs="Arial"/>
          <w:lang w:val="en-IN" w:bidi="ar-SA"/>
        </w:rPr>
        <w:t>S</w:t>
      </w:r>
      <w:r w:rsidR="00BA08E3" w:rsidRPr="00372963">
        <w:rPr>
          <w:rFonts w:cs="Arial"/>
          <w:lang w:val="en-IN" w:bidi="ar-SA"/>
        </w:rPr>
        <w:t xml:space="preserve">inging and performing the </w:t>
      </w:r>
      <w:proofErr w:type="spellStart"/>
      <w:r w:rsidR="00BA08E3" w:rsidRPr="00372963">
        <w:rPr>
          <w:rFonts w:cs="Arial"/>
          <w:i/>
          <w:iCs/>
          <w:lang w:val="en-IN" w:bidi="ar-SA"/>
        </w:rPr>
        <w:t>Gayana</w:t>
      </w:r>
      <w:proofErr w:type="spellEnd"/>
      <w:r w:rsidR="00BA08E3" w:rsidRPr="00372963">
        <w:rPr>
          <w:rFonts w:cs="Arial"/>
          <w:lang w:val="en-IN" w:bidi="ar-SA"/>
        </w:rPr>
        <w:t xml:space="preserve"> during </w:t>
      </w:r>
      <w:r w:rsidR="002C4982" w:rsidRPr="00372963">
        <w:rPr>
          <w:rFonts w:cs="Arial"/>
          <w:lang w:val="en-IN" w:bidi="ar-SA"/>
        </w:rPr>
        <w:t xml:space="preserve">the </w:t>
      </w:r>
      <w:r w:rsidR="002C4982" w:rsidRPr="00372963">
        <w:rPr>
          <w:rFonts w:cs="Arial"/>
          <w:i/>
          <w:iCs/>
          <w:lang w:val="en-IN" w:bidi="ar-SA"/>
        </w:rPr>
        <w:t>pooja</w:t>
      </w:r>
      <w:r w:rsidR="00BA08E3" w:rsidRPr="00372963">
        <w:rPr>
          <w:rFonts w:cs="Arial"/>
          <w:lang w:val="en-IN" w:bidi="ar-SA"/>
        </w:rPr>
        <w:t xml:space="preserve"> brings back to light this world of multi-layered agency that is susceptible to sudden moments of destabilisation. </w:t>
      </w:r>
    </w:p>
    <w:p w14:paraId="627099C3" w14:textId="722E49DC" w:rsidR="00EF502F" w:rsidRPr="00372963" w:rsidRDefault="00EF502F" w:rsidP="009D590F">
      <w:pPr>
        <w:rPr>
          <w:rFonts w:cs="Arial"/>
          <w:lang w:val="en-IN" w:bidi="ar-SA"/>
        </w:rPr>
      </w:pPr>
      <w:r w:rsidRPr="00372963">
        <w:rPr>
          <w:rFonts w:cs="Arial"/>
          <w:lang w:val="en-IN" w:bidi="ar-SA"/>
        </w:rPr>
        <w:t xml:space="preserve">This world, which the </w:t>
      </w:r>
      <w:proofErr w:type="spellStart"/>
      <w:r w:rsidRPr="00372963">
        <w:rPr>
          <w:rFonts w:cs="Arial"/>
          <w:i/>
          <w:iCs/>
          <w:lang w:val="en-IN" w:bidi="ar-SA"/>
        </w:rPr>
        <w:t>Gayana</w:t>
      </w:r>
      <w:proofErr w:type="spellEnd"/>
      <w:r w:rsidRPr="00372963">
        <w:rPr>
          <w:rFonts w:cs="Arial"/>
          <w:lang w:val="en-IN" w:bidi="ar-SA"/>
        </w:rPr>
        <w:t xml:space="preserve"> </w:t>
      </w:r>
      <w:r w:rsidR="00F94D54" w:rsidRPr="00372963">
        <w:rPr>
          <w:rFonts w:cs="Arial"/>
          <w:lang w:val="en-IN" w:bidi="ar-SA"/>
        </w:rPr>
        <w:t>with</w:t>
      </w:r>
      <w:r w:rsidRPr="00372963">
        <w:rPr>
          <w:rFonts w:cs="Arial"/>
          <w:lang w:val="en-IN" w:bidi="ar-SA"/>
        </w:rPr>
        <w:t xml:space="preserve"> its multiple agents </w:t>
      </w:r>
      <w:r w:rsidR="00F94D54" w:rsidRPr="00372963">
        <w:rPr>
          <w:rFonts w:cs="Arial"/>
          <w:lang w:val="en-IN" w:bidi="ar-SA"/>
        </w:rPr>
        <w:t>occupies</w:t>
      </w:r>
      <w:r w:rsidRPr="00372963">
        <w:rPr>
          <w:rFonts w:cs="Arial"/>
          <w:lang w:val="en-IN" w:bidi="ar-SA"/>
        </w:rPr>
        <w:t xml:space="preserve"> and (each in their own way) attempt</w:t>
      </w:r>
      <w:r w:rsidR="00195919">
        <w:rPr>
          <w:rFonts w:cs="Arial"/>
          <w:lang w:val="en-IN" w:bidi="ar-SA"/>
        </w:rPr>
        <w:t>s</w:t>
      </w:r>
      <w:r w:rsidRPr="00372963">
        <w:rPr>
          <w:rFonts w:cs="Arial"/>
          <w:lang w:val="en-IN" w:bidi="ar-SA"/>
        </w:rPr>
        <w:t xml:space="preserve"> to give order to, is always susceptible to being disordered. A future that is irreversibly precarious</w:t>
      </w:r>
      <w:r w:rsidR="00F94D54" w:rsidRPr="00372963">
        <w:rPr>
          <w:rFonts w:cs="Arial"/>
          <w:lang w:val="en-IN" w:bidi="ar-SA"/>
        </w:rPr>
        <w:t>,</w:t>
      </w:r>
      <w:r w:rsidRPr="00372963">
        <w:rPr>
          <w:rFonts w:cs="Arial"/>
          <w:lang w:val="en-IN" w:bidi="ar-SA"/>
        </w:rPr>
        <w:t xml:space="preserve"> </w:t>
      </w:r>
      <w:r w:rsidR="00F94D54" w:rsidRPr="00372963">
        <w:rPr>
          <w:rFonts w:cs="Arial"/>
          <w:lang w:val="en-IN" w:bidi="ar-SA"/>
        </w:rPr>
        <w:t>escaping any capture</w:t>
      </w:r>
      <w:r w:rsidRPr="00372963">
        <w:rPr>
          <w:rFonts w:cs="Arial"/>
          <w:lang w:val="en-IN" w:bidi="ar-SA"/>
        </w:rPr>
        <w:t xml:space="preserve"> by human control</w:t>
      </w:r>
      <w:r w:rsidR="00E00FEB" w:rsidRPr="00372963">
        <w:rPr>
          <w:rFonts w:cs="Arial"/>
          <w:lang w:val="en-IN" w:bidi="ar-SA"/>
        </w:rPr>
        <w:t xml:space="preserve"> or </w:t>
      </w:r>
      <w:r w:rsidRPr="00372963">
        <w:rPr>
          <w:rFonts w:cs="Arial"/>
          <w:lang w:val="en-IN" w:bidi="ar-SA"/>
        </w:rPr>
        <w:t>direction. It can be stabilised, but always only at the risk of destabilisation not just through human hubris but the doings, actions</w:t>
      </w:r>
      <w:r w:rsidR="00195919">
        <w:rPr>
          <w:rFonts w:cs="Arial"/>
          <w:lang w:val="en-IN" w:bidi="ar-SA"/>
        </w:rPr>
        <w:t>,</w:t>
      </w:r>
      <w:r w:rsidRPr="00372963">
        <w:rPr>
          <w:rFonts w:cs="Arial"/>
          <w:lang w:val="en-IN" w:bidi="ar-SA"/>
        </w:rPr>
        <w:t xml:space="preserve"> and processes of the natural world – of multiple actants with differing degrees of agency. </w:t>
      </w:r>
      <w:r w:rsidR="00D06CFB" w:rsidRPr="00372963">
        <w:rPr>
          <w:rFonts w:cs="Arial"/>
          <w:lang w:val="en-IN" w:bidi="ar-SA"/>
        </w:rPr>
        <w:t>A future that is Zarathustra’s dance floor playing up “the element of chance at pivotal moments when several dances of different kinds are active</w:t>
      </w:r>
      <w:r w:rsidR="00E00FEB" w:rsidRPr="00372963">
        <w:rPr>
          <w:rFonts w:cs="Arial"/>
          <w:lang w:val="en-IN" w:bidi="ar-SA"/>
        </w:rPr>
        <w:t>.</w:t>
      </w:r>
      <w:r w:rsidR="00D06CFB" w:rsidRPr="00372963">
        <w:rPr>
          <w:rFonts w:cs="Arial"/>
          <w:lang w:val="en-IN" w:bidi="ar-SA"/>
        </w:rPr>
        <w:t>”</w:t>
      </w:r>
      <w:r w:rsidR="00153BD4" w:rsidRPr="00372963">
        <w:rPr>
          <w:rStyle w:val="FootnoteReference"/>
          <w:rFonts w:cs="Arial"/>
          <w:lang w:val="en-IN" w:bidi="ar-SA"/>
        </w:rPr>
        <w:footnoteReference w:id="22"/>
      </w:r>
    </w:p>
    <w:p w14:paraId="4BB67740" w14:textId="12D77FB2" w:rsidR="000F77D4" w:rsidRPr="00372963" w:rsidRDefault="000700B0" w:rsidP="00E00FEB">
      <w:pPr>
        <w:rPr>
          <w:rFonts w:cs="Arial"/>
          <w:lang w:val="en-IN" w:bidi="ar-SA"/>
        </w:rPr>
      </w:pPr>
      <w:r w:rsidRPr="00372963">
        <w:rPr>
          <w:rFonts w:cs="Arial"/>
          <w:lang w:val="en-IN" w:bidi="ar-SA"/>
        </w:rPr>
        <w:t xml:space="preserve">Staying in step with Nietzsche’s Zarathustra for a while longer can help us more fully come to terms with </w:t>
      </w:r>
      <w:r w:rsidR="000F77D4" w:rsidRPr="00372963">
        <w:rPr>
          <w:rFonts w:cs="Arial"/>
          <w:lang w:val="en-IN" w:bidi="ar-SA"/>
        </w:rPr>
        <w:t>a precarious future. Consider</w:t>
      </w:r>
      <w:r w:rsidR="004940F1" w:rsidRPr="00372963">
        <w:rPr>
          <w:rFonts w:cs="Arial"/>
          <w:lang w:val="en-IN" w:bidi="ar-SA"/>
        </w:rPr>
        <w:t xml:space="preserve"> </w:t>
      </w:r>
      <w:r w:rsidR="000F77D4" w:rsidRPr="00372963">
        <w:rPr>
          <w:rFonts w:cs="Arial"/>
          <w:lang w:val="en-IN" w:bidi="ar-SA"/>
        </w:rPr>
        <w:t xml:space="preserve">this </w:t>
      </w:r>
      <w:r w:rsidR="00C4357D" w:rsidRPr="00372963">
        <w:rPr>
          <w:rFonts w:cs="Arial"/>
          <w:lang w:val="en-IN" w:bidi="ar-SA"/>
        </w:rPr>
        <w:t>exchange between Zarathustra and the Dwarf</w:t>
      </w:r>
      <w:r w:rsidR="00195919">
        <w:rPr>
          <w:rFonts w:cs="Arial"/>
          <w:lang w:val="en-IN" w:bidi="ar-SA"/>
        </w:rPr>
        <w:t>:</w:t>
      </w:r>
      <w:r w:rsidR="00E00FEB" w:rsidRPr="00372963">
        <w:rPr>
          <w:rFonts w:cs="Arial"/>
          <w:lang w:val="en-IN" w:bidi="ar-SA"/>
        </w:rPr>
        <w:t xml:space="preserve"> </w:t>
      </w:r>
      <w:r w:rsidR="000F77D4" w:rsidRPr="00372963">
        <w:rPr>
          <w:rFonts w:cs="Arial"/>
          <w:lang w:val="en-IN" w:bidi="ar-SA"/>
        </w:rPr>
        <w:t xml:space="preserve">“Two </w:t>
      </w:r>
      <w:r w:rsidR="000F77D4" w:rsidRPr="00372963">
        <w:rPr>
          <w:rFonts w:cs="Arial"/>
          <w:lang w:val="en-IN" w:bidi="ar-SA"/>
        </w:rPr>
        <w:lastRenderedPageBreak/>
        <w:t xml:space="preserve">paths </w:t>
      </w:r>
      <w:r w:rsidR="00D26FC8" w:rsidRPr="00372963">
        <w:rPr>
          <w:rFonts w:cs="Arial"/>
          <w:lang w:val="en-IN" w:bidi="ar-SA"/>
        </w:rPr>
        <w:t>come together</w:t>
      </w:r>
      <w:r w:rsidR="000F77D4" w:rsidRPr="00372963">
        <w:rPr>
          <w:rFonts w:cs="Arial"/>
          <w:lang w:val="en-IN" w:bidi="ar-SA"/>
        </w:rPr>
        <w:t xml:space="preserve"> here, no one has yet </w:t>
      </w:r>
      <w:r w:rsidR="00D26FC8" w:rsidRPr="00372963">
        <w:rPr>
          <w:rFonts w:cs="Arial"/>
          <w:lang w:val="en-IN" w:bidi="ar-SA"/>
        </w:rPr>
        <w:t>walked them</w:t>
      </w:r>
      <w:r w:rsidR="000F77D4" w:rsidRPr="00372963">
        <w:rPr>
          <w:rFonts w:cs="Arial"/>
          <w:lang w:val="en-IN" w:bidi="ar-SA"/>
        </w:rPr>
        <w:t xml:space="preserve"> to </w:t>
      </w:r>
      <w:r w:rsidR="00D26FC8" w:rsidRPr="00372963">
        <w:rPr>
          <w:rFonts w:cs="Arial"/>
          <w:lang w:val="en-IN" w:bidi="ar-SA"/>
        </w:rPr>
        <w:t>their</w:t>
      </w:r>
      <w:r w:rsidR="000F77D4" w:rsidRPr="00372963">
        <w:rPr>
          <w:rFonts w:cs="Arial"/>
          <w:lang w:val="en-IN" w:bidi="ar-SA"/>
        </w:rPr>
        <w:t xml:space="preserve"> end. This long lane </w:t>
      </w:r>
      <w:r w:rsidR="00D26FC8" w:rsidRPr="00372963">
        <w:rPr>
          <w:rFonts w:cs="Arial"/>
          <w:lang w:val="en-IN" w:bidi="ar-SA"/>
        </w:rPr>
        <w:t>back: it lasts an eternity</w:t>
      </w:r>
      <w:r w:rsidR="000F77D4" w:rsidRPr="00372963">
        <w:rPr>
          <w:rFonts w:cs="Arial"/>
          <w:lang w:val="en-IN" w:bidi="ar-SA"/>
        </w:rPr>
        <w:t xml:space="preserve">. And </w:t>
      </w:r>
      <w:r w:rsidR="00D26FC8" w:rsidRPr="00372963">
        <w:rPr>
          <w:rFonts w:cs="Arial"/>
          <w:lang w:val="en-IN" w:bidi="ar-SA"/>
        </w:rPr>
        <w:t>that long lane outward – that is another eternity</w:t>
      </w:r>
      <w:r w:rsidR="000F77D4" w:rsidRPr="00372963">
        <w:rPr>
          <w:rFonts w:cs="Arial"/>
          <w:lang w:val="en-IN" w:bidi="ar-SA"/>
        </w:rPr>
        <w:t xml:space="preserve">. They contradict each other, these paths; they </w:t>
      </w:r>
      <w:r w:rsidR="00D26FC8" w:rsidRPr="00372963">
        <w:rPr>
          <w:rFonts w:cs="Arial"/>
          <w:lang w:val="en-IN" w:bidi="ar-SA"/>
        </w:rPr>
        <w:t xml:space="preserve">blatantly </w:t>
      </w:r>
      <w:r w:rsidR="000F77D4" w:rsidRPr="00372963">
        <w:rPr>
          <w:rFonts w:cs="Arial"/>
          <w:lang w:val="en-IN" w:bidi="ar-SA"/>
        </w:rPr>
        <w:t xml:space="preserve">offend each other </w:t>
      </w:r>
      <w:r w:rsidR="00D26FC8" w:rsidRPr="00372963">
        <w:rPr>
          <w:rFonts w:cs="Arial"/>
          <w:lang w:val="en-IN" w:bidi="ar-SA"/>
        </w:rPr>
        <w:t xml:space="preserve">– </w:t>
      </w:r>
      <w:r w:rsidR="000F77D4" w:rsidRPr="00372963">
        <w:rPr>
          <w:rFonts w:cs="Arial"/>
          <w:lang w:val="en-IN" w:bidi="ar-SA"/>
        </w:rPr>
        <w:t xml:space="preserve">and here at this gateway they come together. The name of the gateway is inscribed </w:t>
      </w:r>
      <w:r w:rsidR="00D26FC8" w:rsidRPr="00372963">
        <w:rPr>
          <w:rFonts w:cs="Arial"/>
          <w:lang w:val="en-IN" w:bidi="ar-SA"/>
        </w:rPr>
        <w:t xml:space="preserve">at the top: </w:t>
      </w:r>
      <w:r w:rsidR="000F77D4" w:rsidRPr="00372963">
        <w:rPr>
          <w:rFonts w:cs="Arial"/>
          <w:lang w:val="en-IN" w:bidi="ar-SA"/>
        </w:rPr>
        <w:t>‘Moment’</w:t>
      </w:r>
      <w:r w:rsidR="00195919">
        <w:rPr>
          <w:rFonts w:cs="Arial"/>
          <w:lang w:val="en-IN" w:bidi="ar-SA"/>
        </w:rPr>
        <w:t>.</w:t>
      </w:r>
      <w:r w:rsidR="000F77D4" w:rsidRPr="00372963">
        <w:rPr>
          <w:rFonts w:cs="Arial"/>
          <w:lang w:val="en-IN" w:bidi="ar-SA"/>
        </w:rPr>
        <w:t>”</w:t>
      </w:r>
      <w:r w:rsidR="00153BD4" w:rsidRPr="00372963">
        <w:rPr>
          <w:rStyle w:val="FootnoteReference"/>
          <w:rFonts w:cs="Arial"/>
          <w:lang w:val="en-IN" w:bidi="ar-SA"/>
        </w:rPr>
        <w:footnoteReference w:id="23"/>
      </w:r>
    </w:p>
    <w:p w14:paraId="1BBDC7F4" w14:textId="4D518D2F" w:rsidR="00A1568A" w:rsidRPr="00372963" w:rsidRDefault="004940F1" w:rsidP="009D590F">
      <w:pPr>
        <w:rPr>
          <w:rFonts w:cs="Arial"/>
          <w:lang w:val="en-IN" w:bidi="ar-SA"/>
        </w:rPr>
      </w:pPr>
      <w:r w:rsidRPr="00372963">
        <w:rPr>
          <w:rFonts w:cs="Arial"/>
          <w:lang w:val="en-IN" w:bidi="ar-SA"/>
        </w:rPr>
        <w:t xml:space="preserve">Ah, the </w:t>
      </w:r>
      <w:r w:rsidR="007133D1" w:rsidRPr="00372963">
        <w:rPr>
          <w:rFonts w:cs="Arial"/>
          <w:lang w:val="en-IN" w:bidi="ar-SA"/>
        </w:rPr>
        <w:t>‘</w:t>
      </w:r>
      <w:r w:rsidRPr="00372963">
        <w:rPr>
          <w:rFonts w:cs="Arial"/>
          <w:lang w:val="en-IN" w:bidi="ar-SA"/>
        </w:rPr>
        <w:t>Moment</w:t>
      </w:r>
      <w:r w:rsidR="007133D1" w:rsidRPr="00372963">
        <w:rPr>
          <w:rFonts w:cs="Arial"/>
          <w:lang w:val="en-IN" w:bidi="ar-SA"/>
        </w:rPr>
        <w:t>’</w:t>
      </w:r>
      <w:r w:rsidRPr="00372963">
        <w:rPr>
          <w:rFonts w:cs="Arial"/>
          <w:lang w:val="en-IN" w:bidi="ar-SA"/>
        </w:rPr>
        <w:t xml:space="preserve"> – this gateway where multiple paths come together; the moment as passage from past into future. </w:t>
      </w:r>
      <w:r w:rsidR="00C4357D" w:rsidRPr="00372963">
        <w:rPr>
          <w:rFonts w:cs="Arial"/>
          <w:lang w:val="en-IN" w:bidi="ar-SA"/>
        </w:rPr>
        <w:t>But</w:t>
      </w:r>
      <w:r w:rsidRPr="00372963">
        <w:rPr>
          <w:rFonts w:cs="Arial"/>
          <w:lang w:val="en-IN" w:bidi="ar-SA"/>
        </w:rPr>
        <w:t xml:space="preserve"> Nietzsche also draws attention to another dimension of this </w:t>
      </w:r>
      <w:r w:rsidR="007133D1" w:rsidRPr="00372963">
        <w:rPr>
          <w:rFonts w:cs="Arial"/>
          <w:lang w:val="en-IN" w:bidi="ar-SA"/>
        </w:rPr>
        <w:t>m</w:t>
      </w:r>
      <w:r w:rsidRPr="00372963">
        <w:rPr>
          <w:rFonts w:cs="Arial"/>
          <w:lang w:val="en-IN" w:bidi="ar-SA"/>
        </w:rPr>
        <w:t>oment</w:t>
      </w:r>
      <w:r w:rsidR="00195919">
        <w:rPr>
          <w:rFonts w:cs="Arial"/>
          <w:lang w:val="en-IN" w:bidi="ar-SA"/>
        </w:rPr>
        <w:t>:</w:t>
      </w:r>
      <w:r w:rsidRPr="00372963">
        <w:rPr>
          <w:rFonts w:cs="Arial"/>
          <w:lang w:val="en-IN" w:bidi="ar-SA"/>
        </w:rPr>
        <w:t xml:space="preserve"> a dissonant dimension; the meeting of the paths is a moment of contradiction. </w:t>
      </w:r>
      <w:r w:rsidR="00E00FEB" w:rsidRPr="00372963">
        <w:rPr>
          <w:rFonts w:cs="Arial"/>
          <w:lang w:val="en-IN" w:bidi="ar-SA"/>
        </w:rPr>
        <w:t>Dissonance</w:t>
      </w:r>
      <w:r w:rsidR="00783E1A" w:rsidRPr="00372963">
        <w:rPr>
          <w:rFonts w:cs="Arial"/>
          <w:lang w:val="en-IN" w:bidi="ar-SA"/>
        </w:rPr>
        <w:t xml:space="preserve"> introduces a gap here between the past and the possibilities of the future. There is no longer a smooth, linear progression from one to the other; the gateway where they remain inescapably </w:t>
      </w:r>
      <w:r w:rsidR="00C4357D" w:rsidRPr="00372963">
        <w:rPr>
          <w:rFonts w:cs="Arial"/>
          <w:lang w:val="en-IN" w:bidi="ar-SA"/>
        </w:rPr>
        <w:t>contradictory</w:t>
      </w:r>
      <w:r w:rsidR="00783E1A" w:rsidRPr="00372963">
        <w:rPr>
          <w:rFonts w:cs="Arial"/>
          <w:lang w:val="en-IN" w:bidi="ar-SA"/>
        </w:rPr>
        <w:t xml:space="preserve"> means that this interstitial distance</w:t>
      </w:r>
      <w:r w:rsidR="00367C96" w:rsidRPr="00372963">
        <w:rPr>
          <w:rFonts w:cs="Arial"/>
          <w:lang w:val="en-IN" w:bidi="ar-SA"/>
        </w:rPr>
        <w:t xml:space="preserve"> is always </w:t>
      </w:r>
      <w:r w:rsidR="00C4357D" w:rsidRPr="00372963">
        <w:rPr>
          <w:rFonts w:cs="Arial"/>
          <w:lang w:val="en-IN" w:bidi="ar-SA"/>
        </w:rPr>
        <w:t>susceptible to infiltration</w:t>
      </w:r>
      <w:r w:rsidR="00367C96" w:rsidRPr="00372963">
        <w:rPr>
          <w:rFonts w:cs="Arial"/>
          <w:lang w:val="en-IN" w:bidi="ar-SA"/>
        </w:rPr>
        <w:t xml:space="preserve"> by </w:t>
      </w:r>
      <w:r w:rsidR="00C4357D" w:rsidRPr="00372963">
        <w:rPr>
          <w:rFonts w:cs="Arial"/>
          <w:lang w:val="en-IN" w:bidi="ar-SA"/>
        </w:rPr>
        <w:t>alternative</w:t>
      </w:r>
      <w:r w:rsidR="00367C96" w:rsidRPr="00372963">
        <w:rPr>
          <w:rFonts w:cs="Arial"/>
          <w:lang w:val="en-IN" w:bidi="ar-SA"/>
        </w:rPr>
        <w:t xml:space="preserve"> temporal possibilities</w:t>
      </w:r>
      <w:r w:rsidR="00783E1A" w:rsidRPr="00372963">
        <w:rPr>
          <w:rFonts w:cs="Arial"/>
          <w:lang w:val="en-IN" w:bidi="ar-SA"/>
        </w:rPr>
        <w:t xml:space="preserve">. </w:t>
      </w:r>
      <w:r w:rsidR="00FA11B4" w:rsidRPr="00372963">
        <w:rPr>
          <w:rFonts w:cs="Arial"/>
          <w:lang w:val="en-IN" w:bidi="ar-SA"/>
        </w:rPr>
        <w:t xml:space="preserve">The </w:t>
      </w:r>
      <w:r w:rsidR="007133D1" w:rsidRPr="00372963">
        <w:rPr>
          <w:rFonts w:cs="Arial"/>
          <w:lang w:val="en-IN" w:bidi="ar-SA"/>
        </w:rPr>
        <w:t>m</w:t>
      </w:r>
      <w:r w:rsidR="00FA11B4" w:rsidRPr="00372963">
        <w:rPr>
          <w:rFonts w:cs="Arial"/>
          <w:lang w:val="en-IN" w:bidi="ar-SA"/>
        </w:rPr>
        <w:t xml:space="preserve">oment and its dissonant character bring us face to face with the precarious nature of the future, of the multiple possibilities latent there, and the contingency of ones that are actualised. </w:t>
      </w:r>
      <w:r w:rsidR="00367C96" w:rsidRPr="00372963">
        <w:rPr>
          <w:rFonts w:cs="Arial"/>
          <w:lang w:val="en-IN" w:bidi="ar-SA"/>
        </w:rPr>
        <w:t xml:space="preserve">Think, once again, of the </w:t>
      </w:r>
      <w:proofErr w:type="spellStart"/>
      <w:r w:rsidR="00367C96" w:rsidRPr="00372963">
        <w:rPr>
          <w:rFonts w:cs="Arial"/>
          <w:i/>
          <w:iCs/>
          <w:lang w:val="en-IN" w:bidi="ar-SA"/>
        </w:rPr>
        <w:t>Indal</w:t>
      </w:r>
      <w:proofErr w:type="spellEnd"/>
      <w:r w:rsidR="00367C96" w:rsidRPr="00372963">
        <w:rPr>
          <w:rFonts w:cs="Arial"/>
          <w:lang w:val="en-IN" w:bidi="ar-SA"/>
        </w:rPr>
        <w:t xml:space="preserve"> </w:t>
      </w:r>
      <w:r w:rsidR="00367C96" w:rsidRPr="00372963">
        <w:rPr>
          <w:rFonts w:cs="Arial"/>
          <w:i/>
          <w:iCs/>
          <w:lang w:val="en-IN" w:bidi="ar-SA"/>
        </w:rPr>
        <w:t>Pooja</w:t>
      </w:r>
      <w:r w:rsidR="00367C96" w:rsidRPr="00372963">
        <w:rPr>
          <w:rFonts w:cs="Arial"/>
          <w:lang w:val="en-IN" w:bidi="ar-SA"/>
        </w:rPr>
        <w:t xml:space="preserve">. </w:t>
      </w:r>
      <w:r w:rsidR="00783E1A" w:rsidRPr="00372963">
        <w:rPr>
          <w:rFonts w:cs="Arial"/>
          <w:lang w:val="en-IN" w:bidi="ar-SA"/>
        </w:rPr>
        <w:t xml:space="preserve">A fundamental asymmetry or lack of synchrony marks the </w:t>
      </w:r>
      <w:r w:rsidR="007133D1" w:rsidRPr="00372963">
        <w:rPr>
          <w:rFonts w:cs="Arial"/>
          <w:lang w:val="en-IN" w:bidi="ar-SA"/>
        </w:rPr>
        <w:t>m</w:t>
      </w:r>
      <w:r w:rsidR="00783E1A" w:rsidRPr="00372963">
        <w:rPr>
          <w:rFonts w:cs="Arial"/>
          <w:lang w:val="en-IN" w:bidi="ar-SA"/>
        </w:rPr>
        <w:t>oment</w:t>
      </w:r>
      <w:r w:rsidR="00C4357D" w:rsidRPr="00372963">
        <w:rPr>
          <w:rFonts w:cs="Arial"/>
          <w:lang w:val="en-IN" w:bidi="ar-SA"/>
        </w:rPr>
        <w:t xml:space="preserve">. This in turn is the marker of a </w:t>
      </w:r>
      <w:r w:rsidR="00E00FEB" w:rsidRPr="00372963">
        <w:rPr>
          <w:rFonts w:cs="Arial"/>
          <w:lang w:val="en-IN" w:bidi="ar-SA"/>
        </w:rPr>
        <w:t xml:space="preserve">precarious </w:t>
      </w:r>
      <w:r w:rsidR="00C4357D" w:rsidRPr="00372963">
        <w:rPr>
          <w:rFonts w:cs="Arial"/>
          <w:lang w:val="en-IN" w:bidi="ar-SA"/>
        </w:rPr>
        <w:t>future</w:t>
      </w:r>
      <w:r w:rsidR="00195919">
        <w:rPr>
          <w:rFonts w:cs="Arial"/>
          <w:lang w:val="en-IN" w:bidi="ar-SA"/>
        </w:rPr>
        <w:t>,</w:t>
      </w:r>
      <w:r w:rsidR="00E00FEB" w:rsidRPr="00372963">
        <w:rPr>
          <w:rFonts w:cs="Arial"/>
          <w:lang w:val="en-IN" w:bidi="ar-SA"/>
        </w:rPr>
        <w:t xml:space="preserve"> </w:t>
      </w:r>
      <w:r w:rsidR="00C4357D" w:rsidRPr="00372963">
        <w:rPr>
          <w:rFonts w:cs="Arial"/>
          <w:lang w:val="en-IN" w:bidi="ar-SA"/>
        </w:rPr>
        <w:t>b</w:t>
      </w:r>
      <w:r w:rsidR="00783E1A" w:rsidRPr="00372963">
        <w:rPr>
          <w:rFonts w:cs="Arial"/>
          <w:lang w:val="en-IN" w:bidi="ar-SA"/>
        </w:rPr>
        <w:t xml:space="preserve">ecause the moment we accept </w:t>
      </w:r>
      <w:r w:rsidR="00D26FC8" w:rsidRPr="00372963">
        <w:rPr>
          <w:rFonts w:cs="Arial"/>
          <w:lang w:val="en-IN" w:bidi="ar-SA"/>
        </w:rPr>
        <w:t>this dissonance</w:t>
      </w:r>
      <w:r w:rsidR="00783E1A" w:rsidRPr="00372963">
        <w:rPr>
          <w:rFonts w:cs="Arial"/>
          <w:lang w:val="en-IN" w:bidi="ar-SA"/>
        </w:rPr>
        <w:t xml:space="preserve">, </w:t>
      </w:r>
      <w:r w:rsidR="00D26FC8" w:rsidRPr="00372963">
        <w:rPr>
          <w:rFonts w:cs="Arial"/>
          <w:lang w:val="en-IN" w:bidi="ar-SA"/>
        </w:rPr>
        <w:t>imaginaries of the</w:t>
      </w:r>
      <w:r w:rsidR="00783E1A" w:rsidRPr="00372963">
        <w:rPr>
          <w:rFonts w:cs="Arial"/>
          <w:lang w:val="en-IN" w:bidi="ar-SA"/>
        </w:rPr>
        <w:t xml:space="preserve"> future, as a determined</w:t>
      </w:r>
      <w:r w:rsidR="00E00FEB" w:rsidRPr="00372963">
        <w:rPr>
          <w:rFonts w:cs="Arial"/>
          <w:lang w:val="en-IN" w:bidi="ar-SA"/>
        </w:rPr>
        <w:t xml:space="preserve"> or </w:t>
      </w:r>
      <w:proofErr w:type="spellStart"/>
      <w:r w:rsidR="00783E1A" w:rsidRPr="00372963">
        <w:rPr>
          <w:rFonts w:cs="Arial"/>
          <w:lang w:val="en-IN" w:bidi="ar-SA"/>
        </w:rPr>
        <w:t>overcoded</w:t>
      </w:r>
      <w:proofErr w:type="spellEnd"/>
      <w:r w:rsidR="00783E1A" w:rsidRPr="00372963">
        <w:rPr>
          <w:rFonts w:cs="Arial"/>
          <w:lang w:val="en-IN" w:bidi="ar-SA"/>
        </w:rPr>
        <w:t xml:space="preserve"> outcome of the past, </w:t>
      </w:r>
      <w:r w:rsidR="00C4357D" w:rsidRPr="00372963">
        <w:rPr>
          <w:rFonts w:cs="Arial"/>
          <w:lang w:val="en-IN" w:bidi="ar-SA"/>
        </w:rPr>
        <w:t>are</w:t>
      </w:r>
      <w:r w:rsidR="00783E1A" w:rsidRPr="00372963">
        <w:rPr>
          <w:rFonts w:cs="Arial"/>
          <w:lang w:val="en-IN" w:bidi="ar-SA"/>
        </w:rPr>
        <w:t xml:space="preserve"> conceded in favour a future </w:t>
      </w:r>
      <w:r w:rsidR="00157342" w:rsidRPr="00372963">
        <w:rPr>
          <w:rFonts w:cs="Arial"/>
          <w:lang w:val="en-IN" w:bidi="ar-SA"/>
        </w:rPr>
        <w:t>of</w:t>
      </w:r>
      <w:r w:rsidR="00783E1A" w:rsidRPr="00372963">
        <w:rPr>
          <w:rFonts w:cs="Arial"/>
          <w:lang w:val="en-IN" w:bidi="ar-SA"/>
        </w:rPr>
        <w:t xml:space="preserve"> only incipient </w:t>
      </w:r>
      <w:r w:rsidR="007F23EF" w:rsidRPr="00372963">
        <w:rPr>
          <w:rFonts w:cs="Arial"/>
          <w:lang w:val="en-IN" w:bidi="ar-SA"/>
        </w:rPr>
        <w:t xml:space="preserve">and uncertain </w:t>
      </w:r>
      <w:r w:rsidR="00783E1A" w:rsidRPr="00372963">
        <w:rPr>
          <w:rFonts w:cs="Arial"/>
          <w:lang w:val="en-IN" w:bidi="ar-SA"/>
        </w:rPr>
        <w:t>possibilities</w:t>
      </w:r>
      <w:r w:rsidR="007F23EF" w:rsidRPr="00372963">
        <w:rPr>
          <w:rFonts w:cs="Arial"/>
          <w:lang w:val="en-IN" w:bidi="ar-SA"/>
        </w:rPr>
        <w:t>. For</w:t>
      </w:r>
      <w:r w:rsidR="00E00FEB" w:rsidRPr="00372963">
        <w:rPr>
          <w:rFonts w:cs="Arial"/>
          <w:lang w:val="en-IN" w:bidi="ar-SA"/>
        </w:rPr>
        <w:t>,</w:t>
      </w:r>
      <w:r w:rsidR="007F23EF" w:rsidRPr="00372963">
        <w:rPr>
          <w:rFonts w:cs="Arial"/>
          <w:lang w:val="en-IN" w:bidi="ar-SA"/>
        </w:rPr>
        <w:t xml:space="preserve"> that is precisely what the </w:t>
      </w:r>
      <w:r w:rsidR="007133D1" w:rsidRPr="00372963">
        <w:rPr>
          <w:rFonts w:cs="Arial"/>
          <w:lang w:val="en-IN" w:bidi="ar-SA"/>
        </w:rPr>
        <w:t>m</w:t>
      </w:r>
      <w:r w:rsidR="007F23EF" w:rsidRPr="00372963">
        <w:rPr>
          <w:rFonts w:cs="Arial"/>
          <w:lang w:val="en-IN" w:bidi="ar-SA"/>
        </w:rPr>
        <w:t xml:space="preserve">oment augurs, an element of chanciness. </w:t>
      </w:r>
      <w:r w:rsidR="00367C96" w:rsidRPr="00372963">
        <w:rPr>
          <w:rFonts w:cs="Arial"/>
          <w:lang w:val="en-IN" w:bidi="ar-SA"/>
        </w:rPr>
        <w:t xml:space="preserve">Connolly </w:t>
      </w:r>
      <w:r w:rsidR="00157342" w:rsidRPr="00372963">
        <w:rPr>
          <w:rFonts w:cs="Arial"/>
          <w:lang w:val="en-IN" w:bidi="ar-SA"/>
        </w:rPr>
        <w:t>identifies the fertile freedom of t</w:t>
      </w:r>
      <w:r w:rsidR="00367C96" w:rsidRPr="00372963">
        <w:rPr>
          <w:rFonts w:cs="Arial"/>
          <w:lang w:val="en-IN" w:bidi="ar-SA"/>
        </w:rPr>
        <w:t xml:space="preserve">his </w:t>
      </w:r>
      <w:r w:rsidR="007133D1" w:rsidRPr="00372963">
        <w:rPr>
          <w:rFonts w:cs="Arial"/>
          <w:lang w:val="en-IN" w:bidi="ar-SA"/>
        </w:rPr>
        <w:t>m</w:t>
      </w:r>
      <w:r w:rsidR="00367C96" w:rsidRPr="00372963">
        <w:rPr>
          <w:rFonts w:cs="Arial"/>
          <w:lang w:val="en-IN" w:bidi="ar-SA"/>
        </w:rPr>
        <w:t>oment “in which time flows into a future neither fully determined by a discernible past, nor fixed in its place in a cycle of eternal return, nor directed by an intrinsic purpose puling it along. Free time.”</w:t>
      </w:r>
      <w:r w:rsidR="00153BD4" w:rsidRPr="00372963">
        <w:rPr>
          <w:rStyle w:val="FootnoteReference"/>
          <w:rFonts w:cs="Arial"/>
          <w:lang w:val="en-IN" w:bidi="ar-SA"/>
        </w:rPr>
        <w:footnoteReference w:id="24"/>
      </w:r>
      <w:r w:rsidR="00367C96" w:rsidRPr="00372963">
        <w:rPr>
          <w:rFonts w:cs="Arial"/>
          <w:lang w:val="en-IN" w:bidi="ar-SA"/>
        </w:rPr>
        <w:t xml:space="preserve"> </w:t>
      </w:r>
      <w:r w:rsidR="00FA11B4" w:rsidRPr="00372963">
        <w:rPr>
          <w:rFonts w:cs="Arial"/>
          <w:lang w:val="en-IN" w:bidi="ar-SA"/>
        </w:rPr>
        <w:t xml:space="preserve">Yes, free time: freedom. Not only freedom </w:t>
      </w:r>
      <w:r w:rsidR="00C96DB1" w:rsidRPr="00372963">
        <w:rPr>
          <w:rFonts w:cs="Arial"/>
          <w:lang w:val="en-IN" w:bidi="ar-SA"/>
        </w:rPr>
        <w:t>from</w:t>
      </w:r>
      <w:r w:rsidR="00FA11B4" w:rsidRPr="00372963">
        <w:rPr>
          <w:rFonts w:cs="Arial"/>
          <w:lang w:val="en-IN" w:bidi="ar-SA"/>
        </w:rPr>
        <w:t xml:space="preserve"> the weight of the past, but a freedom from creative control, from the possibility of ordering, directing, or structuring altogether. </w:t>
      </w:r>
      <w:r w:rsidR="00C4357D" w:rsidRPr="00372963">
        <w:rPr>
          <w:rFonts w:cs="Arial"/>
          <w:lang w:val="en-IN" w:bidi="ar-SA"/>
        </w:rPr>
        <w:t>To borrow from Nietzsche once again, we are then</w:t>
      </w:r>
      <w:r w:rsidR="00FA11B4" w:rsidRPr="00372963">
        <w:rPr>
          <w:rFonts w:cs="Arial"/>
          <w:lang w:val="en-IN" w:bidi="ar-SA"/>
        </w:rPr>
        <w:t xml:space="preserve"> “posted between today and tomorrow, stretched in the contradiction between today and tomorrow, we cannot be more than guessers of riddles”</w:t>
      </w:r>
      <w:r w:rsidR="00E00FEB" w:rsidRPr="00372963">
        <w:rPr>
          <w:rFonts w:cs="Arial"/>
          <w:lang w:val="en-IN" w:bidi="ar-SA"/>
        </w:rPr>
        <w:t>.</w:t>
      </w:r>
      <w:r w:rsidR="00153BD4" w:rsidRPr="00372963">
        <w:rPr>
          <w:rStyle w:val="FootnoteReference"/>
          <w:rFonts w:cs="Arial"/>
          <w:lang w:val="en-IN" w:bidi="ar-SA"/>
        </w:rPr>
        <w:footnoteReference w:id="25"/>
      </w:r>
      <w:r w:rsidR="00FA11B4" w:rsidRPr="00372963">
        <w:rPr>
          <w:rFonts w:cs="Arial"/>
          <w:lang w:val="en-IN" w:bidi="ar-SA"/>
        </w:rPr>
        <w:t xml:space="preserve"> </w:t>
      </w:r>
      <w:r w:rsidR="00157342" w:rsidRPr="00372963">
        <w:rPr>
          <w:rFonts w:cs="Arial"/>
          <w:lang w:val="en-IN" w:bidi="ar-SA"/>
        </w:rPr>
        <w:t>Free</w:t>
      </w:r>
      <w:r w:rsidR="00C96DB1" w:rsidRPr="00372963">
        <w:rPr>
          <w:rFonts w:cs="Arial"/>
          <w:lang w:val="en-IN" w:bidi="ar-SA"/>
        </w:rPr>
        <w:t>dom</w:t>
      </w:r>
      <w:r w:rsidR="00157342" w:rsidRPr="00372963">
        <w:rPr>
          <w:rFonts w:cs="Arial"/>
          <w:lang w:val="en-IN" w:bidi="ar-SA"/>
        </w:rPr>
        <w:t xml:space="preserve"> </w:t>
      </w:r>
      <w:r w:rsidR="00E00FEB" w:rsidRPr="00372963">
        <w:rPr>
          <w:rFonts w:cs="Arial"/>
          <w:lang w:val="en-IN" w:bidi="ar-SA"/>
        </w:rPr>
        <w:t xml:space="preserve">as, or rather </w:t>
      </w:r>
      <w:r w:rsidR="00157342" w:rsidRPr="00372963">
        <w:rPr>
          <w:rFonts w:cs="Arial"/>
          <w:lang w:val="en-IN" w:bidi="ar-SA"/>
        </w:rPr>
        <w:t>to become</w:t>
      </w:r>
      <w:r w:rsidR="00E00FEB" w:rsidRPr="00372963">
        <w:rPr>
          <w:rFonts w:cs="Arial"/>
          <w:lang w:val="en-IN" w:bidi="ar-SA"/>
        </w:rPr>
        <w:t>,</w:t>
      </w:r>
      <w:r w:rsidR="00157342" w:rsidRPr="00372963">
        <w:rPr>
          <w:rFonts w:cs="Arial"/>
          <w:lang w:val="en-IN" w:bidi="ar-SA"/>
        </w:rPr>
        <w:t xml:space="preserve"> guessers.</w:t>
      </w:r>
    </w:p>
    <w:p w14:paraId="61F8B11E" w14:textId="043136DD" w:rsidR="00287F33" w:rsidRPr="00372963" w:rsidRDefault="006E56BF" w:rsidP="009D590F">
      <w:pPr>
        <w:rPr>
          <w:rFonts w:cs="Arial"/>
          <w:lang w:val="en-IN" w:bidi="ar-SA"/>
        </w:rPr>
      </w:pPr>
      <w:r w:rsidRPr="00372963">
        <w:rPr>
          <w:rFonts w:cs="Arial"/>
          <w:lang w:val="en-IN" w:bidi="ar-SA"/>
        </w:rPr>
        <w:t>At the same time, r</w:t>
      </w:r>
      <w:r w:rsidR="006C222B" w:rsidRPr="00372963">
        <w:rPr>
          <w:rFonts w:cs="Arial"/>
          <w:lang w:val="en-IN" w:bidi="ar-SA"/>
        </w:rPr>
        <w:t xml:space="preserve">ecognising a world of vital </w:t>
      </w:r>
      <w:proofErr w:type="spellStart"/>
      <w:r w:rsidR="006C222B" w:rsidRPr="00372963">
        <w:rPr>
          <w:rFonts w:cs="Arial"/>
          <w:lang w:val="en-IN" w:bidi="ar-SA"/>
        </w:rPr>
        <w:t>materialities</w:t>
      </w:r>
      <w:proofErr w:type="spellEnd"/>
      <w:r w:rsidR="006C222B" w:rsidRPr="00372963">
        <w:rPr>
          <w:rFonts w:cs="Arial"/>
          <w:lang w:val="en-IN" w:bidi="ar-SA"/>
        </w:rPr>
        <w:t xml:space="preserve"> means coming to terms with multiplicities of temporal registers. The moment, </w:t>
      </w:r>
      <w:r w:rsidR="00C4357D" w:rsidRPr="00372963">
        <w:rPr>
          <w:rFonts w:cs="Arial"/>
          <w:lang w:val="en-IN" w:bidi="ar-SA"/>
        </w:rPr>
        <w:t xml:space="preserve">then, when conceived in light of a world of vitality, </w:t>
      </w:r>
      <w:r w:rsidR="002C4982" w:rsidRPr="00372963">
        <w:rPr>
          <w:rFonts w:cs="Arial"/>
          <w:lang w:val="en-IN" w:bidi="ar-SA"/>
        </w:rPr>
        <w:t>exceeds</w:t>
      </w:r>
      <w:r w:rsidR="006C222B" w:rsidRPr="00372963">
        <w:rPr>
          <w:rFonts w:cs="Arial"/>
          <w:lang w:val="en-IN" w:bidi="ar-SA"/>
        </w:rPr>
        <w:t xml:space="preserve"> chronolog</w:t>
      </w:r>
      <w:r w:rsidR="000D2B74" w:rsidRPr="00372963">
        <w:rPr>
          <w:rFonts w:cs="Arial"/>
          <w:lang w:val="en-IN" w:bidi="ar-SA"/>
        </w:rPr>
        <w:t>ical organisation</w:t>
      </w:r>
      <w:r w:rsidR="006C222B" w:rsidRPr="00372963">
        <w:rPr>
          <w:rFonts w:cs="Arial"/>
          <w:lang w:val="en-IN" w:bidi="ar-SA"/>
        </w:rPr>
        <w:t xml:space="preserve"> </w:t>
      </w:r>
      <w:r w:rsidR="000D2B74" w:rsidRPr="00372963">
        <w:rPr>
          <w:rFonts w:cs="Arial"/>
          <w:lang w:val="en-IN" w:bidi="ar-SA"/>
        </w:rPr>
        <w:t>precisely by</w:t>
      </w:r>
      <w:r w:rsidR="006C222B" w:rsidRPr="00372963">
        <w:rPr>
          <w:rFonts w:cs="Arial"/>
          <w:lang w:val="en-IN" w:bidi="ar-SA"/>
        </w:rPr>
        <w:t xml:space="preserve"> stretching across, and so bringing together, multiple dissonant temporal registers. </w:t>
      </w:r>
      <w:r w:rsidR="000D2B74" w:rsidRPr="00372963">
        <w:rPr>
          <w:rFonts w:cs="Arial"/>
          <w:lang w:val="en-IN" w:bidi="ar-SA"/>
        </w:rPr>
        <w:t>As opposed to chronological time, th</w:t>
      </w:r>
      <w:r w:rsidR="007133D1" w:rsidRPr="00372963">
        <w:rPr>
          <w:rFonts w:cs="Arial"/>
          <w:lang w:val="en-IN" w:bidi="ar-SA"/>
        </w:rPr>
        <w:t>is dissonance is of a durational character</w:t>
      </w:r>
      <w:r w:rsidR="000D2B74" w:rsidRPr="00372963">
        <w:rPr>
          <w:rFonts w:cs="Arial"/>
          <w:lang w:val="en-IN" w:bidi="ar-SA"/>
        </w:rPr>
        <w:t xml:space="preserve">. </w:t>
      </w:r>
      <w:r w:rsidR="006C222B" w:rsidRPr="00372963">
        <w:rPr>
          <w:rFonts w:cs="Arial"/>
          <w:lang w:val="en-IN" w:bidi="ar-SA"/>
        </w:rPr>
        <w:t>In durational moments, registers of chronological time infect, infuse</w:t>
      </w:r>
      <w:r w:rsidR="00E6202F">
        <w:rPr>
          <w:rFonts w:cs="Arial"/>
          <w:lang w:val="en-IN" w:bidi="ar-SA"/>
        </w:rPr>
        <w:t>,</w:t>
      </w:r>
      <w:r w:rsidR="006C222B" w:rsidRPr="00372963">
        <w:rPr>
          <w:rFonts w:cs="Arial"/>
          <w:lang w:val="en-IN" w:bidi="ar-SA"/>
        </w:rPr>
        <w:t xml:space="preserve"> and resona</w:t>
      </w:r>
      <w:r w:rsidR="000D2B74" w:rsidRPr="00372963">
        <w:rPr>
          <w:rFonts w:cs="Arial"/>
          <w:lang w:val="en-IN" w:bidi="ar-SA"/>
        </w:rPr>
        <w:t>t</w:t>
      </w:r>
      <w:r w:rsidR="006C222B" w:rsidRPr="00372963">
        <w:rPr>
          <w:rFonts w:cs="Arial"/>
          <w:lang w:val="en-IN" w:bidi="ar-SA"/>
        </w:rPr>
        <w:t>e with one another to produce imbalances, or creative emergences, in one or all registers</w:t>
      </w:r>
      <w:r w:rsidR="00E00FEB" w:rsidRPr="00372963">
        <w:rPr>
          <w:rFonts w:cs="Arial"/>
          <w:lang w:val="en-IN" w:bidi="ar-SA"/>
        </w:rPr>
        <w:t>.</w:t>
      </w:r>
      <w:r w:rsidR="00153BD4" w:rsidRPr="00372963">
        <w:rPr>
          <w:rStyle w:val="FootnoteReference"/>
          <w:rFonts w:cs="Arial"/>
          <w:lang w:val="en-IN" w:bidi="ar-SA"/>
        </w:rPr>
        <w:footnoteReference w:id="26"/>
      </w:r>
      <w:r w:rsidR="006C222B" w:rsidRPr="00372963">
        <w:rPr>
          <w:rFonts w:cs="Arial"/>
          <w:lang w:val="en-IN" w:bidi="ar-SA"/>
        </w:rPr>
        <w:t xml:space="preserve"> </w:t>
      </w:r>
      <w:r w:rsidR="00084C04" w:rsidRPr="00372963">
        <w:rPr>
          <w:rFonts w:cs="Arial"/>
          <w:lang w:val="en-IN" w:bidi="ar-SA"/>
        </w:rPr>
        <w:lastRenderedPageBreak/>
        <w:t xml:space="preserve">The </w:t>
      </w:r>
      <w:proofErr w:type="spellStart"/>
      <w:r w:rsidR="00084C04" w:rsidRPr="00372963">
        <w:rPr>
          <w:rFonts w:cs="Arial"/>
          <w:i/>
          <w:iCs/>
          <w:lang w:val="en-IN" w:bidi="ar-SA"/>
        </w:rPr>
        <w:t>Indal</w:t>
      </w:r>
      <w:proofErr w:type="spellEnd"/>
      <w:r w:rsidR="00084C04" w:rsidRPr="00372963">
        <w:rPr>
          <w:rFonts w:cs="Arial"/>
          <w:lang w:val="en-IN" w:bidi="ar-SA"/>
        </w:rPr>
        <w:t xml:space="preserve"> </w:t>
      </w:r>
      <w:r w:rsidR="00084C04" w:rsidRPr="00372963">
        <w:rPr>
          <w:rFonts w:cs="Arial"/>
          <w:i/>
          <w:iCs/>
          <w:lang w:val="en-IN" w:bidi="ar-SA"/>
        </w:rPr>
        <w:t>Pooja</w:t>
      </w:r>
      <w:r w:rsidR="00084C04" w:rsidRPr="00372963">
        <w:rPr>
          <w:rFonts w:cs="Arial"/>
          <w:lang w:val="en-IN" w:bidi="ar-SA"/>
        </w:rPr>
        <w:t xml:space="preserve"> marks precisely such a durational moment – the (contingent) coming-together of rain, seed, sunlight, nutrients, microbial life and so on. We no longer have a gateway, but a portal, one that leads to a plateau of multiplicities; assemblages that emerge and break apart as different temporal registers fuse into one another. </w:t>
      </w:r>
      <w:r w:rsidR="007133D1" w:rsidRPr="00372963">
        <w:rPr>
          <w:rFonts w:cs="Arial"/>
          <w:lang w:val="en-IN" w:bidi="ar-SA"/>
        </w:rPr>
        <w:t>We are faced</w:t>
      </w:r>
      <w:r w:rsidR="00E00FEB" w:rsidRPr="00372963">
        <w:rPr>
          <w:rFonts w:cs="Arial"/>
          <w:lang w:val="en-IN" w:bidi="ar-SA"/>
        </w:rPr>
        <w:t>,</w:t>
      </w:r>
      <w:r w:rsidR="007133D1" w:rsidRPr="00372963">
        <w:rPr>
          <w:rFonts w:cs="Arial"/>
          <w:lang w:val="en-IN" w:bidi="ar-SA"/>
        </w:rPr>
        <w:t xml:space="preserve"> then</w:t>
      </w:r>
      <w:r w:rsidR="00E00FEB" w:rsidRPr="00372963">
        <w:rPr>
          <w:rFonts w:cs="Arial"/>
          <w:lang w:val="en-IN" w:bidi="ar-SA"/>
        </w:rPr>
        <w:t>,</w:t>
      </w:r>
      <w:r w:rsidR="007133D1" w:rsidRPr="00372963">
        <w:rPr>
          <w:rFonts w:cs="Arial"/>
          <w:lang w:val="en-IN" w:bidi="ar-SA"/>
        </w:rPr>
        <w:t xml:space="preserve"> with a future of plurality, </w:t>
      </w:r>
      <w:r w:rsidR="00E00FEB" w:rsidRPr="00372963">
        <w:rPr>
          <w:rFonts w:cs="Arial"/>
          <w:lang w:val="en-IN" w:bidi="ar-SA"/>
        </w:rPr>
        <w:t xml:space="preserve">of </w:t>
      </w:r>
      <w:r w:rsidR="007133D1" w:rsidRPr="00372963">
        <w:rPr>
          <w:rFonts w:cs="Arial"/>
          <w:lang w:val="en-IN" w:bidi="ar-SA"/>
        </w:rPr>
        <w:t xml:space="preserve">radical possibility </w:t>
      </w:r>
      <w:r w:rsidR="00E00FEB" w:rsidRPr="00372963">
        <w:rPr>
          <w:rFonts w:cs="Arial"/>
          <w:lang w:val="en-IN" w:bidi="ar-SA"/>
        </w:rPr>
        <w:t xml:space="preserve">characterised by </w:t>
      </w:r>
      <w:r w:rsidR="007133D1" w:rsidRPr="00372963">
        <w:rPr>
          <w:rFonts w:cs="Arial"/>
          <w:lang w:val="en-IN" w:bidi="ar-SA"/>
        </w:rPr>
        <w:t xml:space="preserve">a </w:t>
      </w:r>
      <w:r w:rsidR="00E00FEB" w:rsidRPr="00372963">
        <w:rPr>
          <w:rFonts w:cs="Arial"/>
          <w:lang w:val="en-IN" w:bidi="ar-SA"/>
        </w:rPr>
        <w:t xml:space="preserve">certain </w:t>
      </w:r>
      <w:r w:rsidR="007133D1" w:rsidRPr="00372963">
        <w:rPr>
          <w:rFonts w:cs="Arial"/>
          <w:lang w:val="en-IN" w:bidi="ar-SA"/>
        </w:rPr>
        <w:t>simultaneity captured durationally</w:t>
      </w:r>
      <w:r w:rsidR="00E00FEB" w:rsidRPr="00372963">
        <w:rPr>
          <w:rFonts w:cs="Arial"/>
          <w:lang w:val="en-IN" w:bidi="ar-SA"/>
        </w:rPr>
        <w:t>. W</w:t>
      </w:r>
      <w:r w:rsidR="007133D1" w:rsidRPr="00372963">
        <w:rPr>
          <w:rFonts w:cs="Arial"/>
          <w:lang w:val="en-IN" w:bidi="ar-SA"/>
        </w:rPr>
        <w:t>here multiple temporal registers</w:t>
      </w:r>
      <w:r w:rsidR="00E00FEB" w:rsidRPr="00372963">
        <w:rPr>
          <w:rFonts w:cs="Arial"/>
          <w:lang w:val="en-IN" w:bidi="ar-SA"/>
        </w:rPr>
        <w:t xml:space="preserve"> or </w:t>
      </w:r>
      <w:r w:rsidR="007133D1" w:rsidRPr="00372963">
        <w:rPr>
          <w:rFonts w:cs="Arial"/>
          <w:lang w:val="en-IN" w:bidi="ar-SA"/>
        </w:rPr>
        <w:t>trajectories collide into a “simultaneity of currents that evidence the capacity to be one and several at the same time”</w:t>
      </w:r>
      <w:r w:rsidR="00E00FEB" w:rsidRPr="00372963">
        <w:rPr>
          <w:rFonts w:cs="Arial"/>
          <w:lang w:val="en-IN" w:bidi="ar-SA"/>
        </w:rPr>
        <w:t>.</w:t>
      </w:r>
      <w:r w:rsidR="00153BD4" w:rsidRPr="00372963">
        <w:rPr>
          <w:rStyle w:val="FootnoteReference"/>
          <w:rFonts w:cs="Arial"/>
          <w:lang w:val="en-IN" w:bidi="ar-SA"/>
        </w:rPr>
        <w:footnoteReference w:id="27"/>
      </w:r>
    </w:p>
    <w:p w14:paraId="7632BEF0" w14:textId="381F5339" w:rsidR="00E027C6" w:rsidRPr="00372963" w:rsidRDefault="00E7044E" w:rsidP="009D590F">
      <w:pPr>
        <w:rPr>
          <w:rFonts w:cs="Arial"/>
          <w:lang w:val="en-IN" w:bidi="ar-SA"/>
        </w:rPr>
      </w:pPr>
      <w:r w:rsidRPr="00372963">
        <w:rPr>
          <w:rFonts w:cs="Arial"/>
          <w:lang w:val="en-IN" w:bidi="ar-SA"/>
        </w:rPr>
        <w:t xml:space="preserve">We can now see the beginnings of our account of </w:t>
      </w:r>
      <w:r w:rsidR="006E56BF" w:rsidRPr="00372963">
        <w:rPr>
          <w:rFonts w:cs="Arial"/>
          <w:lang w:val="en-IN" w:bidi="ar-SA"/>
        </w:rPr>
        <w:t>a precarious future</w:t>
      </w:r>
      <w:r w:rsidRPr="00372963">
        <w:rPr>
          <w:rFonts w:cs="Arial"/>
          <w:lang w:val="en-IN" w:bidi="ar-SA"/>
        </w:rPr>
        <w:t xml:space="preserve"> taking shape. The crucial point to bring forward from the preceding discussion is that durational dissonance involves interinvolvements across differences. It is this interjection that, as I </w:t>
      </w:r>
      <w:r w:rsidR="008B06FB" w:rsidRPr="00372963">
        <w:rPr>
          <w:rFonts w:cs="Arial"/>
          <w:lang w:val="en-IN" w:bidi="ar-SA"/>
        </w:rPr>
        <w:t>hope to have shown</w:t>
      </w:r>
      <w:r w:rsidRPr="00372963">
        <w:rPr>
          <w:rFonts w:cs="Arial"/>
          <w:lang w:val="en-IN" w:bidi="ar-SA"/>
        </w:rPr>
        <w:t>, is generative of precarity as a condition of the future</w:t>
      </w:r>
      <w:r w:rsidR="0027075B" w:rsidRPr="00372963">
        <w:rPr>
          <w:rFonts w:cs="Arial"/>
          <w:lang w:val="en-IN" w:bidi="ar-SA"/>
        </w:rPr>
        <w:t xml:space="preserve">, precisely because it pushes back against structuration or determination of possibility. </w:t>
      </w:r>
      <w:r w:rsidR="006B0DDD">
        <w:rPr>
          <w:rFonts w:cs="Arial"/>
          <w:lang w:val="en-IN" w:bidi="ar-SA"/>
        </w:rPr>
        <w:t>That is, it resists a singular Order or regime</w:t>
      </w:r>
      <w:r w:rsidR="00412E8F">
        <w:rPr>
          <w:rFonts w:cs="Arial"/>
          <w:lang w:val="en-IN" w:bidi="ar-SA"/>
        </w:rPr>
        <w:t xml:space="preserve"> in favour of a moment of </w:t>
      </w:r>
      <w:r w:rsidR="00575533">
        <w:rPr>
          <w:rFonts w:cs="Arial"/>
          <w:lang w:val="en-IN" w:bidi="ar-SA"/>
        </w:rPr>
        <w:t>openness. Our concern here is with th</w:t>
      </w:r>
      <w:r w:rsidR="00E81E33">
        <w:rPr>
          <w:rFonts w:cs="Arial"/>
          <w:lang w:val="en-IN" w:bidi="ar-SA"/>
        </w:rPr>
        <w:t xml:space="preserve">is durational moment not </w:t>
      </w:r>
      <w:r w:rsidR="00DB4894">
        <w:rPr>
          <w:rFonts w:cs="Arial"/>
          <w:lang w:val="en-IN" w:bidi="ar-SA"/>
        </w:rPr>
        <w:t xml:space="preserve">as rejection of stable foundation, but as the rejection of any such ground being given to us in advance as fixed, universal, </w:t>
      </w:r>
      <w:r w:rsidR="004C2C74">
        <w:rPr>
          <w:rFonts w:cs="Arial"/>
          <w:lang w:val="en-IN" w:bidi="ar-SA"/>
        </w:rPr>
        <w:t xml:space="preserve">or absolute. </w:t>
      </w:r>
      <w:r w:rsidR="0096037B" w:rsidRPr="00372963">
        <w:rPr>
          <w:rFonts w:cs="Arial"/>
          <w:lang w:val="en-IN" w:bidi="ar-SA"/>
        </w:rPr>
        <w:t xml:space="preserve">The durational moment then always encapsulates this tension, this essential strife, between determinate </w:t>
      </w:r>
      <w:r w:rsidR="004C2C74">
        <w:rPr>
          <w:rFonts w:cs="Arial"/>
          <w:lang w:val="en-IN" w:bidi="ar-SA"/>
        </w:rPr>
        <w:t>possibility</w:t>
      </w:r>
      <w:r w:rsidR="0096037B" w:rsidRPr="00372963">
        <w:rPr>
          <w:rFonts w:cs="Arial"/>
          <w:lang w:val="en-IN" w:bidi="ar-SA"/>
        </w:rPr>
        <w:t xml:space="preserve"> and </w:t>
      </w:r>
      <w:r w:rsidR="004C2C74">
        <w:rPr>
          <w:rFonts w:cs="Arial"/>
          <w:lang w:val="en-IN" w:bidi="ar-SA"/>
        </w:rPr>
        <w:t>its</w:t>
      </w:r>
      <w:r w:rsidR="0096037B" w:rsidRPr="00372963">
        <w:rPr>
          <w:rFonts w:cs="Arial"/>
          <w:lang w:val="en-IN" w:bidi="ar-SA"/>
        </w:rPr>
        <w:t xml:space="preserve"> radical transformation. </w:t>
      </w:r>
      <w:r w:rsidR="007133D1" w:rsidRPr="00372963">
        <w:rPr>
          <w:rFonts w:cs="Arial"/>
          <w:lang w:val="en-IN" w:bidi="ar-SA"/>
        </w:rPr>
        <w:t>W</w:t>
      </w:r>
      <w:r w:rsidR="0096037B" w:rsidRPr="00372963">
        <w:rPr>
          <w:rFonts w:cs="Arial"/>
          <w:lang w:val="en-IN" w:bidi="ar-SA"/>
        </w:rPr>
        <w:t>e could speak of the durational moment as the interjection of the virtual, of that which “resists the actual and always threatens to dissolve it”</w:t>
      </w:r>
      <w:r w:rsidR="008B06FB" w:rsidRPr="00372963">
        <w:rPr>
          <w:rFonts w:cs="Arial"/>
          <w:lang w:val="en-IN" w:bidi="ar-SA"/>
        </w:rPr>
        <w:t>.</w:t>
      </w:r>
      <w:r w:rsidR="00153BD4" w:rsidRPr="00372963">
        <w:rPr>
          <w:rStyle w:val="FootnoteReference"/>
          <w:rFonts w:cs="Arial"/>
          <w:lang w:val="en-IN" w:bidi="ar-SA"/>
        </w:rPr>
        <w:footnoteReference w:id="28"/>
      </w:r>
      <w:r w:rsidR="008B06FB" w:rsidRPr="00372963">
        <w:rPr>
          <w:rFonts w:cs="Arial"/>
          <w:lang w:val="en-IN" w:bidi="ar-SA"/>
        </w:rPr>
        <w:t xml:space="preserve"> </w:t>
      </w:r>
      <w:r w:rsidR="00C96DB1" w:rsidRPr="00372963">
        <w:rPr>
          <w:rFonts w:cs="Arial"/>
          <w:lang w:val="en-IN" w:bidi="ar-SA"/>
        </w:rPr>
        <w:t>Such an interjection</w:t>
      </w:r>
      <w:r w:rsidR="00E027C6" w:rsidRPr="00372963">
        <w:rPr>
          <w:rFonts w:cs="Arial"/>
          <w:lang w:val="en-IN" w:bidi="ar-SA"/>
        </w:rPr>
        <w:t xml:space="preserve"> shows how ‘wide’ the gap is, bringing into view</w:t>
      </w:r>
      <w:r w:rsidR="007133D1" w:rsidRPr="00372963">
        <w:rPr>
          <w:rFonts w:cs="Arial"/>
          <w:lang w:val="en-IN" w:bidi="ar-SA"/>
        </w:rPr>
        <w:t xml:space="preserve"> and attesting to</w:t>
      </w:r>
      <w:r w:rsidR="00E027C6" w:rsidRPr="00372963">
        <w:rPr>
          <w:rFonts w:cs="Arial"/>
          <w:lang w:val="en-IN" w:bidi="ar-SA"/>
        </w:rPr>
        <w:t xml:space="preserve"> the possibilities of the possible. </w:t>
      </w:r>
      <w:r w:rsidR="00C96DB1" w:rsidRPr="00372963">
        <w:rPr>
          <w:rFonts w:cs="Arial"/>
          <w:lang w:val="en-IN" w:bidi="ar-SA"/>
        </w:rPr>
        <w:t>V</w:t>
      </w:r>
      <w:r w:rsidR="00E027C6" w:rsidRPr="00372963">
        <w:rPr>
          <w:rFonts w:cs="Arial"/>
          <w:lang w:val="en-IN" w:bidi="ar-SA"/>
        </w:rPr>
        <w:t xml:space="preserve">irtuality </w:t>
      </w:r>
      <w:r w:rsidR="0096037B" w:rsidRPr="00372963">
        <w:rPr>
          <w:rFonts w:cs="Arial"/>
          <w:lang w:val="en-IN" w:bidi="ar-SA"/>
        </w:rPr>
        <w:t>opens onto a durational plane – a plane of immanence – where multiple interinvolved agential forces within complex assemblages precariously come together or break apart, to spur creative self-organisation</w:t>
      </w:r>
      <w:r w:rsidR="008B06FB" w:rsidRPr="00372963">
        <w:rPr>
          <w:rFonts w:cs="Arial"/>
          <w:lang w:val="en-IN" w:bidi="ar-SA"/>
        </w:rPr>
        <w:t>.</w:t>
      </w:r>
      <w:r w:rsidR="00153BD4" w:rsidRPr="00372963">
        <w:rPr>
          <w:rStyle w:val="FootnoteReference"/>
          <w:rFonts w:cs="Arial"/>
          <w:lang w:val="en-IN" w:bidi="ar-SA"/>
        </w:rPr>
        <w:footnoteReference w:id="29"/>
      </w:r>
      <w:r w:rsidR="00E027C6" w:rsidRPr="00372963">
        <w:rPr>
          <w:rFonts w:cs="Arial"/>
          <w:lang w:val="en-IN" w:bidi="ar-SA"/>
        </w:rPr>
        <w:t xml:space="preserve"> </w:t>
      </w:r>
      <w:r w:rsidR="008B06FB" w:rsidRPr="00372963">
        <w:rPr>
          <w:rFonts w:cs="Arial"/>
          <w:lang w:val="en-IN" w:bidi="ar-SA"/>
        </w:rPr>
        <w:t xml:space="preserve">As Deleuze and </w:t>
      </w:r>
      <w:proofErr w:type="spellStart"/>
      <w:r w:rsidR="008B06FB" w:rsidRPr="00372963">
        <w:rPr>
          <w:rFonts w:cs="Arial"/>
          <w:lang w:val="en-IN" w:bidi="ar-SA"/>
        </w:rPr>
        <w:t>Guattari</w:t>
      </w:r>
      <w:proofErr w:type="spellEnd"/>
      <w:r w:rsidR="008B06FB" w:rsidRPr="00372963">
        <w:rPr>
          <w:rFonts w:cs="Arial"/>
          <w:lang w:val="en-IN" w:bidi="ar-SA"/>
        </w:rPr>
        <w:t xml:space="preserve"> suggest, the interjection of the virtual – the emergence of the durational moment – is the opening up of </w:t>
      </w:r>
      <w:r w:rsidR="006E56BF" w:rsidRPr="00372963">
        <w:rPr>
          <w:rFonts w:cs="Arial"/>
          <w:lang w:val="en-IN" w:bidi="ar-SA"/>
        </w:rPr>
        <w:t>“</w:t>
      </w:r>
      <w:r w:rsidR="00E6202F">
        <w:rPr>
          <w:rFonts w:cs="Arial"/>
          <w:lang w:val="en-IN" w:bidi="ar-SA"/>
        </w:rPr>
        <w:t>a</w:t>
      </w:r>
      <w:r w:rsidR="006E56BF" w:rsidRPr="00372963">
        <w:rPr>
          <w:rFonts w:cs="Arial"/>
          <w:lang w:val="en-IN" w:bidi="ar-SA"/>
        </w:rPr>
        <w:t xml:space="preserve"> rhizomatic realm of possibility effecting the </w:t>
      </w:r>
      <w:proofErr w:type="spellStart"/>
      <w:r w:rsidR="006E56BF" w:rsidRPr="00372963">
        <w:rPr>
          <w:rFonts w:cs="Arial"/>
          <w:lang w:val="en-IN" w:bidi="ar-SA"/>
        </w:rPr>
        <w:t>potentialisation</w:t>
      </w:r>
      <w:proofErr w:type="spellEnd"/>
      <w:r w:rsidR="006E56BF" w:rsidRPr="00372963">
        <w:rPr>
          <w:rFonts w:cs="Arial"/>
          <w:lang w:val="en-IN" w:bidi="ar-SA"/>
        </w:rPr>
        <w:t xml:space="preserve"> of the possible, as opposed to the arborescent possibility, which marks a closure, an impotence”</w:t>
      </w:r>
      <w:r w:rsidR="008B06FB" w:rsidRPr="00372963">
        <w:rPr>
          <w:rFonts w:cs="Arial"/>
          <w:lang w:val="en-IN" w:bidi="ar-SA"/>
        </w:rPr>
        <w:t>.</w:t>
      </w:r>
      <w:r w:rsidR="00153BD4" w:rsidRPr="00372963">
        <w:rPr>
          <w:rStyle w:val="FootnoteReference"/>
          <w:rFonts w:cs="Arial"/>
          <w:lang w:val="en-IN" w:bidi="ar-SA"/>
        </w:rPr>
        <w:footnoteReference w:id="30"/>
      </w:r>
    </w:p>
    <w:p w14:paraId="4CDE466D" w14:textId="7A11650D" w:rsidR="00797FF7" w:rsidRPr="00372963" w:rsidRDefault="00387337" w:rsidP="009D590F">
      <w:pPr>
        <w:rPr>
          <w:rFonts w:cs="Arial"/>
          <w:lang w:val="en-IN" w:bidi="ar-SA"/>
        </w:rPr>
      </w:pPr>
      <w:r w:rsidRPr="00372963">
        <w:rPr>
          <w:rFonts w:cs="Arial"/>
          <w:lang w:val="en-IN" w:bidi="ar-SA"/>
        </w:rPr>
        <w:t xml:space="preserve">At the same time, the point is not chaos, as complete disorder, emptiness, nihilism. By recognising the future as precarious we instead recognise and draw our attention to an inescapable ‘flux’ in </w:t>
      </w:r>
      <w:r w:rsidR="008B06FB" w:rsidRPr="00372963">
        <w:rPr>
          <w:rFonts w:cs="Arial"/>
          <w:lang w:val="en-IN" w:bidi="ar-SA"/>
        </w:rPr>
        <w:t xml:space="preserve">processes of becoming and their </w:t>
      </w:r>
      <w:r w:rsidRPr="00372963">
        <w:rPr>
          <w:rFonts w:cs="Arial"/>
          <w:lang w:val="en-IN" w:bidi="ar-SA"/>
        </w:rPr>
        <w:t>temporal registers</w:t>
      </w:r>
      <w:r w:rsidR="008B06FB" w:rsidRPr="00372963">
        <w:rPr>
          <w:rFonts w:cs="Arial"/>
          <w:lang w:val="en-IN" w:bidi="ar-SA"/>
        </w:rPr>
        <w:t xml:space="preserve"> </w:t>
      </w:r>
      <w:r w:rsidRPr="00372963">
        <w:rPr>
          <w:rFonts w:cs="Arial"/>
          <w:lang w:val="en-IN" w:bidi="ar-SA"/>
        </w:rPr>
        <w:t>– a flux that frustrates attempts at regularisation. Not an absence of all stability or order, but that despite all our efforts, stability may not arise, sudden turns and twists in intersecting temporal registers may engender transformations that actualise and neutralise possibilities of the future in unpredictable, uncontrollable ways</w:t>
      </w:r>
      <w:r w:rsidR="008B06FB" w:rsidRPr="00372963">
        <w:rPr>
          <w:rFonts w:cs="Arial"/>
          <w:lang w:val="en-IN" w:bidi="ar-SA"/>
        </w:rPr>
        <w:t>.</w:t>
      </w:r>
      <w:r w:rsidR="00153BD4" w:rsidRPr="00372963">
        <w:rPr>
          <w:rStyle w:val="FootnoteReference"/>
          <w:rFonts w:cs="Arial"/>
          <w:lang w:val="en-IN" w:bidi="ar-SA"/>
        </w:rPr>
        <w:footnoteReference w:id="31"/>
      </w:r>
      <w:r w:rsidRPr="00372963">
        <w:rPr>
          <w:rFonts w:cs="Arial"/>
          <w:lang w:val="en-IN" w:bidi="ar-SA"/>
        </w:rPr>
        <w:t xml:space="preserve"> This </w:t>
      </w:r>
      <w:r w:rsidRPr="00372963">
        <w:rPr>
          <w:rFonts w:cs="Arial"/>
          <w:lang w:val="en-IN" w:bidi="ar-SA"/>
        </w:rPr>
        <w:lastRenderedPageBreak/>
        <w:t xml:space="preserve">is precisely the message of the </w:t>
      </w:r>
      <w:proofErr w:type="spellStart"/>
      <w:r w:rsidR="00F80EE7" w:rsidRPr="00372963">
        <w:rPr>
          <w:rFonts w:cs="Arial"/>
          <w:i/>
          <w:iCs/>
          <w:lang w:val="en-IN" w:bidi="ar-SA"/>
        </w:rPr>
        <w:t>Gayana</w:t>
      </w:r>
      <w:proofErr w:type="spellEnd"/>
      <w:r w:rsidRPr="00372963">
        <w:rPr>
          <w:rFonts w:cs="Arial"/>
          <w:lang w:val="en-IN" w:bidi="ar-SA"/>
        </w:rPr>
        <w:t xml:space="preserve">: not simply to bring order to chaos, but to attempt stabilisation while simultaneously recognising the inevitability of destabilisation. </w:t>
      </w:r>
    </w:p>
    <w:p w14:paraId="7E8E5C2D" w14:textId="77777777" w:rsidR="008B06FB" w:rsidRPr="008B06FB" w:rsidRDefault="008B06FB" w:rsidP="008B06FB">
      <w:pPr>
        <w:rPr>
          <w:lang w:val="en-US" w:bidi="ar-SA"/>
        </w:rPr>
      </w:pPr>
    </w:p>
    <w:p w14:paraId="78E197FA" w14:textId="2B06030A" w:rsidR="00797FF7" w:rsidRDefault="00577F57" w:rsidP="00A07D18">
      <w:pPr>
        <w:pStyle w:val="Heading1"/>
      </w:pPr>
      <w:r>
        <w:t>Precarious Politics</w:t>
      </w:r>
    </w:p>
    <w:p w14:paraId="4008358D" w14:textId="18088B88" w:rsidR="005B0725" w:rsidRPr="00372963" w:rsidRDefault="007133D1" w:rsidP="009D590F">
      <w:pPr>
        <w:rPr>
          <w:rFonts w:cs="Arial"/>
          <w:lang w:val="en-IN" w:bidi="ar-SA"/>
        </w:rPr>
      </w:pPr>
      <w:r w:rsidRPr="00372963">
        <w:rPr>
          <w:rFonts w:cs="Arial"/>
          <w:lang w:val="en-IN" w:bidi="ar-SA"/>
        </w:rPr>
        <w:t>So,</w:t>
      </w:r>
      <w:r w:rsidR="009A0241" w:rsidRPr="00372963">
        <w:rPr>
          <w:rFonts w:cs="Arial"/>
          <w:lang w:val="en-IN" w:bidi="ar-SA"/>
        </w:rPr>
        <w:t xml:space="preserve"> what does such an account of the future say of</w:t>
      </w:r>
      <w:r w:rsidR="000242A3" w:rsidRPr="00372963">
        <w:rPr>
          <w:rFonts w:cs="Arial"/>
          <w:lang w:val="en-IN" w:bidi="ar-SA"/>
        </w:rPr>
        <w:t xml:space="preserve"> our thinking of politics? In other words, what are possibilities </w:t>
      </w:r>
      <w:r w:rsidR="00366946" w:rsidRPr="00372963">
        <w:rPr>
          <w:rFonts w:cs="Arial"/>
          <w:lang w:val="en-IN" w:bidi="ar-SA"/>
        </w:rPr>
        <w:t>of</w:t>
      </w:r>
      <w:r w:rsidR="000242A3" w:rsidRPr="00372963">
        <w:rPr>
          <w:rFonts w:cs="Arial"/>
          <w:lang w:val="en-IN" w:bidi="ar-SA"/>
        </w:rPr>
        <w:t xml:space="preserve"> political enactment once we recognise </w:t>
      </w:r>
      <w:r w:rsidR="002F553B" w:rsidRPr="00372963">
        <w:rPr>
          <w:rFonts w:cs="Arial"/>
          <w:lang w:val="en-IN" w:bidi="ar-SA"/>
        </w:rPr>
        <w:t xml:space="preserve">and relate affirmingly to </w:t>
      </w:r>
      <w:r w:rsidR="000242A3" w:rsidRPr="00372963">
        <w:rPr>
          <w:rFonts w:cs="Arial"/>
          <w:lang w:val="en-IN" w:bidi="ar-SA"/>
        </w:rPr>
        <w:t xml:space="preserve">a future of precarity? </w:t>
      </w:r>
      <w:r w:rsidR="00A27B4A" w:rsidRPr="00372963">
        <w:rPr>
          <w:rFonts w:cs="Arial"/>
          <w:lang w:val="en-IN" w:bidi="ar-SA"/>
        </w:rPr>
        <w:t>What form of political thinking builds on such an affirmation</w:t>
      </w:r>
      <w:r w:rsidR="00F021A7" w:rsidRPr="00372963">
        <w:rPr>
          <w:rFonts w:cs="Arial"/>
          <w:lang w:val="en-IN" w:bidi="ar-SA"/>
        </w:rPr>
        <w:t xml:space="preserve"> and w</w:t>
      </w:r>
      <w:r w:rsidR="00A27B4A" w:rsidRPr="00372963">
        <w:rPr>
          <w:rFonts w:cs="Arial"/>
          <w:lang w:val="en-IN" w:bidi="ar-SA"/>
        </w:rPr>
        <w:t>hat resources/energies</w:t>
      </w:r>
      <w:r w:rsidR="0062019D" w:rsidRPr="00372963">
        <w:rPr>
          <w:rFonts w:cs="Arial"/>
          <w:lang w:val="en-IN" w:bidi="ar-SA"/>
        </w:rPr>
        <w:t xml:space="preserve"> does it build on</w:t>
      </w:r>
      <w:r w:rsidR="00A27B4A" w:rsidRPr="00372963">
        <w:rPr>
          <w:rFonts w:cs="Arial"/>
          <w:lang w:val="en-IN" w:bidi="ar-SA"/>
        </w:rPr>
        <w:t>?</w:t>
      </w:r>
      <w:r w:rsidR="0062019D" w:rsidRPr="00372963">
        <w:rPr>
          <w:rFonts w:cs="Arial"/>
          <w:lang w:val="en-IN" w:bidi="ar-SA"/>
        </w:rPr>
        <w:t xml:space="preserve"> </w:t>
      </w:r>
    </w:p>
    <w:p w14:paraId="6BF23CA3" w14:textId="31B04663" w:rsidR="007133D1" w:rsidRPr="00372963" w:rsidRDefault="001F4D27" w:rsidP="009D590F">
      <w:pPr>
        <w:rPr>
          <w:rFonts w:cs="Arial"/>
          <w:lang w:val="en-IN" w:bidi="ar-SA"/>
        </w:rPr>
      </w:pPr>
      <w:r w:rsidRPr="00372963">
        <w:rPr>
          <w:rFonts w:cs="Arial"/>
          <w:lang w:val="en-IN" w:bidi="ar-SA"/>
        </w:rPr>
        <w:t>My suggestion, of course, is democratic politics, by which I refer</w:t>
      </w:r>
      <w:r w:rsidR="00F47053" w:rsidRPr="00372963">
        <w:rPr>
          <w:rFonts w:cs="Arial"/>
          <w:lang w:val="en-IN" w:bidi="ar-SA"/>
        </w:rPr>
        <w:t xml:space="preserve"> </w:t>
      </w:r>
      <w:r w:rsidRPr="00372963">
        <w:rPr>
          <w:rFonts w:cs="Arial"/>
          <w:lang w:val="en-IN" w:bidi="ar-SA"/>
        </w:rPr>
        <w:t xml:space="preserve">to what </w:t>
      </w:r>
      <w:r w:rsidR="002F553B" w:rsidRPr="00372963">
        <w:rPr>
          <w:rFonts w:cs="Arial"/>
          <w:lang w:val="en-IN" w:bidi="ar-SA"/>
        </w:rPr>
        <w:t xml:space="preserve">can be loosely identified as </w:t>
      </w:r>
      <w:r w:rsidRPr="00372963">
        <w:rPr>
          <w:rFonts w:cs="Arial"/>
          <w:lang w:val="en-IN" w:bidi="ar-SA"/>
        </w:rPr>
        <w:t>“post-foundational theories of democracy”</w:t>
      </w:r>
      <w:r w:rsidR="008B06FB" w:rsidRPr="00372963">
        <w:rPr>
          <w:rFonts w:cs="Arial"/>
          <w:lang w:val="en-IN" w:bidi="ar-SA"/>
        </w:rPr>
        <w:t>.</w:t>
      </w:r>
      <w:r w:rsidR="00153BD4" w:rsidRPr="00372963">
        <w:rPr>
          <w:rStyle w:val="FootnoteReference"/>
          <w:rFonts w:cs="Arial"/>
          <w:lang w:val="en-IN" w:bidi="ar-SA"/>
        </w:rPr>
        <w:footnoteReference w:id="32"/>
      </w:r>
      <w:r w:rsidR="005B0725" w:rsidRPr="00372963">
        <w:rPr>
          <w:rFonts w:cs="Arial"/>
          <w:lang w:val="en-IN" w:bidi="ar-SA"/>
        </w:rPr>
        <w:t xml:space="preserve"> </w:t>
      </w:r>
      <w:r w:rsidR="00563A71" w:rsidRPr="00372963">
        <w:rPr>
          <w:rFonts w:cs="Arial"/>
          <w:lang w:val="en-IN" w:bidi="ar-SA"/>
        </w:rPr>
        <w:t>Rejecting any absolute foundation for the social, post-foundational thought stresses the ultimate impossibility of any positive grounding of society, an absence/emptiness that opens up the possibilities of competing, contingent articulations</w:t>
      </w:r>
      <w:r w:rsidR="008B06FB" w:rsidRPr="00372963">
        <w:rPr>
          <w:rFonts w:cs="Arial"/>
          <w:lang w:val="en-IN" w:bidi="ar-SA"/>
        </w:rPr>
        <w:t xml:space="preserve"> or </w:t>
      </w:r>
      <w:r w:rsidR="00563A71" w:rsidRPr="00372963">
        <w:rPr>
          <w:rFonts w:cs="Arial"/>
          <w:lang w:val="en-IN" w:bidi="ar-SA"/>
        </w:rPr>
        <w:t>claims</w:t>
      </w:r>
      <w:r w:rsidR="008B06FB" w:rsidRPr="00372963">
        <w:rPr>
          <w:rFonts w:cs="Arial"/>
          <w:lang w:val="en-IN" w:bidi="ar-SA"/>
        </w:rPr>
        <w:t>.</w:t>
      </w:r>
      <w:r w:rsidR="00153BD4" w:rsidRPr="00372963">
        <w:rPr>
          <w:rStyle w:val="FootnoteReference"/>
          <w:rFonts w:cs="Arial"/>
          <w:lang w:val="en-IN" w:bidi="ar-SA"/>
        </w:rPr>
        <w:footnoteReference w:id="33"/>
      </w:r>
      <w:r w:rsidR="00563A71" w:rsidRPr="00372963">
        <w:rPr>
          <w:rFonts w:cs="Arial"/>
          <w:lang w:val="en-IN" w:bidi="ar-SA"/>
        </w:rPr>
        <w:t xml:space="preserve"> </w:t>
      </w:r>
      <w:r w:rsidR="00F021A7" w:rsidRPr="00372963">
        <w:rPr>
          <w:rFonts w:cs="Arial"/>
          <w:lang w:val="en-IN" w:bidi="ar-SA"/>
        </w:rPr>
        <w:t>On this reading, then, d</w:t>
      </w:r>
      <w:r w:rsidR="00F10C5D" w:rsidRPr="00372963">
        <w:rPr>
          <w:rFonts w:cs="Arial"/>
          <w:lang w:val="en-IN" w:bidi="ar-SA"/>
        </w:rPr>
        <w:t>emocratic politics is, on the one hand, that which keeps open and visible the relation to a contingent ground</w:t>
      </w:r>
      <w:r w:rsidR="008B06FB" w:rsidRPr="00372963">
        <w:rPr>
          <w:rFonts w:cs="Arial"/>
          <w:lang w:val="en-IN" w:bidi="ar-SA"/>
        </w:rPr>
        <w:t xml:space="preserve"> or d</w:t>
      </w:r>
      <w:r w:rsidR="00F10C5D" w:rsidRPr="00372963">
        <w:rPr>
          <w:rFonts w:cs="Arial"/>
          <w:lang w:val="en-IN" w:bidi="ar-SA"/>
        </w:rPr>
        <w:t>ecision</w:t>
      </w:r>
      <w:r w:rsidR="00153BD4" w:rsidRPr="00372963">
        <w:rPr>
          <w:rStyle w:val="FootnoteReference"/>
          <w:rFonts w:cs="Arial"/>
          <w:lang w:val="en-IN" w:bidi="ar-SA"/>
        </w:rPr>
        <w:footnoteReference w:id="34"/>
      </w:r>
      <w:r w:rsidR="00F10C5D" w:rsidRPr="00372963">
        <w:rPr>
          <w:rFonts w:cs="Arial"/>
          <w:lang w:val="en-IN" w:bidi="ar-SA"/>
        </w:rPr>
        <w:t>, and on the other, that which cultivates a sensitivity and responsiveness to multiple and heterogenous processes of becoming and self-transformation within such a contingent terrain</w:t>
      </w:r>
      <w:r w:rsidR="005B0725" w:rsidRPr="00372963">
        <w:rPr>
          <w:rFonts w:cs="Arial"/>
          <w:lang w:val="en-IN" w:bidi="ar-SA"/>
        </w:rPr>
        <w:t xml:space="preserve">. </w:t>
      </w:r>
      <w:r w:rsidR="00563A71" w:rsidRPr="00372963">
        <w:rPr>
          <w:rFonts w:cs="Arial"/>
          <w:lang w:val="en-IN" w:bidi="ar-SA"/>
        </w:rPr>
        <w:t xml:space="preserve">Contrary to the demand for rational institutional/procedural frameworks of liberal or deliberative </w:t>
      </w:r>
      <w:r w:rsidR="008B06FB" w:rsidRPr="00372963">
        <w:rPr>
          <w:rFonts w:cs="Arial"/>
          <w:lang w:val="en-IN" w:bidi="ar-SA"/>
        </w:rPr>
        <w:t>democratic thought</w:t>
      </w:r>
      <w:r w:rsidR="00866052" w:rsidRPr="00372963">
        <w:rPr>
          <w:rStyle w:val="FootnoteReference"/>
          <w:rFonts w:cs="Arial"/>
          <w:lang w:val="en-IN" w:bidi="ar-SA"/>
        </w:rPr>
        <w:footnoteReference w:id="35"/>
      </w:r>
      <w:r w:rsidR="00563A71" w:rsidRPr="00372963">
        <w:rPr>
          <w:rFonts w:cs="Arial"/>
          <w:lang w:val="en-IN" w:bidi="ar-SA"/>
        </w:rPr>
        <w:t xml:space="preserve">, post-foundational accounts underscore radical plurality and contingency. </w:t>
      </w:r>
      <w:r w:rsidR="00542AEC">
        <w:rPr>
          <w:rFonts w:cs="Arial"/>
          <w:lang w:val="en-IN" w:bidi="ar-SA"/>
        </w:rPr>
        <w:t>At the same time, i</w:t>
      </w:r>
      <w:r w:rsidR="00F021A7" w:rsidRPr="00372963">
        <w:rPr>
          <w:rFonts w:cs="Arial"/>
          <w:lang w:val="en-IN" w:bidi="ar-SA"/>
        </w:rPr>
        <w:t>t is these two forces that enable democratic politics to respond affirmingly to a precarious future. Let us look at each in turn.</w:t>
      </w:r>
    </w:p>
    <w:p w14:paraId="08F270AB" w14:textId="57D8F882" w:rsidR="00563A71" w:rsidRDefault="00563A71" w:rsidP="009D590F">
      <w:pPr>
        <w:rPr>
          <w:rFonts w:asciiTheme="minorHAnsi" w:hAnsiTheme="minorHAnsi" w:cstheme="minorHAnsi"/>
          <w:lang w:val="en-IN" w:bidi="ar-SA"/>
        </w:rPr>
      </w:pPr>
    </w:p>
    <w:p w14:paraId="39C26965" w14:textId="0450F6F1" w:rsidR="00563A71" w:rsidRDefault="00563A71" w:rsidP="00563A71">
      <w:pPr>
        <w:pStyle w:val="Heading2"/>
      </w:pPr>
      <w:r>
        <w:t>Horizontality</w:t>
      </w:r>
      <w:r w:rsidR="008B06FB">
        <w:t>: Plurality/</w:t>
      </w:r>
      <w:r>
        <w:t>Physiology/Assemblage</w:t>
      </w:r>
    </w:p>
    <w:p w14:paraId="1E7AF2CC" w14:textId="24C87272" w:rsidR="003D00AC" w:rsidRPr="00372963" w:rsidRDefault="003D00AC" w:rsidP="003D00AC">
      <w:pPr>
        <w:rPr>
          <w:rFonts w:cs="Arial"/>
          <w:lang w:val="en-IN" w:bidi="ar-SA"/>
        </w:rPr>
      </w:pPr>
      <w:r w:rsidRPr="00372963">
        <w:rPr>
          <w:rFonts w:cs="Arial"/>
          <w:lang w:val="en-IN" w:bidi="ar-SA"/>
        </w:rPr>
        <w:t>First, horizontality</w:t>
      </w:r>
      <w:r w:rsidR="00F021A7" w:rsidRPr="00372963">
        <w:rPr>
          <w:rFonts w:cs="Arial"/>
          <w:lang w:val="en-IN" w:bidi="ar-SA"/>
        </w:rPr>
        <w:t xml:space="preserve"> (plurality)</w:t>
      </w:r>
      <w:r w:rsidRPr="00372963">
        <w:rPr>
          <w:rFonts w:cs="Arial"/>
          <w:lang w:val="en-IN" w:bidi="ar-SA"/>
        </w:rPr>
        <w:t xml:space="preserve">. </w:t>
      </w:r>
      <w:r w:rsidR="00A05846" w:rsidRPr="00372963">
        <w:rPr>
          <w:rFonts w:cs="Arial"/>
          <w:lang w:val="en-IN" w:bidi="ar-SA"/>
        </w:rPr>
        <w:t>Democratic politics demands a</w:t>
      </w:r>
      <w:r w:rsidRPr="00372963">
        <w:rPr>
          <w:rFonts w:cs="Arial"/>
          <w:lang w:val="en-IN" w:bidi="ar-SA"/>
        </w:rPr>
        <w:t xml:space="preserve"> receptivity and openness to alterity or difference, to multiplicities of agential forces and temporal registers each embodying possibilities for radical transformation. </w:t>
      </w:r>
      <w:r w:rsidR="00A05846" w:rsidRPr="00372963">
        <w:rPr>
          <w:rFonts w:cs="Arial"/>
          <w:lang w:val="en-IN" w:bidi="ar-SA"/>
        </w:rPr>
        <w:t>Openness to a protean diversity of being, an overflowing that exceeds any capture or determination</w:t>
      </w:r>
      <w:r w:rsidR="008B06FB" w:rsidRPr="00372963">
        <w:rPr>
          <w:rFonts w:cs="Arial"/>
          <w:lang w:val="en-IN" w:bidi="ar-SA"/>
        </w:rPr>
        <w:t>.</w:t>
      </w:r>
      <w:r w:rsidR="00153BD4" w:rsidRPr="00372963">
        <w:rPr>
          <w:rStyle w:val="FootnoteReference"/>
          <w:rFonts w:cs="Arial"/>
          <w:lang w:val="en-IN" w:bidi="ar-SA"/>
        </w:rPr>
        <w:footnoteReference w:id="36"/>
      </w:r>
      <w:r w:rsidR="00A05846" w:rsidRPr="00372963">
        <w:rPr>
          <w:rFonts w:cs="Arial"/>
          <w:lang w:val="en-IN" w:bidi="ar-SA"/>
        </w:rPr>
        <w:t xml:space="preserve"> Radical pluralism. </w:t>
      </w:r>
      <w:r w:rsidRPr="00372963">
        <w:rPr>
          <w:rFonts w:cs="Arial"/>
          <w:lang w:val="en-IN" w:bidi="ar-SA"/>
        </w:rPr>
        <w:t xml:space="preserve">In this sense, we could speak, </w:t>
      </w:r>
      <w:r w:rsidRPr="00372963">
        <w:rPr>
          <w:rFonts w:cs="Arial"/>
          <w:lang w:val="en-IN" w:bidi="ar-SA"/>
        </w:rPr>
        <w:lastRenderedPageBreak/>
        <w:t xml:space="preserve">following </w:t>
      </w:r>
      <w:r w:rsidR="00B9712A">
        <w:rPr>
          <w:rFonts w:cs="Arial"/>
          <w:lang w:val="en-IN" w:bidi="ar-SA"/>
        </w:rPr>
        <w:t xml:space="preserve">John </w:t>
      </w:r>
      <w:proofErr w:type="spellStart"/>
      <w:r w:rsidRPr="00372963">
        <w:rPr>
          <w:rFonts w:cs="Arial"/>
          <w:lang w:val="en-IN" w:bidi="ar-SA"/>
        </w:rPr>
        <w:t>Protevi</w:t>
      </w:r>
      <w:proofErr w:type="spellEnd"/>
      <w:r w:rsidR="00153BD4" w:rsidRPr="00372963">
        <w:rPr>
          <w:rStyle w:val="FootnoteReference"/>
          <w:rFonts w:cs="Arial"/>
          <w:lang w:val="en-IN" w:bidi="ar-SA"/>
        </w:rPr>
        <w:footnoteReference w:id="37"/>
      </w:r>
      <w:r w:rsidRPr="00372963">
        <w:rPr>
          <w:rFonts w:cs="Arial"/>
          <w:lang w:val="en-IN" w:bidi="ar-SA"/>
        </w:rPr>
        <w:t>, of a certain</w:t>
      </w:r>
      <w:r w:rsidR="00FD37C9" w:rsidRPr="00372963">
        <w:rPr>
          <w:rFonts w:cs="Arial"/>
          <w:lang w:val="en-IN" w:bidi="ar-SA"/>
        </w:rPr>
        <w:t xml:space="preserve"> ‘physiological’ character of democratic politics</w:t>
      </w:r>
      <w:r w:rsidRPr="00372963">
        <w:rPr>
          <w:rFonts w:cs="Arial"/>
          <w:lang w:val="en-IN" w:bidi="ar-SA"/>
        </w:rPr>
        <w:t>; an understanding of political enactments not only as vertical frameworks of structural sedimentation or reactivation – such as the logic of representation –</w:t>
      </w:r>
      <w:r w:rsidR="00B9712A">
        <w:rPr>
          <w:rFonts w:cs="Arial"/>
          <w:lang w:val="en-IN" w:bidi="ar-SA"/>
        </w:rPr>
        <w:t>,</w:t>
      </w:r>
      <w:r w:rsidRPr="00372963">
        <w:rPr>
          <w:rFonts w:cs="Arial"/>
          <w:lang w:val="en-IN" w:bidi="ar-SA"/>
        </w:rPr>
        <w:t xml:space="preserve"> but also horizontal assemblages. Political physiology accounts for and recognises thresholds and patterns that connect across difference</w:t>
      </w:r>
      <w:r w:rsidR="00FD37C9" w:rsidRPr="00372963">
        <w:rPr>
          <w:rFonts w:cs="Arial"/>
          <w:lang w:val="en-IN" w:bidi="ar-SA"/>
        </w:rPr>
        <w:t>s</w:t>
      </w:r>
      <w:r w:rsidRPr="00372963">
        <w:rPr>
          <w:rFonts w:cs="Arial"/>
          <w:lang w:val="en-IN" w:bidi="ar-SA"/>
        </w:rPr>
        <w:t xml:space="preserve"> within </w:t>
      </w:r>
      <w:r w:rsidR="0062019D" w:rsidRPr="00372963">
        <w:rPr>
          <w:rFonts w:cs="Arial"/>
          <w:lang w:val="en-IN" w:bidi="ar-SA"/>
        </w:rPr>
        <w:t xml:space="preserve">a </w:t>
      </w:r>
      <w:r w:rsidRPr="00372963">
        <w:rPr>
          <w:rFonts w:cs="Arial"/>
          <w:lang w:val="en-IN" w:bidi="ar-SA"/>
        </w:rPr>
        <w:t>“machinic network of fin</w:t>
      </w:r>
      <w:r w:rsidR="0062019D" w:rsidRPr="00372963">
        <w:rPr>
          <w:rFonts w:cs="Arial"/>
          <w:lang w:val="en-IN" w:bidi="ar-SA"/>
        </w:rPr>
        <w:t>ite</w:t>
      </w:r>
      <w:r w:rsidRPr="00372963">
        <w:rPr>
          <w:rFonts w:cs="Arial"/>
          <w:lang w:val="en-IN" w:bidi="ar-SA"/>
        </w:rPr>
        <w:t xml:space="preserve"> automata</w:t>
      </w:r>
      <w:r w:rsidR="0062019D" w:rsidRPr="00372963">
        <w:rPr>
          <w:rFonts w:cs="Arial"/>
          <w:lang w:val="en-IN" w:bidi="ar-SA"/>
        </w:rPr>
        <w:t xml:space="preserve"> (a rhizome)</w:t>
      </w:r>
      <w:r w:rsidRPr="00372963">
        <w:rPr>
          <w:rFonts w:cs="Arial"/>
          <w:lang w:val="en-IN" w:bidi="ar-SA"/>
        </w:rPr>
        <w:t>”</w:t>
      </w:r>
      <w:r w:rsidR="008B06FB" w:rsidRPr="00372963">
        <w:rPr>
          <w:rFonts w:cs="Arial"/>
          <w:lang w:val="en-IN" w:bidi="ar-SA"/>
        </w:rPr>
        <w:t>.</w:t>
      </w:r>
      <w:r w:rsidR="00153BD4" w:rsidRPr="00372963">
        <w:rPr>
          <w:rStyle w:val="FootnoteReference"/>
          <w:rFonts w:cs="Arial"/>
          <w:lang w:val="en-IN" w:bidi="ar-SA"/>
        </w:rPr>
        <w:footnoteReference w:id="38"/>
      </w:r>
    </w:p>
    <w:p w14:paraId="2C16611A" w14:textId="519FE86C" w:rsidR="003D00AC" w:rsidRPr="00372963" w:rsidRDefault="003D00AC" w:rsidP="008B06FB">
      <w:pPr>
        <w:rPr>
          <w:rFonts w:cs="Arial"/>
          <w:lang w:val="en-IN" w:bidi="ar-SA"/>
        </w:rPr>
      </w:pPr>
      <w:r w:rsidRPr="00372963">
        <w:rPr>
          <w:rFonts w:cs="Arial"/>
          <w:lang w:val="en-IN" w:bidi="ar-SA"/>
        </w:rPr>
        <w:t>Physiology</w:t>
      </w:r>
      <w:r w:rsidR="00FD37C9" w:rsidRPr="00372963">
        <w:rPr>
          <w:rFonts w:cs="Arial"/>
          <w:lang w:val="en-IN" w:bidi="ar-SA"/>
        </w:rPr>
        <w:t xml:space="preserve">, then, is nothing but </w:t>
      </w:r>
      <w:r w:rsidR="008B06FB" w:rsidRPr="00372963">
        <w:rPr>
          <w:rFonts w:cs="Arial"/>
          <w:lang w:val="en-IN" w:bidi="ar-SA"/>
        </w:rPr>
        <w:t>the</w:t>
      </w:r>
      <w:r w:rsidRPr="00372963">
        <w:rPr>
          <w:rFonts w:cs="Arial"/>
          <w:lang w:val="en-IN" w:bidi="ar-SA"/>
        </w:rPr>
        <w:t xml:space="preserve"> assemblage character of democratic politics. In contrast to a transcendent ordering, or determination, assemblages bring to the fore physiological connections across lines of difference. Processes of mutual </w:t>
      </w:r>
      <w:proofErr w:type="spellStart"/>
      <w:r w:rsidRPr="00372963">
        <w:rPr>
          <w:rFonts w:cs="Arial"/>
          <w:lang w:val="en-IN" w:bidi="ar-SA"/>
        </w:rPr>
        <w:t>interinvolvement</w:t>
      </w:r>
      <w:proofErr w:type="spellEnd"/>
      <w:r w:rsidRPr="00372963">
        <w:rPr>
          <w:rFonts w:cs="Arial"/>
          <w:lang w:val="en-IN" w:bidi="ar-SA"/>
        </w:rPr>
        <w:t xml:space="preserve"> and consolidation between disparate entities that spontaneously cohere or disintegrate. As Connolly points out</w:t>
      </w:r>
      <w:r w:rsidR="00B9712A">
        <w:rPr>
          <w:rFonts w:cs="Arial"/>
          <w:lang w:val="en-IN" w:bidi="ar-SA"/>
        </w:rPr>
        <w:t>:</w:t>
      </w:r>
      <w:r w:rsidR="008B06FB" w:rsidRPr="00372963">
        <w:rPr>
          <w:rFonts w:cs="Arial"/>
          <w:lang w:val="en-IN" w:bidi="ar-SA"/>
        </w:rPr>
        <w:t xml:space="preserve"> </w:t>
      </w:r>
      <w:r w:rsidRPr="00372963">
        <w:rPr>
          <w:rFonts w:cs="Arial"/>
          <w:lang w:val="en-IN" w:bidi="ar-SA"/>
        </w:rPr>
        <w:t>“An assemblage composed through relations of imbrication, infusion, and intercalation between heterogenous elements that simultaneously enter into one another to some degree, affect each other from the outside, and generate residual or torrential flows exceeding the first two modes of connection</w:t>
      </w:r>
      <w:r w:rsidR="003356CB" w:rsidRPr="00372963">
        <w:rPr>
          <w:rFonts w:cs="Arial"/>
          <w:lang w:val="en-IN" w:bidi="ar-SA"/>
        </w:rPr>
        <w:t>.</w:t>
      </w:r>
      <w:r w:rsidRPr="00372963">
        <w:rPr>
          <w:rFonts w:cs="Arial"/>
          <w:lang w:val="en-IN" w:bidi="ar-SA"/>
        </w:rPr>
        <w:t>”</w:t>
      </w:r>
      <w:r w:rsidR="00153BD4" w:rsidRPr="00372963">
        <w:rPr>
          <w:rStyle w:val="FootnoteReference"/>
          <w:rFonts w:cs="Arial"/>
          <w:lang w:val="en-IN" w:bidi="ar-SA"/>
        </w:rPr>
        <w:footnoteReference w:id="39"/>
      </w:r>
      <w:r w:rsidR="003356CB" w:rsidRPr="00372963">
        <w:rPr>
          <w:rFonts w:cs="Arial"/>
          <w:lang w:val="en-IN" w:bidi="ar-SA"/>
        </w:rPr>
        <w:t xml:space="preserve"> </w:t>
      </w:r>
    </w:p>
    <w:p w14:paraId="605074C0" w14:textId="7968AA97" w:rsidR="002913B8" w:rsidRPr="00372963" w:rsidRDefault="003D00AC" w:rsidP="003D00AC">
      <w:pPr>
        <w:rPr>
          <w:rFonts w:cs="Arial"/>
          <w:lang w:val="en-IN" w:bidi="ar-SA"/>
        </w:rPr>
      </w:pPr>
      <w:r w:rsidRPr="00372963">
        <w:rPr>
          <w:rFonts w:cs="Arial"/>
          <w:lang w:val="en-IN" w:bidi="ar-SA"/>
        </w:rPr>
        <w:t xml:space="preserve">As assemblage, democratic politics is </w:t>
      </w:r>
      <w:r w:rsidR="002913B8" w:rsidRPr="00372963">
        <w:rPr>
          <w:rFonts w:cs="Arial"/>
          <w:lang w:val="en-IN" w:bidi="ar-SA"/>
        </w:rPr>
        <w:t>thus a</w:t>
      </w:r>
      <w:r w:rsidRPr="00372963">
        <w:rPr>
          <w:rFonts w:cs="Arial"/>
          <w:lang w:val="en-IN" w:bidi="ar-SA"/>
        </w:rPr>
        <w:t xml:space="preserve"> contingent holding-together of disparate elements without any signifying unity or totality – always (n-1), less than totality, a multiple</w:t>
      </w:r>
      <w:r w:rsidR="008B06FB" w:rsidRPr="00372963">
        <w:rPr>
          <w:rFonts w:cs="Arial"/>
          <w:lang w:val="en-IN" w:bidi="ar-SA"/>
        </w:rPr>
        <w:t>.</w:t>
      </w:r>
      <w:r w:rsidR="00153BD4" w:rsidRPr="00372963">
        <w:rPr>
          <w:rStyle w:val="FootnoteReference"/>
          <w:rFonts w:cs="Arial"/>
          <w:lang w:val="en-IN" w:bidi="ar-SA"/>
        </w:rPr>
        <w:footnoteReference w:id="40"/>
      </w:r>
      <w:r w:rsidRPr="00372963">
        <w:rPr>
          <w:rFonts w:cs="Arial"/>
          <w:lang w:val="en-IN" w:bidi="ar-SA"/>
        </w:rPr>
        <w:t xml:space="preserve"> </w:t>
      </w:r>
      <w:r w:rsidR="002913B8" w:rsidRPr="00372963">
        <w:rPr>
          <w:rFonts w:cs="Arial"/>
          <w:lang w:val="en-IN" w:bidi="ar-SA"/>
        </w:rPr>
        <w:t xml:space="preserve">This horizontality, this responsiveness to the possibilities of connections across lines of difference, draws our attention to the durational portal, the interjection of the virtual. </w:t>
      </w:r>
      <w:r w:rsidR="00501CD1" w:rsidRPr="00372963">
        <w:rPr>
          <w:rFonts w:cs="Arial"/>
          <w:lang w:val="en-IN" w:bidi="ar-SA"/>
        </w:rPr>
        <w:t>Democratic politics, in this sense, rejects and dissolves any linearity, direction or chronology. And it does this by reactivating the durational multiplicity of the moment, by bringing back to light – ‘making visible’ – incipient possibilities</w:t>
      </w:r>
      <w:r w:rsidR="008B06FB" w:rsidRPr="00372963">
        <w:rPr>
          <w:rFonts w:cs="Arial"/>
          <w:lang w:val="en-IN" w:bidi="ar-SA"/>
        </w:rPr>
        <w:t xml:space="preserve"> from heterogenous sites</w:t>
      </w:r>
      <w:r w:rsidR="00501CD1" w:rsidRPr="00372963">
        <w:rPr>
          <w:rFonts w:cs="Arial"/>
          <w:lang w:val="en-IN" w:bidi="ar-SA"/>
        </w:rPr>
        <w:t xml:space="preserve"> and</w:t>
      </w:r>
      <w:r w:rsidR="008B06FB" w:rsidRPr="00372963">
        <w:rPr>
          <w:rFonts w:cs="Arial"/>
          <w:lang w:val="en-IN" w:bidi="ar-SA"/>
        </w:rPr>
        <w:t>, thus,</w:t>
      </w:r>
      <w:r w:rsidR="00501CD1" w:rsidRPr="00372963">
        <w:rPr>
          <w:rFonts w:cs="Arial"/>
          <w:lang w:val="en-IN" w:bidi="ar-SA"/>
        </w:rPr>
        <w:t xml:space="preserve"> an inescapable uncertainty. </w:t>
      </w:r>
    </w:p>
    <w:p w14:paraId="35063F20" w14:textId="4BB07E46" w:rsidR="00F0604F" w:rsidRDefault="00F0604F" w:rsidP="003D00AC">
      <w:pPr>
        <w:rPr>
          <w:rFonts w:asciiTheme="minorHAnsi" w:hAnsiTheme="minorHAnsi" w:cstheme="minorHAnsi"/>
          <w:lang w:val="en-IN" w:bidi="ar-SA"/>
        </w:rPr>
      </w:pPr>
    </w:p>
    <w:p w14:paraId="4CE9207D" w14:textId="39CA59AA" w:rsidR="00F0604F" w:rsidRDefault="00A4681A" w:rsidP="00A4681A">
      <w:pPr>
        <w:pStyle w:val="Heading2"/>
      </w:pPr>
      <w:r>
        <w:t>Ethos</w:t>
      </w:r>
      <w:r w:rsidR="008B06FB">
        <w:t xml:space="preserve">: </w:t>
      </w:r>
      <w:r>
        <w:t>Orientation/Attunement/Sensitivity</w:t>
      </w:r>
    </w:p>
    <w:p w14:paraId="6DC50EC3" w14:textId="0339BB63" w:rsidR="005117A0" w:rsidRPr="00372963" w:rsidRDefault="005117A0" w:rsidP="00E53DAF">
      <w:pPr>
        <w:rPr>
          <w:rFonts w:cs="Arial"/>
          <w:lang w:val="en-IN" w:bidi="ar-SA"/>
        </w:rPr>
      </w:pPr>
      <w:r w:rsidRPr="00372963">
        <w:rPr>
          <w:rFonts w:cs="Arial"/>
          <w:lang w:val="en-IN" w:bidi="ar-SA"/>
        </w:rPr>
        <w:t>This brings us to the second reason. For, an understanding of political enactments as physiological implies a particular attunement to precarity. If the aim is to build on multiplicity and the creative energies emerging therefrom, then democratic politics must incorporate a certain affirming commitment to such processes. Nietzsche identifies this attunement as an orientation – a guiding thought driven by a “continual concern about our multiple futures”</w:t>
      </w:r>
      <w:r w:rsidR="008B06FB" w:rsidRPr="00372963">
        <w:rPr>
          <w:rFonts w:cs="Arial"/>
          <w:lang w:val="en-IN" w:bidi="ar-SA"/>
        </w:rPr>
        <w:t>.</w:t>
      </w:r>
      <w:r w:rsidR="00153BD4" w:rsidRPr="00372963">
        <w:rPr>
          <w:rStyle w:val="FootnoteReference"/>
          <w:rFonts w:cs="Arial"/>
          <w:lang w:val="en-IN" w:bidi="ar-SA"/>
        </w:rPr>
        <w:footnoteReference w:id="41"/>
      </w:r>
      <w:r w:rsidRPr="00372963">
        <w:rPr>
          <w:rFonts w:cs="Arial"/>
          <w:lang w:val="en-IN" w:bidi="ar-SA"/>
        </w:rPr>
        <w:t xml:space="preserve"> Concern is crucial here: an orientation to the future not just in terms of a receptivity to otherness, but a cultivated sensitivity or active</w:t>
      </w:r>
      <w:r w:rsidR="00E53DAF" w:rsidRPr="00372963">
        <w:rPr>
          <w:rFonts w:cs="Arial"/>
          <w:lang w:val="en-IN" w:bidi="ar-SA"/>
        </w:rPr>
        <w:t>-</w:t>
      </w:r>
      <w:r w:rsidRPr="00372963">
        <w:rPr>
          <w:rFonts w:cs="Arial"/>
          <w:lang w:val="en-IN" w:bidi="ar-SA"/>
        </w:rPr>
        <w:t xml:space="preserve">responsiveness to difference and the fecund possibilities of dissonance. A </w:t>
      </w:r>
      <w:r w:rsidRPr="00372963">
        <w:rPr>
          <w:rFonts w:cs="Arial"/>
          <w:i/>
          <w:iCs/>
          <w:lang w:val="en-IN" w:bidi="ar-SA"/>
        </w:rPr>
        <w:t>sensitivity</w:t>
      </w:r>
      <w:r w:rsidRPr="00372963">
        <w:rPr>
          <w:rFonts w:cs="Arial"/>
          <w:lang w:val="en-IN" w:bidi="ar-SA"/>
        </w:rPr>
        <w:t xml:space="preserve"> to the </w:t>
      </w:r>
      <w:r w:rsidRPr="00372963">
        <w:rPr>
          <w:rFonts w:cs="Arial"/>
          <w:lang w:val="en-IN" w:bidi="ar-SA"/>
        </w:rPr>
        <w:lastRenderedPageBreak/>
        <w:t>multiplicities incipient in durational moments and possibilities of sudden</w:t>
      </w:r>
      <w:r w:rsidR="00E53DAF" w:rsidRPr="00372963">
        <w:rPr>
          <w:rFonts w:cs="Arial"/>
          <w:lang w:val="en-IN" w:bidi="ar-SA"/>
        </w:rPr>
        <w:t xml:space="preserve"> </w:t>
      </w:r>
      <w:r w:rsidRPr="00372963">
        <w:rPr>
          <w:rFonts w:cs="Arial"/>
          <w:lang w:val="en-IN" w:bidi="ar-SA"/>
        </w:rPr>
        <w:t xml:space="preserve">transformations of seemingly stable assemblages. </w:t>
      </w:r>
      <w:r w:rsidRPr="00372963">
        <w:rPr>
          <w:rFonts w:cs="Arial"/>
          <w:i/>
          <w:iCs/>
          <w:lang w:val="en-IN" w:bidi="ar-SA"/>
        </w:rPr>
        <w:t>Care</w:t>
      </w:r>
      <w:r w:rsidRPr="00372963">
        <w:rPr>
          <w:rFonts w:cs="Arial"/>
          <w:lang w:val="en-IN" w:bidi="ar-SA"/>
        </w:rPr>
        <w:t>. Orientation as care for</w:t>
      </w:r>
      <w:r w:rsidR="00E53DAF" w:rsidRPr="00372963">
        <w:rPr>
          <w:rFonts w:cs="Arial"/>
          <w:lang w:val="en-IN" w:bidi="ar-SA"/>
        </w:rPr>
        <w:t xml:space="preserve"> </w:t>
      </w:r>
      <w:r w:rsidRPr="00372963">
        <w:rPr>
          <w:rFonts w:cs="Arial"/>
          <w:lang w:val="en-IN" w:bidi="ar-SA"/>
        </w:rPr>
        <w:t>“…what exists and might exist; a sharpened sense of reality, but one that is never immobilised before it; a readiness to find what surrounds us strange and odd; a certain determination to throw off familiar ways of thought and to look at the same things in a different way…”</w:t>
      </w:r>
      <w:r w:rsidR="00E53DAF" w:rsidRPr="00372963">
        <w:rPr>
          <w:rFonts w:cs="Arial"/>
          <w:lang w:val="en-IN" w:bidi="ar-SA"/>
        </w:rPr>
        <w:t>.</w:t>
      </w:r>
      <w:r w:rsidR="00153BD4" w:rsidRPr="00372963">
        <w:rPr>
          <w:rStyle w:val="FootnoteReference"/>
          <w:rFonts w:cs="Arial"/>
          <w:lang w:val="en-IN" w:bidi="ar-SA"/>
        </w:rPr>
        <w:footnoteReference w:id="42"/>
      </w:r>
    </w:p>
    <w:p w14:paraId="3E512AE8" w14:textId="345EF52D" w:rsidR="00A43489" w:rsidRDefault="00F402F1" w:rsidP="00A43489">
      <w:pPr>
        <w:rPr>
          <w:rFonts w:cs="Arial"/>
          <w:lang w:val="en-IN" w:bidi="ar-SA"/>
        </w:rPr>
      </w:pPr>
      <w:r w:rsidRPr="00372963">
        <w:rPr>
          <w:rFonts w:cs="Arial"/>
          <w:lang w:val="en-IN" w:bidi="ar-SA"/>
        </w:rPr>
        <w:t xml:space="preserve">A care for multiplicity, for the possibilities incipient in durational moments – to recognise in </w:t>
      </w:r>
      <w:r w:rsidR="00E53DAF" w:rsidRPr="00372963">
        <w:rPr>
          <w:rFonts w:cs="Arial"/>
          <w:lang w:val="en-IN" w:bidi="ar-SA"/>
        </w:rPr>
        <w:t>this</w:t>
      </w:r>
      <w:r w:rsidRPr="00372963">
        <w:rPr>
          <w:rFonts w:cs="Arial"/>
          <w:lang w:val="en-IN" w:bidi="ar-SA"/>
        </w:rPr>
        <w:t xml:space="preserve"> flux the </w:t>
      </w:r>
      <w:r w:rsidRPr="00372963">
        <w:rPr>
          <w:rFonts w:cs="Arial"/>
          <w:i/>
          <w:iCs/>
          <w:lang w:val="en-IN" w:bidi="ar-SA"/>
        </w:rPr>
        <w:t>positive</w:t>
      </w:r>
      <w:r w:rsidRPr="00372963">
        <w:rPr>
          <w:rFonts w:cs="Arial"/>
          <w:lang w:val="en-IN" w:bidi="ar-SA"/>
        </w:rPr>
        <w:t xml:space="preserve"> condition of being and becoming. </w:t>
      </w:r>
      <w:r w:rsidRPr="00372963">
        <w:rPr>
          <w:rFonts w:cs="Arial"/>
          <w:i/>
          <w:iCs/>
          <w:lang w:val="en-IN" w:bidi="ar-SA"/>
        </w:rPr>
        <w:t>Affirmation</w:t>
      </w:r>
      <w:r w:rsidRPr="00372963">
        <w:rPr>
          <w:rFonts w:cs="Arial"/>
          <w:lang w:val="en-IN" w:bidi="ar-SA"/>
        </w:rPr>
        <w:t xml:space="preserve">. An affirmation of overflowing abundance. </w:t>
      </w:r>
      <w:r w:rsidR="0028536F" w:rsidRPr="00372963">
        <w:rPr>
          <w:rFonts w:cs="Arial"/>
          <w:lang w:val="en-IN" w:bidi="ar-SA"/>
        </w:rPr>
        <w:t>Nietzsche</w:t>
      </w:r>
      <w:r w:rsidR="00A43489" w:rsidRPr="00372963">
        <w:rPr>
          <w:rFonts w:cs="Arial"/>
          <w:lang w:val="en-IN" w:bidi="ar-SA"/>
        </w:rPr>
        <w:t xml:space="preserve"> sketches out, cryptically, but more fully, what is at stake in such an affirming orientation when he says, “I am falling until I reach the ground – and do not want to say anymore ‘I am seeking for the ground’”</w:t>
      </w:r>
      <w:r w:rsidR="00E53DAF" w:rsidRPr="00372963">
        <w:rPr>
          <w:rFonts w:cs="Arial"/>
          <w:lang w:val="en-IN" w:bidi="ar-SA"/>
        </w:rPr>
        <w:t>.</w:t>
      </w:r>
      <w:r w:rsidR="00153BD4" w:rsidRPr="00372963">
        <w:rPr>
          <w:rStyle w:val="FootnoteReference"/>
          <w:rFonts w:cs="Arial"/>
          <w:lang w:val="en-IN" w:bidi="ar-SA"/>
        </w:rPr>
        <w:footnoteReference w:id="43"/>
      </w:r>
      <w:r w:rsidR="00A43489" w:rsidRPr="00372963">
        <w:rPr>
          <w:rFonts w:cs="Arial"/>
          <w:lang w:val="en-IN" w:bidi="ar-SA"/>
        </w:rPr>
        <w:t xml:space="preserve"> The point is that such an orientation to the future demands a letting go of all hold in any transcendent ground or principle. A distinct orientation to </w:t>
      </w:r>
      <w:r w:rsidR="0054189D" w:rsidRPr="00372963">
        <w:rPr>
          <w:rFonts w:cs="Arial"/>
          <w:lang w:val="en-IN" w:bidi="ar-SA"/>
        </w:rPr>
        <w:t>a future</w:t>
      </w:r>
      <w:r w:rsidR="00A43489" w:rsidRPr="00372963">
        <w:rPr>
          <w:rFonts w:cs="Arial"/>
          <w:lang w:val="en-IN" w:bidi="ar-SA"/>
        </w:rPr>
        <w:t xml:space="preserve"> of chanciness and play, that affirms and responds with care to </w:t>
      </w:r>
      <w:r w:rsidR="00E53DAF" w:rsidRPr="00372963">
        <w:rPr>
          <w:rFonts w:cs="Arial"/>
          <w:lang w:val="en-IN" w:bidi="ar-SA"/>
        </w:rPr>
        <w:t>its</w:t>
      </w:r>
      <w:r w:rsidR="00A43489" w:rsidRPr="00372963">
        <w:rPr>
          <w:rFonts w:cs="Arial"/>
          <w:lang w:val="en-IN" w:bidi="ar-SA"/>
        </w:rPr>
        <w:t xml:space="preserve"> fecund possibilities. An orientation that replaces a logic of progress with the force of the unexpected; that is guided by the music of the future which leads into its every labyrinth</w:t>
      </w:r>
      <w:r w:rsidR="00730CB4">
        <w:rPr>
          <w:rFonts w:cs="Arial"/>
          <w:lang w:val="en-IN" w:bidi="ar-SA"/>
        </w:rPr>
        <w:t>,</w:t>
      </w:r>
      <w:r w:rsidR="00A43489" w:rsidRPr="00372963">
        <w:rPr>
          <w:rFonts w:cs="Arial"/>
          <w:lang w:val="en-IN" w:bidi="ar-SA"/>
        </w:rPr>
        <w:t xml:space="preserve"> </w:t>
      </w:r>
      <w:r w:rsidR="004F447A" w:rsidRPr="00372963">
        <w:rPr>
          <w:rFonts w:cs="Arial"/>
          <w:lang w:val="en-IN" w:bidi="ar-SA"/>
        </w:rPr>
        <w:t>rejecting</w:t>
      </w:r>
      <w:r w:rsidR="00A43489" w:rsidRPr="00372963">
        <w:rPr>
          <w:rFonts w:cs="Arial"/>
          <w:lang w:val="en-IN" w:bidi="ar-SA"/>
        </w:rPr>
        <w:t xml:space="preserve"> </w:t>
      </w:r>
      <w:r w:rsidR="004F447A" w:rsidRPr="00372963">
        <w:rPr>
          <w:rFonts w:cs="Arial"/>
          <w:lang w:val="en-IN" w:bidi="ar-SA"/>
        </w:rPr>
        <w:t>“</w:t>
      </w:r>
      <w:r w:rsidR="00A43489" w:rsidRPr="00372963">
        <w:rPr>
          <w:rFonts w:cs="Arial"/>
          <w:lang w:val="en-IN" w:bidi="ar-SA"/>
        </w:rPr>
        <w:t>all crude, four-square opposites, which is proudly conscious of its practice in having reservations and which deals confidently with certainty and uncertainty”</w:t>
      </w:r>
      <w:r w:rsidR="00E53DAF" w:rsidRPr="00372963">
        <w:rPr>
          <w:rFonts w:cs="Arial"/>
          <w:lang w:val="en-IN" w:bidi="ar-SA"/>
        </w:rPr>
        <w:t>.</w:t>
      </w:r>
      <w:r w:rsidR="00153BD4" w:rsidRPr="00372963">
        <w:rPr>
          <w:rStyle w:val="FootnoteReference"/>
          <w:rFonts w:cs="Arial"/>
          <w:lang w:val="en-IN" w:bidi="ar-SA"/>
        </w:rPr>
        <w:footnoteReference w:id="44"/>
      </w:r>
      <w:r w:rsidR="00A43489" w:rsidRPr="00372963">
        <w:rPr>
          <w:rFonts w:cs="Arial"/>
          <w:lang w:val="en-IN" w:bidi="ar-SA"/>
        </w:rPr>
        <w:t xml:space="preserve"> </w:t>
      </w:r>
    </w:p>
    <w:p w14:paraId="37BFF7C6" w14:textId="3FD98CD4" w:rsidR="008B698F" w:rsidRPr="00372963" w:rsidRDefault="008B698F" w:rsidP="00A43489">
      <w:pPr>
        <w:rPr>
          <w:rFonts w:cs="Arial"/>
          <w:lang w:val="en-IN" w:bidi="ar-SA"/>
        </w:rPr>
      </w:pPr>
      <w:r>
        <w:rPr>
          <w:rFonts w:cs="Arial"/>
          <w:lang w:val="en-IN" w:bidi="ar-SA"/>
        </w:rPr>
        <w:t xml:space="preserve">Echoing what was alluded to above, a post-foundational imaginary is not the rejection of all foundation – some form of crude </w:t>
      </w:r>
      <w:proofErr w:type="spellStart"/>
      <w:r>
        <w:rPr>
          <w:rFonts w:cs="Arial"/>
          <w:lang w:val="en-IN" w:bidi="ar-SA"/>
        </w:rPr>
        <w:t>antifoundationalism</w:t>
      </w:r>
      <w:proofErr w:type="spellEnd"/>
      <w:r>
        <w:rPr>
          <w:rFonts w:cs="Arial"/>
          <w:lang w:val="en-IN" w:bidi="ar-SA"/>
        </w:rPr>
        <w:t xml:space="preserve"> – but precisely a responsiveness to undercurrents, to fugitive rhythms and protean churnings that are always just below the surface, concealed by what is sedimented, settled. This is not an abdication of the need for ground/foundation/stability. It is, however, the renunciation of any absolute, universal ground. We are pushing back against an imaginary of democratic politics rooted in fixed, given</w:t>
      </w:r>
      <w:r w:rsidR="00730CB4">
        <w:rPr>
          <w:rFonts w:cs="Arial"/>
          <w:lang w:val="en-IN" w:bidi="ar-SA"/>
        </w:rPr>
        <w:t>,</w:t>
      </w:r>
      <w:r>
        <w:rPr>
          <w:rFonts w:cs="Arial"/>
          <w:lang w:val="en-IN" w:bidi="ar-SA"/>
        </w:rPr>
        <w:t xml:space="preserve"> and unchanging normative principles, in just the way that we resist an imaginary of the future grounded in a vision of progress. The question is not of stability or instability, but of a certain middle ground, where normative principles</w:t>
      </w:r>
      <w:r w:rsidR="00EF400F">
        <w:rPr>
          <w:rFonts w:cs="Arial"/>
          <w:lang w:val="en-IN" w:bidi="ar-SA"/>
        </w:rPr>
        <w:t xml:space="preserve"> or</w:t>
      </w:r>
      <w:r>
        <w:rPr>
          <w:rFonts w:cs="Arial"/>
          <w:lang w:val="en-IN" w:bidi="ar-SA"/>
        </w:rPr>
        <w:t xml:space="preserve"> stable foundations are articulated at precisely the point where they embrace the principles of their own contestation.</w:t>
      </w:r>
    </w:p>
    <w:p w14:paraId="4FF186CE" w14:textId="6662BF94" w:rsidR="00202EAB" w:rsidRDefault="0028536F" w:rsidP="00E53DAF">
      <w:pPr>
        <w:rPr>
          <w:rFonts w:cs="Arial"/>
          <w:lang w:val="en-IN" w:bidi="ar-SA"/>
        </w:rPr>
      </w:pPr>
      <w:r w:rsidRPr="00372963">
        <w:rPr>
          <w:rFonts w:cs="Arial"/>
          <w:lang w:val="en-IN" w:bidi="ar-SA"/>
        </w:rPr>
        <w:t xml:space="preserve">Is this not precisely democratic? </w:t>
      </w:r>
      <w:r w:rsidR="003904B9" w:rsidRPr="00372963">
        <w:rPr>
          <w:rFonts w:cs="Arial"/>
          <w:lang w:val="en-IN" w:bidi="ar-SA"/>
        </w:rPr>
        <w:t>Th</w:t>
      </w:r>
      <w:r w:rsidR="00E53DAF" w:rsidRPr="00372963">
        <w:rPr>
          <w:rFonts w:cs="Arial"/>
          <w:lang w:val="en-IN" w:bidi="ar-SA"/>
        </w:rPr>
        <w:t>is</w:t>
      </w:r>
      <w:r w:rsidR="003904B9" w:rsidRPr="00372963">
        <w:rPr>
          <w:rFonts w:cs="Arial"/>
          <w:lang w:val="en-IN" w:bidi="ar-SA"/>
        </w:rPr>
        <w:t xml:space="preserve"> openness to radical plurality constitutive of democratic politics entails a commitment to remain responsive and attentive to processes of becoming within such a plural terrain. A certain </w:t>
      </w:r>
      <w:r w:rsidR="003904B9" w:rsidRPr="00372963">
        <w:rPr>
          <w:rFonts w:cs="Arial"/>
          <w:i/>
          <w:iCs/>
          <w:lang w:val="en-IN" w:bidi="ar-SA"/>
        </w:rPr>
        <w:t>ethical</w:t>
      </w:r>
      <w:r w:rsidR="003904B9" w:rsidRPr="00372963">
        <w:rPr>
          <w:rFonts w:cs="Arial"/>
          <w:lang w:val="en-IN" w:bidi="ar-SA"/>
        </w:rPr>
        <w:t xml:space="preserve"> commitment; a democratic ethos composed of a receptivity towards the otherness of the other, keeping open a relation to dissonance and difference, and </w:t>
      </w:r>
      <w:r w:rsidR="003904B9" w:rsidRPr="00372963">
        <w:rPr>
          <w:rFonts w:cs="Arial"/>
          <w:lang w:val="en-IN" w:bidi="ar-SA"/>
        </w:rPr>
        <w:lastRenderedPageBreak/>
        <w:t>recognising the other (</w:t>
      </w:r>
      <w:r w:rsidR="00E53DAF" w:rsidRPr="00372963">
        <w:rPr>
          <w:rFonts w:cs="Arial"/>
          <w:lang w:val="en-IN" w:bidi="ar-SA"/>
        </w:rPr>
        <w:t xml:space="preserve">an </w:t>
      </w:r>
      <w:r w:rsidR="003904B9" w:rsidRPr="00372963">
        <w:rPr>
          <w:rFonts w:cs="Arial"/>
          <w:lang w:val="en-IN" w:bidi="ar-SA"/>
        </w:rPr>
        <w:t>outside) as constitutive of onesel</w:t>
      </w:r>
      <w:r w:rsidR="00E53DAF" w:rsidRPr="00372963">
        <w:rPr>
          <w:rFonts w:cs="Arial"/>
          <w:lang w:val="en-IN" w:bidi="ar-SA"/>
        </w:rPr>
        <w:t>f.</w:t>
      </w:r>
      <w:r w:rsidR="00153BD4" w:rsidRPr="00372963">
        <w:rPr>
          <w:rStyle w:val="FootnoteReference"/>
          <w:rFonts w:cs="Arial"/>
          <w:lang w:val="en-IN" w:bidi="ar-SA"/>
        </w:rPr>
        <w:footnoteReference w:id="45"/>
      </w:r>
      <w:r w:rsidR="003904B9" w:rsidRPr="00372963">
        <w:rPr>
          <w:rFonts w:cs="Arial"/>
          <w:lang w:val="en-IN" w:bidi="ar-SA"/>
        </w:rPr>
        <w:t xml:space="preserve"> But at the same time, this ethos does not and cannot be reduced to some transcendent law or universal maxim; for that</w:t>
      </w:r>
      <w:r w:rsidR="00A5259B">
        <w:rPr>
          <w:rFonts w:cs="Arial"/>
          <w:lang w:val="en-IN" w:bidi="ar-SA"/>
        </w:rPr>
        <w:t>,</w:t>
      </w:r>
      <w:r w:rsidR="003904B9" w:rsidRPr="00372963">
        <w:rPr>
          <w:rFonts w:cs="Arial"/>
          <w:lang w:val="en-IN" w:bidi="ar-SA"/>
        </w:rPr>
        <w:t xml:space="preserve"> once again, introduces linearity and chronology. Instead, we must grasp a democratic ethos in terms “anchored first and foremost in presumptive care for the diversity of life and the fecundity of earth”</w:t>
      </w:r>
      <w:r w:rsidR="00153BD4" w:rsidRPr="00372963">
        <w:rPr>
          <w:rStyle w:val="FootnoteReference"/>
          <w:rFonts w:cs="Arial"/>
          <w:lang w:val="en-IN" w:bidi="ar-SA"/>
        </w:rPr>
        <w:footnoteReference w:id="46"/>
      </w:r>
      <w:r w:rsidR="00AF6E13" w:rsidRPr="00372963">
        <w:rPr>
          <w:rFonts w:cs="Arial"/>
          <w:lang w:val="en-IN" w:bidi="ar-SA"/>
        </w:rPr>
        <w:t>. We are speaking then not simply of following an ethical rule, but of cultivating an ethos of care and generosity that recognises and sustains not only the fact of differences, but the possibilities of emergence for that which is latent, incipient and concealed; an ethos that returns the virtual, the durational portal, that affirms and responds with care towards uncertainty and precarity. This is an ethos better grasped in terms of an existential attunement</w:t>
      </w:r>
      <w:r w:rsidR="00A5259B">
        <w:rPr>
          <w:rFonts w:cs="Arial"/>
          <w:lang w:val="en-IN" w:bidi="ar-SA"/>
        </w:rPr>
        <w:t xml:space="preserve"> –</w:t>
      </w:r>
      <w:r w:rsidR="0054189D" w:rsidRPr="00372963">
        <w:rPr>
          <w:rFonts w:cs="Arial"/>
          <w:lang w:val="en-IN" w:bidi="ar-SA"/>
        </w:rPr>
        <w:t xml:space="preserve"> </w:t>
      </w:r>
      <w:r w:rsidR="00AF6E13" w:rsidRPr="00372963">
        <w:rPr>
          <w:rFonts w:cs="Arial"/>
          <w:lang w:val="en-IN" w:bidi="ar-SA"/>
        </w:rPr>
        <w:t xml:space="preserve">a fundamental </w:t>
      </w:r>
      <w:r w:rsidR="00AF6E13" w:rsidRPr="00372963">
        <w:rPr>
          <w:rFonts w:cs="Arial"/>
          <w:i/>
          <w:iCs/>
          <w:lang w:val="en-IN" w:bidi="ar-SA"/>
        </w:rPr>
        <w:t>orientation</w:t>
      </w:r>
      <w:r w:rsidR="00AF6E13" w:rsidRPr="00372963">
        <w:rPr>
          <w:rFonts w:cs="Arial"/>
          <w:lang w:val="en-IN" w:bidi="ar-SA"/>
        </w:rPr>
        <w:t xml:space="preserve"> to the future</w:t>
      </w:r>
      <w:r w:rsidR="0054189D" w:rsidRPr="00372963">
        <w:rPr>
          <w:rFonts w:cs="Arial"/>
          <w:lang w:val="en-IN" w:bidi="ar-SA"/>
        </w:rPr>
        <w:t>,</w:t>
      </w:r>
      <w:r w:rsidR="00AF6E13" w:rsidRPr="00372963">
        <w:rPr>
          <w:rFonts w:cs="Arial"/>
          <w:lang w:val="en-IN" w:bidi="ar-SA"/>
        </w:rPr>
        <w:t xml:space="preserve"> as pointed out above. As we saw at the beginning of this paper, an uncertain future is not simply the result of human hubris, but the outcomes of complex and fragile assemblages constantly susceptible to moments of disruption and destabilisation. An ethical orientation that affirms such an imaginary, then, is also sensitive to such subterranean processes. And, most importantly, it responds to them with a cultivated care in terms of a keeping-open, a preserving of fragility; in other words, it responds in ways that “are not simply resilient and creative, but are so precisely in ways that maintain the conditions for future creativity”</w:t>
      </w:r>
      <w:r w:rsidR="00E53DAF" w:rsidRPr="00372963">
        <w:rPr>
          <w:rFonts w:cs="Arial"/>
          <w:lang w:val="en-IN" w:bidi="ar-SA"/>
        </w:rPr>
        <w:t>.</w:t>
      </w:r>
      <w:r w:rsidR="00153BD4" w:rsidRPr="00372963">
        <w:rPr>
          <w:rStyle w:val="FootnoteReference"/>
          <w:rFonts w:cs="Arial"/>
          <w:lang w:val="en-IN" w:bidi="ar-SA"/>
        </w:rPr>
        <w:footnoteReference w:id="47"/>
      </w:r>
      <w:r w:rsidR="00AF6E13" w:rsidRPr="00372963">
        <w:rPr>
          <w:rFonts w:cs="Arial"/>
          <w:lang w:val="en-IN" w:bidi="ar-SA"/>
        </w:rPr>
        <w:t xml:space="preserve"> </w:t>
      </w:r>
    </w:p>
    <w:p w14:paraId="18A14E11" w14:textId="77777777" w:rsidR="005E66AE" w:rsidRPr="00372963" w:rsidRDefault="005E66AE" w:rsidP="00E53DAF">
      <w:pPr>
        <w:rPr>
          <w:rFonts w:cs="Arial"/>
          <w:lang w:val="en-IN" w:bidi="ar-SA"/>
        </w:rPr>
      </w:pPr>
    </w:p>
    <w:p w14:paraId="7A934B60" w14:textId="012DAD46" w:rsidR="00147F36" w:rsidRDefault="0048427C" w:rsidP="00A07D18">
      <w:pPr>
        <w:pStyle w:val="Heading1"/>
      </w:pPr>
      <w:r>
        <w:t>Conclusion</w:t>
      </w:r>
    </w:p>
    <w:p w14:paraId="60C85A16" w14:textId="4CB8825E" w:rsidR="00F021A7" w:rsidRPr="00372963" w:rsidRDefault="0054189D" w:rsidP="00A541B9">
      <w:pPr>
        <w:rPr>
          <w:rFonts w:cs="Arial"/>
          <w:lang w:val="en-IN" w:bidi="ar-SA"/>
        </w:rPr>
      </w:pPr>
      <w:r w:rsidRPr="00372963">
        <w:rPr>
          <w:rFonts w:cs="Arial"/>
          <w:lang w:val="en-IN" w:bidi="ar-SA"/>
        </w:rPr>
        <w:t>Care for future creativity – this is the crucial bit. Recognising and affirming an imaginary of the future as uncertain and precarious is not to collapse into either an inert nihilism, or a vengeful demand for certainty</w:t>
      </w:r>
      <w:r w:rsidR="009B7315" w:rsidRPr="00372963">
        <w:rPr>
          <w:rFonts w:cs="Arial"/>
          <w:lang w:val="en-IN" w:bidi="ar-SA"/>
        </w:rPr>
        <w:t>. It is to express a care for precarity as possessing a certain positive</w:t>
      </w:r>
      <w:r w:rsidR="00E53DAF" w:rsidRPr="00372963">
        <w:rPr>
          <w:rFonts w:cs="Arial"/>
          <w:lang w:val="en-IN" w:bidi="ar-SA"/>
        </w:rPr>
        <w:t xml:space="preserve">, creative </w:t>
      </w:r>
      <w:r w:rsidR="009B7315" w:rsidRPr="00372963">
        <w:rPr>
          <w:rFonts w:cs="Arial"/>
          <w:lang w:val="en-IN" w:bidi="ar-SA"/>
        </w:rPr>
        <w:t xml:space="preserve">ontological value. </w:t>
      </w:r>
      <w:r w:rsidR="00DF45FF" w:rsidRPr="00372963">
        <w:rPr>
          <w:rFonts w:cs="Arial"/>
          <w:lang w:val="en-IN" w:bidi="ar-SA"/>
        </w:rPr>
        <w:t xml:space="preserve">Between complete surrender and proclamations of mastery, what is called for is a cultivated care (love, even) for this element of chanciness and play as constitutive of our possibilities to be who we are and </w:t>
      </w:r>
      <w:r w:rsidR="00E53DAF" w:rsidRPr="00372963">
        <w:rPr>
          <w:rFonts w:cs="Arial"/>
          <w:lang w:val="en-IN" w:bidi="ar-SA"/>
        </w:rPr>
        <w:t xml:space="preserve">explore </w:t>
      </w:r>
      <w:r w:rsidR="00DF45FF" w:rsidRPr="00372963">
        <w:rPr>
          <w:rFonts w:cs="Arial"/>
          <w:lang w:val="en-IN" w:bidi="ar-SA"/>
        </w:rPr>
        <w:t xml:space="preserve">what we can be. </w:t>
      </w:r>
      <w:r w:rsidR="00496C0E" w:rsidRPr="00372963">
        <w:rPr>
          <w:rFonts w:cs="Arial"/>
          <w:i/>
          <w:iCs/>
          <w:lang w:val="en-IN" w:bidi="ar-SA"/>
        </w:rPr>
        <w:t>In-between</w:t>
      </w:r>
      <w:r w:rsidR="005B1589" w:rsidRPr="00372963">
        <w:rPr>
          <w:rFonts w:cs="Arial"/>
          <w:i/>
          <w:iCs/>
          <w:lang w:val="en-IN" w:bidi="ar-SA"/>
        </w:rPr>
        <w:t>-ness</w:t>
      </w:r>
      <w:r w:rsidR="005B1589" w:rsidRPr="00372963">
        <w:rPr>
          <w:rFonts w:cs="Arial"/>
          <w:lang w:val="en-IN" w:bidi="ar-SA"/>
        </w:rPr>
        <w:t xml:space="preserve">: precarity is not </w:t>
      </w:r>
      <w:r w:rsidR="00E53DAF" w:rsidRPr="00372963">
        <w:rPr>
          <w:rFonts w:cs="Arial"/>
          <w:lang w:val="en-IN" w:bidi="ar-SA"/>
        </w:rPr>
        <w:t xml:space="preserve">simply </w:t>
      </w:r>
      <w:r w:rsidR="005B1589" w:rsidRPr="00372963">
        <w:rPr>
          <w:rFonts w:cs="Arial"/>
          <w:lang w:val="en-IN" w:bidi="ar-SA"/>
        </w:rPr>
        <w:t>instability, it is only its risk, yet an inevitable risk.</w:t>
      </w:r>
    </w:p>
    <w:p w14:paraId="291AB67B" w14:textId="755C8EDE" w:rsidR="005B1589" w:rsidRPr="00372963" w:rsidRDefault="005B1589" w:rsidP="00A541B9">
      <w:pPr>
        <w:rPr>
          <w:rFonts w:cs="Arial"/>
          <w:lang w:val="en-IN" w:bidi="ar-SA"/>
        </w:rPr>
      </w:pPr>
      <w:r w:rsidRPr="00372963">
        <w:rPr>
          <w:rFonts w:cs="Arial"/>
          <w:lang w:val="en-IN" w:bidi="ar-SA"/>
        </w:rPr>
        <w:t xml:space="preserve">This paper has sought to explore such an imaginary of the future, what it entails, and what the possibilities of political enactments within such an imaginary are. In this, it developed an account of a future marked by precarity (as opposed to one constituted by a logic of progress or technological </w:t>
      </w:r>
      <w:r w:rsidR="00496C0E" w:rsidRPr="00372963">
        <w:rPr>
          <w:rFonts w:cs="Arial"/>
          <w:lang w:val="en-IN" w:bidi="ar-SA"/>
        </w:rPr>
        <w:t>control)</w:t>
      </w:r>
      <w:r w:rsidRPr="00372963">
        <w:rPr>
          <w:rFonts w:cs="Arial"/>
          <w:lang w:val="en-IN" w:bidi="ar-SA"/>
        </w:rPr>
        <w:t xml:space="preserve"> – susceptible to sudden and radical transformation as multiple temporal </w:t>
      </w:r>
      <w:r w:rsidRPr="00372963">
        <w:rPr>
          <w:rFonts w:cs="Arial"/>
          <w:lang w:val="en-IN" w:bidi="ar-SA"/>
        </w:rPr>
        <w:lastRenderedPageBreak/>
        <w:t xml:space="preserve">registers interact spurring moments of creative self-organisation. </w:t>
      </w:r>
      <w:r w:rsidR="00496C0E" w:rsidRPr="00372963">
        <w:rPr>
          <w:rFonts w:cs="Arial"/>
          <w:lang w:val="en-IN" w:bidi="ar-SA"/>
        </w:rPr>
        <w:t>Probing the possibilities of political enactments that build affirmingly on such an imaginary, the paper argued for a democratic politics for two reasons</w:t>
      </w:r>
      <w:r w:rsidR="00A5259B">
        <w:rPr>
          <w:rFonts w:cs="Arial"/>
          <w:lang w:val="en-IN" w:bidi="ar-SA"/>
        </w:rPr>
        <w:t>:</w:t>
      </w:r>
      <w:r w:rsidR="00496C0E" w:rsidRPr="00372963">
        <w:rPr>
          <w:rFonts w:cs="Arial"/>
          <w:lang w:val="en-IN" w:bidi="ar-SA"/>
        </w:rPr>
        <w:t xml:space="preserve"> One, the openness to radical plurality in terms of the assemblage character of democratic politics, and two, a cultivated ethos of care and sensitivity to processes of becoming, or agential forces across a multiplicity of sites as characteristic of democracy. Of course, such a democratic care (for future creativity) is not itself certain – precarity can also reinforce demands for order and certainty. But do we really want transcendent guarantees? </w:t>
      </w:r>
    </w:p>
    <w:p w14:paraId="1190115F" w14:textId="3252CA95" w:rsidR="00F021A7" w:rsidRDefault="00A24194" w:rsidP="00A07D18">
      <w:pPr>
        <w:pStyle w:val="Heading1"/>
      </w:pPr>
      <w:r>
        <w:br w:type="page"/>
      </w:r>
      <w:r w:rsidR="003F1D31">
        <w:lastRenderedPageBreak/>
        <w:t>Bibliography</w:t>
      </w:r>
    </w:p>
    <w:p w14:paraId="451FBE5B" w14:textId="2D32967D" w:rsidR="00866052" w:rsidRPr="00E90790" w:rsidRDefault="003F1D31" w:rsidP="00866052">
      <w:pPr>
        <w:widowControl w:val="0"/>
        <w:autoSpaceDE w:val="0"/>
        <w:autoSpaceDN w:val="0"/>
        <w:adjustRightInd w:val="0"/>
        <w:ind w:left="480" w:hanging="480"/>
        <w:rPr>
          <w:rFonts w:cs="Arial"/>
          <w:noProof/>
          <w:szCs w:val="24"/>
        </w:rPr>
      </w:pPr>
      <w:r w:rsidRPr="00E90790">
        <w:rPr>
          <w:rFonts w:cs="Arial"/>
          <w:lang w:val="en-US" w:bidi="ar-SA"/>
        </w:rPr>
        <w:fldChar w:fldCharType="begin" w:fldLock="1"/>
      </w:r>
      <w:r w:rsidRPr="00E90790">
        <w:rPr>
          <w:rFonts w:cs="Arial"/>
          <w:lang w:val="en-US" w:bidi="ar-SA"/>
        </w:rPr>
        <w:instrText xml:space="preserve">ADDIN Mendeley Bibliography CSL_BIBLIOGRAPHY </w:instrText>
      </w:r>
      <w:r w:rsidRPr="00E90790">
        <w:rPr>
          <w:rFonts w:cs="Arial"/>
          <w:lang w:val="en-US" w:bidi="ar-SA"/>
        </w:rPr>
        <w:fldChar w:fldCharType="separate"/>
      </w:r>
      <w:r w:rsidR="00866052" w:rsidRPr="00E90790">
        <w:rPr>
          <w:rFonts w:cs="Arial"/>
          <w:noProof/>
          <w:szCs w:val="24"/>
        </w:rPr>
        <w:t>Allen, Amy</w:t>
      </w:r>
      <w:r w:rsidR="005F6657">
        <w:rPr>
          <w:rFonts w:cs="Arial"/>
          <w:noProof/>
          <w:szCs w:val="24"/>
        </w:rPr>
        <w:t>:</w:t>
      </w:r>
      <w:r w:rsidR="00866052" w:rsidRPr="00E90790">
        <w:rPr>
          <w:rFonts w:cs="Arial"/>
          <w:noProof/>
          <w:szCs w:val="24"/>
        </w:rPr>
        <w:t xml:space="preserve"> Adorno, Foucault, and the End of Progress: Critical Theory in Postcolonial Times. In</w:t>
      </w:r>
      <w:r w:rsidR="005F6657">
        <w:rPr>
          <w:rFonts w:cs="Arial"/>
          <w:noProof/>
          <w:szCs w:val="24"/>
        </w:rPr>
        <w:t xml:space="preserve">: </w:t>
      </w:r>
      <w:r w:rsidR="00866052" w:rsidRPr="00E90790">
        <w:rPr>
          <w:rFonts w:cs="Arial"/>
          <w:i/>
          <w:iCs/>
          <w:noProof/>
          <w:szCs w:val="24"/>
        </w:rPr>
        <w:t>Critical Theory in Critical Times: Transforming the Global Political and Economic Order</w:t>
      </w:r>
      <w:r w:rsidR="00866052" w:rsidRPr="00E90790">
        <w:rPr>
          <w:rFonts w:cs="Arial"/>
          <w:noProof/>
          <w:szCs w:val="24"/>
        </w:rPr>
        <w:t>, ed</w:t>
      </w:r>
      <w:r w:rsidR="00E4617A">
        <w:rPr>
          <w:rFonts w:cs="Arial"/>
          <w:noProof/>
          <w:szCs w:val="24"/>
        </w:rPr>
        <w:t>.</w:t>
      </w:r>
      <w:r w:rsidR="00866052" w:rsidRPr="00E90790">
        <w:rPr>
          <w:rFonts w:cs="Arial"/>
          <w:noProof/>
          <w:szCs w:val="24"/>
        </w:rPr>
        <w:t xml:space="preserve"> by Penelope Deutscher and Cristina Lafont</w:t>
      </w:r>
      <w:r w:rsidR="00E4617A">
        <w:rPr>
          <w:rFonts w:cs="Arial"/>
          <w:noProof/>
          <w:szCs w:val="24"/>
        </w:rPr>
        <w:t>.</w:t>
      </w:r>
      <w:r w:rsidR="00866052" w:rsidRPr="00E90790">
        <w:rPr>
          <w:rFonts w:cs="Arial"/>
          <w:noProof/>
          <w:szCs w:val="24"/>
        </w:rPr>
        <w:t xml:space="preserve"> New York: Columbia University Press, 2017</w:t>
      </w:r>
      <w:r w:rsidR="00622808">
        <w:rPr>
          <w:rFonts w:cs="Arial"/>
          <w:noProof/>
          <w:szCs w:val="24"/>
        </w:rPr>
        <w:t>, 183</w:t>
      </w:r>
      <w:r w:rsidR="00A5259B">
        <w:rPr>
          <w:rFonts w:cs="Arial"/>
          <w:noProof/>
          <w:szCs w:val="24"/>
        </w:rPr>
        <w:t>–</w:t>
      </w:r>
      <w:r w:rsidR="00622808">
        <w:rPr>
          <w:rFonts w:cs="Arial"/>
          <w:noProof/>
          <w:szCs w:val="24"/>
        </w:rPr>
        <w:t>206.</w:t>
      </w:r>
    </w:p>
    <w:p w14:paraId="6DD6884A" w14:textId="373E5FF7"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Ashcroft, Bill</w:t>
      </w:r>
      <w:r w:rsidR="00622808">
        <w:rPr>
          <w:rFonts w:cs="Arial"/>
          <w:noProof/>
          <w:szCs w:val="24"/>
        </w:rPr>
        <w:t>:</w:t>
      </w:r>
      <w:r w:rsidRPr="00E90790">
        <w:rPr>
          <w:rFonts w:cs="Arial"/>
          <w:noProof/>
          <w:szCs w:val="24"/>
        </w:rPr>
        <w:t xml:space="preserve"> </w:t>
      </w:r>
      <w:r w:rsidRPr="00E90790">
        <w:rPr>
          <w:rFonts w:cs="Arial"/>
          <w:i/>
          <w:iCs/>
          <w:noProof/>
          <w:szCs w:val="24"/>
        </w:rPr>
        <w:t>Post-Colonial Transformation</w:t>
      </w:r>
      <w:r w:rsidRPr="00E90790">
        <w:rPr>
          <w:rFonts w:cs="Arial"/>
          <w:noProof/>
          <w:szCs w:val="24"/>
        </w:rPr>
        <w:t>. London: Routledge, 2001.</w:t>
      </w:r>
    </w:p>
    <w:p w14:paraId="5A3779EA" w14:textId="08C40385"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Baviskar, Amita</w:t>
      </w:r>
      <w:r w:rsidR="00A5259B">
        <w:rPr>
          <w:rFonts w:cs="Arial"/>
          <w:noProof/>
          <w:szCs w:val="24"/>
        </w:rPr>
        <w:t>:</w:t>
      </w:r>
      <w:r w:rsidRPr="00E90790">
        <w:rPr>
          <w:rFonts w:cs="Arial"/>
          <w:noProof/>
          <w:szCs w:val="24"/>
        </w:rPr>
        <w:t xml:space="preserve"> </w:t>
      </w:r>
      <w:r w:rsidRPr="00E90790">
        <w:rPr>
          <w:rFonts w:cs="Arial"/>
          <w:i/>
          <w:iCs/>
          <w:noProof/>
          <w:szCs w:val="24"/>
        </w:rPr>
        <w:t>In the Belly of the River: Tribal Conflicts over Development in the Narmada Valley</w:t>
      </w:r>
      <w:r w:rsidRPr="00E90790">
        <w:rPr>
          <w:rFonts w:cs="Arial"/>
          <w:noProof/>
          <w:szCs w:val="24"/>
        </w:rPr>
        <w:t>. Delhi: Oxford University Press, 1995.</w:t>
      </w:r>
    </w:p>
    <w:p w14:paraId="1D4CE9BD" w14:textId="62C7AB14"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Bennett, Jane</w:t>
      </w:r>
      <w:r w:rsidR="00D96FC6">
        <w:rPr>
          <w:rFonts w:cs="Arial"/>
          <w:noProof/>
          <w:szCs w:val="24"/>
        </w:rPr>
        <w:t xml:space="preserve">: </w:t>
      </w:r>
      <w:r w:rsidRPr="00E90790">
        <w:rPr>
          <w:rFonts w:cs="Arial"/>
          <w:noProof/>
          <w:szCs w:val="24"/>
        </w:rPr>
        <w:t>In Parliament with Things. In</w:t>
      </w:r>
      <w:r w:rsidR="00D96FC6">
        <w:rPr>
          <w:rFonts w:cs="Arial"/>
          <w:noProof/>
          <w:szCs w:val="24"/>
        </w:rPr>
        <w:t>:</w:t>
      </w:r>
      <w:r w:rsidRPr="00E90790">
        <w:rPr>
          <w:rFonts w:cs="Arial"/>
          <w:noProof/>
          <w:szCs w:val="24"/>
        </w:rPr>
        <w:t xml:space="preserve"> </w:t>
      </w:r>
      <w:r w:rsidRPr="00E90790">
        <w:rPr>
          <w:rFonts w:cs="Arial"/>
          <w:i/>
          <w:iCs/>
          <w:noProof/>
          <w:szCs w:val="24"/>
        </w:rPr>
        <w:t>Radical Democracy: Politics between Abundance and Lack</w:t>
      </w:r>
      <w:r w:rsidRPr="00E90790">
        <w:rPr>
          <w:rFonts w:cs="Arial"/>
          <w:noProof/>
          <w:szCs w:val="24"/>
        </w:rPr>
        <w:t>, ed</w:t>
      </w:r>
      <w:r w:rsidR="00D96FC6">
        <w:rPr>
          <w:rFonts w:cs="Arial"/>
          <w:noProof/>
          <w:szCs w:val="24"/>
        </w:rPr>
        <w:t>.</w:t>
      </w:r>
      <w:r w:rsidRPr="00E90790">
        <w:rPr>
          <w:rFonts w:cs="Arial"/>
          <w:noProof/>
          <w:szCs w:val="24"/>
        </w:rPr>
        <w:t xml:space="preserve"> by Lasse Thomassen and Lars T</w:t>
      </w:r>
      <w:r w:rsidR="00D96FC6">
        <w:rPr>
          <w:rFonts w:cs="Arial"/>
          <w:noProof/>
          <w:szCs w:val="24"/>
        </w:rPr>
        <w:t>ø</w:t>
      </w:r>
      <w:r w:rsidRPr="00E90790">
        <w:rPr>
          <w:rFonts w:cs="Arial"/>
          <w:noProof/>
          <w:szCs w:val="24"/>
        </w:rPr>
        <w:t>nder</w:t>
      </w:r>
      <w:r w:rsidR="00C81DA1">
        <w:rPr>
          <w:rFonts w:cs="Arial"/>
          <w:noProof/>
          <w:szCs w:val="24"/>
        </w:rPr>
        <w:t>.</w:t>
      </w:r>
      <w:r w:rsidRPr="00E90790">
        <w:rPr>
          <w:rFonts w:cs="Arial"/>
          <w:noProof/>
          <w:szCs w:val="24"/>
        </w:rPr>
        <w:t xml:space="preserve"> Manchester: Manchester University Press, 2005</w:t>
      </w:r>
      <w:r w:rsidR="00D96FC6">
        <w:rPr>
          <w:rFonts w:cs="Arial"/>
          <w:noProof/>
          <w:szCs w:val="24"/>
        </w:rPr>
        <w:t>, 133-148</w:t>
      </w:r>
      <w:r w:rsidR="00A5259B">
        <w:rPr>
          <w:rFonts w:cs="Arial"/>
          <w:noProof/>
          <w:szCs w:val="24"/>
        </w:rPr>
        <w:t>.</w:t>
      </w:r>
    </w:p>
    <w:p w14:paraId="2AAFC86F" w14:textId="5A8CF82D"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w:t>
      </w:r>
      <w:r w:rsidR="00C81DA1">
        <w:rPr>
          <w:rFonts w:cs="Arial"/>
          <w:noProof/>
          <w:szCs w:val="24"/>
        </w:rPr>
        <w:t>:</w:t>
      </w:r>
      <w:r w:rsidRPr="00E90790">
        <w:rPr>
          <w:rFonts w:cs="Arial"/>
          <w:noProof/>
          <w:szCs w:val="24"/>
        </w:rPr>
        <w:t xml:space="preserve"> The Force of Things: Steps toward an Ecology of Matter.</w:t>
      </w:r>
      <w:r w:rsidR="00C605DF">
        <w:rPr>
          <w:rFonts w:cs="Arial"/>
          <w:noProof/>
          <w:szCs w:val="24"/>
        </w:rPr>
        <w:t xml:space="preserve"> In:</w:t>
      </w:r>
      <w:r w:rsidRPr="00E90790">
        <w:rPr>
          <w:rFonts w:cs="Arial"/>
          <w:noProof/>
          <w:szCs w:val="24"/>
        </w:rPr>
        <w:t xml:space="preserve"> </w:t>
      </w:r>
      <w:r w:rsidRPr="00E90790">
        <w:rPr>
          <w:rFonts w:cs="Arial"/>
          <w:i/>
          <w:iCs/>
          <w:noProof/>
          <w:szCs w:val="24"/>
        </w:rPr>
        <w:t>Political Theory</w:t>
      </w:r>
      <w:r w:rsidRPr="00E90790">
        <w:rPr>
          <w:rFonts w:cs="Arial"/>
          <w:noProof/>
          <w:szCs w:val="24"/>
        </w:rPr>
        <w:t xml:space="preserve"> 32</w:t>
      </w:r>
      <w:r w:rsidR="00C605DF">
        <w:rPr>
          <w:rFonts w:cs="Arial"/>
          <w:noProof/>
          <w:szCs w:val="24"/>
        </w:rPr>
        <w:t xml:space="preserve"> (</w:t>
      </w:r>
      <w:r w:rsidRPr="00E90790">
        <w:rPr>
          <w:rFonts w:cs="Arial"/>
          <w:noProof/>
          <w:szCs w:val="24"/>
        </w:rPr>
        <w:t>3</w:t>
      </w:r>
      <w:r w:rsidR="00C605DF">
        <w:rPr>
          <w:rFonts w:cs="Arial"/>
          <w:noProof/>
          <w:szCs w:val="24"/>
        </w:rPr>
        <w:t>)/</w:t>
      </w:r>
      <w:r w:rsidRPr="00E90790">
        <w:rPr>
          <w:rFonts w:cs="Arial"/>
          <w:noProof/>
          <w:szCs w:val="24"/>
        </w:rPr>
        <w:t>2004</w:t>
      </w:r>
      <w:r w:rsidR="008B3B73">
        <w:rPr>
          <w:rFonts w:cs="Arial"/>
          <w:noProof/>
          <w:szCs w:val="24"/>
        </w:rPr>
        <w:t>,</w:t>
      </w:r>
      <w:r w:rsidRPr="00E90790">
        <w:rPr>
          <w:rFonts w:cs="Arial"/>
          <w:noProof/>
          <w:szCs w:val="24"/>
        </w:rPr>
        <w:t xml:space="preserve"> 347–</w:t>
      </w:r>
      <w:r w:rsidR="00A5259B">
        <w:rPr>
          <w:rFonts w:cs="Arial"/>
          <w:noProof/>
          <w:szCs w:val="24"/>
        </w:rPr>
        <w:t>3</w:t>
      </w:r>
      <w:r w:rsidRPr="00E90790">
        <w:rPr>
          <w:rFonts w:cs="Arial"/>
          <w:noProof/>
          <w:szCs w:val="24"/>
        </w:rPr>
        <w:t xml:space="preserve">72. </w:t>
      </w:r>
    </w:p>
    <w:p w14:paraId="34A91CD2" w14:textId="6D19CE88"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Bennett, Jane, and William E. Connolly</w:t>
      </w:r>
      <w:r w:rsidR="008B3B73">
        <w:rPr>
          <w:rFonts w:cs="Arial"/>
          <w:noProof/>
          <w:szCs w:val="24"/>
        </w:rPr>
        <w:t xml:space="preserve">: </w:t>
      </w:r>
      <w:r w:rsidRPr="00E90790">
        <w:rPr>
          <w:rFonts w:cs="Arial"/>
          <w:noProof/>
          <w:szCs w:val="24"/>
        </w:rPr>
        <w:t>Contesting Nature/Culture: The Creative Character of Thinking.</w:t>
      </w:r>
      <w:r w:rsidR="008B3B73">
        <w:rPr>
          <w:rFonts w:cs="Arial"/>
          <w:noProof/>
          <w:szCs w:val="24"/>
        </w:rPr>
        <w:t xml:space="preserve"> In:</w:t>
      </w:r>
      <w:r w:rsidRPr="00E90790">
        <w:rPr>
          <w:rFonts w:cs="Arial"/>
          <w:noProof/>
          <w:szCs w:val="24"/>
        </w:rPr>
        <w:t xml:space="preserve"> </w:t>
      </w:r>
      <w:r w:rsidRPr="00E90790">
        <w:rPr>
          <w:rFonts w:cs="Arial"/>
          <w:i/>
          <w:iCs/>
          <w:noProof/>
          <w:szCs w:val="24"/>
        </w:rPr>
        <w:t>Journal of Nietzsche Studies</w:t>
      </w:r>
      <w:r w:rsidRPr="00E90790">
        <w:rPr>
          <w:rFonts w:cs="Arial"/>
          <w:noProof/>
          <w:szCs w:val="24"/>
        </w:rPr>
        <w:t xml:space="preserve"> 24</w:t>
      </w:r>
      <w:r w:rsidR="008B3B73">
        <w:rPr>
          <w:rFonts w:cs="Arial"/>
          <w:noProof/>
          <w:szCs w:val="24"/>
        </w:rPr>
        <w:t>/</w:t>
      </w:r>
      <w:r w:rsidRPr="00E90790">
        <w:rPr>
          <w:rFonts w:cs="Arial"/>
          <w:noProof/>
          <w:szCs w:val="24"/>
        </w:rPr>
        <w:t>2002</w:t>
      </w:r>
      <w:r w:rsidR="00596CB1">
        <w:rPr>
          <w:rFonts w:cs="Arial"/>
          <w:noProof/>
          <w:szCs w:val="24"/>
        </w:rPr>
        <w:t>,</w:t>
      </w:r>
      <w:r w:rsidRPr="00E90790">
        <w:rPr>
          <w:rFonts w:cs="Arial"/>
          <w:noProof/>
          <w:szCs w:val="24"/>
        </w:rPr>
        <w:t xml:space="preserve"> 148–</w:t>
      </w:r>
      <w:r w:rsidR="00A5259B">
        <w:rPr>
          <w:rFonts w:cs="Arial"/>
          <w:noProof/>
          <w:szCs w:val="24"/>
        </w:rPr>
        <w:t>1</w:t>
      </w:r>
      <w:r w:rsidRPr="00E90790">
        <w:rPr>
          <w:rFonts w:cs="Arial"/>
          <w:noProof/>
          <w:szCs w:val="24"/>
        </w:rPr>
        <w:t>63.</w:t>
      </w:r>
    </w:p>
    <w:p w14:paraId="56C37D9A" w14:textId="20FB0D16"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Connolly, William E</w:t>
      </w:r>
      <w:r w:rsidR="00596CB1">
        <w:rPr>
          <w:rFonts w:cs="Arial"/>
          <w:noProof/>
          <w:szCs w:val="24"/>
        </w:rPr>
        <w:t xml:space="preserve">: </w:t>
      </w:r>
      <w:r w:rsidRPr="00E90790">
        <w:rPr>
          <w:rFonts w:cs="Arial"/>
          <w:noProof/>
          <w:szCs w:val="24"/>
        </w:rPr>
        <w:t>A World of Becoming. In</w:t>
      </w:r>
      <w:r w:rsidR="00596CB1">
        <w:rPr>
          <w:rFonts w:cs="Arial"/>
          <w:noProof/>
          <w:szCs w:val="24"/>
        </w:rPr>
        <w:t>:</w:t>
      </w:r>
      <w:r w:rsidRPr="00E90790">
        <w:rPr>
          <w:rFonts w:cs="Arial"/>
          <w:noProof/>
          <w:szCs w:val="24"/>
        </w:rPr>
        <w:t xml:space="preserve"> </w:t>
      </w:r>
      <w:r w:rsidRPr="00E90790">
        <w:rPr>
          <w:rFonts w:cs="Arial"/>
          <w:i/>
          <w:iCs/>
          <w:noProof/>
          <w:szCs w:val="24"/>
        </w:rPr>
        <w:t>Democracy and Pluralism: The Political Thought of William E. Connolly</w:t>
      </w:r>
      <w:r w:rsidRPr="00E90790">
        <w:rPr>
          <w:rFonts w:cs="Arial"/>
          <w:noProof/>
          <w:szCs w:val="24"/>
        </w:rPr>
        <w:t>, ed</w:t>
      </w:r>
      <w:r w:rsidR="00596CB1">
        <w:rPr>
          <w:rFonts w:cs="Arial"/>
          <w:noProof/>
          <w:szCs w:val="24"/>
        </w:rPr>
        <w:t>.</w:t>
      </w:r>
      <w:r w:rsidRPr="00E90790">
        <w:rPr>
          <w:rFonts w:cs="Arial"/>
          <w:noProof/>
          <w:szCs w:val="24"/>
        </w:rPr>
        <w:t xml:space="preserve"> by Alan Finlayson</w:t>
      </w:r>
      <w:r w:rsidR="00596CB1">
        <w:rPr>
          <w:rFonts w:cs="Arial"/>
          <w:noProof/>
          <w:szCs w:val="24"/>
        </w:rPr>
        <w:t>.</w:t>
      </w:r>
      <w:r w:rsidRPr="00E90790">
        <w:rPr>
          <w:rFonts w:cs="Arial"/>
          <w:noProof/>
          <w:szCs w:val="24"/>
        </w:rPr>
        <w:t xml:space="preserve"> Abingdon: Routledge, 2010</w:t>
      </w:r>
      <w:r w:rsidR="00596CB1">
        <w:rPr>
          <w:rFonts w:cs="Arial"/>
          <w:noProof/>
          <w:szCs w:val="24"/>
        </w:rPr>
        <w:t>, 222</w:t>
      </w:r>
      <w:r w:rsidR="00A5259B">
        <w:rPr>
          <w:rFonts w:cs="Arial"/>
          <w:noProof/>
          <w:szCs w:val="24"/>
        </w:rPr>
        <w:t>–</w:t>
      </w:r>
      <w:r w:rsidR="00596CB1">
        <w:rPr>
          <w:rFonts w:cs="Arial"/>
          <w:noProof/>
          <w:szCs w:val="24"/>
        </w:rPr>
        <w:t>235</w:t>
      </w:r>
      <w:r w:rsidRPr="00E90790">
        <w:rPr>
          <w:rFonts w:cs="Arial"/>
          <w:noProof/>
          <w:szCs w:val="24"/>
        </w:rPr>
        <w:t>.</w:t>
      </w:r>
    </w:p>
    <w:p w14:paraId="24B66A91" w14:textId="36880177"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w:t>
      </w:r>
      <w:r w:rsidR="00596CB1">
        <w:rPr>
          <w:rFonts w:cs="Arial"/>
          <w:noProof/>
          <w:szCs w:val="24"/>
        </w:rPr>
        <w:t xml:space="preserve">: </w:t>
      </w:r>
      <w:r w:rsidRPr="00E90790">
        <w:rPr>
          <w:rFonts w:cs="Arial"/>
          <w:i/>
          <w:iCs/>
          <w:noProof/>
          <w:szCs w:val="24"/>
        </w:rPr>
        <w:t>A World of Becoming</w:t>
      </w:r>
      <w:r w:rsidRPr="00E90790">
        <w:rPr>
          <w:rFonts w:cs="Arial"/>
          <w:noProof/>
          <w:szCs w:val="24"/>
        </w:rPr>
        <w:t>. Durham: Duke University Press, 2011.</w:t>
      </w:r>
    </w:p>
    <w:p w14:paraId="05230C8E" w14:textId="30C3E557"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w:t>
      </w:r>
      <w:r w:rsidR="00B1070A">
        <w:rPr>
          <w:rFonts w:cs="Arial"/>
          <w:noProof/>
          <w:szCs w:val="24"/>
        </w:rPr>
        <w:t>:</w:t>
      </w:r>
      <w:r w:rsidRPr="00E90790">
        <w:rPr>
          <w:rFonts w:cs="Arial"/>
          <w:noProof/>
          <w:szCs w:val="24"/>
        </w:rPr>
        <w:t xml:space="preserve"> </w:t>
      </w:r>
      <w:r w:rsidRPr="00E90790">
        <w:rPr>
          <w:rFonts w:cs="Arial"/>
          <w:i/>
          <w:iCs/>
          <w:noProof/>
          <w:szCs w:val="24"/>
        </w:rPr>
        <w:t>Capitalism and Christianity, American Style</w:t>
      </w:r>
      <w:r w:rsidRPr="00E90790">
        <w:rPr>
          <w:rFonts w:cs="Arial"/>
          <w:noProof/>
          <w:szCs w:val="24"/>
        </w:rPr>
        <w:t>. Durham: Duke University Press, 2008.</w:t>
      </w:r>
    </w:p>
    <w:p w14:paraId="2CA548D4" w14:textId="5A31D145"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w:t>
      </w:r>
      <w:r w:rsidR="00B1070A">
        <w:rPr>
          <w:rFonts w:cs="Arial"/>
          <w:noProof/>
          <w:szCs w:val="24"/>
        </w:rPr>
        <w:t>:</w:t>
      </w:r>
      <w:r w:rsidRPr="00E90790">
        <w:rPr>
          <w:rFonts w:cs="Arial"/>
          <w:noProof/>
          <w:szCs w:val="24"/>
        </w:rPr>
        <w:t xml:space="preserve"> Nietzsche, Democracy, Time. In</w:t>
      </w:r>
      <w:r w:rsidR="00B1070A">
        <w:rPr>
          <w:rFonts w:cs="Arial"/>
          <w:noProof/>
          <w:szCs w:val="24"/>
        </w:rPr>
        <w:t>:</w:t>
      </w:r>
      <w:r w:rsidRPr="00E90790">
        <w:rPr>
          <w:rFonts w:cs="Arial"/>
          <w:noProof/>
          <w:szCs w:val="24"/>
        </w:rPr>
        <w:t xml:space="preserve"> </w:t>
      </w:r>
      <w:r w:rsidRPr="00E90790">
        <w:rPr>
          <w:rFonts w:cs="Arial"/>
          <w:i/>
          <w:iCs/>
          <w:noProof/>
          <w:szCs w:val="24"/>
        </w:rPr>
        <w:t>Nietzsche, Power and Politics: Rethinking Nietzsche’s Legacy for Political Thought</w:t>
      </w:r>
      <w:r w:rsidRPr="00E90790">
        <w:rPr>
          <w:rFonts w:cs="Arial"/>
          <w:noProof/>
          <w:szCs w:val="24"/>
        </w:rPr>
        <w:t>, ed</w:t>
      </w:r>
      <w:r w:rsidR="00B1070A">
        <w:rPr>
          <w:rFonts w:cs="Arial"/>
          <w:noProof/>
          <w:szCs w:val="24"/>
        </w:rPr>
        <w:t>.</w:t>
      </w:r>
      <w:r w:rsidRPr="00E90790">
        <w:rPr>
          <w:rFonts w:cs="Arial"/>
          <w:noProof/>
          <w:szCs w:val="24"/>
        </w:rPr>
        <w:t xml:space="preserve"> by Herman W. Siemens and Vasti Roodt</w:t>
      </w:r>
      <w:r w:rsidR="00B1070A">
        <w:rPr>
          <w:rFonts w:cs="Arial"/>
          <w:noProof/>
          <w:szCs w:val="24"/>
        </w:rPr>
        <w:t>.</w:t>
      </w:r>
      <w:r w:rsidRPr="00E90790">
        <w:rPr>
          <w:rFonts w:cs="Arial"/>
          <w:noProof/>
          <w:szCs w:val="24"/>
        </w:rPr>
        <w:t xml:space="preserve"> Berlin: De Gruyter, 2008</w:t>
      </w:r>
      <w:r w:rsidR="00B1070A">
        <w:rPr>
          <w:rFonts w:cs="Arial"/>
          <w:noProof/>
          <w:szCs w:val="24"/>
        </w:rPr>
        <w:t>, 109</w:t>
      </w:r>
      <w:r w:rsidR="00A5259B">
        <w:rPr>
          <w:rFonts w:cs="Arial"/>
          <w:noProof/>
          <w:szCs w:val="24"/>
        </w:rPr>
        <w:t>–</w:t>
      </w:r>
      <w:r w:rsidR="00B1070A">
        <w:rPr>
          <w:rFonts w:cs="Arial"/>
          <w:noProof/>
          <w:szCs w:val="24"/>
        </w:rPr>
        <w:t>141</w:t>
      </w:r>
      <w:r w:rsidRPr="00E90790">
        <w:rPr>
          <w:rFonts w:cs="Arial"/>
          <w:noProof/>
          <w:szCs w:val="24"/>
        </w:rPr>
        <w:t>.</w:t>
      </w:r>
    </w:p>
    <w:p w14:paraId="5BE7AB0E" w14:textId="44361A75"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w:t>
      </w:r>
      <w:r w:rsidR="00EF53AA">
        <w:rPr>
          <w:rFonts w:cs="Arial"/>
          <w:noProof/>
          <w:szCs w:val="24"/>
        </w:rPr>
        <w:t xml:space="preserve">: </w:t>
      </w:r>
      <w:r w:rsidRPr="00E90790">
        <w:rPr>
          <w:rFonts w:cs="Arial"/>
          <w:noProof/>
          <w:szCs w:val="24"/>
        </w:rPr>
        <w:t>The Ethos of Democratization. In</w:t>
      </w:r>
      <w:r w:rsidR="00EF53AA">
        <w:rPr>
          <w:rFonts w:cs="Arial"/>
          <w:noProof/>
          <w:szCs w:val="24"/>
        </w:rPr>
        <w:t>:</w:t>
      </w:r>
      <w:r w:rsidRPr="00E90790">
        <w:rPr>
          <w:rFonts w:cs="Arial"/>
          <w:noProof/>
          <w:szCs w:val="24"/>
        </w:rPr>
        <w:t xml:space="preserve"> </w:t>
      </w:r>
      <w:r w:rsidRPr="00E90790">
        <w:rPr>
          <w:rFonts w:cs="Arial"/>
          <w:i/>
          <w:iCs/>
          <w:noProof/>
          <w:szCs w:val="24"/>
        </w:rPr>
        <w:t>Laclau: A Critical Reader</w:t>
      </w:r>
      <w:r w:rsidRPr="00E90790">
        <w:rPr>
          <w:rFonts w:cs="Arial"/>
          <w:noProof/>
          <w:szCs w:val="24"/>
        </w:rPr>
        <w:t>, ed</w:t>
      </w:r>
      <w:r w:rsidR="00EF53AA">
        <w:rPr>
          <w:rFonts w:cs="Arial"/>
          <w:noProof/>
          <w:szCs w:val="24"/>
        </w:rPr>
        <w:t>.</w:t>
      </w:r>
      <w:r w:rsidRPr="00E90790">
        <w:rPr>
          <w:rFonts w:cs="Arial"/>
          <w:noProof/>
          <w:szCs w:val="24"/>
        </w:rPr>
        <w:t xml:space="preserve"> by Simon Critchley and Oliver Marchart</w:t>
      </w:r>
      <w:r w:rsidR="00EF53AA">
        <w:rPr>
          <w:rFonts w:cs="Arial"/>
          <w:noProof/>
          <w:szCs w:val="24"/>
        </w:rPr>
        <w:t xml:space="preserve">. </w:t>
      </w:r>
      <w:r w:rsidRPr="00E90790">
        <w:rPr>
          <w:rFonts w:cs="Arial"/>
          <w:noProof/>
          <w:szCs w:val="24"/>
        </w:rPr>
        <w:t>Abingdon: Routledge, 2004</w:t>
      </w:r>
      <w:r w:rsidR="00EF53AA">
        <w:rPr>
          <w:rFonts w:cs="Arial"/>
          <w:noProof/>
          <w:szCs w:val="24"/>
        </w:rPr>
        <w:t>, 167</w:t>
      </w:r>
      <w:r w:rsidR="00A5259B">
        <w:rPr>
          <w:rFonts w:cs="Arial"/>
          <w:noProof/>
          <w:szCs w:val="24"/>
        </w:rPr>
        <w:t>–</w:t>
      </w:r>
      <w:r w:rsidR="00EF53AA">
        <w:rPr>
          <w:rFonts w:cs="Arial"/>
          <w:noProof/>
          <w:szCs w:val="24"/>
        </w:rPr>
        <w:t>181</w:t>
      </w:r>
      <w:r w:rsidRPr="00E90790">
        <w:rPr>
          <w:rFonts w:cs="Arial"/>
          <w:noProof/>
          <w:szCs w:val="24"/>
        </w:rPr>
        <w:t>.</w:t>
      </w:r>
    </w:p>
    <w:p w14:paraId="619A2135" w14:textId="251DF29F"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w:t>
      </w:r>
      <w:r w:rsidR="00EF53AA">
        <w:rPr>
          <w:rFonts w:cs="Arial"/>
          <w:noProof/>
          <w:szCs w:val="24"/>
        </w:rPr>
        <w:t>:</w:t>
      </w:r>
      <w:r w:rsidRPr="00E90790">
        <w:rPr>
          <w:rFonts w:cs="Arial"/>
          <w:noProof/>
          <w:szCs w:val="24"/>
        </w:rPr>
        <w:t xml:space="preserve"> </w:t>
      </w:r>
      <w:r w:rsidRPr="00E90790">
        <w:rPr>
          <w:rFonts w:cs="Arial"/>
          <w:i/>
          <w:iCs/>
          <w:noProof/>
          <w:szCs w:val="24"/>
        </w:rPr>
        <w:t>The Ethos of Pluralisation</w:t>
      </w:r>
      <w:r w:rsidRPr="00E90790">
        <w:rPr>
          <w:rFonts w:cs="Arial"/>
          <w:noProof/>
          <w:szCs w:val="24"/>
        </w:rPr>
        <w:t>. Minneapolis: University of Minnesota Press, 1995.</w:t>
      </w:r>
    </w:p>
    <w:p w14:paraId="70F8E862" w14:textId="439D2781"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Critchley, Simon</w:t>
      </w:r>
      <w:r w:rsidR="00A9308B">
        <w:rPr>
          <w:rFonts w:cs="Arial"/>
          <w:noProof/>
          <w:szCs w:val="24"/>
        </w:rPr>
        <w:t>:</w:t>
      </w:r>
      <w:r w:rsidRPr="00E90790">
        <w:rPr>
          <w:rFonts w:cs="Arial"/>
          <w:noProof/>
          <w:szCs w:val="24"/>
        </w:rPr>
        <w:t xml:space="preserve"> </w:t>
      </w:r>
      <w:r w:rsidRPr="00E90790">
        <w:rPr>
          <w:rFonts w:cs="Arial"/>
          <w:i/>
          <w:iCs/>
          <w:noProof/>
          <w:szCs w:val="24"/>
        </w:rPr>
        <w:t>Ethics-Politics-Subjectivity: Essays on Derrida, Levinas and Contemporary French Thought</w:t>
      </w:r>
      <w:r w:rsidRPr="00E90790">
        <w:rPr>
          <w:rFonts w:cs="Arial"/>
          <w:noProof/>
          <w:szCs w:val="24"/>
        </w:rPr>
        <w:t>. London: Verso, 2009.</w:t>
      </w:r>
    </w:p>
    <w:p w14:paraId="17F7FAA7" w14:textId="6AA1E4E6"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Deleuze, Gilles</w:t>
      </w:r>
      <w:r w:rsidR="00A9308B">
        <w:rPr>
          <w:rFonts w:cs="Arial"/>
          <w:noProof/>
          <w:szCs w:val="24"/>
        </w:rPr>
        <w:t>:</w:t>
      </w:r>
      <w:r w:rsidRPr="00E90790">
        <w:rPr>
          <w:rFonts w:cs="Arial"/>
          <w:noProof/>
          <w:szCs w:val="24"/>
        </w:rPr>
        <w:t xml:space="preserve"> </w:t>
      </w:r>
      <w:r w:rsidRPr="00E90790">
        <w:rPr>
          <w:rFonts w:cs="Arial"/>
          <w:i/>
          <w:iCs/>
          <w:noProof/>
          <w:szCs w:val="24"/>
        </w:rPr>
        <w:t>Bergsonism</w:t>
      </w:r>
      <w:r w:rsidR="00A5259B">
        <w:rPr>
          <w:rFonts w:cs="Arial"/>
          <w:noProof/>
          <w:szCs w:val="24"/>
        </w:rPr>
        <w:t>,</w:t>
      </w:r>
      <w:r w:rsidRPr="00E90790">
        <w:rPr>
          <w:rFonts w:cs="Arial"/>
          <w:noProof/>
          <w:szCs w:val="24"/>
        </w:rPr>
        <w:t xml:space="preserve"> </w:t>
      </w:r>
      <w:r w:rsidR="00A9308B">
        <w:rPr>
          <w:rFonts w:cs="Arial"/>
          <w:noProof/>
          <w:szCs w:val="24"/>
        </w:rPr>
        <w:t>ed.</w:t>
      </w:r>
      <w:r w:rsidRPr="00E90790">
        <w:rPr>
          <w:rFonts w:cs="Arial"/>
          <w:noProof/>
          <w:szCs w:val="24"/>
        </w:rPr>
        <w:t xml:space="preserve"> by Hugh Tomlinson. New York: Zone, 1991.</w:t>
      </w:r>
    </w:p>
    <w:p w14:paraId="1F57A6AC" w14:textId="5FD7490F"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lastRenderedPageBreak/>
        <w:t>Deleuze, Gilles, and F</w:t>
      </w:r>
      <w:r w:rsidR="00A5259B">
        <w:rPr>
          <w:rFonts w:cs="Arial"/>
          <w:noProof/>
          <w:szCs w:val="24"/>
        </w:rPr>
        <w:t>é</w:t>
      </w:r>
      <w:r w:rsidRPr="00E90790">
        <w:rPr>
          <w:rFonts w:cs="Arial"/>
          <w:noProof/>
          <w:szCs w:val="24"/>
        </w:rPr>
        <w:t>lix Guattar</w:t>
      </w:r>
      <w:r w:rsidR="00EE5485">
        <w:rPr>
          <w:rFonts w:cs="Arial"/>
          <w:noProof/>
          <w:szCs w:val="24"/>
        </w:rPr>
        <w:t>i</w:t>
      </w:r>
      <w:r w:rsidR="00A9308B">
        <w:rPr>
          <w:rFonts w:cs="Arial"/>
          <w:noProof/>
          <w:szCs w:val="24"/>
        </w:rPr>
        <w:t>:</w:t>
      </w:r>
      <w:r w:rsidRPr="00E90790">
        <w:rPr>
          <w:rFonts w:cs="Arial"/>
          <w:noProof/>
          <w:szCs w:val="24"/>
        </w:rPr>
        <w:t xml:space="preserve"> </w:t>
      </w:r>
      <w:r w:rsidRPr="00E90790">
        <w:rPr>
          <w:rFonts w:cs="Arial"/>
          <w:i/>
          <w:iCs/>
          <w:noProof/>
          <w:szCs w:val="24"/>
        </w:rPr>
        <w:t>A Thousand Plateaus</w:t>
      </w:r>
      <w:r w:rsidRPr="00E90790">
        <w:rPr>
          <w:rFonts w:cs="Arial"/>
          <w:noProof/>
          <w:szCs w:val="24"/>
        </w:rPr>
        <w:t>. London: Bloomsbury, 2020.</w:t>
      </w:r>
    </w:p>
    <w:p w14:paraId="00A1CB56" w14:textId="611AA7CD" w:rsidR="00866052" w:rsidRPr="00E90790" w:rsidRDefault="00866052" w:rsidP="00866052">
      <w:pPr>
        <w:widowControl w:val="0"/>
        <w:autoSpaceDE w:val="0"/>
        <w:autoSpaceDN w:val="0"/>
        <w:adjustRightInd w:val="0"/>
        <w:ind w:left="480" w:hanging="480"/>
        <w:rPr>
          <w:rFonts w:cs="Arial"/>
          <w:noProof/>
          <w:szCs w:val="24"/>
        </w:rPr>
      </w:pPr>
      <w:r w:rsidRPr="00A9308B">
        <w:rPr>
          <w:rFonts w:cs="Arial"/>
          <w:noProof/>
          <w:szCs w:val="24"/>
        </w:rPr>
        <w:t>Deleuze, Gilles, and Claire Parnet</w:t>
      </w:r>
      <w:r w:rsidR="00A9308B" w:rsidRPr="00A9308B">
        <w:rPr>
          <w:rFonts w:cs="Arial"/>
          <w:noProof/>
          <w:szCs w:val="24"/>
        </w:rPr>
        <w:t>:</w:t>
      </w:r>
      <w:r w:rsidRPr="00A9308B">
        <w:rPr>
          <w:rFonts w:cs="Arial"/>
          <w:noProof/>
          <w:szCs w:val="24"/>
        </w:rPr>
        <w:t xml:space="preserve"> </w:t>
      </w:r>
      <w:r w:rsidRPr="00A9308B">
        <w:rPr>
          <w:rFonts w:cs="Arial"/>
          <w:i/>
          <w:iCs/>
          <w:noProof/>
          <w:szCs w:val="24"/>
        </w:rPr>
        <w:t>Dialogues II</w:t>
      </w:r>
      <w:r w:rsidR="00A5259B">
        <w:rPr>
          <w:rFonts w:cs="Arial"/>
          <w:noProof/>
          <w:szCs w:val="24"/>
        </w:rPr>
        <w:t>,</w:t>
      </w:r>
      <w:r w:rsidR="00A9308B" w:rsidRPr="00A9308B">
        <w:rPr>
          <w:rFonts w:cs="Arial"/>
          <w:noProof/>
          <w:szCs w:val="24"/>
        </w:rPr>
        <w:t xml:space="preserve"> ed.</w:t>
      </w:r>
      <w:r w:rsidRPr="00A9308B">
        <w:rPr>
          <w:rFonts w:cs="Arial"/>
          <w:noProof/>
          <w:szCs w:val="24"/>
        </w:rPr>
        <w:t xml:space="preserve"> </w:t>
      </w:r>
      <w:r w:rsidRPr="00E90790">
        <w:rPr>
          <w:rFonts w:cs="Arial"/>
          <w:noProof/>
          <w:szCs w:val="24"/>
        </w:rPr>
        <w:t>by Hugh Tomlinson and Barbara Habberjam. New York: Columbia University Press, 2007.</w:t>
      </w:r>
    </w:p>
    <w:p w14:paraId="5A025438" w14:textId="56A45E21" w:rsidR="00866052" w:rsidRPr="00E422B8" w:rsidRDefault="00866052" w:rsidP="00866052">
      <w:pPr>
        <w:widowControl w:val="0"/>
        <w:autoSpaceDE w:val="0"/>
        <w:autoSpaceDN w:val="0"/>
        <w:adjustRightInd w:val="0"/>
        <w:ind w:left="480" w:hanging="480"/>
        <w:rPr>
          <w:rFonts w:cs="Arial"/>
          <w:noProof/>
          <w:szCs w:val="24"/>
          <w:lang w:val="it-IT"/>
        </w:rPr>
      </w:pPr>
      <w:r w:rsidRPr="00E90790">
        <w:rPr>
          <w:rFonts w:cs="Arial"/>
          <w:noProof/>
          <w:szCs w:val="24"/>
        </w:rPr>
        <w:t>Dharmadhikary, Shripad</w:t>
      </w:r>
      <w:r w:rsidR="00A9308B">
        <w:rPr>
          <w:rFonts w:cs="Arial"/>
          <w:noProof/>
          <w:szCs w:val="24"/>
        </w:rPr>
        <w:t>:</w:t>
      </w:r>
      <w:r w:rsidRPr="00E90790">
        <w:rPr>
          <w:rFonts w:cs="Arial"/>
          <w:noProof/>
          <w:szCs w:val="24"/>
        </w:rPr>
        <w:t xml:space="preserve"> The Narmada - Death of a River.</w:t>
      </w:r>
      <w:r w:rsidR="00EE5485">
        <w:rPr>
          <w:rFonts w:cs="Arial"/>
          <w:noProof/>
          <w:szCs w:val="24"/>
        </w:rPr>
        <w:t xml:space="preserve"> </w:t>
      </w:r>
      <w:r w:rsidR="00EE5485" w:rsidRPr="00E422B8">
        <w:rPr>
          <w:rFonts w:cs="Arial"/>
          <w:noProof/>
          <w:szCs w:val="24"/>
          <w:lang w:val="it-IT"/>
        </w:rPr>
        <w:t>In:</w:t>
      </w:r>
      <w:r w:rsidRPr="00E422B8">
        <w:rPr>
          <w:rFonts w:cs="Arial"/>
          <w:noProof/>
          <w:szCs w:val="24"/>
          <w:lang w:val="it-IT"/>
        </w:rPr>
        <w:t xml:space="preserve"> </w:t>
      </w:r>
      <w:r w:rsidRPr="00E422B8">
        <w:rPr>
          <w:rFonts w:cs="Arial"/>
          <w:i/>
          <w:iCs/>
          <w:noProof/>
          <w:szCs w:val="24"/>
          <w:lang w:val="it-IT"/>
        </w:rPr>
        <w:t>India International Centre Quarterly</w:t>
      </w:r>
      <w:r w:rsidRPr="00E422B8">
        <w:rPr>
          <w:rFonts w:cs="Arial"/>
          <w:noProof/>
          <w:szCs w:val="24"/>
          <w:lang w:val="it-IT"/>
        </w:rPr>
        <w:t xml:space="preserve"> 33</w:t>
      </w:r>
      <w:r w:rsidR="00EE5485" w:rsidRPr="00E422B8">
        <w:rPr>
          <w:rFonts w:cs="Arial"/>
          <w:noProof/>
          <w:szCs w:val="24"/>
          <w:lang w:val="it-IT"/>
        </w:rPr>
        <w:t xml:space="preserve"> (1)/2006</w:t>
      </w:r>
      <w:r w:rsidR="00E422B8" w:rsidRPr="00E422B8">
        <w:rPr>
          <w:rFonts w:cs="Arial"/>
          <w:noProof/>
          <w:szCs w:val="24"/>
          <w:lang w:val="it-IT"/>
        </w:rPr>
        <w:t>, 65</w:t>
      </w:r>
      <w:r w:rsidR="00A5259B">
        <w:rPr>
          <w:rFonts w:cs="Arial"/>
          <w:noProof/>
          <w:szCs w:val="24"/>
          <w:lang w:val="it-IT"/>
        </w:rPr>
        <w:t>–</w:t>
      </w:r>
      <w:r w:rsidR="00E422B8" w:rsidRPr="00E422B8">
        <w:rPr>
          <w:rFonts w:cs="Arial"/>
          <w:noProof/>
          <w:szCs w:val="24"/>
          <w:lang w:val="it-IT"/>
        </w:rPr>
        <w:t>78.</w:t>
      </w:r>
    </w:p>
    <w:p w14:paraId="2665C81B" w14:textId="7ABBFF16"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Foucault, Michel</w:t>
      </w:r>
      <w:r w:rsidR="00E422B8">
        <w:rPr>
          <w:rFonts w:cs="Arial"/>
          <w:noProof/>
          <w:szCs w:val="24"/>
        </w:rPr>
        <w:t>:</w:t>
      </w:r>
      <w:r w:rsidRPr="00E90790">
        <w:rPr>
          <w:rFonts w:cs="Arial"/>
          <w:noProof/>
          <w:szCs w:val="24"/>
        </w:rPr>
        <w:t xml:space="preserve"> </w:t>
      </w:r>
      <w:r w:rsidRPr="00E90790">
        <w:rPr>
          <w:rFonts w:cs="Arial"/>
          <w:i/>
          <w:iCs/>
          <w:noProof/>
          <w:szCs w:val="24"/>
        </w:rPr>
        <w:t>Michel Foucault: Politics, Philosophy, Culture: Interviews and Other Writings 1977-1984</w:t>
      </w:r>
      <w:r w:rsidR="00A5259B">
        <w:rPr>
          <w:rFonts w:cs="Arial"/>
          <w:noProof/>
          <w:szCs w:val="24"/>
        </w:rPr>
        <w:t>,</w:t>
      </w:r>
      <w:r w:rsidRPr="00E90790">
        <w:rPr>
          <w:rFonts w:cs="Arial"/>
          <w:noProof/>
          <w:szCs w:val="24"/>
        </w:rPr>
        <w:t xml:space="preserve"> </w:t>
      </w:r>
      <w:r w:rsidR="00E422B8">
        <w:rPr>
          <w:rFonts w:cs="Arial"/>
          <w:noProof/>
          <w:szCs w:val="24"/>
        </w:rPr>
        <w:t>ed.</w:t>
      </w:r>
      <w:r w:rsidRPr="00E90790">
        <w:rPr>
          <w:rFonts w:cs="Arial"/>
          <w:noProof/>
          <w:szCs w:val="24"/>
        </w:rPr>
        <w:t xml:space="preserve"> by Lawrence D. Kritzman and Alan Sheridan. London: Routledge, 1990.</w:t>
      </w:r>
    </w:p>
    <w:p w14:paraId="29BA77FF" w14:textId="7FB84ED2"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Habermas, Jurgen</w:t>
      </w:r>
      <w:r w:rsidR="00E422B8">
        <w:rPr>
          <w:rFonts w:cs="Arial"/>
          <w:noProof/>
          <w:szCs w:val="24"/>
        </w:rPr>
        <w:t>:</w:t>
      </w:r>
      <w:r w:rsidRPr="00E90790">
        <w:rPr>
          <w:rFonts w:cs="Arial"/>
          <w:noProof/>
          <w:szCs w:val="24"/>
        </w:rPr>
        <w:t xml:space="preserve"> </w:t>
      </w:r>
      <w:r w:rsidRPr="00E90790">
        <w:rPr>
          <w:rFonts w:cs="Arial"/>
          <w:i/>
          <w:iCs/>
          <w:noProof/>
          <w:szCs w:val="24"/>
        </w:rPr>
        <w:t>Between Facts and Norms: Contributions to a Discourse Theory of Law and Democracy</w:t>
      </w:r>
      <w:r w:rsidRPr="00E90790">
        <w:rPr>
          <w:rFonts w:cs="Arial"/>
          <w:noProof/>
          <w:szCs w:val="24"/>
        </w:rPr>
        <w:t>. Cambridge: Polity Press, 1996.</w:t>
      </w:r>
    </w:p>
    <w:p w14:paraId="719A3059" w14:textId="62CA2648"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Heidegger, Martin</w:t>
      </w:r>
      <w:r w:rsidR="00E422B8">
        <w:rPr>
          <w:rFonts w:cs="Arial"/>
          <w:noProof/>
          <w:szCs w:val="24"/>
        </w:rPr>
        <w:t>:</w:t>
      </w:r>
      <w:r w:rsidRPr="00E90790">
        <w:rPr>
          <w:rFonts w:cs="Arial"/>
          <w:noProof/>
          <w:szCs w:val="24"/>
        </w:rPr>
        <w:t xml:space="preserve"> </w:t>
      </w:r>
      <w:r w:rsidRPr="00E90790">
        <w:rPr>
          <w:rFonts w:cs="Arial"/>
          <w:i/>
          <w:iCs/>
          <w:noProof/>
          <w:szCs w:val="24"/>
        </w:rPr>
        <w:t>Basic Writings</w:t>
      </w:r>
      <w:r w:rsidRPr="00E90790">
        <w:rPr>
          <w:rFonts w:cs="Arial"/>
          <w:noProof/>
          <w:szCs w:val="24"/>
        </w:rPr>
        <w:t>, ed</w:t>
      </w:r>
      <w:r w:rsidR="004E61A0">
        <w:rPr>
          <w:rFonts w:cs="Arial"/>
          <w:noProof/>
          <w:szCs w:val="24"/>
        </w:rPr>
        <w:t>.</w:t>
      </w:r>
      <w:r w:rsidRPr="00E90790">
        <w:rPr>
          <w:rFonts w:cs="Arial"/>
          <w:noProof/>
          <w:szCs w:val="24"/>
        </w:rPr>
        <w:t xml:space="preserve"> by David Farrell Krell</w:t>
      </w:r>
      <w:r w:rsidR="004E61A0">
        <w:rPr>
          <w:rFonts w:cs="Arial"/>
          <w:noProof/>
          <w:szCs w:val="24"/>
        </w:rPr>
        <w:t>.</w:t>
      </w:r>
      <w:r w:rsidRPr="00E90790">
        <w:rPr>
          <w:rFonts w:cs="Arial"/>
          <w:noProof/>
          <w:szCs w:val="24"/>
        </w:rPr>
        <w:t xml:space="preserve"> New York: HarperCollins, 2008.</w:t>
      </w:r>
    </w:p>
    <w:p w14:paraId="3427253E" w14:textId="1935ECCD"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Kothari, Ashish, and Rajiv Bhartari</w:t>
      </w:r>
      <w:r w:rsidR="004E61A0">
        <w:rPr>
          <w:rFonts w:cs="Arial"/>
          <w:noProof/>
          <w:szCs w:val="24"/>
        </w:rPr>
        <w:t>:</w:t>
      </w:r>
      <w:r w:rsidRPr="00E90790">
        <w:rPr>
          <w:rFonts w:cs="Arial"/>
          <w:noProof/>
          <w:szCs w:val="24"/>
        </w:rPr>
        <w:t xml:space="preserve"> Narmada Valley Project: Development or Destruction?</w:t>
      </w:r>
      <w:r w:rsidR="00424971">
        <w:rPr>
          <w:rFonts w:cs="Arial"/>
          <w:noProof/>
          <w:szCs w:val="24"/>
        </w:rPr>
        <w:t xml:space="preserve">. In: </w:t>
      </w:r>
      <w:r w:rsidRPr="00E90790">
        <w:rPr>
          <w:rFonts w:cs="Arial"/>
          <w:i/>
          <w:iCs/>
          <w:noProof/>
          <w:szCs w:val="24"/>
        </w:rPr>
        <w:t>Economic and Political Weekly</w:t>
      </w:r>
      <w:r w:rsidRPr="00E90790">
        <w:rPr>
          <w:rFonts w:cs="Arial"/>
          <w:noProof/>
          <w:szCs w:val="24"/>
        </w:rPr>
        <w:t xml:space="preserve"> 19</w:t>
      </w:r>
      <w:r w:rsidR="00424971">
        <w:rPr>
          <w:rFonts w:cs="Arial"/>
          <w:noProof/>
          <w:szCs w:val="24"/>
        </w:rPr>
        <w:t xml:space="preserve"> (22/23)/1984, 907</w:t>
      </w:r>
      <w:r w:rsidR="00A5259B">
        <w:rPr>
          <w:rFonts w:cs="Arial"/>
          <w:noProof/>
          <w:szCs w:val="24"/>
        </w:rPr>
        <w:t>–</w:t>
      </w:r>
      <w:r w:rsidR="00424971">
        <w:rPr>
          <w:rFonts w:cs="Arial"/>
          <w:noProof/>
          <w:szCs w:val="24"/>
        </w:rPr>
        <w:t>920.</w:t>
      </w:r>
    </w:p>
    <w:p w14:paraId="5CCC9B94" w14:textId="44CA270D"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Laclau, Ernesto</w:t>
      </w:r>
      <w:r w:rsidR="00424971">
        <w:rPr>
          <w:rFonts w:cs="Arial"/>
          <w:noProof/>
          <w:szCs w:val="24"/>
        </w:rPr>
        <w:t>:</w:t>
      </w:r>
      <w:r w:rsidRPr="00E90790">
        <w:rPr>
          <w:rFonts w:cs="Arial"/>
          <w:noProof/>
          <w:szCs w:val="24"/>
        </w:rPr>
        <w:t xml:space="preserve"> Democracy and the Question of Power.</w:t>
      </w:r>
      <w:r w:rsidR="00424971">
        <w:rPr>
          <w:rFonts w:cs="Arial"/>
          <w:noProof/>
          <w:szCs w:val="24"/>
        </w:rPr>
        <w:t xml:space="preserve"> In:</w:t>
      </w:r>
      <w:r w:rsidRPr="00E90790">
        <w:rPr>
          <w:rFonts w:cs="Arial"/>
          <w:noProof/>
          <w:szCs w:val="24"/>
        </w:rPr>
        <w:t xml:space="preserve"> </w:t>
      </w:r>
      <w:r w:rsidRPr="00E90790">
        <w:rPr>
          <w:rFonts w:cs="Arial"/>
          <w:i/>
          <w:iCs/>
          <w:noProof/>
          <w:szCs w:val="24"/>
        </w:rPr>
        <w:t>Constellations</w:t>
      </w:r>
      <w:r w:rsidRPr="00E90790">
        <w:rPr>
          <w:rFonts w:cs="Arial"/>
          <w:noProof/>
          <w:szCs w:val="24"/>
        </w:rPr>
        <w:t xml:space="preserve"> 8</w:t>
      </w:r>
      <w:r w:rsidR="00424971">
        <w:rPr>
          <w:rFonts w:cs="Arial"/>
          <w:noProof/>
          <w:szCs w:val="24"/>
        </w:rPr>
        <w:t xml:space="preserve"> (1)/2001, 3</w:t>
      </w:r>
      <w:r w:rsidR="00A5259B">
        <w:rPr>
          <w:rFonts w:cs="Arial"/>
          <w:noProof/>
          <w:szCs w:val="24"/>
        </w:rPr>
        <w:t>–</w:t>
      </w:r>
      <w:r w:rsidR="00424971">
        <w:rPr>
          <w:rFonts w:cs="Arial"/>
          <w:noProof/>
          <w:szCs w:val="24"/>
        </w:rPr>
        <w:t>14.</w:t>
      </w:r>
    </w:p>
    <w:p w14:paraId="307977B9" w14:textId="57C9F768"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Laclau, Ernesto, and Chantal Mouffe</w:t>
      </w:r>
      <w:r w:rsidR="00144859">
        <w:rPr>
          <w:rFonts w:cs="Arial"/>
          <w:noProof/>
          <w:szCs w:val="24"/>
        </w:rPr>
        <w:t>:</w:t>
      </w:r>
      <w:r w:rsidRPr="00E90790">
        <w:rPr>
          <w:rFonts w:cs="Arial"/>
          <w:noProof/>
          <w:szCs w:val="24"/>
        </w:rPr>
        <w:t xml:space="preserve"> </w:t>
      </w:r>
      <w:r w:rsidRPr="00E90790">
        <w:rPr>
          <w:rFonts w:cs="Arial"/>
          <w:i/>
          <w:iCs/>
          <w:noProof/>
          <w:szCs w:val="24"/>
        </w:rPr>
        <w:t>Hegemony and Socialist Strategy</w:t>
      </w:r>
      <w:r w:rsidRPr="00E90790">
        <w:rPr>
          <w:rFonts w:cs="Arial"/>
          <w:noProof/>
          <w:szCs w:val="24"/>
        </w:rPr>
        <w:t>. London: Verso, 2014.</w:t>
      </w:r>
    </w:p>
    <w:p w14:paraId="3EF2D0D2" w14:textId="7E9ECA68"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Lefort, Claude</w:t>
      </w:r>
      <w:r w:rsidR="00144859">
        <w:rPr>
          <w:rFonts w:cs="Arial"/>
          <w:noProof/>
          <w:szCs w:val="24"/>
        </w:rPr>
        <w:t>:</w:t>
      </w:r>
      <w:r w:rsidRPr="00E90790">
        <w:rPr>
          <w:rFonts w:cs="Arial"/>
          <w:noProof/>
          <w:szCs w:val="24"/>
        </w:rPr>
        <w:t xml:space="preserve"> </w:t>
      </w:r>
      <w:r w:rsidRPr="00E90790">
        <w:rPr>
          <w:rFonts w:cs="Arial"/>
          <w:i/>
          <w:iCs/>
          <w:noProof/>
          <w:szCs w:val="24"/>
        </w:rPr>
        <w:t>Democracy and Political Theory</w:t>
      </w:r>
      <w:r w:rsidRPr="00E90790">
        <w:rPr>
          <w:rFonts w:cs="Arial"/>
          <w:noProof/>
          <w:szCs w:val="24"/>
        </w:rPr>
        <w:t>. Minneapolis: University of Minnesota Press, 1988.</w:t>
      </w:r>
    </w:p>
    <w:p w14:paraId="0441CF40" w14:textId="0B67F3FE"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Marchart, Oliver</w:t>
      </w:r>
      <w:r w:rsidR="00144859">
        <w:rPr>
          <w:rFonts w:cs="Arial"/>
          <w:noProof/>
          <w:szCs w:val="24"/>
        </w:rPr>
        <w:t>:</w:t>
      </w:r>
      <w:r w:rsidRPr="00E90790">
        <w:rPr>
          <w:rFonts w:cs="Arial"/>
          <w:noProof/>
          <w:szCs w:val="24"/>
        </w:rPr>
        <w:t xml:space="preserve"> </w:t>
      </w:r>
      <w:r w:rsidRPr="00E90790">
        <w:rPr>
          <w:rFonts w:cs="Arial"/>
          <w:i/>
          <w:iCs/>
          <w:noProof/>
          <w:szCs w:val="24"/>
        </w:rPr>
        <w:t>Post-Foundational Theories of Democracy: Reclaiming Freedom, Equality, Solidarity</w:t>
      </w:r>
      <w:r w:rsidRPr="00E90790">
        <w:rPr>
          <w:rFonts w:cs="Arial"/>
          <w:noProof/>
          <w:szCs w:val="24"/>
        </w:rPr>
        <w:t>. Edinburgh: Edinburgh University Press, 2019.</w:t>
      </w:r>
    </w:p>
    <w:p w14:paraId="6BB87E3F" w14:textId="1A48E881"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Nietzsche, Friedrich</w:t>
      </w:r>
      <w:r w:rsidR="00144859">
        <w:rPr>
          <w:rFonts w:cs="Arial"/>
          <w:noProof/>
          <w:szCs w:val="24"/>
        </w:rPr>
        <w:t>:</w:t>
      </w:r>
      <w:r w:rsidRPr="00E90790">
        <w:rPr>
          <w:rFonts w:cs="Arial"/>
          <w:noProof/>
          <w:szCs w:val="24"/>
        </w:rPr>
        <w:t xml:space="preserve"> </w:t>
      </w:r>
      <w:r w:rsidRPr="00E90790">
        <w:rPr>
          <w:rFonts w:cs="Arial"/>
          <w:i/>
          <w:iCs/>
          <w:noProof/>
          <w:szCs w:val="24"/>
        </w:rPr>
        <w:t>The Gay Science</w:t>
      </w:r>
      <w:r w:rsidR="00A5259B">
        <w:rPr>
          <w:rFonts w:cs="Arial"/>
          <w:noProof/>
          <w:szCs w:val="24"/>
        </w:rPr>
        <w:t>,</w:t>
      </w:r>
      <w:r w:rsidRPr="00E90790">
        <w:rPr>
          <w:rFonts w:cs="Arial"/>
          <w:noProof/>
          <w:szCs w:val="24"/>
        </w:rPr>
        <w:t xml:space="preserve"> </w:t>
      </w:r>
      <w:r w:rsidR="00144859">
        <w:rPr>
          <w:rFonts w:cs="Arial"/>
          <w:noProof/>
          <w:szCs w:val="24"/>
        </w:rPr>
        <w:t>ed.</w:t>
      </w:r>
      <w:r w:rsidRPr="00E90790">
        <w:rPr>
          <w:rFonts w:cs="Arial"/>
          <w:noProof/>
          <w:szCs w:val="24"/>
        </w:rPr>
        <w:t xml:space="preserve"> by Walter Kaufmann. New York: Vintage Books, 1974.</w:t>
      </w:r>
    </w:p>
    <w:p w14:paraId="1FD03957" w14:textId="7A0C5AFA"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w:t>
      </w:r>
      <w:r w:rsidR="00144859">
        <w:rPr>
          <w:rFonts w:cs="Arial"/>
          <w:noProof/>
          <w:szCs w:val="24"/>
        </w:rPr>
        <w:t>:</w:t>
      </w:r>
      <w:r w:rsidRPr="00E90790">
        <w:rPr>
          <w:rFonts w:cs="Arial"/>
          <w:noProof/>
          <w:szCs w:val="24"/>
        </w:rPr>
        <w:t xml:space="preserve"> </w:t>
      </w:r>
      <w:r w:rsidRPr="00E90790">
        <w:rPr>
          <w:rFonts w:cs="Arial"/>
          <w:i/>
          <w:iCs/>
          <w:noProof/>
          <w:szCs w:val="24"/>
        </w:rPr>
        <w:t>Thus Spoke Zarathustra</w:t>
      </w:r>
      <w:r w:rsidR="00A5259B">
        <w:rPr>
          <w:rFonts w:cs="Arial"/>
          <w:noProof/>
          <w:szCs w:val="24"/>
        </w:rPr>
        <w:t>,</w:t>
      </w:r>
      <w:r w:rsidRPr="00E90790">
        <w:rPr>
          <w:rFonts w:cs="Arial"/>
          <w:noProof/>
          <w:szCs w:val="24"/>
        </w:rPr>
        <w:t xml:space="preserve"> </w:t>
      </w:r>
      <w:r w:rsidR="00144859">
        <w:rPr>
          <w:rFonts w:cs="Arial"/>
          <w:noProof/>
          <w:szCs w:val="24"/>
        </w:rPr>
        <w:t>ed.</w:t>
      </w:r>
      <w:r w:rsidRPr="00E90790">
        <w:rPr>
          <w:rFonts w:cs="Arial"/>
          <w:noProof/>
          <w:szCs w:val="24"/>
        </w:rPr>
        <w:t xml:space="preserve"> by Adrian Del Caro and Robert B. Pippin. Cambridge: Cambridge University Press, 2006.</w:t>
      </w:r>
    </w:p>
    <w:p w14:paraId="12347B3A" w14:textId="470B18EA"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Norval, Aletta J</w:t>
      </w:r>
      <w:r w:rsidR="00144859">
        <w:rPr>
          <w:rFonts w:cs="Arial"/>
          <w:noProof/>
          <w:szCs w:val="24"/>
        </w:rPr>
        <w:t>:</w:t>
      </w:r>
      <w:r w:rsidRPr="00E90790">
        <w:rPr>
          <w:rFonts w:cs="Arial"/>
          <w:noProof/>
          <w:szCs w:val="24"/>
        </w:rPr>
        <w:t xml:space="preserve"> Hegemony after Deconstruction: The Consequences of Undecidability.</w:t>
      </w:r>
      <w:r w:rsidR="00144859">
        <w:rPr>
          <w:rFonts w:cs="Arial"/>
          <w:noProof/>
          <w:szCs w:val="24"/>
        </w:rPr>
        <w:t xml:space="preserve"> In: </w:t>
      </w:r>
      <w:r w:rsidRPr="00E90790">
        <w:rPr>
          <w:rFonts w:cs="Arial"/>
          <w:noProof/>
          <w:szCs w:val="24"/>
        </w:rPr>
        <w:t xml:space="preserve"> </w:t>
      </w:r>
      <w:r w:rsidRPr="00E90790">
        <w:rPr>
          <w:rFonts w:cs="Arial"/>
          <w:i/>
          <w:iCs/>
          <w:noProof/>
          <w:szCs w:val="24"/>
        </w:rPr>
        <w:t>Journal of Political Ideologies</w:t>
      </w:r>
      <w:r w:rsidRPr="00E90790">
        <w:rPr>
          <w:rFonts w:cs="Arial"/>
          <w:noProof/>
          <w:szCs w:val="24"/>
        </w:rPr>
        <w:t xml:space="preserve"> 9</w:t>
      </w:r>
      <w:r w:rsidR="004E3B66">
        <w:rPr>
          <w:rFonts w:cs="Arial"/>
          <w:noProof/>
          <w:szCs w:val="24"/>
        </w:rPr>
        <w:t xml:space="preserve"> </w:t>
      </w:r>
      <w:r w:rsidR="00144859">
        <w:rPr>
          <w:rFonts w:cs="Arial"/>
          <w:noProof/>
          <w:szCs w:val="24"/>
        </w:rPr>
        <w:t>(2)/2004</w:t>
      </w:r>
      <w:r w:rsidRPr="00E90790">
        <w:rPr>
          <w:rFonts w:cs="Arial"/>
          <w:noProof/>
          <w:szCs w:val="24"/>
        </w:rPr>
        <w:t>,</w:t>
      </w:r>
      <w:r w:rsidR="004E3B66">
        <w:rPr>
          <w:rFonts w:cs="Arial"/>
          <w:noProof/>
          <w:szCs w:val="24"/>
        </w:rPr>
        <w:t xml:space="preserve"> 139</w:t>
      </w:r>
      <w:r w:rsidR="00A5259B">
        <w:rPr>
          <w:rFonts w:cs="Arial"/>
          <w:noProof/>
          <w:szCs w:val="24"/>
        </w:rPr>
        <w:t>–</w:t>
      </w:r>
      <w:r w:rsidR="004E3B66">
        <w:rPr>
          <w:rFonts w:cs="Arial"/>
          <w:noProof/>
          <w:szCs w:val="24"/>
        </w:rPr>
        <w:t>157.</w:t>
      </w:r>
    </w:p>
    <w:p w14:paraId="02681187" w14:textId="0FC798A9"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Protevi, John</w:t>
      </w:r>
      <w:r w:rsidR="004E3B66">
        <w:rPr>
          <w:rFonts w:cs="Arial"/>
          <w:noProof/>
          <w:szCs w:val="24"/>
        </w:rPr>
        <w:t>:</w:t>
      </w:r>
      <w:r w:rsidRPr="00E90790">
        <w:rPr>
          <w:rFonts w:cs="Arial"/>
          <w:noProof/>
          <w:szCs w:val="24"/>
        </w:rPr>
        <w:t xml:space="preserve"> Deleuze, Guattari and Emergence.</w:t>
      </w:r>
      <w:r w:rsidR="004E3B66">
        <w:rPr>
          <w:rFonts w:cs="Arial"/>
          <w:noProof/>
          <w:szCs w:val="24"/>
        </w:rPr>
        <w:t xml:space="preserve"> In:</w:t>
      </w:r>
      <w:r w:rsidRPr="00E90790">
        <w:rPr>
          <w:rFonts w:cs="Arial"/>
          <w:noProof/>
          <w:szCs w:val="24"/>
        </w:rPr>
        <w:t xml:space="preserve"> </w:t>
      </w:r>
      <w:r w:rsidRPr="00E90790">
        <w:rPr>
          <w:rFonts w:cs="Arial"/>
          <w:i/>
          <w:iCs/>
          <w:noProof/>
          <w:szCs w:val="24"/>
        </w:rPr>
        <w:t>Paragraph</w:t>
      </w:r>
      <w:r w:rsidRPr="00E90790">
        <w:rPr>
          <w:rFonts w:cs="Arial"/>
          <w:noProof/>
          <w:szCs w:val="24"/>
        </w:rPr>
        <w:t xml:space="preserve"> 29</w:t>
      </w:r>
      <w:r w:rsidR="004E3B66">
        <w:rPr>
          <w:rFonts w:cs="Arial"/>
          <w:noProof/>
          <w:szCs w:val="24"/>
        </w:rPr>
        <w:t xml:space="preserve"> (2)</w:t>
      </w:r>
      <w:r w:rsidR="00D3062F">
        <w:rPr>
          <w:rFonts w:cs="Arial"/>
          <w:noProof/>
          <w:szCs w:val="24"/>
        </w:rPr>
        <w:t>/2006, 19</w:t>
      </w:r>
      <w:r w:rsidR="00A5259B">
        <w:rPr>
          <w:rFonts w:cs="Arial"/>
          <w:noProof/>
          <w:szCs w:val="24"/>
        </w:rPr>
        <w:t>–</w:t>
      </w:r>
      <w:r w:rsidR="00D3062F">
        <w:rPr>
          <w:rFonts w:cs="Arial"/>
          <w:noProof/>
          <w:szCs w:val="24"/>
        </w:rPr>
        <w:t>39.</w:t>
      </w:r>
    </w:p>
    <w:p w14:paraId="6D751705" w14:textId="77384217"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Rawls, John</w:t>
      </w:r>
      <w:r w:rsidR="004961E5">
        <w:rPr>
          <w:rFonts w:cs="Arial"/>
          <w:noProof/>
          <w:szCs w:val="24"/>
        </w:rPr>
        <w:t>:</w:t>
      </w:r>
      <w:r w:rsidRPr="00E90790">
        <w:rPr>
          <w:rFonts w:cs="Arial"/>
          <w:noProof/>
          <w:szCs w:val="24"/>
        </w:rPr>
        <w:t xml:space="preserve"> Justice as Fairness: Political Not Metaphysical.</w:t>
      </w:r>
      <w:r w:rsidR="00450FFE">
        <w:rPr>
          <w:rFonts w:cs="Arial"/>
          <w:noProof/>
          <w:szCs w:val="24"/>
        </w:rPr>
        <w:t xml:space="preserve"> In:</w:t>
      </w:r>
      <w:r w:rsidRPr="00E90790">
        <w:rPr>
          <w:rFonts w:cs="Arial"/>
          <w:noProof/>
          <w:szCs w:val="24"/>
        </w:rPr>
        <w:t xml:space="preserve"> </w:t>
      </w:r>
      <w:r w:rsidRPr="00E90790">
        <w:rPr>
          <w:rFonts w:cs="Arial"/>
          <w:i/>
          <w:iCs/>
          <w:noProof/>
          <w:szCs w:val="24"/>
        </w:rPr>
        <w:t>Philosophy &amp; Public Affairs</w:t>
      </w:r>
      <w:r w:rsidRPr="00E90790">
        <w:rPr>
          <w:rFonts w:cs="Arial"/>
          <w:noProof/>
          <w:szCs w:val="24"/>
        </w:rPr>
        <w:t xml:space="preserve"> 14</w:t>
      </w:r>
      <w:r w:rsidR="00450FFE">
        <w:rPr>
          <w:rFonts w:cs="Arial"/>
          <w:noProof/>
          <w:szCs w:val="24"/>
        </w:rPr>
        <w:t xml:space="preserve"> (3)/1985, 223</w:t>
      </w:r>
      <w:r w:rsidR="00A5259B">
        <w:rPr>
          <w:rFonts w:cs="Arial"/>
          <w:noProof/>
          <w:szCs w:val="24"/>
        </w:rPr>
        <w:t>–</w:t>
      </w:r>
      <w:r w:rsidR="00450FFE">
        <w:rPr>
          <w:rFonts w:cs="Arial"/>
          <w:noProof/>
          <w:szCs w:val="24"/>
        </w:rPr>
        <w:t>251.</w:t>
      </w:r>
    </w:p>
    <w:p w14:paraId="400116C0" w14:textId="444C5D1F"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w:t>
      </w:r>
      <w:r w:rsidR="0075348C">
        <w:rPr>
          <w:rFonts w:cs="Arial"/>
          <w:noProof/>
          <w:szCs w:val="24"/>
        </w:rPr>
        <w:t>:</w:t>
      </w:r>
      <w:r w:rsidRPr="00E90790">
        <w:rPr>
          <w:rFonts w:cs="Arial"/>
          <w:noProof/>
          <w:szCs w:val="24"/>
        </w:rPr>
        <w:t xml:space="preserve"> The Idea of an Overlapping Consensus.</w:t>
      </w:r>
      <w:r w:rsidR="0075348C">
        <w:rPr>
          <w:rFonts w:cs="Arial"/>
          <w:noProof/>
          <w:szCs w:val="24"/>
        </w:rPr>
        <w:t xml:space="preserve"> In:</w:t>
      </w:r>
      <w:r w:rsidRPr="00E90790">
        <w:rPr>
          <w:rFonts w:cs="Arial"/>
          <w:noProof/>
          <w:szCs w:val="24"/>
        </w:rPr>
        <w:t xml:space="preserve"> </w:t>
      </w:r>
      <w:r w:rsidRPr="00E90790">
        <w:rPr>
          <w:rFonts w:cs="Arial"/>
          <w:i/>
          <w:iCs/>
          <w:noProof/>
          <w:szCs w:val="24"/>
        </w:rPr>
        <w:t>Oxford Journal of Legal Studies</w:t>
      </w:r>
      <w:r w:rsidRPr="00E90790">
        <w:rPr>
          <w:rFonts w:cs="Arial"/>
          <w:noProof/>
          <w:szCs w:val="24"/>
        </w:rPr>
        <w:t xml:space="preserve"> 7</w:t>
      </w:r>
      <w:r w:rsidR="0075348C">
        <w:rPr>
          <w:rFonts w:cs="Arial"/>
          <w:noProof/>
          <w:szCs w:val="24"/>
        </w:rPr>
        <w:t xml:space="preserve"> (1)/1987, 1</w:t>
      </w:r>
      <w:r w:rsidR="00A5259B">
        <w:rPr>
          <w:rFonts w:cs="Arial"/>
          <w:noProof/>
          <w:szCs w:val="24"/>
        </w:rPr>
        <w:t>–</w:t>
      </w:r>
      <w:r w:rsidR="0075348C">
        <w:rPr>
          <w:rFonts w:cs="Arial"/>
          <w:noProof/>
          <w:szCs w:val="24"/>
        </w:rPr>
        <w:t>25.</w:t>
      </w:r>
    </w:p>
    <w:p w14:paraId="04D29EF1" w14:textId="409D5656"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Smith, Anthony Paul</w:t>
      </w:r>
      <w:r w:rsidR="00A83C43">
        <w:rPr>
          <w:rFonts w:cs="Arial"/>
          <w:noProof/>
          <w:szCs w:val="24"/>
        </w:rPr>
        <w:t>:</w:t>
      </w:r>
      <w:r w:rsidRPr="00E90790">
        <w:rPr>
          <w:rFonts w:cs="Arial"/>
          <w:noProof/>
          <w:szCs w:val="24"/>
        </w:rPr>
        <w:t xml:space="preserve"> Believing in This World for the Making of Gods: Ecology of the Virtual and </w:t>
      </w:r>
      <w:r w:rsidRPr="00E90790">
        <w:rPr>
          <w:rFonts w:cs="Arial"/>
          <w:noProof/>
          <w:szCs w:val="24"/>
        </w:rPr>
        <w:lastRenderedPageBreak/>
        <w:t>the Actual.</w:t>
      </w:r>
      <w:r w:rsidR="00A83C43">
        <w:rPr>
          <w:rFonts w:cs="Arial"/>
          <w:noProof/>
          <w:szCs w:val="24"/>
        </w:rPr>
        <w:t xml:space="preserve"> In:</w:t>
      </w:r>
      <w:r w:rsidRPr="00E90790">
        <w:rPr>
          <w:rFonts w:cs="Arial"/>
          <w:noProof/>
          <w:szCs w:val="24"/>
        </w:rPr>
        <w:t xml:space="preserve"> </w:t>
      </w:r>
      <w:r w:rsidRPr="00E90790">
        <w:rPr>
          <w:rFonts w:cs="Arial"/>
          <w:i/>
          <w:iCs/>
          <w:noProof/>
          <w:szCs w:val="24"/>
        </w:rPr>
        <w:t>Sub-Stance</w:t>
      </w:r>
      <w:r w:rsidRPr="00E90790">
        <w:rPr>
          <w:rFonts w:cs="Arial"/>
          <w:noProof/>
          <w:szCs w:val="24"/>
        </w:rPr>
        <w:t xml:space="preserve"> 39</w:t>
      </w:r>
      <w:r w:rsidR="00A83C43">
        <w:rPr>
          <w:rFonts w:cs="Arial"/>
          <w:noProof/>
          <w:szCs w:val="24"/>
        </w:rPr>
        <w:t xml:space="preserve"> (1)/2010, 103</w:t>
      </w:r>
      <w:r w:rsidR="00A5259B">
        <w:rPr>
          <w:rFonts w:cs="Arial"/>
          <w:noProof/>
          <w:szCs w:val="24"/>
        </w:rPr>
        <w:t>–</w:t>
      </w:r>
      <w:r w:rsidR="00A83C43">
        <w:rPr>
          <w:rFonts w:cs="Arial"/>
          <w:noProof/>
          <w:szCs w:val="24"/>
        </w:rPr>
        <w:t>114.</w:t>
      </w:r>
    </w:p>
    <w:p w14:paraId="1F283934" w14:textId="6F06068B" w:rsidR="00866052" w:rsidRPr="00E90790" w:rsidRDefault="00866052" w:rsidP="00866052">
      <w:pPr>
        <w:widowControl w:val="0"/>
        <w:autoSpaceDE w:val="0"/>
        <w:autoSpaceDN w:val="0"/>
        <w:adjustRightInd w:val="0"/>
        <w:ind w:left="480" w:hanging="480"/>
        <w:rPr>
          <w:rFonts w:cs="Arial"/>
          <w:noProof/>
          <w:szCs w:val="24"/>
        </w:rPr>
      </w:pPr>
      <w:r w:rsidRPr="00E90790">
        <w:rPr>
          <w:rFonts w:cs="Arial"/>
          <w:noProof/>
          <w:szCs w:val="24"/>
        </w:rPr>
        <w:t>Stegmaier, Werner</w:t>
      </w:r>
      <w:r w:rsidR="00A83C43">
        <w:rPr>
          <w:rFonts w:cs="Arial"/>
          <w:noProof/>
          <w:szCs w:val="24"/>
        </w:rPr>
        <w:t>:</w:t>
      </w:r>
      <w:r w:rsidRPr="00E90790">
        <w:rPr>
          <w:rFonts w:cs="Arial"/>
          <w:noProof/>
          <w:szCs w:val="24"/>
        </w:rPr>
        <w:t xml:space="preserve"> Nietzsche’s Orientation toward the Future.</w:t>
      </w:r>
      <w:r w:rsidR="00A7045A">
        <w:rPr>
          <w:rFonts w:cs="Arial"/>
          <w:noProof/>
          <w:szCs w:val="24"/>
        </w:rPr>
        <w:t xml:space="preserve"> In:</w:t>
      </w:r>
      <w:r w:rsidRPr="00E90790">
        <w:rPr>
          <w:rFonts w:cs="Arial"/>
          <w:noProof/>
          <w:szCs w:val="24"/>
        </w:rPr>
        <w:t xml:space="preserve"> </w:t>
      </w:r>
      <w:r w:rsidRPr="00E90790">
        <w:rPr>
          <w:rFonts w:cs="Arial"/>
          <w:i/>
          <w:iCs/>
          <w:noProof/>
          <w:szCs w:val="24"/>
        </w:rPr>
        <w:t>Journal of Nietzsche Studies</w:t>
      </w:r>
      <w:r w:rsidRPr="00E90790">
        <w:rPr>
          <w:rFonts w:cs="Arial"/>
          <w:noProof/>
          <w:szCs w:val="24"/>
        </w:rPr>
        <w:t xml:space="preserve"> 47</w:t>
      </w:r>
      <w:r w:rsidR="00A7045A">
        <w:rPr>
          <w:rFonts w:cs="Arial"/>
          <w:noProof/>
          <w:szCs w:val="24"/>
        </w:rPr>
        <w:t xml:space="preserve"> (3)/2016, 384</w:t>
      </w:r>
      <w:r w:rsidR="00A5259B">
        <w:rPr>
          <w:rFonts w:cs="Arial"/>
          <w:noProof/>
          <w:szCs w:val="24"/>
        </w:rPr>
        <w:t>–</w:t>
      </w:r>
      <w:r w:rsidR="00A7045A">
        <w:rPr>
          <w:rFonts w:cs="Arial"/>
          <w:noProof/>
          <w:szCs w:val="24"/>
        </w:rPr>
        <w:t>401.</w:t>
      </w:r>
    </w:p>
    <w:p w14:paraId="65273576" w14:textId="5535F283" w:rsidR="00866052" w:rsidRPr="00E90790" w:rsidRDefault="00866052" w:rsidP="00866052">
      <w:pPr>
        <w:widowControl w:val="0"/>
        <w:autoSpaceDE w:val="0"/>
        <w:autoSpaceDN w:val="0"/>
        <w:adjustRightInd w:val="0"/>
        <w:ind w:left="480" w:hanging="480"/>
        <w:rPr>
          <w:rFonts w:cs="Arial"/>
          <w:noProof/>
        </w:rPr>
      </w:pPr>
      <w:r w:rsidRPr="00E90790">
        <w:rPr>
          <w:rFonts w:cs="Arial"/>
          <w:noProof/>
          <w:szCs w:val="24"/>
        </w:rPr>
        <w:t>T</w:t>
      </w:r>
      <w:r w:rsidR="009E2CB4" w:rsidRPr="00E90790">
        <w:rPr>
          <w:rFonts w:cs="Arial"/>
          <w:noProof/>
          <w:szCs w:val="24"/>
        </w:rPr>
        <w:t>ø</w:t>
      </w:r>
      <w:r w:rsidRPr="00E90790">
        <w:rPr>
          <w:rFonts w:cs="Arial"/>
          <w:noProof/>
          <w:szCs w:val="24"/>
        </w:rPr>
        <w:t>nder, Lars</w:t>
      </w:r>
      <w:r w:rsidR="00465558">
        <w:rPr>
          <w:rFonts w:cs="Arial"/>
          <w:noProof/>
          <w:szCs w:val="24"/>
        </w:rPr>
        <w:t xml:space="preserve">: </w:t>
      </w:r>
      <w:r w:rsidRPr="00E90790">
        <w:rPr>
          <w:rFonts w:cs="Arial"/>
          <w:noProof/>
          <w:szCs w:val="24"/>
        </w:rPr>
        <w:t>Inessential Commonality: Immanence, Transcendence and Abundance.</w:t>
      </w:r>
      <w:r w:rsidR="00465558">
        <w:rPr>
          <w:rFonts w:cs="Arial"/>
          <w:noProof/>
          <w:szCs w:val="24"/>
        </w:rPr>
        <w:t xml:space="preserve"> </w:t>
      </w:r>
      <w:r w:rsidRPr="00E90790">
        <w:rPr>
          <w:rFonts w:cs="Arial"/>
          <w:noProof/>
          <w:szCs w:val="24"/>
        </w:rPr>
        <w:t>In</w:t>
      </w:r>
      <w:r w:rsidR="00465558">
        <w:rPr>
          <w:rFonts w:cs="Arial"/>
          <w:noProof/>
          <w:szCs w:val="24"/>
        </w:rPr>
        <w:t>:</w:t>
      </w:r>
      <w:r w:rsidRPr="00E90790">
        <w:rPr>
          <w:rFonts w:cs="Arial"/>
          <w:noProof/>
          <w:szCs w:val="24"/>
        </w:rPr>
        <w:t xml:space="preserve"> </w:t>
      </w:r>
      <w:r w:rsidRPr="00E90790">
        <w:rPr>
          <w:rFonts w:cs="Arial"/>
          <w:i/>
          <w:iCs/>
          <w:noProof/>
          <w:szCs w:val="24"/>
        </w:rPr>
        <w:t>Radical Democracy: Politics between Abundance and Lack</w:t>
      </w:r>
      <w:r w:rsidRPr="00E90790">
        <w:rPr>
          <w:rFonts w:cs="Arial"/>
          <w:noProof/>
          <w:szCs w:val="24"/>
        </w:rPr>
        <w:t>, ed</w:t>
      </w:r>
      <w:r w:rsidR="00850FBB">
        <w:rPr>
          <w:rFonts w:cs="Arial"/>
          <w:noProof/>
          <w:szCs w:val="24"/>
        </w:rPr>
        <w:t>.</w:t>
      </w:r>
      <w:r w:rsidRPr="00E90790">
        <w:rPr>
          <w:rFonts w:cs="Arial"/>
          <w:noProof/>
          <w:szCs w:val="24"/>
        </w:rPr>
        <w:t xml:space="preserve"> by Lasse Thomassen and Lars Tonder</w:t>
      </w:r>
      <w:r w:rsidR="00850FBB">
        <w:rPr>
          <w:rFonts w:cs="Arial"/>
          <w:noProof/>
          <w:szCs w:val="24"/>
        </w:rPr>
        <w:t>.</w:t>
      </w:r>
      <w:r w:rsidRPr="00E90790">
        <w:rPr>
          <w:rFonts w:cs="Arial"/>
          <w:noProof/>
          <w:szCs w:val="24"/>
        </w:rPr>
        <w:t xml:space="preserve"> Manchester: Manchester University Press, 2005</w:t>
      </w:r>
      <w:r w:rsidR="00850FBB">
        <w:rPr>
          <w:rFonts w:cs="Arial"/>
          <w:noProof/>
          <w:szCs w:val="24"/>
        </w:rPr>
        <w:t>, 203</w:t>
      </w:r>
      <w:r w:rsidR="00A5259B">
        <w:rPr>
          <w:rFonts w:cs="Arial"/>
          <w:noProof/>
          <w:szCs w:val="24"/>
        </w:rPr>
        <w:t>–</w:t>
      </w:r>
      <w:r w:rsidR="00850FBB">
        <w:rPr>
          <w:rFonts w:cs="Arial"/>
          <w:noProof/>
          <w:szCs w:val="24"/>
        </w:rPr>
        <w:t>218</w:t>
      </w:r>
      <w:r w:rsidRPr="00E90790">
        <w:rPr>
          <w:rFonts w:cs="Arial"/>
          <w:noProof/>
          <w:szCs w:val="24"/>
        </w:rPr>
        <w:t>.</w:t>
      </w:r>
    </w:p>
    <w:p w14:paraId="22330E0F" w14:textId="5C8D91E1" w:rsidR="00D853DE" w:rsidRPr="00E90790" w:rsidRDefault="003F1D31" w:rsidP="009D590F">
      <w:pPr>
        <w:rPr>
          <w:lang w:val="en-US" w:bidi="ar-SA"/>
        </w:rPr>
      </w:pPr>
      <w:r w:rsidRPr="00E90790">
        <w:rPr>
          <w:rFonts w:cs="Arial"/>
          <w:lang w:val="en-US" w:bidi="ar-SA"/>
        </w:rPr>
        <w:fldChar w:fldCharType="end"/>
      </w:r>
    </w:p>
    <w:sectPr w:rsidR="00D853DE" w:rsidRPr="00E90790" w:rsidSect="00293A7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94E74" w14:textId="77777777" w:rsidR="00F06BF6" w:rsidRDefault="00F06BF6" w:rsidP="003C1798">
      <w:pPr>
        <w:spacing w:after="0" w:line="240" w:lineRule="auto"/>
      </w:pPr>
      <w:r>
        <w:separator/>
      </w:r>
    </w:p>
  </w:endnote>
  <w:endnote w:type="continuationSeparator" w:id="0">
    <w:p w14:paraId="7F1F612C" w14:textId="77777777" w:rsidR="00F06BF6" w:rsidRDefault="00F06BF6" w:rsidP="003C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rajan Pro">
    <w:altName w:val="Cambr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328579"/>
      <w:docPartObj>
        <w:docPartGallery w:val="Page Numbers (Bottom of Page)"/>
        <w:docPartUnique/>
      </w:docPartObj>
    </w:sdtPr>
    <w:sdtEndPr>
      <w:rPr>
        <w:noProof/>
      </w:rPr>
    </w:sdtEndPr>
    <w:sdtContent>
      <w:p w14:paraId="0E5994D0" w14:textId="525509EA" w:rsidR="00A635BE" w:rsidRDefault="00A635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F0B97B" w14:textId="77777777" w:rsidR="00A635BE" w:rsidRDefault="00A63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3EC8" w14:textId="77777777" w:rsidR="00F06BF6" w:rsidRDefault="00F06BF6" w:rsidP="003C1798">
      <w:pPr>
        <w:spacing w:after="0" w:line="240" w:lineRule="auto"/>
      </w:pPr>
      <w:r>
        <w:separator/>
      </w:r>
    </w:p>
  </w:footnote>
  <w:footnote w:type="continuationSeparator" w:id="0">
    <w:p w14:paraId="689265FB" w14:textId="77777777" w:rsidR="00F06BF6" w:rsidRDefault="00F06BF6" w:rsidP="003C1798">
      <w:pPr>
        <w:spacing w:after="0" w:line="240" w:lineRule="auto"/>
      </w:pPr>
      <w:r>
        <w:continuationSeparator/>
      </w:r>
    </w:p>
  </w:footnote>
  <w:footnote w:id="1">
    <w:p w14:paraId="2BEE0FB9" w14:textId="0101B99D" w:rsidR="00E00FEB" w:rsidRPr="00C067C3" w:rsidRDefault="00E00FEB">
      <w:pPr>
        <w:pStyle w:val="FootnoteText"/>
        <w:rPr>
          <w:rFonts w:asciiTheme="minorHAnsi" w:hAnsiTheme="minorHAnsi" w:cstheme="minorHAnsi"/>
          <w:lang w:val="en-IN"/>
        </w:rPr>
      </w:pPr>
      <w:r w:rsidRPr="00C067C3">
        <w:rPr>
          <w:rStyle w:val="FootnoteReference"/>
          <w:rFonts w:asciiTheme="minorHAnsi" w:hAnsiTheme="minorHAnsi" w:cstheme="minorHAnsi"/>
        </w:rPr>
        <w:footnoteRef/>
      </w:r>
      <w:r w:rsidRPr="00C067C3">
        <w:rPr>
          <w:rFonts w:asciiTheme="minorHAnsi" w:hAnsiTheme="minorHAnsi" w:cstheme="minorHAnsi"/>
        </w:rPr>
        <w:t xml:space="preserve"> </w:t>
      </w:r>
      <w:r w:rsidRPr="00C067C3">
        <w:rPr>
          <w:rFonts w:asciiTheme="minorHAnsi" w:hAnsiTheme="minorHAnsi" w:cstheme="minorHAnsi"/>
        </w:rPr>
        <w:fldChar w:fldCharType="begin" w:fldLock="1"/>
      </w:r>
      <w:r w:rsidRPr="00C067C3">
        <w:rPr>
          <w:rFonts w:asciiTheme="minorHAnsi" w:hAnsiTheme="minorHAnsi" w:cstheme="minorHAnsi"/>
        </w:rPr>
        <w:instrText>ADDIN CSL_CITATION {"citationItems":[{"id":"ITEM-1","itemData":{"author":[{"dropping-particle":"","family":"Laclau","given":"Ernesto","non-dropping-particle":"","parse-names":false,"suffix":""},{"dropping-particle":"","family":"Mouffe","given":"Chantal","non-dropping-particle":"","parse-names":false,"suffix":""}],"id":"ITEM-1","issued":{"date-parts":[["2014"]]},"publisher":"Verso","publisher-place":"London","title":"Hegemony and Socialist Strategy","type":"book"},"locator":"8-23","uris":["http://www.mendeley.com/documents/?uuid=f711101a-faf5-4f4b-bb6b-a22647fb7730"]}],"mendeley":{"formattedCitation":"Laclau and Mouffe, &lt;i&gt;Hegemony and Socialist Strategy&lt;/i&gt;, 8–23.","plainTextFormattedCitation":"Laclau and Mouffe, Hegemony and Socialist Strategy, 8–23.","previouslyFormattedCitation":"Laclau and Mouffe, &lt;i&gt;Hegemony and Socialist Strategy&lt;/i&gt;, 8–23."},"properties":{"noteIndex":1},"schema":"https://github.com/citation-style-language/schema/raw/master/csl-citation.json"}</w:instrText>
      </w:r>
      <w:r w:rsidRPr="00C067C3">
        <w:rPr>
          <w:rFonts w:asciiTheme="minorHAnsi" w:hAnsiTheme="minorHAnsi" w:cstheme="minorHAnsi"/>
        </w:rPr>
        <w:fldChar w:fldCharType="separate"/>
      </w:r>
      <w:r w:rsidRPr="00C067C3">
        <w:rPr>
          <w:rFonts w:asciiTheme="minorHAnsi" w:hAnsiTheme="minorHAnsi" w:cstheme="minorHAnsi"/>
          <w:bCs/>
          <w:noProof/>
          <w:lang w:val="en-US"/>
        </w:rPr>
        <w:t>Laclau and Mouffe</w:t>
      </w:r>
      <w:r w:rsidR="0008394A">
        <w:rPr>
          <w:rFonts w:asciiTheme="minorHAnsi" w:hAnsiTheme="minorHAnsi" w:cstheme="minorHAnsi"/>
          <w:bCs/>
          <w:noProof/>
          <w:lang w:val="en-US"/>
        </w:rPr>
        <w:t>:</w:t>
      </w:r>
      <w:r w:rsidRPr="00C067C3">
        <w:rPr>
          <w:rFonts w:asciiTheme="minorHAnsi" w:hAnsiTheme="minorHAnsi" w:cstheme="minorHAnsi"/>
          <w:bCs/>
          <w:noProof/>
          <w:lang w:val="en-US"/>
        </w:rPr>
        <w:t xml:space="preserve"> </w:t>
      </w:r>
      <w:r w:rsidRPr="00C067C3">
        <w:rPr>
          <w:rFonts w:asciiTheme="minorHAnsi" w:hAnsiTheme="minorHAnsi" w:cstheme="minorHAnsi"/>
          <w:bCs/>
          <w:i/>
          <w:noProof/>
          <w:lang w:val="en-US"/>
        </w:rPr>
        <w:t>Hegemony and Socialist Strategy</w:t>
      </w:r>
      <w:r w:rsidRPr="00C067C3">
        <w:rPr>
          <w:rFonts w:asciiTheme="minorHAnsi" w:hAnsiTheme="minorHAnsi" w:cstheme="minorHAnsi"/>
          <w:bCs/>
          <w:noProof/>
          <w:lang w:val="en-US"/>
        </w:rPr>
        <w:t>, 8–23.</w:t>
      </w:r>
      <w:r w:rsidRPr="00C067C3">
        <w:rPr>
          <w:rFonts w:asciiTheme="minorHAnsi" w:hAnsiTheme="minorHAnsi" w:cstheme="minorHAnsi"/>
        </w:rPr>
        <w:fldChar w:fldCharType="end"/>
      </w:r>
    </w:p>
  </w:footnote>
  <w:footnote w:id="2">
    <w:p w14:paraId="112F9A17" w14:textId="11A57AB6" w:rsidR="00E00FEB" w:rsidRPr="00C067C3" w:rsidRDefault="00E00FEB">
      <w:pPr>
        <w:pStyle w:val="FootnoteText"/>
        <w:rPr>
          <w:rFonts w:asciiTheme="minorHAnsi" w:hAnsiTheme="minorHAnsi" w:cstheme="minorHAnsi"/>
          <w:lang w:val="en-IN"/>
        </w:rPr>
      </w:pPr>
      <w:r w:rsidRPr="00C067C3">
        <w:rPr>
          <w:rStyle w:val="FootnoteReference"/>
          <w:rFonts w:asciiTheme="minorHAnsi" w:hAnsiTheme="minorHAnsi" w:cstheme="minorHAnsi"/>
        </w:rPr>
        <w:footnoteRef/>
      </w:r>
      <w:r w:rsidRPr="00C067C3">
        <w:rPr>
          <w:rFonts w:asciiTheme="minorHAnsi" w:hAnsiTheme="minorHAnsi" w:cstheme="minorHAnsi"/>
        </w:rPr>
        <w:t xml:space="preserve"> </w:t>
      </w:r>
      <w:r w:rsidRPr="00C067C3">
        <w:rPr>
          <w:rFonts w:asciiTheme="minorHAnsi" w:hAnsiTheme="minorHAnsi" w:cstheme="minorHAnsi"/>
        </w:rPr>
        <w:fldChar w:fldCharType="begin" w:fldLock="1"/>
      </w:r>
      <w:r w:rsidRPr="00C067C3">
        <w:rPr>
          <w:rFonts w:asciiTheme="minorHAnsi" w:hAnsiTheme="minorHAnsi" w:cstheme="minorHAnsi"/>
        </w:rPr>
        <w:instrText>ADDIN CSL_CITATION {"citationItems":[{"id":"ITEM-1","itemData":{"author":[{"dropping-particle":"","family":"Allen","given":"Amy","non-dropping-particle":"","parse-names":false,"suffix":""}],"container-title":"Critical Theory in Critical Times: Transforming the Global Political and Economic Order","editor":[{"dropping-particle":"","family":"Deutscher","given":"Penelope","non-dropping-particle":"","parse-names":false,"suffix":""},{"dropping-particle":"","family":"Lafont","given":"Cristina","non-dropping-particle":"","parse-names":false,"suffix":""}],"id":"ITEM-1","issued":{"date-parts":[["2017"]]},"page":"183-206","publisher":"Columbia University Press","publisher-place":"New York","title":"Adorno, Foucault, and the End of Progress: Critical Theory in Postcolonial Times","type":"chapter"},"locator":"184","uris":["http://www.mendeley.com/documents/?uuid=e71bf9eb-79c6-46de-8de5-75193bf204c7"]}],"mendeley":{"formattedCitation":"Allen, “Adorno, Foucault, and the End of Progress: Critical Theory in Postcolonial Times,” 184.","plainTextFormattedCitation":"Allen, “Adorno, Foucault, and the End of Progress: Critical Theory in Postcolonial Times,” 184.","previouslyFormattedCitation":"Allen, “Adorno, Foucault, and the End of Progress: Critical Theory in Postcolonial Times,” 184."},"properties":{"noteIndex":2},"schema":"https://github.com/citation-style-language/schema/raw/master/csl-citation.json"}</w:instrText>
      </w:r>
      <w:r w:rsidRPr="00C067C3">
        <w:rPr>
          <w:rFonts w:asciiTheme="minorHAnsi" w:hAnsiTheme="minorHAnsi" w:cstheme="minorHAnsi"/>
        </w:rPr>
        <w:fldChar w:fldCharType="separate"/>
      </w:r>
      <w:r w:rsidRPr="00C067C3">
        <w:rPr>
          <w:rFonts w:asciiTheme="minorHAnsi" w:hAnsiTheme="minorHAnsi" w:cstheme="minorHAnsi"/>
          <w:noProof/>
        </w:rPr>
        <w:t>Allen</w:t>
      </w:r>
      <w:r w:rsidR="00F82437">
        <w:rPr>
          <w:rFonts w:asciiTheme="minorHAnsi" w:hAnsiTheme="minorHAnsi" w:cstheme="minorHAnsi"/>
          <w:noProof/>
        </w:rPr>
        <w:t xml:space="preserve">: </w:t>
      </w:r>
      <w:r w:rsidR="005C2120" w:rsidRPr="005C2120">
        <w:rPr>
          <w:rFonts w:asciiTheme="minorHAnsi" w:hAnsiTheme="minorHAnsi" w:cstheme="minorHAnsi"/>
          <w:i/>
          <w:iCs/>
          <w:noProof/>
        </w:rPr>
        <w:t>Adorno, Foucault and the End of Progress</w:t>
      </w:r>
      <w:r w:rsidR="005C2120">
        <w:rPr>
          <w:rFonts w:asciiTheme="minorHAnsi" w:hAnsiTheme="minorHAnsi" w:cstheme="minorHAnsi"/>
          <w:noProof/>
        </w:rPr>
        <w:t>, 184.</w:t>
      </w:r>
      <w:r w:rsidRPr="00C067C3">
        <w:rPr>
          <w:rFonts w:asciiTheme="minorHAnsi" w:hAnsiTheme="minorHAnsi" w:cstheme="minorHAnsi"/>
        </w:rPr>
        <w:fldChar w:fldCharType="end"/>
      </w:r>
    </w:p>
  </w:footnote>
  <w:footnote w:id="3">
    <w:p w14:paraId="0594F81C" w14:textId="51530F3A" w:rsidR="00E00FEB" w:rsidRPr="00C067C3" w:rsidRDefault="00E00FEB">
      <w:pPr>
        <w:pStyle w:val="FootnoteText"/>
        <w:rPr>
          <w:rFonts w:asciiTheme="minorHAnsi" w:hAnsiTheme="minorHAnsi" w:cstheme="minorHAnsi"/>
          <w:lang w:val="en-IN"/>
        </w:rPr>
      </w:pPr>
      <w:r w:rsidRPr="00C067C3">
        <w:rPr>
          <w:rStyle w:val="FootnoteReference"/>
          <w:rFonts w:asciiTheme="minorHAnsi" w:hAnsiTheme="minorHAnsi" w:cstheme="minorHAnsi"/>
        </w:rPr>
        <w:footnoteRef/>
      </w:r>
      <w:r w:rsidRPr="00C067C3">
        <w:rPr>
          <w:rFonts w:asciiTheme="minorHAnsi" w:hAnsiTheme="minorHAnsi" w:cstheme="minorHAnsi"/>
        </w:rPr>
        <w:t xml:space="preserve"> </w:t>
      </w:r>
      <w:r w:rsidRPr="00C067C3">
        <w:rPr>
          <w:rFonts w:asciiTheme="minorHAnsi" w:hAnsiTheme="minorHAnsi" w:cstheme="minorHAnsi"/>
        </w:rPr>
        <w:fldChar w:fldCharType="begin" w:fldLock="1"/>
      </w:r>
      <w:r w:rsidRPr="00C067C3">
        <w:rPr>
          <w:rFonts w:asciiTheme="minorHAnsi" w:hAnsiTheme="minorHAnsi" w:cstheme="minorHAnsi"/>
        </w:rPr>
        <w:instrText>ADDIN CSL_CITATION {"citationItems":[{"id":"ITEM-1","itemData":{"author":[{"dropping-particle":"","family":"Ashcroft","given":"Bill","non-dropping-particle":"","parse-names":false,"suffix":""}],"id":"ITEM-1","issued":{"date-parts":[["2001"]]},"publisher":"Routledge","publisher-place":"London","title":"Post-Colonial Transformation","type":"book"},"uris":["http://www.mendeley.com/documents/?uuid=5cf200db-cbe7-451d-840f-c2d98bd34530"]}],"mendeley":{"formattedCitation":"Ashcroft, &lt;i&gt;Post-Colonial Transformation&lt;/i&gt;.","plainTextFormattedCitation":"Ashcroft, Post-Colonial Transformation.","previouslyFormattedCitation":"Ashcroft, &lt;i&gt;Post-Colonial Transformation&lt;/i&gt;."},"properties":{"noteIndex":3},"schema":"https://github.com/citation-style-language/schema/raw/master/csl-citation.json"}</w:instrText>
      </w:r>
      <w:r w:rsidRPr="00C067C3">
        <w:rPr>
          <w:rFonts w:asciiTheme="minorHAnsi" w:hAnsiTheme="minorHAnsi" w:cstheme="minorHAnsi"/>
        </w:rPr>
        <w:fldChar w:fldCharType="separate"/>
      </w:r>
      <w:r w:rsidRPr="00C067C3">
        <w:rPr>
          <w:rFonts w:asciiTheme="minorHAnsi" w:hAnsiTheme="minorHAnsi" w:cstheme="minorHAnsi"/>
          <w:noProof/>
        </w:rPr>
        <w:t>Ashcroft</w:t>
      </w:r>
      <w:r w:rsidR="00735559">
        <w:rPr>
          <w:rFonts w:asciiTheme="minorHAnsi" w:hAnsiTheme="minorHAnsi" w:cstheme="minorHAnsi"/>
          <w:noProof/>
        </w:rPr>
        <w:t xml:space="preserve">: </w:t>
      </w:r>
      <w:r w:rsidRPr="00C067C3">
        <w:rPr>
          <w:rFonts w:asciiTheme="minorHAnsi" w:hAnsiTheme="minorHAnsi" w:cstheme="minorHAnsi"/>
          <w:i/>
          <w:noProof/>
        </w:rPr>
        <w:t>Post-Colonial Transformation</w:t>
      </w:r>
      <w:r w:rsidRPr="00C067C3">
        <w:rPr>
          <w:rFonts w:asciiTheme="minorHAnsi" w:hAnsiTheme="minorHAnsi" w:cstheme="minorHAnsi"/>
          <w:noProof/>
        </w:rPr>
        <w:t>.</w:t>
      </w:r>
      <w:r w:rsidRPr="00C067C3">
        <w:rPr>
          <w:rFonts w:asciiTheme="minorHAnsi" w:hAnsiTheme="minorHAnsi" w:cstheme="minorHAnsi"/>
        </w:rPr>
        <w:fldChar w:fldCharType="end"/>
      </w:r>
    </w:p>
  </w:footnote>
  <w:footnote w:id="4">
    <w:p w14:paraId="3E201B9D" w14:textId="146159E8" w:rsidR="00E00FEB" w:rsidRPr="00C067C3" w:rsidRDefault="00E00FEB">
      <w:pPr>
        <w:pStyle w:val="FootnoteText"/>
        <w:rPr>
          <w:rFonts w:asciiTheme="minorHAnsi" w:hAnsiTheme="minorHAnsi" w:cstheme="minorHAnsi"/>
          <w:lang w:val="en-IN"/>
        </w:rPr>
      </w:pPr>
      <w:r w:rsidRPr="00C067C3">
        <w:rPr>
          <w:rStyle w:val="FootnoteReference"/>
          <w:rFonts w:asciiTheme="minorHAnsi" w:hAnsiTheme="minorHAnsi" w:cstheme="minorHAnsi"/>
        </w:rPr>
        <w:footnoteRef/>
      </w:r>
      <w:r w:rsidRPr="00C067C3">
        <w:rPr>
          <w:rFonts w:asciiTheme="minorHAnsi" w:hAnsiTheme="minorHAnsi" w:cstheme="minorHAnsi"/>
        </w:rPr>
        <w:t xml:space="preserve"> The </w:t>
      </w:r>
      <w:proofErr w:type="spellStart"/>
      <w:r w:rsidRPr="00C067C3">
        <w:rPr>
          <w:rFonts w:asciiTheme="minorHAnsi" w:hAnsiTheme="minorHAnsi" w:cstheme="minorHAnsi"/>
          <w:i/>
          <w:iCs/>
        </w:rPr>
        <w:t>Bhilala</w:t>
      </w:r>
      <w:proofErr w:type="spellEnd"/>
      <w:r w:rsidRPr="00C067C3">
        <w:rPr>
          <w:rFonts w:asciiTheme="minorHAnsi" w:hAnsiTheme="minorHAnsi" w:cstheme="minorHAnsi"/>
        </w:rPr>
        <w:t xml:space="preserve"> is an indigenous community belonging to Central India. Living in the mountainous terrain along the banks of the Narmada river, the </w:t>
      </w:r>
      <w:proofErr w:type="spellStart"/>
      <w:r w:rsidRPr="00C067C3">
        <w:rPr>
          <w:rFonts w:asciiTheme="minorHAnsi" w:hAnsiTheme="minorHAnsi" w:cstheme="minorHAnsi"/>
          <w:i/>
          <w:iCs/>
        </w:rPr>
        <w:t>Bhilala</w:t>
      </w:r>
      <w:proofErr w:type="spellEnd"/>
      <w:r w:rsidRPr="00C067C3">
        <w:rPr>
          <w:rFonts w:asciiTheme="minorHAnsi" w:hAnsiTheme="minorHAnsi" w:cstheme="minorHAnsi"/>
        </w:rPr>
        <w:t xml:space="preserve"> have been a central part of political activism, and the imagination of alternatives against the damming of the Narmada river. My discussion of the community here develops out of seminal ethnographic work carried out by </w:t>
      </w:r>
      <w:proofErr w:type="spellStart"/>
      <w:r w:rsidRPr="00C067C3">
        <w:rPr>
          <w:rFonts w:asciiTheme="minorHAnsi" w:hAnsiTheme="minorHAnsi" w:cstheme="minorHAnsi"/>
        </w:rPr>
        <w:t>Baviskar</w:t>
      </w:r>
      <w:proofErr w:type="spellEnd"/>
      <w:r w:rsidRPr="00C067C3">
        <w:rPr>
          <w:rFonts w:asciiTheme="minorHAnsi" w:hAnsiTheme="minorHAnsi" w:cstheme="minorHAnsi"/>
        </w:rPr>
        <w:t xml:space="preserve"> </w:t>
      </w:r>
      <w:r w:rsidR="00A34EAA">
        <w:rPr>
          <w:rFonts w:asciiTheme="minorHAnsi" w:hAnsiTheme="minorHAnsi" w:cstheme="minorHAnsi"/>
        </w:rPr>
        <w:t xml:space="preserve">in </w:t>
      </w:r>
      <w:r w:rsidRPr="00C067C3">
        <w:rPr>
          <w:rFonts w:asciiTheme="minorHAnsi" w:hAnsiTheme="minorHAnsi" w:cstheme="minorHAnsi"/>
        </w:rPr>
        <w:fldChar w:fldCharType="begin" w:fldLock="1"/>
      </w:r>
      <w:r w:rsidRPr="00C067C3">
        <w:rPr>
          <w:rFonts w:asciiTheme="minorHAnsi" w:hAnsiTheme="minorHAnsi" w:cstheme="minorHAnsi"/>
        </w:rPr>
        <w:instrText>ADDIN CSL_CITATION {"citationItems":[{"id":"ITEM-1","itemData":{"author":[{"dropping-particle":"","family":"Baviskar","given":"Amita","non-dropping-particle":"","parse-names":false,"suffix":""}],"id":"ITEM-1","issued":{"date-parts":[["1995"]]},"publisher":"Oxford University Press","publisher-place":"Delhi","title":"In the Belly of the River: Tribal conflicts over development in the Narmada Valley","type":"book"},"suppress-author":1,"uris":["http://www.mendeley.com/documents/?uuid=2e4abf3b-63a9-4eac-8006-4bb0bf62be45"]}],"mendeley":{"formattedCitation":"&lt;i&gt;In the Belly of the River: Tribal Conflicts over Development in the Narmada Valley&lt;/i&gt;.","plainTextFormattedCitation":"In the Belly of the River: Tribal Conflicts over Development in the Narmada Valley.","previouslyFormattedCitation":"&lt;i&gt;In the Belly of the River: Tribal Conflicts over Development in the Narmada Valley&lt;/i&gt;."},"properties":{"noteIndex":4},"schema":"https://github.com/citation-style-language/schema/raw/master/csl-citation.json"}</w:instrText>
      </w:r>
      <w:r w:rsidRPr="00C067C3">
        <w:rPr>
          <w:rFonts w:asciiTheme="minorHAnsi" w:hAnsiTheme="minorHAnsi" w:cstheme="minorHAnsi"/>
        </w:rPr>
        <w:fldChar w:fldCharType="separate"/>
      </w:r>
      <w:r w:rsidRPr="00C067C3">
        <w:rPr>
          <w:rFonts w:asciiTheme="minorHAnsi" w:hAnsiTheme="minorHAnsi" w:cstheme="minorHAnsi"/>
          <w:i/>
          <w:noProof/>
        </w:rPr>
        <w:t>In the Belly of the River: Tribal Conflicts over Development in the Narmada Valley</w:t>
      </w:r>
      <w:r w:rsidRPr="00C067C3">
        <w:rPr>
          <w:rFonts w:asciiTheme="minorHAnsi" w:hAnsiTheme="minorHAnsi" w:cstheme="minorHAnsi"/>
          <w:noProof/>
        </w:rPr>
        <w:t>.</w:t>
      </w:r>
      <w:r w:rsidRPr="00C067C3">
        <w:rPr>
          <w:rFonts w:asciiTheme="minorHAnsi" w:hAnsiTheme="minorHAnsi" w:cstheme="minorHAnsi"/>
        </w:rPr>
        <w:fldChar w:fldCharType="end"/>
      </w:r>
      <w:r w:rsidRPr="00C067C3">
        <w:rPr>
          <w:rFonts w:asciiTheme="minorHAnsi" w:hAnsiTheme="minorHAnsi" w:cstheme="minorHAnsi"/>
        </w:rPr>
        <w:t xml:space="preserve"> against the backdrop of </w:t>
      </w:r>
      <w:proofErr w:type="spellStart"/>
      <w:r w:rsidRPr="00C067C3">
        <w:rPr>
          <w:rFonts w:asciiTheme="minorHAnsi" w:hAnsiTheme="minorHAnsi" w:cstheme="minorHAnsi"/>
          <w:i/>
          <w:iCs/>
        </w:rPr>
        <w:t>Bhilala</w:t>
      </w:r>
      <w:proofErr w:type="spellEnd"/>
      <w:r w:rsidRPr="00C067C3">
        <w:rPr>
          <w:rFonts w:asciiTheme="minorHAnsi" w:hAnsiTheme="minorHAnsi" w:cstheme="minorHAnsi"/>
        </w:rPr>
        <w:t xml:space="preserve"> activism in the </w:t>
      </w:r>
      <w:r w:rsidRPr="00C067C3">
        <w:rPr>
          <w:rFonts w:asciiTheme="minorHAnsi" w:hAnsiTheme="minorHAnsi" w:cstheme="minorHAnsi"/>
          <w:i/>
          <w:iCs/>
        </w:rPr>
        <w:t>Narmada</w:t>
      </w:r>
      <w:r w:rsidRPr="00C067C3">
        <w:rPr>
          <w:rFonts w:asciiTheme="minorHAnsi" w:hAnsiTheme="minorHAnsi" w:cstheme="minorHAnsi"/>
        </w:rPr>
        <w:t xml:space="preserve"> </w:t>
      </w:r>
      <w:proofErr w:type="spellStart"/>
      <w:r w:rsidRPr="00C067C3">
        <w:rPr>
          <w:rFonts w:asciiTheme="minorHAnsi" w:hAnsiTheme="minorHAnsi" w:cstheme="minorHAnsi"/>
          <w:i/>
          <w:iCs/>
        </w:rPr>
        <w:t>Bachao</w:t>
      </w:r>
      <w:proofErr w:type="spellEnd"/>
      <w:r w:rsidRPr="00C067C3">
        <w:rPr>
          <w:rFonts w:asciiTheme="minorHAnsi" w:hAnsiTheme="minorHAnsi" w:cstheme="minorHAnsi"/>
        </w:rPr>
        <w:t xml:space="preserve"> </w:t>
      </w:r>
      <w:proofErr w:type="spellStart"/>
      <w:r w:rsidRPr="00C067C3">
        <w:rPr>
          <w:rFonts w:asciiTheme="minorHAnsi" w:hAnsiTheme="minorHAnsi" w:cstheme="minorHAnsi"/>
          <w:i/>
          <w:iCs/>
        </w:rPr>
        <w:t>Andolan</w:t>
      </w:r>
      <w:proofErr w:type="spellEnd"/>
      <w:r w:rsidRPr="00C067C3">
        <w:rPr>
          <w:rFonts w:asciiTheme="minorHAnsi" w:hAnsiTheme="minorHAnsi" w:cstheme="minorHAnsi"/>
        </w:rPr>
        <w:t xml:space="preserve"> (Movement to Save Narmada).</w:t>
      </w:r>
    </w:p>
  </w:footnote>
  <w:footnote w:id="5">
    <w:p w14:paraId="5D1B789B" w14:textId="0234F9C1"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{"citationItems":[{"id":"ITEM-1","itemData":{"author":[{"dropping-particle":"","family":"Bennett","given":"Jane","non-dropping-particle":"","parse-names":false,"suffix":""},{"dropping-particle":"","family":"Connolly","given":"William E.","non-dropping-particle":"","parse-names":false,"suffix":""}],"container-title":"Journal of Nietzsche Studies","id":"ITEM-1","issued":{"date-parts":[["2002"]]},"page":"148-163","title":"Contesting Nature/Culture: The Creative Character of Thinking","type":"article-journal","volume":"24"},"locator":"151","uris":["http://www.mendeley.com/documents/?uuid=c5974ab1-277b-45be-96a9-2355d9de26fd"]}],"mendeley":{"formattedCitation":"Bennett and Connolly, “Contesting Nature/Culture: The Creative Character of Thinking,” 151.","plainTextFormattedCitation":"Bennett and Connolly, “Contesting Nature/Culture: The Creative Character of Thinking,” 151.","previouslyFormattedCitation":"Bennett and Connolly, “Contesting Nature/Culture: The Creative Character of Thinking,” 151."},"properties":{"noteIndex":5},"schema":"https://github.com/citation-style-language/schema/raw/master/csl-citation.json"}</w:instrText>
      </w:r>
      <w:r>
        <w:fldChar w:fldCharType="separate"/>
      </w:r>
      <w:r w:rsidRPr="00153BD4">
        <w:rPr>
          <w:noProof/>
        </w:rPr>
        <w:t>Bennett and Connolly</w:t>
      </w:r>
      <w:r w:rsidR="005545D5">
        <w:rPr>
          <w:noProof/>
        </w:rPr>
        <w:t>:</w:t>
      </w:r>
      <w:r w:rsidRPr="00153BD4">
        <w:rPr>
          <w:noProof/>
        </w:rPr>
        <w:t xml:space="preserve"> </w:t>
      </w:r>
      <w:r w:rsidRPr="00F34647">
        <w:rPr>
          <w:i/>
          <w:iCs/>
          <w:noProof/>
        </w:rPr>
        <w:t>Contesting Nature/Culture</w:t>
      </w:r>
      <w:r w:rsidR="00F34647">
        <w:rPr>
          <w:noProof/>
        </w:rPr>
        <w:t>, 151.</w:t>
      </w:r>
      <w:r>
        <w:fldChar w:fldCharType="end"/>
      </w:r>
      <w:r w:rsidR="00F34647" w:rsidRPr="00153BD4">
        <w:rPr>
          <w:lang w:val="en-IN"/>
        </w:rPr>
        <w:t xml:space="preserve"> </w:t>
      </w:r>
    </w:p>
  </w:footnote>
  <w:footnote w:id="6">
    <w:p w14:paraId="0A86E10C" w14:textId="3B9FDFF5" w:rsidR="00E00FEB" w:rsidRPr="00153BD4" w:rsidRDefault="00E00FEB">
      <w:pPr>
        <w:pStyle w:val="FootnoteText"/>
        <w:rPr>
          <w:lang w:val="en-IN"/>
        </w:rPr>
      </w:pPr>
      <w:r>
        <w:rPr>
          <w:rStyle w:val="FootnoteReference"/>
        </w:rPr>
        <w:footnoteRef/>
      </w:r>
      <w:r>
        <w:t xml:space="preserve"> </w:t>
      </w:r>
      <w:r w:rsidR="009E2CB4">
        <w:t>Connolly</w:t>
      </w:r>
      <w:r w:rsidR="007E1138">
        <w:t xml:space="preserve">: </w:t>
      </w:r>
      <w:r>
        <w:fldChar w:fldCharType="begin" w:fldLock="1"/>
      </w:r>
      <w:r>
        <w:instrText>ADDIN CSL_CITATION {"citationItems":[{"id":"ITEM-1","itemData":{"author":[{"dropping-particle":"","family":"Connolly","given":"William E.","non-dropping-particle":"","parse-names":false,"suffix":""}],"id":"ITEM-1","issued":{"date-parts":[["1995"]]},"publisher":"University of Minnesota Press","publisher-place":"Minneapolis","title":"The Ethos of Pluralisation","type":"book"},"locator":"1","suppress-author":1,"uris":["http://www.mendeley.com/documents/?uuid=ad39b216-cfcd-4dad-b94f-c147e3965af2"]}],"mendeley":{"formattedCitation":"&lt;i&gt;The Ethos of Pluralisation&lt;/i&gt;, 1.","plainTextFormattedCitation":"The Ethos of Pluralisation, 1.","previouslyFormattedCitation":"&lt;i&gt;The Ethos of Pluralisation&lt;/i&gt;, 1."},"properties":{"noteIndex":6},"schema":"https://github.com/citation-style-language/schema/raw/master/csl-citation.json"}</w:instrText>
      </w:r>
      <w:r>
        <w:fldChar w:fldCharType="separate"/>
      </w:r>
      <w:r w:rsidRPr="00153BD4">
        <w:rPr>
          <w:bCs/>
          <w:i/>
          <w:noProof/>
          <w:lang w:val="en-US"/>
        </w:rPr>
        <w:t>Ethos of Pluralisation</w:t>
      </w:r>
      <w:r w:rsidRPr="00153BD4">
        <w:rPr>
          <w:bCs/>
          <w:noProof/>
          <w:lang w:val="en-US"/>
        </w:rPr>
        <w:t>, 1.</w:t>
      </w:r>
      <w:r>
        <w:fldChar w:fldCharType="end"/>
      </w:r>
    </w:p>
  </w:footnote>
  <w:footnote w:id="7">
    <w:p w14:paraId="609D71E2" w14:textId="708486C9"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{"citationItems":[{"id":"ITEM-1","itemData":{"author":[{"dropping-particle":"","family":"Baviskar","given":"Amita","non-dropping-particle":"","parse-names":false,"suffix":""}],"id":"ITEM-1","issued":{"date-parts":[["1995"]]},"publisher":"Oxford University Press","publisher-place":"Delhi","title":"In the Belly of the River: Tribal conflicts over development in the Narmada Valley","type":"book"},"locator":"284-94","uris":["http://www.mendeley.com/documents/?uuid=2e4abf3b-63a9-4eac-8006-4bb0bf62be45"]}],"mendeley":{"formattedCitation":"Baviskar, &lt;i&gt;In the Belly of the River: Tribal Conflicts over Development in the Narmada Valley&lt;/i&gt;, 284–94.","plainTextFormattedCitation":"Baviskar, In the Belly of the River: Tribal Conflicts over Development in the Narmada Valley, 284–94.","previouslyFormattedCitation":"Baviskar, &lt;i&gt;In the Belly of the River: Tribal Conflicts over Development in the Narmada Valley&lt;/i&gt;, 284–94."},"properties":{"noteIndex":7},"schema":"https://github.com/citation-style-language/schema/raw/master/csl-citation.json"}</w:instrText>
      </w:r>
      <w:r>
        <w:fldChar w:fldCharType="separate"/>
      </w:r>
      <w:r w:rsidRPr="00153BD4">
        <w:rPr>
          <w:noProof/>
        </w:rPr>
        <w:t>Baviskar</w:t>
      </w:r>
      <w:r w:rsidR="007E1138">
        <w:rPr>
          <w:noProof/>
        </w:rPr>
        <w:t xml:space="preserve">: </w:t>
      </w:r>
      <w:r w:rsidRPr="00153BD4">
        <w:rPr>
          <w:i/>
          <w:noProof/>
        </w:rPr>
        <w:t>Belly of the River</w:t>
      </w:r>
      <w:r w:rsidRPr="00153BD4">
        <w:rPr>
          <w:noProof/>
        </w:rPr>
        <w:t>, 284–</w:t>
      </w:r>
      <w:r w:rsidR="00A34EAA">
        <w:rPr>
          <w:noProof/>
        </w:rPr>
        <w:t>2</w:t>
      </w:r>
      <w:r w:rsidRPr="00153BD4">
        <w:rPr>
          <w:noProof/>
        </w:rPr>
        <w:t>94.</w:t>
      </w:r>
      <w:r>
        <w:fldChar w:fldCharType="end"/>
      </w:r>
    </w:p>
  </w:footnote>
  <w:footnote w:id="8">
    <w:p w14:paraId="1125455C" w14:textId="079FE36A" w:rsidR="00E00FEB" w:rsidRPr="00924EC5" w:rsidRDefault="00E00FEB">
      <w:pPr>
        <w:pStyle w:val="FootnoteText"/>
      </w:pPr>
      <w:r>
        <w:rPr>
          <w:rStyle w:val="FootnoteReference"/>
        </w:rPr>
        <w:footnoteRef/>
      </w:r>
      <w:r w:rsidRPr="00924EC5">
        <w:t xml:space="preserve"> </w:t>
      </w:r>
      <w:r>
        <w:fldChar w:fldCharType="begin" w:fldLock="1"/>
      </w:r>
      <w:r w:rsidRPr="00924EC5">
        <w:instrText>ADDIN CSL_CITATION {"citationItems":[{"id":"ITEM-1","itemData":{"author":[{"dropping-particle":"","family":"Baviskar","given":"Amita","non-dropping-particle":"","parse-names":false,"suffix":""}],"id":"ITEM-1","issued":{"date-parts":[["1995"]]},"publisher":"Oxford University Press","publisher-place":"Delhi","title":"In the Belly of the River: Tribal conflicts over development in the Narmada Valley","type":"book"},"locator":"90","uris":["http://www.mendeley.com/documents/?uuid=2e4abf3b-63a9-4eac-8006-4bb0bf62be45"]}],"mendeley":{"formattedCitation":"Baviskar, 90.","plainTextFormattedCitation":"Baviskar, 90.","previouslyFormattedCitation":"Baviskar, 90."},"properties":{"noteIndex":8},"schema":"https://github.com/citation-style-language/schema/raw/master/csl-citation.json"}</w:instrText>
      </w:r>
      <w:r>
        <w:fldChar w:fldCharType="separate"/>
      </w:r>
      <w:r w:rsidRPr="00924EC5">
        <w:rPr>
          <w:bCs/>
          <w:noProof/>
        </w:rPr>
        <w:t>Baviskar</w:t>
      </w:r>
      <w:r w:rsidR="00A93DA0" w:rsidRPr="00924EC5">
        <w:rPr>
          <w:bCs/>
          <w:noProof/>
        </w:rPr>
        <w:t>:</w:t>
      </w:r>
      <w:r w:rsidRPr="00924EC5">
        <w:rPr>
          <w:bCs/>
          <w:noProof/>
        </w:rPr>
        <w:t xml:space="preserve"> </w:t>
      </w:r>
      <w:r w:rsidR="00A34EAA" w:rsidRPr="00153BD4">
        <w:rPr>
          <w:i/>
          <w:noProof/>
        </w:rPr>
        <w:t>Belly of the River</w:t>
      </w:r>
      <w:r w:rsidR="00A34EAA" w:rsidRPr="00924EC5">
        <w:rPr>
          <w:noProof/>
        </w:rPr>
        <w:t>,</w:t>
      </w:r>
      <w:r w:rsidR="00A34EAA" w:rsidRPr="00924EC5">
        <w:rPr>
          <w:bCs/>
          <w:noProof/>
        </w:rPr>
        <w:t xml:space="preserve"> </w:t>
      </w:r>
      <w:r w:rsidRPr="00924EC5">
        <w:rPr>
          <w:bCs/>
          <w:noProof/>
        </w:rPr>
        <w:t>90.</w:t>
      </w:r>
      <w:r>
        <w:fldChar w:fldCharType="end"/>
      </w:r>
    </w:p>
  </w:footnote>
  <w:footnote w:id="9">
    <w:p w14:paraId="1349D89D" w14:textId="3D377819" w:rsidR="00E00FEB" w:rsidRPr="00924EC5" w:rsidRDefault="00E00FEB">
      <w:pPr>
        <w:pStyle w:val="FootnoteText"/>
      </w:pPr>
      <w:r>
        <w:rPr>
          <w:rStyle w:val="FootnoteReference"/>
        </w:rPr>
        <w:footnoteRef/>
      </w:r>
      <w:r w:rsidRPr="00924EC5">
        <w:t xml:space="preserve"> </w:t>
      </w:r>
      <w:r>
        <w:fldChar w:fldCharType="begin" w:fldLock="1"/>
      </w:r>
      <w:r w:rsidRPr="00924EC5">
        <w:instrText>ADDIN CSL_CITATION {"citationItems":[{"id":"ITEM-1","itemData":{"author":[{"dropping-particle":"","family":"Baviskar","given":"Amita","non-dropping-particle":"","parse-names":false,"suffix":""}],"id":"ITEM-1","issued":{"date-parts":[["1995"]]},"publisher":"Oxford University Press","publisher-place":"Delhi","title":"In the Belly of the River: Tribal conflicts over development in the Narmada Valley","type":"book"},"locator":"143","uris":["http://www.mendeley.com/documents/?uuid=2e4abf3b-63a9-4eac-8006-4bb0bf62be45"]}],"mendeley":{"formattedCitation":"Baviskar, 143.","plainTextFormattedCitation":"Baviskar, 143.","previouslyFormattedCitation":"Baviskar, 143."},"properties":{"noteIndex":9},"schema":"https://github.com/citation-style-language/schema/raw/master/csl-citation.json"}</w:instrText>
      </w:r>
      <w:r>
        <w:fldChar w:fldCharType="separate"/>
      </w:r>
      <w:r w:rsidRPr="00924EC5">
        <w:rPr>
          <w:noProof/>
        </w:rPr>
        <w:t>Baviskar</w:t>
      </w:r>
      <w:r w:rsidR="00A93DA0" w:rsidRPr="00924EC5">
        <w:rPr>
          <w:noProof/>
        </w:rPr>
        <w:t>:</w:t>
      </w:r>
      <w:r w:rsidRPr="00924EC5">
        <w:rPr>
          <w:noProof/>
        </w:rPr>
        <w:t xml:space="preserve"> </w:t>
      </w:r>
      <w:r w:rsidR="00A34EAA" w:rsidRPr="00153BD4">
        <w:rPr>
          <w:i/>
          <w:noProof/>
        </w:rPr>
        <w:t>Belly of the River</w:t>
      </w:r>
      <w:r w:rsidR="00A34EAA">
        <w:rPr>
          <w:noProof/>
        </w:rPr>
        <w:t>,</w:t>
      </w:r>
      <w:r w:rsidR="00A34EAA" w:rsidRPr="00924EC5">
        <w:rPr>
          <w:noProof/>
        </w:rPr>
        <w:t xml:space="preserve"> </w:t>
      </w:r>
      <w:r w:rsidRPr="00924EC5">
        <w:rPr>
          <w:noProof/>
        </w:rPr>
        <w:t>143.</w:t>
      </w:r>
      <w:r>
        <w:fldChar w:fldCharType="end"/>
      </w:r>
    </w:p>
  </w:footnote>
  <w:footnote w:id="10">
    <w:p w14:paraId="42AB7D49" w14:textId="3960141E" w:rsidR="00E00FEB" w:rsidRPr="00AF5DDA" w:rsidRDefault="00E00FEB">
      <w:pPr>
        <w:pStyle w:val="FootnoteText"/>
      </w:pPr>
      <w:r>
        <w:rPr>
          <w:rStyle w:val="FootnoteReference"/>
        </w:rPr>
        <w:footnoteRef/>
      </w:r>
      <w:r w:rsidRPr="00AF5DDA">
        <w:t xml:space="preserve"> </w:t>
      </w:r>
      <w:r>
        <w:fldChar w:fldCharType="begin" w:fldLock="1"/>
      </w:r>
      <w:r w:rsidRPr="00AF5DDA">
        <w:instrText>ADDIN CSL_CITATION {"citationItems":[{"id":"ITEM-1","itemData":{"DOI":"10.1177/0090591703260853","ISSN":"00905917","abstract":"This essay seeks to give philosophical expression to the vitality, willfullness, and recalcitrance possessed by nonhuman entities and forces. It also considers the ethico-political import of an enhanced awareness of \"thing-power.\" Drawing from Lucretius, Spinoza, Gilles Deleuze, Bruno Latour, and others, it describes a materialism of lively matter, to be placed in conversation with the historical materialism of Marx and the body materialism of feminist and cultural studies. Thing-power materialism is a speculative onto-story, an admittedly presumptuous attempt to depict the nonhumanity that flows around and through humans. The essay concludes with a preliminary discussion of the ecological implications of thing-power.","author":[{"dropping-particle":"","family":"Bennett","given":"Jane","non-dropping-particle":"","parse-names":false,"suffix":""}],"container-title":"Political Theory","id":"ITEM-1","issue":"3","issued":{"date-parts":[["2004"]]},"page":"347-372","title":"The force of things: Steps toward an ecology of matter","type":"article-journal","volume":"32"},"locator":"351","uris":["http://www.mendeley.com/documents/?uuid=d7ec601c-b6f3-411a-b03b-363cd422ff17"]}],"mendeley":{"formattedCitation":"Bennett, “The Force of Things: Steps toward an Ecology of Matter,” 351.","plainTextFormattedCitation":"Bennett, “The Force of Things: Steps toward an Ecology of Matter,” 351.","previouslyFormattedCitation":"Bennett, “The Force of Things: Steps toward an Ecology of Matter,” 351."},"properties":{"noteIndex":10},"schema":"https://github.com/citation-style-language/schema/raw/master/csl-citation.json"}</w:instrText>
      </w:r>
      <w:r>
        <w:fldChar w:fldCharType="separate"/>
      </w:r>
      <w:r w:rsidRPr="00AF5DDA">
        <w:rPr>
          <w:noProof/>
        </w:rPr>
        <w:t>Bennett</w:t>
      </w:r>
      <w:r w:rsidR="00AF5DDA" w:rsidRPr="00AF5DDA">
        <w:rPr>
          <w:noProof/>
        </w:rPr>
        <w:t>:</w:t>
      </w:r>
      <w:r w:rsidR="00AF5DDA">
        <w:rPr>
          <w:noProof/>
        </w:rPr>
        <w:t xml:space="preserve"> </w:t>
      </w:r>
      <w:r w:rsidRPr="00AF5DDA">
        <w:rPr>
          <w:i/>
          <w:iCs/>
          <w:noProof/>
        </w:rPr>
        <w:t>Force of Things</w:t>
      </w:r>
      <w:r w:rsidR="00AF5DDA">
        <w:rPr>
          <w:noProof/>
        </w:rPr>
        <w:t>,</w:t>
      </w:r>
      <w:r w:rsidRPr="00AF5DDA">
        <w:rPr>
          <w:noProof/>
        </w:rPr>
        <w:t xml:space="preserve"> 351.</w:t>
      </w:r>
      <w:r>
        <w:fldChar w:fldCharType="end"/>
      </w:r>
    </w:p>
  </w:footnote>
  <w:footnote w:id="11">
    <w:p w14:paraId="2D6282E0" w14:textId="1395C2BF" w:rsidR="00E00FEB" w:rsidRPr="00AF5DDA" w:rsidRDefault="00E00FEB">
      <w:pPr>
        <w:pStyle w:val="FootnoteText"/>
      </w:pPr>
      <w:r>
        <w:rPr>
          <w:rStyle w:val="FootnoteReference"/>
        </w:rPr>
        <w:footnoteRef/>
      </w:r>
      <w:r w:rsidRPr="00AF5DDA">
        <w:t xml:space="preserve"> </w:t>
      </w:r>
      <w:r>
        <w:fldChar w:fldCharType="begin" w:fldLock="1"/>
      </w:r>
      <w:r w:rsidRPr="00AF5DDA">
        <w:instrText>ADDIN CSL_CITATION {"citationItems":[{"id":"ITEM-1","itemData":{"DOI":"10.1177/0090591703260853","ISSN":"00905917","abstract":"This essay seeks to give philosophical expression to the vitality, willfullness, and recalcitrance possessed by nonhuman entities and forces. It also considers the ethico-political import of an enhanced awareness of \"thing-power.\" Drawing from Lucretius, Spinoza, Gilles Deleuze, Bruno Latour, and others, it describes a materialism of lively matter, to be placed in conversation with the historical materialism of Marx and the body materialism of feminist and cultural studies. Thing-power materialism is a speculative onto-story, an admittedly presumptuous attempt to depict the nonhumanity that flows around and through humans. The essay concludes with a preliminary discussion of the ecological implications of thing-power.","author":[{"dropping-particle":"","family":"Bennett","given":"Jane","non-dropping-particle":"","parse-names":false,"suffix":""}],"container-title":"Political Theory","id":"ITEM-1","issue":"3","issued":{"date-parts":[["2004"]]},"page":"347-372","title":"The force of things: Steps toward an ecology of matter","type":"article-journal","volume":"32"},"locator":"353","uris":["http://www.mendeley.com/documents/?uuid=d7ec601c-b6f3-411a-b03b-363cd422ff17"]}],"mendeley":{"formattedCitation":"Bennett, 353.","plainTextFormattedCitation":"Bennett, 353.","previouslyFormattedCitation":"Bennett, 353."},"properties":{"noteIndex":11},"schema":"https://github.com/citation-style-language/schema/raw/master/csl-citation.json"}</w:instrText>
      </w:r>
      <w:r>
        <w:fldChar w:fldCharType="separate"/>
      </w:r>
      <w:r w:rsidRPr="00AF5DDA">
        <w:rPr>
          <w:noProof/>
        </w:rPr>
        <w:t>Bennett</w:t>
      </w:r>
      <w:r w:rsidR="00AF5DDA" w:rsidRPr="00AF5DDA">
        <w:rPr>
          <w:noProof/>
        </w:rPr>
        <w:t>:</w:t>
      </w:r>
      <w:r w:rsidRPr="00AF5DDA">
        <w:rPr>
          <w:noProof/>
        </w:rPr>
        <w:t xml:space="preserve"> </w:t>
      </w:r>
      <w:r w:rsidR="00A34EAA" w:rsidRPr="00AF5DDA">
        <w:rPr>
          <w:i/>
          <w:iCs/>
          <w:noProof/>
        </w:rPr>
        <w:t>Force of Things</w:t>
      </w:r>
      <w:r w:rsidR="00A34EAA">
        <w:rPr>
          <w:iCs/>
          <w:noProof/>
        </w:rPr>
        <w:t>,</w:t>
      </w:r>
      <w:r w:rsidR="00A34EAA" w:rsidRPr="00AF5DDA">
        <w:rPr>
          <w:noProof/>
        </w:rPr>
        <w:t xml:space="preserve"> </w:t>
      </w:r>
      <w:r w:rsidRPr="00AF5DDA">
        <w:rPr>
          <w:noProof/>
        </w:rPr>
        <w:t>353.</w:t>
      </w:r>
      <w:r>
        <w:fldChar w:fldCharType="end"/>
      </w:r>
    </w:p>
  </w:footnote>
  <w:footnote w:id="12">
    <w:p w14:paraId="45A6CCF4" w14:textId="75C2DF30" w:rsidR="00E00FEB" w:rsidRPr="00D1797C" w:rsidRDefault="00E00FEB">
      <w:pPr>
        <w:pStyle w:val="FootnoteText"/>
      </w:pPr>
      <w:r>
        <w:rPr>
          <w:rStyle w:val="FootnoteReference"/>
        </w:rPr>
        <w:footnoteRef/>
      </w:r>
      <w:r w:rsidRPr="00D1797C">
        <w:t xml:space="preserve"> </w:t>
      </w:r>
      <w:r>
        <w:fldChar w:fldCharType="begin" w:fldLock="1"/>
      </w:r>
      <w:r w:rsidRPr="00D1797C">
        <w:instrText>ADDIN CSL_CITATION {"citationItems":[{"id":"ITEM-1","itemData":{"author":[{"dropping-particle":"","family":"Connolly","given":"William E.","non-dropping-particle":"","parse-names":false,"suffix":""}],"id":"ITEM-1","issued":{"date-parts":[["2011"]]},"publisher":"Duke University Press","publisher-place":"Durham","title":"A World of Becoming","type":"book"},"locator":"71","uris":["http://www.mendeley.com/documents/?uuid=86f0b3d0-34e1-44dd-8134-ab2c6e2fa0ba"]},{"id":"ITEM-2","itemData":{"author":[{"dropping-particle":"","family":"Heidegger","given":"Martin","non-dropping-particle":"","parse-names":false,"suffix":""}],"container-title":"Basic Writings","editor":[{"dropping-particle":"","family":"Krell","given":"David Farrell","non-dropping-particle":"","parse-names":false,"suffix":""}],"id":"ITEM-2","issued":{"date-parts":[["2008"]]},"page":"139-212","publisher":"HarperCollins","publisher-place":"New York","title":"On the Origin of the Work of Art","type":"chapter"},"locator":"197-203","uris":["http://www.mendeley.com/documents/?uuid=0bb88163-f0f4-4b4a-9315-d1080e12dd12"]},{"id":"ITEM-3","itemData":{"author":[{"dropping-particle":"","family":"Heidegger","given":"Martin","non-dropping-particle":"","parse-names":false,"suffix":""}],"container-title":"Basic Writings","editor":[{"dropping-particle":"","family":"Krell","given":"David Farrell","non-dropping-particle":"","parse-names":false,"suffix":""}],"id":"ITEM-3","issued":{"date-parts":[["2008"]]},"page":"307-342","publisher":"HarperCollins","publisher-place":"New York","title":"The Question Concerning Technology","type":"chapter"},"locator":"317-18","uris":["http://www.mendeley.com/documents/?uuid=d53b0ebe-091b-4540-a7e4-9d9d39a89599"]}],"mendeley":{"formattedCitation":"Connolly, &lt;i&gt;A World of Becoming&lt;/i&gt;, 2011, 71; Heidegger, “On the Origin of the Work of Art,” 197–203; Heidegger, “The Question Concerning Technology,” 317–18.","plainTextFormattedCitation":"Connolly, A World of Becoming, 2011, 71; Heidegger, “On the Origin of the Work of Art,” 197–203; Heidegger, “The Question Concerning Technology,” 317–18.","previouslyFormattedCitation":"Connolly, &lt;i&gt;A World of Becoming&lt;/i&gt;, 2011, 71; Heidegger, “On the Origin of the Work of Art,” 197–203; Heidegger, “The Question Concerning Technology,” 317–18."},"properties":{"noteIndex":12},"schema":"https://github.com/citation-style-language/schema/raw/master/csl-citation.json"}</w:instrText>
      </w:r>
      <w:r>
        <w:fldChar w:fldCharType="separate"/>
      </w:r>
      <w:r w:rsidRPr="00D1797C">
        <w:rPr>
          <w:bCs/>
          <w:noProof/>
        </w:rPr>
        <w:t>Connolly</w:t>
      </w:r>
      <w:r w:rsidR="00D1797C">
        <w:rPr>
          <w:bCs/>
          <w:noProof/>
        </w:rPr>
        <w:t xml:space="preserve">: </w:t>
      </w:r>
      <w:r w:rsidRPr="00D1797C">
        <w:rPr>
          <w:bCs/>
          <w:i/>
          <w:noProof/>
        </w:rPr>
        <w:t>World of Becoming</w:t>
      </w:r>
      <w:r w:rsidRPr="00D1797C">
        <w:rPr>
          <w:bCs/>
          <w:noProof/>
        </w:rPr>
        <w:t>, 71; Heidegger</w:t>
      </w:r>
      <w:r w:rsidR="00D1797C">
        <w:rPr>
          <w:bCs/>
          <w:noProof/>
        </w:rPr>
        <w:t xml:space="preserve">: </w:t>
      </w:r>
      <w:r w:rsidRPr="00D1797C">
        <w:rPr>
          <w:bCs/>
          <w:noProof/>
        </w:rPr>
        <w:t>Origin of the Work of Art</w:t>
      </w:r>
      <w:r w:rsidR="002728E3">
        <w:rPr>
          <w:bCs/>
          <w:noProof/>
        </w:rPr>
        <w:t xml:space="preserve">. In: </w:t>
      </w:r>
      <w:r w:rsidR="002F6935" w:rsidRPr="00633C12">
        <w:rPr>
          <w:bCs/>
          <w:i/>
          <w:iCs/>
          <w:noProof/>
        </w:rPr>
        <w:t>Basic Writings</w:t>
      </w:r>
      <w:r w:rsidR="002F6935">
        <w:rPr>
          <w:bCs/>
          <w:noProof/>
        </w:rPr>
        <w:t xml:space="preserve">, </w:t>
      </w:r>
      <w:r w:rsidR="008902F7">
        <w:rPr>
          <w:bCs/>
          <w:noProof/>
        </w:rPr>
        <w:t>139-212, here</w:t>
      </w:r>
      <w:r w:rsidRPr="00D1797C">
        <w:rPr>
          <w:bCs/>
          <w:noProof/>
        </w:rPr>
        <w:t xml:space="preserve"> 197–203; Heidegger</w:t>
      </w:r>
      <w:r w:rsidR="00633C12">
        <w:rPr>
          <w:bCs/>
          <w:noProof/>
        </w:rPr>
        <w:t>:</w:t>
      </w:r>
      <w:r w:rsidRPr="00D1797C">
        <w:rPr>
          <w:bCs/>
          <w:noProof/>
        </w:rPr>
        <w:t xml:space="preserve"> The Question Concerning Technology</w:t>
      </w:r>
      <w:r w:rsidR="00633C12">
        <w:rPr>
          <w:bCs/>
          <w:noProof/>
        </w:rPr>
        <w:t xml:space="preserve">. In: </w:t>
      </w:r>
      <w:r w:rsidR="00633C12" w:rsidRPr="00116056">
        <w:rPr>
          <w:bCs/>
          <w:i/>
          <w:iCs/>
          <w:noProof/>
        </w:rPr>
        <w:t>Basic Writings</w:t>
      </w:r>
      <w:r w:rsidR="00633C12">
        <w:rPr>
          <w:bCs/>
          <w:noProof/>
        </w:rPr>
        <w:t xml:space="preserve">, </w:t>
      </w:r>
      <w:r w:rsidR="00116056">
        <w:rPr>
          <w:bCs/>
          <w:noProof/>
        </w:rPr>
        <w:t>307</w:t>
      </w:r>
      <w:r w:rsidR="00A34EAA">
        <w:rPr>
          <w:bCs/>
          <w:noProof/>
        </w:rPr>
        <w:t>–</w:t>
      </w:r>
      <w:r w:rsidR="00116056">
        <w:rPr>
          <w:bCs/>
          <w:noProof/>
        </w:rPr>
        <w:t>342, here</w:t>
      </w:r>
      <w:r w:rsidRPr="00D1797C">
        <w:rPr>
          <w:bCs/>
          <w:noProof/>
        </w:rPr>
        <w:t xml:space="preserve"> 317–</w:t>
      </w:r>
      <w:r w:rsidR="00A34EAA">
        <w:rPr>
          <w:bCs/>
          <w:noProof/>
        </w:rPr>
        <w:t>3</w:t>
      </w:r>
      <w:r w:rsidRPr="00D1797C">
        <w:rPr>
          <w:bCs/>
          <w:noProof/>
        </w:rPr>
        <w:t>18.</w:t>
      </w:r>
      <w:r>
        <w:fldChar w:fldCharType="end"/>
      </w:r>
    </w:p>
  </w:footnote>
  <w:footnote w:id="13">
    <w:p w14:paraId="50195A98" w14:textId="1037312B"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{"citationItems":[{"id":"ITEM-1","itemData":{"DOI":"10.1177/0090591703260853","ISSN":"00905917","abstract":"This essay seeks to give philosophical expression to the vitality, willfullness, and recalcitrance possessed by nonhuman entities and forces. It also considers the ethico-political import of an enhanced awareness of \"thing-power.\" Drawing from Lucretius, Spinoza, Gilles Deleuze, Bruno Latour, and others, it describes a materialism of lively matter, to be placed in conversation with the historical materialism of Marx and the body materialism of feminist and cultural studies. Thing-power materialism is a speculative onto-story, an admittedly presumptuous attempt to depict the nonhumanity that flows around and through humans. The essay concludes with a preliminary discussion of the ecological implications of thing-power.","author":[{"dropping-particle":"","family":"Bennett","given":"Jane","non-dropping-particle":"","parse-names":false,"suffix":""}],"container-title":"Political Theory","id":"ITEM-1","issue":"3","issued":{"date-parts":[["2004"]]},"page":"347-372","title":"The force of things: Steps toward an ecology of matter","type":"article-journal","volume":"32"},"locator":"353-54","uris":["http://www.mendeley.com/documents/?uuid=d7ec601c-b6f3-411a-b03b-363cd422ff17"]}],"mendeley":{"formattedCitation":"Bennett, “The Force of Things: Steps toward an Ecology of Matter,” 353–54.","plainTextFormattedCitation":"Bennett, “The Force of Things: Steps toward an Ecology of Matter,” 353–54.","previouslyFormattedCitation":"Bennett, “The Force of Things: Steps toward an Ecology of Matter,” 353–54."},"properties":{"noteIndex":13},"schema":"https://github.com/citation-style-language/schema/raw/master/csl-citation.json"}</w:instrText>
      </w:r>
      <w:r>
        <w:fldChar w:fldCharType="separate"/>
      </w:r>
      <w:r w:rsidRPr="00153BD4">
        <w:rPr>
          <w:noProof/>
        </w:rPr>
        <w:t>Bennett</w:t>
      </w:r>
      <w:r w:rsidR="00B218EB">
        <w:rPr>
          <w:noProof/>
        </w:rPr>
        <w:t>:</w:t>
      </w:r>
      <w:r w:rsidRPr="00153BD4">
        <w:rPr>
          <w:noProof/>
        </w:rPr>
        <w:t xml:space="preserve"> </w:t>
      </w:r>
      <w:r w:rsidRPr="00B218EB">
        <w:rPr>
          <w:i/>
          <w:iCs/>
          <w:noProof/>
        </w:rPr>
        <w:t>Force of Things</w:t>
      </w:r>
      <w:r w:rsidR="00B218EB">
        <w:rPr>
          <w:noProof/>
        </w:rPr>
        <w:t>,</w:t>
      </w:r>
      <w:r w:rsidRPr="00153BD4">
        <w:rPr>
          <w:noProof/>
        </w:rPr>
        <w:t xml:space="preserve"> 353–</w:t>
      </w:r>
      <w:r w:rsidR="00195919">
        <w:rPr>
          <w:noProof/>
        </w:rPr>
        <w:t>3</w:t>
      </w:r>
      <w:r w:rsidRPr="00153BD4">
        <w:rPr>
          <w:noProof/>
        </w:rPr>
        <w:t>54.</w:t>
      </w:r>
      <w:r>
        <w:fldChar w:fldCharType="end"/>
      </w:r>
    </w:p>
  </w:footnote>
  <w:footnote w:id="14">
    <w:p w14:paraId="4B0FF009" w14:textId="4552B003"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{"citationItems":[{"id":"ITEM-1","itemData":{"DOI":"10.1177/0090591703260853","ISSN":"00905917","abstract":"This essay seeks to give philosophical expression to the vitality, willfullness, and recalcitrance possessed by nonhuman entities and forces. It also considers the ethico-political import of an enhanced awareness of \"thing-power.\" Drawing from Lucretius, Spinoza, Gilles Deleuze, Bruno Latour, and others, it describes a materialism of lively matter, to be placed in conversation with the historical materialism of Marx and the body materialism of feminist and cultural studies. Thing-power materialism is a speculative onto-story, an admittedly presumptuous attempt to depict the nonhumanity that flows around and through humans. The essay concludes with a preliminary discussion of the ecological implications of thing-power.","author":[{"dropping-particle":"","family":"Bennett","given":"Jane","non-dropping-particle":"","parse-names":false,"suffix":""}],"container-title":"Political Theory","id":"ITEM-1","issue":"3","issued":{"date-parts":[["2004"]]},"page":"347-372","title":"The force of things: Steps toward an ecology of matter","type":"article-journal","volume":"32"},"locator":"355","uris":["http://www.mendeley.com/documents/?uuid=d7ec601c-b6f3-411a-b03b-363cd422ff17"]}],"mendeley":{"formattedCitation":"Bennett, 355.","plainTextFormattedCitation":"Bennett, 355.","previouslyFormattedCitation":"Bennett, 355."},"properties":{"noteIndex":14},"schema":"https://github.com/citation-style-language/schema/raw/master/csl-citation.json"}</w:instrText>
      </w:r>
      <w:r>
        <w:fldChar w:fldCharType="separate"/>
      </w:r>
      <w:r w:rsidRPr="00153BD4">
        <w:rPr>
          <w:noProof/>
        </w:rPr>
        <w:t>Bennett</w:t>
      </w:r>
      <w:r w:rsidR="00B218EB">
        <w:rPr>
          <w:noProof/>
        </w:rPr>
        <w:t xml:space="preserve">: </w:t>
      </w:r>
      <w:r w:rsidR="00195919" w:rsidRPr="00B218EB">
        <w:rPr>
          <w:i/>
          <w:iCs/>
          <w:noProof/>
        </w:rPr>
        <w:t>Force of Things</w:t>
      </w:r>
      <w:r w:rsidR="00195919">
        <w:rPr>
          <w:iCs/>
          <w:noProof/>
        </w:rPr>
        <w:t>,</w:t>
      </w:r>
      <w:r w:rsidR="00195919" w:rsidRPr="00153BD4">
        <w:rPr>
          <w:noProof/>
        </w:rPr>
        <w:t xml:space="preserve"> </w:t>
      </w:r>
      <w:r w:rsidRPr="00153BD4">
        <w:rPr>
          <w:noProof/>
        </w:rPr>
        <w:t>355.</w:t>
      </w:r>
      <w:r>
        <w:fldChar w:fldCharType="end"/>
      </w:r>
    </w:p>
  </w:footnote>
  <w:footnote w:id="15">
    <w:p w14:paraId="3C8F4F21" w14:textId="3A0392EA"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{"citationItems":[{"id":"ITEM-1","itemData":{"author":[{"dropping-particle":"","family":"Bennett","given":"Jane","non-dropping-particle":"","parse-names":false,"suffix":""}],"container-title":"Radical Democracy: Politics between abundance and lack","editor":[{"dropping-particle":"","family":"Thomassen","given":"Lasse","non-dropping-particle":"","parse-names":false,"suffix":""},{"dropping-particle":"","family":"Tonder","given":"Lars","non-dropping-particle":"","parse-names":false,"suffix":""}],"id":"ITEM-1","issued":{"date-parts":[["2005"]]},"page":"133-148","publisher":"Manchester University Press","publisher-place":"Manchester","title":"In parliament with things","type":"chapter"},"locator":"134","uris":["http://www.mendeley.com/documents/?uuid=88128202-c02e-4222-a616-8abf79d2a364"]}],"mendeley":{"formattedCitation":"Bennett, “In Parliament with Things,” 134.","plainTextFormattedCitation":"Bennett, “In Parliament with Things,” 134.","previouslyFormattedCitation":"Bennett, “In Parliament with Things,” 134."},"properties":{"noteIndex":15},"schema":"https://github.com/citation-style-language/schema/raw/master/csl-citation.json"}</w:instrText>
      </w:r>
      <w:r>
        <w:fldChar w:fldCharType="separate"/>
      </w:r>
      <w:r w:rsidRPr="00153BD4">
        <w:rPr>
          <w:noProof/>
        </w:rPr>
        <w:t>Bennett</w:t>
      </w:r>
      <w:r w:rsidR="00B218EB">
        <w:rPr>
          <w:noProof/>
        </w:rPr>
        <w:t xml:space="preserve">: </w:t>
      </w:r>
      <w:r w:rsidRPr="00495FF8">
        <w:rPr>
          <w:i/>
          <w:iCs/>
          <w:noProof/>
        </w:rPr>
        <w:t>In Parliament with Things</w:t>
      </w:r>
      <w:r w:rsidRPr="00153BD4">
        <w:rPr>
          <w:noProof/>
        </w:rPr>
        <w:t>, 134.</w:t>
      </w:r>
      <w:r>
        <w:fldChar w:fldCharType="end"/>
      </w:r>
    </w:p>
  </w:footnote>
  <w:footnote w:id="16">
    <w:p w14:paraId="01AE7140" w14:textId="39CBD9E8"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{"citationItems":[{"id":"ITEM-1","itemData":{"author":[{"dropping-particle":"","family":"Connolly","given":"William E.","non-dropping-particle":"","parse-names":false,"suffix":""}],"id":"ITEM-1","issued":{"date-parts":[["2011"]]},"publisher":"Duke University Press","publisher-place":"Durham","title":"A World of Becoming","type":"book"},"locator":"22-30","uris":["http://www.mendeley.com/documents/?uuid=86f0b3d0-34e1-44dd-8134-ab2c6e2fa0ba"]}],"mendeley":{"formattedCitation":"Connolly, &lt;i&gt;A World of Becoming&lt;/i&gt;, 2011, 22–30.","plainTextFormattedCitation":"Connolly, A World of Becoming, 2011, 22–30.","previouslyFormattedCitation":"Connolly, &lt;i&gt;A World of Becoming&lt;/i&gt;, 2011, 22–30."},"properties":{"noteIndex":16},"schema":"https://github.com/citation-style-language/schema/raw/master/csl-citation.json"}</w:instrText>
      </w:r>
      <w:r>
        <w:fldChar w:fldCharType="separate"/>
      </w:r>
      <w:r w:rsidRPr="00153BD4">
        <w:rPr>
          <w:bCs/>
          <w:noProof/>
          <w:lang w:val="en-US"/>
        </w:rPr>
        <w:t>Connolly</w:t>
      </w:r>
      <w:r w:rsidR="00495FF8">
        <w:rPr>
          <w:bCs/>
          <w:noProof/>
          <w:lang w:val="en-US"/>
        </w:rPr>
        <w:t>:</w:t>
      </w:r>
      <w:r w:rsidRPr="00153BD4">
        <w:rPr>
          <w:bCs/>
          <w:noProof/>
          <w:lang w:val="en-US"/>
        </w:rPr>
        <w:t xml:space="preserve"> </w:t>
      </w:r>
      <w:r w:rsidRPr="00153BD4">
        <w:rPr>
          <w:bCs/>
          <w:i/>
          <w:noProof/>
          <w:lang w:val="en-US"/>
        </w:rPr>
        <w:t>World of Becoming</w:t>
      </w:r>
      <w:r w:rsidRPr="00153BD4">
        <w:rPr>
          <w:bCs/>
          <w:noProof/>
          <w:lang w:val="en-US"/>
        </w:rPr>
        <w:t>, 22–30.</w:t>
      </w:r>
      <w:r>
        <w:fldChar w:fldCharType="end"/>
      </w:r>
    </w:p>
  </w:footnote>
  <w:footnote w:id="17">
    <w:p w14:paraId="519F9139" w14:textId="550892F1"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Deleuze","given":"Gilles","non-dropping-particle":"","parse-names":false,"suffix":""}],"editor":[{"dropping-particle":"","family":"Tomlinson","given":"Hugh","non-dropping-particle":"","parse-names":false,"suffix":""}],"id":"ITEM-1","issued":{"date-parts":[["1991"]]},"publisher":"Zone","publisher-place":"New York","title":"Bergsonism","type":"book"},"locator":"95","uris":["http://www.mendeley.com/documents/?uuid=bdc8b50d-ebb6-4410-a5b7-e1a6f179296f"]}],"mendeley":{"formattedCitation":"Deleuze, &lt;i&gt;Bergsonism&lt;/i&gt;, 95.","plainTextFormattedCitation":"Deleuze, Bergsonism, 95.","previouslyFormattedCitation":"Deleuze, &lt;i&gt;Bergsonism&lt;/i&gt;, 95."},"properties":{"noteIndex":17},"schema":"https://github.com/citation-style-language/schema/raw/master/csl-citation.json"}</w:instrText>
      </w:r>
      <w:r>
        <w:fldChar w:fldCharType="separate"/>
      </w:r>
      <w:r w:rsidRPr="00153BD4">
        <w:rPr>
          <w:bCs/>
          <w:noProof/>
          <w:lang w:val="en-US"/>
        </w:rPr>
        <w:t>Deleuze</w:t>
      </w:r>
      <w:r w:rsidR="00495FF8">
        <w:rPr>
          <w:bCs/>
          <w:noProof/>
          <w:lang w:val="en-US"/>
        </w:rPr>
        <w:t>:</w:t>
      </w:r>
      <w:r w:rsidRPr="00153BD4">
        <w:rPr>
          <w:bCs/>
          <w:noProof/>
          <w:lang w:val="en-US"/>
        </w:rPr>
        <w:t xml:space="preserve"> </w:t>
      </w:r>
      <w:r w:rsidRPr="00153BD4">
        <w:rPr>
          <w:bCs/>
          <w:i/>
          <w:noProof/>
          <w:lang w:val="en-US"/>
        </w:rPr>
        <w:t>Bergsonism</w:t>
      </w:r>
      <w:r w:rsidRPr="00153BD4">
        <w:rPr>
          <w:bCs/>
          <w:noProof/>
          <w:lang w:val="en-US"/>
        </w:rPr>
        <w:t>, 95.</w:t>
      </w:r>
      <w:r>
        <w:fldChar w:fldCharType="end"/>
      </w:r>
    </w:p>
  </w:footnote>
  <w:footnote w:id="18">
    <w:p w14:paraId="35FAD3F9" w14:textId="45425471"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{"citationItems":[{"id":"ITEM-1","itemData":{"author":[{"dropping-particle":"","family":"Connolly","given":"William E.","non-dropping-particle":"","parse-names":false,"suffix":""}],"id":"ITEM-1","issued":{"date-parts":[["2011"]]},"publisher":"Duke University Press","publisher-place":"Durham","title":"A World of Becoming","type":"book"},"locator":"22","uris":["http://www.mendeley.com/documents/?uuid=86f0b3d0-34e1-44dd-8134-ab2c6e2fa0ba"]}],"mendeley":{"formattedCitation":"Connolly, &lt;i&gt;A World of Becoming&lt;/i&gt;, 2011, 22.","plainTextFormattedCitation":"Connolly, A World of Becoming, 2011, 22.","previouslyFormattedCitation":"Connolly, &lt;i&gt;A World of Becoming&lt;/i&gt;, 2011, 22."},"properties":{"noteIndex":18},"schema":"https://github.com/citation-style-language/schema/raw/master/csl-citation.json"}</w:instrText>
      </w:r>
      <w:r>
        <w:fldChar w:fldCharType="separate"/>
      </w:r>
      <w:r w:rsidRPr="00153BD4">
        <w:rPr>
          <w:bCs/>
          <w:noProof/>
          <w:lang w:val="en-US"/>
        </w:rPr>
        <w:t>Connolly</w:t>
      </w:r>
      <w:r w:rsidR="00495FF8">
        <w:rPr>
          <w:bCs/>
          <w:noProof/>
          <w:lang w:val="en-US"/>
        </w:rPr>
        <w:t>:</w:t>
      </w:r>
      <w:r w:rsidRPr="00153BD4">
        <w:rPr>
          <w:bCs/>
          <w:noProof/>
          <w:lang w:val="en-US"/>
        </w:rPr>
        <w:t xml:space="preserve"> </w:t>
      </w:r>
      <w:r w:rsidRPr="00153BD4">
        <w:rPr>
          <w:bCs/>
          <w:i/>
          <w:noProof/>
          <w:lang w:val="en-US"/>
        </w:rPr>
        <w:t>World of Becoming</w:t>
      </w:r>
      <w:r w:rsidRPr="00153BD4">
        <w:rPr>
          <w:bCs/>
          <w:noProof/>
          <w:lang w:val="en-US"/>
        </w:rPr>
        <w:t>, 22.</w:t>
      </w:r>
      <w:r>
        <w:fldChar w:fldCharType="end"/>
      </w:r>
    </w:p>
  </w:footnote>
  <w:footnote w:id="19">
    <w:p w14:paraId="29F9C355" w14:textId="1B8A6E07" w:rsidR="00E00FEB" w:rsidRPr="00E00FEB" w:rsidRDefault="00E00FEB">
      <w:pPr>
        <w:pStyle w:val="FootnoteText"/>
        <w:rPr>
          <w:lang w:val="en-IN"/>
        </w:rPr>
      </w:pPr>
      <w:r>
        <w:rPr>
          <w:rStyle w:val="FootnoteReference"/>
        </w:rPr>
        <w:footnoteRef/>
      </w:r>
      <w:r>
        <w:t xml:space="preserve"> </w:t>
      </w:r>
      <w:r>
        <w:fldChar w:fldCharType="begin" w:fldLock="1"/>
      </w:r>
      <w:r w:rsidR="00866052">
        <w:instrText>ADDIN CSL_CITATION {"citationItems":[{"id":"ITEM-1","itemData":{"author":[{"dropping-particle":"","family":"Kothari","given":"Ashish","non-dropping-particle":"","parse-names":false,"suffix":""},{"dropping-particle":"","family":"Bhartari","given":"Rajiv","non-dropping-particle":"","parse-names":false,"suffix":""}],"container-title":"Economic and Political Weekly","id":"ITEM-1","issue":"22/23","issued":{"date-parts":[["1984"]]},"page":"907-920","title":"Narmada Valley Project: Development or Destruction?","type":"article-journal","volume":"19"},"uris":["http://www.mendeley.com/documents/?uuid=2b99bfd9-64e2-436f-8a6e-c4df6af9d0f1"]},{"id":"ITEM-2","itemData":{"author":[{"dropping-particle":"","family":"Dharmadhikary","given":"Shripad","non-dropping-particle":"","parse-names":false,"suffix":""}],"container-title":"India International Centre Quarterly","id":"ITEM-2","issue":"1","issued":{"date-parts":[["2006"]]},"page":"65-78","title":"The Narmada - death of a river","type":"article-journal","volume":"33"},"uris":["http://www.mendeley.com/documents/?uuid=3813479a-dde8-4713-bc50-de4d84db6168"]}],"mendeley":{"formattedCitation":"Kothari and Bhartari, “Narmada Valley Project: Development or Destruction?”; Dharmadhikary, “The Narmada - Death of a River.”","plainTextFormattedCitation":"Kothari and Bhartari, “Narmada Valley Project: Development or Destruction?”; Dharmadhikary, “The Narmada - Death of a River.”","previouslyFormattedCitation":"Kothari and Bhartari, “Narmada Valley Project: Development or Destruction?”; Dharmadhikary, “The Narmada - Death of a River.”"},"properties":{"noteIndex":19},"schema":"https://github.com/citation-style-language/schema/raw/master/csl-citation.json"}</w:instrText>
      </w:r>
      <w:r>
        <w:fldChar w:fldCharType="separate"/>
      </w:r>
      <w:r w:rsidRPr="00E00FEB">
        <w:rPr>
          <w:noProof/>
        </w:rPr>
        <w:t>Kothari and Bhartari</w:t>
      </w:r>
      <w:r w:rsidR="00DA2E91">
        <w:rPr>
          <w:noProof/>
        </w:rPr>
        <w:t>:</w:t>
      </w:r>
      <w:r w:rsidRPr="00E00FEB">
        <w:rPr>
          <w:noProof/>
        </w:rPr>
        <w:t xml:space="preserve"> </w:t>
      </w:r>
      <w:r w:rsidRPr="003358DE">
        <w:rPr>
          <w:i/>
          <w:iCs/>
          <w:noProof/>
        </w:rPr>
        <w:t>Narmada Valley Project</w:t>
      </w:r>
      <w:r w:rsidRPr="00E00FEB">
        <w:rPr>
          <w:noProof/>
        </w:rPr>
        <w:t>; Dharmadhikary</w:t>
      </w:r>
      <w:r w:rsidR="00DA2E91">
        <w:rPr>
          <w:noProof/>
        </w:rPr>
        <w:t>:</w:t>
      </w:r>
      <w:r w:rsidRPr="00E00FEB">
        <w:rPr>
          <w:noProof/>
        </w:rPr>
        <w:t xml:space="preserve"> </w:t>
      </w:r>
      <w:r w:rsidRPr="003358DE">
        <w:rPr>
          <w:i/>
          <w:iCs/>
          <w:noProof/>
        </w:rPr>
        <w:t>Death of a River</w:t>
      </w:r>
      <w:r w:rsidRPr="00E00FEB">
        <w:rPr>
          <w:noProof/>
        </w:rPr>
        <w:t>.</w:t>
      </w:r>
      <w:r>
        <w:fldChar w:fldCharType="end"/>
      </w:r>
    </w:p>
  </w:footnote>
  <w:footnote w:id="20">
    <w:p w14:paraId="7168D9D6" w14:textId="3A44A8E8"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{"citationItems":[{"id":"ITEM-1","itemData":{"author":[{"dropping-particle":"","family":"Baviskar","given":"Amita","non-dropping-particle":"","parse-names":false,"suffix":""}],"id":"ITEM-1","issued":{"date-parts":[["1995"]]},"publisher":"Oxford University Press","publisher-place":"Delhi","title":"In the Belly of the River: Tribal conflicts over development in the Narmada Valley","type":"book"},"locator":"90, 144","uris":["http://www.mendeley.com/documents/?uuid=2e4abf3b-63a9-4eac-8006-4bb0bf62be45"]}],"mendeley":{"formattedCitation":"Baviskar, &lt;i&gt;In the Belly of the River: Tribal Conflicts over Development in the Narmada Valley&lt;/i&gt;, 90, 144.","plainTextFormattedCitation":"Baviskar, In the Belly of the River: Tribal Conflicts over Development in the Narmada Valley, 90, 144.","previouslyFormattedCitation":"Baviskar, &lt;i&gt;In the Belly of the River: Tribal Conflicts over Development in the Narmada Valley&lt;/i&gt;, 90, 144."},"properties":{"noteIndex":20},"schema":"https://github.com/citation-style-language/schema/raw/master/csl-citation.json"}</w:instrText>
      </w:r>
      <w:r>
        <w:fldChar w:fldCharType="separate"/>
      </w:r>
      <w:r w:rsidRPr="00153BD4">
        <w:rPr>
          <w:bCs/>
          <w:noProof/>
          <w:lang w:val="en-US"/>
        </w:rPr>
        <w:t>Baviskar</w:t>
      </w:r>
      <w:r w:rsidR="003358DE">
        <w:rPr>
          <w:bCs/>
          <w:noProof/>
          <w:lang w:val="en-US"/>
        </w:rPr>
        <w:t xml:space="preserve">: </w:t>
      </w:r>
      <w:r w:rsidRPr="00153BD4">
        <w:rPr>
          <w:bCs/>
          <w:i/>
          <w:noProof/>
          <w:lang w:val="en-US"/>
        </w:rPr>
        <w:t>Belly of the River</w:t>
      </w:r>
      <w:r w:rsidRPr="00153BD4">
        <w:rPr>
          <w:bCs/>
          <w:noProof/>
          <w:lang w:val="en-US"/>
        </w:rPr>
        <w:t>, 90, 144.</w:t>
      </w:r>
      <w:r>
        <w:fldChar w:fldCharType="end"/>
      </w:r>
    </w:p>
  </w:footnote>
  <w:footnote w:id="21">
    <w:p w14:paraId="2F599712" w14:textId="0FB184F8"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{"citationItems":[{"id":"ITEM-1","itemData":{"author":[{"dropping-particle":"","family":"Baviskar","given":"Amita","non-dropping-particle":"","parse-names":false,"suffix":""}],"id":"ITEM-1","issued":{"date-parts":[["1995"]]},"publisher":"Oxford University Press","publisher-place":"Delhi","title":"In the Belly of the River: Tribal conflicts over development in the Narmada Valley","type":"book"},"locator":"90, 163","uris":["http://www.mendeley.com/documents/?uuid=2e4abf3b-63a9-4eac-8006-4bb0bf62be45"]}],"mendeley":{"formattedCitation":"Baviskar, 90, 163.","plainTextFormattedCitation":"Baviskar, 90, 163.","previouslyFormattedCitation":"Baviskar, 90, 163."},"properties":{"noteIndex":21},"schema":"https://github.com/citation-style-language/schema/raw/master/csl-citation.json"}</w:instrText>
      </w:r>
      <w:r>
        <w:fldChar w:fldCharType="separate"/>
      </w:r>
      <w:r w:rsidRPr="00153BD4">
        <w:rPr>
          <w:bCs/>
          <w:noProof/>
          <w:lang w:val="en-US"/>
        </w:rPr>
        <w:t>Baviskar</w:t>
      </w:r>
      <w:r w:rsidR="003358DE">
        <w:rPr>
          <w:bCs/>
          <w:noProof/>
          <w:lang w:val="en-US"/>
        </w:rPr>
        <w:t xml:space="preserve">: </w:t>
      </w:r>
      <w:r w:rsidR="00195919" w:rsidRPr="00153BD4">
        <w:rPr>
          <w:bCs/>
          <w:i/>
          <w:noProof/>
          <w:lang w:val="en-US"/>
        </w:rPr>
        <w:t>Belly of the River</w:t>
      </w:r>
      <w:r w:rsidR="00195919" w:rsidRPr="00153BD4">
        <w:rPr>
          <w:bCs/>
          <w:noProof/>
          <w:lang w:val="en-US"/>
        </w:rPr>
        <w:t>,</w:t>
      </w:r>
      <w:r w:rsidR="00195919">
        <w:rPr>
          <w:bCs/>
          <w:noProof/>
          <w:lang w:val="en-US"/>
        </w:rPr>
        <w:t xml:space="preserve"> </w:t>
      </w:r>
      <w:r w:rsidRPr="00153BD4">
        <w:rPr>
          <w:bCs/>
          <w:noProof/>
          <w:lang w:val="en-US"/>
        </w:rPr>
        <w:t>90, 163.</w:t>
      </w:r>
      <w:r>
        <w:fldChar w:fldCharType="end"/>
      </w:r>
    </w:p>
  </w:footnote>
  <w:footnote w:id="22">
    <w:p w14:paraId="4DB4DCEE" w14:textId="55579BBF"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{"citationItems":[{"id":"ITEM-1","itemData":{"author":[{"dropping-particle":"","family":"Connolly","given":"William E.","non-dropping-particle":"","parse-names":false,"suffix":""}],"id":"ITEM-1","issued":{"date-parts":[["2011"]]},"publisher":"Duke University Press","publisher-place":"Durham","title":"A World of Becoming","type":"book"},"locator":"111","uris":["http://www.mendeley.com/documents/?uuid=86f0b3d0-34e1-44dd-8134-ab2c6e2fa0ba"]}],"mendeley":{"formattedCitation":"Connolly, &lt;i&gt;A World of Becoming&lt;/i&gt;, 2011, 111.","plainTextFormattedCitation":"Connolly, A World of Becoming, 2011, 111.","previouslyFormattedCitation":"Connolly, &lt;i&gt;A World of Becoming&lt;/i&gt;, 2011, 111."},"properties":{"noteIndex":22},"schema":"https://github.com/citation-style-language/schema/raw/master/csl-citation.json"}</w:instrText>
      </w:r>
      <w:r>
        <w:fldChar w:fldCharType="separate"/>
      </w:r>
      <w:r w:rsidRPr="00153BD4">
        <w:rPr>
          <w:noProof/>
        </w:rPr>
        <w:t>Connolly</w:t>
      </w:r>
      <w:r w:rsidR="003358DE">
        <w:rPr>
          <w:noProof/>
        </w:rPr>
        <w:t>:</w:t>
      </w:r>
      <w:r w:rsidRPr="00153BD4">
        <w:rPr>
          <w:noProof/>
        </w:rPr>
        <w:t xml:space="preserve"> </w:t>
      </w:r>
      <w:r w:rsidRPr="00153BD4">
        <w:rPr>
          <w:i/>
          <w:noProof/>
        </w:rPr>
        <w:t>World of Becoming</w:t>
      </w:r>
      <w:r w:rsidRPr="00153BD4">
        <w:rPr>
          <w:noProof/>
        </w:rPr>
        <w:t>, 111.</w:t>
      </w:r>
      <w:r>
        <w:fldChar w:fldCharType="end"/>
      </w:r>
    </w:p>
  </w:footnote>
  <w:footnote w:id="23">
    <w:p w14:paraId="75827244" w14:textId="0A8E43CA"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Nietzsche","given":"Friedrich","non-dropping-particle":"","parse-names":false,"suffix":""}],"editor":[{"dropping-particle":"","family":"Caro","given":"Adrian","non-dropping-particle":"Del","parse-names":false,"suffix":""},{"dropping-particle":"","family":"Pippin","given":"Robert B.","non-dropping-particle":"","parse-names":false,"suffix":""}],"id":"ITEM-1","issued":{"date-parts":[["2006"]]},"publisher":"Cambridge University Press","publisher-place":"Cambridge","title":"Thus Spoke Zarathustra","type":"book"},"locator":"125","uris":["http://www.mendeley.com/documents/?uuid=074e204a-18e6-4de7-966b-3684546a18d3"]}],"mendeley":{"formattedCitation":"Nietzsche, &lt;i&gt;Thus Spoke Zarathustra&lt;/i&gt;, 125.","plainTextFormattedCitation":"Nietzsche, Thus Spoke Zarathustra, 125.","previouslyFormattedCitation":"Nietzsche, &lt;i&gt;Thus Spoke Zarathustra&lt;/i&gt;, 125."},"properties":{"noteIndex":23},"schema":"https://github.com/citation-style-language/schema/raw/master/csl-citation.json"}</w:instrText>
      </w:r>
      <w:r>
        <w:fldChar w:fldCharType="separate"/>
      </w:r>
      <w:r w:rsidRPr="00153BD4">
        <w:rPr>
          <w:noProof/>
        </w:rPr>
        <w:t>Nietzsche</w:t>
      </w:r>
      <w:r w:rsidR="0059616E">
        <w:rPr>
          <w:noProof/>
        </w:rPr>
        <w:t>:</w:t>
      </w:r>
      <w:r w:rsidRPr="00153BD4">
        <w:rPr>
          <w:noProof/>
        </w:rPr>
        <w:t xml:space="preserve"> </w:t>
      </w:r>
      <w:r w:rsidRPr="00153BD4">
        <w:rPr>
          <w:i/>
          <w:noProof/>
        </w:rPr>
        <w:t>Zarathustra</w:t>
      </w:r>
      <w:r w:rsidRPr="00153BD4">
        <w:rPr>
          <w:noProof/>
        </w:rPr>
        <w:t>, 125.</w:t>
      </w:r>
      <w:r>
        <w:fldChar w:fldCharType="end"/>
      </w:r>
    </w:p>
  </w:footnote>
  <w:footnote w:id="24">
    <w:p w14:paraId="59C8BD0C" w14:textId="6443E050"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{"citationItems":[{"id":"ITEM-1","itemData":{"author":[{"dropping-particle":"","family":"Connolly","given":"William E.","non-dropping-particle":"","parse-names":false,"suffix":""}],"container-title":"Nietzsche, Power and Politics: Rethinking Nietzsche's Legacy for Political Thought","editor":[{"dropping-particle":"","family":"Siemens","given":"Herman W.","non-dropping-particle":"","parse-names":false,"suffix":""},{"dropping-particle":"","family":"Roodt","given":"Vasti","non-dropping-particle":"","parse-names":false,"suffix":""}],"id":"ITEM-1","issued":{"date-parts":[["2008"]]},"page":"109-141","publisher":"De Gruyter","publisher-place":"Berlin","title":"Nietzsche, Democracy, Time","type":"chapter"},"locator":"112","uris":["http://www.mendeley.com/documents/?uuid=693c18fc-45b9-4f92-84c3-c4b3b7ba5dd0"]}],"mendeley":{"formattedCitation":"Connolly, “Nietzsche, Democracy, Time,” 112.","plainTextFormattedCitation":"Connolly, “Nietzsche, Democracy, Time,” 112.","previouslyFormattedCitation":"Connolly, “Nietzsche, Democracy, Time,” 112."},"properties":{"noteIndex":24},"schema":"https://github.com/citation-style-language/schema/raw/master/csl-citation.json"}</w:instrText>
      </w:r>
      <w:r>
        <w:fldChar w:fldCharType="separate"/>
      </w:r>
      <w:r w:rsidRPr="00153BD4">
        <w:rPr>
          <w:noProof/>
        </w:rPr>
        <w:t>Connolly</w:t>
      </w:r>
      <w:r w:rsidR="0059616E">
        <w:rPr>
          <w:noProof/>
        </w:rPr>
        <w:t>:</w:t>
      </w:r>
      <w:r w:rsidRPr="00153BD4">
        <w:rPr>
          <w:noProof/>
        </w:rPr>
        <w:t xml:space="preserve"> </w:t>
      </w:r>
      <w:r w:rsidRPr="0059616E">
        <w:rPr>
          <w:i/>
          <w:iCs/>
          <w:noProof/>
        </w:rPr>
        <w:t>Nietzsche, Democracy, Time</w:t>
      </w:r>
      <w:r w:rsidRPr="00153BD4">
        <w:rPr>
          <w:noProof/>
        </w:rPr>
        <w:t>, 112.</w:t>
      </w:r>
      <w:r>
        <w:fldChar w:fldCharType="end"/>
      </w:r>
    </w:p>
  </w:footnote>
  <w:footnote w:id="25">
    <w:p w14:paraId="5BBDF66D" w14:textId="0163C814"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Nietzsche","given":"Friedrich","non-dropping-particle":"","parse-names":false,"suffix":""}],"editor":[{"dropping-particle":"","family":"Kaufmann","given":"Walter","non-dropping-particle":"","parse-names":false,"suffix":""}],"id":"ITEM-1","issued":{"date-parts":[["1974"]]},"publisher":"Vintage Books","publisher-place":"New York","title":"The Gay Science","type":"book"},"locator":"343","uris":["http://www.mendeley.com/documents/?uuid=a491170d-9941-47c3-88fb-b0dff1ec24e2"]}],"mendeley":{"formattedCitation":"Nietzsche, &lt;i&gt;The Gay Science&lt;/i&gt;, 343.","plainTextFormattedCitation":"Nietzsche, The Gay Science, 343.","previouslyFormattedCitation":"Nietzsche, &lt;i&gt;The Gay Science&lt;/i&gt;, 343."},"properties":{"noteIndex":25},"schema":"https://github.com/citation-style-language/schema/raw/master/csl-citation.json"}</w:instrText>
      </w:r>
      <w:r>
        <w:fldChar w:fldCharType="separate"/>
      </w:r>
      <w:r w:rsidRPr="00153BD4">
        <w:rPr>
          <w:noProof/>
        </w:rPr>
        <w:t>Nietzsche</w:t>
      </w:r>
      <w:r w:rsidR="0059616E">
        <w:rPr>
          <w:noProof/>
        </w:rPr>
        <w:t>:</w:t>
      </w:r>
      <w:r w:rsidRPr="00153BD4">
        <w:rPr>
          <w:noProof/>
        </w:rPr>
        <w:t xml:space="preserve"> </w:t>
      </w:r>
      <w:r w:rsidRPr="00153BD4">
        <w:rPr>
          <w:i/>
          <w:noProof/>
        </w:rPr>
        <w:t>Gay Science</w:t>
      </w:r>
      <w:r w:rsidRPr="00153BD4">
        <w:rPr>
          <w:noProof/>
        </w:rPr>
        <w:t>, 343.</w:t>
      </w:r>
      <w:r>
        <w:fldChar w:fldCharType="end"/>
      </w:r>
    </w:p>
  </w:footnote>
  <w:footnote w:id="26">
    <w:p w14:paraId="27ADF496" w14:textId="51314DF4"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{"citationItems":[{"id":"ITEM-1","itemData":{"author":[{"dropping-particle":"","family":"Connolly","given":"William E.","non-dropping-particle":"","parse-names":false,"suffix":""}],"id":"ITEM-1","issued":{"date-parts":[["2011"]]},"publisher":"Duke University Press","publisher-place":"Durham","title":"A World of Becoming","type":"book"},"locator":"99-104","uris":["http://www.mendeley.com/documents/?uuid=86f0b3d0-34e1-44dd-8134-ab2c6e2fa0ba"]}],"mendeley":{"formattedCitation":"Connolly, &lt;i&gt;A World of Becoming&lt;/i&gt;, 2011, 99–104.","plainTextFormattedCitation":"Connolly, A World of Becoming, 2011, 99–104.","previouslyFormattedCitation":"Connolly, &lt;i&gt;A World of Becoming&lt;/i&gt;, 2011, 99–104."},"properties":{"noteIndex":26},"schema":"https://github.com/citation-style-language/schema/raw/master/csl-citation.json"}</w:instrText>
      </w:r>
      <w:r>
        <w:fldChar w:fldCharType="separate"/>
      </w:r>
      <w:r w:rsidRPr="00153BD4">
        <w:rPr>
          <w:bCs/>
          <w:noProof/>
          <w:lang w:val="en-US"/>
        </w:rPr>
        <w:t>Connolly</w:t>
      </w:r>
      <w:r w:rsidR="0059616E">
        <w:rPr>
          <w:bCs/>
          <w:noProof/>
          <w:lang w:val="en-US"/>
        </w:rPr>
        <w:t xml:space="preserve">: </w:t>
      </w:r>
      <w:r w:rsidRPr="00153BD4">
        <w:rPr>
          <w:bCs/>
          <w:i/>
          <w:noProof/>
          <w:lang w:val="en-US"/>
        </w:rPr>
        <w:t>World of Becoming</w:t>
      </w:r>
      <w:r w:rsidRPr="00153BD4">
        <w:rPr>
          <w:bCs/>
          <w:noProof/>
          <w:lang w:val="en-US"/>
        </w:rPr>
        <w:t>, 99–104.</w:t>
      </w:r>
      <w:r>
        <w:fldChar w:fldCharType="end"/>
      </w:r>
    </w:p>
  </w:footnote>
  <w:footnote w:id="27">
    <w:p w14:paraId="2FC7752C" w14:textId="6D7693A9"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Deleuze","given":"Gilles","non-dropping-particle":"","parse-names":false,"suffix":""}],"editor":[{"dropping-particle":"","family":"Tomlinson","given":"Hugh","non-dropping-particle":"","parse-names":false,"suffix":""}],"id":"ITEM-1","issued":{"date-parts":[["1991"]]},"publisher":"Zone","publisher-place":"New York","title":"Bergsonism","type":"book"},"locator":"80","uris":["http://www.mendeley.com/documents/?uuid=bdc8b50d-ebb6-4410-a5b7-e1a6f179296f"]}],"mendeley":{"formattedCitation":"Deleuze, &lt;i&gt;Bergsonism&lt;/i&gt;, 80.","plainTextFormattedCitation":"Deleuze, Bergsonism, 80.","previouslyFormattedCitation":"Deleuze, &lt;i&gt;Bergsonism&lt;/i&gt;, 80."},"properties":{"noteIndex":27},"schema":"https://github.com/citation-style-language/schema/raw/master/csl-citation.json"}</w:instrText>
      </w:r>
      <w:r>
        <w:fldChar w:fldCharType="separate"/>
      </w:r>
      <w:r w:rsidRPr="00153BD4">
        <w:rPr>
          <w:bCs/>
          <w:noProof/>
          <w:lang w:val="en-US"/>
        </w:rPr>
        <w:t>Deleuze</w:t>
      </w:r>
      <w:r w:rsidR="0059616E">
        <w:rPr>
          <w:bCs/>
          <w:noProof/>
          <w:lang w:val="en-US"/>
        </w:rPr>
        <w:t>:</w:t>
      </w:r>
      <w:r w:rsidRPr="00153BD4">
        <w:rPr>
          <w:bCs/>
          <w:noProof/>
          <w:lang w:val="en-US"/>
        </w:rPr>
        <w:t xml:space="preserve"> </w:t>
      </w:r>
      <w:r w:rsidRPr="00153BD4">
        <w:rPr>
          <w:bCs/>
          <w:i/>
          <w:noProof/>
          <w:lang w:val="en-US"/>
        </w:rPr>
        <w:t>Bergsonism</w:t>
      </w:r>
      <w:r w:rsidRPr="00153BD4">
        <w:rPr>
          <w:bCs/>
          <w:noProof/>
          <w:lang w:val="en-US"/>
        </w:rPr>
        <w:t>, 80.</w:t>
      </w:r>
      <w:r>
        <w:fldChar w:fldCharType="end"/>
      </w:r>
    </w:p>
  </w:footnote>
  <w:footnote w:id="28">
    <w:p w14:paraId="462324BC" w14:textId="25789716"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{"citationItems":[{"id":"ITEM-1","itemData":{"DOI":"10.1353/sub.0.0065","ISSN":"00492426","author":[{"dropping-particle":"","family":"Smith","given":"Anthony Paul","non-dropping-particle":"","parse-names":false,"suffix":""}],"container-title":"Sub-Stance","id":"ITEM-1","issue":"1","issued":{"date-parts":[["2010"]]},"page":"103-114","title":"Believing in this world for the making of gods: Ecology of the virtual and the actual","type":"article-journal","volume":"39"},"locator":"108","uris":["http://www.mendeley.com/documents/?uuid=e03643f4-9aad-4f88-8699-5d558eb2b4f3"]}],"mendeley":{"formattedCitation":"Smith, “Believing in This World for the Making of Gods: Ecology of the Virtual and the Actual,” 108.","plainTextFormattedCitation":"Smith, “Believing in This World for the Making of Gods: Ecology of the Virtual and the Actual,” 108.","previouslyFormattedCitation":"Smith, “Believing in This World for the Making of Gods: Ecology of the Virtual and the Actual,” 108."},"properties":{"noteIndex":28},"schema":"https://github.com/citation-style-language/schema/raw/master/csl-citation.json"}</w:instrText>
      </w:r>
      <w:r>
        <w:fldChar w:fldCharType="separate"/>
      </w:r>
      <w:r w:rsidRPr="00153BD4">
        <w:rPr>
          <w:noProof/>
        </w:rPr>
        <w:t>Smith</w:t>
      </w:r>
      <w:r w:rsidR="0059616E">
        <w:rPr>
          <w:noProof/>
        </w:rPr>
        <w:t xml:space="preserve">: </w:t>
      </w:r>
      <w:r w:rsidRPr="0059616E">
        <w:rPr>
          <w:i/>
          <w:iCs/>
          <w:noProof/>
        </w:rPr>
        <w:t>Believing in This World</w:t>
      </w:r>
      <w:r w:rsidRPr="00153BD4">
        <w:rPr>
          <w:noProof/>
        </w:rPr>
        <w:t>, 108.</w:t>
      </w:r>
      <w:r>
        <w:fldChar w:fldCharType="end"/>
      </w:r>
    </w:p>
  </w:footnote>
  <w:footnote w:id="29">
    <w:p w14:paraId="42DE5325" w14:textId="6D28714C" w:rsidR="00E00FEB" w:rsidRPr="006F3E8F" w:rsidRDefault="00E00FEB">
      <w:pPr>
        <w:pStyle w:val="FootnoteText"/>
        <w:rPr>
          <w:lang w:val="fr-FR"/>
        </w:rPr>
      </w:pPr>
      <w:r>
        <w:rPr>
          <w:rStyle w:val="FootnoteReference"/>
        </w:rPr>
        <w:footnoteRef/>
      </w:r>
      <w:r w:rsidRPr="006F3E8F">
        <w:rPr>
          <w:lang w:val="fr-FR"/>
        </w:rPr>
        <w:t xml:space="preserve"> </w:t>
      </w:r>
      <w:r>
        <w:fldChar w:fldCharType="begin" w:fldLock="1"/>
      </w:r>
      <w:r w:rsidRPr="006F3E8F">
        <w:rPr>
          <w:lang w:val="fr-FR"/>
        </w:rPr>
        <w:instrText>ADDIN CSL_CITATION {"citationItems":[{"id":"ITEM-1","itemData":{"author":[{"dropping-particle":"","family":"Deleuze","given":"Gilles","non-dropping-particle":"","parse-names":false,"suffix":""},{"dropping-particle":"","family":"Parnet","given":"Claire","non-dropping-particle":"","parse-names":false,"suffix":""}],"editor":[{"dropping-particle":"","family":"Tomlinson","given":"Hugh","non-dropping-particle":"","parse-names":false,"suffix":""},{"dropping-particle":"","family":"Habberjam","given":"Barbara","non-dropping-particle":"","parse-names":false,"suffix":""}],"id":"ITEM-1","issued":{"date-parts":[["2007"]]},"publisher":"Columbia University Press","publisher-place":"New York","title":"Dialogues II","type":"book"},"locator":"149","uris":["http://www.mendeley.com/documents/?uuid=617d39c1-581d-4faf-8bcc-0753a73889b6"]}],"mendeley":{"formattedCitation":"Deleuze and Parnet, &lt;i&gt;Dialogues II&lt;/i&gt;, 149.","plainTextFormattedCitation":"Deleuze and Parnet, Dialogues II, 149.","previouslyFormattedCitation":"Deleuze and Parnet, &lt;i&gt;Dialogues II&lt;/i&gt;, 149."},"properties":{"noteIndex":29},"schema":"https://github.com/citation-style-language/schema/raw/master/csl-citation.json"}</w:instrText>
      </w:r>
      <w:r>
        <w:fldChar w:fldCharType="separate"/>
      </w:r>
      <w:r w:rsidRPr="006F3E8F">
        <w:rPr>
          <w:noProof/>
          <w:lang w:val="fr-FR"/>
        </w:rPr>
        <w:t>Deleuze and Parnet</w:t>
      </w:r>
      <w:r w:rsidR="0059616E">
        <w:rPr>
          <w:noProof/>
          <w:lang w:val="fr-FR"/>
        </w:rPr>
        <w:t>:</w:t>
      </w:r>
      <w:r w:rsidRPr="006F3E8F">
        <w:rPr>
          <w:noProof/>
          <w:lang w:val="fr-FR"/>
        </w:rPr>
        <w:t xml:space="preserve"> </w:t>
      </w:r>
      <w:r w:rsidRPr="006F3E8F">
        <w:rPr>
          <w:i/>
          <w:noProof/>
          <w:lang w:val="fr-FR"/>
        </w:rPr>
        <w:t>Dialogues II</w:t>
      </w:r>
      <w:r w:rsidRPr="006F3E8F">
        <w:rPr>
          <w:noProof/>
          <w:lang w:val="fr-FR"/>
        </w:rPr>
        <w:t>, 149.</w:t>
      </w:r>
      <w:r>
        <w:fldChar w:fldCharType="end"/>
      </w:r>
    </w:p>
  </w:footnote>
  <w:footnote w:id="30">
    <w:p w14:paraId="61581E19" w14:textId="6D6115EA"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Deleuze","given":"Gilles","non-dropping-particle":"","parse-names":false,"suffix":""},{"dropping-particle":"","family":"Guattari","given":"Felix","non-dropping-particle":"","parse-names":false,"suffix":""}],"id":"ITEM-1","issued":{"date-parts":[["2020"]]},"publisher":"Bloomsbury","publisher-place":"London","title":"A Thousand Plateaus","type":"book"},"locator":"222","uris":["http://www.mendeley.com/documents/?uuid=4a66a8a7-2e9a-49eb-9d40-434d3c3d9824"]}],"mendeley":{"formattedCitation":"Deleuze and Guattari, &lt;i&gt;A Thousand Plateaus&lt;/i&gt;, 222.","plainTextFormattedCitation":"Deleuze and Guattari, A Thousand Plateaus, 222.","previouslyFormattedCitation":"Deleuze and Guattari, &lt;i&gt;A Thousand Plateaus&lt;/i&gt;, 222."},"properties":{"noteIndex":30},"schema":"https://github.com/citation-style-language/schema/raw/master/csl-citation.json"}</w:instrText>
      </w:r>
      <w:r>
        <w:fldChar w:fldCharType="separate"/>
      </w:r>
      <w:r w:rsidRPr="00153BD4">
        <w:rPr>
          <w:noProof/>
        </w:rPr>
        <w:t>Deleuze and Guattari</w:t>
      </w:r>
      <w:r w:rsidR="0059616E">
        <w:rPr>
          <w:noProof/>
        </w:rPr>
        <w:t>:</w:t>
      </w:r>
      <w:r w:rsidRPr="00153BD4">
        <w:rPr>
          <w:noProof/>
        </w:rPr>
        <w:t xml:space="preserve"> </w:t>
      </w:r>
      <w:r w:rsidRPr="00153BD4">
        <w:rPr>
          <w:i/>
          <w:noProof/>
        </w:rPr>
        <w:t>A Thousand Plateaus</w:t>
      </w:r>
      <w:r w:rsidRPr="00153BD4">
        <w:rPr>
          <w:noProof/>
        </w:rPr>
        <w:t>, 222.</w:t>
      </w:r>
      <w:r>
        <w:fldChar w:fldCharType="end"/>
      </w:r>
    </w:p>
  </w:footnote>
  <w:footnote w:id="31">
    <w:p w14:paraId="44EDEBFD" w14:textId="37DAE2A1"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{"citationItems":[{"id":"ITEM-1","itemData":{"author":[{"dropping-particle":"","family":"Bennett","given":"Jane","non-dropping-particle":"","parse-names":false,"suffix":""},{"dropping-particle":"","family":"Connolly","given":"William E.","non-dropping-particle":"","parse-names":false,"suffix":""}],"container-title":"Journal of Nietzsche Studies","id":"ITEM-1","issued":{"date-parts":[["2002"]]},"page":"148-163","title":"Contesting Nature/Culture: The Creative Character of Thinking","type":"article-journal","volume":"24"},"locator":"151","uris":["http://www.mendeley.com/documents/?uuid=c5974ab1-277b-45be-96a9-2355d9de26fd"]}],"mendeley":{"formattedCitation":"Bennett and Connolly, “Contesting Nature/Culture: The Creative Character of Thinking,” 151.","plainTextFormattedCitation":"Bennett and Connolly, “Contesting Nature/Culture: The Creative Character of Thinking,” 151.","previouslyFormattedCitation":"Bennett and Connolly, “Contesting Nature/Culture: The Creative Character of Thinking,” 151."},"properties":{"noteIndex":31},"schema":"https://github.com/citation-style-language/schema/raw/master/csl-citation.json"}</w:instrText>
      </w:r>
      <w:r>
        <w:fldChar w:fldCharType="separate"/>
      </w:r>
      <w:r w:rsidRPr="00153BD4">
        <w:rPr>
          <w:noProof/>
        </w:rPr>
        <w:t>Bennett and Connolly</w:t>
      </w:r>
      <w:r w:rsidR="0059616E">
        <w:rPr>
          <w:noProof/>
        </w:rPr>
        <w:t>:</w:t>
      </w:r>
      <w:r w:rsidRPr="00153BD4">
        <w:rPr>
          <w:noProof/>
        </w:rPr>
        <w:t xml:space="preserve"> </w:t>
      </w:r>
      <w:r w:rsidRPr="0059616E">
        <w:rPr>
          <w:i/>
          <w:iCs/>
          <w:noProof/>
        </w:rPr>
        <w:t>Contesting Nature/Culture</w:t>
      </w:r>
      <w:r w:rsidRPr="00153BD4">
        <w:rPr>
          <w:noProof/>
        </w:rPr>
        <w:t>, 151.</w:t>
      </w:r>
      <w:r>
        <w:fldChar w:fldCharType="end"/>
      </w:r>
    </w:p>
  </w:footnote>
  <w:footnote w:id="32">
    <w:p w14:paraId="737A5937" w14:textId="61ACBF39"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{"citationItems":[{"id":"ITEM-1","itemData":{"author":[{"dropping-particle":"","family":"Marchart","given":"Oliver","non-dropping-particle":"","parse-names":false,"suffix":""}],"id":"ITEM-1","issued":{"date-parts":[["2019"]]},"publisher":"Edinburgh University Press","publisher-place":"Edinburgh","title":"Post-Foundational Theories of Democracy: Reclaiming Freedom, Equality, Solidarity","type":"book"},"uris":["http://www.mendeley.com/documents/?uuid=c07d81e3-8099-4e46-adeb-9edc7d99cd13"]}],"mendeley":{"formattedCitation":"Marchart, &lt;i&gt;Post-Foundational Theories of Democracy: Reclaiming Freedom, Equality, Solidarity&lt;/i&gt;.","plainTextFormattedCitation":"Marchart, Post-Foundational Theories of Democracy: Reclaiming Freedom, Equality, Solidarity.","previouslyFormattedCitation":"Marchart, &lt;i&gt;Post-Foundational Theories of Democracy: Reclaiming Freedom, Equality, Solidarity&lt;/i&gt;."},"properties":{"noteIndex":32},"schema":"https://github.com/citation-style-language/schema/raw/master/csl-citation.json"}</w:instrText>
      </w:r>
      <w:r>
        <w:fldChar w:fldCharType="separate"/>
      </w:r>
      <w:r w:rsidRPr="00153BD4">
        <w:rPr>
          <w:noProof/>
        </w:rPr>
        <w:t>Marchart</w:t>
      </w:r>
      <w:r w:rsidR="00B84C17">
        <w:rPr>
          <w:noProof/>
        </w:rPr>
        <w:t>:</w:t>
      </w:r>
      <w:r w:rsidRPr="00153BD4">
        <w:rPr>
          <w:noProof/>
        </w:rPr>
        <w:t xml:space="preserve"> </w:t>
      </w:r>
      <w:r w:rsidRPr="00153BD4">
        <w:rPr>
          <w:i/>
          <w:noProof/>
        </w:rPr>
        <w:t>Post-Foundational Theories of Democracy</w:t>
      </w:r>
      <w:r w:rsidRPr="00153BD4">
        <w:rPr>
          <w:noProof/>
        </w:rPr>
        <w:t>.</w:t>
      </w:r>
      <w:r>
        <w:fldChar w:fldCharType="end"/>
      </w:r>
    </w:p>
  </w:footnote>
  <w:footnote w:id="33">
    <w:p w14:paraId="381F415C" w14:textId="7FA65632"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{"citationItems":[{"id":"ITEM-1","itemData":{"author":[{"dropping-particle":"","family":"Lefort","given":"Claude","non-dropping-particle":"","parse-names":false,"suffix":""}],"id":"ITEM-1","issued":{"date-parts":[["1988"]]},"publisher":"University of Minnesota Press","publisher-place":"Minneapolis","title":"Democracy and Political Theory","type":"book"},"locator":"17","uris":["http://www.mendeley.com/documents/?uuid=50bc55ba-5fcd-41d6-aae7-4b7d935ad249"]},{"id":"ITEM-2","itemData":{"author":[{"dropping-particle":"","family":"Laclau","given":"Ernesto","non-dropping-particle":"","parse-names":false,"suffix":""},{"dropping-particle":"","family":"Mouffe","given":"Chantal","non-dropping-particle":"","parse-names":false,"suffix":""}],"id":"ITEM-2","issued":{"date-parts":[["2014"]]},"publisher":"Verso","publisher-place":"London","title":"Hegemony and Socialist Strategy","type":"book"},"locator":"135-37","uris":["http://www.mendeley.com/documents/?uuid=f711101a-faf5-4f4b-bb6b-a22647fb7730"]}],"mendeley":{"formattedCitation":"Lefort, &lt;i&gt;Democracy and Political Theory&lt;/i&gt;, 17; Laclau and Mouffe, &lt;i&gt;Hegemony and Socialist Strategy&lt;/i&gt;, 135–37.","plainTextFormattedCitation":"Lefort, Democracy and Political Theory, 17; Laclau and Mouffe, Hegemony and Socialist Strategy, 135–37.","previouslyFormattedCitation":"Lefort, &lt;i&gt;Democracy and Political Theory&lt;/i&gt;, 17; Laclau and Mouffe, &lt;i&gt;Hegemony and Socialist Strategy&lt;/i&gt;, 135–37."},"properties":{"noteIndex":33},"schema":"https://github.com/citation-style-language/schema/raw/master/csl-citation.json"}</w:instrText>
      </w:r>
      <w:r>
        <w:fldChar w:fldCharType="separate"/>
      </w:r>
      <w:r w:rsidRPr="00153BD4">
        <w:rPr>
          <w:bCs/>
          <w:noProof/>
          <w:lang w:val="en-US"/>
        </w:rPr>
        <w:t>Lefort</w:t>
      </w:r>
      <w:r w:rsidR="00B84C17">
        <w:rPr>
          <w:bCs/>
          <w:noProof/>
          <w:lang w:val="en-US"/>
        </w:rPr>
        <w:t>:</w:t>
      </w:r>
      <w:r w:rsidRPr="00153BD4">
        <w:rPr>
          <w:bCs/>
          <w:noProof/>
          <w:lang w:val="en-US"/>
        </w:rPr>
        <w:t xml:space="preserve"> </w:t>
      </w:r>
      <w:r w:rsidRPr="00153BD4">
        <w:rPr>
          <w:bCs/>
          <w:i/>
          <w:noProof/>
          <w:lang w:val="en-US"/>
        </w:rPr>
        <w:t>Democracy and Political Theory</w:t>
      </w:r>
      <w:r w:rsidRPr="00153BD4">
        <w:rPr>
          <w:bCs/>
          <w:noProof/>
          <w:lang w:val="en-US"/>
        </w:rPr>
        <w:t>, 17; Laclau and Mouffe</w:t>
      </w:r>
      <w:r w:rsidR="00B84C17">
        <w:rPr>
          <w:bCs/>
          <w:noProof/>
          <w:lang w:val="en-US"/>
        </w:rPr>
        <w:t>:</w:t>
      </w:r>
      <w:r w:rsidRPr="00153BD4">
        <w:rPr>
          <w:bCs/>
          <w:noProof/>
          <w:lang w:val="en-US"/>
        </w:rPr>
        <w:t xml:space="preserve"> </w:t>
      </w:r>
      <w:r w:rsidRPr="00153BD4">
        <w:rPr>
          <w:bCs/>
          <w:i/>
          <w:noProof/>
          <w:lang w:val="en-US"/>
        </w:rPr>
        <w:t>Hegemony and Socialist Strategy</w:t>
      </w:r>
      <w:r w:rsidRPr="00153BD4">
        <w:rPr>
          <w:bCs/>
          <w:noProof/>
          <w:lang w:val="en-US"/>
        </w:rPr>
        <w:t>, 135–</w:t>
      </w:r>
      <w:r w:rsidR="00E6202F">
        <w:rPr>
          <w:bCs/>
          <w:noProof/>
          <w:lang w:val="en-US"/>
        </w:rPr>
        <w:t>1</w:t>
      </w:r>
      <w:r w:rsidRPr="00153BD4">
        <w:rPr>
          <w:bCs/>
          <w:noProof/>
          <w:lang w:val="en-US"/>
        </w:rPr>
        <w:t>37.</w:t>
      </w:r>
      <w:r>
        <w:fldChar w:fldCharType="end"/>
      </w:r>
    </w:p>
  </w:footnote>
  <w:footnote w:id="34">
    <w:p w14:paraId="313ACE95" w14:textId="0C370705" w:rsidR="00E00FEB" w:rsidRPr="00153BD4" w:rsidRDefault="00E00FEB">
      <w:pPr>
        <w:pStyle w:val="FootnoteText"/>
        <w:rPr>
          <w:lang w:val="en-IN"/>
        </w:rPr>
      </w:pPr>
      <w:r>
        <w:rPr>
          <w:rStyle w:val="FootnoteReference"/>
        </w:rPr>
        <w:footnoteRef/>
      </w:r>
      <w:r>
        <w:t xml:space="preserve"> </w:t>
      </w:r>
      <w:r>
        <w:fldChar w:fldCharType="begin" w:fldLock="1"/>
      </w:r>
      <w:r>
        <w:instrText>ADDIN CSL_CITATION {"citationItems":[{"id":"ITEM-1","itemData":{"DOI":"10.1111/1467-8675.00212","ISSN":"1351-0487","abstract":"Caring for security at requirements engineering time is a message that has finally received some attention recently. However, it is not yet very clear how to achieve this systematically through the various stages of the requirements engineering process. We briefly introduce some of the requirements such a process should meet for high assurance to be provided from the resulting requirements product. A constructive approach to security requirements elicitation, modeling and analysis is then...","author":[{"dropping-particle":"","family":"Laclau","given":"Ernesto","non-dropping-particle":"","parse-names":false,"suffix":""}],"container-title":"Constellations","id":"ITEM-1","issue":"1","issued":{"date-parts":[["2001"]]},"page":"3-14","title":"Democracy and the Question of Power","type":"article-journal","volume":"8"},"locator":"5","uris":["http://www.mendeley.com/documents/?uuid=92ade30d-10db-4431-8979-97d3f53ec25e"]}],"mendeley":{"formattedCitation":"Laclau, “Democracy and the Question of Power,” 5.","plainTextFormattedCitation":"Laclau, “Democracy and the Question of Power,” 5.","previouslyFormattedCitation":"Laclau, “Democracy and the Question of Power,” 5."},"properties":{"noteIndex":34},"schema":"https://github.com/citation-style-language/schema/raw/master/csl-citation.json"}</w:instrText>
      </w:r>
      <w:r>
        <w:fldChar w:fldCharType="separate"/>
      </w:r>
      <w:r w:rsidRPr="00153BD4">
        <w:rPr>
          <w:bCs/>
          <w:noProof/>
          <w:lang w:val="en-US"/>
        </w:rPr>
        <w:t>Laclau</w:t>
      </w:r>
      <w:r w:rsidR="00B84C17">
        <w:rPr>
          <w:bCs/>
          <w:noProof/>
          <w:lang w:val="en-US"/>
        </w:rPr>
        <w:t>:</w:t>
      </w:r>
      <w:r w:rsidRPr="00153BD4">
        <w:rPr>
          <w:bCs/>
          <w:noProof/>
          <w:lang w:val="en-US"/>
        </w:rPr>
        <w:t xml:space="preserve"> </w:t>
      </w:r>
      <w:r w:rsidRPr="00B84C17">
        <w:rPr>
          <w:bCs/>
          <w:i/>
          <w:iCs/>
          <w:noProof/>
          <w:lang w:val="en-US"/>
        </w:rPr>
        <w:t>Democracy and the Question of Power</w:t>
      </w:r>
      <w:r w:rsidRPr="00153BD4">
        <w:rPr>
          <w:bCs/>
          <w:noProof/>
          <w:lang w:val="en-US"/>
        </w:rPr>
        <w:t>, 5.</w:t>
      </w:r>
      <w:r>
        <w:fldChar w:fldCharType="end"/>
      </w:r>
    </w:p>
  </w:footnote>
  <w:footnote w:id="35">
    <w:p w14:paraId="0C98D5A3" w14:textId="2F1E5F77" w:rsidR="00866052" w:rsidRPr="00866052" w:rsidRDefault="00866052" w:rsidP="00B51D52">
      <w:pPr>
        <w:pStyle w:val="FootnoteText"/>
        <w:ind w:left="142" w:hanging="142"/>
        <w:rPr>
          <w:lang w:val="en-IN"/>
        </w:rPr>
      </w:pPr>
      <w:r>
        <w:rPr>
          <w:rStyle w:val="FootnoteReference"/>
        </w:rPr>
        <w:footnoteRef/>
      </w:r>
      <w:r>
        <w:t xml:space="preserve"> </w:t>
      </w:r>
      <w:r>
        <w:fldChar w:fldCharType="begin" w:fldLock="1"/>
      </w:r>
      <w:r>
        <w:instrText>ADDIN CSL_CITATION {"citationItems":[{"id":"ITEM-1","itemData":{"author":[{"dropping-particle":"","family":"Habermas","given":"Jurgen","non-dropping-particle":"","parse-names":false,"suffix":""}],"id":"ITEM-1","issued":{"date-parts":[["1996"]]},"publisher":"Polity Press","publisher-place":"Cambridge","title":"Between Facts and Norms: Contributions to a Discourse Theory of Law and Democracy","type":"book"},"locator":"162-65","uris":["http://www.mendeley.com/documents/?uuid=0242849a-0fba-429e-8194-123385b8423c"]},{"id":"ITEM-2","itemData":{"author":[{"dropping-particle":"","family":"Rawls","given":"John","non-dropping-particle":"","parse-names":false,"suffix":""}],"container-title":"Philosophy &amp; Public Affairs","id":"ITEM-2","issue":"3","issued":{"date-parts":[["1985"]]},"page":"223-251","title":"Justice as Fairness: Political not Metaphysical","type":"article-journal","volume":"14"},"locator":"235-37","uris":["http://www.mendeley.com/documents/?uuid=c5c4cdac-2f46-4aea-8b65-04cee99e2dfc"]},{"id":"ITEM-3","itemData":{"author":[{"dropping-particle":"","family":"Rawls","given":"John","non-dropping-particle":"","parse-names":false,"suffix":""}],"container-title":"Oxford Journal of Legal Studies","id":"ITEM-3","issue":"1","issued":{"date-parts":[["1987"]]},"page":"1-25","title":"The Idea of an Overlapping Consensus","type":"article-journal","volume":"7"},"uris":["http://www.mendeley.com/documents/?uuid=5669055e-ad7d-4bab-9715-c35e2f731f3e"]}],"mendeley":{"formattedCitation":"Habermas, &lt;i&gt;Between Facts and Norms: Contributions to a Discourse Theory of Law and Democracy&lt;/i&gt;, 162–65; Rawls, “Justice as Fairness: Political Not Metaphysical,” 235–37; Rawls, “The Idea of an Overlapping Consensus.”","plainTextFormattedCitation":"Habermas, Between Facts and Norms: Contributions to a Discourse Theory of Law and Democracy, 162–65; Rawls, “Justice as Fairness: Political Not Metaphysical,” 235–37; Rawls, “The Idea of an Overlapping Consensus.”"},"properties":{"noteIndex":35},"schema":"https://github.com/citation-style-language/schema/raw/master/csl-citation.json"}</w:instrText>
      </w:r>
      <w:r>
        <w:fldChar w:fldCharType="separate"/>
      </w:r>
      <w:r w:rsidRPr="00866052">
        <w:rPr>
          <w:noProof/>
        </w:rPr>
        <w:t>Habermas</w:t>
      </w:r>
      <w:r w:rsidR="00B84C17">
        <w:rPr>
          <w:noProof/>
        </w:rPr>
        <w:t>:</w:t>
      </w:r>
      <w:r w:rsidRPr="00866052">
        <w:rPr>
          <w:noProof/>
        </w:rPr>
        <w:t xml:space="preserve"> </w:t>
      </w:r>
      <w:r w:rsidRPr="00866052">
        <w:rPr>
          <w:i/>
          <w:noProof/>
        </w:rPr>
        <w:t>Between Facts and Norm</w:t>
      </w:r>
      <w:r w:rsidR="00B84C17">
        <w:rPr>
          <w:i/>
          <w:noProof/>
        </w:rPr>
        <w:t>s</w:t>
      </w:r>
      <w:r w:rsidRPr="00866052">
        <w:rPr>
          <w:noProof/>
        </w:rPr>
        <w:t>, 162–</w:t>
      </w:r>
      <w:r w:rsidR="00E6202F">
        <w:rPr>
          <w:noProof/>
        </w:rPr>
        <w:t>1</w:t>
      </w:r>
      <w:r w:rsidRPr="00866052">
        <w:rPr>
          <w:noProof/>
        </w:rPr>
        <w:t>65; Rawls</w:t>
      </w:r>
      <w:r w:rsidR="00B84C17">
        <w:rPr>
          <w:noProof/>
        </w:rPr>
        <w:t>:</w:t>
      </w:r>
      <w:r w:rsidR="00493745">
        <w:rPr>
          <w:noProof/>
        </w:rPr>
        <w:t xml:space="preserve"> </w:t>
      </w:r>
      <w:r w:rsidRPr="00493745">
        <w:rPr>
          <w:i/>
          <w:iCs/>
          <w:noProof/>
        </w:rPr>
        <w:t>Justice as Fairness: Political Not Metaphysical</w:t>
      </w:r>
      <w:r w:rsidRPr="00866052">
        <w:rPr>
          <w:noProof/>
        </w:rPr>
        <w:t>, 235–</w:t>
      </w:r>
      <w:r w:rsidR="00E6202F">
        <w:rPr>
          <w:noProof/>
        </w:rPr>
        <w:t>2</w:t>
      </w:r>
      <w:r w:rsidRPr="00866052">
        <w:rPr>
          <w:noProof/>
        </w:rPr>
        <w:t>37; Rawls</w:t>
      </w:r>
      <w:r w:rsidR="00493745">
        <w:rPr>
          <w:noProof/>
        </w:rPr>
        <w:t>:</w:t>
      </w:r>
      <w:r w:rsidRPr="00866052">
        <w:rPr>
          <w:noProof/>
        </w:rPr>
        <w:t xml:space="preserve"> </w:t>
      </w:r>
      <w:r w:rsidRPr="00493745">
        <w:rPr>
          <w:i/>
          <w:iCs/>
          <w:noProof/>
        </w:rPr>
        <w:t>The Idea of an Overlapping Consensus</w:t>
      </w:r>
      <w:r w:rsidRPr="00866052">
        <w:rPr>
          <w:noProof/>
        </w:rPr>
        <w:t>.</w:t>
      </w:r>
      <w:r>
        <w:fldChar w:fldCharType="end"/>
      </w:r>
    </w:p>
  </w:footnote>
  <w:footnote w:id="36">
    <w:p w14:paraId="06A81664" w14:textId="4FF92055" w:rsidR="00E00FEB" w:rsidRPr="00153BD4" w:rsidRDefault="00E00FEB">
      <w:pPr>
        <w:pStyle w:val="FootnoteText"/>
        <w:rPr>
          <w:lang w:val="en-IN"/>
        </w:rPr>
      </w:pPr>
      <w:r>
        <w:rPr>
          <w:rStyle w:val="FootnoteReference"/>
        </w:rPr>
        <w:footnoteRef/>
      </w:r>
      <w:r>
        <w:t xml:space="preserve"> </w:t>
      </w:r>
      <w:r>
        <w:fldChar w:fldCharType="begin" w:fldLock="1"/>
      </w:r>
      <w:r w:rsidR="00866052">
        <w:instrText>ADDIN CSL_CITATION {"citationItems":[{"id":"ITEM-1","itemData":{"author":[{"dropping-particle":"","family":"Connolly","given":"William E.","non-dropping-particle":"","parse-names":false,"suffix":""}],"id":"ITEM-1","issued":{"date-parts":[["2008"]]},"publisher":"Duke University Press","publisher-place":"Durham","title":"Capitalism and Christianity, American Style","type":"book"},"locator":"66-67","uris":["http://www.mendeley.com/documents/?uuid=366285f0-df0b-41dc-9ea8-4e5bef855c05"]},{"id":"ITEM-2","itemData":{"author":[{"dropping-particle":"","family":"Connolly","given":"William E.","non-dropping-particle":"","parse-names":false,"suffix":""}],"container-title":"Democracy and Pluralism: The political thought of William E. Connolly","editor":[{"dropping-particle":"","family":"Finlayson","given":"Alan","non-dropping-particle":"","parse-names":false,"suffix":""}],"id":"ITEM-2","issued":{"date-parts":[["2010"]]},"page":"222-235","publisher":"Routledge","publisher-place":"Abingdon","title":"A World of Becoming","type":"chapter"},"locator":"225","uris":["http://www.mendeley.com/documents/?uuid=6c584a97-ce56-45d9-95b4-94498549c6cc"]}],"mendeley":{"formattedCitation":"Connolly, &lt;i&gt;Capitalism and Christianity, American Style&lt;/i&gt;, 66–67; Connolly, “A World of Becoming,” 2010, 225.","plainTextFormattedCitation":"Connolly, Capitalism and Christianity, American Style, 66–67; Connolly, “A World of Becoming,” 2010, 225.","previouslyFormattedCitation":"Connolly, &lt;i&gt;Capitalism and Christianity, American Style&lt;/i&gt;, 66–67; Connolly, “A World of Becoming,” 2010, 225."},"properties":{"noteIndex":37},"schema":"https://github.com/citation-style-language/schema/raw/master/csl-citation.json"}</w:instrText>
      </w:r>
      <w:r>
        <w:fldChar w:fldCharType="separate"/>
      </w:r>
      <w:r w:rsidRPr="00153BD4">
        <w:rPr>
          <w:bCs/>
          <w:noProof/>
          <w:lang w:val="en-US"/>
        </w:rPr>
        <w:t>Connolly</w:t>
      </w:r>
      <w:r w:rsidR="00493745">
        <w:rPr>
          <w:bCs/>
          <w:noProof/>
          <w:lang w:val="en-US"/>
        </w:rPr>
        <w:t>:</w:t>
      </w:r>
      <w:r w:rsidRPr="00153BD4">
        <w:rPr>
          <w:bCs/>
          <w:noProof/>
          <w:lang w:val="en-US"/>
        </w:rPr>
        <w:t xml:space="preserve"> </w:t>
      </w:r>
      <w:r w:rsidRPr="00153BD4">
        <w:rPr>
          <w:bCs/>
          <w:i/>
          <w:noProof/>
          <w:lang w:val="en-US"/>
        </w:rPr>
        <w:t xml:space="preserve">Capitalism and Christianity, </w:t>
      </w:r>
      <w:r w:rsidRPr="00153BD4">
        <w:rPr>
          <w:bCs/>
          <w:noProof/>
          <w:lang w:val="en-US"/>
        </w:rPr>
        <w:t>66–67; Connolly</w:t>
      </w:r>
      <w:r w:rsidR="00DB2363">
        <w:rPr>
          <w:bCs/>
          <w:noProof/>
          <w:lang w:val="en-US"/>
        </w:rPr>
        <w:t>:</w:t>
      </w:r>
      <w:r w:rsidRPr="00153BD4">
        <w:rPr>
          <w:bCs/>
          <w:noProof/>
          <w:lang w:val="en-US"/>
        </w:rPr>
        <w:t xml:space="preserve"> </w:t>
      </w:r>
      <w:r w:rsidR="009B6B66" w:rsidRPr="009B6B66">
        <w:rPr>
          <w:bCs/>
          <w:i/>
          <w:iCs/>
          <w:noProof/>
          <w:lang w:val="en-US"/>
        </w:rPr>
        <w:t>World of Becoming</w:t>
      </w:r>
      <w:r w:rsidR="009B6B66">
        <w:rPr>
          <w:bCs/>
          <w:noProof/>
          <w:lang w:val="en-US"/>
        </w:rPr>
        <w:t>,</w:t>
      </w:r>
      <w:r w:rsidRPr="00153BD4">
        <w:rPr>
          <w:bCs/>
          <w:noProof/>
          <w:lang w:val="en-US"/>
        </w:rPr>
        <w:t xml:space="preserve"> 225.</w:t>
      </w:r>
      <w:r>
        <w:fldChar w:fldCharType="end"/>
      </w:r>
    </w:p>
  </w:footnote>
  <w:footnote w:id="37">
    <w:p w14:paraId="48995052" w14:textId="2F6219B5" w:rsidR="00E00FEB" w:rsidRPr="006F3E8F" w:rsidRDefault="00E00FEB">
      <w:pPr>
        <w:pStyle w:val="FootnoteText"/>
        <w:rPr>
          <w:lang w:val="it-IT"/>
        </w:rPr>
      </w:pPr>
      <w:r>
        <w:rPr>
          <w:rStyle w:val="FootnoteReference"/>
        </w:rPr>
        <w:footnoteRef/>
      </w:r>
      <w:r w:rsidRPr="006F3E8F">
        <w:rPr>
          <w:lang w:val="it-IT"/>
        </w:rPr>
        <w:t xml:space="preserve"> </w:t>
      </w:r>
      <w:proofErr w:type="spellStart"/>
      <w:r w:rsidR="009E2CB4" w:rsidRPr="006F3E8F">
        <w:rPr>
          <w:lang w:val="it-IT"/>
        </w:rPr>
        <w:t>Protevi</w:t>
      </w:r>
      <w:proofErr w:type="spellEnd"/>
      <w:r w:rsidR="009B6B66">
        <w:rPr>
          <w:lang w:val="it-IT"/>
        </w:rPr>
        <w:t xml:space="preserve">: </w:t>
      </w:r>
      <w:r>
        <w:fldChar w:fldCharType="begin" w:fldLock="1"/>
      </w:r>
      <w:r w:rsidR="00866052" w:rsidRPr="006F3E8F">
        <w:rPr>
          <w:lang w:val="it-IT"/>
        </w:rPr>
        <w:instrText>ADDIN CSL_CITATION {"citationItems":[{"id":"ITEM-1","itemData":{"DOI":"10.3366/prg.2006.0018","ISSN":"02648334","abstract":"The concept of emergence - which I define as the (diachronic) construction of functional structures in complex systems that achieve a (synchronic) focus of systematic behaviour as they constrain the behaviour of individual components - plays a crucial role in debates in philosophical reflection on science as a whole (the question of reductionism) as well as in the fields of biology (the status of the organism), social science (the practical subject) and cognitive science (the cognitive subject). In this article I examine how the philosophy of Deleuze and that of Deleuze and Guattari can help us see some of the most important implications of these debates.","author":[{"dropping-particle":"","family":"Protevi","given":"John","non-dropping-particle":"","parse-names":false,"suffix":""}],"container-title":"Paragraph","id":"ITEM-1","issue":"2","issued":{"date-parts":[["2006"]]},"page":"19-39","title":"Deleuze, Guattari and emergence","type":"article-journal","volume":"29"},"suppress-author":1,"uris":["http://www.mendeley.com/documents/?uuid=cd8fa483-5f30-4843-94e8-35f2d1873490"]}],"mendeley":{"formattedCitation":"“Deleuze, Guattari and Emergence.”","plainTextFormattedCitation":"“Deleuze, Guattari and Emergence.”","previouslyFormattedCitation":"“Deleuze, Guattari and Emergence.”"},"properties":{"noteIndex":38},"schema":"https://github.com/citation-style-language/schema/raw/master/csl-citation.json"}</w:instrText>
      </w:r>
      <w:r>
        <w:fldChar w:fldCharType="separate"/>
      </w:r>
      <w:r w:rsidRPr="009B6B66">
        <w:rPr>
          <w:i/>
          <w:iCs/>
          <w:noProof/>
          <w:lang w:val="it-IT"/>
        </w:rPr>
        <w:t>Deleuze, Guattari and Emergence</w:t>
      </w:r>
      <w:r w:rsidRPr="006F3E8F">
        <w:rPr>
          <w:noProof/>
          <w:lang w:val="it-IT"/>
        </w:rPr>
        <w:t>.</w:t>
      </w:r>
      <w:r>
        <w:fldChar w:fldCharType="end"/>
      </w:r>
    </w:p>
  </w:footnote>
  <w:footnote w:id="38">
    <w:p w14:paraId="51850482" w14:textId="2A163B76" w:rsidR="00E00FEB" w:rsidRPr="00153BD4" w:rsidRDefault="00E00FEB">
      <w:pPr>
        <w:pStyle w:val="FootnoteText"/>
        <w:rPr>
          <w:lang w:val="en-IN"/>
        </w:rPr>
      </w:pPr>
      <w:r>
        <w:rPr>
          <w:rStyle w:val="FootnoteReference"/>
        </w:rPr>
        <w:footnoteRef/>
      </w:r>
      <w:r>
        <w:t xml:space="preserve"> </w:t>
      </w:r>
      <w:r>
        <w:fldChar w:fldCharType="begin" w:fldLock="1"/>
      </w:r>
      <w:r w:rsidR="00866052">
        <w:instrText>ADDIN CSL_CITATION {"citationItems":[{"id":"ITEM-1","itemData":{"author":[{"dropping-particle":"","family":"Deleuze","given":"Gilles","non-dropping-particle":"","parse-names":false,"suffix":""},{"dropping-particle":"","family":"Guattari","given":"Felix","non-dropping-particle":"","parse-names":false,"suffix":""}],"id":"ITEM-1","issued":{"date-parts":[["2020"]]},"publisher":"Bloomsbury","publisher-place":"London","title":"A Thousand Plateaus","type":"book"},"locator":"18","uris":["http://www.mendeley.com/documents/?uuid=4a66a8a7-2e9a-49eb-9d40-434d3c3d9824"]}],"mendeley":{"formattedCitation":"Deleuze and Guattari, &lt;i&gt;A Thousand Plateaus&lt;/i&gt;, 18.","plainTextFormattedCitation":"Deleuze and Guattari, A Thousand Plateaus, 18.","previouslyFormattedCitation":"Deleuze and Guattari, &lt;i&gt;A Thousand Plateaus&lt;/i&gt;, 18."},"properties":{"noteIndex":39},"schema":"https://github.com/citation-style-language/schema/raw/master/csl-citation.json"}</w:instrText>
      </w:r>
      <w:r>
        <w:fldChar w:fldCharType="separate"/>
      </w:r>
      <w:r w:rsidRPr="00153BD4">
        <w:rPr>
          <w:bCs/>
          <w:noProof/>
          <w:lang w:val="en-US"/>
        </w:rPr>
        <w:t>Deleuze and Guattari</w:t>
      </w:r>
      <w:r w:rsidR="00DB2363">
        <w:rPr>
          <w:bCs/>
          <w:noProof/>
          <w:lang w:val="en-US"/>
        </w:rPr>
        <w:t>:</w:t>
      </w:r>
      <w:r w:rsidRPr="00153BD4">
        <w:rPr>
          <w:bCs/>
          <w:noProof/>
          <w:lang w:val="en-US"/>
        </w:rPr>
        <w:t xml:space="preserve"> </w:t>
      </w:r>
      <w:r w:rsidRPr="00153BD4">
        <w:rPr>
          <w:bCs/>
          <w:i/>
          <w:noProof/>
          <w:lang w:val="en-US"/>
        </w:rPr>
        <w:t>A Thousand Plateaus</w:t>
      </w:r>
      <w:r w:rsidRPr="00153BD4">
        <w:rPr>
          <w:bCs/>
          <w:noProof/>
          <w:lang w:val="en-US"/>
        </w:rPr>
        <w:t>, 18.</w:t>
      </w:r>
      <w:r>
        <w:fldChar w:fldCharType="end"/>
      </w:r>
    </w:p>
  </w:footnote>
  <w:footnote w:id="39">
    <w:p w14:paraId="09D41882" w14:textId="374836B9" w:rsidR="00E00FEB" w:rsidRPr="00153BD4" w:rsidRDefault="00E00FEB">
      <w:pPr>
        <w:pStyle w:val="FootnoteText"/>
        <w:rPr>
          <w:lang w:val="en-IN"/>
        </w:rPr>
      </w:pPr>
      <w:r>
        <w:rPr>
          <w:rStyle w:val="FootnoteReference"/>
        </w:rPr>
        <w:footnoteRef/>
      </w:r>
      <w:r>
        <w:t xml:space="preserve"> </w:t>
      </w:r>
      <w:r>
        <w:fldChar w:fldCharType="begin" w:fldLock="1"/>
      </w:r>
      <w:r w:rsidR="00866052">
        <w:instrText>ADDIN CSL_CITATION {"citationItems":[{"id":"ITEM-1","itemData":{"author":[{"dropping-particle":"","family":"Connolly","given":"William E.","non-dropping-particle":"","parse-names":false,"suffix":""}],"id":"ITEM-1","issued":{"date-parts":[["2008"]]},"publisher":"Duke University Press","publisher-place":"Durham","title":"Capitalism and Christianity, American Style","type":"book"},"locator":"11","uris":["http://www.mendeley.com/documents/?uuid=366285f0-df0b-41dc-9ea8-4e5bef855c05"]}],"mendeley":{"formattedCitation":"Connolly, &lt;i&gt;Capitalism and Christianity, American Style&lt;/i&gt;, 11.","plainTextFormattedCitation":"Connolly, Capitalism and Christianity, American Style, 11.","previouslyFormattedCitation":"Connolly, &lt;i&gt;Capitalism and Christianity, American Style&lt;/i&gt;, 11."},"properties":{"noteIndex":40},"schema":"https://github.com/citation-style-language/schema/raw/master/csl-citation.json"}</w:instrText>
      </w:r>
      <w:r>
        <w:fldChar w:fldCharType="separate"/>
      </w:r>
      <w:r w:rsidRPr="00153BD4">
        <w:rPr>
          <w:bCs/>
          <w:noProof/>
          <w:lang w:val="en-US"/>
        </w:rPr>
        <w:t>Connolly</w:t>
      </w:r>
      <w:r w:rsidR="00DB2363">
        <w:rPr>
          <w:bCs/>
          <w:noProof/>
          <w:lang w:val="en-US"/>
        </w:rPr>
        <w:t>:</w:t>
      </w:r>
      <w:r w:rsidRPr="00153BD4">
        <w:rPr>
          <w:bCs/>
          <w:noProof/>
          <w:lang w:val="en-US"/>
        </w:rPr>
        <w:t xml:space="preserve"> </w:t>
      </w:r>
      <w:r w:rsidRPr="00153BD4">
        <w:rPr>
          <w:bCs/>
          <w:i/>
          <w:noProof/>
          <w:lang w:val="en-US"/>
        </w:rPr>
        <w:t xml:space="preserve">Capitalism and Christianity, </w:t>
      </w:r>
      <w:r w:rsidRPr="00153BD4">
        <w:rPr>
          <w:bCs/>
          <w:noProof/>
          <w:lang w:val="en-US"/>
        </w:rPr>
        <w:t>11.</w:t>
      </w:r>
      <w:r>
        <w:fldChar w:fldCharType="end"/>
      </w:r>
    </w:p>
  </w:footnote>
  <w:footnote w:id="40">
    <w:p w14:paraId="2B3D2D8C" w14:textId="21911E0C" w:rsidR="00E00FEB" w:rsidRPr="00153BD4" w:rsidRDefault="00E00FEB" w:rsidP="00B51D52">
      <w:pPr>
        <w:pStyle w:val="FootnoteText"/>
        <w:ind w:left="142" w:hanging="142"/>
        <w:rPr>
          <w:lang w:val="en-IN"/>
        </w:rPr>
      </w:pPr>
      <w:r>
        <w:rPr>
          <w:rStyle w:val="FootnoteReference"/>
        </w:rPr>
        <w:footnoteRef/>
      </w:r>
      <w:r>
        <w:t xml:space="preserve"> </w:t>
      </w:r>
      <w:r>
        <w:fldChar w:fldCharType="begin" w:fldLock="1"/>
      </w:r>
      <w:r w:rsidR="00866052">
        <w:instrText>ADDIN CSL_CITATION {"citationItems":[{"id":"ITEM-1","itemData":{"author":[{"dropping-particle":"","family":"Deleuze","given":"Gilles","non-dropping-particle":"","parse-names":false,"suffix":""},{"dropping-particle":"","family":"Guattari","given":"Felix","non-dropping-particle":"","parse-names":false,"suffix":""}],"id":"ITEM-1","issued":{"date-parts":[["2020"]]},"publisher":"Bloomsbury","publisher-place":"London","title":"A Thousand Plateaus","type":"book"},"locator":"5","uris":["http://www.mendeley.com/documents/?uuid=4a66a8a7-2e9a-49eb-9d40-434d3c3d9824"]},{"id":"ITEM-2","itemData":{"author":[{"dropping-particle":"","family":"Tonder","given":"Lars","non-dropping-particle":"","parse-names":false,"suffix":""}],"container-title":"Radical Democracy: Politics between abundance and lack","editor":[{"dropping-particle":"","family":"Thomassen","given":"Lasse","non-dropping-particle":"","parse-names":false,"suffix":""},{"dropping-particle":"","family":"Tonder","given":"Lars","non-dropping-particle":"","parse-names":false,"suffix":""}],"id":"ITEM-2","issued":{"date-parts":[["2005"]]},"page":"203-218","publisher":"Manchester University Press","publisher-place":"Manchester","title":"Inessential Commonality: immanence, transcendence and abundance","type":"chapter"},"locator":"205-6","uris":["http://www.mendeley.com/documents/?uuid=928e7352-f8da-4cad-967a-3dea16085bc6"]}],"mendeley":{"formattedCitation":"Deleuze and Guattari, &lt;i&gt;A Thousand Plateaus&lt;/i&gt;, 5; Tonder, “Inessential Commonality: Immanence, Transcendence and Abundance,” 205–6.","plainTextFormattedCitation":"Deleuze and Guattari, A Thousand Plateaus, 5; Tonder, “Inessential Commonality: Immanence, Transcendence and Abundance,” 205–6.","previouslyFormattedCitation":"Deleuze and Guattari, &lt;i&gt;A Thousand Plateaus&lt;/i&gt;, 5; Tonder, “Inessential Commonality: Immanence, Transcendence and Abundance,” 205–6."},"properties":{"noteIndex":41},"schema":"https://github.com/citation-style-language/schema/raw/master/csl-citation.json"}</w:instrText>
      </w:r>
      <w:r>
        <w:fldChar w:fldCharType="separate"/>
      </w:r>
      <w:r w:rsidRPr="00153BD4">
        <w:rPr>
          <w:bCs/>
          <w:noProof/>
          <w:lang w:val="en-US"/>
        </w:rPr>
        <w:t>Deleuze and Guattari</w:t>
      </w:r>
      <w:r w:rsidR="00DB2363">
        <w:rPr>
          <w:bCs/>
          <w:noProof/>
          <w:lang w:val="en-US"/>
        </w:rPr>
        <w:t>:</w:t>
      </w:r>
      <w:r w:rsidRPr="00153BD4">
        <w:rPr>
          <w:bCs/>
          <w:noProof/>
          <w:lang w:val="en-US"/>
        </w:rPr>
        <w:t xml:space="preserve"> </w:t>
      </w:r>
      <w:r w:rsidRPr="00153BD4">
        <w:rPr>
          <w:bCs/>
          <w:i/>
          <w:noProof/>
          <w:lang w:val="en-US"/>
        </w:rPr>
        <w:t>A Thousand Plateaus</w:t>
      </w:r>
      <w:r w:rsidRPr="00153BD4">
        <w:rPr>
          <w:bCs/>
          <w:noProof/>
          <w:lang w:val="en-US"/>
        </w:rPr>
        <w:t>, 5; T</w:t>
      </w:r>
      <w:r w:rsidR="009E2CB4">
        <w:rPr>
          <w:bCs/>
          <w:noProof/>
          <w:lang w:val="en-US"/>
        </w:rPr>
        <w:t>ø</w:t>
      </w:r>
      <w:r w:rsidRPr="00153BD4">
        <w:rPr>
          <w:bCs/>
          <w:noProof/>
          <w:lang w:val="en-US"/>
        </w:rPr>
        <w:t>nder</w:t>
      </w:r>
      <w:r w:rsidR="00DB2363">
        <w:rPr>
          <w:bCs/>
          <w:noProof/>
          <w:lang w:val="en-US"/>
        </w:rPr>
        <w:t>:</w:t>
      </w:r>
      <w:r w:rsidRPr="00153BD4">
        <w:rPr>
          <w:bCs/>
          <w:noProof/>
          <w:lang w:val="en-US"/>
        </w:rPr>
        <w:t xml:space="preserve"> </w:t>
      </w:r>
      <w:r w:rsidRPr="000C5DDF">
        <w:rPr>
          <w:bCs/>
          <w:i/>
          <w:iCs/>
          <w:noProof/>
          <w:lang w:val="en-US"/>
        </w:rPr>
        <w:t>Inessential Commonality</w:t>
      </w:r>
      <w:r w:rsidR="000C5DDF">
        <w:rPr>
          <w:bCs/>
          <w:noProof/>
          <w:lang w:val="en-US"/>
        </w:rPr>
        <w:t>,</w:t>
      </w:r>
      <w:r w:rsidRPr="00153BD4">
        <w:rPr>
          <w:bCs/>
          <w:noProof/>
          <w:lang w:val="en-US"/>
        </w:rPr>
        <w:t xml:space="preserve"> 205–</w:t>
      </w:r>
      <w:r w:rsidR="00B9712A">
        <w:rPr>
          <w:bCs/>
          <w:noProof/>
          <w:lang w:val="en-US"/>
        </w:rPr>
        <w:t>20</w:t>
      </w:r>
      <w:r w:rsidRPr="00153BD4">
        <w:rPr>
          <w:bCs/>
          <w:noProof/>
          <w:lang w:val="en-US"/>
        </w:rPr>
        <w:t>6.</w:t>
      </w:r>
      <w:r>
        <w:fldChar w:fldCharType="end"/>
      </w:r>
    </w:p>
  </w:footnote>
  <w:footnote w:id="41">
    <w:p w14:paraId="702FFAA6" w14:textId="42D126E6" w:rsidR="00E00FEB" w:rsidRPr="00153BD4" w:rsidRDefault="00E00FEB">
      <w:pPr>
        <w:pStyle w:val="FootnoteText"/>
        <w:rPr>
          <w:lang w:val="en-IN"/>
        </w:rPr>
      </w:pPr>
      <w:r>
        <w:rPr>
          <w:rStyle w:val="FootnoteReference"/>
        </w:rPr>
        <w:footnoteRef/>
      </w:r>
      <w:r>
        <w:t xml:space="preserve"> </w:t>
      </w:r>
      <w:r>
        <w:fldChar w:fldCharType="begin" w:fldLock="1"/>
      </w:r>
      <w:r w:rsidR="00866052">
        <w:instrText>ADDIN CSL_CITATION {"citationItems":[{"id":"ITEM-1","itemData":{"author":[{"dropping-particle":"","family":"Stegmaier","given":"Werner","non-dropping-particle":"","parse-names":false,"suffix":""}],"container-title":"Journal of Nietzsche Studies","id":"ITEM-1","issue":"3","issued":{"date-parts":[["2016"]]},"page":"384-401","title":"Nietzsche's Orientation toward the Future","type":"article-journal","volume":"47"},"locator":"388","uris":["http://www.mendeley.com/documents/?uuid=efaf649f-35c2-4404-9991-ccb27cde552a"]}],"mendeley":{"formattedCitation":"Stegmaier, “Nietzsche’s Orientation toward the Future,” 388.","plainTextFormattedCitation":"Stegmaier, “Nietzsche’s Orientation toward the Future,” 388.","previouslyFormattedCitation":"Stegmaier, “Nietzsche’s Orientation toward the Future,” 388."},"properties":{"noteIndex":42},"schema":"https://github.com/citation-style-language/schema/raw/master/csl-citation.json"}</w:instrText>
      </w:r>
      <w:r>
        <w:fldChar w:fldCharType="separate"/>
      </w:r>
      <w:r w:rsidRPr="00153BD4">
        <w:rPr>
          <w:noProof/>
        </w:rPr>
        <w:t>Stegmaier</w:t>
      </w:r>
      <w:r w:rsidR="000C5DDF">
        <w:rPr>
          <w:noProof/>
        </w:rPr>
        <w:t>:</w:t>
      </w:r>
      <w:r w:rsidRPr="00153BD4">
        <w:rPr>
          <w:noProof/>
        </w:rPr>
        <w:t xml:space="preserve"> </w:t>
      </w:r>
      <w:r w:rsidRPr="000C5DDF">
        <w:rPr>
          <w:i/>
          <w:iCs/>
          <w:noProof/>
        </w:rPr>
        <w:t>Nietzsche’s Orientation toward the Future</w:t>
      </w:r>
      <w:r w:rsidRPr="00153BD4">
        <w:rPr>
          <w:noProof/>
        </w:rPr>
        <w:t>, 388.</w:t>
      </w:r>
      <w:r>
        <w:fldChar w:fldCharType="end"/>
      </w:r>
    </w:p>
  </w:footnote>
  <w:footnote w:id="42">
    <w:p w14:paraId="214E375F" w14:textId="450232BA" w:rsidR="00E00FEB" w:rsidRPr="00153BD4" w:rsidRDefault="00E00FEB">
      <w:pPr>
        <w:pStyle w:val="FootnoteText"/>
        <w:rPr>
          <w:lang w:val="en-IN"/>
        </w:rPr>
      </w:pPr>
      <w:r>
        <w:rPr>
          <w:rStyle w:val="FootnoteReference"/>
        </w:rPr>
        <w:footnoteRef/>
      </w:r>
      <w:r>
        <w:t xml:space="preserve"> </w:t>
      </w:r>
      <w:r>
        <w:fldChar w:fldCharType="begin" w:fldLock="1"/>
      </w:r>
      <w:r w:rsidR="00866052">
        <w:instrText>ADDIN CSL_CITATION {"citationItems":[{"id":"ITEM-1","itemData":{"author":[{"dropping-particle":"","family":"Foucault","given":"Michel","non-dropping-particle":"","parse-names":false,"suffix":""}],"editor":[{"dropping-particle":"","family":"Kritzman","given":"Lawrence D.","non-dropping-particle":"","parse-names":false,"suffix":""},{"dropping-particle":"","family":"Sheridan","given":"Alan","non-dropping-particle":"","parse-names":false,"suffix":""}],"id":"ITEM-1","issued":{"date-parts":[["1990"]]},"publisher":"Routledge","publisher-place":"London","title":"Michel Foucault: Politics, Philosophy, Culture: Interviews and Other Writings 1977-1984","type":"book"},"locator":"328","uris":["http://www.mendeley.com/documents/?uuid=2a390884-378f-4579-b2d1-b08929537ab3"]}],"mendeley":{"formattedCitation":"Foucault, &lt;i&gt;Michel Foucault: Politics, Philosophy, Culture: Interviews and Other Writings 1977-1984&lt;/i&gt;, 328.","plainTextFormattedCitation":"Foucault, Michel Foucault: Politics, Philosophy, Culture: Interviews and Other Writings 1977-1984, 328.","previouslyFormattedCitation":"Foucault, &lt;i&gt;Michel Foucault: Politics, Philosophy, Culture: Interviews and Other Writings 1977-1984&lt;/i&gt;, 328."},"properties":{"noteIndex":43},"schema":"https://github.com/citation-style-language/schema/raw/master/csl-citation.json"}</w:instrText>
      </w:r>
      <w:r>
        <w:fldChar w:fldCharType="separate"/>
      </w:r>
      <w:r w:rsidRPr="00153BD4">
        <w:rPr>
          <w:noProof/>
        </w:rPr>
        <w:t>Foucault</w:t>
      </w:r>
      <w:r w:rsidR="000C5DDF">
        <w:rPr>
          <w:noProof/>
        </w:rPr>
        <w:t>:</w:t>
      </w:r>
      <w:r w:rsidRPr="00153BD4">
        <w:rPr>
          <w:noProof/>
        </w:rPr>
        <w:t xml:space="preserve"> </w:t>
      </w:r>
      <w:r w:rsidRPr="00153BD4">
        <w:rPr>
          <w:i/>
          <w:noProof/>
        </w:rPr>
        <w:t>Politics, Philosophy, Culture</w:t>
      </w:r>
      <w:r w:rsidRPr="00153BD4">
        <w:rPr>
          <w:noProof/>
        </w:rPr>
        <w:t>, 328.</w:t>
      </w:r>
      <w:r>
        <w:fldChar w:fldCharType="end"/>
      </w:r>
    </w:p>
  </w:footnote>
  <w:footnote w:id="43">
    <w:p w14:paraId="62BB2C1F" w14:textId="60A63E4B" w:rsidR="00E00FEB" w:rsidRPr="00153BD4" w:rsidRDefault="00E00FEB">
      <w:pPr>
        <w:pStyle w:val="FootnoteText"/>
        <w:rPr>
          <w:lang w:val="en-IN"/>
        </w:rPr>
      </w:pPr>
      <w:r>
        <w:rPr>
          <w:rStyle w:val="FootnoteReference"/>
        </w:rPr>
        <w:footnoteRef/>
      </w:r>
      <w:r>
        <w:t xml:space="preserve"> </w:t>
      </w:r>
      <w:r>
        <w:fldChar w:fldCharType="begin" w:fldLock="1"/>
      </w:r>
      <w:r w:rsidR="00866052">
        <w:instrText>ADDIN CSL_CITATION {"citationItems":[{"id":"ITEM-1","itemData":{"author":[{"dropping-particle":"","family":"Stegmaier","given":"Werner","non-dropping-particle":"","parse-names":false,"suffix":""}],"container-title":"Journal of Nietzsche Studies","id":"ITEM-1","issue":"3","issued":{"date-parts":[["2016"]]},"page":"384-401","title":"Nietzsche's Orientation toward the Future","type":"article-journal","volume":"47"},"locator":"389","uris":["http://www.mendeley.com/documents/?uuid=efaf649f-35c2-4404-9991-ccb27cde552a"]}],"mendeley":{"formattedCitation":"Stegmaier, “Nietzsche’s Orientation toward the Future,” 389.","plainTextFormattedCitation":"Stegmaier, “Nietzsche’s Orientation toward the Future,” 389.","previouslyFormattedCitation":"Stegmaier, “Nietzsche’s Orientation toward the Future,” 389."},"properties":{"noteIndex":44},"schema":"https://github.com/citation-style-language/schema/raw/master/csl-citation.json"}</w:instrText>
      </w:r>
      <w:r>
        <w:fldChar w:fldCharType="separate"/>
      </w:r>
      <w:r w:rsidRPr="00153BD4">
        <w:rPr>
          <w:noProof/>
        </w:rPr>
        <w:t>Stegmaier</w:t>
      </w:r>
      <w:r w:rsidR="00A24194">
        <w:rPr>
          <w:noProof/>
        </w:rPr>
        <w:t>:</w:t>
      </w:r>
      <w:r w:rsidRPr="00153BD4">
        <w:rPr>
          <w:noProof/>
        </w:rPr>
        <w:t xml:space="preserve"> </w:t>
      </w:r>
      <w:r w:rsidRPr="00A24194">
        <w:rPr>
          <w:i/>
          <w:iCs/>
          <w:noProof/>
        </w:rPr>
        <w:t>Nietzsche’s Orientation toward the Future</w:t>
      </w:r>
      <w:r w:rsidRPr="00153BD4">
        <w:rPr>
          <w:noProof/>
        </w:rPr>
        <w:t>, 389.</w:t>
      </w:r>
      <w:r>
        <w:fldChar w:fldCharType="end"/>
      </w:r>
    </w:p>
  </w:footnote>
  <w:footnote w:id="44">
    <w:p w14:paraId="68A61D78" w14:textId="17FC7BC2" w:rsidR="00E00FEB" w:rsidRPr="006F3E8F" w:rsidRDefault="00E00FEB">
      <w:pPr>
        <w:pStyle w:val="FootnoteText"/>
        <w:rPr>
          <w:lang w:val="nl-NL"/>
        </w:rPr>
      </w:pPr>
      <w:r>
        <w:rPr>
          <w:rStyle w:val="FootnoteReference"/>
        </w:rPr>
        <w:footnoteRef/>
      </w:r>
      <w:r w:rsidRPr="006F3E8F">
        <w:rPr>
          <w:lang w:val="nl-NL"/>
        </w:rPr>
        <w:t xml:space="preserve"> </w:t>
      </w:r>
      <w:r>
        <w:fldChar w:fldCharType="begin" w:fldLock="1"/>
      </w:r>
      <w:r w:rsidR="00866052" w:rsidRPr="006F3E8F">
        <w:rPr>
          <w:lang w:val="nl-NL"/>
        </w:rPr>
        <w:instrText>ADDIN CSL_CITATION {"citationItems":[{"id":"ITEM-1","itemData":{"author":[{"dropping-particle":"","family":"Stegmaier","given":"Werner","non-dropping-particle":"","parse-names":false,"suffix":""}],"container-title":"Journal of Nietzsche Studies","id":"ITEM-1","issue":"3","issued":{"date-parts":[["2016"]]},"page":"384-401","title":"Nietzsche's Orientation toward the Future","type":"article-journal","volume":"47"},"locator":"392-93","uris":["http://www.mendeley.com/documents/?uuid=efaf649f-35c2-4404-9991-ccb27cde552a"]}],"mendeley":{"formattedCitation":"Stegmaier, 392–93.","plainTextFormattedCitation":"Stegmaier, 392–93.","previouslyFormattedCitation":"Stegmaier, 392–93."},"properties":{"noteIndex":45},"schema":"https://github.com/citation-style-language/schema/raw/master/csl-citation.json"}</w:instrText>
      </w:r>
      <w:r>
        <w:fldChar w:fldCharType="separate"/>
      </w:r>
      <w:r w:rsidRPr="006F3E8F">
        <w:rPr>
          <w:noProof/>
          <w:lang w:val="nl-NL"/>
        </w:rPr>
        <w:t>Stegmaier</w:t>
      </w:r>
      <w:r w:rsidR="00A24194">
        <w:rPr>
          <w:noProof/>
          <w:lang w:val="nl-NL"/>
        </w:rPr>
        <w:t>:</w:t>
      </w:r>
      <w:r w:rsidRPr="006F3E8F">
        <w:rPr>
          <w:noProof/>
          <w:lang w:val="nl-NL"/>
        </w:rPr>
        <w:t xml:space="preserve"> 392–</w:t>
      </w:r>
      <w:r w:rsidR="00730CB4">
        <w:rPr>
          <w:noProof/>
          <w:lang w:val="nl-NL"/>
        </w:rPr>
        <w:t>3</w:t>
      </w:r>
      <w:r w:rsidRPr="006F3E8F">
        <w:rPr>
          <w:noProof/>
          <w:lang w:val="nl-NL"/>
        </w:rPr>
        <w:t>93.</w:t>
      </w:r>
      <w:r>
        <w:fldChar w:fldCharType="end"/>
      </w:r>
    </w:p>
  </w:footnote>
  <w:footnote w:id="45">
    <w:p w14:paraId="67BDA51D" w14:textId="5E7FDB2F" w:rsidR="00E00FEB" w:rsidRPr="00924EC5" w:rsidRDefault="00E00FEB">
      <w:pPr>
        <w:pStyle w:val="FootnoteText"/>
        <w:rPr>
          <w:lang w:val="nl-NL"/>
        </w:rPr>
      </w:pPr>
      <w:r>
        <w:rPr>
          <w:rStyle w:val="FootnoteReference"/>
        </w:rPr>
        <w:footnoteRef/>
      </w:r>
      <w:r w:rsidRPr="00924EC5">
        <w:rPr>
          <w:lang w:val="nl-NL"/>
        </w:rPr>
        <w:t xml:space="preserve"> </w:t>
      </w:r>
      <w:r>
        <w:fldChar w:fldCharType="begin" w:fldLock="1"/>
      </w:r>
      <w:r w:rsidR="00866052" w:rsidRPr="00924EC5">
        <w:rPr>
          <w:lang w:val="nl-NL"/>
        </w:rPr>
        <w:instrText>ADDIN CSL_CITATION {"citationItems":[{"id":"ITEM-1","itemData":{"author":[{"dropping-particle":"","family":"Norval","given":"Aletta J.","non-dropping-particle":"","parse-names":false,"suffix":""}],"container-title":"Journal of Political Ideologies","id":"ITEM-1","issue":"2","issued":{"date-parts":[["2004"]]},"page":"139-157","title":"Hegemony after Deconstruction: The Consequences of Undecidability","type":"article-journal","volume":"9"},"uris":["http://www.mendeley.com/documents/?uuid=371b8cda-a381-47df-9c2a-1b49ee383dbb"]},{"id":"ITEM-2","itemData":{"author":[{"dropping-particle":"","family":"Critchley","given":"Simon","non-dropping-particle":"","parse-names":false,"suffix":""}],"id":"ITEM-2","issued":{"date-parts":[["2009"]]},"publisher":"Verso","publisher-place":"London","title":"Ethics-Politics-Subjectivity: Essays on Derrida, Levinas and Contemporary French Thought","type":"book"},"uris":["http://www.mendeley.com/documents/?uuid=da7c8c19-acab-48c9-91f1-a09b9412ed93"]},{"id":"ITEM-3","itemData":{"author":[{"dropping-particle":"","family":"Connolly","given":"William E.","non-dropping-particle":"","parse-names":false,"suffix":""}],"container-title":"Laclau: A Critical Reader","editor":[{"dropping-particle":"","family":"Critchley","given":"Simon","non-dropping-particle":"","parse-names":false,"suffix":""},{"dropping-particle":"","family":"Marchart","given":"Oliver","non-dropping-particle":"","parse-names":false,"suffix":""}],"id":"ITEM-3","issued":{"date-parts":[["2004"]]},"page":"167-181","publisher":"Routledge","publisher-place":"Abingdon","title":"The Ethos of Democratization","type":"chapter"},"uris":["http://www.mendeley.com/documents/?uuid=56b0bcc9-ee19-460f-b2f9-d43810d1c788"]}],"mendeley":{"formattedCitation":"Norval, “Hegemony after Deconstruction: The Consequences of Undecidability”; Critchley, &lt;i&gt;Ethics-Politics-Subjectivity: Essays on Derrida, Levinas and Contemporary French Thought&lt;/i&gt;; Connolly, “The Ethos of Democratization.”","plainTextFormattedCitation":"Norval, “Hegemony after Deconstruction: The Consequences of Undecidability”; Critchley, Ethics-Politics-Subjectivity: Essays on Derrida, Levinas and Contemporary French Thought; Connolly, “The Ethos of Democratization.”","previouslyFormattedCitation":"Norval, “Hegemony after Deconstruction: The Consequences of Undecidability”; Critchley, &lt;i&gt;Ethics-Politics-Subjectivity: Essays on Derrida, Levinas and Contemporary French Thought&lt;/i&gt;; Connolly, “The Ethos of Democratization.”"},"properties":{"noteIndex":46},"schema":"https://github.com/citation-style-language/schema/raw/master/csl-citation.json"}</w:instrText>
      </w:r>
      <w:r>
        <w:fldChar w:fldCharType="separate"/>
      </w:r>
      <w:r w:rsidRPr="00924EC5">
        <w:rPr>
          <w:noProof/>
          <w:lang w:val="nl-NL"/>
        </w:rPr>
        <w:t>Norval</w:t>
      </w:r>
      <w:r w:rsidR="00A24194" w:rsidRPr="00924EC5">
        <w:rPr>
          <w:noProof/>
          <w:lang w:val="nl-NL"/>
        </w:rPr>
        <w:t>:</w:t>
      </w:r>
      <w:r w:rsidRPr="00924EC5">
        <w:rPr>
          <w:noProof/>
          <w:lang w:val="nl-NL"/>
        </w:rPr>
        <w:t xml:space="preserve"> </w:t>
      </w:r>
      <w:r w:rsidRPr="00924EC5">
        <w:rPr>
          <w:i/>
          <w:iCs/>
          <w:noProof/>
          <w:lang w:val="nl-NL"/>
        </w:rPr>
        <w:t>Hegemony after Deconstruction</w:t>
      </w:r>
      <w:r w:rsidRPr="00924EC5">
        <w:rPr>
          <w:noProof/>
          <w:lang w:val="nl-NL"/>
        </w:rPr>
        <w:t>; Critchley</w:t>
      </w:r>
      <w:r w:rsidR="00A24194" w:rsidRPr="00924EC5">
        <w:rPr>
          <w:noProof/>
          <w:lang w:val="nl-NL"/>
        </w:rPr>
        <w:t>:</w:t>
      </w:r>
      <w:r w:rsidRPr="00924EC5">
        <w:rPr>
          <w:noProof/>
          <w:lang w:val="nl-NL"/>
        </w:rPr>
        <w:t xml:space="preserve"> </w:t>
      </w:r>
      <w:r w:rsidRPr="00924EC5">
        <w:rPr>
          <w:i/>
          <w:noProof/>
          <w:lang w:val="nl-NL"/>
        </w:rPr>
        <w:t>Ethics-Politics-Subjectivity</w:t>
      </w:r>
      <w:r w:rsidR="00A24194" w:rsidRPr="00924EC5">
        <w:rPr>
          <w:iCs/>
          <w:noProof/>
          <w:lang w:val="nl-NL"/>
        </w:rPr>
        <w:t>;</w:t>
      </w:r>
      <w:r w:rsidRPr="00924EC5">
        <w:rPr>
          <w:noProof/>
          <w:lang w:val="nl-NL"/>
        </w:rPr>
        <w:t xml:space="preserve"> Connolly</w:t>
      </w:r>
      <w:r w:rsidR="00A24194" w:rsidRPr="00924EC5">
        <w:rPr>
          <w:noProof/>
          <w:lang w:val="nl-NL"/>
        </w:rPr>
        <w:t xml:space="preserve">: </w:t>
      </w:r>
      <w:r w:rsidRPr="00924EC5">
        <w:rPr>
          <w:i/>
          <w:iCs/>
          <w:noProof/>
          <w:lang w:val="nl-NL"/>
        </w:rPr>
        <w:t>Ethos of Democratization</w:t>
      </w:r>
      <w:r w:rsidRPr="00924EC5">
        <w:rPr>
          <w:noProof/>
          <w:lang w:val="nl-NL"/>
        </w:rPr>
        <w:t>.</w:t>
      </w:r>
      <w:r>
        <w:fldChar w:fldCharType="end"/>
      </w:r>
    </w:p>
  </w:footnote>
  <w:footnote w:id="46">
    <w:p w14:paraId="3E0690DF" w14:textId="235A4C4D" w:rsidR="00E00FEB" w:rsidRPr="00153BD4" w:rsidRDefault="00E00FEB">
      <w:pPr>
        <w:pStyle w:val="FootnoteText"/>
        <w:rPr>
          <w:lang w:val="en-IN"/>
        </w:rPr>
      </w:pPr>
      <w:r>
        <w:rPr>
          <w:rStyle w:val="FootnoteReference"/>
        </w:rPr>
        <w:footnoteRef/>
      </w:r>
      <w:r>
        <w:t xml:space="preserve"> </w:t>
      </w:r>
      <w:r>
        <w:fldChar w:fldCharType="begin" w:fldLock="1"/>
      </w:r>
      <w:r w:rsidR="00866052">
        <w:instrText>ADDIN CSL_CITATION {"citationItems":[{"id":"ITEM-1","itemData":{"author":[{"dropping-particle":"","family":"Connolly","given":"William E.","non-dropping-particle":"","parse-names":false,"suffix":""}],"id":"ITEM-1","issued":{"date-parts":[["2011"]]},"publisher":"Duke University Press","publisher-place":"Durham","title":"A World of Becoming","type":"book"},"locator":"79","uris":["http://www.mendeley.com/documents/?uuid=86f0b3d0-34e1-44dd-8134-ab2c6e2fa0ba"]}],"mendeley":{"formattedCitation":"Connolly, &lt;i&gt;A World of Becoming&lt;/i&gt;, 2011, 79.","plainTextFormattedCitation":"Connolly, A World of Becoming, 2011, 79.","previouslyFormattedCitation":"Connolly, &lt;i&gt;A World of Becoming&lt;/i&gt;, 2011, 79."},"properties":{"noteIndex":47},"schema":"https://github.com/citation-style-language/schema/raw/master/csl-citation.json"}</w:instrText>
      </w:r>
      <w:r>
        <w:fldChar w:fldCharType="separate"/>
      </w:r>
      <w:r w:rsidRPr="00153BD4">
        <w:rPr>
          <w:bCs/>
          <w:noProof/>
          <w:lang w:val="en-US"/>
        </w:rPr>
        <w:t>Connolly</w:t>
      </w:r>
      <w:r w:rsidR="00A5259B">
        <w:rPr>
          <w:bCs/>
          <w:noProof/>
          <w:lang w:val="en-US"/>
        </w:rPr>
        <w:t>:</w:t>
      </w:r>
      <w:r w:rsidRPr="00153BD4">
        <w:rPr>
          <w:bCs/>
          <w:noProof/>
          <w:lang w:val="en-US"/>
        </w:rPr>
        <w:t xml:space="preserve"> </w:t>
      </w:r>
      <w:r w:rsidRPr="00153BD4">
        <w:rPr>
          <w:bCs/>
          <w:i/>
          <w:noProof/>
          <w:lang w:val="en-US"/>
        </w:rPr>
        <w:t>World of Becoming</w:t>
      </w:r>
      <w:r w:rsidRPr="00153BD4">
        <w:rPr>
          <w:bCs/>
          <w:noProof/>
          <w:lang w:val="en-US"/>
        </w:rPr>
        <w:t>, 79.</w:t>
      </w:r>
      <w:r>
        <w:fldChar w:fldCharType="end"/>
      </w:r>
    </w:p>
  </w:footnote>
  <w:footnote w:id="47">
    <w:p w14:paraId="5C66ABD7" w14:textId="1BF9DBD7" w:rsidR="00E00FEB" w:rsidRPr="00153BD4" w:rsidRDefault="00E00FEB">
      <w:pPr>
        <w:pStyle w:val="FootnoteText"/>
        <w:rPr>
          <w:lang w:val="en-IN"/>
        </w:rPr>
      </w:pPr>
      <w:r>
        <w:rPr>
          <w:rStyle w:val="FootnoteReference"/>
        </w:rPr>
        <w:footnoteRef/>
      </w:r>
      <w:r>
        <w:t xml:space="preserve"> </w:t>
      </w:r>
      <w:r>
        <w:fldChar w:fldCharType="begin" w:fldLock="1"/>
      </w:r>
      <w:r w:rsidR="00866052">
        <w:instrText>ADDIN CSL_CITATION {"citationItems":[{"id":"ITEM-1","itemData":{"DOI":"10.3366/prg.2006.0018","ISSN":"02648334","abstract":"The concept of emergence - which I define as the (diachronic) construction of functional structures in complex systems that achieve a (synchronic) focus of systematic behaviour as they constrain the behaviour of individual components - plays a crucial role in debates in philosophical reflection on science as a whole (the question of reductionism) as well as in the fields of biology (the status of the organism), social science (the practical subject) and cognitive science (the cognitive subject). In this article I examine how the philosophy of Deleuze and that of Deleuze and Guattari can help us see some of the most important implications of these debates.","author":[{"dropping-particle":"","family":"Protevi","given":"John","non-dropping-particle":"","parse-names":false,"suffix":""}],"container-title":"Paragraph","id":"ITEM-1","issue":"2","issued":{"date-parts":[["2006"]]},"page":"19-39","title":"Deleuze, Guattari and emergence","type":"article-journal","volume":"29"},"locator":"34","uris":["http://www.mendeley.com/documents/?uuid=cd8fa483-5f30-4843-94e8-35f2d1873490"]}],"mendeley":{"formattedCitation":"Protevi, “Deleuze, Guattari and Emergence,” 34.","plainTextFormattedCitation":"Protevi, “Deleuze, Guattari and Emergence,” 34.","previouslyFormattedCitation":"Protevi, “Deleuze, Guattari and Emergence,” 34."},"properties":{"noteIndex":48},"schema":"https://github.com/citation-style-language/schema/raw/master/csl-citation.json"}</w:instrText>
      </w:r>
      <w:r>
        <w:fldChar w:fldCharType="separate"/>
      </w:r>
      <w:r w:rsidRPr="00153BD4">
        <w:rPr>
          <w:bCs/>
          <w:noProof/>
          <w:lang w:val="en-US"/>
        </w:rPr>
        <w:t>Protevi</w:t>
      </w:r>
      <w:r w:rsidR="00A24194">
        <w:rPr>
          <w:bCs/>
          <w:noProof/>
          <w:lang w:val="en-US"/>
        </w:rPr>
        <w:t>:</w:t>
      </w:r>
      <w:r w:rsidRPr="00153BD4">
        <w:rPr>
          <w:bCs/>
          <w:noProof/>
          <w:lang w:val="en-US"/>
        </w:rPr>
        <w:t xml:space="preserve"> </w:t>
      </w:r>
      <w:r w:rsidRPr="00A24194">
        <w:rPr>
          <w:bCs/>
          <w:i/>
          <w:iCs/>
          <w:noProof/>
          <w:lang w:val="en-US"/>
        </w:rPr>
        <w:t>Deleuze, Guattari and Emergence</w:t>
      </w:r>
      <w:r w:rsidRPr="00153BD4">
        <w:rPr>
          <w:bCs/>
          <w:noProof/>
          <w:lang w:val="en-US"/>
        </w:rPr>
        <w:t>, 34.</w:t>
      </w:r>
      <w: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Chicago 17th Footno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e29r2t0jxre0lee92q5vewcsazwtvp9zte5&quot;&gt;EndNote Library - Backup 030921&lt;record-ids&gt;&lt;item&gt;148&lt;/item&gt;&lt;item&gt;394&lt;/item&gt;&lt;/record-ids&gt;&lt;/item&gt;&lt;/Libraries&gt;"/>
  </w:docVars>
  <w:rsids>
    <w:rsidRoot w:val="00805787"/>
    <w:rsid w:val="00007DF7"/>
    <w:rsid w:val="00016E4D"/>
    <w:rsid w:val="0002163E"/>
    <w:rsid w:val="000242A3"/>
    <w:rsid w:val="0003480A"/>
    <w:rsid w:val="00045FFB"/>
    <w:rsid w:val="000700B0"/>
    <w:rsid w:val="000741F7"/>
    <w:rsid w:val="0008394A"/>
    <w:rsid w:val="00084C04"/>
    <w:rsid w:val="000965A4"/>
    <w:rsid w:val="000B6508"/>
    <w:rsid w:val="000C43FF"/>
    <w:rsid w:val="000C5DDF"/>
    <w:rsid w:val="000C7192"/>
    <w:rsid w:val="000D2B74"/>
    <w:rsid w:val="000E7338"/>
    <w:rsid w:val="000F3089"/>
    <w:rsid w:val="000F77D4"/>
    <w:rsid w:val="00102F41"/>
    <w:rsid w:val="00116056"/>
    <w:rsid w:val="0011627F"/>
    <w:rsid w:val="00121116"/>
    <w:rsid w:val="00127BC3"/>
    <w:rsid w:val="00136EF1"/>
    <w:rsid w:val="00144859"/>
    <w:rsid w:val="00147F36"/>
    <w:rsid w:val="00153BD4"/>
    <w:rsid w:val="00157342"/>
    <w:rsid w:val="00176364"/>
    <w:rsid w:val="00195919"/>
    <w:rsid w:val="001B5864"/>
    <w:rsid w:val="001B638B"/>
    <w:rsid w:val="001C2B0B"/>
    <w:rsid w:val="001D4410"/>
    <w:rsid w:val="001F4D27"/>
    <w:rsid w:val="001F5A05"/>
    <w:rsid w:val="00202EAB"/>
    <w:rsid w:val="002062B7"/>
    <w:rsid w:val="00230159"/>
    <w:rsid w:val="00240D99"/>
    <w:rsid w:val="002563F3"/>
    <w:rsid w:val="0025692F"/>
    <w:rsid w:val="0027075B"/>
    <w:rsid w:val="002728E3"/>
    <w:rsid w:val="002762D3"/>
    <w:rsid w:val="00276D10"/>
    <w:rsid w:val="0028536F"/>
    <w:rsid w:val="002878C7"/>
    <w:rsid w:val="00287F33"/>
    <w:rsid w:val="002913B8"/>
    <w:rsid w:val="00293A7E"/>
    <w:rsid w:val="002B28B3"/>
    <w:rsid w:val="002C4982"/>
    <w:rsid w:val="002D14B1"/>
    <w:rsid w:val="002D2DE0"/>
    <w:rsid w:val="002D345C"/>
    <w:rsid w:val="002E7ABC"/>
    <w:rsid w:val="002F2DA9"/>
    <w:rsid w:val="002F553B"/>
    <w:rsid w:val="002F6935"/>
    <w:rsid w:val="00301883"/>
    <w:rsid w:val="003356CB"/>
    <w:rsid w:val="003358DE"/>
    <w:rsid w:val="00335BED"/>
    <w:rsid w:val="00360419"/>
    <w:rsid w:val="00366946"/>
    <w:rsid w:val="00367C96"/>
    <w:rsid w:val="00372963"/>
    <w:rsid w:val="003829DF"/>
    <w:rsid w:val="00387337"/>
    <w:rsid w:val="003904B9"/>
    <w:rsid w:val="003A4E68"/>
    <w:rsid w:val="003C13BA"/>
    <w:rsid w:val="003C1798"/>
    <w:rsid w:val="003D00AC"/>
    <w:rsid w:val="003D0E9D"/>
    <w:rsid w:val="003E2617"/>
    <w:rsid w:val="003F1D31"/>
    <w:rsid w:val="003F46C2"/>
    <w:rsid w:val="00410C75"/>
    <w:rsid w:val="00412E8F"/>
    <w:rsid w:val="00416802"/>
    <w:rsid w:val="00424971"/>
    <w:rsid w:val="004445CC"/>
    <w:rsid w:val="00450FFE"/>
    <w:rsid w:val="004513D7"/>
    <w:rsid w:val="0046135F"/>
    <w:rsid w:val="00461A4B"/>
    <w:rsid w:val="00465558"/>
    <w:rsid w:val="00466B19"/>
    <w:rsid w:val="00477A7D"/>
    <w:rsid w:val="004804D9"/>
    <w:rsid w:val="00482775"/>
    <w:rsid w:val="0048427C"/>
    <w:rsid w:val="00491E4C"/>
    <w:rsid w:val="00493745"/>
    <w:rsid w:val="004940F1"/>
    <w:rsid w:val="00495FF8"/>
    <w:rsid w:val="004961E5"/>
    <w:rsid w:val="00496C0E"/>
    <w:rsid w:val="004A1B46"/>
    <w:rsid w:val="004A358D"/>
    <w:rsid w:val="004B2352"/>
    <w:rsid w:val="004C2C74"/>
    <w:rsid w:val="004C518B"/>
    <w:rsid w:val="004E3B66"/>
    <w:rsid w:val="004E61A0"/>
    <w:rsid w:val="004F447A"/>
    <w:rsid w:val="004F7DE3"/>
    <w:rsid w:val="00501CD1"/>
    <w:rsid w:val="00511572"/>
    <w:rsid w:val="005117A0"/>
    <w:rsid w:val="005122DF"/>
    <w:rsid w:val="00526F23"/>
    <w:rsid w:val="0054189D"/>
    <w:rsid w:val="00542AEC"/>
    <w:rsid w:val="005545D5"/>
    <w:rsid w:val="00557A6A"/>
    <w:rsid w:val="00563A71"/>
    <w:rsid w:val="00575533"/>
    <w:rsid w:val="00577F57"/>
    <w:rsid w:val="0058190E"/>
    <w:rsid w:val="0059616E"/>
    <w:rsid w:val="00596CB1"/>
    <w:rsid w:val="005A4EC6"/>
    <w:rsid w:val="005B0725"/>
    <w:rsid w:val="005B1589"/>
    <w:rsid w:val="005C2120"/>
    <w:rsid w:val="005C70AB"/>
    <w:rsid w:val="005E152D"/>
    <w:rsid w:val="005E66AE"/>
    <w:rsid w:val="005F3268"/>
    <w:rsid w:val="005F6657"/>
    <w:rsid w:val="006074C7"/>
    <w:rsid w:val="0061344C"/>
    <w:rsid w:val="0062019D"/>
    <w:rsid w:val="00622808"/>
    <w:rsid w:val="00626A23"/>
    <w:rsid w:val="00633C12"/>
    <w:rsid w:val="00644EEF"/>
    <w:rsid w:val="00646872"/>
    <w:rsid w:val="006511AD"/>
    <w:rsid w:val="00671AFE"/>
    <w:rsid w:val="0067670B"/>
    <w:rsid w:val="00684C05"/>
    <w:rsid w:val="006968F1"/>
    <w:rsid w:val="006B0DDD"/>
    <w:rsid w:val="006C222B"/>
    <w:rsid w:val="006E56BF"/>
    <w:rsid w:val="006E647C"/>
    <w:rsid w:val="006F3E8F"/>
    <w:rsid w:val="006F5478"/>
    <w:rsid w:val="00703331"/>
    <w:rsid w:val="00707B49"/>
    <w:rsid w:val="00710295"/>
    <w:rsid w:val="007133D1"/>
    <w:rsid w:val="00715172"/>
    <w:rsid w:val="00730CB4"/>
    <w:rsid w:val="007318ED"/>
    <w:rsid w:val="00732193"/>
    <w:rsid w:val="00732507"/>
    <w:rsid w:val="00735559"/>
    <w:rsid w:val="007357FD"/>
    <w:rsid w:val="00747416"/>
    <w:rsid w:val="0075348C"/>
    <w:rsid w:val="00772EAC"/>
    <w:rsid w:val="00781D2A"/>
    <w:rsid w:val="00782561"/>
    <w:rsid w:val="00783E1A"/>
    <w:rsid w:val="00797D06"/>
    <w:rsid w:val="00797FF7"/>
    <w:rsid w:val="007A338E"/>
    <w:rsid w:val="007A644E"/>
    <w:rsid w:val="007B24D5"/>
    <w:rsid w:val="007E1138"/>
    <w:rsid w:val="007E764C"/>
    <w:rsid w:val="007F23EF"/>
    <w:rsid w:val="00805787"/>
    <w:rsid w:val="008406E4"/>
    <w:rsid w:val="00842AEF"/>
    <w:rsid w:val="00845AC7"/>
    <w:rsid w:val="00850116"/>
    <w:rsid w:val="00850FBB"/>
    <w:rsid w:val="00866052"/>
    <w:rsid w:val="008902F7"/>
    <w:rsid w:val="008A1FEA"/>
    <w:rsid w:val="008A4C23"/>
    <w:rsid w:val="008B06FB"/>
    <w:rsid w:val="008B2806"/>
    <w:rsid w:val="008B3B73"/>
    <w:rsid w:val="008B698F"/>
    <w:rsid w:val="008C1A2A"/>
    <w:rsid w:val="008D7B23"/>
    <w:rsid w:val="008E5136"/>
    <w:rsid w:val="008E74F6"/>
    <w:rsid w:val="008F15B1"/>
    <w:rsid w:val="00924EC5"/>
    <w:rsid w:val="009366CB"/>
    <w:rsid w:val="00945E98"/>
    <w:rsid w:val="00946196"/>
    <w:rsid w:val="0096037B"/>
    <w:rsid w:val="00970671"/>
    <w:rsid w:val="00974BD7"/>
    <w:rsid w:val="0097599D"/>
    <w:rsid w:val="00997B25"/>
    <w:rsid w:val="009A0241"/>
    <w:rsid w:val="009A276F"/>
    <w:rsid w:val="009B6B66"/>
    <w:rsid w:val="009B7315"/>
    <w:rsid w:val="009D590F"/>
    <w:rsid w:val="009E2CB4"/>
    <w:rsid w:val="009E50AB"/>
    <w:rsid w:val="009E50CA"/>
    <w:rsid w:val="009F13E4"/>
    <w:rsid w:val="009F1E2C"/>
    <w:rsid w:val="00A05846"/>
    <w:rsid w:val="00A0757C"/>
    <w:rsid w:val="00A07D18"/>
    <w:rsid w:val="00A1568A"/>
    <w:rsid w:val="00A16B7D"/>
    <w:rsid w:val="00A2140A"/>
    <w:rsid w:val="00A24194"/>
    <w:rsid w:val="00A27B4A"/>
    <w:rsid w:val="00A312FF"/>
    <w:rsid w:val="00A34EAA"/>
    <w:rsid w:val="00A43489"/>
    <w:rsid w:val="00A4681A"/>
    <w:rsid w:val="00A5259B"/>
    <w:rsid w:val="00A541B9"/>
    <w:rsid w:val="00A635BE"/>
    <w:rsid w:val="00A63F6B"/>
    <w:rsid w:val="00A7045A"/>
    <w:rsid w:val="00A7744D"/>
    <w:rsid w:val="00A83C43"/>
    <w:rsid w:val="00A91B31"/>
    <w:rsid w:val="00A9308B"/>
    <w:rsid w:val="00A93DA0"/>
    <w:rsid w:val="00A9530D"/>
    <w:rsid w:val="00AA1E09"/>
    <w:rsid w:val="00AB21F5"/>
    <w:rsid w:val="00AC3784"/>
    <w:rsid w:val="00AE0EFF"/>
    <w:rsid w:val="00AF5DDA"/>
    <w:rsid w:val="00AF6E13"/>
    <w:rsid w:val="00B01382"/>
    <w:rsid w:val="00B1070A"/>
    <w:rsid w:val="00B209A4"/>
    <w:rsid w:val="00B218EB"/>
    <w:rsid w:val="00B22DAE"/>
    <w:rsid w:val="00B32815"/>
    <w:rsid w:val="00B51D52"/>
    <w:rsid w:val="00B709FF"/>
    <w:rsid w:val="00B84C17"/>
    <w:rsid w:val="00B9712A"/>
    <w:rsid w:val="00BA08E3"/>
    <w:rsid w:val="00BA36C7"/>
    <w:rsid w:val="00BB7499"/>
    <w:rsid w:val="00BD1EB3"/>
    <w:rsid w:val="00C067C3"/>
    <w:rsid w:val="00C1217F"/>
    <w:rsid w:val="00C15BAC"/>
    <w:rsid w:val="00C234BA"/>
    <w:rsid w:val="00C3183E"/>
    <w:rsid w:val="00C4357D"/>
    <w:rsid w:val="00C56921"/>
    <w:rsid w:val="00C605DF"/>
    <w:rsid w:val="00C6547E"/>
    <w:rsid w:val="00C81DA1"/>
    <w:rsid w:val="00C96DB1"/>
    <w:rsid w:val="00CB3F56"/>
    <w:rsid w:val="00CC7F2E"/>
    <w:rsid w:val="00D06CFB"/>
    <w:rsid w:val="00D1797C"/>
    <w:rsid w:val="00D26599"/>
    <w:rsid w:val="00D26FC8"/>
    <w:rsid w:val="00D3062F"/>
    <w:rsid w:val="00D537BD"/>
    <w:rsid w:val="00D544F9"/>
    <w:rsid w:val="00D56147"/>
    <w:rsid w:val="00D841FA"/>
    <w:rsid w:val="00D853DE"/>
    <w:rsid w:val="00D901F2"/>
    <w:rsid w:val="00D922CF"/>
    <w:rsid w:val="00D96FC6"/>
    <w:rsid w:val="00DA0B7A"/>
    <w:rsid w:val="00DA2E91"/>
    <w:rsid w:val="00DB2363"/>
    <w:rsid w:val="00DB3BEC"/>
    <w:rsid w:val="00DB4894"/>
    <w:rsid w:val="00DD5142"/>
    <w:rsid w:val="00DE7FE9"/>
    <w:rsid w:val="00DF45FF"/>
    <w:rsid w:val="00E008FC"/>
    <w:rsid w:val="00E00FEB"/>
    <w:rsid w:val="00E027C6"/>
    <w:rsid w:val="00E121D8"/>
    <w:rsid w:val="00E25AE2"/>
    <w:rsid w:val="00E37161"/>
    <w:rsid w:val="00E41677"/>
    <w:rsid w:val="00E422B8"/>
    <w:rsid w:val="00E4617A"/>
    <w:rsid w:val="00E53685"/>
    <w:rsid w:val="00E53DAF"/>
    <w:rsid w:val="00E6202F"/>
    <w:rsid w:val="00E6545E"/>
    <w:rsid w:val="00E7044E"/>
    <w:rsid w:val="00E81E33"/>
    <w:rsid w:val="00E8698D"/>
    <w:rsid w:val="00E87688"/>
    <w:rsid w:val="00E90337"/>
    <w:rsid w:val="00E90790"/>
    <w:rsid w:val="00EB091A"/>
    <w:rsid w:val="00ED1086"/>
    <w:rsid w:val="00ED4108"/>
    <w:rsid w:val="00EE2CD8"/>
    <w:rsid w:val="00EE5485"/>
    <w:rsid w:val="00EF400F"/>
    <w:rsid w:val="00EF502F"/>
    <w:rsid w:val="00EF53AA"/>
    <w:rsid w:val="00F021A7"/>
    <w:rsid w:val="00F0604F"/>
    <w:rsid w:val="00F06BF6"/>
    <w:rsid w:val="00F10C5D"/>
    <w:rsid w:val="00F129BD"/>
    <w:rsid w:val="00F2421A"/>
    <w:rsid w:val="00F325F4"/>
    <w:rsid w:val="00F34647"/>
    <w:rsid w:val="00F402F1"/>
    <w:rsid w:val="00F439DF"/>
    <w:rsid w:val="00F47053"/>
    <w:rsid w:val="00F57294"/>
    <w:rsid w:val="00F74AE9"/>
    <w:rsid w:val="00F80EE7"/>
    <w:rsid w:val="00F82437"/>
    <w:rsid w:val="00F94D54"/>
    <w:rsid w:val="00F95176"/>
    <w:rsid w:val="00FA11B4"/>
    <w:rsid w:val="00FC0841"/>
    <w:rsid w:val="00FD371B"/>
    <w:rsid w:val="00FD37C9"/>
    <w:rsid w:val="00FE3DF8"/>
    <w:rsid w:val="00FF3D67"/>
  </w:rsids>
  <m:mathPr>
    <m:mathFont m:val="Cambria Math"/>
    <m:brkBin m:val="before"/>
    <m:brkBinSub m:val="--"/>
    <m:smallFrac m:val="0"/>
    <m:dispDef/>
    <m:lMargin m:val="0"/>
    <m:rMargin m:val="0"/>
    <m:defJc m:val="centerGroup"/>
    <m:wrapIndent m:val="1440"/>
    <m:intLim m:val="subSup"/>
    <m:naryLim m:val="undOvr"/>
  </m:mathPr>
  <w:themeFontLang w:val="en-GB" w:eastAsia="en-GB" w:bidi="gu-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4C68F0"/>
  <w15:chartTrackingRefBased/>
  <w15:docId w15:val="{24EDFF70-77EB-45CA-B885-20DAB898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gu-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963"/>
    <w:pPr>
      <w:spacing w:line="360" w:lineRule="auto"/>
      <w:jc w:val="both"/>
    </w:pPr>
    <w:rPr>
      <w:rFonts w:ascii="Garamond" w:hAnsi="Garamond"/>
      <w:sz w:val="24"/>
    </w:rPr>
  </w:style>
  <w:style w:type="paragraph" w:styleId="Heading1">
    <w:name w:val="heading 1"/>
    <w:basedOn w:val="Normal"/>
    <w:next w:val="Normal"/>
    <w:link w:val="Heading1Char"/>
    <w:autoRedefine/>
    <w:uiPriority w:val="9"/>
    <w:qFormat/>
    <w:rsid w:val="00946196"/>
    <w:pPr>
      <w:keepNext/>
      <w:keepLines/>
      <w:spacing w:before="240" w:after="240"/>
      <w:jc w:val="left"/>
      <w:outlineLvl w:val="0"/>
    </w:pPr>
    <w:rPr>
      <w:rFonts w:ascii="Trebuchet MS" w:eastAsiaTheme="majorEastAsia" w:hAnsi="Trebuchet MS" w:cstheme="majorBidi"/>
      <w:color w:val="000000" w:themeColor="text1"/>
      <w:sz w:val="32"/>
      <w:szCs w:val="32"/>
      <w:lang w:val="en-US" w:bidi="ar-SA"/>
    </w:rPr>
  </w:style>
  <w:style w:type="paragraph" w:styleId="Heading2">
    <w:name w:val="heading 2"/>
    <w:basedOn w:val="Normal"/>
    <w:next w:val="Normal"/>
    <w:link w:val="Heading2Char"/>
    <w:uiPriority w:val="9"/>
    <w:unhideWhenUsed/>
    <w:qFormat/>
    <w:rsid w:val="00946196"/>
    <w:pPr>
      <w:keepNext/>
      <w:keepLines/>
      <w:spacing w:before="40" w:after="0"/>
      <w:jc w:val="left"/>
      <w:outlineLvl w:val="1"/>
    </w:pPr>
    <w:rPr>
      <w:rFonts w:ascii="Calibri Light" w:eastAsiaTheme="majorEastAsia" w:hAnsi="Calibri Light" w:cstheme="majorBidi"/>
      <w:color w:val="000000" w:themeColor="text1"/>
      <w:sz w:val="26"/>
      <w:szCs w:val="26"/>
      <w:lang w:val="en-US" w:bidi="ar-SA"/>
    </w:rPr>
  </w:style>
  <w:style w:type="paragraph" w:styleId="Heading3">
    <w:name w:val="heading 3"/>
    <w:basedOn w:val="Normal"/>
    <w:next w:val="Normal"/>
    <w:link w:val="Heading3Char"/>
    <w:uiPriority w:val="9"/>
    <w:semiHidden/>
    <w:unhideWhenUsed/>
    <w:qFormat/>
    <w:rsid w:val="0061344C"/>
    <w:pPr>
      <w:keepNext/>
      <w:keepLines/>
      <w:spacing w:before="40" w:after="0"/>
      <w:outlineLvl w:val="2"/>
    </w:pPr>
    <w:rPr>
      <w:rFonts w:asciiTheme="minorHAnsi" w:eastAsiaTheme="majorEastAsia" w:hAnsiTheme="minorHAnsi" w:cstheme="majorBidi"/>
      <w:b/>
      <w:color w:val="000000" w:themeColor="tex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196"/>
    <w:rPr>
      <w:rFonts w:ascii="Trebuchet MS" w:eastAsiaTheme="majorEastAsia" w:hAnsi="Trebuchet MS" w:cstheme="majorBidi"/>
      <w:color w:val="000000" w:themeColor="text1"/>
      <w:sz w:val="32"/>
      <w:szCs w:val="32"/>
      <w:lang w:val="en-US" w:bidi="ar-SA"/>
    </w:rPr>
  </w:style>
  <w:style w:type="character" w:customStyle="1" w:styleId="Heading2Char">
    <w:name w:val="Heading 2 Char"/>
    <w:basedOn w:val="DefaultParagraphFont"/>
    <w:link w:val="Heading2"/>
    <w:uiPriority w:val="9"/>
    <w:rsid w:val="00946196"/>
    <w:rPr>
      <w:rFonts w:ascii="Calibri Light" w:eastAsiaTheme="majorEastAsia" w:hAnsi="Calibri Light" w:cstheme="majorBidi"/>
      <w:color w:val="000000" w:themeColor="text1"/>
      <w:sz w:val="26"/>
      <w:szCs w:val="26"/>
      <w:lang w:val="en-US" w:bidi="ar-SA"/>
    </w:rPr>
  </w:style>
  <w:style w:type="character" w:customStyle="1" w:styleId="Heading3Char">
    <w:name w:val="Heading 3 Char"/>
    <w:basedOn w:val="DefaultParagraphFont"/>
    <w:link w:val="Heading3"/>
    <w:uiPriority w:val="9"/>
    <w:semiHidden/>
    <w:rsid w:val="0061344C"/>
    <w:rPr>
      <w:rFonts w:eastAsiaTheme="majorEastAsia" w:cstheme="majorBidi"/>
      <w:b/>
      <w:color w:val="000000" w:themeColor="text1"/>
      <w:sz w:val="24"/>
      <w:szCs w:val="24"/>
      <w:u w:val="single"/>
    </w:rPr>
  </w:style>
  <w:style w:type="paragraph" w:styleId="FootnoteText">
    <w:name w:val="footnote text"/>
    <w:basedOn w:val="Normal"/>
    <w:link w:val="FootnoteTextChar"/>
    <w:uiPriority w:val="99"/>
    <w:semiHidden/>
    <w:unhideWhenUsed/>
    <w:rsid w:val="003C1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1798"/>
    <w:rPr>
      <w:rFonts w:ascii="Times New Roman" w:hAnsi="Times New Roman"/>
      <w:sz w:val="20"/>
      <w:szCs w:val="20"/>
    </w:rPr>
  </w:style>
  <w:style w:type="character" w:styleId="FootnoteReference">
    <w:name w:val="footnote reference"/>
    <w:basedOn w:val="DefaultParagraphFont"/>
    <w:uiPriority w:val="99"/>
    <w:semiHidden/>
    <w:unhideWhenUsed/>
    <w:rsid w:val="003C1798"/>
    <w:rPr>
      <w:vertAlign w:val="superscript"/>
    </w:rPr>
  </w:style>
  <w:style w:type="character" w:styleId="CommentReference">
    <w:name w:val="annotation reference"/>
    <w:basedOn w:val="DefaultParagraphFont"/>
    <w:uiPriority w:val="99"/>
    <w:semiHidden/>
    <w:unhideWhenUsed/>
    <w:rsid w:val="00016E4D"/>
    <w:rPr>
      <w:sz w:val="16"/>
      <w:szCs w:val="16"/>
    </w:rPr>
  </w:style>
  <w:style w:type="paragraph" w:styleId="CommentText">
    <w:name w:val="annotation text"/>
    <w:basedOn w:val="Normal"/>
    <w:link w:val="CommentTextChar"/>
    <w:uiPriority w:val="99"/>
    <w:semiHidden/>
    <w:unhideWhenUsed/>
    <w:rsid w:val="00016E4D"/>
    <w:pPr>
      <w:spacing w:line="240" w:lineRule="auto"/>
    </w:pPr>
    <w:rPr>
      <w:sz w:val="20"/>
      <w:szCs w:val="20"/>
    </w:rPr>
  </w:style>
  <w:style w:type="character" w:customStyle="1" w:styleId="CommentTextChar">
    <w:name w:val="Comment Text Char"/>
    <w:basedOn w:val="DefaultParagraphFont"/>
    <w:link w:val="CommentText"/>
    <w:uiPriority w:val="99"/>
    <w:semiHidden/>
    <w:rsid w:val="00016E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6E4D"/>
    <w:rPr>
      <w:b/>
      <w:bCs/>
    </w:rPr>
  </w:style>
  <w:style w:type="character" w:customStyle="1" w:styleId="CommentSubjectChar">
    <w:name w:val="Comment Subject Char"/>
    <w:basedOn w:val="CommentTextChar"/>
    <w:link w:val="CommentSubject"/>
    <w:uiPriority w:val="99"/>
    <w:semiHidden/>
    <w:rsid w:val="00016E4D"/>
    <w:rPr>
      <w:rFonts w:ascii="Times New Roman" w:hAnsi="Times New Roman"/>
      <w:b/>
      <w:bCs/>
      <w:sz w:val="20"/>
      <w:szCs w:val="20"/>
    </w:rPr>
  </w:style>
  <w:style w:type="paragraph" w:styleId="Header">
    <w:name w:val="header"/>
    <w:basedOn w:val="Normal"/>
    <w:link w:val="HeaderChar"/>
    <w:uiPriority w:val="99"/>
    <w:unhideWhenUsed/>
    <w:rsid w:val="00E25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AE2"/>
    <w:rPr>
      <w:rFonts w:ascii="Times New Roman" w:hAnsi="Times New Roman"/>
      <w:sz w:val="24"/>
    </w:rPr>
  </w:style>
  <w:style w:type="paragraph" w:styleId="Footer">
    <w:name w:val="footer"/>
    <w:basedOn w:val="Normal"/>
    <w:link w:val="FooterChar"/>
    <w:uiPriority w:val="99"/>
    <w:unhideWhenUsed/>
    <w:rsid w:val="00E25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AE2"/>
    <w:rPr>
      <w:rFonts w:ascii="Times New Roman" w:hAnsi="Times New Roman"/>
      <w:sz w:val="24"/>
    </w:rPr>
  </w:style>
  <w:style w:type="paragraph" w:styleId="Title">
    <w:name w:val="Title"/>
    <w:basedOn w:val="Normal"/>
    <w:next w:val="Normal"/>
    <w:link w:val="TitleChar"/>
    <w:uiPriority w:val="10"/>
    <w:qFormat/>
    <w:rsid w:val="00372963"/>
    <w:pPr>
      <w:spacing w:after="0" w:line="240" w:lineRule="auto"/>
      <w:contextualSpacing/>
      <w:jc w:val="center"/>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372963"/>
    <w:rPr>
      <w:rFonts w:asciiTheme="majorHAnsi" w:eastAsiaTheme="majorEastAsia" w:hAnsiTheme="majorHAnsi" w:cstheme="majorBidi"/>
      <w:spacing w:val="-10"/>
      <w:kern w:val="28"/>
      <w:sz w:val="40"/>
      <w:szCs w:val="56"/>
    </w:rPr>
  </w:style>
  <w:style w:type="paragraph" w:customStyle="1" w:styleId="EndNoteBibliographyTitle">
    <w:name w:val="EndNote Bibliography Title"/>
    <w:basedOn w:val="Normal"/>
    <w:link w:val="EndNoteBibliographyTitleChar"/>
    <w:rsid w:val="004804D9"/>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4804D9"/>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4804D9"/>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4804D9"/>
    <w:rPr>
      <w:rFonts w:ascii="Times New Roman" w:hAnsi="Times New Roman" w:cs="Times New Roman"/>
      <w:noProof/>
      <w:sz w:val="24"/>
      <w:lang w:val="en-US"/>
    </w:rPr>
  </w:style>
  <w:style w:type="paragraph" w:styleId="Revision">
    <w:name w:val="Revision"/>
    <w:hidden/>
    <w:uiPriority w:val="99"/>
    <w:semiHidden/>
    <w:rsid w:val="00924EC5"/>
    <w:pPr>
      <w:spacing w:after="0" w:line="240" w:lineRule="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Trajan Pro"/>
        <a:ea typeface=""/>
        <a:cs typeface="Shruti"/>
      </a:majorFont>
      <a:minorFont>
        <a:latin typeface="Times New Roman"/>
        <a:ea typeface=""/>
        <a:cs typeface="Shrut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B379D2-510C-4A9B-9E73-3915C02C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5389</Words>
  <Characters>30720</Characters>
  <Application>Microsoft Office Word</Application>
  <DocSecurity>0</DocSecurity>
  <Lines>256</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Tanay Gandhi</dc:creator>
  <cp:keywords/>
  <dc:description/>
  <cp:lastModifiedBy>Tanay Gandhi</cp:lastModifiedBy>
  <cp:revision>9</cp:revision>
  <dcterms:created xsi:type="dcterms:W3CDTF">2023-02-07T09:56:00Z</dcterms:created>
  <dcterms:modified xsi:type="dcterms:W3CDTF">2023-06-27T11:20:00Z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574526bf-fe46-3c8b-aee1-cd02ec3970c2</vt:lpwstr>
  </property>
  <property fmtid="{D5CDD505-2E9C-101B-9397-08002B2CF9AE}" pid="4" name="Mendeley Citation Style_1">
    <vt:lpwstr>http://www.zotero.org/styles/chicago-note-bibliography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