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EE89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E1E68">
        <w:rPr>
          <w:rFonts w:cstheme="minorHAnsi"/>
          <w:b/>
          <w:bCs/>
        </w:rPr>
        <w:t>Appendix</w:t>
      </w:r>
    </w:p>
    <w:p w14:paraId="581CD330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4DEB4F9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EE5126F" wp14:editId="35011FB7">
            <wp:extent cx="6537926" cy="383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669" cy="383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19ACF" w14:textId="77777777" w:rsidR="00C46080" w:rsidRDefault="00C46080" w:rsidP="00C46080">
      <w:pPr>
        <w:spacing w:after="200" w:line="276" w:lineRule="auto"/>
        <w:rPr>
          <w:rFonts w:cstheme="minorHAnsi"/>
        </w:rPr>
      </w:pPr>
      <w:r>
        <w:rPr>
          <w:rFonts w:cstheme="minorHAnsi"/>
        </w:rPr>
        <w:t xml:space="preserve">Supplementary figure 1: Kaplan Meier curve of mortality depending on whether the </w:t>
      </w:r>
      <w:proofErr w:type="spellStart"/>
      <w:r>
        <w:rPr>
          <w:rFonts w:cstheme="minorHAnsi"/>
        </w:rPr>
        <w:t>cTnI</w:t>
      </w:r>
      <w:proofErr w:type="spellEnd"/>
      <w:r>
        <w:rPr>
          <w:rFonts w:cstheme="minorHAnsi"/>
        </w:rPr>
        <w:t xml:space="preserve"> concentration was above or below the ULN. Number at risk: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C46080" w14:paraId="25D11452" w14:textId="77777777" w:rsidTr="00281753">
        <w:tc>
          <w:tcPr>
            <w:tcW w:w="901" w:type="dxa"/>
          </w:tcPr>
          <w:p w14:paraId="5A2CD5AF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Days</w:t>
            </w:r>
          </w:p>
        </w:tc>
        <w:tc>
          <w:tcPr>
            <w:tcW w:w="901" w:type="dxa"/>
          </w:tcPr>
          <w:p w14:paraId="050E764A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901" w:type="dxa"/>
          </w:tcPr>
          <w:p w14:paraId="16DCB4F3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01" w:type="dxa"/>
          </w:tcPr>
          <w:p w14:paraId="2C168D5E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  <w:tc>
          <w:tcPr>
            <w:tcW w:w="902" w:type="dxa"/>
          </w:tcPr>
          <w:p w14:paraId="783A26BD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300</w:t>
            </w:r>
          </w:p>
        </w:tc>
        <w:tc>
          <w:tcPr>
            <w:tcW w:w="902" w:type="dxa"/>
          </w:tcPr>
          <w:p w14:paraId="69ED0776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400</w:t>
            </w:r>
          </w:p>
        </w:tc>
        <w:tc>
          <w:tcPr>
            <w:tcW w:w="902" w:type="dxa"/>
          </w:tcPr>
          <w:p w14:paraId="45441BCC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500</w:t>
            </w:r>
          </w:p>
        </w:tc>
        <w:tc>
          <w:tcPr>
            <w:tcW w:w="902" w:type="dxa"/>
          </w:tcPr>
          <w:p w14:paraId="60EB4A75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600</w:t>
            </w:r>
          </w:p>
        </w:tc>
        <w:tc>
          <w:tcPr>
            <w:tcW w:w="902" w:type="dxa"/>
          </w:tcPr>
          <w:p w14:paraId="3D94532E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700</w:t>
            </w:r>
          </w:p>
        </w:tc>
        <w:tc>
          <w:tcPr>
            <w:tcW w:w="902" w:type="dxa"/>
          </w:tcPr>
          <w:p w14:paraId="7E47DC08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800</w:t>
            </w:r>
          </w:p>
        </w:tc>
      </w:tr>
      <w:tr w:rsidR="00C46080" w14:paraId="5F1D73A5" w14:textId="77777777" w:rsidTr="00281753">
        <w:tc>
          <w:tcPr>
            <w:tcW w:w="901" w:type="dxa"/>
          </w:tcPr>
          <w:p w14:paraId="6105598A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Hs-</w:t>
            </w:r>
            <w:proofErr w:type="spellStart"/>
            <w:r>
              <w:rPr>
                <w:rFonts w:cstheme="minorHAnsi"/>
              </w:rPr>
              <w:t>cTnI</w:t>
            </w:r>
            <w:proofErr w:type="spellEnd"/>
            <w:r>
              <w:rPr>
                <w:rFonts w:cstheme="minorHAnsi"/>
              </w:rPr>
              <w:t xml:space="preserve"> below ULN</w:t>
            </w:r>
          </w:p>
        </w:tc>
        <w:tc>
          <w:tcPr>
            <w:tcW w:w="901" w:type="dxa"/>
          </w:tcPr>
          <w:p w14:paraId="2548F57A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18915</w:t>
            </w:r>
          </w:p>
        </w:tc>
        <w:tc>
          <w:tcPr>
            <w:tcW w:w="901" w:type="dxa"/>
          </w:tcPr>
          <w:p w14:paraId="7AFE03D6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18399</w:t>
            </w:r>
          </w:p>
        </w:tc>
        <w:tc>
          <w:tcPr>
            <w:tcW w:w="901" w:type="dxa"/>
          </w:tcPr>
          <w:p w14:paraId="7DE6239F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17975</w:t>
            </w:r>
          </w:p>
        </w:tc>
        <w:tc>
          <w:tcPr>
            <w:tcW w:w="902" w:type="dxa"/>
          </w:tcPr>
          <w:p w14:paraId="00F186C6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17671</w:t>
            </w:r>
          </w:p>
        </w:tc>
        <w:tc>
          <w:tcPr>
            <w:tcW w:w="902" w:type="dxa"/>
          </w:tcPr>
          <w:p w14:paraId="4CCBFEB8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17415</w:t>
            </w:r>
          </w:p>
        </w:tc>
        <w:tc>
          <w:tcPr>
            <w:tcW w:w="902" w:type="dxa"/>
          </w:tcPr>
          <w:p w14:paraId="48F7B9CD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17175</w:t>
            </w:r>
          </w:p>
        </w:tc>
        <w:tc>
          <w:tcPr>
            <w:tcW w:w="902" w:type="dxa"/>
          </w:tcPr>
          <w:p w14:paraId="629FD46C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16943</w:t>
            </w:r>
          </w:p>
        </w:tc>
        <w:tc>
          <w:tcPr>
            <w:tcW w:w="902" w:type="dxa"/>
          </w:tcPr>
          <w:p w14:paraId="28A5231B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16753</w:t>
            </w:r>
          </w:p>
        </w:tc>
        <w:tc>
          <w:tcPr>
            <w:tcW w:w="902" w:type="dxa"/>
          </w:tcPr>
          <w:p w14:paraId="62407D8D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10308</w:t>
            </w:r>
          </w:p>
        </w:tc>
      </w:tr>
      <w:tr w:rsidR="00C46080" w14:paraId="7E0C8BA7" w14:textId="77777777" w:rsidTr="00281753">
        <w:tc>
          <w:tcPr>
            <w:tcW w:w="901" w:type="dxa"/>
          </w:tcPr>
          <w:p w14:paraId="07EA7097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Hs-</w:t>
            </w:r>
            <w:proofErr w:type="spellStart"/>
            <w:r>
              <w:rPr>
                <w:rFonts w:cstheme="minorHAnsi"/>
              </w:rPr>
              <w:t>cTnI</w:t>
            </w:r>
            <w:proofErr w:type="spellEnd"/>
            <w:r>
              <w:rPr>
                <w:rFonts w:cstheme="minorHAnsi"/>
              </w:rPr>
              <w:t xml:space="preserve"> above ULN</w:t>
            </w:r>
          </w:p>
        </w:tc>
        <w:tc>
          <w:tcPr>
            <w:tcW w:w="901" w:type="dxa"/>
          </w:tcPr>
          <w:p w14:paraId="47EDF6B2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1085</w:t>
            </w:r>
          </w:p>
        </w:tc>
        <w:tc>
          <w:tcPr>
            <w:tcW w:w="901" w:type="dxa"/>
          </w:tcPr>
          <w:p w14:paraId="0F1DDA17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886</w:t>
            </w:r>
          </w:p>
        </w:tc>
        <w:tc>
          <w:tcPr>
            <w:tcW w:w="901" w:type="dxa"/>
          </w:tcPr>
          <w:p w14:paraId="07446C84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803</w:t>
            </w:r>
          </w:p>
        </w:tc>
        <w:tc>
          <w:tcPr>
            <w:tcW w:w="902" w:type="dxa"/>
          </w:tcPr>
          <w:p w14:paraId="6703B45B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745</w:t>
            </w:r>
          </w:p>
        </w:tc>
        <w:tc>
          <w:tcPr>
            <w:tcW w:w="902" w:type="dxa"/>
          </w:tcPr>
          <w:p w14:paraId="142AEDF0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713</w:t>
            </w:r>
          </w:p>
        </w:tc>
        <w:tc>
          <w:tcPr>
            <w:tcW w:w="902" w:type="dxa"/>
          </w:tcPr>
          <w:p w14:paraId="4DF6D2B9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679</w:t>
            </w:r>
          </w:p>
        </w:tc>
        <w:tc>
          <w:tcPr>
            <w:tcW w:w="902" w:type="dxa"/>
          </w:tcPr>
          <w:p w14:paraId="10FEE870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646</w:t>
            </w:r>
          </w:p>
        </w:tc>
        <w:tc>
          <w:tcPr>
            <w:tcW w:w="902" w:type="dxa"/>
          </w:tcPr>
          <w:p w14:paraId="1E27D360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625</w:t>
            </w:r>
          </w:p>
        </w:tc>
        <w:tc>
          <w:tcPr>
            <w:tcW w:w="902" w:type="dxa"/>
          </w:tcPr>
          <w:p w14:paraId="78E4D6AC" w14:textId="77777777" w:rsidR="00C46080" w:rsidRDefault="00C46080" w:rsidP="00281753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393</w:t>
            </w:r>
          </w:p>
        </w:tc>
      </w:tr>
    </w:tbl>
    <w:p w14:paraId="42567995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A8322F9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3E155C4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6A41997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076AA71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375A32B" w14:textId="77777777" w:rsidR="00C46080" w:rsidRDefault="00C46080" w:rsidP="00C46080">
      <w:pPr>
        <w:spacing w:after="20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30174AD" w14:textId="1D67CBB2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37DFE" w14:textId="2C2C3E47" w:rsidR="00E51116" w:rsidRDefault="00E51116" w:rsidP="00E51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84D59A" wp14:editId="39271A64">
            <wp:extent cx="5731510" cy="336232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5354B" w14:textId="77777777" w:rsidR="00E51116" w:rsidRDefault="00E51116" w:rsidP="00E51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A44AF" w14:textId="77777777" w:rsidR="00E51116" w:rsidRDefault="00E51116" w:rsidP="00E5111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9E5D257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2FDA4" w14:textId="7C349C63" w:rsidR="00C46080" w:rsidRPr="008D3C89" w:rsidRDefault="00C46080" w:rsidP="00C46080">
      <w:pPr>
        <w:autoSpaceDE w:val="0"/>
        <w:autoSpaceDN w:val="0"/>
        <w:adjustRightInd w:val="0"/>
        <w:spacing w:after="0" w:line="400" w:lineRule="atLeast"/>
        <w:rPr>
          <w:rFonts w:cstheme="minorHAnsi"/>
        </w:rPr>
      </w:pPr>
      <w:r>
        <w:rPr>
          <w:rFonts w:cstheme="minorHAnsi"/>
        </w:rPr>
        <w:t>Supplementary figure 2: Log (minus log survival) versus time</w:t>
      </w:r>
      <w:r w:rsidR="00E51116">
        <w:rPr>
          <w:rFonts w:cstheme="minorHAnsi"/>
        </w:rPr>
        <w:t xml:space="preserve"> (log days)</w:t>
      </w:r>
      <w:r>
        <w:rPr>
          <w:rFonts w:cstheme="minorHAnsi"/>
        </w:rPr>
        <w:t xml:space="preserve"> graph for different categories of </w:t>
      </w:r>
      <w:proofErr w:type="spellStart"/>
      <w:r>
        <w:rPr>
          <w:rFonts w:cstheme="minorHAnsi"/>
        </w:rPr>
        <w:t>cTnI</w:t>
      </w:r>
      <w:proofErr w:type="spellEnd"/>
      <w:r>
        <w:rPr>
          <w:rFonts w:cstheme="minorHAnsi"/>
        </w:rPr>
        <w:t xml:space="preserve"> concentration relative to the ULN</w:t>
      </w:r>
    </w:p>
    <w:p w14:paraId="63895298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6327F24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A444D75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95C895A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E0E014F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A5515B4" w14:textId="77777777" w:rsidR="00C46080" w:rsidRDefault="00C46080" w:rsidP="00C46080">
      <w:pPr>
        <w:spacing w:after="20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D2E8AB6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D8C264F" w14:textId="77777777" w:rsidR="00C46080" w:rsidRPr="00CE1E68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7"/>
        <w:gridCol w:w="1673"/>
        <w:gridCol w:w="4406"/>
      </w:tblGrid>
      <w:tr w:rsidR="00C46080" w14:paraId="05615292" w14:textId="77777777" w:rsidTr="00281753">
        <w:tc>
          <w:tcPr>
            <w:tcW w:w="4620" w:type="dxa"/>
            <w:gridSpan w:val="2"/>
          </w:tcPr>
          <w:p w14:paraId="14A67566" w14:textId="77777777" w:rsidR="00C46080" w:rsidRDefault="00C46080" w:rsidP="00281753">
            <w:pPr>
              <w:pStyle w:val="BodyText"/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Variable</w:t>
            </w:r>
          </w:p>
        </w:tc>
        <w:tc>
          <w:tcPr>
            <w:tcW w:w="4419" w:type="dxa"/>
          </w:tcPr>
          <w:p w14:paraId="50F29595" w14:textId="77777777" w:rsidR="00C46080" w:rsidRDefault="00C46080" w:rsidP="00281753">
            <w:pPr>
              <w:pStyle w:val="BodyText"/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Mortality HR</w:t>
            </w:r>
            <w:r w:rsidRPr="008638BC">
              <w:rPr>
                <w:b/>
                <w:lang w:eastAsia="en-US"/>
              </w:rPr>
              <w:t xml:space="preserve"> (95% CI) </w:t>
            </w:r>
          </w:p>
        </w:tc>
      </w:tr>
      <w:tr w:rsidR="00C46080" w14:paraId="4B7C902D" w14:textId="77777777" w:rsidTr="00281753">
        <w:tc>
          <w:tcPr>
            <w:tcW w:w="4620" w:type="dxa"/>
            <w:gridSpan w:val="2"/>
          </w:tcPr>
          <w:p w14:paraId="01A94B90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Age</w:t>
            </w:r>
          </w:p>
        </w:tc>
        <w:tc>
          <w:tcPr>
            <w:tcW w:w="4419" w:type="dxa"/>
          </w:tcPr>
          <w:p w14:paraId="56C48058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1.046 (1.042 – 1.049)</w:t>
            </w:r>
          </w:p>
        </w:tc>
      </w:tr>
      <w:tr w:rsidR="00C46080" w14:paraId="654E8F26" w14:textId="77777777" w:rsidTr="00281753">
        <w:tc>
          <w:tcPr>
            <w:tcW w:w="4620" w:type="dxa"/>
            <w:gridSpan w:val="2"/>
          </w:tcPr>
          <w:p w14:paraId="04B3FC59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Male gender</w:t>
            </w:r>
          </w:p>
        </w:tc>
        <w:tc>
          <w:tcPr>
            <w:tcW w:w="4419" w:type="dxa"/>
          </w:tcPr>
          <w:p w14:paraId="07E48853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1.222 (1.128 – 1.324)</w:t>
            </w:r>
          </w:p>
        </w:tc>
      </w:tr>
      <w:tr w:rsidR="00C46080" w14:paraId="6A817746" w14:textId="77777777" w:rsidTr="00281753">
        <w:tc>
          <w:tcPr>
            <w:tcW w:w="4620" w:type="dxa"/>
            <w:gridSpan w:val="2"/>
          </w:tcPr>
          <w:p w14:paraId="11D68B16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eGFR</w:t>
            </w:r>
          </w:p>
        </w:tc>
        <w:tc>
          <w:tcPr>
            <w:tcW w:w="4419" w:type="dxa"/>
          </w:tcPr>
          <w:p w14:paraId="6EA27C25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0.998 (0.996 – 1.000)</w:t>
            </w:r>
          </w:p>
        </w:tc>
      </w:tr>
      <w:tr w:rsidR="00C46080" w14:paraId="3FAC2C1E" w14:textId="77777777" w:rsidTr="00281753">
        <w:tc>
          <w:tcPr>
            <w:tcW w:w="4620" w:type="dxa"/>
            <w:gridSpan w:val="2"/>
          </w:tcPr>
          <w:p w14:paraId="03C99E90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cTnI</w:t>
            </w:r>
            <w:proofErr w:type="spellEnd"/>
            <w:r>
              <w:rPr>
                <w:lang w:eastAsia="en-US"/>
              </w:rPr>
              <w:t xml:space="preserve"> requested by clinical team</w:t>
            </w:r>
          </w:p>
        </w:tc>
        <w:tc>
          <w:tcPr>
            <w:tcW w:w="4419" w:type="dxa"/>
          </w:tcPr>
          <w:p w14:paraId="68D49D87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0.559 (0.471 – 0.664)</w:t>
            </w:r>
          </w:p>
        </w:tc>
      </w:tr>
      <w:tr w:rsidR="00C46080" w14:paraId="247E7A77" w14:textId="77777777" w:rsidTr="00281753">
        <w:tc>
          <w:tcPr>
            <w:tcW w:w="2943" w:type="dxa"/>
            <w:vMerge w:val="restart"/>
          </w:tcPr>
          <w:p w14:paraId="4B256033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 xml:space="preserve">Clinical location </w:t>
            </w:r>
          </w:p>
        </w:tc>
        <w:tc>
          <w:tcPr>
            <w:tcW w:w="1677" w:type="dxa"/>
          </w:tcPr>
          <w:p w14:paraId="73E8748B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OPD</w:t>
            </w:r>
          </w:p>
        </w:tc>
        <w:tc>
          <w:tcPr>
            <w:tcW w:w="4419" w:type="dxa"/>
          </w:tcPr>
          <w:p w14:paraId="37CBE78A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Reference</w:t>
            </w:r>
          </w:p>
        </w:tc>
      </w:tr>
      <w:tr w:rsidR="00C46080" w14:paraId="16467BE3" w14:textId="77777777" w:rsidTr="00281753">
        <w:tc>
          <w:tcPr>
            <w:tcW w:w="2943" w:type="dxa"/>
            <w:vMerge/>
          </w:tcPr>
          <w:p w14:paraId="232CFF33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</w:p>
        </w:tc>
        <w:tc>
          <w:tcPr>
            <w:tcW w:w="1677" w:type="dxa"/>
          </w:tcPr>
          <w:p w14:paraId="10470473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IPD</w:t>
            </w:r>
          </w:p>
        </w:tc>
        <w:tc>
          <w:tcPr>
            <w:tcW w:w="4419" w:type="dxa"/>
          </w:tcPr>
          <w:p w14:paraId="0F8256BE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2.031 (1.844 – 2.238)</w:t>
            </w:r>
          </w:p>
        </w:tc>
      </w:tr>
      <w:tr w:rsidR="00C46080" w14:paraId="366DEECE" w14:textId="77777777" w:rsidTr="00281753">
        <w:tc>
          <w:tcPr>
            <w:tcW w:w="2943" w:type="dxa"/>
            <w:vMerge/>
          </w:tcPr>
          <w:p w14:paraId="290B642C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</w:p>
        </w:tc>
        <w:tc>
          <w:tcPr>
            <w:tcW w:w="1677" w:type="dxa"/>
          </w:tcPr>
          <w:p w14:paraId="350EA202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ED</w:t>
            </w:r>
          </w:p>
        </w:tc>
        <w:tc>
          <w:tcPr>
            <w:tcW w:w="4419" w:type="dxa"/>
          </w:tcPr>
          <w:p w14:paraId="0D69FF25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1.515 (1.359 – 1.688)</w:t>
            </w:r>
          </w:p>
        </w:tc>
      </w:tr>
      <w:tr w:rsidR="00C46080" w14:paraId="74E00005" w14:textId="77777777" w:rsidTr="00281753">
        <w:tc>
          <w:tcPr>
            <w:tcW w:w="2943" w:type="dxa"/>
            <w:vMerge w:val="restart"/>
          </w:tcPr>
          <w:p w14:paraId="326F2FCD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proofErr w:type="spellStart"/>
            <w:r w:rsidRPr="00A06299">
              <w:rPr>
                <w:lang w:eastAsia="en-US"/>
              </w:rPr>
              <w:t>cTnI</w:t>
            </w:r>
            <w:proofErr w:type="spellEnd"/>
            <w:r w:rsidRPr="00A0629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concentration </w:t>
            </w:r>
            <w:r w:rsidRPr="00A06299">
              <w:rPr>
                <w:lang w:eastAsia="en-US"/>
              </w:rPr>
              <w:t>relative to ULN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677" w:type="dxa"/>
          </w:tcPr>
          <w:p w14:paraId="6E899294" w14:textId="77777777" w:rsidR="00C46080" w:rsidRPr="008638BC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419" w:type="dxa"/>
          </w:tcPr>
          <w:p w14:paraId="2EC92011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Reference</w:t>
            </w:r>
          </w:p>
        </w:tc>
      </w:tr>
      <w:tr w:rsidR="00C46080" w14:paraId="1A6E5A3A" w14:textId="77777777" w:rsidTr="00281753">
        <w:tc>
          <w:tcPr>
            <w:tcW w:w="2943" w:type="dxa"/>
            <w:vMerge/>
          </w:tcPr>
          <w:p w14:paraId="506DA378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</w:p>
        </w:tc>
        <w:tc>
          <w:tcPr>
            <w:tcW w:w="1677" w:type="dxa"/>
          </w:tcPr>
          <w:p w14:paraId="192522EA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8638BC">
              <w:rPr>
                <w:lang w:eastAsia="en-US"/>
              </w:rPr>
              <w:t>&gt;</w:t>
            </w:r>
            <w:r>
              <w:rPr>
                <w:lang w:eastAsia="en-US"/>
              </w:rPr>
              <w:t xml:space="preserve"> 0 to &lt;0.25</w:t>
            </w:r>
          </w:p>
        </w:tc>
        <w:tc>
          <w:tcPr>
            <w:tcW w:w="4419" w:type="dxa"/>
          </w:tcPr>
          <w:p w14:paraId="40B92933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0.986 (0.820 – 1.185)</w:t>
            </w:r>
          </w:p>
        </w:tc>
      </w:tr>
      <w:tr w:rsidR="00C46080" w14:paraId="60879D6C" w14:textId="77777777" w:rsidTr="00281753">
        <w:tc>
          <w:tcPr>
            <w:tcW w:w="2943" w:type="dxa"/>
            <w:vMerge/>
          </w:tcPr>
          <w:p w14:paraId="16882E9A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</w:p>
        </w:tc>
        <w:tc>
          <w:tcPr>
            <w:tcW w:w="1677" w:type="dxa"/>
          </w:tcPr>
          <w:p w14:paraId="01708106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0.25 to &lt;0.5</w:t>
            </w:r>
          </w:p>
        </w:tc>
        <w:tc>
          <w:tcPr>
            <w:tcW w:w="4419" w:type="dxa"/>
          </w:tcPr>
          <w:p w14:paraId="541263B3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1.505 (1.244 – 1.821)</w:t>
            </w:r>
          </w:p>
        </w:tc>
      </w:tr>
      <w:tr w:rsidR="00C46080" w14:paraId="7B52FE3A" w14:textId="77777777" w:rsidTr="00281753">
        <w:tc>
          <w:tcPr>
            <w:tcW w:w="2943" w:type="dxa"/>
            <w:vMerge/>
          </w:tcPr>
          <w:p w14:paraId="4DAF23E8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</w:p>
        </w:tc>
        <w:tc>
          <w:tcPr>
            <w:tcW w:w="1677" w:type="dxa"/>
          </w:tcPr>
          <w:p w14:paraId="530155CB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0.5 to 1</w:t>
            </w:r>
          </w:p>
        </w:tc>
        <w:tc>
          <w:tcPr>
            <w:tcW w:w="4419" w:type="dxa"/>
          </w:tcPr>
          <w:p w14:paraId="754536C4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1.941 (1.577 – 2.390)</w:t>
            </w:r>
          </w:p>
        </w:tc>
      </w:tr>
      <w:tr w:rsidR="00C46080" w14:paraId="11D253F6" w14:textId="77777777" w:rsidTr="00281753">
        <w:tc>
          <w:tcPr>
            <w:tcW w:w="2943" w:type="dxa"/>
            <w:vMerge/>
          </w:tcPr>
          <w:p w14:paraId="39EFEF2E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</w:p>
        </w:tc>
        <w:tc>
          <w:tcPr>
            <w:tcW w:w="1677" w:type="dxa"/>
          </w:tcPr>
          <w:p w14:paraId="44B79825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&gt;1</w:t>
            </w:r>
          </w:p>
        </w:tc>
        <w:tc>
          <w:tcPr>
            <w:tcW w:w="4419" w:type="dxa"/>
          </w:tcPr>
          <w:p w14:paraId="52549483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2.516 (2.034 – 3.112)</w:t>
            </w:r>
          </w:p>
        </w:tc>
      </w:tr>
    </w:tbl>
    <w:p w14:paraId="4CEBCD32" w14:textId="77777777" w:rsidR="00C46080" w:rsidRDefault="00C46080" w:rsidP="00C46080">
      <w:pPr>
        <w:rPr>
          <w:rFonts w:cstheme="minorHAnsi"/>
        </w:rPr>
      </w:pPr>
      <w:r>
        <w:rPr>
          <w:rFonts w:cstheme="minorHAnsi"/>
        </w:rPr>
        <w:t xml:space="preserve">Supplementary Table 1: Multivariable outputs for the entire cohort when the </w:t>
      </w:r>
      <w:proofErr w:type="spellStart"/>
      <w:r>
        <w:rPr>
          <w:rFonts w:cstheme="minorHAnsi"/>
        </w:rPr>
        <w:t>cTnI</w:t>
      </w:r>
      <w:proofErr w:type="spellEnd"/>
      <w:r>
        <w:rPr>
          <w:rFonts w:cstheme="minorHAnsi"/>
        </w:rPr>
        <w:t xml:space="preserve"> variable was split into its relationship with the ULN</w:t>
      </w:r>
    </w:p>
    <w:p w14:paraId="0D2BE649" w14:textId="77777777" w:rsidR="00C46080" w:rsidRPr="00490C98" w:rsidRDefault="00C46080" w:rsidP="00C46080">
      <w:pPr>
        <w:rPr>
          <w:rFonts w:cstheme="minorHAnsi"/>
        </w:rPr>
      </w:pPr>
      <w:r w:rsidRPr="00490C98">
        <w:rPr>
          <w:rFonts w:cstheme="minorHAnsi"/>
        </w:rPr>
        <w:t>OPD=outpatients department; IPD=inpatients department; ED=emergency department; eGFR=estimated glomerular filtration rate, ULN=upper limit of normal</w:t>
      </w:r>
    </w:p>
    <w:p w14:paraId="682E404E" w14:textId="77777777" w:rsidR="00C46080" w:rsidRPr="00490C98" w:rsidRDefault="00C46080" w:rsidP="00C4608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90C98">
        <w:rPr>
          <w:rFonts w:ascii="Times New Roman" w:hAnsi="Times New Roman" w:cs="Times New Roman"/>
          <w:sz w:val="24"/>
          <w:szCs w:val="24"/>
        </w:rPr>
        <w:br w:type="page"/>
      </w:r>
    </w:p>
    <w:p w14:paraId="5165DC9B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1985"/>
      </w:tblGrid>
      <w:tr w:rsidR="00C46080" w14:paraId="278EB525" w14:textId="77777777" w:rsidTr="00281753">
        <w:tc>
          <w:tcPr>
            <w:tcW w:w="3085" w:type="dxa"/>
          </w:tcPr>
          <w:p w14:paraId="4BCD1234" w14:textId="77777777" w:rsidR="00C46080" w:rsidRDefault="00C46080" w:rsidP="00281753">
            <w:pPr>
              <w:pStyle w:val="BodyText"/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Variable</w:t>
            </w:r>
          </w:p>
        </w:tc>
        <w:tc>
          <w:tcPr>
            <w:tcW w:w="1985" w:type="dxa"/>
          </w:tcPr>
          <w:p w14:paraId="15404450" w14:textId="77777777" w:rsidR="00C46080" w:rsidRDefault="00C46080" w:rsidP="00281753">
            <w:pPr>
              <w:pStyle w:val="BodyText"/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Mortality HR</w:t>
            </w:r>
            <w:r w:rsidRPr="008638BC">
              <w:rPr>
                <w:b/>
                <w:lang w:eastAsia="en-US"/>
              </w:rPr>
              <w:t xml:space="preserve"> (95% CI) </w:t>
            </w:r>
          </w:p>
          <w:p w14:paraId="5D89685C" w14:textId="77777777" w:rsidR="00C46080" w:rsidRDefault="00C46080" w:rsidP="00281753">
            <w:pPr>
              <w:pStyle w:val="BodyText"/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IPD</w:t>
            </w:r>
          </w:p>
        </w:tc>
        <w:tc>
          <w:tcPr>
            <w:tcW w:w="1984" w:type="dxa"/>
          </w:tcPr>
          <w:p w14:paraId="7B756D35" w14:textId="77777777" w:rsidR="00C46080" w:rsidRDefault="00C46080" w:rsidP="00281753">
            <w:pPr>
              <w:pStyle w:val="BodyText"/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Mortality HR</w:t>
            </w:r>
            <w:r w:rsidRPr="008638BC">
              <w:rPr>
                <w:b/>
                <w:lang w:eastAsia="en-US"/>
              </w:rPr>
              <w:t xml:space="preserve"> (95% CI) </w:t>
            </w:r>
          </w:p>
          <w:p w14:paraId="62EB77A6" w14:textId="77777777" w:rsidR="00C46080" w:rsidRPr="008638BC" w:rsidRDefault="00C46080" w:rsidP="00281753">
            <w:pPr>
              <w:pStyle w:val="BodyText"/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OPD</w:t>
            </w:r>
          </w:p>
        </w:tc>
        <w:tc>
          <w:tcPr>
            <w:tcW w:w="1985" w:type="dxa"/>
          </w:tcPr>
          <w:p w14:paraId="7E59FCA2" w14:textId="77777777" w:rsidR="00C46080" w:rsidRDefault="00C46080" w:rsidP="00281753">
            <w:pPr>
              <w:pStyle w:val="BodyText"/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Mortality HR</w:t>
            </w:r>
            <w:r w:rsidRPr="008638BC">
              <w:rPr>
                <w:b/>
                <w:lang w:eastAsia="en-US"/>
              </w:rPr>
              <w:t xml:space="preserve"> (95% CI) </w:t>
            </w:r>
          </w:p>
          <w:p w14:paraId="5D3DD12E" w14:textId="77777777" w:rsidR="00C46080" w:rsidRPr="008638BC" w:rsidRDefault="00C46080" w:rsidP="00281753">
            <w:pPr>
              <w:pStyle w:val="BodyText"/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ED</w:t>
            </w:r>
          </w:p>
        </w:tc>
      </w:tr>
      <w:tr w:rsidR="00C46080" w:rsidRPr="00A06299" w14:paraId="5C63C690" w14:textId="77777777" w:rsidTr="00281753">
        <w:tc>
          <w:tcPr>
            <w:tcW w:w="3085" w:type="dxa"/>
          </w:tcPr>
          <w:p w14:paraId="28C80158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Age</w:t>
            </w:r>
          </w:p>
        </w:tc>
        <w:tc>
          <w:tcPr>
            <w:tcW w:w="1985" w:type="dxa"/>
          </w:tcPr>
          <w:p w14:paraId="1BE84997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1.040 (1.035 – 1.045)</w:t>
            </w:r>
          </w:p>
        </w:tc>
        <w:tc>
          <w:tcPr>
            <w:tcW w:w="1984" w:type="dxa"/>
          </w:tcPr>
          <w:p w14:paraId="395BD74F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1.048 (1.042 – 1.055)</w:t>
            </w:r>
          </w:p>
        </w:tc>
        <w:tc>
          <w:tcPr>
            <w:tcW w:w="1985" w:type="dxa"/>
          </w:tcPr>
          <w:p w14:paraId="135FC70C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1.055 (1.049 – 1.061)</w:t>
            </w:r>
          </w:p>
        </w:tc>
      </w:tr>
      <w:tr w:rsidR="00C46080" w:rsidRPr="00A06299" w14:paraId="43631675" w14:textId="77777777" w:rsidTr="00281753">
        <w:tc>
          <w:tcPr>
            <w:tcW w:w="3085" w:type="dxa"/>
          </w:tcPr>
          <w:p w14:paraId="7AC56CC8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Male gender</w:t>
            </w:r>
          </w:p>
        </w:tc>
        <w:tc>
          <w:tcPr>
            <w:tcW w:w="1985" w:type="dxa"/>
          </w:tcPr>
          <w:p w14:paraId="02EB3922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1.196 (1.057 – 1.354)</w:t>
            </w:r>
          </w:p>
        </w:tc>
        <w:tc>
          <w:tcPr>
            <w:tcW w:w="1984" w:type="dxa"/>
          </w:tcPr>
          <w:p w14:paraId="14FB863A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1.294 (1.124 – 1.488)</w:t>
            </w:r>
          </w:p>
        </w:tc>
        <w:tc>
          <w:tcPr>
            <w:tcW w:w="1985" w:type="dxa"/>
          </w:tcPr>
          <w:p w14:paraId="10590D62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1.183 (1.031 – 1.358)</w:t>
            </w:r>
          </w:p>
        </w:tc>
      </w:tr>
      <w:tr w:rsidR="00C46080" w:rsidRPr="00A06299" w14:paraId="7C60E968" w14:textId="77777777" w:rsidTr="00281753">
        <w:tc>
          <w:tcPr>
            <w:tcW w:w="3085" w:type="dxa"/>
          </w:tcPr>
          <w:p w14:paraId="4B6166A3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eGFR</w:t>
            </w:r>
          </w:p>
        </w:tc>
        <w:tc>
          <w:tcPr>
            <w:tcW w:w="1985" w:type="dxa"/>
          </w:tcPr>
          <w:p w14:paraId="72AB56C6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0.996 (0.993 – 1.000)</w:t>
            </w:r>
          </w:p>
        </w:tc>
        <w:tc>
          <w:tcPr>
            <w:tcW w:w="1984" w:type="dxa"/>
          </w:tcPr>
          <w:p w14:paraId="322CE8C9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0.996 (0.992 – 1.000)</w:t>
            </w:r>
          </w:p>
        </w:tc>
        <w:tc>
          <w:tcPr>
            <w:tcW w:w="1985" w:type="dxa"/>
          </w:tcPr>
          <w:p w14:paraId="7FEB2E6C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0.991 (0.988 – 0.995)</w:t>
            </w:r>
          </w:p>
        </w:tc>
      </w:tr>
      <w:tr w:rsidR="00C46080" w:rsidRPr="00A06299" w14:paraId="0E26C7F1" w14:textId="77777777" w:rsidTr="00281753">
        <w:tc>
          <w:tcPr>
            <w:tcW w:w="3085" w:type="dxa"/>
          </w:tcPr>
          <w:p w14:paraId="2CE72482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cTnI</w:t>
            </w:r>
            <w:proofErr w:type="spellEnd"/>
            <w:r>
              <w:rPr>
                <w:lang w:eastAsia="en-US"/>
              </w:rPr>
              <w:t xml:space="preserve"> requested by clinical team</w:t>
            </w:r>
          </w:p>
        </w:tc>
        <w:tc>
          <w:tcPr>
            <w:tcW w:w="1985" w:type="dxa"/>
          </w:tcPr>
          <w:p w14:paraId="3A704E18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0.461 (0.313 – 0.677)</w:t>
            </w:r>
          </w:p>
        </w:tc>
        <w:tc>
          <w:tcPr>
            <w:tcW w:w="1984" w:type="dxa"/>
          </w:tcPr>
          <w:p w14:paraId="0170B169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1.754 (0.246 – 12.493)</w:t>
            </w:r>
          </w:p>
        </w:tc>
        <w:tc>
          <w:tcPr>
            <w:tcW w:w="1985" w:type="dxa"/>
          </w:tcPr>
          <w:p w14:paraId="5B52AF95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0.689 (0.581 – 0.817)</w:t>
            </w:r>
          </w:p>
        </w:tc>
      </w:tr>
      <w:tr w:rsidR="00C46080" w:rsidRPr="00A06299" w14:paraId="52846C70" w14:textId="77777777" w:rsidTr="00281753">
        <w:trPr>
          <w:trHeight w:val="973"/>
        </w:trPr>
        <w:tc>
          <w:tcPr>
            <w:tcW w:w="3085" w:type="dxa"/>
          </w:tcPr>
          <w:p w14:paraId="00D11B35" w14:textId="77777777" w:rsidR="00C46080" w:rsidRPr="008638BC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Log(10)</w:t>
            </w:r>
            <w:proofErr w:type="spellStart"/>
            <w:r>
              <w:rPr>
                <w:lang w:eastAsia="en-US"/>
              </w:rPr>
              <w:t>cTnI</w:t>
            </w:r>
            <w:proofErr w:type="spellEnd"/>
            <w:r>
              <w:rPr>
                <w:lang w:eastAsia="en-US"/>
              </w:rPr>
              <w:t xml:space="preserve"> concentration </w:t>
            </w:r>
          </w:p>
        </w:tc>
        <w:tc>
          <w:tcPr>
            <w:tcW w:w="1985" w:type="dxa"/>
          </w:tcPr>
          <w:p w14:paraId="710D6BA2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1.533 (1.389 – 1.693)</w:t>
            </w:r>
          </w:p>
        </w:tc>
        <w:tc>
          <w:tcPr>
            <w:tcW w:w="1984" w:type="dxa"/>
          </w:tcPr>
          <w:p w14:paraId="2AE72C93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2.182 (1.839 – 2.589)</w:t>
            </w:r>
          </w:p>
        </w:tc>
        <w:tc>
          <w:tcPr>
            <w:tcW w:w="1985" w:type="dxa"/>
          </w:tcPr>
          <w:p w14:paraId="01A5D90D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1.968 (1.766 – 2.192)</w:t>
            </w:r>
          </w:p>
        </w:tc>
      </w:tr>
    </w:tbl>
    <w:p w14:paraId="3D40DEAE" w14:textId="77777777" w:rsidR="00C46080" w:rsidRDefault="00C46080" w:rsidP="00C46080">
      <w:pPr>
        <w:rPr>
          <w:rFonts w:cstheme="minorHAnsi"/>
        </w:rPr>
      </w:pPr>
      <w:r>
        <w:rPr>
          <w:rFonts w:cstheme="minorHAnsi"/>
        </w:rPr>
        <w:t>Supplementary table 2: Multivariable outputs by patient location for all-cause mortality</w:t>
      </w:r>
    </w:p>
    <w:p w14:paraId="7CAB7DEB" w14:textId="77777777" w:rsidR="00C46080" w:rsidRPr="003B1168" w:rsidRDefault="00C46080" w:rsidP="00C46080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2936"/>
        <w:gridCol w:w="1673"/>
        <w:gridCol w:w="4407"/>
      </w:tblGrid>
      <w:tr w:rsidR="00C46080" w14:paraId="7E0FE9AC" w14:textId="77777777" w:rsidTr="00281753">
        <w:tc>
          <w:tcPr>
            <w:tcW w:w="4609" w:type="dxa"/>
            <w:gridSpan w:val="2"/>
          </w:tcPr>
          <w:p w14:paraId="5A0A8FDD" w14:textId="77777777" w:rsidR="00C46080" w:rsidRDefault="00C46080" w:rsidP="00281753">
            <w:pPr>
              <w:pStyle w:val="BodyText"/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Variable</w:t>
            </w:r>
          </w:p>
        </w:tc>
        <w:tc>
          <w:tcPr>
            <w:tcW w:w="4407" w:type="dxa"/>
          </w:tcPr>
          <w:p w14:paraId="623DF5E9" w14:textId="77777777" w:rsidR="00C46080" w:rsidRDefault="00C46080" w:rsidP="00281753">
            <w:pPr>
              <w:pStyle w:val="BodyText"/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Mortality HR</w:t>
            </w:r>
            <w:r w:rsidRPr="008638BC">
              <w:rPr>
                <w:b/>
                <w:lang w:eastAsia="en-US"/>
              </w:rPr>
              <w:t xml:space="preserve"> (95% CI) </w:t>
            </w:r>
          </w:p>
        </w:tc>
      </w:tr>
      <w:tr w:rsidR="00C46080" w14:paraId="6CF728D4" w14:textId="77777777" w:rsidTr="00281753">
        <w:tc>
          <w:tcPr>
            <w:tcW w:w="4609" w:type="dxa"/>
            <w:gridSpan w:val="2"/>
          </w:tcPr>
          <w:p w14:paraId="43845941" w14:textId="77777777" w:rsidR="00C46080" w:rsidRPr="00C956D3" w:rsidRDefault="00C46080" w:rsidP="00281753">
            <w:pPr>
              <w:pStyle w:val="BodyText"/>
              <w:spacing w:line="480" w:lineRule="auto"/>
              <w:rPr>
                <w:bCs/>
                <w:lang w:eastAsia="en-US"/>
              </w:rPr>
            </w:pPr>
            <w:r w:rsidRPr="00C956D3">
              <w:rPr>
                <w:bCs/>
                <w:lang w:eastAsia="en-US"/>
              </w:rPr>
              <w:t>Age</w:t>
            </w:r>
          </w:p>
        </w:tc>
        <w:tc>
          <w:tcPr>
            <w:tcW w:w="4407" w:type="dxa"/>
          </w:tcPr>
          <w:p w14:paraId="4760F080" w14:textId="77777777" w:rsidR="00C46080" w:rsidRPr="000B7902" w:rsidRDefault="00C46080" w:rsidP="00281753">
            <w:pPr>
              <w:pStyle w:val="BodyText"/>
              <w:spacing w:line="48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1.046 (1.043- 1.050)</w:t>
            </w:r>
          </w:p>
        </w:tc>
      </w:tr>
      <w:tr w:rsidR="00C46080" w14:paraId="74085332" w14:textId="77777777" w:rsidTr="00281753">
        <w:tc>
          <w:tcPr>
            <w:tcW w:w="4609" w:type="dxa"/>
            <w:gridSpan w:val="2"/>
          </w:tcPr>
          <w:p w14:paraId="60E62E0C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Male gender</w:t>
            </w:r>
          </w:p>
        </w:tc>
        <w:tc>
          <w:tcPr>
            <w:tcW w:w="4407" w:type="dxa"/>
          </w:tcPr>
          <w:p w14:paraId="798164E3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1.198 (1.103 – 1.301)</w:t>
            </w:r>
          </w:p>
        </w:tc>
      </w:tr>
      <w:tr w:rsidR="00C46080" w14:paraId="245A63DE" w14:textId="77777777" w:rsidTr="00281753">
        <w:tc>
          <w:tcPr>
            <w:tcW w:w="4609" w:type="dxa"/>
            <w:gridSpan w:val="2"/>
          </w:tcPr>
          <w:p w14:paraId="7E6C9361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eGFR</w:t>
            </w:r>
          </w:p>
        </w:tc>
        <w:tc>
          <w:tcPr>
            <w:tcW w:w="4407" w:type="dxa"/>
          </w:tcPr>
          <w:p w14:paraId="265EF7EF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0.996 (0.994 – 0.999)</w:t>
            </w:r>
          </w:p>
        </w:tc>
      </w:tr>
      <w:tr w:rsidR="00C46080" w14:paraId="1F54830E" w14:textId="77777777" w:rsidTr="00281753">
        <w:tc>
          <w:tcPr>
            <w:tcW w:w="4609" w:type="dxa"/>
            <w:gridSpan w:val="2"/>
          </w:tcPr>
          <w:p w14:paraId="3AB5FF89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cTnI</w:t>
            </w:r>
            <w:proofErr w:type="spellEnd"/>
            <w:r>
              <w:rPr>
                <w:lang w:eastAsia="en-US"/>
              </w:rPr>
              <w:t xml:space="preserve"> requested by clinical team</w:t>
            </w:r>
          </w:p>
        </w:tc>
        <w:tc>
          <w:tcPr>
            <w:tcW w:w="4407" w:type="dxa"/>
          </w:tcPr>
          <w:p w14:paraId="7318F3F9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0.537 (0.451 – 0.640)</w:t>
            </w:r>
          </w:p>
        </w:tc>
      </w:tr>
      <w:tr w:rsidR="00C46080" w14:paraId="4041C432" w14:textId="77777777" w:rsidTr="00281753">
        <w:tc>
          <w:tcPr>
            <w:tcW w:w="2936" w:type="dxa"/>
            <w:vMerge w:val="restart"/>
          </w:tcPr>
          <w:p w14:paraId="083483A2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 xml:space="preserve">Clinical location </w:t>
            </w:r>
          </w:p>
        </w:tc>
        <w:tc>
          <w:tcPr>
            <w:tcW w:w="1673" w:type="dxa"/>
          </w:tcPr>
          <w:p w14:paraId="61AAA5A2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OPD</w:t>
            </w:r>
          </w:p>
        </w:tc>
        <w:tc>
          <w:tcPr>
            <w:tcW w:w="4407" w:type="dxa"/>
          </w:tcPr>
          <w:p w14:paraId="6AA11223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Reference</w:t>
            </w:r>
          </w:p>
        </w:tc>
      </w:tr>
      <w:tr w:rsidR="00C46080" w14:paraId="072AE34F" w14:textId="77777777" w:rsidTr="00281753">
        <w:tc>
          <w:tcPr>
            <w:tcW w:w="2936" w:type="dxa"/>
            <w:vMerge/>
          </w:tcPr>
          <w:p w14:paraId="36109931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</w:p>
        </w:tc>
        <w:tc>
          <w:tcPr>
            <w:tcW w:w="1673" w:type="dxa"/>
          </w:tcPr>
          <w:p w14:paraId="35D1BD46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IPD</w:t>
            </w:r>
          </w:p>
        </w:tc>
        <w:tc>
          <w:tcPr>
            <w:tcW w:w="4407" w:type="dxa"/>
          </w:tcPr>
          <w:p w14:paraId="4A57036A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2.063 (1.866 – 2.281)</w:t>
            </w:r>
          </w:p>
        </w:tc>
      </w:tr>
      <w:tr w:rsidR="00C46080" w14:paraId="28C6DAF5" w14:textId="77777777" w:rsidTr="00281753">
        <w:tc>
          <w:tcPr>
            <w:tcW w:w="2936" w:type="dxa"/>
            <w:vMerge/>
          </w:tcPr>
          <w:p w14:paraId="135F1376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</w:p>
        </w:tc>
        <w:tc>
          <w:tcPr>
            <w:tcW w:w="1673" w:type="dxa"/>
          </w:tcPr>
          <w:p w14:paraId="417A4D77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ED</w:t>
            </w:r>
          </w:p>
        </w:tc>
        <w:tc>
          <w:tcPr>
            <w:tcW w:w="4407" w:type="dxa"/>
          </w:tcPr>
          <w:p w14:paraId="0BFA9F88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1.600 (1.433 – 1.787)</w:t>
            </w:r>
          </w:p>
        </w:tc>
      </w:tr>
      <w:tr w:rsidR="00C46080" w14:paraId="0936DB7B" w14:textId="77777777" w:rsidTr="00281753">
        <w:trPr>
          <w:trHeight w:val="671"/>
        </w:trPr>
        <w:tc>
          <w:tcPr>
            <w:tcW w:w="4609" w:type="dxa"/>
            <w:gridSpan w:val="2"/>
          </w:tcPr>
          <w:p w14:paraId="6FCAA578" w14:textId="77777777" w:rsidR="00C46080" w:rsidRPr="008638BC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Log (10) </w:t>
            </w:r>
            <w:proofErr w:type="spellStart"/>
            <w:r>
              <w:rPr>
                <w:lang w:eastAsia="en-US"/>
              </w:rPr>
              <w:t>cTnI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4407" w:type="dxa"/>
          </w:tcPr>
          <w:p w14:paraId="4C3ADCD6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1.627 (1.511 – 1.751)</w:t>
            </w:r>
          </w:p>
        </w:tc>
      </w:tr>
    </w:tbl>
    <w:p w14:paraId="188EBA14" w14:textId="77777777" w:rsidR="00C46080" w:rsidRPr="004A5434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Supplementary table 3: Multivariable outputs for non-cardiovascular mortality for the entire cohort</w:t>
      </w:r>
    </w:p>
    <w:p w14:paraId="3685542D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B240E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30188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E8D15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72DD4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5F7A1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9BE9E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2993A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D1A37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38926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13020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013BE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22AE1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3BED3" w14:textId="77777777" w:rsidR="00C46080" w:rsidRDefault="00C46080" w:rsidP="00C4608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88C6A42" w14:textId="77777777" w:rsidR="00C46080" w:rsidRDefault="00C46080" w:rsidP="00C46080">
      <w:pPr>
        <w:rPr>
          <w:rFonts w:ascii="AdvP6F00" w:hAnsi="AdvP6F00" w:cs="AdvP6F00"/>
          <w:color w:val="0081AC"/>
          <w:sz w:val="13"/>
          <w:szCs w:val="13"/>
        </w:rPr>
      </w:pPr>
    </w:p>
    <w:p w14:paraId="6DD55C5C" w14:textId="77777777" w:rsidR="00C46080" w:rsidRDefault="00C46080" w:rsidP="00C46080">
      <w:pPr>
        <w:rPr>
          <w:rFonts w:ascii="AdvP6F00" w:hAnsi="AdvP6F00" w:cs="AdvP6F00"/>
          <w:color w:val="0081AC"/>
          <w:sz w:val="13"/>
          <w:szCs w:val="13"/>
        </w:rPr>
      </w:pPr>
    </w:p>
    <w:p w14:paraId="2D453553" w14:textId="77777777" w:rsidR="00C46080" w:rsidRPr="002C03BC" w:rsidRDefault="00C46080" w:rsidP="00C46080">
      <w:pPr>
        <w:spacing w:after="200" w:line="276" w:lineRule="auto"/>
        <w:rPr>
          <w:rFonts w:ascii="AdvP6F00" w:hAnsi="AdvP6F00" w:cs="AdvP6F00"/>
          <w:b/>
          <w:bCs/>
          <w:color w:val="000000"/>
          <w:sz w:val="20"/>
          <w:szCs w:val="20"/>
        </w:rPr>
      </w:pPr>
    </w:p>
    <w:p w14:paraId="531B8D63" w14:textId="77777777" w:rsidR="00C46080" w:rsidRDefault="00C46080" w:rsidP="00C46080">
      <w:pPr>
        <w:rPr>
          <w:rFonts w:cstheme="minorHAnsi"/>
          <w:b/>
          <w:bCs/>
        </w:rPr>
      </w:pPr>
    </w:p>
    <w:p w14:paraId="630BFFCE" w14:textId="77777777" w:rsidR="00C46080" w:rsidRDefault="00C46080" w:rsidP="00C46080">
      <w:pPr>
        <w:rPr>
          <w:rFonts w:cstheme="minorHAnsi"/>
          <w:b/>
          <w:bCs/>
        </w:rPr>
      </w:pPr>
    </w:p>
    <w:p w14:paraId="5E6170CE" w14:textId="77777777" w:rsidR="00C46080" w:rsidRDefault="00C46080" w:rsidP="00C46080">
      <w:pPr>
        <w:rPr>
          <w:rFonts w:cstheme="minorHAnsi"/>
          <w:b/>
          <w:bCs/>
        </w:rPr>
      </w:pPr>
    </w:p>
    <w:p w14:paraId="5B31690C" w14:textId="77777777" w:rsidR="00C46080" w:rsidRDefault="00C46080" w:rsidP="00C46080">
      <w:pPr>
        <w:rPr>
          <w:rFonts w:cstheme="minorHAnsi"/>
          <w:b/>
          <w:bCs/>
        </w:rPr>
      </w:pPr>
    </w:p>
    <w:p w14:paraId="1197E5E0" w14:textId="77777777" w:rsidR="00C46080" w:rsidRDefault="00C46080" w:rsidP="00C46080">
      <w:pPr>
        <w:rPr>
          <w:rFonts w:cstheme="minorHAnsi"/>
          <w:b/>
          <w:bCs/>
        </w:rPr>
      </w:pPr>
    </w:p>
    <w:p w14:paraId="0B5A872A" w14:textId="77777777" w:rsidR="00C46080" w:rsidRDefault="00C46080" w:rsidP="00C46080">
      <w:pPr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2936"/>
        <w:gridCol w:w="1673"/>
        <w:gridCol w:w="4407"/>
      </w:tblGrid>
      <w:tr w:rsidR="00C46080" w14:paraId="0F8E37B3" w14:textId="77777777" w:rsidTr="00281753">
        <w:tc>
          <w:tcPr>
            <w:tcW w:w="4609" w:type="dxa"/>
            <w:gridSpan w:val="2"/>
          </w:tcPr>
          <w:p w14:paraId="2AFFFFFF" w14:textId="77777777" w:rsidR="00C46080" w:rsidRDefault="00C46080" w:rsidP="00281753">
            <w:pPr>
              <w:pStyle w:val="BodyText"/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Variable</w:t>
            </w:r>
          </w:p>
        </w:tc>
        <w:tc>
          <w:tcPr>
            <w:tcW w:w="4407" w:type="dxa"/>
          </w:tcPr>
          <w:p w14:paraId="3A0C93C8" w14:textId="77777777" w:rsidR="00C46080" w:rsidRDefault="00C46080" w:rsidP="00281753">
            <w:pPr>
              <w:pStyle w:val="BodyText"/>
              <w:spacing w:line="48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Mortality HR</w:t>
            </w:r>
            <w:r w:rsidRPr="008638BC">
              <w:rPr>
                <w:b/>
                <w:lang w:eastAsia="en-US"/>
              </w:rPr>
              <w:t xml:space="preserve"> (95% CI) </w:t>
            </w:r>
          </w:p>
        </w:tc>
      </w:tr>
      <w:tr w:rsidR="00C46080" w14:paraId="49650E37" w14:textId="77777777" w:rsidTr="00281753">
        <w:tc>
          <w:tcPr>
            <w:tcW w:w="4609" w:type="dxa"/>
            <w:gridSpan w:val="2"/>
          </w:tcPr>
          <w:p w14:paraId="5DFB91E9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Age</w:t>
            </w:r>
          </w:p>
        </w:tc>
        <w:tc>
          <w:tcPr>
            <w:tcW w:w="4407" w:type="dxa"/>
          </w:tcPr>
          <w:p w14:paraId="17198737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1.066 (1.055 – 1.077)</w:t>
            </w:r>
          </w:p>
        </w:tc>
      </w:tr>
      <w:tr w:rsidR="00C46080" w14:paraId="4876D1F1" w14:textId="77777777" w:rsidTr="00281753">
        <w:tc>
          <w:tcPr>
            <w:tcW w:w="4609" w:type="dxa"/>
            <w:gridSpan w:val="2"/>
          </w:tcPr>
          <w:p w14:paraId="44DF2787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Male gender</w:t>
            </w:r>
          </w:p>
        </w:tc>
        <w:tc>
          <w:tcPr>
            <w:tcW w:w="4407" w:type="dxa"/>
          </w:tcPr>
          <w:p w14:paraId="3FFC2DD3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1.339 (1.133 – 1.728)</w:t>
            </w:r>
          </w:p>
        </w:tc>
      </w:tr>
      <w:tr w:rsidR="00C46080" w14:paraId="3ACDA447" w14:textId="77777777" w:rsidTr="00281753">
        <w:tc>
          <w:tcPr>
            <w:tcW w:w="4609" w:type="dxa"/>
            <w:gridSpan w:val="2"/>
          </w:tcPr>
          <w:p w14:paraId="1160DFAC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eGFR</w:t>
            </w:r>
          </w:p>
        </w:tc>
        <w:tc>
          <w:tcPr>
            <w:tcW w:w="4407" w:type="dxa"/>
          </w:tcPr>
          <w:p w14:paraId="4C718A26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0.981 (0.977 – 0.986)</w:t>
            </w:r>
          </w:p>
        </w:tc>
      </w:tr>
      <w:tr w:rsidR="00C46080" w14:paraId="6A965E7A" w14:textId="77777777" w:rsidTr="00281753">
        <w:tc>
          <w:tcPr>
            <w:tcW w:w="4609" w:type="dxa"/>
            <w:gridSpan w:val="2"/>
          </w:tcPr>
          <w:p w14:paraId="7E2414C7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cTnI</w:t>
            </w:r>
            <w:proofErr w:type="spellEnd"/>
            <w:r>
              <w:rPr>
                <w:lang w:eastAsia="en-US"/>
              </w:rPr>
              <w:t xml:space="preserve"> requested by clinical team</w:t>
            </w:r>
          </w:p>
        </w:tc>
        <w:tc>
          <w:tcPr>
            <w:tcW w:w="4407" w:type="dxa"/>
          </w:tcPr>
          <w:p w14:paraId="493E0017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1.066 (0.771 – 1.473)</w:t>
            </w:r>
          </w:p>
        </w:tc>
      </w:tr>
      <w:tr w:rsidR="00C46080" w14:paraId="3E3DE78E" w14:textId="77777777" w:rsidTr="00281753">
        <w:tc>
          <w:tcPr>
            <w:tcW w:w="2936" w:type="dxa"/>
            <w:vMerge w:val="restart"/>
          </w:tcPr>
          <w:p w14:paraId="25B34C48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 xml:space="preserve">Clinical location </w:t>
            </w:r>
          </w:p>
        </w:tc>
        <w:tc>
          <w:tcPr>
            <w:tcW w:w="1673" w:type="dxa"/>
          </w:tcPr>
          <w:p w14:paraId="6A823774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OPD</w:t>
            </w:r>
          </w:p>
        </w:tc>
        <w:tc>
          <w:tcPr>
            <w:tcW w:w="4407" w:type="dxa"/>
          </w:tcPr>
          <w:p w14:paraId="20963A0E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Reference</w:t>
            </w:r>
          </w:p>
        </w:tc>
      </w:tr>
      <w:tr w:rsidR="00C46080" w14:paraId="0AC7E68B" w14:textId="77777777" w:rsidTr="00281753">
        <w:tc>
          <w:tcPr>
            <w:tcW w:w="2936" w:type="dxa"/>
            <w:vMerge/>
          </w:tcPr>
          <w:p w14:paraId="67E8FC77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</w:p>
        </w:tc>
        <w:tc>
          <w:tcPr>
            <w:tcW w:w="1673" w:type="dxa"/>
          </w:tcPr>
          <w:p w14:paraId="702A3ED0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IPD</w:t>
            </w:r>
          </w:p>
        </w:tc>
        <w:tc>
          <w:tcPr>
            <w:tcW w:w="4407" w:type="dxa"/>
          </w:tcPr>
          <w:p w14:paraId="1FB8ACBF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1.679 (1.279 – 2.203)</w:t>
            </w:r>
          </w:p>
        </w:tc>
      </w:tr>
      <w:tr w:rsidR="00C46080" w14:paraId="0258F4BB" w14:textId="77777777" w:rsidTr="00281753">
        <w:tc>
          <w:tcPr>
            <w:tcW w:w="2936" w:type="dxa"/>
            <w:vMerge/>
          </w:tcPr>
          <w:p w14:paraId="31E41D17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</w:p>
        </w:tc>
        <w:tc>
          <w:tcPr>
            <w:tcW w:w="1673" w:type="dxa"/>
          </w:tcPr>
          <w:p w14:paraId="173CD6D9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 w:rsidRPr="00A06299">
              <w:rPr>
                <w:lang w:eastAsia="en-US"/>
              </w:rPr>
              <w:t>ED</w:t>
            </w:r>
          </w:p>
        </w:tc>
        <w:tc>
          <w:tcPr>
            <w:tcW w:w="4407" w:type="dxa"/>
          </w:tcPr>
          <w:p w14:paraId="140AEDFE" w14:textId="77777777" w:rsidR="00C46080" w:rsidRPr="00A06299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1.287 (0.965 – 1.717)</w:t>
            </w:r>
          </w:p>
        </w:tc>
      </w:tr>
      <w:tr w:rsidR="00C46080" w14:paraId="6003E33D" w14:textId="77777777" w:rsidTr="00281753">
        <w:trPr>
          <w:trHeight w:val="671"/>
        </w:trPr>
        <w:tc>
          <w:tcPr>
            <w:tcW w:w="4609" w:type="dxa"/>
            <w:gridSpan w:val="2"/>
          </w:tcPr>
          <w:p w14:paraId="29B15A0A" w14:textId="77777777" w:rsidR="00C46080" w:rsidRPr="008638BC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Log (10) </w:t>
            </w:r>
            <w:proofErr w:type="spellStart"/>
            <w:r>
              <w:rPr>
                <w:lang w:eastAsia="en-US"/>
              </w:rPr>
              <w:t>cTnI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4407" w:type="dxa"/>
          </w:tcPr>
          <w:p w14:paraId="13D7FCA4" w14:textId="77777777" w:rsidR="00C46080" w:rsidRDefault="00C46080" w:rsidP="00281753">
            <w:pPr>
              <w:pStyle w:val="BodyText"/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2.537 (2.198 – 2.904)</w:t>
            </w:r>
          </w:p>
        </w:tc>
      </w:tr>
    </w:tbl>
    <w:p w14:paraId="103175D4" w14:textId="77777777" w:rsidR="00C46080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Supplementary table 4: Multivariable outputs for cardiovascular mortality for the entire cohort</w:t>
      </w:r>
    </w:p>
    <w:p w14:paraId="5481F140" w14:textId="77777777" w:rsidR="00C46080" w:rsidRPr="00A21A42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10F6AD" w14:textId="77777777" w:rsidR="00C46080" w:rsidRPr="00A21A42" w:rsidRDefault="00C46080" w:rsidP="00C460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1A42">
        <w:rPr>
          <w:rFonts w:cstheme="minorHAnsi"/>
        </w:rPr>
        <w:t>OPD=outpatients department; IPD=inpatients department; ED=emergency department; eGFR=estimated glomerular filtration rate</w:t>
      </w:r>
    </w:p>
    <w:p w14:paraId="5DD3F6D4" w14:textId="77777777" w:rsidR="00C46080" w:rsidRDefault="00C46080" w:rsidP="00C46080">
      <w:pPr>
        <w:rPr>
          <w:rFonts w:cstheme="minorHAnsi"/>
          <w:b/>
          <w:bCs/>
        </w:rPr>
      </w:pPr>
    </w:p>
    <w:p w14:paraId="27B114C2" w14:textId="77777777" w:rsidR="00C46080" w:rsidRDefault="00C46080" w:rsidP="00C46080">
      <w:pPr>
        <w:rPr>
          <w:rFonts w:cstheme="minorHAnsi"/>
          <w:b/>
          <w:bCs/>
        </w:rPr>
      </w:pPr>
    </w:p>
    <w:p w14:paraId="4F7625FA" w14:textId="77777777" w:rsidR="00C46080" w:rsidRDefault="00C46080" w:rsidP="00C46080">
      <w:pPr>
        <w:rPr>
          <w:rFonts w:cstheme="minorHAnsi"/>
          <w:b/>
          <w:bCs/>
        </w:rPr>
      </w:pPr>
    </w:p>
    <w:p w14:paraId="029BB6F3" w14:textId="77777777" w:rsidR="00C46080" w:rsidRDefault="00C46080" w:rsidP="00C46080">
      <w:pPr>
        <w:rPr>
          <w:rFonts w:cstheme="minorHAnsi"/>
          <w:b/>
          <w:bCs/>
        </w:rPr>
      </w:pPr>
    </w:p>
    <w:p w14:paraId="2AC63490" w14:textId="77777777" w:rsidR="00C46080" w:rsidRDefault="00C46080" w:rsidP="00C46080">
      <w:pPr>
        <w:rPr>
          <w:rFonts w:cstheme="minorHAnsi"/>
          <w:b/>
          <w:bCs/>
        </w:rPr>
      </w:pPr>
    </w:p>
    <w:p w14:paraId="10DB3935" w14:textId="77777777" w:rsidR="00C46080" w:rsidRDefault="00C46080" w:rsidP="00C46080">
      <w:pPr>
        <w:rPr>
          <w:rFonts w:cstheme="minorHAnsi"/>
          <w:b/>
          <w:bCs/>
        </w:rPr>
      </w:pPr>
    </w:p>
    <w:p w14:paraId="452E55E9" w14:textId="77777777" w:rsidR="00C46080" w:rsidRDefault="00C46080" w:rsidP="00C46080">
      <w:pPr>
        <w:rPr>
          <w:rFonts w:cstheme="minorHAnsi"/>
          <w:b/>
          <w:bCs/>
        </w:rPr>
      </w:pPr>
    </w:p>
    <w:p w14:paraId="1DA29334" w14:textId="77777777" w:rsidR="00C46080" w:rsidRDefault="00C46080" w:rsidP="00C46080">
      <w:pPr>
        <w:rPr>
          <w:rFonts w:cstheme="minorHAnsi"/>
          <w:b/>
          <w:bCs/>
        </w:rPr>
      </w:pPr>
    </w:p>
    <w:p w14:paraId="00F5F747" w14:textId="77777777" w:rsidR="00C46080" w:rsidRDefault="00C46080" w:rsidP="00C46080">
      <w:pPr>
        <w:rPr>
          <w:rFonts w:cstheme="minorHAnsi"/>
          <w:b/>
          <w:bCs/>
        </w:rPr>
      </w:pPr>
    </w:p>
    <w:p w14:paraId="771C19E9" w14:textId="77777777" w:rsidR="00C46080" w:rsidRDefault="00C46080" w:rsidP="00C46080">
      <w:pPr>
        <w:rPr>
          <w:rFonts w:cstheme="minorHAnsi"/>
          <w:b/>
          <w:bCs/>
        </w:rPr>
      </w:pPr>
    </w:p>
    <w:p w14:paraId="0C1AE58D" w14:textId="77777777" w:rsidR="00C46080" w:rsidRDefault="00C46080" w:rsidP="00C46080">
      <w:pPr>
        <w:rPr>
          <w:rFonts w:cstheme="minorHAnsi"/>
          <w:b/>
          <w:bCs/>
        </w:rPr>
      </w:pPr>
    </w:p>
    <w:p w14:paraId="744C6C5C" w14:textId="77777777" w:rsidR="005D4C12" w:rsidRDefault="00833975"/>
    <w:sectPr w:rsidR="005D4C1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C331" w14:textId="77777777" w:rsidR="00C46080" w:rsidRDefault="00C46080" w:rsidP="00C46080">
      <w:pPr>
        <w:spacing w:after="0" w:line="240" w:lineRule="auto"/>
      </w:pPr>
      <w:r>
        <w:separator/>
      </w:r>
    </w:p>
  </w:endnote>
  <w:endnote w:type="continuationSeparator" w:id="0">
    <w:p w14:paraId="1CEA0AB3" w14:textId="77777777" w:rsidR="00C46080" w:rsidRDefault="00C46080" w:rsidP="00C4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6F00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5A25" w14:textId="77777777" w:rsidR="00C46080" w:rsidRDefault="00C46080" w:rsidP="00C46080">
      <w:pPr>
        <w:spacing w:after="0" w:line="240" w:lineRule="auto"/>
      </w:pPr>
      <w:r>
        <w:separator/>
      </w:r>
    </w:p>
  </w:footnote>
  <w:footnote w:type="continuationSeparator" w:id="0">
    <w:p w14:paraId="6BF673BB" w14:textId="77777777" w:rsidR="00C46080" w:rsidRDefault="00C46080" w:rsidP="00C4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70BA" w14:textId="73908D5E" w:rsidR="00C46080" w:rsidRPr="00897A7C" w:rsidRDefault="00C46080" w:rsidP="00C46080">
    <w:pPr>
      <w:pStyle w:val="Header"/>
      <w:jc w:val="right"/>
      <w:rPr>
        <w:rFonts w:cstheme="minorHAnsi"/>
        <w:i/>
        <w:iCs/>
        <w:sz w:val="15"/>
        <w:szCs w:val="15"/>
      </w:rPr>
    </w:pPr>
    <w:r>
      <w:rPr>
        <w:rFonts w:cstheme="minorHAnsi"/>
        <w:i/>
        <w:iCs/>
        <w:sz w:val="15"/>
        <w:szCs w:val="15"/>
      </w:rPr>
      <w:t xml:space="preserve">Spot </w:t>
    </w:r>
    <w:proofErr w:type="spellStart"/>
    <w:r>
      <w:rPr>
        <w:rFonts w:cstheme="minorHAnsi"/>
        <w:i/>
        <w:iCs/>
        <w:sz w:val="15"/>
        <w:szCs w:val="15"/>
      </w:rPr>
      <w:t>cTnI</w:t>
    </w:r>
    <w:proofErr w:type="spellEnd"/>
    <w:r>
      <w:rPr>
        <w:rFonts w:cstheme="minorHAnsi"/>
        <w:i/>
        <w:iCs/>
        <w:sz w:val="15"/>
        <w:szCs w:val="15"/>
      </w:rPr>
      <w:t xml:space="preserve"> &amp; Medium Term Mortality supplementary data</w:t>
    </w:r>
  </w:p>
  <w:p w14:paraId="0D3A5329" w14:textId="77777777" w:rsidR="00C46080" w:rsidRPr="00897A7C" w:rsidRDefault="00C46080" w:rsidP="00C46080">
    <w:pPr>
      <w:pStyle w:val="Header"/>
      <w:jc w:val="right"/>
      <w:rPr>
        <w:rFonts w:cstheme="minorHAnsi"/>
        <w:i/>
        <w:iCs/>
        <w:sz w:val="15"/>
        <w:szCs w:val="15"/>
      </w:rPr>
    </w:pPr>
    <w:r w:rsidRPr="00897A7C">
      <w:rPr>
        <w:rFonts w:cstheme="minorHAnsi"/>
        <w:i/>
        <w:iCs/>
        <w:sz w:val="15"/>
        <w:szCs w:val="15"/>
      </w:rPr>
      <w:t>Hinton et al</w:t>
    </w:r>
  </w:p>
  <w:p w14:paraId="1194F93B" w14:textId="2C6EA4EB" w:rsidR="00C46080" w:rsidRPr="00897A7C" w:rsidRDefault="00833975" w:rsidP="00C46080">
    <w:pPr>
      <w:pStyle w:val="Header"/>
      <w:jc w:val="right"/>
      <w:rPr>
        <w:rFonts w:cstheme="minorHAnsi"/>
        <w:i/>
        <w:iCs/>
        <w:sz w:val="15"/>
        <w:szCs w:val="15"/>
      </w:rPr>
    </w:pPr>
    <w:r>
      <w:rPr>
        <w:rFonts w:cstheme="minorHAnsi"/>
        <w:i/>
        <w:iCs/>
        <w:sz w:val="15"/>
        <w:szCs w:val="15"/>
      </w:rPr>
      <w:t>June</w:t>
    </w:r>
    <w:r w:rsidR="00C46080">
      <w:rPr>
        <w:rFonts w:cstheme="minorHAnsi"/>
        <w:i/>
        <w:iCs/>
        <w:sz w:val="15"/>
        <w:szCs w:val="15"/>
      </w:rPr>
      <w:t xml:space="preserve"> 2023</w:t>
    </w:r>
  </w:p>
  <w:p w14:paraId="56B2A8D9" w14:textId="77777777" w:rsidR="00C46080" w:rsidRDefault="00C460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80"/>
    <w:rsid w:val="002027EF"/>
    <w:rsid w:val="003B3152"/>
    <w:rsid w:val="006E5ECD"/>
    <w:rsid w:val="00833975"/>
    <w:rsid w:val="00C46080"/>
    <w:rsid w:val="00E5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4A02"/>
  <w15:chartTrackingRefBased/>
  <w15:docId w15:val="{FDFBFD18-BC34-4FB3-8E63-AE32704C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C46080"/>
    <w:pPr>
      <w:spacing w:before="200" w:after="0" w:line="36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C46080"/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nhideWhenUsed/>
    <w:rsid w:val="00C46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6080"/>
  </w:style>
  <w:style w:type="paragraph" w:styleId="Footer">
    <w:name w:val="footer"/>
    <w:basedOn w:val="Normal"/>
    <w:link w:val="FooterChar"/>
    <w:uiPriority w:val="99"/>
    <w:unhideWhenUsed/>
    <w:rsid w:val="00C46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Hinton</dc:creator>
  <cp:keywords/>
  <dc:description/>
  <cp:lastModifiedBy>Jonathan Hinton</cp:lastModifiedBy>
  <cp:revision>4</cp:revision>
  <dcterms:created xsi:type="dcterms:W3CDTF">2023-06-06T20:52:00Z</dcterms:created>
  <dcterms:modified xsi:type="dcterms:W3CDTF">2023-06-06T20:53:00Z</dcterms:modified>
</cp:coreProperties>
</file>