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DFA97" w14:textId="28DEDBF7" w:rsidR="00C35D69" w:rsidRPr="007866EF" w:rsidRDefault="00C35D69" w:rsidP="00EF0916">
      <w:pPr>
        <w:suppressLineNumbers/>
        <w:spacing w:line="480" w:lineRule="auto"/>
        <w:rPr>
          <w:b/>
        </w:rPr>
      </w:pPr>
      <w:r w:rsidRPr="007866EF">
        <w:rPr>
          <w:b/>
        </w:rPr>
        <w:t xml:space="preserve">Engagement with </w:t>
      </w:r>
      <w:r w:rsidR="007D61A8">
        <w:rPr>
          <w:b/>
        </w:rPr>
        <w:t>a nationally-implemented digital behaviour change i</w:t>
      </w:r>
      <w:r w:rsidR="009E6D6E" w:rsidRPr="007866EF">
        <w:rPr>
          <w:b/>
        </w:rPr>
        <w:t>ntervention</w:t>
      </w:r>
      <w:r w:rsidRPr="007866EF">
        <w:rPr>
          <w:b/>
        </w:rPr>
        <w:t xml:space="preserve">: </w:t>
      </w:r>
      <w:r w:rsidR="007D61A8">
        <w:rPr>
          <w:b/>
        </w:rPr>
        <w:t>Usage patterns over</w:t>
      </w:r>
      <w:r w:rsidR="00E36881">
        <w:rPr>
          <w:b/>
        </w:rPr>
        <w:t xml:space="preserve"> the 9-</w:t>
      </w:r>
      <w:r w:rsidR="00381CA1">
        <w:rPr>
          <w:b/>
        </w:rPr>
        <w:t>month duration</w:t>
      </w:r>
      <w:r w:rsidR="007D61A8">
        <w:rPr>
          <w:b/>
        </w:rPr>
        <w:t xml:space="preserve"> of </w:t>
      </w:r>
      <w:r w:rsidR="008231EF" w:rsidRPr="007866EF">
        <w:rPr>
          <w:b/>
        </w:rPr>
        <w:t>the National Health Service</w:t>
      </w:r>
      <w:r w:rsidR="009E6D6E" w:rsidRPr="007866EF">
        <w:rPr>
          <w:b/>
        </w:rPr>
        <w:t xml:space="preserve"> Digital Diabetes Prevention Programme</w:t>
      </w:r>
    </w:p>
    <w:p w14:paraId="53A37022" w14:textId="77777777" w:rsidR="00C35D69" w:rsidRDefault="00C35D69" w:rsidP="00EF0916">
      <w:pPr>
        <w:suppressLineNumbers/>
        <w:spacing w:line="480" w:lineRule="auto"/>
        <w:rPr>
          <w:rFonts w:cstheme="minorHAnsi"/>
          <w:b/>
        </w:rPr>
      </w:pPr>
    </w:p>
    <w:p w14:paraId="4011BD2A" w14:textId="69291E55" w:rsidR="00C35D69" w:rsidRPr="00D90A7B" w:rsidRDefault="00C35D69" w:rsidP="00EF0916">
      <w:pPr>
        <w:suppressLineNumbers/>
        <w:spacing w:line="480" w:lineRule="auto"/>
        <w:rPr>
          <w:rFonts w:cstheme="minorHAnsi"/>
        </w:rPr>
      </w:pPr>
      <w:r w:rsidRPr="00D90A7B">
        <w:rPr>
          <w:rFonts w:cstheme="minorHAnsi"/>
        </w:rPr>
        <w:t>Rhiannon E Hawkes</w:t>
      </w:r>
      <w:r w:rsidRPr="00D90A7B">
        <w:rPr>
          <w:rFonts w:cstheme="minorHAnsi"/>
          <w:vertAlign w:val="superscript"/>
        </w:rPr>
        <w:t>1</w:t>
      </w:r>
      <w:r w:rsidR="00957909">
        <w:rPr>
          <w:rFonts w:cstheme="minorHAnsi"/>
          <w:vertAlign w:val="superscript"/>
        </w:rPr>
        <w:t>*</w:t>
      </w:r>
      <w:r w:rsidR="00975B17">
        <w:rPr>
          <w:rFonts w:cstheme="minorHAnsi"/>
        </w:rPr>
        <w:t>,</w:t>
      </w:r>
      <w:r w:rsidRPr="00D90A7B">
        <w:rPr>
          <w:rFonts w:cstheme="minorHAnsi"/>
        </w:rPr>
        <w:t xml:space="preserve"> Lisa M Miles</w:t>
      </w:r>
      <w:r w:rsidRPr="00D90A7B">
        <w:rPr>
          <w:rFonts w:cstheme="minorHAnsi"/>
          <w:vertAlign w:val="superscript"/>
        </w:rPr>
        <w:t>1</w:t>
      </w:r>
      <w:r w:rsidR="00975B17">
        <w:rPr>
          <w:rFonts w:cstheme="minorHAnsi"/>
        </w:rPr>
        <w:t>,</w:t>
      </w:r>
      <w:r w:rsidR="00CB6AB3">
        <w:rPr>
          <w:rFonts w:cstheme="minorHAnsi"/>
        </w:rPr>
        <w:t xml:space="preserve"> </w:t>
      </w:r>
      <w:r>
        <w:rPr>
          <w:rFonts w:cstheme="minorHAnsi"/>
        </w:rPr>
        <w:t>Ben Ainsworth</w:t>
      </w:r>
      <w:r w:rsidR="002D3BC4">
        <w:rPr>
          <w:rFonts w:cstheme="minorHAnsi"/>
          <w:vertAlign w:val="superscript"/>
        </w:rPr>
        <w:t>2</w:t>
      </w:r>
      <w:r w:rsidR="00F75212">
        <w:rPr>
          <w:rFonts w:cstheme="minorHAnsi"/>
          <w:vertAlign w:val="superscript"/>
        </w:rPr>
        <w:t>, 3</w:t>
      </w:r>
      <w:r>
        <w:rPr>
          <w:rFonts w:cstheme="minorHAnsi"/>
        </w:rPr>
        <w:t xml:space="preserve">, </w:t>
      </w:r>
      <w:r w:rsidR="00205755">
        <w:rPr>
          <w:rFonts w:cstheme="minorHAnsi"/>
        </w:rPr>
        <w:t>Jamie</w:t>
      </w:r>
      <w:r w:rsidR="002D3BC4">
        <w:rPr>
          <w:rFonts w:cstheme="minorHAnsi"/>
        </w:rPr>
        <w:t xml:space="preserve"> </w:t>
      </w:r>
      <w:r w:rsidR="002D3BC4" w:rsidRPr="002D3BC4">
        <w:rPr>
          <w:rFonts w:cstheme="minorHAnsi"/>
        </w:rPr>
        <w:t>Ross</w:t>
      </w:r>
      <w:r w:rsidR="00F75212">
        <w:rPr>
          <w:rFonts w:cstheme="minorHAnsi"/>
          <w:vertAlign w:val="superscript"/>
        </w:rPr>
        <w:t>4</w:t>
      </w:r>
      <w:r w:rsidR="008C62EA">
        <w:rPr>
          <w:rFonts w:cstheme="minorHAnsi"/>
        </w:rPr>
        <w:t>, Rachel Meacock</w:t>
      </w:r>
      <w:r w:rsidR="008C62EA">
        <w:rPr>
          <w:rFonts w:cstheme="minorHAnsi"/>
          <w:vertAlign w:val="superscript"/>
        </w:rPr>
        <w:t>5</w:t>
      </w:r>
      <w:r w:rsidR="008C62EA">
        <w:rPr>
          <w:rFonts w:cstheme="minorHAnsi"/>
        </w:rPr>
        <w:t xml:space="preserve"> </w:t>
      </w:r>
      <w:r w:rsidR="004260FC">
        <w:rPr>
          <w:rFonts w:cstheme="minorHAnsi"/>
        </w:rPr>
        <w:t xml:space="preserve">&amp; </w:t>
      </w:r>
      <w:r w:rsidR="002D3BC4">
        <w:rPr>
          <w:rFonts w:cstheme="minorHAnsi"/>
        </w:rPr>
        <w:t>D</w:t>
      </w:r>
      <w:r w:rsidRPr="002D3BC4">
        <w:rPr>
          <w:rFonts w:cstheme="minorHAnsi"/>
        </w:rPr>
        <w:t>avid</w:t>
      </w:r>
      <w:r w:rsidRPr="00D90A7B">
        <w:rPr>
          <w:rFonts w:cstheme="minorHAnsi"/>
        </w:rPr>
        <w:t xml:space="preserve"> P French</w:t>
      </w:r>
      <w:r w:rsidR="00957909">
        <w:rPr>
          <w:rFonts w:cstheme="minorHAnsi"/>
          <w:vertAlign w:val="superscript"/>
        </w:rPr>
        <w:t>1</w:t>
      </w:r>
    </w:p>
    <w:p w14:paraId="39B92665" w14:textId="77777777" w:rsidR="00C35D69" w:rsidRDefault="00C35D69" w:rsidP="00EF0916">
      <w:pPr>
        <w:suppressLineNumbers/>
        <w:spacing w:line="480" w:lineRule="auto"/>
        <w:rPr>
          <w:rFonts w:cstheme="minorHAnsi"/>
          <w:vertAlign w:val="superscript"/>
        </w:rPr>
      </w:pPr>
    </w:p>
    <w:p w14:paraId="0392D4EB" w14:textId="6517200A" w:rsidR="00C35D69" w:rsidRDefault="00C35D69" w:rsidP="00EF0916">
      <w:pPr>
        <w:suppressLineNumbers/>
        <w:spacing w:line="480" w:lineRule="auto"/>
        <w:rPr>
          <w:rFonts w:cstheme="minorHAnsi"/>
        </w:rPr>
      </w:pPr>
      <w:r w:rsidRPr="00D90A7B">
        <w:rPr>
          <w:rFonts w:cstheme="minorHAnsi"/>
          <w:vertAlign w:val="superscript"/>
        </w:rPr>
        <w:t>1</w:t>
      </w:r>
      <w:r>
        <w:rPr>
          <w:rFonts w:cstheme="minorHAnsi"/>
        </w:rPr>
        <w:t>Manchester Centre for</w:t>
      </w:r>
      <w:r w:rsidRPr="00D90A7B">
        <w:rPr>
          <w:rFonts w:cstheme="minorHAnsi"/>
        </w:rPr>
        <w:t xml:space="preserve"> Health Psychology, Division of Psychology and Mental Health, University of Manchester, UK</w:t>
      </w:r>
    </w:p>
    <w:p w14:paraId="744360DF" w14:textId="77777777" w:rsidR="00F75212" w:rsidRDefault="00F75212" w:rsidP="00EF0916">
      <w:pPr>
        <w:suppressLineNumbers/>
        <w:spacing w:line="480" w:lineRule="auto"/>
      </w:pPr>
      <w:r w:rsidRPr="00F75212">
        <w:rPr>
          <w:vertAlign w:val="superscript"/>
        </w:rPr>
        <w:t>2</w:t>
      </w:r>
      <w:r w:rsidRPr="00F75212">
        <w:t>Department of Ps</w:t>
      </w:r>
      <w:r>
        <w:t>ychology, University of Bath, UK</w:t>
      </w:r>
    </w:p>
    <w:p w14:paraId="7E58DC80" w14:textId="45DEFD76" w:rsidR="00F75212" w:rsidRDefault="00F75212" w:rsidP="00EF0916">
      <w:pPr>
        <w:suppressLineNumbers/>
        <w:spacing w:line="480" w:lineRule="auto"/>
        <w:rPr>
          <w:rFonts w:cstheme="minorHAnsi"/>
        </w:rPr>
      </w:pPr>
      <w:r w:rsidRPr="00F75212">
        <w:rPr>
          <w:rFonts w:cstheme="minorHAnsi"/>
          <w:vertAlign w:val="superscript"/>
        </w:rPr>
        <w:t>3</w:t>
      </w:r>
      <w:r w:rsidR="00526FA8">
        <w:rPr>
          <w:rFonts w:cstheme="minorHAnsi"/>
        </w:rPr>
        <w:t>School</w:t>
      </w:r>
      <w:r w:rsidRPr="00F75212">
        <w:rPr>
          <w:rFonts w:cstheme="minorHAnsi"/>
        </w:rPr>
        <w:t xml:space="preserve"> of Psychology, University of Southampton, UK</w:t>
      </w:r>
    </w:p>
    <w:p w14:paraId="4CDD25B6" w14:textId="152DAAB3" w:rsidR="00F75212" w:rsidRDefault="00F75212" w:rsidP="00EF0916">
      <w:pPr>
        <w:suppressLineNumbers/>
        <w:spacing w:line="480" w:lineRule="auto"/>
        <w:rPr>
          <w:rFonts w:cstheme="minorHAnsi"/>
          <w:szCs w:val="20"/>
          <w:bdr w:val="none" w:sz="0" w:space="0" w:color="auto" w:frame="1"/>
        </w:rPr>
      </w:pPr>
      <w:r>
        <w:rPr>
          <w:rFonts w:cstheme="minorHAnsi"/>
          <w:vertAlign w:val="superscript"/>
        </w:rPr>
        <w:t xml:space="preserve">4 </w:t>
      </w:r>
      <w:r w:rsidRPr="00F75212">
        <w:rPr>
          <w:rFonts w:cstheme="minorHAnsi"/>
          <w:szCs w:val="20"/>
          <w:bdr w:val="none" w:sz="0" w:space="0" w:color="auto" w:frame="1"/>
        </w:rPr>
        <w:t>Centre for Primary Care, Wolfson Institute of Population Health, Barts and The London School of Medicine and Dentistry, Queen Mary University of London, UK</w:t>
      </w:r>
    </w:p>
    <w:p w14:paraId="13FA5398" w14:textId="68D6BC70" w:rsidR="008C62EA" w:rsidRPr="00C35D69" w:rsidRDefault="008C62EA" w:rsidP="00EF0916">
      <w:pPr>
        <w:suppressLineNumbers/>
        <w:spacing w:line="480" w:lineRule="auto"/>
        <w:rPr>
          <w:rFonts w:cstheme="minorHAnsi"/>
        </w:rPr>
      </w:pPr>
      <w:r>
        <w:rPr>
          <w:rFonts w:cstheme="minorHAnsi"/>
          <w:vertAlign w:val="superscript"/>
        </w:rPr>
        <w:t>5</w:t>
      </w:r>
      <w:r>
        <w:rPr>
          <w:rFonts w:cstheme="minorHAnsi"/>
        </w:rPr>
        <w:t xml:space="preserve"> </w:t>
      </w:r>
      <w:r w:rsidR="009562E4">
        <w:rPr>
          <w:rFonts w:cstheme="minorHAnsi"/>
        </w:rPr>
        <w:t>Health Organisation, Policy and Economics (HOPE) Research Group, Centre for Primary Care and Health Services Research, University of Manchester, UK</w:t>
      </w:r>
    </w:p>
    <w:p w14:paraId="7AEF778D" w14:textId="10E5CD1E" w:rsidR="00C35D69" w:rsidRPr="00D90A7B" w:rsidRDefault="00C35D69" w:rsidP="00EF0916">
      <w:pPr>
        <w:suppressLineNumbers/>
        <w:spacing w:line="240" w:lineRule="auto"/>
        <w:rPr>
          <w:rFonts w:cstheme="minorHAnsi"/>
        </w:rPr>
      </w:pPr>
      <w:r w:rsidRPr="00D90A7B">
        <w:rPr>
          <w:rFonts w:cstheme="minorHAnsi"/>
        </w:rPr>
        <w:t>Email addresses:</w:t>
      </w:r>
    </w:p>
    <w:p w14:paraId="1EE72EC4" w14:textId="49565359" w:rsidR="00C35D69" w:rsidRPr="00537DBC" w:rsidRDefault="00DC1788" w:rsidP="00537DBC">
      <w:pPr>
        <w:suppressLineNumbers/>
        <w:spacing w:line="240" w:lineRule="auto"/>
        <w:rPr>
          <w:rFonts w:cstheme="minorHAnsi"/>
        </w:rPr>
      </w:pPr>
      <w:hyperlink r:id="rId11" w:history="1">
        <w:r w:rsidR="00C35D69" w:rsidRPr="00D90A7B">
          <w:rPr>
            <w:rStyle w:val="Hyperlink"/>
            <w:rFonts w:cstheme="minorHAnsi"/>
          </w:rPr>
          <w:t>Rhiannon.Hawkes@manchester.ac.uk</w:t>
        </w:r>
      </w:hyperlink>
      <w:r w:rsidR="00957909" w:rsidRPr="00957909">
        <w:t>*</w:t>
      </w:r>
      <w:r w:rsidR="00C35D69" w:rsidRPr="00D90A7B">
        <w:rPr>
          <w:rFonts w:cstheme="minorHAnsi"/>
        </w:rPr>
        <w:br/>
      </w:r>
      <w:hyperlink r:id="rId12" w:history="1">
        <w:r w:rsidR="00C35D69" w:rsidRPr="00100415">
          <w:rPr>
            <w:rStyle w:val="Hyperlink"/>
            <w:rFonts w:cstheme="minorHAnsi"/>
          </w:rPr>
          <w:t>Lisa.Miles-2@manchester.ac.uk</w:t>
        </w:r>
      </w:hyperlink>
      <w:r w:rsidR="00C35D69">
        <w:rPr>
          <w:rStyle w:val="Hyperlink"/>
          <w:rFonts w:cstheme="minorHAnsi"/>
        </w:rPr>
        <w:br/>
      </w:r>
      <w:hyperlink r:id="rId13" w:history="1">
        <w:r w:rsidR="00241AB6" w:rsidRPr="00FA13B6">
          <w:rPr>
            <w:rStyle w:val="Hyperlink"/>
            <w:rFonts w:cstheme="minorHAnsi"/>
          </w:rPr>
          <w:t>Ben.Ainsworth@soton.ac.uk</w:t>
        </w:r>
      </w:hyperlink>
      <w:r w:rsidR="00F75212">
        <w:rPr>
          <w:rFonts w:cstheme="minorHAnsi"/>
        </w:rPr>
        <w:t xml:space="preserve">  </w:t>
      </w:r>
      <w:r w:rsidR="00142DCC">
        <w:rPr>
          <w:rFonts w:cstheme="minorHAnsi"/>
        </w:rPr>
        <w:br/>
      </w:r>
      <w:hyperlink r:id="rId14" w:history="1">
        <w:r w:rsidR="00142DCC" w:rsidRPr="00FA13B6">
          <w:rPr>
            <w:rStyle w:val="Hyperlink"/>
          </w:rPr>
          <w:t>Jamie.Ross@qmul.ac.uk</w:t>
        </w:r>
      </w:hyperlink>
      <w:r w:rsidR="009B047C">
        <w:rPr>
          <w:rFonts w:cstheme="minorHAnsi"/>
        </w:rPr>
        <w:br/>
      </w:r>
      <w:hyperlink r:id="rId15" w:history="1">
        <w:r w:rsidR="009B047C" w:rsidRPr="003E4B57">
          <w:rPr>
            <w:rStyle w:val="Hyperlink"/>
            <w:rFonts w:cstheme="minorHAnsi"/>
          </w:rPr>
          <w:t>Rachel.Meacock@manchester.ac.uk</w:t>
        </w:r>
      </w:hyperlink>
      <w:r w:rsidR="009B047C">
        <w:rPr>
          <w:rFonts w:cstheme="minorHAnsi"/>
        </w:rPr>
        <w:t xml:space="preserve"> </w:t>
      </w:r>
      <w:r w:rsidR="00C35D69" w:rsidRPr="00D90A7B">
        <w:rPr>
          <w:rFonts w:cstheme="minorHAnsi"/>
        </w:rPr>
        <w:br/>
      </w:r>
      <w:hyperlink r:id="rId16" w:history="1">
        <w:r w:rsidR="00C35D69" w:rsidRPr="00D90A7B">
          <w:rPr>
            <w:rStyle w:val="Hyperlink"/>
            <w:rFonts w:cstheme="minorHAnsi"/>
          </w:rPr>
          <w:t>David.French@manchester.ac.uk</w:t>
        </w:r>
      </w:hyperlink>
    </w:p>
    <w:p w14:paraId="7A4130A1" w14:textId="2238EAD3" w:rsidR="00C35D69" w:rsidRPr="00D90A7B" w:rsidRDefault="00C35D69" w:rsidP="00EF0916">
      <w:pPr>
        <w:suppressLineNumbers/>
        <w:spacing w:line="240" w:lineRule="auto"/>
        <w:rPr>
          <w:rFonts w:cstheme="minorHAnsi"/>
          <w:b/>
        </w:rPr>
      </w:pPr>
      <w:r w:rsidRPr="00D90A7B">
        <w:rPr>
          <w:rFonts w:cstheme="minorHAnsi"/>
        </w:rPr>
        <w:t>*</w:t>
      </w:r>
      <w:r w:rsidRPr="00D90A7B">
        <w:rPr>
          <w:rFonts w:cstheme="minorHAnsi"/>
          <w:i/>
        </w:rPr>
        <w:t>Corresponding author</w:t>
      </w:r>
      <w:r w:rsidR="00537DBC">
        <w:rPr>
          <w:rFonts w:cstheme="minorHAnsi"/>
        </w:rPr>
        <w:t>:</w:t>
      </w:r>
      <w:r w:rsidR="00537DBC">
        <w:rPr>
          <w:rFonts w:cstheme="minorHAnsi"/>
        </w:rPr>
        <w:br/>
        <w:t>Rhiannon Hawkes</w:t>
      </w:r>
      <w:r w:rsidR="00537DBC">
        <w:rPr>
          <w:rFonts w:cstheme="minorHAnsi"/>
        </w:rPr>
        <w:br/>
        <w:t>Coupland 1 Building</w:t>
      </w:r>
      <w:r w:rsidR="00537DBC">
        <w:rPr>
          <w:rFonts w:cstheme="minorHAnsi"/>
        </w:rPr>
        <w:br/>
        <w:t>University of Manchester</w:t>
      </w:r>
      <w:r w:rsidR="00537DBC">
        <w:rPr>
          <w:rFonts w:cstheme="minorHAnsi"/>
        </w:rPr>
        <w:br/>
        <w:t>Oxford Road</w:t>
      </w:r>
      <w:r w:rsidR="00537DBC">
        <w:rPr>
          <w:rFonts w:cstheme="minorHAnsi"/>
        </w:rPr>
        <w:br/>
        <w:t>Manchester</w:t>
      </w:r>
      <w:r w:rsidR="00537DBC">
        <w:rPr>
          <w:rFonts w:cstheme="minorHAnsi"/>
        </w:rPr>
        <w:br/>
        <w:t>M13 9PL</w:t>
      </w:r>
    </w:p>
    <w:p w14:paraId="28929B11" w14:textId="59085443" w:rsidR="003C5AB7" w:rsidRDefault="003C5AB7" w:rsidP="00EF0916">
      <w:pPr>
        <w:suppressLineNumbers/>
      </w:pPr>
    </w:p>
    <w:p w14:paraId="512ED3EC" w14:textId="1DBC7B6B" w:rsidR="00C35D69" w:rsidRDefault="00C35D69" w:rsidP="00EF0916">
      <w:pPr>
        <w:suppressLineNumbers/>
        <w:rPr>
          <w:b/>
        </w:rPr>
      </w:pPr>
    </w:p>
    <w:p w14:paraId="31353C6C" w14:textId="641DE40A" w:rsidR="00AC702E" w:rsidRPr="007866EF" w:rsidRDefault="00AC702E" w:rsidP="00536FB1">
      <w:pPr>
        <w:spacing w:after="0" w:line="480" w:lineRule="auto"/>
        <w:jc w:val="center"/>
        <w:rPr>
          <w:b/>
        </w:rPr>
      </w:pPr>
      <w:r w:rsidRPr="007866EF">
        <w:rPr>
          <w:b/>
        </w:rPr>
        <w:lastRenderedPageBreak/>
        <w:t>Abstract</w:t>
      </w:r>
    </w:p>
    <w:p w14:paraId="069DD1DE" w14:textId="17F68AB5" w:rsidR="008B602D" w:rsidRPr="007866EF" w:rsidRDefault="00AC702E" w:rsidP="008B602D">
      <w:pPr>
        <w:spacing w:line="480" w:lineRule="auto"/>
        <w:rPr>
          <w:b/>
        </w:rPr>
      </w:pPr>
      <w:r w:rsidRPr="007866EF">
        <w:rPr>
          <w:b/>
        </w:rPr>
        <w:t>Background:</w:t>
      </w:r>
      <w:r w:rsidR="008B602D" w:rsidRPr="007866EF">
        <w:rPr>
          <w:b/>
        </w:rPr>
        <w:t xml:space="preserve"> </w:t>
      </w:r>
      <w:r w:rsidR="008B602D">
        <w:t>Digital behaviour change interventions may offer a</w:t>
      </w:r>
      <w:r w:rsidR="00C422B9">
        <w:t xml:space="preserve"> scalable </w:t>
      </w:r>
      <w:r w:rsidR="008A1D50">
        <w:t>way to promote weight loss by increasing physical activity and improving diet.</w:t>
      </w:r>
      <w:r w:rsidR="008D33AC">
        <w:t xml:space="preserve"> However, user engagement is necessary for such benefits to be achieved.</w:t>
      </w:r>
      <w:r w:rsidR="008A1D50">
        <w:t xml:space="preserve"> </w:t>
      </w:r>
      <w:r w:rsidR="00721BC0">
        <w:t xml:space="preserve">There is </w:t>
      </w:r>
      <w:r w:rsidR="003B1AB2">
        <w:t>a dearth of research that</w:t>
      </w:r>
      <w:r w:rsidR="00E720F4">
        <w:t xml:space="preserve"> </w:t>
      </w:r>
      <w:r w:rsidR="00721BC0">
        <w:t>assesses engagement with a national</w:t>
      </w:r>
      <w:r w:rsidR="00C422B9">
        <w:t>ly implemented</w:t>
      </w:r>
      <w:r w:rsidR="00721BC0">
        <w:t xml:space="preserve"> digital programme </w:t>
      </w:r>
      <w:r w:rsidR="00C422B9">
        <w:t xml:space="preserve">offered </w:t>
      </w:r>
      <w:r w:rsidR="005C096D">
        <w:t>in</w:t>
      </w:r>
      <w:r w:rsidR="00721BC0">
        <w:t xml:space="preserve"> routine practice. </w:t>
      </w:r>
      <w:r w:rsidR="00895CE5">
        <w:t>The National Health Service Digital Diabetes Prevention Programme (NHS-DDPP) is a nine-month digital behaviour change intervention</w:t>
      </w:r>
      <w:r w:rsidR="00610B16" w:rsidRPr="00610B16">
        <w:t xml:space="preserve"> </w:t>
      </w:r>
      <w:r w:rsidR="00610B16">
        <w:t xml:space="preserve">delivered by independent providers </w:t>
      </w:r>
      <w:r w:rsidR="005C096D">
        <w:t>for</w:t>
      </w:r>
      <w:r w:rsidR="00895CE5">
        <w:t xml:space="preserve"> adults in England</w:t>
      </w:r>
      <w:r w:rsidR="00292D7A">
        <w:t xml:space="preserve"> who have been</w:t>
      </w:r>
      <w:r w:rsidR="00895CE5">
        <w:t xml:space="preserve"> </w:t>
      </w:r>
      <w:r w:rsidR="003B0861">
        <w:t xml:space="preserve">identified as </w:t>
      </w:r>
      <w:r w:rsidR="008A1D50">
        <w:t xml:space="preserve">high risk of developing </w:t>
      </w:r>
      <w:r w:rsidR="00C74BC9">
        <w:t>t</w:t>
      </w:r>
      <w:r w:rsidR="008A1D50">
        <w:t>ype 2 diabetes</w:t>
      </w:r>
      <w:r w:rsidR="00895CE5">
        <w:t>.</w:t>
      </w:r>
      <w:r w:rsidR="007866EF">
        <w:t xml:space="preserve"> </w:t>
      </w:r>
      <w:r w:rsidR="008B602D">
        <w:t xml:space="preserve">This study </w:t>
      </w:r>
      <w:r w:rsidR="007E6B6C">
        <w:t xml:space="preserve">reports </w:t>
      </w:r>
      <w:r w:rsidR="008B602D">
        <w:t>engagement with the NH</w:t>
      </w:r>
      <w:r w:rsidR="00CF7821">
        <w:t>S-DDPP for u</w:t>
      </w:r>
      <w:r w:rsidR="008B602D">
        <w:t xml:space="preserve">sers enrolled onto the programme </w:t>
      </w:r>
      <w:r w:rsidR="00610B16">
        <w:t xml:space="preserve">over </w:t>
      </w:r>
      <w:r w:rsidR="008B602D">
        <w:t>the nine-month duration.</w:t>
      </w:r>
    </w:p>
    <w:p w14:paraId="04476EF0" w14:textId="089896C4" w:rsidR="00895CE5" w:rsidRPr="007866EF" w:rsidRDefault="00AC702E" w:rsidP="001F3CEF">
      <w:pPr>
        <w:spacing w:line="480" w:lineRule="auto"/>
        <w:rPr>
          <w:b/>
        </w:rPr>
      </w:pPr>
      <w:r w:rsidRPr="007866EF">
        <w:rPr>
          <w:b/>
        </w:rPr>
        <w:t>Method</w:t>
      </w:r>
      <w:r w:rsidR="007866EF" w:rsidRPr="007866EF">
        <w:rPr>
          <w:b/>
        </w:rPr>
        <w:t>s</w:t>
      </w:r>
      <w:r w:rsidRPr="007866EF">
        <w:rPr>
          <w:b/>
        </w:rPr>
        <w:t>:</w:t>
      </w:r>
      <w:r w:rsidR="007866EF">
        <w:rPr>
          <w:b/>
        </w:rPr>
        <w:t xml:space="preserve"> </w:t>
      </w:r>
      <w:r w:rsidR="00CF7821" w:rsidRPr="00CF7821">
        <w:t>A</w:t>
      </w:r>
      <w:r w:rsidR="009B5F89" w:rsidRPr="00CF7821">
        <w:t>nonymous</w:t>
      </w:r>
      <w:r w:rsidR="009B5F89">
        <w:t xml:space="preserve"> usage data</w:t>
      </w:r>
      <w:r w:rsidR="00CF7821">
        <w:t xml:space="preserve"> was obtained</w:t>
      </w:r>
      <w:r w:rsidR="009B5F89">
        <w:t xml:space="preserve"> for a cohort of service users</w:t>
      </w:r>
      <w:r w:rsidR="00BB004B">
        <w:t xml:space="preserve"> (n = 1,826)</w:t>
      </w:r>
      <w:r w:rsidR="009B5F89">
        <w:t xml:space="preserve"> enrolled on the NHS-DDPP</w:t>
      </w:r>
      <w:r w:rsidR="008D33AC">
        <w:t xml:space="preserve"> with three independent providers,</w:t>
      </w:r>
      <w:r w:rsidR="00E80E0A">
        <w:t xml:space="preserve"> between December 2020 and June 2021</w:t>
      </w:r>
      <w:r w:rsidR="007866EF">
        <w:t>.</w:t>
      </w:r>
      <w:r w:rsidR="00CF7821">
        <w:t xml:space="preserve"> </w:t>
      </w:r>
      <w:r w:rsidR="001F3CEF">
        <w:t xml:space="preserve">Usage data </w:t>
      </w:r>
      <w:r w:rsidR="005C096D">
        <w:t>were obtained</w:t>
      </w:r>
      <w:r w:rsidR="00AD1851">
        <w:t xml:space="preserve"> for</w:t>
      </w:r>
      <w:r w:rsidR="005C096D">
        <w:t xml:space="preserve"> time spent in app, and frequency of use of NHS-DDPP intervention features including</w:t>
      </w:r>
      <w:r w:rsidR="00B06FF5">
        <w:t xml:space="preserve"> self-monitoring and goal setting</w:t>
      </w:r>
      <w:r w:rsidR="008027A1">
        <w:t xml:space="preserve"> (via an app)</w:t>
      </w:r>
      <w:r w:rsidR="00B06FF5">
        <w:t xml:space="preserve">, </w:t>
      </w:r>
      <w:r w:rsidR="003F6802">
        <w:t xml:space="preserve">receiving information </w:t>
      </w:r>
      <w:r w:rsidR="00B06FF5">
        <w:t>(via educational articles) and social support (via health coach</w:t>
      </w:r>
      <w:r w:rsidR="00F62D0B">
        <w:t>es</w:t>
      </w:r>
      <w:r w:rsidR="00B06FF5">
        <w:t xml:space="preserve"> and group forum</w:t>
      </w:r>
      <w:r w:rsidR="006D60DF">
        <w:t>s</w:t>
      </w:r>
      <w:r w:rsidR="00B06FF5">
        <w:t xml:space="preserve">), </w:t>
      </w:r>
      <w:r w:rsidR="001F3CEF">
        <w:t>to al</w:t>
      </w:r>
      <w:r w:rsidR="00B06FF5">
        <w:t>low patterns of usage of</w:t>
      </w:r>
      <w:r w:rsidR="001F3CEF">
        <w:t xml:space="preserve"> these key features to be </w:t>
      </w:r>
      <w:r w:rsidR="00610B16">
        <w:t xml:space="preserve">quantified </w:t>
      </w:r>
      <w:r w:rsidR="001F3CEF">
        <w:t xml:space="preserve">across the nine-month intervention. </w:t>
      </w:r>
      <w:r w:rsidR="008027A1">
        <w:t>Me</w:t>
      </w:r>
      <w:r w:rsidR="003F6802">
        <w:t xml:space="preserve">dian </w:t>
      </w:r>
      <w:r w:rsidR="008776E8">
        <w:t>usage was calculated within nine</w:t>
      </w:r>
      <w:r w:rsidR="008D33AC">
        <w:t xml:space="preserve"> 30-day</w:t>
      </w:r>
      <w:r w:rsidR="00C422B9">
        <w:t xml:space="preserve"> </w:t>
      </w:r>
      <w:r w:rsidR="003F6802">
        <w:t>engagement period</w:t>
      </w:r>
      <w:r w:rsidR="008776E8">
        <w:t>s</w:t>
      </w:r>
      <w:r w:rsidR="008027A1">
        <w:t xml:space="preserve"> </w:t>
      </w:r>
      <w:r w:rsidR="007866EF">
        <w:t>t</w:t>
      </w:r>
      <w:r w:rsidR="001F3CEF">
        <w:t xml:space="preserve">o </w:t>
      </w:r>
      <w:r w:rsidR="00F62D0B">
        <w:t>allow a longitudinal analysis of the dose of</w:t>
      </w:r>
      <w:r w:rsidR="008027A1">
        <w:t xml:space="preserve"> </w:t>
      </w:r>
      <w:r w:rsidR="001F3CEF">
        <w:t xml:space="preserve">usage for </w:t>
      </w:r>
      <w:r w:rsidR="008027A1">
        <w:t>each</w:t>
      </w:r>
      <w:r w:rsidR="007866EF">
        <w:t xml:space="preserve"> feature.</w:t>
      </w:r>
    </w:p>
    <w:p w14:paraId="3563C3EA" w14:textId="247EB677" w:rsidR="001F3CEF" w:rsidRPr="007866EF" w:rsidRDefault="00AC702E" w:rsidP="001F3CEF">
      <w:pPr>
        <w:spacing w:line="480" w:lineRule="auto"/>
        <w:rPr>
          <w:b/>
        </w:rPr>
      </w:pPr>
      <w:r w:rsidRPr="007866EF">
        <w:rPr>
          <w:b/>
        </w:rPr>
        <w:t>Results:</w:t>
      </w:r>
      <w:r w:rsidR="003176E8">
        <w:rPr>
          <w:b/>
        </w:rPr>
        <w:t xml:space="preserve"> </w:t>
      </w:r>
      <w:r w:rsidR="003176E8">
        <w:t>App usage declined from a median</w:t>
      </w:r>
      <w:r w:rsidR="00292D7A">
        <w:t xml:space="preserve"> of 32 minutes</w:t>
      </w:r>
      <w:r w:rsidR="009F4B30">
        <w:t xml:space="preserve"> (IQR 191)</w:t>
      </w:r>
      <w:r w:rsidR="00292D7A">
        <w:t xml:space="preserve"> </w:t>
      </w:r>
      <w:r w:rsidR="00D47A4D">
        <w:t>in month one</w:t>
      </w:r>
      <w:r w:rsidR="008776E8">
        <w:t xml:space="preserve"> to 0 minutes</w:t>
      </w:r>
      <w:r w:rsidR="009F4B30">
        <w:t xml:space="preserve"> (IQR 14)</w:t>
      </w:r>
      <w:r w:rsidR="003F6802">
        <w:t xml:space="preserve"> in month nine</w:t>
      </w:r>
      <w:r w:rsidR="003176E8">
        <w:t>.</w:t>
      </w:r>
      <w:r w:rsidR="00313D5F">
        <w:rPr>
          <w:b/>
        </w:rPr>
        <w:t xml:space="preserve"> </w:t>
      </w:r>
      <w:r w:rsidR="00851959">
        <w:t>Self-monitoring of behaviours</w:t>
      </w:r>
      <w:r w:rsidR="00600F1F">
        <w:t xml:space="preserve"> (</w:t>
      </w:r>
      <w:r w:rsidR="003B1AB2">
        <w:t>notably</w:t>
      </w:r>
      <w:r w:rsidR="00600F1F">
        <w:t xml:space="preserve"> </w:t>
      </w:r>
      <w:r w:rsidR="003B1AB2">
        <w:t>physical activity and</w:t>
      </w:r>
      <w:r w:rsidR="00600F1F">
        <w:t xml:space="preserve"> diet)</w:t>
      </w:r>
      <w:r w:rsidR="00851959">
        <w:t xml:space="preserve"> was used a median of 117 time</w:t>
      </w:r>
      <w:r w:rsidR="007E6B6C">
        <w:t>s</w:t>
      </w:r>
      <w:r w:rsidR="00AE650D">
        <w:t xml:space="preserve"> </w:t>
      </w:r>
      <w:r w:rsidR="00C16603">
        <w:t>(IQR</w:t>
      </w:r>
      <w:r w:rsidR="00AE650D">
        <w:t xml:space="preserve"> 451)</w:t>
      </w:r>
      <w:r w:rsidR="007E6B6C">
        <w:t xml:space="preserve"> over the nine-month programme. </w:t>
      </w:r>
      <w:r w:rsidR="003176E8">
        <w:t>The</w:t>
      </w:r>
      <w:r w:rsidR="002020A5">
        <w:t xml:space="preserve"> open</w:t>
      </w:r>
      <w:r w:rsidR="003176E8">
        <w:t xml:space="preserve"> group </w:t>
      </w:r>
      <w:r w:rsidR="002020A5">
        <w:t>discussion forums</w:t>
      </w:r>
      <w:r w:rsidR="003176E8">
        <w:t xml:space="preserve"> were utilised less regularly (accessed a median of 0 times</w:t>
      </w:r>
      <w:r w:rsidR="003B1AB2">
        <w:t xml:space="preserve"> at all time-points</w:t>
      </w:r>
      <w:r w:rsidR="00C616A2">
        <w:t xml:space="preserve">). </w:t>
      </w:r>
      <w:r w:rsidR="006D60DF">
        <w:t xml:space="preserve">Provision of </w:t>
      </w:r>
      <w:r w:rsidR="006D60DF">
        <w:rPr>
          <w:rFonts w:cstheme="minorHAnsi"/>
        </w:rPr>
        <w:t>h</w:t>
      </w:r>
      <w:r w:rsidR="0069311F">
        <w:rPr>
          <w:rFonts w:cstheme="minorHAnsi"/>
        </w:rPr>
        <w:t>ealth coach support linked to specific features (e.g. goal setting)</w:t>
      </w:r>
      <w:r w:rsidR="0069311F" w:rsidRPr="001C42DE">
        <w:rPr>
          <w:rFonts w:cstheme="minorHAnsi"/>
        </w:rPr>
        <w:t xml:space="preserve"> </w:t>
      </w:r>
      <w:r w:rsidR="006D60DF">
        <w:rPr>
          <w:rFonts w:cstheme="minorHAnsi"/>
        </w:rPr>
        <w:t>was associated with higher</w:t>
      </w:r>
      <w:r w:rsidR="0069311F" w:rsidRPr="001C42DE">
        <w:rPr>
          <w:rFonts w:cstheme="minorHAnsi"/>
        </w:rPr>
        <w:t xml:space="preserve"> engagement</w:t>
      </w:r>
      <w:r w:rsidR="0069311F">
        <w:rPr>
          <w:rFonts w:cstheme="minorHAnsi"/>
        </w:rPr>
        <w:t xml:space="preserve"> with that intervention feature</w:t>
      </w:r>
      <w:r w:rsidR="0069311F" w:rsidRPr="001C42DE">
        <w:rPr>
          <w:rFonts w:cstheme="minorHAnsi"/>
        </w:rPr>
        <w:t>.</w:t>
      </w:r>
    </w:p>
    <w:p w14:paraId="7DBF88DA" w14:textId="07B28600" w:rsidR="00F7516F" w:rsidRPr="007866EF" w:rsidRDefault="00AC702E" w:rsidP="00077327">
      <w:pPr>
        <w:spacing w:line="480" w:lineRule="auto"/>
        <w:rPr>
          <w:b/>
        </w:rPr>
      </w:pPr>
      <w:r w:rsidRPr="007866EF">
        <w:rPr>
          <w:b/>
        </w:rPr>
        <w:t>Conclusions:</w:t>
      </w:r>
      <w:r w:rsidR="00525BEB">
        <w:t xml:space="preserve"> </w:t>
      </w:r>
      <w:r w:rsidR="003B1AB2">
        <w:t>A</w:t>
      </w:r>
      <w:r w:rsidR="00A83711">
        <w:t xml:space="preserve">pp usage </w:t>
      </w:r>
      <w:r w:rsidR="00610B16">
        <w:t>decreased</w:t>
      </w:r>
      <w:r w:rsidR="00A83711">
        <w:t xml:space="preserve"> over the nine-month programme, although the magnitude of this decrease varied substantially</w:t>
      </w:r>
      <w:r w:rsidR="003F6802">
        <w:t xml:space="preserve"> between individuals and providers</w:t>
      </w:r>
      <w:r w:rsidR="00A83711">
        <w:t>.</w:t>
      </w:r>
      <w:r w:rsidR="0069311F">
        <w:t xml:space="preserve"> Health coach support may promote </w:t>
      </w:r>
      <w:r w:rsidR="0069311F">
        <w:lastRenderedPageBreak/>
        <w:t xml:space="preserve">engagement with specific </w:t>
      </w:r>
      <w:r w:rsidR="00C74BC9">
        <w:t>intervention</w:t>
      </w:r>
      <w:r w:rsidR="0069311F">
        <w:t xml:space="preserve"> features.</w:t>
      </w:r>
      <w:r w:rsidR="00A83711">
        <w:t xml:space="preserve"> </w:t>
      </w:r>
      <w:r w:rsidR="00600F1F">
        <w:t>Future research should assess whether engagement with particular features of digital diabetes prevention programmes</w:t>
      </w:r>
      <w:r w:rsidR="00D47A4D">
        <w:t xml:space="preserve"> is associated with patient </w:t>
      </w:r>
      <w:r w:rsidR="00600F1F">
        <w:t>outcomes such as reduced bodyweight</w:t>
      </w:r>
      <w:r w:rsidR="00610B16">
        <w:t xml:space="preserve"> and</w:t>
      </w:r>
      <w:r w:rsidR="003B1AB2">
        <w:t xml:space="preserve"> </w:t>
      </w:r>
      <w:r w:rsidR="00610B16">
        <w:t xml:space="preserve">reduced HbA1c levels. </w:t>
      </w:r>
    </w:p>
    <w:p w14:paraId="4EEC10ED" w14:textId="77777777" w:rsidR="00A83711" w:rsidRDefault="00A83711" w:rsidP="00743BF9">
      <w:pPr>
        <w:spacing w:line="480" w:lineRule="auto"/>
        <w:rPr>
          <w:b/>
        </w:rPr>
      </w:pPr>
    </w:p>
    <w:p w14:paraId="075E3385" w14:textId="43BAAB3C" w:rsidR="00AC702E" w:rsidRPr="007866EF" w:rsidRDefault="00AC702E" w:rsidP="00743BF9">
      <w:pPr>
        <w:spacing w:line="480" w:lineRule="auto"/>
        <w:rPr>
          <w:b/>
        </w:rPr>
      </w:pPr>
      <w:r w:rsidRPr="007866EF">
        <w:rPr>
          <w:b/>
        </w:rPr>
        <w:t xml:space="preserve">Keywords: </w:t>
      </w:r>
      <w:r w:rsidRPr="00D90A7B">
        <w:rPr>
          <w:rFonts w:cstheme="minorHAnsi"/>
        </w:rPr>
        <w:t>Diabetes prevention; Digital interventions</w:t>
      </w:r>
      <w:r w:rsidR="003F6802">
        <w:rPr>
          <w:rFonts w:cstheme="minorHAnsi"/>
        </w:rPr>
        <w:t xml:space="preserve">; </w:t>
      </w:r>
      <w:r>
        <w:rPr>
          <w:rFonts w:cstheme="minorHAnsi"/>
        </w:rPr>
        <w:t xml:space="preserve">User engagement; </w:t>
      </w:r>
      <w:r w:rsidRPr="00D90A7B">
        <w:rPr>
          <w:rFonts w:cstheme="minorHAnsi"/>
        </w:rPr>
        <w:t>Beha</w:t>
      </w:r>
      <w:r w:rsidR="00C82777">
        <w:rPr>
          <w:rFonts w:cstheme="minorHAnsi"/>
        </w:rPr>
        <w:t>vio</w:t>
      </w:r>
      <w:r w:rsidR="00C74BC9">
        <w:rPr>
          <w:rFonts w:cstheme="minorHAnsi"/>
        </w:rPr>
        <w:t>u</w:t>
      </w:r>
      <w:r w:rsidR="00C82777">
        <w:rPr>
          <w:rFonts w:cstheme="minorHAnsi"/>
        </w:rPr>
        <w:t>r change</w:t>
      </w:r>
    </w:p>
    <w:p w14:paraId="0F110E5A" w14:textId="57BEFAF2" w:rsidR="00163F16" w:rsidRDefault="00163F16" w:rsidP="00743BF9">
      <w:pPr>
        <w:spacing w:line="480" w:lineRule="auto"/>
        <w:rPr>
          <w:rFonts w:cstheme="minorHAnsi"/>
        </w:rPr>
      </w:pPr>
    </w:p>
    <w:p w14:paraId="54AE06AE" w14:textId="6CA55F68" w:rsidR="00163F16" w:rsidRDefault="00163F16" w:rsidP="00743BF9">
      <w:pPr>
        <w:spacing w:line="480" w:lineRule="auto"/>
        <w:rPr>
          <w:rFonts w:cstheme="minorHAnsi"/>
        </w:rPr>
      </w:pPr>
    </w:p>
    <w:p w14:paraId="1F49FDB6" w14:textId="7B9CF8C1" w:rsidR="007866EF" w:rsidRDefault="007866EF" w:rsidP="00743BF9">
      <w:pPr>
        <w:spacing w:line="480" w:lineRule="auto"/>
        <w:rPr>
          <w:rFonts w:cstheme="minorHAnsi"/>
        </w:rPr>
      </w:pPr>
    </w:p>
    <w:p w14:paraId="4FFFEE10" w14:textId="12B32FA5" w:rsidR="007866EF" w:rsidRDefault="007866EF" w:rsidP="00743BF9">
      <w:pPr>
        <w:spacing w:line="480" w:lineRule="auto"/>
        <w:rPr>
          <w:rFonts w:cstheme="minorHAnsi"/>
        </w:rPr>
      </w:pPr>
    </w:p>
    <w:p w14:paraId="7F377F84" w14:textId="7B99A954" w:rsidR="007866EF" w:rsidRDefault="007866EF" w:rsidP="00743BF9">
      <w:pPr>
        <w:spacing w:line="480" w:lineRule="auto"/>
        <w:rPr>
          <w:rFonts w:cstheme="minorHAnsi"/>
        </w:rPr>
      </w:pPr>
    </w:p>
    <w:p w14:paraId="5102035C" w14:textId="7F7C9E2C" w:rsidR="007866EF" w:rsidRDefault="007866EF" w:rsidP="00743BF9">
      <w:pPr>
        <w:spacing w:line="480" w:lineRule="auto"/>
        <w:rPr>
          <w:rFonts w:cstheme="minorHAnsi"/>
        </w:rPr>
      </w:pPr>
    </w:p>
    <w:p w14:paraId="6ACCEFE0" w14:textId="3B6EEC84" w:rsidR="007866EF" w:rsidRDefault="007866EF" w:rsidP="00743BF9">
      <w:pPr>
        <w:spacing w:line="480" w:lineRule="auto"/>
        <w:rPr>
          <w:rFonts w:cstheme="minorHAnsi"/>
        </w:rPr>
      </w:pPr>
    </w:p>
    <w:p w14:paraId="297454CD" w14:textId="7C48EB0D" w:rsidR="007866EF" w:rsidRDefault="007866EF" w:rsidP="00743BF9">
      <w:pPr>
        <w:spacing w:line="480" w:lineRule="auto"/>
        <w:rPr>
          <w:rFonts w:cstheme="minorHAnsi"/>
        </w:rPr>
      </w:pPr>
    </w:p>
    <w:p w14:paraId="146E5EBE" w14:textId="0212E8E1" w:rsidR="007866EF" w:rsidRDefault="007866EF" w:rsidP="00743BF9">
      <w:pPr>
        <w:spacing w:line="480" w:lineRule="auto"/>
        <w:rPr>
          <w:rFonts w:cstheme="minorHAnsi"/>
        </w:rPr>
      </w:pPr>
    </w:p>
    <w:p w14:paraId="2A7CA86D" w14:textId="77777777" w:rsidR="007E6B6C" w:rsidRDefault="007E6B6C" w:rsidP="00743BF9">
      <w:pPr>
        <w:spacing w:line="480" w:lineRule="auto"/>
        <w:rPr>
          <w:rFonts w:cstheme="minorHAnsi"/>
        </w:rPr>
      </w:pPr>
    </w:p>
    <w:p w14:paraId="6B814AE7" w14:textId="5A237FBF" w:rsidR="00CF7821" w:rsidRDefault="00CF7821" w:rsidP="00743BF9">
      <w:pPr>
        <w:spacing w:line="480" w:lineRule="auto"/>
        <w:rPr>
          <w:rFonts w:cstheme="minorHAnsi"/>
        </w:rPr>
      </w:pPr>
    </w:p>
    <w:p w14:paraId="5833CA60" w14:textId="77777777" w:rsidR="00A77786" w:rsidRDefault="00A77786" w:rsidP="00743BF9">
      <w:pPr>
        <w:spacing w:line="480" w:lineRule="auto"/>
        <w:rPr>
          <w:rFonts w:cstheme="minorHAnsi"/>
        </w:rPr>
      </w:pPr>
    </w:p>
    <w:p w14:paraId="2E9336F9" w14:textId="77777777" w:rsidR="00CF7821" w:rsidRDefault="00CF7821" w:rsidP="00743BF9">
      <w:pPr>
        <w:spacing w:line="480" w:lineRule="auto"/>
        <w:rPr>
          <w:rFonts w:cstheme="minorHAnsi"/>
        </w:rPr>
      </w:pPr>
    </w:p>
    <w:p w14:paraId="3E1A3281" w14:textId="35E44EF5" w:rsidR="00F62D0B" w:rsidRDefault="00F62D0B" w:rsidP="007866EF">
      <w:pPr>
        <w:spacing w:line="480" w:lineRule="auto"/>
        <w:jc w:val="center"/>
        <w:rPr>
          <w:b/>
        </w:rPr>
      </w:pPr>
    </w:p>
    <w:p w14:paraId="6D5C268B" w14:textId="23F78E9A" w:rsidR="00F62D0B" w:rsidRDefault="00F62D0B" w:rsidP="007866EF">
      <w:pPr>
        <w:spacing w:line="480" w:lineRule="auto"/>
        <w:jc w:val="center"/>
        <w:rPr>
          <w:b/>
        </w:rPr>
      </w:pPr>
    </w:p>
    <w:p w14:paraId="6B266CB4" w14:textId="77777777" w:rsidR="00A83711" w:rsidRDefault="00A83711" w:rsidP="007866EF">
      <w:pPr>
        <w:spacing w:line="480" w:lineRule="auto"/>
        <w:jc w:val="center"/>
        <w:rPr>
          <w:b/>
        </w:rPr>
      </w:pPr>
    </w:p>
    <w:p w14:paraId="7CD9A3E5" w14:textId="21D3C280" w:rsidR="00090552" w:rsidRPr="007866EF" w:rsidRDefault="00B504E8" w:rsidP="00536FB1">
      <w:pPr>
        <w:spacing w:after="0" w:line="480" w:lineRule="auto"/>
        <w:jc w:val="center"/>
        <w:rPr>
          <w:b/>
        </w:rPr>
      </w:pPr>
      <w:r>
        <w:rPr>
          <w:b/>
        </w:rPr>
        <w:lastRenderedPageBreak/>
        <w:t>1.</w:t>
      </w:r>
      <w:r w:rsidR="003528FC">
        <w:rPr>
          <w:b/>
        </w:rPr>
        <w:t xml:space="preserve"> </w:t>
      </w:r>
      <w:r w:rsidR="00090552" w:rsidRPr="007866EF">
        <w:rPr>
          <w:b/>
        </w:rPr>
        <w:t>Introduction</w:t>
      </w:r>
    </w:p>
    <w:p w14:paraId="6A2886C8" w14:textId="6913D31A" w:rsidR="00F61CCE" w:rsidRDefault="00F61CCE" w:rsidP="00F61CCE">
      <w:pPr>
        <w:spacing w:line="480" w:lineRule="auto"/>
        <w:ind w:firstLine="360"/>
        <w:rPr>
          <w:u w:val="single"/>
        </w:rPr>
      </w:pPr>
      <w:r>
        <w:t>Type</w:t>
      </w:r>
      <w:r w:rsidR="00090552">
        <w:t xml:space="preserve"> 2 diabetes</w:t>
      </w:r>
      <w:r w:rsidR="009431C5">
        <w:t xml:space="preserve"> mellitus</w:t>
      </w:r>
      <w:r w:rsidR="00090552">
        <w:t xml:space="preserve"> (T2DM) is an international public health issue; global </w:t>
      </w:r>
      <w:r w:rsidR="003B1AB2">
        <w:t>prevalence</w:t>
      </w:r>
      <w:r w:rsidR="00090552">
        <w:t xml:space="preserve"> in</w:t>
      </w:r>
      <w:r w:rsidR="00344B40">
        <w:t xml:space="preserve">creased to 422 million in 2014 [1], </w:t>
      </w:r>
      <w:r w:rsidR="00090552">
        <w:t>and 13.6 million people in the Un</w:t>
      </w:r>
      <w:r w:rsidR="00F62D0B">
        <w:t xml:space="preserve">ited Kingdom (UK) are currently at </w:t>
      </w:r>
      <w:r w:rsidR="00090552">
        <w:t xml:space="preserve">increased risk of developing T2DM </w:t>
      </w:r>
      <w:r w:rsidR="00344B40">
        <w:t>[2]</w:t>
      </w:r>
      <w:r w:rsidR="00090552">
        <w:t>. However, diabetes prevention trials have shown that progression to T2DM</w:t>
      </w:r>
      <w:r w:rsidR="001337D1">
        <w:t xml:space="preserve"> in peop</w:t>
      </w:r>
      <w:r w:rsidR="006F4536">
        <w:t>le at high</w:t>
      </w:r>
      <w:r w:rsidR="001337D1">
        <w:t xml:space="preserve"> risk</w:t>
      </w:r>
      <w:r w:rsidR="00090552">
        <w:t xml:space="preserve"> could be slowed or prevented by </w:t>
      </w:r>
      <w:r w:rsidR="00A77786">
        <w:t xml:space="preserve">weight loss </w:t>
      </w:r>
      <w:r w:rsidR="001337D1">
        <w:t xml:space="preserve">via </w:t>
      </w:r>
      <w:r w:rsidR="00A77786">
        <w:t xml:space="preserve">changes in behaviours, notably </w:t>
      </w:r>
      <w:r w:rsidR="00090552">
        <w:t>increased physical activity</w:t>
      </w:r>
      <w:r w:rsidR="00A77786">
        <w:t xml:space="preserve"> and</w:t>
      </w:r>
      <w:r w:rsidR="00090552">
        <w:t xml:space="preserve"> im</w:t>
      </w:r>
      <w:r w:rsidR="00A77786">
        <w:t>proved nutrition</w:t>
      </w:r>
      <w:r w:rsidR="00090552">
        <w:t xml:space="preserve"> (</w:t>
      </w:r>
      <w:r w:rsidR="00090552" w:rsidRPr="00DC2AD8">
        <w:t xml:space="preserve">e.g. </w:t>
      </w:r>
      <w:r w:rsidR="00344B40">
        <w:t>[1-7]).</w:t>
      </w:r>
      <w:r w:rsidR="00090552">
        <w:t xml:space="preserve"> </w:t>
      </w:r>
    </w:p>
    <w:p w14:paraId="05148484" w14:textId="675D88A7" w:rsidR="00F61CCE" w:rsidRDefault="00090552" w:rsidP="00F61CCE">
      <w:pPr>
        <w:spacing w:line="480" w:lineRule="auto"/>
        <w:ind w:firstLine="360"/>
        <w:rPr>
          <w:u w:val="single"/>
        </w:rPr>
      </w:pPr>
      <w:r>
        <w:t>Following this international evidence, the National Health Service (NHS) in England launched the NHS Diabetes Prevention Programme (NHS-DPP) in 2016; a nine-month</w:t>
      </w:r>
      <w:r w:rsidR="001337D1">
        <w:t xml:space="preserve"> face-to-face</w:t>
      </w:r>
      <w:r>
        <w:t xml:space="preserve"> behavioural intervention for adults in England identified as being at increased risk of developing T2DM</w:t>
      </w:r>
      <w:r w:rsidR="00A77786">
        <w:t xml:space="preserve"> </w:t>
      </w:r>
      <w:r w:rsidR="00344B40">
        <w:t>[8]</w:t>
      </w:r>
      <w:r>
        <w:t xml:space="preserve">. Initial results have </w:t>
      </w:r>
      <w:r w:rsidR="000D3C2D">
        <w:t xml:space="preserve">been promising; </w:t>
      </w:r>
      <w:r>
        <w:t xml:space="preserve">the NHS-DPP has </w:t>
      </w:r>
      <w:r w:rsidR="00D47A4D">
        <w:t>been shown</w:t>
      </w:r>
      <w:r w:rsidR="00F62D0B">
        <w:t xml:space="preserve"> to help</w:t>
      </w:r>
      <w:r>
        <w:t xml:space="preserve"> people at risk to achieve weight loss</w:t>
      </w:r>
      <w:r w:rsidR="00344B40">
        <w:t xml:space="preserve"> [9, 10]</w:t>
      </w:r>
      <w:r w:rsidR="004C1D4A">
        <w:rPr>
          <w:rFonts w:cstheme="minorHAnsi"/>
          <w:shd w:val="clear" w:color="auto" w:fill="FFFFFF"/>
        </w:rPr>
        <w:t xml:space="preserve"> and has reduced population inciden</w:t>
      </w:r>
      <w:r w:rsidR="00344B40">
        <w:rPr>
          <w:rFonts w:cstheme="minorHAnsi"/>
          <w:shd w:val="clear" w:color="auto" w:fill="FFFFFF"/>
        </w:rPr>
        <w:t>ce of T2DM [11].</w:t>
      </w:r>
      <w:r>
        <w:rPr>
          <w:rFonts w:cstheme="minorHAnsi"/>
          <w:shd w:val="clear" w:color="auto" w:fill="FFFFFF"/>
        </w:rPr>
        <w:t xml:space="preserve"> </w:t>
      </w:r>
      <w:r w:rsidR="005E3AC1">
        <w:rPr>
          <w:rFonts w:cstheme="minorHAnsi"/>
          <w:shd w:val="clear" w:color="auto" w:fill="FFFFFF"/>
        </w:rPr>
        <w:t xml:space="preserve">However, </w:t>
      </w:r>
      <w:r w:rsidR="00E72EC9">
        <w:rPr>
          <w:rFonts w:cstheme="minorHAnsi"/>
          <w:shd w:val="clear" w:color="auto" w:fill="FFFFFF"/>
        </w:rPr>
        <w:t>targets for</w:t>
      </w:r>
      <w:r w:rsidR="00D47A4D">
        <w:rPr>
          <w:rFonts w:cstheme="minorHAnsi"/>
          <w:shd w:val="clear" w:color="auto" w:fill="FFFFFF"/>
        </w:rPr>
        <w:t xml:space="preserve"> programme</w:t>
      </w:r>
      <w:r w:rsidR="00E72EC9">
        <w:rPr>
          <w:rFonts w:cstheme="minorHAnsi"/>
          <w:shd w:val="clear" w:color="auto" w:fill="FFFFFF"/>
        </w:rPr>
        <w:t xml:space="preserve"> improvement have been identified which digital technologies could address</w:t>
      </w:r>
      <w:r w:rsidR="005E3AC1">
        <w:rPr>
          <w:rFonts w:cstheme="minorHAnsi"/>
          <w:shd w:val="clear" w:color="auto" w:fill="FFFFFF"/>
        </w:rPr>
        <w:t xml:space="preserve">, such as </w:t>
      </w:r>
      <w:r w:rsidR="00E72EC9">
        <w:rPr>
          <w:rFonts w:cstheme="minorHAnsi"/>
          <w:shd w:val="clear" w:color="auto" w:fill="FFFFFF"/>
        </w:rPr>
        <w:t>increasing</w:t>
      </w:r>
      <w:r w:rsidR="005E3AC1">
        <w:rPr>
          <w:rFonts w:cstheme="minorHAnsi"/>
          <w:shd w:val="clear" w:color="auto" w:fill="FFFFFF"/>
        </w:rPr>
        <w:t xml:space="preserve"> access and engagement for younger adults</w:t>
      </w:r>
      <w:r w:rsidR="000A5A26">
        <w:rPr>
          <w:rFonts w:cstheme="minorHAnsi"/>
          <w:shd w:val="clear" w:color="auto" w:fill="FFFFFF"/>
        </w:rPr>
        <w:t xml:space="preserve"> and</w:t>
      </w:r>
      <w:r w:rsidR="005E3AC1">
        <w:rPr>
          <w:rFonts w:cstheme="minorHAnsi"/>
          <w:shd w:val="clear" w:color="auto" w:fill="FFFFFF"/>
        </w:rPr>
        <w:t xml:space="preserve"> </w:t>
      </w:r>
      <w:r w:rsidR="005E3AC1">
        <w:t>those in employment</w:t>
      </w:r>
      <w:r w:rsidR="000A5A26">
        <w:t xml:space="preserve"> </w:t>
      </w:r>
      <w:r w:rsidR="00344B40">
        <w:rPr>
          <w:rFonts w:cstheme="minorHAnsi"/>
          <w:shd w:val="clear" w:color="auto" w:fill="FFFFFF"/>
        </w:rPr>
        <w:t>[12].</w:t>
      </w:r>
    </w:p>
    <w:p w14:paraId="06915AAA" w14:textId="475258A3" w:rsidR="00496C52" w:rsidRDefault="00090552" w:rsidP="00183E3B">
      <w:pPr>
        <w:spacing w:line="480" w:lineRule="auto"/>
        <w:ind w:firstLine="360"/>
        <w:rPr>
          <w:rFonts w:cstheme="minorHAnsi"/>
          <w:shd w:val="clear" w:color="auto" w:fill="FFFFFF"/>
        </w:rPr>
      </w:pPr>
      <w:r>
        <w:rPr>
          <w:rFonts w:cstheme="minorHAnsi"/>
          <w:shd w:val="clear" w:color="auto" w:fill="FFFFFF"/>
        </w:rPr>
        <w:t xml:space="preserve">Digital interventions are </w:t>
      </w:r>
      <w:r w:rsidR="001337D1">
        <w:rPr>
          <w:rFonts w:cstheme="minorHAnsi"/>
          <w:shd w:val="clear" w:color="auto" w:fill="FFFFFF"/>
        </w:rPr>
        <w:t>attractive</w:t>
      </w:r>
      <w:r>
        <w:rPr>
          <w:rFonts w:cstheme="minorHAnsi"/>
          <w:shd w:val="clear" w:color="auto" w:fill="FFFFFF"/>
        </w:rPr>
        <w:t xml:space="preserve"> as they</w:t>
      </w:r>
      <w:r w:rsidR="00D47A4D">
        <w:rPr>
          <w:rFonts w:cstheme="minorHAnsi"/>
          <w:shd w:val="clear" w:color="auto" w:fill="FFFFFF"/>
        </w:rPr>
        <w:t xml:space="preserve"> have the potential to be</w:t>
      </w:r>
      <w:r>
        <w:rPr>
          <w:rFonts w:cstheme="minorHAnsi"/>
          <w:shd w:val="clear" w:color="auto" w:fill="FFFFFF"/>
        </w:rPr>
        <w:t xml:space="preserve"> roll</w:t>
      </w:r>
      <w:r w:rsidR="001337D1">
        <w:rPr>
          <w:rFonts w:cstheme="minorHAnsi"/>
          <w:shd w:val="clear" w:color="auto" w:fill="FFFFFF"/>
        </w:rPr>
        <w:t>ed</w:t>
      </w:r>
      <w:r w:rsidR="009431C5">
        <w:rPr>
          <w:rFonts w:cstheme="minorHAnsi"/>
          <w:shd w:val="clear" w:color="auto" w:fill="FFFFFF"/>
        </w:rPr>
        <w:t xml:space="preserve"> </w:t>
      </w:r>
      <w:r>
        <w:rPr>
          <w:rFonts w:cstheme="minorHAnsi"/>
          <w:shd w:val="clear" w:color="auto" w:fill="FFFFFF"/>
        </w:rPr>
        <w:t>out at sca</w:t>
      </w:r>
      <w:r w:rsidR="005E3AC1">
        <w:rPr>
          <w:rFonts w:cstheme="minorHAnsi"/>
          <w:shd w:val="clear" w:color="auto" w:fill="FFFFFF"/>
        </w:rPr>
        <w:t>le</w:t>
      </w:r>
      <w:r w:rsidR="00180922">
        <w:rPr>
          <w:rFonts w:cstheme="minorHAnsi"/>
          <w:shd w:val="clear" w:color="auto" w:fill="FFFFFF"/>
        </w:rPr>
        <w:t xml:space="preserve"> </w:t>
      </w:r>
      <w:r>
        <w:rPr>
          <w:rFonts w:cstheme="minorHAnsi"/>
          <w:shd w:val="clear" w:color="auto" w:fill="FFFFFF"/>
        </w:rPr>
        <w:t xml:space="preserve">compared to programmes delivered in community settings </w:t>
      </w:r>
      <w:r w:rsidR="0025067F">
        <w:rPr>
          <w:rFonts w:cstheme="minorHAnsi"/>
          <w:shd w:val="clear" w:color="auto" w:fill="FFFFFF"/>
        </w:rPr>
        <w:t>[13].</w:t>
      </w:r>
      <w:r w:rsidR="00CF7821">
        <w:rPr>
          <w:rFonts w:cstheme="minorHAnsi"/>
          <w:shd w:val="clear" w:color="auto" w:fill="FFFFFF"/>
        </w:rPr>
        <w:t xml:space="preserve"> </w:t>
      </w:r>
      <w:r w:rsidR="001314D6">
        <w:rPr>
          <w:rFonts w:cstheme="minorHAnsi"/>
          <w:shd w:val="clear" w:color="auto" w:fill="FFFFFF"/>
        </w:rPr>
        <w:t>In line with</w:t>
      </w:r>
      <w:r>
        <w:rPr>
          <w:rFonts w:cstheme="minorHAnsi"/>
          <w:shd w:val="clear" w:color="auto" w:fill="FFFFFF"/>
        </w:rPr>
        <w:t xml:space="preserve"> this, NHS England launched a pilot of the Digital Diabetes Prevention Programme (NHS-DDPP)</w:t>
      </w:r>
      <w:r w:rsidR="0025067F">
        <w:rPr>
          <w:rFonts w:cstheme="minorHAnsi"/>
          <w:shd w:val="clear" w:color="auto" w:fill="FFFFFF"/>
        </w:rPr>
        <w:t xml:space="preserve"> [14]. </w:t>
      </w:r>
      <w:r w:rsidR="00B21530">
        <w:rPr>
          <w:rFonts w:cstheme="minorHAnsi"/>
          <w:shd w:val="clear" w:color="auto" w:fill="FFFFFF"/>
        </w:rPr>
        <w:t>Initial results on the outcomes of the NHS-DDPP pilot have shown clinically significant reductions in weight and</w:t>
      </w:r>
      <w:r w:rsidR="004F17BB">
        <w:rPr>
          <w:rFonts w:cstheme="minorHAnsi"/>
          <w:shd w:val="clear" w:color="auto" w:fill="FFFFFF"/>
        </w:rPr>
        <w:t xml:space="preserve"> blood glucose levels</w:t>
      </w:r>
      <w:r w:rsidR="000A5A26">
        <w:rPr>
          <w:rFonts w:cstheme="minorHAnsi"/>
          <w:shd w:val="clear" w:color="auto" w:fill="FFFFFF"/>
        </w:rPr>
        <w:t xml:space="preserve"> </w:t>
      </w:r>
      <w:r w:rsidR="004F17BB">
        <w:rPr>
          <w:rFonts w:cstheme="minorHAnsi"/>
          <w:shd w:val="clear" w:color="auto" w:fill="FFFFFF"/>
        </w:rPr>
        <w:t>(</w:t>
      </w:r>
      <w:r w:rsidR="000A5A26">
        <w:rPr>
          <w:rFonts w:cstheme="minorHAnsi"/>
          <w:shd w:val="clear" w:color="auto" w:fill="FFFFFF"/>
        </w:rPr>
        <w:t>haemoglobin A1c</w:t>
      </w:r>
      <w:r w:rsidR="00B21530">
        <w:rPr>
          <w:rFonts w:cstheme="minorHAnsi"/>
          <w:shd w:val="clear" w:color="auto" w:fill="FFFFFF"/>
        </w:rPr>
        <w:t xml:space="preserve"> </w:t>
      </w:r>
      <w:r w:rsidR="004F17BB">
        <w:rPr>
          <w:rFonts w:cstheme="minorHAnsi"/>
          <w:shd w:val="clear" w:color="auto" w:fill="FFFFFF"/>
        </w:rPr>
        <w:t>[</w:t>
      </w:r>
      <w:r w:rsidR="00B21530">
        <w:rPr>
          <w:rFonts w:cstheme="minorHAnsi"/>
          <w:shd w:val="clear" w:color="auto" w:fill="FFFFFF"/>
        </w:rPr>
        <w:t>HbA1c</w:t>
      </w:r>
      <w:r w:rsidR="004F17BB">
        <w:rPr>
          <w:rFonts w:cstheme="minorHAnsi"/>
          <w:shd w:val="clear" w:color="auto" w:fill="FFFFFF"/>
        </w:rPr>
        <w:t>]), thus demonstrating a reduction in T2DM risk in those who took part in the digital pilot programme</w:t>
      </w:r>
      <w:r w:rsidR="00B21530">
        <w:rPr>
          <w:rFonts w:cstheme="minorHAnsi"/>
          <w:shd w:val="clear" w:color="auto" w:fill="FFFFFF"/>
        </w:rPr>
        <w:t xml:space="preserve"> </w:t>
      </w:r>
      <w:r w:rsidR="0025067F">
        <w:rPr>
          <w:rFonts w:cstheme="minorHAnsi"/>
          <w:shd w:val="clear" w:color="auto" w:fill="FFFFFF"/>
        </w:rPr>
        <w:t>[15]</w:t>
      </w:r>
      <w:r w:rsidR="00B21530">
        <w:rPr>
          <w:rFonts w:cstheme="minorHAnsi"/>
          <w:shd w:val="clear" w:color="auto" w:fill="FFFFFF"/>
        </w:rPr>
        <w:t>.</w:t>
      </w:r>
      <w:r w:rsidR="001778E4">
        <w:rPr>
          <w:rFonts w:cstheme="minorHAnsi"/>
          <w:shd w:val="clear" w:color="auto" w:fill="FFFFFF"/>
        </w:rPr>
        <w:t xml:space="preserve"> More recently, the digital pilot programme was shown to be as effective as the face-to-face programme in preventing T2DM [16].</w:t>
      </w:r>
      <w:r w:rsidR="00B21530">
        <w:rPr>
          <w:rFonts w:cstheme="minorHAnsi"/>
          <w:shd w:val="clear" w:color="auto" w:fill="FFFFFF"/>
        </w:rPr>
        <w:t xml:space="preserve"> </w:t>
      </w:r>
      <w:r>
        <w:rPr>
          <w:rFonts w:cstheme="minorHAnsi"/>
          <w:shd w:val="clear" w:color="auto" w:fill="FFFFFF"/>
        </w:rPr>
        <w:t>Subsequently, a digital pathway was introduced to the progr</w:t>
      </w:r>
      <w:r w:rsidR="00200666">
        <w:rPr>
          <w:rFonts w:cstheme="minorHAnsi"/>
          <w:shd w:val="clear" w:color="auto" w:fill="FFFFFF"/>
        </w:rPr>
        <w:t>amme in 2019 [17</w:t>
      </w:r>
      <w:r w:rsidR="0025067F">
        <w:rPr>
          <w:rFonts w:cstheme="minorHAnsi"/>
          <w:shd w:val="clear" w:color="auto" w:fill="FFFFFF"/>
        </w:rPr>
        <w:t>]</w:t>
      </w:r>
      <w:r>
        <w:rPr>
          <w:rFonts w:cstheme="minorHAnsi"/>
          <w:shd w:val="clear" w:color="auto" w:fill="FFFFFF"/>
        </w:rPr>
        <w:t>, with four independent providers commissioned to deliver the</w:t>
      </w:r>
      <w:r w:rsidR="00A92FE5">
        <w:rPr>
          <w:rFonts w:cstheme="minorHAnsi"/>
          <w:shd w:val="clear" w:color="auto" w:fill="FFFFFF"/>
        </w:rPr>
        <w:t xml:space="preserve"> digital</w:t>
      </w:r>
      <w:r>
        <w:rPr>
          <w:rFonts w:cstheme="minorHAnsi"/>
          <w:shd w:val="clear" w:color="auto" w:fill="FFFFFF"/>
        </w:rPr>
        <w:t xml:space="preserve"> servic</w:t>
      </w:r>
      <w:r w:rsidR="00617EFD">
        <w:rPr>
          <w:rFonts w:cstheme="minorHAnsi"/>
          <w:shd w:val="clear" w:color="auto" w:fill="FFFFFF"/>
        </w:rPr>
        <w:t>e in localities across England.</w:t>
      </w:r>
      <w:r w:rsidR="00617EFD" w:rsidRPr="00617EFD">
        <w:rPr>
          <w:rFonts w:cstheme="minorHAnsi"/>
          <w:sz w:val="24"/>
          <w:szCs w:val="24"/>
        </w:rPr>
        <w:t xml:space="preserve"> </w:t>
      </w:r>
      <w:r w:rsidR="00445833">
        <w:rPr>
          <w:rFonts w:cstheme="minorHAnsi"/>
          <w:shd w:val="clear" w:color="auto" w:fill="FFFFFF"/>
        </w:rPr>
        <w:t>T</w:t>
      </w:r>
      <w:r>
        <w:rPr>
          <w:rFonts w:cstheme="minorHAnsi"/>
          <w:shd w:val="clear" w:color="auto" w:fill="FFFFFF"/>
        </w:rPr>
        <w:t>he four NHS-DDPP providers designed</w:t>
      </w:r>
      <w:r w:rsidR="000F1E8D">
        <w:rPr>
          <w:rFonts w:cstheme="minorHAnsi"/>
          <w:shd w:val="clear" w:color="auto" w:fill="FFFFFF"/>
        </w:rPr>
        <w:t xml:space="preserve"> their own versions of</w:t>
      </w:r>
      <w:r>
        <w:rPr>
          <w:rFonts w:cstheme="minorHAnsi"/>
          <w:shd w:val="clear" w:color="auto" w:fill="FFFFFF"/>
        </w:rPr>
        <w:t xml:space="preserve"> the</w:t>
      </w:r>
      <w:r w:rsidR="000733EE">
        <w:rPr>
          <w:rFonts w:cstheme="minorHAnsi"/>
          <w:shd w:val="clear" w:color="auto" w:fill="FFFFFF"/>
        </w:rPr>
        <w:t xml:space="preserve"> digital</w:t>
      </w:r>
      <w:r w:rsidR="00A92FE5">
        <w:rPr>
          <w:rFonts w:cstheme="minorHAnsi"/>
          <w:shd w:val="clear" w:color="auto" w:fill="FFFFFF"/>
        </w:rPr>
        <w:t xml:space="preserve"> </w:t>
      </w:r>
      <w:r w:rsidR="00E62626">
        <w:rPr>
          <w:rFonts w:cstheme="minorHAnsi"/>
          <w:shd w:val="clear" w:color="auto" w:fill="FFFFFF"/>
        </w:rPr>
        <w:t>intervention</w:t>
      </w:r>
      <w:r w:rsidR="00A92FE5">
        <w:rPr>
          <w:rFonts w:cstheme="minorHAnsi"/>
          <w:shd w:val="clear" w:color="auto" w:fill="FFFFFF"/>
        </w:rPr>
        <w:t xml:space="preserve"> </w:t>
      </w:r>
      <w:r>
        <w:rPr>
          <w:rFonts w:cstheme="minorHAnsi"/>
          <w:shd w:val="clear" w:color="auto" w:fill="FFFFFF"/>
        </w:rPr>
        <w:t xml:space="preserve">in line with </w:t>
      </w:r>
      <w:r w:rsidR="005E3AC1">
        <w:rPr>
          <w:rFonts w:cstheme="minorHAnsi"/>
          <w:shd w:val="clear" w:color="auto" w:fill="FFFFFF"/>
        </w:rPr>
        <w:t>evidence reviews</w:t>
      </w:r>
      <w:r w:rsidR="00A92FE5">
        <w:rPr>
          <w:rFonts w:cstheme="minorHAnsi"/>
          <w:shd w:val="clear" w:color="auto" w:fill="FFFFFF"/>
        </w:rPr>
        <w:t xml:space="preserve"> </w:t>
      </w:r>
      <w:r w:rsidR="00200666">
        <w:rPr>
          <w:rFonts w:cstheme="minorHAnsi"/>
          <w:shd w:val="clear" w:color="auto" w:fill="FFFFFF"/>
        </w:rPr>
        <w:t>[18</w:t>
      </w:r>
      <w:r w:rsidR="0025067F">
        <w:rPr>
          <w:rFonts w:cstheme="minorHAnsi"/>
          <w:shd w:val="clear" w:color="auto" w:fill="FFFFFF"/>
        </w:rPr>
        <w:t>]</w:t>
      </w:r>
      <w:r w:rsidR="00A92FE5">
        <w:rPr>
          <w:rFonts w:cstheme="minorHAnsi"/>
          <w:shd w:val="clear" w:color="auto" w:fill="FFFFFF"/>
        </w:rPr>
        <w:t xml:space="preserve">, </w:t>
      </w:r>
      <w:r w:rsidR="00E62626">
        <w:rPr>
          <w:rFonts w:cstheme="minorHAnsi"/>
          <w:shd w:val="clear" w:color="auto" w:fill="FFFFFF"/>
        </w:rPr>
        <w:t>which</w:t>
      </w:r>
      <w:r>
        <w:rPr>
          <w:rFonts w:cstheme="minorHAnsi"/>
          <w:shd w:val="clear" w:color="auto" w:fill="FFFFFF"/>
        </w:rPr>
        <w:t xml:space="preserve"> was offered via </w:t>
      </w:r>
      <w:r w:rsidR="00A92FE5">
        <w:rPr>
          <w:rFonts w:cstheme="minorHAnsi"/>
          <w:shd w:val="clear" w:color="auto" w:fill="FFFFFF"/>
        </w:rPr>
        <w:t xml:space="preserve">modalities including </w:t>
      </w:r>
      <w:r>
        <w:rPr>
          <w:rFonts w:cstheme="minorHAnsi"/>
          <w:shd w:val="clear" w:color="auto" w:fill="FFFFFF"/>
        </w:rPr>
        <w:t xml:space="preserve">apps, educational </w:t>
      </w:r>
      <w:r w:rsidR="00E7796A">
        <w:rPr>
          <w:rFonts w:cstheme="minorHAnsi"/>
          <w:shd w:val="clear" w:color="auto" w:fill="FFFFFF"/>
        </w:rPr>
        <w:t>platforms</w:t>
      </w:r>
      <w:r>
        <w:rPr>
          <w:rFonts w:cstheme="minorHAnsi"/>
          <w:shd w:val="clear" w:color="auto" w:fill="FFFFFF"/>
        </w:rPr>
        <w:t xml:space="preserve"> and health coach </w:t>
      </w:r>
      <w:r w:rsidR="00E62626">
        <w:rPr>
          <w:rFonts w:cstheme="minorHAnsi"/>
          <w:shd w:val="clear" w:color="auto" w:fill="FFFFFF"/>
        </w:rPr>
        <w:t xml:space="preserve">support </w:t>
      </w:r>
      <w:r w:rsidR="00C51C1D">
        <w:rPr>
          <w:rFonts w:cstheme="minorHAnsi"/>
          <w:shd w:val="clear" w:color="auto" w:fill="FFFFFF"/>
        </w:rPr>
        <w:t>to help people make changes to the</w:t>
      </w:r>
      <w:r w:rsidR="0025067F">
        <w:rPr>
          <w:rFonts w:cstheme="minorHAnsi"/>
          <w:shd w:val="clear" w:color="auto" w:fill="FFFFFF"/>
        </w:rPr>
        <w:t xml:space="preserve">ir </w:t>
      </w:r>
      <w:r w:rsidR="00200666">
        <w:rPr>
          <w:rFonts w:cstheme="minorHAnsi"/>
          <w:shd w:val="clear" w:color="auto" w:fill="FFFFFF"/>
        </w:rPr>
        <w:t>diet and activity behaviours [19</w:t>
      </w:r>
      <w:r w:rsidR="00730A43">
        <w:rPr>
          <w:rFonts w:cstheme="minorHAnsi"/>
          <w:shd w:val="clear" w:color="auto" w:fill="FFFFFF"/>
        </w:rPr>
        <w:t xml:space="preserve">, </w:t>
      </w:r>
      <w:r w:rsidR="00200666">
        <w:rPr>
          <w:rFonts w:cstheme="minorHAnsi"/>
          <w:shd w:val="clear" w:color="auto" w:fill="FFFFFF"/>
        </w:rPr>
        <w:t>20</w:t>
      </w:r>
      <w:r w:rsidR="0025067F">
        <w:rPr>
          <w:rFonts w:cstheme="minorHAnsi"/>
          <w:shd w:val="clear" w:color="auto" w:fill="FFFFFF"/>
        </w:rPr>
        <w:t xml:space="preserve">]. </w:t>
      </w:r>
    </w:p>
    <w:p w14:paraId="2C21FA5C" w14:textId="7FA340A1" w:rsidR="008C42A9" w:rsidRDefault="005E3AC1" w:rsidP="00183E3B">
      <w:pPr>
        <w:spacing w:line="480" w:lineRule="auto"/>
        <w:ind w:firstLine="360"/>
        <w:rPr>
          <w:rFonts w:cstheme="minorHAnsi"/>
          <w:shd w:val="clear" w:color="auto" w:fill="FFFFFF"/>
        </w:rPr>
      </w:pPr>
      <w:r>
        <w:rPr>
          <w:rFonts w:cstheme="minorHAnsi"/>
          <w:shd w:val="clear" w:color="auto" w:fill="FFFFFF"/>
        </w:rPr>
        <w:lastRenderedPageBreak/>
        <w:t>However, for</w:t>
      </w:r>
      <w:r w:rsidR="00CC561A">
        <w:rPr>
          <w:rFonts w:cstheme="minorHAnsi"/>
          <w:shd w:val="clear" w:color="auto" w:fill="FFFFFF"/>
        </w:rPr>
        <w:t xml:space="preserve"> </w:t>
      </w:r>
      <w:r w:rsidR="00090552" w:rsidRPr="005645AA">
        <w:rPr>
          <w:rFonts w:cstheme="minorHAnsi"/>
          <w:shd w:val="clear" w:color="auto" w:fill="FFFFFF"/>
        </w:rPr>
        <w:t>service users</w:t>
      </w:r>
      <w:r w:rsidR="00CC561A">
        <w:rPr>
          <w:rFonts w:cstheme="minorHAnsi"/>
          <w:shd w:val="clear" w:color="auto" w:fill="FFFFFF"/>
        </w:rPr>
        <w:t xml:space="preserve"> </w:t>
      </w:r>
      <w:r>
        <w:rPr>
          <w:rFonts w:cstheme="minorHAnsi"/>
          <w:shd w:val="clear" w:color="auto" w:fill="FFFFFF"/>
        </w:rPr>
        <w:t>t</w:t>
      </w:r>
      <w:r w:rsidR="00090552" w:rsidRPr="005645AA">
        <w:rPr>
          <w:rFonts w:cstheme="minorHAnsi"/>
          <w:shd w:val="clear" w:color="auto" w:fill="FFFFFF"/>
        </w:rPr>
        <w:t>o benefit from these digital behaviour change programmes</w:t>
      </w:r>
      <w:r>
        <w:rPr>
          <w:rFonts w:cstheme="minorHAnsi"/>
          <w:shd w:val="clear" w:color="auto" w:fill="FFFFFF"/>
        </w:rPr>
        <w:t>,</w:t>
      </w:r>
      <w:r w:rsidR="00B30CEE">
        <w:rPr>
          <w:rFonts w:cstheme="minorHAnsi"/>
          <w:shd w:val="clear" w:color="auto" w:fill="FFFFFF"/>
        </w:rPr>
        <w:t xml:space="preserve"> they have to engage with </w:t>
      </w:r>
      <w:r w:rsidR="003A54CE">
        <w:rPr>
          <w:rFonts w:cstheme="minorHAnsi"/>
          <w:shd w:val="clear" w:color="auto" w:fill="FFFFFF"/>
        </w:rPr>
        <w:t>features of the intervention</w:t>
      </w:r>
      <w:r w:rsidR="00E7796A">
        <w:rPr>
          <w:rFonts w:cstheme="minorHAnsi"/>
          <w:shd w:val="clear" w:color="auto" w:fill="FFFFFF"/>
        </w:rPr>
        <w:t xml:space="preserve"> (e.g. monitoring behaviours</w:t>
      </w:r>
      <w:r w:rsidR="004D0A0C">
        <w:rPr>
          <w:rFonts w:cstheme="minorHAnsi"/>
          <w:shd w:val="clear" w:color="auto" w:fill="FFFFFF"/>
        </w:rPr>
        <w:t xml:space="preserve"> via apps</w:t>
      </w:r>
      <w:r w:rsidR="00E7796A">
        <w:rPr>
          <w:rFonts w:cstheme="minorHAnsi"/>
          <w:shd w:val="clear" w:color="auto" w:fill="FFFFFF"/>
        </w:rPr>
        <w:t xml:space="preserve">, </w:t>
      </w:r>
      <w:r w:rsidR="00496C52">
        <w:rPr>
          <w:rFonts w:cstheme="minorHAnsi"/>
          <w:shd w:val="clear" w:color="auto" w:fill="FFFFFF"/>
        </w:rPr>
        <w:t xml:space="preserve">educational content, </w:t>
      </w:r>
      <w:r w:rsidR="00E7796A">
        <w:rPr>
          <w:rFonts w:cstheme="minorHAnsi"/>
          <w:shd w:val="clear" w:color="auto" w:fill="FFFFFF"/>
        </w:rPr>
        <w:t>receiving support)</w:t>
      </w:r>
      <w:r w:rsidR="00B30CEE">
        <w:rPr>
          <w:rFonts w:cstheme="minorHAnsi"/>
          <w:shd w:val="clear" w:color="auto" w:fill="FFFFFF"/>
        </w:rPr>
        <w:t xml:space="preserve"> before they can understand and use the key behaviour change content</w:t>
      </w:r>
      <w:r w:rsidR="002A4449">
        <w:rPr>
          <w:rFonts w:cstheme="minorHAnsi"/>
          <w:shd w:val="clear" w:color="auto" w:fill="FFFFFF"/>
        </w:rPr>
        <w:t xml:space="preserve"> </w:t>
      </w:r>
      <w:r w:rsidR="00200666">
        <w:rPr>
          <w:rFonts w:cstheme="minorHAnsi"/>
          <w:shd w:val="clear" w:color="auto" w:fill="FFFFFF"/>
        </w:rPr>
        <w:t>[21</w:t>
      </w:r>
      <w:r w:rsidR="0025067F">
        <w:rPr>
          <w:rFonts w:cstheme="minorHAnsi"/>
          <w:shd w:val="clear" w:color="auto" w:fill="FFFFFF"/>
        </w:rPr>
        <w:t>]</w:t>
      </w:r>
      <w:r w:rsidR="00CC7F1D">
        <w:rPr>
          <w:rFonts w:cstheme="minorHAnsi"/>
          <w:shd w:val="clear" w:color="auto" w:fill="FFFFFF"/>
        </w:rPr>
        <w:t>.</w:t>
      </w:r>
      <w:r w:rsidR="00496C52">
        <w:rPr>
          <w:rFonts w:cstheme="minorHAnsi"/>
          <w:shd w:val="clear" w:color="auto" w:fill="FFFFFF"/>
        </w:rPr>
        <w:t xml:space="preserve"> </w:t>
      </w:r>
      <w:r w:rsidR="001337D1">
        <w:rPr>
          <w:rFonts w:cstheme="minorHAnsi"/>
          <w:shd w:val="clear" w:color="auto" w:fill="FFFFFF"/>
        </w:rPr>
        <w:t xml:space="preserve">There is good evidence that </w:t>
      </w:r>
      <w:r w:rsidR="00BE3F58">
        <w:rPr>
          <w:rFonts w:cstheme="minorHAnsi"/>
          <w:shd w:val="clear" w:color="auto" w:fill="FFFFFF"/>
        </w:rPr>
        <w:t>b</w:t>
      </w:r>
      <w:r w:rsidR="004C5763">
        <w:rPr>
          <w:rFonts w:cstheme="minorHAnsi"/>
          <w:shd w:val="clear" w:color="auto" w:fill="FFFFFF"/>
        </w:rPr>
        <w:t>ehaviour change techniques (BCTs</w:t>
      </w:r>
      <w:r w:rsidR="00BE3F58">
        <w:rPr>
          <w:rFonts w:cstheme="minorHAnsi"/>
          <w:shd w:val="clear" w:color="auto" w:fill="FFFFFF"/>
        </w:rPr>
        <w:t xml:space="preserve">, e.g. monitoring behaviours, setting goals) are </w:t>
      </w:r>
      <w:r w:rsidR="000733EE">
        <w:rPr>
          <w:rFonts w:cstheme="minorHAnsi"/>
          <w:shd w:val="clear" w:color="auto" w:fill="FFFFFF"/>
        </w:rPr>
        <w:t>the</w:t>
      </w:r>
      <w:r w:rsidR="008C42A9">
        <w:rPr>
          <w:rFonts w:cstheme="minorHAnsi"/>
          <w:shd w:val="clear" w:color="auto" w:fill="FFFFFF"/>
        </w:rPr>
        <w:t xml:space="preserve"> ‘active ingredients’ that</w:t>
      </w:r>
      <w:r w:rsidR="00331135">
        <w:rPr>
          <w:rFonts w:cstheme="minorHAnsi"/>
          <w:shd w:val="clear" w:color="auto" w:fill="FFFFFF"/>
        </w:rPr>
        <w:t xml:space="preserve"> produce behaviour change in individuals</w:t>
      </w:r>
      <w:r w:rsidR="001337D1">
        <w:rPr>
          <w:rFonts w:cstheme="minorHAnsi"/>
          <w:shd w:val="clear" w:color="auto" w:fill="FFFFFF"/>
        </w:rPr>
        <w:t xml:space="preserve"> </w:t>
      </w:r>
      <w:r w:rsidR="00200666">
        <w:rPr>
          <w:rFonts w:cstheme="minorHAnsi"/>
          <w:shd w:val="clear" w:color="auto" w:fill="FFFFFF"/>
        </w:rPr>
        <w:t>[22</w:t>
      </w:r>
      <w:r w:rsidR="0025067F">
        <w:rPr>
          <w:rFonts w:cstheme="minorHAnsi"/>
          <w:shd w:val="clear" w:color="auto" w:fill="FFFFFF"/>
        </w:rPr>
        <w:t>]</w:t>
      </w:r>
      <w:r w:rsidR="00331135">
        <w:rPr>
          <w:rFonts w:cstheme="minorHAnsi"/>
          <w:shd w:val="clear" w:color="auto" w:fill="FFFFFF"/>
        </w:rPr>
        <w:t>.</w:t>
      </w:r>
      <w:r w:rsidR="00090552" w:rsidRPr="005645AA">
        <w:rPr>
          <w:rFonts w:cstheme="minorHAnsi"/>
          <w:shd w:val="clear" w:color="auto" w:fill="FFFFFF"/>
        </w:rPr>
        <w:t xml:space="preserve"> </w:t>
      </w:r>
      <w:r w:rsidR="008C42A9">
        <w:rPr>
          <w:rFonts w:cstheme="minorHAnsi"/>
          <w:shd w:val="clear" w:color="auto" w:fill="FFFFFF"/>
        </w:rPr>
        <w:t xml:space="preserve">Digital interventions provide the opportunity to analyse </w:t>
      </w:r>
      <w:r w:rsidR="00A77786">
        <w:rPr>
          <w:rFonts w:cstheme="minorHAnsi"/>
          <w:shd w:val="clear" w:color="auto" w:fill="FFFFFF"/>
        </w:rPr>
        <w:t>usage</w:t>
      </w:r>
      <w:r w:rsidR="00496C52">
        <w:rPr>
          <w:rFonts w:cstheme="minorHAnsi"/>
          <w:shd w:val="clear" w:color="auto" w:fill="FFFFFF"/>
        </w:rPr>
        <w:t xml:space="preserve"> of BCTs and other intervention features</w:t>
      </w:r>
      <w:r w:rsidR="00A77786">
        <w:rPr>
          <w:rFonts w:cstheme="minorHAnsi"/>
          <w:shd w:val="clear" w:color="auto" w:fill="FFFFFF"/>
        </w:rPr>
        <w:t xml:space="preserve"> through routinely collected usage data</w:t>
      </w:r>
      <w:r w:rsidR="008C42A9">
        <w:rPr>
          <w:rFonts w:cstheme="minorHAnsi"/>
          <w:shd w:val="clear" w:color="auto" w:fill="FFFFFF"/>
        </w:rPr>
        <w:t xml:space="preserve">, using frameworks (e.g. </w:t>
      </w:r>
      <w:r w:rsidR="008C42A9">
        <w:t>AMUsED: A</w:t>
      </w:r>
      <w:r w:rsidR="008C42A9" w:rsidRPr="00540769">
        <w:t>nal</w:t>
      </w:r>
      <w:r w:rsidR="008C42A9">
        <w:t>yzing and Measuring Usage and Engagement D</w:t>
      </w:r>
      <w:r w:rsidR="008C42A9" w:rsidRPr="00540769">
        <w:t>ata</w:t>
      </w:r>
      <w:r w:rsidR="00183E3B">
        <w:t>; [23</w:t>
      </w:r>
      <w:r w:rsidR="0025067F">
        <w:t>]</w:t>
      </w:r>
      <w:r w:rsidR="008C42A9">
        <w:t>) to identify digital metrics that signify meaningfu</w:t>
      </w:r>
      <w:r w:rsidR="00093EAD">
        <w:t xml:space="preserve">l engagement from target users. Such analyses can </w:t>
      </w:r>
      <w:r w:rsidR="008C42A9">
        <w:t>highlight</w:t>
      </w:r>
      <w:r w:rsidR="008C42A9">
        <w:rPr>
          <w:rFonts w:cstheme="minorHAnsi"/>
          <w:shd w:val="clear" w:color="auto" w:fill="FFFFFF"/>
        </w:rPr>
        <w:t xml:space="preserve"> effective </w:t>
      </w:r>
      <w:r w:rsidR="00496C52">
        <w:rPr>
          <w:rFonts w:cstheme="minorHAnsi"/>
          <w:shd w:val="clear" w:color="auto" w:fill="FFFFFF"/>
        </w:rPr>
        <w:t xml:space="preserve">components </w:t>
      </w:r>
      <w:r w:rsidR="008C42A9">
        <w:rPr>
          <w:rFonts w:cstheme="minorHAnsi"/>
          <w:shd w:val="clear" w:color="auto" w:fill="FFFFFF"/>
        </w:rPr>
        <w:t>that translate to real-world behaviour change in service users that is likely to le</w:t>
      </w:r>
      <w:r w:rsidR="00FB17D4">
        <w:rPr>
          <w:rFonts w:cstheme="minorHAnsi"/>
          <w:shd w:val="clear" w:color="auto" w:fill="FFFFFF"/>
        </w:rPr>
        <w:t>ad to improved health outcomes;</w:t>
      </w:r>
      <w:r w:rsidR="008C42A9">
        <w:rPr>
          <w:rFonts w:cstheme="minorHAnsi"/>
          <w:shd w:val="clear" w:color="auto" w:fill="FFFFFF"/>
        </w:rPr>
        <w:t xml:space="preserve"> known as ‘effective engagement’ </w:t>
      </w:r>
      <w:r w:rsidR="00183E3B">
        <w:rPr>
          <w:rFonts w:cstheme="minorHAnsi"/>
          <w:shd w:val="clear" w:color="auto" w:fill="FFFFFF"/>
        </w:rPr>
        <w:t>[24</w:t>
      </w:r>
      <w:r w:rsidR="0025067F">
        <w:rPr>
          <w:rFonts w:cstheme="minorHAnsi"/>
          <w:shd w:val="clear" w:color="auto" w:fill="FFFFFF"/>
        </w:rPr>
        <w:t>]</w:t>
      </w:r>
      <w:r w:rsidR="008C42A9">
        <w:rPr>
          <w:rFonts w:cstheme="minorHAnsi"/>
          <w:shd w:val="clear" w:color="auto" w:fill="FFFFFF"/>
        </w:rPr>
        <w:t xml:space="preserve">. </w:t>
      </w:r>
    </w:p>
    <w:p w14:paraId="649AF1E7" w14:textId="2E468FA6" w:rsidR="00F61CCE" w:rsidRDefault="00C51260" w:rsidP="00F61CCE">
      <w:pPr>
        <w:spacing w:line="480" w:lineRule="auto"/>
        <w:ind w:firstLine="360"/>
        <w:rPr>
          <w:u w:val="single"/>
        </w:rPr>
      </w:pPr>
      <w:r>
        <w:rPr>
          <w:rFonts w:cstheme="minorHAnsi"/>
          <w:shd w:val="clear" w:color="auto" w:fill="FFFFFF"/>
        </w:rPr>
        <w:t>R</w:t>
      </w:r>
      <w:r w:rsidR="00371413">
        <w:rPr>
          <w:rFonts w:cstheme="minorHAnsi"/>
          <w:shd w:val="clear" w:color="auto" w:fill="FFFFFF"/>
        </w:rPr>
        <w:t>andomised controlled trials</w:t>
      </w:r>
      <w:r w:rsidR="007D2CA8">
        <w:rPr>
          <w:rFonts w:cstheme="minorHAnsi"/>
          <w:shd w:val="clear" w:color="auto" w:fill="FFFFFF"/>
        </w:rPr>
        <w:t xml:space="preserve"> have</w:t>
      </w:r>
      <w:r w:rsidR="00090552" w:rsidRPr="005645AA">
        <w:rPr>
          <w:rFonts w:cstheme="minorHAnsi"/>
          <w:shd w:val="clear" w:color="auto" w:fill="FFFFFF"/>
        </w:rPr>
        <w:t xml:space="preserve"> assessed user engagement of digi</w:t>
      </w:r>
      <w:r w:rsidR="00E4548C">
        <w:rPr>
          <w:rFonts w:cstheme="minorHAnsi"/>
          <w:shd w:val="clear" w:color="auto" w:fill="FFFFFF"/>
        </w:rPr>
        <w:t>tal behaviour change interventions</w:t>
      </w:r>
      <w:r w:rsidR="00090552" w:rsidRPr="005645AA">
        <w:rPr>
          <w:rFonts w:cstheme="minorHAnsi"/>
          <w:shd w:val="clear" w:color="auto" w:fill="FFFFFF"/>
        </w:rPr>
        <w:t xml:space="preserve"> to prevent T2DM</w:t>
      </w:r>
      <w:r w:rsidR="00A968CC">
        <w:rPr>
          <w:rFonts w:cstheme="minorHAnsi"/>
          <w:shd w:val="clear" w:color="auto" w:fill="FFFFFF"/>
        </w:rPr>
        <w:t xml:space="preserve"> over six</w:t>
      </w:r>
      <w:r w:rsidR="0025067F">
        <w:rPr>
          <w:rFonts w:cstheme="minorHAnsi"/>
          <w:shd w:val="clear" w:color="auto" w:fill="FFFFFF"/>
        </w:rPr>
        <w:t xml:space="preserve"> [2</w:t>
      </w:r>
      <w:r w:rsidR="00183E3B">
        <w:rPr>
          <w:rFonts w:cstheme="minorHAnsi"/>
          <w:shd w:val="clear" w:color="auto" w:fill="FFFFFF"/>
        </w:rPr>
        <w:t>5, 26</w:t>
      </w:r>
      <w:r w:rsidR="0025067F">
        <w:rPr>
          <w:rFonts w:cstheme="minorHAnsi"/>
          <w:shd w:val="clear" w:color="auto" w:fill="FFFFFF"/>
        </w:rPr>
        <w:t>]</w:t>
      </w:r>
      <w:r w:rsidR="00090552">
        <w:t xml:space="preserve"> and 12 months </w:t>
      </w:r>
      <w:r w:rsidR="00183E3B">
        <w:t>[27-31</w:t>
      </w:r>
      <w:r w:rsidR="003C5166">
        <w:t>]</w:t>
      </w:r>
      <w:r w:rsidR="00A968CC">
        <w:t xml:space="preserve">. Crucially, programme </w:t>
      </w:r>
      <w:r w:rsidR="00090552">
        <w:t xml:space="preserve">engagement </w:t>
      </w:r>
      <w:r w:rsidR="00A968CC">
        <w:t>was</w:t>
      </w:r>
      <w:r w:rsidR="00090552">
        <w:t xml:space="preserve"> linked with</w:t>
      </w:r>
      <w:r w:rsidR="00CC561A">
        <w:t xml:space="preserve"> reduction</w:t>
      </w:r>
      <w:r w:rsidR="00A968CC">
        <w:t>s</w:t>
      </w:r>
      <w:r w:rsidR="00CC561A">
        <w:t xml:space="preserve"> in</w:t>
      </w:r>
      <w:r w:rsidR="00090552">
        <w:t xml:space="preserve"> fasting glucos</w:t>
      </w:r>
      <w:r w:rsidR="00DB41B8">
        <w:t>e and HbA1c [</w:t>
      </w:r>
      <w:r w:rsidR="005C4F88">
        <w:t>25</w:t>
      </w:r>
      <w:r w:rsidR="0025067F">
        <w:t>]</w:t>
      </w:r>
      <w:r w:rsidR="00090552">
        <w:t xml:space="preserve">, increased physical activity </w:t>
      </w:r>
      <w:r w:rsidR="00183E3B">
        <w:t>[32</w:t>
      </w:r>
      <w:r w:rsidR="0025067F">
        <w:t>]</w:t>
      </w:r>
      <w:r w:rsidR="000733EE">
        <w:t>,</w:t>
      </w:r>
      <w:r w:rsidR="00090552">
        <w:t xml:space="preserve"> </w:t>
      </w:r>
      <w:r w:rsidR="00090552" w:rsidRPr="005C4199">
        <w:t xml:space="preserve">higher increase in diet quality </w:t>
      </w:r>
      <w:r w:rsidR="00183E3B">
        <w:t>[27</w:t>
      </w:r>
      <w:r w:rsidR="0025067F">
        <w:t xml:space="preserve">] </w:t>
      </w:r>
      <w:r w:rsidR="00090552">
        <w:t xml:space="preserve">and </w:t>
      </w:r>
      <w:r w:rsidR="00657317">
        <w:t xml:space="preserve">decreased BMI or </w:t>
      </w:r>
      <w:r w:rsidR="00090552">
        <w:t xml:space="preserve">weight loss </w:t>
      </w:r>
      <w:r w:rsidR="0025067F">
        <w:t>[</w:t>
      </w:r>
      <w:r w:rsidR="00183E3B">
        <w:t>27, 28, 30-32</w:t>
      </w:r>
      <w:r w:rsidR="0025067F">
        <w:t>]</w:t>
      </w:r>
      <w:r w:rsidR="00090552">
        <w:t>.</w:t>
      </w:r>
      <w:r w:rsidR="008D7336">
        <w:t xml:space="preserve"> </w:t>
      </w:r>
      <w:r w:rsidR="005523FD">
        <w:t>One study analysed usage data from a digital programme designed to support se</w:t>
      </w:r>
      <w:r w:rsidR="0096182E">
        <w:t>lf-management of T2DM, which</w:t>
      </w:r>
      <w:r w:rsidR="005523FD">
        <w:t xml:space="preserve"> was integrated into routine care in four Clinical Commissioning Groups in L</w:t>
      </w:r>
      <w:r w:rsidR="00183E3B">
        <w:t>ondon, UK [33</w:t>
      </w:r>
      <w:r w:rsidR="0025067F">
        <w:t>]</w:t>
      </w:r>
      <w:r w:rsidR="005523FD">
        <w:t xml:space="preserve">. This </w:t>
      </w:r>
      <w:r w:rsidR="0096182E">
        <w:t>study</w:t>
      </w:r>
      <w:r w:rsidR="005523FD">
        <w:t xml:space="preserve"> </w:t>
      </w:r>
      <w:r w:rsidR="0096182E">
        <w:t>compared usage across demographic characteristics and found no evidence of wide</w:t>
      </w:r>
      <w:r w:rsidR="0025067F">
        <w:t>ning health inequalities</w:t>
      </w:r>
      <w:r w:rsidR="00C7546A">
        <w:t xml:space="preserve"> in terms of usage</w:t>
      </w:r>
      <w:r w:rsidR="00093EAD">
        <w:t>.</w:t>
      </w:r>
    </w:p>
    <w:p w14:paraId="54862A94" w14:textId="236F4E78" w:rsidR="00F61CCE" w:rsidRDefault="007F2962" w:rsidP="00F61CCE">
      <w:pPr>
        <w:spacing w:line="480" w:lineRule="auto"/>
        <w:ind w:firstLine="360"/>
        <w:rPr>
          <w:rFonts w:cstheme="minorHAnsi"/>
          <w:shd w:val="clear" w:color="auto" w:fill="FFFFFF"/>
        </w:rPr>
      </w:pPr>
      <w:r>
        <w:rPr>
          <w:rFonts w:cstheme="minorHAnsi"/>
          <w:shd w:val="clear" w:color="auto" w:fill="FFFFFF"/>
        </w:rPr>
        <w:t>T</w:t>
      </w:r>
      <w:r w:rsidR="00CC561A">
        <w:rPr>
          <w:rFonts w:cstheme="minorHAnsi"/>
          <w:shd w:val="clear" w:color="auto" w:fill="FFFFFF"/>
        </w:rPr>
        <w:t>o date</w:t>
      </w:r>
      <w:r>
        <w:rPr>
          <w:rFonts w:cstheme="minorHAnsi"/>
          <w:shd w:val="clear" w:color="auto" w:fill="FFFFFF"/>
        </w:rPr>
        <w:t>,</w:t>
      </w:r>
      <w:r w:rsidR="00090552">
        <w:rPr>
          <w:rFonts w:cstheme="minorHAnsi"/>
          <w:shd w:val="clear" w:color="auto" w:fill="FFFFFF"/>
        </w:rPr>
        <w:t xml:space="preserve"> no studies have reported on actual usage and engagement </w:t>
      </w:r>
      <w:r w:rsidR="00A45232">
        <w:rPr>
          <w:rFonts w:cstheme="minorHAnsi"/>
          <w:shd w:val="clear" w:color="auto" w:fill="FFFFFF"/>
        </w:rPr>
        <w:t xml:space="preserve">of </w:t>
      </w:r>
      <w:r w:rsidR="00093EAD">
        <w:rPr>
          <w:rFonts w:cstheme="minorHAnsi"/>
          <w:shd w:val="clear" w:color="auto" w:fill="FFFFFF"/>
        </w:rPr>
        <w:t xml:space="preserve">large-scale </w:t>
      </w:r>
      <w:r w:rsidR="00A45232">
        <w:rPr>
          <w:rFonts w:cstheme="minorHAnsi"/>
          <w:shd w:val="clear" w:color="auto" w:fill="FFFFFF"/>
        </w:rPr>
        <w:t>nationally implemented programmes</w:t>
      </w:r>
      <w:r w:rsidR="00CC561A">
        <w:rPr>
          <w:rFonts w:cstheme="minorHAnsi"/>
          <w:shd w:val="clear" w:color="auto" w:fill="FFFFFF"/>
        </w:rPr>
        <w:t>.</w:t>
      </w:r>
      <w:r w:rsidR="00C7546A">
        <w:rPr>
          <w:rFonts w:cstheme="minorHAnsi"/>
          <w:shd w:val="clear" w:color="auto" w:fill="FFFFFF"/>
        </w:rPr>
        <w:t xml:space="preserve"> </w:t>
      </w:r>
      <w:r w:rsidR="00BE3F58">
        <w:rPr>
          <w:rFonts w:cstheme="minorHAnsi"/>
          <w:shd w:val="clear" w:color="auto" w:fill="FFFFFF"/>
        </w:rPr>
        <w:t>It is widely acknowledged</w:t>
      </w:r>
      <w:r w:rsidR="00A45232">
        <w:rPr>
          <w:rFonts w:cstheme="minorHAnsi"/>
          <w:shd w:val="clear" w:color="auto" w:fill="FFFFFF"/>
        </w:rPr>
        <w:t xml:space="preserve"> that </w:t>
      </w:r>
      <w:r w:rsidR="00F07B7C">
        <w:rPr>
          <w:rFonts w:cstheme="minorHAnsi"/>
          <w:shd w:val="clear" w:color="auto" w:fill="FFFFFF"/>
        </w:rPr>
        <w:t>many interventions are less effective in routine practice than in randomised trials</w:t>
      </w:r>
      <w:r w:rsidR="00583A9A">
        <w:rPr>
          <w:rFonts w:cstheme="minorHAnsi"/>
          <w:shd w:val="clear" w:color="auto" w:fill="FFFFFF"/>
        </w:rPr>
        <w:t xml:space="preserve"> (</w:t>
      </w:r>
      <w:r w:rsidR="008D7336">
        <w:rPr>
          <w:rFonts w:cstheme="minorHAnsi"/>
          <w:shd w:val="clear" w:color="auto" w:fill="FFFFFF"/>
        </w:rPr>
        <w:t xml:space="preserve">i.e. </w:t>
      </w:r>
      <w:r w:rsidR="00583A9A">
        <w:rPr>
          <w:rFonts w:cstheme="minorHAnsi"/>
          <w:shd w:val="clear" w:color="auto" w:fill="FFFFFF"/>
        </w:rPr>
        <w:t>“voltage drop”</w:t>
      </w:r>
      <w:r w:rsidR="00183E3B">
        <w:rPr>
          <w:rFonts w:cstheme="minorHAnsi"/>
          <w:shd w:val="clear" w:color="auto" w:fill="FFFFFF"/>
        </w:rPr>
        <w:t xml:space="preserve"> [34</w:t>
      </w:r>
      <w:r w:rsidR="0025067F">
        <w:rPr>
          <w:rFonts w:cstheme="minorHAnsi"/>
          <w:shd w:val="clear" w:color="auto" w:fill="FFFFFF"/>
        </w:rPr>
        <w:t>]</w:t>
      </w:r>
      <w:r w:rsidR="00583A9A">
        <w:rPr>
          <w:rFonts w:cstheme="minorHAnsi"/>
          <w:shd w:val="clear" w:color="auto" w:fill="FFFFFF"/>
        </w:rPr>
        <w:t>)</w:t>
      </w:r>
      <w:r w:rsidR="00BE3F58">
        <w:rPr>
          <w:rFonts w:cstheme="minorHAnsi"/>
          <w:shd w:val="clear" w:color="auto" w:fill="FFFFFF"/>
        </w:rPr>
        <w:t>,</w:t>
      </w:r>
      <w:r w:rsidR="00F07B7C">
        <w:rPr>
          <w:rFonts w:cstheme="minorHAnsi"/>
          <w:shd w:val="clear" w:color="auto" w:fill="FFFFFF"/>
        </w:rPr>
        <w:t xml:space="preserve"> </w:t>
      </w:r>
      <w:r w:rsidR="00C4372E">
        <w:rPr>
          <w:rFonts w:cstheme="minorHAnsi"/>
          <w:shd w:val="clear" w:color="auto" w:fill="FFFFFF"/>
        </w:rPr>
        <w:t>at least partly because</w:t>
      </w:r>
      <w:r w:rsidR="00F07B7C">
        <w:rPr>
          <w:rFonts w:cstheme="minorHAnsi"/>
          <w:shd w:val="clear" w:color="auto" w:fill="FFFFFF"/>
        </w:rPr>
        <w:t xml:space="preserve"> people</w:t>
      </w:r>
      <w:r w:rsidR="00583A9A">
        <w:rPr>
          <w:rFonts w:cstheme="minorHAnsi"/>
          <w:shd w:val="clear" w:color="auto" w:fill="FFFFFF"/>
        </w:rPr>
        <w:t xml:space="preserve"> enrolled</w:t>
      </w:r>
      <w:r w:rsidR="00D10B6D">
        <w:rPr>
          <w:rFonts w:cstheme="minorHAnsi"/>
          <w:shd w:val="clear" w:color="auto" w:fill="FFFFFF"/>
        </w:rPr>
        <w:t xml:space="preserve"> in trials tend to be h</w:t>
      </w:r>
      <w:r w:rsidR="00F07B7C">
        <w:rPr>
          <w:rFonts w:cstheme="minorHAnsi"/>
          <w:shd w:val="clear" w:color="auto" w:fill="FFFFFF"/>
        </w:rPr>
        <w:t>ighly motivated and hence may engage more than people who receive interventions</w:t>
      </w:r>
      <w:r w:rsidR="008D7336">
        <w:rPr>
          <w:rFonts w:cstheme="minorHAnsi"/>
          <w:shd w:val="clear" w:color="auto" w:fill="FFFFFF"/>
        </w:rPr>
        <w:t xml:space="preserve"> as part of routine practice. T</w:t>
      </w:r>
      <w:r w:rsidR="00F07B7C">
        <w:rPr>
          <w:rFonts w:cstheme="minorHAnsi"/>
          <w:shd w:val="clear" w:color="auto" w:fill="FFFFFF"/>
        </w:rPr>
        <w:t>hus it is possible that</w:t>
      </w:r>
      <w:r w:rsidR="00895E96">
        <w:rPr>
          <w:rFonts w:cstheme="minorHAnsi"/>
          <w:shd w:val="clear" w:color="auto" w:fill="FFFFFF"/>
        </w:rPr>
        <w:t xml:space="preserve">, when rolled out, many people who are referred to the NHS-DDPP </w:t>
      </w:r>
      <w:r w:rsidR="008D7336">
        <w:rPr>
          <w:rFonts w:cstheme="minorHAnsi"/>
          <w:shd w:val="clear" w:color="auto" w:fill="FFFFFF"/>
        </w:rPr>
        <w:t xml:space="preserve">may </w:t>
      </w:r>
      <w:r w:rsidR="00895E96">
        <w:rPr>
          <w:rFonts w:cstheme="minorHAnsi"/>
          <w:shd w:val="clear" w:color="auto" w:fill="FFFFFF"/>
        </w:rPr>
        <w:t>use it only briefly or not at all, thereby limiting its effectiveness</w:t>
      </w:r>
      <w:r w:rsidR="008D7336">
        <w:rPr>
          <w:rFonts w:cstheme="minorHAnsi"/>
          <w:shd w:val="clear" w:color="auto" w:fill="FFFFFF"/>
        </w:rPr>
        <w:t>.</w:t>
      </w:r>
      <w:r w:rsidR="00895E96">
        <w:rPr>
          <w:rFonts w:cstheme="minorHAnsi"/>
          <w:shd w:val="clear" w:color="auto" w:fill="FFFFFF"/>
        </w:rPr>
        <w:t xml:space="preserve"> </w:t>
      </w:r>
      <w:r w:rsidR="00C7546A">
        <w:rPr>
          <w:rFonts w:cstheme="minorHAnsi"/>
          <w:shd w:val="clear" w:color="auto" w:fill="FFFFFF"/>
        </w:rPr>
        <w:lastRenderedPageBreak/>
        <w:t>Previous research</w:t>
      </w:r>
      <w:r w:rsidR="002726BC">
        <w:rPr>
          <w:rFonts w:cstheme="minorHAnsi"/>
          <w:shd w:val="clear" w:color="auto" w:fill="FFFFFF"/>
        </w:rPr>
        <w:t xml:space="preserve"> on the NHS-DDPP</w:t>
      </w:r>
      <w:r w:rsidR="00C7546A">
        <w:rPr>
          <w:rFonts w:cstheme="minorHAnsi"/>
          <w:shd w:val="clear" w:color="auto" w:fill="FFFFFF"/>
        </w:rPr>
        <w:t xml:space="preserve"> has found variation in the number and types of BCTs that are offered via app, educational content and healt</w:t>
      </w:r>
      <w:r w:rsidR="003F338F">
        <w:rPr>
          <w:rFonts w:cstheme="minorHAnsi"/>
          <w:shd w:val="clear" w:color="auto" w:fill="FFFFFF"/>
        </w:rPr>
        <w:t xml:space="preserve">h coach support </w:t>
      </w:r>
      <w:r w:rsidR="00200666">
        <w:rPr>
          <w:rFonts w:cstheme="minorHAnsi"/>
          <w:shd w:val="clear" w:color="auto" w:fill="FFFFFF"/>
        </w:rPr>
        <w:t>[20</w:t>
      </w:r>
      <w:r w:rsidR="00C7546A">
        <w:rPr>
          <w:rFonts w:cstheme="minorHAnsi"/>
          <w:shd w:val="clear" w:color="auto" w:fill="FFFFFF"/>
        </w:rPr>
        <w:t>].</w:t>
      </w:r>
      <w:r w:rsidR="000A0743">
        <w:rPr>
          <w:rFonts w:cstheme="minorHAnsi"/>
          <w:shd w:val="clear" w:color="auto" w:fill="FFFFFF"/>
        </w:rPr>
        <w:t xml:space="preserve"> For example, if people d</w:t>
      </w:r>
      <w:r w:rsidR="00BE3F58">
        <w:rPr>
          <w:rFonts w:cstheme="minorHAnsi"/>
          <w:shd w:val="clear" w:color="auto" w:fill="FFFFFF"/>
        </w:rPr>
        <w:t>o</w:t>
      </w:r>
      <w:r w:rsidR="000A0743">
        <w:rPr>
          <w:rFonts w:cstheme="minorHAnsi"/>
          <w:shd w:val="clear" w:color="auto" w:fill="FFFFFF"/>
        </w:rPr>
        <w:t xml:space="preserve"> not engage with the educational content, they could miss key BCT</w:t>
      </w:r>
      <w:r w:rsidR="006C7FF3">
        <w:rPr>
          <w:rFonts w:cstheme="minorHAnsi"/>
          <w:shd w:val="clear" w:color="auto" w:fill="FFFFFF"/>
        </w:rPr>
        <w:t>s</w:t>
      </w:r>
      <w:r w:rsidR="000A0743">
        <w:rPr>
          <w:rFonts w:cstheme="minorHAnsi"/>
          <w:shd w:val="clear" w:color="auto" w:fill="FFFFFF"/>
        </w:rPr>
        <w:t xml:space="preserve"> in the programme.</w:t>
      </w:r>
      <w:r w:rsidR="00C7546A">
        <w:rPr>
          <w:rFonts w:cstheme="minorHAnsi"/>
          <w:shd w:val="clear" w:color="auto" w:fill="FFFFFF"/>
        </w:rPr>
        <w:t xml:space="preserve"> Thus, it is </w:t>
      </w:r>
      <w:r w:rsidR="001337D1">
        <w:rPr>
          <w:rFonts w:cstheme="minorHAnsi"/>
          <w:shd w:val="clear" w:color="auto" w:fill="FFFFFF"/>
        </w:rPr>
        <w:t xml:space="preserve">crucial </w:t>
      </w:r>
      <w:r w:rsidR="00C7546A">
        <w:rPr>
          <w:rFonts w:cstheme="minorHAnsi"/>
          <w:shd w:val="clear" w:color="auto" w:fill="FFFFFF"/>
        </w:rPr>
        <w:t xml:space="preserve">to assess the extent to which users engage with these different modes of delivery and therefore, access and potentially use, these BCTs. </w:t>
      </w:r>
    </w:p>
    <w:p w14:paraId="4D8A49B7" w14:textId="06F90F47" w:rsidR="00090552" w:rsidRPr="00F61CCE" w:rsidRDefault="00A45232" w:rsidP="00F61CCE">
      <w:pPr>
        <w:spacing w:line="480" w:lineRule="auto"/>
        <w:ind w:firstLine="360"/>
        <w:rPr>
          <w:u w:val="single"/>
        </w:rPr>
      </w:pPr>
      <w:r>
        <w:t xml:space="preserve">This study aimed to understand engagement with the </w:t>
      </w:r>
      <w:r w:rsidRPr="00416FFF">
        <w:t xml:space="preserve">NHS-DDPP </w:t>
      </w:r>
      <w:r>
        <w:t xml:space="preserve">for a cohort of service users enrolled with </w:t>
      </w:r>
      <w:r w:rsidR="00586DB6">
        <w:t>service</w:t>
      </w:r>
      <w:r>
        <w:t xml:space="preserve"> providers </w:t>
      </w:r>
      <w:r w:rsidRPr="00416FFF">
        <w:t>over the nine-month programme duration</w:t>
      </w:r>
      <w:r w:rsidR="001726BE">
        <w:t xml:space="preserve">. </w:t>
      </w:r>
      <w:r w:rsidR="00E62626">
        <w:t>Specific objectives were</w:t>
      </w:r>
      <w:r w:rsidR="00B21530">
        <w:t xml:space="preserve"> to: (1) </w:t>
      </w:r>
      <w:r w:rsidR="008A1AF3">
        <w:t xml:space="preserve">describe </w:t>
      </w:r>
      <w:r w:rsidR="003462F7">
        <w:t>duration of engagement on the app,</w:t>
      </w:r>
      <w:r w:rsidR="008A1AF3">
        <w:t xml:space="preserve"> (2) describe overal</w:t>
      </w:r>
      <w:r w:rsidR="0040672E">
        <w:t xml:space="preserve">l frequency of use of </w:t>
      </w:r>
      <w:r w:rsidR="00232E7A">
        <w:t>intervention</w:t>
      </w:r>
      <w:r w:rsidR="008A1AF3">
        <w:t xml:space="preserve"> features, (3) descr</w:t>
      </w:r>
      <w:r w:rsidR="00E47270">
        <w:t xml:space="preserve">ibe </w:t>
      </w:r>
      <w:r w:rsidR="0040672E">
        <w:t xml:space="preserve">patterns across time in engagement with </w:t>
      </w:r>
      <w:r w:rsidR="00232E7A">
        <w:t xml:space="preserve">intervention </w:t>
      </w:r>
      <w:r w:rsidR="0040672E">
        <w:t>features over the nine-month duration</w:t>
      </w:r>
      <w:r w:rsidR="008A1AF3">
        <w:t xml:space="preserve">, and (4) compare any differences in engagement with </w:t>
      </w:r>
      <w:r w:rsidR="00232E7A">
        <w:t xml:space="preserve">intervention </w:t>
      </w:r>
      <w:r w:rsidR="008A1AF3">
        <w:t>features between three of the NHS-DDPP providers ov</w:t>
      </w:r>
      <w:r w:rsidR="008C62EA">
        <w:t>er time</w:t>
      </w:r>
      <w:r w:rsidR="00656EB2">
        <w:t>.</w:t>
      </w:r>
    </w:p>
    <w:p w14:paraId="4D3AD728" w14:textId="5C33A6BB" w:rsidR="00090552" w:rsidRPr="007866EF" w:rsidRDefault="00B504E8" w:rsidP="00536FB1">
      <w:pPr>
        <w:spacing w:after="0" w:line="480" w:lineRule="auto"/>
        <w:jc w:val="center"/>
        <w:rPr>
          <w:b/>
        </w:rPr>
      </w:pPr>
      <w:r>
        <w:rPr>
          <w:b/>
        </w:rPr>
        <w:t>2.</w:t>
      </w:r>
      <w:r w:rsidR="003528FC">
        <w:rPr>
          <w:b/>
        </w:rPr>
        <w:t xml:space="preserve"> </w:t>
      </w:r>
      <w:r w:rsidR="00090552" w:rsidRPr="007866EF">
        <w:rPr>
          <w:b/>
        </w:rPr>
        <w:t>Methods</w:t>
      </w:r>
    </w:p>
    <w:p w14:paraId="23824ECA" w14:textId="2E112FB8" w:rsidR="00472548" w:rsidRPr="007866EF" w:rsidRDefault="003528FC" w:rsidP="00536FB1">
      <w:pPr>
        <w:spacing w:after="0" w:line="480" w:lineRule="auto"/>
        <w:rPr>
          <w:b/>
        </w:rPr>
      </w:pPr>
      <w:r>
        <w:rPr>
          <w:b/>
        </w:rPr>
        <w:t>2.1</w:t>
      </w:r>
      <w:r w:rsidR="00B504E8">
        <w:rPr>
          <w:b/>
        </w:rPr>
        <w:t>.</w:t>
      </w:r>
      <w:r>
        <w:rPr>
          <w:b/>
        </w:rPr>
        <w:t xml:space="preserve"> </w:t>
      </w:r>
      <w:r w:rsidR="00472548">
        <w:rPr>
          <w:b/>
        </w:rPr>
        <w:t>Study Design</w:t>
      </w:r>
    </w:p>
    <w:p w14:paraId="59156BB4" w14:textId="54ADD514" w:rsidR="00472548" w:rsidRDefault="00472548" w:rsidP="00472548">
      <w:pPr>
        <w:spacing w:line="480" w:lineRule="auto"/>
        <w:ind w:firstLine="360"/>
      </w:pPr>
      <w:r>
        <w:t>This study analysed routinely collected usage data from a cohort of users on the nationally implemented English NHS-DDPP who started the programme between December 2020 and June 2021</w:t>
      </w:r>
      <w:r w:rsidR="009B047C">
        <w:t>; a cohort enrolled once the programme was embedded</w:t>
      </w:r>
      <w:r>
        <w:t xml:space="preserve">. Usage data was collected for the nine-month duration of the </w:t>
      </w:r>
      <w:r w:rsidR="00C461E5">
        <w:t>intervention</w:t>
      </w:r>
      <w:r>
        <w:t>. Data was requested from all four independent service providers delivering the NHS-DDPP. One provider could not provide usage data for the current study, so the present analysis is based on data provided by three NHS-DDPP providers.</w:t>
      </w:r>
    </w:p>
    <w:p w14:paraId="7D67E56A" w14:textId="30E632DC" w:rsidR="0083159C" w:rsidRPr="007866EF" w:rsidRDefault="003528FC" w:rsidP="00536FB1">
      <w:pPr>
        <w:spacing w:after="0" w:line="480" w:lineRule="auto"/>
        <w:rPr>
          <w:b/>
        </w:rPr>
      </w:pPr>
      <w:r>
        <w:rPr>
          <w:b/>
        </w:rPr>
        <w:t>2.2</w:t>
      </w:r>
      <w:r w:rsidR="00B504E8">
        <w:rPr>
          <w:b/>
        </w:rPr>
        <w:t>.</w:t>
      </w:r>
      <w:r>
        <w:rPr>
          <w:b/>
        </w:rPr>
        <w:t xml:space="preserve"> </w:t>
      </w:r>
      <w:r w:rsidR="0083159C" w:rsidRPr="007866EF">
        <w:rPr>
          <w:b/>
        </w:rPr>
        <w:t>NHS-DDPP Intervention</w:t>
      </w:r>
    </w:p>
    <w:p w14:paraId="15D917E9" w14:textId="40C25C38" w:rsidR="0083159C" w:rsidRDefault="00586DB6" w:rsidP="0083159C">
      <w:pPr>
        <w:spacing w:line="480" w:lineRule="auto"/>
        <w:ind w:firstLine="360"/>
      </w:pPr>
      <w:r>
        <w:t xml:space="preserve">The </w:t>
      </w:r>
      <w:r w:rsidR="0083159C">
        <w:t>NHS-DDPP is a nine-month digital behaviour change intervention that focuses on improving diet, increasing physical activity and achieving weight loss</w:t>
      </w:r>
      <w:r w:rsidR="00C461E5">
        <w:t>,</w:t>
      </w:r>
      <w:r w:rsidR="0083159C">
        <w:t xml:space="preserve"> with the aim of reducing T2DM risk.</w:t>
      </w:r>
      <w:r w:rsidR="00DC16CF">
        <w:t xml:space="preserve"> The digital service was introduced in 2019. </w:t>
      </w:r>
      <w:r w:rsidR="001757F6">
        <w:rPr>
          <w:rFonts w:cstheme="minorHAnsi"/>
        </w:rPr>
        <w:t>The NHS-DDPP is a national intervention that commissions providers to deliver the programme, based on a standard NHS England service specification [1</w:t>
      </w:r>
      <w:r w:rsidR="00200666">
        <w:rPr>
          <w:rFonts w:cstheme="minorHAnsi"/>
        </w:rPr>
        <w:t>7</w:t>
      </w:r>
      <w:r w:rsidR="001757F6">
        <w:rPr>
          <w:rFonts w:cstheme="minorHAnsi"/>
        </w:rPr>
        <w:t xml:space="preserve">] that </w:t>
      </w:r>
      <w:r w:rsidR="003F338F">
        <w:rPr>
          <w:rFonts w:cstheme="minorHAnsi"/>
        </w:rPr>
        <w:t>specifies</w:t>
      </w:r>
      <w:r w:rsidR="001757F6">
        <w:rPr>
          <w:rFonts w:cstheme="minorHAnsi"/>
        </w:rPr>
        <w:t xml:space="preserve"> the overarching intervention features that should be present in the programme. </w:t>
      </w:r>
      <w:r w:rsidR="001757F6" w:rsidRPr="007A0F4F">
        <w:rPr>
          <w:rFonts w:cstheme="minorHAnsi"/>
        </w:rPr>
        <w:t xml:space="preserve">Providers </w:t>
      </w:r>
      <w:r w:rsidR="001757F6" w:rsidRPr="007A0F4F">
        <w:rPr>
          <w:rFonts w:cstheme="minorHAnsi"/>
        </w:rPr>
        <w:lastRenderedPageBreak/>
        <w:t>d</w:t>
      </w:r>
      <w:r w:rsidR="001757F6">
        <w:rPr>
          <w:rFonts w:cstheme="minorHAnsi"/>
        </w:rPr>
        <w:t>elivered their own versions of the</w:t>
      </w:r>
      <w:r w:rsidR="001757F6" w:rsidRPr="007A0F4F">
        <w:rPr>
          <w:rFonts w:cstheme="minorHAnsi"/>
        </w:rPr>
        <w:t xml:space="preserve"> dig</w:t>
      </w:r>
      <w:r w:rsidR="001757F6">
        <w:rPr>
          <w:rFonts w:cstheme="minorHAnsi"/>
        </w:rPr>
        <w:t>ital programme, in line with the NHS E</w:t>
      </w:r>
      <w:r w:rsidR="00200666">
        <w:rPr>
          <w:rFonts w:cstheme="minorHAnsi"/>
        </w:rPr>
        <w:t>ngland service specification [17</w:t>
      </w:r>
      <w:r w:rsidR="00F36A90">
        <w:rPr>
          <w:rFonts w:cstheme="minorHAnsi"/>
        </w:rPr>
        <w:t>]</w:t>
      </w:r>
      <w:r w:rsidR="0083159C">
        <w:t>.</w:t>
      </w:r>
    </w:p>
    <w:p w14:paraId="4476F79F" w14:textId="64DD016B" w:rsidR="0083159C" w:rsidRDefault="00F36A90" w:rsidP="00F217F4">
      <w:pPr>
        <w:spacing w:line="480" w:lineRule="auto"/>
        <w:ind w:firstLine="360"/>
      </w:pPr>
      <w:r>
        <w:t>This included key</w:t>
      </w:r>
      <w:r w:rsidR="006C7FF3">
        <w:t xml:space="preserve"> interve</w:t>
      </w:r>
      <w:r>
        <w:t>ntion features such as goal setting and self-monitoring (functions on the app)</w:t>
      </w:r>
      <w:r w:rsidR="0083159C">
        <w:t>, educational content</w:t>
      </w:r>
      <w:r>
        <w:t xml:space="preserve"> (delivered via app and online learning platforms)</w:t>
      </w:r>
      <w:r w:rsidR="0083159C">
        <w:t>, support from a health coach (e.g. via telephone, video, or online messaging</w:t>
      </w:r>
      <w:r>
        <w:t xml:space="preserve"> on the app</w:t>
      </w:r>
      <w:r w:rsidR="0083159C">
        <w:t>)</w:t>
      </w:r>
      <w:r>
        <w:t>,</w:t>
      </w:r>
      <w:r w:rsidR="0083159C">
        <w:t xml:space="preserve"> and peer group support forums</w:t>
      </w:r>
      <w:r>
        <w:t xml:space="preserve"> (on the app)</w:t>
      </w:r>
      <w:r w:rsidR="00D15F0B">
        <w:t xml:space="preserve">. </w:t>
      </w:r>
      <w:r>
        <w:t>H</w:t>
      </w:r>
      <w:r w:rsidR="00F217F4">
        <w:t>owever</w:t>
      </w:r>
      <w:r>
        <w:t>,</w:t>
      </w:r>
      <w:r w:rsidR="00F217F4">
        <w:t xml:space="preserve"> the ways in which providers delivered their intervention features differed</w:t>
      </w:r>
      <w:r>
        <w:t xml:space="preserve">, </w:t>
      </w:r>
      <w:r w:rsidR="00F217F4">
        <w:t>summarised in</w:t>
      </w:r>
      <w:r w:rsidR="007760E8">
        <w:t xml:space="preserve"> Table 1.</w:t>
      </w:r>
      <w:r w:rsidR="00F24663">
        <w:t xml:space="preserve"> </w:t>
      </w:r>
      <w:r w:rsidR="00721675">
        <w:t xml:space="preserve">The first three months of the NHS-DPP </w:t>
      </w:r>
      <w:r w:rsidR="00C461E5">
        <w:t xml:space="preserve">are </w:t>
      </w:r>
      <w:r w:rsidR="0041013C">
        <w:t>considered</w:t>
      </w:r>
      <w:r w:rsidR="00721675">
        <w:t xml:space="preserve"> the ‘core’ phase</w:t>
      </w:r>
      <w:r w:rsidR="00EB6B29">
        <w:t xml:space="preserve"> of the programme</w:t>
      </w:r>
      <w:r w:rsidR="0041013C">
        <w:t>,</w:t>
      </w:r>
      <w:r w:rsidR="00721675">
        <w:t xml:space="preserve"> and months 4-9 the ‘maintenance’ phase where support gradually taper</w:t>
      </w:r>
      <w:r w:rsidR="0041013C">
        <w:t>s</w:t>
      </w:r>
      <w:r w:rsidR="00721675">
        <w:t xml:space="preserve"> off. </w:t>
      </w:r>
      <w:r w:rsidR="00F217F4">
        <w:t>F</w:t>
      </w:r>
      <w:r w:rsidR="00D30B1E">
        <w:t xml:space="preserve">urther information on the NHS-DDPP is provided elsewhere </w:t>
      </w:r>
      <w:r w:rsidR="00200666">
        <w:t>[19, 20</w:t>
      </w:r>
      <w:r w:rsidR="0083159C">
        <w:t>].</w:t>
      </w:r>
    </w:p>
    <w:p w14:paraId="1D25D28D" w14:textId="53BD2844" w:rsidR="00EF4737" w:rsidRPr="00EF4737" w:rsidRDefault="00EF4737" w:rsidP="00536FB1">
      <w:pPr>
        <w:spacing w:line="480" w:lineRule="auto"/>
        <w:rPr>
          <w:i/>
        </w:rPr>
      </w:pPr>
      <w:r w:rsidRPr="00EF4737">
        <w:rPr>
          <w:i/>
        </w:rPr>
        <w:t>[Table 1 here].</w:t>
      </w:r>
    </w:p>
    <w:p w14:paraId="629FD844" w14:textId="21D5C672" w:rsidR="00C4372E" w:rsidRDefault="003528FC" w:rsidP="00536FB1">
      <w:pPr>
        <w:spacing w:after="0" w:line="480" w:lineRule="auto"/>
        <w:rPr>
          <w:u w:val="single"/>
        </w:rPr>
      </w:pPr>
      <w:r>
        <w:rPr>
          <w:b/>
        </w:rPr>
        <w:t>2.3</w:t>
      </w:r>
      <w:r w:rsidR="00B504E8">
        <w:rPr>
          <w:b/>
        </w:rPr>
        <w:t>.</w:t>
      </w:r>
      <w:r>
        <w:rPr>
          <w:b/>
        </w:rPr>
        <w:t xml:space="preserve"> </w:t>
      </w:r>
      <w:r w:rsidR="00C4372E">
        <w:rPr>
          <w:b/>
        </w:rPr>
        <w:t>Participants</w:t>
      </w:r>
    </w:p>
    <w:p w14:paraId="2FA736F2" w14:textId="56266463" w:rsidR="00090552" w:rsidRPr="00F61CCE" w:rsidRDefault="001726BE" w:rsidP="00F61CCE">
      <w:pPr>
        <w:spacing w:line="480" w:lineRule="auto"/>
        <w:ind w:firstLine="360"/>
        <w:rPr>
          <w:u w:val="single"/>
        </w:rPr>
      </w:pPr>
      <w:r>
        <w:t xml:space="preserve">Service users took part in one of the three digital programmes, depending on which provider was commissioned to deliver the digital service in their local geographical area </w:t>
      </w:r>
      <w:r w:rsidR="00172D36">
        <w:t xml:space="preserve">at the time of </w:t>
      </w:r>
      <w:r w:rsidR="000A0743">
        <w:t>enrolment</w:t>
      </w:r>
      <w:r>
        <w:t xml:space="preserve">. </w:t>
      </w:r>
      <w:r w:rsidR="003F4370">
        <w:t>Service users were 18 years and over</w:t>
      </w:r>
      <w:r w:rsidR="00090552">
        <w:t xml:space="preserve">, living in England and </w:t>
      </w:r>
      <w:r w:rsidR="00172D36">
        <w:t xml:space="preserve">had been </w:t>
      </w:r>
      <w:r w:rsidR="00CB1A11">
        <w:t xml:space="preserve">identified as being </w:t>
      </w:r>
      <w:r w:rsidR="00090552">
        <w:t>high ri</w:t>
      </w:r>
      <w:r w:rsidR="00CB1A11">
        <w:t xml:space="preserve">sk for </w:t>
      </w:r>
      <w:r w:rsidR="00D92B44">
        <w:t>developing T2DM</w:t>
      </w:r>
      <w:r w:rsidR="00090552">
        <w:t xml:space="preserve">. They were either referred onto the </w:t>
      </w:r>
      <w:r w:rsidR="008229E4">
        <w:t xml:space="preserve">programme via their </w:t>
      </w:r>
      <w:r w:rsidR="00172D36">
        <w:t>g</w:t>
      </w:r>
      <w:r w:rsidR="00CC358F">
        <w:t>eneral</w:t>
      </w:r>
      <w:r w:rsidR="008229E4">
        <w:t xml:space="preserve"> p</w:t>
      </w:r>
      <w:r w:rsidR="006642F2">
        <w:t>ractice if their records indicated them to have</w:t>
      </w:r>
      <w:r w:rsidR="008229E4">
        <w:t xml:space="preserve"> non-diabetic hyperglycaemia</w:t>
      </w:r>
      <w:r w:rsidR="00090552">
        <w:t xml:space="preserve"> </w:t>
      </w:r>
      <w:r w:rsidR="000A0743">
        <w:t>(</w:t>
      </w:r>
      <w:r w:rsidR="0083159C">
        <w:t xml:space="preserve">defined as </w:t>
      </w:r>
      <w:r w:rsidR="000A0743">
        <w:t>HbA1c</w:t>
      </w:r>
      <w:r w:rsidR="0083159C">
        <w:t xml:space="preserve"> in the range of</w:t>
      </w:r>
      <w:r w:rsidR="000A0743">
        <w:t xml:space="preserve"> 42-47 mmol/mol [6.0-6.4%])</w:t>
      </w:r>
      <w:r w:rsidR="0083159C">
        <w:t xml:space="preserve"> </w:t>
      </w:r>
      <w:r w:rsidR="00090552">
        <w:t>or via an online self-referral questionnaire</w:t>
      </w:r>
      <w:r w:rsidR="00183E3B">
        <w:t xml:space="preserve"> [35]</w:t>
      </w:r>
      <w:r w:rsidR="00090552">
        <w:t>.</w:t>
      </w:r>
      <w:r w:rsidR="00CB1A11">
        <w:t xml:space="preserve"> This </w:t>
      </w:r>
      <w:r w:rsidR="00FF02D7">
        <w:t>question</w:t>
      </w:r>
      <w:r w:rsidR="00CB1A11">
        <w:t>naire included questions on</w:t>
      </w:r>
      <w:r w:rsidR="00FF02D7">
        <w:t xml:space="preserve"> age, gender, ethnicity</w:t>
      </w:r>
      <w:r w:rsidR="00CB1A11">
        <w:t>, waist circumference</w:t>
      </w:r>
      <w:r w:rsidR="00FF02D7">
        <w:t xml:space="preserve"> and </w:t>
      </w:r>
      <w:r w:rsidR="00CB1A11">
        <w:t>body</w:t>
      </w:r>
      <w:r w:rsidR="00FF02D7">
        <w:t>weight.</w:t>
      </w:r>
      <w:r w:rsidR="00090552">
        <w:t xml:space="preserve"> </w:t>
      </w:r>
      <w:r w:rsidR="00CB1A11">
        <w:t>If the questionnaire deemed individuals to be a</w:t>
      </w:r>
      <w:r w:rsidR="007A6FC9">
        <w:t>t</w:t>
      </w:r>
      <w:r w:rsidR="00CB1A11">
        <w:t xml:space="preserve"> medium or high risk, they could self-refer onto the programme. Service u</w:t>
      </w:r>
      <w:r w:rsidR="00090552">
        <w:t xml:space="preserve">sers were not eligible </w:t>
      </w:r>
      <w:r>
        <w:t>if they were pregnant or under</w:t>
      </w:r>
      <w:r w:rsidR="00090552">
        <w:t xml:space="preserve"> 18 years old. </w:t>
      </w:r>
    </w:p>
    <w:p w14:paraId="3DB02818" w14:textId="03375D49" w:rsidR="00090552" w:rsidRPr="007866EF" w:rsidRDefault="003528FC" w:rsidP="00536FB1">
      <w:pPr>
        <w:spacing w:after="0" w:line="480" w:lineRule="auto"/>
        <w:rPr>
          <w:b/>
        </w:rPr>
      </w:pPr>
      <w:r>
        <w:rPr>
          <w:b/>
        </w:rPr>
        <w:t>2.4</w:t>
      </w:r>
      <w:r w:rsidR="00B504E8">
        <w:rPr>
          <w:b/>
        </w:rPr>
        <w:t>.</w:t>
      </w:r>
      <w:r>
        <w:rPr>
          <w:b/>
        </w:rPr>
        <w:t xml:space="preserve"> </w:t>
      </w:r>
      <w:r w:rsidR="00837C96" w:rsidRPr="007866EF">
        <w:rPr>
          <w:b/>
        </w:rPr>
        <w:t xml:space="preserve">Procedures </w:t>
      </w:r>
    </w:p>
    <w:p w14:paraId="5EC44379" w14:textId="6906694A" w:rsidR="00086613" w:rsidRDefault="00905FBC" w:rsidP="00C4372E">
      <w:pPr>
        <w:spacing w:line="480" w:lineRule="auto"/>
        <w:ind w:firstLine="360"/>
      </w:pPr>
      <w:r>
        <w:t>Researchers</w:t>
      </w:r>
      <w:r w:rsidR="00090552">
        <w:t xml:space="preserve"> were in contact with the management st</w:t>
      </w:r>
      <w:r w:rsidR="00357CA1">
        <w:t>aff employed by each of the</w:t>
      </w:r>
      <w:r w:rsidR="00090552">
        <w:t xml:space="preserve"> providers to agree on the usage data fields they were able to share with the research team. We asked for specific </w:t>
      </w:r>
      <w:r w:rsidR="005C471B">
        <w:t xml:space="preserve">data fields that related to </w:t>
      </w:r>
      <w:r w:rsidR="00331135">
        <w:t>BCT usage</w:t>
      </w:r>
      <w:r w:rsidR="008F7533">
        <w:t xml:space="preserve"> (e.g. goal setting</w:t>
      </w:r>
      <w:r w:rsidR="00382D6F">
        <w:t>, self-monitoring</w:t>
      </w:r>
      <w:r w:rsidR="008F7533">
        <w:t>)</w:t>
      </w:r>
      <w:r w:rsidR="00090552">
        <w:t xml:space="preserve"> and other key features of the intervention such as</w:t>
      </w:r>
      <w:r w:rsidR="006746C8">
        <w:t xml:space="preserve"> access to educational content, </w:t>
      </w:r>
      <w:r w:rsidR="00A04DB8">
        <w:t xml:space="preserve">support from a health coach and </w:t>
      </w:r>
      <w:r w:rsidR="00090552">
        <w:t xml:space="preserve">group forum </w:t>
      </w:r>
      <w:r w:rsidR="00090552">
        <w:lastRenderedPageBreak/>
        <w:t>usage</w:t>
      </w:r>
      <w:r w:rsidR="00A04DB8">
        <w:t>, and data fields related to marke</w:t>
      </w:r>
      <w:r w:rsidR="002A79FB">
        <w:t>rs of use including time spent o</w:t>
      </w:r>
      <w:r w:rsidR="00A04DB8">
        <w:t>n the app</w:t>
      </w:r>
      <w:r w:rsidR="00090552">
        <w:t>.</w:t>
      </w:r>
      <w:r w:rsidR="005C471B" w:rsidRPr="005C471B">
        <w:t xml:space="preserve"> </w:t>
      </w:r>
      <w:r w:rsidR="00E872B0">
        <w:t>An opt-out consent method</w:t>
      </w:r>
      <w:r w:rsidR="00172D36">
        <w:t xml:space="preserve"> for service users</w:t>
      </w:r>
      <w:r w:rsidR="00E872B0">
        <w:t xml:space="preserve"> wa</w:t>
      </w:r>
      <w:r w:rsidR="00FF02D7">
        <w:t xml:space="preserve">s </w:t>
      </w:r>
      <w:r w:rsidR="00E872B0">
        <w:t xml:space="preserve">agreed with each provider. </w:t>
      </w:r>
      <w:r w:rsidR="00172D36">
        <w:t xml:space="preserve">This consisted of an information statement included in each of the providers’ terms and conditions/privacy policies when service users signed up to download the provider apps. </w:t>
      </w:r>
      <w:r w:rsidR="00E872B0">
        <w:t>This approach ensured that participants were not likely to react to the assessment of usage data by changing their behaviours</w:t>
      </w:r>
      <w:r w:rsidR="002C3EEA">
        <w:t xml:space="preserve"> [3</w:t>
      </w:r>
      <w:r w:rsidR="00183E3B">
        <w:t>6</w:t>
      </w:r>
      <w:r w:rsidR="00FC74E2">
        <w:t>]</w:t>
      </w:r>
      <w:r w:rsidR="00A04DB8">
        <w:t xml:space="preserve">. </w:t>
      </w:r>
    </w:p>
    <w:p w14:paraId="473BACB8" w14:textId="79F5ECE9" w:rsidR="00090552" w:rsidRDefault="003528FC" w:rsidP="00536FB1">
      <w:pPr>
        <w:spacing w:after="0" w:line="480" w:lineRule="auto"/>
        <w:rPr>
          <w:b/>
        </w:rPr>
      </w:pPr>
      <w:r>
        <w:rPr>
          <w:b/>
        </w:rPr>
        <w:t>2.5</w:t>
      </w:r>
      <w:r w:rsidR="00B504E8">
        <w:rPr>
          <w:b/>
        </w:rPr>
        <w:t>.</w:t>
      </w:r>
      <w:r>
        <w:rPr>
          <w:b/>
        </w:rPr>
        <w:t xml:space="preserve"> </w:t>
      </w:r>
      <w:r w:rsidR="00090552" w:rsidRPr="00975B17">
        <w:rPr>
          <w:b/>
        </w:rPr>
        <w:t xml:space="preserve">Measures </w:t>
      </w:r>
    </w:p>
    <w:p w14:paraId="77351D6D" w14:textId="7C6776DE" w:rsidR="00C4372E" w:rsidRPr="00C4372E" w:rsidRDefault="00183E3B" w:rsidP="00C4372E">
      <w:pPr>
        <w:spacing w:line="480" w:lineRule="auto"/>
        <w:ind w:firstLine="360"/>
      </w:pPr>
      <w:r>
        <w:t>‘Effective engagement’ [23</w:t>
      </w:r>
      <w:r w:rsidR="00C4372E">
        <w:t xml:space="preserve">] was defined as engagement with key </w:t>
      </w:r>
      <w:r w:rsidR="002726BC">
        <w:t>components of the intervention</w:t>
      </w:r>
      <w:r w:rsidR="00C4372E">
        <w:t xml:space="preserve"> designed to help people improve their diet, increase their physical activity and achieve weight loss. In the NHS-DDPP, these included self-monitoring, goal setting, </w:t>
      </w:r>
      <w:r w:rsidR="00EB6B29">
        <w:t>receiving information</w:t>
      </w:r>
      <w:r w:rsidR="00C4372E">
        <w:t xml:space="preserve"> (via educational articles), and social support (via health coach and group forum). </w:t>
      </w:r>
      <w:r w:rsidR="00262608">
        <w:t>The current manuscript refers to these as ‘inter</w:t>
      </w:r>
      <w:r w:rsidR="000F1E8D">
        <w:t>vention features’</w:t>
      </w:r>
      <w:r w:rsidR="00262608">
        <w:t xml:space="preserve">. </w:t>
      </w:r>
      <w:r w:rsidR="00C4372E">
        <w:t xml:space="preserve">This was based on the key </w:t>
      </w:r>
      <w:r w:rsidR="00005C18">
        <w:t>components</w:t>
      </w:r>
      <w:r w:rsidR="00C4372E">
        <w:t xml:space="preserve"> specified for inclusi</w:t>
      </w:r>
      <w:r w:rsidR="00200666">
        <w:t>on in the NHS-DDPP [17</w:t>
      </w:r>
      <w:r w:rsidR="00C4372E">
        <w:t>], and identified in the researcher-d</w:t>
      </w:r>
      <w:r w:rsidR="002C3EEA">
        <w:t>eveloped NHS-DPP logic model [3</w:t>
      </w:r>
      <w:r>
        <w:t>7</w:t>
      </w:r>
      <w:r w:rsidR="00C4372E">
        <w:t xml:space="preserve">] informed by the underpinning evidence on diabetes prevention programmes to date. </w:t>
      </w:r>
    </w:p>
    <w:p w14:paraId="5C3048EA" w14:textId="535CD95C" w:rsidR="00D0207F" w:rsidRDefault="006A7CAA" w:rsidP="00D0207F">
      <w:pPr>
        <w:spacing w:line="480" w:lineRule="auto"/>
        <w:ind w:firstLine="360"/>
      </w:pPr>
      <w:r>
        <w:t>In line with the AMUsED framework</w:t>
      </w:r>
      <w:r w:rsidR="002F1152">
        <w:t xml:space="preserve"> </w:t>
      </w:r>
      <w:r w:rsidR="00183E3B">
        <w:t>[23</w:t>
      </w:r>
      <w:r w:rsidR="00FC74E2">
        <w:t>]</w:t>
      </w:r>
      <w:r>
        <w:t>, a</w:t>
      </w:r>
      <w:r w:rsidR="00E34D4F">
        <w:t>nalytic indicators</w:t>
      </w:r>
      <w:r w:rsidR="0096055E">
        <w:t xml:space="preserve"> for the current analysis focused on the </w:t>
      </w:r>
      <w:r w:rsidR="00E34D4F">
        <w:t>frequency of interactions with</w:t>
      </w:r>
      <w:r w:rsidR="0096055E">
        <w:t xml:space="preserve"> different intervention </w:t>
      </w:r>
      <w:r w:rsidR="00E34D4F">
        <w:t>features</w:t>
      </w:r>
      <w:r w:rsidR="00086613">
        <w:t xml:space="preserve"> over the nine</w:t>
      </w:r>
      <w:r w:rsidR="0096055E">
        <w:t>-month programme</w:t>
      </w:r>
      <w:r w:rsidR="005004DC">
        <w:t xml:space="preserve"> </w:t>
      </w:r>
      <w:r w:rsidR="00183E3B">
        <w:t>[38</w:t>
      </w:r>
      <w:r w:rsidR="00FC74E2">
        <w:t>]</w:t>
      </w:r>
      <w:r w:rsidR="0096055E">
        <w:t>.</w:t>
      </w:r>
      <w:r w:rsidR="00367439" w:rsidRPr="00367439">
        <w:t xml:space="preserve"> </w:t>
      </w:r>
      <w:r w:rsidR="001904B6">
        <w:t>(</w:t>
      </w:r>
      <w:r w:rsidR="00BE45B8">
        <w:t>See Appendix</w:t>
      </w:r>
      <w:r w:rsidR="00D30B1E">
        <w:t xml:space="preserve"> </w:t>
      </w:r>
      <w:r w:rsidR="00BF5536">
        <w:t>1</w:t>
      </w:r>
      <w:r w:rsidR="001904B6">
        <w:t>)</w:t>
      </w:r>
      <w:r w:rsidR="00367439">
        <w:t>.</w:t>
      </w:r>
      <w:r w:rsidR="00C679EB">
        <w:t xml:space="preserve"> </w:t>
      </w:r>
      <w:r w:rsidR="00090552">
        <w:t xml:space="preserve">Given that this was an independent evaluation of a national programme already implemented </w:t>
      </w:r>
      <w:r w:rsidR="00DC6F85">
        <w:t xml:space="preserve">in practice </w:t>
      </w:r>
      <w:r w:rsidR="00090552">
        <w:t>at the time of data collection, the research team were restricted to the data fields that</w:t>
      </w:r>
      <w:r w:rsidR="00160E8F">
        <w:t xml:space="preserve"> the digital</w:t>
      </w:r>
      <w:r w:rsidR="00090552">
        <w:t xml:space="preserve"> providers were able to share with </w:t>
      </w:r>
      <w:r w:rsidR="001A3DD8">
        <w:t xml:space="preserve">them </w:t>
      </w:r>
      <w:r w:rsidR="002F1152">
        <w:t>(e.g. provider</w:t>
      </w:r>
      <w:r w:rsidR="0041013C">
        <w:t>s</w:t>
      </w:r>
      <w:r w:rsidR="002F1152">
        <w:t xml:space="preserve"> might not routinely collect some data on intervention features requested by the research team)</w:t>
      </w:r>
      <w:r w:rsidR="00090552">
        <w:t xml:space="preserve">. </w:t>
      </w:r>
      <w:r w:rsidR="00922F6E">
        <w:t>Thus,</w:t>
      </w:r>
      <w:r w:rsidR="00DC6F85">
        <w:t xml:space="preserve"> data fields varied</w:t>
      </w:r>
      <w:r w:rsidR="00090552">
        <w:t xml:space="preserve"> across each provider (see Tabl</w:t>
      </w:r>
      <w:r w:rsidR="00E505DB">
        <w:t xml:space="preserve">e </w:t>
      </w:r>
      <w:r w:rsidR="00EF4737">
        <w:t>2</w:t>
      </w:r>
      <w:r w:rsidR="00090552">
        <w:t xml:space="preserve"> for a summary of engagement measures obtained from each provider</w:t>
      </w:r>
      <w:r w:rsidR="00BE45B8">
        <w:t xml:space="preserve"> and see Appendix</w:t>
      </w:r>
      <w:r w:rsidR="00D30B1E">
        <w:t xml:space="preserve"> </w:t>
      </w:r>
      <w:r w:rsidR="00BF5536">
        <w:t>2</w:t>
      </w:r>
      <w:r w:rsidR="0090386B">
        <w:t xml:space="preserve"> for definitions of data fields supplied by providers</w:t>
      </w:r>
      <w:r w:rsidR="00090552">
        <w:t>).</w:t>
      </w:r>
      <w:r w:rsidR="00160E8F">
        <w:t xml:space="preserve"> </w:t>
      </w:r>
    </w:p>
    <w:p w14:paraId="06F587CA" w14:textId="53FE17A9" w:rsidR="00CF3437" w:rsidRDefault="00CF3437" w:rsidP="006642F2">
      <w:pPr>
        <w:spacing w:line="480" w:lineRule="auto"/>
      </w:pPr>
    </w:p>
    <w:p w14:paraId="55DEA24F" w14:textId="65C4FB87" w:rsidR="00536FB1" w:rsidRDefault="00536FB1" w:rsidP="006642F2">
      <w:pPr>
        <w:spacing w:line="480" w:lineRule="auto"/>
      </w:pPr>
    </w:p>
    <w:p w14:paraId="50F24CF3" w14:textId="77777777" w:rsidR="00536FB1" w:rsidRDefault="00536FB1" w:rsidP="006642F2">
      <w:pPr>
        <w:spacing w:line="480" w:lineRule="auto"/>
      </w:pPr>
    </w:p>
    <w:p w14:paraId="7F4EEDC7" w14:textId="3EE23419" w:rsidR="0090386B" w:rsidRPr="00A07598" w:rsidRDefault="00331135" w:rsidP="006642F2">
      <w:pPr>
        <w:spacing w:line="480" w:lineRule="auto"/>
      </w:pPr>
      <w:r>
        <w:lastRenderedPageBreak/>
        <w:t>T</w:t>
      </w:r>
      <w:r w:rsidR="00E505DB">
        <w:t xml:space="preserve">able </w:t>
      </w:r>
      <w:r w:rsidR="00EF4737">
        <w:t>2</w:t>
      </w:r>
      <w:r w:rsidR="00090552" w:rsidRPr="00A07598">
        <w:t>. Summary of engagement measures included in usage data analysis across providers</w:t>
      </w:r>
    </w:p>
    <w:tbl>
      <w:tblPr>
        <w:tblStyle w:val="TableGrid"/>
        <w:tblW w:w="9209" w:type="dxa"/>
        <w:tblInd w:w="-572" w:type="dxa"/>
        <w:tblBorders>
          <w:left w:val="none" w:sz="0" w:space="0" w:color="auto"/>
          <w:right w:val="none" w:sz="0" w:space="0" w:color="auto"/>
          <w:insideV w:val="none" w:sz="0" w:space="0" w:color="auto"/>
        </w:tblBorders>
        <w:tblLook w:val="04A0" w:firstRow="1" w:lastRow="0" w:firstColumn="1" w:lastColumn="0" w:noHBand="0" w:noVBand="1"/>
      </w:tblPr>
      <w:tblGrid>
        <w:gridCol w:w="5807"/>
        <w:gridCol w:w="1134"/>
        <w:gridCol w:w="1134"/>
        <w:gridCol w:w="1134"/>
      </w:tblGrid>
      <w:tr w:rsidR="00D57362" w:rsidRPr="00A07598" w14:paraId="3F40257A" w14:textId="77777777" w:rsidTr="00A9476B">
        <w:tc>
          <w:tcPr>
            <w:tcW w:w="5807" w:type="dxa"/>
            <w:tcBorders>
              <w:top w:val="single" w:sz="4" w:space="0" w:color="FFFFFF" w:themeColor="background1"/>
              <w:bottom w:val="single" w:sz="4" w:space="0" w:color="auto"/>
            </w:tcBorders>
          </w:tcPr>
          <w:p w14:paraId="02A1ECC2" w14:textId="06B61C30" w:rsidR="00D57362" w:rsidRPr="00A07598" w:rsidRDefault="00D57362" w:rsidP="005004DC"/>
          <w:p w14:paraId="1904725F" w14:textId="77777777" w:rsidR="00D57362" w:rsidRPr="00A07598" w:rsidRDefault="00D57362" w:rsidP="005004DC"/>
        </w:tc>
        <w:tc>
          <w:tcPr>
            <w:tcW w:w="1134" w:type="dxa"/>
            <w:tcBorders>
              <w:bottom w:val="single" w:sz="4" w:space="0" w:color="auto"/>
            </w:tcBorders>
          </w:tcPr>
          <w:p w14:paraId="5AA45A37" w14:textId="77777777" w:rsidR="00D57362" w:rsidRPr="006746C8" w:rsidRDefault="00D57362" w:rsidP="005004DC">
            <w:pPr>
              <w:jc w:val="center"/>
              <w:rPr>
                <w:b/>
              </w:rPr>
            </w:pPr>
            <w:r w:rsidRPr="006746C8">
              <w:rPr>
                <w:b/>
              </w:rPr>
              <w:t>Provider A</w:t>
            </w:r>
          </w:p>
        </w:tc>
        <w:tc>
          <w:tcPr>
            <w:tcW w:w="1134" w:type="dxa"/>
            <w:tcBorders>
              <w:bottom w:val="single" w:sz="4" w:space="0" w:color="auto"/>
            </w:tcBorders>
          </w:tcPr>
          <w:p w14:paraId="3A57B37D" w14:textId="77777777" w:rsidR="00D57362" w:rsidRPr="006746C8" w:rsidRDefault="00D57362" w:rsidP="005004DC">
            <w:pPr>
              <w:jc w:val="center"/>
              <w:rPr>
                <w:b/>
              </w:rPr>
            </w:pPr>
            <w:r w:rsidRPr="006746C8">
              <w:rPr>
                <w:b/>
              </w:rPr>
              <w:t>Provider C</w:t>
            </w:r>
          </w:p>
        </w:tc>
        <w:tc>
          <w:tcPr>
            <w:tcW w:w="1134" w:type="dxa"/>
            <w:tcBorders>
              <w:bottom w:val="single" w:sz="4" w:space="0" w:color="auto"/>
            </w:tcBorders>
          </w:tcPr>
          <w:p w14:paraId="518D92A8" w14:textId="77777777" w:rsidR="00D57362" w:rsidRPr="006746C8" w:rsidRDefault="00D57362" w:rsidP="005004DC">
            <w:pPr>
              <w:jc w:val="center"/>
              <w:rPr>
                <w:b/>
              </w:rPr>
            </w:pPr>
            <w:r w:rsidRPr="006746C8">
              <w:rPr>
                <w:b/>
              </w:rPr>
              <w:t>Provider D</w:t>
            </w:r>
          </w:p>
        </w:tc>
      </w:tr>
      <w:tr w:rsidR="00AB6A55" w:rsidRPr="00A07598" w14:paraId="37C7C4C2" w14:textId="77777777" w:rsidTr="00A9476B">
        <w:tc>
          <w:tcPr>
            <w:tcW w:w="5807" w:type="dxa"/>
            <w:tcBorders>
              <w:top w:val="single" w:sz="4" w:space="0" w:color="auto"/>
              <w:bottom w:val="single" w:sz="4" w:space="0" w:color="auto"/>
            </w:tcBorders>
            <w:shd w:val="clear" w:color="auto" w:fill="auto"/>
          </w:tcPr>
          <w:p w14:paraId="2E5B4E3A" w14:textId="23037031" w:rsidR="00AB6A55" w:rsidRPr="00A07598" w:rsidRDefault="00A9476B" w:rsidP="00AB6A55">
            <w:r>
              <w:rPr>
                <w:b/>
              </w:rPr>
              <w:t>Self-monitoring and goal setting</w:t>
            </w:r>
          </w:p>
        </w:tc>
        <w:tc>
          <w:tcPr>
            <w:tcW w:w="1134" w:type="dxa"/>
            <w:tcBorders>
              <w:top w:val="single" w:sz="4" w:space="0" w:color="auto"/>
              <w:bottom w:val="single" w:sz="4" w:space="0" w:color="auto"/>
            </w:tcBorders>
            <w:shd w:val="clear" w:color="auto" w:fill="auto"/>
          </w:tcPr>
          <w:p w14:paraId="7FD4D9CA" w14:textId="77777777" w:rsidR="00AB6A55" w:rsidRPr="00A07598" w:rsidRDefault="00AB6A55" w:rsidP="00AB6A55">
            <w:pPr>
              <w:jc w:val="center"/>
            </w:pPr>
          </w:p>
        </w:tc>
        <w:tc>
          <w:tcPr>
            <w:tcW w:w="1134" w:type="dxa"/>
            <w:tcBorders>
              <w:top w:val="single" w:sz="4" w:space="0" w:color="auto"/>
              <w:bottom w:val="single" w:sz="4" w:space="0" w:color="auto"/>
            </w:tcBorders>
            <w:shd w:val="clear" w:color="auto" w:fill="auto"/>
          </w:tcPr>
          <w:p w14:paraId="23B4089B" w14:textId="77777777" w:rsidR="00AB6A55" w:rsidRPr="00A07598" w:rsidRDefault="00AB6A55" w:rsidP="00AB6A55">
            <w:pPr>
              <w:jc w:val="center"/>
            </w:pPr>
          </w:p>
        </w:tc>
        <w:tc>
          <w:tcPr>
            <w:tcW w:w="1134" w:type="dxa"/>
            <w:tcBorders>
              <w:top w:val="single" w:sz="4" w:space="0" w:color="auto"/>
              <w:bottom w:val="single" w:sz="4" w:space="0" w:color="auto"/>
            </w:tcBorders>
            <w:shd w:val="clear" w:color="auto" w:fill="auto"/>
          </w:tcPr>
          <w:p w14:paraId="4CBADD47" w14:textId="1FADBC22" w:rsidR="00AB6A55" w:rsidRPr="00A07598" w:rsidRDefault="00AB6A55" w:rsidP="00AB6A55">
            <w:pPr>
              <w:jc w:val="center"/>
            </w:pPr>
          </w:p>
        </w:tc>
      </w:tr>
      <w:tr w:rsidR="00A9476B" w:rsidRPr="00A07598" w14:paraId="48217163" w14:textId="77777777" w:rsidTr="00A9476B">
        <w:tc>
          <w:tcPr>
            <w:tcW w:w="5807" w:type="dxa"/>
            <w:tcBorders>
              <w:top w:val="single" w:sz="4" w:space="0" w:color="auto"/>
              <w:bottom w:val="nil"/>
            </w:tcBorders>
          </w:tcPr>
          <w:p w14:paraId="46B6ACAC" w14:textId="465F9E25" w:rsidR="00A9476B" w:rsidRDefault="00A9476B" w:rsidP="00A9476B">
            <w:r w:rsidRPr="00A07598">
              <w:t>Number of times</w:t>
            </w:r>
            <w:r>
              <w:t xml:space="preserve"> behaviours were</w:t>
            </w:r>
            <w:r w:rsidRPr="00A07598">
              <w:t xml:space="preserve"> self-monitored</w:t>
            </w:r>
          </w:p>
        </w:tc>
        <w:tc>
          <w:tcPr>
            <w:tcW w:w="1134" w:type="dxa"/>
            <w:tcBorders>
              <w:top w:val="single" w:sz="4" w:space="0" w:color="auto"/>
              <w:bottom w:val="nil"/>
            </w:tcBorders>
          </w:tcPr>
          <w:p w14:paraId="690B108F" w14:textId="6124E73C" w:rsidR="00A9476B" w:rsidRPr="00A07598" w:rsidRDefault="00A9476B" w:rsidP="00A9476B">
            <w:pPr>
              <w:jc w:val="center"/>
            </w:pPr>
            <w:r w:rsidRPr="00A07598">
              <w:sym w:font="Wingdings" w:char="F0FC"/>
            </w:r>
          </w:p>
        </w:tc>
        <w:tc>
          <w:tcPr>
            <w:tcW w:w="1134" w:type="dxa"/>
            <w:tcBorders>
              <w:top w:val="single" w:sz="4" w:space="0" w:color="auto"/>
              <w:bottom w:val="nil"/>
            </w:tcBorders>
          </w:tcPr>
          <w:p w14:paraId="68872220" w14:textId="5FC7C781" w:rsidR="00A9476B" w:rsidRPr="00A07598" w:rsidRDefault="00A9476B" w:rsidP="00A9476B">
            <w:pPr>
              <w:jc w:val="center"/>
            </w:pPr>
            <w:r w:rsidRPr="00A07598">
              <w:sym w:font="Wingdings" w:char="F0FC"/>
            </w:r>
          </w:p>
        </w:tc>
        <w:tc>
          <w:tcPr>
            <w:tcW w:w="1134" w:type="dxa"/>
            <w:tcBorders>
              <w:top w:val="single" w:sz="4" w:space="0" w:color="auto"/>
              <w:bottom w:val="nil"/>
            </w:tcBorders>
          </w:tcPr>
          <w:p w14:paraId="23352036" w14:textId="148B7DA3" w:rsidR="00A9476B" w:rsidRDefault="00A9476B" w:rsidP="00A9476B">
            <w:pPr>
              <w:jc w:val="center"/>
            </w:pPr>
            <w:r w:rsidRPr="00A07598">
              <w:sym w:font="Wingdings" w:char="F0FC"/>
            </w:r>
          </w:p>
        </w:tc>
      </w:tr>
      <w:tr w:rsidR="00A9476B" w:rsidRPr="00A07598" w14:paraId="4223D354" w14:textId="77777777" w:rsidTr="00A9476B">
        <w:tc>
          <w:tcPr>
            <w:tcW w:w="5807" w:type="dxa"/>
            <w:tcBorders>
              <w:top w:val="nil"/>
              <w:bottom w:val="nil"/>
            </w:tcBorders>
          </w:tcPr>
          <w:p w14:paraId="39CCA836" w14:textId="589984E0" w:rsidR="00A9476B" w:rsidRDefault="00A9476B" w:rsidP="00A9476B">
            <w:r>
              <w:t>Number of times outcomes were</w:t>
            </w:r>
            <w:r w:rsidRPr="00A07598">
              <w:t xml:space="preserve"> self-monitored</w:t>
            </w:r>
          </w:p>
        </w:tc>
        <w:tc>
          <w:tcPr>
            <w:tcW w:w="1134" w:type="dxa"/>
            <w:tcBorders>
              <w:top w:val="nil"/>
              <w:bottom w:val="nil"/>
            </w:tcBorders>
          </w:tcPr>
          <w:p w14:paraId="7B5DEDD7" w14:textId="4BFEB6B2" w:rsidR="00A9476B" w:rsidRPr="00A07598" w:rsidRDefault="00A9476B" w:rsidP="00A9476B">
            <w:pPr>
              <w:jc w:val="center"/>
            </w:pPr>
            <w:r w:rsidRPr="00A07598">
              <w:sym w:font="Wingdings" w:char="F0FC"/>
            </w:r>
          </w:p>
        </w:tc>
        <w:tc>
          <w:tcPr>
            <w:tcW w:w="1134" w:type="dxa"/>
            <w:tcBorders>
              <w:top w:val="nil"/>
              <w:bottom w:val="nil"/>
            </w:tcBorders>
          </w:tcPr>
          <w:p w14:paraId="5D7A4338" w14:textId="05B3AE19" w:rsidR="00A9476B" w:rsidRPr="00A07598" w:rsidRDefault="00A9476B" w:rsidP="00A9476B">
            <w:pPr>
              <w:jc w:val="center"/>
            </w:pPr>
            <w:r w:rsidRPr="00A07598">
              <w:sym w:font="Wingdings" w:char="F0FC"/>
            </w:r>
          </w:p>
        </w:tc>
        <w:tc>
          <w:tcPr>
            <w:tcW w:w="1134" w:type="dxa"/>
            <w:tcBorders>
              <w:top w:val="nil"/>
              <w:bottom w:val="nil"/>
            </w:tcBorders>
          </w:tcPr>
          <w:p w14:paraId="3671ADC3" w14:textId="528F255F" w:rsidR="00A9476B" w:rsidRDefault="00A9476B" w:rsidP="00A9476B">
            <w:pPr>
              <w:jc w:val="center"/>
            </w:pPr>
            <w:r w:rsidRPr="00A07598">
              <w:sym w:font="Wingdings" w:char="F0FC"/>
            </w:r>
          </w:p>
        </w:tc>
      </w:tr>
      <w:tr w:rsidR="00A9476B" w:rsidRPr="00A07598" w14:paraId="738FB288" w14:textId="77777777" w:rsidTr="00A9476B">
        <w:tc>
          <w:tcPr>
            <w:tcW w:w="5807" w:type="dxa"/>
            <w:tcBorders>
              <w:top w:val="nil"/>
              <w:bottom w:val="nil"/>
            </w:tcBorders>
          </w:tcPr>
          <w:p w14:paraId="097C317C" w14:textId="05E2381B" w:rsidR="00A9476B" w:rsidRDefault="00A9476B" w:rsidP="00A9476B">
            <w:r w:rsidRPr="00420A74">
              <w:t>Number of times a behavioural and/or out</w:t>
            </w:r>
            <w:r>
              <w:t>come goal was set or amended</w:t>
            </w:r>
          </w:p>
        </w:tc>
        <w:tc>
          <w:tcPr>
            <w:tcW w:w="1134" w:type="dxa"/>
            <w:tcBorders>
              <w:top w:val="nil"/>
              <w:bottom w:val="nil"/>
            </w:tcBorders>
          </w:tcPr>
          <w:p w14:paraId="7C831FB6" w14:textId="55497074" w:rsidR="00A9476B" w:rsidRPr="00A07598" w:rsidRDefault="00A9476B" w:rsidP="00A9476B">
            <w:pPr>
              <w:jc w:val="center"/>
            </w:pPr>
            <w:r w:rsidRPr="00A07598">
              <w:sym w:font="Wingdings" w:char="F0FC"/>
            </w:r>
          </w:p>
        </w:tc>
        <w:tc>
          <w:tcPr>
            <w:tcW w:w="1134" w:type="dxa"/>
            <w:tcBorders>
              <w:top w:val="nil"/>
              <w:bottom w:val="nil"/>
            </w:tcBorders>
          </w:tcPr>
          <w:p w14:paraId="4D6475C3" w14:textId="7D6BFC9C" w:rsidR="00A9476B" w:rsidRPr="00A07598" w:rsidRDefault="00A9476B" w:rsidP="00A9476B">
            <w:pPr>
              <w:jc w:val="center"/>
            </w:pPr>
            <w:r w:rsidRPr="00A07598">
              <w:sym w:font="Wingdings" w:char="F0FC"/>
            </w:r>
          </w:p>
        </w:tc>
        <w:tc>
          <w:tcPr>
            <w:tcW w:w="1134" w:type="dxa"/>
            <w:tcBorders>
              <w:top w:val="nil"/>
              <w:bottom w:val="nil"/>
            </w:tcBorders>
          </w:tcPr>
          <w:p w14:paraId="2206A25E" w14:textId="4E1E925F" w:rsidR="00A9476B" w:rsidRDefault="00A9476B" w:rsidP="00A9476B">
            <w:pPr>
              <w:jc w:val="center"/>
            </w:pPr>
            <w:r w:rsidRPr="00A07598">
              <w:sym w:font="Wingdings" w:char="F0FC"/>
            </w:r>
          </w:p>
        </w:tc>
      </w:tr>
      <w:tr w:rsidR="00A9476B" w:rsidRPr="00A07598" w14:paraId="15B7E2BC" w14:textId="77777777" w:rsidTr="00A9476B">
        <w:tc>
          <w:tcPr>
            <w:tcW w:w="5807" w:type="dxa"/>
            <w:tcBorders>
              <w:top w:val="nil"/>
              <w:bottom w:val="nil"/>
            </w:tcBorders>
          </w:tcPr>
          <w:p w14:paraId="415853B1" w14:textId="6600F75D" w:rsidR="00A9476B" w:rsidRDefault="00A9476B" w:rsidP="00A9476B">
            <w:r w:rsidRPr="00A07598">
              <w:t xml:space="preserve">Number of times </w:t>
            </w:r>
            <w:r>
              <w:t>behavioural goals wer</w:t>
            </w:r>
            <w:r w:rsidRPr="00A07598">
              <w:t>e set</w:t>
            </w:r>
          </w:p>
        </w:tc>
        <w:tc>
          <w:tcPr>
            <w:tcW w:w="1134" w:type="dxa"/>
            <w:tcBorders>
              <w:top w:val="nil"/>
              <w:bottom w:val="nil"/>
            </w:tcBorders>
          </w:tcPr>
          <w:p w14:paraId="748F9453" w14:textId="23D9C59C" w:rsidR="00A9476B" w:rsidRPr="00A07598" w:rsidRDefault="00A9476B" w:rsidP="00A9476B">
            <w:pPr>
              <w:jc w:val="center"/>
            </w:pPr>
            <w:r w:rsidRPr="00A07598">
              <w:sym w:font="Wingdings" w:char="F0FB"/>
            </w:r>
          </w:p>
        </w:tc>
        <w:tc>
          <w:tcPr>
            <w:tcW w:w="1134" w:type="dxa"/>
            <w:tcBorders>
              <w:top w:val="nil"/>
              <w:bottom w:val="nil"/>
            </w:tcBorders>
          </w:tcPr>
          <w:p w14:paraId="433A2AFD" w14:textId="747EA60B" w:rsidR="00A9476B" w:rsidRPr="00A07598" w:rsidRDefault="00A9476B" w:rsidP="00A9476B">
            <w:pPr>
              <w:jc w:val="center"/>
            </w:pPr>
            <w:r w:rsidRPr="00A07598">
              <w:sym w:font="Wingdings" w:char="F0FC"/>
            </w:r>
          </w:p>
        </w:tc>
        <w:tc>
          <w:tcPr>
            <w:tcW w:w="1134" w:type="dxa"/>
            <w:tcBorders>
              <w:top w:val="nil"/>
              <w:bottom w:val="nil"/>
            </w:tcBorders>
          </w:tcPr>
          <w:p w14:paraId="2990090C" w14:textId="0B4EB84C" w:rsidR="00A9476B" w:rsidRDefault="00A9476B" w:rsidP="00A9476B">
            <w:pPr>
              <w:jc w:val="center"/>
            </w:pPr>
            <w:r w:rsidRPr="00A07598">
              <w:sym w:font="Wingdings" w:char="F0FC"/>
            </w:r>
          </w:p>
        </w:tc>
      </w:tr>
      <w:tr w:rsidR="00A9476B" w:rsidRPr="00A07598" w14:paraId="19A0CA99" w14:textId="77777777" w:rsidTr="00A9476B">
        <w:tc>
          <w:tcPr>
            <w:tcW w:w="5807" w:type="dxa"/>
            <w:tcBorders>
              <w:top w:val="nil"/>
              <w:bottom w:val="single" w:sz="4" w:space="0" w:color="auto"/>
            </w:tcBorders>
          </w:tcPr>
          <w:p w14:paraId="4B26DEAA" w14:textId="127E1DED" w:rsidR="00A9476B" w:rsidRDefault="00A9476B" w:rsidP="00A9476B">
            <w:r>
              <w:t>Number of times outcome goals wer</w:t>
            </w:r>
            <w:r w:rsidRPr="00A07598">
              <w:t>e set</w:t>
            </w:r>
          </w:p>
        </w:tc>
        <w:tc>
          <w:tcPr>
            <w:tcW w:w="1134" w:type="dxa"/>
            <w:tcBorders>
              <w:top w:val="nil"/>
              <w:bottom w:val="single" w:sz="4" w:space="0" w:color="auto"/>
            </w:tcBorders>
          </w:tcPr>
          <w:p w14:paraId="2D3907FC" w14:textId="09204436" w:rsidR="00A9476B" w:rsidRPr="00A07598" w:rsidRDefault="00A9476B" w:rsidP="00A9476B">
            <w:pPr>
              <w:jc w:val="center"/>
            </w:pPr>
            <w:r w:rsidRPr="00A07598">
              <w:sym w:font="Wingdings" w:char="F0FB"/>
            </w:r>
          </w:p>
        </w:tc>
        <w:tc>
          <w:tcPr>
            <w:tcW w:w="1134" w:type="dxa"/>
            <w:tcBorders>
              <w:top w:val="nil"/>
              <w:bottom w:val="single" w:sz="4" w:space="0" w:color="auto"/>
            </w:tcBorders>
          </w:tcPr>
          <w:p w14:paraId="7FF41B6B" w14:textId="35E58D55" w:rsidR="00A9476B" w:rsidRPr="00A07598" w:rsidRDefault="00A9476B" w:rsidP="00A9476B">
            <w:pPr>
              <w:jc w:val="center"/>
            </w:pPr>
            <w:r w:rsidRPr="00A07598">
              <w:sym w:font="Wingdings" w:char="F0FC"/>
            </w:r>
          </w:p>
        </w:tc>
        <w:tc>
          <w:tcPr>
            <w:tcW w:w="1134" w:type="dxa"/>
            <w:tcBorders>
              <w:top w:val="nil"/>
              <w:bottom w:val="nil"/>
            </w:tcBorders>
          </w:tcPr>
          <w:p w14:paraId="52CCE602" w14:textId="07E25FB3" w:rsidR="00A9476B" w:rsidRDefault="00A9476B" w:rsidP="00A9476B">
            <w:pPr>
              <w:jc w:val="center"/>
            </w:pPr>
            <w:r w:rsidRPr="00A07598">
              <w:sym w:font="Wingdings" w:char="F0FC"/>
            </w:r>
          </w:p>
        </w:tc>
      </w:tr>
      <w:tr w:rsidR="00A9476B" w:rsidRPr="00A07598" w14:paraId="568B86B7" w14:textId="77777777" w:rsidTr="00A9476B">
        <w:tc>
          <w:tcPr>
            <w:tcW w:w="9209" w:type="dxa"/>
            <w:gridSpan w:val="4"/>
            <w:tcBorders>
              <w:top w:val="single" w:sz="4" w:space="0" w:color="auto"/>
              <w:bottom w:val="single" w:sz="4" w:space="0" w:color="auto"/>
            </w:tcBorders>
          </w:tcPr>
          <w:p w14:paraId="523857C2" w14:textId="3F3CBE13" w:rsidR="00A9476B" w:rsidRDefault="00A9476B" w:rsidP="00A9476B">
            <w:r>
              <w:rPr>
                <w:b/>
              </w:rPr>
              <w:t>Educational content</w:t>
            </w:r>
          </w:p>
        </w:tc>
      </w:tr>
      <w:tr w:rsidR="00A9476B" w:rsidRPr="00A07598" w14:paraId="0ED932C5" w14:textId="77777777" w:rsidTr="00A9476B">
        <w:tc>
          <w:tcPr>
            <w:tcW w:w="5807" w:type="dxa"/>
            <w:tcBorders>
              <w:top w:val="single" w:sz="4" w:space="0" w:color="auto"/>
              <w:bottom w:val="nil"/>
            </w:tcBorders>
          </w:tcPr>
          <w:p w14:paraId="7D834ADF" w14:textId="2292CEA8" w:rsidR="00A9476B" w:rsidRDefault="00A9476B" w:rsidP="00A9476B">
            <w:r>
              <w:t>Number of times</w:t>
            </w:r>
            <w:r w:rsidR="007C51E5">
              <w:t xml:space="preserve"> any</w:t>
            </w:r>
            <w:r>
              <w:t xml:space="preserve"> </w:t>
            </w:r>
            <w:r w:rsidRPr="00A07598">
              <w:t>articles were accessed</w:t>
            </w:r>
          </w:p>
        </w:tc>
        <w:tc>
          <w:tcPr>
            <w:tcW w:w="1134" w:type="dxa"/>
            <w:tcBorders>
              <w:top w:val="single" w:sz="4" w:space="0" w:color="auto"/>
              <w:bottom w:val="nil"/>
            </w:tcBorders>
          </w:tcPr>
          <w:p w14:paraId="30DC4ABE" w14:textId="47FF9F1B" w:rsidR="00A9476B" w:rsidRPr="00A07598" w:rsidRDefault="00A9476B" w:rsidP="00A9476B">
            <w:pPr>
              <w:jc w:val="center"/>
            </w:pPr>
            <w:r w:rsidRPr="00A07598">
              <w:sym w:font="Wingdings" w:char="F0FC"/>
            </w:r>
          </w:p>
        </w:tc>
        <w:tc>
          <w:tcPr>
            <w:tcW w:w="1134" w:type="dxa"/>
            <w:tcBorders>
              <w:top w:val="single" w:sz="4" w:space="0" w:color="auto"/>
              <w:bottom w:val="nil"/>
            </w:tcBorders>
          </w:tcPr>
          <w:p w14:paraId="0E2C2D13" w14:textId="3487A341" w:rsidR="00A9476B" w:rsidRPr="00A07598" w:rsidRDefault="00A9476B" w:rsidP="00A9476B">
            <w:pPr>
              <w:jc w:val="center"/>
            </w:pPr>
            <w:r w:rsidRPr="00A07598">
              <w:sym w:font="Wingdings" w:char="F0FB"/>
            </w:r>
          </w:p>
        </w:tc>
        <w:tc>
          <w:tcPr>
            <w:tcW w:w="1134" w:type="dxa"/>
            <w:tcBorders>
              <w:top w:val="single" w:sz="4" w:space="0" w:color="auto"/>
              <w:bottom w:val="nil"/>
            </w:tcBorders>
          </w:tcPr>
          <w:p w14:paraId="4FC9E168" w14:textId="1BCD1EBD" w:rsidR="00A9476B" w:rsidRDefault="00A9476B" w:rsidP="00A9476B">
            <w:pPr>
              <w:jc w:val="center"/>
            </w:pPr>
            <w:r w:rsidRPr="00A07598">
              <w:sym w:font="Wingdings" w:char="F0FC"/>
            </w:r>
          </w:p>
        </w:tc>
      </w:tr>
      <w:tr w:rsidR="00A9476B" w:rsidRPr="00A07598" w14:paraId="050342B8" w14:textId="77777777" w:rsidTr="00A9476B">
        <w:tc>
          <w:tcPr>
            <w:tcW w:w="5807" w:type="dxa"/>
            <w:tcBorders>
              <w:top w:val="nil"/>
              <w:bottom w:val="nil"/>
            </w:tcBorders>
          </w:tcPr>
          <w:p w14:paraId="58211A3A" w14:textId="75CEDBA4" w:rsidR="00A9476B" w:rsidRDefault="00A9476B" w:rsidP="00A9476B">
            <w:r w:rsidRPr="00A07598">
              <w:t>Number of</w:t>
            </w:r>
            <w:r>
              <w:t xml:space="preserve"> times unique articles wer</w:t>
            </w:r>
            <w:r w:rsidRPr="00A07598">
              <w:t>e accessed</w:t>
            </w:r>
          </w:p>
        </w:tc>
        <w:tc>
          <w:tcPr>
            <w:tcW w:w="1134" w:type="dxa"/>
            <w:tcBorders>
              <w:top w:val="nil"/>
              <w:bottom w:val="nil"/>
            </w:tcBorders>
          </w:tcPr>
          <w:p w14:paraId="08F7F678" w14:textId="08DE2D6D" w:rsidR="00A9476B" w:rsidRPr="00A07598" w:rsidRDefault="00A9476B" w:rsidP="00A9476B">
            <w:pPr>
              <w:jc w:val="center"/>
            </w:pPr>
            <w:r w:rsidRPr="00A07598">
              <w:sym w:font="Wingdings" w:char="F0FC"/>
            </w:r>
          </w:p>
        </w:tc>
        <w:tc>
          <w:tcPr>
            <w:tcW w:w="1134" w:type="dxa"/>
            <w:tcBorders>
              <w:top w:val="nil"/>
              <w:bottom w:val="nil"/>
            </w:tcBorders>
          </w:tcPr>
          <w:p w14:paraId="2BB71371" w14:textId="4E815556" w:rsidR="00A9476B" w:rsidRPr="00A07598" w:rsidRDefault="00A9476B" w:rsidP="00A9476B">
            <w:pPr>
              <w:jc w:val="center"/>
            </w:pPr>
            <w:r w:rsidRPr="00A07598">
              <w:sym w:font="Wingdings" w:char="F0FB"/>
            </w:r>
          </w:p>
        </w:tc>
        <w:tc>
          <w:tcPr>
            <w:tcW w:w="1134" w:type="dxa"/>
            <w:tcBorders>
              <w:top w:val="nil"/>
              <w:bottom w:val="nil"/>
            </w:tcBorders>
          </w:tcPr>
          <w:p w14:paraId="29719238" w14:textId="454B537E" w:rsidR="00A9476B" w:rsidRDefault="00A9476B" w:rsidP="00A9476B">
            <w:pPr>
              <w:jc w:val="center"/>
            </w:pPr>
            <w:r w:rsidRPr="00A07598">
              <w:sym w:font="Wingdings" w:char="F0FC"/>
            </w:r>
          </w:p>
        </w:tc>
      </w:tr>
      <w:tr w:rsidR="00A9476B" w:rsidRPr="00A07598" w14:paraId="177B180F" w14:textId="77777777" w:rsidTr="00A9476B">
        <w:tc>
          <w:tcPr>
            <w:tcW w:w="5807" w:type="dxa"/>
            <w:tcBorders>
              <w:top w:val="nil"/>
              <w:bottom w:val="single" w:sz="4" w:space="0" w:color="auto"/>
            </w:tcBorders>
          </w:tcPr>
          <w:p w14:paraId="66C83D09" w14:textId="1D08C3A7" w:rsidR="00A9476B" w:rsidRDefault="00A9476B" w:rsidP="00A9476B">
            <w:r w:rsidRPr="00A07598">
              <w:t xml:space="preserve">Number of </w:t>
            </w:r>
            <w:r>
              <w:t>times educational content was sent</w:t>
            </w:r>
            <w:r w:rsidR="007C51E5">
              <w:t xml:space="preserve"> from health coach</w:t>
            </w:r>
          </w:p>
        </w:tc>
        <w:tc>
          <w:tcPr>
            <w:tcW w:w="1134" w:type="dxa"/>
            <w:tcBorders>
              <w:top w:val="nil"/>
              <w:bottom w:val="single" w:sz="4" w:space="0" w:color="auto"/>
            </w:tcBorders>
          </w:tcPr>
          <w:p w14:paraId="2ADA7F8D" w14:textId="772B4692" w:rsidR="00A9476B" w:rsidRPr="00A07598" w:rsidRDefault="00A9476B" w:rsidP="00A9476B">
            <w:pPr>
              <w:jc w:val="center"/>
            </w:pPr>
            <w:r w:rsidRPr="00A07598">
              <w:t>n/a</w:t>
            </w:r>
          </w:p>
        </w:tc>
        <w:tc>
          <w:tcPr>
            <w:tcW w:w="1134" w:type="dxa"/>
            <w:tcBorders>
              <w:top w:val="nil"/>
              <w:bottom w:val="single" w:sz="4" w:space="0" w:color="auto"/>
            </w:tcBorders>
          </w:tcPr>
          <w:p w14:paraId="1B5C12AD" w14:textId="523F51CA" w:rsidR="00A9476B" w:rsidRPr="00A07598" w:rsidRDefault="00A9476B" w:rsidP="00A9476B">
            <w:pPr>
              <w:jc w:val="center"/>
            </w:pPr>
            <w:r w:rsidRPr="00A07598">
              <w:sym w:font="Wingdings" w:char="F0FC"/>
            </w:r>
          </w:p>
        </w:tc>
        <w:tc>
          <w:tcPr>
            <w:tcW w:w="1134" w:type="dxa"/>
            <w:tcBorders>
              <w:top w:val="nil"/>
              <w:bottom w:val="nil"/>
            </w:tcBorders>
          </w:tcPr>
          <w:p w14:paraId="36453125" w14:textId="1465CB51" w:rsidR="00A9476B" w:rsidRDefault="00A9476B" w:rsidP="00A9476B">
            <w:pPr>
              <w:jc w:val="center"/>
            </w:pPr>
            <w:r w:rsidRPr="00A07598">
              <w:t>n/a</w:t>
            </w:r>
          </w:p>
        </w:tc>
      </w:tr>
      <w:tr w:rsidR="00A9476B" w:rsidRPr="00A07598" w14:paraId="28B17F20" w14:textId="77777777" w:rsidTr="00A9476B">
        <w:tc>
          <w:tcPr>
            <w:tcW w:w="9209" w:type="dxa"/>
            <w:gridSpan w:val="4"/>
            <w:tcBorders>
              <w:top w:val="single" w:sz="4" w:space="0" w:color="auto"/>
              <w:bottom w:val="single" w:sz="4" w:space="0" w:color="auto"/>
            </w:tcBorders>
          </w:tcPr>
          <w:p w14:paraId="6A8C6FFF" w14:textId="5A5E9368" w:rsidR="00A9476B" w:rsidRPr="00A07598" w:rsidRDefault="00A9476B" w:rsidP="00A9476B">
            <w:r>
              <w:rPr>
                <w:b/>
              </w:rPr>
              <w:t>Health coach support</w:t>
            </w:r>
          </w:p>
        </w:tc>
      </w:tr>
      <w:tr w:rsidR="00A9476B" w:rsidRPr="00A07598" w14:paraId="4F61B950" w14:textId="77777777" w:rsidTr="00A9476B">
        <w:tc>
          <w:tcPr>
            <w:tcW w:w="5807" w:type="dxa"/>
            <w:tcBorders>
              <w:top w:val="single" w:sz="4" w:space="0" w:color="auto"/>
              <w:bottom w:val="nil"/>
            </w:tcBorders>
          </w:tcPr>
          <w:p w14:paraId="4E8B8B05" w14:textId="174FEC88" w:rsidR="00A9476B" w:rsidRDefault="00A9476B" w:rsidP="00A9476B">
            <w:r w:rsidRPr="00A07598">
              <w:t>Number of calls with health coach</w:t>
            </w:r>
          </w:p>
        </w:tc>
        <w:tc>
          <w:tcPr>
            <w:tcW w:w="1134" w:type="dxa"/>
            <w:tcBorders>
              <w:top w:val="single" w:sz="4" w:space="0" w:color="auto"/>
              <w:bottom w:val="nil"/>
            </w:tcBorders>
          </w:tcPr>
          <w:p w14:paraId="5A61198E" w14:textId="27F211D5" w:rsidR="00A9476B" w:rsidRPr="00A07598" w:rsidRDefault="00A9476B" w:rsidP="00A9476B">
            <w:pPr>
              <w:jc w:val="center"/>
            </w:pPr>
            <w:r w:rsidRPr="00A07598">
              <w:sym w:font="Wingdings" w:char="F0FC"/>
            </w:r>
          </w:p>
        </w:tc>
        <w:tc>
          <w:tcPr>
            <w:tcW w:w="1134" w:type="dxa"/>
            <w:tcBorders>
              <w:top w:val="single" w:sz="4" w:space="0" w:color="auto"/>
              <w:bottom w:val="nil"/>
            </w:tcBorders>
          </w:tcPr>
          <w:p w14:paraId="5A1E3526" w14:textId="0CA2E004" w:rsidR="00A9476B" w:rsidRPr="00A07598" w:rsidRDefault="00A9476B" w:rsidP="00A9476B">
            <w:pPr>
              <w:jc w:val="center"/>
            </w:pPr>
            <w:r w:rsidRPr="00A07598">
              <w:sym w:font="Wingdings" w:char="F0FC"/>
            </w:r>
          </w:p>
        </w:tc>
        <w:tc>
          <w:tcPr>
            <w:tcW w:w="1134" w:type="dxa"/>
            <w:tcBorders>
              <w:top w:val="single" w:sz="4" w:space="0" w:color="auto"/>
              <w:bottom w:val="nil"/>
            </w:tcBorders>
          </w:tcPr>
          <w:p w14:paraId="53E9E778" w14:textId="1A7F0E2F" w:rsidR="00A9476B" w:rsidRDefault="00A9476B" w:rsidP="00A9476B">
            <w:pPr>
              <w:jc w:val="center"/>
            </w:pPr>
            <w:r w:rsidRPr="00A07598">
              <w:t>n/a</w:t>
            </w:r>
          </w:p>
        </w:tc>
      </w:tr>
      <w:tr w:rsidR="00A9476B" w:rsidRPr="00A07598" w14:paraId="0A419DA9" w14:textId="77777777" w:rsidTr="00A9476B">
        <w:tc>
          <w:tcPr>
            <w:tcW w:w="5807" w:type="dxa"/>
            <w:tcBorders>
              <w:top w:val="nil"/>
              <w:bottom w:val="nil"/>
            </w:tcBorders>
          </w:tcPr>
          <w:p w14:paraId="28408DFE" w14:textId="7149693B" w:rsidR="00A9476B" w:rsidRDefault="00A9476B" w:rsidP="00A9476B">
            <w:r>
              <w:t xml:space="preserve">Number of messages sent to health coach </w:t>
            </w:r>
            <w:r w:rsidR="00AE1DFF">
              <w:t>that have been responded to</w:t>
            </w:r>
          </w:p>
        </w:tc>
        <w:tc>
          <w:tcPr>
            <w:tcW w:w="1134" w:type="dxa"/>
            <w:tcBorders>
              <w:top w:val="nil"/>
              <w:bottom w:val="nil"/>
            </w:tcBorders>
          </w:tcPr>
          <w:p w14:paraId="4F941540" w14:textId="5B15D095" w:rsidR="00A9476B" w:rsidRPr="00A07598" w:rsidRDefault="00A9476B" w:rsidP="00A9476B">
            <w:pPr>
              <w:jc w:val="center"/>
            </w:pPr>
            <w:r w:rsidRPr="00A07598">
              <w:sym w:font="Wingdings" w:char="F0FC"/>
            </w:r>
          </w:p>
        </w:tc>
        <w:tc>
          <w:tcPr>
            <w:tcW w:w="1134" w:type="dxa"/>
            <w:tcBorders>
              <w:top w:val="nil"/>
              <w:bottom w:val="nil"/>
            </w:tcBorders>
          </w:tcPr>
          <w:p w14:paraId="7F001921" w14:textId="6EEFCA2E" w:rsidR="00A9476B" w:rsidRPr="00A07598" w:rsidRDefault="00A9476B" w:rsidP="00A9476B">
            <w:pPr>
              <w:jc w:val="center"/>
            </w:pPr>
            <w:r w:rsidRPr="00A07598">
              <w:sym w:font="Wingdings" w:char="F0FB"/>
            </w:r>
          </w:p>
        </w:tc>
        <w:tc>
          <w:tcPr>
            <w:tcW w:w="1134" w:type="dxa"/>
            <w:tcBorders>
              <w:top w:val="nil"/>
              <w:bottom w:val="nil"/>
            </w:tcBorders>
          </w:tcPr>
          <w:p w14:paraId="41D101DF" w14:textId="286E8040" w:rsidR="00A9476B" w:rsidRDefault="00A9476B" w:rsidP="00A9476B">
            <w:pPr>
              <w:jc w:val="center"/>
            </w:pPr>
            <w:r w:rsidRPr="00A07598">
              <w:sym w:font="Wingdings" w:char="F0FC"/>
            </w:r>
          </w:p>
        </w:tc>
      </w:tr>
      <w:tr w:rsidR="00A9476B" w:rsidRPr="00A07598" w14:paraId="54F8FC17" w14:textId="77777777" w:rsidTr="00A9476B">
        <w:tc>
          <w:tcPr>
            <w:tcW w:w="5807" w:type="dxa"/>
            <w:tcBorders>
              <w:top w:val="nil"/>
              <w:bottom w:val="nil"/>
            </w:tcBorders>
          </w:tcPr>
          <w:p w14:paraId="5DD6E698" w14:textId="66DC31C7" w:rsidR="00A9476B" w:rsidRDefault="00A9476B" w:rsidP="00A9476B">
            <w:r>
              <w:t>Number of messages sent from service user to health coach (including text, images and videos)</w:t>
            </w:r>
          </w:p>
        </w:tc>
        <w:tc>
          <w:tcPr>
            <w:tcW w:w="1134" w:type="dxa"/>
            <w:tcBorders>
              <w:top w:val="nil"/>
              <w:bottom w:val="nil"/>
            </w:tcBorders>
          </w:tcPr>
          <w:p w14:paraId="185939DA" w14:textId="55F1C4B8" w:rsidR="00A9476B" w:rsidRPr="00A07598" w:rsidRDefault="00A9476B" w:rsidP="00A9476B">
            <w:pPr>
              <w:jc w:val="center"/>
            </w:pPr>
            <w:r w:rsidRPr="00A07598">
              <w:sym w:font="Wingdings" w:char="F0FB"/>
            </w:r>
          </w:p>
        </w:tc>
        <w:tc>
          <w:tcPr>
            <w:tcW w:w="1134" w:type="dxa"/>
            <w:tcBorders>
              <w:top w:val="nil"/>
              <w:bottom w:val="nil"/>
            </w:tcBorders>
          </w:tcPr>
          <w:p w14:paraId="320D1180" w14:textId="3714B105" w:rsidR="00A9476B" w:rsidRPr="00A07598" w:rsidRDefault="00A9476B" w:rsidP="00A9476B">
            <w:pPr>
              <w:jc w:val="center"/>
            </w:pPr>
            <w:r w:rsidRPr="00A07598">
              <w:sym w:font="Wingdings" w:char="F0FC"/>
            </w:r>
          </w:p>
        </w:tc>
        <w:tc>
          <w:tcPr>
            <w:tcW w:w="1134" w:type="dxa"/>
            <w:tcBorders>
              <w:top w:val="nil"/>
              <w:bottom w:val="nil"/>
            </w:tcBorders>
          </w:tcPr>
          <w:p w14:paraId="3A6522E8" w14:textId="2BB55720" w:rsidR="00A9476B" w:rsidRDefault="00A9476B" w:rsidP="00A9476B">
            <w:pPr>
              <w:jc w:val="center"/>
            </w:pPr>
            <w:r w:rsidRPr="00A07598">
              <w:sym w:font="Wingdings" w:char="F0FB"/>
            </w:r>
          </w:p>
        </w:tc>
      </w:tr>
      <w:tr w:rsidR="00A9476B" w:rsidRPr="00A07598" w14:paraId="73D8BE24" w14:textId="77777777" w:rsidTr="00A9476B">
        <w:tc>
          <w:tcPr>
            <w:tcW w:w="5807" w:type="dxa"/>
            <w:tcBorders>
              <w:top w:val="nil"/>
              <w:bottom w:val="single" w:sz="4" w:space="0" w:color="auto"/>
            </w:tcBorders>
          </w:tcPr>
          <w:p w14:paraId="5EA46766" w14:textId="008C6A1B" w:rsidR="00A9476B" w:rsidRDefault="00AE1DFF" w:rsidP="00A9476B">
            <w:r>
              <w:t xml:space="preserve">Number of support messages sent from health coach  </w:t>
            </w:r>
            <w:r w:rsidR="00A9476B">
              <w:t>(including text, images, links and videos)</w:t>
            </w:r>
          </w:p>
        </w:tc>
        <w:tc>
          <w:tcPr>
            <w:tcW w:w="1134" w:type="dxa"/>
            <w:tcBorders>
              <w:top w:val="nil"/>
              <w:bottom w:val="single" w:sz="4" w:space="0" w:color="auto"/>
            </w:tcBorders>
          </w:tcPr>
          <w:p w14:paraId="641F8FC4" w14:textId="4E7C34B2" w:rsidR="00A9476B" w:rsidRPr="00A07598" w:rsidRDefault="00A9476B" w:rsidP="00A9476B">
            <w:pPr>
              <w:jc w:val="center"/>
            </w:pPr>
            <w:r w:rsidRPr="00A07598">
              <w:sym w:font="Wingdings" w:char="F0FB"/>
            </w:r>
          </w:p>
        </w:tc>
        <w:tc>
          <w:tcPr>
            <w:tcW w:w="1134" w:type="dxa"/>
            <w:tcBorders>
              <w:top w:val="nil"/>
              <w:bottom w:val="single" w:sz="4" w:space="0" w:color="auto"/>
            </w:tcBorders>
          </w:tcPr>
          <w:p w14:paraId="29DB38A2" w14:textId="0DFE6AE2" w:rsidR="00A9476B" w:rsidRPr="00A07598" w:rsidRDefault="00A9476B" w:rsidP="00A9476B">
            <w:pPr>
              <w:jc w:val="center"/>
            </w:pPr>
            <w:r w:rsidRPr="00A07598">
              <w:sym w:font="Wingdings" w:char="F0FC"/>
            </w:r>
          </w:p>
        </w:tc>
        <w:tc>
          <w:tcPr>
            <w:tcW w:w="1134" w:type="dxa"/>
            <w:tcBorders>
              <w:top w:val="nil"/>
              <w:bottom w:val="single" w:sz="4" w:space="0" w:color="auto"/>
            </w:tcBorders>
          </w:tcPr>
          <w:p w14:paraId="5A185DF1" w14:textId="3440F050" w:rsidR="00A9476B" w:rsidRDefault="00A9476B" w:rsidP="00A9476B">
            <w:pPr>
              <w:jc w:val="center"/>
            </w:pPr>
            <w:r w:rsidRPr="00A07598">
              <w:sym w:font="Wingdings" w:char="F0FB"/>
            </w:r>
          </w:p>
        </w:tc>
      </w:tr>
      <w:tr w:rsidR="00A9476B" w:rsidRPr="00A07598" w14:paraId="14767660" w14:textId="77777777" w:rsidTr="00A9476B">
        <w:tc>
          <w:tcPr>
            <w:tcW w:w="9209" w:type="dxa"/>
            <w:gridSpan w:val="4"/>
            <w:tcBorders>
              <w:top w:val="single" w:sz="4" w:space="0" w:color="auto"/>
              <w:bottom w:val="single" w:sz="4" w:space="0" w:color="auto"/>
            </w:tcBorders>
            <w:shd w:val="clear" w:color="auto" w:fill="auto"/>
          </w:tcPr>
          <w:p w14:paraId="6BB83281" w14:textId="612ABDC4" w:rsidR="00A9476B" w:rsidRPr="00A07598" w:rsidRDefault="00A9476B" w:rsidP="00A9476B">
            <w:r>
              <w:rPr>
                <w:b/>
              </w:rPr>
              <w:t>Group support</w:t>
            </w:r>
          </w:p>
        </w:tc>
      </w:tr>
      <w:tr w:rsidR="00FF3FEC" w:rsidRPr="00A07598" w14:paraId="0AB7E42A" w14:textId="77777777" w:rsidTr="00A9476B">
        <w:tc>
          <w:tcPr>
            <w:tcW w:w="5807" w:type="dxa"/>
            <w:tcBorders>
              <w:top w:val="single" w:sz="4" w:space="0" w:color="auto"/>
              <w:bottom w:val="nil"/>
            </w:tcBorders>
          </w:tcPr>
          <w:p w14:paraId="52593DE0" w14:textId="284AD09A" w:rsidR="00FF3FEC" w:rsidRDefault="00FF3FEC" w:rsidP="00FF3FEC">
            <w:r w:rsidRPr="00002CB7">
              <w:t>Number of peer messages sent in group chat</w:t>
            </w:r>
            <w:r>
              <w:t xml:space="preserve"> by service user </w:t>
            </w:r>
            <w:r>
              <w:rPr>
                <w:i/>
                <w:vertAlign w:val="superscript"/>
              </w:rPr>
              <w:t>a</w:t>
            </w:r>
          </w:p>
        </w:tc>
        <w:tc>
          <w:tcPr>
            <w:tcW w:w="1134" w:type="dxa"/>
            <w:tcBorders>
              <w:top w:val="single" w:sz="4" w:space="0" w:color="auto"/>
              <w:bottom w:val="nil"/>
            </w:tcBorders>
          </w:tcPr>
          <w:p w14:paraId="44A7927E" w14:textId="2A271B43" w:rsidR="00FF3FEC" w:rsidRPr="00A07598" w:rsidRDefault="00FF3FEC" w:rsidP="00FF3FEC">
            <w:pPr>
              <w:jc w:val="center"/>
            </w:pPr>
            <w:r>
              <w:t>n/a</w:t>
            </w:r>
          </w:p>
        </w:tc>
        <w:tc>
          <w:tcPr>
            <w:tcW w:w="1134" w:type="dxa"/>
            <w:tcBorders>
              <w:top w:val="single" w:sz="4" w:space="0" w:color="auto"/>
              <w:bottom w:val="nil"/>
            </w:tcBorders>
          </w:tcPr>
          <w:p w14:paraId="6BABB6A0" w14:textId="27028BC5" w:rsidR="00FF3FEC" w:rsidRPr="00A07598" w:rsidRDefault="00FF3FEC" w:rsidP="00FF3FEC">
            <w:pPr>
              <w:jc w:val="center"/>
            </w:pPr>
            <w:r>
              <w:t>n/a</w:t>
            </w:r>
          </w:p>
        </w:tc>
        <w:tc>
          <w:tcPr>
            <w:tcW w:w="1134" w:type="dxa"/>
            <w:tcBorders>
              <w:top w:val="single" w:sz="4" w:space="0" w:color="auto"/>
              <w:bottom w:val="nil"/>
            </w:tcBorders>
          </w:tcPr>
          <w:p w14:paraId="358A0393" w14:textId="4B3BA1D1" w:rsidR="00FF3FEC" w:rsidRDefault="00FF3FEC" w:rsidP="00FF3FEC">
            <w:pPr>
              <w:jc w:val="center"/>
            </w:pPr>
            <w:r w:rsidRPr="00A07598">
              <w:sym w:font="Wingdings" w:char="F0FC"/>
            </w:r>
          </w:p>
        </w:tc>
      </w:tr>
      <w:tr w:rsidR="00FF3FEC" w:rsidRPr="00A07598" w14:paraId="4A353CFD" w14:textId="77777777" w:rsidTr="00A9476B">
        <w:tc>
          <w:tcPr>
            <w:tcW w:w="5807" w:type="dxa"/>
            <w:tcBorders>
              <w:top w:val="nil"/>
              <w:bottom w:val="nil"/>
            </w:tcBorders>
          </w:tcPr>
          <w:p w14:paraId="793F64D7" w14:textId="57CADB30" w:rsidR="00FF3FEC" w:rsidRDefault="00FF3FEC" w:rsidP="00FF3FEC">
            <w:r w:rsidRPr="00C37C42">
              <w:t xml:space="preserve">Number of group posts in </w:t>
            </w:r>
            <w:r>
              <w:t xml:space="preserve">discussion </w:t>
            </w:r>
            <w:r w:rsidRPr="00C37C42">
              <w:t>forum</w:t>
            </w:r>
            <w:r>
              <w:t xml:space="preserve"> by service user </w:t>
            </w:r>
            <w:r>
              <w:rPr>
                <w:i/>
                <w:vertAlign w:val="superscript"/>
              </w:rPr>
              <w:t>b</w:t>
            </w:r>
          </w:p>
        </w:tc>
        <w:tc>
          <w:tcPr>
            <w:tcW w:w="1134" w:type="dxa"/>
            <w:tcBorders>
              <w:top w:val="nil"/>
              <w:bottom w:val="nil"/>
            </w:tcBorders>
          </w:tcPr>
          <w:p w14:paraId="100C7562" w14:textId="72CBAB38" w:rsidR="00FF3FEC" w:rsidRPr="00A07598" w:rsidRDefault="00FF3FEC" w:rsidP="00FF3FEC">
            <w:pPr>
              <w:jc w:val="center"/>
            </w:pPr>
            <w:r w:rsidRPr="00A07598">
              <w:t>n/a</w:t>
            </w:r>
          </w:p>
        </w:tc>
        <w:tc>
          <w:tcPr>
            <w:tcW w:w="1134" w:type="dxa"/>
            <w:tcBorders>
              <w:top w:val="nil"/>
              <w:bottom w:val="nil"/>
            </w:tcBorders>
          </w:tcPr>
          <w:p w14:paraId="48FFEC05" w14:textId="0A7471DE" w:rsidR="00FF3FEC" w:rsidRPr="00A07598" w:rsidRDefault="00FF3FEC" w:rsidP="00FF3FEC">
            <w:pPr>
              <w:jc w:val="center"/>
            </w:pPr>
            <w:r w:rsidRPr="00A07598">
              <w:sym w:font="Wingdings" w:char="F0FC"/>
            </w:r>
          </w:p>
        </w:tc>
        <w:tc>
          <w:tcPr>
            <w:tcW w:w="1134" w:type="dxa"/>
            <w:tcBorders>
              <w:top w:val="nil"/>
              <w:bottom w:val="nil"/>
            </w:tcBorders>
          </w:tcPr>
          <w:p w14:paraId="1D0E573B" w14:textId="4C0F2C62" w:rsidR="00FF3FEC" w:rsidRDefault="00FF3FEC" w:rsidP="00FF3FEC">
            <w:pPr>
              <w:jc w:val="center"/>
            </w:pPr>
            <w:r w:rsidRPr="00A07598">
              <w:sym w:font="Wingdings" w:char="F0FC"/>
            </w:r>
          </w:p>
        </w:tc>
      </w:tr>
      <w:tr w:rsidR="00FF3FEC" w:rsidRPr="00A07598" w14:paraId="5D8FA46A" w14:textId="77777777" w:rsidTr="00A9476B">
        <w:tc>
          <w:tcPr>
            <w:tcW w:w="5807" w:type="dxa"/>
            <w:tcBorders>
              <w:top w:val="nil"/>
              <w:bottom w:val="nil"/>
            </w:tcBorders>
          </w:tcPr>
          <w:p w14:paraId="71FC1434" w14:textId="40B91753" w:rsidR="00FF3FEC" w:rsidRDefault="00FF3FEC" w:rsidP="00FF3FEC">
            <w:r w:rsidRPr="00C37C42">
              <w:t>Number of comment</w:t>
            </w:r>
            <w:r>
              <w:t>s on group posts in discussion forum</w:t>
            </w:r>
            <w:r w:rsidR="001D7A59">
              <w:t xml:space="preserve"> by service user</w:t>
            </w:r>
            <w:r>
              <w:t xml:space="preserve"> </w:t>
            </w:r>
            <w:r>
              <w:rPr>
                <w:i/>
                <w:vertAlign w:val="superscript"/>
              </w:rPr>
              <w:t>b</w:t>
            </w:r>
          </w:p>
        </w:tc>
        <w:tc>
          <w:tcPr>
            <w:tcW w:w="1134" w:type="dxa"/>
            <w:tcBorders>
              <w:top w:val="nil"/>
              <w:bottom w:val="nil"/>
            </w:tcBorders>
          </w:tcPr>
          <w:p w14:paraId="6E9FF098" w14:textId="5957B710" w:rsidR="00FF3FEC" w:rsidRPr="00A07598" w:rsidRDefault="00FF3FEC" w:rsidP="00FF3FEC">
            <w:pPr>
              <w:jc w:val="center"/>
            </w:pPr>
            <w:r w:rsidRPr="00A07598">
              <w:t>n/a</w:t>
            </w:r>
          </w:p>
        </w:tc>
        <w:tc>
          <w:tcPr>
            <w:tcW w:w="1134" w:type="dxa"/>
            <w:tcBorders>
              <w:top w:val="nil"/>
              <w:bottom w:val="nil"/>
            </w:tcBorders>
          </w:tcPr>
          <w:p w14:paraId="08DDF208" w14:textId="1516BF60" w:rsidR="00FF3FEC" w:rsidRPr="00A07598" w:rsidRDefault="00FF3FEC" w:rsidP="00FF3FEC">
            <w:pPr>
              <w:jc w:val="center"/>
            </w:pPr>
            <w:r w:rsidRPr="00A07598">
              <w:sym w:font="Wingdings" w:char="F0FC"/>
            </w:r>
          </w:p>
        </w:tc>
        <w:tc>
          <w:tcPr>
            <w:tcW w:w="1134" w:type="dxa"/>
            <w:tcBorders>
              <w:top w:val="nil"/>
              <w:bottom w:val="nil"/>
            </w:tcBorders>
          </w:tcPr>
          <w:p w14:paraId="459AC54B" w14:textId="2A10DAD8" w:rsidR="00FF3FEC" w:rsidRDefault="00FF3FEC" w:rsidP="00FF3FEC">
            <w:pPr>
              <w:jc w:val="center"/>
            </w:pPr>
            <w:r w:rsidRPr="00A07598">
              <w:sym w:font="Wingdings" w:char="F0FC"/>
            </w:r>
          </w:p>
        </w:tc>
      </w:tr>
      <w:tr w:rsidR="00FF3FEC" w:rsidRPr="00A07598" w14:paraId="111C6FEF" w14:textId="77777777" w:rsidTr="00A9476B">
        <w:tc>
          <w:tcPr>
            <w:tcW w:w="5807" w:type="dxa"/>
            <w:tcBorders>
              <w:top w:val="nil"/>
              <w:bottom w:val="single" w:sz="4" w:space="0" w:color="auto"/>
            </w:tcBorders>
          </w:tcPr>
          <w:p w14:paraId="0E97A7FB" w14:textId="10B55353" w:rsidR="00FF3FEC" w:rsidRDefault="00FF3FEC" w:rsidP="00FF3FEC">
            <w:r w:rsidRPr="00C37C42">
              <w:t>Number of like</w:t>
            </w:r>
            <w:r>
              <w:t xml:space="preserve">s on group posts in discussion forum by service user </w:t>
            </w:r>
            <w:r w:rsidRPr="008E6BDF">
              <w:rPr>
                <w:i/>
                <w:vertAlign w:val="superscript"/>
              </w:rPr>
              <w:t>b</w:t>
            </w:r>
          </w:p>
        </w:tc>
        <w:tc>
          <w:tcPr>
            <w:tcW w:w="1134" w:type="dxa"/>
            <w:tcBorders>
              <w:top w:val="nil"/>
              <w:bottom w:val="single" w:sz="4" w:space="0" w:color="auto"/>
            </w:tcBorders>
          </w:tcPr>
          <w:p w14:paraId="6B140E2A" w14:textId="2A25DCDE" w:rsidR="00FF3FEC" w:rsidRPr="00A07598" w:rsidRDefault="00FF3FEC" w:rsidP="00FF3FEC">
            <w:pPr>
              <w:jc w:val="center"/>
            </w:pPr>
            <w:r w:rsidRPr="00A07598">
              <w:t>n/a</w:t>
            </w:r>
          </w:p>
        </w:tc>
        <w:tc>
          <w:tcPr>
            <w:tcW w:w="1134" w:type="dxa"/>
            <w:tcBorders>
              <w:top w:val="nil"/>
              <w:bottom w:val="single" w:sz="4" w:space="0" w:color="auto"/>
            </w:tcBorders>
          </w:tcPr>
          <w:p w14:paraId="7B70541F" w14:textId="0996FC1B" w:rsidR="00FF3FEC" w:rsidRPr="00A07598" w:rsidRDefault="00FF3FEC" w:rsidP="00FF3FEC">
            <w:pPr>
              <w:jc w:val="center"/>
            </w:pPr>
            <w:r w:rsidRPr="00A07598">
              <w:sym w:font="Wingdings" w:char="F0FC"/>
            </w:r>
          </w:p>
        </w:tc>
        <w:tc>
          <w:tcPr>
            <w:tcW w:w="1134" w:type="dxa"/>
            <w:tcBorders>
              <w:top w:val="nil"/>
              <w:bottom w:val="nil"/>
            </w:tcBorders>
          </w:tcPr>
          <w:p w14:paraId="1F5814A3" w14:textId="5191CC56" w:rsidR="00FF3FEC" w:rsidRDefault="00FF3FEC" w:rsidP="00FF3FEC">
            <w:pPr>
              <w:jc w:val="center"/>
            </w:pPr>
            <w:r w:rsidRPr="00A07598">
              <w:sym w:font="Wingdings" w:char="F0FC"/>
            </w:r>
          </w:p>
        </w:tc>
      </w:tr>
      <w:tr w:rsidR="00A9476B" w:rsidRPr="00A07598" w14:paraId="72E6BAD3" w14:textId="77777777" w:rsidTr="00A9476B">
        <w:tc>
          <w:tcPr>
            <w:tcW w:w="9209" w:type="dxa"/>
            <w:gridSpan w:val="4"/>
            <w:tcBorders>
              <w:top w:val="single" w:sz="4" w:space="0" w:color="auto"/>
              <w:bottom w:val="single" w:sz="4" w:space="0" w:color="auto"/>
            </w:tcBorders>
            <w:shd w:val="clear" w:color="auto" w:fill="auto"/>
          </w:tcPr>
          <w:p w14:paraId="29F68F5D" w14:textId="1131FC4B" w:rsidR="00A9476B" w:rsidRPr="003778B4" w:rsidRDefault="00A9476B" w:rsidP="004C6176">
            <w:pPr>
              <w:rPr>
                <w:b/>
              </w:rPr>
            </w:pPr>
            <w:r>
              <w:rPr>
                <w:b/>
              </w:rPr>
              <w:t>App usage</w:t>
            </w:r>
          </w:p>
        </w:tc>
      </w:tr>
      <w:tr w:rsidR="00A9476B" w:rsidRPr="00A07598" w14:paraId="69577806" w14:textId="77777777" w:rsidTr="00A9476B">
        <w:tc>
          <w:tcPr>
            <w:tcW w:w="5807" w:type="dxa"/>
            <w:tcBorders>
              <w:top w:val="single" w:sz="4" w:space="0" w:color="auto"/>
            </w:tcBorders>
          </w:tcPr>
          <w:p w14:paraId="66E502BB" w14:textId="36652748" w:rsidR="00A9476B" w:rsidRPr="00A07598" w:rsidRDefault="00A9476B" w:rsidP="00A9476B">
            <w:r w:rsidRPr="00A07598">
              <w:t>Number of minutes spent on the app</w:t>
            </w:r>
            <w:r w:rsidR="004B4BEF">
              <w:t xml:space="preserve"> </w:t>
            </w:r>
            <w:r w:rsidR="004B4BEF" w:rsidRPr="004B4BEF">
              <w:rPr>
                <w:vertAlign w:val="superscript"/>
              </w:rPr>
              <w:t>c</w:t>
            </w:r>
          </w:p>
        </w:tc>
        <w:tc>
          <w:tcPr>
            <w:tcW w:w="1134" w:type="dxa"/>
            <w:tcBorders>
              <w:top w:val="nil"/>
            </w:tcBorders>
          </w:tcPr>
          <w:p w14:paraId="7AA6A143" w14:textId="77777777" w:rsidR="00A9476B" w:rsidRPr="00A07598" w:rsidRDefault="00A9476B" w:rsidP="00A9476B">
            <w:pPr>
              <w:jc w:val="center"/>
            </w:pPr>
            <w:r w:rsidRPr="00A07598">
              <w:sym w:font="Wingdings" w:char="F0FC"/>
            </w:r>
          </w:p>
        </w:tc>
        <w:tc>
          <w:tcPr>
            <w:tcW w:w="1134" w:type="dxa"/>
            <w:tcBorders>
              <w:top w:val="nil"/>
            </w:tcBorders>
          </w:tcPr>
          <w:p w14:paraId="4E65D48D" w14:textId="77777777" w:rsidR="00A9476B" w:rsidRPr="00A07598" w:rsidRDefault="00A9476B" w:rsidP="00A9476B">
            <w:pPr>
              <w:jc w:val="center"/>
            </w:pPr>
            <w:r w:rsidRPr="00A07598">
              <w:sym w:font="Wingdings" w:char="F0FC"/>
            </w:r>
          </w:p>
        </w:tc>
        <w:tc>
          <w:tcPr>
            <w:tcW w:w="1134" w:type="dxa"/>
            <w:tcBorders>
              <w:top w:val="nil"/>
            </w:tcBorders>
          </w:tcPr>
          <w:p w14:paraId="3398007D" w14:textId="61E72CC9" w:rsidR="00A9476B" w:rsidRPr="00A07598" w:rsidRDefault="00A9476B" w:rsidP="00A9476B">
            <w:pPr>
              <w:jc w:val="center"/>
            </w:pPr>
            <w:r w:rsidRPr="00A07598">
              <w:sym w:font="Wingdings" w:char="F0FC"/>
            </w:r>
          </w:p>
        </w:tc>
      </w:tr>
    </w:tbl>
    <w:p w14:paraId="71396886" w14:textId="21DEAE06" w:rsidR="00D57362" w:rsidRDefault="00090552" w:rsidP="00D57362">
      <w:pPr>
        <w:spacing w:after="0"/>
        <w:rPr>
          <w:sz w:val="18"/>
        </w:rPr>
      </w:pPr>
      <w:r>
        <w:rPr>
          <w:u w:val="single"/>
        </w:rPr>
        <w:br/>
      </w:r>
      <w:r w:rsidR="00D57362">
        <w:rPr>
          <w:i/>
          <w:sz w:val="18"/>
        </w:rPr>
        <w:t xml:space="preserve">Note. </w:t>
      </w:r>
      <w:r w:rsidR="00D57362" w:rsidRPr="00506FB1">
        <w:rPr>
          <w:sz w:val="18"/>
        </w:rPr>
        <w:t xml:space="preserve">Provider B was unable to supply usage data for this analysis. Providers are labelled A, C and D to provide anonymisation, but to allow </w:t>
      </w:r>
      <w:r w:rsidR="00506FB1">
        <w:rPr>
          <w:sz w:val="18"/>
        </w:rPr>
        <w:t>cross-reference</w:t>
      </w:r>
      <w:r w:rsidR="00D57362" w:rsidRPr="00506FB1">
        <w:rPr>
          <w:sz w:val="18"/>
        </w:rPr>
        <w:t xml:space="preserve"> to previous papers published by the research </w:t>
      </w:r>
      <w:r w:rsidR="00B064DF">
        <w:rPr>
          <w:sz w:val="18"/>
        </w:rPr>
        <w:t>team for this programm</w:t>
      </w:r>
      <w:r w:rsidR="00200666">
        <w:rPr>
          <w:sz w:val="18"/>
        </w:rPr>
        <w:t>e of work [18, 20</w:t>
      </w:r>
      <w:r w:rsidR="00B064DF">
        <w:rPr>
          <w:sz w:val="18"/>
        </w:rPr>
        <w:t>].</w:t>
      </w:r>
    </w:p>
    <w:p w14:paraId="1EEE2A9B" w14:textId="5B9240B1" w:rsidR="008E6BDF" w:rsidRDefault="008E6BDF" w:rsidP="00D57362">
      <w:pPr>
        <w:spacing w:after="0"/>
        <w:rPr>
          <w:sz w:val="18"/>
        </w:rPr>
      </w:pPr>
      <w:r>
        <w:rPr>
          <w:i/>
          <w:sz w:val="18"/>
          <w:vertAlign w:val="superscript"/>
        </w:rPr>
        <w:t xml:space="preserve">a </w:t>
      </w:r>
      <w:r>
        <w:rPr>
          <w:sz w:val="18"/>
        </w:rPr>
        <w:t>Closed peer group</w:t>
      </w:r>
      <w:r w:rsidR="00D10B6D">
        <w:rPr>
          <w:sz w:val="18"/>
        </w:rPr>
        <w:t xml:space="preserve"> chat</w:t>
      </w:r>
      <w:r>
        <w:rPr>
          <w:sz w:val="18"/>
        </w:rPr>
        <w:t xml:space="preserve"> messaging, also moderated by a health coach.</w:t>
      </w:r>
    </w:p>
    <w:p w14:paraId="6F3C591C" w14:textId="1C270592" w:rsidR="008E6BDF" w:rsidRDefault="008E6BDF" w:rsidP="00D57362">
      <w:pPr>
        <w:spacing w:after="0"/>
        <w:rPr>
          <w:sz w:val="18"/>
        </w:rPr>
      </w:pPr>
      <w:r>
        <w:rPr>
          <w:i/>
          <w:sz w:val="18"/>
          <w:vertAlign w:val="superscript"/>
        </w:rPr>
        <w:t xml:space="preserve">b </w:t>
      </w:r>
      <w:r>
        <w:rPr>
          <w:sz w:val="18"/>
        </w:rPr>
        <w:t>Open group</w:t>
      </w:r>
      <w:r w:rsidR="00D10B6D">
        <w:rPr>
          <w:sz w:val="18"/>
        </w:rPr>
        <w:t xml:space="preserve"> discussion</w:t>
      </w:r>
      <w:r>
        <w:rPr>
          <w:sz w:val="18"/>
        </w:rPr>
        <w:t xml:space="preserve"> forums, akin to social media forum.</w:t>
      </w:r>
    </w:p>
    <w:p w14:paraId="200D7075" w14:textId="32AFD4F6" w:rsidR="004B4BEF" w:rsidRPr="00506FB1" w:rsidRDefault="004B4BEF" w:rsidP="00D57362">
      <w:pPr>
        <w:spacing w:after="0"/>
        <w:rPr>
          <w:sz w:val="18"/>
        </w:rPr>
      </w:pPr>
      <w:r w:rsidRPr="004B4BEF">
        <w:rPr>
          <w:sz w:val="18"/>
          <w:vertAlign w:val="superscript"/>
        </w:rPr>
        <w:t>c</w:t>
      </w:r>
      <w:r w:rsidRPr="004B4BEF">
        <w:rPr>
          <w:sz w:val="18"/>
        </w:rPr>
        <w:t xml:space="preserve"> </w:t>
      </w:r>
      <w:r>
        <w:rPr>
          <w:sz w:val="18"/>
        </w:rPr>
        <w:t>This measure includes time spent using the intervention features in the app and is therefore considered an overall measure of engagement.</w:t>
      </w:r>
    </w:p>
    <w:p w14:paraId="0A0B0CE0" w14:textId="1A836D4F" w:rsidR="00CB1A11" w:rsidRDefault="00090552" w:rsidP="00586F06">
      <w:pPr>
        <w:spacing w:after="0"/>
        <w:rPr>
          <w:sz w:val="14"/>
        </w:rPr>
      </w:pPr>
      <w:r w:rsidRPr="0018039A">
        <w:rPr>
          <w:sz w:val="18"/>
        </w:rPr>
        <w:sym w:font="Wingdings" w:char="F0FC"/>
      </w:r>
      <w:r w:rsidRPr="0018039A">
        <w:rPr>
          <w:sz w:val="18"/>
        </w:rPr>
        <w:t>= Provider has supplied this data</w:t>
      </w:r>
      <w:r w:rsidRPr="0018039A">
        <w:rPr>
          <w:sz w:val="18"/>
        </w:rPr>
        <w:br/>
      </w:r>
      <w:r w:rsidRPr="0018039A">
        <w:rPr>
          <w:sz w:val="18"/>
        </w:rPr>
        <w:sym w:font="Wingdings" w:char="F0FB"/>
      </w:r>
      <w:r w:rsidRPr="0018039A">
        <w:rPr>
          <w:sz w:val="18"/>
        </w:rPr>
        <w:t xml:space="preserve"> = Provider has not supplied this data but it is part of their digital intervention</w:t>
      </w:r>
      <w:r w:rsidRPr="0018039A">
        <w:rPr>
          <w:sz w:val="18"/>
        </w:rPr>
        <w:br/>
        <w:t>n/a = Not offered as part of the provider’s digital intervention</w:t>
      </w:r>
      <w:r w:rsidR="002A79FB">
        <w:rPr>
          <w:sz w:val="18"/>
        </w:rPr>
        <w:t xml:space="preserve"> at the time of the evaluation</w:t>
      </w:r>
    </w:p>
    <w:p w14:paraId="3F052BF1" w14:textId="77777777" w:rsidR="00586F06" w:rsidRPr="00586F06" w:rsidRDefault="00586F06" w:rsidP="00586F06">
      <w:pPr>
        <w:spacing w:after="0"/>
      </w:pPr>
    </w:p>
    <w:p w14:paraId="0CD7C3DF" w14:textId="77080740" w:rsidR="00090552" w:rsidRPr="00975B17" w:rsidRDefault="003528FC" w:rsidP="00536FB1">
      <w:pPr>
        <w:spacing w:after="0" w:line="480" w:lineRule="auto"/>
        <w:rPr>
          <w:b/>
        </w:rPr>
      </w:pPr>
      <w:r>
        <w:rPr>
          <w:b/>
        </w:rPr>
        <w:t>2.6</w:t>
      </w:r>
      <w:r w:rsidR="00B504E8">
        <w:rPr>
          <w:b/>
        </w:rPr>
        <w:t>.</w:t>
      </w:r>
      <w:r>
        <w:rPr>
          <w:b/>
        </w:rPr>
        <w:t xml:space="preserve"> </w:t>
      </w:r>
      <w:r w:rsidR="00090552" w:rsidRPr="00975B17">
        <w:rPr>
          <w:b/>
        </w:rPr>
        <w:t>Data Analyses</w:t>
      </w:r>
    </w:p>
    <w:p w14:paraId="1A515467" w14:textId="0BC2B4EE" w:rsidR="00F61CCE" w:rsidRDefault="009D3CF1" w:rsidP="00F61CCE">
      <w:pPr>
        <w:spacing w:line="480" w:lineRule="auto"/>
        <w:ind w:firstLine="360"/>
      </w:pPr>
      <w:r>
        <w:t xml:space="preserve">Anonymous usage data was received from providers in Excel spreadsheets. Two providers sent usage data for each user which was </w:t>
      </w:r>
      <w:r w:rsidR="00D30B1E">
        <w:t xml:space="preserve">already </w:t>
      </w:r>
      <w:r>
        <w:t>aggregated into 30-day ‘engagement periods’</w:t>
      </w:r>
      <w:r w:rsidR="007F2962">
        <w:t xml:space="preserve"> </w:t>
      </w:r>
      <w:r>
        <w:t xml:space="preserve">(in line </w:t>
      </w:r>
      <w:r>
        <w:lastRenderedPageBreak/>
        <w:t>with how NHS-DDPP commissioners measure engagement)</w:t>
      </w:r>
      <w:r w:rsidR="007F2962">
        <w:t xml:space="preserve"> over the nine months,</w:t>
      </w:r>
      <w:r>
        <w:t xml:space="preserve"> and one provider sent i</w:t>
      </w:r>
      <w:r w:rsidR="00CB3F16">
        <w:t xml:space="preserve">ndividual-level </w:t>
      </w:r>
      <w:r w:rsidR="00090552">
        <w:t>usage data</w:t>
      </w:r>
      <w:r w:rsidR="00A12240">
        <w:t xml:space="preserve"> </w:t>
      </w:r>
      <w:r w:rsidR="008566B2">
        <w:t xml:space="preserve">detailing </w:t>
      </w:r>
      <w:r w:rsidR="00D30B1E">
        <w:t xml:space="preserve">time-stamped </w:t>
      </w:r>
      <w:r w:rsidR="008566B2">
        <w:t>information on</w:t>
      </w:r>
      <w:r w:rsidR="009219E7">
        <w:t xml:space="preserve"> what</w:t>
      </w:r>
      <w:r w:rsidR="00805BB3">
        <w:t xml:space="preserve"> anonymised</w:t>
      </w:r>
      <w:r w:rsidR="009219E7">
        <w:t xml:space="preserve"> individual users had engaged </w:t>
      </w:r>
      <w:r w:rsidR="00D30B1E">
        <w:t xml:space="preserve">with </w:t>
      </w:r>
      <w:r w:rsidR="007F2962">
        <w:t>across the nine-month intervention.</w:t>
      </w:r>
      <w:r w:rsidR="009219E7">
        <w:t xml:space="preserve"> </w:t>
      </w:r>
      <w:r>
        <w:t>All datasets were cleaned in Excel and individual-level usage data was</w:t>
      </w:r>
      <w:r w:rsidR="008566B2">
        <w:t xml:space="preserve"> </w:t>
      </w:r>
      <w:r w:rsidR="00C37FFA">
        <w:t>aggregated</w:t>
      </w:r>
      <w:r w:rsidR="00A42040">
        <w:t xml:space="preserve"> into</w:t>
      </w:r>
      <w:r w:rsidR="00805BB3">
        <w:t xml:space="preserve"> nine</w:t>
      </w:r>
      <w:r w:rsidR="00A42040">
        <w:t xml:space="preserve"> 30-day ‘engagement periods’</w:t>
      </w:r>
      <w:r>
        <w:t xml:space="preserve">. </w:t>
      </w:r>
      <w:r w:rsidR="008566B2">
        <w:t>Usage d</w:t>
      </w:r>
      <w:r w:rsidR="00090552">
        <w:t xml:space="preserve">ata </w:t>
      </w:r>
      <w:r w:rsidR="008566B2">
        <w:t>were</w:t>
      </w:r>
      <w:r w:rsidR="00090552">
        <w:t xml:space="preserve"> </w:t>
      </w:r>
      <w:r w:rsidR="00A04DB8">
        <w:t>divided</w:t>
      </w:r>
      <w:r w:rsidR="00090552">
        <w:t xml:space="preserve"> into</w:t>
      </w:r>
      <w:r w:rsidR="00A42040">
        <w:t xml:space="preserve"> </w:t>
      </w:r>
      <w:r w:rsidR="00805BB3">
        <w:t xml:space="preserve">these </w:t>
      </w:r>
      <w:r w:rsidR="00A42040">
        <w:t>nine engagement periods</w:t>
      </w:r>
      <w:r w:rsidR="00090552">
        <w:t xml:space="preserve"> </w:t>
      </w:r>
      <w:r w:rsidR="00A42040">
        <w:t>to understand how usage change</w:t>
      </w:r>
      <w:r w:rsidR="00AD47E8">
        <w:t>d</w:t>
      </w:r>
      <w:r w:rsidR="00A42040">
        <w:t xml:space="preserve"> </w:t>
      </w:r>
      <w:r w:rsidR="00090552">
        <w:t>acr</w:t>
      </w:r>
      <w:r w:rsidR="00086613">
        <w:t xml:space="preserve">oss the </w:t>
      </w:r>
      <w:r w:rsidR="00805BB3">
        <w:t>duration of the</w:t>
      </w:r>
      <w:r w:rsidR="00D30B1E">
        <w:t xml:space="preserve"> programme f</w:t>
      </w:r>
      <w:r w:rsidR="00090552">
        <w:t>or each of the engage</w:t>
      </w:r>
      <w:r w:rsidR="005A4379">
        <w:t>ment measures listed i</w:t>
      </w:r>
      <w:r w:rsidR="003D1B4B">
        <w:t xml:space="preserve">n Table </w:t>
      </w:r>
      <w:r w:rsidR="00A120D1">
        <w:t>2</w:t>
      </w:r>
      <w:r w:rsidR="00A04DB8">
        <w:t xml:space="preserve">. </w:t>
      </w:r>
      <w:r w:rsidR="00402B44">
        <w:t>Given that the NHS-DDPP was a national programme, u</w:t>
      </w:r>
      <w:r w:rsidR="003D1B4B">
        <w:t>sage was</w:t>
      </w:r>
      <w:r w:rsidR="00805BB3">
        <w:t xml:space="preserve"> first</w:t>
      </w:r>
      <w:r w:rsidR="003D1B4B">
        <w:t xml:space="preserve"> described for the whole NHS-DDPP</w:t>
      </w:r>
      <w:r w:rsidR="00805BB3">
        <w:t>,</w:t>
      </w:r>
      <w:r w:rsidR="003D1B4B">
        <w:t xml:space="preserve"> and </w:t>
      </w:r>
      <w:r w:rsidR="003D451B">
        <w:t xml:space="preserve">then </w:t>
      </w:r>
      <w:r w:rsidR="003D1B4B">
        <w:t>compared across providers</w:t>
      </w:r>
      <w:r w:rsidR="00402B44">
        <w:t xml:space="preserve"> who delivered their own versions of the programme</w:t>
      </w:r>
      <w:r w:rsidR="003D1B4B">
        <w:t>.</w:t>
      </w:r>
    </w:p>
    <w:p w14:paraId="2EF8E200" w14:textId="6C4E4ED9" w:rsidR="00090552" w:rsidRDefault="00090552" w:rsidP="00F61CCE">
      <w:pPr>
        <w:spacing w:line="480" w:lineRule="auto"/>
        <w:ind w:firstLine="360"/>
      </w:pPr>
      <w:r>
        <w:t>Descriptive statistics</w:t>
      </w:r>
      <w:r w:rsidR="008566B2" w:rsidRPr="008566B2">
        <w:t xml:space="preserve"> </w:t>
      </w:r>
      <w:r w:rsidR="008566B2">
        <w:t>(means, medians and ranges)</w:t>
      </w:r>
      <w:r w:rsidR="00B70E46">
        <w:t xml:space="preserve"> </w:t>
      </w:r>
      <w:r>
        <w:t>were</w:t>
      </w:r>
      <w:r w:rsidR="001904B6">
        <w:t xml:space="preserve"> calculated in SPSS</w:t>
      </w:r>
      <w:r>
        <w:t xml:space="preserve"> to describe the dose of app usage across the </w:t>
      </w:r>
      <w:r w:rsidR="00086613">
        <w:t>nine</w:t>
      </w:r>
      <w:r w:rsidR="006642F2">
        <w:t>-month programme</w:t>
      </w:r>
      <w:r w:rsidR="008566B2">
        <w:t>, as well as across engagement periods and by providers</w:t>
      </w:r>
      <w:r w:rsidR="006642F2">
        <w:t xml:space="preserve">. </w:t>
      </w:r>
      <w:r w:rsidR="00B70E46">
        <w:t xml:space="preserve">Given that data </w:t>
      </w:r>
      <w:r w:rsidR="003100E0">
        <w:t xml:space="preserve">were not normally distributed, </w:t>
      </w:r>
      <w:r w:rsidR="001904B6">
        <w:t>non-parametric tests were used</w:t>
      </w:r>
      <w:r w:rsidR="00656EB2">
        <w:t xml:space="preserve"> to assess differences across providers.</w:t>
      </w:r>
    </w:p>
    <w:p w14:paraId="6F0DD836" w14:textId="1F9D1F78" w:rsidR="000052EB" w:rsidRPr="005014A5" w:rsidRDefault="003528FC" w:rsidP="00536FB1">
      <w:pPr>
        <w:spacing w:after="0" w:line="480" w:lineRule="auto"/>
      </w:pPr>
      <w:r>
        <w:rPr>
          <w:b/>
        </w:rPr>
        <w:t>2.7</w:t>
      </w:r>
      <w:r w:rsidR="00B504E8">
        <w:rPr>
          <w:b/>
        </w:rPr>
        <w:t>.</w:t>
      </w:r>
      <w:r>
        <w:rPr>
          <w:b/>
        </w:rPr>
        <w:t xml:space="preserve"> </w:t>
      </w:r>
      <w:r w:rsidR="000052EB" w:rsidRPr="007866EF">
        <w:rPr>
          <w:b/>
        </w:rPr>
        <w:t>Ethics Approval</w:t>
      </w:r>
    </w:p>
    <w:p w14:paraId="7BE7CBF9" w14:textId="22DF0E9A" w:rsidR="000052EB" w:rsidRPr="00AC702E" w:rsidRDefault="000052EB" w:rsidP="000052EB">
      <w:pPr>
        <w:spacing w:line="480" w:lineRule="auto"/>
        <w:ind w:firstLine="360"/>
      </w:pPr>
      <w:r>
        <w:t xml:space="preserve">This study was </w:t>
      </w:r>
      <w:r w:rsidRPr="004D4FB1">
        <w:t>reviewed and approved by the North West Greater Manchester East NHS Research Ethics Committee (Reference</w:t>
      </w:r>
      <w:r>
        <w:t>: 17/NW/0426, 1st August 2017).</w:t>
      </w:r>
    </w:p>
    <w:p w14:paraId="2C6277E7" w14:textId="2F3C540B" w:rsidR="00A04DBB" w:rsidRPr="00975B17" w:rsidRDefault="00B504E8" w:rsidP="00536FB1">
      <w:pPr>
        <w:spacing w:after="0" w:line="480" w:lineRule="auto"/>
        <w:jc w:val="center"/>
        <w:rPr>
          <w:b/>
        </w:rPr>
      </w:pPr>
      <w:r>
        <w:rPr>
          <w:b/>
        </w:rPr>
        <w:t>3.</w:t>
      </w:r>
      <w:r w:rsidR="003528FC">
        <w:rPr>
          <w:b/>
        </w:rPr>
        <w:t xml:space="preserve"> </w:t>
      </w:r>
      <w:r w:rsidR="00A04DBB" w:rsidRPr="00975B17">
        <w:rPr>
          <w:b/>
        </w:rPr>
        <w:t>Results</w:t>
      </w:r>
    </w:p>
    <w:p w14:paraId="63AD1D4E" w14:textId="0669BD19" w:rsidR="00AD47E8" w:rsidRDefault="00CF7821" w:rsidP="00D70D75">
      <w:pPr>
        <w:spacing w:line="480" w:lineRule="auto"/>
        <w:ind w:firstLine="360"/>
      </w:pPr>
      <w:r>
        <w:t>U</w:t>
      </w:r>
      <w:r w:rsidR="00090552">
        <w:t>sage data</w:t>
      </w:r>
      <w:r w:rsidR="00E872B0">
        <w:t xml:space="preserve"> for the nine-month programme</w:t>
      </w:r>
      <w:r w:rsidR="00090552">
        <w:t xml:space="preserve"> was obtained for a total of </w:t>
      </w:r>
      <w:r w:rsidR="0059697F">
        <w:t>1,826</w:t>
      </w:r>
      <w:r w:rsidR="00B067E3">
        <w:t xml:space="preserve"> service users across the three</w:t>
      </w:r>
      <w:r w:rsidR="00090552">
        <w:t xml:space="preserve"> digital provider</w:t>
      </w:r>
      <w:r w:rsidR="00A12240">
        <w:t>s</w:t>
      </w:r>
      <w:r w:rsidR="00A04DBB">
        <w:t xml:space="preserve"> (</w:t>
      </w:r>
      <w:r w:rsidR="00090552">
        <w:t xml:space="preserve">Table </w:t>
      </w:r>
      <w:r w:rsidR="00EF4737">
        <w:t>3</w:t>
      </w:r>
      <w:r w:rsidR="00D70D75">
        <w:t>).</w:t>
      </w:r>
    </w:p>
    <w:p w14:paraId="36A3D4A5" w14:textId="0EF2862A" w:rsidR="00567B63" w:rsidRPr="00AD47E8" w:rsidRDefault="00567B63" w:rsidP="00AD47E8">
      <w:pPr>
        <w:spacing w:line="480" w:lineRule="auto"/>
      </w:pPr>
      <w:r>
        <w:t>T</w:t>
      </w:r>
      <w:r w:rsidRPr="00A07598">
        <w:t>able</w:t>
      </w:r>
      <w:r w:rsidR="00E505DB">
        <w:t xml:space="preserve"> </w:t>
      </w:r>
      <w:r w:rsidR="00EF4737">
        <w:t>3</w:t>
      </w:r>
      <w:r w:rsidRPr="00A07598">
        <w:t xml:space="preserve">. Sample of service users included in the analysis </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268"/>
        <w:gridCol w:w="2126"/>
        <w:gridCol w:w="2268"/>
      </w:tblGrid>
      <w:tr w:rsidR="00567B63" w:rsidRPr="00A07598" w14:paraId="7F237466" w14:textId="77777777" w:rsidTr="00E505DB">
        <w:tc>
          <w:tcPr>
            <w:tcW w:w="2552" w:type="dxa"/>
            <w:tcBorders>
              <w:top w:val="single" w:sz="4" w:space="0" w:color="FFFFFF" w:themeColor="background1"/>
              <w:bottom w:val="single" w:sz="4" w:space="0" w:color="FFFFFF" w:themeColor="background1"/>
            </w:tcBorders>
          </w:tcPr>
          <w:p w14:paraId="46219EF9" w14:textId="77777777" w:rsidR="00567B63" w:rsidRPr="00A07598" w:rsidRDefault="00567B63" w:rsidP="005747F9"/>
        </w:tc>
        <w:tc>
          <w:tcPr>
            <w:tcW w:w="2268" w:type="dxa"/>
          </w:tcPr>
          <w:p w14:paraId="12DC98EA" w14:textId="77777777" w:rsidR="00567B63" w:rsidRPr="002F1152" w:rsidRDefault="00567B63" w:rsidP="005747F9">
            <w:pPr>
              <w:jc w:val="center"/>
              <w:rPr>
                <w:b/>
              </w:rPr>
            </w:pPr>
            <w:r w:rsidRPr="002F1152">
              <w:rPr>
                <w:b/>
              </w:rPr>
              <w:t>Provider A</w:t>
            </w:r>
          </w:p>
        </w:tc>
        <w:tc>
          <w:tcPr>
            <w:tcW w:w="2126" w:type="dxa"/>
          </w:tcPr>
          <w:p w14:paraId="33E31669" w14:textId="77777777" w:rsidR="00567B63" w:rsidRPr="002F1152" w:rsidRDefault="00567B63" w:rsidP="005747F9">
            <w:pPr>
              <w:jc w:val="center"/>
              <w:rPr>
                <w:b/>
              </w:rPr>
            </w:pPr>
            <w:r w:rsidRPr="002F1152">
              <w:rPr>
                <w:b/>
              </w:rPr>
              <w:t>Provider C</w:t>
            </w:r>
          </w:p>
        </w:tc>
        <w:tc>
          <w:tcPr>
            <w:tcW w:w="2268" w:type="dxa"/>
          </w:tcPr>
          <w:p w14:paraId="29DF85F9" w14:textId="77777777" w:rsidR="00567B63" w:rsidRPr="002F1152" w:rsidRDefault="00567B63" w:rsidP="005747F9">
            <w:pPr>
              <w:jc w:val="center"/>
              <w:rPr>
                <w:b/>
              </w:rPr>
            </w:pPr>
            <w:r w:rsidRPr="002F1152">
              <w:rPr>
                <w:b/>
              </w:rPr>
              <w:t>Provider D</w:t>
            </w:r>
          </w:p>
        </w:tc>
      </w:tr>
      <w:tr w:rsidR="00567B63" w:rsidRPr="00A07598" w14:paraId="3B417F61" w14:textId="77777777" w:rsidTr="00E505DB">
        <w:tc>
          <w:tcPr>
            <w:tcW w:w="2552" w:type="dxa"/>
          </w:tcPr>
          <w:p w14:paraId="0E35702F" w14:textId="77777777" w:rsidR="00567B63" w:rsidRPr="00A07598" w:rsidRDefault="00567B63" w:rsidP="005747F9">
            <w:pPr>
              <w:rPr>
                <w:b/>
              </w:rPr>
            </w:pPr>
            <w:r w:rsidRPr="00A07598">
              <w:rPr>
                <w:b/>
              </w:rPr>
              <w:t>Cohort of service users (date range)</w:t>
            </w:r>
          </w:p>
        </w:tc>
        <w:tc>
          <w:tcPr>
            <w:tcW w:w="2268" w:type="dxa"/>
          </w:tcPr>
          <w:p w14:paraId="331D69C1" w14:textId="77777777" w:rsidR="00567B63" w:rsidRPr="00A07598" w:rsidRDefault="00567B63" w:rsidP="005747F9">
            <w:r w:rsidRPr="00A07598">
              <w:t>New registrants starting NHS-DDPP between 20/05/2021 and 19/06/2021</w:t>
            </w:r>
          </w:p>
        </w:tc>
        <w:tc>
          <w:tcPr>
            <w:tcW w:w="2126" w:type="dxa"/>
          </w:tcPr>
          <w:p w14:paraId="0A6EF12D" w14:textId="77777777" w:rsidR="00567B63" w:rsidRPr="00A07598" w:rsidRDefault="00567B63" w:rsidP="005747F9">
            <w:r w:rsidRPr="00A07598">
              <w:t>New registrants starting NHS-DDPP between 01/12/2020 and 28/02/2021</w:t>
            </w:r>
          </w:p>
        </w:tc>
        <w:tc>
          <w:tcPr>
            <w:tcW w:w="2268" w:type="dxa"/>
          </w:tcPr>
          <w:p w14:paraId="5D26F994" w14:textId="77777777" w:rsidR="00567B63" w:rsidRPr="00A07598" w:rsidRDefault="00567B63" w:rsidP="005747F9">
            <w:r w:rsidRPr="00A07598">
              <w:t>New registrants starting NHS-DDPP between 01/12/2020 and 28/02/2021</w:t>
            </w:r>
          </w:p>
        </w:tc>
      </w:tr>
      <w:tr w:rsidR="00567B63" w:rsidRPr="00A07598" w14:paraId="539FD00A" w14:textId="77777777" w:rsidTr="00E505DB">
        <w:tc>
          <w:tcPr>
            <w:tcW w:w="2552" w:type="dxa"/>
          </w:tcPr>
          <w:p w14:paraId="5AC07332" w14:textId="77777777" w:rsidR="00567B63" w:rsidRPr="00A07598" w:rsidRDefault="00567B63" w:rsidP="005747F9">
            <w:pPr>
              <w:rPr>
                <w:b/>
              </w:rPr>
            </w:pPr>
            <w:r w:rsidRPr="00A07598">
              <w:rPr>
                <w:b/>
              </w:rPr>
              <w:t>No. of service users</w:t>
            </w:r>
          </w:p>
        </w:tc>
        <w:tc>
          <w:tcPr>
            <w:tcW w:w="2268" w:type="dxa"/>
          </w:tcPr>
          <w:p w14:paraId="24101F88" w14:textId="77777777" w:rsidR="00567B63" w:rsidRPr="00A07598" w:rsidRDefault="00567B63" w:rsidP="005747F9">
            <w:r>
              <w:t>940</w:t>
            </w:r>
          </w:p>
        </w:tc>
        <w:tc>
          <w:tcPr>
            <w:tcW w:w="2126" w:type="dxa"/>
          </w:tcPr>
          <w:p w14:paraId="19965A22" w14:textId="77777777" w:rsidR="00567B63" w:rsidRPr="00A07598" w:rsidRDefault="00567B63" w:rsidP="005747F9">
            <w:r>
              <w:t>283</w:t>
            </w:r>
          </w:p>
        </w:tc>
        <w:tc>
          <w:tcPr>
            <w:tcW w:w="2268" w:type="dxa"/>
          </w:tcPr>
          <w:p w14:paraId="380C86E5" w14:textId="77777777" w:rsidR="00567B63" w:rsidRPr="00A07598" w:rsidRDefault="00567B63" w:rsidP="005747F9">
            <w:r w:rsidRPr="00A07598">
              <w:t>603</w:t>
            </w:r>
          </w:p>
        </w:tc>
      </w:tr>
    </w:tbl>
    <w:p w14:paraId="34FCE919" w14:textId="2672368F" w:rsidR="00567B63" w:rsidRDefault="00567B63" w:rsidP="00567B63">
      <w:pPr>
        <w:tabs>
          <w:tab w:val="left" w:pos="6900"/>
        </w:tabs>
        <w:spacing w:after="0"/>
      </w:pPr>
    </w:p>
    <w:p w14:paraId="6D16D950" w14:textId="4B4D48CB" w:rsidR="000941B5" w:rsidRDefault="00567B63" w:rsidP="00906619">
      <w:pPr>
        <w:tabs>
          <w:tab w:val="left" w:pos="6900"/>
        </w:tabs>
        <w:rPr>
          <w:sz w:val="18"/>
        </w:rPr>
      </w:pPr>
      <w:r>
        <w:rPr>
          <w:i/>
          <w:sz w:val="18"/>
        </w:rPr>
        <w:t xml:space="preserve">Note. </w:t>
      </w:r>
      <w:r w:rsidRPr="00357CA1">
        <w:rPr>
          <w:sz w:val="18"/>
        </w:rPr>
        <w:t xml:space="preserve">Provider B was unable to supply usage data for this analysis. Providers are labelled A, C and D to provide anonymisation, but to allow </w:t>
      </w:r>
      <w:r>
        <w:rPr>
          <w:sz w:val="18"/>
        </w:rPr>
        <w:t>cross-reference</w:t>
      </w:r>
      <w:r w:rsidRPr="00357CA1">
        <w:rPr>
          <w:sz w:val="18"/>
        </w:rPr>
        <w:t xml:space="preserve"> to previous papers published by the research team for this programme of work</w:t>
      </w:r>
      <w:r w:rsidR="000941B5">
        <w:rPr>
          <w:sz w:val="18"/>
        </w:rPr>
        <w:t xml:space="preserve"> [</w:t>
      </w:r>
      <w:r w:rsidR="00200666">
        <w:rPr>
          <w:sz w:val="18"/>
        </w:rPr>
        <w:t>18, 20</w:t>
      </w:r>
      <w:r w:rsidR="000941B5">
        <w:rPr>
          <w:sz w:val="18"/>
        </w:rPr>
        <w:t>]</w:t>
      </w:r>
      <w:r w:rsidRPr="00357CA1">
        <w:rPr>
          <w:sz w:val="18"/>
        </w:rPr>
        <w:t>.</w:t>
      </w:r>
      <w:r w:rsidR="00AD47E8">
        <w:rPr>
          <w:sz w:val="18"/>
        </w:rPr>
        <w:br/>
      </w:r>
      <w:r w:rsidR="000941B5">
        <w:rPr>
          <w:i/>
          <w:sz w:val="18"/>
        </w:rPr>
        <w:lastRenderedPageBreak/>
        <w:t xml:space="preserve">Note. </w:t>
      </w:r>
      <w:r w:rsidR="000941B5">
        <w:rPr>
          <w:sz w:val="18"/>
        </w:rPr>
        <w:t>The date range for the cohorts of service users differ across the providers as this was dependent on when an ‘opt-out’ consent procedure was</w:t>
      </w:r>
      <w:r w:rsidR="00805BB3">
        <w:rPr>
          <w:sz w:val="18"/>
        </w:rPr>
        <w:t xml:space="preserve"> put</w:t>
      </w:r>
      <w:r w:rsidR="000941B5">
        <w:rPr>
          <w:sz w:val="18"/>
        </w:rPr>
        <w:t xml:space="preserve"> in place for each provider.</w:t>
      </w:r>
    </w:p>
    <w:p w14:paraId="6D65BB8E" w14:textId="35FF3B38" w:rsidR="008A1AF3" w:rsidRPr="00906619" w:rsidRDefault="003528FC" w:rsidP="00536FB1">
      <w:pPr>
        <w:tabs>
          <w:tab w:val="left" w:pos="6900"/>
        </w:tabs>
        <w:spacing w:after="0" w:line="480" w:lineRule="auto"/>
        <w:rPr>
          <w:sz w:val="18"/>
        </w:rPr>
      </w:pPr>
      <w:r>
        <w:rPr>
          <w:b/>
        </w:rPr>
        <w:t>3.1</w:t>
      </w:r>
      <w:r w:rsidR="00B504E8">
        <w:rPr>
          <w:b/>
        </w:rPr>
        <w:t>.</w:t>
      </w:r>
      <w:r>
        <w:rPr>
          <w:b/>
        </w:rPr>
        <w:t xml:space="preserve"> </w:t>
      </w:r>
      <w:r w:rsidR="00905DBD">
        <w:rPr>
          <w:b/>
        </w:rPr>
        <w:t>Duration of engagement on the NHS-DDPP</w:t>
      </w:r>
    </w:p>
    <w:p w14:paraId="1D328E35" w14:textId="4AB47EE6" w:rsidR="0024380B" w:rsidRDefault="00905DBD" w:rsidP="007A3AC4">
      <w:pPr>
        <w:spacing w:before="240" w:line="480" w:lineRule="auto"/>
        <w:ind w:firstLine="360"/>
      </w:pPr>
      <w:r>
        <w:t>A</w:t>
      </w:r>
      <w:r w:rsidR="008A1AF3">
        <w:t>pp usage decreased over time from a</w:t>
      </w:r>
      <w:r w:rsidR="000941B5">
        <w:t xml:space="preserve"> median of 32 minutes</w:t>
      </w:r>
      <w:r w:rsidR="00DE3CC3">
        <w:t xml:space="preserve"> (IQR 191)</w:t>
      </w:r>
      <w:r w:rsidR="000941B5">
        <w:t xml:space="preserve"> </w:t>
      </w:r>
      <w:r w:rsidR="008A1AF3">
        <w:t>in engagement period 1</w:t>
      </w:r>
      <w:r w:rsidR="00DE3CC3">
        <w:t xml:space="preserve"> </w:t>
      </w:r>
      <w:r w:rsidR="00AD47E8">
        <w:t>to 0 minutes</w:t>
      </w:r>
      <w:r w:rsidR="008A1AF3">
        <w:t xml:space="preserve"> </w:t>
      </w:r>
      <w:r w:rsidR="00DE3CC3">
        <w:t xml:space="preserve">(IQR 14) </w:t>
      </w:r>
      <w:r w:rsidR="008A1AF3">
        <w:t xml:space="preserve">in engagement period 9. A total of 1,230 users (67%) had spent at least one minute on the app during engagement period 1, compared to 1,008 users (55%) in engagement period 5, and 667 users (37%) in engagement period 9. </w:t>
      </w:r>
    </w:p>
    <w:p w14:paraId="11236033" w14:textId="3256CE72" w:rsidR="008A1AF3" w:rsidRDefault="0024380B" w:rsidP="00D26EB0">
      <w:pPr>
        <w:spacing w:before="240" w:line="480" w:lineRule="auto"/>
        <w:ind w:firstLine="360"/>
      </w:pPr>
      <w:r>
        <w:t>There was substantial variation in app usage across the different providers</w:t>
      </w:r>
      <w:r w:rsidR="00AD7C0C">
        <w:t xml:space="preserve"> (Figure 1)</w:t>
      </w:r>
      <w:r>
        <w:t>.</w:t>
      </w:r>
      <w:r w:rsidR="00AD7C0C">
        <w:t xml:space="preserve"> </w:t>
      </w:r>
      <w:r w:rsidR="00EB3C77">
        <w:t xml:space="preserve">Median usage in the first engagement period was 349 minutes (IQR 701) for users enrolled with provider D, compared to 90 minutes (IQR 114) for provider C and 0 minutes (IQR 13) for provider A. </w:t>
      </w:r>
      <w:r w:rsidR="00AD7C0C">
        <w:t>H</w:t>
      </w:r>
      <w:r w:rsidR="00536FB1">
        <w:t>owever, usage sharply declined</w:t>
      </w:r>
      <w:r w:rsidR="00AD7C0C">
        <w:t xml:space="preserve"> for provider D</w:t>
      </w:r>
      <w:r w:rsidR="00AD47E8">
        <w:t xml:space="preserve"> during the first 4 months of the programme.</w:t>
      </w:r>
      <w:r>
        <w:t xml:space="preserve"> </w:t>
      </w:r>
      <w:r w:rsidR="008A1AF3">
        <w:t xml:space="preserve">A Kruskal Wallis test shows that there were significant differences between providers in the amount of time users spent on the app during engagement period 1 </w:t>
      </w:r>
      <w:r>
        <w:t>(</w:t>
      </w:r>
      <w:r w:rsidR="008A1AF3">
        <w:rPr>
          <w:i/>
        </w:rPr>
        <w:t>H</w:t>
      </w:r>
      <w:r w:rsidR="008A1AF3">
        <w:t xml:space="preserve">(2) = 1103.9, </w:t>
      </w:r>
      <w:r w:rsidR="008A1AF3">
        <w:rPr>
          <w:i/>
        </w:rPr>
        <w:t>p</w:t>
      </w:r>
      <w:r w:rsidR="008A1AF3">
        <w:t xml:space="preserve"> &lt; 0.001</w:t>
      </w:r>
      <w:r>
        <w:t>)</w:t>
      </w:r>
      <w:r w:rsidR="008A1AF3">
        <w:t xml:space="preserve">. </w:t>
      </w:r>
    </w:p>
    <w:p w14:paraId="2BF02FF7" w14:textId="7466B063" w:rsidR="008A1AF3" w:rsidRDefault="008A1AF3" w:rsidP="008A1AF3">
      <w:pPr>
        <w:spacing w:line="480" w:lineRule="auto"/>
      </w:pPr>
      <w:r>
        <w:t>Figure 1. Median</w:t>
      </w:r>
      <w:r w:rsidRPr="00BB5ED6">
        <w:t xml:space="preserve"> number of minutes spent on the app across the nine-month programme</w:t>
      </w:r>
    </w:p>
    <w:p w14:paraId="386CD78B" w14:textId="16E5571E" w:rsidR="008A1AF3" w:rsidRDefault="00E922D6" w:rsidP="008A1AF3">
      <w:pPr>
        <w:spacing w:line="480" w:lineRule="auto"/>
      </w:pPr>
      <w:r>
        <w:rPr>
          <w:i/>
        </w:rPr>
        <w:t>[</w:t>
      </w:r>
      <w:r w:rsidRPr="00E922D6">
        <w:rPr>
          <w:i/>
        </w:rPr>
        <w:t>Figure</w:t>
      </w:r>
      <w:r>
        <w:rPr>
          <w:i/>
        </w:rPr>
        <w:t xml:space="preserve"> 1 here]</w:t>
      </w:r>
    </w:p>
    <w:p w14:paraId="10CF10ED" w14:textId="04210690" w:rsidR="00906619" w:rsidRDefault="008A1AF3" w:rsidP="00D26EB0">
      <w:pPr>
        <w:autoSpaceDE w:val="0"/>
        <w:autoSpaceDN w:val="0"/>
        <w:adjustRightInd w:val="0"/>
        <w:spacing w:after="0" w:line="240" w:lineRule="auto"/>
        <w:rPr>
          <w:sz w:val="18"/>
        </w:rPr>
      </w:pPr>
      <w:r w:rsidRPr="00DC12F8">
        <w:rPr>
          <w:i/>
          <w:sz w:val="18"/>
        </w:rPr>
        <w:t xml:space="preserve">Note. </w:t>
      </w:r>
      <w:r w:rsidRPr="00DC12F8">
        <w:rPr>
          <w:sz w:val="18"/>
        </w:rPr>
        <w:t>n(provi</w:t>
      </w:r>
      <w:r>
        <w:rPr>
          <w:sz w:val="18"/>
        </w:rPr>
        <w:t>der A) = 940; n(provider C) = 28</w:t>
      </w:r>
      <w:r w:rsidRPr="00DC12F8">
        <w:rPr>
          <w:sz w:val="18"/>
        </w:rPr>
        <w:t>3; n(provider D) = 603.</w:t>
      </w:r>
      <w:r w:rsidRPr="00DC12F8">
        <w:rPr>
          <w:sz w:val="18"/>
        </w:rPr>
        <w:br/>
      </w:r>
      <w:r w:rsidRPr="00DC12F8">
        <w:rPr>
          <w:i/>
          <w:sz w:val="18"/>
        </w:rPr>
        <w:t xml:space="preserve">Note. </w:t>
      </w:r>
      <w:r w:rsidRPr="00DC12F8">
        <w:rPr>
          <w:sz w:val="18"/>
        </w:rPr>
        <w:t>The educational content for providers A and D can be accessed both via the app and via a website. Only when educational content was accessed via the app this was registered as time spent on the app.</w:t>
      </w:r>
      <w:r w:rsidR="00D26EB0">
        <w:rPr>
          <w:sz w:val="18"/>
        </w:rPr>
        <w:br/>
      </w:r>
      <w:r w:rsidR="00D26EB0">
        <w:rPr>
          <w:i/>
          <w:sz w:val="18"/>
        </w:rPr>
        <w:t>Note.</w:t>
      </w:r>
      <w:r w:rsidR="00D26EB0">
        <w:rPr>
          <w:sz w:val="18"/>
        </w:rPr>
        <w:t xml:space="preserve"> </w:t>
      </w:r>
      <w:r w:rsidR="00D26EB0" w:rsidRPr="00C825FB">
        <w:rPr>
          <w:sz w:val="18"/>
          <w:szCs w:val="18"/>
        </w:rPr>
        <w:t>Post-hoc Mann-Whitney U tests showed that service users on provider D’s programme had spent significantly more time on the app during engagement period 1 compared to service users on provider C’s programme (</w:t>
      </w:r>
      <w:r w:rsidR="00D26EB0" w:rsidRPr="00C825FB">
        <w:rPr>
          <w:i/>
          <w:sz w:val="18"/>
          <w:szCs w:val="18"/>
        </w:rPr>
        <w:t>U</w:t>
      </w:r>
      <w:r w:rsidR="00D26EB0" w:rsidRPr="00C825FB">
        <w:rPr>
          <w:sz w:val="18"/>
          <w:szCs w:val="18"/>
        </w:rPr>
        <w:t>[</w:t>
      </w:r>
      <w:r w:rsidR="00D26EB0" w:rsidRPr="00C825FB">
        <w:rPr>
          <w:i/>
          <w:sz w:val="18"/>
          <w:szCs w:val="18"/>
        </w:rPr>
        <w:t>N</w:t>
      </w:r>
      <w:r w:rsidR="00D26EB0" w:rsidRPr="00C825FB">
        <w:rPr>
          <w:sz w:val="18"/>
          <w:szCs w:val="18"/>
        </w:rPr>
        <w:t>provider C = 283, </w:t>
      </w:r>
      <w:r w:rsidR="00D26EB0" w:rsidRPr="00C825FB">
        <w:rPr>
          <w:i/>
          <w:sz w:val="18"/>
          <w:szCs w:val="18"/>
        </w:rPr>
        <w:t>N</w:t>
      </w:r>
      <w:r w:rsidR="00D26EB0" w:rsidRPr="00C825FB">
        <w:rPr>
          <w:sz w:val="18"/>
          <w:szCs w:val="18"/>
        </w:rPr>
        <w:t>provider D = 603] = 43479.5, </w:t>
      </w:r>
      <w:r w:rsidR="00D26EB0" w:rsidRPr="00C825FB">
        <w:rPr>
          <w:i/>
          <w:sz w:val="18"/>
          <w:szCs w:val="18"/>
        </w:rPr>
        <w:t>p</w:t>
      </w:r>
      <w:r w:rsidR="00D26EB0" w:rsidRPr="00C825FB">
        <w:rPr>
          <w:sz w:val="18"/>
          <w:szCs w:val="18"/>
        </w:rPr>
        <w:t> &lt; 0.001), who had spent significantly more time on the app during engagement period 1 compared to those on provider A’s programme (</w:t>
      </w:r>
      <w:r w:rsidR="00D26EB0" w:rsidRPr="00C825FB">
        <w:rPr>
          <w:i/>
          <w:sz w:val="18"/>
          <w:szCs w:val="18"/>
        </w:rPr>
        <w:t>U</w:t>
      </w:r>
      <w:r w:rsidR="00D26EB0" w:rsidRPr="00C825FB">
        <w:rPr>
          <w:sz w:val="18"/>
          <w:szCs w:val="18"/>
        </w:rPr>
        <w:t>[</w:t>
      </w:r>
      <w:r w:rsidR="00D26EB0" w:rsidRPr="00C825FB">
        <w:rPr>
          <w:i/>
          <w:sz w:val="18"/>
          <w:szCs w:val="18"/>
        </w:rPr>
        <w:t>N</w:t>
      </w:r>
      <w:r w:rsidR="00D26EB0" w:rsidRPr="00C825FB">
        <w:rPr>
          <w:sz w:val="18"/>
          <w:szCs w:val="18"/>
        </w:rPr>
        <w:t>provider A = 940, </w:t>
      </w:r>
      <w:r w:rsidR="00D26EB0" w:rsidRPr="00C825FB">
        <w:rPr>
          <w:i/>
          <w:sz w:val="18"/>
          <w:szCs w:val="18"/>
        </w:rPr>
        <w:t>N</w:t>
      </w:r>
      <w:r w:rsidR="00D26EB0" w:rsidRPr="00C825FB">
        <w:rPr>
          <w:sz w:val="18"/>
          <w:szCs w:val="18"/>
        </w:rPr>
        <w:t xml:space="preserve">provider C = 283] = 25634.5, </w:t>
      </w:r>
      <w:r w:rsidR="00D26EB0" w:rsidRPr="00C825FB">
        <w:rPr>
          <w:i/>
          <w:sz w:val="18"/>
          <w:szCs w:val="18"/>
        </w:rPr>
        <w:t>p</w:t>
      </w:r>
      <w:r w:rsidR="00D26EB0" w:rsidRPr="00C825FB">
        <w:rPr>
          <w:sz w:val="18"/>
          <w:szCs w:val="18"/>
        </w:rPr>
        <w:t xml:space="preserve"> &lt; 0.001).</w:t>
      </w:r>
      <w:r w:rsidR="00D26EB0">
        <w:rPr>
          <w:sz w:val="18"/>
          <w:szCs w:val="18"/>
        </w:rPr>
        <w:br/>
      </w:r>
      <w:r w:rsidRPr="00DC12F8">
        <w:rPr>
          <w:sz w:val="18"/>
          <w:vertAlign w:val="superscript"/>
        </w:rPr>
        <w:t>a</w:t>
      </w:r>
      <w:r w:rsidRPr="00DC12F8">
        <w:rPr>
          <w:sz w:val="18"/>
        </w:rPr>
        <w:t xml:space="preserve"> </w:t>
      </w:r>
      <w:r w:rsidR="00D30B1E">
        <w:rPr>
          <w:sz w:val="18"/>
        </w:rPr>
        <w:t>Across the three providers, t</w:t>
      </w:r>
      <w:r w:rsidRPr="00DC12F8">
        <w:rPr>
          <w:sz w:val="18"/>
        </w:rPr>
        <w:t xml:space="preserve">he time spent on the app was only registered when service users spent </w:t>
      </w:r>
      <w:r w:rsidRPr="00DC12F8">
        <w:rPr>
          <w:rFonts w:cstheme="minorHAnsi"/>
          <w:sz w:val="18"/>
        </w:rPr>
        <w:t>≥</w:t>
      </w:r>
      <w:r w:rsidRPr="00DC12F8">
        <w:rPr>
          <w:sz w:val="18"/>
        </w:rPr>
        <w:t xml:space="preserve"> 30 seconds on the app. If users completed the required app functions in under 30 seconds, this usage was not registered in the current dataset.</w:t>
      </w:r>
      <w:r w:rsidRPr="00DC12F8">
        <w:rPr>
          <w:sz w:val="18"/>
        </w:rPr>
        <w:br/>
      </w:r>
      <w:r w:rsidRPr="00DC12F8">
        <w:rPr>
          <w:sz w:val="18"/>
          <w:vertAlign w:val="superscript"/>
        </w:rPr>
        <w:t>b</w:t>
      </w:r>
      <w:r w:rsidRPr="00DC12F8">
        <w:rPr>
          <w:sz w:val="18"/>
        </w:rPr>
        <w:t xml:space="preserve"> Engagement period denotes 30 day periods: engagement period 1 = days 1 to 30; engagement period 2 = days 31 to 60, etc.</w:t>
      </w:r>
    </w:p>
    <w:p w14:paraId="11ABA746" w14:textId="2706E262" w:rsidR="00D26EB0" w:rsidRDefault="00D26EB0" w:rsidP="00906619">
      <w:pPr>
        <w:spacing w:line="240" w:lineRule="auto"/>
        <w:rPr>
          <w:b/>
        </w:rPr>
      </w:pPr>
    </w:p>
    <w:p w14:paraId="6B7676A5" w14:textId="373F9FD1" w:rsidR="008A1AF3" w:rsidRPr="00906619" w:rsidRDefault="003528FC" w:rsidP="00536FB1">
      <w:pPr>
        <w:spacing w:after="0" w:line="480" w:lineRule="auto"/>
        <w:rPr>
          <w:sz w:val="18"/>
        </w:rPr>
      </w:pPr>
      <w:r>
        <w:rPr>
          <w:b/>
        </w:rPr>
        <w:t>3.2</w:t>
      </w:r>
      <w:r w:rsidR="00B504E8">
        <w:rPr>
          <w:b/>
        </w:rPr>
        <w:t>.</w:t>
      </w:r>
      <w:r>
        <w:rPr>
          <w:b/>
        </w:rPr>
        <w:t xml:space="preserve"> </w:t>
      </w:r>
      <w:r w:rsidR="008A1AF3">
        <w:rPr>
          <w:b/>
        </w:rPr>
        <w:t xml:space="preserve">Overall engagement with NHS-DDPP </w:t>
      </w:r>
      <w:r w:rsidR="00232E7A">
        <w:rPr>
          <w:b/>
        </w:rPr>
        <w:t xml:space="preserve">intervention </w:t>
      </w:r>
      <w:r w:rsidR="008A1AF3">
        <w:rPr>
          <w:b/>
        </w:rPr>
        <w:t xml:space="preserve">features across the nine-month intervention </w:t>
      </w:r>
    </w:p>
    <w:p w14:paraId="3ADADC27" w14:textId="623FB384" w:rsidR="00F516FC" w:rsidRDefault="008A1AF3" w:rsidP="00630843">
      <w:pPr>
        <w:spacing w:before="240" w:after="0" w:line="480" w:lineRule="auto"/>
        <w:ind w:firstLine="360"/>
      </w:pPr>
      <w:r>
        <w:t>Overall, service users primarily used the apps for self-monitoring their behaviours</w:t>
      </w:r>
      <w:r w:rsidR="009B2D30">
        <w:t>, with these features</w:t>
      </w:r>
      <w:r>
        <w:t xml:space="preserve"> accessed a median of 117 times across the nine-month programme</w:t>
      </w:r>
      <w:r w:rsidR="009B2D30">
        <w:t xml:space="preserve"> </w:t>
      </w:r>
      <w:r w:rsidR="00BE45B8">
        <w:t>(see Appendix</w:t>
      </w:r>
      <w:r w:rsidR="001A094E">
        <w:t xml:space="preserve"> </w:t>
      </w:r>
      <w:r w:rsidR="00BF5536">
        <w:t>2</w:t>
      </w:r>
      <w:r w:rsidR="001A094E" w:rsidRPr="00634A21">
        <w:t xml:space="preserve"> for the behaviours monitored as part of each provider’s service provision</w:t>
      </w:r>
      <w:r w:rsidR="001A094E">
        <w:t>)</w:t>
      </w:r>
      <w:r w:rsidR="00470251">
        <w:t>,</w:t>
      </w:r>
      <w:r w:rsidR="001A094E">
        <w:t xml:space="preserve"> </w:t>
      </w:r>
      <w:r>
        <w:t xml:space="preserve">and accessing educational </w:t>
      </w:r>
      <w:r>
        <w:lastRenderedPageBreak/>
        <w:t>articles (accessed a median of 52 times)</w:t>
      </w:r>
      <w:r w:rsidR="00634BF0">
        <w:t xml:space="preserve"> </w:t>
      </w:r>
      <w:r w:rsidR="009B2D30">
        <w:t xml:space="preserve">(Table </w:t>
      </w:r>
      <w:r w:rsidR="00EF4737">
        <w:t>4</w:t>
      </w:r>
      <w:r w:rsidR="009B2D30">
        <w:t>)</w:t>
      </w:r>
      <w:r>
        <w:t xml:space="preserve">. The </w:t>
      </w:r>
      <w:r w:rsidR="00B064DF">
        <w:t>open group discussion forums were</w:t>
      </w:r>
      <w:r>
        <w:t xml:space="preserve"> engaged with the least frequently across the NHS-DDPP (accessed a median of 0 times across the programme)</w:t>
      </w:r>
      <w:r w:rsidR="001B041E">
        <w:t>,</w:t>
      </w:r>
      <w:r>
        <w:t xml:space="preserve"> </w:t>
      </w:r>
      <w:r w:rsidR="001B041E">
        <w:t>s</w:t>
      </w:r>
      <w:r>
        <w:t xml:space="preserve">ee Table </w:t>
      </w:r>
      <w:r w:rsidR="00470251">
        <w:t>4</w:t>
      </w:r>
      <w:r>
        <w:t xml:space="preserve">. Notably, 610 of the 886 users (68.8%) with access to </w:t>
      </w:r>
      <w:r w:rsidR="00937435">
        <w:t xml:space="preserve">an open group discussion forum </w:t>
      </w:r>
      <w:r>
        <w:t>did not engage with these features at all</w:t>
      </w:r>
      <w:r w:rsidR="00365B32">
        <w:t xml:space="preserve">. Conversely, </w:t>
      </w:r>
      <w:r>
        <w:t>those who had access to peer support via a smaller closed group chat</w:t>
      </w:r>
      <w:r w:rsidR="00365B32">
        <w:t xml:space="preserve"> offered by one provider engaged with this feature a median of 6 times</w:t>
      </w:r>
      <w:r w:rsidR="00AD47E8">
        <w:t>.</w:t>
      </w:r>
      <w:r w:rsidR="00B064DF">
        <w:t xml:space="preserve"> The mean number of times apps were accessed were generally higher than </w:t>
      </w:r>
      <w:r w:rsidR="005E2C5F">
        <w:t xml:space="preserve">the </w:t>
      </w:r>
      <w:r w:rsidR="00B064DF">
        <w:t>median</w:t>
      </w:r>
      <w:r w:rsidR="005E2C5F">
        <w:t xml:space="preserve"> values</w:t>
      </w:r>
      <w:r w:rsidR="00B064DF">
        <w:t>, indicating tha</w:t>
      </w:r>
      <w:r w:rsidR="00205755">
        <w:t>t there were some very active</w:t>
      </w:r>
      <w:r w:rsidR="00B064DF">
        <w:t xml:space="preserve"> users whilst a significant proportion barely engaged at all.</w:t>
      </w:r>
    </w:p>
    <w:p w14:paraId="70B472E9" w14:textId="52FC80A0" w:rsidR="008A1AF3" w:rsidRDefault="008A1AF3" w:rsidP="008A1AF3">
      <w:pPr>
        <w:spacing w:line="480" w:lineRule="auto"/>
        <w:rPr>
          <w:u w:val="single"/>
        </w:rPr>
      </w:pPr>
      <w:r>
        <w:t xml:space="preserve">Table </w:t>
      </w:r>
      <w:r w:rsidR="00EF4737">
        <w:t>4</w:t>
      </w:r>
      <w:r>
        <w:t xml:space="preserve">. Overall frequency of use of features of the NHS-DDPP </w:t>
      </w:r>
    </w:p>
    <w:tbl>
      <w:tblPr>
        <w:tblStyle w:val="TableGrid"/>
        <w:tblW w:w="10632" w:type="dxa"/>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6380"/>
        <w:gridCol w:w="850"/>
        <w:gridCol w:w="1701"/>
        <w:gridCol w:w="1701"/>
      </w:tblGrid>
      <w:tr w:rsidR="008A1AF3" w14:paraId="672D74EB" w14:textId="77777777" w:rsidTr="008A1AF3">
        <w:tc>
          <w:tcPr>
            <w:tcW w:w="6380" w:type="dxa"/>
            <w:tcBorders>
              <w:top w:val="single" w:sz="4" w:space="0" w:color="FFFFFF" w:themeColor="background1"/>
              <w:bottom w:val="single" w:sz="4" w:space="0" w:color="FFFFFF" w:themeColor="background1"/>
            </w:tcBorders>
          </w:tcPr>
          <w:p w14:paraId="55A95B11" w14:textId="77777777" w:rsidR="008A1AF3" w:rsidRPr="00C37C42" w:rsidRDefault="008A1AF3" w:rsidP="008A1AF3"/>
        </w:tc>
        <w:tc>
          <w:tcPr>
            <w:tcW w:w="4252" w:type="dxa"/>
            <w:gridSpan w:val="3"/>
          </w:tcPr>
          <w:p w14:paraId="5D176FEB" w14:textId="77777777" w:rsidR="008A1AF3" w:rsidRDefault="008A1AF3" w:rsidP="008A1AF3">
            <w:pPr>
              <w:jc w:val="center"/>
              <w:rPr>
                <w:b/>
              </w:rPr>
            </w:pPr>
            <w:r>
              <w:rPr>
                <w:b/>
              </w:rPr>
              <w:t xml:space="preserve">Frequency of use </w:t>
            </w:r>
            <w:r w:rsidRPr="00C37C42">
              <w:rPr>
                <w:b/>
              </w:rPr>
              <w:t>across 9-month programme</w:t>
            </w:r>
          </w:p>
        </w:tc>
      </w:tr>
      <w:tr w:rsidR="008A1AF3" w14:paraId="1BC1AB23" w14:textId="77777777" w:rsidTr="008A1AF3">
        <w:tc>
          <w:tcPr>
            <w:tcW w:w="6380" w:type="dxa"/>
            <w:tcBorders>
              <w:top w:val="single" w:sz="4" w:space="0" w:color="FFFFFF" w:themeColor="background1"/>
            </w:tcBorders>
          </w:tcPr>
          <w:p w14:paraId="55EB4073" w14:textId="77777777" w:rsidR="008A1AF3" w:rsidRPr="00C37C42" w:rsidRDefault="008A1AF3" w:rsidP="008A1AF3"/>
        </w:tc>
        <w:tc>
          <w:tcPr>
            <w:tcW w:w="850" w:type="dxa"/>
          </w:tcPr>
          <w:p w14:paraId="3D1456E4" w14:textId="77777777" w:rsidR="008A1AF3" w:rsidRPr="00C37C42" w:rsidRDefault="008A1AF3" w:rsidP="008A1AF3">
            <w:pPr>
              <w:rPr>
                <w:b/>
                <w:i/>
              </w:rPr>
            </w:pPr>
            <w:r w:rsidRPr="00C37C42">
              <w:rPr>
                <w:b/>
                <w:i/>
              </w:rPr>
              <w:t>n</w:t>
            </w:r>
          </w:p>
        </w:tc>
        <w:tc>
          <w:tcPr>
            <w:tcW w:w="1701" w:type="dxa"/>
          </w:tcPr>
          <w:p w14:paraId="50563DDF" w14:textId="77777777" w:rsidR="008A1AF3" w:rsidRPr="00C37C42" w:rsidRDefault="008A1AF3" w:rsidP="008A1AF3">
            <w:pPr>
              <w:rPr>
                <w:b/>
              </w:rPr>
            </w:pPr>
            <w:r>
              <w:rPr>
                <w:b/>
              </w:rPr>
              <w:t>Mean (SD)</w:t>
            </w:r>
            <w:r w:rsidRPr="00C37C42">
              <w:rPr>
                <w:b/>
              </w:rPr>
              <w:t xml:space="preserve"> </w:t>
            </w:r>
          </w:p>
        </w:tc>
        <w:tc>
          <w:tcPr>
            <w:tcW w:w="1701" w:type="dxa"/>
          </w:tcPr>
          <w:p w14:paraId="17907413" w14:textId="77777777" w:rsidR="008A1AF3" w:rsidRDefault="008A1AF3" w:rsidP="008A1AF3">
            <w:pPr>
              <w:rPr>
                <w:b/>
              </w:rPr>
            </w:pPr>
            <w:r>
              <w:rPr>
                <w:b/>
              </w:rPr>
              <w:t>Median (IQR)</w:t>
            </w:r>
          </w:p>
        </w:tc>
      </w:tr>
      <w:tr w:rsidR="008A1AF3" w14:paraId="763DB1AF" w14:textId="77777777" w:rsidTr="008A1AF3">
        <w:tc>
          <w:tcPr>
            <w:tcW w:w="10632" w:type="dxa"/>
            <w:gridSpan w:val="4"/>
            <w:tcBorders>
              <w:bottom w:val="single" w:sz="4" w:space="0" w:color="FFFFFF" w:themeColor="background1"/>
            </w:tcBorders>
          </w:tcPr>
          <w:p w14:paraId="6FCF13F6" w14:textId="77777777" w:rsidR="008A1AF3" w:rsidRDefault="008A1AF3" w:rsidP="008A1AF3">
            <w:r>
              <w:rPr>
                <w:b/>
              </w:rPr>
              <w:t>Self-monitoring and goal setting</w:t>
            </w:r>
          </w:p>
        </w:tc>
      </w:tr>
      <w:tr w:rsidR="008A1AF3" w14:paraId="23657365" w14:textId="77777777" w:rsidTr="008A1AF3">
        <w:tc>
          <w:tcPr>
            <w:tcW w:w="6380" w:type="dxa"/>
            <w:tcBorders>
              <w:bottom w:val="single" w:sz="4" w:space="0" w:color="FFFFFF" w:themeColor="background1"/>
            </w:tcBorders>
          </w:tcPr>
          <w:p w14:paraId="37D68760" w14:textId="77777777" w:rsidR="008A1AF3" w:rsidRDefault="008A1AF3" w:rsidP="008A1AF3">
            <w:r w:rsidRPr="00420A74">
              <w:t>Number of times behaviours were self-monito</w:t>
            </w:r>
            <w:r>
              <w:t xml:space="preserve">red </w:t>
            </w:r>
          </w:p>
        </w:tc>
        <w:tc>
          <w:tcPr>
            <w:tcW w:w="850" w:type="dxa"/>
            <w:tcBorders>
              <w:bottom w:val="single" w:sz="4" w:space="0" w:color="FFFFFF" w:themeColor="background1"/>
            </w:tcBorders>
          </w:tcPr>
          <w:p w14:paraId="3C145101" w14:textId="77777777" w:rsidR="008A1AF3" w:rsidRDefault="008A1AF3" w:rsidP="008A1AF3">
            <w:r>
              <w:t>1826</w:t>
            </w:r>
          </w:p>
        </w:tc>
        <w:tc>
          <w:tcPr>
            <w:tcW w:w="1701" w:type="dxa"/>
            <w:tcBorders>
              <w:bottom w:val="single" w:sz="4" w:space="0" w:color="FFFFFF" w:themeColor="background1"/>
            </w:tcBorders>
          </w:tcPr>
          <w:p w14:paraId="7274791D" w14:textId="77777777" w:rsidR="008A1AF3" w:rsidRDefault="008A1AF3" w:rsidP="008A1AF3">
            <w:r>
              <w:t>384.4 (686.8)</w:t>
            </w:r>
          </w:p>
        </w:tc>
        <w:tc>
          <w:tcPr>
            <w:tcW w:w="1701" w:type="dxa"/>
            <w:tcBorders>
              <w:bottom w:val="single" w:sz="4" w:space="0" w:color="FFFFFF" w:themeColor="background1"/>
            </w:tcBorders>
          </w:tcPr>
          <w:p w14:paraId="795740FF" w14:textId="77777777" w:rsidR="008A1AF3" w:rsidRDefault="008A1AF3" w:rsidP="008A1AF3">
            <w:r>
              <w:t>117.0 (451.0)</w:t>
            </w:r>
          </w:p>
        </w:tc>
      </w:tr>
      <w:tr w:rsidR="008A1AF3" w14:paraId="06F3AFB9" w14:textId="77777777" w:rsidTr="008A1AF3">
        <w:tc>
          <w:tcPr>
            <w:tcW w:w="6380" w:type="dxa"/>
            <w:tcBorders>
              <w:top w:val="single" w:sz="4" w:space="0" w:color="FFFFFF" w:themeColor="background1"/>
              <w:bottom w:val="single" w:sz="4" w:space="0" w:color="FFFFFF" w:themeColor="background1"/>
            </w:tcBorders>
          </w:tcPr>
          <w:p w14:paraId="0608ADCE" w14:textId="77777777" w:rsidR="008A1AF3" w:rsidRDefault="008A1AF3" w:rsidP="008A1AF3">
            <w:r w:rsidRPr="00420A74">
              <w:t>Number of times out</w:t>
            </w:r>
            <w:r>
              <w:t>comes were self-monitored</w:t>
            </w:r>
          </w:p>
        </w:tc>
        <w:tc>
          <w:tcPr>
            <w:tcW w:w="850" w:type="dxa"/>
            <w:tcBorders>
              <w:top w:val="single" w:sz="4" w:space="0" w:color="FFFFFF" w:themeColor="background1"/>
              <w:bottom w:val="single" w:sz="4" w:space="0" w:color="FFFFFF" w:themeColor="background1"/>
            </w:tcBorders>
          </w:tcPr>
          <w:p w14:paraId="16006F96" w14:textId="77777777" w:rsidR="008A1AF3" w:rsidRDefault="008A1AF3" w:rsidP="008A1AF3">
            <w:r>
              <w:t>1826</w:t>
            </w:r>
          </w:p>
        </w:tc>
        <w:tc>
          <w:tcPr>
            <w:tcW w:w="1701" w:type="dxa"/>
            <w:tcBorders>
              <w:top w:val="single" w:sz="4" w:space="0" w:color="FFFFFF" w:themeColor="background1"/>
              <w:bottom w:val="single" w:sz="4" w:space="0" w:color="FFFFFF" w:themeColor="background1"/>
            </w:tcBorders>
          </w:tcPr>
          <w:p w14:paraId="29C5865D" w14:textId="77777777" w:rsidR="008A1AF3" w:rsidRDefault="008A1AF3" w:rsidP="008A1AF3">
            <w:r>
              <w:t>20.8 (49.1)</w:t>
            </w:r>
          </w:p>
        </w:tc>
        <w:tc>
          <w:tcPr>
            <w:tcW w:w="1701" w:type="dxa"/>
            <w:tcBorders>
              <w:top w:val="single" w:sz="4" w:space="0" w:color="FFFFFF" w:themeColor="background1"/>
              <w:bottom w:val="single" w:sz="4" w:space="0" w:color="FFFFFF" w:themeColor="background1"/>
            </w:tcBorders>
          </w:tcPr>
          <w:p w14:paraId="19C07275" w14:textId="77777777" w:rsidR="008A1AF3" w:rsidRDefault="008A1AF3" w:rsidP="008A1AF3">
            <w:r>
              <w:t>6.0 (20.0)</w:t>
            </w:r>
          </w:p>
        </w:tc>
      </w:tr>
      <w:tr w:rsidR="008A1AF3" w14:paraId="0A58EC37" w14:textId="77777777" w:rsidTr="008A1AF3">
        <w:tc>
          <w:tcPr>
            <w:tcW w:w="6380" w:type="dxa"/>
            <w:tcBorders>
              <w:top w:val="single" w:sz="4" w:space="0" w:color="FFFFFF" w:themeColor="background1"/>
              <w:bottom w:val="single" w:sz="4" w:space="0" w:color="FFFFFF" w:themeColor="background1"/>
            </w:tcBorders>
          </w:tcPr>
          <w:p w14:paraId="4DA90F0B" w14:textId="77777777" w:rsidR="008A1AF3" w:rsidRDefault="008A1AF3" w:rsidP="008A1AF3">
            <w:r w:rsidRPr="00420A74">
              <w:t>Number of times a behavioural and/or out</w:t>
            </w:r>
            <w:r>
              <w:t>come goal was set or amended</w:t>
            </w:r>
          </w:p>
        </w:tc>
        <w:tc>
          <w:tcPr>
            <w:tcW w:w="850" w:type="dxa"/>
            <w:tcBorders>
              <w:top w:val="single" w:sz="4" w:space="0" w:color="FFFFFF" w:themeColor="background1"/>
              <w:bottom w:val="single" w:sz="4" w:space="0" w:color="FFFFFF" w:themeColor="background1"/>
            </w:tcBorders>
          </w:tcPr>
          <w:p w14:paraId="69B2F3BB" w14:textId="77777777" w:rsidR="008A1AF3" w:rsidRDefault="008A1AF3" w:rsidP="008A1AF3">
            <w:r>
              <w:t>1826</w:t>
            </w:r>
          </w:p>
        </w:tc>
        <w:tc>
          <w:tcPr>
            <w:tcW w:w="1701" w:type="dxa"/>
            <w:tcBorders>
              <w:top w:val="single" w:sz="4" w:space="0" w:color="FFFFFF" w:themeColor="background1"/>
              <w:bottom w:val="single" w:sz="4" w:space="0" w:color="FFFFFF" w:themeColor="background1"/>
            </w:tcBorders>
          </w:tcPr>
          <w:p w14:paraId="113D4BDE" w14:textId="77777777" w:rsidR="008A1AF3" w:rsidRDefault="008A1AF3" w:rsidP="008A1AF3">
            <w:r>
              <w:t>114.5 (286.7)</w:t>
            </w:r>
          </w:p>
        </w:tc>
        <w:tc>
          <w:tcPr>
            <w:tcW w:w="1701" w:type="dxa"/>
            <w:tcBorders>
              <w:top w:val="single" w:sz="4" w:space="0" w:color="FFFFFF" w:themeColor="background1"/>
              <w:bottom w:val="single" w:sz="4" w:space="0" w:color="FFFFFF" w:themeColor="background1"/>
            </w:tcBorders>
          </w:tcPr>
          <w:p w14:paraId="77942B95" w14:textId="77777777" w:rsidR="008A1AF3" w:rsidRDefault="008A1AF3" w:rsidP="008A1AF3">
            <w:r>
              <w:t>6.0 (55.0)</w:t>
            </w:r>
          </w:p>
        </w:tc>
      </w:tr>
      <w:tr w:rsidR="008A1AF3" w14:paraId="5F3AD295" w14:textId="77777777" w:rsidTr="008A1AF3">
        <w:tc>
          <w:tcPr>
            <w:tcW w:w="6380" w:type="dxa"/>
            <w:tcBorders>
              <w:top w:val="single" w:sz="4" w:space="0" w:color="FFFFFF" w:themeColor="background1"/>
              <w:bottom w:val="single" w:sz="4" w:space="0" w:color="FFFFFF" w:themeColor="background1"/>
            </w:tcBorders>
          </w:tcPr>
          <w:p w14:paraId="106AC1D7" w14:textId="77777777" w:rsidR="008A1AF3" w:rsidRDefault="008A1AF3" w:rsidP="008A1AF3">
            <w:r w:rsidRPr="00420A74">
              <w:t>Number of times a</w:t>
            </w:r>
            <w:r>
              <w:t xml:space="preserve"> behavioural goal was set</w:t>
            </w:r>
          </w:p>
        </w:tc>
        <w:tc>
          <w:tcPr>
            <w:tcW w:w="850" w:type="dxa"/>
            <w:tcBorders>
              <w:top w:val="single" w:sz="4" w:space="0" w:color="FFFFFF" w:themeColor="background1"/>
              <w:bottom w:val="single" w:sz="4" w:space="0" w:color="FFFFFF" w:themeColor="background1"/>
            </w:tcBorders>
          </w:tcPr>
          <w:p w14:paraId="6A9B0FFF" w14:textId="77777777" w:rsidR="008A1AF3" w:rsidRDefault="008A1AF3" w:rsidP="008A1AF3">
            <w:r>
              <w:t>886</w:t>
            </w:r>
          </w:p>
        </w:tc>
        <w:tc>
          <w:tcPr>
            <w:tcW w:w="1701" w:type="dxa"/>
            <w:tcBorders>
              <w:top w:val="single" w:sz="4" w:space="0" w:color="FFFFFF" w:themeColor="background1"/>
              <w:bottom w:val="single" w:sz="4" w:space="0" w:color="FFFFFF" w:themeColor="background1"/>
            </w:tcBorders>
          </w:tcPr>
          <w:p w14:paraId="59C1A0FF" w14:textId="77777777" w:rsidR="008A1AF3" w:rsidRDefault="008A1AF3" w:rsidP="008A1AF3">
            <w:r>
              <w:t>4.1 (5.4)</w:t>
            </w:r>
          </w:p>
        </w:tc>
        <w:tc>
          <w:tcPr>
            <w:tcW w:w="1701" w:type="dxa"/>
            <w:tcBorders>
              <w:top w:val="single" w:sz="4" w:space="0" w:color="FFFFFF" w:themeColor="background1"/>
              <w:bottom w:val="single" w:sz="4" w:space="0" w:color="FFFFFF" w:themeColor="background1"/>
            </w:tcBorders>
          </w:tcPr>
          <w:p w14:paraId="744A3E09" w14:textId="77777777" w:rsidR="008A1AF3" w:rsidRDefault="008A1AF3" w:rsidP="008A1AF3">
            <w:r>
              <w:t>2.0 (5.0)</w:t>
            </w:r>
          </w:p>
        </w:tc>
      </w:tr>
      <w:tr w:rsidR="008A1AF3" w14:paraId="1EB06B45" w14:textId="77777777" w:rsidTr="008A1AF3">
        <w:tc>
          <w:tcPr>
            <w:tcW w:w="6380" w:type="dxa"/>
            <w:tcBorders>
              <w:top w:val="single" w:sz="4" w:space="0" w:color="FFFFFF" w:themeColor="background1"/>
              <w:bottom w:val="single" w:sz="4" w:space="0" w:color="auto"/>
            </w:tcBorders>
          </w:tcPr>
          <w:p w14:paraId="6EAD8CF2" w14:textId="77777777" w:rsidR="008A1AF3" w:rsidRDefault="008A1AF3" w:rsidP="008A1AF3">
            <w:r w:rsidRPr="00420A74">
              <w:t xml:space="preserve">Number of times an outcome goal was set </w:t>
            </w:r>
          </w:p>
        </w:tc>
        <w:tc>
          <w:tcPr>
            <w:tcW w:w="850" w:type="dxa"/>
            <w:tcBorders>
              <w:top w:val="single" w:sz="4" w:space="0" w:color="FFFFFF" w:themeColor="background1"/>
              <w:bottom w:val="single" w:sz="4" w:space="0" w:color="auto"/>
            </w:tcBorders>
          </w:tcPr>
          <w:p w14:paraId="1305128F" w14:textId="77777777" w:rsidR="008A1AF3" w:rsidRDefault="008A1AF3" w:rsidP="008A1AF3">
            <w:r>
              <w:t>886</w:t>
            </w:r>
          </w:p>
        </w:tc>
        <w:tc>
          <w:tcPr>
            <w:tcW w:w="1701" w:type="dxa"/>
            <w:tcBorders>
              <w:top w:val="single" w:sz="4" w:space="0" w:color="FFFFFF" w:themeColor="background1"/>
              <w:bottom w:val="single" w:sz="4" w:space="0" w:color="auto"/>
            </w:tcBorders>
          </w:tcPr>
          <w:p w14:paraId="44A5A821" w14:textId="77777777" w:rsidR="008A1AF3" w:rsidRDefault="008A1AF3" w:rsidP="008A1AF3">
            <w:r>
              <w:t>0.9 (1.4)</w:t>
            </w:r>
          </w:p>
        </w:tc>
        <w:tc>
          <w:tcPr>
            <w:tcW w:w="1701" w:type="dxa"/>
            <w:tcBorders>
              <w:top w:val="single" w:sz="4" w:space="0" w:color="FFFFFF" w:themeColor="background1"/>
              <w:bottom w:val="single" w:sz="4" w:space="0" w:color="auto"/>
            </w:tcBorders>
          </w:tcPr>
          <w:p w14:paraId="222FCBF6" w14:textId="77777777" w:rsidR="008A1AF3" w:rsidRDefault="008A1AF3" w:rsidP="008A1AF3">
            <w:r>
              <w:t>0.0 (1.0)</w:t>
            </w:r>
          </w:p>
        </w:tc>
      </w:tr>
      <w:tr w:rsidR="008A1AF3" w14:paraId="0C091974" w14:textId="77777777" w:rsidTr="008A1AF3">
        <w:tc>
          <w:tcPr>
            <w:tcW w:w="10632" w:type="dxa"/>
            <w:gridSpan w:val="4"/>
            <w:tcBorders>
              <w:top w:val="single" w:sz="4" w:space="0" w:color="auto"/>
              <w:bottom w:val="single" w:sz="4" w:space="0" w:color="auto"/>
            </w:tcBorders>
          </w:tcPr>
          <w:p w14:paraId="710FF3CE" w14:textId="77777777" w:rsidR="008A1AF3" w:rsidRDefault="008A1AF3" w:rsidP="008A1AF3">
            <w:r>
              <w:rPr>
                <w:b/>
              </w:rPr>
              <w:t>Educational content</w:t>
            </w:r>
          </w:p>
        </w:tc>
      </w:tr>
      <w:tr w:rsidR="008A1AF3" w14:paraId="2214735A" w14:textId="77777777" w:rsidTr="008A1AF3">
        <w:tc>
          <w:tcPr>
            <w:tcW w:w="6380" w:type="dxa"/>
            <w:tcBorders>
              <w:top w:val="single" w:sz="4" w:space="0" w:color="auto"/>
              <w:bottom w:val="single" w:sz="4" w:space="0" w:color="FFFFFF" w:themeColor="background1"/>
            </w:tcBorders>
          </w:tcPr>
          <w:p w14:paraId="5422351B" w14:textId="77777777" w:rsidR="008A1AF3" w:rsidRDefault="008A1AF3" w:rsidP="008A1AF3">
            <w:r w:rsidRPr="00C37C42">
              <w:t>Number of tim</w:t>
            </w:r>
            <w:r>
              <w:t>es articles were accessed</w:t>
            </w:r>
          </w:p>
        </w:tc>
        <w:tc>
          <w:tcPr>
            <w:tcW w:w="850" w:type="dxa"/>
            <w:tcBorders>
              <w:top w:val="single" w:sz="4" w:space="0" w:color="auto"/>
              <w:bottom w:val="single" w:sz="4" w:space="0" w:color="FFFFFF" w:themeColor="background1"/>
            </w:tcBorders>
          </w:tcPr>
          <w:p w14:paraId="3F5C2EF7" w14:textId="77777777" w:rsidR="008A1AF3" w:rsidRDefault="008A1AF3" w:rsidP="008A1AF3">
            <w:r>
              <w:t>1543</w:t>
            </w:r>
          </w:p>
        </w:tc>
        <w:tc>
          <w:tcPr>
            <w:tcW w:w="1701" w:type="dxa"/>
            <w:tcBorders>
              <w:top w:val="single" w:sz="4" w:space="0" w:color="auto"/>
              <w:bottom w:val="single" w:sz="4" w:space="0" w:color="FFFFFF" w:themeColor="background1"/>
            </w:tcBorders>
          </w:tcPr>
          <w:p w14:paraId="4E82919F" w14:textId="77777777" w:rsidR="008A1AF3" w:rsidRDefault="008A1AF3" w:rsidP="008A1AF3">
            <w:r>
              <w:t>128.1 (217.3)</w:t>
            </w:r>
          </w:p>
        </w:tc>
        <w:tc>
          <w:tcPr>
            <w:tcW w:w="1701" w:type="dxa"/>
            <w:tcBorders>
              <w:top w:val="single" w:sz="4" w:space="0" w:color="auto"/>
              <w:bottom w:val="single" w:sz="4" w:space="0" w:color="FFFFFF" w:themeColor="background1"/>
            </w:tcBorders>
          </w:tcPr>
          <w:p w14:paraId="02195D14" w14:textId="77777777" w:rsidR="008A1AF3" w:rsidRDefault="008A1AF3" w:rsidP="008A1AF3">
            <w:r>
              <w:t>52.0 (165.0)</w:t>
            </w:r>
          </w:p>
        </w:tc>
      </w:tr>
      <w:tr w:rsidR="008A1AF3" w14:paraId="161D002C" w14:textId="77777777" w:rsidTr="008A1AF3">
        <w:tc>
          <w:tcPr>
            <w:tcW w:w="6380" w:type="dxa"/>
            <w:tcBorders>
              <w:top w:val="single" w:sz="4" w:space="0" w:color="FFFFFF" w:themeColor="background1"/>
              <w:bottom w:val="single" w:sz="4" w:space="0" w:color="FFFFFF" w:themeColor="background1"/>
            </w:tcBorders>
          </w:tcPr>
          <w:p w14:paraId="059A0830" w14:textId="77777777" w:rsidR="008A1AF3" w:rsidRDefault="008A1AF3" w:rsidP="008A1AF3">
            <w:r w:rsidRPr="00C37C42">
              <w:t>Number of times unique articles were a</w:t>
            </w:r>
            <w:r>
              <w:t>ccessed</w:t>
            </w:r>
          </w:p>
        </w:tc>
        <w:tc>
          <w:tcPr>
            <w:tcW w:w="850" w:type="dxa"/>
            <w:tcBorders>
              <w:top w:val="single" w:sz="4" w:space="0" w:color="FFFFFF" w:themeColor="background1"/>
              <w:bottom w:val="single" w:sz="4" w:space="0" w:color="FFFFFF" w:themeColor="background1"/>
            </w:tcBorders>
          </w:tcPr>
          <w:p w14:paraId="0138BE4E" w14:textId="77777777" w:rsidR="008A1AF3" w:rsidRDefault="008A1AF3" w:rsidP="008A1AF3">
            <w:r>
              <w:t>1543</w:t>
            </w:r>
          </w:p>
        </w:tc>
        <w:tc>
          <w:tcPr>
            <w:tcW w:w="1701" w:type="dxa"/>
            <w:tcBorders>
              <w:top w:val="single" w:sz="4" w:space="0" w:color="FFFFFF" w:themeColor="background1"/>
              <w:bottom w:val="single" w:sz="4" w:space="0" w:color="FFFFFF" w:themeColor="background1"/>
            </w:tcBorders>
          </w:tcPr>
          <w:p w14:paraId="78E977E5" w14:textId="77777777" w:rsidR="008A1AF3" w:rsidRDefault="008A1AF3" w:rsidP="008A1AF3">
            <w:r>
              <w:t>64.3 (81.4)</w:t>
            </w:r>
          </w:p>
        </w:tc>
        <w:tc>
          <w:tcPr>
            <w:tcW w:w="1701" w:type="dxa"/>
            <w:tcBorders>
              <w:top w:val="single" w:sz="4" w:space="0" w:color="FFFFFF" w:themeColor="background1"/>
              <w:bottom w:val="single" w:sz="4" w:space="0" w:color="FFFFFF" w:themeColor="background1"/>
            </w:tcBorders>
          </w:tcPr>
          <w:p w14:paraId="2FA989EC" w14:textId="77777777" w:rsidR="008A1AF3" w:rsidRDefault="008A1AF3" w:rsidP="008A1AF3">
            <w:r>
              <w:t>32.0 (75.0)</w:t>
            </w:r>
          </w:p>
        </w:tc>
      </w:tr>
      <w:tr w:rsidR="008A1AF3" w14:paraId="200AB27F" w14:textId="77777777" w:rsidTr="008A1AF3">
        <w:tc>
          <w:tcPr>
            <w:tcW w:w="6380" w:type="dxa"/>
            <w:tcBorders>
              <w:top w:val="single" w:sz="4" w:space="0" w:color="FFFFFF" w:themeColor="background1"/>
              <w:bottom w:val="single" w:sz="4" w:space="0" w:color="FFFFFF" w:themeColor="background1"/>
            </w:tcBorders>
          </w:tcPr>
          <w:p w14:paraId="719C5EDD" w14:textId="725804F5" w:rsidR="008A1AF3" w:rsidRDefault="008A1AF3" w:rsidP="008A1AF3">
            <w:r w:rsidRPr="00C37C42">
              <w:t>Number of</w:t>
            </w:r>
            <w:r>
              <w:t xml:space="preserve"> times educational content was sent</w:t>
            </w:r>
            <w:r w:rsidR="00FF3FEC">
              <w:t xml:space="preserve"> from health coach</w:t>
            </w:r>
          </w:p>
        </w:tc>
        <w:tc>
          <w:tcPr>
            <w:tcW w:w="850" w:type="dxa"/>
            <w:tcBorders>
              <w:top w:val="single" w:sz="4" w:space="0" w:color="FFFFFF" w:themeColor="background1"/>
              <w:bottom w:val="single" w:sz="4" w:space="0" w:color="FFFFFF" w:themeColor="background1"/>
            </w:tcBorders>
          </w:tcPr>
          <w:p w14:paraId="16F03E0C" w14:textId="77777777" w:rsidR="008A1AF3" w:rsidRDefault="008A1AF3" w:rsidP="008A1AF3">
            <w:r>
              <w:t>283</w:t>
            </w:r>
          </w:p>
        </w:tc>
        <w:tc>
          <w:tcPr>
            <w:tcW w:w="1701" w:type="dxa"/>
            <w:tcBorders>
              <w:top w:val="single" w:sz="4" w:space="0" w:color="FFFFFF" w:themeColor="background1"/>
              <w:bottom w:val="single" w:sz="4" w:space="0" w:color="FFFFFF" w:themeColor="background1"/>
            </w:tcBorders>
          </w:tcPr>
          <w:p w14:paraId="19890C48" w14:textId="77777777" w:rsidR="008A1AF3" w:rsidRDefault="008A1AF3" w:rsidP="008A1AF3">
            <w:r>
              <w:t>32.5 (17.0)</w:t>
            </w:r>
          </w:p>
        </w:tc>
        <w:tc>
          <w:tcPr>
            <w:tcW w:w="1701" w:type="dxa"/>
            <w:tcBorders>
              <w:top w:val="single" w:sz="4" w:space="0" w:color="FFFFFF" w:themeColor="background1"/>
              <w:bottom w:val="single" w:sz="4" w:space="0" w:color="FFFFFF" w:themeColor="background1"/>
            </w:tcBorders>
          </w:tcPr>
          <w:p w14:paraId="39A8E94B" w14:textId="77777777" w:rsidR="008A1AF3" w:rsidRDefault="008A1AF3" w:rsidP="008A1AF3">
            <w:r>
              <w:t>36.0 (26.0)</w:t>
            </w:r>
          </w:p>
        </w:tc>
      </w:tr>
      <w:tr w:rsidR="008A1AF3" w14:paraId="0A538625" w14:textId="77777777" w:rsidTr="008A1AF3">
        <w:tc>
          <w:tcPr>
            <w:tcW w:w="10632" w:type="dxa"/>
            <w:gridSpan w:val="4"/>
            <w:tcBorders>
              <w:bottom w:val="single" w:sz="4" w:space="0" w:color="FFFFFF" w:themeColor="background1"/>
            </w:tcBorders>
          </w:tcPr>
          <w:p w14:paraId="556E7A37" w14:textId="77777777" w:rsidR="008A1AF3" w:rsidRDefault="008A1AF3" w:rsidP="008A1AF3">
            <w:r w:rsidRPr="00C37C42">
              <w:rPr>
                <w:b/>
              </w:rPr>
              <w:t>Health coach support</w:t>
            </w:r>
          </w:p>
        </w:tc>
      </w:tr>
      <w:tr w:rsidR="00AE1DFF" w14:paraId="5405EF0D" w14:textId="77777777" w:rsidTr="008A1AF3">
        <w:tc>
          <w:tcPr>
            <w:tcW w:w="6380" w:type="dxa"/>
            <w:tcBorders>
              <w:bottom w:val="single" w:sz="4" w:space="0" w:color="FFFFFF" w:themeColor="background1"/>
            </w:tcBorders>
          </w:tcPr>
          <w:p w14:paraId="414DFE13" w14:textId="58691058" w:rsidR="00AE1DFF" w:rsidRPr="00C37C42" w:rsidRDefault="00AE1DFF" w:rsidP="00AE1DFF">
            <w:r w:rsidRPr="00A07598">
              <w:t>Number of calls with health coach</w:t>
            </w:r>
          </w:p>
        </w:tc>
        <w:tc>
          <w:tcPr>
            <w:tcW w:w="850" w:type="dxa"/>
            <w:tcBorders>
              <w:bottom w:val="single" w:sz="4" w:space="0" w:color="FFFFFF" w:themeColor="background1"/>
            </w:tcBorders>
          </w:tcPr>
          <w:p w14:paraId="6819076D" w14:textId="77777777" w:rsidR="00AE1DFF" w:rsidRPr="00C37C42" w:rsidRDefault="00AE1DFF" w:rsidP="00AE1DFF">
            <w:r>
              <w:t>1223</w:t>
            </w:r>
          </w:p>
        </w:tc>
        <w:tc>
          <w:tcPr>
            <w:tcW w:w="1701" w:type="dxa"/>
            <w:tcBorders>
              <w:bottom w:val="single" w:sz="4" w:space="0" w:color="FFFFFF" w:themeColor="background1"/>
            </w:tcBorders>
          </w:tcPr>
          <w:p w14:paraId="233EC959" w14:textId="77777777" w:rsidR="00AE1DFF" w:rsidRPr="00C37C42" w:rsidRDefault="00AE1DFF" w:rsidP="00AE1DFF">
            <w:r>
              <w:t>2.6 (2.7)</w:t>
            </w:r>
          </w:p>
        </w:tc>
        <w:tc>
          <w:tcPr>
            <w:tcW w:w="1701" w:type="dxa"/>
            <w:tcBorders>
              <w:bottom w:val="single" w:sz="4" w:space="0" w:color="FFFFFF" w:themeColor="background1"/>
            </w:tcBorders>
          </w:tcPr>
          <w:p w14:paraId="3ABF32A0" w14:textId="77777777" w:rsidR="00AE1DFF" w:rsidRDefault="00AE1DFF" w:rsidP="00AE1DFF">
            <w:r>
              <w:t>1.0 (5.0)</w:t>
            </w:r>
          </w:p>
        </w:tc>
      </w:tr>
      <w:tr w:rsidR="00AE1DFF" w14:paraId="1E3FECAA" w14:textId="77777777" w:rsidTr="008A1AF3">
        <w:tc>
          <w:tcPr>
            <w:tcW w:w="6380" w:type="dxa"/>
            <w:tcBorders>
              <w:top w:val="single" w:sz="4" w:space="0" w:color="FFFFFF" w:themeColor="background1"/>
              <w:bottom w:val="single" w:sz="4" w:space="0" w:color="FFFFFF" w:themeColor="background1"/>
            </w:tcBorders>
          </w:tcPr>
          <w:p w14:paraId="02B0B824" w14:textId="73FF622C" w:rsidR="00AE1DFF" w:rsidRPr="00C37C42" w:rsidRDefault="00AE1DFF" w:rsidP="00AE1DFF">
            <w:r>
              <w:t>Number of messages sent to health coach that have been responded to</w:t>
            </w:r>
          </w:p>
        </w:tc>
        <w:tc>
          <w:tcPr>
            <w:tcW w:w="850" w:type="dxa"/>
            <w:tcBorders>
              <w:top w:val="single" w:sz="4" w:space="0" w:color="FFFFFF" w:themeColor="background1"/>
              <w:bottom w:val="single" w:sz="4" w:space="0" w:color="FFFFFF" w:themeColor="background1"/>
            </w:tcBorders>
          </w:tcPr>
          <w:p w14:paraId="5094FE91" w14:textId="77777777" w:rsidR="00AE1DFF" w:rsidRPr="00C37C42" w:rsidRDefault="00AE1DFF" w:rsidP="00AE1DFF">
            <w:r>
              <w:t>1543</w:t>
            </w:r>
          </w:p>
        </w:tc>
        <w:tc>
          <w:tcPr>
            <w:tcW w:w="1701" w:type="dxa"/>
            <w:tcBorders>
              <w:top w:val="single" w:sz="4" w:space="0" w:color="FFFFFF" w:themeColor="background1"/>
              <w:bottom w:val="single" w:sz="4" w:space="0" w:color="FFFFFF" w:themeColor="background1"/>
            </w:tcBorders>
          </w:tcPr>
          <w:p w14:paraId="7EF6D113" w14:textId="77777777" w:rsidR="00AE1DFF" w:rsidRPr="00C37C42" w:rsidRDefault="00AE1DFF" w:rsidP="00AE1DFF">
            <w:r>
              <w:t>25.5 (114.5)</w:t>
            </w:r>
          </w:p>
        </w:tc>
        <w:tc>
          <w:tcPr>
            <w:tcW w:w="1701" w:type="dxa"/>
            <w:tcBorders>
              <w:top w:val="single" w:sz="4" w:space="0" w:color="FFFFFF" w:themeColor="background1"/>
              <w:bottom w:val="single" w:sz="4" w:space="0" w:color="FFFFFF" w:themeColor="background1"/>
            </w:tcBorders>
          </w:tcPr>
          <w:p w14:paraId="5DBFB2EC" w14:textId="77777777" w:rsidR="00AE1DFF" w:rsidRDefault="00AE1DFF" w:rsidP="00AE1DFF">
            <w:r>
              <w:t>7.0 (23.0)</w:t>
            </w:r>
          </w:p>
        </w:tc>
      </w:tr>
      <w:tr w:rsidR="00AE1DFF" w14:paraId="48306C3F" w14:textId="77777777" w:rsidTr="008A1AF3">
        <w:tc>
          <w:tcPr>
            <w:tcW w:w="6380" w:type="dxa"/>
            <w:tcBorders>
              <w:top w:val="single" w:sz="4" w:space="0" w:color="FFFFFF" w:themeColor="background1"/>
              <w:bottom w:val="single" w:sz="4" w:space="0" w:color="FFFFFF" w:themeColor="background1"/>
            </w:tcBorders>
          </w:tcPr>
          <w:p w14:paraId="156702F0" w14:textId="004C3B8D" w:rsidR="00AE1DFF" w:rsidRPr="00C37C42" w:rsidRDefault="00AE1DFF" w:rsidP="00AE1DFF">
            <w:r>
              <w:t xml:space="preserve">Number of messages sent from service user to health coach </w:t>
            </w:r>
          </w:p>
        </w:tc>
        <w:tc>
          <w:tcPr>
            <w:tcW w:w="850" w:type="dxa"/>
            <w:tcBorders>
              <w:top w:val="single" w:sz="4" w:space="0" w:color="FFFFFF" w:themeColor="background1"/>
              <w:bottom w:val="single" w:sz="4" w:space="0" w:color="FFFFFF" w:themeColor="background1"/>
            </w:tcBorders>
          </w:tcPr>
          <w:p w14:paraId="2BE8681D" w14:textId="77777777" w:rsidR="00AE1DFF" w:rsidRPr="00C37C42" w:rsidRDefault="00AE1DFF" w:rsidP="00AE1DFF">
            <w:r>
              <w:t>283</w:t>
            </w:r>
          </w:p>
        </w:tc>
        <w:tc>
          <w:tcPr>
            <w:tcW w:w="1701" w:type="dxa"/>
            <w:tcBorders>
              <w:top w:val="single" w:sz="4" w:space="0" w:color="FFFFFF" w:themeColor="background1"/>
              <w:bottom w:val="single" w:sz="4" w:space="0" w:color="FFFFFF" w:themeColor="background1"/>
            </w:tcBorders>
          </w:tcPr>
          <w:p w14:paraId="0DEED97C" w14:textId="77777777" w:rsidR="00AE1DFF" w:rsidRPr="00C37C42" w:rsidRDefault="00AE1DFF" w:rsidP="00AE1DFF">
            <w:r>
              <w:t>20.8 (8.0)</w:t>
            </w:r>
          </w:p>
        </w:tc>
        <w:tc>
          <w:tcPr>
            <w:tcW w:w="1701" w:type="dxa"/>
            <w:tcBorders>
              <w:top w:val="single" w:sz="4" w:space="0" w:color="FFFFFF" w:themeColor="background1"/>
              <w:bottom w:val="single" w:sz="4" w:space="0" w:color="FFFFFF" w:themeColor="background1"/>
            </w:tcBorders>
          </w:tcPr>
          <w:p w14:paraId="1F1A1F53" w14:textId="77777777" w:rsidR="00AE1DFF" w:rsidRDefault="00AE1DFF" w:rsidP="00AE1DFF">
            <w:r>
              <w:t>23.0 (10.0)</w:t>
            </w:r>
          </w:p>
        </w:tc>
      </w:tr>
      <w:tr w:rsidR="00AE1DFF" w14:paraId="15ECCE0B" w14:textId="77777777" w:rsidTr="008A1AF3">
        <w:tc>
          <w:tcPr>
            <w:tcW w:w="6380" w:type="dxa"/>
            <w:tcBorders>
              <w:top w:val="single" w:sz="4" w:space="0" w:color="FFFFFF" w:themeColor="background1"/>
            </w:tcBorders>
          </w:tcPr>
          <w:p w14:paraId="04B59677" w14:textId="291515F7" w:rsidR="00AE1DFF" w:rsidRPr="00C37C42" w:rsidRDefault="00AE1DFF" w:rsidP="00AE1DFF">
            <w:r>
              <w:t>Number of support messages sent from health coach</w:t>
            </w:r>
          </w:p>
        </w:tc>
        <w:tc>
          <w:tcPr>
            <w:tcW w:w="850" w:type="dxa"/>
            <w:tcBorders>
              <w:top w:val="single" w:sz="4" w:space="0" w:color="FFFFFF" w:themeColor="background1"/>
            </w:tcBorders>
          </w:tcPr>
          <w:p w14:paraId="455A0415" w14:textId="77777777" w:rsidR="00AE1DFF" w:rsidRPr="00C37C42" w:rsidRDefault="00AE1DFF" w:rsidP="00AE1DFF">
            <w:r>
              <w:t>283</w:t>
            </w:r>
          </w:p>
        </w:tc>
        <w:tc>
          <w:tcPr>
            <w:tcW w:w="1701" w:type="dxa"/>
            <w:tcBorders>
              <w:top w:val="single" w:sz="4" w:space="0" w:color="FFFFFF" w:themeColor="background1"/>
            </w:tcBorders>
          </w:tcPr>
          <w:p w14:paraId="295B83F4" w14:textId="77777777" w:rsidR="00AE1DFF" w:rsidRPr="00C37C42" w:rsidRDefault="00AE1DFF" w:rsidP="00AE1DFF">
            <w:r>
              <w:t>27.7 (56.9)</w:t>
            </w:r>
          </w:p>
        </w:tc>
        <w:tc>
          <w:tcPr>
            <w:tcW w:w="1701" w:type="dxa"/>
            <w:tcBorders>
              <w:top w:val="single" w:sz="4" w:space="0" w:color="FFFFFF" w:themeColor="background1"/>
            </w:tcBorders>
          </w:tcPr>
          <w:p w14:paraId="36E1F7D1" w14:textId="77777777" w:rsidR="00AE1DFF" w:rsidRDefault="00AE1DFF" w:rsidP="00AE1DFF">
            <w:r>
              <w:t>15.0 (23.0)</w:t>
            </w:r>
          </w:p>
        </w:tc>
      </w:tr>
      <w:tr w:rsidR="008A1AF3" w14:paraId="7B437A83" w14:textId="77777777" w:rsidTr="008A1AF3">
        <w:tc>
          <w:tcPr>
            <w:tcW w:w="8931" w:type="dxa"/>
            <w:gridSpan w:val="3"/>
          </w:tcPr>
          <w:p w14:paraId="38A9298E" w14:textId="77777777" w:rsidR="008A1AF3" w:rsidRPr="00C37C42" w:rsidRDefault="008A1AF3" w:rsidP="008A1AF3">
            <w:pPr>
              <w:rPr>
                <w:b/>
              </w:rPr>
            </w:pPr>
            <w:r>
              <w:rPr>
                <w:b/>
              </w:rPr>
              <w:t>Group support</w:t>
            </w:r>
          </w:p>
        </w:tc>
        <w:tc>
          <w:tcPr>
            <w:tcW w:w="1701" w:type="dxa"/>
          </w:tcPr>
          <w:p w14:paraId="4CABF0D8" w14:textId="77777777" w:rsidR="008A1AF3" w:rsidRDefault="008A1AF3" w:rsidP="008A1AF3">
            <w:pPr>
              <w:rPr>
                <w:b/>
              </w:rPr>
            </w:pPr>
          </w:p>
        </w:tc>
      </w:tr>
      <w:tr w:rsidR="008A1AF3" w14:paraId="2C6D5C9C" w14:textId="77777777" w:rsidTr="008A1AF3">
        <w:tc>
          <w:tcPr>
            <w:tcW w:w="6380" w:type="dxa"/>
            <w:tcBorders>
              <w:bottom w:val="single" w:sz="4" w:space="0" w:color="FFFFFF" w:themeColor="background1"/>
            </w:tcBorders>
          </w:tcPr>
          <w:p w14:paraId="66BFF0F1" w14:textId="2F865730" w:rsidR="008A1AF3" w:rsidRPr="00002CB7" w:rsidRDefault="008A1AF3" w:rsidP="008A1AF3">
            <w:r w:rsidRPr="00002CB7">
              <w:t>Number of peer messages sent in group chat</w:t>
            </w:r>
            <w:r w:rsidR="00FF3FEC">
              <w:t xml:space="preserve"> by service user</w:t>
            </w:r>
            <w:r>
              <w:t xml:space="preserve"> </w:t>
            </w:r>
            <w:r>
              <w:rPr>
                <w:i/>
                <w:vertAlign w:val="superscript"/>
              </w:rPr>
              <w:t>a</w:t>
            </w:r>
          </w:p>
        </w:tc>
        <w:tc>
          <w:tcPr>
            <w:tcW w:w="850" w:type="dxa"/>
            <w:tcBorders>
              <w:bottom w:val="single" w:sz="4" w:space="0" w:color="FFFFFF" w:themeColor="background1"/>
            </w:tcBorders>
          </w:tcPr>
          <w:p w14:paraId="6C8B4968" w14:textId="77777777" w:rsidR="008A1AF3" w:rsidRPr="00002CB7" w:rsidRDefault="008A1AF3" w:rsidP="008A1AF3">
            <w:r w:rsidRPr="00002CB7">
              <w:t>603</w:t>
            </w:r>
          </w:p>
        </w:tc>
        <w:tc>
          <w:tcPr>
            <w:tcW w:w="1701" w:type="dxa"/>
            <w:tcBorders>
              <w:bottom w:val="single" w:sz="4" w:space="0" w:color="FFFFFF" w:themeColor="background1"/>
            </w:tcBorders>
          </w:tcPr>
          <w:p w14:paraId="368BFE49" w14:textId="77777777" w:rsidR="008A1AF3" w:rsidRPr="00002CB7" w:rsidRDefault="008A1AF3" w:rsidP="008A1AF3">
            <w:r>
              <w:t>29.8 (79.3)</w:t>
            </w:r>
          </w:p>
        </w:tc>
        <w:tc>
          <w:tcPr>
            <w:tcW w:w="1701" w:type="dxa"/>
            <w:tcBorders>
              <w:bottom w:val="single" w:sz="4" w:space="0" w:color="FFFFFF" w:themeColor="background1"/>
            </w:tcBorders>
          </w:tcPr>
          <w:p w14:paraId="33A718C0" w14:textId="77777777" w:rsidR="008A1AF3" w:rsidRDefault="008A1AF3" w:rsidP="008A1AF3">
            <w:r>
              <w:t>6.0 (31.0)</w:t>
            </w:r>
          </w:p>
        </w:tc>
      </w:tr>
      <w:tr w:rsidR="008A1AF3" w14:paraId="1D4E7288" w14:textId="77777777" w:rsidTr="008A1AF3">
        <w:tc>
          <w:tcPr>
            <w:tcW w:w="6380" w:type="dxa"/>
            <w:tcBorders>
              <w:top w:val="single" w:sz="4" w:space="0" w:color="FFFFFF" w:themeColor="background1"/>
              <w:bottom w:val="single" w:sz="4" w:space="0" w:color="FFFFFF" w:themeColor="background1"/>
            </w:tcBorders>
          </w:tcPr>
          <w:p w14:paraId="7A86A4DC" w14:textId="27B10867" w:rsidR="008A1AF3" w:rsidRPr="00C37C42" w:rsidRDefault="008A1AF3" w:rsidP="008A1AF3">
            <w:r w:rsidRPr="00C37C42">
              <w:t xml:space="preserve">Number of group posts in </w:t>
            </w:r>
            <w:r>
              <w:t xml:space="preserve">discussion </w:t>
            </w:r>
            <w:r w:rsidRPr="00C37C42">
              <w:t>forum</w:t>
            </w:r>
            <w:r w:rsidR="00FF3FEC">
              <w:t xml:space="preserve"> by service user</w:t>
            </w:r>
            <w:r>
              <w:t xml:space="preserve"> </w:t>
            </w:r>
            <w:r>
              <w:rPr>
                <w:i/>
                <w:vertAlign w:val="superscript"/>
              </w:rPr>
              <w:t>b</w:t>
            </w:r>
          </w:p>
        </w:tc>
        <w:tc>
          <w:tcPr>
            <w:tcW w:w="850" w:type="dxa"/>
            <w:tcBorders>
              <w:top w:val="single" w:sz="4" w:space="0" w:color="FFFFFF" w:themeColor="background1"/>
              <w:bottom w:val="single" w:sz="4" w:space="0" w:color="FFFFFF" w:themeColor="background1"/>
            </w:tcBorders>
          </w:tcPr>
          <w:p w14:paraId="1A6F841C" w14:textId="77777777" w:rsidR="008A1AF3" w:rsidRPr="00C37C42" w:rsidRDefault="008A1AF3" w:rsidP="008A1AF3">
            <w:r>
              <w:t>886</w:t>
            </w:r>
          </w:p>
        </w:tc>
        <w:tc>
          <w:tcPr>
            <w:tcW w:w="1701" w:type="dxa"/>
            <w:tcBorders>
              <w:top w:val="single" w:sz="4" w:space="0" w:color="FFFFFF" w:themeColor="background1"/>
              <w:bottom w:val="single" w:sz="4" w:space="0" w:color="FFFFFF" w:themeColor="background1"/>
            </w:tcBorders>
          </w:tcPr>
          <w:p w14:paraId="432BE723" w14:textId="77777777" w:rsidR="008A1AF3" w:rsidRPr="00C37C42" w:rsidRDefault="008A1AF3" w:rsidP="008A1AF3">
            <w:r>
              <w:t>0.2 (1.7)</w:t>
            </w:r>
          </w:p>
        </w:tc>
        <w:tc>
          <w:tcPr>
            <w:tcW w:w="1701" w:type="dxa"/>
            <w:tcBorders>
              <w:top w:val="single" w:sz="4" w:space="0" w:color="FFFFFF" w:themeColor="background1"/>
              <w:bottom w:val="single" w:sz="4" w:space="0" w:color="FFFFFF" w:themeColor="background1"/>
            </w:tcBorders>
          </w:tcPr>
          <w:p w14:paraId="064EEFB4" w14:textId="77777777" w:rsidR="008A1AF3" w:rsidRDefault="008A1AF3" w:rsidP="008A1AF3">
            <w:r>
              <w:t>0.0 (0.0)</w:t>
            </w:r>
          </w:p>
        </w:tc>
      </w:tr>
      <w:tr w:rsidR="008A1AF3" w14:paraId="14B8D82F" w14:textId="77777777" w:rsidTr="008A1AF3">
        <w:tc>
          <w:tcPr>
            <w:tcW w:w="6380" w:type="dxa"/>
            <w:tcBorders>
              <w:top w:val="single" w:sz="4" w:space="0" w:color="FFFFFF" w:themeColor="background1"/>
              <w:bottom w:val="single" w:sz="4" w:space="0" w:color="FFFFFF" w:themeColor="background1"/>
            </w:tcBorders>
          </w:tcPr>
          <w:p w14:paraId="658C9057" w14:textId="037B23EB" w:rsidR="008A1AF3" w:rsidRPr="00C37C42" w:rsidRDefault="008A1AF3" w:rsidP="008A1AF3">
            <w:r w:rsidRPr="00C37C42">
              <w:t>Number of comment</w:t>
            </w:r>
            <w:r>
              <w:t>s on group posts in discussion forum</w:t>
            </w:r>
            <w:r w:rsidR="00FF3FEC">
              <w:t xml:space="preserve"> by service user by service user</w:t>
            </w:r>
            <w:r>
              <w:t xml:space="preserve"> </w:t>
            </w:r>
            <w:r>
              <w:rPr>
                <w:i/>
                <w:vertAlign w:val="superscript"/>
              </w:rPr>
              <w:t>b</w:t>
            </w:r>
          </w:p>
        </w:tc>
        <w:tc>
          <w:tcPr>
            <w:tcW w:w="850" w:type="dxa"/>
            <w:tcBorders>
              <w:top w:val="single" w:sz="4" w:space="0" w:color="FFFFFF" w:themeColor="background1"/>
              <w:bottom w:val="single" w:sz="4" w:space="0" w:color="FFFFFF" w:themeColor="background1"/>
            </w:tcBorders>
          </w:tcPr>
          <w:p w14:paraId="5C8A37A4" w14:textId="77777777" w:rsidR="008A1AF3" w:rsidRPr="00C37C42" w:rsidRDefault="008A1AF3" w:rsidP="008A1AF3">
            <w:r>
              <w:t>886</w:t>
            </w:r>
          </w:p>
        </w:tc>
        <w:tc>
          <w:tcPr>
            <w:tcW w:w="1701" w:type="dxa"/>
            <w:tcBorders>
              <w:top w:val="single" w:sz="4" w:space="0" w:color="FFFFFF" w:themeColor="background1"/>
              <w:bottom w:val="single" w:sz="4" w:space="0" w:color="FFFFFF" w:themeColor="background1"/>
            </w:tcBorders>
          </w:tcPr>
          <w:p w14:paraId="3D8566D8" w14:textId="77777777" w:rsidR="008A1AF3" w:rsidRPr="00C37C42" w:rsidRDefault="008A1AF3" w:rsidP="008A1AF3">
            <w:r>
              <w:t>2.6 (40.9)</w:t>
            </w:r>
          </w:p>
        </w:tc>
        <w:tc>
          <w:tcPr>
            <w:tcW w:w="1701" w:type="dxa"/>
            <w:tcBorders>
              <w:top w:val="single" w:sz="4" w:space="0" w:color="FFFFFF" w:themeColor="background1"/>
              <w:bottom w:val="single" w:sz="4" w:space="0" w:color="FFFFFF" w:themeColor="background1"/>
            </w:tcBorders>
          </w:tcPr>
          <w:p w14:paraId="41C74542" w14:textId="77777777" w:rsidR="008A1AF3" w:rsidRDefault="008A1AF3" w:rsidP="008A1AF3">
            <w:r>
              <w:t>0.0 (0.0)</w:t>
            </w:r>
          </w:p>
        </w:tc>
      </w:tr>
      <w:tr w:rsidR="008A1AF3" w14:paraId="415193CC" w14:textId="77777777" w:rsidTr="008A1AF3">
        <w:tc>
          <w:tcPr>
            <w:tcW w:w="6380" w:type="dxa"/>
            <w:tcBorders>
              <w:top w:val="single" w:sz="4" w:space="0" w:color="FFFFFF" w:themeColor="background1"/>
            </w:tcBorders>
          </w:tcPr>
          <w:p w14:paraId="124A496F" w14:textId="471351D4" w:rsidR="008A1AF3" w:rsidRPr="00C37C42" w:rsidRDefault="008A1AF3" w:rsidP="008A1AF3">
            <w:r w:rsidRPr="00C37C42">
              <w:t>Number of like</w:t>
            </w:r>
            <w:r>
              <w:t>s on group posts in discussion forum</w:t>
            </w:r>
            <w:r w:rsidR="00FF3FEC">
              <w:t xml:space="preserve"> by service user</w:t>
            </w:r>
            <w:r>
              <w:t xml:space="preserve"> </w:t>
            </w:r>
            <w:r w:rsidRPr="008E6BDF">
              <w:rPr>
                <w:i/>
                <w:vertAlign w:val="superscript"/>
              </w:rPr>
              <w:t>b</w:t>
            </w:r>
          </w:p>
        </w:tc>
        <w:tc>
          <w:tcPr>
            <w:tcW w:w="850" w:type="dxa"/>
            <w:tcBorders>
              <w:top w:val="single" w:sz="4" w:space="0" w:color="FFFFFF" w:themeColor="background1"/>
            </w:tcBorders>
          </w:tcPr>
          <w:p w14:paraId="46EFF04E" w14:textId="77777777" w:rsidR="008A1AF3" w:rsidRPr="00C37C42" w:rsidRDefault="008A1AF3" w:rsidP="008A1AF3">
            <w:r>
              <w:t>886</w:t>
            </w:r>
          </w:p>
        </w:tc>
        <w:tc>
          <w:tcPr>
            <w:tcW w:w="1701" w:type="dxa"/>
            <w:tcBorders>
              <w:top w:val="single" w:sz="4" w:space="0" w:color="FFFFFF" w:themeColor="background1"/>
            </w:tcBorders>
          </w:tcPr>
          <w:p w14:paraId="7DE2B706" w14:textId="77777777" w:rsidR="008A1AF3" w:rsidRPr="00C37C42" w:rsidRDefault="008A1AF3" w:rsidP="008A1AF3">
            <w:r>
              <w:t>5.0 (32.4)</w:t>
            </w:r>
          </w:p>
        </w:tc>
        <w:tc>
          <w:tcPr>
            <w:tcW w:w="1701" w:type="dxa"/>
            <w:tcBorders>
              <w:top w:val="single" w:sz="4" w:space="0" w:color="FFFFFF" w:themeColor="background1"/>
            </w:tcBorders>
          </w:tcPr>
          <w:p w14:paraId="7D946773" w14:textId="77777777" w:rsidR="008A1AF3" w:rsidRDefault="008A1AF3" w:rsidP="008A1AF3">
            <w:r>
              <w:t>0.0 (1.0)</w:t>
            </w:r>
          </w:p>
        </w:tc>
      </w:tr>
    </w:tbl>
    <w:p w14:paraId="43406E14" w14:textId="77777777" w:rsidR="00F92CCB" w:rsidRDefault="008A1AF3" w:rsidP="008A1AF3">
      <w:pPr>
        <w:spacing w:after="0"/>
        <w:rPr>
          <w:sz w:val="18"/>
        </w:rPr>
      </w:pPr>
      <w:r>
        <w:rPr>
          <w:i/>
          <w:sz w:val="20"/>
        </w:rPr>
        <w:br/>
      </w:r>
      <w:r w:rsidRPr="00DC12F8">
        <w:rPr>
          <w:i/>
          <w:sz w:val="18"/>
        </w:rPr>
        <w:t xml:space="preserve">Note. </w:t>
      </w:r>
      <w:r w:rsidRPr="00DC12F8">
        <w:rPr>
          <w:sz w:val="18"/>
        </w:rPr>
        <w:t>n(provi</w:t>
      </w:r>
      <w:r>
        <w:rPr>
          <w:sz w:val="18"/>
        </w:rPr>
        <w:t>der A) = 940; n(provider C) = 28</w:t>
      </w:r>
      <w:r w:rsidRPr="00DC12F8">
        <w:rPr>
          <w:sz w:val="18"/>
        </w:rPr>
        <w:t>3; n(provider D) = 603.</w:t>
      </w:r>
    </w:p>
    <w:p w14:paraId="719FDE09" w14:textId="4A6E9D0B" w:rsidR="008A1AF3" w:rsidRDefault="00F92CCB" w:rsidP="008A1AF3">
      <w:pPr>
        <w:spacing w:after="0"/>
        <w:rPr>
          <w:sz w:val="18"/>
        </w:rPr>
      </w:pPr>
      <w:r>
        <w:rPr>
          <w:i/>
          <w:sz w:val="18"/>
        </w:rPr>
        <w:t xml:space="preserve">Note. </w:t>
      </w:r>
      <w:r>
        <w:rPr>
          <w:sz w:val="18"/>
        </w:rPr>
        <w:t>SD denotes standard deviation; IQR denotes inter-quartile range.</w:t>
      </w:r>
      <w:r w:rsidR="008A1AF3">
        <w:rPr>
          <w:sz w:val="18"/>
        </w:rPr>
        <w:br/>
      </w:r>
      <w:r w:rsidR="008A1AF3">
        <w:rPr>
          <w:i/>
          <w:sz w:val="18"/>
          <w:vertAlign w:val="superscript"/>
        </w:rPr>
        <w:t xml:space="preserve">a </w:t>
      </w:r>
      <w:r w:rsidR="008A1AF3">
        <w:rPr>
          <w:sz w:val="18"/>
        </w:rPr>
        <w:t>Closed peer group chat messaging, also moderated by a health coach.</w:t>
      </w:r>
    </w:p>
    <w:p w14:paraId="52321A48" w14:textId="16FDC6EC" w:rsidR="00CF3437" w:rsidRDefault="008A1AF3" w:rsidP="00CF3437">
      <w:pPr>
        <w:spacing w:after="0"/>
        <w:rPr>
          <w:b/>
        </w:rPr>
      </w:pPr>
      <w:r>
        <w:rPr>
          <w:i/>
          <w:sz w:val="18"/>
          <w:vertAlign w:val="superscript"/>
        </w:rPr>
        <w:t xml:space="preserve">b </w:t>
      </w:r>
      <w:r>
        <w:rPr>
          <w:sz w:val="18"/>
        </w:rPr>
        <w:t>Open discussion group forums, akin to social media forum.</w:t>
      </w:r>
    </w:p>
    <w:p w14:paraId="20C4FE77" w14:textId="77777777" w:rsidR="00CF3437" w:rsidRDefault="00CF3437" w:rsidP="00CF3437">
      <w:pPr>
        <w:spacing w:after="0"/>
        <w:rPr>
          <w:b/>
        </w:rPr>
      </w:pPr>
    </w:p>
    <w:p w14:paraId="0318A2A2" w14:textId="42FB83B1" w:rsidR="008A1AF3" w:rsidRPr="00CD2EBC" w:rsidRDefault="003528FC" w:rsidP="00536FB1">
      <w:pPr>
        <w:spacing w:after="0" w:line="480" w:lineRule="auto"/>
        <w:rPr>
          <w:b/>
        </w:rPr>
      </w:pPr>
      <w:r>
        <w:rPr>
          <w:b/>
        </w:rPr>
        <w:lastRenderedPageBreak/>
        <w:t xml:space="preserve">3.3. </w:t>
      </w:r>
      <w:r w:rsidR="008A1AF3">
        <w:rPr>
          <w:b/>
        </w:rPr>
        <w:t>E</w:t>
      </w:r>
      <w:r w:rsidR="008A1AF3" w:rsidRPr="0024464F">
        <w:rPr>
          <w:b/>
        </w:rPr>
        <w:t xml:space="preserve">ngagement with </w:t>
      </w:r>
      <w:r w:rsidR="00586F06">
        <w:rPr>
          <w:b/>
        </w:rPr>
        <w:t>intervention</w:t>
      </w:r>
      <w:r w:rsidR="00586F06" w:rsidRPr="0024464F">
        <w:rPr>
          <w:b/>
        </w:rPr>
        <w:t xml:space="preserve"> </w:t>
      </w:r>
      <w:r w:rsidR="008A1AF3" w:rsidRPr="0024464F">
        <w:rPr>
          <w:b/>
        </w:rPr>
        <w:t>features over time</w:t>
      </w:r>
      <w:r w:rsidR="008A1AF3">
        <w:rPr>
          <w:b/>
        </w:rPr>
        <w:t xml:space="preserve"> </w:t>
      </w:r>
    </w:p>
    <w:p w14:paraId="6323C245" w14:textId="19E56B8F" w:rsidR="008A1AF3" w:rsidRDefault="008A1AF3" w:rsidP="00630843">
      <w:pPr>
        <w:spacing w:before="240" w:after="0" w:line="480" w:lineRule="auto"/>
        <w:ind w:firstLine="360"/>
      </w:pPr>
      <w:r>
        <w:t xml:space="preserve">Engagement with </w:t>
      </w:r>
      <w:r w:rsidR="00586F06">
        <w:t xml:space="preserve">intervention </w:t>
      </w:r>
      <w:r>
        <w:t xml:space="preserve">features of the NHS-DDPP decreased across the nine-month </w:t>
      </w:r>
      <w:r w:rsidR="00586F06">
        <w:t xml:space="preserve">programme </w:t>
      </w:r>
      <w:r>
        <w:t xml:space="preserve">(see </w:t>
      </w:r>
      <w:r w:rsidR="00470251">
        <w:t>T</w:t>
      </w:r>
      <w:r>
        <w:t xml:space="preserve">able </w:t>
      </w:r>
      <w:r w:rsidR="00EF4737">
        <w:t>5</w:t>
      </w:r>
      <w:r>
        <w:t>), though a minority of service users did engage with features throughout the duration of the programme</w:t>
      </w:r>
      <w:r w:rsidR="00470251">
        <w:t xml:space="preserve"> (see ranges in Table 5)</w:t>
      </w:r>
      <w:r>
        <w:t xml:space="preserve">. </w:t>
      </w:r>
      <w:r w:rsidR="00EB472D">
        <w:t>By month 4</w:t>
      </w:r>
      <w:r w:rsidR="00D30B1E">
        <w:t>,</w:t>
      </w:r>
      <w:r w:rsidR="00EB472D">
        <w:t xml:space="preserve"> over half of users were no longer engaging with any of the features of the digital programme, with the exception of self-monitoring behaviours</w:t>
      </w:r>
      <w:r w:rsidR="00DC1788">
        <w:t xml:space="preserve"> (median = 1)</w:t>
      </w:r>
      <w:r w:rsidR="00EB472D">
        <w:t xml:space="preserve"> and sending messages to their health coach</w:t>
      </w:r>
      <w:r w:rsidR="00DC1788">
        <w:t xml:space="preserve"> (median = 1)</w:t>
      </w:r>
      <w:r w:rsidR="00EB472D">
        <w:t>.</w:t>
      </w:r>
      <w:r w:rsidR="007A1D2E">
        <w:t xml:space="preserve"> </w:t>
      </w:r>
    </w:p>
    <w:p w14:paraId="1E96AFDF" w14:textId="236B2FB5" w:rsidR="00372E6A" w:rsidRDefault="00372E6A" w:rsidP="00372E6A">
      <w:pPr>
        <w:spacing w:before="240" w:line="480" w:lineRule="auto"/>
        <w:rPr>
          <w:i/>
        </w:rPr>
      </w:pPr>
      <w:r>
        <w:t>[</w:t>
      </w:r>
      <w:r>
        <w:rPr>
          <w:i/>
        </w:rPr>
        <w:t xml:space="preserve">Table </w:t>
      </w:r>
      <w:r w:rsidR="00EF4737">
        <w:rPr>
          <w:i/>
        </w:rPr>
        <w:t>5</w:t>
      </w:r>
      <w:r>
        <w:rPr>
          <w:i/>
        </w:rPr>
        <w:t xml:space="preserve"> here].</w:t>
      </w:r>
    </w:p>
    <w:p w14:paraId="788B4C1A" w14:textId="434786B7" w:rsidR="00A120D1" w:rsidRDefault="00A120D1" w:rsidP="00536FB1">
      <w:pPr>
        <w:spacing w:before="240" w:after="0" w:line="480" w:lineRule="auto"/>
        <w:rPr>
          <w:b/>
        </w:rPr>
      </w:pPr>
      <w:r>
        <w:rPr>
          <w:b/>
        </w:rPr>
        <w:t>3.4. Differences in engagement with intervention features across provider programmes</w:t>
      </w:r>
    </w:p>
    <w:p w14:paraId="2A07EE54" w14:textId="0C94CD23" w:rsidR="00A120D1" w:rsidRDefault="00470251" w:rsidP="00DC1788">
      <w:pPr>
        <w:spacing w:before="240" w:after="0" w:line="480" w:lineRule="auto"/>
        <w:ind w:firstLine="360"/>
        <w:rPr>
          <w:u w:val="single"/>
        </w:rPr>
      </w:pPr>
      <w:r>
        <w:t xml:space="preserve">As each provider delivered their own versions of the NHS-DDPP, the differences in engagement in intervention features across provider programmes is described below. </w:t>
      </w:r>
      <w:r w:rsidR="00A120D1">
        <w:t>See Table A1 in Appendix 3 detailing intervention feature use across nine-month programme, broken down by provider.</w:t>
      </w:r>
      <w:r w:rsidR="00F30245">
        <w:t xml:space="preserve"> </w:t>
      </w:r>
    </w:p>
    <w:p w14:paraId="17BC610F" w14:textId="4EB5E1B0" w:rsidR="008A1AF3" w:rsidRPr="00975B17" w:rsidRDefault="003528FC" w:rsidP="00536FB1">
      <w:pPr>
        <w:spacing w:before="240" w:after="0" w:line="480" w:lineRule="auto"/>
        <w:rPr>
          <w:u w:val="single"/>
        </w:rPr>
      </w:pPr>
      <w:r>
        <w:rPr>
          <w:u w:val="single"/>
        </w:rPr>
        <w:t>3.</w:t>
      </w:r>
      <w:r w:rsidR="00F30245">
        <w:rPr>
          <w:u w:val="single"/>
        </w:rPr>
        <w:t>4</w:t>
      </w:r>
      <w:r>
        <w:rPr>
          <w:u w:val="single"/>
        </w:rPr>
        <w:t>.1</w:t>
      </w:r>
      <w:r w:rsidR="00B504E8">
        <w:rPr>
          <w:u w:val="single"/>
        </w:rPr>
        <w:t>.</w:t>
      </w:r>
      <w:r>
        <w:rPr>
          <w:u w:val="single"/>
        </w:rPr>
        <w:t xml:space="preserve"> </w:t>
      </w:r>
      <w:r w:rsidR="008A1AF3" w:rsidRPr="00975B17">
        <w:rPr>
          <w:u w:val="single"/>
        </w:rPr>
        <w:t>Use of self-monitoring functions on the NHS-DDPP</w:t>
      </w:r>
    </w:p>
    <w:p w14:paraId="30E4334C" w14:textId="228333F0" w:rsidR="008A1AF3" w:rsidRDefault="00586F06" w:rsidP="008A1AF3">
      <w:pPr>
        <w:spacing w:line="480" w:lineRule="auto"/>
        <w:ind w:firstLine="360"/>
      </w:pPr>
      <w:r>
        <w:t>U</w:t>
      </w:r>
      <w:r w:rsidR="008A1AF3">
        <w:t xml:space="preserve">sage of </w:t>
      </w:r>
      <w:r>
        <w:t>self-monitoring of behaviours</w:t>
      </w:r>
      <w:r w:rsidR="008A1AF3">
        <w:t xml:space="preserve"> decreased over time</w:t>
      </w:r>
      <w:r w:rsidR="00A120D1">
        <w:t xml:space="preserve"> across providers</w:t>
      </w:r>
      <w:r w:rsidR="008A1AF3">
        <w:t xml:space="preserve"> (see Table </w:t>
      </w:r>
      <w:r w:rsidR="00A120D1">
        <w:t>A1 in Appendix 3</w:t>
      </w:r>
      <w:r w:rsidR="008A1AF3">
        <w:t>). Outcomes of behaviour (e.g. weight) were monitored significantly less on the app</w:t>
      </w:r>
      <w:r w:rsidR="00A120D1">
        <w:t>s</w:t>
      </w:r>
      <w:r w:rsidR="00B862C2">
        <w:t>,</w:t>
      </w:r>
      <w:r w:rsidR="00B862C2" w:rsidRPr="00B862C2">
        <w:t xml:space="preserve"> </w:t>
      </w:r>
      <w:r w:rsidR="00B862C2">
        <w:t>though users on provider D’s programme used this function until engagement period 4 (Appendix 3)</w:t>
      </w:r>
      <w:r w:rsidR="00A120D1">
        <w:t xml:space="preserve">. </w:t>
      </w:r>
      <w:r w:rsidR="008A1AF3">
        <w:t>Service users on provider C’s programme more frequently self-monitored their behaviours on the ap</w:t>
      </w:r>
      <w:r w:rsidR="008913D0">
        <w:t>p</w:t>
      </w:r>
      <w:r w:rsidR="00C24A83">
        <w:t xml:space="preserve"> throughout the duration of the programme</w:t>
      </w:r>
      <w:r w:rsidR="008913D0">
        <w:t xml:space="preserve"> compared to providers A and D</w:t>
      </w:r>
      <w:r>
        <w:t xml:space="preserve"> (</w:t>
      </w:r>
      <w:r w:rsidR="00D025D8">
        <w:t>see F</w:t>
      </w:r>
      <w:r>
        <w:t>igure 2)</w:t>
      </w:r>
      <w:r w:rsidR="008913D0">
        <w:t>.</w:t>
      </w:r>
    </w:p>
    <w:p w14:paraId="3D90C2F3" w14:textId="0441E100" w:rsidR="008A1AF3" w:rsidRDefault="008A1AF3" w:rsidP="008A1AF3">
      <w:pPr>
        <w:tabs>
          <w:tab w:val="left" w:pos="7290"/>
        </w:tabs>
        <w:spacing w:line="480" w:lineRule="auto"/>
      </w:pPr>
      <w:r>
        <w:t>Figure 2. Engagement with self-monitoring of behaviours across the nine-month programme, compared with the time spent on the app</w:t>
      </w:r>
    </w:p>
    <w:p w14:paraId="7593C408" w14:textId="1E4E86B8" w:rsidR="008A1AF3" w:rsidRDefault="00E922D6" w:rsidP="008A1AF3">
      <w:pPr>
        <w:tabs>
          <w:tab w:val="left" w:pos="7290"/>
        </w:tabs>
        <w:rPr>
          <w:i/>
        </w:rPr>
      </w:pPr>
      <w:r>
        <w:rPr>
          <w:i/>
        </w:rPr>
        <w:t>[Figure 2 here]</w:t>
      </w:r>
    </w:p>
    <w:p w14:paraId="4592F3F2" w14:textId="77777777" w:rsidR="00E922D6" w:rsidRDefault="00E922D6" w:rsidP="008A1AF3">
      <w:pPr>
        <w:tabs>
          <w:tab w:val="left" w:pos="7290"/>
        </w:tabs>
      </w:pPr>
    </w:p>
    <w:p w14:paraId="40D46C5B" w14:textId="77777777" w:rsidR="008A1AF3" w:rsidRPr="00DC12F8" w:rsidRDefault="008A1AF3" w:rsidP="008A1AF3">
      <w:pPr>
        <w:rPr>
          <w:sz w:val="18"/>
        </w:rPr>
      </w:pPr>
      <w:r w:rsidRPr="00DC12F8">
        <w:rPr>
          <w:i/>
          <w:sz w:val="18"/>
        </w:rPr>
        <w:t xml:space="preserve">Note. </w:t>
      </w:r>
      <w:r w:rsidRPr="00DC12F8">
        <w:rPr>
          <w:sz w:val="18"/>
        </w:rPr>
        <w:t>n(provi</w:t>
      </w:r>
      <w:r>
        <w:rPr>
          <w:sz w:val="18"/>
        </w:rPr>
        <w:t>der A) = 940; n(provider C) = 28</w:t>
      </w:r>
      <w:r w:rsidRPr="00DC12F8">
        <w:rPr>
          <w:sz w:val="18"/>
        </w:rPr>
        <w:t>3; n(provider D) = 603.</w:t>
      </w:r>
      <w:r w:rsidRPr="00DC12F8">
        <w:rPr>
          <w:i/>
          <w:sz w:val="18"/>
        </w:rPr>
        <w:br/>
      </w:r>
      <w:r w:rsidRPr="00DC12F8">
        <w:rPr>
          <w:sz w:val="18"/>
          <w:vertAlign w:val="superscript"/>
        </w:rPr>
        <w:t xml:space="preserve">a </w:t>
      </w:r>
      <w:r w:rsidRPr="00DC12F8">
        <w:rPr>
          <w:sz w:val="18"/>
        </w:rPr>
        <w:t>Engagement period denotes 30 day periods: engagement period 1 = days 1 to 30; engagement period 2 = days 31 to 60, etc.</w:t>
      </w:r>
    </w:p>
    <w:p w14:paraId="531E2CD5" w14:textId="339BC5BD" w:rsidR="00CF3437" w:rsidRDefault="00CF3437" w:rsidP="008A1AF3">
      <w:pPr>
        <w:spacing w:line="480" w:lineRule="auto"/>
        <w:rPr>
          <w:u w:val="single"/>
        </w:rPr>
      </w:pPr>
    </w:p>
    <w:p w14:paraId="67FFF496" w14:textId="278FCFA8" w:rsidR="008A1AF3" w:rsidRPr="00975B17" w:rsidRDefault="003528FC" w:rsidP="00536FB1">
      <w:pPr>
        <w:spacing w:after="0" w:line="480" w:lineRule="auto"/>
        <w:rPr>
          <w:u w:val="single"/>
        </w:rPr>
      </w:pPr>
      <w:bookmarkStart w:id="0" w:name="_GoBack"/>
      <w:bookmarkEnd w:id="0"/>
      <w:r>
        <w:rPr>
          <w:u w:val="single"/>
        </w:rPr>
        <w:lastRenderedPageBreak/>
        <w:t>3.</w:t>
      </w:r>
      <w:r w:rsidR="00F30245">
        <w:rPr>
          <w:u w:val="single"/>
        </w:rPr>
        <w:t>4</w:t>
      </w:r>
      <w:r>
        <w:rPr>
          <w:u w:val="single"/>
        </w:rPr>
        <w:t>.2</w:t>
      </w:r>
      <w:r w:rsidR="00B504E8">
        <w:rPr>
          <w:u w:val="single"/>
        </w:rPr>
        <w:t>.</w:t>
      </w:r>
      <w:r>
        <w:rPr>
          <w:u w:val="single"/>
        </w:rPr>
        <w:t xml:space="preserve"> </w:t>
      </w:r>
      <w:r w:rsidR="008A1AF3" w:rsidRPr="00975B17">
        <w:rPr>
          <w:u w:val="single"/>
        </w:rPr>
        <w:t>Use of goal setting functions on the NHS-DDPP</w:t>
      </w:r>
    </w:p>
    <w:p w14:paraId="140AE11B" w14:textId="522753E8" w:rsidR="00945A65" w:rsidRDefault="008A1AF3" w:rsidP="00B064DF">
      <w:pPr>
        <w:spacing w:line="480" w:lineRule="auto"/>
        <w:ind w:firstLine="360"/>
      </w:pPr>
      <w:r>
        <w:t>Those on provider A’s programme set or amended goals more frequently throughout the nine-months (see Figure 3</w:t>
      </w:r>
      <w:r w:rsidR="00817629">
        <w:t xml:space="preserve"> and Table </w:t>
      </w:r>
      <w:r w:rsidR="00BF5536">
        <w:t>A1</w:t>
      </w:r>
      <w:r w:rsidR="00817629">
        <w:t xml:space="preserve"> in Appendix </w:t>
      </w:r>
      <w:r w:rsidR="00BF5536">
        <w:t>3</w:t>
      </w:r>
      <w:r>
        <w:t>)</w:t>
      </w:r>
      <w:r w:rsidR="00D025D8">
        <w:t>.</w:t>
      </w:r>
      <w:r w:rsidR="009C48B4">
        <w:t xml:space="preserve"> </w:t>
      </w:r>
      <w:r w:rsidR="00D025D8">
        <w:t>In comparison, users on provider C and D’s programmes primarily set a goal at the start of the programme, with no further engagement</w:t>
      </w:r>
      <w:r w:rsidR="00073913">
        <w:t xml:space="preserve"> with goal setting</w:t>
      </w:r>
      <w:r w:rsidR="00D025D8">
        <w:t>.</w:t>
      </w:r>
    </w:p>
    <w:p w14:paraId="682DEBA0" w14:textId="0ED4C80A" w:rsidR="008A1AF3" w:rsidRPr="00B3425B" w:rsidRDefault="008A1AF3" w:rsidP="00945A65">
      <w:pPr>
        <w:spacing w:line="480" w:lineRule="auto"/>
        <w:rPr>
          <w:i/>
        </w:rPr>
      </w:pPr>
      <w:r>
        <w:t>Figure 3. Median number of goals set or amended across the nine-month programme</w:t>
      </w:r>
    </w:p>
    <w:p w14:paraId="37468C22" w14:textId="77777777" w:rsidR="00E922D6" w:rsidRDefault="00E922D6" w:rsidP="00B35B19">
      <w:pPr>
        <w:spacing w:line="240" w:lineRule="auto"/>
        <w:rPr>
          <w:i/>
        </w:rPr>
      </w:pPr>
      <w:r>
        <w:rPr>
          <w:i/>
          <w:u w:val="single"/>
        </w:rPr>
        <w:t>[</w:t>
      </w:r>
      <w:r>
        <w:rPr>
          <w:i/>
        </w:rPr>
        <w:t>Figure 3 here]</w:t>
      </w:r>
    </w:p>
    <w:p w14:paraId="3CEEC0F3" w14:textId="02CE169F" w:rsidR="00906619" w:rsidRDefault="008A1AF3" w:rsidP="0084696E">
      <w:pPr>
        <w:spacing w:line="240" w:lineRule="auto"/>
        <w:ind w:firstLine="360"/>
        <w:rPr>
          <w:u w:val="single"/>
        </w:rPr>
      </w:pPr>
      <w:r>
        <w:rPr>
          <w:u w:val="single"/>
        </w:rPr>
        <w:br/>
      </w:r>
      <w:r w:rsidRPr="00DC12F8">
        <w:rPr>
          <w:i/>
          <w:sz w:val="18"/>
        </w:rPr>
        <w:t xml:space="preserve">Note. </w:t>
      </w:r>
      <w:r w:rsidRPr="00DC12F8">
        <w:rPr>
          <w:sz w:val="18"/>
        </w:rPr>
        <w:t xml:space="preserve">n(provider A) = 940; </w:t>
      </w:r>
      <w:r>
        <w:rPr>
          <w:sz w:val="18"/>
        </w:rPr>
        <w:t>n(provider C) = 28</w:t>
      </w:r>
      <w:r w:rsidRPr="00DC12F8">
        <w:rPr>
          <w:sz w:val="18"/>
        </w:rPr>
        <w:t>3; n(provider D) = 603.</w:t>
      </w:r>
      <w:r>
        <w:rPr>
          <w:sz w:val="18"/>
          <w:vertAlign w:val="superscript"/>
        </w:rPr>
        <w:br/>
      </w:r>
      <w:r w:rsidRPr="00DC12F8">
        <w:rPr>
          <w:sz w:val="18"/>
          <w:vertAlign w:val="superscript"/>
        </w:rPr>
        <w:t>a</w:t>
      </w:r>
      <w:r w:rsidRPr="00DC12F8">
        <w:rPr>
          <w:sz w:val="18"/>
        </w:rPr>
        <w:t xml:space="preserve"> Engagement period denotes 30 day periods: engagement period 1 = days 1 to 30; engagement period 2 = days 31 to 60, etc.</w:t>
      </w:r>
    </w:p>
    <w:p w14:paraId="59F800B8" w14:textId="79B7DC63" w:rsidR="008A1AF3" w:rsidRPr="00975B17" w:rsidRDefault="003528FC" w:rsidP="00536FB1">
      <w:pPr>
        <w:spacing w:after="0" w:line="480" w:lineRule="auto"/>
        <w:rPr>
          <w:u w:val="single"/>
        </w:rPr>
      </w:pPr>
      <w:r>
        <w:rPr>
          <w:u w:val="single"/>
        </w:rPr>
        <w:t>3.</w:t>
      </w:r>
      <w:r w:rsidR="00F30245">
        <w:rPr>
          <w:u w:val="single"/>
        </w:rPr>
        <w:t>4</w:t>
      </w:r>
      <w:r>
        <w:rPr>
          <w:u w:val="single"/>
        </w:rPr>
        <w:t>.3</w:t>
      </w:r>
      <w:r w:rsidR="00B504E8">
        <w:rPr>
          <w:u w:val="single"/>
        </w:rPr>
        <w:t>.</w:t>
      </w:r>
      <w:r>
        <w:rPr>
          <w:u w:val="single"/>
        </w:rPr>
        <w:t xml:space="preserve"> </w:t>
      </w:r>
      <w:r w:rsidR="008A1AF3" w:rsidRPr="00975B17">
        <w:rPr>
          <w:u w:val="single"/>
        </w:rPr>
        <w:t>Engagement with educational content on the NHS-DDPP</w:t>
      </w:r>
    </w:p>
    <w:p w14:paraId="1A406E7C" w14:textId="7867D639" w:rsidR="008A1AF3" w:rsidRDefault="008A1AF3" w:rsidP="00630843">
      <w:pPr>
        <w:spacing w:before="240" w:after="0" w:line="480" w:lineRule="auto"/>
        <w:ind w:firstLine="360"/>
      </w:pPr>
      <w:r>
        <w:t>Those on provider D’s programme accessed</w:t>
      </w:r>
      <w:r w:rsidR="00073913">
        <w:t xml:space="preserve"> </w:t>
      </w:r>
      <w:r>
        <w:t>articles</w:t>
      </w:r>
      <w:r w:rsidR="00073913">
        <w:t xml:space="preserve"> more frequently</w:t>
      </w:r>
      <w:r>
        <w:t xml:space="preserve"> during the first three months of the programme (median = 28, 12 and 2 times during engagement periods 1-3 respectively), before starting the ‘maintenance’ phase of the programme (engagement periods 4-9, where users could enrol onto optional courses or revisit topic areas; median = 0 times). This correlated with time spent on the app (see Figure 4). Users on provider A’s programme accessed materials throughout the nine-month programme (median = 7 articles accessed in engagement period 1 compared to 3 articles accessed in engagement period 9). </w:t>
      </w:r>
      <w:r w:rsidR="00BE45B8">
        <w:t>See Table A</w:t>
      </w:r>
      <w:r w:rsidR="00BF5536">
        <w:t>1</w:t>
      </w:r>
      <w:r w:rsidR="00BE45B8">
        <w:t xml:space="preserve"> in Appendix</w:t>
      </w:r>
      <w:r w:rsidR="001A094E">
        <w:t xml:space="preserve"> </w:t>
      </w:r>
      <w:r w:rsidR="00BF5536">
        <w:t>3</w:t>
      </w:r>
      <w:r w:rsidR="001A094E">
        <w:t>.</w:t>
      </w:r>
    </w:p>
    <w:p w14:paraId="45BC97E2" w14:textId="20615AE3" w:rsidR="008A1AF3" w:rsidRPr="00A50C1C" w:rsidRDefault="008A1AF3" w:rsidP="008A1AF3">
      <w:pPr>
        <w:tabs>
          <w:tab w:val="left" w:pos="7290"/>
        </w:tabs>
        <w:spacing w:line="480" w:lineRule="auto"/>
        <w:rPr>
          <w:i/>
        </w:rPr>
      </w:pPr>
      <w:r>
        <w:t>Figure 4. Access of educational articles across nine-month programme for providers A and D</w:t>
      </w:r>
    </w:p>
    <w:p w14:paraId="6F1BA36C" w14:textId="43468883" w:rsidR="008A1AF3" w:rsidRPr="00E922D6" w:rsidRDefault="00E922D6" w:rsidP="008A1AF3">
      <w:pPr>
        <w:autoSpaceDE w:val="0"/>
        <w:autoSpaceDN w:val="0"/>
        <w:adjustRightInd w:val="0"/>
        <w:spacing w:after="0" w:line="240" w:lineRule="auto"/>
        <w:rPr>
          <w:i/>
        </w:rPr>
      </w:pPr>
      <w:r w:rsidRPr="00E922D6">
        <w:rPr>
          <w:i/>
        </w:rPr>
        <w:t>[Figure 4 here]</w:t>
      </w:r>
    </w:p>
    <w:p w14:paraId="12595CC6" w14:textId="77777777" w:rsidR="008A1AF3" w:rsidRPr="00E922D6" w:rsidRDefault="008A1AF3" w:rsidP="008A1AF3">
      <w:pPr>
        <w:autoSpaceDE w:val="0"/>
        <w:autoSpaceDN w:val="0"/>
        <w:adjustRightInd w:val="0"/>
        <w:spacing w:after="0" w:line="240" w:lineRule="auto"/>
        <w:rPr>
          <w:i/>
        </w:rPr>
      </w:pPr>
    </w:p>
    <w:p w14:paraId="0948D932" w14:textId="77777777" w:rsidR="008A1AF3" w:rsidRPr="00DC12F8" w:rsidRDefault="008A1AF3" w:rsidP="008A1AF3">
      <w:pPr>
        <w:autoSpaceDE w:val="0"/>
        <w:autoSpaceDN w:val="0"/>
        <w:adjustRightInd w:val="0"/>
        <w:spacing w:after="0" w:line="240" w:lineRule="auto"/>
        <w:rPr>
          <w:i/>
          <w:sz w:val="18"/>
        </w:rPr>
      </w:pPr>
      <w:r w:rsidRPr="00DC12F8">
        <w:rPr>
          <w:i/>
          <w:sz w:val="18"/>
        </w:rPr>
        <w:t xml:space="preserve">Note. </w:t>
      </w:r>
      <w:r w:rsidRPr="00DC12F8">
        <w:rPr>
          <w:sz w:val="18"/>
        </w:rPr>
        <w:t>n(provider A) = 940; n(provider D) = 603.</w:t>
      </w:r>
    </w:p>
    <w:p w14:paraId="6B5C2569" w14:textId="51EAC7C1" w:rsidR="008A1AF3" w:rsidRDefault="008A1AF3" w:rsidP="00906619">
      <w:pPr>
        <w:autoSpaceDE w:val="0"/>
        <w:autoSpaceDN w:val="0"/>
        <w:adjustRightInd w:val="0"/>
        <w:spacing w:after="0" w:line="240" w:lineRule="auto"/>
        <w:rPr>
          <w:sz w:val="18"/>
        </w:rPr>
      </w:pPr>
      <w:r w:rsidRPr="00DC12F8">
        <w:rPr>
          <w:i/>
          <w:sz w:val="18"/>
        </w:rPr>
        <w:t xml:space="preserve">Note. </w:t>
      </w:r>
      <w:r w:rsidRPr="00DC12F8">
        <w:rPr>
          <w:sz w:val="18"/>
        </w:rPr>
        <w:t>The educational content for providers A and D can be accessed both via the app and via a website. Only when educational content was accessed via the app this was registered as time spent on the app.</w:t>
      </w:r>
      <w:r w:rsidRPr="00DC12F8">
        <w:rPr>
          <w:i/>
          <w:sz w:val="18"/>
        </w:rPr>
        <w:br/>
      </w:r>
      <w:r w:rsidRPr="00DC12F8">
        <w:rPr>
          <w:sz w:val="18"/>
          <w:vertAlign w:val="superscript"/>
        </w:rPr>
        <w:t>a</w:t>
      </w:r>
      <w:r w:rsidRPr="00DC12F8">
        <w:rPr>
          <w:sz w:val="18"/>
        </w:rPr>
        <w:t xml:space="preserve"> Engagement period denotes 30 day periods: engagement period 1 = days 1 to 30; engagement period 2 = days 31 to 60, etc.</w:t>
      </w:r>
    </w:p>
    <w:p w14:paraId="36FE1F1E" w14:textId="77777777" w:rsidR="00906619" w:rsidRPr="00906619" w:rsidRDefault="00906619" w:rsidP="00906619">
      <w:pPr>
        <w:autoSpaceDE w:val="0"/>
        <w:autoSpaceDN w:val="0"/>
        <w:adjustRightInd w:val="0"/>
        <w:spacing w:after="0" w:line="240" w:lineRule="auto"/>
        <w:rPr>
          <w:sz w:val="20"/>
        </w:rPr>
      </w:pPr>
    </w:p>
    <w:p w14:paraId="35DF5A07" w14:textId="365D9993" w:rsidR="00372E6A" w:rsidRDefault="008A1AF3" w:rsidP="00E922D6">
      <w:pPr>
        <w:spacing w:line="480" w:lineRule="auto"/>
        <w:ind w:firstLine="360"/>
      </w:pPr>
      <w:r>
        <w:t xml:space="preserve">Those on provider A’s programme accessed a higher number of unique educational articles throughout the nine-month programme compared to users on provider D’s programme (Figure 5). For example, users on provider A’s programme accessed a median of 2 unique educational articles </w:t>
      </w:r>
      <w:r>
        <w:lastRenderedPageBreak/>
        <w:t>during engagement period 9 compared to</w:t>
      </w:r>
      <w:r w:rsidR="0097235F">
        <w:t xml:space="preserve"> a median of zero for</w:t>
      </w:r>
      <w:r>
        <w:t xml:space="preserve"> users on provider D’s programme </w:t>
      </w:r>
      <w:r w:rsidR="001A094E">
        <w:t>(</w:t>
      </w:r>
      <w:r w:rsidR="00BE45B8">
        <w:t>see Figure 5 and Appendix</w:t>
      </w:r>
      <w:r w:rsidR="001A094E">
        <w:t xml:space="preserve"> </w:t>
      </w:r>
      <w:r w:rsidR="00BF5536">
        <w:t>3</w:t>
      </w:r>
      <w:r w:rsidR="001A094E">
        <w:t>).</w:t>
      </w:r>
    </w:p>
    <w:p w14:paraId="0F3A69A1" w14:textId="4B5CF8DB" w:rsidR="008A1AF3" w:rsidRPr="001B430C" w:rsidRDefault="008A1AF3" w:rsidP="008A1AF3">
      <w:pPr>
        <w:spacing w:line="480" w:lineRule="auto"/>
      </w:pPr>
      <w:r>
        <w:t>Figure 5</w:t>
      </w:r>
      <w:r w:rsidRPr="001B430C">
        <w:t>.</w:t>
      </w:r>
      <w:r>
        <w:t xml:space="preserve"> Access of unique educational articles across nine-month programme for providers A and D</w:t>
      </w:r>
    </w:p>
    <w:p w14:paraId="4EF2FAC3" w14:textId="28BF9EE0" w:rsidR="008A1AF3" w:rsidRPr="00E922D6" w:rsidRDefault="00E922D6" w:rsidP="008A1AF3">
      <w:pPr>
        <w:autoSpaceDE w:val="0"/>
        <w:autoSpaceDN w:val="0"/>
        <w:adjustRightInd w:val="0"/>
        <w:spacing w:after="0" w:line="240" w:lineRule="auto"/>
        <w:rPr>
          <w:i/>
        </w:rPr>
      </w:pPr>
      <w:r w:rsidRPr="00E922D6">
        <w:rPr>
          <w:i/>
        </w:rPr>
        <w:t>[Figure 5 here]</w:t>
      </w:r>
    </w:p>
    <w:p w14:paraId="5A3EB6EA" w14:textId="77777777" w:rsidR="00E922D6" w:rsidRPr="00E922D6" w:rsidRDefault="00E922D6" w:rsidP="008A1AF3">
      <w:pPr>
        <w:autoSpaceDE w:val="0"/>
        <w:autoSpaceDN w:val="0"/>
        <w:adjustRightInd w:val="0"/>
        <w:spacing w:after="0" w:line="240" w:lineRule="auto"/>
        <w:rPr>
          <w:i/>
        </w:rPr>
      </w:pPr>
    </w:p>
    <w:p w14:paraId="5A8AEA4C" w14:textId="77777777" w:rsidR="008A1AF3" w:rsidRPr="00DC12F8" w:rsidRDefault="008A1AF3" w:rsidP="008A1AF3">
      <w:pPr>
        <w:autoSpaceDE w:val="0"/>
        <w:autoSpaceDN w:val="0"/>
        <w:adjustRightInd w:val="0"/>
        <w:spacing w:after="0" w:line="240" w:lineRule="auto"/>
        <w:rPr>
          <w:i/>
          <w:sz w:val="18"/>
        </w:rPr>
      </w:pPr>
      <w:r w:rsidRPr="00DC12F8">
        <w:rPr>
          <w:i/>
          <w:sz w:val="18"/>
        </w:rPr>
        <w:t>Note.</w:t>
      </w:r>
      <w:r w:rsidRPr="00DC12F8">
        <w:rPr>
          <w:sz w:val="18"/>
        </w:rPr>
        <w:t xml:space="preserve"> n(provider A) = 940; n(provider D) = 603.</w:t>
      </w:r>
    </w:p>
    <w:p w14:paraId="38512235" w14:textId="1B2A2EDC" w:rsidR="008A1AF3" w:rsidRDefault="008A1AF3" w:rsidP="00906619">
      <w:pPr>
        <w:autoSpaceDE w:val="0"/>
        <w:autoSpaceDN w:val="0"/>
        <w:adjustRightInd w:val="0"/>
        <w:spacing w:after="0" w:line="240" w:lineRule="auto"/>
        <w:rPr>
          <w:sz w:val="18"/>
        </w:rPr>
      </w:pPr>
      <w:r w:rsidRPr="00DC12F8">
        <w:rPr>
          <w:i/>
          <w:sz w:val="18"/>
        </w:rPr>
        <w:t xml:space="preserve">Note. </w:t>
      </w:r>
      <w:r w:rsidRPr="00DC12F8">
        <w:rPr>
          <w:sz w:val="18"/>
        </w:rPr>
        <w:t>The educational content for providers A and D can be accessed both via the app and via a website. Only when educational content was accessed via the app this was registered as time spent on the app.</w:t>
      </w:r>
      <w:r w:rsidRPr="00DC12F8">
        <w:rPr>
          <w:i/>
          <w:sz w:val="18"/>
        </w:rPr>
        <w:br/>
      </w:r>
      <w:r w:rsidRPr="00DC12F8">
        <w:rPr>
          <w:sz w:val="18"/>
          <w:vertAlign w:val="superscript"/>
        </w:rPr>
        <w:t>a</w:t>
      </w:r>
      <w:r w:rsidRPr="00DC12F8">
        <w:rPr>
          <w:sz w:val="18"/>
        </w:rPr>
        <w:t xml:space="preserve"> Engagement period denotes 30 day periods: engagement period 1 = days 1 to 30; engagement</w:t>
      </w:r>
      <w:r w:rsidR="00906619">
        <w:rPr>
          <w:sz w:val="18"/>
        </w:rPr>
        <w:t xml:space="preserve"> period 2 = days 31 to 60, etc.</w:t>
      </w:r>
    </w:p>
    <w:p w14:paraId="3C547C39" w14:textId="77777777" w:rsidR="00906619" w:rsidRPr="00906619" w:rsidRDefault="00906619" w:rsidP="00906619">
      <w:pPr>
        <w:autoSpaceDE w:val="0"/>
        <w:autoSpaceDN w:val="0"/>
        <w:adjustRightInd w:val="0"/>
        <w:spacing w:after="0" w:line="240" w:lineRule="auto"/>
        <w:rPr>
          <w:sz w:val="18"/>
        </w:rPr>
      </w:pPr>
    </w:p>
    <w:p w14:paraId="1B9A1B6E" w14:textId="780A887E" w:rsidR="008A1AF3" w:rsidRPr="00975B17" w:rsidRDefault="003528FC" w:rsidP="00536FB1">
      <w:pPr>
        <w:spacing w:after="0" w:line="480" w:lineRule="auto"/>
        <w:rPr>
          <w:u w:val="single"/>
        </w:rPr>
      </w:pPr>
      <w:r>
        <w:rPr>
          <w:u w:val="single"/>
        </w:rPr>
        <w:t>3.</w:t>
      </w:r>
      <w:r w:rsidR="00F30245">
        <w:rPr>
          <w:u w:val="single"/>
        </w:rPr>
        <w:t>4</w:t>
      </w:r>
      <w:r>
        <w:rPr>
          <w:u w:val="single"/>
        </w:rPr>
        <w:t>.4</w:t>
      </w:r>
      <w:r w:rsidR="00B504E8">
        <w:rPr>
          <w:u w:val="single"/>
        </w:rPr>
        <w:t>.</w:t>
      </w:r>
      <w:r>
        <w:rPr>
          <w:u w:val="single"/>
        </w:rPr>
        <w:t xml:space="preserve"> </w:t>
      </w:r>
      <w:r w:rsidR="008A1AF3" w:rsidRPr="00975B17">
        <w:rPr>
          <w:u w:val="single"/>
        </w:rPr>
        <w:t>Use of support provided on the NHS-DDPP</w:t>
      </w:r>
    </w:p>
    <w:p w14:paraId="7046535D" w14:textId="6050AB2B" w:rsidR="003D1726" w:rsidRDefault="00EE4955" w:rsidP="003D1726">
      <w:pPr>
        <w:spacing w:line="480" w:lineRule="auto"/>
        <w:ind w:firstLine="360"/>
      </w:pPr>
      <w:r>
        <w:t xml:space="preserve">The </w:t>
      </w:r>
      <w:r w:rsidR="008A1AF3">
        <w:t>number of peer messages sent via the group chat</w:t>
      </w:r>
      <w:r w:rsidR="00470251">
        <w:t>s</w:t>
      </w:r>
      <w:r w:rsidR="00BB4B15">
        <w:t xml:space="preserve"> (offered by provider D)</w:t>
      </w:r>
      <w:r w:rsidR="008A1AF3">
        <w:t xml:space="preserve"> during </w:t>
      </w:r>
      <w:r w:rsidR="00BB4B15">
        <w:t>the first three months</w:t>
      </w:r>
      <w:r w:rsidR="008A1AF3">
        <w:t xml:space="preserve"> were higher (median = 2 and 1 peer messages sent for engagement periods 1 and 2 respectively), compared to the number of times</w:t>
      </w:r>
      <w:r w:rsidR="00470251">
        <w:t xml:space="preserve"> the</w:t>
      </w:r>
      <w:r w:rsidR="008A1AF3">
        <w:t xml:space="preserve"> group discussion forums were used on the programmes of providers C and D </w:t>
      </w:r>
      <w:r w:rsidR="001A094E">
        <w:t>(medians = 0 across all engagement periods for both providers;</w:t>
      </w:r>
      <w:r w:rsidR="00BE45B8">
        <w:t xml:space="preserve"> see Table A</w:t>
      </w:r>
      <w:r w:rsidR="00BF5536">
        <w:t>1</w:t>
      </w:r>
      <w:r w:rsidR="00BE45B8">
        <w:t xml:space="preserve"> in Appendix</w:t>
      </w:r>
      <w:r w:rsidR="001A094E">
        <w:t xml:space="preserve"> </w:t>
      </w:r>
      <w:r w:rsidR="00BF5536">
        <w:t>3</w:t>
      </w:r>
      <w:r w:rsidR="001A094E">
        <w:t>).</w:t>
      </w:r>
    </w:p>
    <w:p w14:paraId="706C75C7" w14:textId="5D62F06A" w:rsidR="000848A4" w:rsidRDefault="00F80766" w:rsidP="004B499F">
      <w:pPr>
        <w:spacing w:line="480" w:lineRule="auto"/>
        <w:ind w:firstLine="360"/>
      </w:pPr>
      <w:r w:rsidRPr="00F80766">
        <w:rPr>
          <w:rFonts w:cstheme="minorHAnsi"/>
        </w:rPr>
        <w:t xml:space="preserve">Table </w:t>
      </w:r>
      <w:r w:rsidR="00EF4737">
        <w:rPr>
          <w:rFonts w:cstheme="minorHAnsi"/>
        </w:rPr>
        <w:t>6</w:t>
      </w:r>
      <w:r w:rsidRPr="00F80766">
        <w:rPr>
          <w:rFonts w:cstheme="minorHAnsi"/>
        </w:rPr>
        <w:t xml:space="preserve"> </w:t>
      </w:r>
      <w:r>
        <w:rPr>
          <w:rFonts w:cstheme="minorHAnsi"/>
        </w:rPr>
        <w:t>compares the user engagement fin</w:t>
      </w:r>
      <w:r w:rsidRPr="00F80766">
        <w:rPr>
          <w:rFonts w:cstheme="minorHAnsi"/>
        </w:rPr>
        <w:t xml:space="preserve">dings from this study to the differences in </w:t>
      </w:r>
      <w:r w:rsidR="00470251">
        <w:rPr>
          <w:rFonts w:cstheme="minorHAnsi"/>
        </w:rPr>
        <w:t>provider programmes</w:t>
      </w:r>
      <w:r w:rsidR="00162EE8">
        <w:rPr>
          <w:rFonts w:cstheme="minorHAnsi"/>
        </w:rPr>
        <w:t xml:space="preserve">. </w:t>
      </w:r>
      <w:r w:rsidR="00730A43">
        <w:rPr>
          <w:rFonts w:cstheme="minorHAnsi"/>
        </w:rPr>
        <w:t>W</w:t>
      </w:r>
      <w:r w:rsidR="00906179">
        <w:rPr>
          <w:rFonts w:cstheme="minorHAnsi"/>
        </w:rPr>
        <w:t xml:space="preserve">hen health coach support was linked to specific </w:t>
      </w:r>
      <w:r w:rsidR="00730A43">
        <w:rPr>
          <w:rFonts w:cstheme="minorHAnsi"/>
        </w:rPr>
        <w:t xml:space="preserve">intervention </w:t>
      </w:r>
      <w:r w:rsidR="00906179">
        <w:rPr>
          <w:rFonts w:cstheme="minorHAnsi"/>
        </w:rPr>
        <w:t xml:space="preserve">features, this was associated with higher engagement with that </w:t>
      </w:r>
      <w:r w:rsidR="00730A43">
        <w:rPr>
          <w:rFonts w:cstheme="minorHAnsi"/>
        </w:rPr>
        <w:t xml:space="preserve">intervention </w:t>
      </w:r>
      <w:r w:rsidR="00906179">
        <w:rPr>
          <w:rFonts w:cstheme="minorHAnsi"/>
        </w:rPr>
        <w:t>feature.</w:t>
      </w:r>
    </w:p>
    <w:p w14:paraId="7EC7C9BD" w14:textId="503EED6F" w:rsidR="00D0207F" w:rsidRDefault="00D0207F" w:rsidP="008718B8">
      <w:pPr>
        <w:spacing w:line="480" w:lineRule="auto"/>
      </w:pPr>
    </w:p>
    <w:p w14:paraId="1927AD4B" w14:textId="407A334A" w:rsidR="00CF3437" w:rsidRDefault="00CF3437" w:rsidP="008718B8">
      <w:pPr>
        <w:spacing w:line="480" w:lineRule="auto"/>
      </w:pPr>
    </w:p>
    <w:p w14:paraId="2B0E76D3" w14:textId="5980FE1B" w:rsidR="00CF3437" w:rsidRDefault="00CF3437" w:rsidP="008718B8">
      <w:pPr>
        <w:spacing w:line="480" w:lineRule="auto"/>
      </w:pPr>
    </w:p>
    <w:p w14:paraId="44A1413A" w14:textId="634270F9" w:rsidR="00CF3437" w:rsidRDefault="00CF3437" w:rsidP="008718B8">
      <w:pPr>
        <w:spacing w:line="480" w:lineRule="auto"/>
      </w:pPr>
    </w:p>
    <w:p w14:paraId="06F4E324" w14:textId="4BAD5EED" w:rsidR="00CF3437" w:rsidRDefault="00CF3437" w:rsidP="008718B8">
      <w:pPr>
        <w:spacing w:line="480" w:lineRule="auto"/>
      </w:pPr>
    </w:p>
    <w:p w14:paraId="551F87AF" w14:textId="2960C36F" w:rsidR="00CF3437" w:rsidRDefault="00CF3437" w:rsidP="008718B8">
      <w:pPr>
        <w:spacing w:line="480" w:lineRule="auto"/>
      </w:pPr>
    </w:p>
    <w:p w14:paraId="003645AE" w14:textId="77777777" w:rsidR="00CF3437" w:rsidRDefault="00CF3437" w:rsidP="008718B8">
      <w:pPr>
        <w:spacing w:line="480" w:lineRule="auto"/>
      </w:pPr>
    </w:p>
    <w:p w14:paraId="62B3B5D7" w14:textId="6504A8AC" w:rsidR="008718B8" w:rsidRDefault="008718B8" w:rsidP="008718B8">
      <w:pPr>
        <w:spacing w:line="480" w:lineRule="auto"/>
      </w:pPr>
      <w:r>
        <w:lastRenderedPageBreak/>
        <w:t>T</w:t>
      </w:r>
      <w:r w:rsidR="00EF4737">
        <w:t>able 6</w:t>
      </w:r>
      <w:r w:rsidRPr="00094B95">
        <w:t xml:space="preserve">. User engagement </w:t>
      </w:r>
      <w:r>
        <w:t>differences between providers and where higher engagement occurred</w:t>
      </w:r>
    </w:p>
    <w:tbl>
      <w:tblPr>
        <w:tblStyle w:val="TableGrid"/>
        <w:tblW w:w="10207" w:type="dxa"/>
        <w:tblInd w:w="-714" w:type="dxa"/>
        <w:tblBorders>
          <w:left w:val="none" w:sz="0" w:space="0" w:color="auto"/>
          <w:right w:val="none" w:sz="0" w:space="0" w:color="auto"/>
          <w:insideV w:val="none" w:sz="0" w:space="0" w:color="auto"/>
        </w:tblBorders>
        <w:tblLook w:val="04A0" w:firstRow="1" w:lastRow="0" w:firstColumn="1" w:lastColumn="0" w:noHBand="0" w:noVBand="1"/>
      </w:tblPr>
      <w:tblGrid>
        <w:gridCol w:w="1685"/>
        <w:gridCol w:w="2798"/>
        <w:gridCol w:w="2889"/>
        <w:gridCol w:w="2835"/>
      </w:tblGrid>
      <w:tr w:rsidR="008718B8" w14:paraId="4B13BFC3" w14:textId="77777777" w:rsidTr="00E0364B">
        <w:trPr>
          <w:trHeight w:val="326"/>
        </w:trPr>
        <w:tc>
          <w:tcPr>
            <w:tcW w:w="1685" w:type="dxa"/>
          </w:tcPr>
          <w:p w14:paraId="2353D831" w14:textId="77777777" w:rsidR="008718B8" w:rsidRDefault="008718B8" w:rsidP="00E0364B">
            <w:pPr>
              <w:spacing w:line="276" w:lineRule="auto"/>
            </w:pPr>
          </w:p>
        </w:tc>
        <w:tc>
          <w:tcPr>
            <w:tcW w:w="2798" w:type="dxa"/>
          </w:tcPr>
          <w:p w14:paraId="62999688" w14:textId="77777777" w:rsidR="008718B8" w:rsidRDefault="008718B8" w:rsidP="00E0364B">
            <w:pPr>
              <w:spacing w:line="276" w:lineRule="auto"/>
              <w:rPr>
                <w:b/>
              </w:rPr>
            </w:pPr>
            <w:r w:rsidRPr="0026751D">
              <w:rPr>
                <w:b/>
              </w:rPr>
              <w:t>Provider A</w:t>
            </w:r>
          </w:p>
          <w:p w14:paraId="3930CB3B" w14:textId="77777777" w:rsidR="008718B8" w:rsidRDefault="008718B8" w:rsidP="00E0364B">
            <w:pPr>
              <w:spacing w:line="276" w:lineRule="auto"/>
              <w:rPr>
                <w:b/>
              </w:rPr>
            </w:pPr>
          </w:p>
          <w:p w14:paraId="1FF15886" w14:textId="0E249839" w:rsidR="008718B8" w:rsidRDefault="008718B8" w:rsidP="00E0364B">
            <w:pPr>
              <w:spacing w:line="276" w:lineRule="auto"/>
              <w:rPr>
                <w:b/>
              </w:rPr>
            </w:pPr>
            <w:r>
              <w:rPr>
                <w:b/>
              </w:rPr>
              <w:t>Monthly telephone calls with health coach over 9-months to review progress</w:t>
            </w:r>
            <w:r w:rsidR="00730A43">
              <w:rPr>
                <w:b/>
              </w:rPr>
              <w:t xml:space="preserve"> and goals</w:t>
            </w:r>
            <w:r>
              <w:rPr>
                <w:b/>
              </w:rPr>
              <w:t>; one-to-one messaging with health coach; support gradually tapered.</w:t>
            </w:r>
          </w:p>
          <w:p w14:paraId="08DDC81A" w14:textId="77777777" w:rsidR="008718B8" w:rsidRDefault="008718B8" w:rsidP="00E0364B">
            <w:pPr>
              <w:spacing w:line="276" w:lineRule="auto"/>
              <w:rPr>
                <w:b/>
              </w:rPr>
            </w:pPr>
          </w:p>
          <w:p w14:paraId="3F52427F" w14:textId="77777777" w:rsidR="008718B8" w:rsidRPr="0026751D" w:rsidRDefault="008718B8" w:rsidP="00E0364B">
            <w:pPr>
              <w:spacing w:line="276" w:lineRule="auto"/>
              <w:rPr>
                <w:b/>
              </w:rPr>
            </w:pPr>
            <w:r>
              <w:rPr>
                <w:b/>
              </w:rPr>
              <w:t>Educational content unlocked weekly over 9-months.</w:t>
            </w:r>
          </w:p>
        </w:tc>
        <w:tc>
          <w:tcPr>
            <w:tcW w:w="2889" w:type="dxa"/>
          </w:tcPr>
          <w:p w14:paraId="51CDCCB1" w14:textId="77777777" w:rsidR="008718B8" w:rsidRDefault="008718B8" w:rsidP="00E0364B">
            <w:pPr>
              <w:spacing w:line="276" w:lineRule="auto"/>
              <w:rPr>
                <w:b/>
              </w:rPr>
            </w:pPr>
            <w:r w:rsidRPr="0026751D">
              <w:rPr>
                <w:b/>
              </w:rPr>
              <w:t>Provider C</w:t>
            </w:r>
          </w:p>
          <w:p w14:paraId="5F3271E0" w14:textId="77777777" w:rsidR="008718B8" w:rsidRDefault="008718B8" w:rsidP="00E0364B">
            <w:pPr>
              <w:spacing w:line="276" w:lineRule="auto"/>
              <w:rPr>
                <w:b/>
              </w:rPr>
            </w:pPr>
          </w:p>
          <w:p w14:paraId="2D477478" w14:textId="77777777" w:rsidR="008718B8" w:rsidRDefault="008718B8" w:rsidP="00E0364B">
            <w:pPr>
              <w:spacing w:line="276" w:lineRule="auto"/>
              <w:rPr>
                <w:b/>
              </w:rPr>
            </w:pPr>
            <w:r>
              <w:rPr>
                <w:b/>
              </w:rPr>
              <w:t>One-to-one messaging with health coach over 9-months, including tailored feedback on tracked behaviours and outcomes; support gradually tapered.</w:t>
            </w:r>
          </w:p>
          <w:p w14:paraId="294BEE1F" w14:textId="77777777" w:rsidR="008718B8" w:rsidRDefault="008718B8" w:rsidP="00E0364B">
            <w:pPr>
              <w:spacing w:line="276" w:lineRule="auto"/>
              <w:rPr>
                <w:b/>
              </w:rPr>
            </w:pPr>
          </w:p>
          <w:p w14:paraId="1503569C" w14:textId="77777777" w:rsidR="00730A43" w:rsidRDefault="00730A43" w:rsidP="00E0364B">
            <w:pPr>
              <w:spacing w:line="276" w:lineRule="auto"/>
              <w:rPr>
                <w:b/>
              </w:rPr>
            </w:pPr>
          </w:p>
          <w:p w14:paraId="60FADC86" w14:textId="04283198" w:rsidR="008718B8" w:rsidRPr="0026751D" w:rsidRDefault="008718B8" w:rsidP="00E0364B">
            <w:pPr>
              <w:spacing w:line="276" w:lineRule="auto"/>
              <w:rPr>
                <w:b/>
              </w:rPr>
            </w:pPr>
            <w:r>
              <w:rPr>
                <w:b/>
              </w:rPr>
              <w:t>Tailored educational content sent from health coach to service users over 9-months.</w:t>
            </w:r>
          </w:p>
        </w:tc>
        <w:tc>
          <w:tcPr>
            <w:tcW w:w="2835" w:type="dxa"/>
          </w:tcPr>
          <w:p w14:paraId="12EAE28A" w14:textId="77777777" w:rsidR="008718B8" w:rsidRDefault="008718B8" w:rsidP="00E0364B">
            <w:pPr>
              <w:spacing w:line="276" w:lineRule="auto"/>
              <w:rPr>
                <w:b/>
              </w:rPr>
            </w:pPr>
            <w:r w:rsidRPr="0026751D">
              <w:rPr>
                <w:b/>
              </w:rPr>
              <w:t>Provider D</w:t>
            </w:r>
          </w:p>
          <w:p w14:paraId="58018426" w14:textId="77777777" w:rsidR="008718B8" w:rsidRDefault="008718B8" w:rsidP="00E0364B">
            <w:pPr>
              <w:spacing w:line="276" w:lineRule="auto"/>
              <w:rPr>
                <w:b/>
              </w:rPr>
            </w:pPr>
          </w:p>
          <w:p w14:paraId="4D37929A" w14:textId="77777777" w:rsidR="008718B8" w:rsidRDefault="008718B8" w:rsidP="00E0364B">
            <w:pPr>
              <w:spacing w:line="276" w:lineRule="auto"/>
              <w:rPr>
                <w:b/>
              </w:rPr>
            </w:pPr>
            <w:r>
              <w:rPr>
                <w:b/>
              </w:rPr>
              <w:t>One-to-one messaging with health coach and closed group chats moderated by health coach during first 3-months.</w:t>
            </w:r>
          </w:p>
          <w:p w14:paraId="67FFEDE4" w14:textId="77777777" w:rsidR="008718B8" w:rsidRDefault="008718B8" w:rsidP="00E0364B">
            <w:pPr>
              <w:spacing w:line="276" w:lineRule="auto"/>
              <w:rPr>
                <w:b/>
              </w:rPr>
            </w:pPr>
          </w:p>
          <w:p w14:paraId="60563CC3" w14:textId="77777777" w:rsidR="008718B8" w:rsidRDefault="008718B8" w:rsidP="00E0364B">
            <w:pPr>
              <w:spacing w:line="276" w:lineRule="auto"/>
              <w:rPr>
                <w:b/>
              </w:rPr>
            </w:pPr>
          </w:p>
          <w:p w14:paraId="7034C267" w14:textId="77777777" w:rsidR="00730A43" w:rsidRDefault="00730A43" w:rsidP="00E0364B">
            <w:pPr>
              <w:spacing w:line="276" w:lineRule="auto"/>
              <w:rPr>
                <w:b/>
              </w:rPr>
            </w:pPr>
          </w:p>
          <w:p w14:paraId="6765E51F" w14:textId="31ED1B15" w:rsidR="008718B8" w:rsidRPr="0026751D" w:rsidRDefault="008718B8" w:rsidP="00E0364B">
            <w:pPr>
              <w:spacing w:line="276" w:lineRule="auto"/>
              <w:rPr>
                <w:b/>
              </w:rPr>
            </w:pPr>
            <w:r>
              <w:rPr>
                <w:b/>
              </w:rPr>
              <w:t>Educational content unlocked weekly during the first 3-months.</w:t>
            </w:r>
          </w:p>
        </w:tc>
      </w:tr>
      <w:tr w:rsidR="008718B8" w14:paraId="3B11B486" w14:textId="77777777" w:rsidTr="00E0364B">
        <w:trPr>
          <w:trHeight w:val="342"/>
        </w:trPr>
        <w:tc>
          <w:tcPr>
            <w:tcW w:w="1685" w:type="dxa"/>
          </w:tcPr>
          <w:p w14:paraId="4FB06C16" w14:textId="77777777" w:rsidR="008718B8" w:rsidRPr="0026751D" w:rsidRDefault="008718B8" w:rsidP="00E0364B">
            <w:pPr>
              <w:spacing w:line="276" w:lineRule="auto"/>
              <w:rPr>
                <w:b/>
              </w:rPr>
            </w:pPr>
            <w:r w:rsidRPr="0026751D">
              <w:rPr>
                <w:b/>
              </w:rPr>
              <w:t xml:space="preserve">Self-monitoring </w:t>
            </w:r>
          </w:p>
        </w:tc>
        <w:tc>
          <w:tcPr>
            <w:tcW w:w="2798" w:type="dxa"/>
          </w:tcPr>
          <w:p w14:paraId="3E2F7670" w14:textId="77777777" w:rsidR="008718B8" w:rsidRDefault="008718B8" w:rsidP="00E0364B">
            <w:pPr>
              <w:spacing w:line="276" w:lineRule="auto"/>
            </w:pPr>
          </w:p>
        </w:tc>
        <w:tc>
          <w:tcPr>
            <w:tcW w:w="2889" w:type="dxa"/>
          </w:tcPr>
          <w:p w14:paraId="3DDF767D" w14:textId="77777777" w:rsidR="008718B8" w:rsidRDefault="008718B8" w:rsidP="00E0364B">
            <w:pPr>
              <w:spacing w:line="276" w:lineRule="auto"/>
            </w:pPr>
            <w:r>
              <w:t>Users more frequently self-monitored their behaviours on the app and had continued engagement with self-monitoring features over the nine-month duration.</w:t>
            </w:r>
          </w:p>
        </w:tc>
        <w:tc>
          <w:tcPr>
            <w:tcW w:w="2835" w:type="dxa"/>
          </w:tcPr>
          <w:p w14:paraId="40D15E0B" w14:textId="77777777" w:rsidR="008718B8" w:rsidRDefault="008718B8" w:rsidP="00E0364B">
            <w:pPr>
              <w:spacing w:line="276" w:lineRule="auto"/>
            </w:pPr>
          </w:p>
        </w:tc>
      </w:tr>
      <w:tr w:rsidR="008718B8" w14:paraId="7E3ADDC8" w14:textId="77777777" w:rsidTr="00E0364B">
        <w:trPr>
          <w:trHeight w:val="326"/>
        </w:trPr>
        <w:tc>
          <w:tcPr>
            <w:tcW w:w="1685" w:type="dxa"/>
          </w:tcPr>
          <w:p w14:paraId="31473B11" w14:textId="77777777" w:rsidR="008718B8" w:rsidRPr="0026751D" w:rsidRDefault="008718B8" w:rsidP="00E0364B">
            <w:pPr>
              <w:spacing w:line="276" w:lineRule="auto"/>
              <w:rPr>
                <w:b/>
              </w:rPr>
            </w:pPr>
            <w:r w:rsidRPr="0026751D">
              <w:rPr>
                <w:b/>
              </w:rPr>
              <w:t>Goal setting</w:t>
            </w:r>
          </w:p>
        </w:tc>
        <w:tc>
          <w:tcPr>
            <w:tcW w:w="2798" w:type="dxa"/>
          </w:tcPr>
          <w:p w14:paraId="14B1D278" w14:textId="77777777" w:rsidR="008718B8" w:rsidRDefault="008718B8" w:rsidP="00E0364B">
            <w:pPr>
              <w:spacing w:line="276" w:lineRule="auto"/>
            </w:pPr>
            <w:r>
              <w:t>Users set or amended goals more frequently throughout the nine-months.</w:t>
            </w:r>
          </w:p>
        </w:tc>
        <w:tc>
          <w:tcPr>
            <w:tcW w:w="2889" w:type="dxa"/>
          </w:tcPr>
          <w:p w14:paraId="04E41087" w14:textId="77777777" w:rsidR="008718B8" w:rsidRDefault="008718B8" w:rsidP="00E0364B">
            <w:pPr>
              <w:spacing w:line="276" w:lineRule="auto"/>
            </w:pPr>
          </w:p>
        </w:tc>
        <w:tc>
          <w:tcPr>
            <w:tcW w:w="2835" w:type="dxa"/>
          </w:tcPr>
          <w:p w14:paraId="3C5AB0BC" w14:textId="77777777" w:rsidR="008718B8" w:rsidRDefault="008718B8" w:rsidP="00E0364B">
            <w:pPr>
              <w:spacing w:line="276" w:lineRule="auto"/>
            </w:pPr>
          </w:p>
        </w:tc>
      </w:tr>
      <w:tr w:rsidR="008718B8" w14:paraId="710966D5" w14:textId="77777777" w:rsidTr="00E0364B">
        <w:trPr>
          <w:trHeight w:val="326"/>
        </w:trPr>
        <w:tc>
          <w:tcPr>
            <w:tcW w:w="1685" w:type="dxa"/>
          </w:tcPr>
          <w:p w14:paraId="335B386B" w14:textId="77777777" w:rsidR="008718B8" w:rsidRPr="0026751D" w:rsidRDefault="008718B8" w:rsidP="00E0364B">
            <w:pPr>
              <w:spacing w:line="276" w:lineRule="auto"/>
              <w:rPr>
                <w:b/>
              </w:rPr>
            </w:pPr>
            <w:r w:rsidRPr="0026751D">
              <w:rPr>
                <w:b/>
              </w:rPr>
              <w:t xml:space="preserve">Educational content </w:t>
            </w:r>
          </w:p>
        </w:tc>
        <w:tc>
          <w:tcPr>
            <w:tcW w:w="2798" w:type="dxa"/>
          </w:tcPr>
          <w:p w14:paraId="4D9036F7" w14:textId="77777777" w:rsidR="008718B8" w:rsidRDefault="008718B8" w:rsidP="00E0364B">
            <w:r>
              <w:t>Users accessed a higher number of unique educational articles throughout the 9-month programme.</w:t>
            </w:r>
          </w:p>
        </w:tc>
        <w:tc>
          <w:tcPr>
            <w:tcW w:w="2889" w:type="dxa"/>
          </w:tcPr>
          <w:p w14:paraId="30997042" w14:textId="77777777" w:rsidR="008718B8" w:rsidRDefault="008718B8" w:rsidP="00E0364B">
            <w:pPr>
              <w:spacing w:line="276" w:lineRule="auto"/>
            </w:pPr>
          </w:p>
        </w:tc>
        <w:tc>
          <w:tcPr>
            <w:tcW w:w="2835" w:type="dxa"/>
          </w:tcPr>
          <w:p w14:paraId="0974553E" w14:textId="77777777" w:rsidR="008718B8" w:rsidRDefault="008718B8" w:rsidP="00E0364B">
            <w:r>
              <w:t>Users accessed more educational content during the first 3-months of the programme.</w:t>
            </w:r>
          </w:p>
          <w:p w14:paraId="4EF6E704" w14:textId="77777777" w:rsidR="008718B8" w:rsidRDefault="008718B8" w:rsidP="00E0364B">
            <w:pPr>
              <w:spacing w:line="276" w:lineRule="auto"/>
            </w:pPr>
          </w:p>
        </w:tc>
      </w:tr>
      <w:tr w:rsidR="008718B8" w14:paraId="1FE1B033" w14:textId="77777777" w:rsidTr="00E0364B">
        <w:trPr>
          <w:trHeight w:val="326"/>
        </w:trPr>
        <w:tc>
          <w:tcPr>
            <w:tcW w:w="1685" w:type="dxa"/>
          </w:tcPr>
          <w:p w14:paraId="10BAE62E" w14:textId="77777777" w:rsidR="008718B8" w:rsidRPr="0026751D" w:rsidRDefault="008718B8" w:rsidP="00E0364B">
            <w:pPr>
              <w:spacing w:line="276" w:lineRule="auto"/>
              <w:rPr>
                <w:b/>
              </w:rPr>
            </w:pPr>
            <w:r w:rsidRPr="0026751D">
              <w:rPr>
                <w:b/>
              </w:rPr>
              <w:t>Group support</w:t>
            </w:r>
          </w:p>
        </w:tc>
        <w:tc>
          <w:tcPr>
            <w:tcW w:w="2798" w:type="dxa"/>
          </w:tcPr>
          <w:p w14:paraId="6D1D1C4B" w14:textId="5D405F3D" w:rsidR="008718B8" w:rsidRDefault="008718B8" w:rsidP="00E0364B">
            <w:pPr>
              <w:spacing w:line="276" w:lineRule="auto"/>
            </w:pPr>
          </w:p>
        </w:tc>
        <w:tc>
          <w:tcPr>
            <w:tcW w:w="2889" w:type="dxa"/>
          </w:tcPr>
          <w:p w14:paraId="10D3622F" w14:textId="3250B519" w:rsidR="008718B8" w:rsidRDefault="008718B8" w:rsidP="00E0364B">
            <w:pPr>
              <w:spacing w:line="276" w:lineRule="auto"/>
            </w:pPr>
          </w:p>
        </w:tc>
        <w:tc>
          <w:tcPr>
            <w:tcW w:w="2835" w:type="dxa"/>
          </w:tcPr>
          <w:p w14:paraId="3F1B92F6" w14:textId="1AFBEB36" w:rsidR="008718B8" w:rsidRDefault="008718B8" w:rsidP="008718B8">
            <w:r>
              <w:t xml:space="preserve">Users sent more peer messages via the group chat during the first 3-months of the programme. </w:t>
            </w:r>
          </w:p>
        </w:tc>
      </w:tr>
      <w:tr w:rsidR="008718B8" w14:paraId="228B4B9C" w14:textId="77777777" w:rsidTr="00E0364B">
        <w:trPr>
          <w:trHeight w:val="326"/>
        </w:trPr>
        <w:tc>
          <w:tcPr>
            <w:tcW w:w="1685" w:type="dxa"/>
          </w:tcPr>
          <w:p w14:paraId="30315D49" w14:textId="77777777" w:rsidR="008718B8" w:rsidRPr="0026751D" w:rsidRDefault="008718B8" w:rsidP="00E0364B">
            <w:pPr>
              <w:spacing w:line="276" w:lineRule="auto"/>
              <w:rPr>
                <w:b/>
              </w:rPr>
            </w:pPr>
            <w:r w:rsidRPr="0026751D">
              <w:rPr>
                <w:b/>
              </w:rPr>
              <w:t>Overall use</w:t>
            </w:r>
          </w:p>
        </w:tc>
        <w:tc>
          <w:tcPr>
            <w:tcW w:w="8522" w:type="dxa"/>
            <w:gridSpan w:val="3"/>
          </w:tcPr>
          <w:p w14:paraId="70D47B4E" w14:textId="77777777" w:rsidR="008718B8" w:rsidRDefault="008718B8" w:rsidP="00E0364B">
            <w:pPr>
              <w:spacing w:line="276" w:lineRule="auto"/>
            </w:pPr>
            <w:r>
              <w:rPr>
                <w:rFonts w:cstheme="minorHAnsi"/>
              </w:rPr>
              <w:t>T</w:t>
            </w:r>
            <w:r w:rsidRPr="00153913">
              <w:rPr>
                <w:rFonts w:cstheme="minorHAnsi"/>
              </w:rPr>
              <w:t>he largest decrease in engagement with the NHS-DDPP was after three months</w:t>
            </w:r>
            <w:r>
              <w:rPr>
                <w:rFonts w:cstheme="minorHAnsi"/>
              </w:rPr>
              <w:t>.</w:t>
            </w:r>
          </w:p>
        </w:tc>
      </w:tr>
    </w:tbl>
    <w:p w14:paraId="1461370F" w14:textId="0BB810D4" w:rsidR="00F80766" w:rsidRDefault="00F80766" w:rsidP="004B499F">
      <w:pPr>
        <w:suppressLineNumbers/>
        <w:spacing w:line="480" w:lineRule="auto"/>
        <w:ind w:firstLine="360"/>
      </w:pPr>
    </w:p>
    <w:p w14:paraId="33594E81" w14:textId="72507A59" w:rsidR="00090552" w:rsidRPr="00975B17" w:rsidRDefault="00B504E8" w:rsidP="00536FB1">
      <w:pPr>
        <w:spacing w:after="0" w:line="480" w:lineRule="auto"/>
        <w:jc w:val="center"/>
        <w:rPr>
          <w:b/>
        </w:rPr>
      </w:pPr>
      <w:r>
        <w:rPr>
          <w:b/>
        </w:rPr>
        <w:t>4.</w:t>
      </w:r>
      <w:r w:rsidR="003528FC">
        <w:rPr>
          <w:b/>
        </w:rPr>
        <w:t xml:space="preserve"> </w:t>
      </w:r>
      <w:r w:rsidR="00090552" w:rsidRPr="00975B17">
        <w:rPr>
          <w:b/>
        </w:rPr>
        <w:t>Discussion</w:t>
      </w:r>
    </w:p>
    <w:p w14:paraId="0425763F" w14:textId="5673EAA0" w:rsidR="00090552" w:rsidRPr="00975B17" w:rsidRDefault="003528FC" w:rsidP="00536FB1">
      <w:pPr>
        <w:spacing w:after="0" w:line="480" w:lineRule="auto"/>
        <w:rPr>
          <w:b/>
        </w:rPr>
      </w:pPr>
      <w:r>
        <w:rPr>
          <w:b/>
        </w:rPr>
        <w:t>4.1</w:t>
      </w:r>
      <w:r w:rsidR="00B504E8">
        <w:rPr>
          <w:b/>
        </w:rPr>
        <w:t>.</w:t>
      </w:r>
      <w:r>
        <w:rPr>
          <w:b/>
        </w:rPr>
        <w:t xml:space="preserve"> </w:t>
      </w:r>
      <w:r w:rsidR="00086F45">
        <w:rPr>
          <w:b/>
        </w:rPr>
        <w:t>Principal</w:t>
      </w:r>
      <w:r w:rsidR="00090552" w:rsidRPr="00975B17">
        <w:rPr>
          <w:b/>
        </w:rPr>
        <w:t xml:space="preserve"> Findings</w:t>
      </w:r>
      <w:r w:rsidR="00F61CCE" w:rsidRPr="00975B17">
        <w:rPr>
          <w:b/>
        </w:rPr>
        <w:tab/>
      </w:r>
    </w:p>
    <w:p w14:paraId="7A3B0631" w14:textId="3D7A8C19" w:rsidR="0057156F" w:rsidRPr="001D09D2" w:rsidRDefault="0082304E" w:rsidP="001D09D2">
      <w:pPr>
        <w:spacing w:line="480" w:lineRule="auto"/>
        <w:ind w:firstLine="360"/>
        <w:rPr>
          <w:u w:val="single"/>
        </w:rPr>
      </w:pPr>
      <w:r>
        <w:t>A decrease in app usage was observed over the nine-month programme, although the magnitude of this decrease varied substantially</w:t>
      </w:r>
      <w:r w:rsidR="00EE4B24">
        <w:t xml:space="preserve"> between providers</w:t>
      </w:r>
      <w:r>
        <w:t>. S</w:t>
      </w:r>
      <w:r w:rsidR="0057156F">
        <w:t>ervice users primarily used the apps to self-monitor their</w:t>
      </w:r>
      <w:r>
        <w:t xml:space="preserve"> </w:t>
      </w:r>
      <w:r w:rsidR="0057156F">
        <w:t>behaviours</w:t>
      </w:r>
      <w:r w:rsidR="0096332F">
        <w:t>,</w:t>
      </w:r>
      <w:r w:rsidR="0057156F">
        <w:t xml:space="preserve"> and </w:t>
      </w:r>
      <w:r>
        <w:t xml:space="preserve">to </w:t>
      </w:r>
      <w:r w:rsidR="0057156F">
        <w:t>access educational content</w:t>
      </w:r>
      <w:r w:rsidR="00945A65">
        <w:t>.</w:t>
      </w:r>
      <w:r w:rsidR="00005B67">
        <w:t xml:space="preserve"> </w:t>
      </w:r>
      <w:r>
        <w:t>G</w:t>
      </w:r>
      <w:r w:rsidR="0057156F">
        <w:t xml:space="preserve">roup support functions </w:t>
      </w:r>
      <w:r w:rsidR="0057156F">
        <w:lastRenderedPageBreak/>
        <w:t>were not used regularly,</w:t>
      </w:r>
      <w:r w:rsidR="002D7531">
        <w:t xml:space="preserve"> though there were some differences in use of group chat</w:t>
      </w:r>
      <w:r w:rsidR="00470251">
        <w:t>s</w:t>
      </w:r>
      <w:r w:rsidR="002D7531">
        <w:t xml:space="preserve"> versus group discussion forums</w:t>
      </w:r>
      <w:r w:rsidR="00F21342">
        <w:t xml:space="preserve"> offered by provider pro</w:t>
      </w:r>
      <w:r w:rsidR="00162EE8">
        <w:t>grammes</w:t>
      </w:r>
      <w:r w:rsidR="00162EE8" w:rsidRPr="001C42DE">
        <w:rPr>
          <w:rFonts w:cstheme="minorHAnsi"/>
        </w:rPr>
        <w:t>.</w:t>
      </w:r>
      <w:r w:rsidR="00162EE8">
        <w:rPr>
          <w:rFonts w:cstheme="minorHAnsi"/>
        </w:rPr>
        <w:t xml:space="preserve"> </w:t>
      </w:r>
      <w:r w:rsidR="001D09D2">
        <w:t>E</w:t>
      </w:r>
      <w:r w:rsidR="001D09D2" w:rsidRPr="00F75DE9">
        <w:rPr>
          <w:rFonts w:cstheme="minorHAnsi"/>
        </w:rPr>
        <w:t>ngag</w:t>
      </w:r>
      <w:r w:rsidR="001D09D2">
        <w:rPr>
          <w:rFonts w:cstheme="minorHAnsi"/>
        </w:rPr>
        <w:t>ement with</w:t>
      </w:r>
      <w:r w:rsidR="001D09D2" w:rsidRPr="00F75DE9">
        <w:rPr>
          <w:rFonts w:cstheme="minorHAnsi"/>
        </w:rPr>
        <w:t xml:space="preserve"> intervention features </w:t>
      </w:r>
      <w:r w:rsidR="001D09D2">
        <w:rPr>
          <w:rFonts w:cstheme="minorHAnsi"/>
        </w:rPr>
        <w:t>were</w:t>
      </w:r>
      <w:r w:rsidR="001D09D2" w:rsidRPr="00F75DE9">
        <w:rPr>
          <w:rFonts w:cstheme="minorHAnsi"/>
        </w:rPr>
        <w:t xml:space="preserve"> </w:t>
      </w:r>
      <w:r w:rsidR="001D09D2">
        <w:rPr>
          <w:rFonts w:cstheme="minorHAnsi"/>
        </w:rPr>
        <w:t>higher</w:t>
      </w:r>
      <w:r w:rsidR="001D09D2" w:rsidRPr="00F75DE9">
        <w:rPr>
          <w:rFonts w:cstheme="minorHAnsi"/>
        </w:rPr>
        <w:t xml:space="preserve"> </w:t>
      </w:r>
      <w:r w:rsidR="001D09D2">
        <w:rPr>
          <w:rFonts w:cstheme="minorHAnsi"/>
        </w:rPr>
        <w:t xml:space="preserve">when health coach support was linked to those specific </w:t>
      </w:r>
      <w:r w:rsidR="00057534">
        <w:rPr>
          <w:rFonts w:cstheme="minorHAnsi"/>
        </w:rPr>
        <w:t>elements of the programme</w:t>
      </w:r>
      <w:r w:rsidR="001D09D2">
        <w:rPr>
          <w:rFonts w:cstheme="minorHAnsi"/>
        </w:rPr>
        <w:t>.</w:t>
      </w:r>
    </w:p>
    <w:p w14:paraId="2C35F806" w14:textId="20B6F18B" w:rsidR="00090552" w:rsidRPr="00975B17" w:rsidRDefault="00426C70" w:rsidP="00536FB1">
      <w:pPr>
        <w:spacing w:after="0" w:line="480" w:lineRule="auto"/>
        <w:rPr>
          <w:b/>
        </w:rPr>
      </w:pPr>
      <w:r>
        <w:rPr>
          <w:b/>
        </w:rPr>
        <w:t>4.2</w:t>
      </w:r>
      <w:r w:rsidR="00B504E8">
        <w:rPr>
          <w:b/>
        </w:rPr>
        <w:t>.</w:t>
      </w:r>
      <w:r w:rsidR="0057156F" w:rsidRPr="00975B17">
        <w:rPr>
          <w:b/>
        </w:rPr>
        <w:t xml:space="preserve"> </w:t>
      </w:r>
      <w:r w:rsidR="00090552" w:rsidRPr="00975B17">
        <w:rPr>
          <w:b/>
        </w:rPr>
        <w:t>Strengths and Limitations</w:t>
      </w:r>
    </w:p>
    <w:p w14:paraId="1CA17D90" w14:textId="6455895E" w:rsidR="009C1630" w:rsidRDefault="002542CC" w:rsidP="002542CC">
      <w:pPr>
        <w:spacing w:line="480" w:lineRule="auto"/>
        <w:ind w:firstLine="360"/>
      </w:pPr>
      <w:r>
        <w:t>This</w:t>
      </w:r>
      <w:r w:rsidR="00A76B71">
        <w:t xml:space="preserve"> novel</w:t>
      </w:r>
      <w:r>
        <w:t xml:space="preserve"> study presents</w:t>
      </w:r>
      <w:r w:rsidR="009C1630">
        <w:t xml:space="preserve"> routinely collected</w:t>
      </w:r>
      <w:r w:rsidR="00A12240">
        <w:t xml:space="preserve"> data from </w:t>
      </w:r>
      <w:r w:rsidR="00090552">
        <w:t>a national</w:t>
      </w:r>
      <w:r w:rsidR="005F54C0">
        <w:t>ly implemented</w:t>
      </w:r>
      <w:r w:rsidR="00090552">
        <w:t xml:space="preserve"> programme, ra</w:t>
      </w:r>
      <w:r w:rsidR="00A12240">
        <w:t>ther than trial data, thus providing</w:t>
      </w:r>
      <w:r w:rsidR="009C1630">
        <w:t xml:space="preserve"> a snapshot </w:t>
      </w:r>
      <w:r w:rsidR="00741962">
        <w:t xml:space="preserve">of </w:t>
      </w:r>
      <w:r w:rsidR="009C1630">
        <w:t>how</w:t>
      </w:r>
      <w:r w:rsidR="00741962">
        <w:t xml:space="preserve"> users engaged with</w:t>
      </w:r>
      <w:r w:rsidR="009C1630">
        <w:t xml:space="preserve"> a </w:t>
      </w:r>
      <w:r w:rsidR="00DB5F83">
        <w:t>digital</w:t>
      </w:r>
      <w:r w:rsidR="00090552">
        <w:t xml:space="preserve"> behaviour c</w:t>
      </w:r>
      <w:r w:rsidR="00A12240">
        <w:t xml:space="preserve">hange programme in </w:t>
      </w:r>
      <w:r w:rsidR="00741962">
        <w:t>a</w:t>
      </w:r>
      <w:r w:rsidR="00A12240">
        <w:t xml:space="preserve"> </w:t>
      </w:r>
      <w:r w:rsidR="00AE30A3">
        <w:t>real world</w:t>
      </w:r>
      <w:r w:rsidR="00741962">
        <w:t xml:space="preserve"> setting</w:t>
      </w:r>
      <w:r w:rsidR="00A12240">
        <w:t>.</w:t>
      </w:r>
      <w:r w:rsidR="00AE30A3" w:rsidRPr="00AE30A3">
        <w:t xml:space="preserve"> </w:t>
      </w:r>
      <w:r w:rsidR="004A29A0">
        <w:t xml:space="preserve">The present analysis compared </w:t>
      </w:r>
      <w:r w:rsidR="00DB5F83">
        <w:t xml:space="preserve">usage data </w:t>
      </w:r>
      <w:r w:rsidR="004A29A0">
        <w:t>longitudinally across the nine-month intervention</w:t>
      </w:r>
      <w:r>
        <w:t>,</w:t>
      </w:r>
      <w:r w:rsidR="00A76B71">
        <w:t xml:space="preserve"> providing much greater</w:t>
      </w:r>
      <w:r w:rsidR="004A29A0">
        <w:t xml:space="preserve"> context on service users’ needs compared to just the total amount of engag</w:t>
      </w:r>
      <w:r w:rsidR="00FC74E2">
        <w:t>ement</w:t>
      </w:r>
      <w:r w:rsidR="00183E3B">
        <w:t xml:space="preserve"> across groups [38</w:t>
      </w:r>
      <w:r w:rsidR="00FC74E2">
        <w:t>]</w:t>
      </w:r>
      <w:r w:rsidR="004A29A0">
        <w:t xml:space="preserve">. Analysis of the different features used in the NHS-DDPP allowed further understanding of the breadth of NHS-DDPP app engagement. </w:t>
      </w:r>
    </w:p>
    <w:p w14:paraId="687C92C4" w14:textId="09575476" w:rsidR="002542CC" w:rsidRDefault="00891FAC" w:rsidP="004D4FFD">
      <w:pPr>
        <w:spacing w:line="480" w:lineRule="auto"/>
        <w:ind w:firstLine="360"/>
      </w:pPr>
      <w:r>
        <w:t>Analysis of</w:t>
      </w:r>
      <w:r w:rsidR="00A85CA3">
        <w:t xml:space="preserve"> usage data from t</w:t>
      </w:r>
      <w:r w:rsidR="00407B49">
        <w:t>h</w:t>
      </w:r>
      <w:r w:rsidR="00A85CA3">
        <w:t>ree different providers</w:t>
      </w:r>
      <w:r>
        <w:t xml:space="preserve"> was a further strength</w:t>
      </w:r>
      <w:r w:rsidR="00A85CA3">
        <w:t xml:space="preserve">; not only is analysis of digital interventions in the real world rare, but </w:t>
      </w:r>
      <w:r w:rsidR="00633CB6">
        <w:t>l</w:t>
      </w:r>
      <w:r w:rsidR="004D65EB">
        <w:t xml:space="preserve">inking differences in engagement between providers to variation in programme contents allows </w:t>
      </w:r>
      <w:r w:rsidR="00057534">
        <w:t xml:space="preserve">identification of </w:t>
      </w:r>
      <w:r w:rsidR="004D65EB">
        <w:t>intervention features that may promote engagement.</w:t>
      </w:r>
      <w:r w:rsidR="001757F6">
        <w:t xml:space="preserve"> Evaluations of interventions produced via this model of commissioning are also rare, thus the present work may provide a useful exemplar for future evaluations.</w:t>
      </w:r>
      <w:r w:rsidR="00A85CA3">
        <w:t xml:space="preserve"> </w:t>
      </w:r>
      <w:r w:rsidR="00090552" w:rsidRPr="005C6A6C">
        <w:t>We used</w:t>
      </w:r>
      <w:r w:rsidR="00090552">
        <w:t xml:space="preserve"> a structured framework </w:t>
      </w:r>
      <w:r w:rsidR="00200666">
        <w:t>[2</w:t>
      </w:r>
      <w:r w:rsidR="00BA0697">
        <w:t>3</w:t>
      </w:r>
      <w:r w:rsidR="00FC74E2">
        <w:t>]</w:t>
      </w:r>
      <w:r w:rsidR="00090552">
        <w:t xml:space="preserve"> to guide a systematic and fine-grained analysi</w:t>
      </w:r>
      <w:r w:rsidR="005F54C0">
        <w:t xml:space="preserve">s of usage data across the </w:t>
      </w:r>
      <w:r w:rsidR="00090552">
        <w:t>NHS-DDPP providers.</w:t>
      </w:r>
      <w:r w:rsidR="00407B49">
        <w:t xml:space="preserve"> </w:t>
      </w:r>
      <w:r w:rsidR="00E71558">
        <w:t>T</w:t>
      </w:r>
      <w:r w:rsidR="00455205">
        <w:t>h</w:t>
      </w:r>
      <w:r w:rsidR="00057534">
        <w:t>is identified</w:t>
      </w:r>
      <w:r w:rsidR="00455205">
        <w:t xml:space="preserve"> self-regulatory </w:t>
      </w:r>
      <w:r w:rsidR="00057534">
        <w:t>BCTs</w:t>
      </w:r>
      <w:r w:rsidR="00455205">
        <w:t xml:space="preserve"> (e.g. self-monitoring, goal setting), support, and information giving </w:t>
      </w:r>
      <w:r w:rsidR="00057534">
        <w:t>as</w:t>
      </w:r>
      <w:r w:rsidR="00455205">
        <w:t xml:space="preserve"> the key meaningful variables to inc</w:t>
      </w:r>
      <w:r w:rsidR="00097FB1">
        <w:t xml:space="preserve">lude in the usage data analysis, as in line with the previously developed logic model for the programme </w:t>
      </w:r>
      <w:r w:rsidR="002C3EEA">
        <w:t>[3</w:t>
      </w:r>
      <w:r w:rsidR="00183E3B">
        <w:t>7</w:t>
      </w:r>
      <w:r w:rsidR="00FC74E2">
        <w:t>]</w:t>
      </w:r>
      <w:r w:rsidR="00097FB1">
        <w:t xml:space="preserve">. </w:t>
      </w:r>
    </w:p>
    <w:p w14:paraId="026C3A0C" w14:textId="1D30D3CF" w:rsidR="00B520DD" w:rsidRDefault="00A76B71" w:rsidP="00A76B71">
      <w:pPr>
        <w:spacing w:line="480" w:lineRule="auto"/>
        <w:ind w:firstLine="360"/>
      </w:pPr>
      <w:r>
        <w:t xml:space="preserve">Despite substantial efforts, we were unable to obtain usage data from one of the </w:t>
      </w:r>
      <w:r w:rsidR="00BA0697">
        <w:t>NHS-DDPP</w:t>
      </w:r>
      <w:r>
        <w:t xml:space="preserve"> providers</w:t>
      </w:r>
      <w:r w:rsidR="00AE5216">
        <w:t xml:space="preserve">, and the data </w:t>
      </w:r>
      <w:r>
        <w:t xml:space="preserve">obtained from other providers differed according to provider reporting capabilities and specific </w:t>
      </w:r>
      <w:r w:rsidR="00232E7A">
        <w:t xml:space="preserve">intervention </w:t>
      </w:r>
      <w:r>
        <w:t>features. This limitation demonstrates the logistical issues of obtaining usage data from a live national programme with independent digital providers.</w:t>
      </w:r>
      <w:r w:rsidR="00C616A2">
        <w:t xml:space="preserve"> Working with real-world data necessarily requires combining the functionality of different datasets from </w:t>
      </w:r>
      <w:r w:rsidR="00C616A2">
        <w:lastRenderedPageBreak/>
        <w:t>different providers</w:t>
      </w:r>
      <w:r w:rsidR="00AE5216">
        <w:t>, however we used theory to compare usage of intervention features even when there were differences in data capture</w:t>
      </w:r>
      <w:r>
        <w:t>.</w:t>
      </w:r>
      <w:r w:rsidR="005A3637">
        <w:t xml:space="preserve"> </w:t>
      </w:r>
    </w:p>
    <w:p w14:paraId="12D9CB4F" w14:textId="4C744407" w:rsidR="00A76B71" w:rsidRPr="002542CC" w:rsidRDefault="00FF7153" w:rsidP="00A76B71">
      <w:pPr>
        <w:spacing w:line="480" w:lineRule="auto"/>
        <w:ind w:firstLine="360"/>
      </w:pPr>
      <w:r>
        <w:t>This analysis sheds light on what intervention features service users engaged with on the NHS-DDPP, but it cannot tell us why there was disengagement with the apps,</w:t>
      </w:r>
      <w:r w:rsidR="00AB2383">
        <w:t xml:space="preserve"> and the lack of demographic data</w:t>
      </w:r>
      <w:r w:rsidR="00AE324A">
        <w:t xml:space="preserve"> meant that we could not assess </w:t>
      </w:r>
      <w:r>
        <w:t xml:space="preserve">disparities in digital access </w:t>
      </w:r>
      <w:r w:rsidR="00AE324A">
        <w:t>that</w:t>
      </w:r>
      <w:r>
        <w:t xml:space="preserve"> might have </w:t>
      </w:r>
      <w:r w:rsidR="00633CB6">
        <w:t>influenced</w:t>
      </w:r>
      <w:r>
        <w:t xml:space="preserve"> engagement.</w:t>
      </w:r>
      <w:r w:rsidR="00B520DD">
        <w:t xml:space="preserve"> Further, we were unable to obtain outcome data for the present analysis (e.g. bodyweight, HbA1c), so we were therefore unable to establish whether usage of NHS-DDPP intervention features is associated with weight loss or improved blood glucose levels.</w:t>
      </w:r>
    </w:p>
    <w:p w14:paraId="266CDC2A" w14:textId="6165A970" w:rsidR="002127BD" w:rsidRPr="00F75DE9" w:rsidRDefault="00426C70" w:rsidP="002127BD">
      <w:pPr>
        <w:pStyle w:val="NormalWeb"/>
        <w:spacing w:before="0" w:beforeAutospacing="0" w:after="0" w:afterAutospacing="0" w:line="480" w:lineRule="auto"/>
        <w:rPr>
          <w:rFonts w:asciiTheme="minorHAnsi" w:hAnsiTheme="minorHAnsi" w:cstheme="minorHAnsi"/>
          <w:sz w:val="22"/>
          <w:szCs w:val="22"/>
        </w:rPr>
      </w:pPr>
      <w:r>
        <w:rPr>
          <w:rFonts w:asciiTheme="minorHAnsi" w:hAnsiTheme="minorHAnsi" w:cstheme="minorHAnsi"/>
          <w:b/>
          <w:bCs/>
          <w:sz w:val="22"/>
          <w:szCs w:val="22"/>
        </w:rPr>
        <w:t>4.3</w:t>
      </w:r>
      <w:r w:rsidR="00B504E8">
        <w:rPr>
          <w:rFonts w:asciiTheme="minorHAnsi" w:hAnsiTheme="minorHAnsi" w:cstheme="minorHAnsi"/>
          <w:b/>
          <w:bCs/>
          <w:sz w:val="22"/>
          <w:szCs w:val="22"/>
        </w:rPr>
        <w:t>.</w:t>
      </w:r>
      <w:r>
        <w:rPr>
          <w:rFonts w:asciiTheme="minorHAnsi" w:hAnsiTheme="minorHAnsi" w:cstheme="minorHAnsi"/>
          <w:b/>
          <w:bCs/>
          <w:sz w:val="22"/>
          <w:szCs w:val="22"/>
        </w:rPr>
        <w:t xml:space="preserve"> </w:t>
      </w:r>
      <w:r w:rsidR="002127BD" w:rsidRPr="00F75DE9">
        <w:rPr>
          <w:rFonts w:asciiTheme="minorHAnsi" w:hAnsiTheme="minorHAnsi" w:cstheme="minorHAnsi"/>
          <w:b/>
          <w:bCs/>
          <w:sz w:val="22"/>
          <w:szCs w:val="22"/>
        </w:rPr>
        <w:t>Comparison with Prior Work</w:t>
      </w:r>
    </w:p>
    <w:p w14:paraId="3946FD3E" w14:textId="239851FB" w:rsidR="002127BD" w:rsidRPr="00F75DE9" w:rsidRDefault="002127BD" w:rsidP="002127BD">
      <w:pPr>
        <w:pStyle w:val="NormalWeb"/>
        <w:spacing w:before="0" w:beforeAutospacing="0" w:after="0" w:afterAutospacing="0" w:line="480" w:lineRule="auto"/>
        <w:ind w:firstLine="360"/>
        <w:rPr>
          <w:rFonts w:asciiTheme="minorHAnsi" w:hAnsiTheme="minorHAnsi" w:cstheme="minorHAnsi"/>
          <w:sz w:val="22"/>
          <w:szCs w:val="22"/>
        </w:rPr>
      </w:pPr>
      <w:r>
        <w:rPr>
          <w:rFonts w:asciiTheme="minorHAnsi" w:hAnsiTheme="minorHAnsi" w:cstheme="minorHAnsi"/>
          <w:sz w:val="22"/>
          <w:szCs w:val="22"/>
        </w:rPr>
        <w:t>E</w:t>
      </w:r>
      <w:r w:rsidRPr="00F75DE9">
        <w:rPr>
          <w:rFonts w:asciiTheme="minorHAnsi" w:hAnsiTheme="minorHAnsi" w:cstheme="minorHAnsi"/>
          <w:sz w:val="22"/>
          <w:szCs w:val="22"/>
        </w:rPr>
        <w:t>ngagement with the NHS-DDPP in the present study follow</w:t>
      </w:r>
      <w:r w:rsidR="00633CB6">
        <w:rPr>
          <w:rFonts w:asciiTheme="minorHAnsi" w:hAnsiTheme="minorHAnsi" w:cstheme="minorHAnsi"/>
          <w:sz w:val="22"/>
          <w:szCs w:val="22"/>
        </w:rPr>
        <w:t>s</w:t>
      </w:r>
      <w:r w:rsidRPr="00F75DE9">
        <w:rPr>
          <w:rFonts w:asciiTheme="minorHAnsi" w:hAnsiTheme="minorHAnsi" w:cstheme="minorHAnsi"/>
          <w:sz w:val="22"/>
          <w:szCs w:val="22"/>
        </w:rPr>
        <w:t xml:space="preserve"> a similar usage pattern seen in trials of digital diabetes prevention programmes, including patterns of attrition [2</w:t>
      </w:r>
      <w:r w:rsidR="00183E3B">
        <w:rPr>
          <w:rFonts w:asciiTheme="minorHAnsi" w:hAnsiTheme="minorHAnsi" w:cstheme="minorHAnsi"/>
          <w:sz w:val="22"/>
          <w:szCs w:val="22"/>
        </w:rPr>
        <w:t>6, 27</w:t>
      </w:r>
      <w:r w:rsidRPr="00F75DE9">
        <w:rPr>
          <w:rFonts w:asciiTheme="minorHAnsi" w:hAnsiTheme="minorHAnsi" w:cstheme="minorHAnsi"/>
          <w:sz w:val="22"/>
          <w:szCs w:val="22"/>
        </w:rPr>
        <w:t xml:space="preserve">] and the extent and duration of which users engage with </w:t>
      </w:r>
      <w:r w:rsidR="00B25E70">
        <w:rPr>
          <w:rFonts w:asciiTheme="minorHAnsi" w:hAnsiTheme="minorHAnsi" w:cstheme="minorHAnsi"/>
          <w:sz w:val="22"/>
          <w:szCs w:val="22"/>
        </w:rPr>
        <w:t xml:space="preserve">different </w:t>
      </w:r>
      <w:r w:rsidR="00232E7A">
        <w:rPr>
          <w:rFonts w:asciiTheme="minorHAnsi" w:hAnsiTheme="minorHAnsi" w:cstheme="minorHAnsi"/>
          <w:sz w:val="22"/>
          <w:szCs w:val="22"/>
        </w:rPr>
        <w:t xml:space="preserve">intervention </w:t>
      </w:r>
      <w:r w:rsidR="00B25E70">
        <w:rPr>
          <w:rFonts w:asciiTheme="minorHAnsi" w:hAnsiTheme="minorHAnsi" w:cstheme="minorHAnsi"/>
          <w:sz w:val="22"/>
          <w:szCs w:val="22"/>
        </w:rPr>
        <w:t>features [2</w:t>
      </w:r>
      <w:r w:rsidR="00183E3B">
        <w:rPr>
          <w:rFonts w:asciiTheme="minorHAnsi" w:hAnsiTheme="minorHAnsi" w:cstheme="minorHAnsi"/>
          <w:sz w:val="22"/>
          <w:szCs w:val="22"/>
        </w:rPr>
        <w:t>5</w:t>
      </w:r>
      <w:r w:rsidRPr="00F75DE9">
        <w:rPr>
          <w:rFonts w:asciiTheme="minorHAnsi" w:hAnsiTheme="minorHAnsi" w:cstheme="minorHAnsi"/>
          <w:sz w:val="22"/>
          <w:szCs w:val="22"/>
        </w:rPr>
        <w:t>]. Drawing direct comparisons with previous interventions studied in trials are somewhat problematic due to differences in intervention dosage</w:t>
      </w:r>
      <w:r w:rsidR="00D55AD4">
        <w:rPr>
          <w:rFonts w:asciiTheme="minorHAnsi" w:hAnsiTheme="minorHAnsi" w:cstheme="minorHAnsi"/>
          <w:sz w:val="22"/>
          <w:szCs w:val="22"/>
        </w:rPr>
        <w:t xml:space="preserve">. </w:t>
      </w:r>
      <w:r w:rsidRPr="00F75DE9">
        <w:rPr>
          <w:rFonts w:asciiTheme="minorHAnsi" w:hAnsiTheme="minorHAnsi" w:cstheme="minorHAnsi"/>
          <w:sz w:val="22"/>
          <w:szCs w:val="22"/>
        </w:rPr>
        <w:t>However, the present findings suggest that patterns of usage in this target population in a nationally implemented intervention are similar to those observed in a trial sample.</w:t>
      </w:r>
      <w:r w:rsidR="008704A6">
        <w:rPr>
          <w:rFonts w:asciiTheme="minorHAnsi" w:hAnsiTheme="minorHAnsi" w:cstheme="minorHAnsi"/>
          <w:sz w:val="22"/>
          <w:szCs w:val="22"/>
        </w:rPr>
        <w:t xml:space="preserve"> </w:t>
      </w:r>
      <w:r w:rsidR="00AB2856">
        <w:rPr>
          <w:rFonts w:asciiTheme="minorHAnsi" w:hAnsiTheme="minorHAnsi" w:cstheme="minorHAnsi"/>
          <w:sz w:val="22"/>
          <w:szCs w:val="22"/>
        </w:rPr>
        <w:t>P</w:t>
      </w:r>
      <w:r w:rsidR="008704A6">
        <w:rPr>
          <w:rFonts w:asciiTheme="minorHAnsi" w:hAnsiTheme="minorHAnsi" w:cstheme="minorHAnsi"/>
          <w:sz w:val="22"/>
          <w:szCs w:val="22"/>
        </w:rPr>
        <w:t>revious research assessing engagement with th</w:t>
      </w:r>
      <w:r w:rsidR="004D4FFD">
        <w:rPr>
          <w:rFonts w:asciiTheme="minorHAnsi" w:hAnsiTheme="minorHAnsi" w:cstheme="minorHAnsi"/>
          <w:sz w:val="22"/>
          <w:szCs w:val="22"/>
        </w:rPr>
        <w:t>e face-to-face NHS-DPP</w:t>
      </w:r>
      <w:r w:rsidR="008704A6">
        <w:rPr>
          <w:rFonts w:asciiTheme="minorHAnsi" w:hAnsiTheme="minorHAnsi" w:cstheme="minorHAnsi"/>
          <w:sz w:val="22"/>
          <w:szCs w:val="22"/>
        </w:rPr>
        <w:t xml:space="preserve"> found that 34% of service users completed 60% of the programme</w:t>
      </w:r>
      <w:r w:rsidR="004D4FFD">
        <w:rPr>
          <w:rFonts w:asciiTheme="minorHAnsi" w:hAnsiTheme="minorHAnsi" w:cstheme="minorHAnsi"/>
          <w:sz w:val="22"/>
          <w:szCs w:val="22"/>
        </w:rPr>
        <w:t>,</w:t>
      </w:r>
      <w:r w:rsidR="008704A6">
        <w:rPr>
          <w:rFonts w:asciiTheme="minorHAnsi" w:hAnsiTheme="minorHAnsi" w:cstheme="minorHAnsi"/>
          <w:sz w:val="22"/>
          <w:szCs w:val="22"/>
        </w:rPr>
        <w:t xml:space="preserve"> and 22% of service users went on to complete the fu</w:t>
      </w:r>
      <w:r w:rsidR="00C118C9">
        <w:rPr>
          <w:rFonts w:asciiTheme="minorHAnsi" w:hAnsiTheme="minorHAnsi" w:cstheme="minorHAnsi"/>
          <w:sz w:val="22"/>
          <w:szCs w:val="22"/>
        </w:rPr>
        <w:t>ll course [</w:t>
      </w:r>
      <w:r w:rsidR="00183E3B">
        <w:rPr>
          <w:rFonts w:asciiTheme="minorHAnsi" w:hAnsiTheme="minorHAnsi" w:cstheme="minorHAnsi"/>
          <w:sz w:val="22"/>
          <w:szCs w:val="22"/>
        </w:rPr>
        <w:t>39</w:t>
      </w:r>
      <w:r w:rsidR="00A51E3E">
        <w:rPr>
          <w:rFonts w:asciiTheme="minorHAnsi" w:hAnsiTheme="minorHAnsi" w:cstheme="minorHAnsi"/>
          <w:sz w:val="22"/>
          <w:szCs w:val="22"/>
        </w:rPr>
        <w:t>].</w:t>
      </w:r>
      <w:r w:rsidR="008704A6">
        <w:rPr>
          <w:rFonts w:asciiTheme="minorHAnsi" w:hAnsiTheme="minorHAnsi" w:cstheme="minorHAnsi"/>
          <w:sz w:val="22"/>
          <w:szCs w:val="22"/>
        </w:rPr>
        <w:t xml:space="preserve"> Thus, engagement with the digital programme compares favourably</w:t>
      </w:r>
      <w:r w:rsidR="00ED7FA9">
        <w:rPr>
          <w:rFonts w:asciiTheme="minorHAnsi" w:hAnsiTheme="minorHAnsi" w:cstheme="minorHAnsi"/>
          <w:sz w:val="22"/>
          <w:szCs w:val="22"/>
        </w:rPr>
        <w:t>.</w:t>
      </w:r>
      <w:r w:rsidR="004D4FFD">
        <w:rPr>
          <w:rFonts w:asciiTheme="minorHAnsi" w:hAnsiTheme="minorHAnsi" w:cstheme="minorHAnsi"/>
          <w:sz w:val="22"/>
          <w:szCs w:val="22"/>
        </w:rPr>
        <w:t xml:space="preserve"> This corresponds with trial data which found </w:t>
      </w:r>
      <w:r w:rsidR="00F453A9">
        <w:rPr>
          <w:rFonts w:asciiTheme="minorHAnsi" w:hAnsiTheme="minorHAnsi" w:cstheme="minorHAnsi"/>
          <w:sz w:val="22"/>
          <w:szCs w:val="22"/>
        </w:rPr>
        <w:t>participation to be higher</w:t>
      </w:r>
      <w:r w:rsidR="004D4FFD">
        <w:rPr>
          <w:rFonts w:asciiTheme="minorHAnsi" w:hAnsiTheme="minorHAnsi" w:cstheme="minorHAnsi"/>
          <w:sz w:val="22"/>
          <w:szCs w:val="22"/>
        </w:rPr>
        <w:t xml:space="preserve"> in a digital diabetes prevention programme compared to the face-to-face alternative</w:t>
      </w:r>
      <w:r w:rsidR="00183E3B">
        <w:rPr>
          <w:rFonts w:asciiTheme="minorHAnsi" w:hAnsiTheme="minorHAnsi" w:cstheme="minorHAnsi"/>
          <w:sz w:val="22"/>
          <w:szCs w:val="22"/>
        </w:rPr>
        <w:t xml:space="preserve"> [28</w:t>
      </w:r>
      <w:r w:rsidR="00F453A9">
        <w:rPr>
          <w:rFonts w:asciiTheme="minorHAnsi" w:hAnsiTheme="minorHAnsi" w:cstheme="minorHAnsi"/>
          <w:sz w:val="22"/>
          <w:szCs w:val="22"/>
        </w:rPr>
        <w:t>].</w:t>
      </w:r>
    </w:p>
    <w:p w14:paraId="0C60637E" w14:textId="7B4AC4C8" w:rsidR="00F80766" w:rsidRDefault="002127BD" w:rsidP="00F80766">
      <w:pPr>
        <w:pStyle w:val="NormalWeb"/>
        <w:spacing w:before="0" w:beforeAutospacing="0" w:after="0" w:afterAutospacing="0" w:line="480" w:lineRule="auto"/>
        <w:ind w:firstLine="360"/>
        <w:rPr>
          <w:rFonts w:asciiTheme="minorHAnsi" w:hAnsiTheme="minorHAnsi" w:cstheme="minorHAnsi"/>
          <w:sz w:val="22"/>
          <w:szCs w:val="22"/>
        </w:rPr>
      </w:pPr>
      <w:r w:rsidRPr="00F75DE9">
        <w:rPr>
          <w:rFonts w:asciiTheme="minorHAnsi" w:hAnsiTheme="minorHAnsi" w:cstheme="minorHAnsi"/>
          <w:sz w:val="22"/>
          <w:szCs w:val="22"/>
        </w:rPr>
        <w:t>The present research suggested that engag</w:t>
      </w:r>
      <w:r w:rsidR="00F453A9">
        <w:rPr>
          <w:rFonts w:asciiTheme="minorHAnsi" w:hAnsiTheme="minorHAnsi" w:cstheme="minorHAnsi"/>
          <w:sz w:val="22"/>
          <w:szCs w:val="22"/>
        </w:rPr>
        <w:t>ement with some</w:t>
      </w:r>
      <w:r w:rsidRPr="00F75DE9">
        <w:rPr>
          <w:rFonts w:asciiTheme="minorHAnsi" w:hAnsiTheme="minorHAnsi" w:cstheme="minorHAnsi"/>
          <w:sz w:val="22"/>
          <w:szCs w:val="22"/>
        </w:rPr>
        <w:t xml:space="preserve"> intervention features </w:t>
      </w:r>
      <w:r w:rsidR="00D55AD4">
        <w:rPr>
          <w:rFonts w:asciiTheme="minorHAnsi" w:hAnsiTheme="minorHAnsi" w:cstheme="minorHAnsi"/>
          <w:sz w:val="22"/>
          <w:szCs w:val="22"/>
        </w:rPr>
        <w:t>were</w:t>
      </w:r>
      <w:r w:rsidRPr="00F75DE9">
        <w:rPr>
          <w:rFonts w:asciiTheme="minorHAnsi" w:hAnsiTheme="minorHAnsi" w:cstheme="minorHAnsi"/>
          <w:sz w:val="22"/>
          <w:szCs w:val="22"/>
        </w:rPr>
        <w:t xml:space="preserve"> </w:t>
      </w:r>
      <w:r w:rsidR="00862E2A">
        <w:rPr>
          <w:rFonts w:asciiTheme="minorHAnsi" w:hAnsiTheme="minorHAnsi" w:cstheme="minorHAnsi"/>
          <w:sz w:val="22"/>
          <w:szCs w:val="22"/>
        </w:rPr>
        <w:t>higher</w:t>
      </w:r>
      <w:r w:rsidRPr="00F75DE9">
        <w:rPr>
          <w:rFonts w:asciiTheme="minorHAnsi" w:hAnsiTheme="minorHAnsi" w:cstheme="minorHAnsi"/>
          <w:sz w:val="22"/>
          <w:szCs w:val="22"/>
        </w:rPr>
        <w:t xml:space="preserve"> </w:t>
      </w:r>
      <w:r w:rsidR="00645A65">
        <w:rPr>
          <w:rFonts w:asciiTheme="minorHAnsi" w:hAnsiTheme="minorHAnsi" w:cstheme="minorHAnsi"/>
          <w:sz w:val="22"/>
          <w:szCs w:val="22"/>
        </w:rPr>
        <w:t xml:space="preserve">when health coach support was </w:t>
      </w:r>
      <w:r w:rsidR="00862E2A">
        <w:rPr>
          <w:rFonts w:asciiTheme="minorHAnsi" w:hAnsiTheme="minorHAnsi" w:cstheme="minorHAnsi"/>
          <w:sz w:val="22"/>
          <w:szCs w:val="22"/>
        </w:rPr>
        <w:t>linked to those specific features. For example, the provider programme that offered monthly telephone calls</w:t>
      </w:r>
      <w:r w:rsidR="00057534">
        <w:rPr>
          <w:rFonts w:asciiTheme="minorHAnsi" w:hAnsiTheme="minorHAnsi" w:cstheme="minorHAnsi"/>
          <w:sz w:val="22"/>
          <w:szCs w:val="22"/>
        </w:rPr>
        <w:t xml:space="preserve"> with a health coach</w:t>
      </w:r>
      <w:r w:rsidR="00862E2A">
        <w:rPr>
          <w:rFonts w:asciiTheme="minorHAnsi" w:hAnsiTheme="minorHAnsi" w:cstheme="minorHAnsi"/>
          <w:sz w:val="22"/>
          <w:szCs w:val="22"/>
        </w:rPr>
        <w:t xml:space="preserve"> </w:t>
      </w:r>
      <w:r w:rsidR="001A094E">
        <w:rPr>
          <w:rFonts w:asciiTheme="minorHAnsi" w:hAnsiTheme="minorHAnsi" w:cstheme="minorHAnsi"/>
          <w:sz w:val="22"/>
          <w:szCs w:val="22"/>
        </w:rPr>
        <w:t xml:space="preserve">where users could review their progress </w:t>
      </w:r>
      <w:r w:rsidR="00862E2A">
        <w:rPr>
          <w:rFonts w:asciiTheme="minorHAnsi" w:hAnsiTheme="minorHAnsi" w:cstheme="minorHAnsi"/>
          <w:sz w:val="22"/>
          <w:szCs w:val="22"/>
        </w:rPr>
        <w:t>was also the programme where users set and amended the highest number of goals. This highlights</w:t>
      </w:r>
      <w:r w:rsidRPr="00F75DE9">
        <w:rPr>
          <w:rFonts w:asciiTheme="minorHAnsi" w:hAnsiTheme="minorHAnsi" w:cstheme="minorHAnsi"/>
          <w:sz w:val="22"/>
          <w:szCs w:val="22"/>
        </w:rPr>
        <w:t xml:space="preserve"> the health coach’s role in keeping users engaged and</w:t>
      </w:r>
      <w:r w:rsidR="00200666">
        <w:rPr>
          <w:rFonts w:asciiTheme="minorHAnsi" w:hAnsiTheme="minorHAnsi" w:cstheme="minorHAnsi"/>
          <w:sz w:val="22"/>
          <w:szCs w:val="22"/>
        </w:rPr>
        <w:t xml:space="preserve"> accountable [2</w:t>
      </w:r>
      <w:r w:rsidR="00183E3B">
        <w:rPr>
          <w:rFonts w:asciiTheme="minorHAnsi" w:hAnsiTheme="minorHAnsi" w:cstheme="minorHAnsi"/>
          <w:sz w:val="22"/>
          <w:szCs w:val="22"/>
        </w:rPr>
        <w:t>4</w:t>
      </w:r>
      <w:r w:rsidRPr="00F75DE9">
        <w:rPr>
          <w:rFonts w:asciiTheme="minorHAnsi" w:hAnsiTheme="minorHAnsi" w:cstheme="minorHAnsi"/>
          <w:sz w:val="22"/>
          <w:szCs w:val="22"/>
        </w:rPr>
        <w:t>].</w:t>
      </w:r>
      <w:r w:rsidR="00862E2A">
        <w:rPr>
          <w:rFonts w:asciiTheme="minorHAnsi" w:hAnsiTheme="minorHAnsi" w:cstheme="minorHAnsi"/>
          <w:sz w:val="22"/>
          <w:szCs w:val="22"/>
        </w:rPr>
        <w:t xml:space="preserve"> Interviews</w:t>
      </w:r>
      <w:r w:rsidR="003C5EF4">
        <w:rPr>
          <w:rFonts w:asciiTheme="minorHAnsi" w:hAnsiTheme="minorHAnsi" w:cstheme="minorHAnsi"/>
          <w:sz w:val="22"/>
          <w:szCs w:val="22"/>
        </w:rPr>
        <w:t xml:space="preserve"> with </w:t>
      </w:r>
      <w:r w:rsidR="003C5EF4">
        <w:rPr>
          <w:rFonts w:asciiTheme="minorHAnsi" w:hAnsiTheme="minorHAnsi" w:cstheme="minorHAnsi"/>
          <w:sz w:val="22"/>
          <w:szCs w:val="22"/>
        </w:rPr>
        <w:lastRenderedPageBreak/>
        <w:t>users on the NHS-DDPP</w:t>
      </w:r>
      <w:r w:rsidR="00862E2A">
        <w:rPr>
          <w:rFonts w:asciiTheme="minorHAnsi" w:hAnsiTheme="minorHAnsi" w:cstheme="minorHAnsi"/>
          <w:sz w:val="22"/>
          <w:szCs w:val="22"/>
        </w:rPr>
        <w:t xml:space="preserve"> found that health coaches </w:t>
      </w:r>
      <w:r w:rsidR="003C5EF4">
        <w:rPr>
          <w:rFonts w:asciiTheme="minorHAnsi" w:hAnsiTheme="minorHAnsi" w:cstheme="minorHAnsi"/>
          <w:sz w:val="22"/>
          <w:szCs w:val="22"/>
        </w:rPr>
        <w:t>provided them with person-centred support</w:t>
      </w:r>
      <w:r w:rsidR="003D1726">
        <w:rPr>
          <w:rFonts w:asciiTheme="minorHAnsi" w:hAnsiTheme="minorHAnsi" w:cstheme="minorHAnsi"/>
          <w:sz w:val="22"/>
          <w:szCs w:val="22"/>
        </w:rPr>
        <w:t>,</w:t>
      </w:r>
      <w:r w:rsidR="003C5EF4">
        <w:rPr>
          <w:rFonts w:asciiTheme="minorHAnsi" w:hAnsiTheme="minorHAnsi" w:cstheme="minorHAnsi"/>
          <w:sz w:val="22"/>
          <w:szCs w:val="22"/>
        </w:rPr>
        <w:t xml:space="preserve"> and coaching was instrumental in helping them to understand and use BCTs such as goal setting and receiving feedback on behaviours</w:t>
      </w:r>
      <w:r w:rsidR="00183E3B">
        <w:rPr>
          <w:rFonts w:asciiTheme="minorHAnsi" w:hAnsiTheme="minorHAnsi" w:cstheme="minorHAnsi"/>
          <w:sz w:val="22"/>
          <w:szCs w:val="22"/>
        </w:rPr>
        <w:t xml:space="preserve"> they had monitored [40</w:t>
      </w:r>
      <w:r w:rsidR="003C5EF4">
        <w:rPr>
          <w:rFonts w:asciiTheme="minorHAnsi" w:hAnsiTheme="minorHAnsi" w:cstheme="minorHAnsi"/>
          <w:sz w:val="22"/>
          <w:szCs w:val="22"/>
        </w:rPr>
        <w:t>]</w:t>
      </w:r>
      <w:r w:rsidR="00862E2A">
        <w:rPr>
          <w:rFonts w:asciiTheme="minorHAnsi" w:hAnsiTheme="minorHAnsi" w:cstheme="minorHAnsi"/>
          <w:sz w:val="22"/>
          <w:szCs w:val="22"/>
        </w:rPr>
        <w:t>, which could explain the current findings.</w:t>
      </w:r>
      <w:r w:rsidR="00EA060C">
        <w:rPr>
          <w:rFonts w:asciiTheme="minorHAnsi" w:hAnsiTheme="minorHAnsi" w:cstheme="minorHAnsi"/>
          <w:sz w:val="22"/>
          <w:szCs w:val="22"/>
        </w:rPr>
        <w:t xml:space="preserve"> </w:t>
      </w:r>
      <w:r w:rsidR="000D6DAA">
        <w:rPr>
          <w:rFonts w:asciiTheme="minorHAnsi" w:hAnsiTheme="minorHAnsi" w:cstheme="minorHAnsi"/>
          <w:sz w:val="22"/>
          <w:szCs w:val="22"/>
        </w:rPr>
        <w:t xml:space="preserve">Previous research </w:t>
      </w:r>
      <w:r w:rsidR="000D6DAA">
        <w:rPr>
          <w:rFonts w:asciiTheme="minorHAnsi" w:hAnsiTheme="minorHAnsi" w:cstheme="minorHAnsi"/>
          <w:sz w:val="22"/>
          <w:szCs w:val="22"/>
          <w:shd w:val="clear" w:color="auto" w:fill="FFFFFF"/>
        </w:rPr>
        <w:t>also found that interaction with</w:t>
      </w:r>
      <w:r w:rsidRPr="00F75DE9">
        <w:rPr>
          <w:rFonts w:asciiTheme="minorHAnsi" w:hAnsiTheme="minorHAnsi" w:cstheme="minorHAnsi"/>
          <w:sz w:val="22"/>
          <w:szCs w:val="22"/>
          <w:shd w:val="clear" w:color="auto" w:fill="FFFFFF"/>
        </w:rPr>
        <w:t xml:space="preserve"> health coach</w:t>
      </w:r>
      <w:r w:rsidR="000D6DAA">
        <w:rPr>
          <w:rFonts w:asciiTheme="minorHAnsi" w:hAnsiTheme="minorHAnsi" w:cstheme="minorHAnsi"/>
          <w:sz w:val="22"/>
          <w:szCs w:val="22"/>
          <w:shd w:val="clear" w:color="auto" w:fill="FFFFFF"/>
        </w:rPr>
        <w:t>es</w:t>
      </w:r>
      <w:r w:rsidRPr="00F75DE9">
        <w:rPr>
          <w:rFonts w:asciiTheme="minorHAnsi" w:hAnsiTheme="minorHAnsi" w:cstheme="minorHAnsi"/>
          <w:sz w:val="22"/>
          <w:szCs w:val="22"/>
          <w:shd w:val="clear" w:color="auto" w:fill="FFFFFF"/>
        </w:rPr>
        <w:t xml:space="preserve"> </w:t>
      </w:r>
      <w:r w:rsidR="000D6DAA">
        <w:rPr>
          <w:rFonts w:asciiTheme="minorHAnsi" w:hAnsiTheme="minorHAnsi" w:cstheme="minorHAnsi"/>
          <w:sz w:val="22"/>
          <w:szCs w:val="22"/>
          <w:shd w:val="clear" w:color="auto" w:fill="FFFFFF"/>
        </w:rPr>
        <w:t>increased</w:t>
      </w:r>
      <w:r w:rsidRPr="00F75DE9">
        <w:rPr>
          <w:rFonts w:asciiTheme="minorHAnsi" w:hAnsiTheme="minorHAnsi" w:cstheme="minorHAnsi"/>
          <w:sz w:val="22"/>
          <w:szCs w:val="22"/>
          <w:shd w:val="clear" w:color="auto" w:fill="FFFFFF"/>
        </w:rPr>
        <w:t xml:space="preserve"> engagement with self-monitoring and was associated</w:t>
      </w:r>
      <w:r w:rsidR="004F2453">
        <w:rPr>
          <w:rFonts w:asciiTheme="minorHAnsi" w:hAnsiTheme="minorHAnsi" w:cstheme="minorHAnsi"/>
          <w:sz w:val="22"/>
          <w:szCs w:val="22"/>
          <w:shd w:val="clear" w:color="auto" w:fill="FFFFFF"/>
        </w:rPr>
        <w:t xml:space="preserve"> with subsequent weight loss</w:t>
      </w:r>
      <w:r w:rsidR="000D6DAA">
        <w:rPr>
          <w:rFonts w:asciiTheme="minorHAnsi" w:hAnsiTheme="minorHAnsi" w:cstheme="minorHAnsi"/>
          <w:sz w:val="22"/>
          <w:szCs w:val="22"/>
          <w:shd w:val="clear" w:color="auto" w:fill="FFFFFF"/>
        </w:rPr>
        <w:t xml:space="preserve"> in a digital diabetes prevention programme</w:t>
      </w:r>
      <w:r w:rsidR="00183E3B">
        <w:rPr>
          <w:rFonts w:asciiTheme="minorHAnsi" w:hAnsiTheme="minorHAnsi" w:cstheme="minorHAnsi"/>
          <w:sz w:val="22"/>
          <w:szCs w:val="22"/>
          <w:shd w:val="clear" w:color="auto" w:fill="FFFFFF"/>
        </w:rPr>
        <w:t xml:space="preserve"> [29</w:t>
      </w:r>
      <w:r w:rsidRPr="00F75DE9">
        <w:rPr>
          <w:rFonts w:asciiTheme="minorHAnsi" w:hAnsiTheme="minorHAnsi" w:cstheme="minorHAnsi"/>
          <w:sz w:val="22"/>
          <w:szCs w:val="22"/>
          <w:shd w:val="clear" w:color="auto" w:fill="FFFFFF"/>
        </w:rPr>
        <w:t>].</w:t>
      </w:r>
      <w:r w:rsidRPr="00F75DE9">
        <w:rPr>
          <w:rFonts w:asciiTheme="minorHAnsi" w:hAnsiTheme="minorHAnsi" w:cstheme="minorHAnsi"/>
          <w:sz w:val="22"/>
          <w:szCs w:val="22"/>
        </w:rPr>
        <w:t xml:space="preserve"> Both results are in line </w:t>
      </w:r>
      <w:r w:rsidR="009959D0">
        <w:rPr>
          <w:rFonts w:asciiTheme="minorHAnsi" w:hAnsiTheme="minorHAnsi" w:cstheme="minorHAnsi"/>
          <w:sz w:val="22"/>
          <w:szCs w:val="22"/>
        </w:rPr>
        <w:t>with</w:t>
      </w:r>
      <w:r w:rsidR="00195312">
        <w:rPr>
          <w:rFonts w:asciiTheme="minorHAnsi" w:hAnsiTheme="minorHAnsi" w:cstheme="minorHAnsi"/>
          <w:sz w:val="22"/>
          <w:szCs w:val="22"/>
        </w:rPr>
        <w:t xml:space="preserve"> systematic</w:t>
      </w:r>
      <w:r w:rsidR="009959D0">
        <w:rPr>
          <w:rFonts w:asciiTheme="minorHAnsi" w:hAnsiTheme="minorHAnsi" w:cstheme="minorHAnsi"/>
          <w:sz w:val="22"/>
          <w:szCs w:val="22"/>
        </w:rPr>
        <w:t xml:space="preserve"> </w:t>
      </w:r>
      <w:r w:rsidRPr="00F75DE9">
        <w:rPr>
          <w:rFonts w:asciiTheme="minorHAnsi" w:hAnsiTheme="minorHAnsi" w:cstheme="minorHAnsi"/>
          <w:sz w:val="22"/>
          <w:szCs w:val="22"/>
        </w:rPr>
        <w:t xml:space="preserve">reviews which have found that </w:t>
      </w:r>
      <w:r w:rsidR="009959D0">
        <w:rPr>
          <w:rFonts w:asciiTheme="minorHAnsi" w:hAnsiTheme="minorHAnsi" w:cstheme="minorHAnsi"/>
          <w:sz w:val="22"/>
          <w:szCs w:val="22"/>
        </w:rPr>
        <w:t>human-delivered support</w:t>
      </w:r>
      <w:r w:rsidRPr="00F75DE9">
        <w:rPr>
          <w:rFonts w:asciiTheme="minorHAnsi" w:hAnsiTheme="minorHAnsi" w:cstheme="minorHAnsi"/>
          <w:sz w:val="22"/>
          <w:szCs w:val="22"/>
        </w:rPr>
        <w:t xml:space="preserve"> can positively influence engagement with digital be</w:t>
      </w:r>
      <w:r w:rsidR="00A51E3E">
        <w:rPr>
          <w:rFonts w:asciiTheme="minorHAnsi" w:hAnsiTheme="minorHAnsi" w:cstheme="minorHAnsi"/>
          <w:sz w:val="22"/>
          <w:szCs w:val="22"/>
        </w:rPr>
        <w:t>haviour cha</w:t>
      </w:r>
      <w:r w:rsidR="005446DF">
        <w:rPr>
          <w:rFonts w:asciiTheme="minorHAnsi" w:hAnsiTheme="minorHAnsi" w:cstheme="minorHAnsi"/>
          <w:sz w:val="22"/>
          <w:szCs w:val="22"/>
        </w:rPr>
        <w:t>nge interventions [4</w:t>
      </w:r>
      <w:r w:rsidR="00183E3B">
        <w:rPr>
          <w:rFonts w:asciiTheme="minorHAnsi" w:hAnsiTheme="minorHAnsi" w:cstheme="minorHAnsi"/>
          <w:sz w:val="22"/>
          <w:szCs w:val="22"/>
        </w:rPr>
        <w:t>1], promote weight loss [42, 43</w:t>
      </w:r>
      <w:r w:rsidRPr="00F75DE9">
        <w:rPr>
          <w:rFonts w:asciiTheme="minorHAnsi" w:hAnsiTheme="minorHAnsi" w:cstheme="minorHAnsi"/>
          <w:sz w:val="22"/>
          <w:szCs w:val="22"/>
        </w:rPr>
        <w:t>]</w:t>
      </w:r>
      <w:r w:rsidR="00F95532">
        <w:rPr>
          <w:rFonts w:asciiTheme="minorHAnsi" w:hAnsiTheme="minorHAnsi" w:cstheme="minorHAnsi"/>
          <w:sz w:val="22"/>
          <w:szCs w:val="22"/>
        </w:rPr>
        <w:t>,</w:t>
      </w:r>
      <w:r w:rsidRPr="00F75DE9">
        <w:rPr>
          <w:rFonts w:asciiTheme="minorHAnsi" w:hAnsiTheme="minorHAnsi" w:cstheme="minorHAnsi"/>
          <w:sz w:val="22"/>
          <w:szCs w:val="22"/>
        </w:rPr>
        <w:t xml:space="preserve"> and</w:t>
      </w:r>
      <w:r w:rsidR="00F95532">
        <w:rPr>
          <w:rFonts w:asciiTheme="minorHAnsi" w:hAnsiTheme="minorHAnsi" w:cstheme="minorHAnsi"/>
          <w:sz w:val="22"/>
          <w:szCs w:val="22"/>
        </w:rPr>
        <w:t xml:space="preserve"> </w:t>
      </w:r>
      <w:r w:rsidR="00721B79">
        <w:rPr>
          <w:rFonts w:asciiTheme="minorHAnsi" w:hAnsiTheme="minorHAnsi" w:cstheme="minorHAnsi"/>
          <w:sz w:val="22"/>
          <w:szCs w:val="22"/>
        </w:rPr>
        <w:t>increase</w:t>
      </w:r>
      <w:r w:rsidRPr="00F75DE9">
        <w:rPr>
          <w:rFonts w:asciiTheme="minorHAnsi" w:hAnsiTheme="minorHAnsi" w:cstheme="minorHAnsi"/>
          <w:sz w:val="22"/>
          <w:szCs w:val="22"/>
        </w:rPr>
        <w:t xml:space="preserve"> adherence wi</w:t>
      </w:r>
      <w:r w:rsidR="009959D0">
        <w:rPr>
          <w:rFonts w:asciiTheme="minorHAnsi" w:hAnsiTheme="minorHAnsi" w:cstheme="minorHAnsi"/>
          <w:sz w:val="22"/>
          <w:szCs w:val="22"/>
        </w:rPr>
        <w:t>th m</w:t>
      </w:r>
      <w:r w:rsidR="00183E3B">
        <w:rPr>
          <w:rFonts w:asciiTheme="minorHAnsi" w:hAnsiTheme="minorHAnsi" w:cstheme="minorHAnsi"/>
          <w:sz w:val="22"/>
          <w:szCs w:val="22"/>
        </w:rPr>
        <w:t>Health app interventions [44</w:t>
      </w:r>
      <w:r w:rsidRPr="00F75DE9">
        <w:rPr>
          <w:rFonts w:asciiTheme="minorHAnsi" w:hAnsiTheme="minorHAnsi" w:cstheme="minorHAnsi"/>
          <w:sz w:val="22"/>
          <w:szCs w:val="22"/>
        </w:rPr>
        <w:t>].</w:t>
      </w:r>
    </w:p>
    <w:p w14:paraId="5388135B" w14:textId="33FF0C7D" w:rsidR="002127BD" w:rsidRPr="00F75DE9" w:rsidRDefault="00BA0697" w:rsidP="002127BD">
      <w:pPr>
        <w:pStyle w:val="NormalWeb"/>
        <w:spacing w:before="0" w:beforeAutospacing="0" w:after="0" w:afterAutospacing="0" w:line="480" w:lineRule="auto"/>
        <w:ind w:firstLine="360"/>
        <w:rPr>
          <w:rFonts w:asciiTheme="minorHAnsi" w:hAnsiTheme="minorHAnsi" w:cstheme="minorHAnsi"/>
          <w:sz w:val="22"/>
          <w:szCs w:val="22"/>
        </w:rPr>
      </w:pPr>
      <w:r>
        <w:rPr>
          <w:rFonts w:asciiTheme="minorHAnsi" w:hAnsiTheme="minorHAnsi" w:cstheme="minorHAnsi"/>
          <w:sz w:val="22"/>
          <w:szCs w:val="22"/>
        </w:rPr>
        <w:t>However</w:t>
      </w:r>
      <w:r w:rsidR="000D6DAA">
        <w:rPr>
          <w:rFonts w:asciiTheme="minorHAnsi" w:hAnsiTheme="minorHAnsi" w:cstheme="minorHAnsi"/>
          <w:sz w:val="22"/>
          <w:szCs w:val="22"/>
        </w:rPr>
        <w:t>,</w:t>
      </w:r>
      <w:r w:rsidR="00721B79" w:rsidRPr="00F75DE9">
        <w:rPr>
          <w:rFonts w:asciiTheme="minorHAnsi" w:hAnsiTheme="minorHAnsi" w:cstheme="minorHAnsi"/>
          <w:sz w:val="22"/>
          <w:szCs w:val="22"/>
        </w:rPr>
        <w:t xml:space="preserve"> </w:t>
      </w:r>
      <w:r w:rsidR="002127BD" w:rsidRPr="00F75DE9">
        <w:rPr>
          <w:rFonts w:asciiTheme="minorHAnsi" w:hAnsiTheme="minorHAnsi" w:cstheme="minorHAnsi"/>
          <w:sz w:val="22"/>
          <w:szCs w:val="22"/>
        </w:rPr>
        <w:t>users were not engaging with the open group discussion forums on the NHS-DDPP</w:t>
      </w:r>
      <w:r w:rsidR="00FB4145">
        <w:rPr>
          <w:rFonts w:asciiTheme="minorHAnsi" w:hAnsiTheme="minorHAnsi" w:cstheme="minorHAnsi"/>
          <w:sz w:val="22"/>
          <w:szCs w:val="22"/>
        </w:rPr>
        <w:t>.</w:t>
      </w:r>
      <w:r w:rsidR="00FB4145" w:rsidRPr="00FB4145">
        <w:rPr>
          <w:rFonts w:asciiTheme="minorHAnsi" w:hAnsiTheme="minorHAnsi" w:cstheme="minorHAnsi"/>
          <w:sz w:val="22"/>
          <w:szCs w:val="22"/>
        </w:rPr>
        <w:t xml:space="preserve"> </w:t>
      </w:r>
      <w:r w:rsidR="00FB4145">
        <w:rPr>
          <w:rFonts w:asciiTheme="minorHAnsi" w:hAnsiTheme="minorHAnsi" w:cstheme="minorHAnsi"/>
          <w:sz w:val="22"/>
          <w:szCs w:val="22"/>
        </w:rPr>
        <w:t>On the one hand, evidence has found group support to be a predictor of weight loss in digital diabetes prevention programmes</w:t>
      </w:r>
      <w:r w:rsidR="00B520DD">
        <w:rPr>
          <w:rFonts w:asciiTheme="minorHAnsi" w:hAnsiTheme="minorHAnsi" w:cstheme="minorHAnsi"/>
          <w:sz w:val="22"/>
          <w:szCs w:val="22"/>
        </w:rPr>
        <w:t xml:space="preserve"> </w:t>
      </w:r>
      <w:r w:rsidR="00183E3B">
        <w:rPr>
          <w:rFonts w:asciiTheme="minorHAnsi" w:hAnsiTheme="minorHAnsi" w:cstheme="minorHAnsi"/>
          <w:sz w:val="22"/>
          <w:szCs w:val="22"/>
        </w:rPr>
        <w:t>[31</w:t>
      </w:r>
      <w:r w:rsidR="00B520DD">
        <w:rPr>
          <w:rFonts w:asciiTheme="minorHAnsi" w:hAnsiTheme="minorHAnsi" w:cstheme="minorHAnsi"/>
          <w:sz w:val="22"/>
          <w:szCs w:val="22"/>
        </w:rPr>
        <w:t>,</w:t>
      </w:r>
      <w:r w:rsidR="00ED7FA9">
        <w:rPr>
          <w:rFonts w:asciiTheme="minorHAnsi" w:hAnsiTheme="minorHAnsi" w:cstheme="minorHAnsi"/>
          <w:sz w:val="22"/>
          <w:szCs w:val="22"/>
        </w:rPr>
        <w:t xml:space="preserve"> </w:t>
      </w:r>
      <w:r w:rsidR="00200666">
        <w:rPr>
          <w:rFonts w:asciiTheme="minorHAnsi" w:hAnsiTheme="minorHAnsi" w:cstheme="minorHAnsi"/>
          <w:sz w:val="22"/>
          <w:szCs w:val="22"/>
        </w:rPr>
        <w:t>4</w:t>
      </w:r>
      <w:r w:rsidR="00183E3B">
        <w:rPr>
          <w:rFonts w:asciiTheme="minorHAnsi" w:hAnsiTheme="minorHAnsi" w:cstheme="minorHAnsi"/>
          <w:sz w:val="22"/>
          <w:szCs w:val="22"/>
        </w:rPr>
        <w:t>5</w:t>
      </w:r>
      <w:r w:rsidR="00ED7FA9">
        <w:rPr>
          <w:rFonts w:asciiTheme="minorHAnsi" w:hAnsiTheme="minorHAnsi" w:cstheme="minorHAnsi"/>
          <w:sz w:val="22"/>
          <w:szCs w:val="22"/>
        </w:rPr>
        <w:t xml:space="preserve">, </w:t>
      </w:r>
      <w:r w:rsidR="009959D0">
        <w:rPr>
          <w:rFonts w:asciiTheme="minorHAnsi" w:hAnsiTheme="minorHAnsi" w:cstheme="minorHAnsi"/>
          <w:sz w:val="22"/>
          <w:szCs w:val="22"/>
        </w:rPr>
        <w:t>4</w:t>
      </w:r>
      <w:r w:rsidR="00183E3B">
        <w:rPr>
          <w:rFonts w:asciiTheme="minorHAnsi" w:hAnsiTheme="minorHAnsi" w:cstheme="minorHAnsi"/>
          <w:sz w:val="22"/>
          <w:szCs w:val="22"/>
        </w:rPr>
        <w:t>6</w:t>
      </w:r>
      <w:r w:rsidR="00FB4145">
        <w:rPr>
          <w:rFonts w:asciiTheme="minorHAnsi" w:hAnsiTheme="minorHAnsi" w:cstheme="minorHAnsi"/>
          <w:sz w:val="22"/>
          <w:szCs w:val="22"/>
        </w:rPr>
        <w:t xml:space="preserve">]. </w:t>
      </w:r>
      <w:r w:rsidR="00F95532">
        <w:rPr>
          <w:rFonts w:asciiTheme="minorHAnsi" w:hAnsiTheme="minorHAnsi" w:cstheme="minorHAnsi"/>
          <w:sz w:val="22"/>
          <w:szCs w:val="22"/>
        </w:rPr>
        <w:t>Additionally, a</w:t>
      </w:r>
      <w:r w:rsidR="0033192A">
        <w:rPr>
          <w:rFonts w:asciiTheme="minorHAnsi" w:hAnsiTheme="minorHAnsi" w:cstheme="minorHAnsi"/>
          <w:sz w:val="22"/>
          <w:szCs w:val="22"/>
        </w:rPr>
        <w:t xml:space="preserve">ccess to peer support was associated with a significantly greater weight reduction at 12 months in a recent evaluation of the pilot NHS-DDPP [15]. </w:t>
      </w:r>
      <w:r w:rsidR="00B520DD">
        <w:rPr>
          <w:rFonts w:asciiTheme="minorHAnsi" w:hAnsiTheme="minorHAnsi" w:cstheme="minorHAnsi"/>
          <w:sz w:val="22"/>
          <w:szCs w:val="22"/>
        </w:rPr>
        <w:t>O</w:t>
      </w:r>
      <w:r w:rsidR="00FB4145">
        <w:rPr>
          <w:rFonts w:asciiTheme="minorHAnsi" w:hAnsiTheme="minorHAnsi" w:cstheme="minorHAnsi"/>
          <w:sz w:val="22"/>
          <w:szCs w:val="22"/>
        </w:rPr>
        <w:t>n the other hand, people</w:t>
      </w:r>
      <w:r w:rsidR="0033192A">
        <w:rPr>
          <w:rFonts w:asciiTheme="minorHAnsi" w:hAnsiTheme="minorHAnsi" w:cstheme="minorHAnsi"/>
          <w:sz w:val="22"/>
          <w:szCs w:val="22"/>
        </w:rPr>
        <w:t xml:space="preserve"> on the NHS-DDPP</w:t>
      </w:r>
      <w:r w:rsidR="00FB4145">
        <w:rPr>
          <w:rFonts w:asciiTheme="minorHAnsi" w:hAnsiTheme="minorHAnsi" w:cstheme="minorHAnsi"/>
          <w:sz w:val="22"/>
          <w:szCs w:val="22"/>
        </w:rPr>
        <w:t xml:space="preserve"> report to opt for digital programmes because they do not like </w:t>
      </w:r>
      <w:r w:rsidR="003B510C">
        <w:rPr>
          <w:rFonts w:asciiTheme="minorHAnsi" w:hAnsiTheme="minorHAnsi" w:cstheme="minorHAnsi"/>
          <w:sz w:val="22"/>
          <w:szCs w:val="22"/>
        </w:rPr>
        <w:t>the group</w:t>
      </w:r>
      <w:r w:rsidR="00FB4145">
        <w:rPr>
          <w:rFonts w:asciiTheme="minorHAnsi" w:hAnsiTheme="minorHAnsi" w:cstheme="minorHAnsi"/>
          <w:sz w:val="22"/>
          <w:szCs w:val="22"/>
        </w:rPr>
        <w:t xml:space="preserve"> aspect</w:t>
      </w:r>
      <w:r w:rsidR="005446DF">
        <w:rPr>
          <w:rFonts w:asciiTheme="minorHAnsi" w:hAnsiTheme="minorHAnsi" w:cstheme="minorHAnsi"/>
          <w:sz w:val="22"/>
          <w:szCs w:val="22"/>
        </w:rPr>
        <w:t xml:space="preserve"> [4</w:t>
      </w:r>
      <w:r w:rsidR="00183E3B">
        <w:rPr>
          <w:rFonts w:asciiTheme="minorHAnsi" w:hAnsiTheme="minorHAnsi" w:cstheme="minorHAnsi"/>
          <w:sz w:val="22"/>
          <w:szCs w:val="22"/>
        </w:rPr>
        <w:t>7</w:t>
      </w:r>
      <w:r w:rsidR="00FB4145">
        <w:rPr>
          <w:rFonts w:asciiTheme="minorHAnsi" w:hAnsiTheme="minorHAnsi" w:cstheme="minorHAnsi"/>
          <w:sz w:val="22"/>
          <w:szCs w:val="22"/>
        </w:rPr>
        <w:t>]</w:t>
      </w:r>
      <w:r w:rsidR="00B520DD">
        <w:rPr>
          <w:rFonts w:asciiTheme="minorHAnsi" w:hAnsiTheme="minorHAnsi" w:cstheme="minorHAnsi"/>
          <w:sz w:val="22"/>
          <w:szCs w:val="22"/>
        </w:rPr>
        <w:t>, and</w:t>
      </w:r>
      <w:r w:rsidR="00A51E3E">
        <w:rPr>
          <w:rFonts w:asciiTheme="minorHAnsi" w:hAnsiTheme="minorHAnsi" w:cstheme="minorHAnsi"/>
          <w:sz w:val="22"/>
          <w:szCs w:val="22"/>
        </w:rPr>
        <w:t xml:space="preserve"> </w:t>
      </w:r>
      <w:r w:rsidR="002127BD" w:rsidRPr="00F75DE9">
        <w:rPr>
          <w:rFonts w:asciiTheme="minorHAnsi" w:hAnsiTheme="minorHAnsi" w:cstheme="minorHAnsi"/>
          <w:sz w:val="22"/>
          <w:szCs w:val="22"/>
        </w:rPr>
        <w:t>these larger online networks (akin to social media) may lack the ‘critical mass’ to deliver sufficient personalised support</w:t>
      </w:r>
      <w:r w:rsidR="004D4FFD">
        <w:rPr>
          <w:rFonts w:asciiTheme="minorHAnsi" w:hAnsiTheme="minorHAnsi" w:cstheme="minorHAnsi"/>
          <w:sz w:val="22"/>
          <w:szCs w:val="22"/>
        </w:rPr>
        <w:t xml:space="preserve"> [4</w:t>
      </w:r>
      <w:r w:rsidR="00183E3B">
        <w:rPr>
          <w:rFonts w:asciiTheme="minorHAnsi" w:hAnsiTheme="minorHAnsi" w:cstheme="minorHAnsi"/>
          <w:sz w:val="22"/>
          <w:szCs w:val="22"/>
        </w:rPr>
        <w:t>8</w:t>
      </w:r>
      <w:r w:rsidR="000D6DAA">
        <w:rPr>
          <w:rFonts w:asciiTheme="minorHAnsi" w:hAnsiTheme="minorHAnsi" w:cstheme="minorHAnsi"/>
          <w:sz w:val="22"/>
          <w:szCs w:val="22"/>
        </w:rPr>
        <w:t>]</w:t>
      </w:r>
      <w:r w:rsidR="00FB4145">
        <w:rPr>
          <w:rFonts w:asciiTheme="minorHAnsi" w:hAnsiTheme="minorHAnsi" w:cstheme="minorHAnsi"/>
          <w:sz w:val="22"/>
          <w:szCs w:val="22"/>
        </w:rPr>
        <w:t xml:space="preserve">. This may </w:t>
      </w:r>
      <w:r w:rsidR="002127BD" w:rsidRPr="00F75DE9">
        <w:rPr>
          <w:rFonts w:asciiTheme="minorHAnsi" w:hAnsiTheme="minorHAnsi" w:cstheme="minorHAnsi"/>
          <w:sz w:val="22"/>
          <w:szCs w:val="22"/>
        </w:rPr>
        <w:t xml:space="preserve">explain why users on the provider programme who offered closed peer group support moderated by a health coach showed higher engagement with this </w:t>
      </w:r>
      <w:r w:rsidR="00C62743">
        <w:rPr>
          <w:rFonts w:asciiTheme="minorHAnsi" w:hAnsiTheme="minorHAnsi" w:cstheme="minorHAnsi"/>
          <w:sz w:val="22"/>
          <w:szCs w:val="22"/>
        </w:rPr>
        <w:t>intervention</w:t>
      </w:r>
      <w:r w:rsidR="002127BD" w:rsidRPr="00F75DE9">
        <w:rPr>
          <w:rFonts w:asciiTheme="minorHAnsi" w:hAnsiTheme="minorHAnsi" w:cstheme="minorHAnsi"/>
          <w:sz w:val="22"/>
          <w:szCs w:val="22"/>
        </w:rPr>
        <w:t xml:space="preserve"> feature</w:t>
      </w:r>
      <w:r w:rsidR="00721B79">
        <w:rPr>
          <w:rFonts w:asciiTheme="minorHAnsi" w:hAnsiTheme="minorHAnsi" w:cstheme="minorHAnsi"/>
          <w:sz w:val="22"/>
          <w:szCs w:val="22"/>
        </w:rPr>
        <w:t xml:space="preserve"> in the current analysis.</w:t>
      </w:r>
    </w:p>
    <w:p w14:paraId="265B6253" w14:textId="3F728DB4" w:rsidR="002127BD" w:rsidRPr="00F75DE9" w:rsidRDefault="00426C70" w:rsidP="002127BD">
      <w:pPr>
        <w:pStyle w:val="NormalWeb"/>
        <w:spacing w:before="0" w:beforeAutospacing="0" w:after="0" w:afterAutospacing="0" w:line="480" w:lineRule="auto"/>
        <w:rPr>
          <w:rFonts w:asciiTheme="minorHAnsi" w:hAnsiTheme="minorHAnsi" w:cstheme="minorHAnsi"/>
          <w:sz w:val="22"/>
          <w:szCs w:val="22"/>
        </w:rPr>
      </w:pPr>
      <w:r>
        <w:rPr>
          <w:rFonts w:asciiTheme="minorHAnsi" w:hAnsiTheme="minorHAnsi" w:cstheme="minorHAnsi"/>
          <w:b/>
          <w:bCs/>
          <w:sz w:val="22"/>
          <w:szCs w:val="22"/>
        </w:rPr>
        <w:t>4.4</w:t>
      </w:r>
      <w:r w:rsidR="00B504E8">
        <w:rPr>
          <w:rFonts w:asciiTheme="minorHAnsi" w:hAnsiTheme="minorHAnsi" w:cstheme="minorHAnsi"/>
          <w:b/>
          <w:bCs/>
          <w:sz w:val="22"/>
          <w:szCs w:val="22"/>
        </w:rPr>
        <w:t>.</w:t>
      </w:r>
      <w:r>
        <w:rPr>
          <w:rFonts w:asciiTheme="minorHAnsi" w:hAnsiTheme="minorHAnsi" w:cstheme="minorHAnsi"/>
          <w:b/>
          <w:bCs/>
          <w:sz w:val="22"/>
          <w:szCs w:val="22"/>
        </w:rPr>
        <w:t xml:space="preserve"> </w:t>
      </w:r>
      <w:r w:rsidR="002127BD" w:rsidRPr="00F75DE9">
        <w:rPr>
          <w:rFonts w:asciiTheme="minorHAnsi" w:hAnsiTheme="minorHAnsi" w:cstheme="minorHAnsi"/>
          <w:b/>
          <w:bCs/>
          <w:sz w:val="22"/>
          <w:szCs w:val="22"/>
        </w:rPr>
        <w:t>Implications</w:t>
      </w:r>
    </w:p>
    <w:p w14:paraId="1AD7E2F2" w14:textId="39BAF77F" w:rsidR="002127BD" w:rsidRPr="00F75DE9" w:rsidRDefault="002127BD" w:rsidP="002127BD">
      <w:pPr>
        <w:pStyle w:val="NormalWeb"/>
        <w:spacing w:before="0" w:beforeAutospacing="0" w:after="0" w:afterAutospacing="0" w:line="480" w:lineRule="auto"/>
        <w:ind w:firstLine="360"/>
        <w:rPr>
          <w:rFonts w:asciiTheme="minorHAnsi" w:hAnsiTheme="minorHAnsi" w:cstheme="minorHAnsi"/>
          <w:sz w:val="22"/>
          <w:szCs w:val="22"/>
        </w:rPr>
      </w:pPr>
      <w:r w:rsidRPr="00F75DE9">
        <w:rPr>
          <w:rFonts w:asciiTheme="minorHAnsi" w:hAnsiTheme="minorHAnsi" w:cstheme="minorHAnsi"/>
          <w:sz w:val="22"/>
          <w:szCs w:val="22"/>
        </w:rPr>
        <w:t>We found that users typically reduced engagement with the NHS-DDPP over the nine-month programme, though there were a minority of users who utilised features of the apps frequently throughout the intervention.</w:t>
      </w:r>
      <w:r w:rsidR="007F5B2D">
        <w:rPr>
          <w:rFonts w:asciiTheme="minorHAnsi" w:hAnsiTheme="minorHAnsi" w:cstheme="minorHAnsi"/>
          <w:sz w:val="22"/>
          <w:szCs w:val="22"/>
        </w:rPr>
        <w:t xml:space="preserve"> </w:t>
      </w:r>
      <w:r w:rsidR="00EA060C">
        <w:rPr>
          <w:rFonts w:asciiTheme="minorHAnsi" w:hAnsiTheme="minorHAnsi" w:cstheme="minorHAnsi"/>
          <w:sz w:val="22"/>
          <w:szCs w:val="22"/>
        </w:rPr>
        <w:t>The current study cannot tell us why</w:t>
      </w:r>
      <w:r w:rsidR="00205755">
        <w:rPr>
          <w:rFonts w:asciiTheme="minorHAnsi" w:hAnsiTheme="minorHAnsi" w:cstheme="minorHAnsi"/>
          <w:sz w:val="22"/>
          <w:szCs w:val="22"/>
        </w:rPr>
        <w:t xml:space="preserve"> there was a reduction in usage,</w:t>
      </w:r>
      <w:r w:rsidR="007F5B2D">
        <w:rPr>
          <w:rFonts w:asciiTheme="minorHAnsi" w:hAnsiTheme="minorHAnsi" w:cstheme="minorHAnsi"/>
          <w:sz w:val="22"/>
          <w:szCs w:val="22"/>
        </w:rPr>
        <w:t xml:space="preserve"> but</w:t>
      </w:r>
      <w:r w:rsidR="00205755">
        <w:rPr>
          <w:rFonts w:asciiTheme="minorHAnsi" w:hAnsiTheme="minorHAnsi" w:cstheme="minorHAnsi"/>
          <w:sz w:val="22"/>
          <w:szCs w:val="22"/>
        </w:rPr>
        <w:t xml:space="preserve"> </w:t>
      </w:r>
      <w:r w:rsidR="00205755">
        <w:rPr>
          <w:rFonts w:asciiTheme="minorHAnsi" w:hAnsiTheme="minorHAnsi" w:cstheme="minorHAnsi"/>
          <w:sz w:val="22"/>
        </w:rPr>
        <w:t>b</w:t>
      </w:r>
      <w:r w:rsidR="00205755" w:rsidRPr="00205755">
        <w:rPr>
          <w:rFonts w:asciiTheme="minorHAnsi" w:hAnsiTheme="minorHAnsi" w:cstheme="minorHAnsi"/>
          <w:sz w:val="22"/>
        </w:rPr>
        <w:t xml:space="preserve">ased on previous understanding of user engagement with </w:t>
      </w:r>
      <w:r w:rsidR="00205755">
        <w:rPr>
          <w:rFonts w:asciiTheme="minorHAnsi" w:hAnsiTheme="minorHAnsi" w:cstheme="minorHAnsi"/>
          <w:sz w:val="22"/>
        </w:rPr>
        <w:t>digital health interventions</w:t>
      </w:r>
      <w:r w:rsidR="007F5B2D" w:rsidRPr="00205755">
        <w:rPr>
          <w:rFonts w:asciiTheme="minorHAnsi" w:hAnsiTheme="minorHAnsi" w:cstheme="minorHAnsi"/>
          <w:sz w:val="20"/>
          <w:szCs w:val="22"/>
        </w:rPr>
        <w:t xml:space="preserve"> </w:t>
      </w:r>
      <w:r w:rsidR="007F5B2D">
        <w:rPr>
          <w:rFonts w:asciiTheme="minorHAnsi" w:hAnsiTheme="minorHAnsi" w:cstheme="minorHAnsi"/>
          <w:sz w:val="22"/>
          <w:szCs w:val="22"/>
        </w:rPr>
        <w:t>there are two possible reasons: (a)</w:t>
      </w:r>
      <w:r w:rsidRPr="00F75DE9">
        <w:rPr>
          <w:rFonts w:asciiTheme="minorHAnsi" w:hAnsiTheme="minorHAnsi" w:cstheme="minorHAnsi"/>
          <w:sz w:val="22"/>
          <w:szCs w:val="22"/>
        </w:rPr>
        <w:t xml:space="preserve"> u</w:t>
      </w:r>
      <w:r w:rsidR="007F5B2D">
        <w:rPr>
          <w:rFonts w:asciiTheme="minorHAnsi" w:hAnsiTheme="minorHAnsi" w:cstheme="minorHAnsi"/>
          <w:sz w:val="22"/>
          <w:szCs w:val="22"/>
        </w:rPr>
        <w:t xml:space="preserve">sers may have </w:t>
      </w:r>
      <w:r w:rsidRPr="00F75DE9">
        <w:rPr>
          <w:rFonts w:asciiTheme="minorHAnsi" w:hAnsiTheme="minorHAnsi" w:cstheme="minorHAnsi"/>
          <w:sz w:val="22"/>
          <w:szCs w:val="22"/>
        </w:rPr>
        <w:t>disengaged with the programme</w:t>
      </w:r>
      <w:r w:rsidR="00EB48D7">
        <w:rPr>
          <w:rFonts w:asciiTheme="minorHAnsi" w:hAnsiTheme="minorHAnsi" w:cstheme="minorHAnsi"/>
          <w:sz w:val="22"/>
          <w:szCs w:val="22"/>
        </w:rPr>
        <w:t xml:space="preserve"> due to a lack of satisfaction with the </w:t>
      </w:r>
      <w:r w:rsidR="00C62743">
        <w:rPr>
          <w:rFonts w:asciiTheme="minorHAnsi" w:hAnsiTheme="minorHAnsi" w:cstheme="minorHAnsi"/>
          <w:sz w:val="22"/>
          <w:szCs w:val="22"/>
        </w:rPr>
        <w:t>intervention</w:t>
      </w:r>
      <w:r w:rsidR="00EB48D7">
        <w:rPr>
          <w:rFonts w:asciiTheme="minorHAnsi" w:hAnsiTheme="minorHAnsi" w:cstheme="minorHAnsi"/>
          <w:sz w:val="22"/>
          <w:szCs w:val="22"/>
        </w:rPr>
        <w:t xml:space="preserve"> features</w:t>
      </w:r>
      <w:r w:rsidRPr="00F75DE9">
        <w:rPr>
          <w:rFonts w:asciiTheme="minorHAnsi" w:hAnsiTheme="minorHAnsi" w:cstheme="minorHAnsi"/>
          <w:sz w:val="22"/>
          <w:szCs w:val="22"/>
        </w:rPr>
        <w:t>, or</w:t>
      </w:r>
      <w:r w:rsidR="007F5B2D">
        <w:rPr>
          <w:rFonts w:asciiTheme="minorHAnsi" w:hAnsiTheme="minorHAnsi" w:cstheme="minorHAnsi"/>
          <w:sz w:val="22"/>
          <w:szCs w:val="22"/>
        </w:rPr>
        <w:t xml:space="preserve"> (b) users may have </w:t>
      </w:r>
      <w:r w:rsidR="00EB48D7">
        <w:rPr>
          <w:rFonts w:asciiTheme="minorHAnsi" w:hAnsiTheme="minorHAnsi" w:cstheme="minorHAnsi"/>
          <w:sz w:val="22"/>
          <w:szCs w:val="22"/>
        </w:rPr>
        <w:t xml:space="preserve">got what they wanted from the programme, e.g. they had </w:t>
      </w:r>
      <w:r w:rsidRPr="00F75DE9">
        <w:rPr>
          <w:rFonts w:asciiTheme="minorHAnsi" w:hAnsiTheme="minorHAnsi" w:cstheme="minorHAnsi"/>
          <w:sz w:val="22"/>
          <w:szCs w:val="22"/>
        </w:rPr>
        <w:t>developed habits to continue maintaining their lifestyle changes</w:t>
      </w:r>
      <w:r w:rsidR="00F95532">
        <w:rPr>
          <w:rFonts w:asciiTheme="minorHAnsi" w:hAnsiTheme="minorHAnsi" w:cstheme="minorHAnsi"/>
          <w:sz w:val="22"/>
          <w:szCs w:val="22"/>
        </w:rPr>
        <w:t xml:space="preserve"> and no longer felt they needed</w:t>
      </w:r>
      <w:r w:rsidRPr="00F75DE9">
        <w:rPr>
          <w:rFonts w:asciiTheme="minorHAnsi" w:hAnsiTheme="minorHAnsi" w:cstheme="minorHAnsi"/>
          <w:sz w:val="22"/>
          <w:szCs w:val="22"/>
        </w:rPr>
        <w:t xml:space="preserve"> the app</w:t>
      </w:r>
      <w:r w:rsidR="00183E3B">
        <w:rPr>
          <w:rFonts w:asciiTheme="minorHAnsi" w:hAnsiTheme="minorHAnsi" w:cstheme="minorHAnsi"/>
          <w:sz w:val="22"/>
          <w:szCs w:val="22"/>
        </w:rPr>
        <w:t xml:space="preserve"> [24</w:t>
      </w:r>
      <w:r w:rsidR="007F5B2D">
        <w:rPr>
          <w:rFonts w:asciiTheme="minorHAnsi" w:hAnsiTheme="minorHAnsi" w:cstheme="minorHAnsi"/>
          <w:sz w:val="22"/>
          <w:szCs w:val="22"/>
        </w:rPr>
        <w:t>]</w:t>
      </w:r>
      <w:r w:rsidRPr="00F75DE9">
        <w:rPr>
          <w:rFonts w:asciiTheme="minorHAnsi" w:hAnsiTheme="minorHAnsi" w:cstheme="minorHAnsi"/>
          <w:sz w:val="22"/>
          <w:szCs w:val="22"/>
        </w:rPr>
        <w:t xml:space="preserve">. However, higher engagement with some </w:t>
      </w:r>
      <w:r w:rsidR="00C62743">
        <w:rPr>
          <w:rFonts w:asciiTheme="minorHAnsi" w:hAnsiTheme="minorHAnsi" w:cstheme="minorHAnsi"/>
          <w:sz w:val="22"/>
          <w:szCs w:val="22"/>
        </w:rPr>
        <w:t>intervention</w:t>
      </w:r>
      <w:r w:rsidR="00C62743" w:rsidRPr="00F75DE9">
        <w:rPr>
          <w:rFonts w:asciiTheme="minorHAnsi" w:hAnsiTheme="minorHAnsi" w:cstheme="minorHAnsi"/>
          <w:sz w:val="22"/>
          <w:szCs w:val="22"/>
        </w:rPr>
        <w:t xml:space="preserve"> </w:t>
      </w:r>
      <w:r w:rsidRPr="00F75DE9">
        <w:rPr>
          <w:rFonts w:asciiTheme="minorHAnsi" w:hAnsiTheme="minorHAnsi" w:cstheme="minorHAnsi"/>
          <w:sz w:val="22"/>
          <w:szCs w:val="22"/>
        </w:rPr>
        <w:t xml:space="preserve">features </w:t>
      </w:r>
      <w:r w:rsidRPr="00F75DE9">
        <w:rPr>
          <w:rFonts w:asciiTheme="minorHAnsi" w:hAnsiTheme="minorHAnsi" w:cstheme="minorHAnsi"/>
          <w:sz w:val="22"/>
          <w:szCs w:val="22"/>
        </w:rPr>
        <w:lastRenderedPageBreak/>
        <w:t xml:space="preserve">was </w:t>
      </w:r>
      <w:r w:rsidR="00CD7F08">
        <w:rPr>
          <w:rFonts w:asciiTheme="minorHAnsi" w:hAnsiTheme="minorHAnsi" w:cstheme="minorHAnsi"/>
          <w:sz w:val="22"/>
          <w:szCs w:val="22"/>
        </w:rPr>
        <w:t>associated with</w:t>
      </w:r>
      <w:r w:rsidRPr="00F75DE9">
        <w:rPr>
          <w:rFonts w:asciiTheme="minorHAnsi" w:hAnsiTheme="minorHAnsi" w:cstheme="minorHAnsi"/>
          <w:sz w:val="22"/>
          <w:szCs w:val="22"/>
        </w:rPr>
        <w:t xml:space="preserve"> when users received interactions from a health coach</w:t>
      </w:r>
      <w:r w:rsidR="007F5B2D">
        <w:rPr>
          <w:rFonts w:asciiTheme="minorHAnsi" w:hAnsiTheme="minorHAnsi" w:cstheme="minorHAnsi"/>
          <w:sz w:val="22"/>
          <w:szCs w:val="22"/>
        </w:rPr>
        <w:t xml:space="preserve"> </w:t>
      </w:r>
      <w:r w:rsidR="00CD7F08">
        <w:rPr>
          <w:rFonts w:asciiTheme="minorHAnsi" w:hAnsiTheme="minorHAnsi" w:cstheme="minorHAnsi"/>
          <w:sz w:val="22"/>
          <w:szCs w:val="22"/>
        </w:rPr>
        <w:t xml:space="preserve">linked to that </w:t>
      </w:r>
      <w:r w:rsidR="001D09D2">
        <w:rPr>
          <w:rFonts w:asciiTheme="minorHAnsi" w:hAnsiTheme="minorHAnsi" w:cstheme="minorHAnsi"/>
          <w:sz w:val="22"/>
          <w:szCs w:val="22"/>
        </w:rPr>
        <w:t>feature</w:t>
      </w:r>
      <w:r w:rsidR="00F13160">
        <w:rPr>
          <w:rFonts w:asciiTheme="minorHAnsi" w:hAnsiTheme="minorHAnsi" w:cstheme="minorHAnsi"/>
          <w:sz w:val="22"/>
          <w:szCs w:val="22"/>
        </w:rPr>
        <w:t>, suggesting that users may</w:t>
      </w:r>
      <w:r w:rsidRPr="00F75DE9">
        <w:rPr>
          <w:rFonts w:asciiTheme="minorHAnsi" w:hAnsiTheme="minorHAnsi" w:cstheme="minorHAnsi"/>
          <w:sz w:val="22"/>
          <w:szCs w:val="22"/>
        </w:rPr>
        <w:t xml:space="preserve"> see some merit in continuing to use the </w:t>
      </w:r>
      <w:r w:rsidR="00C62743">
        <w:rPr>
          <w:rFonts w:asciiTheme="minorHAnsi" w:hAnsiTheme="minorHAnsi" w:cstheme="minorHAnsi"/>
          <w:sz w:val="22"/>
          <w:szCs w:val="22"/>
        </w:rPr>
        <w:t>intervention</w:t>
      </w:r>
      <w:r w:rsidR="00C62743" w:rsidRPr="00F75DE9">
        <w:rPr>
          <w:rFonts w:asciiTheme="minorHAnsi" w:hAnsiTheme="minorHAnsi" w:cstheme="minorHAnsi"/>
          <w:sz w:val="22"/>
          <w:szCs w:val="22"/>
        </w:rPr>
        <w:t xml:space="preserve"> </w:t>
      </w:r>
      <w:r w:rsidRPr="00F75DE9">
        <w:rPr>
          <w:rFonts w:asciiTheme="minorHAnsi" w:hAnsiTheme="minorHAnsi" w:cstheme="minorHAnsi"/>
          <w:sz w:val="22"/>
          <w:szCs w:val="22"/>
        </w:rPr>
        <w:t>features if support is provided.</w:t>
      </w:r>
    </w:p>
    <w:p w14:paraId="672A1AC1" w14:textId="2A150F07" w:rsidR="002127BD" w:rsidRPr="00F75DE9" w:rsidRDefault="00445833" w:rsidP="002127BD">
      <w:pPr>
        <w:pStyle w:val="NormalWeb"/>
        <w:spacing w:before="0" w:beforeAutospacing="0" w:after="0" w:afterAutospacing="0" w:line="480" w:lineRule="auto"/>
        <w:ind w:firstLine="360"/>
        <w:rPr>
          <w:rFonts w:asciiTheme="minorHAnsi" w:hAnsiTheme="minorHAnsi" w:cstheme="minorHAnsi"/>
          <w:sz w:val="22"/>
          <w:szCs w:val="22"/>
        </w:rPr>
      </w:pPr>
      <w:r w:rsidRPr="00152AAC">
        <w:rPr>
          <w:rFonts w:asciiTheme="minorHAnsi" w:hAnsiTheme="minorHAnsi" w:cstheme="minorHAnsi"/>
          <w:sz w:val="22"/>
          <w:shd w:val="clear" w:color="auto" w:fill="FFFFFF"/>
        </w:rPr>
        <w:t>Thus far, an assessment of t</w:t>
      </w:r>
      <w:r w:rsidR="00AB2856">
        <w:rPr>
          <w:rFonts w:asciiTheme="minorHAnsi" w:hAnsiTheme="minorHAnsi" w:cstheme="minorHAnsi"/>
          <w:sz w:val="22"/>
          <w:shd w:val="clear" w:color="auto" w:fill="FFFFFF"/>
        </w:rPr>
        <w:t>he extent to which the NHS-DDPP</w:t>
      </w:r>
      <w:r w:rsidRPr="00152AAC">
        <w:rPr>
          <w:rFonts w:asciiTheme="minorHAnsi" w:hAnsiTheme="minorHAnsi" w:cstheme="minorHAnsi"/>
          <w:sz w:val="22"/>
          <w:shd w:val="clear" w:color="auto" w:fill="FFFFFF"/>
        </w:rPr>
        <w:t xml:space="preserve"> has </w:t>
      </w:r>
      <w:r w:rsidR="00AB2856">
        <w:rPr>
          <w:rFonts w:asciiTheme="minorHAnsi" w:hAnsiTheme="minorHAnsi" w:cstheme="minorHAnsi"/>
          <w:sz w:val="22"/>
          <w:shd w:val="clear" w:color="auto" w:fill="FFFFFF"/>
        </w:rPr>
        <w:t>been delivered as intended</w:t>
      </w:r>
      <w:r w:rsidRPr="00152AAC">
        <w:rPr>
          <w:rFonts w:asciiTheme="minorHAnsi" w:hAnsiTheme="minorHAnsi" w:cstheme="minorHAnsi"/>
          <w:sz w:val="22"/>
          <w:shd w:val="clear" w:color="auto" w:fill="FFFFFF"/>
        </w:rPr>
        <w:t xml:space="preserve"> has demonstrated that fidelity to the programme specificati</w:t>
      </w:r>
      <w:r w:rsidR="00200666">
        <w:rPr>
          <w:rFonts w:asciiTheme="minorHAnsi" w:hAnsiTheme="minorHAnsi" w:cstheme="minorHAnsi"/>
          <w:sz w:val="22"/>
          <w:shd w:val="clear" w:color="auto" w:fill="FFFFFF"/>
        </w:rPr>
        <w:t>on stipulated by NHS England [17</w:t>
      </w:r>
      <w:r w:rsidRPr="00152AAC">
        <w:rPr>
          <w:rFonts w:asciiTheme="minorHAnsi" w:hAnsiTheme="minorHAnsi" w:cstheme="minorHAnsi"/>
          <w:sz w:val="22"/>
          <w:shd w:val="clear" w:color="auto" w:fill="FFFFFF"/>
        </w:rPr>
        <w:t>] is better than f</w:t>
      </w:r>
      <w:r w:rsidR="005446DF">
        <w:rPr>
          <w:rFonts w:asciiTheme="minorHAnsi" w:hAnsiTheme="minorHAnsi" w:cstheme="minorHAnsi"/>
          <w:sz w:val="22"/>
          <w:shd w:val="clear" w:color="auto" w:fill="FFFFFF"/>
        </w:rPr>
        <w:t>or the face-to-face programme [</w:t>
      </w:r>
      <w:r w:rsidR="00183E3B">
        <w:rPr>
          <w:rFonts w:asciiTheme="minorHAnsi" w:hAnsiTheme="minorHAnsi" w:cstheme="minorHAnsi"/>
          <w:sz w:val="22"/>
          <w:shd w:val="clear" w:color="auto" w:fill="FFFFFF"/>
        </w:rPr>
        <w:t>49</w:t>
      </w:r>
      <w:r w:rsidRPr="00152AAC">
        <w:rPr>
          <w:rFonts w:asciiTheme="minorHAnsi" w:hAnsiTheme="minorHAnsi" w:cstheme="minorHAnsi"/>
          <w:sz w:val="22"/>
          <w:shd w:val="clear" w:color="auto" w:fill="FFFFFF"/>
        </w:rPr>
        <w:t>].</w:t>
      </w:r>
      <w:r w:rsidR="00152AAC">
        <w:rPr>
          <w:rFonts w:asciiTheme="minorHAnsi" w:hAnsiTheme="minorHAnsi" w:cstheme="minorHAnsi"/>
          <w:sz w:val="22"/>
          <w:shd w:val="clear" w:color="auto" w:fill="FFFFFF"/>
        </w:rPr>
        <w:t xml:space="preserve"> This might be expected, as staff do not have to be trained to deliver </w:t>
      </w:r>
      <w:r w:rsidR="00152AAC" w:rsidRPr="00152AAC">
        <w:rPr>
          <w:rFonts w:asciiTheme="minorHAnsi" w:hAnsiTheme="minorHAnsi" w:cstheme="minorHAnsi"/>
          <w:i/>
          <w:sz w:val="22"/>
          <w:shd w:val="clear" w:color="auto" w:fill="FFFFFF"/>
        </w:rPr>
        <w:t>all</w:t>
      </w:r>
      <w:r w:rsidR="00152AAC">
        <w:rPr>
          <w:rFonts w:asciiTheme="minorHAnsi" w:hAnsiTheme="minorHAnsi" w:cstheme="minorHAnsi"/>
          <w:sz w:val="22"/>
          <w:shd w:val="clear" w:color="auto" w:fill="FFFFFF"/>
        </w:rPr>
        <w:t xml:space="preserve"> the intervention content.</w:t>
      </w:r>
      <w:r w:rsidRPr="00152AAC">
        <w:rPr>
          <w:rFonts w:cstheme="minorHAnsi"/>
          <w:sz w:val="22"/>
          <w:shd w:val="clear" w:color="auto" w:fill="FFFFFF"/>
        </w:rPr>
        <w:t xml:space="preserve"> </w:t>
      </w:r>
      <w:r w:rsidR="00152AAC" w:rsidRPr="00152AAC">
        <w:rPr>
          <w:rFonts w:asciiTheme="minorHAnsi" w:hAnsiTheme="minorHAnsi" w:cstheme="minorHAnsi"/>
          <w:sz w:val="22"/>
          <w:shd w:val="clear" w:color="auto" w:fill="FFFFFF"/>
        </w:rPr>
        <w:t xml:space="preserve">However, </w:t>
      </w:r>
      <w:r w:rsidR="00152AAC" w:rsidRPr="00152AAC">
        <w:rPr>
          <w:rFonts w:asciiTheme="minorHAnsi" w:hAnsiTheme="minorHAnsi" w:cstheme="minorHAnsi"/>
          <w:sz w:val="22"/>
          <w:szCs w:val="22"/>
        </w:rPr>
        <w:t>d</w:t>
      </w:r>
      <w:r w:rsidR="002127BD" w:rsidRPr="00F75DE9">
        <w:rPr>
          <w:rFonts w:asciiTheme="minorHAnsi" w:hAnsiTheme="minorHAnsi" w:cstheme="minorHAnsi"/>
          <w:sz w:val="22"/>
          <w:szCs w:val="22"/>
        </w:rPr>
        <w:t>ata from this analysis and results from the wid</w:t>
      </w:r>
      <w:r w:rsidR="00183E3B">
        <w:rPr>
          <w:rFonts w:asciiTheme="minorHAnsi" w:hAnsiTheme="minorHAnsi" w:cstheme="minorHAnsi"/>
          <w:sz w:val="22"/>
          <w:szCs w:val="22"/>
        </w:rPr>
        <w:t>er programme of research [20, 40</w:t>
      </w:r>
      <w:r w:rsidR="002127BD" w:rsidRPr="00F75DE9">
        <w:rPr>
          <w:rFonts w:asciiTheme="minorHAnsi" w:hAnsiTheme="minorHAnsi" w:cstheme="minorHAnsi"/>
          <w:sz w:val="22"/>
          <w:szCs w:val="22"/>
        </w:rPr>
        <w:t xml:space="preserve">] suggest that some human element may still be necessary in digital behaviour change programmes to improve engagement with self-regulatory processes such as goal setting. Intervention developers and commissioners of behaviour change programmes should consider this when designing and commissioning digital programmes. Although employing and training staff to deliver some aspects of digital behaviour change interventions would incur additional cost, this may yield higher engagement with key intervention features, improve participant </w:t>
      </w:r>
      <w:r w:rsidR="00200666">
        <w:rPr>
          <w:rFonts w:asciiTheme="minorHAnsi" w:hAnsiTheme="minorHAnsi" w:cstheme="minorHAnsi"/>
          <w:sz w:val="22"/>
          <w:szCs w:val="22"/>
        </w:rPr>
        <w:t>understa</w:t>
      </w:r>
      <w:r w:rsidR="00183E3B">
        <w:rPr>
          <w:rFonts w:asciiTheme="minorHAnsi" w:hAnsiTheme="minorHAnsi" w:cstheme="minorHAnsi"/>
          <w:sz w:val="22"/>
          <w:szCs w:val="22"/>
        </w:rPr>
        <w:t>nding and experience [40</w:t>
      </w:r>
      <w:r w:rsidR="002127BD" w:rsidRPr="00F75DE9">
        <w:rPr>
          <w:rFonts w:asciiTheme="minorHAnsi" w:hAnsiTheme="minorHAnsi" w:cstheme="minorHAnsi"/>
          <w:sz w:val="22"/>
          <w:szCs w:val="22"/>
        </w:rPr>
        <w:t>], and thereby increase the effectiveness of the intervention. This warrants further research examining the impacts of engagement on effectiveness (e.g. weight loss) and</w:t>
      </w:r>
      <w:r w:rsidR="00F95532">
        <w:rPr>
          <w:rFonts w:asciiTheme="minorHAnsi" w:hAnsiTheme="minorHAnsi" w:cstheme="minorHAnsi"/>
          <w:sz w:val="22"/>
          <w:szCs w:val="22"/>
        </w:rPr>
        <w:t xml:space="preserve"> an economic assessment of</w:t>
      </w:r>
      <w:r w:rsidR="002127BD" w:rsidRPr="00F75DE9">
        <w:rPr>
          <w:rFonts w:asciiTheme="minorHAnsi" w:hAnsiTheme="minorHAnsi" w:cstheme="minorHAnsi"/>
          <w:sz w:val="22"/>
          <w:szCs w:val="22"/>
        </w:rPr>
        <w:t xml:space="preserve"> the </w:t>
      </w:r>
      <w:r w:rsidR="00F95532">
        <w:rPr>
          <w:rFonts w:asciiTheme="minorHAnsi" w:hAnsiTheme="minorHAnsi" w:cstheme="minorHAnsi"/>
          <w:sz w:val="22"/>
          <w:szCs w:val="22"/>
        </w:rPr>
        <w:t xml:space="preserve">associated </w:t>
      </w:r>
      <w:r w:rsidR="002127BD" w:rsidRPr="00F75DE9">
        <w:rPr>
          <w:rFonts w:asciiTheme="minorHAnsi" w:hAnsiTheme="minorHAnsi" w:cstheme="minorHAnsi"/>
          <w:sz w:val="22"/>
          <w:szCs w:val="22"/>
        </w:rPr>
        <w:t>cost</w:t>
      </w:r>
      <w:r w:rsidR="00F95532">
        <w:rPr>
          <w:rFonts w:asciiTheme="minorHAnsi" w:hAnsiTheme="minorHAnsi" w:cstheme="minorHAnsi"/>
          <w:sz w:val="22"/>
          <w:szCs w:val="22"/>
        </w:rPr>
        <w:t>s</w:t>
      </w:r>
      <w:r w:rsidR="002127BD" w:rsidRPr="00F75DE9">
        <w:rPr>
          <w:rFonts w:asciiTheme="minorHAnsi" w:hAnsiTheme="minorHAnsi" w:cstheme="minorHAnsi"/>
          <w:sz w:val="22"/>
          <w:szCs w:val="22"/>
        </w:rPr>
        <w:t>.</w:t>
      </w:r>
      <w:r w:rsidR="00721B79" w:rsidRPr="00F75DE9">
        <w:rPr>
          <w:rFonts w:asciiTheme="minorHAnsi" w:hAnsiTheme="minorHAnsi" w:cstheme="minorHAnsi"/>
          <w:sz w:val="22"/>
          <w:szCs w:val="22"/>
        </w:rPr>
        <w:t xml:space="preserve"> </w:t>
      </w:r>
    </w:p>
    <w:p w14:paraId="4163BE1D" w14:textId="72CD9C11" w:rsidR="00B47B21" w:rsidRDefault="002127BD" w:rsidP="00B47B21">
      <w:pPr>
        <w:pStyle w:val="NormalWeb"/>
        <w:spacing w:before="0" w:beforeAutospacing="0" w:after="0" w:afterAutospacing="0" w:line="480" w:lineRule="auto"/>
        <w:ind w:firstLine="360"/>
        <w:rPr>
          <w:rFonts w:asciiTheme="minorHAnsi" w:hAnsiTheme="minorHAnsi" w:cstheme="minorHAnsi"/>
          <w:sz w:val="22"/>
          <w:szCs w:val="22"/>
        </w:rPr>
      </w:pPr>
      <w:r w:rsidRPr="00F75DE9">
        <w:rPr>
          <w:rFonts w:asciiTheme="minorHAnsi" w:hAnsiTheme="minorHAnsi" w:cstheme="minorHAnsi"/>
          <w:sz w:val="22"/>
          <w:szCs w:val="22"/>
        </w:rPr>
        <w:t>The evidence</w:t>
      </w:r>
      <w:r w:rsidR="00EB48D7">
        <w:rPr>
          <w:rFonts w:asciiTheme="minorHAnsi" w:hAnsiTheme="minorHAnsi" w:cstheme="minorHAnsi"/>
          <w:sz w:val="22"/>
          <w:szCs w:val="22"/>
        </w:rPr>
        <w:t xml:space="preserve"> underpinning the development of the NHS-DPP </w:t>
      </w:r>
      <w:r w:rsidRPr="00F75DE9">
        <w:rPr>
          <w:rFonts w:asciiTheme="minorHAnsi" w:hAnsiTheme="minorHAnsi" w:cstheme="minorHAnsi"/>
          <w:sz w:val="22"/>
          <w:szCs w:val="22"/>
        </w:rPr>
        <w:t xml:space="preserve">suggests that diabetes prevention programmes are most effective when programme length was over six months compared </w:t>
      </w:r>
      <w:r w:rsidR="00F95532">
        <w:rPr>
          <w:rFonts w:asciiTheme="minorHAnsi" w:hAnsiTheme="minorHAnsi" w:cstheme="minorHAnsi"/>
          <w:sz w:val="22"/>
          <w:szCs w:val="22"/>
        </w:rPr>
        <w:t xml:space="preserve">to a programme duration of </w:t>
      </w:r>
      <w:r w:rsidR="003A47D1">
        <w:rPr>
          <w:rFonts w:asciiTheme="minorHAnsi" w:hAnsiTheme="minorHAnsi" w:cstheme="minorHAnsi"/>
          <w:sz w:val="22"/>
          <w:szCs w:val="22"/>
        </w:rPr>
        <w:t>less than three months</w:t>
      </w:r>
      <w:r w:rsidR="005F5D57">
        <w:rPr>
          <w:rFonts w:asciiTheme="minorHAnsi" w:hAnsiTheme="minorHAnsi" w:cstheme="minorHAnsi"/>
          <w:sz w:val="22"/>
          <w:szCs w:val="22"/>
        </w:rPr>
        <w:t xml:space="preserve"> </w:t>
      </w:r>
      <w:r w:rsidR="00183E3B">
        <w:rPr>
          <w:rFonts w:asciiTheme="minorHAnsi" w:hAnsiTheme="minorHAnsi" w:cstheme="minorHAnsi"/>
          <w:sz w:val="22"/>
          <w:szCs w:val="22"/>
        </w:rPr>
        <w:t>[50</w:t>
      </w:r>
      <w:r w:rsidR="003A47D1">
        <w:rPr>
          <w:rFonts w:asciiTheme="minorHAnsi" w:hAnsiTheme="minorHAnsi" w:cstheme="minorHAnsi"/>
          <w:sz w:val="22"/>
          <w:szCs w:val="22"/>
        </w:rPr>
        <w:t>]</w:t>
      </w:r>
      <w:r w:rsidR="005F5D57">
        <w:rPr>
          <w:rFonts w:asciiTheme="minorHAnsi" w:hAnsiTheme="minorHAnsi" w:cstheme="minorHAnsi"/>
          <w:sz w:val="22"/>
          <w:szCs w:val="22"/>
        </w:rPr>
        <w:t xml:space="preserve">. </w:t>
      </w:r>
      <w:r w:rsidR="001B041E">
        <w:rPr>
          <w:rFonts w:asciiTheme="minorHAnsi" w:hAnsiTheme="minorHAnsi" w:cstheme="minorHAnsi"/>
          <w:sz w:val="22"/>
          <w:szCs w:val="22"/>
        </w:rPr>
        <w:t>H</w:t>
      </w:r>
      <w:r w:rsidR="001B041E" w:rsidRPr="00F75DE9">
        <w:rPr>
          <w:rFonts w:asciiTheme="minorHAnsi" w:hAnsiTheme="minorHAnsi" w:cstheme="minorHAnsi"/>
          <w:sz w:val="22"/>
          <w:szCs w:val="22"/>
        </w:rPr>
        <w:t>owever,</w:t>
      </w:r>
      <w:r w:rsidR="001B041E">
        <w:rPr>
          <w:rFonts w:asciiTheme="minorHAnsi" w:hAnsiTheme="minorHAnsi" w:cstheme="minorHAnsi"/>
          <w:sz w:val="22"/>
          <w:szCs w:val="22"/>
        </w:rPr>
        <w:t xml:space="preserve"> this evidence was based on reviews of face-to-face interventions</w:t>
      </w:r>
      <w:r w:rsidR="00183E3B">
        <w:rPr>
          <w:rFonts w:asciiTheme="minorHAnsi" w:hAnsiTheme="minorHAnsi" w:cstheme="minorHAnsi"/>
          <w:sz w:val="22"/>
          <w:szCs w:val="22"/>
        </w:rPr>
        <w:t xml:space="preserve"> [24</w:t>
      </w:r>
      <w:r w:rsidR="00E14FA9">
        <w:rPr>
          <w:rFonts w:asciiTheme="minorHAnsi" w:hAnsiTheme="minorHAnsi" w:cstheme="minorHAnsi"/>
          <w:sz w:val="22"/>
          <w:szCs w:val="22"/>
        </w:rPr>
        <w:t xml:space="preserve">]. </w:t>
      </w:r>
      <w:r w:rsidR="00E14FA9" w:rsidRPr="00153913">
        <w:rPr>
          <w:rFonts w:asciiTheme="minorHAnsi" w:hAnsiTheme="minorHAnsi" w:cstheme="minorHAnsi"/>
          <w:sz w:val="22"/>
          <w:szCs w:val="22"/>
        </w:rPr>
        <w:t>This study has shown that the largest decrease in engagement with the NHS-DDPP was after three months, which</w:t>
      </w:r>
      <w:r w:rsidR="00153913" w:rsidRPr="00153913">
        <w:rPr>
          <w:rFonts w:asciiTheme="minorHAnsi" w:hAnsiTheme="minorHAnsi" w:cstheme="minorHAnsi"/>
          <w:sz w:val="22"/>
          <w:szCs w:val="22"/>
        </w:rPr>
        <w:t xml:space="preserve"> also</w:t>
      </w:r>
      <w:r w:rsidR="00E14FA9" w:rsidRPr="00153913">
        <w:rPr>
          <w:rFonts w:asciiTheme="minorHAnsi" w:hAnsiTheme="minorHAnsi" w:cstheme="minorHAnsi"/>
          <w:sz w:val="22"/>
          <w:szCs w:val="22"/>
        </w:rPr>
        <w:t xml:space="preserve"> coincided with </w:t>
      </w:r>
      <w:r w:rsidR="00153913" w:rsidRPr="00153913">
        <w:rPr>
          <w:rFonts w:asciiTheme="minorHAnsi" w:hAnsiTheme="minorHAnsi" w:cstheme="minorHAnsi"/>
          <w:sz w:val="22"/>
          <w:szCs w:val="22"/>
        </w:rPr>
        <w:t>when providers</w:t>
      </w:r>
      <w:r w:rsidR="00E14FA9" w:rsidRPr="00153913">
        <w:rPr>
          <w:rFonts w:asciiTheme="minorHAnsi" w:hAnsiTheme="minorHAnsi" w:cstheme="minorHAnsi"/>
          <w:sz w:val="22"/>
          <w:szCs w:val="22"/>
        </w:rPr>
        <w:t xml:space="preserve"> reduced their contact with users. </w:t>
      </w:r>
      <w:r w:rsidR="00153913">
        <w:rPr>
          <w:rFonts w:asciiTheme="minorHAnsi" w:hAnsiTheme="minorHAnsi" w:cstheme="minorHAnsi"/>
          <w:sz w:val="22"/>
          <w:szCs w:val="22"/>
        </w:rPr>
        <w:t>F</w:t>
      </w:r>
      <w:r w:rsidRPr="00F75DE9">
        <w:rPr>
          <w:rFonts w:asciiTheme="minorHAnsi" w:hAnsiTheme="minorHAnsi" w:cstheme="minorHAnsi"/>
          <w:sz w:val="22"/>
          <w:szCs w:val="22"/>
        </w:rPr>
        <w:t>uture research should assess outcomes of those on the NHS-DDPP (e.g. HbA1c and bodyweight)</w:t>
      </w:r>
      <w:r w:rsidR="000F7CBB">
        <w:rPr>
          <w:rFonts w:asciiTheme="minorHAnsi" w:hAnsiTheme="minorHAnsi" w:cstheme="minorHAnsi"/>
          <w:sz w:val="22"/>
          <w:szCs w:val="22"/>
        </w:rPr>
        <w:t>,</w:t>
      </w:r>
      <w:r w:rsidRPr="00F75DE9">
        <w:rPr>
          <w:rFonts w:asciiTheme="minorHAnsi" w:hAnsiTheme="minorHAnsi" w:cstheme="minorHAnsi"/>
          <w:sz w:val="22"/>
          <w:szCs w:val="22"/>
        </w:rPr>
        <w:t xml:space="preserve"> and compare the outcomes of those who disengaged with those who continued to engage with the programme. This could establish whether a drop-off in engagement is due to users having achieved health outcomes and would thus indicate whether a shorter programme duration </w:t>
      </w:r>
      <w:r w:rsidRPr="00F75DE9">
        <w:rPr>
          <w:rFonts w:asciiTheme="minorHAnsi" w:hAnsiTheme="minorHAnsi" w:cstheme="minorHAnsi"/>
          <w:sz w:val="22"/>
          <w:szCs w:val="22"/>
        </w:rPr>
        <w:lastRenderedPageBreak/>
        <w:t>might be suffice, or whether providers should be encouraged to increase their interactions with users at a later stage during the programme to maintain engagement for a longer period.</w:t>
      </w:r>
    </w:p>
    <w:p w14:paraId="4C64E693" w14:textId="63EC1AB2" w:rsidR="00ED26D0" w:rsidRPr="00F75DE9" w:rsidRDefault="000F1E8D" w:rsidP="00B47B21">
      <w:pPr>
        <w:pStyle w:val="NormalWeb"/>
        <w:spacing w:before="0" w:beforeAutospacing="0" w:after="0" w:afterAutospacing="0" w:line="480" w:lineRule="auto"/>
        <w:ind w:firstLine="360"/>
        <w:rPr>
          <w:rFonts w:asciiTheme="minorHAnsi" w:hAnsiTheme="minorHAnsi" w:cstheme="minorHAnsi"/>
          <w:sz w:val="22"/>
          <w:szCs w:val="22"/>
        </w:rPr>
      </w:pPr>
      <w:r>
        <w:rPr>
          <w:rFonts w:asciiTheme="minorHAnsi" w:hAnsiTheme="minorHAnsi" w:cstheme="minorHAnsi"/>
          <w:sz w:val="22"/>
          <w:szCs w:val="22"/>
        </w:rPr>
        <w:t>T</w:t>
      </w:r>
      <w:r w:rsidR="00B47B21" w:rsidRPr="00B47B21">
        <w:rPr>
          <w:rFonts w:asciiTheme="minorHAnsi" w:hAnsiTheme="minorHAnsi" w:cstheme="minorHAnsi"/>
          <w:sz w:val="22"/>
          <w:szCs w:val="22"/>
        </w:rPr>
        <w:t xml:space="preserve">he lack of </w:t>
      </w:r>
      <w:r w:rsidR="00AB2856">
        <w:rPr>
          <w:rFonts w:asciiTheme="minorHAnsi" w:hAnsiTheme="minorHAnsi" w:cstheme="minorHAnsi"/>
          <w:sz w:val="22"/>
          <w:szCs w:val="22"/>
        </w:rPr>
        <w:t>engagement with group support in the current study</w:t>
      </w:r>
      <w:r w:rsidR="00B47B21" w:rsidRPr="00B47B21">
        <w:rPr>
          <w:rFonts w:asciiTheme="minorHAnsi" w:hAnsiTheme="minorHAnsi" w:cstheme="minorHAnsi"/>
          <w:sz w:val="22"/>
          <w:szCs w:val="22"/>
        </w:rPr>
        <w:t xml:space="preserve"> </w:t>
      </w:r>
      <w:r w:rsidR="00B47B21">
        <w:rPr>
          <w:rFonts w:asciiTheme="minorHAnsi" w:hAnsiTheme="minorHAnsi" w:cstheme="minorHAnsi"/>
          <w:sz w:val="22"/>
          <w:szCs w:val="22"/>
        </w:rPr>
        <w:t>might indicate that users</w:t>
      </w:r>
      <w:r w:rsidR="00B47B21" w:rsidRPr="00B47B21">
        <w:rPr>
          <w:rFonts w:asciiTheme="minorHAnsi" w:hAnsiTheme="minorHAnsi" w:cstheme="minorHAnsi"/>
          <w:sz w:val="22"/>
          <w:szCs w:val="22"/>
        </w:rPr>
        <w:t xml:space="preserve"> are missing out on a key </w:t>
      </w:r>
      <w:r w:rsidR="00B47B21">
        <w:rPr>
          <w:rFonts w:asciiTheme="minorHAnsi" w:hAnsiTheme="minorHAnsi" w:cstheme="minorHAnsi"/>
          <w:sz w:val="22"/>
          <w:szCs w:val="22"/>
        </w:rPr>
        <w:t>intervention component</w:t>
      </w:r>
      <w:r w:rsidR="00B47B21" w:rsidRPr="00B47B21">
        <w:rPr>
          <w:rFonts w:asciiTheme="minorHAnsi" w:hAnsiTheme="minorHAnsi" w:cstheme="minorHAnsi"/>
          <w:sz w:val="22"/>
          <w:szCs w:val="22"/>
        </w:rPr>
        <w:t xml:space="preserve">. </w:t>
      </w:r>
      <w:r w:rsidR="00AB2856">
        <w:rPr>
          <w:rFonts w:asciiTheme="minorHAnsi" w:hAnsiTheme="minorHAnsi" w:cstheme="minorHAnsi"/>
          <w:sz w:val="22"/>
          <w:szCs w:val="22"/>
        </w:rPr>
        <w:t>T</w:t>
      </w:r>
      <w:r w:rsidR="00ED26D0">
        <w:rPr>
          <w:rFonts w:asciiTheme="minorHAnsi" w:hAnsiTheme="minorHAnsi" w:cstheme="minorHAnsi"/>
          <w:sz w:val="22"/>
          <w:szCs w:val="22"/>
        </w:rPr>
        <w:t xml:space="preserve">he provider that offered closed groups chats moderated by health coaches elicited higher engagement in the NHS-DDPP compared to usage of open group discussion forums. </w:t>
      </w:r>
      <w:r w:rsidR="0066461C">
        <w:rPr>
          <w:rFonts w:asciiTheme="minorHAnsi" w:hAnsiTheme="minorHAnsi" w:cstheme="minorHAnsi"/>
          <w:sz w:val="22"/>
          <w:szCs w:val="22"/>
        </w:rPr>
        <w:t xml:space="preserve">We do not know from this study whether it is the closed nature of the groups that elicited higher engagement, the moderation from a health coach, or both. </w:t>
      </w:r>
      <w:r w:rsidR="00C4419A">
        <w:rPr>
          <w:rFonts w:asciiTheme="minorHAnsi" w:hAnsiTheme="minorHAnsi" w:cstheme="minorHAnsi"/>
          <w:sz w:val="22"/>
          <w:szCs w:val="22"/>
        </w:rPr>
        <w:t>More research is needed</w:t>
      </w:r>
      <w:r w:rsidR="00ED26D0">
        <w:rPr>
          <w:rFonts w:asciiTheme="minorHAnsi" w:hAnsiTheme="minorHAnsi" w:cstheme="minorHAnsi"/>
          <w:sz w:val="22"/>
          <w:szCs w:val="22"/>
        </w:rPr>
        <w:t xml:space="preserve"> to </w:t>
      </w:r>
      <w:r w:rsidR="00ED26D0" w:rsidRPr="00F75DE9">
        <w:rPr>
          <w:rFonts w:asciiTheme="minorHAnsi" w:hAnsiTheme="minorHAnsi" w:cstheme="minorHAnsi"/>
          <w:sz w:val="22"/>
          <w:szCs w:val="22"/>
        </w:rPr>
        <w:t>assess whether certain types of group support (e.g. open discussion forums vs. closed group chats) optimise engagement and effectiveness of digi</w:t>
      </w:r>
      <w:r w:rsidR="00ED26D0">
        <w:rPr>
          <w:rFonts w:asciiTheme="minorHAnsi" w:hAnsiTheme="minorHAnsi" w:cstheme="minorHAnsi"/>
          <w:sz w:val="22"/>
          <w:szCs w:val="22"/>
        </w:rPr>
        <w:t xml:space="preserve">tal behaviour change programmes, which would further establish whether this </w:t>
      </w:r>
      <w:r w:rsidR="00C26B19">
        <w:rPr>
          <w:rFonts w:asciiTheme="minorHAnsi" w:hAnsiTheme="minorHAnsi" w:cstheme="minorHAnsi"/>
          <w:sz w:val="22"/>
          <w:szCs w:val="22"/>
        </w:rPr>
        <w:t>component</w:t>
      </w:r>
      <w:r w:rsidR="00ED26D0">
        <w:rPr>
          <w:rFonts w:asciiTheme="minorHAnsi" w:hAnsiTheme="minorHAnsi" w:cstheme="minorHAnsi"/>
          <w:sz w:val="22"/>
          <w:szCs w:val="22"/>
        </w:rPr>
        <w:t xml:space="preserve"> is key for intervention effectiveness.</w:t>
      </w:r>
    </w:p>
    <w:p w14:paraId="5944DBE6" w14:textId="2F5E2499" w:rsidR="002127BD" w:rsidRPr="00F75DE9" w:rsidRDefault="002127BD" w:rsidP="002127BD">
      <w:pPr>
        <w:pStyle w:val="NormalWeb"/>
        <w:spacing w:before="0" w:beforeAutospacing="0" w:after="0" w:afterAutospacing="0" w:line="480" w:lineRule="auto"/>
        <w:ind w:firstLine="360"/>
        <w:rPr>
          <w:rFonts w:asciiTheme="minorHAnsi" w:hAnsiTheme="minorHAnsi" w:cstheme="minorHAnsi"/>
          <w:sz w:val="22"/>
          <w:szCs w:val="22"/>
        </w:rPr>
      </w:pPr>
      <w:r w:rsidRPr="00F75DE9">
        <w:rPr>
          <w:rFonts w:asciiTheme="minorHAnsi" w:hAnsiTheme="minorHAnsi" w:cstheme="minorHAnsi"/>
          <w:sz w:val="22"/>
          <w:szCs w:val="22"/>
        </w:rPr>
        <w:t>To further understand real-world behavioural intervention usage, future studies that compare ‘live’ interventions should engage in data linkage as early as possible such that collected data can be meaningfully aggregated across service providers.</w:t>
      </w:r>
      <w:r w:rsidR="00DE5363">
        <w:rPr>
          <w:rFonts w:asciiTheme="minorHAnsi" w:hAnsiTheme="minorHAnsi" w:cstheme="minorHAnsi"/>
          <w:sz w:val="22"/>
          <w:szCs w:val="22"/>
        </w:rPr>
        <w:t xml:space="preserve"> Finally, given that obtaining outcome data (e.g. </w:t>
      </w:r>
      <w:r w:rsidR="004E0449">
        <w:rPr>
          <w:rFonts w:asciiTheme="minorHAnsi" w:hAnsiTheme="minorHAnsi" w:cstheme="minorHAnsi"/>
          <w:sz w:val="22"/>
          <w:szCs w:val="22"/>
        </w:rPr>
        <w:t>body</w:t>
      </w:r>
      <w:r w:rsidR="00DE5363">
        <w:rPr>
          <w:rFonts w:asciiTheme="minorHAnsi" w:hAnsiTheme="minorHAnsi" w:cstheme="minorHAnsi"/>
          <w:sz w:val="22"/>
          <w:szCs w:val="22"/>
        </w:rPr>
        <w:t xml:space="preserve">weight) was not possible for the current analysis, future evaluation research for this national programme should examine the dose response </w:t>
      </w:r>
      <w:r w:rsidR="00BE6FBC">
        <w:rPr>
          <w:rFonts w:asciiTheme="minorHAnsi" w:hAnsiTheme="minorHAnsi" w:cstheme="minorHAnsi"/>
          <w:sz w:val="22"/>
          <w:szCs w:val="22"/>
        </w:rPr>
        <w:t xml:space="preserve">in relation to participants’ adherence with </w:t>
      </w:r>
      <w:r w:rsidR="00C62743">
        <w:rPr>
          <w:rFonts w:asciiTheme="minorHAnsi" w:hAnsiTheme="minorHAnsi" w:cstheme="minorHAnsi"/>
          <w:sz w:val="22"/>
          <w:szCs w:val="22"/>
        </w:rPr>
        <w:t xml:space="preserve">intervention </w:t>
      </w:r>
      <w:r w:rsidR="00BE6FBC">
        <w:rPr>
          <w:rFonts w:asciiTheme="minorHAnsi" w:hAnsiTheme="minorHAnsi" w:cstheme="minorHAnsi"/>
          <w:sz w:val="22"/>
          <w:szCs w:val="22"/>
        </w:rPr>
        <w:t>features of the NHS-DDPP and the impact this has on outcomes (e.g. weight loss, HbA1c).</w:t>
      </w:r>
    </w:p>
    <w:p w14:paraId="41B4E677" w14:textId="62FDEDAC" w:rsidR="002127BD" w:rsidRPr="00F75DE9" w:rsidRDefault="00426C70" w:rsidP="002127BD">
      <w:pPr>
        <w:pStyle w:val="NormalWeb"/>
        <w:spacing w:before="0" w:beforeAutospacing="0" w:after="0" w:afterAutospacing="0" w:line="480" w:lineRule="auto"/>
        <w:rPr>
          <w:rFonts w:asciiTheme="minorHAnsi" w:hAnsiTheme="minorHAnsi" w:cstheme="minorHAnsi"/>
          <w:sz w:val="22"/>
          <w:szCs w:val="22"/>
        </w:rPr>
      </w:pPr>
      <w:r>
        <w:rPr>
          <w:rFonts w:asciiTheme="minorHAnsi" w:hAnsiTheme="minorHAnsi" w:cstheme="minorHAnsi"/>
          <w:b/>
          <w:bCs/>
          <w:sz w:val="22"/>
          <w:szCs w:val="22"/>
        </w:rPr>
        <w:t>4.5</w:t>
      </w:r>
      <w:r w:rsidR="00E044E6">
        <w:rPr>
          <w:rFonts w:asciiTheme="minorHAnsi" w:hAnsiTheme="minorHAnsi" w:cstheme="minorHAnsi"/>
          <w:b/>
          <w:bCs/>
          <w:sz w:val="22"/>
          <w:szCs w:val="22"/>
        </w:rPr>
        <w:t>.</w:t>
      </w:r>
      <w:r>
        <w:rPr>
          <w:rFonts w:asciiTheme="minorHAnsi" w:hAnsiTheme="minorHAnsi" w:cstheme="minorHAnsi"/>
          <w:b/>
          <w:bCs/>
          <w:sz w:val="22"/>
          <w:szCs w:val="22"/>
        </w:rPr>
        <w:t xml:space="preserve"> </w:t>
      </w:r>
      <w:r w:rsidR="002127BD" w:rsidRPr="00F75DE9">
        <w:rPr>
          <w:rFonts w:asciiTheme="minorHAnsi" w:hAnsiTheme="minorHAnsi" w:cstheme="minorHAnsi"/>
          <w:b/>
          <w:bCs/>
          <w:sz w:val="22"/>
          <w:szCs w:val="22"/>
        </w:rPr>
        <w:t>Conclusions</w:t>
      </w:r>
    </w:p>
    <w:p w14:paraId="53FA29E3" w14:textId="64B0F004" w:rsidR="002127BD" w:rsidRPr="00F75DE9" w:rsidRDefault="002127BD" w:rsidP="002127BD">
      <w:pPr>
        <w:pStyle w:val="NormalWeb"/>
        <w:spacing w:before="0" w:beforeAutospacing="0" w:after="0" w:afterAutospacing="0" w:line="480" w:lineRule="auto"/>
        <w:ind w:firstLine="360"/>
        <w:rPr>
          <w:rFonts w:asciiTheme="minorHAnsi" w:hAnsiTheme="minorHAnsi" w:cstheme="minorHAnsi"/>
          <w:sz w:val="22"/>
          <w:szCs w:val="22"/>
        </w:rPr>
      </w:pPr>
      <w:r w:rsidRPr="00F75DE9">
        <w:rPr>
          <w:rFonts w:asciiTheme="minorHAnsi" w:hAnsiTheme="minorHAnsi" w:cstheme="minorHAnsi"/>
          <w:sz w:val="22"/>
          <w:szCs w:val="22"/>
        </w:rPr>
        <w:t>This study analysed usage data from a cohort of service users enrolled on the nationally-implemented English digital diabetes prevention programme</w:t>
      </w:r>
      <w:r w:rsidR="005619CC">
        <w:rPr>
          <w:rFonts w:asciiTheme="minorHAnsi" w:hAnsiTheme="minorHAnsi" w:cstheme="minorHAnsi"/>
          <w:sz w:val="22"/>
          <w:szCs w:val="22"/>
        </w:rPr>
        <w:t>,</w:t>
      </w:r>
      <w:r w:rsidRPr="00F75DE9">
        <w:rPr>
          <w:rFonts w:asciiTheme="minorHAnsi" w:hAnsiTheme="minorHAnsi" w:cstheme="minorHAnsi"/>
          <w:sz w:val="22"/>
          <w:szCs w:val="22"/>
        </w:rPr>
        <w:t xml:space="preserve"> provid</w:t>
      </w:r>
      <w:r w:rsidR="005619CC">
        <w:rPr>
          <w:rFonts w:asciiTheme="minorHAnsi" w:hAnsiTheme="minorHAnsi" w:cstheme="minorHAnsi"/>
          <w:sz w:val="22"/>
          <w:szCs w:val="22"/>
        </w:rPr>
        <w:t>ing</w:t>
      </w:r>
      <w:r w:rsidRPr="00F75DE9">
        <w:rPr>
          <w:rFonts w:asciiTheme="minorHAnsi" w:hAnsiTheme="minorHAnsi" w:cstheme="minorHAnsi"/>
          <w:sz w:val="22"/>
          <w:szCs w:val="22"/>
        </w:rPr>
        <w:t xml:space="preserve"> insights into how users engage with a digital programme</w:t>
      </w:r>
      <w:r w:rsidR="00C4419A">
        <w:rPr>
          <w:rFonts w:asciiTheme="minorHAnsi" w:hAnsiTheme="minorHAnsi" w:cstheme="minorHAnsi"/>
          <w:sz w:val="22"/>
          <w:szCs w:val="22"/>
        </w:rPr>
        <w:t xml:space="preserve"> in a real world setting</w:t>
      </w:r>
      <w:r w:rsidRPr="00F75DE9">
        <w:rPr>
          <w:rFonts w:asciiTheme="minorHAnsi" w:hAnsiTheme="minorHAnsi" w:cstheme="minorHAnsi"/>
          <w:sz w:val="22"/>
          <w:szCs w:val="22"/>
        </w:rPr>
        <w:t xml:space="preserve"> across</w:t>
      </w:r>
      <w:r w:rsidR="005619CC">
        <w:rPr>
          <w:rFonts w:asciiTheme="minorHAnsi" w:hAnsiTheme="minorHAnsi" w:cstheme="minorHAnsi"/>
          <w:sz w:val="22"/>
          <w:szCs w:val="22"/>
        </w:rPr>
        <w:t xml:space="preserve"> the</w:t>
      </w:r>
      <w:r w:rsidRPr="00F75DE9">
        <w:rPr>
          <w:rFonts w:asciiTheme="minorHAnsi" w:hAnsiTheme="minorHAnsi" w:cstheme="minorHAnsi"/>
          <w:sz w:val="22"/>
          <w:szCs w:val="22"/>
        </w:rPr>
        <w:t xml:space="preserve"> nine-month</w:t>
      </w:r>
      <w:r w:rsidR="005619CC">
        <w:rPr>
          <w:rFonts w:asciiTheme="minorHAnsi" w:hAnsiTheme="minorHAnsi" w:cstheme="minorHAnsi"/>
          <w:sz w:val="22"/>
          <w:szCs w:val="22"/>
        </w:rPr>
        <w:t xml:space="preserve"> intervention duration</w:t>
      </w:r>
      <w:r w:rsidRPr="00F75DE9">
        <w:rPr>
          <w:rFonts w:asciiTheme="minorHAnsi" w:hAnsiTheme="minorHAnsi" w:cstheme="minorHAnsi"/>
          <w:sz w:val="22"/>
          <w:szCs w:val="22"/>
        </w:rPr>
        <w:t>.</w:t>
      </w:r>
      <w:r w:rsidR="001C42DE">
        <w:rPr>
          <w:rFonts w:asciiTheme="minorHAnsi" w:hAnsiTheme="minorHAnsi" w:cstheme="minorHAnsi"/>
          <w:sz w:val="22"/>
          <w:szCs w:val="22"/>
        </w:rPr>
        <w:t xml:space="preserve"> </w:t>
      </w:r>
      <w:r w:rsidR="001C42DE" w:rsidRPr="00F75DE9">
        <w:rPr>
          <w:rFonts w:asciiTheme="minorHAnsi" w:hAnsiTheme="minorHAnsi" w:cstheme="minorHAnsi"/>
          <w:sz w:val="22"/>
          <w:szCs w:val="22"/>
        </w:rPr>
        <w:t>The magnitude of the decrease in app usage varied substantially</w:t>
      </w:r>
      <w:r w:rsidR="001C42DE">
        <w:rPr>
          <w:rFonts w:asciiTheme="minorHAnsi" w:hAnsiTheme="minorHAnsi" w:cstheme="minorHAnsi"/>
          <w:sz w:val="22"/>
          <w:szCs w:val="22"/>
        </w:rPr>
        <w:t xml:space="preserve">, with engagement varying both between individuals and across programme providers. </w:t>
      </w:r>
      <w:r w:rsidR="001D09D2">
        <w:rPr>
          <w:rFonts w:asciiTheme="minorHAnsi" w:hAnsiTheme="minorHAnsi" w:cstheme="minorHAnsi"/>
          <w:sz w:val="22"/>
          <w:szCs w:val="22"/>
        </w:rPr>
        <w:t>H</w:t>
      </w:r>
      <w:r w:rsidR="001C42DE">
        <w:rPr>
          <w:rFonts w:asciiTheme="minorHAnsi" w:hAnsiTheme="minorHAnsi" w:cstheme="minorHAnsi"/>
          <w:sz w:val="22"/>
        </w:rPr>
        <w:t>ealth coach support</w:t>
      </w:r>
      <w:r w:rsidR="0069311F">
        <w:rPr>
          <w:rFonts w:asciiTheme="minorHAnsi" w:hAnsiTheme="minorHAnsi" w:cstheme="minorHAnsi"/>
          <w:sz w:val="22"/>
        </w:rPr>
        <w:t xml:space="preserve"> that was</w:t>
      </w:r>
      <w:r w:rsidR="001D09D2">
        <w:rPr>
          <w:rFonts w:asciiTheme="minorHAnsi" w:hAnsiTheme="minorHAnsi" w:cstheme="minorHAnsi"/>
          <w:sz w:val="22"/>
        </w:rPr>
        <w:t xml:space="preserve"> linked to specific features</w:t>
      </w:r>
      <w:r w:rsidR="0069311F">
        <w:rPr>
          <w:rFonts w:asciiTheme="minorHAnsi" w:hAnsiTheme="minorHAnsi" w:cstheme="minorHAnsi"/>
          <w:sz w:val="22"/>
        </w:rPr>
        <w:t xml:space="preserve"> (e.g. goal setting and self-monitoring)</w:t>
      </w:r>
      <w:r w:rsidR="001C42DE" w:rsidRPr="001C42DE">
        <w:rPr>
          <w:rFonts w:asciiTheme="minorHAnsi" w:hAnsiTheme="minorHAnsi" w:cstheme="minorHAnsi"/>
          <w:sz w:val="22"/>
        </w:rPr>
        <w:t xml:space="preserve"> </w:t>
      </w:r>
      <w:r w:rsidR="00C4419A">
        <w:rPr>
          <w:rFonts w:asciiTheme="minorHAnsi" w:hAnsiTheme="minorHAnsi" w:cstheme="minorHAnsi"/>
          <w:sz w:val="22"/>
        </w:rPr>
        <w:t>was associated with higher</w:t>
      </w:r>
      <w:r w:rsidR="001C42DE" w:rsidRPr="001C42DE">
        <w:rPr>
          <w:rFonts w:asciiTheme="minorHAnsi" w:hAnsiTheme="minorHAnsi" w:cstheme="minorHAnsi"/>
          <w:sz w:val="22"/>
        </w:rPr>
        <w:t xml:space="preserve"> engagement</w:t>
      </w:r>
      <w:r w:rsidR="001D09D2">
        <w:rPr>
          <w:rFonts w:asciiTheme="minorHAnsi" w:hAnsiTheme="minorHAnsi" w:cstheme="minorHAnsi"/>
          <w:sz w:val="22"/>
        </w:rPr>
        <w:t xml:space="preserve"> with </w:t>
      </w:r>
      <w:r w:rsidR="0069311F">
        <w:rPr>
          <w:rFonts w:asciiTheme="minorHAnsi" w:hAnsiTheme="minorHAnsi" w:cstheme="minorHAnsi"/>
          <w:sz w:val="22"/>
        </w:rPr>
        <w:lastRenderedPageBreak/>
        <w:t>that intervention</w:t>
      </w:r>
      <w:r w:rsidR="001D09D2">
        <w:rPr>
          <w:rFonts w:asciiTheme="minorHAnsi" w:hAnsiTheme="minorHAnsi" w:cstheme="minorHAnsi"/>
          <w:sz w:val="22"/>
        </w:rPr>
        <w:t xml:space="preserve"> feature</w:t>
      </w:r>
      <w:r w:rsidR="001C42DE" w:rsidRPr="001C42DE">
        <w:rPr>
          <w:rFonts w:asciiTheme="minorHAnsi" w:hAnsiTheme="minorHAnsi" w:cstheme="minorHAnsi"/>
          <w:sz w:val="22"/>
        </w:rPr>
        <w:t>.</w:t>
      </w:r>
      <w:r w:rsidR="001C42DE" w:rsidRPr="001C42DE">
        <w:rPr>
          <w:rFonts w:asciiTheme="minorHAnsi" w:hAnsiTheme="minorHAnsi" w:cstheme="minorHAnsi"/>
          <w:sz w:val="20"/>
          <w:szCs w:val="22"/>
        </w:rPr>
        <w:t xml:space="preserve"> </w:t>
      </w:r>
      <w:r w:rsidR="001C42DE">
        <w:rPr>
          <w:rFonts w:asciiTheme="minorHAnsi" w:hAnsiTheme="minorHAnsi" w:cstheme="minorHAnsi"/>
          <w:sz w:val="20"/>
          <w:szCs w:val="22"/>
        </w:rPr>
        <w:t>F</w:t>
      </w:r>
      <w:r w:rsidR="001C42DE">
        <w:rPr>
          <w:rFonts w:asciiTheme="minorHAnsi" w:hAnsiTheme="minorHAnsi" w:cstheme="minorHAnsi"/>
          <w:sz w:val="22"/>
          <w:szCs w:val="22"/>
        </w:rPr>
        <w:t xml:space="preserve">uture research is needed to compare engagement rates and outcomes, both within and across providers. </w:t>
      </w:r>
    </w:p>
    <w:p w14:paraId="6EB10D23" w14:textId="2C48D9C0" w:rsidR="001E6F4F" w:rsidRDefault="001E6F4F" w:rsidP="007F3C8A">
      <w:pPr>
        <w:suppressLineNumbers/>
        <w:spacing w:line="480" w:lineRule="auto"/>
        <w:rPr>
          <w:b/>
        </w:rPr>
      </w:pPr>
    </w:p>
    <w:p w14:paraId="01D65D4B" w14:textId="07BE6BD3" w:rsidR="000F1E8D" w:rsidRDefault="000F1E8D" w:rsidP="007F3C8A">
      <w:pPr>
        <w:suppressLineNumbers/>
        <w:spacing w:line="480" w:lineRule="auto"/>
        <w:rPr>
          <w:b/>
        </w:rPr>
      </w:pPr>
    </w:p>
    <w:p w14:paraId="1A3029E5" w14:textId="31591130" w:rsidR="0044533A" w:rsidRPr="00975B17" w:rsidRDefault="00486DCF" w:rsidP="000C4F84">
      <w:pPr>
        <w:suppressLineNumbers/>
        <w:spacing w:after="0" w:line="480" w:lineRule="auto"/>
        <w:rPr>
          <w:b/>
        </w:rPr>
      </w:pPr>
      <w:r>
        <w:rPr>
          <w:b/>
        </w:rPr>
        <w:t>L</w:t>
      </w:r>
      <w:r w:rsidR="0044533A" w:rsidRPr="00975B17">
        <w:rPr>
          <w:b/>
        </w:rPr>
        <w:t>ist of Abbreviations</w:t>
      </w:r>
    </w:p>
    <w:p w14:paraId="44C3FB50" w14:textId="77777777" w:rsidR="0044533A" w:rsidRDefault="0044533A" w:rsidP="000C4F84">
      <w:pPr>
        <w:suppressLineNumbers/>
        <w:spacing w:after="0" w:line="480" w:lineRule="auto"/>
        <w:rPr>
          <w:rFonts w:cstheme="minorHAnsi"/>
        </w:rPr>
      </w:pPr>
      <w:r>
        <w:rPr>
          <w:rFonts w:cstheme="minorHAnsi"/>
        </w:rPr>
        <w:t>BMI: Body Mass Index</w:t>
      </w:r>
    </w:p>
    <w:p w14:paraId="2D8D0857" w14:textId="4311EBA9" w:rsidR="0044533A" w:rsidRDefault="0044533A" w:rsidP="000C4F84">
      <w:pPr>
        <w:suppressLineNumbers/>
        <w:spacing w:after="0" w:line="480" w:lineRule="auto"/>
        <w:rPr>
          <w:rFonts w:cstheme="minorHAnsi"/>
        </w:rPr>
      </w:pPr>
      <w:r>
        <w:rPr>
          <w:rFonts w:cstheme="minorHAnsi"/>
        </w:rPr>
        <w:t xml:space="preserve">HbA1c: </w:t>
      </w:r>
      <w:r w:rsidR="000A5A26">
        <w:t>Hemoglobin A1c</w:t>
      </w:r>
    </w:p>
    <w:p w14:paraId="1685AC5A" w14:textId="77777777" w:rsidR="0044533A" w:rsidRDefault="0044533A" w:rsidP="000C4F84">
      <w:pPr>
        <w:suppressLineNumbers/>
        <w:spacing w:after="0" w:line="480" w:lineRule="auto"/>
        <w:rPr>
          <w:rFonts w:cstheme="minorHAnsi"/>
        </w:rPr>
      </w:pPr>
      <w:r>
        <w:rPr>
          <w:rFonts w:cstheme="minorHAnsi"/>
        </w:rPr>
        <w:t>NHS-DPP: National Health Service Diabetes Prevention Programme</w:t>
      </w:r>
    </w:p>
    <w:p w14:paraId="2131BBC2" w14:textId="77777777" w:rsidR="0044533A" w:rsidRPr="00D90A7B" w:rsidRDefault="0044533A" w:rsidP="000C4F84">
      <w:pPr>
        <w:suppressLineNumbers/>
        <w:spacing w:after="0" w:line="480" w:lineRule="auto"/>
        <w:rPr>
          <w:rFonts w:cstheme="minorHAnsi"/>
        </w:rPr>
      </w:pPr>
      <w:r w:rsidRPr="00D90A7B">
        <w:rPr>
          <w:rFonts w:cstheme="minorHAnsi"/>
        </w:rPr>
        <w:t>NHS-DDPP: National Health Service Digital Diabetes Prevention Programme</w:t>
      </w:r>
    </w:p>
    <w:p w14:paraId="0BFCCAC3" w14:textId="77777777" w:rsidR="0044533A" w:rsidRDefault="0044533A" w:rsidP="000C4F84">
      <w:pPr>
        <w:suppressLineNumbers/>
        <w:spacing w:after="0" w:line="480" w:lineRule="auto"/>
        <w:rPr>
          <w:rFonts w:cstheme="minorHAnsi"/>
        </w:rPr>
      </w:pPr>
      <w:r>
        <w:rPr>
          <w:rFonts w:cstheme="minorHAnsi"/>
        </w:rPr>
        <w:t xml:space="preserve">T2DM: Type 2 diabetes mellitus </w:t>
      </w:r>
    </w:p>
    <w:p w14:paraId="7BFB40AD" w14:textId="00A6435C" w:rsidR="0044533A" w:rsidRDefault="0044533A" w:rsidP="000C4F84">
      <w:pPr>
        <w:suppressLineNumbers/>
        <w:spacing w:after="0" w:line="480" w:lineRule="auto"/>
        <w:rPr>
          <w:rFonts w:cstheme="minorHAnsi"/>
        </w:rPr>
      </w:pPr>
      <w:r>
        <w:rPr>
          <w:rFonts w:cstheme="minorHAnsi"/>
        </w:rPr>
        <w:t>UK: United Kingdom</w:t>
      </w:r>
    </w:p>
    <w:p w14:paraId="34BDC22C" w14:textId="14FCC123" w:rsidR="000F1E8D" w:rsidRDefault="008372BB" w:rsidP="000C4F84">
      <w:pPr>
        <w:suppressLineNumbers/>
        <w:spacing w:after="0" w:line="480" w:lineRule="auto"/>
        <w:rPr>
          <w:rFonts w:cstheme="minorHAnsi"/>
        </w:rPr>
      </w:pPr>
      <w:r>
        <w:rPr>
          <w:rFonts w:cstheme="minorHAnsi"/>
        </w:rPr>
        <w:t>US: United States</w:t>
      </w:r>
    </w:p>
    <w:p w14:paraId="34460C03" w14:textId="02FA92A4" w:rsidR="000C4F84" w:rsidRDefault="000C4F84" w:rsidP="000C4F84">
      <w:pPr>
        <w:suppressLineNumbers/>
        <w:spacing w:line="480" w:lineRule="auto"/>
        <w:jc w:val="center"/>
        <w:rPr>
          <w:b/>
        </w:rPr>
      </w:pPr>
    </w:p>
    <w:p w14:paraId="480CC844" w14:textId="77777777" w:rsidR="000C4F84" w:rsidRDefault="000C4F84" w:rsidP="000C4F84">
      <w:pPr>
        <w:suppressLineNumbers/>
        <w:spacing w:after="0" w:line="480" w:lineRule="auto"/>
        <w:rPr>
          <w:b/>
          <w:shd w:val="clear" w:color="auto" w:fill="FFFFFF"/>
        </w:rPr>
      </w:pPr>
      <w:r>
        <w:rPr>
          <w:b/>
          <w:shd w:val="clear" w:color="auto" w:fill="FFFFFF"/>
        </w:rPr>
        <w:t>List of Appendices</w:t>
      </w:r>
    </w:p>
    <w:p w14:paraId="2D6BA967" w14:textId="77777777" w:rsidR="000C4F84" w:rsidRDefault="000C4F84" w:rsidP="000C4F84">
      <w:pPr>
        <w:suppressLineNumbers/>
        <w:spacing w:after="0" w:line="480" w:lineRule="auto"/>
      </w:pPr>
      <w:r>
        <w:t xml:space="preserve">Appendix 1 (.doc): </w:t>
      </w:r>
      <w:r w:rsidRPr="00C61357">
        <w:t>Applying AMUsED framework to analysis</w:t>
      </w:r>
    </w:p>
    <w:p w14:paraId="164E9FF3" w14:textId="77777777" w:rsidR="000C4F84" w:rsidRDefault="000C4F84" w:rsidP="000C4F84">
      <w:pPr>
        <w:suppressLineNumbers/>
        <w:spacing w:after="0" w:line="480" w:lineRule="auto"/>
      </w:pPr>
      <w:r>
        <w:t xml:space="preserve">Appendix 2 (.doc): </w:t>
      </w:r>
      <w:r w:rsidRPr="00C61357">
        <w:t>Usage Data Field Definitions</w:t>
      </w:r>
    </w:p>
    <w:p w14:paraId="615AE459" w14:textId="77777777" w:rsidR="000C4F84" w:rsidRDefault="000C4F84" w:rsidP="000C4F84">
      <w:pPr>
        <w:suppressLineNumbers/>
        <w:spacing w:after="0" w:line="480" w:lineRule="auto"/>
        <w:rPr>
          <w:rFonts w:cstheme="minorHAnsi"/>
          <w:color w:val="0000FF"/>
          <w:sz w:val="20"/>
          <w:u w:val="single"/>
          <w:shd w:val="clear" w:color="auto" w:fill="FFFFFF"/>
        </w:rPr>
      </w:pPr>
      <w:r>
        <w:t xml:space="preserve">Appendix 3 (.doc): </w:t>
      </w:r>
      <w:r w:rsidRPr="00C61357">
        <w:t>Engagement with intervention features across the 9-month inter</w:t>
      </w:r>
      <w:r>
        <w:t>vention, broken down by provider</w:t>
      </w:r>
    </w:p>
    <w:p w14:paraId="3DB8ACF4" w14:textId="77777777" w:rsidR="00D0207F" w:rsidRDefault="00D0207F" w:rsidP="007F3C8A">
      <w:pPr>
        <w:suppressLineNumbers/>
        <w:spacing w:line="480" w:lineRule="auto"/>
        <w:jc w:val="center"/>
        <w:rPr>
          <w:b/>
        </w:rPr>
      </w:pPr>
    </w:p>
    <w:p w14:paraId="515C5BA7" w14:textId="77777777" w:rsidR="00D0207F" w:rsidRDefault="00D0207F" w:rsidP="007F3C8A">
      <w:pPr>
        <w:suppressLineNumbers/>
        <w:spacing w:line="480" w:lineRule="auto"/>
        <w:jc w:val="center"/>
        <w:rPr>
          <w:b/>
        </w:rPr>
      </w:pPr>
    </w:p>
    <w:p w14:paraId="1380D40A" w14:textId="77777777" w:rsidR="00D0207F" w:rsidRDefault="00D0207F" w:rsidP="007F3C8A">
      <w:pPr>
        <w:suppressLineNumbers/>
        <w:spacing w:line="480" w:lineRule="auto"/>
        <w:jc w:val="center"/>
        <w:rPr>
          <w:b/>
        </w:rPr>
      </w:pPr>
    </w:p>
    <w:p w14:paraId="1B3977E0" w14:textId="730D5C78" w:rsidR="00D0207F" w:rsidRDefault="00D0207F" w:rsidP="007F3C8A">
      <w:pPr>
        <w:suppressLineNumbers/>
        <w:spacing w:line="480" w:lineRule="auto"/>
        <w:jc w:val="center"/>
        <w:rPr>
          <w:b/>
        </w:rPr>
      </w:pPr>
    </w:p>
    <w:p w14:paraId="62A16758" w14:textId="3F76A5B5" w:rsidR="000C4F84" w:rsidRDefault="000C4F84" w:rsidP="007F3C8A">
      <w:pPr>
        <w:suppressLineNumbers/>
        <w:spacing w:line="480" w:lineRule="auto"/>
        <w:jc w:val="center"/>
        <w:rPr>
          <w:b/>
        </w:rPr>
      </w:pPr>
    </w:p>
    <w:p w14:paraId="45BFEB44" w14:textId="2205C356" w:rsidR="000C4F84" w:rsidRDefault="000C4F84" w:rsidP="007F3C8A">
      <w:pPr>
        <w:suppressLineNumbers/>
        <w:spacing w:line="480" w:lineRule="auto"/>
        <w:jc w:val="center"/>
        <w:rPr>
          <w:b/>
        </w:rPr>
      </w:pPr>
    </w:p>
    <w:p w14:paraId="501A3801" w14:textId="1B757D97" w:rsidR="00A07598" w:rsidRPr="00975B17" w:rsidRDefault="00A65386" w:rsidP="00536FB1">
      <w:pPr>
        <w:suppressLineNumbers/>
        <w:spacing w:after="0" w:line="480" w:lineRule="auto"/>
        <w:jc w:val="center"/>
        <w:rPr>
          <w:b/>
        </w:rPr>
      </w:pPr>
      <w:r w:rsidRPr="00975B17">
        <w:rPr>
          <w:b/>
        </w:rPr>
        <w:lastRenderedPageBreak/>
        <w:t>D</w:t>
      </w:r>
      <w:r w:rsidR="00A07598" w:rsidRPr="00975B17">
        <w:rPr>
          <w:b/>
        </w:rPr>
        <w:t>eclarations</w:t>
      </w:r>
    </w:p>
    <w:p w14:paraId="1CCA773B" w14:textId="77777777" w:rsidR="000B4B25" w:rsidRPr="00975B17" w:rsidRDefault="000B4B25" w:rsidP="00536FB1">
      <w:pPr>
        <w:suppressLineNumbers/>
        <w:spacing w:after="0" w:line="480" w:lineRule="auto"/>
        <w:rPr>
          <w:b/>
        </w:rPr>
      </w:pPr>
      <w:r w:rsidRPr="00975B17">
        <w:rPr>
          <w:b/>
        </w:rPr>
        <w:t>Ethics approval and consent to participate</w:t>
      </w:r>
    </w:p>
    <w:p w14:paraId="1E4CE05D" w14:textId="77777777" w:rsidR="000B4B25" w:rsidRPr="00D90A7B" w:rsidRDefault="000B4B25" w:rsidP="007F3C8A">
      <w:pPr>
        <w:suppressLineNumbers/>
        <w:spacing w:line="480" w:lineRule="auto"/>
        <w:rPr>
          <w:rFonts w:cstheme="minorHAnsi"/>
          <w:b/>
        </w:rPr>
      </w:pPr>
      <w:r w:rsidRPr="00D90A7B">
        <w:rPr>
          <w:rFonts w:cstheme="minorHAnsi"/>
        </w:rPr>
        <w:t>The wider programme of research of which this study is a part of was reviewed and approved by the North West Greater Manchester East NHS Research Ethics Committee (Reference: 17/NW/0426, 1</w:t>
      </w:r>
      <w:r w:rsidRPr="00D90A7B">
        <w:rPr>
          <w:rFonts w:cstheme="minorHAnsi"/>
          <w:vertAlign w:val="superscript"/>
        </w:rPr>
        <w:t>st</w:t>
      </w:r>
      <w:r w:rsidRPr="00D90A7B">
        <w:rPr>
          <w:rFonts w:cstheme="minorHAnsi"/>
        </w:rPr>
        <w:t xml:space="preserve"> August 2017). Full verbal consent was obtained from all participants included in this study.</w:t>
      </w:r>
    </w:p>
    <w:p w14:paraId="6684BB60" w14:textId="1F8CD1A9" w:rsidR="000B4B25" w:rsidRDefault="000B4B25" w:rsidP="00536FB1">
      <w:pPr>
        <w:suppressLineNumbers/>
        <w:spacing w:after="0" w:line="480" w:lineRule="auto"/>
        <w:rPr>
          <w:b/>
        </w:rPr>
      </w:pPr>
      <w:r>
        <w:rPr>
          <w:b/>
        </w:rPr>
        <w:t>Consent for publication</w:t>
      </w:r>
    </w:p>
    <w:p w14:paraId="7853FFC8" w14:textId="33CBAC14" w:rsidR="000B4B25" w:rsidRPr="000B4B25" w:rsidRDefault="000B4B25" w:rsidP="007F3C8A">
      <w:pPr>
        <w:suppressLineNumbers/>
        <w:spacing w:line="480" w:lineRule="auto"/>
      </w:pPr>
      <w:r>
        <w:t>Not applicable.</w:t>
      </w:r>
    </w:p>
    <w:p w14:paraId="1259A012" w14:textId="77777777" w:rsidR="000B4B25" w:rsidRPr="00975B17" w:rsidRDefault="000B4B25" w:rsidP="00536FB1">
      <w:pPr>
        <w:suppressLineNumbers/>
        <w:spacing w:after="0" w:line="480" w:lineRule="auto"/>
        <w:rPr>
          <w:b/>
        </w:rPr>
      </w:pPr>
      <w:r w:rsidRPr="00975B17">
        <w:rPr>
          <w:b/>
        </w:rPr>
        <w:t>Availability of data and materials</w:t>
      </w:r>
    </w:p>
    <w:p w14:paraId="46A1D485" w14:textId="7181013C" w:rsidR="000B4B25" w:rsidRDefault="000B4B25" w:rsidP="007F3C8A">
      <w:pPr>
        <w:suppressLineNumbers/>
        <w:spacing w:line="480" w:lineRule="auto"/>
        <w:rPr>
          <w:rFonts w:eastAsia="Times New Roman" w:cstheme="minorHAnsi"/>
          <w:lang w:eastAsia="en-GB"/>
        </w:rPr>
      </w:pPr>
      <w:r>
        <w:rPr>
          <w:rFonts w:eastAsia="Times New Roman" w:cstheme="minorHAnsi"/>
          <w:lang w:eastAsia="en-GB"/>
        </w:rPr>
        <w:t xml:space="preserve">The anonymous engagement data from </w:t>
      </w:r>
      <w:r w:rsidRPr="00D90A7B">
        <w:rPr>
          <w:rFonts w:eastAsia="Times New Roman" w:cstheme="minorHAnsi"/>
          <w:lang w:eastAsia="en-GB"/>
        </w:rPr>
        <w:t xml:space="preserve">the current study are not publicly available due to confidentiality agreements </w:t>
      </w:r>
      <w:r>
        <w:rPr>
          <w:rFonts w:eastAsia="Times New Roman" w:cstheme="minorHAnsi"/>
          <w:lang w:eastAsia="en-GB"/>
        </w:rPr>
        <w:t>with the provider organisations</w:t>
      </w:r>
      <w:r w:rsidRPr="00D90A7B">
        <w:rPr>
          <w:rFonts w:eastAsia="Times New Roman" w:cstheme="minorHAnsi"/>
          <w:lang w:eastAsia="en-GB"/>
        </w:rPr>
        <w:t xml:space="preserve">. Some datasets are available from the corresponding author on reasonable request, although authors will require the explicit permission of the relevant provider organisations. </w:t>
      </w:r>
    </w:p>
    <w:p w14:paraId="5C761BDE" w14:textId="7D1943FE" w:rsidR="000B4B25" w:rsidRDefault="000B4B25" w:rsidP="00536FB1">
      <w:pPr>
        <w:suppressLineNumbers/>
        <w:spacing w:after="0" w:line="480" w:lineRule="auto"/>
        <w:rPr>
          <w:rFonts w:eastAsia="Times New Roman" w:cstheme="minorHAnsi"/>
          <w:b/>
          <w:lang w:eastAsia="en-GB"/>
        </w:rPr>
      </w:pPr>
      <w:r>
        <w:rPr>
          <w:rFonts w:eastAsia="Times New Roman" w:cstheme="minorHAnsi"/>
          <w:b/>
          <w:lang w:eastAsia="en-GB"/>
        </w:rPr>
        <w:t>Competing interests</w:t>
      </w:r>
    </w:p>
    <w:p w14:paraId="4D526860" w14:textId="2900D234" w:rsidR="000B4B25" w:rsidRDefault="000B4B25" w:rsidP="007F3C8A">
      <w:pPr>
        <w:suppressLineNumbers/>
        <w:spacing w:line="480" w:lineRule="auto"/>
        <w:rPr>
          <w:rFonts w:cstheme="minorHAnsi"/>
        </w:rPr>
      </w:pPr>
      <w:r w:rsidRPr="00D90A7B">
        <w:rPr>
          <w:rFonts w:cstheme="minorHAnsi"/>
        </w:rPr>
        <w:t>The authors declare that they</w:t>
      </w:r>
      <w:r>
        <w:rPr>
          <w:rFonts w:cstheme="minorHAnsi"/>
        </w:rPr>
        <w:t xml:space="preserve"> have no competing interests.</w:t>
      </w:r>
    </w:p>
    <w:p w14:paraId="0D581F9C" w14:textId="77777777" w:rsidR="000B4B25" w:rsidRPr="00975B17" w:rsidRDefault="000B4B25" w:rsidP="00536FB1">
      <w:pPr>
        <w:suppressLineNumbers/>
        <w:spacing w:after="0" w:line="480" w:lineRule="auto"/>
        <w:rPr>
          <w:b/>
        </w:rPr>
      </w:pPr>
      <w:r w:rsidRPr="00975B17">
        <w:rPr>
          <w:b/>
        </w:rPr>
        <w:t>Funding</w:t>
      </w:r>
    </w:p>
    <w:p w14:paraId="2A2D152F" w14:textId="3B3B08A6" w:rsidR="00151747" w:rsidRPr="00536FB1" w:rsidRDefault="000B4B25" w:rsidP="007F3C8A">
      <w:pPr>
        <w:suppressLineNumbers/>
        <w:spacing w:line="480" w:lineRule="auto"/>
        <w:rPr>
          <w:rFonts w:cstheme="minorHAnsi"/>
        </w:rPr>
      </w:pPr>
      <w:r w:rsidRPr="00D90A7B">
        <w:rPr>
          <w:rFonts w:cstheme="minorHAnsi"/>
        </w:rPr>
        <w:t>This work is independent research funded by the National Institute for Health</w:t>
      </w:r>
      <w:r>
        <w:rPr>
          <w:rFonts w:cstheme="minorHAnsi"/>
        </w:rPr>
        <w:t xml:space="preserve"> and Care</w:t>
      </w:r>
      <w:r w:rsidRPr="00D90A7B">
        <w:rPr>
          <w:rFonts w:cstheme="minorHAnsi"/>
        </w:rPr>
        <w:t xml:space="preserve"> Research (</w:t>
      </w:r>
      <w:r w:rsidR="008B502D">
        <w:rPr>
          <w:rFonts w:cstheme="minorHAnsi"/>
        </w:rPr>
        <w:t>The Health and Social Care</w:t>
      </w:r>
      <w:r w:rsidRPr="00D90A7B">
        <w:rPr>
          <w:rFonts w:cstheme="minorHAnsi"/>
        </w:rPr>
        <w:t xml:space="preserve"> Delivery Research</w:t>
      </w:r>
      <w:r w:rsidR="008B502D">
        <w:rPr>
          <w:rFonts w:cstheme="minorHAnsi"/>
        </w:rPr>
        <w:t xml:space="preserve"> (HSDR) Programme</w:t>
      </w:r>
      <w:r w:rsidRPr="00D90A7B">
        <w:rPr>
          <w:rFonts w:cstheme="minorHAnsi"/>
        </w:rPr>
        <w:t>, 16/48/07 – Evaluating the NHS Diabetes Prevention Programme (NHS DPP): the DIPLOMA research programme (Diabetes Prevention – Long Term Multimethod Assessment)). The views and opinions expressed in this manuscript are those of the authors and do not necessarily reflect those of the National Institute for Health</w:t>
      </w:r>
      <w:r>
        <w:rPr>
          <w:rFonts w:cstheme="minorHAnsi"/>
        </w:rPr>
        <w:t xml:space="preserve"> and Care</w:t>
      </w:r>
      <w:r w:rsidRPr="00D90A7B">
        <w:rPr>
          <w:rFonts w:cstheme="minorHAnsi"/>
        </w:rPr>
        <w:t xml:space="preserve"> Research or the Depart</w:t>
      </w:r>
      <w:r w:rsidR="00536FB1">
        <w:rPr>
          <w:rFonts w:cstheme="minorHAnsi"/>
        </w:rPr>
        <w:t>ment of Health and Social Care.</w:t>
      </w:r>
    </w:p>
    <w:p w14:paraId="7DD70BDA" w14:textId="075D87BD" w:rsidR="000B4B25" w:rsidRPr="00975B17" w:rsidRDefault="000B4B25" w:rsidP="00536FB1">
      <w:pPr>
        <w:suppressLineNumbers/>
        <w:spacing w:after="0" w:line="480" w:lineRule="auto"/>
        <w:rPr>
          <w:b/>
        </w:rPr>
      </w:pPr>
      <w:r w:rsidRPr="00975B17">
        <w:rPr>
          <w:b/>
        </w:rPr>
        <w:t>Authors’ contributions</w:t>
      </w:r>
    </w:p>
    <w:p w14:paraId="7AFB14C1" w14:textId="4C5AE877" w:rsidR="000B4B25" w:rsidRPr="000B4B25" w:rsidRDefault="000B4B25" w:rsidP="007F3C8A">
      <w:pPr>
        <w:suppressLineNumbers/>
        <w:spacing w:line="480" w:lineRule="auto"/>
        <w:rPr>
          <w:rFonts w:cstheme="minorHAnsi"/>
          <w:b/>
        </w:rPr>
      </w:pPr>
      <w:r w:rsidRPr="00D90A7B">
        <w:rPr>
          <w:rFonts w:cstheme="minorHAnsi"/>
        </w:rPr>
        <w:t>DPF designed the research and secured funding for it as part of the wider DIPLOMA project. DPF supervised the research conduct</w:t>
      </w:r>
      <w:r>
        <w:rPr>
          <w:rFonts w:cstheme="minorHAnsi"/>
        </w:rPr>
        <w:t>, helped interpret the data</w:t>
      </w:r>
      <w:r w:rsidRPr="00D90A7B">
        <w:rPr>
          <w:rFonts w:cstheme="minorHAnsi"/>
        </w:rPr>
        <w:t xml:space="preserve"> and helped prepare the manuscript. REH</w:t>
      </w:r>
      <w:r>
        <w:rPr>
          <w:rFonts w:cstheme="minorHAnsi"/>
        </w:rPr>
        <w:t xml:space="preserve"> </w:t>
      </w:r>
      <w:r>
        <w:rPr>
          <w:rFonts w:cstheme="minorHAnsi"/>
        </w:rPr>
        <w:lastRenderedPageBreak/>
        <w:t>elicited the data from service providers, cleaned the data,</w:t>
      </w:r>
      <w:r w:rsidRPr="00D90A7B">
        <w:rPr>
          <w:rFonts w:cstheme="minorHAnsi"/>
        </w:rPr>
        <w:t xml:space="preserve"> analysed</w:t>
      </w:r>
      <w:r>
        <w:rPr>
          <w:rFonts w:cstheme="minorHAnsi"/>
        </w:rPr>
        <w:t xml:space="preserve"> and interpreted</w:t>
      </w:r>
      <w:r w:rsidRPr="00D90A7B">
        <w:rPr>
          <w:rFonts w:cstheme="minorHAnsi"/>
        </w:rPr>
        <w:t xml:space="preserve"> the data</w:t>
      </w:r>
      <w:r>
        <w:rPr>
          <w:rFonts w:cstheme="minorHAnsi"/>
        </w:rPr>
        <w:t>,</w:t>
      </w:r>
      <w:r w:rsidRPr="00D90A7B">
        <w:rPr>
          <w:rFonts w:cstheme="minorHAnsi"/>
        </w:rPr>
        <w:t xml:space="preserve"> </w:t>
      </w:r>
      <w:r>
        <w:rPr>
          <w:rFonts w:cstheme="minorHAnsi"/>
        </w:rPr>
        <w:t xml:space="preserve">and </w:t>
      </w:r>
      <w:r w:rsidRPr="00D90A7B">
        <w:rPr>
          <w:rFonts w:cstheme="minorHAnsi"/>
        </w:rPr>
        <w:t>prepared the manuscript. LMM</w:t>
      </w:r>
      <w:r>
        <w:rPr>
          <w:rFonts w:cstheme="minorHAnsi"/>
        </w:rPr>
        <w:t xml:space="preserve"> elicited the data from service providers, helped interpret the data, and </w:t>
      </w:r>
      <w:r w:rsidRPr="00D90A7B">
        <w:rPr>
          <w:rFonts w:cstheme="minorHAnsi"/>
        </w:rPr>
        <w:t>helped to draft the manuscript.</w:t>
      </w:r>
      <w:r>
        <w:rPr>
          <w:rFonts w:cstheme="minorHAnsi"/>
        </w:rPr>
        <w:t xml:space="preserve"> JAR and BA helped interpret the data and helped draft the manuscript.</w:t>
      </w:r>
      <w:r w:rsidR="008616EB">
        <w:rPr>
          <w:rFonts w:cstheme="minorHAnsi"/>
        </w:rPr>
        <w:t xml:space="preserve"> RM secured funding for the research as part of the wider DIPLOMA project,</w:t>
      </w:r>
      <w:r w:rsidRPr="00D90A7B">
        <w:rPr>
          <w:rFonts w:cstheme="minorHAnsi"/>
        </w:rPr>
        <w:t xml:space="preserve"> </w:t>
      </w:r>
      <w:r w:rsidR="008616EB">
        <w:rPr>
          <w:rFonts w:cstheme="minorHAnsi"/>
        </w:rPr>
        <w:t xml:space="preserve">helped interpret the data, and contributed to the drafting of the manuscript. </w:t>
      </w:r>
      <w:r w:rsidRPr="00D90A7B">
        <w:rPr>
          <w:rFonts w:cstheme="minorHAnsi"/>
        </w:rPr>
        <w:t>All authors read and approved the final manuscript.</w:t>
      </w:r>
      <w:r w:rsidR="008616EB">
        <w:rPr>
          <w:rFonts w:cstheme="minorHAnsi"/>
        </w:rPr>
        <w:t xml:space="preserve"> </w:t>
      </w:r>
    </w:p>
    <w:p w14:paraId="18E34F83" w14:textId="3F5CCF2D" w:rsidR="00A07598" w:rsidRPr="00975B17" w:rsidRDefault="00A07598" w:rsidP="00536FB1">
      <w:pPr>
        <w:suppressLineNumbers/>
        <w:spacing w:after="0" w:line="480" w:lineRule="auto"/>
        <w:rPr>
          <w:b/>
        </w:rPr>
      </w:pPr>
      <w:r w:rsidRPr="00975B17">
        <w:rPr>
          <w:b/>
        </w:rPr>
        <w:t>Acknowledgements</w:t>
      </w:r>
    </w:p>
    <w:p w14:paraId="636E2390" w14:textId="1B10B345" w:rsidR="00A07598" w:rsidRPr="00D90A7B" w:rsidRDefault="00A07598" w:rsidP="007F3C8A">
      <w:pPr>
        <w:suppressLineNumbers/>
        <w:spacing w:line="480" w:lineRule="auto"/>
        <w:rPr>
          <w:rFonts w:cstheme="minorHAnsi"/>
        </w:rPr>
      </w:pPr>
      <w:r w:rsidRPr="00D90A7B">
        <w:rPr>
          <w:rFonts w:cstheme="minorHAnsi"/>
        </w:rPr>
        <w:t>We would like to thank all digital provider programme leads for</w:t>
      </w:r>
      <w:r>
        <w:rPr>
          <w:rFonts w:cstheme="minorHAnsi"/>
        </w:rPr>
        <w:t xml:space="preserve"> helping to organise the logistics of </w:t>
      </w:r>
      <w:r w:rsidR="00602472">
        <w:rPr>
          <w:rFonts w:cstheme="minorHAnsi"/>
        </w:rPr>
        <w:t xml:space="preserve">this study, including opt-out consent procedures for the sample of included service users and the secure transfer of </w:t>
      </w:r>
      <w:r w:rsidRPr="00D90A7B">
        <w:rPr>
          <w:rFonts w:cstheme="minorHAnsi"/>
        </w:rPr>
        <w:t xml:space="preserve">relevant </w:t>
      </w:r>
      <w:r>
        <w:rPr>
          <w:rFonts w:cstheme="minorHAnsi"/>
        </w:rPr>
        <w:t>anonymous usage data</w:t>
      </w:r>
      <w:r w:rsidRPr="00D90A7B">
        <w:rPr>
          <w:rFonts w:cstheme="minorHAnsi"/>
        </w:rPr>
        <w:t xml:space="preserve"> required for this manuscript. </w:t>
      </w:r>
      <w:r>
        <w:t>We would also like to thank</w:t>
      </w:r>
      <w:r w:rsidR="00D86AFA">
        <w:t xml:space="preserve"> members of the Diabetes Prevention Programme team at NHS England and</w:t>
      </w:r>
      <w:r>
        <w:t xml:space="preserve"> the following researchers in the DIPLOMA team who provided valuable feedback dur</w:t>
      </w:r>
      <w:r w:rsidR="006E4809">
        <w:t>ing the manuscript preparation</w:t>
      </w:r>
      <w:r w:rsidR="00B628D0">
        <w:t>: Sarah Cotterill, Peter Bower and Emma Mcmanus</w:t>
      </w:r>
      <w:r w:rsidR="006E4809">
        <w:t>.</w:t>
      </w:r>
    </w:p>
    <w:p w14:paraId="19253A28" w14:textId="345FD22D" w:rsidR="00A07598" w:rsidRDefault="00A07598" w:rsidP="007F3C8A">
      <w:pPr>
        <w:pStyle w:val="Heading3"/>
        <w:suppressLineNumbers/>
        <w:jc w:val="center"/>
      </w:pPr>
    </w:p>
    <w:p w14:paraId="5B0ED79F" w14:textId="6372CF58" w:rsidR="00A07598" w:rsidRDefault="00A07598" w:rsidP="007F3C8A">
      <w:pPr>
        <w:suppressLineNumbers/>
      </w:pPr>
    </w:p>
    <w:p w14:paraId="468941FA" w14:textId="5A534D2F" w:rsidR="00A07598" w:rsidRDefault="00A07598" w:rsidP="007F3C8A">
      <w:pPr>
        <w:suppressLineNumbers/>
      </w:pPr>
    </w:p>
    <w:p w14:paraId="48C4F31E" w14:textId="16AD352A" w:rsidR="00A07598" w:rsidRDefault="00A07598" w:rsidP="007F3C8A">
      <w:pPr>
        <w:suppressLineNumbers/>
      </w:pPr>
    </w:p>
    <w:p w14:paraId="0DDD3FD0" w14:textId="60B91CBD" w:rsidR="00A07598" w:rsidRDefault="00A07598" w:rsidP="007F3C8A">
      <w:pPr>
        <w:suppressLineNumbers/>
      </w:pPr>
    </w:p>
    <w:p w14:paraId="3890623E" w14:textId="07EACA2C" w:rsidR="00A07598" w:rsidRDefault="00A07598" w:rsidP="007F3C8A">
      <w:pPr>
        <w:suppressLineNumbers/>
      </w:pPr>
    </w:p>
    <w:p w14:paraId="555AB7B9" w14:textId="512DEBDE" w:rsidR="00A07598" w:rsidRDefault="00A07598" w:rsidP="007F3C8A">
      <w:pPr>
        <w:suppressLineNumbers/>
      </w:pPr>
    </w:p>
    <w:p w14:paraId="69BE9191" w14:textId="76DA4D61" w:rsidR="000305E8" w:rsidRDefault="000305E8" w:rsidP="007F3C8A">
      <w:pPr>
        <w:suppressLineNumbers/>
      </w:pPr>
    </w:p>
    <w:p w14:paraId="2FD783A5" w14:textId="4B45DA04" w:rsidR="000305E8" w:rsidRDefault="000305E8" w:rsidP="007F3C8A">
      <w:pPr>
        <w:suppressLineNumbers/>
      </w:pPr>
    </w:p>
    <w:p w14:paraId="51C9A6F1" w14:textId="2361D4CB" w:rsidR="00536FB1" w:rsidRDefault="00536FB1" w:rsidP="007F3C8A">
      <w:pPr>
        <w:suppressLineNumbers/>
      </w:pPr>
    </w:p>
    <w:p w14:paraId="7B2D2EE8" w14:textId="6E11B5C9" w:rsidR="00536FB1" w:rsidRDefault="00536FB1" w:rsidP="007F3C8A">
      <w:pPr>
        <w:suppressLineNumbers/>
      </w:pPr>
    </w:p>
    <w:p w14:paraId="3877C22D" w14:textId="77777777" w:rsidR="00536FB1" w:rsidRDefault="00536FB1" w:rsidP="007F3C8A">
      <w:pPr>
        <w:suppressLineNumbers/>
      </w:pPr>
    </w:p>
    <w:p w14:paraId="3EC20846" w14:textId="35D1948A" w:rsidR="000305E8" w:rsidRDefault="000305E8" w:rsidP="007F3C8A">
      <w:pPr>
        <w:suppressLineNumbers/>
      </w:pPr>
    </w:p>
    <w:p w14:paraId="7CE1AF3C" w14:textId="77777777" w:rsidR="00D86AFA" w:rsidRDefault="00D86AFA" w:rsidP="007F3C8A">
      <w:pPr>
        <w:suppressLineNumbers/>
        <w:spacing w:line="480" w:lineRule="auto"/>
        <w:jc w:val="center"/>
        <w:rPr>
          <w:b/>
        </w:rPr>
      </w:pPr>
    </w:p>
    <w:p w14:paraId="2A511D81" w14:textId="1AEFCEEA" w:rsidR="00090552" w:rsidRPr="00975B17" w:rsidRDefault="00090552" w:rsidP="00536FB1">
      <w:pPr>
        <w:suppressLineNumbers/>
        <w:spacing w:after="0" w:line="480" w:lineRule="auto"/>
        <w:jc w:val="center"/>
        <w:rPr>
          <w:b/>
        </w:rPr>
      </w:pPr>
      <w:r w:rsidRPr="00975B17">
        <w:rPr>
          <w:b/>
        </w:rPr>
        <w:lastRenderedPageBreak/>
        <w:t>References</w:t>
      </w:r>
    </w:p>
    <w:p w14:paraId="04E59FF4" w14:textId="77777777" w:rsidR="00090552" w:rsidRPr="006107F5" w:rsidRDefault="00090552" w:rsidP="007F3C8A">
      <w:pPr>
        <w:pStyle w:val="ListParagraph"/>
        <w:numPr>
          <w:ilvl w:val="0"/>
          <w:numId w:val="7"/>
        </w:numPr>
        <w:suppressLineNumbers/>
        <w:spacing w:line="480" w:lineRule="auto"/>
      </w:pPr>
      <w:r w:rsidRPr="006107F5">
        <w:t>World Health Organization. Global report on diabetes. Geneva: World Health Organization; 2016.</w:t>
      </w:r>
      <w:r>
        <w:t xml:space="preserve"> </w:t>
      </w:r>
    </w:p>
    <w:p w14:paraId="78360F0E" w14:textId="166471B2" w:rsidR="00090552" w:rsidRDefault="00090552" w:rsidP="007F3C8A">
      <w:pPr>
        <w:pStyle w:val="ListParagraph"/>
        <w:numPr>
          <w:ilvl w:val="0"/>
          <w:numId w:val="7"/>
        </w:numPr>
        <w:suppressLineNumbers/>
        <w:autoSpaceDE w:val="0"/>
        <w:autoSpaceDN w:val="0"/>
        <w:adjustRightInd w:val="0"/>
        <w:spacing w:after="0" w:line="480" w:lineRule="auto"/>
        <w:rPr>
          <w:rFonts w:cstheme="minorHAnsi"/>
        </w:rPr>
      </w:pPr>
      <w:r>
        <w:rPr>
          <w:rFonts w:cstheme="minorHAnsi"/>
        </w:rPr>
        <w:t xml:space="preserve">Diabetes UK. Diabetes Statistics: Diabetes Prevalence 2019. 2020. </w:t>
      </w:r>
      <w:hyperlink r:id="rId17" w:history="1">
        <w:r w:rsidRPr="0015012B">
          <w:rPr>
            <w:rStyle w:val="Hyperlink"/>
            <w:rFonts w:cstheme="minorHAnsi"/>
          </w:rPr>
          <w:t>https://www.diabetes.org.uk/professionals/position-statements-reports/statistics/diabetes-prevalence-2019</w:t>
        </w:r>
      </w:hyperlink>
      <w:r>
        <w:rPr>
          <w:rFonts w:cstheme="minorHAnsi"/>
        </w:rPr>
        <w:t xml:space="preserve"> </w:t>
      </w:r>
      <w:r w:rsidR="002157BD">
        <w:rPr>
          <w:rFonts w:cstheme="minorHAnsi"/>
        </w:rPr>
        <w:t>Accessed 15 December 2022.</w:t>
      </w:r>
    </w:p>
    <w:p w14:paraId="4CEC8DDC" w14:textId="723F8B9C" w:rsidR="00090552" w:rsidRPr="009A448F" w:rsidRDefault="00090552" w:rsidP="007F3C8A">
      <w:pPr>
        <w:pStyle w:val="ListParagraph"/>
        <w:numPr>
          <w:ilvl w:val="0"/>
          <w:numId w:val="7"/>
        </w:numPr>
        <w:suppressLineNumbers/>
        <w:autoSpaceDE w:val="0"/>
        <w:autoSpaceDN w:val="0"/>
        <w:adjustRightInd w:val="0"/>
        <w:spacing w:after="0" w:line="480" w:lineRule="auto"/>
        <w:rPr>
          <w:rFonts w:cstheme="minorHAnsi"/>
        </w:rPr>
      </w:pPr>
      <w:r w:rsidRPr="009A448F">
        <w:rPr>
          <w:rFonts w:cstheme="minorHAnsi"/>
          <w:szCs w:val="20"/>
          <w:shd w:val="clear" w:color="auto" w:fill="FFFFFF"/>
        </w:rPr>
        <w:t>Gong Q, Zhang P, Wang J, Ma J, An Y, Chen Y, Zhang B, Feng X, Li H, Chen X, Cheng YJ. Morbidity and mortality after lifestyle intervention for people with impaired glucose tolerance: 30-year results of the Da Qing Diabetes Prevention Outcome Study. Lancet Diabetes Endocrinol</w:t>
      </w:r>
      <w:r w:rsidR="002157BD">
        <w:rPr>
          <w:rFonts w:cstheme="minorHAnsi"/>
          <w:szCs w:val="20"/>
          <w:shd w:val="clear" w:color="auto" w:fill="FFFFFF"/>
        </w:rPr>
        <w:t>.</w:t>
      </w:r>
      <w:r w:rsidRPr="009A448F">
        <w:rPr>
          <w:rFonts w:cstheme="minorHAnsi"/>
          <w:szCs w:val="20"/>
          <w:shd w:val="clear" w:color="auto" w:fill="FFFFFF"/>
        </w:rPr>
        <w:t xml:space="preserve"> 2019;7(6):452-61.</w:t>
      </w:r>
      <w:r>
        <w:rPr>
          <w:rFonts w:cstheme="minorHAnsi"/>
          <w:szCs w:val="20"/>
          <w:shd w:val="clear" w:color="auto" w:fill="FFFFFF"/>
        </w:rPr>
        <w:t xml:space="preserve"> doi: </w:t>
      </w:r>
      <w:hyperlink r:id="rId18" w:tgtFrame="_blank" w:tooltip="Persistent link using digital object identifier" w:history="1">
        <w:r w:rsidRPr="003F6540">
          <w:rPr>
            <w:rStyle w:val="Hyperlink"/>
          </w:rPr>
          <w:t>https://doi.org/10.1016/S2213-8587(19)30093-2</w:t>
        </w:r>
      </w:hyperlink>
      <w:r>
        <w:t xml:space="preserve"> PMID: 31036503</w:t>
      </w:r>
    </w:p>
    <w:p w14:paraId="2A0B21D7" w14:textId="00F09B60" w:rsidR="00090552" w:rsidRPr="009A448F" w:rsidRDefault="00090552" w:rsidP="007F3C8A">
      <w:pPr>
        <w:pStyle w:val="ListParagraph"/>
        <w:numPr>
          <w:ilvl w:val="0"/>
          <w:numId w:val="7"/>
        </w:numPr>
        <w:suppressLineNumbers/>
        <w:autoSpaceDE w:val="0"/>
        <w:autoSpaceDN w:val="0"/>
        <w:adjustRightInd w:val="0"/>
        <w:spacing w:after="0" w:line="480" w:lineRule="auto"/>
        <w:rPr>
          <w:rFonts w:cstheme="minorHAnsi"/>
        </w:rPr>
      </w:pPr>
      <w:r w:rsidRPr="009A448F">
        <w:rPr>
          <w:rFonts w:cstheme="minorHAnsi"/>
          <w:szCs w:val="20"/>
          <w:shd w:val="clear" w:color="auto" w:fill="FFFFFF"/>
        </w:rPr>
        <w:t xml:space="preserve">Tuomilehto J, Lindström J, Eriksson JG, Valle TT, Hämäläinen H, Ilanne-Parikka P, Keinänen-Kiukaanniemi S, Laakso M, Louheranta A, Rastas M, Salminen V. Prevention of type 2 diabetes mellitus by changes in </w:t>
      </w:r>
      <w:r w:rsidRPr="003F6540">
        <w:t>lifestyle among subjects with impaired glucose tolerance. N Eng J Med</w:t>
      </w:r>
      <w:r w:rsidR="002157BD">
        <w:t>.</w:t>
      </w:r>
      <w:r w:rsidRPr="003F6540">
        <w:t xml:space="preserve"> 2001;344(18):1343-50. doi: </w:t>
      </w:r>
      <w:hyperlink r:id="rId19" w:history="1">
        <w:r w:rsidRPr="00E66416">
          <w:rPr>
            <w:rStyle w:val="Hyperlink"/>
          </w:rPr>
          <w:t>https://doi.org/10.1056/NEJM200105033441801</w:t>
        </w:r>
      </w:hyperlink>
    </w:p>
    <w:p w14:paraId="081E04AF" w14:textId="0AE4ECC9" w:rsidR="00090552" w:rsidRPr="009A448F" w:rsidRDefault="00090552" w:rsidP="007F3C8A">
      <w:pPr>
        <w:pStyle w:val="ListParagraph"/>
        <w:numPr>
          <w:ilvl w:val="0"/>
          <w:numId w:val="7"/>
        </w:numPr>
        <w:suppressLineNumbers/>
        <w:autoSpaceDE w:val="0"/>
        <w:autoSpaceDN w:val="0"/>
        <w:adjustRightInd w:val="0"/>
        <w:spacing w:after="0" w:line="480" w:lineRule="auto"/>
        <w:rPr>
          <w:rFonts w:cstheme="minorHAnsi"/>
        </w:rPr>
      </w:pPr>
      <w:r w:rsidRPr="009A448F">
        <w:rPr>
          <w:rFonts w:cstheme="minorHAnsi"/>
          <w:szCs w:val="20"/>
          <w:shd w:val="clear" w:color="auto" w:fill="FFFFFF"/>
        </w:rPr>
        <w:t>Knowler WC, Barrett-Connor E, Fowler SE, Hamman RF, Lachin JM, Walker EA, Nathan DM. Reduction in the incidence of type 2 diabetes with lifestyle intervention or metformin. N</w:t>
      </w:r>
      <w:r>
        <w:rPr>
          <w:rFonts w:cstheme="minorHAnsi"/>
          <w:szCs w:val="20"/>
          <w:shd w:val="clear" w:color="auto" w:fill="FFFFFF"/>
        </w:rPr>
        <w:t xml:space="preserve"> Eng J Med</w:t>
      </w:r>
      <w:r w:rsidR="002157BD">
        <w:rPr>
          <w:rFonts w:cstheme="minorHAnsi"/>
          <w:szCs w:val="20"/>
          <w:shd w:val="clear" w:color="auto" w:fill="FFFFFF"/>
        </w:rPr>
        <w:t>.</w:t>
      </w:r>
      <w:r w:rsidRPr="009A448F">
        <w:rPr>
          <w:rFonts w:cstheme="minorHAnsi"/>
          <w:szCs w:val="20"/>
          <w:shd w:val="clear" w:color="auto" w:fill="FFFFFF"/>
        </w:rPr>
        <w:t xml:space="preserve"> 2002;346(6):393-403</w:t>
      </w:r>
      <w:r w:rsidRPr="003F6540">
        <w:t xml:space="preserve">. doi: </w:t>
      </w:r>
      <w:hyperlink r:id="rId20" w:history="1">
        <w:r w:rsidRPr="00E66416">
          <w:rPr>
            <w:rStyle w:val="Hyperlink"/>
          </w:rPr>
          <w:t>https://doi.org/10.1056/NEJMoa012512</w:t>
        </w:r>
      </w:hyperlink>
      <w:r>
        <w:t xml:space="preserve"> PMID: 11832527</w:t>
      </w:r>
    </w:p>
    <w:p w14:paraId="02A65D4F" w14:textId="77777777" w:rsidR="00090552" w:rsidRPr="003F6540" w:rsidRDefault="00090552" w:rsidP="007F3C8A">
      <w:pPr>
        <w:pStyle w:val="ListParagraph"/>
        <w:numPr>
          <w:ilvl w:val="0"/>
          <w:numId w:val="7"/>
        </w:numPr>
        <w:suppressLineNumbers/>
        <w:autoSpaceDE w:val="0"/>
        <w:autoSpaceDN w:val="0"/>
        <w:adjustRightInd w:val="0"/>
        <w:spacing w:after="0" w:line="480" w:lineRule="auto"/>
      </w:pPr>
      <w:r w:rsidRPr="009A448F">
        <w:rPr>
          <w:rFonts w:cstheme="minorHAnsi"/>
          <w:szCs w:val="20"/>
          <w:shd w:val="clear" w:color="auto" w:fill="FFFFFF"/>
        </w:rPr>
        <w:t>Kosaka K, Noda M, Kuzuya T. Prevention of type 2 diabetes by lifestyle intervention: a Japanese trial in IG</w:t>
      </w:r>
      <w:r>
        <w:rPr>
          <w:rFonts w:cstheme="minorHAnsi"/>
          <w:szCs w:val="20"/>
          <w:shd w:val="clear" w:color="auto" w:fill="FFFFFF"/>
        </w:rPr>
        <w:t xml:space="preserve">T males. Diabet Res Clin Pract </w:t>
      </w:r>
      <w:r w:rsidRPr="009A448F">
        <w:rPr>
          <w:rFonts w:cstheme="minorHAnsi"/>
          <w:szCs w:val="20"/>
          <w:shd w:val="clear" w:color="auto" w:fill="FFFFFF"/>
        </w:rPr>
        <w:t>2005;67(2):152-62.</w:t>
      </w:r>
      <w:r>
        <w:rPr>
          <w:rFonts w:cstheme="minorHAnsi"/>
          <w:szCs w:val="20"/>
          <w:shd w:val="clear" w:color="auto" w:fill="FFFFFF"/>
        </w:rPr>
        <w:t xml:space="preserve"> doi: </w:t>
      </w:r>
      <w:hyperlink r:id="rId21" w:tgtFrame="_blank" w:tooltip="Persistent link using digital object identifier" w:history="1">
        <w:r w:rsidRPr="003F6540">
          <w:rPr>
            <w:rStyle w:val="Hyperlink"/>
          </w:rPr>
          <w:t>https://doi.org/10.1016/j.diabres.2004.06.010</w:t>
        </w:r>
      </w:hyperlink>
    </w:p>
    <w:p w14:paraId="435647DC" w14:textId="19CEFB31" w:rsidR="00090552" w:rsidRPr="003F6540" w:rsidRDefault="00090552" w:rsidP="007F3C8A">
      <w:pPr>
        <w:pStyle w:val="ListParagraph"/>
        <w:numPr>
          <w:ilvl w:val="0"/>
          <w:numId w:val="7"/>
        </w:numPr>
        <w:suppressLineNumbers/>
        <w:autoSpaceDE w:val="0"/>
        <w:autoSpaceDN w:val="0"/>
        <w:adjustRightInd w:val="0"/>
        <w:spacing w:after="0" w:line="480" w:lineRule="auto"/>
        <w:rPr>
          <w:rStyle w:val="Hyperlink"/>
          <w:rFonts w:cstheme="minorHAnsi"/>
        </w:rPr>
      </w:pPr>
      <w:r w:rsidRPr="009A448F">
        <w:rPr>
          <w:rFonts w:cstheme="minorHAnsi"/>
          <w:szCs w:val="20"/>
          <w:shd w:val="clear" w:color="auto" w:fill="FFFFFF"/>
        </w:rPr>
        <w:t>Ramachandran A, Snehalatha C, Mary S, Mukesh B, Bhaskar AD, Vijay V. The Indian Diabetes Prevention Programme shows that lifestyle modification and metformin prevent type 2 diabetes in Asian Indian subjects with impaired glucose t</w:t>
      </w:r>
      <w:r>
        <w:rPr>
          <w:rFonts w:cstheme="minorHAnsi"/>
          <w:szCs w:val="20"/>
          <w:shd w:val="clear" w:color="auto" w:fill="FFFFFF"/>
        </w:rPr>
        <w:t>olerance (IDPP-1). Diabetologia</w:t>
      </w:r>
      <w:r w:rsidR="002157BD">
        <w:rPr>
          <w:rFonts w:cstheme="minorHAnsi"/>
          <w:szCs w:val="20"/>
          <w:shd w:val="clear" w:color="auto" w:fill="FFFFFF"/>
        </w:rPr>
        <w:t>.</w:t>
      </w:r>
      <w:r w:rsidRPr="009A448F">
        <w:rPr>
          <w:rFonts w:cstheme="minorHAnsi"/>
          <w:szCs w:val="20"/>
          <w:shd w:val="clear" w:color="auto" w:fill="FFFFFF"/>
        </w:rPr>
        <w:t xml:space="preserve"> 2006;49(2):289-97.</w:t>
      </w:r>
      <w:r>
        <w:rPr>
          <w:rFonts w:cstheme="minorHAnsi"/>
          <w:szCs w:val="20"/>
          <w:shd w:val="clear" w:color="auto" w:fill="FFFFFF"/>
        </w:rPr>
        <w:t xml:space="preserve"> doi: </w:t>
      </w:r>
      <w:hyperlink r:id="rId22" w:history="1">
        <w:r w:rsidRPr="00E66416">
          <w:rPr>
            <w:rStyle w:val="Hyperlink"/>
          </w:rPr>
          <w:t>https://doi.org/10.1007/s00125-005-0097-z</w:t>
        </w:r>
      </w:hyperlink>
      <w:r>
        <w:t xml:space="preserve"> </w:t>
      </w:r>
    </w:p>
    <w:p w14:paraId="600FAA8C" w14:textId="3812A938" w:rsidR="00090552" w:rsidRPr="00625DA6" w:rsidRDefault="00090552" w:rsidP="007F3C8A">
      <w:pPr>
        <w:pStyle w:val="ListParagraph"/>
        <w:numPr>
          <w:ilvl w:val="0"/>
          <w:numId w:val="7"/>
        </w:numPr>
        <w:suppressLineNumbers/>
        <w:autoSpaceDE w:val="0"/>
        <w:autoSpaceDN w:val="0"/>
        <w:adjustRightInd w:val="0"/>
        <w:spacing w:after="0" w:line="480" w:lineRule="auto"/>
        <w:rPr>
          <w:rFonts w:cstheme="minorHAnsi"/>
          <w:sz w:val="20"/>
        </w:rPr>
      </w:pPr>
      <w:r>
        <w:rPr>
          <w:rFonts w:cstheme="minorHAnsi"/>
        </w:rPr>
        <w:t xml:space="preserve">NHS England. NHS England Diabetes Prevention Programme (NHS DPP). 2021. </w:t>
      </w:r>
      <w:hyperlink r:id="rId23" w:history="1">
        <w:r w:rsidRPr="0015012B">
          <w:rPr>
            <w:rStyle w:val="Hyperlink"/>
            <w:rFonts w:cstheme="minorHAnsi"/>
          </w:rPr>
          <w:t>https://www.england.nhs.uk/diabetes/diabetes-prevention/</w:t>
        </w:r>
      </w:hyperlink>
      <w:r>
        <w:rPr>
          <w:rFonts w:cstheme="minorHAnsi"/>
        </w:rPr>
        <w:t xml:space="preserve"> </w:t>
      </w:r>
      <w:r w:rsidR="002157BD">
        <w:rPr>
          <w:rFonts w:cstheme="minorHAnsi"/>
        </w:rPr>
        <w:t>Accessed 07 November 2022.</w:t>
      </w:r>
    </w:p>
    <w:p w14:paraId="540EB5B8" w14:textId="261A2460" w:rsidR="00090552" w:rsidRPr="004C1D4A" w:rsidRDefault="00090552" w:rsidP="007F3C8A">
      <w:pPr>
        <w:pStyle w:val="ListParagraph"/>
        <w:numPr>
          <w:ilvl w:val="0"/>
          <w:numId w:val="7"/>
        </w:numPr>
        <w:suppressLineNumbers/>
        <w:spacing w:after="0" w:line="480" w:lineRule="auto"/>
        <w:rPr>
          <w:rFonts w:cstheme="minorHAnsi"/>
          <w:color w:val="0000FF"/>
          <w:u w:val="single"/>
          <w:shd w:val="clear" w:color="auto" w:fill="FFFFFF"/>
        </w:rPr>
      </w:pPr>
      <w:r w:rsidRPr="00625DA6">
        <w:rPr>
          <w:rFonts w:cstheme="minorHAnsi"/>
          <w:shd w:val="clear" w:color="auto" w:fill="FFFFFF"/>
        </w:rPr>
        <w:lastRenderedPageBreak/>
        <w:t xml:space="preserve">Valabhji J, Barron E, Bradley D, Bakhai C, Fagg J, O’Neill S, Young B, Wareham N, Khunti K, Jebb S, Smith J. Early Outcomes from the English National Health Service Diabetes Prevention Programme. </w:t>
      </w:r>
      <w:r>
        <w:rPr>
          <w:rFonts w:cstheme="minorHAnsi"/>
          <w:shd w:val="clear" w:color="auto" w:fill="FFFFFF"/>
        </w:rPr>
        <w:t>Diabet Care</w:t>
      </w:r>
      <w:r w:rsidR="002157BD">
        <w:rPr>
          <w:rFonts w:cstheme="minorHAnsi"/>
          <w:shd w:val="clear" w:color="auto" w:fill="FFFFFF"/>
        </w:rPr>
        <w:t>.</w:t>
      </w:r>
      <w:r w:rsidRPr="00625DA6">
        <w:rPr>
          <w:rFonts w:cstheme="minorHAnsi"/>
          <w:shd w:val="clear" w:color="auto" w:fill="FFFFFF"/>
        </w:rPr>
        <w:t xml:space="preserve"> 2020;43(1):152-60.</w:t>
      </w:r>
      <w:r w:rsidRPr="00625DA6">
        <w:rPr>
          <w:rFonts w:cstheme="minorHAnsi"/>
        </w:rPr>
        <w:t xml:space="preserve"> </w:t>
      </w:r>
      <w:r>
        <w:rPr>
          <w:rFonts w:cstheme="minorHAnsi"/>
        </w:rPr>
        <w:t xml:space="preserve">doi: </w:t>
      </w:r>
      <w:hyperlink r:id="rId24" w:history="1">
        <w:r w:rsidRPr="00625DA6">
          <w:rPr>
            <w:rStyle w:val="Hyperlink"/>
            <w:rFonts w:cstheme="minorHAnsi"/>
          </w:rPr>
          <w:t>https://doi.org/10.2337/dc19-1425</w:t>
        </w:r>
      </w:hyperlink>
      <w:r>
        <w:rPr>
          <w:rFonts w:cstheme="minorHAnsi"/>
        </w:rPr>
        <w:t xml:space="preserve"> </w:t>
      </w:r>
      <w:r w:rsidRPr="00FD79F7">
        <w:rPr>
          <w:rFonts w:cstheme="minorHAnsi"/>
        </w:rPr>
        <w:t>PMID:</w:t>
      </w:r>
      <w:r>
        <w:rPr>
          <w:rFonts w:cstheme="minorHAnsi"/>
        </w:rPr>
        <w:t xml:space="preserve"> 31719054</w:t>
      </w:r>
    </w:p>
    <w:p w14:paraId="76BA58BD" w14:textId="06B3708C" w:rsidR="004C1D4A" w:rsidRDefault="004C1D4A" w:rsidP="007F3C8A">
      <w:pPr>
        <w:pStyle w:val="ListParagraph"/>
        <w:numPr>
          <w:ilvl w:val="0"/>
          <w:numId w:val="7"/>
        </w:numPr>
        <w:suppressLineNumbers/>
        <w:spacing w:after="0" w:line="480" w:lineRule="auto"/>
      </w:pPr>
      <w:r w:rsidRPr="004C1D4A">
        <w:rPr>
          <w:rFonts w:cstheme="minorHAnsi"/>
          <w:szCs w:val="20"/>
          <w:shd w:val="clear" w:color="auto" w:fill="FFFFFF"/>
        </w:rPr>
        <w:t xml:space="preserve">Marsden AM, Bower P, Howarth E, Soiland-Reyes C, Sutton M, Cotterill S. ‘Finishing the race’–a cohort study of weight and blood glucose change among the first 36,000 patients in a large-scale diabetes prevention programme. </w:t>
      </w:r>
      <w:r>
        <w:rPr>
          <w:rFonts w:cstheme="minorHAnsi"/>
          <w:szCs w:val="20"/>
          <w:shd w:val="clear" w:color="auto" w:fill="FFFFFF"/>
        </w:rPr>
        <w:t xml:space="preserve">Int J Behav </w:t>
      </w:r>
      <w:r w:rsidRPr="004C1D4A">
        <w:rPr>
          <w:rFonts w:cstheme="minorHAnsi"/>
          <w:szCs w:val="20"/>
          <w:shd w:val="clear" w:color="auto" w:fill="FFFFFF"/>
        </w:rPr>
        <w:t>Nut</w:t>
      </w:r>
      <w:r>
        <w:rPr>
          <w:rFonts w:cstheme="minorHAnsi"/>
          <w:szCs w:val="20"/>
          <w:shd w:val="clear" w:color="auto" w:fill="FFFFFF"/>
        </w:rPr>
        <w:t>r Physical Act. 2022</w:t>
      </w:r>
      <w:r w:rsidRPr="004C1D4A">
        <w:rPr>
          <w:rFonts w:cstheme="minorHAnsi"/>
          <w:szCs w:val="20"/>
          <w:shd w:val="clear" w:color="auto" w:fill="FFFFFF"/>
        </w:rPr>
        <w:t>;19(1):1-0.</w:t>
      </w:r>
      <w:r>
        <w:rPr>
          <w:rFonts w:cstheme="minorHAnsi"/>
          <w:szCs w:val="20"/>
          <w:shd w:val="clear" w:color="auto" w:fill="FFFFFF"/>
        </w:rPr>
        <w:t xml:space="preserve"> doi: </w:t>
      </w:r>
      <w:hyperlink r:id="rId25" w:history="1">
        <w:r w:rsidRPr="004C1D4A">
          <w:rPr>
            <w:rStyle w:val="Hyperlink"/>
          </w:rPr>
          <w:t>https://doi.org/10.1186/s12966-022-01249-5</w:t>
        </w:r>
      </w:hyperlink>
      <w:r w:rsidRPr="004C1D4A">
        <w:t xml:space="preserve"> </w:t>
      </w:r>
      <w:r w:rsidR="00207C14">
        <w:t xml:space="preserve">PMID: </w:t>
      </w:r>
      <w:r w:rsidR="00207C14" w:rsidRPr="00207C14">
        <w:t>35081984</w:t>
      </w:r>
    </w:p>
    <w:p w14:paraId="34465DB6" w14:textId="366A0085" w:rsidR="004C1D4A" w:rsidRPr="004C1D4A" w:rsidRDefault="004C1D4A" w:rsidP="007F3C8A">
      <w:pPr>
        <w:pStyle w:val="ListParagraph"/>
        <w:numPr>
          <w:ilvl w:val="0"/>
          <w:numId w:val="7"/>
        </w:numPr>
        <w:suppressLineNumbers/>
        <w:spacing w:after="0" w:line="480" w:lineRule="auto"/>
      </w:pPr>
      <w:r w:rsidRPr="004C1D4A">
        <w:rPr>
          <w:rFonts w:cstheme="minorHAnsi"/>
          <w:szCs w:val="20"/>
          <w:shd w:val="clear" w:color="auto" w:fill="FFFFFF"/>
        </w:rPr>
        <w:t>McManus E, Meacock R, Parkinson B, Sutton M. Population level impact of the NHS Diabetes Prevention Programme on incidence of type 2 diabetes in England: An observational study. The Lancet Re</w:t>
      </w:r>
      <w:r>
        <w:rPr>
          <w:rFonts w:cstheme="minorHAnsi"/>
          <w:szCs w:val="20"/>
          <w:shd w:val="clear" w:color="auto" w:fill="FFFFFF"/>
        </w:rPr>
        <w:t>gional Health-Europe. 2022</w:t>
      </w:r>
      <w:r w:rsidRPr="004C1D4A">
        <w:rPr>
          <w:rFonts w:cstheme="minorHAnsi"/>
          <w:szCs w:val="20"/>
          <w:shd w:val="clear" w:color="auto" w:fill="FFFFFF"/>
        </w:rPr>
        <w:t>;19:100420.</w:t>
      </w:r>
      <w:r>
        <w:rPr>
          <w:rFonts w:cstheme="minorHAnsi"/>
          <w:szCs w:val="20"/>
          <w:shd w:val="clear" w:color="auto" w:fill="FFFFFF"/>
        </w:rPr>
        <w:t xml:space="preserve"> doi: </w:t>
      </w:r>
      <w:hyperlink r:id="rId26" w:history="1">
        <w:r w:rsidRPr="009F4A96">
          <w:rPr>
            <w:rStyle w:val="Hyperlink"/>
          </w:rPr>
          <w:t>https://doi.org/10.1016/j.lanepe.2022.100420</w:t>
        </w:r>
      </w:hyperlink>
      <w:r w:rsidRPr="004C1D4A">
        <w:t xml:space="preserve"> </w:t>
      </w:r>
      <w:r w:rsidR="00207C14">
        <w:t xml:space="preserve">PMID: </w:t>
      </w:r>
      <w:r w:rsidR="00207C14" w:rsidRPr="00207C14">
        <w:t>35664052</w:t>
      </w:r>
    </w:p>
    <w:p w14:paraId="535E2D28" w14:textId="742D9C20" w:rsidR="00090552" w:rsidRPr="0062694E" w:rsidRDefault="00090552" w:rsidP="007F3C8A">
      <w:pPr>
        <w:pStyle w:val="ListParagraph"/>
        <w:numPr>
          <w:ilvl w:val="0"/>
          <w:numId w:val="7"/>
        </w:numPr>
        <w:suppressLineNumbers/>
        <w:spacing w:after="0" w:line="480" w:lineRule="auto"/>
        <w:rPr>
          <w:rFonts w:cstheme="minorHAnsi"/>
          <w:shd w:val="clear" w:color="auto" w:fill="FFFFFF"/>
        </w:rPr>
      </w:pPr>
      <w:r w:rsidRPr="001A7B57">
        <w:rPr>
          <w:rFonts w:cstheme="minorHAnsi"/>
          <w:szCs w:val="20"/>
          <w:shd w:val="clear" w:color="auto" w:fill="FFFFFF"/>
        </w:rPr>
        <w:t xml:space="preserve">Howarth E, Bower PJ, Kontopantelis E, Soiland-Reyes C, Meacock R, Whittaker W, Cotterill S. ‘Going the distance’: an independent cohort study of engagement and dropout among the first 100 000 referrals into a large-scale diabetes prevention program. </w:t>
      </w:r>
      <w:r w:rsidRPr="00951104">
        <w:rPr>
          <w:rFonts w:cstheme="minorHAnsi"/>
          <w:szCs w:val="20"/>
          <w:shd w:val="clear" w:color="auto" w:fill="FFFFFF"/>
        </w:rPr>
        <w:t xml:space="preserve">BMJ Open Diabet Res </w:t>
      </w:r>
      <w:r>
        <w:rPr>
          <w:rFonts w:cstheme="minorHAnsi"/>
          <w:szCs w:val="20"/>
          <w:shd w:val="clear" w:color="auto" w:fill="FFFFFF"/>
        </w:rPr>
        <w:t>Care</w:t>
      </w:r>
      <w:r w:rsidR="002157BD">
        <w:rPr>
          <w:rFonts w:cstheme="minorHAnsi"/>
          <w:szCs w:val="20"/>
          <w:shd w:val="clear" w:color="auto" w:fill="FFFFFF"/>
        </w:rPr>
        <w:t>.</w:t>
      </w:r>
      <w:r w:rsidRPr="00951104">
        <w:rPr>
          <w:rFonts w:cstheme="minorHAnsi"/>
          <w:szCs w:val="20"/>
          <w:shd w:val="clear" w:color="auto" w:fill="FFFFFF"/>
        </w:rPr>
        <w:t xml:space="preserve"> </w:t>
      </w:r>
      <w:r>
        <w:rPr>
          <w:rFonts w:cstheme="minorHAnsi"/>
          <w:szCs w:val="20"/>
          <w:shd w:val="clear" w:color="auto" w:fill="FFFFFF"/>
        </w:rPr>
        <w:t>2020</w:t>
      </w:r>
      <w:r w:rsidRPr="001A7B57">
        <w:rPr>
          <w:rFonts w:cstheme="minorHAnsi"/>
          <w:szCs w:val="20"/>
          <w:shd w:val="clear" w:color="auto" w:fill="FFFFFF"/>
        </w:rPr>
        <w:t>;8(2):e001835.</w:t>
      </w:r>
      <w:r>
        <w:rPr>
          <w:rFonts w:cstheme="minorHAnsi"/>
          <w:szCs w:val="20"/>
          <w:shd w:val="clear" w:color="auto" w:fill="FFFFFF"/>
        </w:rPr>
        <w:t xml:space="preserve"> doi</w:t>
      </w:r>
      <w:r w:rsidRPr="003F6540">
        <w:t xml:space="preserve">: </w:t>
      </w:r>
      <w:hyperlink r:id="rId27" w:history="1">
        <w:r w:rsidRPr="003F6540">
          <w:rPr>
            <w:rStyle w:val="Hyperlink"/>
          </w:rPr>
          <w:t>https://doi.org/10.1136/bmjdrc-2020-001835</w:t>
        </w:r>
      </w:hyperlink>
      <w:r w:rsidRPr="003F6540">
        <w:t xml:space="preserve"> PMID: 33303493</w:t>
      </w:r>
    </w:p>
    <w:p w14:paraId="5EF74526" w14:textId="6984CB7A" w:rsidR="00090552" w:rsidRPr="00CC561A" w:rsidRDefault="00090552" w:rsidP="007F3C8A">
      <w:pPr>
        <w:pStyle w:val="ListParagraph"/>
        <w:numPr>
          <w:ilvl w:val="0"/>
          <w:numId w:val="7"/>
        </w:numPr>
        <w:suppressLineNumbers/>
        <w:spacing w:line="480" w:lineRule="auto"/>
        <w:rPr>
          <w:rStyle w:val="Hyperlink"/>
          <w:color w:val="auto"/>
          <w:u w:val="none"/>
        </w:rPr>
      </w:pPr>
      <w:r w:rsidRPr="004E36D0">
        <w:t>Grock S, Ku JH, Kim J, Moin T. A review of technology-assisted interventions for diabetes prevention. Cur</w:t>
      </w:r>
      <w:r>
        <w:t>rent Diabetes Reports</w:t>
      </w:r>
      <w:r w:rsidR="002157BD">
        <w:t>.</w:t>
      </w:r>
      <w:r>
        <w:t xml:space="preserve"> 2017;</w:t>
      </w:r>
      <w:r w:rsidRPr="004E36D0">
        <w:t>17(11):1-2.</w:t>
      </w:r>
      <w:r>
        <w:t xml:space="preserve"> d</w:t>
      </w:r>
      <w:r w:rsidRPr="00BD5D44">
        <w:t xml:space="preserve">oi: </w:t>
      </w:r>
      <w:hyperlink r:id="rId28" w:history="1">
        <w:r w:rsidRPr="00176B13">
          <w:rPr>
            <w:rStyle w:val="Hyperlink"/>
          </w:rPr>
          <w:t>https://doi.org/10.1007/s11892-017-0948-2</w:t>
        </w:r>
      </w:hyperlink>
    </w:p>
    <w:p w14:paraId="4F24B90A" w14:textId="33780CCE" w:rsidR="00090552" w:rsidRPr="00416FFF" w:rsidRDefault="00090552" w:rsidP="007F3C8A">
      <w:pPr>
        <w:pStyle w:val="ListParagraph"/>
        <w:numPr>
          <w:ilvl w:val="0"/>
          <w:numId w:val="7"/>
        </w:numPr>
        <w:suppressLineNumbers/>
        <w:spacing w:line="480" w:lineRule="auto"/>
        <w:rPr>
          <w:rFonts w:ascii="Calibri" w:hAnsi="Calibri" w:cs="Calibri"/>
          <w:color w:val="0000FF"/>
          <w:sz w:val="28"/>
          <w:u w:val="single"/>
        </w:rPr>
      </w:pPr>
      <w:r w:rsidRPr="008D72B5">
        <w:rPr>
          <w:rFonts w:ascii="Calibri" w:hAnsi="Calibri" w:cs="Calibri"/>
          <w:szCs w:val="20"/>
          <w:shd w:val="clear" w:color="auto" w:fill="FFFFFF"/>
        </w:rPr>
        <w:t xml:space="preserve">Murray E, Daff K, Lavida A, Henley W, Irwin J, Valabhji J. Evaluation of the digital diabetes prevention programme pilot: uncontrolled mixed-methods study protocol. </w:t>
      </w:r>
      <w:r>
        <w:rPr>
          <w:rFonts w:ascii="Calibri" w:hAnsi="Calibri" w:cs="Calibri"/>
          <w:szCs w:val="20"/>
          <w:shd w:val="clear" w:color="auto" w:fill="FFFFFF"/>
        </w:rPr>
        <w:t>BMJ O</w:t>
      </w:r>
      <w:r w:rsidRPr="00951104">
        <w:rPr>
          <w:rFonts w:ascii="Calibri" w:hAnsi="Calibri" w:cs="Calibri"/>
          <w:szCs w:val="20"/>
          <w:shd w:val="clear" w:color="auto" w:fill="FFFFFF"/>
        </w:rPr>
        <w:t>pen</w:t>
      </w:r>
      <w:r w:rsidR="002157BD">
        <w:rPr>
          <w:rFonts w:ascii="Calibri" w:hAnsi="Calibri" w:cs="Calibri"/>
          <w:szCs w:val="20"/>
          <w:shd w:val="clear" w:color="auto" w:fill="FFFFFF"/>
        </w:rPr>
        <w:t>.</w:t>
      </w:r>
      <w:r w:rsidRPr="008D72B5">
        <w:rPr>
          <w:rFonts w:ascii="Calibri" w:hAnsi="Calibri" w:cs="Calibri"/>
          <w:szCs w:val="20"/>
          <w:shd w:val="clear" w:color="auto" w:fill="FFFFFF"/>
        </w:rPr>
        <w:t xml:space="preserve"> 2019;9(5):e025903. </w:t>
      </w:r>
      <w:r>
        <w:rPr>
          <w:rFonts w:ascii="Calibri" w:hAnsi="Calibri" w:cs="Calibri"/>
          <w:szCs w:val="20"/>
          <w:shd w:val="clear" w:color="auto" w:fill="FFFFFF"/>
        </w:rPr>
        <w:t xml:space="preserve">doi: </w:t>
      </w:r>
      <w:hyperlink r:id="rId29" w:history="1">
        <w:r w:rsidRPr="00290416">
          <w:rPr>
            <w:rStyle w:val="Hyperlink"/>
          </w:rPr>
          <w:t>https://doi.org/10.1136/bmjopen-2018-025903</w:t>
        </w:r>
      </w:hyperlink>
      <w:r w:rsidRPr="00290416">
        <w:t xml:space="preserve"> PMID:</w:t>
      </w:r>
      <w:r w:rsidRPr="00403DCA">
        <w:rPr>
          <w:rFonts w:cstheme="minorHAnsi"/>
        </w:rPr>
        <w:t xml:space="preserve"> </w:t>
      </w:r>
      <w:r>
        <w:rPr>
          <w:rFonts w:cstheme="minorHAnsi"/>
        </w:rPr>
        <w:t>31122973</w:t>
      </w:r>
    </w:p>
    <w:p w14:paraId="448C1372" w14:textId="28D7FF49" w:rsidR="00416FFF" w:rsidRDefault="00416FFF" w:rsidP="007F3C8A">
      <w:pPr>
        <w:pStyle w:val="ListParagraph"/>
        <w:numPr>
          <w:ilvl w:val="0"/>
          <w:numId w:val="7"/>
        </w:numPr>
        <w:suppressLineNumbers/>
        <w:spacing w:after="0" w:line="480" w:lineRule="auto"/>
      </w:pPr>
      <w:r w:rsidRPr="003E1314">
        <w:rPr>
          <w:rFonts w:cstheme="minorHAnsi"/>
          <w:szCs w:val="20"/>
          <w:shd w:val="clear" w:color="auto" w:fill="FFFFFF"/>
        </w:rPr>
        <w:t>Ross JA, Barron E, McGough B, Valabhji J, Daff K, Irwin J, Henley WE, Murray E. Uptake and impact of the English National Health Service digital diabetes prevention programme: observational study.</w:t>
      </w:r>
      <w:r>
        <w:rPr>
          <w:rFonts w:cstheme="minorHAnsi"/>
          <w:szCs w:val="20"/>
          <w:shd w:val="clear" w:color="auto" w:fill="FFFFFF"/>
        </w:rPr>
        <w:t xml:space="preserve"> BMJ Open Diabetes Res Care. 2022</w:t>
      </w:r>
      <w:r w:rsidRPr="003E1314">
        <w:rPr>
          <w:rFonts w:cstheme="minorHAnsi"/>
          <w:szCs w:val="20"/>
          <w:shd w:val="clear" w:color="auto" w:fill="FFFFFF"/>
        </w:rPr>
        <w:t>;10(3):e002736.</w:t>
      </w:r>
      <w:r>
        <w:rPr>
          <w:rFonts w:cstheme="minorHAnsi"/>
          <w:szCs w:val="20"/>
          <w:shd w:val="clear" w:color="auto" w:fill="FFFFFF"/>
        </w:rPr>
        <w:t xml:space="preserve"> </w:t>
      </w:r>
      <w:hyperlink r:id="rId30" w:history="1">
        <w:r w:rsidRPr="00896C47">
          <w:rPr>
            <w:rStyle w:val="Hyperlink"/>
            <w:rFonts w:cstheme="minorHAnsi"/>
            <w:shd w:val="clear" w:color="auto" w:fill="FFFFFF"/>
          </w:rPr>
          <w:t>https://doi.org/</w:t>
        </w:r>
        <w:r w:rsidRPr="00896C47">
          <w:rPr>
            <w:rStyle w:val="Hyperlink"/>
            <w:rFonts w:cstheme="minorHAnsi"/>
          </w:rPr>
          <w:t>10.1136/bmjdrc-2021-002736</w:t>
        </w:r>
      </w:hyperlink>
      <w:r>
        <w:rPr>
          <w:rFonts w:cstheme="minorHAnsi"/>
        </w:rPr>
        <w:t xml:space="preserve"> </w:t>
      </w:r>
      <w:r w:rsidR="00207C14">
        <w:rPr>
          <w:rFonts w:cstheme="minorHAnsi"/>
        </w:rPr>
        <w:t xml:space="preserve">PMID: </w:t>
      </w:r>
      <w:r w:rsidR="00207C14" w:rsidRPr="00207C14">
        <w:t>35504697</w:t>
      </w:r>
    </w:p>
    <w:p w14:paraId="01695E87" w14:textId="37830A3A" w:rsidR="001778E4" w:rsidRPr="005041E6" w:rsidRDefault="001778E4" w:rsidP="005041E6">
      <w:pPr>
        <w:pStyle w:val="ListParagraph"/>
        <w:numPr>
          <w:ilvl w:val="0"/>
          <w:numId w:val="7"/>
        </w:numPr>
        <w:suppressLineNumbers/>
        <w:spacing w:line="480" w:lineRule="auto"/>
        <w:rPr>
          <w:rFonts w:cstheme="minorHAnsi"/>
        </w:rPr>
      </w:pPr>
      <w:r w:rsidRPr="001778E4">
        <w:rPr>
          <w:rFonts w:cstheme="minorHAnsi"/>
        </w:rPr>
        <w:lastRenderedPageBreak/>
        <w:t xml:space="preserve">Marsden AM, Hann M, Barron E, Ross J, Valabhji J, Murray E, Cotterill S. Comparison of weight change between face-to-face and digital delivery of the English National Health service diabetes prevention programme: An exploratory non-inferiority study with imputation of plausible weight outcomes. Preventive Med Reports. 2023;32:102161. </w:t>
      </w:r>
      <w:hyperlink r:id="rId31" w:tgtFrame="_blank" w:tooltip="Persistent link using digital object identifier" w:history="1">
        <w:r w:rsidRPr="001778E4">
          <w:rPr>
            <w:rStyle w:val="Hyperlink"/>
            <w:rFonts w:cstheme="minorHAnsi"/>
          </w:rPr>
          <w:t>https://doi.org/10.1016/j.pmedr.2023.102161</w:t>
        </w:r>
      </w:hyperlink>
      <w:r w:rsidRPr="001778E4">
        <w:rPr>
          <w:rFonts w:cstheme="minorHAnsi"/>
        </w:rPr>
        <w:t xml:space="preserve"> PMID: 36926593</w:t>
      </w:r>
    </w:p>
    <w:p w14:paraId="6E966F41" w14:textId="6612DE30" w:rsidR="00B21530" w:rsidRPr="00B21530" w:rsidRDefault="00B21530" w:rsidP="007F3C8A">
      <w:pPr>
        <w:pStyle w:val="ListParagraph"/>
        <w:numPr>
          <w:ilvl w:val="0"/>
          <w:numId w:val="7"/>
        </w:numPr>
        <w:suppressLineNumbers/>
        <w:spacing w:after="0" w:line="480" w:lineRule="auto"/>
        <w:rPr>
          <w:rStyle w:val="Hyperlink"/>
          <w:rFonts w:cstheme="minorHAnsi"/>
          <w:color w:val="auto"/>
          <w:u w:val="none"/>
        </w:rPr>
      </w:pPr>
      <w:r w:rsidRPr="00D90A7B">
        <w:rPr>
          <w:rFonts w:cstheme="minorHAnsi"/>
        </w:rPr>
        <w:t>NHS England. Service Specification No. 1: Provision of behavioural interventions for people with non-diabetic hyperglycaemia. [Version 01]. August 2019.</w:t>
      </w:r>
    </w:p>
    <w:p w14:paraId="42F78EE1" w14:textId="7F11B335" w:rsidR="002647A1" w:rsidRPr="00FB17D4" w:rsidRDefault="002647A1" w:rsidP="007F3C8A">
      <w:pPr>
        <w:pStyle w:val="ListParagraph"/>
        <w:numPr>
          <w:ilvl w:val="0"/>
          <w:numId w:val="7"/>
        </w:numPr>
        <w:suppressLineNumbers/>
        <w:spacing w:after="0" w:line="480" w:lineRule="auto"/>
        <w:rPr>
          <w:rStyle w:val="Hyperlink"/>
          <w:rFonts w:cstheme="minorHAnsi"/>
          <w:color w:val="auto"/>
          <w:u w:val="none"/>
        </w:rPr>
      </w:pPr>
      <w:r w:rsidRPr="00AC702E">
        <w:t xml:space="preserve">Hawkes RE, Miles LM, French DP. Fidelity </w:t>
      </w:r>
      <w:r w:rsidR="007B1E5C">
        <w:t>to program specification of the National Health Service Digital Diabetes Prevention Program behavior change technique content and underpinning theory:</w:t>
      </w:r>
      <w:r w:rsidRPr="00AC702E">
        <w:t xml:space="preserve"> </w:t>
      </w:r>
      <w:r w:rsidR="007B1E5C">
        <w:t>Document analysis.</w:t>
      </w:r>
      <w:r w:rsidRPr="00AC702E">
        <w:t xml:space="preserve"> J Med Int Res</w:t>
      </w:r>
      <w:r w:rsidR="002157BD">
        <w:t>.</w:t>
      </w:r>
      <w:r w:rsidRPr="00AC702E">
        <w:t xml:space="preserve"> 2022</w:t>
      </w:r>
      <w:r w:rsidR="007B1E5C">
        <w:t>;24(4):e34253</w:t>
      </w:r>
      <w:r w:rsidRPr="00AC702E">
        <w:t xml:space="preserve">. doi: </w:t>
      </w:r>
      <w:hyperlink r:id="rId32" w:history="1">
        <w:r w:rsidR="00861C1D" w:rsidRPr="004B4DB4">
          <w:rPr>
            <w:rStyle w:val="Hyperlink"/>
          </w:rPr>
          <w:t>http://dx.doi.org/10.2196/34253</w:t>
        </w:r>
      </w:hyperlink>
      <w:r w:rsidR="00861C1D">
        <w:rPr>
          <w:rStyle w:val="Hyperlink"/>
          <w:rFonts w:cstheme="minorHAnsi"/>
          <w:color w:val="auto"/>
          <w:u w:val="none"/>
        </w:rPr>
        <w:t xml:space="preserve"> PMID: 35476035</w:t>
      </w:r>
    </w:p>
    <w:p w14:paraId="4261DD4E" w14:textId="77A6DEF5" w:rsidR="00FB17D4" w:rsidRPr="007333A9" w:rsidRDefault="00FB17D4" w:rsidP="007333A9">
      <w:pPr>
        <w:pStyle w:val="ListParagraph"/>
        <w:numPr>
          <w:ilvl w:val="0"/>
          <w:numId w:val="7"/>
        </w:numPr>
        <w:suppressLineNumbers/>
        <w:spacing w:after="0" w:line="480" w:lineRule="auto"/>
        <w:rPr>
          <w:rFonts w:cstheme="minorHAnsi"/>
        </w:rPr>
      </w:pPr>
      <w:r>
        <w:t xml:space="preserve">Miles LM, Hawkes RE, French DP. </w:t>
      </w:r>
      <w:r w:rsidR="007333A9">
        <w:t>Description of the nationally implemented National Health Service digital diabetes prevention programme and rationale for its development: mixed methods study.</w:t>
      </w:r>
      <w:r w:rsidR="007B1E5C">
        <w:rPr>
          <w:rFonts w:cstheme="minorHAnsi"/>
        </w:rPr>
        <w:t xml:space="preserve"> BMC Health Services Res.</w:t>
      </w:r>
      <w:r w:rsidR="007333A9">
        <w:rPr>
          <w:rFonts w:cstheme="minorHAnsi"/>
        </w:rPr>
        <w:t xml:space="preserve"> 2023;23:373. d</w:t>
      </w:r>
      <w:r w:rsidR="007333A9" w:rsidRPr="007333A9">
        <w:rPr>
          <w:rFonts w:cstheme="minorHAnsi"/>
        </w:rPr>
        <w:t xml:space="preserve">oi: </w:t>
      </w:r>
      <w:hyperlink r:id="rId33" w:history="1">
        <w:r w:rsidR="007333A9" w:rsidRPr="00993863">
          <w:rPr>
            <w:rStyle w:val="Hyperlink"/>
          </w:rPr>
          <w:t>https://doi.org/10.1186/s12913-023-09210-3</w:t>
        </w:r>
      </w:hyperlink>
    </w:p>
    <w:p w14:paraId="2E311512" w14:textId="463BBB01" w:rsidR="002647A1" w:rsidRPr="00B520DD" w:rsidRDefault="002647A1" w:rsidP="007F3C8A">
      <w:pPr>
        <w:pStyle w:val="ListParagraph"/>
        <w:numPr>
          <w:ilvl w:val="0"/>
          <w:numId w:val="7"/>
        </w:numPr>
        <w:suppressLineNumbers/>
        <w:spacing w:after="0" w:line="480" w:lineRule="auto"/>
        <w:rPr>
          <w:rFonts w:cstheme="minorHAnsi"/>
          <w:shd w:val="clear" w:color="auto" w:fill="FFFFFF"/>
        </w:rPr>
      </w:pPr>
      <w:r w:rsidRPr="00AC702E">
        <w:t>Hawkes RE, Miles LM, French DP.</w:t>
      </w:r>
      <w:r w:rsidRPr="005C184E">
        <w:rPr>
          <w:rStyle w:val="Hyperlink"/>
          <w:rFonts w:eastAsia="Times New Roman"/>
          <w:u w:val="none"/>
        </w:rPr>
        <w:t xml:space="preserve"> </w:t>
      </w:r>
      <w:r w:rsidR="00125C52">
        <w:rPr>
          <w:rFonts w:cstheme="minorHAnsi"/>
          <w:szCs w:val="21"/>
        </w:rPr>
        <w:t>What</w:t>
      </w:r>
      <w:r w:rsidRPr="006D2697">
        <w:rPr>
          <w:rFonts w:cstheme="minorHAnsi"/>
          <w:szCs w:val="21"/>
        </w:rPr>
        <w:t xml:space="preserve"> behaviour change technique content </w:t>
      </w:r>
      <w:r w:rsidR="00125C52">
        <w:rPr>
          <w:rFonts w:cstheme="minorHAnsi"/>
          <w:szCs w:val="21"/>
        </w:rPr>
        <w:t xml:space="preserve">is </w:t>
      </w:r>
      <w:r w:rsidRPr="006D2697">
        <w:rPr>
          <w:rFonts w:cstheme="minorHAnsi"/>
          <w:szCs w:val="21"/>
        </w:rPr>
        <w:t xml:space="preserve">offered/ delivered to </w:t>
      </w:r>
      <w:r w:rsidR="00125C52">
        <w:rPr>
          <w:rFonts w:cstheme="minorHAnsi"/>
          <w:szCs w:val="21"/>
        </w:rPr>
        <w:t>service users</w:t>
      </w:r>
      <w:r w:rsidRPr="006D2697">
        <w:rPr>
          <w:rFonts w:cstheme="minorHAnsi"/>
          <w:szCs w:val="21"/>
        </w:rPr>
        <w:t xml:space="preserve"> of the nationally implemented English NHS Digital Diabetes Prevention Programme: Analysis of intervention online platforms, telephone consultations, health coach provision and documents provided</w:t>
      </w:r>
      <w:r w:rsidR="0068142C">
        <w:rPr>
          <w:rFonts w:cstheme="minorHAnsi"/>
          <w:szCs w:val="21"/>
        </w:rPr>
        <w:t>. Preventive Med Reports. 2023;32:</w:t>
      </w:r>
      <w:r w:rsidR="0068142C" w:rsidRPr="0068142C">
        <w:t>102112</w:t>
      </w:r>
      <w:r w:rsidR="0068142C">
        <w:t xml:space="preserve">. doi: </w:t>
      </w:r>
      <w:hyperlink r:id="rId34" w:tgtFrame="_blank" w:tooltip="Persistent link using digital object identifier" w:history="1">
        <w:r w:rsidR="0068142C" w:rsidRPr="0068142C">
          <w:rPr>
            <w:rStyle w:val="Hyperlink"/>
          </w:rPr>
          <w:t>https://doi.org/10.1016/j.pmedr.2023.102112</w:t>
        </w:r>
      </w:hyperlink>
      <w:r w:rsidR="0068142C">
        <w:t xml:space="preserve"> PMID: 36711000</w:t>
      </w:r>
    </w:p>
    <w:p w14:paraId="7C81EEAD" w14:textId="6C3C3AFF" w:rsidR="00183E3B" w:rsidRPr="00BA0697" w:rsidRDefault="00183E3B" w:rsidP="00BA0697">
      <w:pPr>
        <w:pStyle w:val="ListParagraph"/>
        <w:numPr>
          <w:ilvl w:val="0"/>
          <w:numId w:val="7"/>
        </w:numPr>
        <w:suppressLineNumbers/>
        <w:spacing w:after="0" w:line="480" w:lineRule="auto"/>
        <w:rPr>
          <w:rFonts w:cstheme="minorHAnsi"/>
          <w:shd w:val="clear" w:color="auto" w:fill="FFFFFF"/>
        </w:rPr>
      </w:pPr>
      <w:r w:rsidRPr="00331135">
        <w:rPr>
          <w:rFonts w:cstheme="minorHAnsi"/>
          <w:szCs w:val="20"/>
          <w:shd w:val="clear" w:color="auto" w:fill="FFFFFF"/>
        </w:rPr>
        <w:t>Hankonen N. Participants’ enactment of behavior change techniques: a call for increased focus on what people do to manage their motivation and behavior. Health Psycho Rev. 2021;15(2):185-94. doi:</w:t>
      </w:r>
      <w:r w:rsidRPr="00331135">
        <w:t xml:space="preserve"> </w:t>
      </w:r>
      <w:hyperlink r:id="rId35" w:history="1">
        <w:r w:rsidRPr="00331135">
          <w:rPr>
            <w:rStyle w:val="Hyperlink"/>
          </w:rPr>
          <w:t>https://doi.org/10.1080/17437199.2020.1814836</w:t>
        </w:r>
      </w:hyperlink>
    </w:p>
    <w:p w14:paraId="0E2B587C" w14:textId="399C1B17" w:rsidR="00331135" w:rsidRDefault="00331135" w:rsidP="007F3C8A">
      <w:pPr>
        <w:pStyle w:val="ListParagraph"/>
        <w:numPr>
          <w:ilvl w:val="0"/>
          <w:numId w:val="7"/>
        </w:numPr>
        <w:suppressLineNumbers/>
        <w:spacing w:after="0" w:line="480" w:lineRule="auto"/>
        <w:rPr>
          <w:rStyle w:val="Hyperlink"/>
          <w:rFonts w:cstheme="minorHAnsi"/>
          <w:shd w:val="clear" w:color="auto" w:fill="FFFFFF"/>
        </w:rPr>
      </w:pPr>
      <w:r w:rsidRPr="00086613">
        <w:rPr>
          <w:rFonts w:cstheme="minorHAnsi"/>
          <w:shd w:val="clear" w:color="auto" w:fill="FFFFFF"/>
        </w:rPr>
        <w:t xml:space="preserve">Michie S, Richardson M, Johnston M, Abraham C, Francis J, Hardeman W, Eccles MP, Cane J, Wood CE. The behavior change technique taxonomy (v1) of 93 hierarchically clustered techniques: building an international consensus for the reporting of behavior change </w:t>
      </w:r>
      <w:r w:rsidRPr="00086613">
        <w:rPr>
          <w:rFonts w:cstheme="minorHAnsi"/>
          <w:shd w:val="clear" w:color="auto" w:fill="FFFFFF"/>
        </w:rPr>
        <w:lastRenderedPageBreak/>
        <w:t>interventions. Ann Behav Med</w:t>
      </w:r>
      <w:r w:rsidR="002157BD">
        <w:rPr>
          <w:rFonts w:cstheme="minorHAnsi"/>
          <w:shd w:val="clear" w:color="auto" w:fill="FFFFFF"/>
        </w:rPr>
        <w:t>.</w:t>
      </w:r>
      <w:r w:rsidRPr="00086613">
        <w:rPr>
          <w:rFonts w:cstheme="minorHAnsi"/>
          <w:shd w:val="clear" w:color="auto" w:fill="FFFFFF"/>
        </w:rPr>
        <w:t xml:space="preserve"> 2013;46(1):81-95.</w:t>
      </w:r>
      <w:r w:rsidRPr="00AC702E">
        <w:rPr>
          <w:rFonts w:cstheme="minorHAnsi"/>
          <w:color w:val="FF0000"/>
          <w:shd w:val="clear" w:color="auto" w:fill="FFFFFF"/>
        </w:rPr>
        <w:t xml:space="preserve"> </w:t>
      </w:r>
      <w:r>
        <w:rPr>
          <w:rFonts w:cstheme="minorHAnsi"/>
          <w:shd w:val="clear" w:color="auto" w:fill="FFFFFF"/>
        </w:rPr>
        <w:t xml:space="preserve">doi: </w:t>
      </w:r>
      <w:hyperlink r:id="rId36" w:history="1">
        <w:r w:rsidRPr="00CC2681">
          <w:rPr>
            <w:rStyle w:val="Hyperlink"/>
            <w:rFonts w:cstheme="minorHAnsi"/>
          </w:rPr>
          <w:t>https://doi.org/10.1007/s12160-013-9486-6</w:t>
        </w:r>
      </w:hyperlink>
      <w:r>
        <w:rPr>
          <w:rStyle w:val="Hyperlink"/>
          <w:rFonts w:cstheme="minorHAnsi"/>
          <w:shd w:val="clear" w:color="auto" w:fill="FFFFFF"/>
        </w:rPr>
        <w:t xml:space="preserve"> </w:t>
      </w:r>
    </w:p>
    <w:p w14:paraId="0D881978" w14:textId="74F7A820" w:rsidR="00A968CC" w:rsidRPr="00A968CC" w:rsidRDefault="00A968CC" w:rsidP="007F3C8A">
      <w:pPr>
        <w:pStyle w:val="ListParagraph"/>
        <w:numPr>
          <w:ilvl w:val="0"/>
          <w:numId w:val="7"/>
        </w:numPr>
        <w:suppressLineNumbers/>
        <w:spacing w:after="0" w:line="480" w:lineRule="auto"/>
        <w:rPr>
          <w:rFonts w:cstheme="minorHAnsi"/>
          <w:shd w:val="clear" w:color="auto" w:fill="FFFFFF"/>
        </w:rPr>
      </w:pPr>
      <w:r w:rsidRPr="00540769">
        <w:t xml:space="preserve">Miller S, Ainsworth B, Yardley L, Milton A, Weal M, Smith P, Morrison L. A framework for analyzing and measuring usage and engagement data (AMUsED) </w:t>
      </w:r>
      <w:r>
        <w:t>in digital interventions. J Med Int Res</w:t>
      </w:r>
      <w:r w:rsidR="002157BD">
        <w:t>.</w:t>
      </w:r>
      <w:r w:rsidRPr="00540769">
        <w:t xml:space="preserve"> 2019;21(2):e10966.</w:t>
      </w:r>
      <w:r>
        <w:t xml:space="preserve"> doi: </w:t>
      </w:r>
      <w:hyperlink r:id="rId37" w:history="1">
        <w:r w:rsidRPr="00465180">
          <w:rPr>
            <w:rStyle w:val="Hyperlink"/>
          </w:rPr>
          <w:t>https://doi.org/10.2196/10966</w:t>
        </w:r>
      </w:hyperlink>
      <w:r>
        <w:t xml:space="preserve"> PMID: </w:t>
      </w:r>
      <w:r w:rsidRPr="00170077">
        <w:t>30767905</w:t>
      </w:r>
    </w:p>
    <w:p w14:paraId="054AAF57" w14:textId="5B6112BA" w:rsidR="00AA0413" w:rsidRDefault="00AA0413" w:rsidP="007F3C8A">
      <w:pPr>
        <w:pStyle w:val="ListParagraph"/>
        <w:numPr>
          <w:ilvl w:val="0"/>
          <w:numId w:val="7"/>
        </w:numPr>
        <w:suppressLineNumbers/>
        <w:spacing w:after="0" w:line="480" w:lineRule="auto"/>
        <w:rPr>
          <w:rStyle w:val="Hyperlink"/>
          <w:rFonts w:cstheme="minorHAnsi"/>
        </w:rPr>
      </w:pPr>
      <w:r w:rsidRPr="00AA0413">
        <w:rPr>
          <w:rFonts w:cstheme="minorHAnsi"/>
          <w:szCs w:val="20"/>
          <w:shd w:val="clear" w:color="auto" w:fill="FFFFFF"/>
        </w:rPr>
        <w:t>Yardley L, Spring BJ, Riper H, Morrison LG, Crane DH, Curtis K, Merchant GC, Naughton F, Blandford A. Understanding and promoting effective engagement with digital behavior change interventions. Am J Prev Med</w:t>
      </w:r>
      <w:r w:rsidR="002157BD">
        <w:rPr>
          <w:rFonts w:cstheme="minorHAnsi"/>
          <w:szCs w:val="20"/>
          <w:shd w:val="clear" w:color="auto" w:fill="FFFFFF"/>
        </w:rPr>
        <w:t>.</w:t>
      </w:r>
      <w:r w:rsidRPr="00AA0413">
        <w:rPr>
          <w:rFonts w:cstheme="minorHAnsi"/>
          <w:szCs w:val="20"/>
          <w:shd w:val="clear" w:color="auto" w:fill="FFFFFF"/>
        </w:rPr>
        <w:t xml:space="preserve"> 2016;51(5):833-42. doi</w:t>
      </w:r>
      <w:r w:rsidRPr="009F765B">
        <w:rPr>
          <w:rFonts w:cstheme="minorHAnsi"/>
          <w:szCs w:val="20"/>
          <w:shd w:val="clear" w:color="auto" w:fill="FFFFFF"/>
        </w:rPr>
        <w:t xml:space="preserve">: </w:t>
      </w:r>
      <w:hyperlink r:id="rId38" w:tgtFrame="_blank" w:tooltip="Persistent link using digital object identifier" w:history="1">
        <w:r w:rsidRPr="005951DF">
          <w:rPr>
            <w:rStyle w:val="Hyperlink"/>
            <w:rFonts w:cstheme="minorHAnsi"/>
          </w:rPr>
          <w:t>https://doi.org/10.1016/j.amepre.2016.06.015</w:t>
        </w:r>
      </w:hyperlink>
    </w:p>
    <w:p w14:paraId="500CF0D4" w14:textId="16F5AFA6" w:rsidR="004F2453" w:rsidRPr="004F2453" w:rsidRDefault="004F2453" w:rsidP="007F3C8A">
      <w:pPr>
        <w:pStyle w:val="ListParagraph"/>
        <w:numPr>
          <w:ilvl w:val="0"/>
          <w:numId w:val="7"/>
        </w:numPr>
        <w:suppressLineNumbers/>
        <w:spacing w:after="0" w:line="480" w:lineRule="auto"/>
        <w:rPr>
          <w:rStyle w:val="Hyperlink"/>
          <w:rFonts w:cstheme="minorHAnsi"/>
          <w:color w:val="auto"/>
          <w:u w:val="none"/>
        </w:rPr>
      </w:pPr>
      <w:r w:rsidRPr="00116D8B">
        <w:t xml:space="preserve">Block G, Azar KM, Romanelli RJ, Block TJ, Hopkins D, Carpenter HA, Dolginsky MS, Hudes ML, Palaniappan LP, Block CH. Diabetes prevention and weight loss with a fully automated behavioral </w:t>
      </w:r>
      <w:r w:rsidRPr="006621C8">
        <w:t>intervention by Email, Web, and Mobile Phone: A Randomized Controlled Trial Among Persons with Prediabetes.</w:t>
      </w:r>
      <w:r w:rsidRPr="00116D8B">
        <w:t xml:space="preserve"> </w:t>
      </w:r>
      <w:r>
        <w:t>J Med Int Res</w:t>
      </w:r>
      <w:r w:rsidR="002157BD">
        <w:t>.</w:t>
      </w:r>
      <w:r>
        <w:t xml:space="preserve"> 2015</w:t>
      </w:r>
      <w:r w:rsidRPr="00116D8B">
        <w:t>;17(10):e4897.</w:t>
      </w:r>
      <w:r>
        <w:t xml:space="preserve"> doi: </w:t>
      </w:r>
      <w:hyperlink r:id="rId39" w:history="1">
        <w:r w:rsidRPr="00100415">
          <w:rPr>
            <w:rStyle w:val="Hyperlink"/>
          </w:rPr>
          <w:t>https://doi.org/10.2196/jmir.4897</w:t>
        </w:r>
      </w:hyperlink>
      <w:r>
        <w:t xml:space="preserve"> PMID: 26499966</w:t>
      </w:r>
    </w:p>
    <w:p w14:paraId="1A21B593" w14:textId="5CF7A6B6" w:rsidR="00090552" w:rsidRPr="002924A3" w:rsidRDefault="00090552" w:rsidP="007F3C8A">
      <w:pPr>
        <w:pStyle w:val="ListParagraph"/>
        <w:numPr>
          <w:ilvl w:val="0"/>
          <w:numId w:val="7"/>
        </w:numPr>
        <w:suppressLineNumbers/>
        <w:spacing w:after="0" w:line="480" w:lineRule="auto"/>
        <w:rPr>
          <w:rFonts w:cstheme="minorHAnsi"/>
        </w:rPr>
      </w:pPr>
      <w:r w:rsidRPr="00872CA4">
        <w:t>Harjumaa M, Absetz P, Ermes M, Mattila E, Männikkö R, Tilles-Tirkkonen T, Lintu N, Schwab U, Umer A, Leppänen J, Pihlajamäki J. Internet-based lifestyle intervention to prevent type 2 diabetes through healthy habits: design and 6-month usage results of ran</w:t>
      </w:r>
      <w:r>
        <w:t>domized controlled trial. JMIR Diabetes</w:t>
      </w:r>
      <w:r w:rsidR="002157BD">
        <w:t>.</w:t>
      </w:r>
      <w:r>
        <w:t xml:space="preserve"> 2020</w:t>
      </w:r>
      <w:r w:rsidRPr="00872CA4">
        <w:t>;5(3):e15219.</w:t>
      </w:r>
      <w:r>
        <w:t xml:space="preserve"> doi: </w:t>
      </w:r>
      <w:hyperlink r:id="rId40" w:history="1">
        <w:r w:rsidRPr="00872CA4">
          <w:rPr>
            <w:rStyle w:val="Hyperlink"/>
          </w:rPr>
          <w:t>https://doi.org/10.2196/15219</w:t>
        </w:r>
      </w:hyperlink>
      <w:r w:rsidRPr="00872CA4">
        <w:t xml:space="preserve"> </w:t>
      </w:r>
      <w:r>
        <w:t xml:space="preserve">PMID: </w:t>
      </w:r>
      <w:r w:rsidRPr="002924A3">
        <w:t>32779571</w:t>
      </w:r>
    </w:p>
    <w:p w14:paraId="1A3F816D" w14:textId="2FC52000" w:rsidR="00090552" w:rsidRPr="00DB41B8" w:rsidRDefault="00090552" w:rsidP="007F3C8A">
      <w:pPr>
        <w:pStyle w:val="ListParagraph"/>
        <w:numPr>
          <w:ilvl w:val="0"/>
          <w:numId w:val="7"/>
        </w:numPr>
        <w:suppressLineNumbers/>
        <w:spacing w:after="0" w:line="480" w:lineRule="auto"/>
        <w:rPr>
          <w:rFonts w:cstheme="minorHAnsi"/>
        </w:rPr>
      </w:pPr>
      <w:r w:rsidRPr="00872CA4">
        <w:t>Lavikainen P, Mattila E, Absetz P, Harjumaa M, Lindström J, Järvelä-Reijonen E, Aittola K, Männikkö R, Tilles-Tirkkonen T, Lintu N, Lakka T. Digitally Supported Lifestyle Intervention to Prevent Type 2 Diabetes Through Healthy Habits: Secondary Analysis of Long-Term User Engagement Trajectories in a Ran</w:t>
      </w:r>
      <w:r>
        <w:t>domized Controlled Trial. J Med Int Res</w:t>
      </w:r>
      <w:r w:rsidR="002157BD">
        <w:t>.</w:t>
      </w:r>
      <w:r>
        <w:t xml:space="preserve"> </w:t>
      </w:r>
      <w:r w:rsidRPr="00872CA4">
        <w:t>2022;24(2):e31530.</w:t>
      </w:r>
      <w:r>
        <w:t xml:space="preserve"> doi: </w:t>
      </w:r>
      <w:hyperlink r:id="rId41" w:history="1">
        <w:r w:rsidRPr="00465180">
          <w:rPr>
            <w:rStyle w:val="Hyperlink"/>
          </w:rPr>
          <w:t>https://doi.org/10.2196/31530</w:t>
        </w:r>
      </w:hyperlink>
      <w:r>
        <w:t xml:space="preserve"> PMID: </w:t>
      </w:r>
      <w:r w:rsidRPr="00872CA4">
        <w:t>35200147</w:t>
      </w:r>
    </w:p>
    <w:p w14:paraId="7013F065" w14:textId="66B767EB" w:rsidR="00DB41B8" w:rsidRPr="00DB41B8" w:rsidRDefault="00DB41B8" w:rsidP="007F3C8A">
      <w:pPr>
        <w:pStyle w:val="ListParagraph"/>
        <w:numPr>
          <w:ilvl w:val="0"/>
          <w:numId w:val="7"/>
        </w:numPr>
        <w:suppressLineNumbers/>
        <w:spacing w:after="0" w:line="480" w:lineRule="auto"/>
        <w:rPr>
          <w:rFonts w:cstheme="minorHAnsi"/>
        </w:rPr>
      </w:pPr>
      <w:r w:rsidRPr="004D4FFD">
        <w:t xml:space="preserve">Moin T, Damschroder LJ, AuYoung M, Maciejewski ML, Havens K, Ertl K, Vasti E, Weinreb JE, Steinle NI, Billington CJ, Hughes M. Results from a trial of an online diabetes prevention program </w:t>
      </w:r>
      <w:r w:rsidRPr="004D4FFD">
        <w:lastRenderedPageBreak/>
        <w:t xml:space="preserve">intervention. Am J Prev Med. 2018;55(5):583-91. doi: </w:t>
      </w:r>
      <w:hyperlink r:id="rId42" w:history="1">
        <w:r w:rsidRPr="00DA49A7">
          <w:rPr>
            <w:rStyle w:val="Hyperlink"/>
          </w:rPr>
          <w:t>https://doi.org/10.1016/j.amepre.2018.06.028</w:t>
        </w:r>
      </w:hyperlink>
      <w:r>
        <w:t xml:space="preserve"> PMID: </w:t>
      </w:r>
      <w:r w:rsidRPr="007A2E07">
        <w:t>30262149 </w:t>
      </w:r>
    </w:p>
    <w:p w14:paraId="1154EED8" w14:textId="55DA3352" w:rsidR="00090552" w:rsidRPr="005645AA" w:rsidRDefault="00090552" w:rsidP="007F3C8A">
      <w:pPr>
        <w:pStyle w:val="ListParagraph"/>
        <w:numPr>
          <w:ilvl w:val="0"/>
          <w:numId w:val="7"/>
        </w:numPr>
        <w:suppressLineNumbers/>
        <w:spacing w:after="0" w:line="480" w:lineRule="auto"/>
        <w:rPr>
          <w:rFonts w:cstheme="minorHAnsi"/>
        </w:rPr>
      </w:pPr>
      <w:r w:rsidRPr="00966DF7">
        <w:t>Painter SL, Lu W, Schneider J, James R, Shah B. Drivers of weight loss in a CDC-recognized digital diabetes prevention prog</w:t>
      </w:r>
      <w:r>
        <w:t xml:space="preserve">ram. BMJ Open Diabetes Res </w:t>
      </w:r>
      <w:r w:rsidRPr="00966DF7">
        <w:t>Ca</w:t>
      </w:r>
      <w:r>
        <w:t>re</w:t>
      </w:r>
      <w:r w:rsidR="002157BD">
        <w:t>.</w:t>
      </w:r>
      <w:r>
        <w:t xml:space="preserve"> 2020</w:t>
      </w:r>
      <w:r w:rsidRPr="00966DF7">
        <w:t>;8(1):e001132.</w:t>
      </w:r>
      <w:r>
        <w:t xml:space="preserve"> doi: </w:t>
      </w:r>
      <w:hyperlink r:id="rId43" w:history="1">
        <w:r w:rsidRPr="00A7409E">
          <w:rPr>
            <w:rStyle w:val="Hyperlink"/>
          </w:rPr>
          <w:t>https://doi.org/10.1136/bmjdrc-2019-001132</w:t>
        </w:r>
      </w:hyperlink>
      <w:r>
        <w:t xml:space="preserve"> PMID: 32624481</w:t>
      </w:r>
    </w:p>
    <w:p w14:paraId="0CB49E01" w14:textId="093AF911" w:rsidR="00090552" w:rsidRPr="00BD0912" w:rsidRDefault="00090552" w:rsidP="007F3C8A">
      <w:pPr>
        <w:pStyle w:val="ListParagraph"/>
        <w:numPr>
          <w:ilvl w:val="0"/>
          <w:numId w:val="7"/>
        </w:numPr>
        <w:suppressLineNumbers/>
        <w:spacing w:after="0" w:line="480" w:lineRule="auto"/>
        <w:rPr>
          <w:rFonts w:cstheme="minorHAnsi"/>
        </w:rPr>
      </w:pPr>
      <w:r w:rsidRPr="00116D8B">
        <w:t>Toro-Ramos T, Michaelides A, Anton M, Karim Z, Kang-Oh L, Argyrou C, Loukaidou E, Charitou MM, Sze W, Miller JD. Mobile delivery of the diabetes prevention program in people with prediabetes: Randomized controlled trial. JMI</w:t>
      </w:r>
      <w:r>
        <w:t>R mHealth and uHealth</w:t>
      </w:r>
      <w:r w:rsidR="002157BD">
        <w:t>.</w:t>
      </w:r>
      <w:r>
        <w:t xml:space="preserve"> 2020</w:t>
      </w:r>
      <w:r w:rsidRPr="00116D8B">
        <w:t>;8(7):e17842.</w:t>
      </w:r>
      <w:r>
        <w:t xml:space="preserve"> doi: </w:t>
      </w:r>
      <w:hyperlink r:id="rId44" w:history="1">
        <w:r w:rsidRPr="00116D8B">
          <w:rPr>
            <w:rStyle w:val="Hyperlink"/>
          </w:rPr>
          <w:t>https://doi.org/10.2196/17842</w:t>
        </w:r>
      </w:hyperlink>
      <w:r w:rsidRPr="00116D8B">
        <w:t xml:space="preserve"> </w:t>
      </w:r>
      <w:r>
        <w:t>PMID: 32459631</w:t>
      </w:r>
    </w:p>
    <w:p w14:paraId="26A3DD62" w14:textId="4C8AF7CE" w:rsidR="00BD0912" w:rsidRPr="00BD0912" w:rsidRDefault="00BD0912" w:rsidP="007F3C8A">
      <w:pPr>
        <w:pStyle w:val="ListParagraph"/>
        <w:numPr>
          <w:ilvl w:val="0"/>
          <w:numId w:val="7"/>
        </w:numPr>
        <w:suppressLineNumbers/>
        <w:spacing w:after="0" w:line="480" w:lineRule="auto"/>
        <w:rPr>
          <w:rFonts w:cstheme="minorHAnsi"/>
        </w:rPr>
      </w:pPr>
      <w:r w:rsidRPr="00155935">
        <w:t>Sepah SC, Jiang L, Ellis RJ, McDermott K, Peters AL. Engagement and outcomes in a digital Diabetes Prevention Program: 3-year update. BMJ Open Diabet</w:t>
      </w:r>
      <w:r>
        <w:t xml:space="preserve"> Res Care</w:t>
      </w:r>
      <w:r w:rsidR="002157BD">
        <w:t>.</w:t>
      </w:r>
      <w:r>
        <w:t xml:space="preserve"> 2017</w:t>
      </w:r>
      <w:r w:rsidRPr="00155935">
        <w:t>;5(1):e000422.</w:t>
      </w:r>
      <w:r>
        <w:t xml:space="preserve"> </w:t>
      </w:r>
      <w:hyperlink r:id="rId45" w:history="1">
        <w:r w:rsidR="002157BD" w:rsidRPr="00751D39">
          <w:rPr>
            <w:rStyle w:val="Hyperlink"/>
          </w:rPr>
          <w:t>https://dx.doi.org/10.1136/bmjdrc-2017-000422</w:t>
        </w:r>
      </w:hyperlink>
      <w:r>
        <w:t xml:space="preserve"> PMID: </w:t>
      </w:r>
      <w:r w:rsidRPr="00155935">
        <w:t>28948027</w:t>
      </w:r>
    </w:p>
    <w:p w14:paraId="0A984E61" w14:textId="6710FD65" w:rsidR="00090552" w:rsidRPr="000173A7" w:rsidRDefault="00090552" w:rsidP="007F3C8A">
      <w:pPr>
        <w:pStyle w:val="ListParagraph"/>
        <w:numPr>
          <w:ilvl w:val="0"/>
          <w:numId w:val="7"/>
        </w:numPr>
        <w:suppressLineNumbers/>
        <w:spacing w:after="0" w:line="480" w:lineRule="auto"/>
        <w:rPr>
          <w:rFonts w:cstheme="minorHAnsi"/>
        </w:rPr>
      </w:pPr>
      <w:r w:rsidRPr="00C269C8">
        <w:t>Batten R, Alwashmi MF, Mugford G, Nuccio M, Besner A, Gao Z. A 12-Month Follow-Up of the Effects of a Digital Diabetes Prevention Program (VP Transform for Prediabetes) on Weight and Physical Activity Among Adults With Prediabetes: Sec</w:t>
      </w:r>
      <w:r>
        <w:t>ondary Analysis. JMIR diabetes</w:t>
      </w:r>
      <w:r w:rsidR="002157BD">
        <w:t>.</w:t>
      </w:r>
      <w:r>
        <w:t xml:space="preserve"> </w:t>
      </w:r>
      <w:r w:rsidRPr="00C269C8">
        <w:t>2022;7(1):e23243.</w:t>
      </w:r>
      <w:r>
        <w:t xml:space="preserve"> doi: </w:t>
      </w:r>
      <w:hyperlink r:id="rId46" w:history="1">
        <w:r w:rsidRPr="00C269C8">
          <w:rPr>
            <w:rStyle w:val="Hyperlink"/>
          </w:rPr>
          <w:t>https://doi.org/10.2196/23243</w:t>
        </w:r>
      </w:hyperlink>
      <w:r w:rsidRPr="00C269C8">
        <w:t xml:space="preserve"> </w:t>
      </w:r>
      <w:r>
        <w:t>PMID: 35029532</w:t>
      </w:r>
    </w:p>
    <w:p w14:paraId="4E6112BD" w14:textId="6A964119" w:rsidR="000173A7" w:rsidRPr="000173A7" w:rsidRDefault="000173A7" w:rsidP="007F3C8A">
      <w:pPr>
        <w:pStyle w:val="ListParagraph"/>
        <w:numPr>
          <w:ilvl w:val="0"/>
          <w:numId w:val="7"/>
        </w:numPr>
        <w:suppressLineNumbers/>
        <w:spacing w:after="0" w:line="480" w:lineRule="auto"/>
        <w:rPr>
          <w:rFonts w:cstheme="minorHAnsi"/>
          <w:sz w:val="24"/>
        </w:rPr>
      </w:pPr>
      <w:r w:rsidRPr="000173A7">
        <w:rPr>
          <w:rFonts w:cstheme="minorHAnsi"/>
          <w:szCs w:val="20"/>
          <w:shd w:val="clear" w:color="auto" w:fill="FFFFFF"/>
        </w:rPr>
        <w:t>Poduval S, Ahmed S, Marston L, Hamilton F, Murray E. Crossing the digital divide in online self-management support: analysis of usage data from HeLP-diabetes. JMI</w:t>
      </w:r>
      <w:r>
        <w:rPr>
          <w:rFonts w:cstheme="minorHAnsi"/>
          <w:szCs w:val="20"/>
          <w:shd w:val="clear" w:color="auto" w:fill="FFFFFF"/>
        </w:rPr>
        <w:t>R diabetes. 2018</w:t>
      </w:r>
      <w:r w:rsidRPr="000173A7">
        <w:rPr>
          <w:rFonts w:cstheme="minorHAnsi"/>
          <w:szCs w:val="20"/>
          <w:shd w:val="clear" w:color="auto" w:fill="FFFFFF"/>
        </w:rPr>
        <w:t>;3(4):e10925.</w:t>
      </w:r>
      <w:r>
        <w:rPr>
          <w:rFonts w:cstheme="minorHAnsi"/>
          <w:szCs w:val="20"/>
          <w:shd w:val="clear" w:color="auto" w:fill="FFFFFF"/>
        </w:rPr>
        <w:t xml:space="preserve"> </w:t>
      </w:r>
      <w:r w:rsidRPr="000173A7">
        <w:t xml:space="preserve">doi: </w:t>
      </w:r>
      <w:hyperlink r:id="rId47" w:history="1">
        <w:r w:rsidRPr="00FA13B6">
          <w:rPr>
            <w:rStyle w:val="Hyperlink"/>
          </w:rPr>
          <w:t>https://doi.org/10.2196/10925</w:t>
        </w:r>
      </w:hyperlink>
      <w:r>
        <w:rPr>
          <w:rFonts w:cstheme="minorHAnsi"/>
          <w:sz w:val="24"/>
        </w:rPr>
        <w:t xml:space="preserve"> </w:t>
      </w:r>
      <w:r w:rsidRPr="000173A7">
        <w:t>PMI</w:t>
      </w:r>
      <w:r>
        <w:t>D</w:t>
      </w:r>
      <w:r w:rsidRPr="000173A7">
        <w:t>: 30522988</w:t>
      </w:r>
    </w:p>
    <w:p w14:paraId="30BD1ECA" w14:textId="1CB33D4E" w:rsidR="00973B72" w:rsidRDefault="008D7336" w:rsidP="007F3C8A">
      <w:pPr>
        <w:pStyle w:val="ListParagraph"/>
        <w:numPr>
          <w:ilvl w:val="0"/>
          <w:numId w:val="7"/>
        </w:numPr>
        <w:suppressLineNumbers/>
        <w:spacing w:after="0" w:line="480" w:lineRule="auto"/>
      </w:pPr>
      <w:r w:rsidRPr="008D7336">
        <w:rPr>
          <w:rFonts w:cstheme="minorHAnsi"/>
          <w:szCs w:val="20"/>
          <w:shd w:val="clear" w:color="auto" w:fill="FFFFFF"/>
        </w:rPr>
        <w:t>Chambers DA, Glasgow RE, Stange KC. The dynamic sustainability framework: addressing the paradox of sustainment amid</w:t>
      </w:r>
      <w:r w:rsidR="003C6CDB">
        <w:rPr>
          <w:rFonts w:cstheme="minorHAnsi"/>
          <w:szCs w:val="20"/>
          <w:shd w:val="clear" w:color="auto" w:fill="FFFFFF"/>
        </w:rPr>
        <w:t xml:space="preserve"> ongoing change. Implement Sci. 2013</w:t>
      </w:r>
      <w:r w:rsidRPr="008D7336">
        <w:rPr>
          <w:rFonts w:cstheme="minorHAnsi"/>
          <w:szCs w:val="20"/>
          <w:shd w:val="clear" w:color="auto" w:fill="FFFFFF"/>
        </w:rPr>
        <w:t>;8(1):1-1.</w:t>
      </w:r>
      <w:r w:rsidR="003C6CDB">
        <w:rPr>
          <w:rFonts w:cstheme="minorHAnsi"/>
          <w:szCs w:val="20"/>
          <w:shd w:val="clear" w:color="auto" w:fill="FFFFFF"/>
        </w:rPr>
        <w:t xml:space="preserve"> doi: </w:t>
      </w:r>
      <w:hyperlink r:id="rId48" w:history="1">
        <w:r w:rsidR="003C6CDB" w:rsidRPr="00CC2681">
          <w:rPr>
            <w:rStyle w:val="Hyperlink"/>
          </w:rPr>
          <w:t>https://doi.org/10.1186/1748-5908-8-117</w:t>
        </w:r>
      </w:hyperlink>
      <w:r w:rsidR="003C6CDB">
        <w:t xml:space="preserve"> PMID: </w:t>
      </w:r>
      <w:r w:rsidR="003C6CDB" w:rsidRPr="003C6CDB">
        <w:t>24088228</w:t>
      </w:r>
    </w:p>
    <w:p w14:paraId="2343A9D0" w14:textId="177B6107" w:rsidR="00357EA0" w:rsidRDefault="00357EA0" w:rsidP="00357EA0">
      <w:pPr>
        <w:pStyle w:val="ListParagraph"/>
        <w:numPr>
          <w:ilvl w:val="0"/>
          <w:numId w:val="7"/>
        </w:numPr>
        <w:suppressLineNumbers/>
        <w:spacing w:after="0" w:line="480" w:lineRule="auto"/>
      </w:pPr>
      <w:r>
        <w:t xml:space="preserve">Diabetes UK. We’ve partnered with NHS England to help prevent type 2 diabetes. 2020. </w:t>
      </w:r>
      <w:hyperlink r:id="rId49" w:history="1">
        <w:r w:rsidRPr="00E86A1D">
          <w:rPr>
            <w:rStyle w:val="Hyperlink"/>
          </w:rPr>
          <w:t>https://www.diabetes.org.uk/about_us/news/know-your-risk-update</w:t>
        </w:r>
      </w:hyperlink>
      <w:r>
        <w:t xml:space="preserve"> [published 27 July 2020].</w:t>
      </w:r>
      <w:r w:rsidR="002157BD">
        <w:t xml:space="preserve"> Accessed 15 December 2022.</w:t>
      </w:r>
    </w:p>
    <w:p w14:paraId="6639964E" w14:textId="031CD892" w:rsidR="00CA0AE0" w:rsidRPr="002C3EEA" w:rsidRDefault="00CA0AE0" w:rsidP="007F3C8A">
      <w:pPr>
        <w:pStyle w:val="ListParagraph"/>
        <w:numPr>
          <w:ilvl w:val="0"/>
          <w:numId w:val="7"/>
        </w:numPr>
        <w:suppressLineNumbers/>
        <w:spacing w:line="480" w:lineRule="auto"/>
        <w:rPr>
          <w:rStyle w:val="Hyperlink"/>
          <w:rFonts w:cstheme="minorHAnsi"/>
          <w:color w:val="auto"/>
          <w:sz w:val="24"/>
          <w:u w:val="none"/>
        </w:rPr>
      </w:pPr>
      <w:r w:rsidRPr="00FC74E2">
        <w:rPr>
          <w:rFonts w:cstheme="minorHAnsi"/>
          <w:szCs w:val="20"/>
          <w:shd w:val="clear" w:color="auto" w:fill="FFFFFF"/>
        </w:rPr>
        <w:lastRenderedPageBreak/>
        <w:t>French DP, Miles</w:t>
      </w:r>
      <w:r w:rsidRPr="002045F5">
        <w:rPr>
          <w:rFonts w:cstheme="minorHAnsi"/>
          <w:szCs w:val="20"/>
          <w:shd w:val="clear" w:color="auto" w:fill="FFFFFF"/>
        </w:rPr>
        <w:t xml:space="preserve"> LM, Elbourne D, Farmer A, Gulliford M, Locock L, Sutton S, McCambridge J. Reducing bias in trials from reactions to measurement: the MERIT study including developmental work an</w:t>
      </w:r>
      <w:r>
        <w:rPr>
          <w:rFonts w:cstheme="minorHAnsi"/>
          <w:szCs w:val="20"/>
          <w:shd w:val="clear" w:color="auto" w:fill="FFFFFF"/>
        </w:rPr>
        <w:t>d expert workshop. Health Technol Assess</w:t>
      </w:r>
      <w:r w:rsidRPr="002045F5">
        <w:rPr>
          <w:rFonts w:cstheme="minorHAnsi"/>
          <w:szCs w:val="20"/>
          <w:shd w:val="clear" w:color="auto" w:fill="FFFFFF"/>
        </w:rPr>
        <w:t xml:space="preserve"> (Winchester, E</w:t>
      </w:r>
      <w:r>
        <w:rPr>
          <w:rFonts w:cstheme="minorHAnsi"/>
          <w:szCs w:val="20"/>
          <w:shd w:val="clear" w:color="auto" w:fill="FFFFFF"/>
        </w:rPr>
        <w:t>ngland). 2021</w:t>
      </w:r>
      <w:r w:rsidRPr="002045F5">
        <w:rPr>
          <w:rFonts w:cstheme="minorHAnsi"/>
          <w:szCs w:val="20"/>
          <w:shd w:val="clear" w:color="auto" w:fill="FFFFFF"/>
        </w:rPr>
        <w:t>;25(55):1-72.</w:t>
      </w:r>
      <w:r>
        <w:rPr>
          <w:rFonts w:cstheme="minorHAnsi"/>
          <w:szCs w:val="20"/>
          <w:shd w:val="clear" w:color="auto" w:fill="FFFFFF"/>
        </w:rPr>
        <w:t xml:space="preserve"> doi: </w:t>
      </w:r>
      <w:hyperlink r:id="rId50" w:tgtFrame="_blank" w:history="1">
        <w:r w:rsidRPr="002045F5">
          <w:rPr>
            <w:rStyle w:val="Hyperlink"/>
          </w:rPr>
          <w:t>https://doi.org/10.3310/hta25550</w:t>
        </w:r>
      </w:hyperlink>
    </w:p>
    <w:p w14:paraId="04AD1BCE" w14:textId="14164FAB" w:rsidR="002C3EEA" w:rsidRPr="002C3EEA" w:rsidRDefault="002C3EEA" w:rsidP="007F3C8A">
      <w:pPr>
        <w:pStyle w:val="ListParagraph"/>
        <w:numPr>
          <w:ilvl w:val="0"/>
          <w:numId w:val="7"/>
        </w:numPr>
        <w:suppressLineNumbers/>
        <w:spacing w:after="0" w:line="480" w:lineRule="auto"/>
        <w:rPr>
          <w:rFonts w:cstheme="minorHAnsi"/>
          <w:color w:val="0000FF"/>
          <w:sz w:val="20"/>
          <w:u w:val="single"/>
          <w:shd w:val="clear" w:color="auto" w:fill="FFFFFF"/>
        </w:rPr>
      </w:pPr>
      <w:r w:rsidRPr="00F31E8B">
        <w:rPr>
          <w:rFonts w:cstheme="minorHAnsi"/>
          <w:shd w:val="clear" w:color="auto" w:fill="FFFFFF"/>
        </w:rPr>
        <w:t>Hawkes RE, Miles L, French DP. The theoretical basis of a nationally implemented Type 2 Diabetes Prevention Programme: How is the programme expected to produce changes in behaviour</w:t>
      </w:r>
      <w:r w:rsidRPr="00951104">
        <w:rPr>
          <w:rFonts w:cstheme="minorHAnsi"/>
          <w:shd w:val="clear" w:color="auto" w:fill="FFFFFF"/>
        </w:rPr>
        <w:t xml:space="preserve">? </w:t>
      </w:r>
      <w:r>
        <w:rPr>
          <w:rFonts w:cstheme="minorHAnsi"/>
          <w:shd w:val="clear" w:color="auto" w:fill="FFFFFF"/>
        </w:rPr>
        <w:t>Int J Behav Nutr Phys Act</w:t>
      </w:r>
      <w:r w:rsidR="002157BD">
        <w:rPr>
          <w:rFonts w:cstheme="minorHAnsi"/>
          <w:shd w:val="clear" w:color="auto" w:fill="FFFFFF"/>
        </w:rPr>
        <w:t>.</w:t>
      </w:r>
      <w:r>
        <w:rPr>
          <w:rFonts w:cstheme="minorHAnsi"/>
          <w:shd w:val="clear" w:color="auto" w:fill="FFFFFF"/>
        </w:rPr>
        <w:t xml:space="preserve"> </w:t>
      </w:r>
      <w:r w:rsidRPr="00951104">
        <w:rPr>
          <w:rFonts w:cstheme="minorHAnsi"/>
          <w:shd w:val="clear" w:color="auto" w:fill="FFFFFF"/>
        </w:rPr>
        <w:t>2021;18</w:t>
      </w:r>
      <w:r>
        <w:rPr>
          <w:rFonts w:cstheme="minorHAnsi"/>
          <w:shd w:val="clear" w:color="auto" w:fill="FFFFFF"/>
        </w:rPr>
        <w:t xml:space="preserve">(64). doi: </w:t>
      </w:r>
      <w:hyperlink r:id="rId51" w:history="1">
        <w:r w:rsidRPr="009A6D63">
          <w:rPr>
            <w:rStyle w:val="Hyperlink"/>
          </w:rPr>
          <w:t>https://doi.org/10.1186/s12966-021-01134-7</w:t>
        </w:r>
      </w:hyperlink>
      <w:r w:rsidRPr="009A6D63">
        <w:t xml:space="preserve"> PMID: 33985524</w:t>
      </w:r>
    </w:p>
    <w:p w14:paraId="7F483ECB" w14:textId="1636792E" w:rsidR="005C471B" w:rsidRPr="00A76B71" w:rsidRDefault="005C471B" w:rsidP="007F3C8A">
      <w:pPr>
        <w:pStyle w:val="ListParagraph"/>
        <w:numPr>
          <w:ilvl w:val="0"/>
          <w:numId w:val="7"/>
        </w:numPr>
        <w:suppressLineNumbers/>
        <w:spacing w:after="0" w:line="480" w:lineRule="auto"/>
        <w:rPr>
          <w:rFonts w:cstheme="minorHAnsi"/>
          <w:shd w:val="clear" w:color="auto" w:fill="FFFFFF"/>
        </w:rPr>
      </w:pPr>
      <w:r w:rsidRPr="0096055E">
        <w:t>Pham Q, Graham G, Carrion C, Morita PP, Seto E, Stinson JN, Cafazzo JA. A library of analytic indicators to evaluate effective engagement with consumer mHealth apps for chronic conditions: scoping review. JMIR mHealth and uHealth</w:t>
      </w:r>
      <w:r w:rsidR="002157BD">
        <w:t>.</w:t>
      </w:r>
      <w:r w:rsidRPr="0096055E">
        <w:t xml:space="preserve"> 2019;7(1):e11941. </w:t>
      </w:r>
      <w:r>
        <w:t xml:space="preserve">doi: </w:t>
      </w:r>
      <w:hyperlink r:id="rId52" w:history="1">
        <w:r w:rsidRPr="00465180">
          <w:rPr>
            <w:rStyle w:val="Hyperlink"/>
          </w:rPr>
          <w:t>https://doi.org/10.2196/11941</w:t>
        </w:r>
      </w:hyperlink>
      <w:r>
        <w:t xml:space="preserve"> PMID:</w:t>
      </w:r>
      <w:r w:rsidRPr="00170077">
        <w:t xml:space="preserve"> 30664463</w:t>
      </w:r>
    </w:p>
    <w:p w14:paraId="01010B2F" w14:textId="1B631048" w:rsidR="00A51E3E" w:rsidRDefault="00A51E3E" w:rsidP="007F3C8A">
      <w:pPr>
        <w:pStyle w:val="ListParagraph"/>
        <w:numPr>
          <w:ilvl w:val="0"/>
          <w:numId w:val="7"/>
        </w:numPr>
        <w:suppressLineNumbers/>
        <w:spacing w:after="0" w:line="480" w:lineRule="auto"/>
      </w:pPr>
      <w:r w:rsidRPr="00292D7A">
        <w:t>Howarth E, Bower PJ, Kontopantelis E, Soiland-Reyes C, Meacock R, Whittaker W, Cotterill S. ‘Going the distance’: an independent cohort study of engagement and dropout among the first 100 000 referrals into a large-scale diabetes prevention program. BMJ Open Diabet</w:t>
      </w:r>
      <w:r>
        <w:t>es Research and Care. 2020</w:t>
      </w:r>
      <w:r w:rsidRPr="00292D7A">
        <w:t>;8(2):e001835.</w:t>
      </w:r>
      <w:r>
        <w:t xml:space="preserve"> doi: </w:t>
      </w:r>
      <w:hyperlink r:id="rId53" w:tgtFrame="_new" w:history="1">
        <w:r w:rsidRPr="00292D7A">
          <w:rPr>
            <w:rStyle w:val="Hyperlink"/>
          </w:rPr>
          <w:t>http://dx.doi.org/10.1136/bmjdrc-2020-001835</w:t>
        </w:r>
      </w:hyperlink>
      <w:r w:rsidR="004159A4">
        <w:rPr>
          <w:rStyle w:val="Hyperlink"/>
        </w:rPr>
        <w:t xml:space="preserve"> </w:t>
      </w:r>
      <w:r w:rsidR="004159A4" w:rsidRPr="00C6129B">
        <w:t>PMID: 33303493</w:t>
      </w:r>
    </w:p>
    <w:p w14:paraId="42746B74" w14:textId="2EE3E39C" w:rsidR="00C118C9" w:rsidRPr="00A76B71" w:rsidRDefault="00C118C9" w:rsidP="00C118C9">
      <w:pPr>
        <w:pStyle w:val="ListParagraph"/>
        <w:numPr>
          <w:ilvl w:val="0"/>
          <w:numId w:val="7"/>
        </w:numPr>
        <w:suppressLineNumbers/>
        <w:spacing w:after="0" w:line="480" w:lineRule="auto"/>
      </w:pPr>
      <w:r w:rsidRPr="00AC702E">
        <w:t>Miles LM, Hawkes RE, Fre</w:t>
      </w:r>
      <w:r>
        <w:t xml:space="preserve">nch DP. How is the behaviour change content of a nationally implemented Digital Diabetes Prevention Programme understood and used by participants? A qualitative study of fidelity of receipt and enactment. </w:t>
      </w:r>
      <w:r>
        <w:rPr>
          <w:rFonts w:cstheme="minorHAnsi"/>
          <w:shd w:val="clear" w:color="auto" w:fill="FFFFFF"/>
        </w:rPr>
        <w:t>J Med Int Res. 2023;25:</w:t>
      </w:r>
      <w:r w:rsidRPr="0068142C">
        <w:t>e41214</w:t>
      </w:r>
      <w:r>
        <w:t xml:space="preserve">. doi: </w:t>
      </w:r>
      <w:hyperlink r:id="rId54" w:history="1">
        <w:r w:rsidRPr="00791E04">
          <w:rPr>
            <w:rStyle w:val="Hyperlink"/>
          </w:rPr>
          <w:t>https://doi.org/10.2196/41214</w:t>
        </w:r>
      </w:hyperlink>
      <w:r>
        <w:t xml:space="preserve"> PMID: </w:t>
      </w:r>
      <w:r w:rsidRPr="0068142C">
        <w:t>36630165</w:t>
      </w:r>
    </w:p>
    <w:p w14:paraId="3BA6D0ED" w14:textId="77777777" w:rsidR="009959D0" w:rsidRPr="009959D0" w:rsidRDefault="002C3EEA" w:rsidP="009959D0">
      <w:pPr>
        <w:pStyle w:val="ListParagraph"/>
        <w:numPr>
          <w:ilvl w:val="0"/>
          <w:numId w:val="7"/>
        </w:numPr>
        <w:suppressLineNumbers/>
        <w:spacing w:line="480" w:lineRule="auto"/>
        <w:rPr>
          <w:rFonts w:cstheme="minorHAnsi"/>
          <w:color w:val="0563C1" w:themeColor="hyperlink"/>
          <w:u w:val="single"/>
          <w:shd w:val="clear" w:color="auto" w:fill="FFFFFF"/>
        </w:rPr>
      </w:pPr>
      <w:r w:rsidRPr="00BA55DE">
        <w:t>Perski O, Blandford A, West R, Michie S. Conceptualising engagement with digital behaviour change interventions: a systematic review using principles from critical interpretive synthesis. Translational Behav Med</w:t>
      </w:r>
      <w:r w:rsidR="002157BD">
        <w:t>.</w:t>
      </w:r>
      <w:r w:rsidRPr="00BA55DE">
        <w:t xml:space="preserve"> 2017;7(2):254-67. </w:t>
      </w:r>
      <w:r>
        <w:t>doi:</w:t>
      </w:r>
      <w:r w:rsidRPr="00DB2BC5">
        <w:t xml:space="preserve"> </w:t>
      </w:r>
      <w:hyperlink r:id="rId55" w:history="1">
        <w:r w:rsidRPr="00DB2BC5">
          <w:rPr>
            <w:rStyle w:val="Hyperlink"/>
          </w:rPr>
          <w:t>https://doi.org/10.1007/s13142-016-0453-1</w:t>
        </w:r>
      </w:hyperlink>
      <w:r>
        <w:t xml:space="preserve"> PMID: 27966189</w:t>
      </w:r>
    </w:p>
    <w:p w14:paraId="09F4E374" w14:textId="74C6E2E9" w:rsidR="009959D0" w:rsidRPr="00C82777" w:rsidRDefault="009959D0" w:rsidP="009959D0">
      <w:pPr>
        <w:pStyle w:val="ListParagraph"/>
        <w:numPr>
          <w:ilvl w:val="0"/>
          <w:numId w:val="7"/>
        </w:numPr>
        <w:suppressLineNumbers/>
        <w:spacing w:line="480" w:lineRule="auto"/>
      </w:pPr>
      <w:r w:rsidRPr="009959D0">
        <w:lastRenderedPageBreak/>
        <w:t>Chew HS, Koh WL, Ng JS, Tan KK. Sustainability of Weight Loss Through Smartphone Apps: Systematic Review and Meta-analysis on Anthropometric, Metabolic, a</w:t>
      </w:r>
      <w:r>
        <w:t>nd Dietary Outcomes. J Med Int</w:t>
      </w:r>
      <w:r w:rsidRPr="009959D0">
        <w:t xml:space="preserve"> Res</w:t>
      </w:r>
      <w:r>
        <w:t>. 2022</w:t>
      </w:r>
      <w:r w:rsidRPr="009959D0">
        <w:t>;24(9):e40141.</w:t>
      </w:r>
      <w:r w:rsidR="00C82777">
        <w:t xml:space="preserve"> doi</w:t>
      </w:r>
      <w:r w:rsidR="00C82777" w:rsidRPr="00C82777">
        <w:t xml:space="preserve">: </w:t>
      </w:r>
      <w:hyperlink r:id="rId56" w:history="1">
        <w:r w:rsidR="00C82777" w:rsidRPr="00C82777">
          <w:rPr>
            <w:rStyle w:val="Hyperlink"/>
          </w:rPr>
          <w:t>https://doi.org/10.2196/40141</w:t>
        </w:r>
      </w:hyperlink>
      <w:r w:rsidR="00C82777" w:rsidRPr="00C82777">
        <w:t xml:space="preserve"> </w:t>
      </w:r>
      <w:r w:rsidR="00C82777">
        <w:t xml:space="preserve">PMID: </w:t>
      </w:r>
      <w:r w:rsidR="00C82777" w:rsidRPr="00C82777">
        <w:t>36129739</w:t>
      </w:r>
    </w:p>
    <w:p w14:paraId="2847D71D" w14:textId="6D930251" w:rsidR="009959D0" w:rsidRPr="00C82777" w:rsidRDefault="009959D0" w:rsidP="009959D0">
      <w:pPr>
        <w:pStyle w:val="ListParagraph"/>
        <w:numPr>
          <w:ilvl w:val="0"/>
          <w:numId w:val="7"/>
        </w:numPr>
        <w:suppressLineNumbers/>
        <w:spacing w:line="480" w:lineRule="auto"/>
      </w:pPr>
      <w:r>
        <w:t>A</w:t>
      </w:r>
      <w:r w:rsidRPr="009959D0">
        <w:t>ntoun J, Itani H, Alarab N, Elsehmawy A. The effectiveness of combining nonmobile interventions with the use of smartphone apps with var</w:t>
      </w:r>
      <w:r>
        <w:t>ious features for weight loss: S</w:t>
      </w:r>
      <w:r w:rsidRPr="009959D0">
        <w:t>ystematic review and</w:t>
      </w:r>
      <w:r>
        <w:t xml:space="preserve"> meta-analysis. JMIR mHealth</w:t>
      </w:r>
      <w:r w:rsidRPr="009959D0">
        <w:t xml:space="preserve"> uHealth. 20</w:t>
      </w:r>
      <w:r>
        <w:t>22</w:t>
      </w:r>
      <w:r w:rsidRPr="009959D0">
        <w:t>;10(4):e35479.</w:t>
      </w:r>
      <w:r w:rsidR="00C82777">
        <w:t xml:space="preserve"> doi: </w:t>
      </w:r>
      <w:hyperlink r:id="rId57" w:history="1">
        <w:r w:rsidR="00C82777" w:rsidRPr="00C82777">
          <w:rPr>
            <w:rStyle w:val="Hyperlink"/>
          </w:rPr>
          <w:t>https://doi.org/10.2196/35479</w:t>
        </w:r>
      </w:hyperlink>
      <w:r w:rsidR="00C82777" w:rsidRPr="00C82777">
        <w:t xml:space="preserve"> </w:t>
      </w:r>
      <w:r w:rsidR="00C82777">
        <w:t xml:space="preserve">PMID: </w:t>
      </w:r>
      <w:r w:rsidR="00C82777" w:rsidRPr="00C82777">
        <w:t>35394443</w:t>
      </w:r>
    </w:p>
    <w:p w14:paraId="54E1B2F4" w14:textId="632A7E7E" w:rsidR="00C7732C" w:rsidRPr="003B510C" w:rsidRDefault="00C7732C" w:rsidP="007F3C8A">
      <w:pPr>
        <w:pStyle w:val="ListParagraph"/>
        <w:numPr>
          <w:ilvl w:val="0"/>
          <w:numId w:val="7"/>
        </w:numPr>
        <w:suppressLineNumbers/>
        <w:spacing w:line="480" w:lineRule="auto"/>
        <w:rPr>
          <w:rFonts w:cstheme="minorHAnsi"/>
          <w:color w:val="0563C1" w:themeColor="hyperlink"/>
          <w:u w:val="single"/>
          <w:shd w:val="clear" w:color="auto" w:fill="FFFFFF"/>
        </w:rPr>
      </w:pPr>
      <w:r w:rsidRPr="00C7732C">
        <w:rPr>
          <w:shd w:val="clear" w:color="auto" w:fill="FFFFFF"/>
        </w:rPr>
        <w:t>Jakob R, Harperink S, Rudolf AM, Fleisch E, Haug S, Mair JL, Salamanca-Sanabria A, Kowatsch T. Factors Influencing Adherence to mHealth Apps for Prevention or Management of Noncommunicable Diseases: Systematic Review. J Med Int Res</w:t>
      </w:r>
      <w:r w:rsidR="002157BD">
        <w:rPr>
          <w:shd w:val="clear" w:color="auto" w:fill="FFFFFF"/>
        </w:rPr>
        <w:t>. 2022</w:t>
      </w:r>
      <w:r w:rsidRPr="00C7732C">
        <w:rPr>
          <w:shd w:val="clear" w:color="auto" w:fill="FFFFFF"/>
        </w:rPr>
        <w:t xml:space="preserve">;24(5):e35371. doi: </w:t>
      </w:r>
      <w:hyperlink r:id="rId58" w:history="1">
        <w:r w:rsidRPr="00714C4C">
          <w:rPr>
            <w:rStyle w:val="Hyperlink"/>
          </w:rPr>
          <w:t>https://doi.org/10.2196/35371</w:t>
        </w:r>
      </w:hyperlink>
      <w:r>
        <w:t xml:space="preserve"> PMID: </w:t>
      </w:r>
      <w:r w:rsidRPr="00C7732C">
        <w:rPr>
          <w:rFonts w:cstheme="minorHAnsi"/>
        </w:rPr>
        <w:t>35612886</w:t>
      </w:r>
    </w:p>
    <w:p w14:paraId="0ACB11F5" w14:textId="355FF640" w:rsidR="003B510C" w:rsidRPr="004159A4" w:rsidRDefault="003B510C" w:rsidP="007F3C8A">
      <w:pPr>
        <w:pStyle w:val="ListParagraph"/>
        <w:numPr>
          <w:ilvl w:val="0"/>
          <w:numId w:val="7"/>
        </w:numPr>
        <w:suppressLineNumbers/>
        <w:spacing w:after="0" w:line="480" w:lineRule="auto"/>
      </w:pPr>
      <w:r w:rsidRPr="00393B1A">
        <w:t>Michaelides A, Raby C, Wood M, Farr K, Toro-Ramos T. Weight loss efficacy of a novel mobile Diabetes Prevention Program delivery platform with human coaching. BMJ Open Diabet</w:t>
      </w:r>
      <w:r>
        <w:t>es Res Care. 2016</w:t>
      </w:r>
      <w:r w:rsidRPr="00393B1A">
        <w:t>;4(1):e000264.</w:t>
      </w:r>
      <w:r>
        <w:t xml:space="preserve"> doi: </w:t>
      </w:r>
      <w:hyperlink r:id="rId59" w:history="1">
        <w:r w:rsidR="002157BD" w:rsidRPr="00751D39">
          <w:rPr>
            <w:rStyle w:val="Hyperlink"/>
          </w:rPr>
          <w:t>https://dx.doi.org/10.1136/bmjdrc-2016-000264</w:t>
        </w:r>
      </w:hyperlink>
      <w:r>
        <w:t xml:space="preserve"> PMID: </w:t>
      </w:r>
      <w:r w:rsidRPr="004159A4">
        <w:t>27651911</w:t>
      </w:r>
    </w:p>
    <w:p w14:paraId="191DC27C" w14:textId="44E06FCB" w:rsidR="003B510C" w:rsidRPr="003B510C" w:rsidRDefault="003B510C" w:rsidP="007F3C8A">
      <w:pPr>
        <w:pStyle w:val="ListParagraph"/>
        <w:numPr>
          <w:ilvl w:val="0"/>
          <w:numId w:val="7"/>
        </w:numPr>
        <w:suppressLineNumbers/>
        <w:spacing w:after="0" w:line="480" w:lineRule="auto"/>
      </w:pPr>
      <w:r w:rsidRPr="00393B1A">
        <w:t>Michaelides A, Major J, Pienkosz Jr E, Wood M, Kim Y, Toro-Ramos T. Usefulness of a novel mobile diabetes prevention program delivery platform with human coaching: 65-week observational follow-up. JMIR</w:t>
      </w:r>
      <w:r>
        <w:t xml:space="preserve"> mHealth uHealth. 2018</w:t>
      </w:r>
      <w:r w:rsidRPr="00393B1A">
        <w:t>;6(5):e9161.</w:t>
      </w:r>
      <w:r w:rsidR="00EB52A8">
        <w:t xml:space="preserve"> d</w:t>
      </w:r>
      <w:r>
        <w:t xml:space="preserve">oi: </w:t>
      </w:r>
      <w:hyperlink r:id="rId60" w:history="1">
        <w:r w:rsidRPr="004159A4">
          <w:rPr>
            <w:rStyle w:val="Hyperlink"/>
          </w:rPr>
          <w:t>https://doi.org/10.2196/mhealth.9161</w:t>
        </w:r>
      </w:hyperlink>
      <w:r w:rsidRPr="004159A4">
        <w:t xml:space="preserve"> </w:t>
      </w:r>
      <w:r>
        <w:t xml:space="preserve">PMID: </w:t>
      </w:r>
      <w:r w:rsidRPr="004159A4">
        <w:t>29724709</w:t>
      </w:r>
    </w:p>
    <w:p w14:paraId="191E1350" w14:textId="057AC462" w:rsidR="00755966" w:rsidRPr="00755966" w:rsidRDefault="00EB52A8" w:rsidP="007F3C8A">
      <w:pPr>
        <w:pStyle w:val="ListParagraph"/>
        <w:numPr>
          <w:ilvl w:val="0"/>
          <w:numId w:val="7"/>
        </w:numPr>
        <w:suppressLineNumbers/>
        <w:spacing w:after="0" w:line="480" w:lineRule="auto"/>
        <w:rPr>
          <w:rFonts w:cstheme="minorHAnsi"/>
          <w:shd w:val="clear" w:color="auto" w:fill="FFFFFF"/>
        </w:rPr>
      </w:pPr>
      <w:r>
        <w:rPr>
          <w:rFonts w:cstheme="minorHAnsi"/>
          <w:shd w:val="clear" w:color="auto" w:fill="FFFFFF"/>
        </w:rPr>
        <w:t>Ross JA, Cotterill S, Bower P, Murray E</w:t>
      </w:r>
      <w:r w:rsidR="00755966">
        <w:rPr>
          <w:rFonts w:cstheme="minorHAnsi"/>
          <w:shd w:val="clear" w:color="auto" w:fill="FFFFFF"/>
        </w:rPr>
        <w:t xml:space="preserve">. </w:t>
      </w:r>
      <w:r>
        <w:rPr>
          <w:rFonts w:cstheme="minorHAnsi"/>
          <w:shd w:val="clear" w:color="auto" w:fill="FFFFFF"/>
        </w:rPr>
        <w:t>Influences on patient uptake of and engagement with the National Health Service Digital Diabetes Prevention Programme: Q</w:t>
      </w:r>
      <w:r w:rsidR="00755966">
        <w:rPr>
          <w:rFonts w:cstheme="minorHAnsi"/>
          <w:shd w:val="clear" w:color="auto" w:fill="FFFFFF"/>
        </w:rPr>
        <w:t xml:space="preserve">ualitative interview study. </w:t>
      </w:r>
      <w:r w:rsidR="00357EA0">
        <w:rPr>
          <w:rFonts w:cstheme="minorHAnsi"/>
          <w:shd w:val="clear" w:color="auto" w:fill="FFFFFF"/>
        </w:rPr>
        <w:t>J Med Int Res</w:t>
      </w:r>
      <w:r w:rsidR="008E1372">
        <w:rPr>
          <w:rFonts w:cstheme="minorHAnsi"/>
          <w:shd w:val="clear" w:color="auto" w:fill="FFFFFF"/>
        </w:rPr>
        <w:t>.</w:t>
      </w:r>
      <w:r w:rsidR="00357EA0">
        <w:rPr>
          <w:rFonts w:cstheme="minorHAnsi"/>
          <w:shd w:val="clear" w:color="auto" w:fill="FFFFFF"/>
        </w:rPr>
        <w:t xml:space="preserve"> 2023</w:t>
      </w:r>
      <w:r>
        <w:rPr>
          <w:rFonts w:cstheme="minorHAnsi"/>
          <w:shd w:val="clear" w:color="auto" w:fill="FFFFFF"/>
        </w:rPr>
        <w:t xml:space="preserve">;25:e40961. doi: </w:t>
      </w:r>
      <w:hyperlink r:id="rId61" w:history="1">
        <w:r w:rsidRPr="004B4DB4">
          <w:rPr>
            <w:rStyle w:val="Hyperlink"/>
            <w:rFonts w:cstheme="minorHAnsi"/>
            <w:shd w:val="clear" w:color="auto" w:fill="FFFFFF"/>
          </w:rPr>
          <w:t>https://doi.org/10.2196/40961</w:t>
        </w:r>
      </w:hyperlink>
      <w:r>
        <w:rPr>
          <w:rFonts w:cstheme="minorHAnsi"/>
          <w:shd w:val="clear" w:color="auto" w:fill="FFFFFF"/>
        </w:rPr>
        <w:t xml:space="preserve"> PMID: 36853751</w:t>
      </w:r>
    </w:p>
    <w:p w14:paraId="1AE6E785" w14:textId="4E4EEE5B" w:rsidR="00393B1A" w:rsidRDefault="008372BB" w:rsidP="007F3C8A">
      <w:pPr>
        <w:pStyle w:val="ListParagraph"/>
        <w:numPr>
          <w:ilvl w:val="0"/>
          <w:numId w:val="7"/>
        </w:numPr>
        <w:suppressLineNumbers/>
        <w:spacing w:after="0" w:line="480" w:lineRule="auto"/>
        <w:rPr>
          <w:rStyle w:val="Hyperlink"/>
          <w:color w:val="auto"/>
          <w:u w:val="none"/>
        </w:rPr>
      </w:pPr>
      <w:r w:rsidRPr="00B21103">
        <w:rPr>
          <w:rFonts w:cstheme="minorHAnsi"/>
          <w:shd w:val="clear" w:color="auto" w:fill="FFFFFF"/>
        </w:rPr>
        <w:t xml:space="preserve">Elaheebocus SM, Weal M, Morrison L, Yardley L. Peer-based social media features in behavior change interventions: systematic review. </w:t>
      </w:r>
      <w:r>
        <w:rPr>
          <w:rFonts w:cstheme="minorHAnsi"/>
          <w:shd w:val="clear" w:color="auto" w:fill="FFFFFF"/>
        </w:rPr>
        <w:t>J Med Int Res</w:t>
      </w:r>
      <w:r w:rsidR="008E1372">
        <w:rPr>
          <w:rFonts w:cstheme="minorHAnsi"/>
          <w:shd w:val="clear" w:color="auto" w:fill="FFFFFF"/>
        </w:rPr>
        <w:t>.</w:t>
      </w:r>
      <w:r>
        <w:rPr>
          <w:rFonts w:cstheme="minorHAnsi"/>
          <w:shd w:val="clear" w:color="auto" w:fill="FFFFFF"/>
        </w:rPr>
        <w:t xml:space="preserve"> 2018</w:t>
      </w:r>
      <w:r w:rsidRPr="00B21103">
        <w:rPr>
          <w:rFonts w:cstheme="minorHAnsi"/>
          <w:shd w:val="clear" w:color="auto" w:fill="FFFFFF"/>
        </w:rPr>
        <w:t>;20(2):e8342.</w:t>
      </w:r>
      <w:r>
        <w:rPr>
          <w:rFonts w:cstheme="minorHAnsi"/>
          <w:shd w:val="clear" w:color="auto" w:fill="FFFFFF"/>
        </w:rPr>
        <w:t xml:space="preserve"> doi: </w:t>
      </w:r>
      <w:hyperlink r:id="rId62" w:history="1">
        <w:r w:rsidRPr="00683E83">
          <w:rPr>
            <w:rStyle w:val="Hyperlink"/>
            <w:rFonts w:cstheme="minorHAnsi"/>
            <w:shd w:val="clear" w:color="auto" w:fill="FFFFFF"/>
          </w:rPr>
          <w:t>https://doi.org/</w:t>
        </w:r>
        <w:r w:rsidRPr="00683E83">
          <w:rPr>
            <w:rStyle w:val="Hyperlink"/>
          </w:rPr>
          <w:t>10.2196/jmir.8342</w:t>
        </w:r>
      </w:hyperlink>
      <w:r>
        <w:t xml:space="preserve"> PMID: </w:t>
      </w:r>
      <w:hyperlink r:id="rId63" w:tgtFrame="_blank" w:history="1">
        <w:r w:rsidRPr="00B21103">
          <w:rPr>
            <w:rStyle w:val="Hyperlink"/>
            <w:color w:val="auto"/>
            <w:u w:val="none"/>
          </w:rPr>
          <w:t>29472174</w:t>
        </w:r>
      </w:hyperlink>
    </w:p>
    <w:p w14:paraId="451AF419" w14:textId="668589CE" w:rsidR="00730A43" w:rsidRPr="00730A43" w:rsidRDefault="00730A43" w:rsidP="00730A43">
      <w:pPr>
        <w:pStyle w:val="ListParagraph"/>
        <w:numPr>
          <w:ilvl w:val="0"/>
          <w:numId w:val="7"/>
        </w:numPr>
        <w:suppressLineNumbers/>
        <w:spacing w:after="0" w:line="480" w:lineRule="auto"/>
        <w:rPr>
          <w:rStyle w:val="Hyperlink"/>
          <w:rFonts w:cstheme="minorHAnsi"/>
          <w:color w:val="auto"/>
          <w:u w:val="none"/>
          <w:shd w:val="clear" w:color="auto" w:fill="FFFFFF"/>
        </w:rPr>
      </w:pPr>
      <w:r w:rsidRPr="00837C96">
        <w:rPr>
          <w:rFonts w:cstheme="minorHAnsi"/>
          <w:szCs w:val="20"/>
          <w:shd w:val="clear" w:color="auto" w:fill="FFFFFF"/>
        </w:rPr>
        <w:t xml:space="preserve">Hawkes RE, Miles LM, Bower P, Cotterill S, French DP. Assessing and ensuring fidelity of the nationally implemented English NHS diabetes prevention programme: lessons learned for the </w:t>
      </w:r>
      <w:r w:rsidRPr="00837C96">
        <w:rPr>
          <w:rFonts w:cstheme="minorHAnsi"/>
          <w:szCs w:val="20"/>
          <w:shd w:val="clear" w:color="auto" w:fill="FFFFFF"/>
        </w:rPr>
        <w:lastRenderedPageBreak/>
        <w:t xml:space="preserve">implementation of large-scale behaviour change programmes. Health Psychol and Behav Med. 2022;10(1):498-513. doi: </w:t>
      </w:r>
      <w:hyperlink r:id="rId64" w:history="1">
        <w:r w:rsidRPr="00837C96">
          <w:rPr>
            <w:rStyle w:val="Hyperlink"/>
          </w:rPr>
          <w:t>https://doi.org/10.1080/21642850.2022.2077205</w:t>
        </w:r>
      </w:hyperlink>
    </w:p>
    <w:p w14:paraId="0DB57FFE" w14:textId="03055D4F" w:rsidR="00695506" w:rsidRPr="00CD7F08" w:rsidRDefault="00695506" w:rsidP="007F3C8A">
      <w:pPr>
        <w:pStyle w:val="ListParagraph"/>
        <w:numPr>
          <w:ilvl w:val="0"/>
          <w:numId w:val="7"/>
        </w:numPr>
        <w:suppressLineNumbers/>
        <w:spacing w:after="0" w:line="480" w:lineRule="auto"/>
        <w:rPr>
          <w:rStyle w:val="Hyperlink"/>
          <w:rFonts w:cstheme="minorHAnsi"/>
          <w:sz w:val="20"/>
          <w:shd w:val="clear" w:color="auto" w:fill="FFFFFF"/>
        </w:rPr>
      </w:pPr>
      <w:r w:rsidRPr="00D90A7B">
        <w:rPr>
          <w:rFonts w:cstheme="minorHAnsi"/>
          <w:shd w:val="clear" w:color="auto" w:fill="FFFFFF"/>
        </w:rPr>
        <w:t xml:space="preserve">Ashra NB, Spong R, Carter P, Davies MJ, Dunkley A, Gillies C. A systematic review and meta-analysis assessing the effectiveness of pragmatic lifestyle interventions for the prevention of type 2 diabetes mellitus in routine practice. London: Public Health England, 2015. </w:t>
      </w:r>
      <w:r w:rsidRPr="00D90A7B">
        <w:rPr>
          <w:rFonts w:cstheme="minorHAnsi"/>
        </w:rPr>
        <w:t xml:space="preserve">Available from: </w:t>
      </w:r>
      <w:hyperlink r:id="rId65" w:history="1">
        <w:r w:rsidRPr="00D90A7B">
          <w:rPr>
            <w:rStyle w:val="Hyperlink"/>
            <w:rFonts w:cstheme="minorHAnsi"/>
          </w:rPr>
          <w:t>https://assets.publishing.service.gov.uk/government/uploads/system/uploads/attachment_data/file/456147/PHE_Evidence_Review_of_diabetes_prevention_programmes-_FINAL.pdf</w:t>
        </w:r>
      </w:hyperlink>
    </w:p>
    <w:p w14:paraId="7FD964B4" w14:textId="56C3EDC3" w:rsidR="00CD7F08" w:rsidRDefault="00CD7F08" w:rsidP="007F3C8A">
      <w:pPr>
        <w:suppressLineNumbers/>
        <w:spacing w:after="0" w:line="480" w:lineRule="auto"/>
        <w:rPr>
          <w:shd w:val="clear" w:color="auto" w:fill="FFFFFF"/>
        </w:rPr>
      </w:pPr>
    </w:p>
    <w:p w14:paraId="543D6982" w14:textId="67AEEC1B" w:rsidR="001E0471" w:rsidRDefault="001E0471" w:rsidP="007F3C8A">
      <w:pPr>
        <w:suppressLineNumbers/>
        <w:spacing w:after="0" w:line="480" w:lineRule="auto"/>
        <w:rPr>
          <w:b/>
          <w:shd w:val="clear" w:color="auto" w:fill="FFFFFF"/>
        </w:rPr>
      </w:pPr>
    </w:p>
    <w:p w14:paraId="3CA4BC53" w14:textId="77777777" w:rsidR="0002299E" w:rsidRDefault="0002299E" w:rsidP="007F3C8A">
      <w:pPr>
        <w:suppressLineNumbers/>
        <w:spacing w:after="0" w:line="480" w:lineRule="auto"/>
        <w:rPr>
          <w:b/>
          <w:shd w:val="clear" w:color="auto" w:fill="FFFFFF"/>
        </w:rPr>
      </w:pPr>
    </w:p>
    <w:p w14:paraId="263C540A" w14:textId="77777777" w:rsidR="001E0471" w:rsidRDefault="001E0471" w:rsidP="007F3C8A">
      <w:pPr>
        <w:suppressLineNumbers/>
        <w:spacing w:after="0" w:line="480" w:lineRule="auto"/>
        <w:rPr>
          <w:b/>
          <w:shd w:val="clear" w:color="auto" w:fill="FFFFFF"/>
        </w:rPr>
      </w:pPr>
    </w:p>
    <w:p w14:paraId="2962193B" w14:textId="77777777" w:rsidR="00372E6A" w:rsidRDefault="00372E6A" w:rsidP="00CD7F08">
      <w:pPr>
        <w:spacing w:after="0" w:line="480" w:lineRule="auto"/>
        <w:rPr>
          <w:rFonts w:cstheme="minorHAnsi"/>
          <w:color w:val="0000FF"/>
          <w:sz w:val="20"/>
          <w:u w:val="single"/>
          <w:shd w:val="clear" w:color="auto" w:fill="FFFFFF"/>
        </w:rPr>
        <w:sectPr w:rsidR="00372E6A" w:rsidSect="00EF0916">
          <w:headerReference w:type="default" r:id="rId66"/>
          <w:pgSz w:w="11906" w:h="16838"/>
          <w:pgMar w:top="1440" w:right="1440" w:bottom="1440" w:left="1440" w:header="708" w:footer="708" w:gutter="0"/>
          <w:lnNumType w:countBy="1" w:restart="continuous"/>
          <w:cols w:space="708"/>
          <w:docGrid w:linePitch="360"/>
        </w:sectPr>
      </w:pPr>
    </w:p>
    <w:p w14:paraId="2FFA5EB7" w14:textId="3C6A5276" w:rsidR="00AE324A" w:rsidRPr="00F52953" w:rsidRDefault="00AE324A" w:rsidP="00AE324A">
      <w:r>
        <w:lastRenderedPageBreak/>
        <w:t>Table 1. Summary of main features of NHS-DDPP provider programmes</w:t>
      </w:r>
    </w:p>
    <w:tbl>
      <w:tblPr>
        <w:tblStyle w:val="TableGrid"/>
        <w:tblW w:w="16160" w:type="dxa"/>
        <w:tblInd w:w="-1134" w:type="dxa"/>
        <w:tblBorders>
          <w:left w:val="none" w:sz="0" w:space="0" w:color="auto"/>
          <w:right w:val="none" w:sz="0" w:space="0" w:color="auto"/>
          <w:insideV w:val="single" w:sz="4" w:space="0" w:color="FFFFFF" w:themeColor="background1"/>
        </w:tblBorders>
        <w:tblLook w:val="04A0" w:firstRow="1" w:lastRow="0" w:firstColumn="1" w:lastColumn="0" w:noHBand="0" w:noVBand="1"/>
      </w:tblPr>
      <w:tblGrid>
        <w:gridCol w:w="1560"/>
        <w:gridCol w:w="4677"/>
        <w:gridCol w:w="4820"/>
        <w:gridCol w:w="5103"/>
      </w:tblGrid>
      <w:tr w:rsidR="00AE324A" w:rsidRPr="00D52802" w14:paraId="2E4991C8" w14:textId="77777777" w:rsidTr="00C26140">
        <w:tc>
          <w:tcPr>
            <w:tcW w:w="1560" w:type="dxa"/>
            <w:tcBorders>
              <w:top w:val="single" w:sz="4" w:space="0" w:color="FFFFFF" w:themeColor="background1"/>
            </w:tcBorders>
          </w:tcPr>
          <w:p w14:paraId="331054CB" w14:textId="77777777" w:rsidR="00AE324A" w:rsidRPr="00D52802" w:rsidRDefault="00AE324A" w:rsidP="00C26140">
            <w:pPr>
              <w:jc w:val="center"/>
              <w:rPr>
                <w:b/>
                <w:sz w:val="20"/>
              </w:rPr>
            </w:pPr>
          </w:p>
        </w:tc>
        <w:tc>
          <w:tcPr>
            <w:tcW w:w="4677" w:type="dxa"/>
          </w:tcPr>
          <w:p w14:paraId="1491C012" w14:textId="77777777" w:rsidR="00AE324A" w:rsidRPr="00D52802" w:rsidRDefault="00AE324A" w:rsidP="00C26140">
            <w:pPr>
              <w:jc w:val="center"/>
              <w:rPr>
                <w:b/>
                <w:sz w:val="20"/>
              </w:rPr>
            </w:pPr>
            <w:r w:rsidRPr="00D52802">
              <w:rPr>
                <w:b/>
                <w:sz w:val="20"/>
              </w:rPr>
              <w:t>Provider A</w:t>
            </w:r>
          </w:p>
        </w:tc>
        <w:tc>
          <w:tcPr>
            <w:tcW w:w="4820" w:type="dxa"/>
          </w:tcPr>
          <w:p w14:paraId="36824197" w14:textId="77777777" w:rsidR="00AE324A" w:rsidRPr="00D52802" w:rsidRDefault="00AE324A" w:rsidP="00C26140">
            <w:pPr>
              <w:jc w:val="center"/>
              <w:rPr>
                <w:b/>
                <w:sz w:val="20"/>
              </w:rPr>
            </w:pPr>
            <w:r w:rsidRPr="00D52802">
              <w:rPr>
                <w:b/>
                <w:sz w:val="20"/>
              </w:rPr>
              <w:t>Provider C</w:t>
            </w:r>
          </w:p>
        </w:tc>
        <w:tc>
          <w:tcPr>
            <w:tcW w:w="5103" w:type="dxa"/>
          </w:tcPr>
          <w:p w14:paraId="3E1B0989" w14:textId="77777777" w:rsidR="00AE324A" w:rsidRPr="00D52802" w:rsidRDefault="00AE324A" w:rsidP="00C26140">
            <w:pPr>
              <w:jc w:val="center"/>
              <w:rPr>
                <w:b/>
                <w:sz w:val="20"/>
              </w:rPr>
            </w:pPr>
            <w:r w:rsidRPr="00D52802">
              <w:rPr>
                <w:b/>
                <w:sz w:val="20"/>
              </w:rPr>
              <w:t>Provider D</w:t>
            </w:r>
          </w:p>
        </w:tc>
      </w:tr>
      <w:tr w:rsidR="00AE324A" w:rsidRPr="00D52802" w14:paraId="27968BC1" w14:textId="77777777" w:rsidTr="00C26140">
        <w:tc>
          <w:tcPr>
            <w:tcW w:w="16160" w:type="dxa"/>
            <w:gridSpan w:val="4"/>
            <w:shd w:val="clear" w:color="auto" w:fill="D9D9D9" w:themeFill="background1" w:themeFillShade="D9"/>
          </w:tcPr>
          <w:p w14:paraId="576A644C" w14:textId="77777777" w:rsidR="00AE324A" w:rsidRPr="00D52802" w:rsidRDefault="00AE324A" w:rsidP="00C26140">
            <w:pPr>
              <w:rPr>
                <w:b/>
                <w:sz w:val="20"/>
              </w:rPr>
            </w:pPr>
            <w:r w:rsidRPr="00D52802">
              <w:rPr>
                <w:b/>
                <w:sz w:val="20"/>
              </w:rPr>
              <w:t>App delivery</w:t>
            </w:r>
          </w:p>
        </w:tc>
      </w:tr>
      <w:tr w:rsidR="00D0207F" w:rsidRPr="00D52802" w14:paraId="275F3395" w14:textId="77777777" w:rsidTr="00973F1C">
        <w:tc>
          <w:tcPr>
            <w:tcW w:w="1560" w:type="dxa"/>
          </w:tcPr>
          <w:p w14:paraId="557C4447" w14:textId="77777777" w:rsidR="00D0207F" w:rsidRPr="00D52802" w:rsidRDefault="00D0207F" w:rsidP="00C26140">
            <w:pPr>
              <w:rPr>
                <w:sz w:val="20"/>
              </w:rPr>
            </w:pPr>
          </w:p>
        </w:tc>
        <w:tc>
          <w:tcPr>
            <w:tcW w:w="14600" w:type="dxa"/>
            <w:gridSpan w:val="3"/>
          </w:tcPr>
          <w:p w14:paraId="3EE6628B" w14:textId="4CE87427" w:rsidR="00D0207F" w:rsidRPr="00D52802" w:rsidRDefault="00D0207F" w:rsidP="00C26140">
            <w:pPr>
              <w:rPr>
                <w:sz w:val="20"/>
              </w:rPr>
            </w:pPr>
            <w:r>
              <w:rPr>
                <w:sz w:val="20"/>
              </w:rPr>
              <w:t>All providers had g</w:t>
            </w:r>
            <w:r w:rsidRPr="00D52802">
              <w:rPr>
                <w:sz w:val="20"/>
              </w:rPr>
              <w:t>oal setting and self-monitoring functions on the</w:t>
            </w:r>
            <w:r>
              <w:rPr>
                <w:sz w:val="20"/>
              </w:rPr>
              <w:t>ir</w:t>
            </w:r>
            <w:r w:rsidRPr="00D52802">
              <w:rPr>
                <w:sz w:val="20"/>
              </w:rPr>
              <w:t xml:space="preserve"> app</w:t>
            </w:r>
            <w:r>
              <w:rPr>
                <w:sz w:val="20"/>
              </w:rPr>
              <w:t>s</w:t>
            </w:r>
            <w:r w:rsidRPr="00D52802">
              <w:rPr>
                <w:sz w:val="20"/>
              </w:rPr>
              <w:t>.</w:t>
            </w:r>
          </w:p>
        </w:tc>
      </w:tr>
      <w:tr w:rsidR="00AE324A" w:rsidRPr="00D52802" w14:paraId="6C0542AE" w14:textId="77777777" w:rsidTr="00C26140">
        <w:tc>
          <w:tcPr>
            <w:tcW w:w="16160" w:type="dxa"/>
            <w:gridSpan w:val="4"/>
            <w:shd w:val="clear" w:color="auto" w:fill="D9D9D9" w:themeFill="background1" w:themeFillShade="D9"/>
          </w:tcPr>
          <w:p w14:paraId="0A4AA0BE" w14:textId="77777777" w:rsidR="00AE324A" w:rsidRPr="00D52802" w:rsidRDefault="00AE324A" w:rsidP="00C26140">
            <w:pPr>
              <w:rPr>
                <w:b/>
                <w:sz w:val="20"/>
              </w:rPr>
            </w:pPr>
            <w:r w:rsidRPr="00D52802">
              <w:rPr>
                <w:b/>
                <w:sz w:val="20"/>
              </w:rPr>
              <w:t>Educational content</w:t>
            </w:r>
          </w:p>
        </w:tc>
      </w:tr>
      <w:tr w:rsidR="0036436A" w:rsidRPr="00D52802" w14:paraId="25D7A00A" w14:textId="77777777" w:rsidTr="00C26140">
        <w:tc>
          <w:tcPr>
            <w:tcW w:w="1560" w:type="dxa"/>
            <w:tcBorders>
              <w:bottom w:val="single" w:sz="4" w:space="0" w:color="FFFFFF" w:themeColor="background1"/>
            </w:tcBorders>
          </w:tcPr>
          <w:p w14:paraId="0E0C40BF" w14:textId="77777777" w:rsidR="0036436A" w:rsidRPr="00D52802" w:rsidRDefault="0036436A" w:rsidP="00C26140">
            <w:pPr>
              <w:rPr>
                <w:sz w:val="20"/>
              </w:rPr>
            </w:pPr>
          </w:p>
        </w:tc>
        <w:tc>
          <w:tcPr>
            <w:tcW w:w="14600" w:type="dxa"/>
            <w:gridSpan w:val="3"/>
            <w:tcBorders>
              <w:bottom w:val="single" w:sz="4" w:space="0" w:color="FFFFFF" w:themeColor="background1"/>
            </w:tcBorders>
          </w:tcPr>
          <w:p w14:paraId="0E6B3FD2" w14:textId="24CF3A16" w:rsidR="0036436A" w:rsidRDefault="0036436A" w:rsidP="00C26140">
            <w:pPr>
              <w:rPr>
                <w:sz w:val="20"/>
              </w:rPr>
            </w:pPr>
            <w:r>
              <w:rPr>
                <w:sz w:val="20"/>
              </w:rPr>
              <w:t>All providers covered topics such as dietary fibre, alcohol, physical activity, managing stress, sleep, and managing social events.</w:t>
            </w:r>
          </w:p>
          <w:p w14:paraId="37BE97F0" w14:textId="1FDD78AD" w:rsidR="0036436A" w:rsidRPr="00D52802" w:rsidRDefault="0036436A" w:rsidP="00C26140">
            <w:pPr>
              <w:rPr>
                <w:sz w:val="20"/>
              </w:rPr>
            </w:pPr>
          </w:p>
        </w:tc>
      </w:tr>
      <w:tr w:rsidR="00AE324A" w:rsidRPr="00D52802" w14:paraId="33D79131" w14:textId="77777777" w:rsidTr="0036436A">
        <w:tc>
          <w:tcPr>
            <w:tcW w:w="1560" w:type="dxa"/>
            <w:tcBorders>
              <w:top w:val="single" w:sz="4" w:space="0" w:color="FFFFFF" w:themeColor="background1"/>
            </w:tcBorders>
          </w:tcPr>
          <w:p w14:paraId="20DC0D1E" w14:textId="77777777" w:rsidR="00AE324A" w:rsidRPr="00D52802" w:rsidRDefault="00AE324A" w:rsidP="00C26140">
            <w:pPr>
              <w:rPr>
                <w:sz w:val="20"/>
              </w:rPr>
            </w:pPr>
          </w:p>
        </w:tc>
        <w:tc>
          <w:tcPr>
            <w:tcW w:w="4677" w:type="dxa"/>
            <w:tcBorders>
              <w:top w:val="single" w:sz="4" w:space="0" w:color="FFFFFF" w:themeColor="background1"/>
            </w:tcBorders>
          </w:tcPr>
          <w:p w14:paraId="004657A5" w14:textId="77777777" w:rsidR="00275DF8" w:rsidRPr="00D52802" w:rsidRDefault="00275DF8" w:rsidP="00275DF8">
            <w:pPr>
              <w:rPr>
                <w:sz w:val="20"/>
              </w:rPr>
            </w:pPr>
            <w:r w:rsidRPr="00D52802">
              <w:rPr>
                <w:sz w:val="20"/>
              </w:rPr>
              <w:t>Online learning platform</w:t>
            </w:r>
            <w:r>
              <w:rPr>
                <w:sz w:val="20"/>
              </w:rPr>
              <w:t xml:space="preserve"> (also available on app) with 42 lessons comprising articles which included text, images, </w:t>
            </w:r>
            <w:r w:rsidRPr="00D52802">
              <w:rPr>
                <w:sz w:val="20"/>
              </w:rPr>
              <w:t>videos, podcasts and links to external websites.</w:t>
            </w:r>
          </w:p>
          <w:p w14:paraId="73818F68" w14:textId="259CFA08" w:rsidR="00AE324A" w:rsidRPr="00D52802" w:rsidRDefault="00275DF8" w:rsidP="00275DF8">
            <w:pPr>
              <w:rPr>
                <w:sz w:val="20"/>
              </w:rPr>
            </w:pPr>
            <w:r>
              <w:rPr>
                <w:sz w:val="20"/>
              </w:rPr>
              <w:t>Content unlocked weekly throughout nine-months.</w:t>
            </w:r>
          </w:p>
        </w:tc>
        <w:tc>
          <w:tcPr>
            <w:tcW w:w="4820" w:type="dxa"/>
            <w:tcBorders>
              <w:top w:val="single" w:sz="4" w:space="0" w:color="FFFFFF" w:themeColor="background1"/>
            </w:tcBorders>
          </w:tcPr>
          <w:p w14:paraId="4C6777C0" w14:textId="77777777" w:rsidR="00AE324A" w:rsidRPr="00D52802" w:rsidRDefault="00AE324A" w:rsidP="00C26140">
            <w:pPr>
              <w:rPr>
                <w:sz w:val="20"/>
              </w:rPr>
            </w:pPr>
            <w:r w:rsidRPr="00D52802">
              <w:rPr>
                <w:sz w:val="20"/>
              </w:rPr>
              <w:t xml:space="preserve">Tailored educational articles and videos sent from health coach to service users via message. </w:t>
            </w:r>
          </w:p>
          <w:p w14:paraId="3869DB0A" w14:textId="11814ACB" w:rsidR="00AE324A" w:rsidRPr="00D52802" w:rsidRDefault="00AE324A" w:rsidP="00C26140">
            <w:pPr>
              <w:rPr>
                <w:sz w:val="20"/>
              </w:rPr>
            </w:pPr>
            <w:r w:rsidRPr="00D52802">
              <w:rPr>
                <w:sz w:val="20"/>
              </w:rPr>
              <w:t>Content is sent weekly</w:t>
            </w:r>
            <w:r>
              <w:rPr>
                <w:sz w:val="20"/>
              </w:rPr>
              <w:t xml:space="preserve"> (months 1-3)</w:t>
            </w:r>
            <w:r w:rsidR="00000950">
              <w:rPr>
                <w:sz w:val="20"/>
              </w:rPr>
              <w:t>,</w:t>
            </w:r>
            <w:r w:rsidRPr="00D52802">
              <w:rPr>
                <w:sz w:val="20"/>
              </w:rPr>
              <w:t xml:space="preserve"> bi-weekly</w:t>
            </w:r>
            <w:r>
              <w:rPr>
                <w:sz w:val="20"/>
              </w:rPr>
              <w:t xml:space="preserve"> (months 4-6)</w:t>
            </w:r>
            <w:r w:rsidR="00000950">
              <w:rPr>
                <w:sz w:val="20"/>
              </w:rPr>
              <w:t>, and</w:t>
            </w:r>
            <w:r w:rsidRPr="00D52802">
              <w:rPr>
                <w:sz w:val="20"/>
              </w:rPr>
              <w:t xml:space="preserve"> monthly</w:t>
            </w:r>
            <w:r>
              <w:rPr>
                <w:sz w:val="20"/>
              </w:rPr>
              <w:t xml:space="preserve"> (months 7-9)</w:t>
            </w:r>
            <w:r w:rsidRPr="00D52802">
              <w:rPr>
                <w:sz w:val="20"/>
              </w:rPr>
              <w:t xml:space="preserve"> over the nine-month programme.</w:t>
            </w:r>
          </w:p>
        </w:tc>
        <w:tc>
          <w:tcPr>
            <w:tcW w:w="5103" w:type="dxa"/>
            <w:tcBorders>
              <w:top w:val="single" w:sz="4" w:space="0" w:color="FFFFFF" w:themeColor="background1"/>
            </w:tcBorders>
          </w:tcPr>
          <w:p w14:paraId="32C3AFC0" w14:textId="77777777" w:rsidR="00275DF8" w:rsidRPr="00D52802" w:rsidRDefault="00275DF8" w:rsidP="00275DF8">
            <w:pPr>
              <w:rPr>
                <w:sz w:val="20"/>
              </w:rPr>
            </w:pPr>
            <w:r w:rsidRPr="00D52802">
              <w:rPr>
                <w:sz w:val="20"/>
              </w:rPr>
              <w:t>Online learning platform</w:t>
            </w:r>
            <w:r>
              <w:rPr>
                <w:sz w:val="20"/>
              </w:rPr>
              <w:t xml:space="preserve"> (also available on app) comprising articles which included text,</w:t>
            </w:r>
            <w:r w:rsidRPr="00D52802">
              <w:rPr>
                <w:sz w:val="20"/>
              </w:rPr>
              <w:t xml:space="preserve"> </w:t>
            </w:r>
            <w:r>
              <w:rPr>
                <w:sz w:val="20"/>
              </w:rPr>
              <w:t xml:space="preserve">images, </w:t>
            </w:r>
            <w:r w:rsidRPr="00D52802">
              <w:rPr>
                <w:sz w:val="20"/>
              </w:rPr>
              <w:t xml:space="preserve">videos, podcasts and links to external websites. </w:t>
            </w:r>
          </w:p>
          <w:p w14:paraId="183A1C6A" w14:textId="77777777" w:rsidR="00275DF8" w:rsidRPr="00D52802" w:rsidRDefault="00275DF8" w:rsidP="00275DF8">
            <w:pPr>
              <w:rPr>
                <w:sz w:val="20"/>
              </w:rPr>
            </w:pPr>
            <w:r>
              <w:rPr>
                <w:sz w:val="20"/>
              </w:rPr>
              <w:t xml:space="preserve">Content </w:t>
            </w:r>
            <w:r w:rsidRPr="00D52802">
              <w:rPr>
                <w:sz w:val="20"/>
              </w:rPr>
              <w:t>unlocked weekly during the firs</w:t>
            </w:r>
            <w:r>
              <w:rPr>
                <w:sz w:val="20"/>
              </w:rPr>
              <w:t>t three months of the programme.</w:t>
            </w:r>
          </w:p>
          <w:p w14:paraId="754359C3" w14:textId="0860C2D0" w:rsidR="0036436A" w:rsidRPr="00D52802" w:rsidRDefault="00275DF8" w:rsidP="00275DF8">
            <w:pPr>
              <w:rPr>
                <w:sz w:val="20"/>
              </w:rPr>
            </w:pPr>
            <w:r>
              <w:rPr>
                <w:sz w:val="20"/>
              </w:rPr>
              <w:t>Seven</w:t>
            </w:r>
            <w:r w:rsidRPr="00D52802">
              <w:rPr>
                <w:sz w:val="20"/>
              </w:rPr>
              <w:t xml:space="preserve"> optional ‘Sustain’ courses through months 4-7 of th</w:t>
            </w:r>
            <w:r>
              <w:rPr>
                <w:sz w:val="20"/>
              </w:rPr>
              <w:t>e programme with</w:t>
            </w:r>
            <w:r w:rsidRPr="00D52802">
              <w:rPr>
                <w:sz w:val="20"/>
              </w:rPr>
              <w:t xml:space="preserve"> more in-depth information on </w:t>
            </w:r>
            <w:r>
              <w:rPr>
                <w:sz w:val="20"/>
              </w:rPr>
              <w:t xml:space="preserve">education </w:t>
            </w:r>
            <w:r w:rsidRPr="00D52802">
              <w:rPr>
                <w:sz w:val="20"/>
              </w:rPr>
              <w:t>topics</w:t>
            </w:r>
            <w:r>
              <w:rPr>
                <w:sz w:val="20"/>
              </w:rPr>
              <w:t>.</w:t>
            </w:r>
          </w:p>
        </w:tc>
      </w:tr>
      <w:tr w:rsidR="00AE324A" w:rsidRPr="00D52802" w14:paraId="76B671C9" w14:textId="77777777" w:rsidTr="00C26140">
        <w:tc>
          <w:tcPr>
            <w:tcW w:w="16160" w:type="dxa"/>
            <w:gridSpan w:val="4"/>
            <w:shd w:val="clear" w:color="auto" w:fill="D9D9D9" w:themeFill="background1" w:themeFillShade="D9"/>
          </w:tcPr>
          <w:p w14:paraId="6FE9C84F" w14:textId="77777777" w:rsidR="00AE324A" w:rsidRPr="00D52802" w:rsidRDefault="00AE324A" w:rsidP="00C26140">
            <w:pPr>
              <w:rPr>
                <w:b/>
                <w:sz w:val="20"/>
              </w:rPr>
            </w:pPr>
            <w:r w:rsidRPr="00D52802">
              <w:rPr>
                <w:b/>
                <w:sz w:val="20"/>
              </w:rPr>
              <w:t>Group support</w:t>
            </w:r>
          </w:p>
        </w:tc>
      </w:tr>
      <w:tr w:rsidR="00AE324A" w:rsidRPr="00D52802" w14:paraId="5340ECB8" w14:textId="77777777" w:rsidTr="00C26140">
        <w:tc>
          <w:tcPr>
            <w:tcW w:w="1560" w:type="dxa"/>
          </w:tcPr>
          <w:p w14:paraId="50382C39" w14:textId="77777777" w:rsidR="00AE324A" w:rsidRPr="00D52802" w:rsidRDefault="00AE324A" w:rsidP="00C26140">
            <w:pPr>
              <w:rPr>
                <w:sz w:val="20"/>
              </w:rPr>
            </w:pPr>
          </w:p>
        </w:tc>
        <w:tc>
          <w:tcPr>
            <w:tcW w:w="4677" w:type="dxa"/>
          </w:tcPr>
          <w:p w14:paraId="16055875" w14:textId="4048072C" w:rsidR="00AE324A" w:rsidRPr="00AE324A" w:rsidRDefault="00AE324A" w:rsidP="00C26140">
            <w:pPr>
              <w:rPr>
                <w:sz w:val="20"/>
                <w:vertAlign w:val="superscript"/>
              </w:rPr>
            </w:pPr>
            <w:r w:rsidRPr="00D52802">
              <w:rPr>
                <w:sz w:val="20"/>
              </w:rPr>
              <w:t xml:space="preserve">Provider did not offer group support at the time </w:t>
            </w:r>
            <w:r w:rsidR="00165770">
              <w:rPr>
                <w:sz w:val="20"/>
              </w:rPr>
              <w:t>of</w:t>
            </w:r>
            <w:r>
              <w:rPr>
                <w:sz w:val="20"/>
              </w:rPr>
              <w:t xml:space="preserve"> this study. </w:t>
            </w:r>
            <w:r w:rsidRPr="00AE324A">
              <w:rPr>
                <w:sz w:val="20"/>
                <w:vertAlign w:val="superscript"/>
              </w:rPr>
              <w:t>a</w:t>
            </w:r>
          </w:p>
          <w:p w14:paraId="661F3A7F" w14:textId="1EF1F219" w:rsidR="00AE324A" w:rsidRPr="00D52802" w:rsidRDefault="00AE324A" w:rsidP="00C26140">
            <w:pPr>
              <w:rPr>
                <w:sz w:val="20"/>
              </w:rPr>
            </w:pPr>
          </w:p>
        </w:tc>
        <w:tc>
          <w:tcPr>
            <w:tcW w:w="4820" w:type="dxa"/>
          </w:tcPr>
          <w:p w14:paraId="57140A9A" w14:textId="520E872C" w:rsidR="00AE324A" w:rsidRPr="00D52802" w:rsidRDefault="00AE324A" w:rsidP="00000950">
            <w:pPr>
              <w:rPr>
                <w:sz w:val="20"/>
              </w:rPr>
            </w:pPr>
            <w:r w:rsidRPr="00D52802">
              <w:rPr>
                <w:sz w:val="20"/>
              </w:rPr>
              <w:t>Open group discussion forum available</w:t>
            </w:r>
            <w:r w:rsidR="00973F1C">
              <w:rPr>
                <w:sz w:val="20"/>
              </w:rPr>
              <w:t xml:space="preserve"> on the app</w:t>
            </w:r>
            <w:r w:rsidRPr="00D52802">
              <w:rPr>
                <w:sz w:val="20"/>
              </w:rPr>
              <w:t xml:space="preserve"> throughout the nine-month programme.</w:t>
            </w:r>
          </w:p>
        </w:tc>
        <w:tc>
          <w:tcPr>
            <w:tcW w:w="5103" w:type="dxa"/>
          </w:tcPr>
          <w:p w14:paraId="36E7A870" w14:textId="42211504" w:rsidR="00AE324A" w:rsidRPr="00D52802" w:rsidRDefault="00AE324A" w:rsidP="00C26140">
            <w:pPr>
              <w:rPr>
                <w:sz w:val="20"/>
              </w:rPr>
            </w:pPr>
            <w:r w:rsidRPr="00D52802">
              <w:rPr>
                <w:sz w:val="20"/>
              </w:rPr>
              <w:t>U</w:t>
            </w:r>
            <w:r w:rsidR="00000950">
              <w:rPr>
                <w:sz w:val="20"/>
              </w:rPr>
              <w:t>sers</w:t>
            </w:r>
            <w:r w:rsidRPr="00D52802">
              <w:rPr>
                <w:sz w:val="20"/>
              </w:rPr>
              <w:t xml:space="preserve"> allocated</w:t>
            </w:r>
            <w:r w:rsidR="00000950">
              <w:rPr>
                <w:sz w:val="20"/>
              </w:rPr>
              <w:t xml:space="preserve"> to</w:t>
            </w:r>
            <w:r w:rsidRPr="00D52802">
              <w:rPr>
                <w:sz w:val="20"/>
              </w:rPr>
              <w:t xml:space="preserve"> a closed group cha</w:t>
            </w:r>
            <w:r w:rsidR="00000950">
              <w:rPr>
                <w:sz w:val="20"/>
              </w:rPr>
              <w:t>t (</w:t>
            </w:r>
            <w:r w:rsidR="00165770">
              <w:rPr>
                <w:sz w:val="20"/>
              </w:rPr>
              <w:t>10-15 people</w:t>
            </w:r>
            <w:r w:rsidR="00973F1C">
              <w:rPr>
                <w:sz w:val="20"/>
              </w:rPr>
              <w:t>, available on app</w:t>
            </w:r>
            <w:r w:rsidR="00165770">
              <w:rPr>
                <w:sz w:val="20"/>
              </w:rPr>
              <w:t xml:space="preserve">), </w:t>
            </w:r>
            <w:r w:rsidRPr="00D52802">
              <w:rPr>
                <w:sz w:val="20"/>
              </w:rPr>
              <w:t>moderated by a health coach for the first three months</w:t>
            </w:r>
            <w:r w:rsidR="00165770">
              <w:rPr>
                <w:sz w:val="20"/>
              </w:rPr>
              <w:t xml:space="preserve"> of the programme</w:t>
            </w:r>
            <w:r w:rsidR="00000950">
              <w:rPr>
                <w:sz w:val="20"/>
              </w:rPr>
              <w:t>. Closed group</w:t>
            </w:r>
            <w:r w:rsidRPr="00D52802">
              <w:rPr>
                <w:sz w:val="20"/>
              </w:rPr>
              <w:t xml:space="preserve"> is available through m</w:t>
            </w:r>
            <w:r w:rsidR="00165770">
              <w:rPr>
                <w:sz w:val="20"/>
              </w:rPr>
              <w:t xml:space="preserve">onths 4-9 </w:t>
            </w:r>
            <w:r w:rsidRPr="00D52802">
              <w:rPr>
                <w:sz w:val="20"/>
              </w:rPr>
              <w:t>without the health coach moderation.</w:t>
            </w:r>
          </w:p>
          <w:p w14:paraId="70359924" w14:textId="479DFBE0" w:rsidR="0036436A" w:rsidRPr="00D52802" w:rsidRDefault="00AE324A" w:rsidP="00C26140">
            <w:pPr>
              <w:rPr>
                <w:sz w:val="20"/>
              </w:rPr>
            </w:pPr>
            <w:r w:rsidRPr="00D52802">
              <w:rPr>
                <w:sz w:val="20"/>
              </w:rPr>
              <w:t>Open group discu</w:t>
            </w:r>
            <w:r>
              <w:rPr>
                <w:sz w:val="20"/>
              </w:rPr>
              <w:t>ssion forum</w:t>
            </w:r>
            <w:r w:rsidRPr="00D52802">
              <w:rPr>
                <w:sz w:val="20"/>
              </w:rPr>
              <w:t xml:space="preserve"> </w:t>
            </w:r>
            <w:r>
              <w:rPr>
                <w:sz w:val="20"/>
              </w:rPr>
              <w:t>available</w:t>
            </w:r>
            <w:r w:rsidR="00973F1C">
              <w:rPr>
                <w:sz w:val="20"/>
              </w:rPr>
              <w:t xml:space="preserve"> on the app</w:t>
            </w:r>
            <w:r>
              <w:rPr>
                <w:sz w:val="20"/>
              </w:rPr>
              <w:t xml:space="preserve"> </w:t>
            </w:r>
            <w:r w:rsidR="00000950">
              <w:rPr>
                <w:sz w:val="20"/>
              </w:rPr>
              <w:t>in</w:t>
            </w:r>
            <w:r w:rsidRPr="00D52802">
              <w:rPr>
                <w:sz w:val="20"/>
              </w:rPr>
              <w:t xml:space="preserve"> months 4-9.</w:t>
            </w:r>
          </w:p>
        </w:tc>
      </w:tr>
      <w:tr w:rsidR="00AE324A" w:rsidRPr="00D52802" w14:paraId="589518EF" w14:textId="77777777" w:rsidTr="00C26140">
        <w:tc>
          <w:tcPr>
            <w:tcW w:w="16160" w:type="dxa"/>
            <w:gridSpan w:val="4"/>
            <w:shd w:val="clear" w:color="auto" w:fill="D9D9D9" w:themeFill="background1" w:themeFillShade="D9"/>
          </w:tcPr>
          <w:p w14:paraId="7CC62562" w14:textId="77777777" w:rsidR="00AE324A" w:rsidRPr="00D52802" w:rsidRDefault="00AE324A" w:rsidP="00C26140">
            <w:pPr>
              <w:rPr>
                <w:b/>
                <w:sz w:val="20"/>
              </w:rPr>
            </w:pPr>
            <w:r w:rsidRPr="00D52802">
              <w:rPr>
                <w:b/>
                <w:sz w:val="20"/>
              </w:rPr>
              <w:t>Health coach support</w:t>
            </w:r>
          </w:p>
        </w:tc>
      </w:tr>
      <w:tr w:rsidR="00AE324A" w:rsidRPr="00D52802" w14:paraId="79F1D4DD" w14:textId="77777777" w:rsidTr="00C26140">
        <w:tc>
          <w:tcPr>
            <w:tcW w:w="1560" w:type="dxa"/>
          </w:tcPr>
          <w:p w14:paraId="6AEA7E3C" w14:textId="77777777" w:rsidR="00AE324A" w:rsidRPr="00D52802" w:rsidRDefault="00AE324A" w:rsidP="00C26140">
            <w:pPr>
              <w:rPr>
                <w:sz w:val="20"/>
              </w:rPr>
            </w:pPr>
          </w:p>
        </w:tc>
        <w:tc>
          <w:tcPr>
            <w:tcW w:w="4677" w:type="dxa"/>
          </w:tcPr>
          <w:p w14:paraId="40F9B5D7" w14:textId="67F562AC" w:rsidR="00AE324A" w:rsidRPr="00D52802" w:rsidRDefault="00165770" w:rsidP="00C26140">
            <w:pPr>
              <w:rPr>
                <w:sz w:val="20"/>
              </w:rPr>
            </w:pPr>
            <w:r>
              <w:rPr>
                <w:sz w:val="20"/>
              </w:rPr>
              <w:t>Monthly telephone call with health coach to discuss</w:t>
            </w:r>
            <w:r w:rsidR="00AE324A" w:rsidRPr="00D52802">
              <w:rPr>
                <w:sz w:val="20"/>
              </w:rPr>
              <w:t xml:space="preserve"> progress and review goals.</w:t>
            </w:r>
          </w:p>
          <w:p w14:paraId="46C1BE44" w14:textId="1EB9FA9A" w:rsidR="00AE324A" w:rsidRPr="00D52802" w:rsidRDefault="00165770" w:rsidP="00165770">
            <w:pPr>
              <w:rPr>
                <w:sz w:val="20"/>
              </w:rPr>
            </w:pPr>
            <w:r>
              <w:rPr>
                <w:sz w:val="20"/>
              </w:rPr>
              <w:t xml:space="preserve">Health coaches </w:t>
            </w:r>
            <w:r w:rsidR="00AE324A" w:rsidRPr="00D52802">
              <w:rPr>
                <w:sz w:val="20"/>
              </w:rPr>
              <w:t>send messages to users and pr</w:t>
            </w:r>
            <w:r>
              <w:rPr>
                <w:sz w:val="20"/>
              </w:rPr>
              <w:t>ovide feedback on behaviours/outcomes tracked in</w:t>
            </w:r>
            <w:r w:rsidR="00AE324A" w:rsidRPr="00D52802">
              <w:rPr>
                <w:sz w:val="20"/>
              </w:rPr>
              <w:t xml:space="preserve"> the app.</w:t>
            </w:r>
          </w:p>
        </w:tc>
        <w:tc>
          <w:tcPr>
            <w:tcW w:w="4820" w:type="dxa"/>
          </w:tcPr>
          <w:p w14:paraId="11AD0348" w14:textId="5F0C81AE" w:rsidR="00AE324A" w:rsidRPr="00D52802" w:rsidRDefault="00165770" w:rsidP="00C26140">
            <w:pPr>
              <w:rPr>
                <w:sz w:val="20"/>
              </w:rPr>
            </w:pPr>
            <w:r>
              <w:rPr>
                <w:sz w:val="20"/>
              </w:rPr>
              <w:t>I</w:t>
            </w:r>
            <w:r w:rsidR="00AE324A" w:rsidRPr="00D52802">
              <w:rPr>
                <w:sz w:val="20"/>
              </w:rPr>
              <w:t xml:space="preserve">nitial </w:t>
            </w:r>
            <w:r>
              <w:rPr>
                <w:sz w:val="20"/>
              </w:rPr>
              <w:t>45-minute video call with health coach to discuss programme and set</w:t>
            </w:r>
            <w:r w:rsidR="00AE324A" w:rsidRPr="00D52802">
              <w:rPr>
                <w:sz w:val="20"/>
              </w:rPr>
              <w:t xml:space="preserve"> goals.</w:t>
            </w:r>
          </w:p>
          <w:p w14:paraId="3563AD0F" w14:textId="2E56BFF9" w:rsidR="0036436A" w:rsidRPr="00D52802" w:rsidRDefault="00165770" w:rsidP="00C26140">
            <w:pPr>
              <w:rPr>
                <w:sz w:val="20"/>
              </w:rPr>
            </w:pPr>
            <w:r>
              <w:rPr>
                <w:sz w:val="20"/>
              </w:rPr>
              <w:t>R</w:t>
            </w:r>
            <w:r w:rsidR="00AE324A" w:rsidRPr="00D52802">
              <w:rPr>
                <w:sz w:val="20"/>
              </w:rPr>
              <w:t>egu</w:t>
            </w:r>
            <w:r>
              <w:rPr>
                <w:sz w:val="20"/>
              </w:rPr>
              <w:t xml:space="preserve">lar messages from </w:t>
            </w:r>
            <w:r w:rsidR="00AE324A" w:rsidRPr="00D52802">
              <w:rPr>
                <w:sz w:val="20"/>
              </w:rPr>
              <w:t>health coach throughout nine-month programme, including receiving educational content and</w:t>
            </w:r>
            <w:r>
              <w:rPr>
                <w:sz w:val="20"/>
              </w:rPr>
              <w:t xml:space="preserve"> feedback on behaviours/outcomes tracked i</w:t>
            </w:r>
            <w:r w:rsidR="00AE324A" w:rsidRPr="00D52802">
              <w:rPr>
                <w:sz w:val="20"/>
              </w:rPr>
              <w:t>n the app. Health coaches check-in with users weekly, then bi-weekly and then monthly.</w:t>
            </w:r>
          </w:p>
        </w:tc>
        <w:tc>
          <w:tcPr>
            <w:tcW w:w="5103" w:type="dxa"/>
          </w:tcPr>
          <w:p w14:paraId="4BF2F25D" w14:textId="45EA11EC" w:rsidR="00AE324A" w:rsidRPr="00D52802" w:rsidRDefault="00165770" w:rsidP="00C26140">
            <w:pPr>
              <w:rPr>
                <w:sz w:val="20"/>
              </w:rPr>
            </w:pPr>
            <w:r>
              <w:rPr>
                <w:sz w:val="20"/>
              </w:rPr>
              <w:t xml:space="preserve">Support from </w:t>
            </w:r>
            <w:r w:rsidR="00AE324A" w:rsidRPr="00D52802">
              <w:rPr>
                <w:sz w:val="20"/>
              </w:rPr>
              <w:t>health coach via the group chat during the first three months of the programme. One-to-one messaging also availabl</w:t>
            </w:r>
            <w:r>
              <w:rPr>
                <w:sz w:val="20"/>
              </w:rPr>
              <w:t xml:space="preserve">e during first three months of </w:t>
            </w:r>
            <w:r w:rsidR="00AE324A" w:rsidRPr="00D52802">
              <w:rPr>
                <w:sz w:val="20"/>
              </w:rPr>
              <w:t>programme.</w:t>
            </w:r>
          </w:p>
          <w:p w14:paraId="4248B26D" w14:textId="77777777" w:rsidR="00AE324A" w:rsidRPr="00D52802" w:rsidRDefault="00AE324A" w:rsidP="00C26140">
            <w:pPr>
              <w:rPr>
                <w:sz w:val="20"/>
              </w:rPr>
            </w:pPr>
          </w:p>
        </w:tc>
      </w:tr>
    </w:tbl>
    <w:p w14:paraId="7A586DF9" w14:textId="77777777" w:rsidR="007760E8" w:rsidRDefault="007760E8" w:rsidP="00AE324A">
      <w:pPr>
        <w:rPr>
          <w:i/>
          <w:sz w:val="18"/>
        </w:rPr>
      </w:pPr>
    </w:p>
    <w:p w14:paraId="1F33E558" w14:textId="4F667D27" w:rsidR="00AE324A" w:rsidRPr="00165770" w:rsidRDefault="00AE324A" w:rsidP="00AE324A">
      <w:pPr>
        <w:rPr>
          <w:sz w:val="18"/>
        </w:rPr>
      </w:pPr>
      <w:r>
        <w:rPr>
          <w:i/>
          <w:sz w:val="18"/>
        </w:rPr>
        <w:t xml:space="preserve">Note. </w:t>
      </w:r>
      <w:r w:rsidRPr="00506FB1">
        <w:rPr>
          <w:sz w:val="18"/>
        </w:rPr>
        <w:t xml:space="preserve">Provider B was unable to supply usage data for this analysis. Providers are labelled A, C and D to provide anonymisation, but to allow </w:t>
      </w:r>
      <w:r>
        <w:rPr>
          <w:sz w:val="18"/>
        </w:rPr>
        <w:t>cross-reference</w:t>
      </w:r>
      <w:r w:rsidRPr="00506FB1">
        <w:rPr>
          <w:sz w:val="18"/>
        </w:rPr>
        <w:t xml:space="preserve"> to previous papers published by the research </w:t>
      </w:r>
      <w:r w:rsidR="00973F1C">
        <w:rPr>
          <w:sz w:val="18"/>
        </w:rPr>
        <w:t>team for this programme of work [18, 20].</w:t>
      </w:r>
      <w:r w:rsidR="00165770">
        <w:rPr>
          <w:sz w:val="18"/>
        </w:rPr>
        <w:br/>
      </w:r>
      <w:r w:rsidR="00165770" w:rsidRPr="00165770">
        <w:rPr>
          <w:sz w:val="18"/>
          <w:vertAlign w:val="superscript"/>
        </w:rPr>
        <w:t>a</w:t>
      </w:r>
      <w:r w:rsidR="00165770">
        <w:rPr>
          <w:sz w:val="18"/>
        </w:rPr>
        <w:t xml:space="preserve"> Provider A now offers a group support pathway to users who wish to receive group support via a group chat.</w:t>
      </w:r>
    </w:p>
    <w:p w14:paraId="2E224CED" w14:textId="77777777" w:rsidR="00AE324A" w:rsidRDefault="00AE324A" w:rsidP="00372E6A">
      <w:pPr>
        <w:spacing w:line="480" w:lineRule="auto"/>
      </w:pPr>
    </w:p>
    <w:p w14:paraId="69EA2DA5" w14:textId="268D7D9C" w:rsidR="00372E6A" w:rsidRDefault="00372E6A" w:rsidP="00372E6A">
      <w:pPr>
        <w:spacing w:line="480" w:lineRule="auto"/>
      </w:pPr>
      <w:r>
        <w:t xml:space="preserve">Table </w:t>
      </w:r>
      <w:r w:rsidR="00EF4737">
        <w:t>5</w:t>
      </w:r>
      <w:r>
        <w:t>. Engagement with features of NHS-DDPP across the nine-month intervention (median, IQR, range)</w:t>
      </w:r>
    </w:p>
    <w:tbl>
      <w:tblPr>
        <w:tblStyle w:val="TableGrid"/>
        <w:tblW w:w="16013" w:type="dxa"/>
        <w:tblInd w:w="-845" w:type="dxa"/>
        <w:tblBorders>
          <w:insideH w:val="none" w:sz="0" w:space="0" w:color="auto"/>
          <w:insideV w:val="none" w:sz="0" w:space="0" w:color="auto"/>
        </w:tblBorders>
        <w:tblLayout w:type="fixed"/>
        <w:tblLook w:val="04A0" w:firstRow="1" w:lastRow="0" w:firstColumn="1" w:lastColumn="0" w:noHBand="0" w:noVBand="1"/>
      </w:tblPr>
      <w:tblGrid>
        <w:gridCol w:w="2577"/>
        <w:gridCol w:w="665"/>
        <w:gridCol w:w="1381"/>
        <w:gridCol w:w="1426"/>
        <w:gridCol w:w="1459"/>
        <w:gridCol w:w="1417"/>
        <w:gridCol w:w="1418"/>
        <w:gridCol w:w="1417"/>
        <w:gridCol w:w="1418"/>
        <w:gridCol w:w="1417"/>
        <w:gridCol w:w="1418"/>
      </w:tblGrid>
      <w:tr w:rsidR="00372E6A" w14:paraId="1ABA482C" w14:textId="77777777" w:rsidTr="003F4370">
        <w:tc>
          <w:tcPr>
            <w:tcW w:w="2577" w:type="dxa"/>
            <w:tcBorders>
              <w:top w:val="single" w:sz="4" w:space="0" w:color="FFFFFF" w:themeColor="background1"/>
              <w:left w:val="nil"/>
              <w:bottom w:val="single" w:sz="4" w:space="0" w:color="FFFFFF" w:themeColor="background1"/>
              <w:right w:val="single" w:sz="4" w:space="0" w:color="auto"/>
            </w:tcBorders>
          </w:tcPr>
          <w:p w14:paraId="57E60F06" w14:textId="77777777" w:rsidR="00372E6A" w:rsidRDefault="00372E6A" w:rsidP="003F4370"/>
        </w:tc>
        <w:tc>
          <w:tcPr>
            <w:tcW w:w="665" w:type="dxa"/>
            <w:tcBorders>
              <w:top w:val="single" w:sz="4" w:space="0" w:color="FFFFFF" w:themeColor="background1"/>
              <w:left w:val="single" w:sz="4" w:space="0" w:color="auto"/>
              <w:right w:val="single" w:sz="4" w:space="0" w:color="auto"/>
            </w:tcBorders>
          </w:tcPr>
          <w:p w14:paraId="2FDB2B3A" w14:textId="77777777" w:rsidR="00372E6A" w:rsidRPr="005375AA" w:rsidRDefault="00372E6A" w:rsidP="003F4370">
            <w:pPr>
              <w:jc w:val="center"/>
              <w:rPr>
                <w:b/>
                <w:i/>
              </w:rPr>
            </w:pPr>
          </w:p>
        </w:tc>
        <w:tc>
          <w:tcPr>
            <w:tcW w:w="12771" w:type="dxa"/>
            <w:gridSpan w:val="9"/>
            <w:tcBorders>
              <w:left w:val="single" w:sz="4" w:space="0" w:color="auto"/>
              <w:bottom w:val="single" w:sz="4" w:space="0" w:color="FFFFFF" w:themeColor="background1"/>
              <w:right w:val="nil"/>
            </w:tcBorders>
          </w:tcPr>
          <w:p w14:paraId="061625F1" w14:textId="77777777" w:rsidR="00372E6A" w:rsidRPr="00DB335C" w:rsidRDefault="00372E6A" w:rsidP="003F4370">
            <w:pPr>
              <w:jc w:val="center"/>
              <w:rPr>
                <w:b/>
                <w:vertAlign w:val="superscript"/>
              </w:rPr>
            </w:pPr>
            <w:r>
              <w:rPr>
                <w:b/>
              </w:rPr>
              <w:t xml:space="preserve">Engagement period </w:t>
            </w:r>
            <w:r>
              <w:rPr>
                <w:b/>
                <w:vertAlign w:val="superscript"/>
              </w:rPr>
              <w:t>a</w:t>
            </w:r>
          </w:p>
        </w:tc>
      </w:tr>
      <w:tr w:rsidR="00372E6A" w14:paraId="15FC8DC4" w14:textId="77777777" w:rsidTr="003F4370">
        <w:tc>
          <w:tcPr>
            <w:tcW w:w="2577" w:type="dxa"/>
            <w:tcBorders>
              <w:top w:val="single" w:sz="4" w:space="0" w:color="FFFFFF" w:themeColor="background1"/>
              <w:left w:val="nil"/>
              <w:right w:val="single" w:sz="4" w:space="0" w:color="auto"/>
            </w:tcBorders>
          </w:tcPr>
          <w:p w14:paraId="776F8D9B" w14:textId="77777777" w:rsidR="00372E6A" w:rsidRDefault="00372E6A" w:rsidP="003F4370"/>
        </w:tc>
        <w:tc>
          <w:tcPr>
            <w:tcW w:w="665" w:type="dxa"/>
            <w:tcBorders>
              <w:left w:val="single" w:sz="4" w:space="0" w:color="auto"/>
              <w:bottom w:val="single" w:sz="4" w:space="0" w:color="auto"/>
              <w:right w:val="single" w:sz="4" w:space="0" w:color="auto"/>
            </w:tcBorders>
          </w:tcPr>
          <w:p w14:paraId="0D987A68" w14:textId="77777777" w:rsidR="00372E6A" w:rsidRDefault="00372E6A" w:rsidP="003F4370"/>
        </w:tc>
        <w:tc>
          <w:tcPr>
            <w:tcW w:w="1381" w:type="dxa"/>
            <w:tcBorders>
              <w:top w:val="single" w:sz="4" w:space="0" w:color="FFFFFF" w:themeColor="background1"/>
              <w:left w:val="single" w:sz="4" w:space="0" w:color="auto"/>
              <w:bottom w:val="single" w:sz="4" w:space="0" w:color="auto"/>
              <w:right w:val="single" w:sz="4" w:space="0" w:color="auto"/>
            </w:tcBorders>
          </w:tcPr>
          <w:p w14:paraId="2D9CAE71" w14:textId="77777777" w:rsidR="00372E6A" w:rsidRPr="003001B8" w:rsidRDefault="00372E6A" w:rsidP="003F4370">
            <w:pPr>
              <w:jc w:val="center"/>
              <w:rPr>
                <w:b/>
              </w:rPr>
            </w:pPr>
            <w:r w:rsidRPr="003001B8">
              <w:rPr>
                <w:b/>
              </w:rPr>
              <w:t>1</w:t>
            </w:r>
          </w:p>
        </w:tc>
        <w:tc>
          <w:tcPr>
            <w:tcW w:w="1426" w:type="dxa"/>
            <w:tcBorders>
              <w:top w:val="single" w:sz="4" w:space="0" w:color="FFFFFF" w:themeColor="background1"/>
              <w:left w:val="single" w:sz="4" w:space="0" w:color="auto"/>
              <w:right w:val="single" w:sz="4" w:space="0" w:color="auto"/>
            </w:tcBorders>
          </w:tcPr>
          <w:p w14:paraId="6EDCE38A" w14:textId="77777777" w:rsidR="00372E6A" w:rsidRPr="003001B8" w:rsidRDefault="00372E6A" w:rsidP="003F4370">
            <w:pPr>
              <w:jc w:val="center"/>
              <w:rPr>
                <w:b/>
              </w:rPr>
            </w:pPr>
            <w:r w:rsidRPr="003001B8">
              <w:rPr>
                <w:b/>
              </w:rPr>
              <w:t>2</w:t>
            </w:r>
          </w:p>
        </w:tc>
        <w:tc>
          <w:tcPr>
            <w:tcW w:w="1459" w:type="dxa"/>
            <w:tcBorders>
              <w:top w:val="single" w:sz="4" w:space="0" w:color="FFFFFF" w:themeColor="background1"/>
              <w:left w:val="single" w:sz="4" w:space="0" w:color="auto"/>
              <w:right w:val="single" w:sz="4" w:space="0" w:color="auto"/>
            </w:tcBorders>
          </w:tcPr>
          <w:p w14:paraId="2B1211B5" w14:textId="77777777" w:rsidR="00372E6A" w:rsidRPr="003001B8" w:rsidRDefault="00372E6A" w:rsidP="003F4370">
            <w:pPr>
              <w:jc w:val="center"/>
              <w:rPr>
                <w:b/>
              </w:rPr>
            </w:pPr>
            <w:r w:rsidRPr="003001B8">
              <w:rPr>
                <w:b/>
              </w:rPr>
              <w:t>3</w:t>
            </w:r>
          </w:p>
        </w:tc>
        <w:tc>
          <w:tcPr>
            <w:tcW w:w="1417" w:type="dxa"/>
            <w:tcBorders>
              <w:top w:val="single" w:sz="4" w:space="0" w:color="FFFFFF" w:themeColor="background1"/>
              <w:left w:val="single" w:sz="4" w:space="0" w:color="auto"/>
              <w:right w:val="single" w:sz="4" w:space="0" w:color="auto"/>
            </w:tcBorders>
          </w:tcPr>
          <w:p w14:paraId="6F3E07DF" w14:textId="77777777" w:rsidR="00372E6A" w:rsidRPr="003001B8" w:rsidRDefault="00372E6A" w:rsidP="003F4370">
            <w:pPr>
              <w:jc w:val="center"/>
              <w:rPr>
                <w:b/>
              </w:rPr>
            </w:pPr>
            <w:r w:rsidRPr="003001B8">
              <w:rPr>
                <w:b/>
              </w:rPr>
              <w:t>4</w:t>
            </w:r>
          </w:p>
        </w:tc>
        <w:tc>
          <w:tcPr>
            <w:tcW w:w="1418" w:type="dxa"/>
            <w:tcBorders>
              <w:top w:val="single" w:sz="4" w:space="0" w:color="FFFFFF" w:themeColor="background1"/>
              <w:left w:val="single" w:sz="4" w:space="0" w:color="auto"/>
              <w:right w:val="single" w:sz="4" w:space="0" w:color="auto"/>
            </w:tcBorders>
          </w:tcPr>
          <w:p w14:paraId="39C0DBEA" w14:textId="77777777" w:rsidR="00372E6A" w:rsidRPr="003001B8" w:rsidRDefault="00372E6A" w:rsidP="003F4370">
            <w:pPr>
              <w:jc w:val="center"/>
              <w:rPr>
                <w:b/>
              </w:rPr>
            </w:pPr>
            <w:r w:rsidRPr="003001B8">
              <w:rPr>
                <w:b/>
              </w:rPr>
              <w:t>5</w:t>
            </w:r>
          </w:p>
        </w:tc>
        <w:tc>
          <w:tcPr>
            <w:tcW w:w="1417" w:type="dxa"/>
            <w:tcBorders>
              <w:top w:val="single" w:sz="4" w:space="0" w:color="FFFFFF" w:themeColor="background1"/>
              <w:left w:val="single" w:sz="4" w:space="0" w:color="auto"/>
              <w:right w:val="single" w:sz="4" w:space="0" w:color="auto"/>
            </w:tcBorders>
          </w:tcPr>
          <w:p w14:paraId="36C17B0C" w14:textId="77777777" w:rsidR="00372E6A" w:rsidRPr="003001B8" w:rsidRDefault="00372E6A" w:rsidP="003F4370">
            <w:pPr>
              <w:jc w:val="center"/>
              <w:rPr>
                <w:b/>
              </w:rPr>
            </w:pPr>
            <w:r w:rsidRPr="003001B8">
              <w:rPr>
                <w:b/>
              </w:rPr>
              <w:t>6</w:t>
            </w:r>
          </w:p>
        </w:tc>
        <w:tc>
          <w:tcPr>
            <w:tcW w:w="1418" w:type="dxa"/>
            <w:tcBorders>
              <w:top w:val="single" w:sz="4" w:space="0" w:color="FFFFFF" w:themeColor="background1"/>
              <w:left w:val="single" w:sz="4" w:space="0" w:color="auto"/>
              <w:right w:val="single" w:sz="4" w:space="0" w:color="auto"/>
            </w:tcBorders>
          </w:tcPr>
          <w:p w14:paraId="379A496F" w14:textId="77777777" w:rsidR="00372E6A" w:rsidRPr="003001B8" w:rsidRDefault="00372E6A" w:rsidP="003F4370">
            <w:pPr>
              <w:jc w:val="center"/>
              <w:rPr>
                <w:b/>
              </w:rPr>
            </w:pPr>
            <w:r w:rsidRPr="003001B8">
              <w:rPr>
                <w:b/>
              </w:rPr>
              <w:t>7</w:t>
            </w:r>
          </w:p>
        </w:tc>
        <w:tc>
          <w:tcPr>
            <w:tcW w:w="1417" w:type="dxa"/>
            <w:tcBorders>
              <w:top w:val="single" w:sz="4" w:space="0" w:color="FFFFFF" w:themeColor="background1"/>
              <w:left w:val="single" w:sz="4" w:space="0" w:color="auto"/>
              <w:right w:val="single" w:sz="4" w:space="0" w:color="auto"/>
            </w:tcBorders>
          </w:tcPr>
          <w:p w14:paraId="35000B81" w14:textId="77777777" w:rsidR="00372E6A" w:rsidRPr="003001B8" w:rsidRDefault="00372E6A" w:rsidP="003F4370">
            <w:pPr>
              <w:jc w:val="center"/>
              <w:rPr>
                <w:b/>
              </w:rPr>
            </w:pPr>
            <w:r w:rsidRPr="003001B8">
              <w:rPr>
                <w:b/>
              </w:rPr>
              <w:t>8</w:t>
            </w:r>
          </w:p>
        </w:tc>
        <w:tc>
          <w:tcPr>
            <w:tcW w:w="1418" w:type="dxa"/>
            <w:tcBorders>
              <w:top w:val="single" w:sz="4" w:space="0" w:color="FFFFFF" w:themeColor="background1"/>
              <w:left w:val="single" w:sz="4" w:space="0" w:color="auto"/>
              <w:right w:val="nil"/>
            </w:tcBorders>
          </w:tcPr>
          <w:p w14:paraId="5DC62815" w14:textId="77777777" w:rsidR="00372E6A" w:rsidRPr="003001B8" w:rsidRDefault="00372E6A" w:rsidP="003F4370">
            <w:pPr>
              <w:jc w:val="center"/>
              <w:rPr>
                <w:b/>
              </w:rPr>
            </w:pPr>
            <w:r w:rsidRPr="003001B8">
              <w:rPr>
                <w:b/>
              </w:rPr>
              <w:t>9</w:t>
            </w:r>
          </w:p>
        </w:tc>
      </w:tr>
      <w:tr w:rsidR="00372E6A" w14:paraId="45C6DAAA" w14:textId="77777777" w:rsidTr="003F4370">
        <w:tc>
          <w:tcPr>
            <w:tcW w:w="2577" w:type="dxa"/>
            <w:tcBorders>
              <w:top w:val="single" w:sz="4" w:space="0" w:color="FFFFFF" w:themeColor="background1"/>
              <w:left w:val="nil"/>
              <w:right w:val="single" w:sz="4" w:space="0" w:color="auto"/>
            </w:tcBorders>
          </w:tcPr>
          <w:p w14:paraId="14D74D68" w14:textId="77777777" w:rsidR="00372E6A" w:rsidRDefault="00372E6A" w:rsidP="003F4370"/>
        </w:tc>
        <w:tc>
          <w:tcPr>
            <w:tcW w:w="665" w:type="dxa"/>
            <w:tcBorders>
              <w:top w:val="single" w:sz="4" w:space="0" w:color="auto"/>
              <w:left w:val="single" w:sz="4" w:space="0" w:color="auto"/>
              <w:right w:val="single" w:sz="4" w:space="0" w:color="auto"/>
            </w:tcBorders>
          </w:tcPr>
          <w:p w14:paraId="22C140E9" w14:textId="77777777" w:rsidR="00372E6A" w:rsidRPr="00842C54" w:rsidRDefault="00372E6A" w:rsidP="003F4370">
            <w:pPr>
              <w:jc w:val="center"/>
              <w:rPr>
                <w:i/>
              </w:rPr>
            </w:pPr>
            <w:r>
              <w:rPr>
                <w:b/>
                <w:i/>
              </w:rPr>
              <w:t>n</w:t>
            </w:r>
          </w:p>
        </w:tc>
        <w:tc>
          <w:tcPr>
            <w:tcW w:w="12771" w:type="dxa"/>
            <w:gridSpan w:val="9"/>
            <w:tcBorders>
              <w:top w:val="single" w:sz="4" w:space="0" w:color="auto"/>
              <w:left w:val="single" w:sz="4" w:space="0" w:color="auto"/>
              <w:right w:val="single" w:sz="4" w:space="0" w:color="FFFFFF" w:themeColor="background1"/>
            </w:tcBorders>
          </w:tcPr>
          <w:p w14:paraId="6AE3F1F9" w14:textId="77777777" w:rsidR="00372E6A" w:rsidRPr="003001B8" w:rsidRDefault="00372E6A" w:rsidP="003F4370">
            <w:pPr>
              <w:jc w:val="center"/>
              <w:rPr>
                <w:b/>
              </w:rPr>
            </w:pPr>
            <w:r>
              <w:rPr>
                <w:b/>
              </w:rPr>
              <w:t>Median (IQR) [Range]</w:t>
            </w:r>
          </w:p>
        </w:tc>
      </w:tr>
      <w:tr w:rsidR="00372E6A" w14:paraId="63B7AFCF" w14:textId="77777777" w:rsidTr="003F4370">
        <w:tc>
          <w:tcPr>
            <w:tcW w:w="16013" w:type="dxa"/>
            <w:gridSpan w:val="11"/>
            <w:tcBorders>
              <w:top w:val="single" w:sz="4" w:space="0" w:color="auto"/>
              <w:left w:val="nil"/>
              <w:right w:val="nil"/>
            </w:tcBorders>
          </w:tcPr>
          <w:p w14:paraId="78BF7350" w14:textId="77777777" w:rsidR="00372E6A" w:rsidRDefault="00372E6A" w:rsidP="003F4370">
            <w:r>
              <w:rPr>
                <w:b/>
              </w:rPr>
              <w:t xml:space="preserve">Self-monitoring and goal setting </w:t>
            </w:r>
          </w:p>
        </w:tc>
      </w:tr>
      <w:tr w:rsidR="00372E6A" w14:paraId="02AA78A4" w14:textId="77777777" w:rsidTr="003F4370">
        <w:tc>
          <w:tcPr>
            <w:tcW w:w="2577" w:type="dxa"/>
            <w:tcBorders>
              <w:top w:val="single" w:sz="4" w:space="0" w:color="auto"/>
              <w:left w:val="nil"/>
              <w:right w:val="single" w:sz="4" w:space="0" w:color="auto"/>
            </w:tcBorders>
          </w:tcPr>
          <w:p w14:paraId="18E079D5" w14:textId="77777777" w:rsidR="00372E6A" w:rsidRDefault="00372E6A" w:rsidP="003F4370">
            <w:r w:rsidRPr="00420A74">
              <w:t>Number of times behaviours were self-monito</w:t>
            </w:r>
            <w:r>
              <w:t xml:space="preserve">red </w:t>
            </w:r>
          </w:p>
        </w:tc>
        <w:tc>
          <w:tcPr>
            <w:tcW w:w="665" w:type="dxa"/>
            <w:tcBorders>
              <w:top w:val="single" w:sz="4" w:space="0" w:color="auto"/>
              <w:left w:val="single" w:sz="4" w:space="0" w:color="auto"/>
              <w:right w:val="single" w:sz="4" w:space="0" w:color="auto"/>
            </w:tcBorders>
          </w:tcPr>
          <w:p w14:paraId="76AEADDA" w14:textId="77777777" w:rsidR="00372E6A" w:rsidRDefault="00372E6A" w:rsidP="003F4370">
            <w:r>
              <w:t>1826</w:t>
            </w:r>
          </w:p>
        </w:tc>
        <w:tc>
          <w:tcPr>
            <w:tcW w:w="1381" w:type="dxa"/>
            <w:tcBorders>
              <w:top w:val="single" w:sz="4" w:space="0" w:color="auto"/>
              <w:left w:val="single" w:sz="4" w:space="0" w:color="auto"/>
              <w:right w:val="single" w:sz="4" w:space="0" w:color="auto"/>
            </w:tcBorders>
          </w:tcPr>
          <w:p w14:paraId="26507D5B" w14:textId="77777777" w:rsidR="00372E6A" w:rsidRDefault="00372E6A" w:rsidP="003F4370">
            <w:r>
              <w:t xml:space="preserve">35 (87) </w:t>
            </w:r>
            <w:r>
              <w:br/>
              <w:t>[0-3214]</w:t>
            </w:r>
            <w:r>
              <w:br/>
            </w:r>
          </w:p>
        </w:tc>
        <w:tc>
          <w:tcPr>
            <w:tcW w:w="1426" w:type="dxa"/>
            <w:tcBorders>
              <w:top w:val="single" w:sz="4" w:space="0" w:color="auto"/>
              <w:left w:val="single" w:sz="4" w:space="0" w:color="auto"/>
              <w:right w:val="single" w:sz="4" w:space="0" w:color="auto"/>
            </w:tcBorders>
          </w:tcPr>
          <w:p w14:paraId="78E5DAF4" w14:textId="77777777" w:rsidR="00372E6A" w:rsidRDefault="00372E6A" w:rsidP="003F4370">
            <w:r>
              <w:t xml:space="preserve">28 (87) </w:t>
            </w:r>
            <w:r>
              <w:br/>
              <w:t>[0-1483]</w:t>
            </w:r>
          </w:p>
        </w:tc>
        <w:tc>
          <w:tcPr>
            <w:tcW w:w="1459" w:type="dxa"/>
            <w:tcBorders>
              <w:top w:val="single" w:sz="4" w:space="0" w:color="auto"/>
              <w:left w:val="single" w:sz="4" w:space="0" w:color="auto"/>
              <w:right w:val="single" w:sz="4" w:space="0" w:color="auto"/>
            </w:tcBorders>
          </w:tcPr>
          <w:p w14:paraId="250DCD1C" w14:textId="77777777" w:rsidR="00372E6A" w:rsidRDefault="00372E6A" w:rsidP="003F4370">
            <w:r>
              <w:t xml:space="preserve">10 (72) </w:t>
            </w:r>
          </w:p>
          <w:p w14:paraId="1D82786D" w14:textId="77777777" w:rsidR="00372E6A" w:rsidRDefault="00372E6A" w:rsidP="003F4370">
            <w:r>
              <w:t>[0-680]</w:t>
            </w:r>
          </w:p>
        </w:tc>
        <w:tc>
          <w:tcPr>
            <w:tcW w:w="1417" w:type="dxa"/>
            <w:tcBorders>
              <w:top w:val="single" w:sz="4" w:space="0" w:color="auto"/>
              <w:left w:val="single" w:sz="4" w:space="0" w:color="auto"/>
              <w:right w:val="single" w:sz="4" w:space="0" w:color="auto"/>
            </w:tcBorders>
          </w:tcPr>
          <w:p w14:paraId="3152AB7D" w14:textId="77777777" w:rsidR="00372E6A" w:rsidRDefault="00372E6A" w:rsidP="003F4370">
            <w:r>
              <w:t xml:space="preserve">1 (55) </w:t>
            </w:r>
            <w:r>
              <w:br/>
              <w:t>[0-659]</w:t>
            </w:r>
          </w:p>
        </w:tc>
        <w:tc>
          <w:tcPr>
            <w:tcW w:w="1418" w:type="dxa"/>
            <w:tcBorders>
              <w:top w:val="single" w:sz="4" w:space="0" w:color="auto"/>
              <w:left w:val="single" w:sz="4" w:space="0" w:color="auto"/>
              <w:right w:val="single" w:sz="4" w:space="0" w:color="auto"/>
            </w:tcBorders>
          </w:tcPr>
          <w:p w14:paraId="4B89B599" w14:textId="77777777" w:rsidR="00372E6A" w:rsidRDefault="00372E6A" w:rsidP="003F4370">
            <w:r>
              <w:t xml:space="preserve">0 (36) </w:t>
            </w:r>
            <w:r>
              <w:br/>
              <w:t>[0-68]</w:t>
            </w:r>
          </w:p>
        </w:tc>
        <w:tc>
          <w:tcPr>
            <w:tcW w:w="1417" w:type="dxa"/>
            <w:tcBorders>
              <w:top w:val="single" w:sz="4" w:space="0" w:color="auto"/>
              <w:left w:val="single" w:sz="4" w:space="0" w:color="auto"/>
              <w:right w:val="single" w:sz="4" w:space="0" w:color="auto"/>
            </w:tcBorders>
          </w:tcPr>
          <w:p w14:paraId="7D088A97" w14:textId="77777777" w:rsidR="00372E6A" w:rsidRDefault="00372E6A" w:rsidP="003F4370">
            <w:r>
              <w:t xml:space="preserve">0 (29) </w:t>
            </w:r>
          </w:p>
          <w:p w14:paraId="4BB9C528" w14:textId="77777777" w:rsidR="00372E6A" w:rsidRDefault="00372E6A" w:rsidP="003F4370">
            <w:r>
              <w:t>[0-667]</w:t>
            </w:r>
          </w:p>
        </w:tc>
        <w:tc>
          <w:tcPr>
            <w:tcW w:w="1418" w:type="dxa"/>
            <w:tcBorders>
              <w:top w:val="single" w:sz="4" w:space="0" w:color="auto"/>
              <w:left w:val="single" w:sz="4" w:space="0" w:color="auto"/>
              <w:right w:val="single" w:sz="4" w:space="0" w:color="auto"/>
            </w:tcBorders>
          </w:tcPr>
          <w:p w14:paraId="30CD6493" w14:textId="77777777" w:rsidR="00372E6A" w:rsidRDefault="00372E6A" w:rsidP="003F4370">
            <w:r>
              <w:t xml:space="preserve">0 (16) </w:t>
            </w:r>
          </w:p>
          <w:p w14:paraId="52983B76" w14:textId="77777777" w:rsidR="00372E6A" w:rsidRDefault="00372E6A" w:rsidP="003F4370">
            <w:r>
              <w:t>[0-661]</w:t>
            </w:r>
          </w:p>
        </w:tc>
        <w:tc>
          <w:tcPr>
            <w:tcW w:w="1417" w:type="dxa"/>
            <w:tcBorders>
              <w:top w:val="single" w:sz="4" w:space="0" w:color="auto"/>
              <w:left w:val="single" w:sz="4" w:space="0" w:color="auto"/>
              <w:right w:val="single" w:sz="4" w:space="0" w:color="auto"/>
            </w:tcBorders>
          </w:tcPr>
          <w:p w14:paraId="352DF276" w14:textId="77777777" w:rsidR="00372E6A" w:rsidRDefault="00372E6A" w:rsidP="003F4370">
            <w:r>
              <w:t xml:space="preserve">0 (8) </w:t>
            </w:r>
          </w:p>
          <w:p w14:paraId="3EBB757B" w14:textId="77777777" w:rsidR="00372E6A" w:rsidRDefault="00372E6A" w:rsidP="003F4370">
            <w:r>
              <w:t>[0-648]</w:t>
            </w:r>
          </w:p>
        </w:tc>
        <w:tc>
          <w:tcPr>
            <w:tcW w:w="1418" w:type="dxa"/>
            <w:tcBorders>
              <w:top w:val="single" w:sz="4" w:space="0" w:color="auto"/>
              <w:left w:val="single" w:sz="4" w:space="0" w:color="auto"/>
              <w:right w:val="nil"/>
            </w:tcBorders>
          </w:tcPr>
          <w:p w14:paraId="3896B6A4" w14:textId="77777777" w:rsidR="00372E6A" w:rsidRDefault="00372E6A" w:rsidP="003F4370">
            <w:r>
              <w:t xml:space="preserve">0 (1) </w:t>
            </w:r>
          </w:p>
          <w:p w14:paraId="08E98BF2" w14:textId="77777777" w:rsidR="00372E6A" w:rsidRDefault="00372E6A" w:rsidP="003F4370">
            <w:r>
              <w:t>[0-662]</w:t>
            </w:r>
          </w:p>
        </w:tc>
      </w:tr>
      <w:tr w:rsidR="00372E6A" w14:paraId="018EBE37" w14:textId="77777777" w:rsidTr="003F4370">
        <w:tc>
          <w:tcPr>
            <w:tcW w:w="2577" w:type="dxa"/>
            <w:tcBorders>
              <w:left w:val="nil"/>
              <w:right w:val="single" w:sz="4" w:space="0" w:color="auto"/>
            </w:tcBorders>
          </w:tcPr>
          <w:p w14:paraId="60E2E81E" w14:textId="77777777" w:rsidR="00372E6A" w:rsidRDefault="00372E6A" w:rsidP="003F4370">
            <w:r w:rsidRPr="00420A74">
              <w:t>Number of times out</w:t>
            </w:r>
            <w:r>
              <w:t>comes were self-monitored</w:t>
            </w:r>
          </w:p>
          <w:p w14:paraId="7BEFBE1C" w14:textId="77777777" w:rsidR="00372E6A" w:rsidRDefault="00372E6A" w:rsidP="003F4370"/>
        </w:tc>
        <w:tc>
          <w:tcPr>
            <w:tcW w:w="665" w:type="dxa"/>
            <w:tcBorders>
              <w:left w:val="single" w:sz="4" w:space="0" w:color="auto"/>
              <w:right w:val="single" w:sz="4" w:space="0" w:color="auto"/>
            </w:tcBorders>
          </w:tcPr>
          <w:p w14:paraId="375D28A4" w14:textId="77777777" w:rsidR="00372E6A" w:rsidRDefault="00372E6A" w:rsidP="003F4370">
            <w:r>
              <w:t>1826</w:t>
            </w:r>
          </w:p>
        </w:tc>
        <w:tc>
          <w:tcPr>
            <w:tcW w:w="1381" w:type="dxa"/>
            <w:tcBorders>
              <w:left w:val="single" w:sz="4" w:space="0" w:color="auto"/>
              <w:right w:val="single" w:sz="4" w:space="0" w:color="auto"/>
            </w:tcBorders>
          </w:tcPr>
          <w:p w14:paraId="0BECE7C9" w14:textId="77777777" w:rsidR="00372E6A" w:rsidRDefault="00372E6A" w:rsidP="003F4370">
            <w:r>
              <w:t xml:space="preserve">2 (6) </w:t>
            </w:r>
          </w:p>
          <w:p w14:paraId="1A84B315" w14:textId="77777777" w:rsidR="00372E6A" w:rsidRDefault="00372E6A" w:rsidP="003F4370">
            <w:r>
              <w:t>[0-85]</w:t>
            </w:r>
          </w:p>
        </w:tc>
        <w:tc>
          <w:tcPr>
            <w:tcW w:w="1426" w:type="dxa"/>
            <w:tcBorders>
              <w:left w:val="single" w:sz="4" w:space="0" w:color="auto"/>
              <w:right w:val="single" w:sz="4" w:space="0" w:color="auto"/>
            </w:tcBorders>
          </w:tcPr>
          <w:p w14:paraId="6FD6F4C8" w14:textId="77777777" w:rsidR="00372E6A" w:rsidRDefault="00372E6A" w:rsidP="003F4370">
            <w:r>
              <w:t xml:space="preserve">1 (5) </w:t>
            </w:r>
          </w:p>
          <w:p w14:paraId="247999CA" w14:textId="77777777" w:rsidR="00372E6A" w:rsidRDefault="00372E6A" w:rsidP="003F4370">
            <w:r>
              <w:t>[0-147]</w:t>
            </w:r>
          </w:p>
        </w:tc>
        <w:tc>
          <w:tcPr>
            <w:tcW w:w="1459" w:type="dxa"/>
            <w:tcBorders>
              <w:left w:val="single" w:sz="4" w:space="0" w:color="auto"/>
              <w:right w:val="single" w:sz="4" w:space="0" w:color="auto"/>
            </w:tcBorders>
          </w:tcPr>
          <w:p w14:paraId="680D9B0B" w14:textId="77777777" w:rsidR="00372E6A" w:rsidRDefault="00372E6A" w:rsidP="003F4370">
            <w:r>
              <w:t xml:space="preserve">1 (4) </w:t>
            </w:r>
          </w:p>
          <w:p w14:paraId="6D01EBD4" w14:textId="77777777" w:rsidR="00372E6A" w:rsidRDefault="00372E6A" w:rsidP="003F4370">
            <w:r>
              <w:t>[0-116]</w:t>
            </w:r>
          </w:p>
        </w:tc>
        <w:tc>
          <w:tcPr>
            <w:tcW w:w="1417" w:type="dxa"/>
            <w:tcBorders>
              <w:left w:val="single" w:sz="4" w:space="0" w:color="auto"/>
              <w:right w:val="single" w:sz="4" w:space="0" w:color="auto"/>
            </w:tcBorders>
          </w:tcPr>
          <w:p w14:paraId="7DC1275D" w14:textId="77777777" w:rsidR="00372E6A" w:rsidRDefault="00372E6A" w:rsidP="003F4370">
            <w:r>
              <w:t xml:space="preserve">0 (3) </w:t>
            </w:r>
          </w:p>
          <w:p w14:paraId="761004A8" w14:textId="77777777" w:rsidR="00372E6A" w:rsidRDefault="00372E6A" w:rsidP="003F4370">
            <w:r>
              <w:t>[0-98]</w:t>
            </w:r>
          </w:p>
        </w:tc>
        <w:tc>
          <w:tcPr>
            <w:tcW w:w="1418" w:type="dxa"/>
            <w:tcBorders>
              <w:left w:val="single" w:sz="4" w:space="0" w:color="auto"/>
              <w:right w:val="single" w:sz="4" w:space="0" w:color="auto"/>
            </w:tcBorders>
          </w:tcPr>
          <w:p w14:paraId="5F8F9432" w14:textId="77777777" w:rsidR="00372E6A" w:rsidRDefault="00372E6A" w:rsidP="003F4370">
            <w:r>
              <w:t xml:space="preserve">0 (0) </w:t>
            </w:r>
          </w:p>
          <w:p w14:paraId="2235230C" w14:textId="77777777" w:rsidR="00372E6A" w:rsidRDefault="00372E6A" w:rsidP="003F4370">
            <w:r>
              <w:t>[0-138]</w:t>
            </w:r>
          </w:p>
        </w:tc>
        <w:tc>
          <w:tcPr>
            <w:tcW w:w="1417" w:type="dxa"/>
            <w:tcBorders>
              <w:left w:val="single" w:sz="4" w:space="0" w:color="auto"/>
              <w:right w:val="single" w:sz="4" w:space="0" w:color="auto"/>
            </w:tcBorders>
          </w:tcPr>
          <w:p w14:paraId="6B8E57E0" w14:textId="77777777" w:rsidR="00372E6A" w:rsidRDefault="00372E6A" w:rsidP="003F4370">
            <w:r>
              <w:t xml:space="preserve">0 (0) </w:t>
            </w:r>
          </w:p>
          <w:p w14:paraId="4ECE2861" w14:textId="77777777" w:rsidR="00372E6A" w:rsidRDefault="00372E6A" w:rsidP="003F4370">
            <w:r>
              <w:t>[0-102]</w:t>
            </w:r>
          </w:p>
        </w:tc>
        <w:tc>
          <w:tcPr>
            <w:tcW w:w="1418" w:type="dxa"/>
            <w:tcBorders>
              <w:left w:val="single" w:sz="4" w:space="0" w:color="auto"/>
              <w:right w:val="single" w:sz="4" w:space="0" w:color="auto"/>
            </w:tcBorders>
          </w:tcPr>
          <w:p w14:paraId="55F002C1" w14:textId="77777777" w:rsidR="00372E6A" w:rsidRDefault="00372E6A" w:rsidP="003F4370">
            <w:r>
              <w:t xml:space="preserve">0 (0) </w:t>
            </w:r>
          </w:p>
          <w:p w14:paraId="73A68711" w14:textId="77777777" w:rsidR="00372E6A" w:rsidRDefault="00372E6A" w:rsidP="003F4370">
            <w:r>
              <w:t>[0-64]</w:t>
            </w:r>
          </w:p>
        </w:tc>
        <w:tc>
          <w:tcPr>
            <w:tcW w:w="1417" w:type="dxa"/>
            <w:tcBorders>
              <w:left w:val="single" w:sz="4" w:space="0" w:color="auto"/>
              <w:right w:val="single" w:sz="4" w:space="0" w:color="auto"/>
            </w:tcBorders>
          </w:tcPr>
          <w:p w14:paraId="56989907" w14:textId="77777777" w:rsidR="00372E6A" w:rsidRDefault="00372E6A" w:rsidP="003F4370">
            <w:r>
              <w:t xml:space="preserve">0 (0) </w:t>
            </w:r>
          </w:p>
          <w:p w14:paraId="37337324" w14:textId="77777777" w:rsidR="00372E6A" w:rsidRDefault="00372E6A" w:rsidP="003F4370">
            <w:r>
              <w:t>[0-241]</w:t>
            </w:r>
          </w:p>
        </w:tc>
        <w:tc>
          <w:tcPr>
            <w:tcW w:w="1418" w:type="dxa"/>
            <w:tcBorders>
              <w:left w:val="single" w:sz="4" w:space="0" w:color="auto"/>
              <w:right w:val="nil"/>
            </w:tcBorders>
          </w:tcPr>
          <w:p w14:paraId="4BD4FE80" w14:textId="77777777" w:rsidR="00372E6A" w:rsidRDefault="00372E6A" w:rsidP="003F4370">
            <w:r>
              <w:t xml:space="preserve">0 (0) </w:t>
            </w:r>
          </w:p>
          <w:p w14:paraId="453446D9" w14:textId="77777777" w:rsidR="00372E6A" w:rsidRDefault="00372E6A" w:rsidP="003F4370">
            <w:r>
              <w:t>[0-113]</w:t>
            </w:r>
          </w:p>
        </w:tc>
      </w:tr>
      <w:tr w:rsidR="00372E6A" w14:paraId="4CA8E57B" w14:textId="77777777" w:rsidTr="003F4370">
        <w:tc>
          <w:tcPr>
            <w:tcW w:w="2577" w:type="dxa"/>
            <w:tcBorders>
              <w:left w:val="nil"/>
              <w:right w:val="single" w:sz="4" w:space="0" w:color="auto"/>
            </w:tcBorders>
          </w:tcPr>
          <w:p w14:paraId="5C23ED1D" w14:textId="77777777" w:rsidR="00372E6A" w:rsidRDefault="00372E6A" w:rsidP="003F4370">
            <w:r w:rsidRPr="00420A74">
              <w:t>Number of times a behavioural and/or out</w:t>
            </w:r>
            <w:r>
              <w:t>come goal was set or amended</w:t>
            </w:r>
          </w:p>
        </w:tc>
        <w:tc>
          <w:tcPr>
            <w:tcW w:w="665" w:type="dxa"/>
            <w:tcBorders>
              <w:left w:val="single" w:sz="4" w:space="0" w:color="auto"/>
              <w:right w:val="single" w:sz="4" w:space="0" w:color="auto"/>
            </w:tcBorders>
          </w:tcPr>
          <w:p w14:paraId="694C6706" w14:textId="77777777" w:rsidR="00372E6A" w:rsidRDefault="00372E6A" w:rsidP="003F4370">
            <w:r>
              <w:t>1826</w:t>
            </w:r>
          </w:p>
        </w:tc>
        <w:tc>
          <w:tcPr>
            <w:tcW w:w="1381" w:type="dxa"/>
            <w:tcBorders>
              <w:left w:val="single" w:sz="4" w:space="0" w:color="auto"/>
              <w:right w:val="single" w:sz="4" w:space="0" w:color="auto"/>
            </w:tcBorders>
          </w:tcPr>
          <w:p w14:paraId="33192F4A" w14:textId="77777777" w:rsidR="00372E6A" w:rsidRDefault="00372E6A" w:rsidP="003F4370">
            <w:r>
              <w:t xml:space="preserve">4 (18) </w:t>
            </w:r>
          </w:p>
          <w:p w14:paraId="6838091D" w14:textId="77777777" w:rsidR="00372E6A" w:rsidRDefault="00372E6A" w:rsidP="003F4370">
            <w:r>
              <w:t>[0-319]</w:t>
            </w:r>
          </w:p>
        </w:tc>
        <w:tc>
          <w:tcPr>
            <w:tcW w:w="1426" w:type="dxa"/>
            <w:tcBorders>
              <w:left w:val="single" w:sz="4" w:space="0" w:color="auto"/>
              <w:right w:val="single" w:sz="4" w:space="0" w:color="auto"/>
            </w:tcBorders>
          </w:tcPr>
          <w:p w14:paraId="48C29891" w14:textId="77777777" w:rsidR="00372E6A" w:rsidRDefault="00372E6A" w:rsidP="003F4370">
            <w:r>
              <w:t xml:space="preserve">0 (12) </w:t>
            </w:r>
          </w:p>
          <w:p w14:paraId="6C63D641" w14:textId="77777777" w:rsidR="00372E6A" w:rsidRDefault="00372E6A" w:rsidP="003F4370">
            <w:r>
              <w:t>[0-300]</w:t>
            </w:r>
          </w:p>
        </w:tc>
        <w:tc>
          <w:tcPr>
            <w:tcW w:w="1459" w:type="dxa"/>
            <w:tcBorders>
              <w:left w:val="single" w:sz="4" w:space="0" w:color="auto"/>
              <w:right w:val="single" w:sz="4" w:space="0" w:color="auto"/>
            </w:tcBorders>
          </w:tcPr>
          <w:p w14:paraId="4D1F64D0" w14:textId="77777777" w:rsidR="00372E6A" w:rsidRDefault="00372E6A" w:rsidP="003F4370">
            <w:r>
              <w:t xml:space="preserve">0 (7) </w:t>
            </w:r>
          </w:p>
          <w:p w14:paraId="486B5A4D" w14:textId="77777777" w:rsidR="00372E6A" w:rsidRDefault="00372E6A" w:rsidP="003F4370">
            <w:r>
              <w:t>[0-300]</w:t>
            </w:r>
          </w:p>
        </w:tc>
        <w:tc>
          <w:tcPr>
            <w:tcW w:w="1417" w:type="dxa"/>
            <w:tcBorders>
              <w:left w:val="single" w:sz="4" w:space="0" w:color="auto"/>
              <w:right w:val="single" w:sz="4" w:space="0" w:color="auto"/>
            </w:tcBorders>
          </w:tcPr>
          <w:p w14:paraId="59741489" w14:textId="77777777" w:rsidR="00372E6A" w:rsidRDefault="00372E6A" w:rsidP="003F4370">
            <w:r>
              <w:t xml:space="preserve">0 (3) </w:t>
            </w:r>
          </w:p>
          <w:p w14:paraId="5544C06F" w14:textId="77777777" w:rsidR="00372E6A" w:rsidRDefault="00372E6A" w:rsidP="003F4370">
            <w:r>
              <w:t>[0-300]</w:t>
            </w:r>
          </w:p>
        </w:tc>
        <w:tc>
          <w:tcPr>
            <w:tcW w:w="1418" w:type="dxa"/>
            <w:tcBorders>
              <w:left w:val="single" w:sz="4" w:space="0" w:color="auto"/>
              <w:right w:val="single" w:sz="4" w:space="0" w:color="auto"/>
            </w:tcBorders>
          </w:tcPr>
          <w:p w14:paraId="4997350B" w14:textId="77777777" w:rsidR="00372E6A" w:rsidRDefault="00372E6A" w:rsidP="003F4370">
            <w:r>
              <w:t xml:space="preserve">0 (1) </w:t>
            </w:r>
          </w:p>
          <w:p w14:paraId="48DAD537" w14:textId="77777777" w:rsidR="00372E6A" w:rsidRDefault="00372E6A" w:rsidP="003F4370">
            <w:r>
              <w:t>[0-300]</w:t>
            </w:r>
          </w:p>
        </w:tc>
        <w:tc>
          <w:tcPr>
            <w:tcW w:w="1417" w:type="dxa"/>
            <w:tcBorders>
              <w:left w:val="single" w:sz="4" w:space="0" w:color="auto"/>
              <w:right w:val="single" w:sz="4" w:space="0" w:color="auto"/>
            </w:tcBorders>
          </w:tcPr>
          <w:p w14:paraId="0E32803E" w14:textId="77777777" w:rsidR="00372E6A" w:rsidRDefault="00372E6A" w:rsidP="003F4370">
            <w:r>
              <w:t xml:space="preserve">0 (0) </w:t>
            </w:r>
          </w:p>
          <w:p w14:paraId="426E7528" w14:textId="77777777" w:rsidR="00372E6A" w:rsidRDefault="00372E6A" w:rsidP="003F4370">
            <w:r>
              <w:t>[0-300]</w:t>
            </w:r>
          </w:p>
        </w:tc>
        <w:tc>
          <w:tcPr>
            <w:tcW w:w="1418" w:type="dxa"/>
            <w:tcBorders>
              <w:left w:val="single" w:sz="4" w:space="0" w:color="auto"/>
              <w:right w:val="single" w:sz="4" w:space="0" w:color="auto"/>
            </w:tcBorders>
          </w:tcPr>
          <w:p w14:paraId="229166EF" w14:textId="77777777" w:rsidR="00372E6A" w:rsidRDefault="00372E6A" w:rsidP="003F4370">
            <w:r>
              <w:t xml:space="preserve">0 (0) </w:t>
            </w:r>
          </w:p>
          <w:p w14:paraId="3F26ABC7" w14:textId="77777777" w:rsidR="00372E6A" w:rsidRDefault="00372E6A" w:rsidP="003F4370">
            <w:r>
              <w:t>[0-300]</w:t>
            </w:r>
          </w:p>
        </w:tc>
        <w:tc>
          <w:tcPr>
            <w:tcW w:w="1417" w:type="dxa"/>
            <w:tcBorders>
              <w:left w:val="single" w:sz="4" w:space="0" w:color="auto"/>
              <w:right w:val="single" w:sz="4" w:space="0" w:color="auto"/>
            </w:tcBorders>
          </w:tcPr>
          <w:p w14:paraId="4998B9AC" w14:textId="77777777" w:rsidR="00372E6A" w:rsidRDefault="00372E6A" w:rsidP="003F4370">
            <w:r>
              <w:t xml:space="preserve">0 (0) </w:t>
            </w:r>
          </w:p>
          <w:p w14:paraId="0317E729" w14:textId="77777777" w:rsidR="00372E6A" w:rsidRDefault="00372E6A" w:rsidP="003F4370">
            <w:r>
              <w:t>[0-256]</w:t>
            </w:r>
          </w:p>
        </w:tc>
        <w:tc>
          <w:tcPr>
            <w:tcW w:w="1418" w:type="dxa"/>
            <w:tcBorders>
              <w:left w:val="single" w:sz="4" w:space="0" w:color="auto"/>
              <w:right w:val="nil"/>
            </w:tcBorders>
          </w:tcPr>
          <w:p w14:paraId="470BC40B" w14:textId="77777777" w:rsidR="00372E6A" w:rsidRDefault="00372E6A" w:rsidP="003F4370">
            <w:r>
              <w:t xml:space="preserve">0 (0) </w:t>
            </w:r>
          </w:p>
          <w:p w14:paraId="296CC406" w14:textId="77777777" w:rsidR="00372E6A" w:rsidRDefault="00372E6A" w:rsidP="003F4370">
            <w:r>
              <w:t>[0-261]</w:t>
            </w:r>
          </w:p>
        </w:tc>
      </w:tr>
      <w:tr w:rsidR="00372E6A" w14:paraId="10000251" w14:textId="77777777" w:rsidTr="003F4370">
        <w:tc>
          <w:tcPr>
            <w:tcW w:w="2577" w:type="dxa"/>
            <w:tcBorders>
              <w:left w:val="nil"/>
              <w:right w:val="single" w:sz="4" w:space="0" w:color="auto"/>
            </w:tcBorders>
          </w:tcPr>
          <w:p w14:paraId="06788E95" w14:textId="77777777" w:rsidR="00372E6A" w:rsidRDefault="00372E6A" w:rsidP="003F4370">
            <w:r w:rsidRPr="00420A74">
              <w:t>Number of times a</w:t>
            </w:r>
            <w:r>
              <w:t xml:space="preserve"> behavioural goal was set</w:t>
            </w:r>
          </w:p>
          <w:p w14:paraId="5A029702" w14:textId="77777777" w:rsidR="00372E6A" w:rsidRDefault="00372E6A" w:rsidP="003F4370"/>
        </w:tc>
        <w:tc>
          <w:tcPr>
            <w:tcW w:w="665" w:type="dxa"/>
            <w:tcBorders>
              <w:left w:val="single" w:sz="4" w:space="0" w:color="auto"/>
              <w:right w:val="single" w:sz="4" w:space="0" w:color="auto"/>
            </w:tcBorders>
          </w:tcPr>
          <w:p w14:paraId="3068205D" w14:textId="77777777" w:rsidR="00372E6A" w:rsidRDefault="00372E6A" w:rsidP="003F4370">
            <w:r>
              <w:t>886</w:t>
            </w:r>
          </w:p>
        </w:tc>
        <w:tc>
          <w:tcPr>
            <w:tcW w:w="1381" w:type="dxa"/>
            <w:tcBorders>
              <w:left w:val="single" w:sz="4" w:space="0" w:color="auto"/>
              <w:right w:val="single" w:sz="4" w:space="0" w:color="auto"/>
            </w:tcBorders>
          </w:tcPr>
          <w:p w14:paraId="25AE5432" w14:textId="77777777" w:rsidR="00372E6A" w:rsidRDefault="00372E6A" w:rsidP="003F4370">
            <w:r>
              <w:t xml:space="preserve">2 (4) </w:t>
            </w:r>
          </w:p>
          <w:p w14:paraId="2BE0D5C9" w14:textId="77777777" w:rsidR="00372E6A" w:rsidRDefault="00372E6A" w:rsidP="003F4370">
            <w:r>
              <w:t>[0-27]</w:t>
            </w:r>
          </w:p>
        </w:tc>
        <w:tc>
          <w:tcPr>
            <w:tcW w:w="1426" w:type="dxa"/>
            <w:tcBorders>
              <w:left w:val="single" w:sz="4" w:space="0" w:color="auto"/>
              <w:right w:val="single" w:sz="4" w:space="0" w:color="auto"/>
            </w:tcBorders>
          </w:tcPr>
          <w:p w14:paraId="6B764EC4" w14:textId="77777777" w:rsidR="00372E6A" w:rsidRDefault="00372E6A" w:rsidP="003F4370">
            <w:r>
              <w:t xml:space="preserve">0 (1) </w:t>
            </w:r>
          </w:p>
          <w:p w14:paraId="34B8B1BC" w14:textId="77777777" w:rsidR="00372E6A" w:rsidRDefault="00372E6A" w:rsidP="003F4370">
            <w:r>
              <w:t>[0-12]</w:t>
            </w:r>
          </w:p>
        </w:tc>
        <w:tc>
          <w:tcPr>
            <w:tcW w:w="1459" w:type="dxa"/>
            <w:tcBorders>
              <w:left w:val="single" w:sz="4" w:space="0" w:color="auto"/>
              <w:right w:val="single" w:sz="4" w:space="0" w:color="auto"/>
            </w:tcBorders>
          </w:tcPr>
          <w:p w14:paraId="2C874EF1" w14:textId="77777777" w:rsidR="00372E6A" w:rsidRDefault="00372E6A" w:rsidP="003F4370">
            <w:pPr>
              <w:rPr>
                <w:rFonts w:eastAsia="Times New Roman"/>
              </w:rPr>
            </w:pPr>
            <w:r>
              <w:rPr>
                <w:rFonts w:eastAsia="Times New Roman"/>
              </w:rPr>
              <w:t xml:space="preserve">0 (0) </w:t>
            </w:r>
          </w:p>
          <w:p w14:paraId="5DEC3EA1" w14:textId="77777777" w:rsidR="00372E6A" w:rsidRDefault="00372E6A" w:rsidP="003F4370">
            <w:r>
              <w:rPr>
                <w:rFonts w:eastAsia="Times New Roman"/>
              </w:rPr>
              <w:t>[0-13]</w:t>
            </w:r>
          </w:p>
        </w:tc>
        <w:tc>
          <w:tcPr>
            <w:tcW w:w="1417" w:type="dxa"/>
            <w:tcBorders>
              <w:left w:val="single" w:sz="4" w:space="0" w:color="auto"/>
              <w:right w:val="single" w:sz="4" w:space="0" w:color="auto"/>
            </w:tcBorders>
          </w:tcPr>
          <w:p w14:paraId="4B2B807A" w14:textId="77777777" w:rsidR="00372E6A" w:rsidRDefault="00372E6A" w:rsidP="003F4370">
            <w:pPr>
              <w:rPr>
                <w:rFonts w:eastAsia="Times New Roman"/>
              </w:rPr>
            </w:pPr>
            <w:r>
              <w:rPr>
                <w:rFonts w:eastAsia="Times New Roman"/>
              </w:rPr>
              <w:t xml:space="preserve">0 (0) </w:t>
            </w:r>
          </w:p>
          <w:p w14:paraId="5EECA7ED" w14:textId="77777777" w:rsidR="00372E6A" w:rsidRDefault="00372E6A" w:rsidP="003F4370">
            <w:r>
              <w:rPr>
                <w:rFonts w:eastAsia="Times New Roman"/>
              </w:rPr>
              <w:t>[0-8]</w:t>
            </w:r>
          </w:p>
        </w:tc>
        <w:tc>
          <w:tcPr>
            <w:tcW w:w="1418" w:type="dxa"/>
            <w:tcBorders>
              <w:left w:val="single" w:sz="4" w:space="0" w:color="auto"/>
              <w:right w:val="single" w:sz="4" w:space="0" w:color="auto"/>
            </w:tcBorders>
          </w:tcPr>
          <w:p w14:paraId="37F3269C" w14:textId="77777777" w:rsidR="00372E6A" w:rsidRDefault="00372E6A" w:rsidP="003F4370">
            <w:pPr>
              <w:rPr>
                <w:rFonts w:eastAsia="Times New Roman"/>
              </w:rPr>
            </w:pPr>
            <w:r>
              <w:rPr>
                <w:rFonts w:eastAsia="Times New Roman"/>
              </w:rPr>
              <w:t xml:space="preserve">0 (0) </w:t>
            </w:r>
          </w:p>
          <w:p w14:paraId="061CFDA6" w14:textId="77777777" w:rsidR="00372E6A" w:rsidRDefault="00372E6A" w:rsidP="003F4370">
            <w:r>
              <w:rPr>
                <w:rFonts w:eastAsia="Times New Roman"/>
              </w:rPr>
              <w:t>[0-8]</w:t>
            </w:r>
          </w:p>
        </w:tc>
        <w:tc>
          <w:tcPr>
            <w:tcW w:w="1417" w:type="dxa"/>
            <w:tcBorders>
              <w:left w:val="single" w:sz="4" w:space="0" w:color="auto"/>
              <w:right w:val="single" w:sz="4" w:space="0" w:color="auto"/>
            </w:tcBorders>
          </w:tcPr>
          <w:p w14:paraId="213B8E04" w14:textId="77777777" w:rsidR="00372E6A" w:rsidRDefault="00372E6A" w:rsidP="003F4370">
            <w:pPr>
              <w:rPr>
                <w:rFonts w:eastAsia="Times New Roman"/>
              </w:rPr>
            </w:pPr>
            <w:r>
              <w:rPr>
                <w:rFonts w:eastAsia="Times New Roman"/>
              </w:rPr>
              <w:t xml:space="preserve">0 (0) </w:t>
            </w:r>
          </w:p>
          <w:p w14:paraId="04C3F896" w14:textId="77777777" w:rsidR="00372E6A" w:rsidRDefault="00372E6A" w:rsidP="003F4370">
            <w:r>
              <w:rPr>
                <w:rFonts w:eastAsia="Times New Roman"/>
              </w:rPr>
              <w:t>[0-7]</w:t>
            </w:r>
          </w:p>
        </w:tc>
        <w:tc>
          <w:tcPr>
            <w:tcW w:w="1418" w:type="dxa"/>
            <w:tcBorders>
              <w:left w:val="single" w:sz="4" w:space="0" w:color="auto"/>
              <w:right w:val="single" w:sz="4" w:space="0" w:color="auto"/>
            </w:tcBorders>
          </w:tcPr>
          <w:p w14:paraId="6D2450C1" w14:textId="77777777" w:rsidR="00372E6A" w:rsidRDefault="00372E6A" w:rsidP="003F4370">
            <w:pPr>
              <w:rPr>
                <w:rFonts w:eastAsia="Times New Roman"/>
              </w:rPr>
            </w:pPr>
            <w:r>
              <w:rPr>
                <w:rFonts w:eastAsia="Times New Roman"/>
              </w:rPr>
              <w:t xml:space="preserve">0 (0) </w:t>
            </w:r>
          </w:p>
          <w:p w14:paraId="253AFA25" w14:textId="77777777" w:rsidR="00372E6A" w:rsidRDefault="00372E6A" w:rsidP="003F4370">
            <w:r>
              <w:rPr>
                <w:rFonts w:eastAsia="Times New Roman"/>
              </w:rPr>
              <w:t>[0-5]</w:t>
            </w:r>
          </w:p>
        </w:tc>
        <w:tc>
          <w:tcPr>
            <w:tcW w:w="1417" w:type="dxa"/>
            <w:tcBorders>
              <w:left w:val="single" w:sz="4" w:space="0" w:color="auto"/>
              <w:right w:val="single" w:sz="4" w:space="0" w:color="auto"/>
            </w:tcBorders>
          </w:tcPr>
          <w:p w14:paraId="629B24FF" w14:textId="77777777" w:rsidR="00372E6A" w:rsidRDefault="00372E6A" w:rsidP="003F4370">
            <w:pPr>
              <w:rPr>
                <w:rFonts w:eastAsia="Times New Roman"/>
              </w:rPr>
            </w:pPr>
            <w:r>
              <w:rPr>
                <w:rFonts w:eastAsia="Times New Roman"/>
              </w:rPr>
              <w:t xml:space="preserve">0 (0) </w:t>
            </w:r>
          </w:p>
          <w:p w14:paraId="74E73661" w14:textId="77777777" w:rsidR="00372E6A" w:rsidRDefault="00372E6A" w:rsidP="003F4370">
            <w:r>
              <w:rPr>
                <w:rFonts w:eastAsia="Times New Roman"/>
              </w:rPr>
              <w:t>[0-10]</w:t>
            </w:r>
          </w:p>
        </w:tc>
        <w:tc>
          <w:tcPr>
            <w:tcW w:w="1418" w:type="dxa"/>
            <w:tcBorders>
              <w:left w:val="single" w:sz="4" w:space="0" w:color="auto"/>
              <w:right w:val="nil"/>
            </w:tcBorders>
          </w:tcPr>
          <w:p w14:paraId="651E2F15" w14:textId="77777777" w:rsidR="00372E6A" w:rsidRDefault="00372E6A" w:rsidP="003F4370">
            <w:pPr>
              <w:rPr>
                <w:rFonts w:eastAsia="Times New Roman"/>
              </w:rPr>
            </w:pPr>
            <w:r>
              <w:rPr>
                <w:rFonts w:eastAsia="Times New Roman"/>
              </w:rPr>
              <w:t xml:space="preserve">0 (0) </w:t>
            </w:r>
          </w:p>
          <w:p w14:paraId="52011E9B" w14:textId="77777777" w:rsidR="00372E6A" w:rsidRDefault="00372E6A" w:rsidP="003F4370">
            <w:r>
              <w:rPr>
                <w:rFonts w:eastAsia="Times New Roman"/>
              </w:rPr>
              <w:t>[0-5]</w:t>
            </w:r>
          </w:p>
        </w:tc>
      </w:tr>
      <w:tr w:rsidR="00372E6A" w14:paraId="449985F2" w14:textId="77777777" w:rsidTr="003F4370">
        <w:tc>
          <w:tcPr>
            <w:tcW w:w="2577" w:type="dxa"/>
            <w:tcBorders>
              <w:left w:val="nil"/>
              <w:bottom w:val="single" w:sz="4" w:space="0" w:color="auto"/>
              <w:right w:val="single" w:sz="4" w:space="0" w:color="auto"/>
            </w:tcBorders>
          </w:tcPr>
          <w:p w14:paraId="6B65A761" w14:textId="77777777" w:rsidR="00372E6A" w:rsidRDefault="00372E6A" w:rsidP="003F4370">
            <w:r w:rsidRPr="00420A74">
              <w:t xml:space="preserve">Number of times an outcome goal was set </w:t>
            </w:r>
          </w:p>
          <w:p w14:paraId="35D318CB" w14:textId="77777777" w:rsidR="00372E6A" w:rsidRDefault="00372E6A" w:rsidP="003F4370"/>
        </w:tc>
        <w:tc>
          <w:tcPr>
            <w:tcW w:w="665" w:type="dxa"/>
            <w:tcBorders>
              <w:left w:val="single" w:sz="4" w:space="0" w:color="auto"/>
              <w:bottom w:val="single" w:sz="4" w:space="0" w:color="auto"/>
              <w:right w:val="single" w:sz="4" w:space="0" w:color="auto"/>
            </w:tcBorders>
          </w:tcPr>
          <w:p w14:paraId="7E6AF497" w14:textId="77777777" w:rsidR="00372E6A" w:rsidRDefault="00372E6A" w:rsidP="003F4370">
            <w:r>
              <w:t>886</w:t>
            </w:r>
          </w:p>
        </w:tc>
        <w:tc>
          <w:tcPr>
            <w:tcW w:w="1381" w:type="dxa"/>
            <w:tcBorders>
              <w:left w:val="single" w:sz="4" w:space="0" w:color="auto"/>
              <w:bottom w:val="single" w:sz="4" w:space="0" w:color="auto"/>
              <w:right w:val="single" w:sz="4" w:space="0" w:color="auto"/>
            </w:tcBorders>
          </w:tcPr>
          <w:p w14:paraId="683644AE" w14:textId="77777777" w:rsidR="00372E6A" w:rsidRDefault="00372E6A" w:rsidP="003F4370">
            <w:pPr>
              <w:rPr>
                <w:rFonts w:eastAsia="Times New Roman"/>
              </w:rPr>
            </w:pPr>
            <w:r>
              <w:rPr>
                <w:rFonts w:eastAsia="Times New Roman"/>
              </w:rPr>
              <w:t xml:space="preserve">0 (1) </w:t>
            </w:r>
          </w:p>
          <w:p w14:paraId="04F5C2EC" w14:textId="77777777" w:rsidR="00372E6A" w:rsidRDefault="00372E6A" w:rsidP="003F4370">
            <w:r>
              <w:rPr>
                <w:rFonts w:eastAsia="Times New Roman"/>
              </w:rPr>
              <w:t>[0-10]</w:t>
            </w:r>
          </w:p>
        </w:tc>
        <w:tc>
          <w:tcPr>
            <w:tcW w:w="1426" w:type="dxa"/>
            <w:tcBorders>
              <w:left w:val="single" w:sz="4" w:space="0" w:color="auto"/>
              <w:bottom w:val="single" w:sz="4" w:space="0" w:color="auto"/>
              <w:right w:val="single" w:sz="4" w:space="0" w:color="auto"/>
            </w:tcBorders>
          </w:tcPr>
          <w:p w14:paraId="634386F0" w14:textId="77777777" w:rsidR="00372E6A" w:rsidRDefault="00372E6A" w:rsidP="003F4370">
            <w:pPr>
              <w:rPr>
                <w:rFonts w:eastAsia="Times New Roman"/>
              </w:rPr>
            </w:pPr>
            <w:r>
              <w:rPr>
                <w:rFonts w:eastAsia="Times New Roman"/>
              </w:rPr>
              <w:t xml:space="preserve">0 (0) </w:t>
            </w:r>
          </w:p>
          <w:p w14:paraId="309C8FA9" w14:textId="77777777" w:rsidR="00372E6A" w:rsidRDefault="00372E6A" w:rsidP="003F4370">
            <w:r>
              <w:rPr>
                <w:rFonts w:eastAsia="Times New Roman"/>
              </w:rPr>
              <w:t>[0-4]</w:t>
            </w:r>
          </w:p>
        </w:tc>
        <w:tc>
          <w:tcPr>
            <w:tcW w:w="1459" w:type="dxa"/>
            <w:tcBorders>
              <w:left w:val="single" w:sz="4" w:space="0" w:color="auto"/>
              <w:bottom w:val="single" w:sz="4" w:space="0" w:color="auto"/>
              <w:right w:val="single" w:sz="4" w:space="0" w:color="auto"/>
            </w:tcBorders>
          </w:tcPr>
          <w:p w14:paraId="01402482" w14:textId="77777777" w:rsidR="00372E6A" w:rsidRDefault="00372E6A" w:rsidP="003F4370">
            <w:pPr>
              <w:rPr>
                <w:rFonts w:eastAsia="Times New Roman"/>
              </w:rPr>
            </w:pPr>
            <w:r>
              <w:rPr>
                <w:rFonts w:eastAsia="Times New Roman"/>
              </w:rPr>
              <w:t xml:space="preserve">0 (0) </w:t>
            </w:r>
          </w:p>
          <w:p w14:paraId="14C5481A" w14:textId="77777777" w:rsidR="00372E6A" w:rsidRDefault="00372E6A" w:rsidP="003F4370">
            <w:r>
              <w:rPr>
                <w:rFonts w:eastAsia="Times New Roman"/>
              </w:rPr>
              <w:t>[0-3]</w:t>
            </w:r>
          </w:p>
        </w:tc>
        <w:tc>
          <w:tcPr>
            <w:tcW w:w="1417" w:type="dxa"/>
            <w:tcBorders>
              <w:left w:val="single" w:sz="4" w:space="0" w:color="auto"/>
              <w:bottom w:val="single" w:sz="4" w:space="0" w:color="auto"/>
              <w:right w:val="single" w:sz="4" w:space="0" w:color="auto"/>
            </w:tcBorders>
          </w:tcPr>
          <w:p w14:paraId="6F6BBBC0" w14:textId="77777777" w:rsidR="00372E6A" w:rsidRDefault="00372E6A" w:rsidP="003F4370">
            <w:pPr>
              <w:rPr>
                <w:rFonts w:eastAsia="Times New Roman"/>
              </w:rPr>
            </w:pPr>
            <w:r>
              <w:rPr>
                <w:rFonts w:eastAsia="Times New Roman"/>
              </w:rPr>
              <w:t xml:space="preserve">0 (0) </w:t>
            </w:r>
          </w:p>
          <w:p w14:paraId="130EA3D6" w14:textId="77777777" w:rsidR="00372E6A" w:rsidRDefault="00372E6A" w:rsidP="003F4370">
            <w:r>
              <w:rPr>
                <w:rFonts w:eastAsia="Times New Roman"/>
              </w:rPr>
              <w:t>[0-4]</w:t>
            </w:r>
          </w:p>
        </w:tc>
        <w:tc>
          <w:tcPr>
            <w:tcW w:w="1418" w:type="dxa"/>
            <w:tcBorders>
              <w:left w:val="single" w:sz="4" w:space="0" w:color="auto"/>
              <w:bottom w:val="single" w:sz="4" w:space="0" w:color="auto"/>
              <w:right w:val="single" w:sz="4" w:space="0" w:color="auto"/>
            </w:tcBorders>
          </w:tcPr>
          <w:p w14:paraId="33AFF3FA" w14:textId="77777777" w:rsidR="00372E6A" w:rsidRDefault="00372E6A" w:rsidP="003F4370">
            <w:pPr>
              <w:rPr>
                <w:rFonts w:eastAsia="Times New Roman"/>
              </w:rPr>
            </w:pPr>
            <w:r>
              <w:rPr>
                <w:rFonts w:eastAsia="Times New Roman"/>
              </w:rPr>
              <w:t xml:space="preserve">0 (0) </w:t>
            </w:r>
          </w:p>
          <w:p w14:paraId="002F903F" w14:textId="77777777" w:rsidR="00372E6A" w:rsidRDefault="00372E6A" w:rsidP="003F4370">
            <w:r>
              <w:rPr>
                <w:rFonts w:eastAsia="Times New Roman"/>
              </w:rPr>
              <w:t>[0-4]</w:t>
            </w:r>
          </w:p>
        </w:tc>
        <w:tc>
          <w:tcPr>
            <w:tcW w:w="1417" w:type="dxa"/>
            <w:tcBorders>
              <w:left w:val="single" w:sz="4" w:space="0" w:color="auto"/>
              <w:bottom w:val="single" w:sz="4" w:space="0" w:color="auto"/>
              <w:right w:val="single" w:sz="4" w:space="0" w:color="auto"/>
            </w:tcBorders>
          </w:tcPr>
          <w:p w14:paraId="3BBD6CDF" w14:textId="77777777" w:rsidR="00372E6A" w:rsidRDefault="00372E6A" w:rsidP="003F4370">
            <w:pPr>
              <w:rPr>
                <w:rFonts w:eastAsia="Times New Roman"/>
              </w:rPr>
            </w:pPr>
            <w:r>
              <w:rPr>
                <w:rFonts w:eastAsia="Times New Roman"/>
              </w:rPr>
              <w:t xml:space="preserve">0 (0) </w:t>
            </w:r>
          </w:p>
          <w:p w14:paraId="6D067263" w14:textId="77777777" w:rsidR="00372E6A" w:rsidRDefault="00372E6A" w:rsidP="003F4370">
            <w:r>
              <w:rPr>
                <w:rFonts w:eastAsia="Times New Roman"/>
              </w:rPr>
              <w:t>[0-2]</w:t>
            </w:r>
          </w:p>
        </w:tc>
        <w:tc>
          <w:tcPr>
            <w:tcW w:w="1418" w:type="dxa"/>
            <w:tcBorders>
              <w:left w:val="single" w:sz="4" w:space="0" w:color="auto"/>
              <w:bottom w:val="single" w:sz="4" w:space="0" w:color="auto"/>
              <w:right w:val="single" w:sz="4" w:space="0" w:color="auto"/>
            </w:tcBorders>
          </w:tcPr>
          <w:p w14:paraId="2B5F4437" w14:textId="77777777" w:rsidR="00372E6A" w:rsidRDefault="00372E6A" w:rsidP="003F4370">
            <w:pPr>
              <w:rPr>
                <w:rFonts w:eastAsia="Times New Roman"/>
              </w:rPr>
            </w:pPr>
            <w:r>
              <w:rPr>
                <w:rFonts w:eastAsia="Times New Roman"/>
              </w:rPr>
              <w:t xml:space="preserve">0 (0) </w:t>
            </w:r>
          </w:p>
          <w:p w14:paraId="00C8BC63" w14:textId="77777777" w:rsidR="00372E6A" w:rsidRDefault="00372E6A" w:rsidP="003F4370">
            <w:r>
              <w:rPr>
                <w:rFonts w:eastAsia="Times New Roman"/>
              </w:rPr>
              <w:t>[0-9]</w:t>
            </w:r>
          </w:p>
        </w:tc>
        <w:tc>
          <w:tcPr>
            <w:tcW w:w="1417" w:type="dxa"/>
            <w:tcBorders>
              <w:left w:val="single" w:sz="4" w:space="0" w:color="auto"/>
              <w:bottom w:val="single" w:sz="4" w:space="0" w:color="auto"/>
              <w:right w:val="single" w:sz="4" w:space="0" w:color="auto"/>
            </w:tcBorders>
          </w:tcPr>
          <w:p w14:paraId="2FEFE39A" w14:textId="77777777" w:rsidR="00372E6A" w:rsidRDefault="00372E6A" w:rsidP="003F4370">
            <w:pPr>
              <w:rPr>
                <w:rFonts w:eastAsia="Times New Roman"/>
              </w:rPr>
            </w:pPr>
            <w:r>
              <w:rPr>
                <w:rFonts w:eastAsia="Times New Roman"/>
              </w:rPr>
              <w:t xml:space="preserve">0 (0) </w:t>
            </w:r>
          </w:p>
          <w:p w14:paraId="20FB6949" w14:textId="77777777" w:rsidR="00372E6A" w:rsidRDefault="00372E6A" w:rsidP="003F4370">
            <w:r>
              <w:rPr>
                <w:rFonts w:eastAsia="Times New Roman"/>
              </w:rPr>
              <w:t>[0-4]</w:t>
            </w:r>
          </w:p>
        </w:tc>
        <w:tc>
          <w:tcPr>
            <w:tcW w:w="1418" w:type="dxa"/>
            <w:tcBorders>
              <w:left w:val="single" w:sz="4" w:space="0" w:color="auto"/>
              <w:bottom w:val="single" w:sz="4" w:space="0" w:color="auto"/>
              <w:right w:val="nil"/>
            </w:tcBorders>
          </w:tcPr>
          <w:p w14:paraId="6802C86E" w14:textId="77777777" w:rsidR="00372E6A" w:rsidRDefault="00372E6A" w:rsidP="003F4370">
            <w:pPr>
              <w:rPr>
                <w:rFonts w:eastAsia="Times New Roman"/>
              </w:rPr>
            </w:pPr>
            <w:r>
              <w:rPr>
                <w:rFonts w:eastAsia="Times New Roman"/>
              </w:rPr>
              <w:t xml:space="preserve">0 (0) </w:t>
            </w:r>
          </w:p>
          <w:p w14:paraId="4DD02147" w14:textId="77777777" w:rsidR="00372E6A" w:rsidRDefault="00372E6A" w:rsidP="003F4370">
            <w:r>
              <w:rPr>
                <w:rFonts w:eastAsia="Times New Roman"/>
              </w:rPr>
              <w:t>[0-2]</w:t>
            </w:r>
          </w:p>
        </w:tc>
      </w:tr>
      <w:tr w:rsidR="00372E6A" w14:paraId="3645E58F" w14:textId="77777777" w:rsidTr="003F4370">
        <w:tc>
          <w:tcPr>
            <w:tcW w:w="16013" w:type="dxa"/>
            <w:gridSpan w:val="11"/>
            <w:tcBorders>
              <w:top w:val="single" w:sz="4" w:space="0" w:color="auto"/>
              <w:left w:val="nil"/>
              <w:right w:val="nil"/>
            </w:tcBorders>
          </w:tcPr>
          <w:p w14:paraId="50B476FF" w14:textId="77777777" w:rsidR="00372E6A" w:rsidRPr="005375AA" w:rsidRDefault="00372E6A" w:rsidP="003F4370">
            <w:pPr>
              <w:rPr>
                <w:b/>
              </w:rPr>
            </w:pPr>
            <w:r>
              <w:rPr>
                <w:b/>
              </w:rPr>
              <w:t>Educational content</w:t>
            </w:r>
          </w:p>
        </w:tc>
      </w:tr>
      <w:tr w:rsidR="00372E6A" w14:paraId="1B679EB1" w14:textId="77777777" w:rsidTr="003F4370">
        <w:tc>
          <w:tcPr>
            <w:tcW w:w="2577" w:type="dxa"/>
            <w:tcBorders>
              <w:top w:val="single" w:sz="4" w:space="0" w:color="auto"/>
              <w:left w:val="nil"/>
              <w:right w:val="single" w:sz="4" w:space="0" w:color="auto"/>
            </w:tcBorders>
          </w:tcPr>
          <w:p w14:paraId="32847F62" w14:textId="77777777" w:rsidR="00372E6A" w:rsidRDefault="00372E6A" w:rsidP="003F4370">
            <w:r w:rsidRPr="00C37C42">
              <w:t>Number of tim</w:t>
            </w:r>
            <w:r>
              <w:t>es articles were accessed</w:t>
            </w:r>
          </w:p>
          <w:p w14:paraId="2017A3AD" w14:textId="77777777" w:rsidR="00372E6A" w:rsidRDefault="00372E6A" w:rsidP="003F4370"/>
        </w:tc>
        <w:tc>
          <w:tcPr>
            <w:tcW w:w="665" w:type="dxa"/>
            <w:tcBorders>
              <w:top w:val="single" w:sz="4" w:space="0" w:color="auto"/>
              <w:left w:val="single" w:sz="4" w:space="0" w:color="auto"/>
              <w:right w:val="single" w:sz="4" w:space="0" w:color="auto"/>
            </w:tcBorders>
          </w:tcPr>
          <w:p w14:paraId="45EEEBDB" w14:textId="77777777" w:rsidR="00372E6A" w:rsidRDefault="00372E6A" w:rsidP="003F4370">
            <w:r>
              <w:t>1543</w:t>
            </w:r>
          </w:p>
        </w:tc>
        <w:tc>
          <w:tcPr>
            <w:tcW w:w="1381" w:type="dxa"/>
            <w:tcBorders>
              <w:top w:val="single" w:sz="4" w:space="0" w:color="auto"/>
              <w:left w:val="single" w:sz="4" w:space="0" w:color="auto"/>
              <w:right w:val="single" w:sz="4" w:space="0" w:color="auto"/>
            </w:tcBorders>
          </w:tcPr>
          <w:p w14:paraId="79DAF963" w14:textId="77777777" w:rsidR="00372E6A" w:rsidRDefault="00372E6A" w:rsidP="003F4370">
            <w:r>
              <w:t xml:space="preserve">12 (48) </w:t>
            </w:r>
          </w:p>
          <w:p w14:paraId="609E3A15" w14:textId="77777777" w:rsidR="00372E6A" w:rsidRDefault="00372E6A" w:rsidP="003F4370">
            <w:r>
              <w:t>[0-846]</w:t>
            </w:r>
          </w:p>
        </w:tc>
        <w:tc>
          <w:tcPr>
            <w:tcW w:w="1426" w:type="dxa"/>
            <w:tcBorders>
              <w:top w:val="single" w:sz="4" w:space="0" w:color="auto"/>
              <w:left w:val="single" w:sz="4" w:space="0" w:color="auto"/>
              <w:right w:val="single" w:sz="4" w:space="0" w:color="auto"/>
            </w:tcBorders>
          </w:tcPr>
          <w:p w14:paraId="31271FDB" w14:textId="77777777" w:rsidR="00372E6A" w:rsidRDefault="00372E6A" w:rsidP="003F4370">
            <w:r>
              <w:t xml:space="preserve">5 (36) </w:t>
            </w:r>
          </w:p>
          <w:p w14:paraId="44FDE16F" w14:textId="77777777" w:rsidR="00372E6A" w:rsidRDefault="00372E6A" w:rsidP="003F4370">
            <w:r>
              <w:t>[0-636]</w:t>
            </w:r>
          </w:p>
        </w:tc>
        <w:tc>
          <w:tcPr>
            <w:tcW w:w="1459" w:type="dxa"/>
            <w:tcBorders>
              <w:top w:val="single" w:sz="4" w:space="0" w:color="auto"/>
              <w:left w:val="single" w:sz="4" w:space="0" w:color="auto"/>
              <w:right w:val="single" w:sz="4" w:space="0" w:color="auto"/>
            </w:tcBorders>
          </w:tcPr>
          <w:p w14:paraId="5ABE4719" w14:textId="77777777" w:rsidR="00372E6A" w:rsidRDefault="00372E6A" w:rsidP="003F4370">
            <w:r>
              <w:t xml:space="preserve">2 (18) </w:t>
            </w:r>
          </w:p>
          <w:p w14:paraId="50BA79E0" w14:textId="77777777" w:rsidR="00372E6A" w:rsidRDefault="00372E6A" w:rsidP="003F4370">
            <w:r>
              <w:t>[0-400]</w:t>
            </w:r>
          </w:p>
        </w:tc>
        <w:tc>
          <w:tcPr>
            <w:tcW w:w="1417" w:type="dxa"/>
            <w:tcBorders>
              <w:top w:val="single" w:sz="4" w:space="0" w:color="auto"/>
              <w:left w:val="single" w:sz="4" w:space="0" w:color="auto"/>
              <w:right w:val="single" w:sz="4" w:space="0" w:color="auto"/>
            </w:tcBorders>
          </w:tcPr>
          <w:p w14:paraId="1CE26084" w14:textId="77777777" w:rsidR="00372E6A" w:rsidRDefault="00372E6A" w:rsidP="003F4370">
            <w:r>
              <w:t xml:space="preserve">0 (8) </w:t>
            </w:r>
          </w:p>
          <w:p w14:paraId="339D6F23" w14:textId="77777777" w:rsidR="00372E6A" w:rsidRDefault="00372E6A" w:rsidP="003F4370">
            <w:r>
              <w:t>[0-335]</w:t>
            </w:r>
          </w:p>
        </w:tc>
        <w:tc>
          <w:tcPr>
            <w:tcW w:w="1418" w:type="dxa"/>
            <w:tcBorders>
              <w:top w:val="single" w:sz="4" w:space="0" w:color="auto"/>
              <w:left w:val="single" w:sz="4" w:space="0" w:color="auto"/>
              <w:right w:val="single" w:sz="4" w:space="0" w:color="auto"/>
            </w:tcBorders>
          </w:tcPr>
          <w:p w14:paraId="39BD5A9F" w14:textId="77777777" w:rsidR="00372E6A" w:rsidRDefault="00372E6A" w:rsidP="003F4370">
            <w:r>
              <w:t xml:space="preserve">0 (1) </w:t>
            </w:r>
          </w:p>
          <w:p w14:paraId="304A557D" w14:textId="77777777" w:rsidR="00372E6A" w:rsidRDefault="00372E6A" w:rsidP="003F4370">
            <w:r>
              <w:t>[0-385]</w:t>
            </w:r>
          </w:p>
        </w:tc>
        <w:tc>
          <w:tcPr>
            <w:tcW w:w="1417" w:type="dxa"/>
            <w:tcBorders>
              <w:top w:val="single" w:sz="4" w:space="0" w:color="auto"/>
              <w:left w:val="single" w:sz="4" w:space="0" w:color="auto"/>
              <w:right w:val="single" w:sz="4" w:space="0" w:color="auto"/>
            </w:tcBorders>
          </w:tcPr>
          <w:p w14:paraId="2EBE5A14" w14:textId="77777777" w:rsidR="00372E6A" w:rsidRDefault="00372E6A" w:rsidP="003F4370">
            <w:r>
              <w:t xml:space="preserve">0 (3) </w:t>
            </w:r>
          </w:p>
          <w:p w14:paraId="5792778C" w14:textId="77777777" w:rsidR="00372E6A" w:rsidRDefault="00372E6A" w:rsidP="003F4370">
            <w:r>
              <w:t>[0-316]</w:t>
            </w:r>
          </w:p>
        </w:tc>
        <w:tc>
          <w:tcPr>
            <w:tcW w:w="1418" w:type="dxa"/>
            <w:tcBorders>
              <w:top w:val="single" w:sz="4" w:space="0" w:color="auto"/>
              <w:left w:val="single" w:sz="4" w:space="0" w:color="auto"/>
              <w:right w:val="single" w:sz="4" w:space="0" w:color="auto"/>
            </w:tcBorders>
          </w:tcPr>
          <w:p w14:paraId="29011E3C" w14:textId="77777777" w:rsidR="00372E6A" w:rsidRDefault="00372E6A" w:rsidP="003F4370">
            <w:r>
              <w:t xml:space="preserve">0 (4) </w:t>
            </w:r>
          </w:p>
          <w:p w14:paraId="2AF1BE9D" w14:textId="77777777" w:rsidR="00372E6A" w:rsidRDefault="00372E6A" w:rsidP="003F4370">
            <w:r>
              <w:t>[0-201]</w:t>
            </w:r>
          </w:p>
        </w:tc>
        <w:tc>
          <w:tcPr>
            <w:tcW w:w="1417" w:type="dxa"/>
            <w:tcBorders>
              <w:top w:val="single" w:sz="4" w:space="0" w:color="auto"/>
              <w:left w:val="single" w:sz="4" w:space="0" w:color="auto"/>
              <w:right w:val="single" w:sz="4" w:space="0" w:color="auto"/>
            </w:tcBorders>
          </w:tcPr>
          <w:p w14:paraId="172A4635" w14:textId="77777777" w:rsidR="00372E6A" w:rsidRDefault="00372E6A" w:rsidP="003F4370">
            <w:r>
              <w:t xml:space="preserve">0 (4) </w:t>
            </w:r>
          </w:p>
          <w:p w14:paraId="4BD4296F" w14:textId="77777777" w:rsidR="00372E6A" w:rsidRDefault="00372E6A" w:rsidP="003F4370">
            <w:r>
              <w:t>[0-197]</w:t>
            </w:r>
          </w:p>
        </w:tc>
        <w:tc>
          <w:tcPr>
            <w:tcW w:w="1418" w:type="dxa"/>
            <w:tcBorders>
              <w:top w:val="single" w:sz="4" w:space="0" w:color="auto"/>
              <w:left w:val="single" w:sz="4" w:space="0" w:color="auto"/>
              <w:right w:val="nil"/>
            </w:tcBorders>
          </w:tcPr>
          <w:p w14:paraId="25465A6C" w14:textId="77777777" w:rsidR="00372E6A" w:rsidRDefault="00372E6A" w:rsidP="003F4370">
            <w:r>
              <w:t xml:space="preserve">0 (4) </w:t>
            </w:r>
          </w:p>
          <w:p w14:paraId="1707A592" w14:textId="77777777" w:rsidR="00372E6A" w:rsidRDefault="00372E6A" w:rsidP="003F4370">
            <w:r>
              <w:t>[0-249]</w:t>
            </w:r>
          </w:p>
        </w:tc>
      </w:tr>
      <w:tr w:rsidR="00372E6A" w14:paraId="152DCC56" w14:textId="77777777" w:rsidTr="003F4370">
        <w:tc>
          <w:tcPr>
            <w:tcW w:w="2577" w:type="dxa"/>
            <w:tcBorders>
              <w:left w:val="nil"/>
              <w:right w:val="single" w:sz="4" w:space="0" w:color="auto"/>
            </w:tcBorders>
          </w:tcPr>
          <w:p w14:paraId="713FBF2B" w14:textId="77777777" w:rsidR="00372E6A" w:rsidRDefault="00372E6A" w:rsidP="003F4370">
            <w:r w:rsidRPr="00C37C42">
              <w:t>Number of times unique articles were a</w:t>
            </w:r>
            <w:r>
              <w:t>ccessed</w:t>
            </w:r>
          </w:p>
          <w:p w14:paraId="3595D0C7" w14:textId="77777777" w:rsidR="00372E6A" w:rsidRDefault="00372E6A" w:rsidP="003F4370"/>
        </w:tc>
        <w:tc>
          <w:tcPr>
            <w:tcW w:w="665" w:type="dxa"/>
            <w:tcBorders>
              <w:left w:val="single" w:sz="4" w:space="0" w:color="auto"/>
              <w:right w:val="single" w:sz="4" w:space="0" w:color="auto"/>
            </w:tcBorders>
          </w:tcPr>
          <w:p w14:paraId="4F773B62" w14:textId="77777777" w:rsidR="00372E6A" w:rsidRDefault="00372E6A" w:rsidP="003F4370">
            <w:r>
              <w:t>1543</w:t>
            </w:r>
          </w:p>
        </w:tc>
        <w:tc>
          <w:tcPr>
            <w:tcW w:w="1381" w:type="dxa"/>
            <w:tcBorders>
              <w:left w:val="single" w:sz="4" w:space="0" w:color="auto"/>
              <w:right w:val="single" w:sz="4" w:space="0" w:color="auto"/>
            </w:tcBorders>
          </w:tcPr>
          <w:p w14:paraId="2C2DF751" w14:textId="77777777" w:rsidR="00372E6A" w:rsidRDefault="00372E6A" w:rsidP="003F4370">
            <w:r>
              <w:t xml:space="preserve">6 (23) </w:t>
            </w:r>
          </w:p>
          <w:p w14:paraId="7A75BAA9" w14:textId="77777777" w:rsidR="00372E6A" w:rsidRDefault="00372E6A" w:rsidP="003F4370">
            <w:r>
              <w:t>[0-119]</w:t>
            </w:r>
          </w:p>
        </w:tc>
        <w:tc>
          <w:tcPr>
            <w:tcW w:w="1426" w:type="dxa"/>
            <w:tcBorders>
              <w:left w:val="single" w:sz="4" w:space="0" w:color="auto"/>
              <w:right w:val="single" w:sz="4" w:space="0" w:color="auto"/>
            </w:tcBorders>
          </w:tcPr>
          <w:p w14:paraId="1186D63D" w14:textId="77777777" w:rsidR="00372E6A" w:rsidRDefault="00372E6A" w:rsidP="003F4370">
            <w:r>
              <w:t xml:space="preserve">4 (23) </w:t>
            </w:r>
          </w:p>
          <w:p w14:paraId="7CD5AAEA" w14:textId="77777777" w:rsidR="00372E6A" w:rsidRDefault="00372E6A" w:rsidP="003F4370">
            <w:r>
              <w:t>[0-125]</w:t>
            </w:r>
          </w:p>
        </w:tc>
        <w:tc>
          <w:tcPr>
            <w:tcW w:w="1459" w:type="dxa"/>
            <w:tcBorders>
              <w:left w:val="single" w:sz="4" w:space="0" w:color="auto"/>
              <w:right w:val="single" w:sz="4" w:space="0" w:color="auto"/>
            </w:tcBorders>
          </w:tcPr>
          <w:p w14:paraId="2C0ABB29" w14:textId="77777777" w:rsidR="00372E6A" w:rsidRDefault="00372E6A" w:rsidP="003F4370">
            <w:r>
              <w:t xml:space="preserve">2 (14) </w:t>
            </w:r>
          </w:p>
          <w:p w14:paraId="32BAD9F4" w14:textId="77777777" w:rsidR="00372E6A" w:rsidRDefault="00372E6A" w:rsidP="003F4370">
            <w:r>
              <w:t>[0-123]</w:t>
            </w:r>
          </w:p>
        </w:tc>
        <w:tc>
          <w:tcPr>
            <w:tcW w:w="1417" w:type="dxa"/>
            <w:tcBorders>
              <w:left w:val="single" w:sz="4" w:space="0" w:color="auto"/>
              <w:right w:val="single" w:sz="4" w:space="0" w:color="auto"/>
            </w:tcBorders>
          </w:tcPr>
          <w:p w14:paraId="4548391C" w14:textId="77777777" w:rsidR="00372E6A" w:rsidRDefault="00372E6A" w:rsidP="003F4370">
            <w:r>
              <w:t xml:space="preserve">0 (4) </w:t>
            </w:r>
          </w:p>
          <w:p w14:paraId="7EC3CE58" w14:textId="77777777" w:rsidR="00372E6A" w:rsidRDefault="00372E6A" w:rsidP="003F4370">
            <w:r>
              <w:t>[0-150]</w:t>
            </w:r>
          </w:p>
        </w:tc>
        <w:tc>
          <w:tcPr>
            <w:tcW w:w="1418" w:type="dxa"/>
            <w:tcBorders>
              <w:left w:val="single" w:sz="4" w:space="0" w:color="auto"/>
              <w:right w:val="single" w:sz="4" w:space="0" w:color="auto"/>
            </w:tcBorders>
          </w:tcPr>
          <w:p w14:paraId="38D00ABE" w14:textId="77777777" w:rsidR="00372E6A" w:rsidRDefault="00372E6A" w:rsidP="003F4370">
            <w:r>
              <w:t xml:space="preserve">0 (0) </w:t>
            </w:r>
          </w:p>
          <w:p w14:paraId="2038EFC5" w14:textId="77777777" w:rsidR="00372E6A" w:rsidRDefault="00372E6A" w:rsidP="003F4370">
            <w:r>
              <w:t>[0-90]</w:t>
            </w:r>
          </w:p>
        </w:tc>
        <w:tc>
          <w:tcPr>
            <w:tcW w:w="1417" w:type="dxa"/>
            <w:tcBorders>
              <w:left w:val="single" w:sz="4" w:space="0" w:color="auto"/>
              <w:right w:val="single" w:sz="4" w:space="0" w:color="auto"/>
            </w:tcBorders>
          </w:tcPr>
          <w:p w14:paraId="43531CC0" w14:textId="77777777" w:rsidR="00372E6A" w:rsidRDefault="00372E6A" w:rsidP="003F4370">
            <w:r>
              <w:t xml:space="preserve">0 (2) </w:t>
            </w:r>
          </w:p>
          <w:p w14:paraId="6682D6D4" w14:textId="77777777" w:rsidR="00372E6A" w:rsidRDefault="00372E6A" w:rsidP="003F4370">
            <w:r>
              <w:t>[0-143]</w:t>
            </w:r>
          </w:p>
        </w:tc>
        <w:tc>
          <w:tcPr>
            <w:tcW w:w="1418" w:type="dxa"/>
            <w:tcBorders>
              <w:left w:val="single" w:sz="4" w:space="0" w:color="auto"/>
              <w:right w:val="single" w:sz="4" w:space="0" w:color="auto"/>
            </w:tcBorders>
          </w:tcPr>
          <w:p w14:paraId="44785E21" w14:textId="77777777" w:rsidR="00372E6A" w:rsidRDefault="00372E6A" w:rsidP="003F4370">
            <w:r>
              <w:t xml:space="preserve">0 (4) </w:t>
            </w:r>
          </w:p>
          <w:p w14:paraId="58BFED08" w14:textId="77777777" w:rsidR="00372E6A" w:rsidRDefault="00372E6A" w:rsidP="003F4370">
            <w:r>
              <w:t>[0-89]</w:t>
            </w:r>
          </w:p>
        </w:tc>
        <w:tc>
          <w:tcPr>
            <w:tcW w:w="1417" w:type="dxa"/>
            <w:tcBorders>
              <w:left w:val="single" w:sz="4" w:space="0" w:color="auto"/>
              <w:right w:val="single" w:sz="4" w:space="0" w:color="auto"/>
            </w:tcBorders>
          </w:tcPr>
          <w:p w14:paraId="55F52BF7" w14:textId="77777777" w:rsidR="00372E6A" w:rsidRDefault="00372E6A" w:rsidP="003F4370">
            <w:r>
              <w:t xml:space="preserve">0 (4) </w:t>
            </w:r>
          </w:p>
          <w:p w14:paraId="39A47753" w14:textId="77777777" w:rsidR="00372E6A" w:rsidRDefault="00372E6A" w:rsidP="003F4370">
            <w:r>
              <w:t>[0-197]</w:t>
            </w:r>
          </w:p>
        </w:tc>
        <w:tc>
          <w:tcPr>
            <w:tcW w:w="1418" w:type="dxa"/>
            <w:tcBorders>
              <w:left w:val="single" w:sz="4" w:space="0" w:color="auto"/>
              <w:right w:val="nil"/>
            </w:tcBorders>
          </w:tcPr>
          <w:p w14:paraId="758287C3" w14:textId="77777777" w:rsidR="00372E6A" w:rsidRDefault="00372E6A" w:rsidP="003F4370">
            <w:r>
              <w:t xml:space="preserve">0 (3) </w:t>
            </w:r>
          </w:p>
          <w:p w14:paraId="2B9F3129" w14:textId="77777777" w:rsidR="00372E6A" w:rsidRDefault="00372E6A" w:rsidP="003F4370">
            <w:r>
              <w:t>[0-214]</w:t>
            </w:r>
          </w:p>
        </w:tc>
      </w:tr>
      <w:tr w:rsidR="00372E6A" w14:paraId="6846150E" w14:textId="77777777" w:rsidTr="003F4370">
        <w:tc>
          <w:tcPr>
            <w:tcW w:w="2577" w:type="dxa"/>
            <w:tcBorders>
              <w:left w:val="nil"/>
              <w:bottom w:val="single" w:sz="4" w:space="0" w:color="auto"/>
              <w:right w:val="single" w:sz="4" w:space="0" w:color="auto"/>
            </w:tcBorders>
          </w:tcPr>
          <w:p w14:paraId="1904BBF0" w14:textId="77777777" w:rsidR="00372E6A" w:rsidRDefault="00372E6A" w:rsidP="003F4370">
            <w:r w:rsidRPr="00C37C42">
              <w:lastRenderedPageBreak/>
              <w:t>Number of</w:t>
            </w:r>
            <w:r>
              <w:t xml:space="preserve"> times educational content was sent by health coach</w:t>
            </w:r>
          </w:p>
        </w:tc>
        <w:tc>
          <w:tcPr>
            <w:tcW w:w="665" w:type="dxa"/>
            <w:tcBorders>
              <w:left w:val="single" w:sz="4" w:space="0" w:color="auto"/>
              <w:bottom w:val="single" w:sz="4" w:space="0" w:color="auto"/>
              <w:right w:val="single" w:sz="4" w:space="0" w:color="auto"/>
            </w:tcBorders>
          </w:tcPr>
          <w:p w14:paraId="65AA9E9B" w14:textId="77777777" w:rsidR="00372E6A" w:rsidRDefault="00372E6A" w:rsidP="003F4370">
            <w:r>
              <w:t>283</w:t>
            </w:r>
          </w:p>
        </w:tc>
        <w:tc>
          <w:tcPr>
            <w:tcW w:w="1381" w:type="dxa"/>
            <w:tcBorders>
              <w:left w:val="single" w:sz="4" w:space="0" w:color="auto"/>
              <w:bottom w:val="single" w:sz="4" w:space="0" w:color="auto"/>
              <w:right w:val="single" w:sz="4" w:space="0" w:color="auto"/>
            </w:tcBorders>
          </w:tcPr>
          <w:p w14:paraId="5D9397E5" w14:textId="77777777" w:rsidR="00372E6A" w:rsidRDefault="00372E6A" w:rsidP="003F4370">
            <w:r>
              <w:t xml:space="preserve">8 (5) </w:t>
            </w:r>
          </w:p>
          <w:p w14:paraId="02370223" w14:textId="77777777" w:rsidR="00372E6A" w:rsidRDefault="00372E6A" w:rsidP="003F4370">
            <w:r>
              <w:t>[0-20]</w:t>
            </w:r>
          </w:p>
        </w:tc>
        <w:tc>
          <w:tcPr>
            <w:tcW w:w="1426" w:type="dxa"/>
            <w:tcBorders>
              <w:left w:val="single" w:sz="4" w:space="0" w:color="auto"/>
              <w:bottom w:val="single" w:sz="4" w:space="0" w:color="auto"/>
              <w:right w:val="single" w:sz="4" w:space="0" w:color="auto"/>
            </w:tcBorders>
          </w:tcPr>
          <w:p w14:paraId="1359B94E" w14:textId="77777777" w:rsidR="00372E6A" w:rsidRDefault="00372E6A" w:rsidP="003F4370">
            <w:r>
              <w:t xml:space="preserve">6 (4) </w:t>
            </w:r>
          </w:p>
          <w:p w14:paraId="7426AED7" w14:textId="77777777" w:rsidR="00372E6A" w:rsidRDefault="00372E6A" w:rsidP="003F4370">
            <w:r>
              <w:t>[0-13]</w:t>
            </w:r>
          </w:p>
        </w:tc>
        <w:tc>
          <w:tcPr>
            <w:tcW w:w="1459" w:type="dxa"/>
            <w:tcBorders>
              <w:left w:val="single" w:sz="4" w:space="0" w:color="auto"/>
              <w:bottom w:val="single" w:sz="4" w:space="0" w:color="auto"/>
              <w:right w:val="single" w:sz="4" w:space="0" w:color="auto"/>
            </w:tcBorders>
          </w:tcPr>
          <w:p w14:paraId="0B0E6638" w14:textId="77777777" w:rsidR="00372E6A" w:rsidRDefault="00372E6A" w:rsidP="003F4370">
            <w:r>
              <w:t xml:space="preserve">6 (5) </w:t>
            </w:r>
          </w:p>
          <w:p w14:paraId="42742C6A" w14:textId="77777777" w:rsidR="00372E6A" w:rsidRDefault="00372E6A" w:rsidP="003F4370">
            <w:r>
              <w:t>[0-17]</w:t>
            </w:r>
          </w:p>
        </w:tc>
        <w:tc>
          <w:tcPr>
            <w:tcW w:w="1417" w:type="dxa"/>
            <w:tcBorders>
              <w:left w:val="single" w:sz="4" w:space="0" w:color="auto"/>
              <w:bottom w:val="single" w:sz="4" w:space="0" w:color="auto"/>
              <w:right w:val="single" w:sz="4" w:space="0" w:color="auto"/>
            </w:tcBorders>
          </w:tcPr>
          <w:p w14:paraId="7DD8AF94" w14:textId="77777777" w:rsidR="00372E6A" w:rsidRDefault="00372E6A" w:rsidP="003F4370">
            <w:r>
              <w:t xml:space="preserve">4 (4) </w:t>
            </w:r>
          </w:p>
          <w:p w14:paraId="7CD4AF22" w14:textId="77777777" w:rsidR="00372E6A" w:rsidRDefault="00372E6A" w:rsidP="003F4370">
            <w:r>
              <w:t>[0-10]</w:t>
            </w:r>
          </w:p>
        </w:tc>
        <w:tc>
          <w:tcPr>
            <w:tcW w:w="1418" w:type="dxa"/>
            <w:tcBorders>
              <w:left w:val="single" w:sz="4" w:space="0" w:color="auto"/>
              <w:bottom w:val="single" w:sz="4" w:space="0" w:color="auto"/>
              <w:right w:val="single" w:sz="4" w:space="0" w:color="auto"/>
            </w:tcBorders>
          </w:tcPr>
          <w:p w14:paraId="064F9AA0" w14:textId="77777777" w:rsidR="00372E6A" w:rsidRDefault="00372E6A" w:rsidP="003F4370">
            <w:r>
              <w:t xml:space="preserve">4 (5) </w:t>
            </w:r>
          </w:p>
          <w:p w14:paraId="36EB9590" w14:textId="77777777" w:rsidR="00372E6A" w:rsidRDefault="00372E6A" w:rsidP="003F4370">
            <w:r>
              <w:t>[0-12]</w:t>
            </w:r>
          </w:p>
        </w:tc>
        <w:tc>
          <w:tcPr>
            <w:tcW w:w="1417" w:type="dxa"/>
            <w:tcBorders>
              <w:left w:val="single" w:sz="4" w:space="0" w:color="auto"/>
              <w:bottom w:val="single" w:sz="4" w:space="0" w:color="auto"/>
              <w:right w:val="single" w:sz="4" w:space="0" w:color="auto"/>
            </w:tcBorders>
          </w:tcPr>
          <w:p w14:paraId="06D579F3" w14:textId="77777777" w:rsidR="00372E6A" w:rsidRDefault="00372E6A" w:rsidP="003F4370">
            <w:r>
              <w:t xml:space="preserve">2 (4) </w:t>
            </w:r>
          </w:p>
          <w:p w14:paraId="46B42170" w14:textId="77777777" w:rsidR="00372E6A" w:rsidRDefault="00372E6A" w:rsidP="003F4370">
            <w:r>
              <w:t>[0-14]</w:t>
            </w:r>
          </w:p>
        </w:tc>
        <w:tc>
          <w:tcPr>
            <w:tcW w:w="1418" w:type="dxa"/>
            <w:tcBorders>
              <w:left w:val="single" w:sz="4" w:space="0" w:color="auto"/>
              <w:bottom w:val="single" w:sz="4" w:space="0" w:color="auto"/>
              <w:right w:val="single" w:sz="4" w:space="0" w:color="auto"/>
            </w:tcBorders>
          </w:tcPr>
          <w:p w14:paraId="0773AE71" w14:textId="77777777" w:rsidR="00372E6A" w:rsidRDefault="00372E6A" w:rsidP="003F4370">
            <w:r>
              <w:t xml:space="preserve">1 (2) </w:t>
            </w:r>
          </w:p>
          <w:p w14:paraId="7BF7D5FA" w14:textId="77777777" w:rsidR="00372E6A" w:rsidRDefault="00372E6A" w:rsidP="003F4370">
            <w:r>
              <w:t>[0-17]</w:t>
            </w:r>
          </w:p>
        </w:tc>
        <w:tc>
          <w:tcPr>
            <w:tcW w:w="1417" w:type="dxa"/>
            <w:tcBorders>
              <w:left w:val="single" w:sz="4" w:space="0" w:color="auto"/>
              <w:bottom w:val="single" w:sz="4" w:space="0" w:color="auto"/>
              <w:right w:val="single" w:sz="4" w:space="0" w:color="auto"/>
            </w:tcBorders>
          </w:tcPr>
          <w:p w14:paraId="6DD8C91C" w14:textId="77777777" w:rsidR="00372E6A" w:rsidRDefault="00372E6A" w:rsidP="003F4370">
            <w:r>
              <w:t xml:space="preserve">1 (2) </w:t>
            </w:r>
          </w:p>
          <w:p w14:paraId="30A82997" w14:textId="77777777" w:rsidR="00372E6A" w:rsidRDefault="00372E6A" w:rsidP="003F4370">
            <w:r>
              <w:t>[0-10]</w:t>
            </w:r>
          </w:p>
        </w:tc>
        <w:tc>
          <w:tcPr>
            <w:tcW w:w="1418" w:type="dxa"/>
            <w:tcBorders>
              <w:left w:val="single" w:sz="4" w:space="0" w:color="auto"/>
              <w:bottom w:val="single" w:sz="4" w:space="0" w:color="auto"/>
              <w:right w:val="nil"/>
            </w:tcBorders>
          </w:tcPr>
          <w:p w14:paraId="3E50476B" w14:textId="77777777" w:rsidR="00372E6A" w:rsidRDefault="00372E6A" w:rsidP="003F4370">
            <w:r>
              <w:t xml:space="preserve">0 (2) </w:t>
            </w:r>
          </w:p>
          <w:p w14:paraId="28D0AB3D" w14:textId="77777777" w:rsidR="00372E6A" w:rsidRDefault="00372E6A" w:rsidP="003F4370">
            <w:r>
              <w:t>[0-18]</w:t>
            </w:r>
          </w:p>
        </w:tc>
      </w:tr>
      <w:tr w:rsidR="00372E6A" w14:paraId="72227976" w14:textId="77777777" w:rsidTr="003F4370">
        <w:tc>
          <w:tcPr>
            <w:tcW w:w="16013" w:type="dxa"/>
            <w:gridSpan w:val="11"/>
            <w:tcBorders>
              <w:top w:val="single" w:sz="4" w:space="0" w:color="auto"/>
              <w:left w:val="nil"/>
              <w:bottom w:val="nil"/>
              <w:right w:val="nil"/>
            </w:tcBorders>
          </w:tcPr>
          <w:p w14:paraId="63A2A861" w14:textId="77777777" w:rsidR="00372E6A" w:rsidRPr="005375AA" w:rsidRDefault="00372E6A" w:rsidP="003F4370">
            <w:pPr>
              <w:rPr>
                <w:b/>
              </w:rPr>
            </w:pPr>
            <w:r>
              <w:rPr>
                <w:b/>
              </w:rPr>
              <w:t>Health coach support</w:t>
            </w:r>
          </w:p>
        </w:tc>
      </w:tr>
      <w:tr w:rsidR="00372E6A" w14:paraId="683907C3" w14:textId="77777777" w:rsidTr="003F4370">
        <w:tc>
          <w:tcPr>
            <w:tcW w:w="2577" w:type="dxa"/>
            <w:tcBorders>
              <w:top w:val="single" w:sz="4" w:space="0" w:color="auto"/>
              <w:left w:val="nil"/>
              <w:right w:val="single" w:sz="4" w:space="0" w:color="auto"/>
            </w:tcBorders>
          </w:tcPr>
          <w:p w14:paraId="2F9A971C" w14:textId="77777777" w:rsidR="00372E6A" w:rsidRDefault="00372E6A" w:rsidP="003F4370">
            <w:r w:rsidRPr="00C37C42">
              <w:t>Number</w:t>
            </w:r>
            <w:r>
              <w:t xml:space="preserve"> of calls with health coach</w:t>
            </w:r>
          </w:p>
          <w:p w14:paraId="58A3CEBC" w14:textId="77777777" w:rsidR="00372E6A" w:rsidRPr="00C37C42" w:rsidRDefault="00372E6A" w:rsidP="003F4370"/>
        </w:tc>
        <w:tc>
          <w:tcPr>
            <w:tcW w:w="665" w:type="dxa"/>
            <w:tcBorders>
              <w:top w:val="single" w:sz="4" w:space="0" w:color="auto"/>
              <w:left w:val="single" w:sz="4" w:space="0" w:color="auto"/>
              <w:right w:val="single" w:sz="4" w:space="0" w:color="auto"/>
            </w:tcBorders>
          </w:tcPr>
          <w:p w14:paraId="1F3ED9AA" w14:textId="77777777" w:rsidR="00372E6A" w:rsidRPr="00C37C42" w:rsidRDefault="00372E6A" w:rsidP="003F4370">
            <w:r>
              <w:t>1223</w:t>
            </w:r>
          </w:p>
        </w:tc>
        <w:tc>
          <w:tcPr>
            <w:tcW w:w="1381" w:type="dxa"/>
            <w:tcBorders>
              <w:top w:val="single" w:sz="4" w:space="0" w:color="auto"/>
              <w:left w:val="single" w:sz="4" w:space="0" w:color="auto"/>
              <w:right w:val="single" w:sz="4" w:space="0" w:color="auto"/>
            </w:tcBorders>
          </w:tcPr>
          <w:p w14:paraId="493120A7" w14:textId="77777777" w:rsidR="00372E6A" w:rsidRDefault="00372E6A" w:rsidP="003F4370">
            <w:r>
              <w:t xml:space="preserve">1 (1) </w:t>
            </w:r>
          </w:p>
          <w:p w14:paraId="7CBE94F6" w14:textId="77777777" w:rsidR="00372E6A" w:rsidRDefault="00372E6A" w:rsidP="003F4370">
            <w:r>
              <w:t>[0-3]</w:t>
            </w:r>
          </w:p>
        </w:tc>
        <w:tc>
          <w:tcPr>
            <w:tcW w:w="1426" w:type="dxa"/>
            <w:tcBorders>
              <w:top w:val="single" w:sz="4" w:space="0" w:color="auto"/>
              <w:left w:val="single" w:sz="4" w:space="0" w:color="auto"/>
              <w:right w:val="single" w:sz="4" w:space="0" w:color="auto"/>
            </w:tcBorders>
          </w:tcPr>
          <w:p w14:paraId="36658998" w14:textId="77777777" w:rsidR="00372E6A" w:rsidRDefault="00372E6A" w:rsidP="003F4370">
            <w:r>
              <w:t xml:space="preserve">0 (0) </w:t>
            </w:r>
          </w:p>
          <w:p w14:paraId="705C592B" w14:textId="77777777" w:rsidR="00372E6A" w:rsidRDefault="00372E6A" w:rsidP="003F4370">
            <w:r>
              <w:t>[0-4]</w:t>
            </w:r>
          </w:p>
        </w:tc>
        <w:tc>
          <w:tcPr>
            <w:tcW w:w="1459" w:type="dxa"/>
            <w:tcBorders>
              <w:top w:val="single" w:sz="4" w:space="0" w:color="auto"/>
              <w:left w:val="single" w:sz="4" w:space="0" w:color="auto"/>
              <w:right w:val="single" w:sz="4" w:space="0" w:color="auto"/>
            </w:tcBorders>
          </w:tcPr>
          <w:p w14:paraId="21D5B55E" w14:textId="77777777" w:rsidR="00372E6A" w:rsidRDefault="00372E6A" w:rsidP="003F4370">
            <w:r>
              <w:t xml:space="preserve">0 (0) </w:t>
            </w:r>
          </w:p>
          <w:p w14:paraId="1E9B9C9C" w14:textId="77777777" w:rsidR="00372E6A" w:rsidRDefault="00372E6A" w:rsidP="003F4370">
            <w:r>
              <w:t>[0-2]</w:t>
            </w:r>
          </w:p>
        </w:tc>
        <w:tc>
          <w:tcPr>
            <w:tcW w:w="1417" w:type="dxa"/>
            <w:tcBorders>
              <w:top w:val="single" w:sz="4" w:space="0" w:color="auto"/>
              <w:left w:val="single" w:sz="4" w:space="0" w:color="auto"/>
              <w:right w:val="single" w:sz="4" w:space="0" w:color="auto"/>
            </w:tcBorders>
          </w:tcPr>
          <w:p w14:paraId="52D3CEC2" w14:textId="77777777" w:rsidR="00372E6A" w:rsidRDefault="00372E6A" w:rsidP="003F4370">
            <w:r>
              <w:t xml:space="preserve">0 (1) </w:t>
            </w:r>
          </w:p>
          <w:p w14:paraId="22AFCA43" w14:textId="77777777" w:rsidR="00372E6A" w:rsidRDefault="00372E6A" w:rsidP="003F4370">
            <w:r>
              <w:t>[0-2]</w:t>
            </w:r>
          </w:p>
        </w:tc>
        <w:tc>
          <w:tcPr>
            <w:tcW w:w="1418" w:type="dxa"/>
            <w:tcBorders>
              <w:top w:val="single" w:sz="4" w:space="0" w:color="auto"/>
              <w:left w:val="single" w:sz="4" w:space="0" w:color="auto"/>
              <w:right w:val="single" w:sz="4" w:space="0" w:color="auto"/>
            </w:tcBorders>
          </w:tcPr>
          <w:p w14:paraId="4CEF2163" w14:textId="77777777" w:rsidR="00372E6A" w:rsidRDefault="00372E6A" w:rsidP="003F4370">
            <w:r>
              <w:t xml:space="preserve">0 (1) </w:t>
            </w:r>
          </w:p>
          <w:p w14:paraId="0CE0C3E3" w14:textId="77777777" w:rsidR="00372E6A" w:rsidRDefault="00372E6A" w:rsidP="003F4370">
            <w:r>
              <w:t>[0-2]</w:t>
            </w:r>
          </w:p>
        </w:tc>
        <w:tc>
          <w:tcPr>
            <w:tcW w:w="1417" w:type="dxa"/>
            <w:tcBorders>
              <w:top w:val="single" w:sz="4" w:space="0" w:color="auto"/>
              <w:left w:val="single" w:sz="4" w:space="0" w:color="auto"/>
              <w:right w:val="single" w:sz="4" w:space="0" w:color="auto"/>
            </w:tcBorders>
          </w:tcPr>
          <w:p w14:paraId="25C784AD" w14:textId="77777777" w:rsidR="00372E6A" w:rsidRDefault="00372E6A" w:rsidP="003F4370">
            <w:r>
              <w:t xml:space="preserve">0 (1) </w:t>
            </w:r>
          </w:p>
          <w:p w14:paraId="7239B6F0" w14:textId="77777777" w:rsidR="00372E6A" w:rsidRDefault="00372E6A" w:rsidP="003F4370">
            <w:r>
              <w:t>[0-3]</w:t>
            </w:r>
          </w:p>
        </w:tc>
        <w:tc>
          <w:tcPr>
            <w:tcW w:w="1418" w:type="dxa"/>
            <w:tcBorders>
              <w:top w:val="single" w:sz="4" w:space="0" w:color="auto"/>
              <w:left w:val="single" w:sz="4" w:space="0" w:color="auto"/>
              <w:right w:val="single" w:sz="4" w:space="0" w:color="auto"/>
            </w:tcBorders>
          </w:tcPr>
          <w:p w14:paraId="2B2C0A14" w14:textId="77777777" w:rsidR="00372E6A" w:rsidRDefault="00372E6A" w:rsidP="003F4370">
            <w:r>
              <w:t xml:space="preserve">0 (0) </w:t>
            </w:r>
          </w:p>
          <w:p w14:paraId="538B6287" w14:textId="77777777" w:rsidR="00372E6A" w:rsidRDefault="00372E6A" w:rsidP="003F4370">
            <w:r>
              <w:t>[0-2]</w:t>
            </w:r>
          </w:p>
        </w:tc>
        <w:tc>
          <w:tcPr>
            <w:tcW w:w="1417" w:type="dxa"/>
            <w:tcBorders>
              <w:top w:val="single" w:sz="4" w:space="0" w:color="auto"/>
              <w:left w:val="single" w:sz="4" w:space="0" w:color="auto"/>
              <w:right w:val="single" w:sz="4" w:space="0" w:color="auto"/>
            </w:tcBorders>
          </w:tcPr>
          <w:p w14:paraId="254FB6E7" w14:textId="77777777" w:rsidR="00372E6A" w:rsidRDefault="00372E6A" w:rsidP="003F4370">
            <w:r>
              <w:t xml:space="preserve">0 (0) </w:t>
            </w:r>
          </w:p>
          <w:p w14:paraId="7E2877EF" w14:textId="77777777" w:rsidR="00372E6A" w:rsidRDefault="00372E6A" w:rsidP="003F4370">
            <w:r>
              <w:t>[0-2]</w:t>
            </w:r>
          </w:p>
        </w:tc>
        <w:tc>
          <w:tcPr>
            <w:tcW w:w="1418" w:type="dxa"/>
            <w:tcBorders>
              <w:top w:val="single" w:sz="4" w:space="0" w:color="auto"/>
              <w:left w:val="single" w:sz="4" w:space="0" w:color="auto"/>
              <w:right w:val="nil"/>
            </w:tcBorders>
          </w:tcPr>
          <w:p w14:paraId="718DF89E" w14:textId="77777777" w:rsidR="00372E6A" w:rsidRDefault="00372E6A" w:rsidP="003F4370">
            <w:r>
              <w:t xml:space="preserve">0 (0) </w:t>
            </w:r>
          </w:p>
          <w:p w14:paraId="6E87BBB5" w14:textId="77777777" w:rsidR="00372E6A" w:rsidRDefault="00372E6A" w:rsidP="003F4370">
            <w:r>
              <w:t>[0-2]</w:t>
            </w:r>
          </w:p>
        </w:tc>
      </w:tr>
      <w:tr w:rsidR="00372E6A" w14:paraId="35FDF66D" w14:textId="77777777" w:rsidTr="003F4370">
        <w:tc>
          <w:tcPr>
            <w:tcW w:w="2577" w:type="dxa"/>
            <w:tcBorders>
              <w:left w:val="nil"/>
              <w:right w:val="single" w:sz="4" w:space="0" w:color="auto"/>
            </w:tcBorders>
          </w:tcPr>
          <w:p w14:paraId="6EEBAB2A" w14:textId="77777777" w:rsidR="00372E6A" w:rsidRPr="00C37C42" w:rsidRDefault="00372E6A" w:rsidP="003F4370">
            <w:r w:rsidRPr="00C37C42">
              <w:t>Number of messages heal</w:t>
            </w:r>
            <w:r>
              <w:t>th coach has responded to</w:t>
            </w:r>
          </w:p>
        </w:tc>
        <w:tc>
          <w:tcPr>
            <w:tcW w:w="665" w:type="dxa"/>
            <w:tcBorders>
              <w:left w:val="single" w:sz="4" w:space="0" w:color="auto"/>
              <w:right w:val="single" w:sz="4" w:space="0" w:color="auto"/>
            </w:tcBorders>
          </w:tcPr>
          <w:p w14:paraId="6212569A" w14:textId="77777777" w:rsidR="00372E6A" w:rsidRPr="00C37C42" w:rsidRDefault="00372E6A" w:rsidP="003F4370">
            <w:r>
              <w:t>1543</w:t>
            </w:r>
          </w:p>
        </w:tc>
        <w:tc>
          <w:tcPr>
            <w:tcW w:w="1381" w:type="dxa"/>
            <w:tcBorders>
              <w:left w:val="single" w:sz="4" w:space="0" w:color="auto"/>
              <w:right w:val="single" w:sz="4" w:space="0" w:color="auto"/>
            </w:tcBorders>
          </w:tcPr>
          <w:p w14:paraId="749144F5" w14:textId="77777777" w:rsidR="00372E6A" w:rsidRDefault="00372E6A" w:rsidP="003F4370">
            <w:r>
              <w:t xml:space="preserve">1 (7) </w:t>
            </w:r>
          </w:p>
          <w:p w14:paraId="040F643E" w14:textId="77777777" w:rsidR="00372E6A" w:rsidRDefault="00372E6A" w:rsidP="003F4370">
            <w:r>
              <w:t>[0-185]</w:t>
            </w:r>
          </w:p>
        </w:tc>
        <w:tc>
          <w:tcPr>
            <w:tcW w:w="1426" w:type="dxa"/>
            <w:tcBorders>
              <w:left w:val="single" w:sz="4" w:space="0" w:color="auto"/>
              <w:right w:val="single" w:sz="4" w:space="0" w:color="auto"/>
            </w:tcBorders>
          </w:tcPr>
          <w:p w14:paraId="5D854E1A" w14:textId="77777777" w:rsidR="00372E6A" w:rsidRDefault="00372E6A" w:rsidP="003F4370">
            <w:r>
              <w:t xml:space="preserve">1 (9) </w:t>
            </w:r>
          </w:p>
          <w:p w14:paraId="5E122265" w14:textId="77777777" w:rsidR="00372E6A" w:rsidRDefault="00372E6A" w:rsidP="003F4370">
            <w:r>
              <w:t>[0-323]</w:t>
            </w:r>
          </w:p>
        </w:tc>
        <w:tc>
          <w:tcPr>
            <w:tcW w:w="1459" w:type="dxa"/>
            <w:tcBorders>
              <w:left w:val="single" w:sz="4" w:space="0" w:color="auto"/>
              <w:right w:val="single" w:sz="4" w:space="0" w:color="auto"/>
            </w:tcBorders>
          </w:tcPr>
          <w:p w14:paraId="78BE6C8E" w14:textId="77777777" w:rsidR="00372E6A" w:rsidRDefault="00372E6A" w:rsidP="003F4370">
            <w:r>
              <w:t xml:space="preserve">0 (3) </w:t>
            </w:r>
          </w:p>
          <w:p w14:paraId="3C578B0F" w14:textId="77777777" w:rsidR="00372E6A" w:rsidRDefault="00372E6A" w:rsidP="003F4370">
            <w:r>
              <w:t>[0-339]</w:t>
            </w:r>
          </w:p>
        </w:tc>
        <w:tc>
          <w:tcPr>
            <w:tcW w:w="1417" w:type="dxa"/>
            <w:tcBorders>
              <w:left w:val="single" w:sz="4" w:space="0" w:color="auto"/>
              <w:right w:val="single" w:sz="4" w:space="0" w:color="auto"/>
            </w:tcBorders>
          </w:tcPr>
          <w:p w14:paraId="057E8184" w14:textId="77777777" w:rsidR="00372E6A" w:rsidRDefault="00372E6A" w:rsidP="003F4370">
            <w:r>
              <w:t xml:space="preserve">0 (1) </w:t>
            </w:r>
          </w:p>
          <w:p w14:paraId="613B47DE" w14:textId="77777777" w:rsidR="00372E6A" w:rsidRDefault="00372E6A" w:rsidP="003F4370">
            <w:r>
              <w:t>[859]</w:t>
            </w:r>
          </w:p>
        </w:tc>
        <w:tc>
          <w:tcPr>
            <w:tcW w:w="1418" w:type="dxa"/>
            <w:tcBorders>
              <w:left w:val="single" w:sz="4" w:space="0" w:color="auto"/>
              <w:right w:val="single" w:sz="4" w:space="0" w:color="auto"/>
            </w:tcBorders>
          </w:tcPr>
          <w:p w14:paraId="3A410237" w14:textId="77777777" w:rsidR="00372E6A" w:rsidRDefault="00372E6A" w:rsidP="003F4370">
            <w:r>
              <w:t xml:space="preserve">0 (0) </w:t>
            </w:r>
          </w:p>
          <w:p w14:paraId="6AFEC767" w14:textId="77777777" w:rsidR="00372E6A" w:rsidRDefault="00372E6A" w:rsidP="003F4370">
            <w:r>
              <w:t>[0-802]</w:t>
            </w:r>
          </w:p>
        </w:tc>
        <w:tc>
          <w:tcPr>
            <w:tcW w:w="1417" w:type="dxa"/>
            <w:tcBorders>
              <w:left w:val="single" w:sz="4" w:space="0" w:color="auto"/>
              <w:right w:val="single" w:sz="4" w:space="0" w:color="auto"/>
            </w:tcBorders>
          </w:tcPr>
          <w:p w14:paraId="4B34A8F0" w14:textId="77777777" w:rsidR="00372E6A" w:rsidRDefault="00372E6A" w:rsidP="003F4370">
            <w:r>
              <w:t xml:space="preserve">0 (0) </w:t>
            </w:r>
          </w:p>
          <w:p w14:paraId="3E41D608" w14:textId="77777777" w:rsidR="00372E6A" w:rsidRDefault="00372E6A" w:rsidP="003F4370">
            <w:r>
              <w:t>[0-280]</w:t>
            </w:r>
          </w:p>
        </w:tc>
        <w:tc>
          <w:tcPr>
            <w:tcW w:w="1418" w:type="dxa"/>
            <w:tcBorders>
              <w:left w:val="single" w:sz="4" w:space="0" w:color="auto"/>
              <w:right w:val="single" w:sz="4" w:space="0" w:color="auto"/>
            </w:tcBorders>
          </w:tcPr>
          <w:p w14:paraId="7EBCB862" w14:textId="77777777" w:rsidR="00372E6A" w:rsidRDefault="00372E6A" w:rsidP="003F4370">
            <w:r>
              <w:t xml:space="preserve">0 (0) </w:t>
            </w:r>
          </w:p>
          <w:p w14:paraId="28FA92BF" w14:textId="77777777" w:rsidR="00372E6A" w:rsidRDefault="00372E6A" w:rsidP="003F4370">
            <w:r>
              <w:t>[0-302]</w:t>
            </w:r>
          </w:p>
        </w:tc>
        <w:tc>
          <w:tcPr>
            <w:tcW w:w="1417" w:type="dxa"/>
            <w:tcBorders>
              <w:left w:val="single" w:sz="4" w:space="0" w:color="auto"/>
              <w:right w:val="single" w:sz="4" w:space="0" w:color="auto"/>
            </w:tcBorders>
          </w:tcPr>
          <w:p w14:paraId="2FDC68B4" w14:textId="77777777" w:rsidR="00372E6A" w:rsidRDefault="00372E6A" w:rsidP="003F4370">
            <w:r>
              <w:t>0 (0)</w:t>
            </w:r>
          </w:p>
          <w:p w14:paraId="35A98786" w14:textId="77777777" w:rsidR="00372E6A" w:rsidRDefault="00372E6A" w:rsidP="003F4370">
            <w:r>
              <w:t>[0-518]</w:t>
            </w:r>
          </w:p>
        </w:tc>
        <w:tc>
          <w:tcPr>
            <w:tcW w:w="1418" w:type="dxa"/>
            <w:tcBorders>
              <w:left w:val="single" w:sz="4" w:space="0" w:color="auto"/>
              <w:right w:val="nil"/>
            </w:tcBorders>
          </w:tcPr>
          <w:p w14:paraId="43C0FA1E" w14:textId="77777777" w:rsidR="00372E6A" w:rsidRDefault="00372E6A" w:rsidP="003F4370">
            <w:r>
              <w:t xml:space="preserve">0 (0) </w:t>
            </w:r>
          </w:p>
          <w:p w14:paraId="5D4833F4" w14:textId="77777777" w:rsidR="00372E6A" w:rsidRDefault="00372E6A" w:rsidP="003F4370">
            <w:r>
              <w:t>[0-513]</w:t>
            </w:r>
          </w:p>
        </w:tc>
      </w:tr>
      <w:tr w:rsidR="00372E6A" w14:paraId="27D027C3" w14:textId="77777777" w:rsidTr="003F4370">
        <w:tc>
          <w:tcPr>
            <w:tcW w:w="2577" w:type="dxa"/>
            <w:tcBorders>
              <w:left w:val="nil"/>
              <w:right w:val="single" w:sz="4" w:space="0" w:color="auto"/>
            </w:tcBorders>
          </w:tcPr>
          <w:p w14:paraId="6AE384D1" w14:textId="77777777" w:rsidR="00372E6A" w:rsidRDefault="00372E6A" w:rsidP="003F4370">
            <w:r w:rsidRPr="00C37C42">
              <w:t>Number of messag</w:t>
            </w:r>
            <w:r>
              <w:t>es sent from health coach</w:t>
            </w:r>
          </w:p>
          <w:p w14:paraId="356B423C" w14:textId="77777777" w:rsidR="00372E6A" w:rsidRPr="00C37C42" w:rsidRDefault="00372E6A" w:rsidP="003F4370"/>
        </w:tc>
        <w:tc>
          <w:tcPr>
            <w:tcW w:w="665" w:type="dxa"/>
            <w:tcBorders>
              <w:left w:val="single" w:sz="4" w:space="0" w:color="auto"/>
              <w:right w:val="single" w:sz="4" w:space="0" w:color="auto"/>
            </w:tcBorders>
          </w:tcPr>
          <w:p w14:paraId="6ED8B875" w14:textId="77777777" w:rsidR="00372E6A" w:rsidRPr="00C37C42" w:rsidRDefault="00372E6A" w:rsidP="003F4370">
            <w:r>
              <w:t>283</w:t>
            </w:r>
          </w:p>
        </w:tc>
        <w:tc>
          <w:tcPr>
            <w:tcW w:w="1381" w:type="dxa"/>
            <w:tcBorders>
              <w:left w:val="single" w:sz="4" w:space="0" w:color="auto"/>
              <w:right w:val="single" w:sz="4" w:space="0" w:color="auto"/>
            </w:tcBorders>
          </w:tcPr>
          <w:p w14:paraId="0B295758" w14:textId="77777777" w:rsidR="00372E6A" w:rsidRDefault="00372E6A" w:rsidP="003F4370">
            <w:r>
              <w:t xml:space="preserve">5 (1) </w:t>
            </w:r>
          </w:p>
          <w:p w14:paraId="4C0881BE" w14:textId="77777777" w:rsidR="00372E6A" w:rsidRDefault="00372E6A" w:rsidP="003F4370">
            <w:r>
              <w:t>[0-11]</w:t>
            </w:r>
          </w:p>
        </w:tc>
        <w:tc>
          <w:tcPr>
            <w:tcW w:w="1426" w:type="dxa"/>
            <w:tcBorders>
              <w:left w:val="single" w:sz="4" w:space="0" w:color="auto"/>
              <w:right w:val="single" w:sz="4" w:space="0" w:color="auto"/>
            </w:tcBorders>
          </w:tcPr>
          <w:p w14:paraId="7D662764" w14:textId="77777777" w:rsidR="00372E6A" w:rsidRDefault="00372E6A" w:rsidP="003F4370">
            <w:r>
              <w:t>4 (1)</w:t>
            </w:r>
          </w:p>
          <w:p w14:paraId="53023192" w14:textId="77777777" w:rsidR="00372E6A" w:rsidRDefault="00372E6A" w:rsidP="003F4370">
            <w:r>
              <w:t>[0-9]</w:t>
            </w:r>
          </w:p>
        </w:tc>
        <w:tc>
          <w:tcPr>
            <w:tcW w:w="1459" w:type="dxa"/>
            <w:tcBorders>
              <w:left w:val="single" w:sz="4" w:space="0" w:color="auto"/>
              <w:right w:val="single" w:sz="4" w:space="0" w:color="auto"/>
            </w:tcBorders>
          </w:tcPr>
          <w:p w14:paraId="16348CD4" w14:textId="77777777" w:rsidR="00372E6A" w:rsidRDefault="00372E6A" w:rsidP="003F4370">
            <w:r>
              <w:t xml:space="preserve">4 (2) </w:t>
            </w:r>
          </w:p>
          <w:p w14:paraId="790B4BDF" w14:textId="77777777" w:rsidR="00372E6A" w:rsidRDefault="00372E6A" w:rsidP="003F4370">
            <w:r>
              <w:t>[0-14]</w:t>
            </w:r>
          </w:p>
        </w:tc>
        <w:tc>
          <w:tcPr>
            <w:tcW w:w="1417" w:type="dxa"/>
            <w:tcBorders>
              <w:left w:val="single" w:sz="4" w:space="0" w:color="auto"/>
              <w:right w:val="single" w:sz="4" w:space="0" w:color="auto"/>
            </w:tcBorders>
          </w:tcPr>
          <w:p w14:paraId="416AA651" w14:textId="77777777" w:rsidR="00372E6A" w:rsidRDefault="00372E6A" w:rsidP="003F4370">
            <w:r>
              <w:t xml:space="preserve">2 (3) </w:t>
            </w:r>
          </w:p>
          <w:p w14:paraId="337B5874" w14:textId="77777777" w:rsidR="00372E6A" w:rsidRDefault="00372E6A" w:rsidP="003F4370">
            <w:r>
              <w:t>[0-10]</w:t>
            </w:r>
          </w:p>
        </w:tc>
        <w:tc>
          <w:tcPr>
            <w:tcW w:w="1418" w:type="dxa"/>
            <w:tcBorders>
              <w:left w:val="single" w:sz="4" w:space="0" w:color="auto"/>
              <w:right w:val="single" w:sz="4" w:space="0" w:color="auto"/>
            </w:tcBorders>
          </w:tcPr>
          <w:p w14:paraId="1DFD2A9E" w14:textId="77777777" w:rsidR="00372E6A" w:rsidRDefault="00372E6A" w:rsidP="003F4370">
            <w:r>
              <w:t>2 (1)</w:t>
            </w:r>
          </w:p>
          <w:p w14:paraId="1458A606" w14:textId="77777777" w:rsidR="00372E6A" w:rsidRDefault="00372E6A" w:rsidP="003F4370">
            <w:r>
              <w:t>[0-6]</w:t>
            </w:r>
          </w:p>
        </w:tc>
        <w:tc>
          <w:tcPr>
            <w:tcW w:w="1417" w:type="dxa"/>
            <w:tcBorders>
              <w:left w:val="single" w:sz="4" w:space="0" w:color="auto"/>
              <w:right w:val="single" w:sz="4" w:space="0" w:color="auto"/>
            </w:tcBorders>
          </w:tcPr>
          <w:p w14:paraId="27E5F79E" w14:textId="77777777" w:rsidR="00372E6A" w:rsidRDefault="00372E6A" w:rsidP="003F4370">
            <w:r>
              <w:t xml:space="preserve">2 (3) </w:t>
            </w:r>
          </w:p>
          <w:p w14:paraId="3C592E28" w14:textId="77777777" w:rsidR="00372E6A" w:rsidRDefault="00372E6A" w:rsidP="003F4370">
            <w:r>
              <w:t>[0-7]</w:t>
            </w:r>
          </w:p>
        </w:tc>
        <w:tc>
          <w:tcPr>
            <w:tcW w:w="1418" w:type="dxa"/>
            <w:tcBorders>
              <w:left w:val="single" w:sz="4" w:space="0" w:color="auto"/>
              <w:right w:val="single" w:sz="4" w:space="0" w:color="auto"/>
            </w:tcBorders>
          </w:tcPr>
          <w:p w14:paraId="444C927E" w14:textId="77777777" w:rsidR="00372E6A" w:rsidRDefault="00372E6A" w:rsidP="003F4370">
            <w:r>
              <w:t xml:space="preserve">1 (2) </w:t>
            </w:r>
          </w:p>
          <w:p w14:paraId="489CBD12" w14:textId="77777777" w:rsidR="00372E6A" w:rsidRDefault="00372E6A" w:rsidP="003F4370">
            <w:r>
              <w:t>[0-5]</w:t>
            </w:r>
          </w:p>
        </w:tc>
        <w:tc>
          <w:tcPr>
            <w:tcW w:w="1417" w:type="dxa"/>
            <w:tcBorders>
              <w:left w:val="single" w:sz="4" w:space="0" w:color="auto"/>
              <w:right w:val="single" w:sz="4" w:space="0" w:color="auto"/>
            </w:tcBorders>
          </w:tcPr>
          <w:p w14:paraId="400E3873" w14:textId="77777777" w:rsidR="00372E6A" w:rsidRDefault="00372E6A" w:rsidP="003F4370">
            <w:r>
              <w:t xml:space="preserve">1 (1) </w:t>
            </w:r>
          </w:p>
          <w:p w14:paraId="7C98769B" w14:textId="77777777" w:rsidR="00372E6A" w:rsidRDefault="00372E6A" w:rsidP="003F4370">
            <w:r>
              <w:t>[0-4]</w:t>
            </w:r>
          </w:p>
        </w:tc>
        <w:tc>
          <w:tcPr>
            <w:tcW w:w="1418" w:type="dxa"/>
            <w:tcBorders>
              <w:left w:val="single" w:sz="4" w:space="0" w:color="auto"/>
              <w:right w:val="nil"/>
            </w:tcBorders>
          </w:tcPr>
          <w:p w14:paraId="000B088E" w14:textId="77777777" w:rsidR="00372E6A" w:rsidRDefault="00372E6A" w:rsidP="003F4370">
            <w:r>
              <w:t xml:space="preserve">0 (1) </w:t>
            </w:r>
          </w:p>
          <w:p w14:paraId="4253E6F5" w14:textId="77777777" w:rsidR="00372E6A" w:rsidRDefault="00372E6A" w:rsidP="003F4370">
            <w:r>
              <w:t>[0-4]</w:t>
            </w:r>
          </w:p>
        </w:tc>
      </w:tr>
      <w:tr w:rsidR="00372E6A" w14:paraId="00D6E520" w14:textId="77777777" w:rsidTr="003F4370">
        <w:tc>
          <w:tcPr>
            <w:tcW w:w="2577" w:type="dxa"/>
            <w:tcBorders>
              <w:left w:val="nil"/>
              <w:bottom w:val="single" w:sz="4" w:space="0" w:color="auto"/>
              <w:right w:val="single" w:sz="4" w:space="0" w:color="auto"/>
            </w:tcBorders>
          </w:tcPr>
          <w:p w14:paraId="77923462" w14:textId="77777777" w:rsidR="00372E6A" w:rsidRDefault="00372E6A" w:rsidP="003F4370">
            <w:r w:rsidRPr="00C37C42">
              <w:t xml:space="preserve">Number of messages sent from </w:t>
            </w:r>
            <w:r>
              <w:t>service user</w:t>
            </w:r>
          </w:p>
          <w:p w14:paraId="3EF09DEB" w14:textId="77777777" w:rsidR="00372E6A" w:rsidRPr="00C37C42" w:rsidRDefault="00372E6A" w:rsidP="003F4370"/>
        </w:tc>
        <w:tc>
          <w:tcPr>
            <w:tcW w:w="665" w:type="dxa"/>
            <w:tcBorders>
              <w:left w:val="single" w:sz="4" w:space="0" w:color="auto"/>
              <w:bottom w:val="single" w:sz="4" w:space="0" w:color="auto"/>
              <w:right w:val="single" w:sz="4" w:space="0" w:color="auto"/>
            </w:tcBorders>
          </w:tcPr>
          <w:p w14:paraId="2FE72633" w14:textId="77777777" w:rsidR="00372E6A" w:rsidRPr="00C37C42" w:rsidRDefault="00372E6A" w:rsidP="003F4370">
            <w:r>
              <w:t>283</w:t>
            </w:r>
          </w:p>
        </w:tc>
        <w:tc>
          <w:tcPr>
            <w:tcW w:w="1381" w:type="dxa"/>
            <w:tcBorders>
              <w:left w:val="single" w:sz="4" w:space="0" w:color="auto"/>
              <w:bottom w:val="single" w:sz="4" w:space="0" w:color="auto"/>
              <w:right w:val="single" w:sz="4" w:space="0" w:color="auto"/>
            </w:tcBorders>
          </w:tcPr>
          <w:p w14:paraId="51B14699" w14:textId="77777777" w:rsidR="00372E6A" w:rsidRDefault="00372E6A" w:rsidP="003F4370">
            <w:r>
              <w:t xml:space="preserve">4 (6) </w:t>
            </w:r>
          </w:p>
          <w:p w14:paraId="18EE2DC8" w14:textId="77777777" w:rsidR="00372E6A" w:rsidRDefault="00372E6A" w:rsidP="003F4370">
            <w:r>
              <w:t>[0-191]</w:t>
            </w:r>
          </w:p>
        </w:tc>
        <w:tc>
          <w:tcPr>
            <w:tcW w:w="1426" w:type="dxa"/>
            <w:tcBorders>
              <w:left w:val="single" w:sz="4" w:space="0" w:color="auto"/>
              <w:bottom w:val="single" w:sz="4" w:space="0" w:color="auto"/>
              <w:right w:val="single" w:sz="4" w:space="0" w:color="auto"/>
            </w:tcBorders>
          </w:tcPr>
          <w:p w14:paraId="045F0F1A" w14:textId="77777777" w:rsidR="00372E6A" w:rsidRDefault="00372E6A" w:rsidP="003F4370">
            <w:r>
              <w:t xml:space="preserve">2 (4) </w:t>
            </w:r>
          </w:p>
          <w:p w14:paraId="4DD309D3" w14:textId="77777777" w:rsidR="00372E6A" w:rsidRDefault="00372E6A" w:rsidP="003F4370">
            <w:r>
              <w:t>[0-135]</w:t>
            </w:r>
          </w:p>
        </w:tc>
        <w:tc>
          <w:tcPr>
            <w:tcW w:w="1459" w:type="dxa"/>
            <w:tcBorders>
              <w:left w:val="single" w:sz="4" w:space="0" w:color="auto"/>
              <w:bottom w:val="single" w:sz="4" w:space="0" w:color="auto"/>
              <w:right w:val="single" w:sz="4" w:space="0" w:color="auto"/>
            </w:tcBorders>
          </w:tcPr>
          <w:p w14:paraId="342CB207" w14:textId="77777777" w:rsidR="00372E6A" w:rsidRDefault="00372E6A" w:rsidP="003F4370">
            <w:r>
              <w:t xml:space="preserve">2 (5) </w:t>
            </w:r>
          </w:p>
          <w:p w14:paraId="31B6903C" w14:textId="77777777" w:rsidR="00372E6A" w:rsidRDefault="00372E6A" w:rsidP="003F4370">
            <w:r>
              <w:t>[0-102]</w:t>
            </w:r>
          </w:p>
        </w:tc>
        <w:tc>
          <w:tcPr>
            <w:tcW w:w="1417" w:type="dxa"/>
            <w:tcBorders>
              <w:left w:val="single" w:sz="4" w:space="0" w:color="auto"/>
              <w:bottom w:val="single" w:sz="4" w:space="0" w:color="auto"/>
              <w:right w:val="single" w:sz="4" w:space="0" w:color="auto"/>
            </w:tcBorders>
          </w:tcPr>
          <w:p w14:paraId="43C81188" w14:textId="77777777" w:rsidR="00372E6A" w:rsidRDefault="00372E6A" w:rsidP="003F4370">
            <w:r>
              <w:t xml:space="preserve">1 (3) </w:t>
            </w:r>
          </w:p>
          <w:p w14:paraId="6D557009" w14:textId="77777777" w:rsidR="00372E6A" w:rsidRDefault="00372E6A" w:rsidP="003F4370">
            <w:r>
              <w:t>[0-146]</w:t>
            </w:r>
          </w:p>
        </w:tc>
        <w:tc>
          <w:tcPr>
            <w:tcW w:w="1418" w:type="dxa"/>
            <w:tcBorders>
              <w:left w:val="single" w:sz="4" w:space="0" w:color="auto"/>
              <w:bottom w:val="single" w:sz="4" w:space="0" w:color="auto"/>
              <w:right w:val="single" w:sz="4" w:space="0" w:color="auto"/>
            </w:tcBorders>
          </w:tcPr>
          <w:p w14:paraId="01B7FD1D" w14:textId="77777777" w:rsidR="00372E6A" w:rsidRDefault="00372E6A" w:rsidP="003F4370">
            <w:r>
              <w:t xml:space="preserve">1 (2) </w:t>
            </w:r>
          </w:p>
          <w:p w14:paraId="0A75EE1F" w14:textId="77777777" w:rsidR="00372E6A" w:rsidRDefault="00372E6A" w:rsidP="003F4370">
            <w:r>
              <w:t>[0-131]</w:t>
            </w:r>
          </w:p>
        </w:tc>
        <w:tc>
          <w:tcPr>
            <w:tcW w:w="1417" w:type="dxa"/>
            <w:tcBorders>
              <w:left w:val="single" w:sz="4" w:space="0" w:color="auto"/>
              <w:bottom w:val="single" w:sz="4" w:space="0" w:color="auto"/>
              <w:right w:val="single" w:sz="4" w:space="0" w:color="auto"/>
            </w:tcBorders>
          </w:tcPr>
          <w:p w14:paraId="693CD1A9" w14:textId="77777777" w:rsidR="00372E6A" w:rsidRDefault="00372E6A" w:rsidP="003F4370">
            <w:r>
              <w:t xml:space="preserve">0 (2) </w:t>
            </w:r>
          </w:p>
          <w:p w14:paraId="5D442C48" w14:textId="77777777" w:rsidR="00372E6A" w:rsidRDefault="00372E6A" w:rsidP="003F4370">
            <w:r>
              <w:t>[0-46]</w:t>
            </w:r>
          </w:p>
        </w:tc>
        <w:tc>
          <w:tcPr>
            <w:tcW w:w="1418" w:type="dxa"/>
            <w:tcBorders>
              <w:left w:val="single" w:sz="4" w:space="0" w:color="auto"/>
              <w:bottom w:val="single" w:sz="4" w:space="0" w:color="auto"/>
              <w:right w:val="single" w:sz="4" w:space="0" w:color="auto"/>
            </w:tcBorders>
          </w:tcPr>
          <w:p w14:paraId="1B63A64B" w14:textId="77777777" w:rsidR="00372E6A" w:rsidRDefault="00372E6A" w:rsidP="003F4370">
            <w:r>
              <w:t xml:space="preserve">0 (1) </w:t>
            </w:r>
          </w:p>
          <w:p w14:paraId="58EF4072" w14:textId="77777777" w:rsidR="00372E6A" w:rsidRDefault="00372E6A" w:rsidP="003F4370">
            <w:r>
              <w:t>[0-35]</w:t>
            </w:r>
          </w:p>
        </w:tc>
        <w:tc>
          <w:tcPr>
            <w:tcW w:w="1417" w:type="dxa"/>
            <w:tcBorders>
              <w:left w:val="single" w:sz="4" w:space="0" w:color="auto"/>
              <w:bottom w:val="single" w:sz="4" w:space="0" w:color="auto"/>
              <w:right w:val="single" w:sz="4" w:space="0" w:color="auto"/>
            </w:tcBorders>
          </w:tcPr>
          <w:p w14:paraId="6D882DE7" w14:textId="77777777" w:rsidR="00372E6A" w:rsidRDefault="00372E6A" w:rsidP="003F4370">
            <w:r>
              <w:t xml:space="preserve">0 (1) </w:t>
            </w:r>
          </w:p>
          <w:p w14:paraId="1C55E49E" w14:textId="77777777" w:rsidR="00372E6A" w:rsidRDefault="00372E6A" w:rsidP="003F4370">
            <w:r>
              <w:t>[0-30]</w:t>
            </w:r>
          </w:p>
        </w:tc>
        <w:tc>
          <w:tcPr>
            <w:tcW w:w="1418" w:type="dxa"/>
            <w:tcBorders>
              <w:left w:val="single" w:sz="4" w:space="0" w:color="auto"/>
              <w:right w:val="nil"/>
            </w:tcBorders>
          </w:tcPr>
          <w:p w14:paraId="263031E1" w14:textId="77777777" w:rsidR="00372E6A" w:rsidRDefault="00372E6A" w:rsidP="003F4370">
            <w:r>
              <w:t xml:space="preserve">0 (1) </w:t>
            </w:r>
          </w:p>
          <w:p w14:paraId="21F64C39" w14:textId="77777777" w:rsidR="00372E6A" w:rsidRDefault="00372E6A" w:rsidP="003F4370">
            <w:r>
              <w:t>[0-30]</w:t>
            </w:r>
          </w:p>
        </w:tc>
      </w:tr>
      <w:tr w:rsidR="00372E6A" w14:paraId="35D3F2D1" w14:textId="77777777" w:rsidTr="003F4370">
        <w:tc>
          <w:tcPr>
            <w:tcW w:w="16013" w:type="dxa"/>
            <w:gridSpan w:val="11"/>
            <w:tcBorders>
              <w:top w:val="single" w:sz="4" w:space="0" w:color="auto"/>
              <w:left w:val="nil"/>
              <w:bottom w:val="single" w:sz="4" w:space="0" w:color="auto"/>
              <w:right w:val="nil"/>
            </w:tcBorders>
          </w:tcPr>
          <w:p w14:paraId="4F20BBDD" w14:textId="77777777" w:rsidR="00372E6A" w:rsidRPr="005375AA" w:rsidRDefault="00372E6A" w:rsidP="003F4370">
            <w:pPr>
              <w:rPr>
                <w:b/>
              </w:rPr>
            </w:pPr>
            <w:r>
              <w:rPr>
                <w:b/>
              </w:rPr>
              <w:t>Group support</w:t>
            </w:r>
          </w:p>
        </w:tc>
      </w:tr>
      <w:tr w:rsidR="00372E6A" w14:paraId="54DE898B" w14:textId="77777777" w:rsidTr="003F4370">
        <w:tc>
          <w:tcPr>
            <w:tcW w:w="2577" w:type="dxa"/>
            <w:tcBorders>
              <w:top w:val="single" w:sz="4" w:space="0" w:color="auto"/>
              <w:left w:val="nil"/>
              <w:right w:val="single" w:sz="4" w:space="0" w:color="auto"/>
            </w:tcBorders>
          </w:tcPr>
          <w:p w14:paraId="1F16FF97" w14:textId="77777777" w:rsidR="00372E6A" w:rsidRPr="00002CB7" w:rsidRDefault="00372E6A" w:rsidP="003F4370">
            <w:r w:rsidRPr="00002CB7">
              <w:t>Number of peer messages sent in group chat</w:t>
            </w:r>
            <w:r>
              <w:t xml:space="preserve"> by service user</w:t>
            </w:r>
          </w:p>
        </w:tc>
        <w:tc>
          <w:tcPr>
            <w:tcW w:w="665" w:type="dxa"/>
            <w:tcBorders>
              <w:top w:val="single" w:sz="4" w:space="0" w:color="auto"/>
              <w:left w:val="single" w:sz="4" w:space="0" w:color="auto"/>
              <w:right w:val="single" w:sz="4" w:space="0" w:color="auto"/>
            </w:tcBorders>
          </w:tcPr>
          <w:p w14:paraId="5057F828" w14:textId="77777777" w:rsidR="00372E6A" w:rsidRPr="00002CB7" w:rsidRDefault="00372E6A" w:rsidP="003F4370">
            <w:r w:rsidRPr="00002CB7">
              <w:t>603</w:t>
            </w:r>
          </w:p>
        </w:tc>
        <w:tc>
          <w:tcPr>
            <w:tcW w:w="1381" w:type="dxa"/>
            <w:tcBorders>
              <w:top w:val="single" w:sz="4" w:space="0" w:color="auto"/>
              <w:left w:val="single" w:sz="4" w:space="0" w:color="auto"/>
              <w:right w:val="single" w:sz="4" w:space="0" w:color="auto"/>
            </w:tcBorders>
          </w:tcPr>
          <w:p w14:paraId="59D7E820" w14:textId="77777777" w:rsidR="00372E6A" w:rsidRDefault="00372E6A" w:rsidP="003F4370">
            <w:r>
              <w:t xml:space="preserve">2 (11) </w:t>
            </w:r>
          </w:p>
          <w:p w14:paraId="4AF10C69" w14:textId="77777777" w:rsidR="00372E6A" w:rsidRDefault="00372E6A" w:rsidP="003F4370">
            <w:r>
              <w:t>[0-152]</w:t>
            </w:r>
          </w:p>
        </w:tc>
        <w:tc>
          <w:tcPr>
            <w:tcW w:w="1426" w:type="dxa"/>
            <w:tcBorders>
              <w:top w:val="single" w:sz="4" w:space="0" w:color="auto"/>
              <w:left w:val="single" w:sz="4" w:space="0" w:color="auto"/>
              <w:right w:val="single" w:sz="4" w:space="0" w:color="auto"/>
            </w:tcBorders>
          </w:tcPr>
          <w:p w14:paraId="1C75EA7E" w14:textId="77777777" w:rsidR="00372E6A" w:rsidRDefault="00372E6A" w:rsidP="003F4370">
            <w:r>
              <w:t xml:space="preserve">1 (9) </w:t>
            </w:r>
          </w:p>
          <w:p w14:paraId="72B1AF26" w14:textId="77777777" w:rsidR="00372E6A" w:rsidRDefault="00372E6A" w:rsidP="003F4370">
            <w:r>
              <w:t>[0-246]</w:t>
            </w:r>
          </w:p>
        </w:tc>
        <w:tc>
          <w:tcPr>
            <w:tcW w:w="1459" w:type="dxa"/>
            <w:tcBorders>
              <w:top w:val="single" w:sz="4" w:space="0" w:color="auto"/>
              <w:left w:val="single" w:sz="4" w:space="0" w:color="auto"/>
              <w:right w:val="single" w:sz="4" w:space="0" w:color="auto"/>
            </w:tcBorders>
          </w:tcPr>
          <w:p w14:paraId="25993AAB" w14:textId="77777777" w:rsidR="00372E6A" w:rsidRDefault="00372E6A" w:rsidP="003F4370">
            <w:r>
              <w:t xml:space="preserve">0 (5) </w:t>
            </w:r>
          </w:p>
          <w:p w14:paraId="026C8153" w14:textId="77777777" w:rsidR="00372E6A" w:rsidRDefault="00372E6A" w:rsidP="003F4370">
            <w:r>
              <w:t>[0-285]</w:t>
            </w:r>
          </w:p>
        </w:tc>
        <w:tc>
          <w:tcPr>
            <w:tcW w:w="1417" w:type="dxa"/>
            <w:tcBorders>
              <w:top w:val="single" w:sz="4" w:space="0" w:color="auto"/>
              <w:left w:val="single" w:sz="4" w:space="0" w:color="auto"/>
              <w:right w:val="single" w:sz="4" w:space="0" w:color="auto"/>
            </w:tcBorders>
          </w:tcPr>
          <w:p w14:paraId="17AA0068" w14:textId="77777777" w:rsidR="00372E6A" w:rsidRDefault="00372E6A" w:rsidP="003F4370">
            <w:pPr>
              <w:rPr>
                <w:rFonts w:eastAsia="Times New Roman"/>
              </w:rPr>
            </w:pPr>
            <w:r>
              <w:rPr>
                <w:rFonts w:eastAsia="Times New Roman"/>
              </w:rPr>
              <w:t xml:space="preserve">0 (2) </w:t>
            </w:r>
          </w:p>
          <w:p w14:paraId="6FDE528C" w14:textId="77777777" w:rsidR="00372E6A" w:rsidRDefault="00372E6A" w:rsidP="003F4370">
            <w:r>
              <w:rPr>
                <w:rFonts w:eastAsia="Times New Roman"/>
              </w:rPr>
              <w:t>[0-470]</w:t>
            </w:r>
          </w:p>
        </w:tc>
        <w:tc>
          <w:tcPr>
            <w:tcW w:w="1418" w:type="dxa"/>
            <w:tcBorders>
              <w:top w:val="single" w:sz="4" w:space="0" w:color="auto"/>
              <w:left w:val="single" w:sz="4" w:space="0" w:color="auto"/>
              <w:right w:val="single" w:sz="4" w:space="0" w:color="auto"/>
            </w:tcBorders>
          </w:tcPr>
          <w:p w14:paraId="3F11C19E" w14:textId="77777777" w:rsidR="00372E6A" w:rsidRDefault="00372E6A" w:rsidP="003F4370">
            <w:pPr>
              <w:rPr>
                <w:rFonts w:eastAsia="Times New Roman"/>
              </w:rPr>
            </w:pPr>
            <w:r>
              <w:rPr>
                <w:rFonts w:eastAsia="Times New Roman"/>
              </w:rPr>
              <w:t xml:space="preserve">0 (0) </w:t>
            </w:r>
          </w:p>
          <w:p w14:paraId="273D8E83" w14:textId="77777777" w:rsidR="00372E6A" w:rsidRDefault="00372E6A" w:rsidP="003F4370">
            <w:r>
              <w:rPr>
                <w:rFonts w:eastAsia="Times New Roman"/>
              </w:rPr>
              <w:t>[0-259]</w:t>
            </w:r>
          </w:p>
        </w:tc>
        <w:tc>
          <w:tcPr>
            <w:tcW w:w="1417" w:type="dxa"/>
            <w:tcBorders>
              <w:top w:val="single" w:sz="4" w:space="0" w:color="auto"/>
              <w:left w:val="single" w:sz="4" w:space="0" w:color="auto"/>
              <w:right w:val="single" w:sz="4" w:space="0" w:color="auto"/>
            </w:tcBorders>
          </w:tcPr>
          <w:p w14:paraId="7F90EF55" w14:textId="77777777" w:rsidR="00372E6A" w:rsidRDefault="00372E6A" w:rsidP="003F4370">
            <w:pPr>
              <w:rPr>
                <w:rFonts w:eastAsia="Times New Roman"/>
              </w:rPr>
            </w:pPr>
            <w:r>
              <w:rPr>
                <w:rFonts w:eastAsia="Times New Roman"/>
              </w:rPr>
              <w:t xml:space="preserve">0 (0) </w:t>
            </w:r>
          </w:p>
          <w:p w14:paraId="763A9579" w14:textId="77777777" w:rsidR="00372E6A" w:rsidRDefault="00372E6A" w:rsidP="003F4370">
            <w:r>
              <w:rPr>
                <w:rFonts w:eastAsia="Times New Roman"/>
              </w:rPr>
              <w:t>[0-68]</w:t>
            </w:r>
          </w:p>
        </w:tc>
        <w:tc>
          <w:tcPr>
            <w:tcW w:w="1418" w:type="dxa"/>
            <w:tcBorders>
              <w:top w:val="single" w:sz="4" w:space="0" w:color="auto"/>
              <w:left w:val="single" w:sz="4" w:space="0" w:color="auto"/>
              <w:right w:val="single" w:sz="4" w:space="0" w:color="auto"/>
            </w:tcBorders>
          </w:tcPr>
          <w:p w14:paraId="40853E11" w14:textId="77777777" w:rsidR="00372E6A" w:rsidRDefault="00372E6A" w:rsidP="003F4370">
            <w:pPr>
              <w:rPr>
                <w:rFonts w:eastAsia="Times New Roman"/>
              </w:rPr>
            </w:pPr>
            <w:r>
              <w:rPr>
                <w:rFonts w:eastAsia="Times New Roman"/>
              </w:rPr>
              <w:t xml:space="preserve">0 (0) </w:t>
            </w:r>
          </w:p>
          <w:p w14:paraId="52AAD66F" w14:textId="77777777" w:rsidR="00372E6A" w:rsidRDefault="00372E6A" w:rsidP="003F4370">
            <w:r>
              <w:rPr>
                <w:rFonts w:eastAsia="Times New Roman"/>
              </w:rPr>
              <w:t>[0-40]</w:t>
            </w:r>
          </w:p>
        </w:tc>
        <w:tc>
          <w:tcPr>
            <w:tcW w:w="1417" w:type="dxa"/>
            <w:tcBorders>
              <w:top w:val="single" w:sz="4" w:space="0" w:color="auto"/>
              <w:left w:val="single" w:sz="4" w:space="0" w:color="auto"/>
              <w:right w:val="single" w:sz="4" w:space="0" w:color="auto"/>
            </w:tcBorders>
          </w:tcPr>
          <w:p w14:paraId="7EF14C5E" w14:textId="77777777" w:rsidR="00372E6A" w:rsidRDefault="00372E6A" w:rsidP="003F4370">
            <w:pPr>
              <w:rPr>
                <w:rFonts w:eastAsia="Times New Roman"/>
              </w:rPr>
            </w:pPr>
            <w:r>
              <w:rPr>
                <w:rFonts w:eastAsia="Times New Roman"/>
              </w:rPr>
              <w:t xml:space="preserve">0 (0) </w:t>
            </w:r>
          </w:p>
          <w:p w14:paraId="0A0BAF82" w14:textId="77777777" w:rsidR="00372E6A" w:rsidRPr="00842C54" w:rsidRDefault="00372E6A" w:rsidP="003F4370">
            <w:pPr>
              <w:rPr>
                <w:b/>
              </w:rPr>
            </w:pPr>
            <w:r>
              <w:rPr>
                <w:rFonts w:eastAsia="Times New Roman"/>
              </w:rPr>
              <w:t>[0-22]</w:t>
            </w:r>
          </w:p>
        </w:tc>
        <w:tc>
          <w:tcPr>
            <w:tcW w:w="1418" w:type="dxa"/>
            <w:tcBorders>
              <w:top w:val="single" w:sz="4" w:space="0" w:color="auto"/>
              <w:left w:val="single" w:sz="4" w:space="0" w:color="auto"/>
              <w:right w:val="nil"/>
            </w:tcBorders>
          </w:tcPr>
          <w:p w14:paraId="7D58BD5A" w14:textId="77777777" w:rsidR="00372E6A" w:rsidRDefault="00372E6A" w:rsidP="003F4370">
            <w:pPr>
              <w:rPr>
                <w:rFonts w:eastAsia="Times New Roman"/>
              </w:rPr>
            </w:pPr>
            <w:r>
              <w:rPr>
                <w:rFonts w:eastAsia="Times New Roman"/>
              </w:rPr>
              <w:t xml:space="preserve">0 (0) </w:t>
            </w:r>
          </w:p>
          <w:p w14:paraId="50652F90" w14:textId="77777777" w:rsidR="00372E6A" w:rsidRDefault="00372E6A" w:rsidP="003F4370">
            <w:r>
              <w:rPr>
                <w:rFonts w:eastAsia="Times New Roman"/>
              </w:rPr>
              <w:t>[0-31]</w:t>
            </w:r>
          </w:p>
        </w:tc>
      </w:tr>
      <w:tr w:rsidR="00372E6A" w14:paraId="745013ED" w14:textId="77777777" w:rsidTr="003F4370">
        <w:tc>
          <w:tcPr>
            <w:tcW w:w="2577" w:type="dxa"/>
            <w:tcBorders>
              <w:left w:val="nil"/>
              <w:right w:val="single" w:sz="4" w:space="0" w:color="auto"/>
            </w:tcBorders>
          </w:tcPr>
          <w:p w14:paraId="784F785A" w14:textId="77777777" w:rsidR="00372E6A" w:rsidRPr="00C37C42" w:rsidRDefault="00372E6A" w:rsidP="003F4370">
            <w:r w:rsidRPr="00C37C42">
              <w:t xml:space="preserve">Number of group posts in </w:t>
            </w:r>
            <w:r>
              <w:t xml:space="preserve">discussion </w:t>
            </w:r>
            <w:r w:rsidRPr="00C37C42">
              <w:t>forum</w:t>
            </w:r>
            <w:r>
              <w:t xml:space="preserve"> by service user</w:t>
            </w:r>
          </w:p>
        </w:tc>
        <w:tc>
          <w:tcPr>
            <w:tcW w:w="665" w:type="dxa"/>
            <w:tcBorders>
              <w:left w:val="single" w:sz="4" w:space="0" w:color="auto"/>
              <w:right w:val="single" w:sz="4" w:space="0" w:color="auto"/>
            </w:tcBorders>
          </w:tcPr>
          <w:p w14:paraId="1BC91340" w14:textId="77777777" w:rsidR="00372E6A" w:rsidRPr="00C37C42" w:rsidRDefault="00372E6A" w:rsidP="003F4370">
            <w:r>
              <w:t>886</w:t>
            </w:r>
          </w:p>
        </w:tc>
        <w:tc>
          <w:tcPr>
            <w:tcW w:w="1381" w:type="dxa"/>
            <w:tcBorders>
              <w:left w:val="single" w:sz="4" w:space="0" w:color="auto"/>
              <w:right w:val="single" w:sz="4" w:space="0" w:color="auto"/>
            </w:tcBorders>
          </w:tcPr>
          <w:p w14:paraId="0BF45026" w14:textId="77777777" w:rsidR="00372E6A" w:rsidRDefault="00372E6A" w:rsidP="003F4370">
            <w:pPr>
              <w:rPr>
                <w:rFonts w:eastAsia="Times New Roman"/>
              </w:rPr>
            </w:pPr>
            <w:r>
              <w:rPr>
                <w:rFonts w:eastAsia="Times New Roman"/>
              </w:rPr>
              <w:t xml:space="preserve">0 (0) </w:t>
            </w:r>
          </w:p>
          <w:p w14:paraId="36B389BD" w14:textId="77777777" w:rsidR="00372E6A" w:rsidRDefault="00372E6A" w:rsidP="003F4370">
            <w:r>
              <w:rPr>
                <w:rFonts w:eastAsia="Times New Roman"/>
              </w:rPr>
              <w:t>[0-12]</w:t>
            </w:r>
          </w:p>
        </w:tc>
        <w:tc>
          <w:tcPr>
            <w:tcW w:w="1426" w:type="dxa"/>
            <w:tcBorders>
              <w:left w:val="single" w:sz="4" w:space="0" w:color="auto"/>
              <w:right w:val="single" w:sz="4" w:space="0" w:color="auto"/>
            </w:tcBorders>
          </w:tcPr>
          <w:p w14:paraId="20B7D986" w14:textId="77777777" w:rsidR="00372E6A" w:rsidRDefault="00372E6A" w:rsidP="003F4370">
            <w:pPr>
              <w:rPr>
                <w:rFonts w:eastAsia="Times New Roman"/>
              </w:rPr>
            </w:pPr>
            <w:r>
              <w:rPr>
                <w:rFonts w:eastAsia="Times New Roman"/>
              </w:rPr>
              <w:t xml:space="preserve">0 (0) </w:t>
            </w:r>
          </w:p>
          <w:p w14:paraId="4820B68E" w14:textId="77777777" w:rsidR="00372E6A" w:rsidRDefault="00372E6A" w:rsidP="003F4370">
            <w:r>
              <w:rPr>
                <w:rFonts w:eastAsia="Times New Roman"/>
              </w:rPr>
              <w:t>[0-2]</w:t>
            </w:r>
          </w:p>
        </w:tc>
        <w:tc>
          <w:tcPr>
            <w:tcW w:w="1459" w:type="dxa"/>
            <w:tcBorders>
              <w:left w:val="single" w:sz="4" w:space="0" w:color="auto"/>
              <w:right w:val="single" w:sz="4" w:space="0" w:color="auto"/>
            </w:tcBorders>
          </w:tcPr>
          <w:p w14:paraId="2A084D5D"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1B8CB238" w14:textId="77777777" w:rsidR="00372E6A" w:rsidRDefault="00372E6A" w:rsidP="003F4370">
            <w:r>
              <w:rPr>
                <w:rFonts w:eastAsia="Times New Roman"/>
              </w:rPr>
              <w:t>[0-1]</w:t>
            </w:r>
          </w:p>
        </w:tc>
        <w:tc>
          <w:tcPr>
            <w:tcW w:w="1417" w:type="dxa"/>
            <w:tcBorders>
              <w:left w:val="single" w:sz="4" w:space="0" w:color="auto"/>
              <w:right w:val="single" w:sz="4" w:space="0" w:color="auto"/>
            </w:tcBorders>
          </w:tcPr>
          <w:p w14:paraId="7F9DC21E"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622CE671" w14:textId="77777777" w:rsidR="00372E6A" w:rsidRDefault="00372E6A" w:rsidP="003F4370">
            <w:r>
              <w:rPr>
                <w:rFonts w:eastAsia="Times New Roman"/>
              </w:rPr>
              <w:t>[0-6]</w:t>
            </w:r>
          </w:p>
        </w:tc>
        <w:tc>
          <w:tcPr>
            <w:tcW w:w="1418" w:type="dxa"/>
            <w:tcBorders>
              <w:left w:val="single" w:sz="4" w:space="0" w:color="auto"/>
              <w:right w:val="single" w:sz="4" w:space="0" w:color="auto"/>
            </w:tcBorders>
          </w:tcPr>
          <w:p w14:paraId="6F916C77"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38FB1541" w14:textId="77777777" w:rsidR="00372E6A" w:rsidRDefault="00372E6A" w:rsidP="003F4370">
            <w:r>
              <w:rPr>
                <w:rFonts w:eastAsia="Times New Roman"/>
              </w:rPr>
              <w:t>[0-10]</w:t>
            </w:r>
          </w:p>
        </w:tc>
        <w:tc>
          <w:tcPr>
            <w:tcW w:w="1417" w:type="dxa"/>
            <w:tcBorders>
              <w:left w:val="single" w:sz="4" w:space="0" w:color="auto"/>
              <w:right w:val="single" w:sz="4" w:space="0" w:color="auto"/>
            </w:tcBorders>
          </w:tcPr>
          <w:p w14:paraId="136B3A8E"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13B20832" w14:textId="77777777" w:rsidR="00372E6A" w:rsidRDefault="00372E6A" w:rsidP="003F4370">
            <w:r>
              <w:rPr>
                <w:rFonts w:eastAsia="Times New Roman"/>
              </w:rPr>
              <w:t>[0-13]</w:t>
            </w:r>
          </w:p>
        </w:tc>
        <w:tc>
          <w:tcPr>
            <w:tcW w:w="1418" w:type="dxa"/>
            <w:tcBorders>
              <w:left w:val="single" w:sz="4" w:space="0" w:color="auto"/>
              <w:right w:val="single" w:sz="4" w:space="0" w:color="auto"/>
            </w:tcBorders>
          </w:tcPr>
          <w:p w14:paraId="2FF118E4"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4F54BB8B" w14:textId="77777777" w:rsidR="00372E6A" w:rsidRDefault="00372E6A" w:rsidP="003F4370">
            <w:r>
              <w:rPr>
                <w:rFonts w:eastAsia="Times New Roman"/>
              </w:rPr>
              <w:t>[0-4]</w:t>
            </w:r>
          </w:p>
        </w:tc>
        <w:tc>
          <w:tcPr>
            <w:tcW w:w="1417" w:type="dxa"/>
            <w:tcBorders>
              <w:left w:val="single" w:sz="4" w:space="0" w:color="auto"/>
              <w:right w:val="single" w:sz="4" w:space="0" w:color="auto"/>
            </w:tcBorders>
          </w:tcPr>
          <w:p w14:paraId="00AB9FBD" w14:textId="77777777" w:rsidR="00372E6A" w:rsidRDefault="00372E6A" w:rsidP="003F4370">
            <w:pPr>
              <w:rPr>
                <w:rFonts w:eastAsia="Times New Roman"/>
              </w:rPr>
            </w:pPr>
            <w:r>
              <w:rPr>
                <w:rFonts w:eastAsia="Times New Roman"/>
              </w:rPr>
              <w:t>0 (0</w:t>
            </w:r>
            <w:r w:rsidRPr="00D50CD3">
              <w:rPr>
                <w:rFonts w:eastAsia="Times New Roman"/>
              </w:rPr>
              <w:t>)</w:t>
            </w:r>
            <w:r>
              <w:rPr>
                <w:rFonts w:eastAsia="Times New Roman"/>
              </w:rPr>
              <w:t xml:space="preserve"> </w:t>
            </w:r>
          </w:p>
          <w:p w14:paraId="531BB9C6" w14:textId="77777777" w:rsidR="00372E6A" w:rsidRDefault="00372E6A" w:rsidP="003F4370">
            <w:r>
              <w:rPr>
                <w:rFonts w:eastAsia="Times New Roman"/>
              </w:rPr>
              <w:t>[0-6]</w:t>
            </w:r>
          </w:p>
        </w:tc>
        <w:tc>
          <w:tcPr>
            <w:tcW w:w="1418" w:type="dxa"/>
            <w:tcBorders>
              <w:left w:val="single" w:sz="4" w:space="0" w:color="auto"/>
              <w:right w:val="nil"/>
            </w:tcBorders>
          </w:tcPr>
          <w:p w14:paraId="69B2CFE6" w14:textId="77777777" w:rsidR="00372E6A" w:rsidRDefault="00372E6A" w:rsidP="003F4370">
            <w:pPr>
              <w:rPr>
                <w:rFonts w:eastAsia="Times New Roman"/>
              </w:rPr>
            </w:pPr>
            <w:r>
              <w:rPr>
                <w:rFonts w:eastAsia="Times New Roman"/>
              </w:rPr>
              <w:t xml:space="preserve">0 (0) </w:t>
            </w:r>
          </w:p>
          <w:p w14:paraId="0BDE903C" w14:textId="77777777" w:rsidR="00372E6A" w:rsidRDefault="00372E6A" w:rsidP="003F4370">
            <w:r>
              <w:rPr>
                <w:rFonts w:eastAsia="Times New Roman"/>
              </w:rPr>
              <w:t>[0-9]</w:t>
            </w:r>
          </w:p>
        </w:tc>
      </w:tr>
      <w:tr w:rsidR="00372E6A" w14:paraId="0921DBCB" w14:textId="77777777" w:rsidTr="003F4370">
        <w:tc>
          <w:tcPr>
            <w:tcW w:w="2577" w:type="dxa"/>
            <w:tcBorders>
              <w:left w:val="nil"/>
              <w:right w:val="single" w:sz="4" w:space="0" w:color="auto"/>
            </w:tcBorders>
          </w:tcPr>
          <w:p w14:paraId="3F196BE6" w14:textId="77777777" w:rsidR="00372E6A" w:rsidRPr="00C37C42" w:rsidRDefault="00372E6A" w:rsidP="003F4370">
            <w:r w:rsidRPr="00C37C42">
              <w:t>Number of comment</w:t>
            </w:r>
            <w:r>
              <w:t>s on group posts in discussion forum by service user by service user</w:t>
            </w:r>
          </w:p>
        </w:tc>
        <w:tc>
          <w:tcPr>
            <w:tcW w:w="665" w:type="dxa"/>
            <w:tcBorders>
              <w:left w:val="single" w:sz="4" w:space="0" w:color="auto"/>
              <w:right w:val="single" w:sz="4" w:space="0" w:color="auto"/>
            </w:tcBorders>
          </w:tcPr>
          <w:p w14:paraId="4D4D39AF" w14:textId="77777777" w:rsidR="00372E6A" w:rsidRPr="00C37C42" w:rsidRDefault="00372E6A" w:rsidP="003F4370">
            <w:r>
              <w:t>886</w:t>
            </w:r>
          </w:p>
        </w:tc>
        <w:tc>
          <w:tcPr>
            <w:tcW w:w="1381" w:type="dxa"/>
            <w:tcBorders>
              <w:left w:val="single" w:sz="4" w:space="0" w:color="auto"/>
              <w:right w:val="single" w:sz="4" w:space="0" w:color="auto"/>
            </w:tcBorders>
          </w:tcPr>
          <w:p w14:paraId="26AAD454" w14:textId="77777777" w:rsidR="00372E6A" w:rsidRDefault="00372E6A" w:rsidP="003F4370">
            <w:pPr>
              <w:rPr>
                <w:rFonts w:eastAsia="Times New Roman"/>
              </w:rPr>
            </w:pPr>
            <w:r>
              <w:rPr>
                <w:rFonts w:eastAsia="Times New Roman"/>
              </w:rPr>
              <w:t>0</w:t>
            </w:r>
            <w:r w:rsidRPr="0072137D">
              <w:rPr>
                <w:rFonts w:eastAsia="Times New Roman"/>
              </w:rPr>
              <w:t xml:space="preserve"> (</w:t>
            </w:r>
            <w:r>
              <w:rPr>
                <w:rFonts w:eastAsia="Times New Roman"/>
              </w:rPr>
              <w:t>0</w:t>
            </w:r>
            <w:r w:rsidRPr="0072137D">
              <w:rPr>
                <w:rFonts w:eastAsia="Times New Roman"/>
              </w:rPr>
              <w:t>)</w:t>
            </w:r>
            <w:r>
              <w:rPr>
                <w:rFonts w:eastAsia="Times New Roman"/>
              </w:rPr>
              <w:t xml:space="preserve"> </w:t>
            </w:r>
          </w:p>
          <w:p w14:paraId="02A0679F" w14:textId="77777777" w:rsidR="00372E6A" w:rsidRDefault="00372E6A" w:rsidP="003F4370">
            <w:r>
              <w:rPr>
                <w:rFonts w:eastAsia="Times New Roman"/>
              </w:rPr>
              <w:t>[0-13]</w:t>
            </w:r>
          </w:p>
        </w:tc>
        <w:tc>
          <w:tcPr>
            <w:tcW w:w="1426" w:type="dxa"/>
            <w:tcBorders>
              <w:left w:val="single" w:sz="4" w:space="0" w:color="auto"/>
              <w:right w:val="single" w:sz="4" w:space="0" w:color="auto"/>
            </w:tcBorders>
          </w:tcPr>
          <w:p w14:paraId="5EB3EEB7"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37D9C5EA" w14:textId="77777777" w:rsidR="00372E6A" w:rsidRDefault="00372E6A" w:rsidP="003F4370">
            <w:r>
              <w:rPr>
                <w:rFonts w:eastAsia="Times New Roman"/>
              </w:rPr>
              <w:t>[0-30]</w:t>
            </w:r>
          </w:p>
        </w:tc>
        <w:tc>
          <w:tcPr>
            <w:tcW w:w="1459" w:type="dxa"/>
            <w:tcBorders>
              <w:left w:val="single" w:sz="4" w:space="0" w:color="auto"/>
              <w:right w:val="single" w:sz="4" w:space="0" w:color="auto"/>
            </w:tcBorders>
          </w:tcPr>
          <w:p w14:paraId="388A6DE9"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31A75D8F" w14:textId="77777777" w:rsidR="00372E6A" w:rsidRDefault="00372E6A" w:rsidP="003F4370">
            <w:r>
              <w:rPr>
                <w:rFonts w:eastAsia="Times New Roman"/>
              </w:rPr>
              <w:t>[0-75]</w:t>
            </w:r>
          </w:p>
        </w:tc>
        <w:tc>
          <w:tcPr>
            <w:tcW w:w="1417" w:type="dxa"/>
            <w:tcBorders>
              <w:left w:val="single" w:sz="4" w:space="0" w:color="auto"/>
              <w:right w:val="single" w:sz="4" w:space="0" w:color="auto"/>
            </w:tcBorders>
          </w:tcPr>
          <w:p w14:paraId="7CBD0F96"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7C0BE91F" w14:textId="77777777" w:rsidR="00372E6A" w:rsidRDefault="00372E6A" w:rsidP="003F4370">
            <w:r>
              <w:rPr>
                <w:rFonts w:eastAsia="Times New Roman"/>
              </w:rPr>
              <w:t>[0-220]</w:t>
            </w:r>
          </w:p>
        </w:tc>
        <w:tc>
          <w:tcPr>
            <w:tcW w:w="1418" w:type="dxa"/>
            <w:tcBorders>
              <w:left w:val="single" w:sz="4" w:space="0" w:color="auto"/>
              <w:right w:val="single" w:sz="4" w:space="0" w:color="auto"/>
            </w:tcBorders>
          </w:tcPr>
          <w:p w14:paraId="6FFB3F5F"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14BB1C1F" w14:textId="77777777" w:rsidR="00372E6A" w:rsidRDefault="00372E6A" w:rsidP="003F4370">
            <w:r>
              <w:rPr>
                <w:rFonts w:eastAsia="Times New Roman"/>
              </w:rPr>
              <w:t>[0-189]</w:t>
            </w:r>
          </w:p>
        </w:tc>
        <w:tc>
          <w:tcPr>
            <w:tcW w:w="1417" w:type="dxa"/>
            <w:tcBorders>
              <w:left w:val="single" w:sz="4" w:space="0" w:color="auto"/>
              <w:right w:val="single" w:sz="4" w:space="0" w:color="auto"/>
            </w:tcBorders>
          </w:tcPr>
          <w:p w14:paraId="6932876F"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528293AD" w14:textId="77777777" w:rsidR="00372E6A" w:rsidRDefault="00372E6A" w:rsidP="003F4370">
            <w:r>
              <w:rPr>
                <w:rFonts w:eastAsia="Times New Roman"/>
              </w:rPr>
              <w:t>[0-58]</w:t>
            </w:r>
          </w:p>
        </w:tc>
        <w:tc>
          <w:tcPr>
            <w:tcW w:w="1418" w:type="dxa"/>
            <w:tcBorders>
              <w:left w:val="single" w:sz="4" w:space="0" w:color="auto"/>
              <w:right w:val="single" w:sz="4" w:space="0" w:color="auto"/>
            </w:tcBorders>
          </w:tcPr>
          <w:p w14:paraId="76683254"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165FC298" w14:textId="77777777" w:rsidR="00372E6A" w:rsidRDefault="00372E6A" w:rsidP="003F4370">
            <w:r>
              <w:rPr>
                <w:rFonts w:eastAsia="Times New Roman"/>
              </w:rPr>
              <w:t>[0-175]</w:t>
            </w:r>
          </w:p>
        </w:tc>
        <w:tc>
          <w:tcPr>
            <w:tcW w:w="1417" w:type="dxa"/>
            <w:tcBorders>
              <w:left w:val="single" w:sz="4" w:space="0" w:color="auto"/>
              <w:right w:val="single" w:sz="4" w:space="0" w:color="auto"/>
            </w:tcBorders>
          </w:tcPr>
          <w:p w14:paraId="72B90148"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3E730C9C" w14:textId="77777777" w:rsidR="00372E6A" w:rsidRDefault="00372E6A" w:rsidP="003F4370">
            <w:r>
              <w:rPr>
                <w:rFonts w:eastAsia="Times New Roman"/>
              </w:rPr>
              <w:t>[0-278]</w:t>
            </w:r>
          </w:p>
        </w:tc>
        <w:tc>
          <w:tcPr>
            <w:tcW w:w="1418" w:type="dxa"/>
            <w:tcBorders>
              <w:left w:val="single" w:sz="4" w:space="0" w:color="auto"/>
              <w:right w:val="nil"/>
            </w:tcBorders>
          </w:tcPr>
          <w:p w14:paraId="5EB79469" w14:textId="77777777" w:rsidR="00372E6A" w:rsidRDefault="00372E6A" w:rsidP="003F4370">
            <w:pPr>
              <w:rPr>
                <w:rFonts w:eastAsia="Times New Roman"/>
              </w:rPr>
            </w:pPr>
            <w:r>
              <w:rPr>
                <w:rFonts w:eastAsia="Times New Roman"/>
              </w:rPr>
              <w:t>0 (0</w:t>
            </w:r>
            <w:r w:rsidRPr="0072137D">
              <w:rPr>
                <w:rFonts w:eastAsia="Times New Roman"/>
              </w:rPr>
              <w:t>)</w:t>
            </w:r>
            <w:r>
              <w:rPr>
                <w:rFonts w:eastAsia="Times New Roman"/>
              </w:rPr>
              <w:t xml:space="preserve"> </w:t>
            </w:r>
          </w:p>
          <w:p w14:paraId="43C574E2" w14:textId="77777777" w:rsidR="00372E6A" w:rsidRDefault="00372E6A" w:rsidP="003F4370">
            <w:r>
              <w:rPr>
                <w:rFonts w:eastAsia="Times New Roman"/>
              </w:rPr>
              <w:t>[0-274]</w:t>
            </w:r>
          </w:p>
        </w:tc>
      </w:tr>
      <w:tr w:rsidR="00372E6A" w14:paraId="6913D838" w14:textId="77777777" w:rsidTr="003F4370">
        <w:tc>
          <w:tcPr>
            <w:tcW w:w="2577" w:type="dxa"/>
            <w:tcBorders>
              <w:left w:val="nil"/>
              <w:bottom w:val="single" w:sz="4" w:space="0" w:color="auto"/>
              <w:right w:val="single" w:sz="4" w:space="0" w:color="auto"/>
            </w:tcBorders>
          </w:tcPr>
          <w:p w14:paraId="72F9BE7A" w14:textId="77777777" w:rsidR="00372E6A" w:rsidRPr="00C37C42" w:rsidRDefault="00372E6A" w:rsidP="003F4370">
            <w:r w:rsidRPr="00C37C42">
              <w:t>Number of like</w:t>
            </w:r>
            <w:r>
              <w:t>s on group posts in discussion forum by service user</w:t>
            </w:r>
          </w:p>
        </w:tc>
        <w:tc>
          <w:tcPr>
            <w:tcW w:w="665" w:type="dxa"/>
            <w:tcBorders>
              <w:left w:val="single" w:sz="4" w:space="0" w:color="auto"/>
              <w:bottom w:val="single" w:sz="4" w:space="0" w:color="auto"/>
              <w:right w:val="single" w:sz="4" w:space="0" w:color="auto"/>
            </w:tcBorders>
          </w:tcPr>
          <w:p w14:paraId="720D5650" w14:textId="77777777" w:rsidR="00372E6A" w:rsidRPr="00C37C42" w:rsidRDefault="00372E6A" w:rsidP="003F4370">
            <w:r>
              <w:t>886</w:t>
            </w:r>
          </w:p>
        </w:tc>
        <w:tc>
          <w:tcPr>
            <w:tcW w:w="1381" w:type="dxa"/>
            <w:tcBorders>
              <w:left w:val="single" w:sz="4" w:space="0" w:color="auto"/>
              <w:bottom w:val="single" w:sz="4" w:space="0" w:color="auto"/>
              <w:right w:val="single" w:sz="4" w:space="0" w:color="auto"/>
            </w:tcBorders>
          </w:tcPr>
          <w:p w14:paraId="04B52EFB"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35D806A9" w14:textId="77777777" w:rsidR="00372E6A" w:rsidRDefault="00372E6A" w:rsidP="003F4370">
            <w:r>
              <w:rPr>
                <w:rFonts w:eastAsia="Times New Roman"/>
              </w:rPr>
              <w:t>[0-48]</w:t>
            </w:r>
          </w:p>
        </w:tc>
        <w:tc>
          <w:tcPr>
            <w:tcW w:w="1426" w:type="dxa"/>
            <w:tcBorders>
              <w:left w:val="single" w:sz="4" w:space="0" w:color="auto"/>
              <w:bottom w:val="single" w:sz="4" w:space="0" w:color="auto"/>
              <w:right w:val="single" w:sz="4" w:space="0" w:color="auto"/>
            </w:tcBorders>
          </w:tcPr>
          <w:p w14:paraId="3B845311" w14:textId="77777777" w:rsidR="00372E6A" w:rsidRDefault="00372E6A" w:rsidP="003F4370">
            <w:pPr>
              <w:rPr>
                <w:rFonts w:eastAsia="Times New Roman"/>
              </w:rPr>
            </w:pPr>
            <w:r>
              <w:rPr>
                <w:rFonts w:eastAsia="Times New Roman"/>
              </w:rPr>
              <w:t xml:space="preserve">0 (0) </w:t>
            </w:r>
          </w:p>
          <w:p w14:paraId="5E738C90" w14:textId="77777777" w:rsidR="00372E6A" w:rsidRDefault="00372E6A" w:rsidP="003F4370">
            <w:r>
              <w:rPr>
                <w:rFonts w:eastAsia="Times New Roman"/>
              </w:rPr>
              <w:t>[0-49]</w:t>
            </w:r>
          </w:p>
        </w:tc>
        <w:tc>
          <w:tcPr>
            <w:tcW w:w="1459" w:type="dxa"/>
            <w:tcBorders>
              <w:left w:val="single" w:sz="4" w:space="0" w:color="auto"/>
              <w:bottom w:val="single" w:sz="4" w:space="0" w:color="auto"/>
              <w:right w:val="single" w:sz="4" w:space="0" w:color="auto"/>
            </w:tcBorders>
          </w:tcPr>
          <w:p w14:paraId="11E464E7"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01FFBDAD" w14:textId="77777777" w:rsidR="00372E6A" w:rsidRDefault="00372E6A" w:rsidP="003F4370">
            <w:r>
              <w:rPr>
                <w:rFonts w:eastAsia="Times New Roman"/>
              </w:rPr>
              <w:t>[0-177]</w:t>
            </w:r>
          </w:p>
        </w:tc>
        <w:tc>
          <w:tcPr>
            <w:tcW w:w="1417" w:type="dxa"/>
            <w:tcBorders>
              <w:left w:val="single" w:sz="4" w:space="0" w:color="auto"/>
              <w:bottom w:val="single" w:sz="4" w:space="0" w:color="auto"/>
              <w:right w:val="single" w:sz="4" w:space="0" w:color="auto"/>
            </w:tcBorders>
          </w:tcPr>
          <w:p w14:paraId="4B1C3B76"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1521FEC1" w14:textId="77777777" w:rsidR="00372E6A" w:rsidRPr="00D30B1E" w:rsidRDefault="00372E6A" w:rsidP="003F4370">
            <w:pPr>
              <w:rPr>
                <w:rFonts w:eastAsia="Times New Roman"/>
              </w:rPr>
            </w:pPr>
            <w:r>
              <w:rPr>
                <w:rFonts w:eastAsia="Times New Roman"/>
              </w:rPr>
              <w:t>[0-64]</w:t>
            </w:r>
          </w:p>
        </w:tc>
        <w:tc>
          <w:tcPr>
            <w:tcW w:w="1418" w:type="dxa"/>
            <w:tcBorders>
              <w:left w:val="single" w:sz="4" w:space="0" w:color="auto"/>
              <w:bottom w:val="single" w:sz="4" w:space="0" w:color="auto"/>
              <w:right w:val="single" w:sz="4" w:space="0" w:color="auto"/>
            </w:tcBorders>
          </w:tcPr>
          <w:p w14:paraId="5436F745"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5BB90501" w14:textId="77777777" w:rsidR="00372E6A" w:rsidRDefault="00372E6A" w:rsidP="003F4370">
            <w:r>
              <w:rPr>
                <w:rFonts w:eastAsia="Times New Roman"/>
              </w:rPr>
              <w:t>[0-79]</w:t>
            </w:r>
          </w:p>
        </w:tc>
        <w:tc>
          <w:tcPr>
            <w:tcW w:w="1417" w:type="dxa"/>
            <w:tcBorders>
              <w:left w:val="single" w:sz="4" w:space="0" w:color="auto"/>
              <w:bottom w:val="single" w:sz="4" w:space="0" w:color="auto"/>
              <w:right w:val="single" w:sz="4" w:space="0" w:color="auto"/>
            </w:tcBorders>
          </w:tcPr>
          <w:p w14:paraId="6401E9A1"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386C9F67" w14:textId="77777777" w:rsidR="00372E6A" w:rsidRDefault="00372E6A" w:rsidP="003F4370">
            <w:r>
              <w:rPr>
                <w:rFonts w:eastAsia="Times New Roman"/>
              </w:rPr>
              <w:t>[0-107]</w:t>
            </w:r>
          </w:p>
        </w:tc>
        <w:tc>
          <w:tcPr>
            <w:tcW w:w="1418" w:type="dxa"/>
            <w:tcBorders>
              <w:left w:val="single" w:sz="4" w:space="0" w:color="auto"/>
              <w:bottom w:val="single" w:sz="4" w:space="0" w:color="auto"/>
              <w:right w:val="single" w:sz="4" w:space="0" w:color="auto"/>
            </w:tcBorders>
          </w:tcPr>
          <w:p w14:paraId="3A2C0B0F"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46B113B8" w14:textId="77777777" w:rsidR="00372E6A" w:rsidRDefault="00372E6A" w:rsidP="003F4370">
            <w:r>
              <w:rPr>
                <w:rFonts w:eastAsia="Times New Roman"/>
              </w:rPr>
              <w:t>[0-98]</w:t>
            </w:r>
          </w:p>
        </w:tc>
        <w:tc>
          <w:tcPr>
            <w:tcW w:w="1417" w:type="dxa"/>
            <w:tcBorders>
              <w:left w:val="single" w:sz="4" w:space="0" w:color="auto"/>
              <w:bottom w:val="single" w:sz="4" w:space="0" w:color="auto"/>
              <w:right w:val="single" w:sz="4" w:space="0" w:color="auto"/>
            </w:tcBorders>
          </w:tcPr>
          <w:p w14:paraId="124E4872" w14:textId="77777777" w:rsidR="00372E6A" w:rsidRDefault="00372E6A" w:rsidP="003F4370">
            <w:pPr>
              <w:rPr>
                <w:rFonts w:eastAsia="Times New Roman"/>
              </w:rPr>
            </w:pPr>
            <w:r w:rsidRPr="00E81CE7">
              <w:rPr>
                <w:rFonts w:eastAsia="Times New Roman"/>
              </w:rPr>
              <w:t>0</w:t>
            </w:r>
            <w:r>
              <w:rPr>
                <w:rFonts w:eastAsia="Times New Roman"/>
              </w:rPr>
              <w:t xml:space="preserve"> (0</w:t>
            </w:r>
            <w:r w:rsidRPr="00E81CE7">
              <w:rPr>
                <w:rFonts w:eastAsia="Times New Roman"/>
              </w:rPr>
              <w:t>)</w:t>
            </w:r>
            <w:r>
              <w:rPr>
                <w:rFonts w:eastAsia="Times New Roman"/>
              </w:rPr>
              <w:t xml:space="preserve"> </w:t>
            </w:r>
          </w:p>
          <w:p w14:paraId="603E05A5" w14:textId="77777777" w:rsidR="00372E6A" w:rsidRDefault="00372E6A" w:rsidP="003F4370">
            <w:r>
              <w:rPr>
                <w:rFonts w:eastAsia="Times New Roman"/>
              </w:rPr>
              <w:t>[0-173]</w:t>
            </w:r>
          </w:p>
        </w:tc>
        <w:tc>
          <w:tcPr>
            <w:tcW w:w="1418" w:type="dxa"/>
            <w:tcBorders>
              <w:left w:val="single" w:sz="4" w:space="0" w:color="auto"/>
              <w:bottom w:val="single" w:sz="4" w:space="0" w:color="auto"/>
              <w:right w:val="nil"/>
            </w:tcBorders>
          </w:tcPr>
          <w:p w14:paraId="466B68AD" w14:textId="77777777" w:rsidR="00372E6A" w:rsidRDefault="00372E6A" w:rsidP="003F4370">
            <w:pPr>
              <w:rPr>
                <w:rFonts w:eastAsia="Times New Roman"/>
              </w:rPr>
            </w:pPr>
            <w:r>
              <w:rPr>
                <w:rFonts w:eastAsia="Times New Roman"/>
              </w:rPr>
              <w:t>0 (0</w:t>
            </w:r>
            <w:r w:rsidRPr="00E81CE7">
              <w:rPr>
                <w:rFonts w:eastAsia="Times New Roman"/>
              </w:rPr>
              <w:t>)</w:t>
            </w:r>
            <w:r>
              <w:rPr>
                <w:rFonts w:eastAsia="Times New Roman"/>
              </w:rPr>
              <w:t xml:space="preserve"> </w:t>
            </w:r>
          </w:p>
          <w:p w14:paraId="219B979B" w14:textId="77777777" w:rsidR="00372E6A" w:rsidRDefault="00372E6A" w:rsidP="003F4370">
            <w:r>
              <w:rPr>
                <w:rFonts w:eastAsia="Times New Roman"/>
              </w:rPr>
              <w:t>[0-196]</w:t>
            </w:r>
          </w:p>
        </w:tc>
      </w:tr>
    </w:tbl>
    <w:p w14:paraId="640F7C6A" w14:textId="700849D0" w:rsidR="00372E6A" w:rsidRPr="00CD7F08" w:rsidRDefault="00372E6A" w:rsidP="00372E6A">
      <w:pPr>
        <w:tabs>
          <w:tab w:val="left" w:pos="7290"/>
        </w:tabs>
        <w:rPr>
          <w:rFonts w:cstheme="minorHAnsi"/>
          <w:color w:val="0000FF"/>
          <w:sz w:val="20"/>
          <w:u w:val="single"/>
          <w:shd w:val="clear" w:color="auto" w:fill="FFFFFF"/>
        </w:rPr>
      </w:pPr>
      <w:r w:rsidRPr="00DC12F8">
        <w:rPr>
          <w:i/>
          <w:sz w:val="18"/>
          <w:szCs w:val="18"/>
        </w:rPr>
        <w:t xml:space="preserve">Note. </w:t>
      </w:r>
      <w:r w:rsidRPr="0022760F">
        <w:rPr>
          <w:sz w:val="18"/>
        </w:rPr>
        <w:t>The numbers in</w:t>
      </w:r>
      <w:r>
        <w:rPr>
          <w:sz w:val="18"/>
        </w:rPr>
        <w:t xml:space="preserve"> curved</w:t>
      </w:r>
      <w:r w:rsidRPr="0022760F">
        <w:rPr>
          <w:sz w:val="18"/>
        </w:rPr>
        <w:t xml:space="preserve"> brackets denote the inter</w:t>
      </w:r>
      <w:r>
        <w:rPr>
          <w:sz w:val="18"/>
        </w:rPr>
        <w:t>-</w:t>
      </w:r>
      <w:r w:rsidRPr="0022760F">
        <w:rPr>
          <w:sz w:val="18"/>
        </w:rPr>
        <w:t>quartile range</w:t>
      </w:r>
      <w:r>
        <w:rPr>
          <w:sz w:val="18"/>
        </w:rPr>
        <w:t xml:space="preserve"> (IQR)</w:t>
      </w:r>
      <w:r w:rsidRPr="0022760F">
        <w:rPr>
          <w:sz w:val="18"/>
        </w:rPr>
        <w:t>.</w:t>
      </w:r>
      <w:r>
        <w:rPr>
          <w:sz w:val="18"/>
        </w:rPr>
        <w:t xml:space="preserve"> The numbers in squared brackets denote the range.</w:t>
      </w:r>
      <w:r w:rsidRPr="00DC12F8">
        <w:rPr>
          <w:i/>
          <w:sz w:val="18"/>
          <w:szCs w:val="18"/>
        </w:rPr>
        <w:t xml:space="preserve"> </w:t>
      </w:r>
      <w:r>
        <w:rPr>
          <w:i/>
          <w:sz w:val="18"/>
          <w:szCs w:val="18"/>
        </w:rPr>
        <w:br/>
        <w:t xml:space="preserve">Note. </w:t>
      </w:r>
      <w:r w:rsidRPr="00DC12F8">
        <w:rPr>
          <w:sz w:val="18"/>
          <w:szCs w:val="18"/>
        </w:rPr>
        <w:t>n(provider A) = 940; n(provider C) = 2</w:t>
      </w:r>
      <w:r>
        <w:rPr>
          <w:sz w:val="18"/>
          <w:szCs w:val="18"/>
        </w:rPr>
        <w:t>8</w:t>
      </w:r>
      <w:r w:rsidRPr="00DC12F8">
        <w:rPr>
          <w:sz w:val="18"/>
          <w:szCs w:val="18"/>
        </w:rPr>
        <w:t>3; n(provider D) = 603.</w:t>
      </w:r>
      <w:r w:rsidRPr="00DC12F8">
        <w:rPr>
          <w:sz w:val="18"/>
          <w:szCs w:val="18"/>
        </w:rPr>
        <w:br/>
      </w:r>
      <w:r w:rsidRPr="00DC12F8">
        <w:rPr>
          <w:sz w:val="18"/>
          <w:szCs w:val="18"/>
          <w:vertAlign w:val="superscript"/>
        </w:rPr>
        <w:t>b</w:t>
      </w:r>
      <w:r w:rsidRPr="00DC12F8">
        <w:rPr>
          <w:i/>
          <w:sz w:val="18"/>
          <w:szCs w:val="18"/>
        </w:rPr>
        <w:t xml:space="preserve"> </w:t>
      </w:r>
      <w:r w:rsidRPr="00DC12F8">
        <w:rPr>
          <w:sz w:val="18"/>
          <w:szCs w:val="18"/>
        </w:rPr>
        <w:t>Engagement period denotes 30 day periods: engagement period 1 = days 1 to 30; engagement period 2 = days 31 to 60, etc.</w:t>
      </w:r>
    </w:p>
    <w:sectPr w:rsidR="00372E6A" w:rsidRPr="00CD7F08" w:rsidSect="00372E6A">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2EA" w16cex:dateUtc="2022-12-01T23:33:00Z"/>
  <w16cex:commentExtensible w16cex:durableId="2734542B" w16cex:dateUtc="2022-12-01T23:38:00Z"/>
  <w16cex:commentExtensible w16cex:durableId="2734548F" w16cex:dateUtc="2022-12-01T23:40:00Z"/>
  <w16cex:commentExtensible w16cex:durableId="273457BB" w16cex:dateUtc="2022-12-01T23:53:00Z"/>
  <w16cex:commentExtensible w16cex:durableId="273458BC" w16cex:dateUtc="2022-12-01T23:58:00Z"/>
  <w16cex:commentExtensible w16cex:durableId="27345B7B" w16cex:dateUtc="2022-12-02T00:09:00Z"/>
  <w16cex:commentExtensible w16cex:durableId="27345BCC" w16cex:dateUtc="2022-12-02T00:11:00Z"/>
  <w16cex:commentExtensible w16cex:durableId="27345CF1" w16cex:dateUtc="2022-12-02T00:16:00Z"/>
  <w16cex:commentExtensible w16cex:durableId="27345E41" w16cex:dateUtc="2022-12-02T00:21:00Z"/>
  <w16cex:commentExtensible w16cex:durableId="27345EA5" w16cex:dateUtc="2022-12-02T00:23:00Z"/>
  <w16cex:commentExtensible w16cex:durableId="27345FCC" w16cex:dateUtc="2022-12-02T00:28:00Z"/>
  <w16cex:commentExtensible w16cex:durableId="273460E5" w16cex:dateUtc="2022-12-02T00:32:00Z"/>
  <w16cex:commentExtensible w16cex:durableId="27346173" w16cex:dateUtc="2022-12-02T00:35:00Z"/>
  <w16cex:commentExtensible w16cex:durableId="2734626F" w16cex:dateUtc="2022-12-02T00:39:00Z"/>
  <w16cex:commentExtensible w16cex:durableId="273461B2" w16cex:dateUtc="2022-12-02T00:36:00Z"/>
  <w16cex:commentExtensible w16cex:durableId="273461EF" w16cex:dateUtc="2022-12-02T00:37:00Z"/>
  <w16cex:commentExtensible w16cex:durableId="273463D0" w16cex:dateUtc="2022-12-02T00:45:00Z"/>
  <w16cex:commentExtensible w16cex:durableId="27346430" w16cex:dateUtc="2022-12-02T00:46:00Z"/>
  <w16cex:commentExtensible w16cex:durableId="27346547" w16cex:dateUtc="2022-12-02T00:51:00Z"/>
  <w16cex:commentExtensible w16cex:durableId="27346733" w16cex:dateUtc="2022-12-02T00:59:00Z"/>
  <w16cex:commentExtensible w16cex:durableId="273468BB" w16cex:dateUtc="2022-12-02T01:06:00Z"/>
  <w16cex:commentExtensible w16cex:durableId="273467C5" w16cex:dateUtc="2022-12-02T01:02:00Z"/>
  <w16cex:commentExtensible w16cex:durableId="27346839" w16cex:dateUtc="2022-12-02T01:04:00Z"/>
  <w16cex:commentExtensible w16cex:durableId="27346949" w16cex:dateUtc="2022-12-02T01:08:00Z"/>
  <w16cex:commentExtensible w16cex:durableId="273468FD" w16cex:dateUtc="2022-12-02T01:07:00Z"/>
  <w16cex:commentExtensible w16cex:durableId="27346BA6" w16cex:dateUtc="2022-12-02T01:18:00Z"/>
  <w16cex:commentExtensible w16cex:durableId="27346BF1" w16cex:dateUtc="2022-12-02T01:20:00Z"/>
  <w16cex:commentExtensible w16cex:durableId="27346C1C" w16cex:dateUtc="2022-12-02T01:20:00Z"/>
  <w16cex:commentExtensible w16cex:durableId="27346C55" w16cex:dateUtc="2022-12-02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10D8D6" w16cid:durableId="273452EA"/>
  <w16cid:commentId w16cid:paraId="36E35CBC" w16cid:durableId="2734542B"/>
  <w16cid:commentId w16cid:paraId="548C5CDF" w16cid:durableId="2734548F"/>
  <w16cid:commentId w16cid:paraId="4768CD5E" w16cid:durableId="273457BB"/>
  <w16cid:commentId w16cid:paraId="1D940A8C" w16cid:durableId="273458BC"/>
  <w16cid:commentId w16cid:paraId="3AD026CD" w16cid:durableId="27345B7B"/>
  <w16cid:commentId w16cid:paraId="7364AB2A" w16cid:durableId="27345BCC"/>
  <w16cid:commentId w16cid:paraId="1969D4D3" w16cid:durableId="27345CF1"/>
  <w16cid:commentId w16cid:paraId="408371A7" w16cid:durableId="27345E41"/>
  <w16cid:commentId w16cid:paraId="715BB9B5" w16cid:durableId="27345EA5"/>
  <w16cid:commentId w16cid:paraId="692E32C8" w16cid:durableId="27345FCC"/>
  <w16cid:commentId w16cid:paraId="41C5FF37" w16cid:durableId="273460E5"/>
  <w16cid:commentId w16cid:paraId="3222C883" w16cid:durableId="27346173"/>
  <w16cid:commentId w16cid:paraId="1A6DB254" w16cid:durableId="2734626F"/>
  <w16cid:commentId w16cid:paraId="45134D0D" w16cid:durableId="273461B2"/>
  <w16cid:commentId w16cid:paraId="3F07D604" w16cid:durableId="273461EF"/>
  <w16cid:commentId w16cid:paraId="122D1B89" w16cid:durableId="273463D0"/>
  <w16cid:commentId w16cid:paraId="6532FEEC" w16cid:durableId="27346430"/>
  <w16cid:commentId w16cid:paraId="090A1E20" w16cid:durableId="27346547"/>
  <w16cid:commentId w16cid:paraId="5E703A96" w16cid:durableId="27346733"/>
  <w16cid:commentId w16cid:paraId="7F700863" w16cid:durableId="273468BB"/>
  <w16cid:commentId w16cid:paraId="4213F1F2" w16cid:durableId="273467C5"/>
  <w16cid:commentId w16cid:paraId="1D241DF0" w16cid:durableId="27346839"/>
  <w16cid:commentId w16cid:paraId="6053CEB8" w16cid:durableId="27346949"/>
  <w16cid:commentId w16cid:paraId="65F54448" w16cid:durableId="273468FD"/>
  <w16cid:commentId w16cid:paraId="09819436" w16cid:durableId="27346BA6"/>
  <w16cid:commentId w16cid:paraId="3ADFBF2D" w16cid:durableId="27346BF1"/>
  <w16cid:commentId w16cid:paraId="51A7DDA0" w16cid:durableId="27346C1C"/>
  <w16cid:commentId w16cid:paraId="2EE62CFB" w16cid:durableId="27346C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724A" w14:textId="77777777" w:rsidR="00DC1788" w:rsidRDefault="00DC1788" w:rsidP="00090552">
      <w:pPr>
        <w:spacing w:after="0" w:line="240" w:lineRule="auto"/>
      </w:pPr>
      <w:r>
        <w:separator/>
      </w:r>
    </w:p>
  </w:endnote>
  <w:endnote w:type="continuationSeparator" w:id="0">
    <w:p w14:paraId="7CF91EB4" w14:textId="77777777" w:rsidR="00DC1788" w:rsidRDefault="00DC1788" w:rsidP="0009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3BC0" w14:textId="77777777" w:rsidR="00DC1788" w:rsidRDefault="00DC1788" w:rsidP="00090552">
      <w:pPr>
        <w:spacing w:after="0" w:line="240" w:lineRule="auto"/>
      </w:pPr>
      <w:r>
        <w:separator/>
      </w:r>
    </w:p>
  </w:footnote>
  <w:footnote w:type="continuationSeparator" w:id="0">
    <w:p w14:paraId="7C15A7BB" w14:textId="77777777" w:rsidR="00DC1788" w:rsidRDefault="00DC1788" w:rsidP="00090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86230"/>
      <w:docPartObj>
        <w:docPartGallery w:val="Page Numbers (Top of Page)"/>
        <w:docPartUnique/>
      </w:docPartObj>
    </w:sdtPr>
    <w:sdtEndPr>
      <w:rPr>
        <w:noProof/>
      </w:rPr>
    </w:sdtEndPr>
    <w:sdtContent>
      <w:p w14:paraId="4691CADD" w14:textId="4B9070D0" w:rsidR="00DC1788" w:rsidRDefault="00DC1788">
        <w:pPr>
          <w:pStyle w:val="Header"/>
          <w:jc w:val="right"/>
        </w:pPr>
        <w:r>
          <w:fldChar w:fldCharType="begin"/>
        </w:r>
        <w:r>
          <w:instrText xml:space="preserve"> PAGE   \* MERGEFORMAT </w:instrText>
        </w:r>
        <w:r>
          <w:fldChar w:fldCharType="separate"/>
        </w:r>
        <w:r w:rsidR="00B862C2">
          <w:rPr>
            <w:noProof/>
          </w:rPr>
          <w:t>13</w:t>
        </w:r>
        <w:r>
          <w:rPr>
            <w:noProof/>
          </w:rPr>
          <w:fldChar w:fldCharType="end"/>
        </w:r>
      </w:p>
    </w:sdtContent>
  </w:sdt>
  <w:p w14:paraId="16897E7F" w14:textId="5E83A4CF" w:rsidR="00DC1788" w:rsidRPr="009F4B30" w:rsidRDefault="00DC1788" w:rsidP="009F4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53A"/>
    <w:multiLevelType w:val="hybridMultilevel"/>
    <w:tmpl w:val="C7B63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92160"/>
    <w:multiLevelType w:val="hybridMultilevel"/>
    <w:tmpl w:val="36C8FDD8"/>
    <w:lvl w:ilvl="0" w:tplc="3B84A5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B5ABD"/>
    <w:multiLevelType w:val="hybridMultilevel"/>
    <w:tmpl w:val="ADBC9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40F20"/>
    <w:multiLevelType w:val="hybridMultilevel"/>
    <w:tmpl w:val="AD60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86AFA"/>
    <w:multiLevelType w:val="hybridMultilevel"/>
    <w:tmpl w:val="71A6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60064"/>
    <w:multiLevelType w:val="hybridMultilevel"/>
    <w:tmpl w:val="456EF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63356"/>
    <w:multiLevelType w:val="multilevel"/>
    <w:tmpl w:val="69CC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71DD2"/>
    <w:multiLevelType w:val="hybridMultilevel"/>
    <w:tmpl w:val="941A1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5E15F7"/>
    <w:multiLevelType w:val="multilevel"/>
    <w:tmpl w:val="A612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41AA5"/>
    <w:multiLevelType w:val="multilevel"/>
    <w:tmpl w:val="D9F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6714"/>
    <w:multiLevelType w:val="hybridMultilevel"/>
    <w:tmpl w:val="4456F8E0"/>
    <w:lvl w:ilvl="0" w:tplc="D612FA3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F3564E"/>
    <w:multiLevelType w:val="hybridMultilevel"/>
    <w:tmpl w:val="748A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74A20"/>
    <w:multiLevelType w:val="hybridMultilevel"/>
    <w:tmpl w:val="A05C6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E4BD7"/>
    <w:multiLevelType w:val="multilevel"/>
    <w:tmpl w:val="8936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A7552"/>
    <w:multiLevelType w:val="hybridMultilevel"/>
    <w:tmpl w:val="2424C076"/>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DD0922"/>
    <w:multiLevelType w:val="hybridMultilevel"/>
    <w:tmpl w:val="E678224A"/>
    <w:lvl w:ilvl="0" w:tplc="F79A956C">
      <w:start w:val="1"/>
      <w:numFmt w:val="decimal"/>
      <w:lvlText w:val="%1."/>
      <w:lvlJc w:val="left"/>
      <w:pPr>
        <w:ind w:left="360" w:hanging="360"/>
      </w:pPr>
      <w:rPr>
        <w:rFonts w:asciiTheme="minorHAnsi" w:hAnsiTheme="minorHAnsi" w:cstheme="minorHAnsi" w:hint="default"/>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EA1C3C"/>
    <w:multiLevelType w:val="multilevel"/>
    <w:tmpl w:val="CA36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A4333"/>
    <w:multiLevelType w:val="multilevel"/>
    <w:tmpl w:val="862C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642EA"/>
    <w:multiLevelType w:val="multilevel"/>
    <w:tmpl w:val="912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0085C"/>
    <w:multiLevelType w:val="hybridMultilevel"/>
    <w:tmpl w:val="5546F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2"/>
  </w:num>
  <w:num w:numId="5">
    <w:abstractNumId w:val="2"/>
  </w:num>
  <w:num w:numId="6">
    <w:abstractNumId w:val="11"/>
  </w:num>
  <w:num w:numId="7">
    <w:abstractNumId w:val="15"/>
  </w:num>
  <w:num w:numId="8">
    <w:abstractNumId w:val="17"/>
  </w:num>
  <w:num w:numId="9">
    <w:abstractNumId w:val="5"/>
  </w:num>
  <w:num w:numId="10">
    <w:abstractNumId w:val="4"/>
  </w:num>
  <w:num w:numId="11">
    <w:abstractNumId w:val="19"/>
  </w:num>
  <w:num w:numId="12">
    <w:abstractNumId w:val="18"/>
  </w:num>
  <w:num w:numId="13">
    <w:abstractNumId w:val="7"/>
  </w:num>
  <w:num w:numId="14">
    <w:abstractNumId w:val="9"/>
  </w:num>
  <w:num w:numId="15">
    <w:abstractNumId w:val="1"/>
  </w:num>
  <w:num w:numId="16">
    <w:abstractNumId w:val="16"/>
  </w:num>
  <w:num w:numId="17">
    <w:abstractNumId w:val="13"/>
  </w:num>
  <w:num w:numId="18">
    <w:abstractNumId w:val="8"/>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52"/>
    <w:rsid w:val="00000950"/>
    <w:rsid w:val="000052EB"/>
    <w:rsid w:val="00005B67"/>
    <w:rsid w:val="00005C18"/>
    <w:rsid w:val="000129C9"/>
    <w:rsid w:val="0001529E"/>
    <w:rsid w:val="00016BD8"/>
    <w:rsid w:val="000173A7"/>
    <w:rsid w:val="0002299E"/>
    <w:rsid w:val="00027E8F"/>
    <w:rsid w:val="000305E8"/>
    <w:rsid w:val="00042639"/>
    <w:rsid w:val="000463AC"/>
    <w:rsid w:val="00057534"/>
    <w:rsid w:val="00061A3A"/>
    <w:rsid w:val="00064EA5"/>
    <w:rsid w:val="00066D47"/>
    <w:rsid w:val="00066E0F"/>
    <w:rsid w:val="0007094A"/>
    <w:rsid w:val="000733EE"/>
    <w:rsid w:val="00073913"/>
    <w:rsid w:val="00077327"/>
    <w:rsid w:val="00082753"/>
    <w:rsid w:val="000848A4"/>
    <w:rsid w:val="00086613"/>
    <w:rsid w:val="00086F45"/>
    <w:rsid w:val="00090552"/>
    <w:rsid w:val="000916FE"/>
    <w:rsid w:val="00091ED0"/>
    <w:rsid w:val="00091F65"/>
    <w:rsid w:val="00093EAD"/>
    <w:rsid w:val="000941B5"/>
    <w:rsid w:val="0009424E"/>
    <w:rsid w:val="00097FB1"/>
    <w:rsid w:val="000A0743"/>
    <w:rsid w:val="000A5A26"/>
    <w:rsid w:val="000A5C9E"/>
    <w:rsid w:val="000B0FE2"/>
    <w:rsid w:val="000B4B25"/>
    <w:rsid w:val="000B6B9E"/>
    <w:rsid w:val="000C4F84"/>
    <w:rsid w:val="000D3C2D"/>
    <w:rsid w:val="000D6DAA"/>
    <w:rsid w:val="000D7FB6"/>
    <w:rsid w:val="000F1032"/>
    <w:rsid w:val="000F1E8D"/>
    <w:rsid w:val="000F7726"/>
    <w:rsid w:val="000F7CBB"/>
    <w:rsid w:val="00111DD1"/>
    <w:rsid w:val="00113219"/>
    <w:rsid w:val="00116D08"/>
    <w:rsid w:val="001217A0"/>
    <w:rsid w:val="00122297"/>
    <w:rsid w:val="00124761"/>
    <w:rsid w:val="00125C52"/>
    <w:rsid w:val="001314D6"/>
    <w:rsid w:val="001337D1"/>
    <w:rsid w:val="00134BDA"/>
    <w:rsid w:val="00136371"/>
    <w:rsid w:val="001413AB"/>
    <w:rsid w:val="00142118"/>
    <w:rsid w:val="00142DCC"/>
    <w:rsid w:val="00151747"/>
    <w:rsid w:val="00152AAC"/>
    <w:rsid w:val="00153913"/>
    <w:rsid w:val="00154C87"/>
    <w:rsid w:val="00154CBA"/>
    <w:rsid w:val="00156938"/>
    <w:rsid w:val="0015799D"/>
    <w:rsid w:val="00160E8F"/>
    <w:rsid w:val="001629D1"/>
    <w:rsid w:val="00162EE8"/>
    <w:rsid w:val="00163F16"/>
    <w:rsid w:val="00165770"/>
    <w:rsid w:val="001726BE"/>
    <w:rsid w:val="00172D36"/>
    <w:rsid w:val="001742E6"/>
    <w:rsid w:val="001757F6"/>
    <w:rsid w:val="001778E4"/>
    <w:rsid w:val="00177FFC"/>
    <w:rsid w:val="00180922"/>
    <w:rsid w:val="00183E3B"/>
    <w:rsid w:val="001904B6"/>
    <w:rsid w:val="00192609"/>
    <w:rsid w:val="00192F7A"/>
    <w:rsid w:val="00195312"/>
    <w:rsid w:val="001963EA"/>
    <w:rsid w:val="001A094E"/>
    <w:rsid w:val="001A2B00"/>
    <w:rsid w:val="001A3DD8"/>
    <w:rsid w:val="001B041E"/>
    <w:rsid w:val="001B0804"/>
    <w:rsid w:val="001C1BE4"/>
    <w:rsid w:val="001C42DE"/>
    <w:rsid w:val="001C5789"/>
    <w:rsid w:val="001C5F70"/>
    <w:rsid w:val="001D09D2"/>
    <w:rsid w:val="001D180D"/>
    <w:rsid w:val="001D42AF"/>
    <w:rsid w:val="001D7A59"/>
    <w:rsid w:val="001E0471"/>
    <w:rsid w:val="001E2BE0"/>
    <w:rsid w:val="001E2FA9"/>
    <w:rsid w:val="001E6F4F"/>
    <w:rsid w:val="001F3CEF"/>
    <w:rsid w:val="001F47B8"/>
    <w:rsid w:val="001F5DE7"/>
    <w:rsid w:val="001F6ADC"/>
    <w:rsid w:val="001F7238"/>
    <w:rsid w:val="00200666"/>
    <w:rsid w:val="002020A5"/>
    <w:rsid w:val="002045F5"/>
    <w:rsid w:val="00205755"/>
    <w:rsid w:val="00207C14"/>
    <w:rsid w:val="00210488"/>
    <w:rsid w:val="002127BD"/>
    <w:rsid w:val="002157BD"/>
    <w:rsid w:val="00222F42"/>
    <w:rsid w:val="00225C7C"/>
    <w:rsid w:val="00230909"/>
    <w:rsid w:val="00230943"/>
    <w:rsid w:val="00232E7A"/>
    <w:rsid w:val="0023435A"/>
    <w:rsid w:val="00241AB6"/>
    <w:rsid w:val="0024380B"/>
    <w:rsid w:val="0025067F"/>
    <w:rsid w:val="002542CC"/>
    <w:rsid w:val="00254845"/>
    <w:rsid w:val="00260E85"/>
    <w:rsid w:val="00262608"/>
    <w:rsid w:val="0026439E"/>
    <w:rsid w:val="00264629"/>
    <w:rsid w:val="002647A1"/>
    <w:rsid w:val="00265AFA"/>
    <w:rsid w:val="00270201"/>
    <w:rsid w:val="002726BC"/>
    <w:rsid w:val="00275DF8"/>
    <w:rsid w:val="002770A7"/>
    <w:rsid w:val="00281D21"/>
    <w:rsid w:val="00286A4D"/>
    <w:rsid w:val="00292D7A"/>
    <w:rsid w:val="002A1B6D"/>
    <w:rsid w:val="002A3F7E"/>
    <w:rsid w:val="002A4449"/>
    <w:rsid w:val="002A79FB"/>
    <w:rsid w:val="002B15BD"/>
    <w:rsid w:val="002B67C3"/>
    <w:rsid w:val="002C3EEA"/>
    <w:rsid w:val="002D0CE5"/>
    <w:rsid w:val="002D3BC4"/>
    <w:rsid w:val="002D61DC"/>
    <w:rsid w:val="002D7531"/>
    <w:rsid w:val="002E556A"/>
    <w:rsid w:val="002E58C7"/>
    <w:rsid w:val="002E73FE"/>
    <w:rsid w:val="002F1152"/>
    <w:rsid w:val="003100E0"/>
    <w:rsid w:val="00310EBA"/>
    <w:rsid w:val="00313D5F"/>
    <w:rsid w:val="003168F9"/>
    <w:rsid w:val="003176E8"/>
    <w:rsid w:val="003235F4"/>
    <w:rsid w:val="00330B8C"/>
    <w:rsid w:val="00331135"/>
    <w:rsid w:val="0033192A"/>
    <w:rsid w:val="00337928"/>
    <w:rsid w:val="00344B40"/>
    <w:rsid w:val="003462F7"/>
    <w:rsid w:val="0034671A"/>
    <w:rsid w:val="003528FC"/>
    <w:rsid w:val="00357CA1"/>
    <w:rsid w:val="00357EA0"/>
    <w:rsid w:val="0036436A"/>
    <w:rsid w:val="00365B32"/>
    <w:rsid w:val="00367439"/>
    <w:rsid w:val="00370DD3"/>
    <w:rsid w:val="00371413"/>
    <w:rsid w:val="00372E6A"/>
    <w:rsid w:val="003744CA"/>
    <w:rsid w:val="003778B4"/>
    <w:rsid w:val="00380696"/>
    <w:rsid w:val="00381CA1"/>
    <w:rsid w:val="00382D6F"/>
    <w:rsid w:val="00385EB7"/>
    <w:rsid w:val="00386346"/>
    <w:rsid w:val="003919F9"/>
    <w:rsid w:val="00393B1A"/>
    <w:rsid w:val="003A47D1"/>
    <w:rsid w:val="003A54CE"/>
    <w:rsid w:val="003B0861"/>
    <w:rsid w:val="003B1AB2"/>
    <w:rsid w:val="003B45E1"/>
    <w:rsid w:val="003B510C"/>
    <w:rsid w:val="003B6C4E"/>
    <w:rsid w:val="003C09C1"/>
    <w:rsid w:val="003C13D1"/>
    <w:rsid w:val="003C3436"/>
    <w:rsid w:val="003C5166"/>
    <w:rsid w:val="003C5AB7"/>
    <w:rsid w:val="003C5EF4"/>
    <w:rsid w:val="003C6CDB"/>
    <w:rsid w:val="003D0E3C"/>
    <w:rsid w:val="003D1726"/>
    <w:rsid w:val="003D1B4B"/>
    <w:rsid w:val="003D451B"/>
    <w:rsid w:val="003D4557"/>
    <w:rsid w:val="003D4FEB"/>
    <w:rsid w:val="003E3EAA"/>
    <w:rsid w:val="003E559A"/>
    <w:rsid w:val="003F1B7D"/>
    <w:rsid w:val="003F338F"/>
    <w:rsid w:val="003F3C6A"/>
    <w:rsid w:val="003F4370"/>
    <w:rsid w:val="003F49FD"/>
    <w:rsid w:val="003F563A"/>
    <w:rsid w:val="003F5E65"/>
    <w:rsid w:val="003F6802"/>
    <w:rsid w:val="003F7C6C"/>
    <w:rsid w:val="00402B44"/>
    <w:rsid w:val="00405969"/>
    <w:rsid w:val="00406228"/>
    <w:rsid w:val="0040672E"/>
    <w:rsid w:val="00407B49"/>
    <w:rsid w:val="00407E1B"/>
    <w:rsid w:val="0041013C"/>
    <w:rsid w:val="0041068B"/>
    <w:rsid w:val="004159A4"/>
    <w:rsid w:val="00416FFF"/>
    <w:rsid w:val="00417A98"/>
    <w:rsid w:val="00423481"/>
    <w:rsid w:val="004260FC"/>
    <w:rsid w:val="00426C70"/>
    <w:rsid w:val="00430A9A"/>
    <w:rsid w:val="004317E1"/>
    <w:rsid w:val="00433D36"/>
    <w:rsid w:val="004355DF"/>
    <w:rsid w:val="00437BB5"/>
    <w:rsid w:val="00441850"/>
    <w:rsid w:val="0044533A"/>
    <w:rsid w:val="00445833"/>
    <w:rsid w:val="00446922"/>
    <w:rsid w:val="004472C8"/>
    <w:rsid w:val="00452BFC"/>
    <w:rsid w:val="00452D33"/>
    <w:rsid w:val="00453A15"/>
    <w:rsid w:val="00455205"/>
    <w:rsid w:val="00460501"/>
    <w:rsid w:val="00470251"/>
    <w:rsid w:val="00472445"/>
    <w:rsid w:val="00472548"/>
    <w:rsid w:val="00473128"/>
    <w:rsid w:val="004751D9"/>
    <w:rsid w:val="00475E33"/>
    <w:rsid w:val="004807C2"/>
    <w:rsid w:val="00486355"/>
    <w:rsid w:val="00486DCF"/>
    <w:rsid w:val="0049080D"/>
    <w:rsid w:val="0049182A"/>
    <w:rsid w:val="004969A9"/>
    <w:rsid w:val="00496C52"/>
    <w:rsid w:val="004A29A0"/>
    <w:rsid w:val="004A2E50"/>
    <w:rsid w:val="004A49AC"/>
    <w:rsid w:val="004A6A02"/>
    <w:rsid w:val="004B499F"/>
    <w:rsid w:val="004B4BEF"/>
    <w:rsid w:val="004B4CE9"/>
    <w:rsid w:val="004B57F2"/>
    <w:rsid w:val="004C1D4A"/>
    <w:rsid w:val="004C4B39"/>
    <w:rsid w:val="004C5763"/>
    <w:rsid w:val="004C6176"/>
    <w:rsid w:val="004D0A0C"/>
    <w:rsid w:val="004D1545"/>
    <w:rsid w:val="004D482D"/>
    <w:rsid w:val="004D4FFD"/>
    <w:rsid w:val="004D65EB"/>
    <w:rsid w:val="004D7778"/>
    <w:rsid w:val="004E0449"/>
    <w:rsid w:val="004E07E5"/>
    <w:rsid w:val="004E7A92"/>
    <w:rsid w:val="004F17BB"/>
    <w:rsid w:val="004F2453"/>
    <w:rsid w:val="004F2D94"/>
    <w:rsid w:val="005004DC"/>
    <w:rsid w:val="005014A5"/>
    <w:rsid w:val="00502316"/>
    <w:rsid w:val="005041E6"/>
    <w:rsid w:val="00506FB1"/>
    <w:rsid w:val="00512454"/>
    <w:rsid w:val="00513B63"/>
    <w:rsid w:val="005153A5"/>
    <w:rsid w:val="00517598"/>
    <w:rsid w:val="00521062"/>
    <w:rsid w:val="00523BC7"/>
    <w:rsid w:val="00525BEB"/>
    <w:rsid w:val="00526FA8"/>
    <w:rsid w:val="005357C8"/>
    <w:rsid w:val="005363E2"/>
    <w:rsid w:val="00536FB1"/>
    <w:rsid w:val="00537A05"/>
    <w:rsid w:val="00537B96"/>
    <w:rsid w:val="00537DBC"/>
    <w:rsid w:val="005432BA"/>
    <w:rsid w:val="005446DF"/>
    <w:rsid w:val="005447CE"/>
    <w:rsid w:val="005506FB"/>
    <w:rsid w:val="005523FD"/>
    <w:rsid w:val="005532A4"/>
    <w:rsid w:val="00556348"/>
    <w:rsid w:val="00560D13"/>
    <w:rsid w:val="005619CC"/>
    <w:rsid w:val="00567B63"/>
    <w:rsid w:val="00570C79"/>
    <w:rsid w:val="0057156F"/>
    <w:rsid w:val="005747F9"/>
    <w:rsid w:val="0057590C"/>
    <w:rsid w:val="00581AB7"/>
    <w:rsid w:val="00583A9A"/>
    <w:rsid w:val="00586DB6"/>
    <w:rsid w:val="00586F06"/>
    <w:rsid w:val="00593699"/>
    <w:rsid w:val="00595AC8"/>
    <w:rsid w:val="0059697F"/>
    <w:rsid w:val="005A2597"/>
    <w:rsid w:val="005A3637"/>
    <w:rsid w:val="005A4379"/>
    <w:rsid w:val="005A5164"/>
    <w:rsid w:val="005B1412"/>
    <w:rsid w:val="005B20DD"/>
    <w:rsid w:val="005B6DAC"/>
    <w:rsid w:val="005C096D"/>
    <w:rsid w:val="005C184E"/>
    <w:rsid w:val="005C471B"/>
    <w:rsid w:val="005C4F88"/>
    <w:rsid w:val="005E2C5F"/>
    <w:rsid w:val="005E3AC1"/>
    <w:rsid w:val="005F3B05"/>
    <w:rsid w:val="005F54C0"/>
    <w:rsid w:val="005F56C0"/>
    <w:rsid w:val="005F5D57"/>
    <w:rsid w:val="00600F1F"/>
    <w:rsid w:val="00602472"/>
    <w:rsid w:val="0060798A"/>
    <w:rsid w:val="0060798C"/>
    <w:rsid w:val="00607A7F"/>
    <w:rsid w:val="00610B16"/>
    <w:rsid w:val="00610B3D"/>
    <w:rsid w:val="0061252A"/>
    <w:rsid w:val="00615980"/>
    <w:rsid w:val="00617EFD"/>
    <w:rsid w:val="00620713"/>
    <w:rsid w:val="0062283A"/>
    <w:rsid w:val="00625B3C"/>
    <w:rsid w:val="00627F6A"/>
    <w:rsid w:val="00630265"/>
    <w:rsid w:val="00630843"/>
    <w:rsid w:val="00630D7B"/>
    <w:rsid w:val="00632AB9"/>
    <w:rsid w:val="00633CB6"/>
    <w:rsid w:val="00634BF0"/>
    <w:rsid w:val="00637584"/>
    <w:rsid w:val="0063796C"/>
    <w:rsid w:val="00637FE4"/>
    <w:rsid w:val="00645A65"/>
    <w:rsid w:val="00651DAD"/>
    <w:rsid w:val="00655AD8"/>
    <w:rsid w:val="00656EB2"/>
    <w:rsid w:val="00657317"/>
    <w:rsid w:val="00664152"/>
    <w:rsid w:val="006642F2"/>
    <w:rsid w:val="0066461C"/>
    <w:rsid w:val="00667314"/>
    <w:rsid w:val="006700E8"/>
    <w:rsid w:val="00670667"/>
    <w:rsid w:val="006746C8"/>
    <w:rsid w:val="006748E9"/>
    <w:rsid w:val="00677A26"/>
    <w:rsid w:val="00677F6F"/>
    <w:rsid w:val="0068142C"/>
    <w:rsid w:val="006905CF"/>
    <w:rsid w:val="0069311F"/>
    <w:rsid w:val="00695506"/>
    <w:rsid w:val="006A2904"/>
    <w:rsid w:val="006A30C6"/>
    <w:rsid w:val="006A5087"/>
    <w:rsid w:val="006A68C7"/>
    <w:rsid w:val="006A7CAA"/>
    <w:rsid w:val="006B32AD"/>
    <w:rsid w:val="006B3454"/>
    <w:rsid w:val="006C3760"/>
    <w:rsid w:val="006C7FF3"/>
    <w:rsid w:val="006D60DF"/>
    <w:rsid w:val="006E05A4"/>
    <w:rsid w:val="006E395A"/>
    <w:rsid w:val="006E4809"/>
    <w:rsid w:val="006E48D6"/>
    <w:rsid w:val="006F161D"/>
    <w:rsid w:val="006F2175"/>
    <w:rsid w:val="006F4536"/>
    <w:rsid w:val="007005FF"/>
    <w:rsid w:val="00701D12"/>
    <w:rsid w:val="00704C11"/>
    <w:rsid w:val="0070694D"/>
    <w:rsid w:val="00713110"/>
    <w:rsid w:val="00721675"/>
    <w:rsid w:val="00721B79"/>
    <w:rsid w:val="00721BC0"/>
    <w:rsid w:val="00722B21"/>
    <w:rsid w:val="00730A43"/>
    <w:rsid w:val="007333A9"/>
    <w:rsid w:val="007344DE"/>
    <w:rsid w:val="00736959"/>
    <w:rsid w:val="00741962"/>
    <w:rsid w:val="00743BF9"/>
    <w:rsid w:val="00755966"/>
    <w:rsid w:val="007656FF"/>
    <w:rsid w:val="00766ADF"/>
    <w:rsid w:val="0076793C"/>
    <w:rsid w:val="007760E8"/>
    <w:rsid w:val="00777B78"/>
    <w:rsid w:val="007866EF"/>
    <w:rsid w:val="007A10A3"/>
    <w:rsid w:val="007A1D2E"/>
    <w:rsid w:val="007A1FA2"/>
    <w:rsid w:val="007A3AC4"/>
    <w:rsid w:val="007A6FC9"/>
    <w:rsid w:val="007A7CE1"/>
    <w:rsid w:val="007B0E0B"/>
    <w:rsid w:val="007B1E5C"/>
    <w:rsid w:val="007B4D0B"/>
    <w:rsid w:val="007B78BE"/>
    <w:rsid w:val="007C51E5"/>
    <w:rsid w:val="007D0EF4"/>
    <w:rsid w:val="007D2CA8"/>
    <w:rsid w:val="007D61A8"/>
    <w:rsid w:val="007E2E20"/>
    <w:rsid w:val="007E5805"/>
    <w:rsid w:val="007E6B6C"/>
    <w:rsid w:val="007F2962"/>
    <w:rsid w:val="007F3C8A"/>
    <w:rsid w:val="007F441E"/>
    <w:rsid w:val="007F5B2D"/>
    <w:rsid w:val="008027A1"/>
    <w:rsid w:val="00804445"/>
    <w:rsid w:val="00805BB3"/>
    <w:rsid w:val="00817629"/>
    <w:rsid w:val="0082275C"/>
    <w:rsid w:val="008229E4"/>
    <w:rsid w:val="0082304E"/>
    <w:rsid w:val="008231EF"/>
    <w:rsid w:val="008263DB"/>
    <w:rsid w:val="008301A4"/>
    <w:rsid w:val="0083159C"/>
    <w:rsid w:val="00831733"/>
    <w:rsid w:val="008354AB"/>
    <w:rsid w:val="008372BB"/>
    <w:rsid w:val="00837AD0"/>
    <w:rsid w:val="00837C96"/>
    <w:rsid w:val="0084696E"/>
    <w:rsid w:val="00851959"/>
    <w:rsid w:val="008566B2"/>
    <w:rsid w:val="00860913"/>
    <w:rsid w:val="008616EB"/>
    <w:rsid w:val="00861C1D"/>
    <w:rsid w:val="00862E2A"/>
    <w:rsid w:val="008704A6"/>
    <w:rsid w:val="008718B8"/>
    <w:rsid w:val="00873AE4"/>
    <w:rsid w:val="008776E8"/>
    <w:rsid w:val="0088551B"/>
    <w:rsid w:val="008913D0"/>
    <w:rsid w:val="00891DBA"/>
    <w:rsid w:val="00891FAC"/>
    <w:rsid w:val="008937AF"/>
    <w:rsid w:val="008945D5"/>
    <w:rsid w:val="0089553D"/>
    <w:rsid w:val="00895CE5"/>
    <w:rsid w:val="00895E96"/>
    <w:rsid w:val="00897426"/>
    <w:rsid w:val="008A1AF3"/>
    <w:rsid w:val="008A1D50"/>
    <w:rsid w:val="008B1562"/>
    <w:rsid w:val="008B39F5"/>
    <w:rsid w:val="008B502D"/>
    <w:rsid w:val="008B5FD3"/>
    <w:rsid w:val="008B602D"/>
    <w:rsid w:val="008C148B"/>
    <w:rsid w:val="008C1546"/>
    <w:rsid w:val="008C2A82"/>
    <w:rsid w:val="008C3970"/>
    <w:rsid w:val="008C42A9"/>
    <w:rsid w:val="008C62EA"/>
    <w:rsid w:val="008D273A"/>
    <w:rsid w:val="008D33AC"/>
    <w:rsid w:val="008D7336"/>
    <w:rsid w:val="008E1372"/>
    <w:rsid w:val="008E59EE"/>
    <w:rsid w:val="008E659E"/>
    <w:rsid w:val="008E6BDF"/>
    <w:rsid w:val="008F0D39"/>
    <w:rsid w:val="008F1A82"/>
    <w:rsid w:val="008F4730"/>
    <w:rsid w:val="008F7533"/>
    <w:rsid w:val="0090386B"/>
    <w:rsid w:val="00903D0B"/>
    <w:rsid w:val="0090484A"/>
    <w:rsid w:val="009058DC"/>
    <w:rsid w:val="00905DBD"/>
    <w:rsid w:val="00905FBC"/>
    <w:rsid w:val="00906179"/>
    <w:rsid w:val="00906619"/>
    <w:rsid w:val="00906FAD"/>
    <w:rsid w:val="00911860"/>
    <w:rsid w:val="00912D0F"/>
    <w:rsid w:val="00916903"/>
    <w:rsid w:val="009211BE"/>
    <w:rsid w:val="009219E7"/>
    <w:rsid w:val="00922F6E"/>
    <w:rsid w:val="00927AA7"/>
    <w:rsid w:val="00937435"/>
    <w:rsid w:val="00940452"/>
    <w:rsid w:val="009419A8"/>
    <w:rsid w:val="009431C5"/>
    <w:rsid w:val="00945A65"/>
    <w:rsid w:val="00946BD7"/>
    <w:rsid w:val="009562E4"/>
    <w:rsid w:val="00957909"/>
    <w:rsid w:val="0096055E"/>
    <w:rsid w:val="0096182E"/>
    <w:rsid w:val="0096332F"/>
    <w:rsid w:val="00967278"/>
    <w:rsid w:val="00970207"/>
    <w:rsid w:val="0097235F"/>
    <w:rsid w:val="00972BE6"/>
    <w:rsid w:val="00973B72"/>
    <w:rsid w:val="00973F1C"/>
    <w:rsid w:val="00975B17"/>
    <w:rsid w:val="009809A5"/>
    <w:rsid w:val="009959D0"/>
    <w:rsid w:val="009959D9"/>
    <w:rsid w:val="009A0344"/>
    <w:rsid w:val="009A463B"/>
    <w:rsid w:val="009B047C"/>
    <w:rsid w:val="009B2D30"/>
    <w:rsid w:val="009B5F89"/>
    <w:rsid w:val="009C12FB"/>
    <w:rsid w:val="009C1630"/>
    <w:rsid w:val="009C2105"/>
    <w:rsid w:val="009C3337"/>
    <w:rsid w:val="009C48B4"/>
    <w:rsid w:val="009D3CF1"/>
    <w:rsid w:val="009E53DC"/>
    <w:rsid w:val="009E6D6E"/>
    <w:rsid w:val="009F092B"/>
    <w:rsid w:val="009F3CBC"/>
    <w:rsid w:val="009F4656"/>
    <w:rsid w:val="009F4B30"/>
    <w:rsid w:val="009F692C"/>
    <w:rsid w:val="00A02472"/>
    <w:rsid w:val="00A04DB8"/>
    <w:rsid w:val="00A04DBB"/>
    <w:rsid w:val="00A05133"/>
    <w:rsid w:val="00A07598"/>
    <w:rsid w:val="00A120D1"/>
    <w:rsid w:val="00A12240"/>
    <w:rsid w:val="00A1587C"/>
    <w:rsid w:val="00A2224C"/>
    <w:rsid w:val="00A2289D"/>
    <w:rsid w:val="00A23D86"/>
    <w:rsid w:val="00A33CFC"/>
    <w:rsid w:val="00A355D4"/>
    <w:rsid w:val="00A42040"/>
    <w:rsid w:val="00A443E3"/>
    <w:rsid w:val="00A45232"/>
    <w:rsid w:val="00A4661F"/>
    <w:rsid w:val="00A51E3E"/>
    <w:rsid w:val="00A60747"/>
    <w:rsid w:val="00A627B5"/>
    <w:rsid w:val="00A63716"/>
    <w:rsid w:val="00A65386"/>
    <w:rsid w:val="00A76B71"/>
    <w:rsid w:val="00A76CCB"/>
    <w:rsid w:val="00A77786"/>
    <w:rsid w:val="00A8286A"/>
    <w:rsid w:val="00A83711"/>
    <w:rsid w:val="00A85CA3"/>
    <w:rsid w:val="00A92636"/>
    <w:rsid w:val="00A92FE5"/>
    <w:rsid w:val="00A9476B"/>
    <w:rsid w:val="00A968CC"/>
    <w:rsid w:val="00AA0413"/>
    <w:rsid w:val="00AA7AF4"/>
    <w:rsid w:val="00AB2383"/>
    <w:rsid w:val="00AB2856"/>
    <w:rsid w:val="00AB30CD"/>
    <w:rsid w:val="00AB407E"/>
    <w:rsid w:val="00AB578A"/>
    <w:rsid w:val="00AB672C"/>
    <w:rsid w:val="00AB6A55"/>
    <w:rsid w:val="00AB6CDA"/>
    <w:rsid w:val="00AC63C8"/>
    <w:rsid w:val="00AC702E"/>
    <w:rsid w:val="00AD1127"/>
    <w:rsid w:val="00AD1851"/>
    <w:rsid w:val="00AD3BFA"/>
    <w:rsid w:val="00AD47E8"/>
    <w:rsid w:val="00AD7C0C"/>
    <w:rsid w:val="00AE0E10"/>
    <w:rsid w:val="00AE1DFF"/>
    <w:rsid w:val="00AE1F44"/>
    <w:rsid w:val="00AE30A3"/>
    <w:rsid w:val="00AE324A"/>
    <w:rsid w:val="00AE5216"/>
    <w:rsid w:val="00AE650D"/>
    <w:rsid w:val="00AE66D9"/>
    <w:rsid w:val="00AE6A6C"/>
    <w:rsid w:val="00AF726E"/>
    <w:rsid w:val="00B064DF"/>
    <w:rsid w:val="00B067E3"/>
    <w:rsid w:val="00B06FF5"/>
    <w:rsid w:val="00B10466"/>
    <w:rsid w:val="00B10515"/>
    <w:rsid w:val="00B20550"/>
    <w:rsid w:val="00B21103"/>
    <w:rsid w:val="00B21530"/>
    <w:rsid w:val="00B25E70"/>
    <w:rsid w:val="00B30581"/>
    <w:rsid w:val="00B30CEE"/>
    <w:rsid w:val="00B3415B"/>
    <w:rsid w:val="00B35B19"/>
    <w:rsid w:val="00B4372A"/>
    <w:rsid w:val="00B44EA2"/>
    <w:rsid w:val="00B47B21"/>
    <w:rsid w:val="00B500B0"/>
    <w:rsid w:val="00B504E8"/>
    <w:rsid w:val="00B520DD"/>
    <w:rsid w:val="00B52FF6"/>
    <w:rsid w:val="00B616A5"/>
    <w:rsid w:val="00B628D0"/>
    <w:rsid w:val="00B70636"/>
    <w:rsid w:val="00B70E46"/>
    <w:rsid w:val="00B71942"/>
    <w:rsid w:val="00B7309B"/>
    <w:rsid w:val="00B738D9"/>
    <w:rsid w:val="00B758B1"/>
    <w:rsid w:val="00B8090C"/>
    <w:rsid w:val="00B862C2"/>
    <w:rsid w:val="00B87D27"/>
    <w:rsid w:val="00B87F37"/>
    <w:rsid w:val="00B92950"/>
    <w:rsid w:val="00B9303C"/>
    <w:rsid w:val="00B95B16"/>
    <w:rsid w:val="00BA0697"/>
    <w:rsid w:val="00BA25E5"/>
    <w:rsid w:val="00BA3FDD"/>
    <w:rsid w:val="00BA404C"/>
    <w:rsid w:val="00BA55DE"/>
    <w:rsid w:val="00BA63B0"/>
    <w:rsid w:val="00BB004B"/>
    <w:rsid w:val="00BB4B15"/>
    <w:rsid w:val="00BC74A1"/>
    <w:rsid w:val="00BD0912"/>
    <w:rsid w:val="00BD5E38"/>
    <w:rsid w:val="00BE3F58"/>
    <w:rsid w:val="00BE45B8"/>
    <w:rsid w:val="00BE6016"/>
    <w:rsid w:val="00BE6FBC"/>
    <w:rsid w:val="00BF4959"/>
    <w:rsid w:val="00BF5536"/>
    <w:rsid w:val="00BF78CA"/>
    <w:rsid w:val="00C118C9"/>
    <w:rsid w:val="00C11C5C"/>
    <w:rsid w:val="00C16603"/>
    <w:rsid w:val="00C174BB"/>
    <w:rsid w:val="00C21508"/>
    <w:rsid w:val="00C24A83"/>
    <w:rsid w:val="00C26140"/>
    <w:rsid w:val="00C26B19"/>
    <w:rsid w:val="00C31CAB"/>
    <w:rsid w:val="00C3239D"/>
    <w:rsid w:val="00C35D69"/>
    <w:rsid w:val="00C37FFA"/>
    <w:rsid w:val="00C422B9"/>
    <w:rsid w:val="00C4372E"/>
    <w:rsid w:val="00C4419A"/>
    <w:rsid w:val="00C45DE3"/>
    <w:rsid w:val="00C461E5"/>
    <w:rsid w:val="00C51260"/>
    <w:rsid w:val="00C51C1D"/>
    <w:rsid w:val="00C52D0F"/>
    <w:rsid w:val="00C60472"/>
    <w:rsid w:val="00C616A2"/>
    <w:rsid w:val="00C62743"/>
    <w:rsid w:val="00C679EB"/>
    <w:rsid w:val="00C71724"/>
    <w:rsid w:val="00C74BC9"/>
    <w:rsid w:val="00C7546A"/>
    <w:rsid w:val="00C75554"/>
    <w:rsid w:val="00C7732C"/>
    <w:rsid w:val="00C82777"/>
    <w:rsid w:val="00C86755"/>
    <w:rsid w:val="00C91C2F"/>
    <w:rsid w:val="00C927E0"/>
    <w:rsid w:val="00C95434"/>
    <w:rsid w:val="00C976B1"/>
    <w:rsid w:val="00CA0AE0"/>
    <w:rsid w:val="00CB1A11"/>
    <w:rsid w:val="00CB3F16"/>
    <w:rsid w:val="00CB6AB3"/>
    <w:rsid w:val="00CC358F"/>
    <w:rsid w:val="00CC561A"/>
    <w:rsid w:val="00CC7F1D"/>
    <w:rsid w:val="00CC7F8A"/>
    <w:rsid w:val="00CD0890"/>
    <w:rsid w:val="00CD7F08"/>
    <w:rsid w:val="00CE5165"/>
    <w:rsid w:val="00CF3437"/>
    <w:rsid w:val="00CF7821"/>
    <w:rsid w:val="00D0207F"/>
    <w:rsid w:val="00D025D8"/>
    <w:rsid w:val="00D05785"/>
    <w:rsid w:val="00D10B6D"/>
    <w:rsid w:val="00D15F0B"/>
    <w:rsid w:val="00D165AF"/>
    <w:rsid w:val="00D229D8"/>
    <w:rsid w:val="00D24157"/>
    <w:rsid w:val="00D26EB0"/>
    <w:rsid w:val="00D27C6C"/>
    <w:rsid w:val="00D3039E"/>
    <w:rsid w:val="00D30B1E"/>
    <w:rsid w:val="00D313F3"/>
    <w:rsid w:val="00D31877"/>
    <w:rsid w:val="00D3710E"/>
    <w:rsid w:val="00D419ED"/>
    <w:rsid w:val="00D428EA"/>
    <w:rsid w:val="00D4688C"/>
    <w:rsid w:val="00D47A4D"/>
    <w:rsid w:val="00D47EF8"/>
    <w:rsid w:val="00D55AD4"/>
    <w:rsid w:val="00D56A61"/>
    <w:rsid w:val="00D57362"/>
    <w:rsid w:val="00D60129"/>
    <w:rsid w:val="00D61C7D"/>
    <w:rsid w:val="00D66AB5"/>
    <w:rsid w:val="00D70D75"/>
    <w:rsid w:val="00D82CC8"/>
    <w:rsid w:val="00D86AFA"/>
    <w:rsid w:val="00D92B44"/>
    <w:rsid w:val="00D969F9"/>
    <w:rsid w:val="00DA3166"/>
    <w:rsid w:val="00DA4E77"/>
    <w:rsid w:val="00DA5C01"/>
    <w:rsid w:val="00DB000E"/>
    <w:rsid w:val="00DB0BCA"/>
    <w:rsid w:val="00DB41B8"/>
    <w:rsid w:val="00DB5F83"/>
    <w:rsid w:val="00DC12F8"/>
    <w:rsid w:val="00DC16CF"/>
    <w:rsid w:val="00DC1788"/>
    <w:rsid w:val="00DC6F85"/>
    <w:rsid w:val="00DE3CC3"/>
    <w:rsid w:val="00DE52FD"/>
    <w:rsid w:val="00DE5363"/>
    <w:rsid w:val="00E035B9"/>
    <w:rsid w:val="00E0364B"/>
    <w:rsid w:val="00E044E6"/>
    <w:rsid w:val="00E1285B"/>
    <w:rsid w:val="00E12DE5"/>
    <w:rsid w:val="00E14FA9"/>
    <w:rsid w:val="00E2167B"/>
    <w:rsid w:val="00E34D4F"/>
    <w:rsid w:val="00E36881"/>
    <w:rsid w:val="00E36F57"/>
    <w:rsid w:val="00E375C6"/>
    <w:rsid w:val="00E4548C"/>
    <w:rsid w:val="00E47270"/>
    <w:rsid w:val="00E505DB"/>
    <w:rsid w:val="00E50CE9"/>
    <w:rsid w:val="00E5698B"/>
    <w:rsid w:val="00E62626"/>
    <w:rsid w:val="00E67642"/>
    <w:rsid w:val="00E71558"/>
    <w:rsid w:val="00E720F4"/>
    <w:rsid w:val="00E72EC9"/>
    <w:rsid w:val="00E7796A"/>
    <w:rsid w:val="00E80E0A"/>
    <w:rsid w:val="00E872B0"/>
    <w:rsid w:val="00E914E3"/>
    <w:rsid w:val="00E922D6"/>
    <w:rsid w:val="00E9586D"/>
    <w:rsid w:val="00EA03CB"/>
    <w:rsid w:val="00EA060C"/>
    <w:rsid w:val="00EA2EFC"/>
    <w:rsid w:val="00EA53E5"/>
    <w:rsid w:val="00EB20D5"/>
    <w:rsid w:val="00EB2F6C"/>
    <w:rsid w:val="00EB353B"/>
    <w:rsid w:val="00EB3C77"/>
    <w:rsid w:val="00EB472D"/>
    <w:rsid w:val="00EB48D7"/>
    <w:rsid w:val="00EB52A8"/>
    <w:rsid w:val="00EB6B29"/>
    <w:rsid w:val="00ED26D0"/>
    <w:rsid w:val="00ED3664"/>
    <w:rsid w:val="00ED7FA9"/>
    <w:rsid w:val="00EE4955"/>
    <w:rsid w:val="00EE4B24"/>
    <w:rsid w:val="00EE60A5"/>
    <w:rsid w:val="00EF0751"/>
    <w:rsid w:val="00EF0916"/>
    <w:rsid w:val="00EF0B04"/>
    <w:rsid w:val="00EF3B8E"/>
    <w:rsid w:val="00EF4737"/>
    <w:rsid w:val="00F07B7C"/>
    <w:rsid w:val="00F10CDE"/>
    <w:rsid w:val="00F12439"/>
    <w:rsid w:val="00F13160"/>
    <w:rsid w:val="00F21342"/>
    <w:rsid w:val="00F217F4"/>
    <w:rsid w:val="00F24663"/>
    <w:rsid w:val="00F30245"/>
    <w:rsid w:val="00F311A3"/>
    <w:rsid w:val="00F318EF"/>
    <w:rsid w:val="00F35010"/>
    <w:rsid w:val="00F36A90"/>
    <w:rsid w:val="00F37A2B"/>
    <w:rsid w:val="00F4124B"/>
    <w:rsid w:val="00F43F68"/>
    <w:rsid w:val="00F44E3C"/>
    <w:rsid w:val="00F453A9"/>
    <w:rsid w:val="00F505D4"/>
    <w:rsid w:val="00F516FC"/>
    <w:rsid w:val="00F51CD3"/>
    <w:rsid w:val="00F61CCE"/>
    <w:rsid w:val="00F62D0B"/>
    <w:rsid w:val="00F7516F"/>
    <w:rsid w:val="00F75212"/>
    <w:rsid w:val="00F755B9"/>
    <w:rsid w:val="00F80766"/>
    <w:rsid w:val="00F8468A"/>
    <w:rsid w:val="00F866F9"/>
    <w:rsid w:val="00F908AF"/>
    <w:rsid w:val="00F9230F"/>
    <w:rsid w:val="00F92CCB"/>
    <w:rsid w:val="00F93891"/>
    <w:rsid w:val="00F95532"/>
    <w:rsid w:val="00FA22D9"/>
    <w:rsid w:val="00FA38E3"/>
    <w:rsid w:val="00FB17D4"/>
    <w:rsid w:val="00FB4145"/>
    <w:rsid w:val="00FB6C80"/>
    <w:rsid w:val="00FC74E2"/>
    <w:rsid w:val="00FD194D"/>
    <w:rsid w:val="00FD292E"/>
    <w:rsid w:val="00FD5F50"/>
    <w:rsid w:val="00FD7876"/>
    <w:rsid w:val="00FE0C1E"/>
    <w:rsid w:val="00FE5059"/>
    <w:rsid w:val="00FF02D7"/>
    <w:rsid w:val="00FF3FEC"/>
    <w:rsid w:val="00FF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F3C8"/>
  <w15:chartTrackingRefBased/>
  <w15:docId w15:val="{01C82AA5-76AB-4119-8160-6B6A0135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52"/>
  </w:style>
  <w:style w:type="paragraph" w:styleId="Heading1">
    <w:name w:val="heading 1"/>
    <w:basedOn w:val="Normal"/>
    <w:next w:val="Normal"/>
    <w:link w:val="Heading1Char"/>
    <w:uiPriority w:val="9"/>
    <w:qFormat/>
    <w:rsid w:val="00C35D69"/>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02E"/>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5D69"/>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70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0552"/>
    <w:pPr>
      <w:ind w:left="720"/>
      <w:contextualSpacing/>
    </w:pPr>
  </w:style>
  <w:style w:type="character" w:styleId="Hyperlink">
    <w:name w:val="Hyperlink"/>
    <w:basedOn w:val="DefaultParagraphFont"/>
    <w:uiPriority w:val="99"/>
    <w:unhideWhenUsed/>
    <w:rsid w:val="00090552"/>
    <w:rPr>
      <w:color w:val="0000FF"/>
      <w:u w:val="single"/>
    </w:rPr>
  </w:style>
  <w:style w:type="table" w:styleId="TableGrid">
    <w:name w:val="Table Grid"/>
    <w:basedOn w:val="TableNormal"/>
    <w:uiPriority w:val="39"/>
    <w:rsid w:val="0009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90552"/>
  </w:style>
  <w:style w:type="paragraph" w:styleId="Header">
    <w:name w:val="header"/>
    <w:basedOn w:val="Normal"/>
    <w:link w:val="HeaderChar"/>
    <w:uiPriority w:val="99"/>
    <w:unhideWhenUsed/>
    <w:rsid w:val="00090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52"/>
  </w:style>
  <w:style w:type="paragraph" w:styleId="Footer">
    <w:name w:val="footer"/>
    <w:basedOn w:val="Normal"/>
    <w:link w:val="FooterChar"/>
    <w:uiPriority w:val="99"/>
    <w:unhideWhenUsed/>
    <w:rsid w:val="00090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52"/>
  </w:style>
  <w:style w:type="character" w:customStyle="1" w:styleId="Heading1Char">
    <w:name w:val="Heading 1 Char"/>
    <w:basedOn w:val="DefaultParagraphFont"/>
    <w:link w:val="Heading1"/>
    <w:uiPriority w:val="9"/>
    <w:rsid w:val="00C35D69"/>
    <w:rPr>
      <w:rFonts w:eastAsiaTheme="majorEastAsia" w:cstheme="majorBidi"/>
      <w:color w:val="2E74B5" w:themeColor="accent1" w:themeShade="BF"/>
      <w:sz w:val="32"/>
      <w:szCs w:val="32"/>
    </w:rPr>
  </w:style>
  <w:style w:type="character" w:customStyle="1" w:styleId="Heading3Char">
    <w:name w:val="Heading 3 Char"/>
    <w:basedOn w:val="DefaultParagraphFont"/>
    <w:link w:val="Heading3"/>
    <w:uiPriority w:val="9"/>
    <w:rsid w:val="00C35D69"/>
    <w:rPr>
      <w:rFonts w:eastAsiaTheme="majorEastAsia" w:cstheme="majorBidi"/>
      <w:color w:val="1F4D78" w:themeColor="accent1" w:themeShade="7F"/>
      <w:sz w:val="24"/>
      <w:szCs w:val="24"/>
    </w:rPr>
  </w:style>
  <w:style w:type="character" w:customStyle="1" w:styleId="Heading2Char">
    <w:name w:val="Heading 2 Char"/>
    <w:basedOn w:val="DefaultParagraphFont"/>
    <w:link w:val="Heading2"/>
    <w:uiPriority w:val="9"/>
    <w:rsid w:val="00AC702E"/>
    <w:rPr>
      <w:rFonts w:eastAsiaTheme="majorEastAsia" w:cstheme="majorBidi"/>
      <w:color w:val="2E74B5" w:themeColor="accent1" w:themeShade="BF"/>
      <w:sz w:val="26"/>
      <w:szCs w:val="26"/>
    </w:rPr>
  </w:style>
  <w:style w:type="character" w:customStyle="1" w:styleId="Heading4Char">
    <w:name w:val="Heading 4 Char"/>
    <w:basedOn w:val="DefaultParagraphFont"/>
    <w:link w:val="Heading4"/>
    <w:uiPriority w:val="9"/>
    <w:rsid w:val="00AC702E"/>
    <w:rPr>
      <w:rFonts w:asciiTheme="majorHAnsi" w:eastAsiaTheme="majorEastAsia" w:hAnsiTheme="majorHAnsi" w:cstheme="majorBidi"/>
      <w:i/>
      <w:iCs/>
      <w:color w:val="2E74B5" w:themeColor="accent1" w:themeShade="BF"/>
    </w:rPr>
  </w:style>
  <w:style w:type="character" w:customStyle="1" w:styleId="tooltip">
    <w:name w:val="tooltip"/>
    <w:basedOn w:val="DefaultParagraphFont"/>
    <w:rsid w:val="00B70636"/>
  </w:style>
  <w:style w:type="character" w:styleId="CommentReference">
    <w:name w:val="annotation reference"/>
    <w:basedOn w:val="DefaultParagraphFont"/>
    <w:uiPriority w:val="99"/>
    <w:semiHidden/>
    <w:unhideWhenUsed/>
    <w:rsid w:val="00AC63C8"/>
    <w:rPr>
      <w:sz w:val="16"/>
      <w:szCs w:val="16"/>
    </w:rPr>
  </w:style>
  <w:style w:type="paragraph" w:styleId="CommentText">
    <w:name w:val="annotation text"/>
    <w:basedOn w:val="Normal"/>
    <w:link w:val="CommentTextChar"/>
    <w:uiPriority w:val="99"/>
    <w:unhideWhenUsed/>
    <w:rsid w:val="00AC63C8"/>
    <w:pPr>
      <w:spacing w:line="240" w:lineRule="auto"/>
    </w:pPr>
    <w:rPr>
      <w:sz w:val="20"/>
      <w:szCs w:val="20"/>
    </w:rPr>
  </w:style>
  <w:style w:type="character" w:customStyle="1" w:styleId="CommentTextChar">
    <w:name w:val="Comment Text Char"/>
    <w:basedOn w:val="DefaultParagraphFont"/>
    <w:link w:val="CommentText"/>
    <w:uiPriority w:val="99"/>
    <w:rsid w:val="00AC63C8"/>
    <w:rPr>
      <w:sz w:val="20"/>
      <w:szCs w:val="20"/>
    </w:rPr>
  </w:style>
  <w:style w:type="paragraph" w:styleId="CommentSubject">
    <w:name w:val="annotation subject"/>
    <w:basedOn w:val="CommentText"/>
    <w:next w:val="CommentText"/>
    <w:link w:val="CommentSubjectChar"/>
    <w:uiPriority w:val="99"/>
    <w:semiHidden/>
    <w:unhideWhenUsed/>
    <w:rsid w:val="00AC63C8"/>
    <w:rPr>
      <w:b/>
      <w:bCs/>
    </w:rPr>
  </w:style>
  <w:style w:type="character" w:customStyle="1" w:styleId="CommentSubjectChar">
    <w:name w:val="Comment Subject Char"/>
    <w:basedOn w:val="CommentTextChar"/>
    <w:link w:val="CommentSubject"/>
    <w:uiPriority w:val="99"/>
    <w:semiHidden/>
    <w:rsid w:val="00AC63C8"/>
    <w:rPr>
      <w:b/>
      <w:bCs/>
      <w:sz w:val="20"/>
      <w:szCs w:val="20"/>
    </w:rPr>
  </w:style>
  <w:style w:type="paragraph" w:styleId="BalloonText">
    <w:name w:val="Balloon Text"/>
    <w:basedOn w:val="Normal"/>
    <w:link w:val="BalloonTextChar"/>
    <w:uiPriority w:val="99"/>
    <w:semiHidden/>
    <w:unhideWhenUsed/>
    <w:rsid w:val="00AC6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C8"/>
    <w:rPr>
      <w:rFonts w:ascii="Segoe UI" w:hAnsi="Segoe UI" w:cs="Segoe UI"/>
      <w:sz w:val="18"/>
      <w:szCs w:val="18"/>
    </w:rPr>
  </w:style>
  <w:style w:type="character" w:customStyle="1" w:styleId="identifier">
    <w:name w:val="identifier"/>
    <w:basedOn w:val="DefaultParagraphFont"/>
    <w:rsid w:val="00116D08"/>
  </w:style>
  <w:style w:type="paragraph" w:styleId="Revision">
    <w:name w:val="Revision"/>
    <w:hidden/>
    <w:uiPriority w:val="99"/>
    <w:semiHidden/>
    <w:rsid w:val="0026439E"/>
    <w:pPr>
      <w:spacing w:after="0" w:line="240" w:lineRule="auto"/>
    </w:pPr>
  </w:style>
  <w:style w:type="character" w:customStyle="1" w:styleId="UnresolvedMention1">
    <w:name w:val="Unresolved Mention1"/>
    <w:basedOn w:val="DefaultParagraphFont"/>
    <w:uiPriority w:val="99"/>
    <w:semiHidden/>
    <w:unhideWhenUsed/>
    <w:rsid w:val="00F07B7C"/>
    <w:rPr>
      <w:color w:val="605E5C"/>
      <w:shd w:val="clear" w:color="auto" w:fill="E1DFDD"/>
    </w:rPr>
  </w:style>
  <w:style w:type="character" w:styleId="Strong">
    <w:name w:val="Strong"/>
    <w:basedOn w:val="DefaultParagraphFont"/>
    <w:uiPriority w:val="22"/>
    <w:qFormat/>
    <w:rsid w:val="00973B72"/>
    <w:rPr>
      <w:b/>
      <w:bCs/>
    </w:rPr>
  </w:style>
  <w:style w:type="paragraph" w:styleId="NormalWeb">
    <w:name w:val="Normal (Web)"/>
    <w:basedOn w:val="Normal"/>
    <w:uiPriority w:val="99"/>
    <w:unhideWhenUsed/>
    <w:rsid w:val="00212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182A"/>
    <w:rPr>
      <w:i/>
      <w:iCs/>
    </w:rPr>
  </w:style>
  <w:style w:type="character" w:styleId="LineNumber">
    <w:name w:val="line number"/>
    <w:basedOn w:val="DefaultParagraphFont"/>
    <w:uiPriority w:val="99"/>
    <w:semiHidden/>
    <w:unhideWhenUsed/>
    <w:rsid w:val="00EF0916"/>
  </w:style>
  <w:style w:type="paragraph" w:styleId="PlainText">
    <w:name w:val="Plain Text"/>
    <w:basedOn w:val="Normal"/>
    <w:link w:val="PlainTextChar"/>
    <w:uiPriority w:val="99"/>
    <w:unhideWhenUsed/>
    <w:rsid w:val="00C8277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2777"/>
    <w:rPr>
      <w:rFonts w:ascii="Calibri" w:hAnsi="Calibri"/>
      <w:szCs w:val="21"/>
    </w:rPr>
  </w:style>
  <w:style w:type="character" w:customStyle="1" w:styleId="anchor-text">
    <w:name w:val="anchor-text"/>
    <w:basedOn w:val="DefaultParagraphFont"/>
    <w:rsid w:val="0068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0054">
      <w:bodyDiv w:val="1"/>
      <w:marLeft w:val="0"/>
      <w:marRight w:val="0"/>
      <w:marTop w:val="0"/>
      <w:marBottom w:val="0"/>
      <w:divBdr>
        <w:top w:val="none" w:sz="0" w:space="0" w:color="auto"/>
        <w:left w:val="none" w:sz="0" w:space="0" w:color="auto"/>
        <w:bottom w:val="none" w:sz="0" w:space="0" w:color="auto"/>
        <w:right w:val="none" w:sz="0" w:space="0" w:color="auto"/>
      </w:divBdr>
    </w:div>
    <w:div w:id="202451122">
      <w:bodyDiv w:val="1"/>
      <w:marLeft w:val="0"/>
      <w:marRight w:val="0"/>
      <w:marTop w:val="0"/>
      <w:marBottom w:val="0"/>
      <w:divBdr>
        <w:top w:val="none" w:sz="0" w:space="0" w:color="auto"/>
        <w:left w:val="none" w:sz="0" w:space="0" w:color="auto"/>
        <w:bottom w:val="none" w:sz="0" w:space="0" w:color="auto"/>
        <w:right w:val="none" w:sz="0" w:space="0" w:color="auto"/>
      </w:divBdr>
    </w:div>
    <w:div w:id="249434020">
      <w:bodyDiv w:val="1"/>
      <w:marLeft w:val="0"/>
      <w:marRight w:val="0"/>
      <w:marTop w:val="0"/>
      <w:marBottom w:val="0"/>
      <w:divBdr>
        <w:top w:val="none" w:sz="0" w:space="0" w:color="auto"/>
        <w:left w:val="none" w:sz="0" w:space="0" w:color="auto"/>
        <w:bottom w:val="none" w:sz="0" w:space="0" w:color="auto"/>
        <w:right w:val="none" w:sz="0" w:space="0" w:color="auto"/>
      </w:divBdr>
    </w:div>
    <w:div w:id="294719704">
      <w:bodyDiv w:val="1"/>
      <w:marLeft w:val="0"/>
      <w:marRight w:val="0"/>
      <w:marTop w:val="0"/>
      <w:marBottom w:val="0"/>
      <w:divBdr>
        <w:top w:val="none" w:sz="0" w:space="0" w:color="auto"/>
        <w:left w:val="none" w:sz="0" w:space="0" w:color="auto"/>
        <w:bottom w:val="none" w:sz="0" w:space="0" w:color="auto"/>
        <w:right w:val="none" w:sz="0" w:space="0" w:color="auto"/>
      </w:divBdr>
    </w:div>
    <w:div w:id="347954371">
      <w:bodyDiv w:val="1"/>
      <w:marLeft w:val="0"/>
      <w:marRight w:val="0"/>
      <w:marTop w:val="0"/>
      <w:marBottom w:val="0"/>
      <w:divBdr>
        <w:top w:val="none" w:sz="0" w:space="0" w:color="auto"/>
        <w:left w:val="none" w:sz="0" w:space="0" w:color="auto"/>
        <w:bottom w:val="none" w:sz="0" w:space="0" w:color="auto"/>
        <w:right w:val="none" w:sz="0" w:space="0" w:color="auto"/>
      </w:divBdr>
    </w:div>
    <w:div w:id="649872771">
      <w:bodyDiv w:val="1"/>
      <w:marLeft w:val="0"/>
      <w:marRight w:val="0"/>
      <w:marTop w:val="0"/>
      <w:marBottom w:val="0"/>
      <w:divBdr>
        <w:top w:val="none" w:sz="0" w:space="0" w:color="auto"/>
        <w:left w:val="none" w:sz="0" w:space="0" w:color="auto"/>
        <w:bottom w:val="none" w:sz="0" w:space="0" w:color="auto"/>
        <w:right w:val="none" w:sz="0" w:space="0" w:color="auto"/>
      </w:divBdr>
    </w:div>
    <w:div w:id="689454252">
      <w:bodyDiv w:val="1"/>
      <w:marLeft w:val="0"/>
      <w:marRight w:val="0"/>
      <w:marTop w:val="0"/>
      <w:marBottom w:val="0"/>
      <w:divBdr>
        <w:top w:val="none" w:sz="0" w:space="0" w:color="auto"/>
        <w:left w:val="none" w:sz="0" w:space="0" w:color="auto"/>
        <w:bottom w:val="none" w:sz="0" w:space="0" w:color="auto"/>
        <w:right w:val="none" w:sz="0" w:space="0" w:color="auto"/>
      </w:divBdr>
    </w:div>
    <w:div w:id="860170869">
      <w:bodyDiv w:val="1"/>
      <w:marLeft w:val="0"/>
      <w:marRight w:val="0"/>
      <w:marTop w:val="0"/>
      <w:marBottom w:val="0"/>
      <w:divBdr>
        <w:top w:val="none" w:sz="0" w:space="0" w:color="auto"/>
        <w:left w:val="none" w:sz="0" w:space="0" w:color="auto"/>
        <w:bottom w:val="none" w:sz="0" w:space="0" w:color="auto"/>
        <w:right w:val="none" w:sz="0" w:space="0" w:color="auto"/>
      </w:divBdr>
    </w:div>
    <w:div w:id="951135775">
      <w:bodyDiv w:val="1"/>
      <w:marLeft w:val="0"/>
      <w:marRight w:val="0"/>
      <w:marTop w:val="0"/>
      <w:marBottom w:val="0"/>
      <w:divBdr>
        <w:top w:val="none" w:sz="0" w:space="0" w:color="auto"/>
        <w:left w:val="none" w:sz="0" w:space="0" w:color="auto"/>
        <w:bottom w:val="none" w:sz="0" w:space="0" w:color="auto"/>
        <w:right w:val="none" w:sz="0" w:space="0" w:color="auto"/>
      </w:divBdr>
    </w:div>
    <w:div w:id="1033456304">
      <w:bodyDiv w:val="1"/>
      <w:marLeft w:val="0"/>
      <w:marRight w:val="0"/>
      <w:marTop w:val="0"/>
      <w:marBottom w:val="0"/>
      <w:divBdr>
        <w:top w:val="none" w:sz="0" w:space="0" w:color="auto"/>
        <w:left w:val="none" w:sz="0" w:space="0" w:color="auto"/>
        <w:bottom w:val="none" w:sz="0" w:space="0" w:color="auto"/>
        <w:right w:val="none" w:sz="0" w:space="0" w:color="auto"/>
      </w:divBdr>
    </w:div>
    <w:div w:id="1483504350">
      <w:bodyDiv w:val="1"/>
      <w:marLeft w:val="0"/>
      <w:marRight w:val="0"/>
      <w:marTop w:val="0"/>
      <w:marBottom w:val="0"/>
      <w:divBdr>
        <w:top w:val="none" w:sz="0" w:space="0" w:color="auto"/>
        <w:left w:val="none" w:sz="0" w:space="0" w:color="auto"/>
        <w:bottom w:val="none" w:sz="0" w:space="0" w:color="auto"/>
        <w:right w:val="none" w:sz="0" w:space="0" w:color="auto"/>
      </w:divBdr>
    </w:div>
    <w:div w:id="1719357775">
      <w:bodyDiv w:val="1"/>
      <w:marLeft w:val="0"/>
      <w:marRight w:val="0"/>
      <w:marTop w:val="0"/>
      <w:marBottom w:val="0"/>
      <w:divBdr>
        <w:top w:val="none" w:sz="0" w:space="0" w:color="auto"/>
        <w:left w:val="none" w:sz="0" w:space="0" w:color="auto"/>
        <w:bottom w:val="none" w:sz="0" w:space="0" w:color="auto"/>
        <w:right w:val="none" w:sz="0" w:space="0" w:color="auto"/>
      </w:divBdr>
    </w:div>
    <w:div w:id="20448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Ainsworth@soton.ac.uk" TargetMode="External"/><Relationship Id="rId18" Type="http://schemas.openxmlformats.org/officeDocument/2006/relationships/hyperlink" Target="https://doi.org/10.1016/S2213-8587(19)30093-2" TargetMode="External"/><Relationship Id="rId26" Type="http://schemas.openxmlformats.org/officeDocument/2006/relationships/hyperlink" Target="https://doi.org/10.1016/j.lanepe.2022.100420" TargetMode="External"/><Relationship Id="rId39" Type="http://schemas.openxmlformats.org/officeDocument/2006/relationships/hyperlink" Target="https://doi.org/10.2196/jmir.4897" TargetMode="External"/><Relationship Id="rId21" Type="http://schemas.openxmlformats.org/officeDocument/2006/relationships/hyperlink" Target="https://doi.org/10.1016/j.diabres.2004.06.010" TargetMode="External"/><Relationship Id="rId34" Type="http://schemas.openxmlformats.org/officeDocument/2006/relationships/hyperlink" Target="https://doi.org/10.1016/j.pmedr.2023.102112" TargetMode="External"/><Relationship Id="rId42" Type="http://schemas.openxmlformats.org/officeDocument/2006/relationships/hyperlink" Target="https://doi.org/10.1016/j.amepre.2018.06.028" TargetMode="External"/><Relationship Id="rId47" Type="http://schemas.openxmlformats.org/officeDocument/2006/relationships/hyperlink" Target="https://doi.org/10.2196/10925" TargetMode="External"/><Relationship Id="rId50" Type="http://schemas.openxmlformats.org/officeDocument/2006/relationships/hyperlink" Target="https://doi.org/10.3310/hta25550" TargetMode="External"/><Relationship Id="rId55" Type="http://schemas.openxmlformats.org/officeDocument/2006/relationships/hyperlink" Target="https://doi.org/10.1007/s13142-016-0453-1" TargetMode="External"/><Relationship Id="rId63" Type="http://schemas.openxmlformats.org/officeDocument/2006/relationships/hyperlink" Target="https://www.ncbi.nlm.nih.gov/pubmed/29472174" TargetMode="External"/><Relationship Id="rId68" Type="http://schemas.openxmlformats.org/officeDocument/2006/relationships/theme" Target="theme/theme1.xm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David.French@manchester.ac.uk" TargetMode="External"/><Relationship Id="rId29" Type="http://schemas.openxmlformats.org/officeDocument/2006/relationships/hyperlink" Target="https://doi.org/10.1136/bmjopen-2018-0259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iannon.Hawkes@manchester.ac.uk" TargetMode="External"/><Relationship Id="rId24" Type="http://schemas.openxmlformats.org/officeDocument/2006/relationships/hyperlink" Target="https://doi.org/10.2337/dc19-1425" TargetMode="External"/><Relationship Id="rId32" Type="http://schemas.openxmlformats.org/officeDocument/2006/relationships/hyperlink" Target="http://dx.doi.org/10.2196/34253" TargetMode="External"/><Relationship Id="rId37" Type="http://schemas.openxmlformats.org/officeDocument/2006/relationships/hyperlink" Target="https://doi.org/10.2196/10966" TargetMode="External"/><Relationship Id="rId40" Type="http://schemas.openxmlformats.org/officeDocument/2006/relationships/hyperlink" Target="https://doi.org/10.2196/15219" TargetMode="External"/><Relationship Id="rId45" Type="http://schemas.openxmlformats.org/officeDocument/2006/relationships/hyperlink" Target="https://dx.doi.org/10.1136/bmjdrc-2017-000422" TargetMode="External"/><Relationship Id="rId53" Type="http://schemas.openxmlformats.org/officeDocument/2006/relationships/hyperlink" Target="http://dx.doi.org/10.1136/bmjdrc-2020-001835" TargetMode="External"/><Relationship Id="rId58" Type="http://schemas.openxmlformats.org/officeDocument/2006/relationships/hyperlink" Target="https://doi.org/10.2196/35371"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achel.Meacock@manchester.ac.uk" TargetMode="External"/><Relationship Id="rId23" Type="http://schemas.openxmlformats.org/officeDocument/2006/relationships/hyperlink" Target="https://www.england.nhs.uk/diabetes/diabetes-prevention/" TargetMode="External"/><Relationship Id="rId28" Type="http://schemas.openxmlformats.org/officeDocument/2006/relationships/hyperlink" Target="https://doi.org/10.1007/s11892-017-0948-2" TargetMode="External"/><Relationship Id="rId36" Type="http://schemas.openxmlformats.org/officeDocument/2006/relationships/hyperlink" Target="https://doi.org/10.1007/s12160-013-9486-6" TargetMode="External"/><Relationship Id="rId49" Type="http://schemas.openxmlformats.org/officeDocument/2006/relationships/hyperlink" Target="https://www.diabetes.org.uk/about_us/news/know-your-risk-update" TargetMode="External"/><Relationship Id="rId57" Type="http://schemas.openxmlformats.org/officeDocument/2006/relationships/hyperlink" Target="https://doi.org/10.2196/35479" TargetMode="External"/><Relationship Id="rId61" Type="http://schemas.openxmlformats.org/officeDocument/2006/relationships/hyperlink" Target="https://doi.org/10.2196/40961" TargetMode="External"/><Relationship Id="rId10" Type="http://schemas.openxmlformats.org/officeDocument/2006/relationships/endnotes" Target="endnotes.xml"/><Relationship Id="rId19" Type="http://schemas.openxmlformats.org/officeDocument/2006/relationships/hyperlink" Target="https://doi.org/10.1056/NEJM200105033441801" TargetMode="External"/><Relationship Id="rId31" Type="http://schemas.openxmlformats.org/officeDocument/2006/relationships/hyperlink" Target="https://doi.org/10.1016/j.pmedr.2023.102161" TargetMode="External"/><Relationship Id="rId44" Type="http://schemas.openxmlformats.org/officeDocument/2006/relationships/hyperlink" Target="https://doi.org/10.2196/17842" TargetMode="External"/><Relationship Id="rId52" Type="http://schemas.openxmlformats.org/officeDocument/2006/relationships/hyperlink" Target="https://doi.org/10.2196/11941" TargetMode="External"/><Relationship Id="rId60" Type="http://schemas.openxmlformats.org/officeDocument/2006/relationships/hyperlink" Target="https://doi.org/10.2196/mhealth.9161" TargetMode="External"/><Relationship Id="rId65" Type="http://schemas.openxmlformats.org/officeDocument/2006/relationships/hyperlink" Target="https://assets.publishing.service.gov.uk/government/uploads/system/uploads/attachment_data/file/456147/PHE_Evidence_Review_of_diabetes_prevention_programmes-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ie.Ross@qmul.ac.uk" TargetMode="External"/><Relationship Id="rId22" Type="http://schemas.openxmlformats.org/officeDocument/2006/relationships/hyperlink" Target="https://doi.org/10.1007/s00125-005-0097-z" TargetMode="External"/><Relationship Id="rId27" Type="http://schemas.openxmlformats.org/officeDocument/2006/relationships/hyperlink" Target="https://doi.org/10.1136/bmjdrc-2020-001835" TargetMode="External"/><Relationship Id="rId30" Type="http://schemas.openxmlformats.org/officeDocument/2006/relationships/hyperlink" Target="https://doi.org/10.1136/bmjdrc-2021-002736" TargetMode="External"/><Relationship Id="rId35" Type="http://schemas.openxmlformats.org/officeDocument/2006/relationships/hyperlink" Target="https://doi.org/10.1080/17437199.2020.1814836" TargetMode="External"/><Relationship Id="rId43" Type="http://schemas.openxmlformats.org/officeDocument/2006/relationships/hyperlink" Target="https://doi.org/10.1136/bmjdrc-2019-001132" TargetMode="External"/><Relationship Id="rId48" Type="http://schemas.openxmlformats.org/officeDocument/2006/relationships/hyperlink" Target="https://doi.org/10.1186/1748-5908-8-117" TargetMode="External"/><Relationship Id="rId56" Type="http://schemas.openxmlformats.org/officeDocument/2006/relationships/hyperlink" Target="https://doi.org/10.2196/40141" TargetMode="External"/><Relationship Id="rId64" Type="http://schemas.openxmlformats.org/officeDocument/2006/relationships/hyperlink" Target="https://doi.org/10.1080/21642850.2022.2077205" TargetMode="External"/><Relationship Id="rId8" Type="http://schemas.openxmlformats.org/officeDocument/2006/relationships/webSettings" Target="webSettings.xml"/><Relationship Id="rId51" Type="http://schemas.openxmlformats.org/officeDocument/2006/relationships/hyperlink" Target="https://doi.org/10.1186/s12966-021-01134-7" TargetMode="External"/><Relationship Id="rId3" Type="http://schemas.openxmlformats.org/officeDocument/2006/relationships/customXml" Target="../customXml/item3.xml"/><Relationship Id="rId12" Type="http://schemas.openxmlformats.org/officeDocument/2006/relationships/hyperlink" Target="mailto:Lisa.Miles-2@manchester.ac.uk" TargetMode="External"/><Relationship Id="rId17" Type="http://schemas.openxmlformats.org/officeDocument/2006/relationships/hyperlink" Target="https://www.diabetes.org.uk/professionals/position-statements-reports/statistics/diabetes-prevalence-2019" TargetMode="External"/><Relationship Id="rId25" Type="http://schemas.openxmlformats.org/officeDocument/2006/relationships/hyperlink" Target="https://doi.org/10.1186/s12966-022-01249-5" TargetMode="External"/><Relationship Id="rId33" Type="http://schemas.openxmlformats.org/officeDocument/2006/relationships/hyperlink" Target="https://doi.org/10.1186/s12913-023-09210-3" TargetMode="External"/><Relationship Id="rId38" Type="http://schemas.openxmlformats.org/officeDocument/2006/relationships/hyperlink" Target="https://doi.org/10.1016/j.amepre.2016.06.015" TargetMode="External"/><Relationship Id="rId46" Type="http://schemas.openxmlformats.org/officeDocument/2006/relationships/hyperlink" Target="https://doi.org/10.2196/23243" TargetMode="External"/><Relationship Id="rId59" Type="http://schemas.openxmlformats.org/officeDocument/2006/relationships/hyperlink" Target="https://dx.doi.org/10.1136/bmjdrc-2016-000264" TargetMode="External"/><Relationship Id="rId67" Type="http://schemas.openxmlformats.org/officeDocument/2006/relationships/fontTable" Target="fontTable.xml"/><Relationship Id="rId20" Type="http://schemas.openxmlformats.org/officeDocument/2006/relationships/hyperlink" Target="https://doi.org/10.1056/NEJMoa012512" TargetMode="External"/><Relationship Id="rId41" Type="http://schemas.openxmlformats.org/officeDocument/2006/relationships/hyperlink" Target="https://doi.org/10.2196/31530" TargetMode="External"/><Relationship Id="rId54" Type="http://schemas.openxmlformats.org/officeDocument/2006/relationships/hyperlink" Target="https://doi.org/10.2196/41214" TargetMode="External"/><Relationship Id="rId62" Type="http://schemas.openxmlformats.org/officeDocument/2006/relationships/hyperlink" Target="https://doi.org/10.2196/jmir.8342" TargetMode="External"/><Relationship Id="rId7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5" ma:contentTypeDescription="Create a new document." ma:contentTypeScope="" ma:versionID="22bb30c548b3e9598b9e1b0d45c073fc">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d9ce71ddb5ea38438bd4533cb8291b5a"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07d3ab-c61f-4ed7-a5bc-3b8082c278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013A-3E86-4418-94CF-343FE0A33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3F4AE-1875-4B58-8DE7-F85A96C88960}">
  <ds:schemaRefs>
    <ds:schemaRef ds:uri="http://purl.org/dc/terms/"/>
    <ds:schemaRef ds:uri="http://schemas.microsoft.com/office/2006/documentManagement/types"/>
    <ds:schemaRef ds:uri="http://purl.org/dc/dcmitype/"/>
    <ds:schemaRef ds:uri="http://schemas.microsoft.com/office/infopath/2007/PartnerControls"/>
    <ds:schemaRef ds:uri="fa5e378e-b709-4e55-a1fc-703fd4edd451"/>
    <ds:schemaRef ds:uri="http://purl.org/dc/elements/1.1/"/>
    <ds:schemaRef ds:uri="http://schemas.microsoft.com/office/2006/metadata/properties"/>
    <ds:schemaRef ds:uri="http://schemas.openxmlformats.org/package/2006/metadata/core-properties"/>
    <ds:schemaRef ds:uri="1607d3ab-c61f-4ed7-a5bc-3b8082c27856"/>
    <ds:schemaRef ds:uri="http://www.w3.org/XML/1998/namespace"/>
  </ds:schemaRefs>
</ds:datastoreItem>
</file>

<file path=customXml/itemProps3.xml><?xml version="1.0" encoding="utf-8"?>
<ds:datastoreItem xmlns:ds="http://schemas.openxmlformats.org/officeDocument/2006/customXml" ds:itemID="{F442F55E-9721-4F66-8EE6-B1E0BFBAAA91}">
  <ds:schemaRefs>
    <ds:schemaRef ds:uri="http://schemas.microsoft.com/sharepoint/v3/contenttype/forms"/>
  </ds:schemaRefs>
</ds:datastoreItem>
</file>

<file path=customXml/itemProps4.xml><?xml version="1.0" encoding="utf-8"?>
<ds:datastoreItem xmlns:ds="http://schemas.openxmlformats.org/officeDocument/2006/customXml" ds:itemID="{5D5FBEF5-8105-44ED-82FF-2F712F3D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35</Pages>
  <Words>10362</Words>
  <Characters>59067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Hawkes</dc:creator>
  <cp:keywords/>
  <dc:description/>
  <cp:lastModifiedBy>Rhiannon Hawkes</cp:lastModifiedBy>
  <cp:revision>15</cp:revision>
  <dcterms:created xsi:type="dcterms:W3CDTF">2023-04-18T17:17:00Z</dcterms:created>
  <dcterms:modified xsi:type="dcterms:W3CDTF">2023-04-20T14:07:00Z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y fmtid="{D5CDD505-2E9C-101B-9397-08002B2CF9AE}" pid="3" name="GrammarlyDocumentId">
    <vt:lpwstr>8376fb51702b7e17f924f21da591c54c1ba6e0202b8870c355416a4f5b05aefc</vt:lpwstr>
  </property>
</Properties>
</file>