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F90D" w14:textId="7CF40898" w:rsidR="002B031F" w:rsidRDefault="00CA25A4" w:rsidP="00D90FDE">
      <w:pPr>
        <w:spacing w:line="480" w:lineRule="auto"/>
        <w:jc w:val="center"/>
        <w:rPr>
          <w:rFonts w:ascii="Arial" w:hAnsi="Arial" w:cs="Arial"/>
          <w:b/>
          <w:bCs/>
          <w:sz w:val="24"/>
          <w:szCs w:val="24"/>
        </w:rPr>
      </w:pPr>
      <w:r w:rsidRPr="00D90FDE">
        <w:rPr>
          <w:rFonts w:ascii="Arial" w:hAnsi="Arial" w:cs="Arial"/>
          <w:b/>
          <w:bCs/>
          <w:sz w:val="24"/>
          <w:szCs w:val="24"/>
        </w:rPr>
        <w:t>Co-existence of psoriasis and cutaneous T-cell lymphoma</w:t>
      </w:r>
    </w:p>
    <w:p w14:paraId="0BD44DF2" w14:textId="77777777" w:rsidR="00587F01" w:rsidRPr="00D90FDE" w:rsidRDefault="00587F01" w:rsidP="00D90FDE">
      <w:pPr>
        <w:spacing w:line="480" w:lineRule="auto"/>
        <w:jc w:val="center"/>
        <w:rPr>
          <w:rFonts w:ascii="Arial" w:hAnsi="Arial" w:cs="Arial"/>
          <w:b/>
          <w:bCs/>
          <w:sz w:val="24"/>
          <w:szCs w:val="24"/>
        </w:rPr>
      </w:pPr>
    </w:p>
    <w:p w14:paraId="392445E4" w14:textId="12CB3E1C" w:rsidR="00CA25A4" w:rsidRDefault="002B45EC" w:rsidP="00D90FDE">
      <w:pPr>
        <w:spacing w:line="480" w:lineRule="auto"/>
        <w:rPr>
          <w:rFonts w:ascii="Arial" w:hAnsi="Arial" w:cs="Arial"/>
        </w:rPr>
      </w:pPr>
      <w:r>
        <w:rPr>
          <w:rFonts w:ascii="Arial" w:hAnsi="Arial" w:cs="Arial"/>
        </w:rPr>
        <w:t>Running head: Psoriasis and cutaneous T cell lymphoma</w:t>
      </w:r>
    </w:p>
    <w:p w14:paraId="3D0B2A42" w14:textId="5F5E58AA" w:rsidR="002B45EC" w:rsidRPr="00D90FDE" w:rsidRDefault="002B45EC" w:rsidP="002B45EC">
      <w:pPr>
        <w:spacing w:line="480" w:lineRule="auto"/>
        <w:rPr>
          <w:rFonts w:ascii="Arial" w:hAnsi="Arial" w:cs="Arial"/>
        </w:rPr>
      </w:pPr>
      <w:r w:rsidRPr="00D90FDE">
        <w:rPr>
          <w:rFonts w:ascii="Arial" w:hAnsi="Arial" w:cs="Arial"/>
        </w:rPr>
        <w:t xml:space="preserve">Word count: </w:t>
      </w:r>
      <w:r w:rsidR="00D3003B">
        <w:rPr>
          <w:rFonts w:ascii="Arial" w:hAnsi="Arial" w:cs="Arial"/>
        </w:rPr>
        <w:t>1</w:t>
      </w:r>
      <w:r w:rsidR="008E62BF">
        <w:rPr>
          <w:rFonts w:ascii="Arial" w:hAnsi="Arial" w:cs="Arial"/>
        </w:rPr>
        <w:t>270</w:t>
      </w:r>
    </w:p>
    <w:p w14:paraId="7060EC68" w14:textId="77777777" w:rsidR="002B45EC" w:rsidRPr="00D90FDE" w:rsidRDefault="002B45EC" w:rsidP="002B45EC">
      <w:pPr>
        <w:spacing w:line="480" w:lineRule="auto"/>
        <w:rPr>
          <w:rFonts w:ascii="Arial" w:hAnsi="Arial" w:cs="Arial"/>
        </w:rPr>
      </w:pPr>
      <w:r w:rsidRPr="00D90FDE">
        <w:rPr>
          <w:rFonts w:ascii="Arial" w:hAnsi="Arial" w:cs="Arial"/>
        </w:rPr>
        <w:t xml:space="preserve">Figure count: 2 </w:t>
      </w:r>
    </w:p>
    <w:p w14:paraId="515A4818" w14:textId="77777777" w:rsidR="002B45EC" w:rsidRPr="00D90FDE" w:rsidRDefault="002B45EC" w:rsidP="002B45EC">
      <w:pPr>
        <w:spacing w:line="480" w:lineRule="auto"/>
        <w:rPr>
          <w:rFonts w:ascii="Arial" w:hAnsi="Arial" w:cs="Arial"/>
        </w:rPr>
      </w:pPr>
      <w:r w:rsidRPr="00D90FDE">
        <w:rPr>
          <w:rFonts w:ascii="Arial" w:hAnsi="Arial" w:cs="Arial"/>
        </w:rPr>
        <w:t xml:space="preserve">Table count: 0 </w:t>
      </w:r>
    </w:p>
    <w:p w14:paraId="560D9DBD" w14:textId="63694349" w:rsidR="002B45EC" w:rsidRDefault="002B45EC" w:rsidP="00D90FDE">
      <w:pPr>
        <w:spacing w:line="480" w:lineRule="auto"/>
        <w:rPr>
          <w:rFonts w:ascii="Arial" w:hAnsi="Arial" w:cs="Arial"/>
        </w:rPr>
      </w:pPr>
    </w:p>
    <w:p w14:paraId="16B6A1DB" w14:textId="79286B30" w:rsidR="00CA25A4" w:rsidRPr="00D90FDE" w:rsidRDefault="00CA25A4" w:rsidP="00D90FDE">
      <w:pPr>
        <w:spacing w:line="480" w:lineRule="auto"/>
        <w:rPr>
          <w:rFonts w:ascii="Arial" w:hAnsi="Arial" w:cs="Arial"/>
        </w:rPr>
      </w:pPr>
      <w:r w:rsidRPr="00D90FDE">
        <w:rPr>
          <w:rFonts w:ascii="Arial" w:hAnsi="Arial" w:cs="Arial"/>
        </w:rPr>
        <w:t>Joseph Scott</w:t>
      </w:r>
      <w:r w:rsidRPr="00D90FDE">
        <w:rPr>
          <w:rFonts w:ascii="Arial" w:hAnsi="Arial" w:cs="Arial"/>
          <w:vertAlign w:val="superscript"/>
        </w:rPr>
        <w:t>1,2</w:t>
      </w:r>
      <w:r w:rsidRPr="00D90FDE">
        <w:rPr>
          <w:rFonts w:ascii="Arial" w:hAnsi="Arial" w:cs="Arial"/>
        </w:rPr>
        <w:t>, Chester Lai</w:t>
      </w:r>
      <w:r w:rsidRPr="00D90FDE">
        <w:rPr>
          <w:rFonts w:ascii="Arial" w:hAnsi="Arial" w:cs="Arial"/>
          <w:vertAlign w:val="superscript"/>
        </w:rPr>
        <w:t>1,2</w:t>
      </w:r>
      <w:r w:rsidRPr="00D90FDE">
        <w:rPr>
          <w:rFonts w:ascii="Arial" w:hAnsi="Arial" w:cs="Arial"/>
        </w:rPr>
        <w:t>, George Coltart</w:t>
      </w:r>
      <w:r w:rsidRPr="00D90FDE">
        <w:rPr>
          <w:rFonts w:ascii="Arial" w:hAnsi="Arial" w:cs="Arial"/>
          <w:vertAlign w:val="superscript"/>
        </w:rPr>
        <w:t>1,2</w:t>
      </w:r>
      <w:r w:rsidRPr="00D90FDE">
        <w:rPr>
          <w:rFonts w:ascii="Arial" w:hAnsi="Arial" w:cs="Arial"/>
        </w:rPr>
        <w:t>, Andrew Bates</w:t>
      </w:r>
      <w:r w:rsidRPr="00D90FDE">
        <w:rPr>
          <w:rFonts w:ascii="Arial" w:hAnsi="Arial" w:cs="Arial"/>
          <w:vertAlign w:val="superscript"/>
        </w:rPr>
        <w:t>3</w:t>
      </w:r>
      <w:r w:rsidRPr="00D90FDE">
        <w:rPr>
          <w:rFonts w:ascii="Arial" w:hAnsi="Arial" w:cs="Arial"/>
        </w:rPr>
        <w:t>, Luke Bennett</w:t>
      </w:r>
      <w:r w:rsidRPr="00D90FDE">
        <w:rPr>
          <w:rFonts w:ascii="Arial" w:hAnsi="Arial" w:cs="Arial"/>
          <w:vertAlign w:val="superscript"/>
        </w:rPr>
        <w:t>3</w:t>
      </w:r>
      <w:r w:rsidRPr="00D90FDE">
        <w:rPr>
          <w:rFonts w:ascii="Arial" w:hAnsi="Arial" w:cs="Arial"/>
        </w:rPr>
        <w:t>, Matthew Sommerlad</w:t>
      </w:r>
      <w:r w:rsidRPr="00D90FDE">
        <w:rPr>
          <w:rFonts w:ascii="Arial" w:hAnsi="Arial" w:cs="Arial"/>
          <w:vertAlign w:val="superscript"/>
        </w:rPr>
        <w:t>4</w:t>
      </w:r>
      <w:r w:rsidRPr="00D90FDE">
        <w:rPr>
          <w:rFonts w:ascii="Arial" w:hAnsi="Arial" w:cs="Arial"/>
        </w:rPr>
        <w:t>, Vipul Foria</w:t>
      </w:r>
      <w:r w:rsidRPr="00D90FDE">
        <w:rPr>
          <w:rFonts w:ascii="Arial" w:hAnsi="Arial" w:cs="Arial"/>
          <w:vertAlign w:val="superscript"/>
        </w:rPr>
        <w:t>4</w:t>
      </w:r>
      <w:r w:rsidRPr="00D90FDE">
        <w:rPr>
          <w:rFonts w:ascii="Arial" w:hAnsi="Arial" w:cs="Arial"/>
        </w:rPr>
        <w:t>, Eugene Healy</w:t>
      </w:r>
      <w:r w:rsidRPr="00D90FDE">
        <w:rPr>
          <w:rFonts w:ascii="Arial" w:hAnsi="Arial" w:cs="Arial"/>
          <w:vertAlign w:val="superscript"/>
        </w:rPr>
        <w:t>1,2</w:t>
      </w:r>
    </w:p>
    <w:p w14:paraId="27BEAFBC" w14:textId="5425C3CD" w:rsidR="00CA25A4" w:rsidRPr="00D90FDE" w:rsidRDefault="00CA25A4" w:rsidP="009D1FC8">
      <w:pPr>
        <w:pStyle w:val="ListParagraph"/>
        <w:numPr>
          <w:ilvl w:val="0"/>
          <w:numId w:val="4"/>
        </w:numPr>
        <w:spacing w:line="480" w:lineRule="auto"/>
        <w:ind w:left="357" w:hanging="357"/>
        <w:rPr>
          <w:rFonts w:ascii="Arial" w:hAnsi="Arial" w:cs="Arial"/>
        </w:rPr>
      </w:pPr>
      <w:proofErr w:type="spellStart"/>
      <w:r w:rsidRPr="00D90FDE">
        <w:rPr>
          <w:rFonts w:ascii="Arial" w:hAnsi="Arial" w:cs="Arial"/>
        </w:rPr>
        <w:t>Dermatopharmacology</w:t>
      </w:r>
      <w:proofErr w:type="spellEnd"/>
      <w:r w:rsidRPr="00D90FDE">
        <w:rPr>
          <w:rFonts w:ascii="Arial" w:hAnsi="Arial" w:cs="Arial"/>
        </w:rPr>
        <w:t>, Faculty of Medicine, University of Southampton, Southampton, UK</w:t>
      </w:r>
    </w:p>
    <w:p w14:paraId="47D576CC" w14:textId="20F53080" w:rsidR="00CA25A4" w:rsidRPr="00D90FDE" w:rsidRDefault="00CA25A4" w:rsidP="009D1FC8">
      <w:pPr>
        <w:pStyle w:val="ListParagraph"/>
        <w:numPr>
          <w:ilvl w:val="0"/>
          <w:numId w:val="4"/>
        </w:numPr>
        <w:spacing w:line="480" w:lineRule="auto"/>
        <w:ind w:left="357" w:hanging="357"/>
        <w:rPr>
          <w:rFonts w:ascii="Arial" w:hAnsi="Arial" w:cs="Arial"/>
        </w:rPr>
      </w:pPr>
      <w:r w:rsidRPr="00D90FDE">
        <w:rPr>
          <w:rFonts w:ascii="Arial" w:hAnsi="Arial" w:cs="Arial"/>
        </w:rPr>
        <w:t>Dermatology, University Hospital Southampton NHS Foundation Trust, Southampton, UK</w:t>
      </w:r>
    </w:p>
    <w:p w14:paraId="795255B8" w14:textId="0F2B7F07" w:rsidR="00CA25A4" w:rsidRPr="00D90FDE" w:rsidRDefault="00CA25A4" w:rsidP="009D1FC8">
      <w:pPr>
        <w:pStyle w:val="ListParagraph"/>
        <w:numPr>
          <w:ilvl w:val="0"/>
          <w:numId w:val="4"/>
        </w:numPr>
        <w:spacing w:line="480" w:lineRule="auto"/>
        <w:ind w:left="357" w:hanging="357"/>
        <w:rPr>
          <w:rFonts w:ascii="Arial" w:hAnsi="Arial" w:cs="Arial"/>
        </w:rPr>
      </w:pPr>
      <w:r w:rsidRPr="00D90FDE">
        <w:rPr>
          <w:rFonts w:ascii="Arial" w:hAnsi="Arial" w:cs="Arial"/>
        </w:rPr>
        <w:t>Oncology, University Hospital Southampton NHS Foundation Trust, Southampton, UK</w:t>
      </w:r>
    </w:p>
    <w:p w14:paraId="12B4DB87" w14:textId="00267A4E" w:rsidR="00CA25A4" w:rsidRPr="00D90FDE" w:rsidRDefault="00CA25A4" w:rsidP="009D1FC8">
      <w:pPr>
        <w:pStyle w:val="ListParagraph"/>
        <w:numPr>
          <w:ilvl w:val="0"/>
          <w:numId w:val="4"/>
        </w:numPr>
        <w:spacing w:line="480" w:lineRule="auto"/>
        <w:ind w:left="357" w:hanging="357"/>
        <w:rPr>
          <w:rFonts w:ascii="Arial" w:hAnsi="Arial" w:cs="Arial"/>
        </w:rPr>
      </w:pPr>
      <w:r w:rsidRPr="00D90FDE">
        <w:rPr>
          <w:rFonts w:ascii="Arial" w:hAnsi="Arial" w:cs="Arial"/>
        </w:rPr>
        <w:t xml:space="preserve">Histopathology, University Hospital Southampton NHS Foundation Trust, Southampton, UK </w:t>
      </w:r>
    </w:p>
    <w:p w14:paraId="5F2EA6C0" w14:textId="7582715B" w:rsidR="00CA25A4" w:rsidRPr="00D90FDE" w:rsidRDefault="00CA25A4" w:rsidP="00D90FDE">
      <w:pPr>
        <w:spacing w:line="480" w:lineRule="auto"/>
        <w:rPr>
          <w:rFonts w:ascii="Arial" w:hAnsi="Arial" w:cs="Arial"/>
        </w:rPr>
      </w:pPr>
    </w:p>
    <w:p w14:paraId="2843AFF7" w14:textId="4D9EA4C0" w:rsidR="00CA25A4" w:rsidRPr="00D90FDE" w:rsidRDefault="00CA25A4" w:rsidP="00D90FDE">
      <w:pPr>
        <w:spacing w:line="480" w:lineRule="auto"/>
        <w:rPr>
          <w:rFonts w:ascii="Arial" w:hAnsi="Arial" w:cs="Arial"/>
        </w:rPr>
      </w:pPr>
      <w:r w:rsidRPr="00D90FDE">
        <w:rPr>
          <w:rFonts w:ascii="Arial" w:hAnsi="Arial" w:cs="Arial"/>
        </w:rPr>
        <w:t xml:space="preserve">Corresponding author: </w:t>
      </w:r>
      <w:r w:rsidR="009D1FC8">
        <w:rPr>
          <w:rFonts w:ascii="Arial" w:hAnsi="Arial" w:cs="Arial"/>
        </w:rPr>
        <w:t xml:space="preserve">Prof </w:t>
      </w:r>
      <w:r w:rsidRPr="00D90FDE">
        <w:rPr>
          <w:rFonts w:ascii="Arial" w:hAnsi="Arial" w:cs="Arial"/>
        </w:rPr>
        <w:t xml:space="preserve">Eugene Healy. Email: </w:t>
      </w:r>
      <w:hyperlink r:id="rId10" w:history="1">
        <w:r w:rsidRPr="00D90FDE">
          <w:rPr>
            <w:rStyle w:val="Hyperlink"/>
            <w:rFonts w:ascii="Arial" w:hAnsi="Arial" w:cs="Arial"/>
          </w:rPr>
          <w:t>ehealy@soton.ac.uk</w:t>
        </w:r>
      </w:hyperlink>
      <w:r w:rsidRPr="00D90FDE">
        <w:rPr>
          <w:rFonts w:ascii="Arial" w:hAnsi="Arial" w:cs="Arial"/>
        </w:rPr>
        <w:t xml:space="preserve"> </w:t>
      </w:r>
    </w:p>
    <w:p w14:paraId="0F49078C" w14:textId="1C323522" w:rsidR="00CA25A4" w:rsidRPr="00D90FDE" w:rsidRDefault="00CA25A4" w:rsidP="00D90FDE">
      <w:pPr>
        <w:spacing w:line="480" w:lineRule="auto"/>
        <w:rPr>
          <w:rFonts w:ascii="Arial" w:hAnsi="Arial" w:cs="Arial"/>
        </w:rPr>
      </w:pPr>
      <w:r w:rsidRPr="00D90FDE">
        <w:rPr>
          <w:rFonts w:ascii="Arial" w:hAnsi="Arial" w:cs="Arial"/>
        </w:rPr>
        <w:t>Funding sources: None.</w:t>
      </w:r>
    </w:p>
    <w:p w14:paraId="790D8C06" w14:textId="4D2D0B7A" w:rsidR="00CA25A4" w:rsidRPr="00D90FDE" w:rsidRDefault="00CA25A4" w:rsidP="00D90FDE">
      <w:pPr>
        <w:spacing w:line="480" w:lineRule="auto"/>
        <w:rPr>
          <w:rFonts w:ascii="Arial" w:hAnsi="Arial" w:cs="Arial"/>
        </w:rPr>
      </w:pPr>
      <w:r w:rsidRPr="00D90FDE">
        <w:rPr>
          <w:rFonts w:ascii="Arial" w:hAnsi="Arial" w:cs="Arial"/>
        </w:rPr>
        <w:t xml:space="preserve">Conflicts of interest: None declared. </w:t>
      </w:r>
    </w:p>
    <w:p w14:paraId="541E3504" w14:textId="25E4B14C" w:rsidR="00CA25A4" w:rsidRPr="00D90FDE" w:rsidRDefault="00CA25A4" w:rsidP="00D90FDE">
      <w:pPr>
        <w:spacing w:line="480" w:lineRule="auto"/>
        <w:rPr>
          <w:rFonts w:ascii="Arial" w:hAnsi="Arial" w:cs="Arial"/>
        </w:rPr>
      </w:pPr>
    </w:p>
    <w:p w14:paraId="3D0176E6" w14:textId="77777777" w:rsidR="000D0AEF" w:rsidRDefault="000D0AEF" w:rsidP="00D90FDE">
      <w:pPr>
        <w:spacing w:line="480" w:lineRule="auto"/>
        <w:jc w:val="both"/>
        <w:rPr>
          <w:rFonts w:ascii="Arial" w:hAnsi="Arial" w:cs="Arial"/>
        </w:rPr>
      </w:pPr>
    </w:p>
    <w:p w14:paraId="71A5F355" w14:textId="77777777" w:rsidR="002D7AEA" w:rsidRDefault="002D7AEA" w:rsidP="00D90FDE">
      <w:pPr>
        <w:spacing w:line="480" w:lineRule="auto"/>
        <w:jc w:val="both"/>
        <w:rPr>
          <w:rFonts w:ascii="Arial" w:hAnsi="Arial" w:cs="Arial"/>
          <w:b/>
          <w:bCs/>
        </w:rPr>
      </w:pPr>
    </w:p>
    <w:p w14:paraId="52DF834D" w14:textId="77777777" w:rsidR="002D7AEA" w:rsidRDefault="002D7AEA" w:rsidP="00D90FDE">
      <w:pPr>
        <w:spacing w:line="480" w:lineRule="auto"/>
        <w:jc w:val="both"/>
        <w:rPr>
          <w:rFonts w:ascii="Arial" w:hAnsi="Arial" w:cs="Arial"/>
          <w:b/>
          <w:bCs/>
        </w:rPr>
      </w:pPr>
    </w:p>
    <w:p w14:paraId="674A4890" w14:textId="77777777" w:rsidR="002D7AEA" w:rsidRDefault="002D7AEA" w:rsidP="00D90FDE">
      <w:pPr>
        <w:spacing w:line="480" w:lineRule="auto"/>
        <w:jc w:val="both"/>
        <w:rPr>
          <w:rFonts w:ascii="Arial" w:hAnsi="Arial" w:cs="Arial"/>
          <w:b/>
          <w:bCs/>
        </w:rPr>
      </w:pPr>
    </w:p>
    <w:p w14:paraId="0C0EA7DA" w14:textId="63BD1137" w:rsidR="00CA25A4" w:rsidRDefault="000D0AEF" w:rsidP="00D90FDE">
      <w:pPr>
        <w:spacing w:line="480" w:lineRule="auto"/>
        <w:jc w:val="both"/>
        <w:rPr>
          <w:rFonts w:ascii="Arial" w:hAnsi="Arial" w:cs="Arial"/>
          <w:b/>
          <w:bCs/>
        </w:rPr>
      </w:pPr>
      <w:r>
        <w:rPr>
          <w:rFonts w:ascii="Arial" w:hAnsi="Arial" w:cs="Arial"/>
          <w:b/>
          <w:bCs/>
        </w:rPr>
        <w:lastRenderedPageBreak/>
        <w:t>Abstract</w:t>
      </w:r>
    </w:p>
    <w:p w14:paraId="4D2C397D" w14:textId="2FE81955" w:rsidR="00F569B0" w:rsidRDefault="00E73340" w:rsidP="00D90FDE">
      <w:pPr>
        <w:spacing w:line="480" w:lineRule="auto"/>
        <w:jc w:val="both"/>
        <w:rPr>
          <w:rFonts w:ascii="Arial" w:hAnsi="Arial" w:cs="Arial"/>
        </w:rPr>
      </w:pPr>
      <w:r>
        <w:rPr>
          <w:rFonts w:ascii="Arial" w:hAnsi="Arial" w:cs="Arial"/>
        </w:rPr>
        <w:t>It has been reported that individuals with psoriasis are at an increased risk of developing cutaneous T-cell lymphoma (CTCL)</w:t>
      </w:r>
      <w:r w:rsidR="003313D2">
        <w:rPr>
          <w:rFonts w:ascii="Arial" w:hAnsi="Arial" w:cs="Arial"/>
        </w:rPr>
        <w:t>.  However</w:t>
      </w:r>
      <w:r w:rsidR="004C0443">
        <w:rPr>
          <w:rFonts w:ascii="Arial" w:hAnsi="Arial" w:cs="Arial"/>
        </w:rPr>
        <w:t>,</w:t>
      </w:r>
      <w:r>
        <w:rPr>
          <w:rFonts w:ascii="Arial" w:hAnsi="Arial" w:cs="Arial"/>
        </w:rPr>
        <w:t xml:space="preserve"> th</w:t>
      </w:r>
      <w:r w:rsidR="00C74884">
        <w:rPr>
          <w:rFonts w:ascii="Arial" w:hAnsi="Arial" w:cs="Arial"/>
        </w:rPr>
        <w:t>e</w:t>
      </w:r>
      <w:r>
        <w:rPr>
          <w:rFonts w:ascii="Arial" w:hAnsi="Arial" w:cs="Arial"/>
        </w:rPr>
        <w:t xml:space="preserve"> increased risk of lymphoma in these patients</w:t>
      </w:r>
      <w:r w:rsidR="00C74884">
        <w:rPr>
          <w:rFonts w:ascii="Arial" w:hAnsi="Arial" w:cs="Arial"/>
        </w:rPr>
        <w:t xml:space="preserve"> has been questioned </w:t>
      </w:r>
      <w:r w:rsidR="003313D2">
        <w:rPr>
          <w:rFonts w:ascii="Arial" w:hAnsi="Arial" w:cs="Arial"/>
        </w:rPr>
        <w:t xml:space="preserve">because </w:t>
      </w:r>
      <w:r w:rsidR="00C74884">
        <w:rPr>
          <w:rFonts w:ascii="Arial" w:hAnsi="Arial" w:cs="Arial"/>
        </w:rPr>
        <w:t>CTCL in its early stages may be incorrectly labelled as psoriasis</w:t>
      </w:r>
      <w:r w:rsidR="00EF6136">
        <w:rPr>
          <w:rFonts w:ascii="Arial" w:hAnsi="Arial" w:cs="Arial"/>
        </w:rPr>
        <w:t>,</w:t>
      </w:r>
      <w:r w:rsidR="00C74884">
        <w:rPr>
          <w:rFonts w:ascii="Arial" w:hAnsi="Arial" w:cs="Arial"/>
        </w:rPr>
        <w:t xml:space="preserve"> thus introducing </w:t>
      </w:r>
      <w:r w:rsidR="005D7F14">
        <w:rPr>
          <w:rFonts w:ascii="Arial" w:hAnsi="Arial" w:cs="Arial"/>
        </w:rPr>
        <w:t xml:space="preserve">potential for </w:t>
      </w:r>
      <w:r w:rsidR="00C74884">
        <w:rPr>
          <w:rFonts w:ascii="Arial" w:hAnsi="Arial" w:cs="Arial"/>
        </w:rPr>
        <w:t xml:space="preserve">misclassification bias. </w:t>
      </w:r>
      <w:r w:rsidR="004C0443">
        <w:rPr>
          <w:rFonts w:ascii="Arial" w:hAnsi="Arial" w:cs="Arial"/>
        </w:rPr>
        <w:t>We retrospectively reviewed patients with a confirmed diagnosis of CTCL seen in a tertiary cutaneous lymphoma clinic (n = 115</w:t>
      </w:r>
      <w:r w:rsidR="003869BB">
        <w:rPr>
          <w:rFonts w:ascii="Arial" w:hAnsi="Arial" w:cs="Arial"/>
        </w:rPr>
        <w:t>)</w:t>
      </w:r>
      <w:r w:rsidR="004C0443">
        <w:rPr>
          <w:rFonts w:ascii="Arial" w:hAnsi="Arial" w:cs="Arial"/>
        </w:rPr>
        <w:t xml:space="preserve"> over a 5-year period</w:t>
      </w:r>
      <w:r w:rsidR="00692FA9">
        <w:rPr>
          <w:rFonts w:ascii="Arial" w:hAnsi="Arial" w:cs="Arial"/>
        </w:rPr>
        <w:t xml:space="preserve"> </w:t>
      </w:r>
      <w:r w:rsidR="004C0443">
        <w:rPr>
          <w:rFonts w:ascii="Arial" w:hAnsi="Arial" w:cs="Arial"/>
        </w:rPr>
        <w:t>and found that 6 (5.2%) patients had clinical evidence</w:t>
      </w:r>
      <w:r w:rsidR="003869BB">
        <w:rPr>
          <w:rFonts w:ascii="Arial" w:hAnsi="Arial" w:cs="Arial"/>
        </w:rPr>
        <w:t xml:space="preserve"> of co-existing psoriasis</w:t>
      </w:r>
      <w:r w:rsidR="005D7F14">
        <w:rPr>
          <w:rFonts w:ascii="Arial" w:hAnsi="Arial" w:cs="Arial"/>
        </w:rPr>
        <w:t>. This demonstrates</w:t>
      </w:r>
      <w:r w:rsidR="003869BB">
        <w:rPr>
          <w:rFonts w:ascii="Arial" w:hAnsi="Arial" w:cs="Arial"/>
        </w:rPr>
        <w:t xml:space="preserve"> that there is a small cohort of individuals who develop both </w:t>
      </w:r>
      <w:r w:rsidR="005D7F14">
        <w:rPr>
          <w:rFonts w:ascii="Arial" w:hAnsi="Arial" w:cs="Arial"/>
        </w:rPr>
        <w:t>psoriasis and CTCL</w:t>
      </w:r>
      <w:r w:rsidR="003869BB">
        <w:rPr>
          <w:rFonts w:ascii="Arial" w:hAnsi="Arial" w:cs="Arial"/>
        </w:rPr>
        <w:t>.</w:t>
      </w:r>
    </w:p>
    <w:p w14:paraId="7EA3E2A4" w14:textId="77777777" w:rsidR="003869BB" w:rsidRDefault="003869BB" w:rsidP="64B400F3">
      <w:pPr>
        <w:spacing w:line="480" w:lineRule="auto"/>
        <w:jc w:val="both"/>
        <w:rPr>
          <w:rFonts w:ascii="Arial" w:hAnsi="Arial" w:cs="Arial"/>
          <w:color w:val="FF0000"/>
        </w:rPr>
      </w:pPr>
    </w:p>
    <w:p w14:paraId="0515F310" w14:textId="244B3E5E" w:rsidR="008521A1" w:rsidRPr="00D90FDE" w:rsidRDefault="008521A1" w:rsidP="00D90FDE">
      <w:pPr>
        <w:spacing w:line="480" w:lineRule="auto"/>
        <w:jc w:val="both"/>
        <w:rPr>
          <w:rFonts w:ascii="Arial" w:hAnsi="Arial" w:cs="Arial"/>
          <w:b/>
          <w:bCs/>
        </w:rPr>
      </w:pPr>
      <w:r w:rsidRPr="00D90FDE">
        <w:rPr>
          <w:rFonts w:ascii="Arial" w:hAnsi="Arial" w:cs="Arial"/>
          <w:b/>
          <w:bCs/>
        </w:rPr>
        <w:t>Introduction</w:t>
      </w:r>
    </w:p>
    <w:p w14:paraId="24D671EC" w14:textId="4696FA8D" w:rsidR="008521A1" w:rsidRDefault="008521A1" w:rsidP="00D90FDE">
      <w:pPr>
        <w:spacing w:line="480" w:lineRule="auto"/>
        <w:jc w:val="both"/>
        <w:rPr>
          <w:rFonts w:ascii="Arial" w:hAnsi="Arial" w:cs="Arial"/>
        </w:rPr>
      </w:pPr>
      <w:r w:rsidRPr="00D90FDE">
        <w:rPr>
          <w:rFonts w:ascii="Arial" w:hAnsi="Arial" w:cs="Arial"/>
        </w:rPr>
        <w:t>An increased risk of lymphoma in patients with psoriasis has been reported in the General Practice Research Database</w:t>
      </w:r>
      <w:r w:rsidR="0039444B" w:rsidRPr="00D90FDE">
        <w:rPr>
          <w:rFonts w:ascii="Arial" w:hAnsi="Arial" w:cs="Arial"/>
          <w:vertAlign w:val="superscript"/>
        </w:rPr>
        <w:t>1,2</w:t>
      </w:r>
      <w:r w:rsidRPr="00D90FDE">
        <w:rPr>
          <w:rFonts w:ascii="Arial" w:hAnsi="Arial" w:cs="Arial"/>
        </w:rPr>
        <w:t>. While this risk includes cutaneous T-cell lymphoma (CTCL), it is recognised that the differential diagnosis of psoriasis can include CTCL</w:t>
      </w:r>
      <w:r w:rsidR="0039444B" w:rsidRPr="00D90FDE">
        <w:rPr>
          <w:rFonts w:ascii="Arial" w:hAnsi="Arial" w:cs="Arial"/>
          <w:vertAlign w:val="superscript"/>
        </w:rPr>
        <w:t>3,4</w:t>
      </w:r>
      <w:r w:rsidRPr="00D90FDE">
        <w:rPr>
          <w:rFonts w:ascii="Arial" w:hAnsi="Arial" w:cs="Arial"/>
        </w:rPr>
        <w:t xml:space="preserve"> hence clinicians may wonder whether the perceived risk of CTCL in patients with psoriasis might be due to the incorrect diagnosis of psoriasis in patients with early-stage CTCL. </w:t>
      </w:r>
      <w:r w:rsidR="005536D1" w:rsidRPr="005536D1">
        <w:rPr>
          <w:rFonts w:ascii="Arial" w:hAnsi="Arial" w:cs="Arial"/>
        </w:rPr>
        <w:t>Indeed, Biondo et al</w:t>
      </w:r>
      <w:r w:rsidR="00154792" w:rsidRPr="00154792">
        <w:rPr>
          <w:rFonts w:ascii="Arial" w:hAnsi="Arial" w:cs="Arial"/>
          <w:vertAlign w:val="superscript"/>
        </w:rPr>
        <w:t>5</w:t>
      </w:r>
      <w:r w:rsidR="00154792">
        <w:rPr>
          <w:rFonts w:ascii="Arial" w:hAnsi="Arial" w:cs="Arial"/>
        </w:rPr>
        <w:t xml:space="preserve"> </w:t>
      </w:r>
      <w:r w:rsidR="005536D1" w:rsidRPr="005536D1">
        <w:rPr>
          <w:rFonts w:ascii="Arial" w:hAnsi="Arial" w:cs="Arial"/>
        </w:rPr>
        <w:t>conducted a critical review of this topic and concluded that the higher risk of CTCL in psoriatic patients “should be reconsidered in the light of the bias of misclassification and the low magnitude reported in previous studies”.</w:t>
      </w:r>
    </w:p>
    <w:p w14:paraId="2916D874" w14:textId="77777777" w:rsidR="000D0AEF" w:rsidRPr="00D90FDE" w:rsidRDefault="000D0AEF" w:rsidP="00D90FDE">
      <w:pPr>
        <w:spacing w:line="480" w:lineRule="auto"/>
        <w:jc w:val="both"/>
        <w:rPr>
          <w:rFonts w:ascii="Arial" w:hAnsi="Arial" w:cs="Arial"/>
        </w:rPr>
      </w:pPr>
    </w:p>
    <w:p w14:paraId="21852F38" w14:textId="658EF398" w:rsidR="00560F86" w:rsidRPr="00560F86" w:rsidRDefault="00560F86" w:rsidP="00D90FDE">
      <w:pPr>
        <w:spacing w:line="480" w:lineRule="auto"/>
        <w:jc w:val="both"/>
        <w:rPr>
          <w:rFonts w:ascii="Arial" w:hAnsi="Arial" w:cs="Arial"/>
          <w:b/>
          <w:bCs/>
        </w:rPr>
      </w:pPr>
      <w:r w:rsidRPr="00560F86">
        <w:rPr>
          <w:rFonts w:ascii="Arial" w:hAnsi="Arial" w:cs="Arial"/>
          <w:b/>
          <w:bCs/>
        </w:rPr>
        <w:t>Report</w:t>
      </w:r>
    </w:p>
    <w:p w14:paraId="2DDC4CC3" w14:textId="249C875B" w:rsidR="008521A1" w:rsidRPr="00D90FDE" w:rsidRDefault="00291063" w:rsidP="00D90FDE">
      <w:pPr>
        <w:spacing w:line="480" w:lineRule="auto"/>
        <w:jc w:val="both"/>
        <w:rPr>
          <w:rFonts w:ascii="Arial" w:hAnsi="Arial" w:cs="Arial"/>
        </w:rPr>
      </w:pPr>
      <w:r>
        <w:rPr>
          <w:rFonts w:ascii="Arial" w:hAnsi="Arial" w:cs="Arial"/>
        </w:rPr>
        <w:t>T</w:t>
      </w:r>
      <w:r w:rsidR="008521A1" w:rsidRPr="00D90FDE">
        <w:rPr>
          <w:rFonts w:ascii="Arial" w:hAnsi="Arial" w:cs="Arial"/>
        </w:rPr>
        <w:t xml:space="preserve">hirteen of 115 patients with CTCL (confirmed on histology, immunostaining, T-cell receptor (TCR) polymerase chain reaction) attending our tertiary CTCL clinic over a 5-year period (2017-2022) had psoriasis listed as a co-morbidity. Following review of patients in clinic and their case notes, </w:t>
      </w:r>
      <w:r>
        <w:rPr>
          <w:rFonts w:ascii="Arial" w:hAnsi="Arial" w:cs="Arial"/>
        </w:rPr>
        <w:t>six</w:t>
      </w:r>
      <w:r w:rsidRPr="00D90FDE">
        <w:rPr>
          <w:rFonts w:ascii="Arial" w:hAnsi="Arial" w:cs="Arial"/>
        </w:rPr>
        <w:t xml:space="preserve"> </w:t>
      </w:r>
      <w:r w:rsidR="008521A1" w:rsidRPr="00D90FDE">
        <w:rPr>
          <w:rFonts w:ascii="Arial" w:hAnsi="Arial" w:cs="Arial"/>
        </w:rPr>
        <w:t>(</w:t>
      </w:r>
      <w:r>
        <w:rPr>
          <w:rFonts w:ascii="Arial" w:hAnsi="Arial" w:cs="Arial"/>
        </w:rPr>
        <w:t>5.2</w:t>
      </w:r>
      <w:r w:rsidR="008521A1" w:rsidRPr="00D90FDE">
        <w:rPr>
          <w:rFonts w:ascii="Arial" w:hAnsi="Arial" w:cs="Arial"/>
        </w:rPr>
        <w:t xml:space="preserve">%) had clinical evidence of both psoriasis and </w:t>
      </w:r>
      <w:r w:rsidR="008521A1" w:rsidRPr="00FF70DA">
        <w:rPr>
          <w:rFonts w:ascii="Arial" w:hAnsi="Arial" w:cs="Arial"/>
        </w:rPr>
        <w:t>CTCL</w:t>
      </w:r>
      <w:r w:rsidR="00E70FC6" w:rsidRPr="00FF70DA">
        <w:rPr>
          <w:rFonts w:ascii="Arial" w:hAnsi="Arial" w:cs="Arial"/>
        </w:rPr>
        <w:t xml:space="preserve">; all six patients had been seen </w:t>
      </w:r>
      <w:r w:rsidR="00B23B9B" w:rsidRPr="00FF70DA">
        <w:rPr>
          <w:rFonts w:ascii="Arial" w:hAnsi="Arial" w:cs="Arial"/>
        </w:rPr>
        <w:t>on</w:t>
      </w:r>
      <w:r w:rsidR="00E70FC6" w:rsidRPr="00FF70DA">
        <w:rPr>
          <w:rFonts w:ascii="Arial" w:hAnsi="Arial" w:cs="Arial"/>
        </w:rPr>
        <w:t xml:space="preserve"> </w:t>
      </w:r>
      <w:r w:rsidR="00815B29" w:rsidRPr="00FF70DA">
        <w:rPr>
          <w:rFonts w:ascii="Arial" w:hAnsi="Arial" w:cs="Arial"/>
        </w:rPr>
        <w:t xml:space="preserve">multiple occasions </w:t>
      </w:r>
      <w:r w:rsidR="00E70FC6" w:rsidRPr="00FF70DA">
        <w:rPr>
          <w:rFonts w:ascii="Arial" w:hAnsi="Arial" w:cs="Arial"/>
        </w:rPr>
        <w:t xml:space="preserve">by a consultant dermatologist </w:t>
      </w:r>
      <w:r w:rsidR="00B23B9B" w:rsidRPr="00FF70DA">
        <w:rPr>
          <w:rFonts w:ascii="Arial" w:hAnsi="Arial" w:cs="Arial"/>
        </w:rPr>
        <w:t>(EH)</w:t>
      </w:r>
      <w:r w:rsidR="003820B5" w:rsidRPr="00FF70DA">
        <w:rPr>
          <w:rFonts w:ascii="Arial" w:hAnsi="Arial" w:cs="Arial"/>
        </w:rPr>
        <w:t xml:space="preserve"> with &gt;30 years’ clinical dermatology experience,</w:t>
      </w:r>
      <w:r w:rsidR="00B23B9B" w:rsidRPr="00FF70DA">
        <w:rPr>
          <w:rFonts w:ascii="Arial" w:hAnsi="Arial" w:cs="Arial"/>
        </w:rPr>
        <w:t xml:space="preserve"> </w:t>
      </w:r>
      <w:r w:rsidR="00E70FC6" w:rsidRPr="00FF70DA">
        <w:rPr>
          <w:rFonts w:ascii="Arial" w:hAnsi="Arial" w:cs="Arial"/>
        </w:rPr>
        <w:t xml:space="preserve">who </w:t>
      </w:r>
      <w:r w:rsidR="003820B5" w:rsidRPr="00FF70DA">
        <w:rPr>
          <w:rFonts w:ascii="Arial" w:hAnsi="Arial" w:cs="Arial"/>
        </w:rPr>
        <w:t xml:space="preserve">has </w:t>
      </w:r>
      <w:r w:rsidR="00E70FC6" w:rsidRPr="00FF70DA">
        <w:rPr>
          <w:rFonts w:ascii="Arial" w:hAnsi="Arial" w:cs="Arial"/>
        </w:rPr>
        <w:t xml:space="preserve">led the combined skin lymphoma clinic </w:t>
      </w:r>
      <w:r w:rsidR="003820B5" w:rsidRPr="00FF70DA">
        <w:rPr>
          <w:rFonts w:ascii="Arial" w:hAnsi="Arial" w:cs="Arial"/>
        </w:rPr>
        <w:t xml:space="preserve">for </w:t>
      </w:r>
      <w:r w:rsidR="00E70FC6" w:rsidRPr="00FF70DA">
        <w:rPr>
          <w:rFonts w:ascii="Arial" w:hAnsi="Arial" w:cs="Arial"/>
        </w:rPr>
        <w:t xml:space="preserve">&gt;15 years and </w:t>
      </w:r>
      <w:r w:rsidR="003820B5" w:rsidRPr="00FF70DA">
        <w:rPr>
          <w:rFonts w:ascii="Arial" w:hAnsi="Arial" w:cs="Arial"/>
        </w:rPr>
        <w:t xml:space="preserve">has </w:t>
      </w:r>
      <w:r w:rsidR="00E70FC6" w:rsidRPr="00FF70DA">
        <w:rPr>
          <w:rFonts w:ascii="Arial" w:hAnsi="Arial" w:cs="Arial"/>
        </w:rPr>
        <w:t xml:space="preserve">led a separate complex psoriasis clinic </w:t>
      </w:r>
      <w:r w:rsidR="003820B5" w:rsidRPr="00FF70DA">
        <w:rPr>
          <w:rFonts w:ascii="Arial" w:hAnsi="Arial" w:cs="Arial"/>
        </w:rPr>
        <w:t xml:space="preserve">for </w:t>
      </w:r>
      <w:r w:rsidR="00E70FC6" w:rsidRPr="00FF70DA">
        <w:rPr>
          <w:rFonts w:ascii="Arial" w:hAnsi="Arial" w:cs="Arial"/>
        </w:rPr>
        <w:t>&gt;20 years</w:t>
      </w:r>
      <w:r w:rsidR="00E70FC6" w:rsidRPr="00E70FC6">
        <w:rPr>
          <w:rFonts w:ascii="Arial" w:hAnsi="Arial" w:cs="Arial"/>
        </w:rPr>
        <w:t xml:space="preserve">.  </w:t>
      </w:r>
      <w:r w:rsidR="008521A1" w:rsidRPr="00D90FDE">
        <w:rPr>
          <w:rFonts w:ascii="Arial" w:hAnsi="Arial" w:cs="Arial"/>
        </w:rPr>
        <w:t>Here, we report</w:t>
      </w:r>
      <w:r w:rsidR="00487FD8">
        <w:rPr>
          <w:rFonts w:ascii="Arial" w:hAnsi="Arial" w:cs="Arial"/>
        </w:rPr>
        <w:t xml:space="preserve"> the</w:t>
      </w:r>
      <w:r w:rsidR="008521A1" w:rsidRPr="00D90FDE">
        <w:rPr>
          <w:rFonts w:ascii="Arial" w:hAnsi="Arial" w:cs="Arial"/>
        </w:rPr>
        <w:t xml:space="preserve"> </w:t>
      </w:r>
      <w:r w:rsidR="00487FD8">
        <w:rPr>
          <w:rFonts w:ascii="Arial" w:hAnsi="Arial" w:cs="Arial"/>
        </w:rPr>
        <w:t xml:space="preserve">clinical </w:t>
      </w:r>
      <w:r w:rsidR="008521A1" w:rsidRPr="00D90FDE">
        <w:rPr>
          <w:rFonts w:ascii="Arial" w:hAnsi="Arial" w:cs="Arial"/>
        </w:rPr>
        <w:t>details of</w:t>
      </w:r>
      <w:r w:rsidR="00487FD8">
        <w:rPr>
          <w:rFonts w:ascii="Arial" w:hAnsi="Arial" w:cs="Arial"/>
        </w:rPr>
        <w:t xml:space="preserve"> each of</w:t>
      </w:r>
      <w:r w:rsidR="008521A1" w:rsidRPr="00D90FDE">
        <w:rPr>
          <w:rFonts w:ascii="Arial" w:hAnsi="Arial" w:cs="Arial"/>
        </w:rPr>
        <w:t xml:space="preserve"> the</w:t>
      </w:r>
      <w:r w:rsidR="00487FD8">
        <w:rPr>
          <w:rFonts w:ascii="Arial" w:hAnsi="Arial" w:cs="Arial"/>
        </w:rPr>
        <w:t>se</w:t>
      </w:r>
      <w:r w:rsidR="008521A1" w:rsidRPr="00D90FDE">
        <w:rPr>
          <w:rFonts w:ascii="Arial" w:hAnsi="Arial" w:cs="Arial"/>
        </w:rPr>
        <w:t xml:space="preserve"> </w:t>
      </w:r>
      <w:r>
        <w:rPr>
          <w:rFonts w:ascii="Arial" w:hAnsi="Arial" w:cs="Arial"/>
        </w:rPr>
        <w:t>six</w:t>
      </w:r>
      <w:r w:rsidRPr="00D90FDE">
        <w:rPr>
          <w:rFonts w:ascii="Arial" w:hAnsi="Arial" w:cs="Arial"/>
        </w:rPr>
        <w:t xml:space="preserve"> </w:t>
      </w:r>
      <w:r w:rsidR="008521A1" w:rsidRPr="00D90FDE">
        <w:rPr>
          <w:rFonts w:ascii="Arial" w:hAnsi="Arial" w:cs="Arial"/>
        </w:rPr>
        <w:t>individuals</w:t>
      </w:r>
      <w:r w:rsidR="00487FD8">
        <w:rPr>
          <w:rFonts w:ascii="Arial" w:hAnsi="Arial" w:cs="Arial"/>
        </w:rPr>
        <w:t xml:space="preserve"> so that the </w:t>
      </w:r>
      <w:r w:rsidR="00487FD8">
        <w:rPr>
          <w:rFonts w:ascii="Arial" w:hAnsi="Arial" w:cs="Arial"/>
        </w:rPr>
        <w:lastRenderedPageBreak/>
        <w:t>nature of, and basis for, both diagnoses is clear.</w:t>
      </w:r>
      <w:r w:rsidR="0015315C">
        <w:rPr>
          <w:rFonts w:ascii="Arial" w:hAnsi="Arial" w:cs="Arial"/>
        </w:rPr>
        <w:t xml:space="preserve"> </w:t>
      </w:r>
      <w:bookmarkStart w:id="0" w:name="_Hlk137725456"/>
      <w:r w:rsidR="003325E8" w:rsidRPr="00FF70DA">
        <w:rPr>
          <w:rFonts w:ascii="Arial" w:hAnsi="Arial" w:cs="Arial"/>
        </w:rPr>
        <w:t>None of these cases have previously been included in any other reported case series of coexisting psoriasis and CTCL</w:t>
      </w:r>
      <w:bookmarkEnd w:id="0"/>
      <w:r w:rsidR="003325E8" w:rsidRPr="00FF70DA">
        <w:rPr>
          <w:rFonts w:ascii="Arial" w:hAnsi="Arial" w:cs="Arial"/>
        </w:rPr>
        <w:t>.</w:t>
      </w:r>
    </w:p>
    <w:p w14:paraId="68E1171F" w14:textId="082E8EA4" w:rsidR="009D1FC8" w:rsidRPr="00D90FDE" w:rsidRDefault="008521A1" w:rsidP="00D90FDE">
      <w:pPr>
        <w:spacing w:line="480" w:lineRule="auto"/>
        <w:jc w:val="both"/>
        <w:rPr>
          <w:rFonts w:ascii="Arial" w:hAnsi="Arial" w:cs="Arial"/>
        </w:rPr>
      </w:pPr>
      <w:r w:rsidRPr="00D90FDE">
        <w:rPr>
          <w:rFonts w:ascii="Arial" w:hAnsi="Arial" w:cs="Arial"/>
          <w:b/>
          <w:bCs/>
        </w:rPr>
        <w:t>Case 1:</w:t>
      </w:r>
      <w:r w:rsidRPr="00D90FDE">
        <w:rPr>
          <w:rFonts w:ascii="Arial" w:hAnsi="Arial" w:cs="Arial"/>
        </w:rPr>
        <w:t xml:space="preserve"> A 62-year-old woman with psoriasis since her mid-</w:t>
      </w:r>
      <w:r w:rsidR="00842AC7" w:rsidRPr="00D90FDE">
        <w:rPr>
          <w:rFonts w:ascii="Arial" w:hAnsi="Arial" w:cs="Arial"/>
        </w:rPr>
        <w:t>thirtie</w:t>
      </w:r>
      <w:r w:rsidRPr="00D90FDE">
        <w:rPr>
          <w:rFonts w:ascii="Arial" w:hAnsi="Arial" w:cs="Arial"/>
        </w:rPr>
        <w:t>s presented to our dermatology department.</w:t>
      </w:r>
      <w:r w:rsidR="00AF116C">
        <w:rPr>
          <w:rFonts w:ascii="Arial" w:hAnsi="Arial" w:cs="Arial"/>
        </w:rPr>
        <w:t xml:space="preserve"> Her psoriasis </w:t>
      </w:r>
      <w:r w:rsidR="006A272B">
        <w:rPr>
          <w:rFonts w:ascii="Arial" w:hAnsi="Arial" w:cs="Arial"/>
        </w:rPr>
        <w:t xml:space="preserve">had </w:t>
      </w:r>
      <w:r w:rsidR="00AF116C">
        <w:rPr>
          <w:rFonts w:ascii="Arial" w:hAnsi="Arial" w:cs="Arial"/>
        </w:rPr>
        <w:t>affected</w:t>
      </w:r>
      <w:r w:rsidR="00AF116C" w:rsidRPr="00D90FDE">
        <w:rPr>
          <w:rFonts w:ascii="Arial" w:hAnsi="Arial" w:cs="Arial"/>
        </w:rPr>
        <w:t xml:space="preserve"> the scalp, hands</w:t>
      </w:r>
      <w:r w:rsidR="00AF116C">
        <w:rPr>
          <w:rFonts w:ascii="Arial" w:hAnsi="Arial" w:cs="Arial"/>
        </w:rPr>
        <w:t>, elbows</w:t>
      </w:r>
      <w:r w:rsidR="00147FEB">
        <w:rPr>
          <w:rFonts w:ascii="Arial" w:hAnsi="Arial" w:cs="Arial"/>
        </w:rPr>
        <w:t xml:space="preserve"> (</w:t>
      </w:r>
      <w:r w:rsidR="006A272B">
        <w:rPr>
          <w:rFonts w:ascii="Arial" w:hAnsi="Arial" w:cs="Arial"/>
        </w:rPr>
        <w:t>F</w:t>
      </w:r>
      <w:r w:rsidR="00147FEB">
        <w:rPr>
          <w:rFonts w:ascii="Arial" w:hAnsi="Arial" w:cs="Arial"/>
        </w:rPr>
        <w:t>igure 1a, b)</w:t>
      </w:r>
      <w:r w:rsidR="00AF116C">
        <w:rPr>
          <w:rFonts w:ascii="Arial" w:hAnsi="Arial" w:cs="Arial"/>
        </w:rPr>
        <w:t>, knees</w:t>
      </w:r>
      <w:r w:rsidR="00AF116C" w:rsidRPr="00D90FDE">
        <w:rPr>
          <w:rFonts w:ascii="Arial" w:hAnsi="Arial" w:cs="Arial"/>
        </w:rPr>
        <w:t xml:space="preserve"> and vulva, with onycholysis and pitting of the fingernails</w:t>
      </w:r>
      <w:r w:rsidR="00F26B99">
        <w:rPr>
          <w:rFonts w:ascii="Arial" w:hAnsi="Arial" w:cs="Arial"/>
        </w:rPr>
        <w:t>.</w:t>
      </w:r>
      <w:r w:rsidR="006A272B">
        <w:rPr>
          <w:rFonts w:ascii="Arial" w:hAnsi="Arial" w:cs="Arial"/>
        </w:rPr>
        <w:t xml:space="preserve"> </w:t>
      </w:r>
      <w:r w:rsidR="00F26B99">
        <w:rPr>
          <w:rFonts w:ascii="Arial" w:hAnsi="Arial" w:cs="Arial"/>
        </w:rPr>
        <w:t>T</w:t>
      </w:r>
      <w:r w:rsidR="00AF116C">
        <w:rPr>
          <w:rFonts w:ascii="Arial" w:hAnsi="Arial" w:cs="Arial"/>
        </w:rPr>
        <w:t>here was also a family history of psoriasis</w:t>
      </w:r>
      <w:r w:rsidRPr="00D90FDE">
        <w:rPr>
          <w:rFonts w:ascii="Arial" w:hAnsi="Arial" w:cs="Arial"/>
        </w:rPr>
        <w:t xml:space="preserve">. She was treated with topical anti-psoriatic therapies with clinical improvement. The patient presented three years later with a different rash which appeared eczematous affecting the buttocks, </w:t>
      </w:r>
      <w:r w:rsidR="00AF116C" w:rsidRPr="00D90FDE">
        <w:rPr>
          <w:rFonts w:ascii="Arial" w:hAnsi="Arial" w:cs="Arial"/>
        </w:rPr>
        <w:t>chest,</w:t>
      </w:r>
      <w:r w:rsidRPr="00D90FDE">
        <w:rPr>
          <w:rFonts w:ascii="Arial" w:hAnsi="Arial" w:cs="Arial"/>
        </w:rPr>
        <w:t xml:space="preserve"> and neck</w:t>
      </w:r>
      <w:r w:rsidR="00AF116C">
        <w:rPr>
          <w:rFonts w:ascii="Arial" w:hAnsi="Arial" w:cs="Arial"/>
        </w:rPr>
        <w:t xml:space="preserve"> (Figure 1c, d)</w:t>
      </w:r>
      <w:r w:rsidRPr="00D90FDE">
        <w:rPr>
          <w:rFonts w:ascii="Arial" w:hAnsi="Arial" w:cs="Arial"/>
        </w:rPr>
        <w:t>. Treatment with narrowband ultraviolet B (NB-UVB) phototherapy</w:t>
      </w:r>
      <w:r w:rsidR="00842AC7" w:rsidRPr="00D90FDE">
        <w:rPr>
          <w:rFonts w:ascii="Arial" w:hAnsi="Arial" w:cs="Arial"/>
        </w:rPr>
        <w:t xml:space="preserve"> </w:t>
      </w:r>
      <w:r w:rsidRPr="00D90FDE">
        <w:rPr>
          <w:rFonts w:ascii="Arial" w:hAnsi="Arial" w:cs="Arial"/>
        </w:rPr>
        <w:t>was planned but</w:t>
      </w:r>
      <w:r w:rsidR="00842AC7" w:rsidRPr="00D90FDE">
        <w:rPr>
          <w:rFonts w:ascii="Arial" w:hAnsi="Arial" w:cs="Arial"/>
        </w:rPr>
        <w:t xml:space="preserve"> </w:t>
      </w:r>
      <w:r w:rsidRPr="00D90FDE">
        <w:rPr>
          <w:rFonts w:ascii="Arial" w:hAnsi="Arial" w:cs="Arial"/>
        </w:rPr>
        <w:t>due to clinical deterioration</w:t>
      </w:r>
      <w:r w:rsidR="00AF116C">
        <w:rPr>
          <w:rFonts w:ascii="Arial" w:hAnsi="Arial" w:cs="Arial"/>
        </w:rPr>
        <w:t>,</w:t>
      </w:r>
      <w:r w:rsidRPr="00D90FDE">
        <w:rPr>
          <w:rFonts w:ascii="Arial" w:hAnsi="Arial" w:cs="Arial"/>
        </w:rPr>
        <w:t xml:space="preserve"> the patient was admitted to hospital.  A skin biopsy showed an infiltrate consisting of atypical lymphocytes</w:t>
      </w:r>
      <w:r w:rsidR="006A272B">
        <w:rPr>
          <w:rFonts w:ascii="Arial" w:hAnsi="Arial" w:cs="Arial"/>
        </w:rPr>
        <w:t xml:space="preserve"> and</w:t>
      </w:r>
      <w:r w:rsidR="00842AC7" w:rsidRPr="00D90FDE">
        <w:rPr>
          <w:rFonts w:ascii="Arial" w:hAnsi="Arial" w:cs="Arial"/>
        </w:rPr>
        <w:t xml:space="preserve"> </w:t>
      </w:r>
      <w:proofErr w:type="spellStart"/>
      <w:r w:rsidRPr="00D90FDE">
        <w:rPr>
          <w:rFonts w:ascii="Arial" w:hAnsi="Arial" w:cs="Arial"/>
        </w:rPr>
        <w:t>epidermotropism</w:t>
      </w:r>
      <w:proofErr w:type="spellEnd"/>
      <w:r w:rsidR="00842AC7" w:rsidRPr="00D90FDE">
        <w:rPr>
          <w:rFonts w:ascii="Arial" w:hAnsi="Arial" w:cs="Arial"/>
        </w:rPr>
        <w:t xml:space="preserve"> </w:t>
      </w:r>
      <w:r w:rsidR="006A272B">
        <w:rPr>
          <w:rFonts w:ascii="Arial" w:hAnsi="Arial" w:cs="Arial"/>
        </w:rPr>
        <w:t>on histology (Figure 1e). These lymphocytes expressed CD3 (Figure 1f), had loss of CD7 (Figure 1g)</w:t>
      </w:r>
      <w:r w:rsidR="006A272B" w:rsidRPr="00D90FDE">
        <w:rPr>
          <w:rFonts w:ascii="Arial" w:hAnsi="Arial" w:cs="Arial"/>
        </w:rPr>
        <w:t xml:space="preserve"> and</w:t>
      </w:r>
      <w:r w:rsidR="006A272B">
        <w:rPr>
          <w:rFonts w:ascii="Arial" w:hAnsi="Arial" w:cs="Arial"/>
        </w:rPr>
        <w:t xml:space="preserve"> showed</w:t>
      </w:r>
      <w:r w:rsidR="006A272B" w:rsidRPr="00D90FDE">
        <w:rPr>
          <w:rFonts w:ascii="Arial" w:hAnsi="Arial" w:cs="Arial"/>
        </w:rPr>
        <w:t xml:space="preserve"> clonal TCR beta and gamma profiles</w:t>
      </w:r>
      <w:r w:rsidRPr="00D90FDE">
        <w:rPr>
          <w:rFonts w:ascii="Arial" w:hAnsi="Arial" w:cs="Arial"/>
        </w:rPr>
        <w:t>. Treatment of her CTCL with chlorambucil provided a good clinical response.  Currently, she has minimal evidence of CTCL</w:t>
      </w:r>
      <w:r w:rsidR="00F26B99">
        <w:rPr>
          <w:rFonts w:ascii="Arial" w:hAnsi="Arial" w:cs="Arial"/>
        </w:rPr>
        <w:t xml:space="preserve"> </w:t>
      </w:r>
      <w:r w:rsidRPr="00D90FDE">
        <w:rPr>
          <w:rFonts w:ascii="Arial" w:hAnsi="Arial" w:cs="Arial"/>
        </w:rPr>
        <w:t>but has</w:t>
      </w:r>
      <w:r w:rsidR="00842AC7" w:rsidRPr="00D90FDE">
        <w:rPr>
          <w:rFonts w:ascii="Arial" w:hAnsi="Arial" w:cs="Arial"/>
        </w:rPr>
        <w:t xml:space="preserve"> </w:t>
      </w:r>
      <w:r w:rsidRPr="00D90FDE">
        <w:rPr>
          <w:rFonts w:ascii="Arial" w:hAnsi="Arial" w:cs="Arial"/>
        </w:rPr>
        <w:t xml:space="preserve">psoriasis affecting the elbows. </w:t>
      </w:r>
    </w:p>
    <w:p w14:paraId="4A9F3CE3" w14:textId="37E51B34" w:rsidR="008521A1" w:rsidRDefault="008521A1" w:rsidP="00D90FDE">
      <w:pPr>
        <w:spacing w:line="480" w:lineRule="auto"/>
        <w:jc w:val="both"/>
        <w:rPr>
          <w:rFonts w:ascii="Arial" w:hAnsi="Arial" w:cs="Arial"/>
        </w:rPr>
      </w:pPr>
      <w:r w:rsidRPr="00D90FDE">
        <w:rPr>
          <w:rFonts w:ascii="Arial" w:hAnsi="Arial" w:cs="Arial"/>
          <w:b/>
          <w:bCs/>
        </w:rPr>
        <w:t>Case 2:</w:t>
      </w:r>
      <w:r w:rsidRPr="00D90FDE">
        <w:rPr>
          <w:rFonts w:ascii="Arial" w:hAnsi="Arial" w:cs="Arial"/>
        </w:rPr>
        <w:t xml:space="preserve"> A 57-year-old woman </w:t>
      </w:r>
      <w:r w:rsidR="003168F8">
        <w:rPr>
          <w:rFonts w:ascii="Arial" w:hAnsi="Arial" w:cs="Arial"/>
        </w:rPr>
        <w:t xml:space="preserve">with psoriasis developed </w:t>
      </w:r>
      <w:r w:rsidRPr="00D90FDE">
        <w:rPr>
          <w:rFonts w:ascii="Arial" w:hAnsi="Arial" w:cs="Arial"/>
        </w:rPr>
        <w:t xml:space="preserve">atrophic plaques with central areas of purpura in the infra-mammary and inguinal regions, consistent with the poikilodermatous variant of mycosis fungoides (MF) which was subsequently confirmed on biopsy. She </w:t>
      </w:r>
      <w:r w:rsidR="001F4F43">
        <w:rPr>
          <w:rFonts w:ascii="Arial" w:hAnsi="Arial" w:cs="Arial"/>
        </w:rPr>
        <w:t xml:space="preserve">had </w:t>
      </w:r>
      <w:r w:rsidR="00810FC6">
        <w:rPr>
          <w:rFonts w:ascii="Arial" w:hAnsi="Arial" w:cs="Arial"/>
        </w:rPr>
        <w:t xml:space="preserve">pustular </w:t>
      </w:r>
      <w:r w:rsidR="001F4F43">
        <w:rPr>
          <w:rFonts w:ascii="Arial" w:hAnsi="Arial" w:cs="Arial"/>
        </w:rPr>
        <w:t>psoriasis affecting the palms and soles</w:t>
      </w:r>
      <w:r w:rsidR="00810FC6">
        <w:rPr>
          <w:rFonts w:ascii="Arial" w:hAnsi="Arial" w:cs="Arial"/>
        </w:rPr>
        <w:t xml:space="preserve"> and</w:t>
      </w:r>
      <w:r w:rsidR="003168F8">
        <w:rPr>
          <w:rFonts w:ascii="Arial" w:hAnsi="Arial" w:cs="Arial"/>
        </w:rPr>
        <w:t xml:space="preserve"> </w:t>
      </w:r>
      <w:r w:rsidRPr="00D90FDE">
        <w:rPr>
          <w:rFonts w:ascii="Arial" w:hAnsi="Arial" w:cs="Arial"/>
        </w:rPr>
        <w:t xml:space="preserve">had </w:t>
      </w:r>
      <w:r w:rsidR="003168F8">
        <w:rPr>
          <w:rFonts w:ascii="Arial" w:hAnsi="Arial" w:cs="Arial"/>
        </w:rPr>
        <w:t xml:space="preserve">previously </w:t>
      </w:r>
      <w:r w:rsidRPr="00D90FDE">
        <w:rPr>
          <w:rFonts w:ascii="Arial" w:hAnsi="Arial" w:cs="Arial"/>
        </w:rPr>
        <w:t xml:space="preserve">been under the care of several dermatologists for &gt;10 years </w:t>
      </w:r>
      <w:r w:rsidR="00810FC6">
        <w:rPr>
          <w:rFonts w:ascii="Arial" w:hAnsi="Arial" w:cs="Arial"/>
        </w:rPr>
        <w:t>with</w:t>
      </w:r>
      <w:r w:rsidR="003168F8" w:rsidRPr="00D90FDE">
        <w:rPr>
          <w:rFonts w:ascii="Arial" w:hAnsi="Arial" w:cs="Arial"/>
        </w:rPr>
        <w:t xml:space="preserve"> </w:t>
      </w:r>
      <w:r w:rsidR="00810FC6">
        <w:rPr>
          <w:rFonts w:ascii="Arial" w:hAnsi="Arial" w:cs="Arial"/>
        </w:rPr>
        <w:t xml:space="preserve">chronic </w:t>
      </w:r>
      <w:r w:rsidR="003168F8" w:rsidRPr="00D90FDE">
        <w:rPr>
          <w:rFonts w:ascii="Arial" w:hAnsi="Arial" w:cs="Arial"/>
        </w:rPr>
        <w:t xml:space="preserve">plaque psoriasis and palmoplantar pustulosis </w:t>
      </w:r>
      <w:r w:rsidRPr="00D90FDE">
        <w:rPr>
          <w:rFonts w:ascii="Arial" w:hAnsi="Arial" w:cs="Arial"/>
        </w:rPr>
        <w:t>and</w:t>
      </w:r>
      <w:r w:rsidR="003168F8">
        <w:rPr>
          <w:rFonts w:ascii="Arial" w:hAnsi="Arial" w:cs="Arial"/>
        </w:rPr>
        <w:t xml:space="preserve"> had </w:t>
      </w:r>
      <w:r w:rsidR="00810FC6">
        <w:rPr>
          <w:rFonts w:ascii="Arial" w:hAnsi="Arial" w:cs="Arial"/>
        </w:rPr>
        <w:t>received</w:t>
      </w:r>
      <w:r w:rsidRPr="00D90FDE">
        <w:rPr>
          <w:rFonts w:ascii="Arial" w:hAnsi="Arial" w:cs="Arial"/>
        </w:rPr>
        <w:t xml:space="preserve"> treat</w:t>
      </w:r>
      <w:r w:rsidR="00810FC6">
        <w:rPr>
          <w:rFonts w:ascii="Arial" w:hAnsi="Arial" w:cs="Arial"/>
        </w:rPr>
        <w:t xml:space="preserve">ment </w:t>
      </w:r>
      <w:r w:rsidR="003168F8" w:rsidRPr="00D90FDE">
        <w:rPr>
          <w:rFonts w:ascii="Arial" w:hAnsi="Arial" w:cs="Arial"/>
        </w:rPr>
        <w:t>with methotrexate</w:t>
      </w:r>
      <w:r w:rsidR="00810FC6">
        <w:rPr>
          <w:rFonts w:ascii="Arial" w:hAnsi="Arial" w:cs="Arial"/>
        </w:rPr>
        <w:t>, acitretin</w:t>
      </w:r>
      <w:r w:rsidR="003168F8" w:rsidRPr="00D90FDE">
        <w:rPr>
          <w:rFonts w:ascii="Arial" w:hAnsi="Arial" w:cs="Arial"/>
        </w:rPr>
        <w:t xml:space="preserve"> and hydroxycarbamide</w:t>
      </w:r>
      <w:r w:rsidRPr="00D90FDE">
        <w:rPr>
          <w:rFonts w:ascii="Arial" w:hAnsi="Arial" w:cs="Arial"/>
        </w:rPr>
        <w:t xml:space="preserve">, with documented periods of psoriatic remission. Following development of her CTCL, the patient was reviewed in a regional dermatology meeting where it was agreed </w:t>
      </w:r>
      <w:r w:rsidR="003168F8">
        <w:rPr>
          <w:rFonts w:ascii="Arial" w:hAnsi="Arial" w:cs="Arial"/>
        </w:rPr>
        <w:t xml:space="preserve">by multiple consultant dermatologists </w:t>
      </w:r>
      <w:r w:rsidRPr="00D90FDE">
        <w:rPr>
          <w:rFonts w:ascii="Arial" w:hAnsi="Arial" w:cs="Arial"/>
        </w:rPr>
        <w:t xml:space="preserve">that the patient had </w:t>
      </w:r>
      <w:r w:rsidR="003168F8">
        <w:rPr>
          <w:rFonts w:ascii="Arial" w:hAnsi="Arial" w:cs="Arial"/>
        </w:rPr>
        <w:t xml:space="preserve">both </w:t>
      </w:r>
      <w:r w:rsidRPr="00D90FDE">
        <w:rPr>
          <w:rFonts w:ascii="Arial" w:hAnsi="Arial" w:cs="Arial"/>
        </w:rPr>
        <w:t>CTCL and psoriasis.</w:t>
      </w:r>
    </w:p>
    <w:p w14:paraId="26C34A5A" w14:textId="5C247909" w:rsidR="009D1FC8" w:rsidRPr="00D90FDE" w:rsidRDefault="008521A1" w:rsidP="00D90FDE">
      <w:pPr>
        <w:spacing w:line="480" w:lineRule="auto"/>
        <w:jc w:val="both"/>
        <w:rPr>
          <w:rFonts w:ascii="Arial" w:hAnsi="Arial" w:cs="Arial"/>
        </w:rPr>
      </w:pPr>
      <w:r w:rsidRPr="00D90FDE">
        <w:rPr>
          <w:rFonts w:ascii="Arial" w:hAnsi="Arial" w:cs="Arial"/>
          <w:b/>
          <w:bCs/>
        </w:rPr>
        <w:t>Case 3:</w:t>
      </w:r>
      <w:r w:rsidRPr="00D90FDE">
        <w:rPr>
          <w:rFonts w:ascii="Arial" w:hAnsi="Arial" w:cs="Arial"/>
        </w:rPr>
        <w:t xml:space="preserve"> A 64-year-old man had psoriasis affecting the elbows, knees and scalp since age 50 years and was managed in primary care with calcipotriol ointment</w:t>
      </w:r>
      <w:r w:rsidR="006A272B">
        <w:rPr>
          <w:rFonts w:ascii="Arial" w:hAnsi="Arial" w:cs="Arial"/>
        </w:rPr>
        <w:t xml:space="preserve"> (Figure 2a, b)</w:t>
      </w:r>
      <w:r w:rsidRPr="00D90FDE">
        <w:rPr>
          <w:rFonts w:ascii="Arial" w:hAnsi="Arial" w:cs="Arial"/>
        </w:rPr>
        <w:t>.</w:t>
      </w:r>
      <w:r w:rsidR="00291063">
        <w:rPr>
          <w:rFonts w:ascii="Arial" w:hAnsi="Arial" w:cs="Arial"/>
        </w:rPr>
        <w:t xml:space="preserve"> He also had a family history of psoriasis.</w:t>
      </w:r>
      <w:r w:rsidRPr="00D90FDE">
        <w:rPr>
          <w:rFonts w:ascii="Arial" w:hAnsi="Arial" w:cs="Arial"/>
        </w:rPr>
        <w:t xml:space="preserve"> He </w:t>
      </w:r>
      <w:r w:rsidR="003168F8">
        <w:rPr>
          <w:rFonts w:ascii="Arial" w:hAnsi="Arial" w:cs="Arial"/>
        </w:rPr>
        <w:t>presented to the dermatology department with</w:t>
      </w:r>
      <w:r w:rsidRPr="00D90FDE">
        <w:rPr>
          <w:rFonts w:ascii="Arial" w:hAnsi="Arial" w:cs="Arial"/>
        </w:rPr>
        <w:t xml:space="preserve"> an asymptomatic, purple nodule on the left buttock</w:t>
      </w:r>
      <w:r w:rsidR="006A272B">
        <w:rPr>
          <w:rFonts w:ascii="Arial" w:hAnsi="Arial" w:cs="Arial"/>
        </w:rPr>
        <w:t xml:space="preserve"> (Figure 2c).</w:t>
      </w:r>
      <w:r w:rsidRPr="00D90FDE">
        <w:rPr>
          <w:rFonts w:ascii="Arial" w:hAnsi="Arial" w:cs="Arial"/>
        </w:rPr>
        <w:t xml:space="preserve"> </w:t>
      </w:r>
      <w:r w:rsidR="006A272B">
        <w:rPr>
          <w:rFonts w:ascii="Arial" w:hAnsi="Arial" w:cs="Arial"/>
        </w:rPr>
        <w:t>B</w:t>
      </w:r>
      <w:r w:rsidRPr="00D90FDE">
        <w:rPr>
          <w:rFonts w:ascii="Arial" w:hAnsi="Arial" w:cs="Arial"/>
        </w:rPr>
        <w:t xml:space="preserve">iopsy of this lesion demonstrated a dense lymphoid infiltrate with </w:t>
      </w:r>
      <w:proofErr w:type="spellStart"/>
      <w:r w:rsidRPr="00D90FDE">
        <w:rPr>
          <w:rFonts w:ascii="Arial" w:hAnsi="Arial" w:cs="Arial"/>
        </w:rPr>
        <w:t>epidermotropism</w:t>
      </w:r>
      <w:proofErr w:type="spellEnd"/>
      <w:r w:rsidRPr="00D90FDE">
        <w:rPr>
          <w:rFonts w:ascii="Arial" w:hAnsi="Arial" w:cs="Arial"/>
        </w:rPr>
        <w:t xml:space="preserve"> on histology</w:t>
      </w:r>
      <w:r w:rsidR="006A272B">
        <w:rPr>
          <w:rFonts w:ascii="Arial" w:hAnsi="Arial" w:cs="Arial"/>
        </w:rPr>
        <w:t xml:space="preserve"> (Figure 2d, e)</w:t>
      </w:r>
      <w:r w:rsidRPr="00D90FDE">
        <w:rPr>
          <w:rFonts w:ascii="Arial" w:hAnsi="Arial" w:cs="Arial"/>
        </w:rPr>
        <w:t>,</w:t>
      </w:r>
      <w:r w:rsidR="006A272B">
        <w:rPr>
          <w:rFonts w:ascii="Arial" w:hAnsi="Arial" w:cs="Arial"/>
        </w:rPr>
        <w:t xml:space="preserve"> </w:t>
      </w:r>
      <w:r w:rsidRPr="00D90FDE">
        <w:rPr>
          <w:rFonts w:ascii="Arial" w:hAnsi="Arial" w:cs="Arial"/>
        </w:rPr>
        <w:t>abnormal CD</w:t>
      </w:r>
      <w:r w:rsidR="006A272B">
        <w:rPr>
          <w:rFonts w:ascii="Arial" w:hAnsi="Arial" w:cs="Arial"/>
        </w:rPr>
        <w:t>3</w:t>
      </w:r>
      <w:r w:rsidRPr="00D90FDE">
        <w:rPr>
          <w:rFonts w:ascii="Arial" w:hAnsi="Arial" w:cs="Arial"/>
        </w:rPr>
        <w:t>-positive</w:t>
      </w:r>
      <w:r w:rsidR="001F4F43">
        <w:rPr>
          <w:rFonts w:ascii="Arial" w:hAnsi="Arial" w:cs="Arial"/>
        </w:rPr>
        <w:t xml:space="preserve"> (Figure 2f)</w:t>
      </w:r>
      <w:r w:rsidR="001F4F43" w:rsidRPr="00D90FDE">
        <w:rPr>
          <w:rFonts w:ascii="Arial" w:hAnsi="Arial" w:cs="Arial"/>
        </w:rPr>
        <w:t xml:space="preserve"> </w:t>
      </w:r>
      <w:r w:rsidRPr="00D90FDE">
        <w:rPr>
          <w:rFonts w:ascii="Arial" w:hAnsi="Arial" w:cs="Arial"/>
        </w:rPr>
        <w:t>and CD</w:t>
      </w:r>
      <w:r w:rsidR="006A272B">
        <w:rPr>
          <w:rFonts w:ascii="Arial" w:hAnsi="Arial" w:cs="Arial"/>
        </w:rPr>
        <w:t>8</w:t>
      </w:r>
      <w:r w:rsidRPr="00D90FDE">
        <w:rPr>
          <w:rFonts w:ascii="Arial" w:hAnsi="Arial" w:cs="Arial"/>
        </w:rPr>
        <w:t>-</w:t>
      </w:r>
      <w:r w:rsidRPr="00D90FDE">
        <w:rPr>
          <w:rFonts w:ascii="Arial" w:hAnsi="Arial" w:cs="Arial"/>
        </w:rPr>
        <w:lastRenderedPageBreak/>
        <w:t>positive cells</w:t>
      </w:r>
      <w:r w:rsidR="006A272B">
        <w:rPr>
          <w:rFonts w:ascii="Arial" w:hAnsi="Arial" w:cs="Arial"/>
        </w:rPr>
        <w:t xml:space="preserve"> </w:t>
      </w:r>
      <w:r w:rsidRPr="00D90FDE">
        <w:rPr>
          <w:rFonts w:ascii="Arial" w:hAnsi="Arial" w:cs="Arial"/>
        </w:rPr>
        <w:t xml:space="preserve">with loss of CD5 </w:t>
      </w:r>
      <w:r w:rsidR="006A272B">
        <w:rPr>
          <w:rFonts w:ascii="Arial" w:hAnsi="Arial" w:cs="Arial"/>
        </w:rPr>
        <w:t>(Figure 2g)</w:t>
      </w:r>
      <w:r w:rsidRPr="00D90FDE">
        <w:rPr>
          <w:rFonts w:ascii="Arial" w:hAnsi="Arial" w:cs="Arial"/>
        </w:rPr>
        <w:t xml:space="preserve">. CD30 positive cells were also present. He was referred to the combined CTCL clinic whereupon he was noted to have erythematous patches with fine scale over the trunk and legs consistent with MF, but also had evidence of psoriasis affecting his </w:t>
      </w:r>
      <w:r w:rsidR="001F4F43" w:rsidRPr="00D90FDE">
        <w:rPr>
          <w:rFonts w:ascii="Arial" w:hAnsi="Arial" w:cs="Arial"/>
        </w:rPr>
        <w:t xml:space="preserve">elbows </w:t>
      </w:r>
      <w:r w:rsidRPr="00D90FDE">
        <w:rPr>
          <w:rFonts w:ascii="Arial" w:hAnsi="Arial" w:cs="Arial"/>
        </w:rPr>
        <w:t>and</w:t>
      </w:r>
      <w:r w:rsidR="001F4F43">
        <w:rPr>
          <w:rFonts w:ascii="Arial" w:hAnsi="Arial" w:cs="Arial"/>
        </w:rPr>
        <w:t xml:space="preserve"> </w:t>
      </w:r>
      <w:r w:rsidR="001F4F43" w:rsidRPr="00D90FDE">
        <w:rPr>
          <w:rFonts w:ascii="Arial" w:hAnsi="Arial" w:cs="Arial"/>
        </w:rPr>
        <w:t>knees</w:t>
      </w:r>
      <w:r w:rsidRPr="00D90FDE">
        <w:rPr>
          <w:rFonts w:ascii="Arial" w:hAnsi="Arial" w:cs="Arial"/>
        </w:rPr>
        <w:t>. He subsequently developed another nodular lesion on the left buttock which displayed similar histological findings to the earlier nodule, and clonal TCR beta and gamma gene rearrangements co</w:t>
      </w:r>
      <w:r w:rsidR="006A272B">
        <w:rPr>
          <w:rFonts w:ascii="Arial" w:hAnsi="Arial" w:cs="Arial"/>
        </w:rPr>
        <w:t>nsistent with</w:t>
      </w:r>
      <w:r w:rsidRPr="00D90FDE">
        <w:rPr>
          <w:rFonts w:ascii="Arial" w:hAnsi="Arial" w:cs="Arial"/>
        </w:rPr>
        <w:t xml:space="preserve"> CTCL. His CTCL remains stable with occasional use of topical corticosteroids</w:t>
      </w:r>
      <w:r w:rsidR="006A272B">
        <w:rPr>
          <w:rFonts w:ascii="Arial" w:hAnsi="Arial" w:cs="Arial"/>
        </w:rPr>
        <w:t>.</w:t>
      </w:r>
    </w:p>
    <w:p w14:paraId="58E60484" w14:textId="2B90A8F6" w:rsidR="00F03B8D" w:rsidRDefault="008521A1" w:rsidP="00D90FDE">
      <w:pPr>
        <w:spacing w:line="480" w:lineRule="auto"/>
        <w:jc w:val="both"/>
        <w:rPr>
          <w:rFonts w:ascii="Arial" w:hAnsi="Arial" w:cs="Arial"/>
        </w:rPr>
      </w:pPr>
      <w:r w:rsidRPr="00D90FDE">
        <w:rPr>
          <w:rFonts w:ascii="Arial" w:hAnsi="Arial" w:cs="Arial"/>
          <w:b/>
          <w:bCs/>
        </w:rPr>
        <w:t>Case 4:</w:t>
      </w:r>
      <w:r w:rsidRPr="00D90FDE">
        <w:rPr>
          <w:rFonts w:ascii="Arial" w:hAnsi="Arial" w:cs="Arial"/>
        </w:rPr>
        <w:t xml:space="preserve"> A 36-year-old woman developed a nodule on the left nasal ala whilst taking fingolimod for multiple sclerosis (MS). She had a history of psoriasis affecting the occiput and posterior vertex of the scalp, and behind the ears</w:t>
      </w:r>
      <w:r w:rsidR="003168F8">
        <w:rPr>
          <w:rFonts w:ascii="Arial" w:hAnsi="Arial" w:cs="Arial"/>
        </w:rPr>
        <w:t>,</w:t>
      </w:r>
      <w:r w:rsidRPr="00D90FDE">
        <w:rPr>
          <w:rFonts w:ascii="Arial" w:hAnsi="Arial" w:cs="Arial"/>
        </w:rPr>
        <w:t xml:space="preserve"> since adolescence which she controlled with topical steroids. Biopsy of the nasal lesion demonstrated a dense dermal infiltrate of atypical CD3-positive lymphocytes, with some lymphocytes extending into the epidermis, loss of CD7 and CD8, and clonal TCR beta and gamma gene rearrangements. She was referred to the combined CTCL clinic and developed </w:t>
      </w:r>
      <w:r w:rsidR="006A272B">
        <w:rPr>
          <w:rFonts w:ascii="Arial" w:hAnsi="Arial" w:cs="Arial"/>
        </w:rPr>
        <w:t>further</w:t>
      </w:r>
      <w:r w:rsidRPr="00D90FDE">
        <w:rPr>
          <w:rFonts w:ascii="Arial" w:hAnsi="Arial" w:cs="Arial"/>
        </w:rPr>
        <w:t xml:space="preserve"> lesions on the left arm, philtrum and lower lip. Biopsy of the philtrum and left arm lesions showed similar findings to the previous biopsy. She was treated with radiotherapy</w:t>
      </w:r>
      <w:r w:rsidR="00842AC7" w:rsidRPr="00D90FDE">
        <w:rPr>
          <w:rFonts w:ascii="Arial" w:hAnsi="Arial" w:cs="Arial"/>
        </w:rPr>
        <w:t xml:space="preserve"> and</w:t>
      </w:r>
      <w:r w:rsidRPr="00D90FDE">
        <w:rPr>
          <w:rFonts w:ascii="Arial" w:hAnsi="Arial" w:cs="Arial"/>
        </w:rPr>
        <w:t xml:space="preserve"> fingolimod was discontinued. Her MS </w:t>
      </w:r>
      <w:r w:rsidR="00810FC6">
        <w:rPr>
          <w:rFonts w:ascii="Arial" w:hAnsi="Arial" w:cs="Arial"/>
        </w:rPr>
        <w:t>was subsequently</w:t>
      </w:r>
      <w:r w:rsidRPr="00D90FDE">
        <w:rPr>
          <w:rFonts w:ascii="Arial" w:hAnsi="Arial" w:cs="Arial"/>
        </w:rPr>
        <w:t xml:space="preserve"> treated with dimethyl </w:t>
      </w:r>
      <w:r w:rsidR="00842AC7" w:rsidRPr="00D90FDE">
        <w:rPr>
          <w:rFonts w:ascii="Arial" w:hAnsi="Arial" w:cs="Arial"/>
        </w:rPr>
        <w:t>fumarate,</w:t>
      </w:r>
      <w:r w:rsidRPr="00D90FDE">
        <w:rPr>
          <w:rFonts w:ascii="Arial" w:hAnsi="Arial" w:cs="Arial"/>
        </w:rPr>
        <w:t xml:space="preserve"> and she has not developed any new CTCL lesions. </w:t>
      </w:r>
    </w:p>
    <w:p w14:paraId="705E9C22" w14:textId="208D3AC7" w:rsidR="009D1FC8" w:rsidRPr="00D90FDE" w:rsidRDefault="008521A1" w:rsidP="00D90FDE">
      <w:pPr>
        <w:spacing w:line="480" w:lineRule="auto"/>
        <w:jc w:val="both"/>
        <w:rPr>
          <w:rFonts w:ascii="Arial" w:hAnsi="Arial" w:cs="Arial"/>
        </w:rPr>
      </w:pPr>
      <w:r w:rsidRPr="00D90FDE">
        <w:rPr>
          <w:rFonts w:ascii="Arial" w:hAnsi="Arial" w:cs="Arial"/>
          <w:b/>
          <w:bCs/>
        </w:rPr>
        <w:t>Case 5:</w:t>
      </w:r>
      <w:r w:rsidRPr="00D90FDE">
        <w:rPr>
          <w:rFonts w:ascii="Arial" w:hAnsi="Arial" w:cs="Arial"/>
        </w:rPr>
        <w:t xml:space="preserve"> A 48-year-old man developed patches and plaques which were clinically considered as CTCL and confirmed as CTCL on biopsy. He had a history of psoriasis affecting the elbows, knees and scalp since adolescence and had been managed successfully for many years in primary care with topical anti-psoriatic agents. Treatment with denileukin diftitox (Ontak) resulted in clinical remission of his CTCL and a significant improvement in his psoriasis (for which Ontak had been trialled previously</w:t>
      </w:r>
      <w:r w:rsidR="00154792">
        <w:rPr>
          <w:rFonts w:ascii="Arial" w:hAnsi="Arial" w:cs="Arial"/>
          <w:vertAlign w:val="superscript"/>
        </w:rPr>
        <w:t>6</w:t>
      </w:r>
      <w:r w:rsidRPr="00D90FDE">
        <w:rPr>
          <w:rFonts w:ascii="Arial" w:hAnsi="Arial" w:cs="Arial"/>
        </w:rPr>
        <w:t xml:space="preserve">).  </w:t>
      </w:r>
    </w:p>
    <w:p w14:paraId="1782CF89" w14:textId="42ED7FFD" w:rsidR="008521A1" w:rsidRPr="00D90FDE" w:rsidRDefault="008521A1" w:rsidP="00D90FDE">
      <w:pPr>
        <w:spacing w:line="480" w:lineRule="auto"/>
        <w:jc w:val="both"/>
        <w:rPr>
          <w:rFonts w:ascii="Arial" w:hAnsi="Arial" w:cs="Arial"/>
        </w:rPr>
      </w:pPr>
      <w:r w:rsidRPr="00D90FDE">
        <w:rPr>
          <w:rFonts w:ascii="Arial" w:hAnsi="Arial" w:cs="Arial"/>
          <w:b/>
          <w:bCs/>
        </w:rPr>
        <w:t xml:space="preserve">Case </w:t>
      </w:r>
      <w:r w:rsidR="00291063">
        <w:rPr>
          <w:rFonts w:ascii="Arial" w:hAnsi="Arial" w:cs="Arial"/>
          <w:b/>
          <w:bCs/>
        </w:rPr>
        <w:t>6</w:t>
      </w:r>
      <w:r w:rsidRPr="00D90FDE">
        <w:rPr>
          <w:rFonts w:ascii="Arial" w:hAnsi="Arial" w:cs="Arial"/>
          <w:b/>
          <w:bCs/>
        </w:rPr>
        <w:t>:</w:t>
      </w:r>
      <w:r w:rsidRPr="00D90FDE">
        <w:rPr>
          <w:rFonts w:ascii="Arial" w:hAnsi="Arial" w:cs="Arial"/>
        </w:rPr>
        <w:t xml:space="preserve"> A 44-year-old man had a 16-year history of patch and plaque stage MF which had been diagnosed and treated by his local dermatologist with input from another tertiary UK CTCL service for 15 years. Skin histology demonstrated </w:t>
      </w:r>
      <w:proofErr w:type="spellStart"/>
      <w:r w:rsidRPr="00D90FDE">
        <w:rPr>
          <w:rFonts w:ascii="Arial" w:hAnsi="Arial" w:cs="Arial"/>
        </w:rPr>
        <w:t>epidermotropism</w:t>
      </w:r>
      <w:proofErr w:type="spellEnd"/>
      <w:r w:rsidRPr="00D90FDE">
        <w:rPr>
          <w:rFonts w:ascii="Arial" w:hAnsi="Arial" w:cs="Arial"/>
        </w:rPr>
        <w:t xml:space="preserve"> and a dermal </w:t>
      </w:r>
      <w:proofErr w:type="spellStart"/>
      <w:r w:rsidRPr="00D90FDE">
        <w:rPr>
          <w:rFonts w:ascii="Arial" w:hAnsi="Arial" w:cs="Arial"/>
        </w:rPr>
        <w:t>folliculotrophic</w:t>
      </w:r>
      <w:proofErr w:type="spellEnd"/>
      <w:r w:rsidRPr="00D90FDE">
        <w:rPr>
          <w:rFonts w:ascii="Arial" w:hAnsi="Arial" w:cs="Arial"/>
        </w:rPr>
        <w:t xml:space="preserve"> lymphoid infiltrate, with loss of CD5 and a clonal TCR beta and gamma profile. He subsequently developed </w:t>
      </w:r>
      <w:r w:rsidRPr="00D90FDE">
        <w:rPr>
          <w:rFonts w:ascii="Arial" w:hAnsi="Arial" w:cs="Arial"/>
        </w:rPr>
        <w:lastRenderedPageBreak/>
        <w:t xml:space="preserve">symmetrical papulosquamous lesions affecting his elbows consistent with psoriasis at age 40 years. He was referred to our combined CTCL clinic in 2021 with CTCL lesions affecting his left eyelid and left </w:t>
      </w:r>
      <w:r w:rsidR="0039444B" w:rsidRPr="00D90FDE">
        <w:rPr>
          <w:rFonts w:ascii="Arial" w:hAnsi="Arial" w:cs="Arial"/>
        </w:rPr>
        <w:t>hip and</w:t>
      </w:r>
      <w:r w:rsidRPr="00D90FDE">
        <w:rPr>
          <w:rFonts w:ascii="Arial" w:hAnsi="Arial" w:cs="Arial"/>
        </w:rPr>
        <w:t xml:space="preserve"> was noted to have psoriasis on both elbows and distal onycholysis of his fingernails. His CTCL is currently well-controlled following skin-directed radiotherapy. </w:t>
      </w:r>
    </w:p>
    <w:p w14:paraId="153C73ED" w14:textId="32913B43" w:rsidR="008521A1" w:rsidRDefault="008521A1" w:rsidP="00D90FDE">
      <w:pPr>
        <w:spacing w:line="480" w:lineRule="auto"/>
        <w:jc w:val="both"/>
        <w:rPr>
          <w:rFonts w:ascii="Arial" w:hAnsi="Arial" w:cs="Arial"/>
        </w:rPr>
      </w:pPr>
      <w:r w:rsidRPr="00D90FDE">
        <w:rPr>
          <w:rFonts w:ascii="Arial" w:hAnsi="Arial" w:cs="Arial"/>
        </w:rPr>
        <w:t>While it can be challenging in some cases to distinguish whether a patient has CTCL with psoriasis or CTCL alone, we believe that the patients described here had both conditions.</w:t>
      </w:r>
      <w:r w:rsidR="004779B5">
        <w:rPr>
          <w:rFonts w:ascii="Arial" w:hAnsi="Arial" w:cs="Arial"/>
        </w:rPr>
        <w:t xml:space="preserve"> We accept that some dermatologists may query the validity of a </w:t>
      </w:r>
      <w:r w:rsidR="00B52F72">
        <w:rPr>
          <w:rFonts w:ascii="Arial" w:hAnsi="Arial" w:cs="Arial"/>
        </w:rPr>
        <w:t>psoriasis</w:t>
      </w:r>
      <w:r w:rsidR="004779B5">
        <w:rPr>
          <w:rFonts w:ascii="Arial" w:hAnsi="Arial" w:cs="Arial"/>
        </w:rPr>
        <w:t xml:space="preserve"> diagnosis</w:t>
      </w:r>
      <w:r w:rsidR="00B52F72">
        <w:rPr>
          <w:rFonts w:ascii="Arial" w:hAnsi="Arial" w:cs="Arial"/>
        </w:rPr>
        <w:t xml:space="preserve"> without histological evidence of psoriasis</w:t>
      </w:r>
      <w:r w:rsidR="004779B5">
        <w:rPr>
          <w:rFonts w:ascii="Arial" w:hAnsi="Arial" w:cs="Arial"/>
        </w:rPr>
        <w:t xml:space="preserve"> in </w:t>
      </w:r>
      <w:r w:rsidR="002E6EF4">
        <w:rPr>
          <w:rFonts w:ascii="Arial" w:hAnsi="Arial" w:cs="Arial"/>
        </w:rPr>
        <w:t>patients</w:t>
      </w:r>
      <w:r w:rsidR="004779B5">
        <w:rPr>
          <w:rFonts w:ascii="Arial" w:hAnsi="Arial" w:cs="Arial"/>
        </w:rPr>
        <w:t xml:space="preserve"> who subsequently develop CTCL</w:t>
      </w:r>
      <w:r w:rsidR="00B52F72">
        <w:rPr>
          <w:rFonts w:ascii="Arial" w:hAnsi="Arial" w:cs="Arial"/>
        </w:rPr>
        <w:t>.</w:t>
      </w:r>
      <w:r w:rsidR="004779B5">
        <w:rPr>
          <w:rFonts w:ascii="Arial" w:hAnsi="Arial" w:cs="Arial"/>
        </w:rPr>
        <w:t xml:space="preserve"> </w:t>
      </w:r>
      <w:r w:rsidR="00B52F72">
        <w:rPr>
          <w:rFonts w:ascii="Arial" w:hAnsi="Arial" w:cs="Arial"/>
        </w:rPr>
        <w:t>H</w:t>
      </w:r>
      <w:r w:rsidR="004779B5">
        <w:rPr>
          <w:rFonts w:ascii="Arial" w:hAnsi="Arial" w:cs="Arial"/>
        </w:rPr>
        <w:t>owever, psoria</w:t>
      </w:r>
      <w:r w:rsidR="00B52F72">
        <w:rPr>
          <w:rFonts w:ascii="Arial" w:hAnsi="Arial" w:cs="Arial"/>
        </w:rPr>
        <w:t>sis</w:t>
      </w:r>
      <w:r w:rsidR="004779B5">
        <w:rPr>
          <w:rFonts w:ascii="Arial" w:hAnsi="Arial" w:cs="Arial"/>
        </w:rPr>
        <w:t xml:space="preserve"> </w:t>
      </w:r>
      <w:r w:rsidR="00B52F72">
        <w:rPr>
          <w:rFonts w:ascii="Arial" w:hAnsi="Arial" w:cs="Arial"/>
        </w:rPr>
        <w:t xml:space="preserve">is </w:t>
      </w:r>
      <w:r w:rsidR="004779B5">
        <w:rPr>
          <w:rFonts w:ascii="Arial" w:hAnsi="Arial" w:cs="Arial"/>
        </w:rPr>
        <w:t>diagnose</w:t>
      </w:r>
      <w:r w:rsidR="00B52F72">
        <w:rPr>
          <w:rFonts w:ascii="Arial" w:hAnsi="Arial" w:cs="Arial"/>
        </w:rPr>
        <w:t xml:space="preserve">d clinically rather than histologically in the vast majority of cases and skin biopsy is rarely required to establish the diagnosis of psoriasis, </w:t>
      </w:r>
      <w:r w:rsidR="002E6EF4">
        <w:rPr>
          <w:rFonts w:ascii="Arial" w:hAnsi="Arial" w:cs="Arial"/>
        </w:rPr>
        <w:t>which</w:t>
      </w:r>
      <w:r w:rsidR="00B52F72">
        <w:rPr>
          <w:rFonts w:ascii="Arial" w:hAnsi="Arial" w:cs="Arial"/>
        </w:rPr>
        <w:t xml:space="preserve"> was </w:t>
      </w:r>
      <w:r w:rsidR="00884979">
        <w:rPr>
          <w:rFonts w:ascii="Arial" w:hAnsi="Arial" w:cs="Arial"/>
        </w:rPr>
        <w:t xml:space="preserve">also </w:t>
      </w:r>
      <w:r w:rsidR="00B52F72">
        <w:rPr>
          <w:rFonts w:ascii="Arial" w:hAnsi="Arial" w:cs="Arial"/>
        </w:rPr>
        <w:t xml:space="preserve">the </w:t>
      </w:r>
      <w:r w:rsidR="002E6EF4">
        <w:rPr>
          <w:rFonts w:ascii="Arial" w:hAnsi="Arial" w:cs="Arial"/>
        </w:rPr>
        <w:t>case for the patients included in this report</w:t>
      </w:r>
      <w:r w:rsidR="00B52F72">
        <w:rPr>
          <w:rFonts w:ascii="Arial" w:hAnsi="Arial" w:cs="Arial"/>
        </w:rPr>
        <w:t>.</w:t>
      </w:r>
      <w:r w:rsidR="004779B5">
        <w:rPr>
          <w:rFonts w:ascii="Arial" w:hAnsi="Arial" w:cs="Arial"/>
        </w:rPr>
        <w:t xml:space="preserve"> It is also possible that some dermatologists may que</w:t>
      </w:r>
      <w:r w:rsidR="002E6EF4">
        <w:rPr>
          <w:rFonts w:ascii="Arial" w:hAnsi="Arial" w:cs="Arial"/>
        </w:rPr>
        <w:t>stion reports</w:t>
      </w:r>
      <w:r w:rsidR="004779B5">
        <w:rPr>
          <w:rFonts w:ascii="Arial" w:hAnsi="Arial" w:cs="Arial"/>
        </w:rPr>
        <w:t xml:space="preserve"> of psoriasis and concomitant CTCL in cases where </w:t>
      </w:r>
      <w:r w:rsidR="00884979">
        <w:rPr>
          <w:rFonts w:ascii="Arial" w:hAnsi="Arial" w:cs="Arial"/>
        </w:rPr>
        <w:t>authors</w:t>
      </w:r>
      <w:r w:rsidR="00B52F72">
        <w:rPr>
          <w:rFonts w:ascii="Arial" w:hAnsi="Arial" w:cs="Arial"/>
        </w:rPr>
        <w:t xml:space="preserve"> simply report on the number of patients with both conditions</w:t>
      </w:r>
      <w:r w:rsidR="002E6EF4">
        <w:rPr>
          <w:rFonts w:ascii="Arial" w:hAnsi="Arial" w:cs="Arial"/>
        </w:rPr>
        <w:t>,</w:t>
      </w:r>
      <w:r w:rsidR="00B52F72">
        <w:rPr>
          <w:rFonts w:ascii="Arial" w:hAnsi="Arial" w:cs="Arial"/>
        </w:rPr>
        <w:t xml:space="preserve"> rather than providing the clinical details of each</w:t>
      </w:r>
      <w:r w:rsidR="002E6EF4">
        <w:rPr>
          <w:rFonts w:ascii="Arial" w:hAnsi="Arial" w:cs="Arial"/>
        </w:rPr>
        <w:t xml:space="preserve"> </w:t>
      </w:r>
      <w:r w:rsidR="00487FD8">
        <w:rPr>
          <w:rFonts w:ascii="Arial" w:hAnsi="Arial" w:cs="Arial"/>
        </w:rPr>
        <w:t>individual</w:t>
      </w:r>
      <w:r w:rsidR="00B52F72">
        <w:rPr>
          <w:rFonts w:ascii="Arial" w:hAnsi="Arial" w:cs="Arial"/>
        </w:rPr>
        <w:t xml:space="preserve"> case</w:t>
      </w:r>
      <w:r w:rsidR="00487FD8">
        <w:rPr>
          <w:rFonts w:ascii="Arial" w:hAnsi="Arial" w:cs="Arial"/>
        </w:rPr>
        <w:t>, hence our reason f</w:t>
      </w:r>
      <w:r w:rsidR="00B52F72">
        <w:rPr>
          <w:rFonts w:ascii="Arial" w:hAnsi="Arial" w:cs="Arial"/>
        </w:rPr>
        <w:t>or</w:t>
      </w:r>
      <w:r w:rsidR="00487FD8">
        <w:rPr>
          <w:rFonts w:ascii="Arial" w:hAnsi="Arial" w:cs="Arial"/>
        </w:rPr>
        <w:t xml:space="preserve"> providing the clinical details of each case separately in this report.</w:t>
      </w:r>
      <w:r w:rsidRPr="00D90FDE">
        <w:rPr>
          <w:rFonts w:ascii="Arial" w:hAnsi="Arial" w:cs="Arial"/>
        </w:rPr>
        <w:t xml:space="preserve">  </w:t>
      </w:r>
      <w:r w:rsidR="002E6EF4">
        <w:rPr>
          <w:rFonts w:ascii="Arial" w:hAnsi="Arial" w:cs="Arial"/>
        </w:rPr>
        <w:t>Interestingly, the proportion (5.2%) of our CTCL patients with psoriasis is similar to the 7.8% of CTCL patients who</w:t>
      </w:r>
      <w:r w:rsidR="002E6EF4" w:rsidRPr="00D90FDE">
        <w:rPr>
          <w:rFonts w:ascii="Arial" w:hAnsi="Arial" w:cs="Arial"/>
        </w:rPr>
        <w:t xml:space="preserve"> had co-existing psoriasis</w:t>
      </w:r>
      <w:r w:rsidR="002E6EF4">
        <w:rPr>
          <w:rFonts w:ascii="Arial" w:hAnsi="Arial" w:cs="Arial"/>
        </w:rPr>
        <w:t xml:space="preserve"> reported by </w:t>
      </w:r>
      <w:r w:rsidR="002E6EF4" w:rsidRPr="00D90FDE">
        <w:rPr>
          <w:rFonts w:ascii="Arial" w:hAnsi="Arial" w:cs="Arial"/>
        </w:rPr>
        <w:t>Nikolaou et al</w:t>
      </w:r>
      <w:r w:rsidR="002E6EF4">
        <w:rPr>
          <w:rFonts w:ascii="Arial" w:hAnsi="Arial" w:cs="Arial"/>
        </w:rPr>
        <w:t>.</w:t>
      </w:r>
      <w:r w:rsidR="002E6EF4">
        <w:rPr>
          <w:rFonts w:ascii="Arial" w:hAnsi="Arial" w:cs="Arial"/>
          <w:vertAlign w:val="superscript"/>
        </w:rPr>
        <w:t>7</w:t>
      </w:r>
      <w:r w:rsidRPr="00D90FDE">
        <w:rPr>
          <w:rFonts w:ascii="Arial" w:hAnsi="Arial" w:cs="Arial"/>
        </w:rPr>
        <w:t xml:space="preserve"> </w:t>
      </w:r>
      <w:bookmarkStart w:id="1" w:name="_Hlk137728254"/>
      <w:r w:rsidR="009B1841">
        <w:rPr>
          <w:rFonts w:ascii="Arial" w:hAnsi="Arial" w:cs="Arial"/>
        </w:rPr>
        <w:t>Moreover</w:t>
      </w:r>
      <w:r w:rsidR="00651165">
        <w:rPr>
          <w:rFonts w:ascii="Arial" w:hAnsi="Arial" w:cs="Arial"/>
        </w:rPr>
        <w:t>, a</w:t>
      </w:r>
      <w:r w:rsidR="00651165" w:rsidRPr="00651165">
        <w:rPr>
          <w:rFonts w:ascii="Arial" w:hAnsi="Arial" w:cs="Arial"/>
        </w:rPr>
        <w:t xml:space="preserve">s </w:t>
      </w:r>
      <w:r w:rsidR="009B1841">
        <w:rPr>
          <w:rFonts w:ascii="Arial" w:hAnsi="Arial" w:cs="Arial"/>
        </w:rPr>
        <w:t xml:space="preserve">the prevalence of </w:t>
      </w:r>
      <w:r w:rsidR="00651165" w:rsidRPr="00651165">
        <w:rPr>
          <w:rFonts w:ascii="Arial" w:hAnsi="Arial" w:cs="Arial"/>
        </w:rPr>
        <w:t xml:space="preserve">psoriasis </w:t>
      </w:r>
      <w:r w:rsidR="009B1841">
        <w:rPr>
          <w:rFonts w:ascii="Arial" w:hAnsi="Arial" w:cs="Arial"/>
        </w:rPr>
        <w:t>is</w:t>
      </w:r>
      <w:r w:rsidR="00651165" w:rsidRPr="00651165">
        <w:rPr>
          <w:rFonts w:ascii="Arial" w:hAnsi="Arial" w:cs="Arial"/>
        </w:rPr>
        <w:t xml:space="preserve"> 2.8% of the </w:t>
      </w:r>
      <w:r w:rsidR="0086686E">
        <w:rPr>
          <w:rFonts w:ascii="Arial" w:hAnsi="Arial" w:cs="Arial"/>
        </w:rPr>
        <w:t xml:space="preserve">UK </w:t>
      </w:r>
      <w:r w:rsidR="00651165" w:rsidRPr="00651165">
        <w:rPr>
          <w:rFonts w:ascii="Arial" w:hAnsi="Arial" w:cs="Arial"/>
        </w:rPr>
        <w:t>population</w:t>
      </w:r>
      <w:r w:rsidR="00CA3F2D" w:rsidRPr="00CA3F2D">
        <w:rPr>
          <w:rFonts w:ascii="Arial" w:hAnsi="Arial" w:cs="Arial"/>
          <w:vertAlign w:val="superscript"/>
        </w:rPr>
        <w:t>8</w:t>
      </w:r>
      <w:r w:rsidR="00651165" w:rsidRPr="00651165">
        <w:rPr>
          <w:rFonts w:ascii="Arial" w:hAnsi="Arial" w:cs="Arial"/>
        </w:rPr>
        <w:t xml:space="preserve">, </w:t>
      </w:r>
      <w:r w:rsidR="009B1841">
        <w:rPr>
          <w:rFonts w:ascii="Arial" w:hAnsi="Arial" w:cs="Arial"/>
        </w:rPr>
        <w:t>the 5.2% prevalence of psoriasis in our CTCL patients is higher than expected</w:t>
      </w:r>
      <w:r w:rsidR="0042110D" w:rsidRPr="00FF70DA">
        <w:rPr>
          <w:rFonts w:ascii="Arial" w:hAnsi="Arial" w:cs="Arial"/>
        </w:rPr>
        <w:t>, but it would not be possible to conclude from this observation that the risk of CTCL is raised in patients with psoriasis</w:t>
      </w:r>
      <w:r w:rsidR="00651165" w:rsidRPr="00FF70DA">
        <w:rPr>
          <w:rFonts w:ascii="Arial" w:hAnsi="Arial" w:cs="Arial"/>
        </w:rPr>
        <w:t>.</w:t>
      </w:r>
      <w:r w:rsidR="00651165">
        <w:rPr>
          <w:rFonts w:ascii="Arial" w:hAnsi="Arial" w:cs="Arial"/>
        </w:rPr>
        <w:t xml:space="preserve">  </w:t>
      </w:r>
      <w:bookmarkEnd w:id="1"/>
      <w:r w:rsidR="00291063">
        <w:rPr>
          <w:rFonts w:ascii="Arial" w:hAnsi="Arial" w:cs="Arial"/>
        </w:rPr>
        <w:t>Five</w:t>
      </w:r>
      <w:r w:rsidRPr="00D90FDE">
        <w:rPr>
          <w:rFonts w:ascii="Arial" w:hAnsi="Arial" w:cs="Arial"/>
        </w:rPr>
        <w:t xml:space="preserve"> of our patients developed CTCL after psoriasis, therefore we </w:t>
      </w:r>
      <w:r w:rsidR="00587F01">
        <w:rPr>
          <w:rFonts w:ascii="Arial" w:hAnsi="Arial" w:cs="Arial"/>
        </w:rPr>
        <w:t>think</w:t>
      </w:r>
      <w:r w:rsidRPr="00D90FDE">
        <w:rPr>
          <w:rFonts w:ascii="Arial" w:hAnsi="Arial" w:cs="Arial"/>
        </w:rPr>
        <w:t xml:space="preserve"> it important to carefully examine patients with psoriasis for atypical areas that may represent concomitant CTCL</w:t>
      </w:r>
      <w:r w:rsidR="00587F01">
        <w:rPr>
          <w:rFonts w:ascii="Arial" w:hAnsi="Arial" w:cs="Arial"/>
        </w:rPr>
        <w:t xml:space="preserve"> and to investigate appropriately if the latter diagnosis is considered</w:t>
      </w:r>
      <w:r w:rsidRPr="00D90FDE">
        <w:rPr>
          <w:rFonts w:ascii="Arial" w:hAnsi="Arial" w:cs="Arial"/>
        </w:rPr>
        <w:t>.</w:t>
      </w:r>
    </w:p>
    <w:p w14:paraId="40624E4A" w14:textId="77777777" w:rsidR="002D7AEA" w:rsidRDefault="002D7AEA" w:rsidP="00D90FDE">
      <w:pPr>
        <w:spacing w:line="480" w:lineRule="auto"/>
        <w:jc w:val="both"/>
        <w:rPr>
          <w:rFonts w:ascii="Arial" w:hAnsi="Arial" w:cs="Arial"/>
        </w:rPr>
      </w:pPr>
    </w:p>
    <w:p w14:paraId="4E3CFEA8" w14:textId="77777777" w:rsidR="007D05B9" w:rsidRDefault="007D05B9" w:rsidP="002D7AEA">
      <w:pPr>
        <w:spacing w:line="480" w:lineRule="auto"/>
        <w:rPr>
          <w:rFonts w:ascii="Arial" w:hAnsi="Arial" w:cs="Arial"/>
          <w:b/>
          <w:bCs/>
          <w:color w:val="FF0000"/>
        </w:rPr>
      </w:pPr>
    </w:p>
    <w:p w14:paraId="49D5775E" w14:textId="77777777" w:rsidR="003D35BF" w:rsidRDefault="003D35BF" w:rsidP="002D7AEA">
      <w:pPr>
        <w:spacing w:line="480" w:lineRule="auto"/>
        <w:rPr>
          <w:rFonts w:ascii="Arial" w:hAnsi="Arial" w:cs="Arial"/>
          <w:b/>
          <w:bCs/>
          <w:color w:val="0D0D0D" w:themeColor="text1" w:themeTint="F2"/>
        </w:rPr>
      </w:pPr>
    </w:p>
    <w:p w14:paraId="4D6103CA" w14:textId="77777777" w:rsidR="003D35BF" w:rsidRDefault="003D35BF" w:rsidP="002D7AEA">
      <w:pPr>
        <w:spacing w:line="480" w:lineRule="auto"/>
        <w:rPr>
          <w:rFonts w:ascii="Arial" w:hAnsi="Arial" w:cs="Arial"/>
          <w:b/>
          <w:bCs/>
          <w:color w:val="0D0D0D" w:themeColor="text1" w:themeTint="F2"/>
        </w:rPr>
      </w:pPr>
    </w:p>
    <w:p w14:paraId="7E90B0CE" w14:textId="77777777" w:rsidR="003D35BF" w:rsidRDefault="003D35BF" w:rsidP="002D7AEA">
      <w:pPr>
        <w:spacing w:line="480" w:lineRule="auto"/>
        <w:rPr>
          <w:rFonts w:ascii="Arial" w:hAnsi="Arial" w:cs="Arial"/>
          <w:b/>
          <w:bCs/>
          <w:color w:val="0D0D0D" w:themeColor="text1" w:themeTint="F2"/>
        </w:rPr>
      </w:pPr>
    </w:p>
    <w:p w14:paraId="445CF4BE" w14:textId="1DDB3BC5" w:rsidR="002D7AEA" w:rsidRPr="0042110D" w:rsidRDefault="002D7AEA" w:rsidP="002D7AEA">
      <w:pPr>
        <w:spacing w:line="480" w:lineRule="auto"/>
        <w:rPr>
          <w:rFonts w:ascii="Arial" w:hAnsi="Arial" w:cs="Arial"/>
          <w:b/>
          <w:bCs/>
          <w:color w:val="0D0D0D" w:themeColor="text1" w:themeTint="F2"/>
        </w:rPr>
      </w:pPr>
      <w:r w:rsidRPr="0042110D">
        <w:rPr>
          <w:rFonts w:ascii="Arial" w:hAnsi="Arial" w:cs="Arial"/>
          <w:b/>
          <w:bCs/>
          <w:color w:val="0D0D0D" w:themeColor="text1" w:themeTint="F2"/>
        </w:rPr>
        <w:lastRenderedPageBreak/>
        <w:t xml:space="preserve">Learning points </w:t>
      </w:r>
    </w:p>
    <w:p w14:paraId="3D25E87A" w14:textId="67A57575" w:rsidR="002D7AEA" w:rsidRPr="00D90FDE" w:rsidRDefault="002D7AEA" w:rsidP="002D7AEA">
      <w:pPr>
        <w:pStyle w:val="ListParagraph"/>
        <w:numPr>
          <w:ilvl w:val="0"/>
          <w:numId w:val="5"/>
        </w:numPr>
        <w:spacing w:line="480" w:lineRule="auto"/>
        <w:ind w:left="454" w:hanging="227"/>
        <w:rPr>
          <w:rFonts w:ascii="Arial" w:hAnsi="Arial" w:cs="Arial"/>
        </w:rPr>
      </w:pPr>
      <w:r w:rsidRPr="00D90FDE">
        <w:rPr>
          <w:rFonts w:ascii="Arial" w:hAnsi="Arial" w:cs="Arial"/>
        </w:rPr>
        <w:t>Patients with psoriasis have been reported to have an increased risk of developing lymphoma, including cutaneous T-cell lymphoma</w:t>
      </w:r>
      <w:r w:rsidR="00637972">
        <w:rPr>
          <w:rFonts w:ascii="Arial" w:hAnsi="Arial" w:cs="Arial"/>
        </w:rPr>
        <w:t>.</w:t>
      </w:r>
      <w:r w:rsidRPr="00D90FDE">
        <w:rPr>
          <w:rFonts w:ascii="Arial" w:hAnsi="Arial" w:cs="Arial"/>
        </w:rPr>
        <w:t xml:space="preserve"> </w:t>
      </w:r>
    </w:p>
    <w:p w14:paraId="725466C9" w14:textId="681A7FDB" w:rsidR="002D7AEA" w:rsidRDefault="002D7AEA" w:rsidP="002D7AEA">
      <w:pPr>
        <w:pStyle w:val="ListParagraph"/>
        <w:numPr>
          <w:ilvl w:val="0"/>
          <w:numId w:val="5"/>
        </w:numPr>
        <w:spacing w:line="480" w:lineRule="auto"/>
        <w:ind w:left="454" w:hanging="227"/>
        <w:rPr>
          <w:rFonts w:ascii="Arial" w:hAnsi="Arial" w:cs="Arial"/>
        </w:rPr>
      </w:pPr>
      <w:r w:rsidRPr="00D90FDE">
        <w:rPr>
          <w:rFonts w:ascii="Arial" w:hAnsi="Arial" w:cs="Arial"/>
        </w:rPr>
        <w:t>Early-stage cutaneous T-cell lymphoma may sometimes be incorrectly diagnosed as inflammatory skin disease, including psoriasis</w:t>
      </w:r>
      <w:r w:rsidR="00637972">
        <w:rPr>
          <w:rFonts w:ascii="Arial" w:hAnsi="Arial" w:cs="Arial"/>
        </w:rPr>
        <w:t>.</w:t>
      </w:r>
    </w:p>
    <w:p w14:paraId="3FE2213F" w14:textId="77777777" w:rsidR="002D7AEA" w:rsidRDefault="002D7AEA" w:rsidP="002D7AEA">
      <w:pPr>
        <w:pStyle w:val="ListParagraph"/>
        <w:numPr>
          <w:ilvl w:val="0"/>
          <w:numId w:val="5"/>
        </w:numPr>
        <w:spacing w:line="480" w:lineRule="auto"/>
        <w:ind w:left="454" w:hanging="227"/>
        <w:rPr>
          <w:rFonts w:ascii="Arial" w:hAnsi="Arial" w:cs="Arial"/>
        </w:rPr>
      </w:pPr>
      <w:r w:rsidRPr="00D90FDE">
        <w:rPr>
          <w:rFonts w:ascii="Arial" w:hAnsi="Arial" w:cs="Arial"/>
        </w:rPr>
        <w:t>A critical review in 2020 on this topic concluded the association between cutaneous T cell lymphoma and psoriasis is still unclear.</w:t>
      </w:r>
    </w:p>
    <w:p w14:paraId="4A5AC77C" w14:textId="5BA7ED91" w:rsidR="002D7AEA" w:rsidRDefault="002D7AEA" w:rsidP="002D7AEA">
      <w:pPr>
        <w:pStyle w:val="ListParagraph"/>
        <w:numPr>
          <w:ilvl w:val="0"/>
          <w:numId w:val="5"/>
        </w:numPr>
        <w:spacing w:line="480" w:lineRule="auto"/>
        <w:ind w:left="454" w:hanging="227"/>
        <w:rPr>
          <w:rFonts w:ascii="Arial" w:hAnsi="Arial" w:cs="Arial"/>
        </w:rPr>
      </w:pPr>
      <w:r w:rsidRPr="002D7AEA">
        <w:rPr>
          <w:rFonts w:ascii="Arial" w:hAnsi="Arial" w:cs="Arial"/>
        </w:rPr>
        <w:t>We report the clinical details of six patients who have both cutaneous T-cell lymphoma and psoriasis, confirming that some patients have both these skin disorders</w:t>
      </w:r>
      <w:r w:rsidR="00637972">
        <w:rPr>
          <w:rFonts w:ascii="Arial" w:hAnsi="Arial" w:cs="Arial"/>
        </w:rPr>
        <w:t>.</w:t>
      </w:r>
    </w:p>
    <w:p w14:paraId="0DA8E661" w14:textId="5451BAED" w:rsidR="002D7AEA" w:rsidRPr="002D7AEA" w:rsidRDefault="002D7AEA" w:rsidP="002D7AEA">
      <w:pPr>
        <w:pStyle w:val="ListParagraph"/>
        <w:numPr>
          <w:ilvl w:val="0"/>
          <w:numId w:val="5"/>
        </w:numPr>
        <w:spacing w:line="480" w:lineRule="auto"/>
        <w:ind w:left="454" w:hanging="227"/>
        <w:rPr>
          <w:rFonts w:ascii="Arial" w:hAnsi="Arial" w:cs="Arial"/>
        </w:rPr>
      </w:pPr>
      <w:r w:rsidRPr="002D7AEA">
        <w:rPr>
          <w:rFonts w:ascii="Arial" w:hAnsi="Arial" w:cs="Arial"/>
        </w:rPr>
        <w:t>Clinicians need to consider cutaneous T-cell lymphoma in patients with psoriasis who develop skin lesions which are atypical for psoriasis</w:t>
      </w:r>
      <w:r w:rsidR="00637972">
        <w:rPr>
          <w:rFonts w:ascii="Arial" w:hAnsi="Arial" w:cs="Arial"/>
        </w:rPr>
        <w:t>.</w:t>
      </w:r>
      <w:r w:rsidRPr="002D7AEA">
        <w:rPr>
          <w:rFonts w:ascii="Arial" w:hAnsi="Arial" w:cs="Arial"/>
        </w:rPr>
        <w:t xml:space="preserve"> </w:t>
      </w:r>
    </w:p>
    <w:p w14:paraId="325D2166" w14:textId="77777777" w:rsidR="00CF2EF4" w:rsidRDefault="00CF2EF4" w:rsidP="009D1FC8">
      <w:pPr>
        <w:spacing w:line="480" w:lineRule="auto"/>
        <w:rPr>
          <w:rFonts w:ascii="Arial" w:hAnsi="Arial" w:cs="Arial"/>
        </w:rPr>
      </w:pPr>
    </w:p>
    <w:p w14:paraId="588A8C70" w14:textId="03FD9581" w:rsidR="002B45EC" w:rsidRPr="009D1FC8" w:rsidRDefault="008B02C3" w:rsidP="009D1FC8">
      <w:pPr>
        <w:spacing w:line="480" w:lineRule="auto"/>
        <w:rPr>
          <w:rFonts w:ascii="Arial" w:hAnsi="Arial" w:cs="Arial"/>
          <w:b/>
          <w:bCs/>
        </w:rPr>
      </w:pPr>
      <w:r w:rsidRPr="009D1FC8">
        <w:rPr>
          <w:rFonts w:ascii="Arial" w:hAnsi="Arial" w:cs="Arial"/>
          <w:b/>
          <w:bCs/>
        </w:rPr>
        <w:t>Acknowledgements</w:t>
      </w:r>
    </w:p>
    <w:p w14:paraId="7FAFEB25" w14:textId="3B86E7CC" w:rsidR="008B02C3" w:rsidRDefault="008B02C3" w:rsidP="009D1FC8">
      <w:pPr>
        <w:spacing w:line="480" w:lineRule="auto"/>
        <w:rPr>
          <w:rFonts w:ascii="Arial" w:hAnsi="Arial" w:cs="Arial"/>
        </w:rPr>
      </w:pPr>
      <w:r>
        <w:rPr>
          <w:rFonts w:ascii="Arial" w:hAnsi="Arial" w:cs="Arial"/>
        </w:rPr>
        <w:t>We are grateful to the patients with cutaneous T cell lymphoma and concomitant psoriasis who agreed to participate in the preparation of this report.</w:t>
      </w:r>
    </w:p>
    <w:p w14:paraId="255F6D81" w14:textId="77777777" w:rsidR="008B02C3" w:rsidRDefault="008B02C3">
      <w:pPr>
        <w:rPr>
          <w:rFonts w:ascii="Arial" w:hAnsi="Arial" w:cs="Arial"/>
        </w:rPr>
      </w:pPr>
    </w:p>
    <w:p w14:paraId="1EC6DF30" w14:textId="77777777" w:rsidR="002B45EC" w:rsidRDefault="002B45EC">
      <w:pPr>
        <w:rPr>
          <w:rFonts w:ascii="Arial" w:hAnsi="Arial" w:cs="Arial"/>
        </w:rPr>
      </w:pPr>
    </w:p>
    <w:p w14:paraId="410BCE3E" w14:textId="77777777" w:rsidR="00587F01" w:rsidRDefault="00587F01" w:rsidP="786B12E2">
      <w:pPr>
        <w:spacing w:line="480" w:lineRule="auto"/>
        <w:rPr>
          <w:rFonts w:ascii="Arial" w:hAnsi="Arial" w:cs="Arial"/>
          <w:b/>
          <w:bCs/>
        </w:rPr>
      </w:pPr>
    </w:p>
    <w:p w14:paraId="781F9BA6" w14:textId="77777777" w:rsidR="00645A96" w:rsidRDefault="00645A96" w:rsidP="786B12E2">
      <w:pPr>
        <w:spacing w:line="480" w:lineRule="auto"/>
        <w:rPr>
          <w:rFonts w:ascii="Arial" w:hAnsi="Arial" w:cs="Arial"/>
          <w:b/>
          <w:bCs/>
        </w:rPr>
      </w:pPr>
    </w:p>
    <w:p w14:paraId="5F8E0090" w14:textId="77777777" w:rsidR="00645A96" w:rsidRDefault="00645A96" w:rsidP="786B12E2">
      <w:pPr>
        <w:spacing w:line="480" w:lineRule="auto"/>
        <w:rPr>
          <w:rFonts w:ascii="Arial" w:hAnsi="Arial" w:cs="Arial"/>
          <w:b/>
          <w:bCs/>
        </w:rPr>
      </w:pPr>
    </w:p>
    <w:p w14:paraId="7EDC01CA" w14:textId="77777777" w:rsidR="003D35BF" w:rsidRDefault="003D35BF" w:rsidP="786B12E2">
      <w:pPr>
        <w:spacing w:line="480" w:lineRule="auto"/>
        <w:rPr>
          <w:rFonts w:ascii="Arial" w:hAnsi="Arial" w:cs="Arial"/>
          <w:b/>
          <w:bCs/>
        </w:rPr>
      </w:pPr>
    </w:p>
    <w:p w14:paraId="2CB2C4E5" w14:textId="77777777" w:rsidR="003D35BF" w:rsidRDefault="003D35BF" w:rsidP="786B12E2">
      <w:pPr>
        <w:spacing w:line="480" w:lineRule="auto"/>
        <w:rPr>
          <w:rFonts w:ascii="Arial" w:hAnsi="Arial" w:cs="Arial"/>
          <w:b/>
          <w:bCs/>
        </w:rPr>
      </w:pPr>
    </w:p>
    <w:p w14:paraId="45DCDE8B" w14:textId="77777777" w:rsidR="003D35BF" w:rsidRDefault="003D35BF" w:rsidP="786B12E2">
      <w:pPr>
        <w:spacing w:line="480" w:lineRule="auto"/>
        <w:rPr>
          <w:rFonts w:ascii="Arial" w:hAnsi="Arial" w:cs="Arial"/>
          <w:b/>
          <w:bCs/>
        </w:rPr>
      </w:pPr>
    </w:p>
    <w:p w14:paraId="006C3096" w14:textId="77777777" w:rsidR="003D35BF" w:rsidRDefault="003D35BF" w:rsidP="786B12E2">
      <w:pPr>
        <w:spacing w:line="480" w:lineRule="auto"/>
        <w:rPr>
          <w:rFonts w:ascii="Arial" w:hAnsi="Arial" w:cs="Arial"/>
          <w:b/>
          <w:bCs/>
        </w:rPr>
      </w:pPr>
    </w:p>
    <w:p w14:paraId="3CED4098" w14:textId="455246A0" w:rsidR="008B02C3" w:rsidRDefault="002B45EC" w:rsidP="786B12E2">
      <w:pPr>
        <w:spacing w:line="480" w:lineRule="auto"/>
        <w:rPr>
          <w:rFonts w:ascii="Arial" w:hAnsi="Arial" w:cs="Arial"/>
          <w:b/>
          <w:bCs/>
        </w:rPr>
      </w:pPr>
      <w:r w:rsidRPr="786B12E2">
        <w:rPr>
          <w:rFonts w:ascii="Arial" w:hAnsi="Arial" w:cs="Arial"/>
          <w:b/>
          <w:bCs/>
        </w:rPr>
        <w:lastRenderedPageBreak/>
        <w:t>Legend for figures</w:t>
      </w:r>
    </w:p>
    <w:p w14:paraId="34215AC2" w14:textId="1FA0F59D" w:rsidR="04D485F3" w:rsidRDefault="04D485F3" w:rsidP="786B12E2">
      <w:pPr>
        <w:spacing w:line="480" w:lineRule="auto"/>
        <w:rPr>
          <w:rFonts w:ascii="Arial" w:hAnsi="Arial" w:cs="Arial"/>
          <w:b/>
          <w:bCs/>
        </w:rPr>
      </w:pPr>
      <w:r w:rsidRPr="786B12E2">
        <w:rPr>
          <w:rFonts w:ascii="Arial" w:hAnsi="Arial" w:cs="Arial"/>
          <w:b/>
          <w:bCs/>
        </w:rPr>
        <w:t xml:space="preserve">Figure 1 </w:t>
      </w:r>
    </w:p>
    <w:p w14:paraId="79001F7C" w14:textId="25B6905A" w:rsidR="00A05989" w:rsidRDefault="786B12E2" w:rsidP="786B12E2">
      <w:pPr>
        <w:spacing w:line="480" w:lineRule="auto"/>
        <w:rPr>
          <w:rFonts w:ascii="Arial" w:hAnsi="Arial" w:cs="Arial"/>
        </w:rPr>
      </w:pPr>
      <w:r w:rsidRPr="786B12E2">
        <w:rPr>
          <w:rFonts w:ascii="Arial" w:hAnsi="Arial" w:cs="Arial"/>
        </w:rPr>
        <w:t>(</w:t>
      </w:r>
      <w:proofErr w:type="spellStart"/>
      <w:r w:rsidRPr="786B12E2">
        <w:rPr>
          <w:rFonts w:ascii="Arial" w:hAnsi="Arial" w:cs="Arial"/>
        </w:rPr>
        <w:t>a</w:t>
      </w:r>
      <w:r w:rsidR="00534FD1">
        <w:rPr>
          <w:rFonts w:ascii="Arial" w:hAnsi="Arial" w:cs="Arial"/>
        </w:rPr>
        <w:t>,</w:t>
      </w:r>
      <w:r w:rsidR="0745028E" w:rsidRPr="786B12E2">
        <w:rPr>
          <w:rFonts w:ascii="Arial" w:hAnsi="Arial" w:cs="Arial"/>
        </w:rPr>
        <w:t>b</w:t>
      </w:r>
      <w:proofErr w:type="spellEnd"/>
      <w:r w:rsidR="0745028E" w:rsidRPr="786B12E2">
        <w:rPr>
          <w:rFonts w:ascii="Arial" w:hAnsi="Arial" w:cs="Arial"/>
        </w:rPr>
        <w:t xml:space="preserve">) </w:t>
      </w:r>
      <w:r w:rsidR="2A138F4E" w:rsidRPr="786B12E2">
        <w:rPr>
          <w:rFonts w:ascii="Arial" w:hAnsi="Arial" w:cs="Arial"/>
        </w:rPr>
        <w:t>Psoriasis affecting the elbows. (</w:t>
      </w:r>
      <w:proofErr w:type="spellStart"/>
      <w:r w:rsidR="2A138F4E" w:rsidRPr="786B12E2">
        <w:rPr>
          <w:rFonts w:ascii="Arial" w:hAnsi="Arial" w:cs="Arial"/>
        </w:rPr>
        <w:t>c</w:t>
      </w:r>
      <w:r w:rsidR="00534FD1">
        <w:rPr>
          <w:rFonts w:ascii="Arial" w:hAnsi="Arial" w:cs="Arial"/>
        </w:rPr>
        <w:t>,</w:t>
      </w:r>
      <w:r w:rsidR="2A138F4E" w:rsidRPr="786B12E2">
        <w:rPr>
          <w:rFonts w:ascii="Arial" w:hAnsi="Arial" w:cs="Arial"/>
        </w:rPr>
        <w:t>d</w:t>
      </w:r>
      <w:proofErr w:type="spellEnd"/>
      <w:r w:rsidR="2A138F4E" w:rsidRPr="786B12E2">
        <w:rPr>
          <w:rFonts w:ascii="Arial" w:hAnsi="Arial" w:cs="Arial"/>
        </w:rPr>
        <w:t xml:space="preserve">) Patch- and plaque-stage </w:t>
      </w:r>
      <w:r w:rsidR="096601E7" w:rsidRPr="786B12E2">
        <w:rPr>
          <w:rFonts w:ascii="Arial" w:hAnsi="Arial" w:cs="Arial"/>
        </w:rPr>
        <w:t>CTCL</w:t>
      </w:r>
      <w:r w:rsidR="74FEFA34" w:rsidRPr="786B12E2">
        <w:rPr>
          <w:rFonts w:ascii="Arial" w:hAnsi="Arial" w:cs="Arial"/>
        </w:rPr>
        <w:t xml:space="preserve">. </w:t>
      </w:r>
      <w:r w:rsidR="00DE6CDD" w:rsidRPr="00FF70DA">
        <w:rPr>
          <w:rFonts w:ascii="Arial" w:hAnsi="Arial" w:cs="Arial"/>
        </w:rPr>
        <w:t>Histological examination</w:t>
      </w:r>
      <w:r w:rsidR="74FEFA34" w:rsidRPr="786B12E2">
        <w:rPr>
          <w:rFonts w:ascii="Arial" w:hAnsi="Arial" w:cs="Arial"/>
        </w:rPr>
        <w:t xml:space="preserve"> </w:t>
      </w:r>
      <w:r w:rsidR="62615A1C" w:rsidRPr="786B12E2">
        <w:rPr>
          <w:rFonts w:ascii="Arial" w:hAnsi="Arial" w:cs="Arial"/>
        </w:rPr>
        <w:t xml:space="preserve">of </w:t>
      </w:r>
      <w:r w:rsidR="0082419A">
        <w:rPr>
          <w:rFonts w:ascii="Arial" w:hAnsi="Arial" w:cs="Arial"/>
        </w:rPr>
        <w:t xml:space="preserve">CTCL </w:t>
      </w:r>
      <w:r w:rsidR="62615A1C" w:rsidRPr="00FF70DA">
        <w:rPr>
          <w:rFonts w:ascii="Arial" w:hAnsi="Arial" w:cs="Arial"/>
        </w:rPr>
        <w:t>skin</w:t>
      </w:r>
      <w:r w:rsidR="00534FD1" w:rsidRPr="00FF70DA">
        <w:rPr>
          <w:rFonts w:ascii="Arial" w:hAnsi="Arial" w:cs="Arial"/>
        </w:rPr>
        <w:t xml:space="preserve"> </w:t>
      </w:r>
      <w:r w:rsidR="00DE6CDD" w:rsidRPr="00FF70DA">
        <w:rPr>
          <w:rFonts w:ascii="Arial" w:hAnsi="Arial" w:cs="Arial"/>
        </w:rPr>
        <w:t>(e)</w:t>
      </w:r>
      <w:r w:rsidR="62615A1C" w:rsidRPr="00FF70DA">
        <w:rPr>
          <w:rFonts w:ascii="Arial" w:hAnsi="Arial" w:cs="Arial"/>
        </w:rPr>
        <w:t xml:space="preserve"> </w:t>
      </w:r>
      <w:r w:rsidR="6A8984AD" w:rsidRPr="00FF70DA">
        <w:rPr>
          <w:rFonts w:ascii="Arial" w:hAnsi="Arial" w:cs="Arial"/>
        </w:rPr>
        <w:t>demonstrate</w:t>
      </w:r>
      <w:r w:rsidR="00DE6CDD" w:rsidRPr="00FF70DA">
        <w:rPr>
          <w:rFonts w:ascii="Arial" w:hAnsi="Arial" w:cs="Arial"/>
        </w:rPr>
        <w:t>d</w:t>
      </w:r>
      <w:r w:rsidR="6C4EDE58" w:rsidRPr="786B12E2">
        <w:rPr>
          <w:rFonts w:ascii="Arial" w:hAnsi="Arial" w:cs="Arial"/>
        </w:rPr>
        <w:t xml:space="preserve"> a </w:t>
      </w:r>
      <w:r w:rsidR="0A463623" w:rsidRPr="786B12E2">
        <w:rPr>
          <w:rFonts w:ascii="Arial" w:hAnsi="Arial" w:cs="Arial"/>
        </w:rPr>
        <w:t xml:space="preserve">superficial </w:t>
      </w:r>
      <w:r w:rsidR="6C4EDE58" w:rsidRPr="786B12E2">
        <w:rPr>
          <w:rFonts w:ascii="Arial" w:hAnsi="Arial" w:cs="Arial"/>
        </w:rPr>
        <w:t>dermal infiltrate consisting of</w:t>
      </w:r>
      <w:r w:rsidR="7796A518" w:rsidRPr="786B12E2">
        <w:rPr>
          <w:rFonts w:ascii="Arial" w:hAnsi="Arial" w:cs="Arial"/>
        </w:rPr>
        <w:t xml:space="preserve"> atypical lymphocytes and </w:t>
      </w:r>
      <w:proofErr w:type="spellStart"/>
      <w:r w:rsidR="7796A518" w:rsidRPr="786B12E2">
        <w:rPr>
          <w:rFonts w:ascii="Arial" w:hAnsi="Arial" w:cs="Arial"/>
        </w:rPr>
        <w:t>epidermotropism</w:t>
      </w:r>
      <w:proofErr w:type="spellEnd"/>
      <w:r w:rsidR="467DE3B2" w:rsidRPr="786B12E2">
        <w:rPr>
          <w:rFonts w:ascii="Arial" w:hAnsi="Arial" w:cs="Arial"/>
        </w:rPr>
        <w:t>.</w:t>
      </w:r>
      <w:r w:rsidR="00534FD1">
        <w:rPr>
          <w:rFonts w:ascii="Arial" w:hAnsi="Arial" w:cs="Arial"/>
        </w:rPr>
        <w:t xml:space="preserve"> </w:t>
      </w:r>
      <w:r w:rsidR="00DE6CDD" w:rsidRPr="00FF70DA">
        <w:rPr>
          <w:rFonts w:ascii="Arial" w:hAnsi="Arial" w:cs="Arial"/>
        </w:rPr>
        <w:t>Haematoxylin and eosin, original magnification (e) x</w:t>
      </w:r>
      <w:r w:rsidR="005D5380" w:rsidRPr="00FF70DA">
        <w:rPr>
          <w:rFonts w:ascii="Arial" w:hAnsi="Arial" w:cs="Arial"/>
        </w:rPr>
        <w:t xml:space="preserve"> 100</w:t>
      </w:r>
      <w:r w:rsidR="00DE6CDD" w:rsidRPr="00FF70DA">
        <w:rPr>
          <w:rFonts w:ascii="Arial" w:hAnsi="Arial" w:cs="Arial"/>
        </w:rPr>
        <w:t>.</w:t>
      </w:r>
      <w:r w:rsidR="00DE6CDD">
        <w:rPr>
          <w:rFonts w:ascii="Arial" w:hAnsi="Arial" w:cs="Arial"/>
        </w:rPr>
        <w:t xml:space="preserve"> </w:t>
      </w:r>
      <w:r w:rsidR="467DE3B2" w:rsidRPr="786B12E2">
        <w:rPr>
          <w:rFonts w:ascii="Arial" w:hAnsi="Arial" w:cs="Arial"/>
        </w:rPr>
        <w:t xml:space="preserve"> Immunohistochemistry </w:t>
      </w:r>
      <w:r w:rsidR="22C7D37B" w:rsidRPr="786B12E2">
        <w:rPr>
          <w:rFonts w:ascii="Arial" w:hAnsi="Arial" w:cs="Arial"/>
        </w:rPr>
        <w:t xml:space="preserve">demonstrating </w:t>
      </w:r>
      <w:r w:rsidR="68C7F080" w:rsidRPr="786B12E2">
        <w:rPr>
          <w:rFonts w:ascii="Arial" w:hAnsi="Arial" w:cs="Arial"/>
        </w:rPr>
        <w:t xml:space="preserve">(f) </w:t>
      </w:r>
      <w:r w:rsidR="22C7D37B" w:rsidRPr="786B12E2">
        <w:rPr>
          <w:rFonts w:ascii="Arial" w:hAnsi="Arial" w:cs="Arial"/>
        </w:rPr>
        <w:t>CD3 positive lymphocytes</w:t>
      </w:r>
      <w:r w:rsidR="481A6319" w:rsidRPr="786B12E2">
        <w:rPr>
          <w:rFonts w:ascii="Arial" w:hAnsi="Arial" w:cs="Arial"/>
        </w:rPr>
        <w:t>, with</w:t>
      </w:r>
      <w:r w:rsidR="22C7D37B" w:rsidRPr="786B12E2">
        <w:rPr>
          <w:rFonts w:ascii="Arial" w:hAnsi="Arial" w:cs="Arial"/>
        </w:rPr>
        <w:t xml:space="preserve"> (g) relative loss of CD7 </w:t>
      </w:r>
      <w:r w:rsidR="5DA45DBE" w:rsidRPr="786B12E2">
        <w:rPr>
          <w:rFonts w:ascii="Arial" w:hAnsi="Arial" w:cs="Arial"/>
        </w:rPr>
        <w:t xml:space="preserve">expression. </w:t>
      </w:r>
      <w:r w:rsidR="00DE6CDD" w:rsidRPr="00FF70DA">
        <w:rPr>
          <w:rFonts w:ascii="Arial" w:hAnsi="Arial" w:cs="Arial"/>
        </w:rPr>
        <w:t>Original magnification (</w:t>
      </w:r>
      <w:proofErr w:type="spellStart"/>
      <w:r w:rsidR="00DE6CDD" w:rsidRPr="00FF70DA">
        <w:rPr>
          <w:rFonts w:ascii="Arial" w:hAnsi="Arial" w:cs="Arial"/>
        </w:rPr>
        <w:t>f,g</w:t>
      </w:r>
      <w:proofErr w:type="spellEnd"/>
      <w:r w:rsidR="00DE6CDD" w:rsidRPr="00FF70DA">
        <w:rPr>
          <w:rFonts w:ascii="Arial" w:hAnsi="Arial" w:cs="Arial"/>
        </w:rPr>
        <w:t xml:space="preserve">) x </w:t>
      </w:r>
      <w:r w:rsidR="00DA2B0E" w:rsidRPr="00FF70DA">
        <w:rPr>
          <w:rFonts w:ascii="Arial" w:hAnsi="Arial" w:cs="Arial"/>
        </w:rPr>
        <w:t>40</w:t>
      </w:r>
      <w:r w:rsidR="00DE6CDD" w:rsidRPr="00FF70DA">
        <w:rPr>
          <w:rFonts w:ascii="Arial" w:hAnsi="Arial" w:cs="Arial"/>
        </w:rPr>
        <w:t>.</w:t>
      </w:r>
      <w:r w:rsidR="00DE6CDD">
        <w:rPr>
          <w:rFonts w:ascii="Arial" w:hAnsi="Arial" w:cs="Arial"/>
        </w:rPr>
        <w:t xml:space="preserve"> </w:t>
      </w:r>
    </w:p>
    <w:p w14:paraId="2AA2803D" w14:textId="77777777" w:rsidR="00534FD1" w:rsidRPr="00534FD1" w:rsidRDefault="00534FD1" w:rsidP="786B12E2">
      <w:pPr>
        <w:spacing w:line="480" w:lineRule="auto"/>
        <w:rPr>
          <w:rFonts w:ascii="Arial" w:hAnsi="Arial" w:cs="Arial"/>
        </w:rPr>
      </w:pPr>
    </w:p>
    <w:p w14:paraId="3E4B0B43" w14:textId="500F60C4" w:rsidR="04D485F3" w:rsidRDefault="04D485F3" w:rsidP="786B12E2">
      <w:pPr>
        <w:spacing w:line="480" w:lineRule="auto"/>
        <w:rPr>
          <w:rFonts w:ascii="Arial" w:hAnsi="Arial" w:cs="Arial"/>
        </w:rPr>
      </w:pPr>
      <w:r w:rsidRPr="786B12E2">
        <w:rPr>
          <w:rFonts w:ascii="Arial" w:hAnsi="Arial" w:cs="Arial"/>
          <w:b/>
          <w:bCs/>
        </w:rPr>
        <w:t>Figure 2</w:t>
      </w:r>
    </w:p>
    <w:p w14:paraId="021D6873" w14:textId="7E664EB4" w:rsidR="04D485F3" w:rsidRDefault="3003C8ED" w:rsidP="786B12E2">
      <w:pPr>
        <w:spacing w:line="480" w:lineRule="auto"/>
        <w:rPr>
          <w:rFonts w:ascii="Arial" w:hAnsi="Arial" w:cs="Arial"/>
        </w:rPr>
      </w:pPr>
      <w:r w:rsidRPr="786B12E2">
        <w:rPr>
          <w:rFonts w:ascii="Arial" w:hAnsi="Arial" w:cs="Arial"/>
        </w:rPr>
        <w:t>(</w:t>
      </w:r>
      <w:proofErr w:type="spellStart"/>
      <w:r w:rsidRPr="786B12E2">
        <w:rPr>
          <w:rFonts w:ascii="Arial" w:hAnsi="Arial" w:cs="Arial"/>
        </w:rPr>
        <w:t>a</w:t>
      </w:r>
      <w:r w:rsidR="00DE6CDD">
        <w:rPr>
          <w:rFonts w:ascii="Arial" w:hAnsi="Arial" w:cs="Arial"/>
        </w:rPr>
        <w:t>,</w:t>
      </w:r>
      <w:r w:rsidRPr="786B12E2">
        <w:rPr>
          <w:rFonts w:ascii="Arial" w:hAnsi="Arial" w:cs="Arial"/>
        </w:rPr>
        <w:t>b</w:t>
      </w:r>
      <w:proofErr w:type="spellEnd"/>
      <w:r w:rsidRPr="786B12E2">
        <w:rPr>
          <w:rFonts w:ascii="Arial" w:hAnsi="Arial" w:cs="Arial"/>
        </w:rPr>
        <w:t>) Psoriasis affecting the elbows</w:t>
      </w:r>
      <w:r w:rsidR="70259FC4" w:rsidRPr="786B12E2">
        <w:rPr>
          <w:rFonts w:ascii="Arial" w:hAnsi="Arial" w:cs="Arial"/>
        </w:rPr>
        <w:t xml:space="preserve"> and knees</w:t>
      </w:r>
      <w:r w:rsidRPr="786B12E2">
        <w:rPr>
          <w:rFonts w:ascii="Arial" w:hAnsi="Arial" w:cs="Arial"/>
        </w:rPr>
        <w:t xml:space="preserve">. (c) </w:t>
      </w:r>
      <w:r w:rsidR="26748674" w:rsidRPr="786B12E2">
        <w:rPr>
          <w:rFonts w:ascii="Arial" w:hAnsi="Arial" w:cs="Arial"/>
        </w:rPr>
        <w:t>N</w:t>
      </w:r>
      <w:r w:rsidR="249B92E7" w:rsidRPr="786B12E2">
        <w:rPr>
          <w:rFonts w:ascii="Arial" w:hAnsi="Arial" w:cs="Arial"/>
        </w:rPr>
        <w:t xml:space="preserve">odule on the left buttock confirmed as CTCL. </w:t>
      </w:r>
      <w:r w:rsidR="00DE6CDD" w:rsidRPr="00FF70DA">
        <w:rPr>
          <w:rFonts w:ascii="Arial" w:hAnsi="Arial" w:cs="Arial"/>
        </w:rPr>
        <w:t>Histological examination</w:t>
      </w:r>
      <w:r w:rsidR="039A358B" w:rsidRPr="00FF70DA">
        <w:rPr>
          <w:rFonts w:ascii="Arial" w:hAnsi="Arial" w:cs="Arial"/>
        </w:rPr>
        <w:t xml:space="preserve"> of skin</w:t>
      </w:r>
      <w:r w:rsidR="0082419A" w:rsidRPr="00FF70DA">
        <w:rPr>
          <w:rFonts w:ascii="Arial" w:hAnsi="Arial" w:cs="Arial"/>
        </w:rPr>
        <w:t xml:space="preserve"> nodule</w:t>
      </w:r>
      <w:r w:rsidR="039A358B" w:rsidRPr="00FF70DA">
        <w:rPr>
          <w:rFonts w:ascii="Arial" w:hAnsi="Arial" w:cs="Arial"/>
        </w:rPr>
        <w:t xml:space="preserve"> </w:t>
      </w:r>
      <w:r w:rsidR="00DE6CDD" w:rsidRPr="00FF70DA">
        <w:rPr>
          <w:rFonts w:ascii="Arial" w:hAnsi="Arial" w:cs="Arial"/>
        </w:rPr>
        <w:t>(d)</w:t>
      </w:r>
      <w:r w:rsidR="00DE6CDD">
        <w:rPr>
          <w:rFonts w:ascii="Arial" w:hAnsi="Arial" w:cs="Arial"/>
        </w:rPr>
        <w:t xml:space="preserve"> </w:t>
      </w:r>
      <w:r w:rsidR="039A358B" w:rsidRPr="786B12E2">
        <w:rPr>
          <w:rFonts w:ascii="Arial" w:hAnsi="Arial" w:cs="Arial"/>
        </w:rPr>
        <w:t>demons</w:t>
      </w:r>
      <w:r w:rsidR="039A358B" w:rsidRPr="00FF70DA">
        <w:rPr>
          <w:rFonts w:ascii="Arial" w:hAnsi="Arial" w:cs="Arial"/>
        </w:rPr>
        <w:t>trate</w:t>
      </w:r>
      <w:r w:rsidR="00DE6CDD" w:rsidRPr="00FF70DA">
        <w:rPr>
          <w:rFonts w:ascii="Arial" w:hAnsi="Arial" w:cs="Arial"/>
        </w:rPr>
        <w:t>d</w:t>
      </w:r>
      <w:r w:rsidR="039A358B" w:rsidRPr="00FF70DA">
        <w:rPr>
          <w:rFonts w:ascii="Arial" w:hAnsi="Arial" w:cs="Arial"/>
        </w:rPr>
        <w:t xml:space="preserve"> </w:t>
      </w:r>
      <w:r w:rsidR="039A358B" w:rsidRPr="786B12E2">
        <w:rPr>
          <w:rFonts w:ascii="Arial" w:hAnsi="Arial" w:cs="Arial"/>
        </w:rPr>
        <w:t xml:space="preserve">a dense lymphocytic infiltrate extending from the </w:t>
      </w:r>
      <w:r w:rsidR="00A01D29">
        <w:rPr>
          <w:rFonts w:ascii="Arial" w:hAnsi="Arial" w:cs="Arial"/>
        </w:rPr>
        <w:t>upper</w:t>
      </w:r>
      <w:r w:rsidR="039A358B" w:rsidRPr="786B12E2">
        <w:rPr>
          <w:rFonts w:ascii="Arial" w:hAnsi="Arial" w:cs="Arial"/>
        </w:rPr>
        <w:t xml:space="preserve"> dermis into the superficial subcutis. </w:t>
      </w:r>
      <w:r w:rsidR="00DE6CDD" w:rsidRPr="00FF70DA">
        <w:rPr>
          <w:rFonts w:ascii="Arial" w:hAnsi="Arial" w:cs="Arial"/>
        </w:rPr>
        <w:t>(e)</w:t>
      </w:r>
      <w:r w:rsidR="249B92E7" w:rsidRPr="786B12E2">
        <w:rPr>
          <w:rFonts w:ascii="Arial" w:hAnsi="Arial" w:cs="Arial"/>
        </w:rPr>
        <w:t xml:space="preserve"> </w:t>
      </w:r>
      <w:r w:rsidR="21918D55" w:rsidRPr="786B12E2">
        <w:rPr>
          <w:rFonts w:ascii="Arial" w:hAnsi="Arial" w:cs="Arial"/>
        </w:rPr>
        <w:t>Infiltrate consisting of atypical medium-to-large</w:t>
      </w:r>
      <w:r w:rsidRPr="786B12E2">
        <w:rPr>
          <w:rFonts w:ascii="Arial" w:hAnsi="Arial" w:cs="Arial"/>
        </w:rPr>
        <w:t xml:space="preserve"> </w:t>
      </w:r>
      <w:r w:rsidR="139390F8" w:rsidRPr="786B12E2">
        <w:rPr>
          <w:rFonts w:ascii="Arial" w:hAnsi="Arial" w:cs="Arial"/>
        </w:rPr>
        <w:t>lymphocytes with moderate cytoplasm and coarse nuclear chromatin.</w:t>
      </w:r>
      <w:r w:rsidR="00DE6CDD">
        <w:rPr>
          <w:rFonts w:ascii="Arial" w:hAnsi="Arial" w:cs="Arial"/>
        </w:rPr>
        <w:t xml:space="preserve"> </w:t>
      </w:r>
      <w:r w:rsidR="00DE6CDD" w:rsidRPr="00FF70DA">
        <w:rPr>
          <w:rFonts w:ascii="Arial" w:hAnsi="Arial" w:cs="Arial"/>
        </w:rPr>
        <w:t xml:space="preserve">Haematoxylin and eosin, original magnification (d) x </w:t>
      </w:r>
      <w:r w:rsidR="005D5380" w:rsidRPr="00FF70DA">
        <w:rPr>
          <w:rFonts w:ascii="Arial" w:hAnsi="Arial" w:cs="Arial"/>
        </w:rPr>
        <w:t>10</w:t>
      </w:r>
      <w:r w:rsidR="00DE6CDD" w:rsidRPr="00FF70DA">
        <w:rPr>
          <w:rFonts w:ascii="Arial" w:hAnsi="Arial" w:cs="Arial"/>
        </w:rPr>
        <w:t xml:space="preserve">; (e) x </w:t>
      </w:r>
      <w:r w:rsidR="005D5380" w:rsidRPr="00FF70DA">
        <w:rPr>
          <w:rFonts w:ascii="Arial" w:hAnsi="Arial" w:cs="Arial"/>
        </w:rPr>
        <w:t>100</w:t>
      </w:r>
      <w:r w:rsidR="00534FD1" w:rsidRPr="00FF70DA">
        <w:rPr>
          <w:rFonts w:ascii="Arial" w:hAnsi="Arial" w:cs="Arial"/>
        </w:rPr>
        <w:t>.</w:t>
      </w:r>
      <w:r w:rsidRPr="786B12E2">
        <w:rPr>
          <w:rFonts w:ascii="Arial" w:hAnsi="Arial" w:cs="Arial"/>
        </w:rPr>
        <w:t xml:space="preserve"> Immunohistochemistry demonstrating</w:t>
      </w:r>
      <w:r w:rsidR="6463D511" w:rsidRPr="786B12E2">
        <w:rPr>
          <w:rFonts w:ascii="Arial" w:hAnsi="Arial" w:cs="Arial"/>
        </w:rPr>
        <w:t xml:space="preserve"> (f)</w:t>
      </w:r>
      <w:r w:rsidRPr="786B12E2">
        <w:rPr>
          <w:rFonts w:ascii="Arial" w:hAnsi="Arial" w:cs="Arial"/>
        </w:rPr>
        <w:t xml:space="preserve"> CD3 positive lymphocytes</w:t>
      </w:r>
      <w:r w:rsidR="6A1C552A" w:rsidRPr="786B12E2">
        <w:rPr>
          <w:rFonts w:ascii="Arial" w:hAnsi="Arial" w:cs="Arial"/>
        </w:rPr>
        <w:t xml:space="preserve">, with </w:t>
      </w:r>
      <w:r w:rsidRPr="786B12E2">
        <w:rPr>
          <w:rFonts w:ascii="Arial" w:hAnsi="Arial" w:cs="Arial"/>
        </w:rPr>
        <w:t xml:space="preserve">(g) </w:t>
      </w:r>
      <w:r w:rsidR="472213DB" w:rsidRPr="786B12E2">
        <w:rPr>
          <w:rFonts w:ascii="Arial" w:hAnsi="Arial" w:cs="Arial"/>
        </w:rPr>
        <w:t>loss of CD5 expression</w:t>
      </w:r>
      <w:r w:rsidR="472213DB" w:rsidRPr="00FF70DA">
        <w:rPr>
          <w:rFonts w:ascii="Arial" w:hAnsi="Arial" w:cs="Arial"/>
        </w:rPr>
        <w:t>.</w:t>
      </w:r>
      <w:r w:rsidR="00DE6CDD" w:rsidRPr="00FF70DA">
        <w:rPr>
          <w:rFonts w:ascii="Arial" w:hAnsi="Arial" w:cs="Arial"/>
        </w:rPr>
        <w:t xml:space="preserve"> Original magnification (</w:t>
      </w:r>
      <w:proofErr w:type="spellStart"/>
      <w:r w:rsidR="00DE6CDD" w:rsidRPr="00FF70DA">
        <w:rPr>
          <w:rFonts w:ascii="Arial" w:hAnsi="Arial" w:cs="Arial"/>
        </w:rPr>
        <w:t>f,g</w:t>
      </w:r>
      <w:proofErr w:type="spellEnd"/>
      <w:r w:rsidR="00DE6CDD" w:rsidRPr="00FF70DA">
        <w:rPr>
          <w:rFonts w:ascii="Arial" w:hAnsi="Arial" w:cs="Arial"/>
        </w:rPr>
        <w:t xml:space="preserve">) x </w:t>
      </w:r>
      <w:r w:rsidR="005D5380" w:rsidRPr="00FF70DA">
        <w:rPr>
          <w:rFonts w:ascii="Arial" w:hAnsi="Arial" w:cs="Arial"/>
        </w:rPr>
        <w:t>20</w:t>
      </w:r>
      <w:r w:rsidR="00DE6CDD" w:rsidRPr="00FF70DA">
        <w:rPr>
          <w:rFonts w:ascii="Arial" w:hAnsi="Arial" w:cs="Arial"/>
        </w:rPr>
        <w:t>.</w:t>
      </w:r>
    </w:p>
    <w:p w14:paraId="2526858E" w14:textId="5E6E8946" w:rsidR="04D485F3" w:rsidRDefault="04D485F3" w:rsidP="0FA19209">
      <w:pPr>
        <w:rPr>
          <w:rFonts w:ascii="Arial" w:hAnsi="Arial" w:cs="Arial"/>
          <w:b/>
          <w:bCs/>
        </w:rPr>
      </w:pPr>
    </w:p>
    <w:p w14:paraId="175F28CC" w14:textId="4A6E125E" w:rsidR="002B45EC" w:rsidRDefault="00F03B8D">
      <w:pPr>
        <w:rPr>
          <w:rFonts w:ascii="Arial" w:hAnsi="Arial" w:cs="Arial"/>
        </w:rPr>
      </w:pPr>
      <w:r w:rsidRPr="786B12E2">
        <w:rPr>
          <w:rFonts w:ascii="Arial" w:hAnsi="Arial" w:cs="Arial"/>
        </w:rPr>
        <w:t xml:space="preserve"> </w:t>
      </w:r>
      <w:r w:rsidRPr="786B12E2">
        <w:rPr>
          <w:rFonts w:ascii="Arial" w:hAnsi="Arial" w:cs="Arial"/>
        </w:rPr>
        <w:br w:type="page"/>
      </w:r>
    </w:p>
    <w:p w14:paraId="0896AB81" w14:textId="4ACBCB75" w:rsidR="008521A1" w:rsidRPr="00D90FDE" w:rsidRDefault="002B45EC" w:rsidP="00D90FDE">
      <w:pPr>
        <w:spacing w:line="480" w:lineRule="auto"/>
        <w:rPr>
          <w:rFonts w:ascii="Arial" w:hAnsi="Arial" w:cs="Arial"/>
          <w:b/>
          <w:bCs/>
        </w:rPr>
      </w:pPr>
      <w:r>
        <w:rPr>
          <w:rFonts w:ascii="Arial" w:hAnsi="Arial" w:cs="Arial"/>
          <w:b/>
          <w:bCs/>
        </w:rPr>
        <w:lastRenderedPageBreak/>
        <w:t>R</w:t>
      </w:r>
      <w:r w:rsidR="00842AC7" w:rsidRPr="00D90FDE">
        <w:rPr>
          <w:rFonts w:ascii="Arial" w:hAnsi="Arial" w:cs="Arial"/>
          <w:b/>
          <w:bCs/>
        </w:rPr>
        <w:t>eferences</w:t>
      </w:r>
    </w:p>
    <w:p w14:paraId="3A6F89A5" w14:textId="12E32F20" w:rsidR="0039444B" w:rsidRPr="00D90FDE" w:rsidRDefault="0039444B" w:rsidP="00154792">
      <w:pPr>
        <w:pStyle w:val="EndNoteBibliography"/>
        <w:spacing w:line="480" w:lineRule="auto"/>
        <w:ind w:left="227" w:hanging="227"/>
        <w:rPr>
          <w:rFonts w:ascii="Arial" w:hAnsi="Arial" w:cs="Arial"/>
        </w:rPr>
      </w:pPr>
      <w:r w:rsidRPr="00D90FDE">
        <w:rPr>
          <w:rFonts w:ascii="Arial" w:hAnsi="Arial" w:cs="Arial"/>
        </w:rPr>
        <w:t>1.</w:t>
      </w:r>
      <w:r w:rsidR="00154792">
        <w:rPr>
          <w:rFonts w:ascii="Arial" w:hAnsi="Arial" w:cs="Arial"/>
        </w:rPr>
        <w:t xml:space="preserve"> </w:t>
      </w:r>
      <w:r w:rsidRPr="00D90FDE">
        <w:rPr>
          <w:rFonts w:ascii="Arial" w:hAnsi="Arial" w:cs="Arial"/>
        </w:rPr>
        <w:t xml:space="preserve">Gelfand JM, Berlin J, Van Voorhees A, Margolis DJ. Lymphoma rates are low but increased in patients with psoriasis: results from a population-based cohort study in the United Kingdom. </w:t>
      </w:r>
      <w:r w:rsidRPr="007C2E30">
        <w:rPr>
          <w:rFonts w:ascii="Arial" w:hAnsi="Arial" w:cs="Arial"/>
          <w:i/>
          <w:iCs/>
        </w:rPr>
        <w:t>Arch</w:t>
      </w:r>
      <w:r w:rsidR="007C2E30" w:rsidRPr="007C2E30">
        <w:rPr>
          <w:rFonts w:ascii="Arial" w:hAnsi="Arial" w:cs="Arial"/>
          <w:i/>
          <w:iCs/>
        </w:rPr>
        <w:t xml:space="preserve"> D</w:t>
      </w:r>
      <w:r w:rsidRPr="007C2E30">
        <w:rPr>
          <w:rFonts w:ascii="Arial" w:hAnsi="Arial" w:cs="Arial"/>
          <w:i/>
          <w:iCs/>
        </w:rPr>
        <w:t>ermatol</w:t>
      </w:r>
      <w:r w:rsidRPr="00D90FDE">
        <w:rPr>
          <w:rFonts w:ascii="Arial" w:hAnsi="Arial" w:cs="Arial"/>
        </w:rPr>
        <w:t xml:space="preserve"> 2003;</w:t>
      </w:r>
      <w:r w:rsidR="007C2E30">
        <w:rPr>
          <w:rFonts w:ascii="Arial" w:hAnsi="Arial" w:cs="Arial"/>
        </w:rPr>
        <w:t xml:space="preserve"> </w:t>
      </w:r>
      <w:r w:rsidRPr="007C2E30">
        <w:rPr>
          <w:rFonts w:ascii="Arial" w:hAnsi="Arial" w:cs="Arial"/>
          <w:b/>
          <w:bCs/>
        </w:rPr>
        <w:t>139</w:t>
      </w:r>
      <w:r w:rsidRPr="00D90FDE">
        <w:rPr>
          <w:rFonts w:ascii="Arial" w:hAnsi="Arial" w:cs="Arial"/>
        </w:rPr>
        <w:t>:</w:t>
      </w:r>
      <w:r w:rsidR="007F18B5">
        <w:rPr>
          <w:rFonts w:ascii="Arial" w:hAnsi="Arial" w:cs="Arial"/>
        </w:rPr>
        <w:t xml:space="preserve"> </w:t>
      </w:r>
      <w:r w:rsidRPr="00D90FDE">
        <w:rPr>
          <w:rFonts w:ascii="Arial" w:hAnsi="Arial" w:cs="Arial"/>
        </w:rPr>
        <w:t>1425-9.</w:t>
      </w:r>
    </w:p>
    <w:p w14:paraId="64005448" w14:textId="73B4210D" w:rsidR="0039444B" w:rsidRPr="00D90FDE" w:rsidRDefault="0039444B" w:rsidP="00154792">
      <w:pPr>
        <w:pStyle w:val="EndNoteBibliography"/>
        <w:spacing w:after="0" w:line="480" w:lineRule="auto"/>
        <w:ind w:left="227" w:hanging="227"/>
        <w:rPr>
          <w:rFonts w:ascii="Arial" w:hAnsi="Arial" w:cs="Arial"/>
        </w:rPr>
      </w:pPr>
      <w:r w:rsidRPr="00D90FDE">
        <w:rPr>
          <w:rFonts w:ascii="Arial" w:hAnsi="Arial" w:cs="Arial"/>
        </w:rPr>
        <w:t>2.</w:t>
      </w:r>
      <w:r w:rsidR="00154792">
        <w:rPr>
          <w:rFonts w:ascii="Arial" w:hAnsi="Arial" w:cs="Arial"/>
        </w:rPr>
        <w:t xml:space="preserve"> </w:t>
      </w:r>
      <w:r w:rsidRPr="00D90FDE">
        <w:rPr>
          <w:rFonts w:ascii="Arial" w:hAnsi="Arial" w:cs="Arial"/>
        </w:rPr>
        <w:t xml:space="preserve">Gelfand JM, Shin DB, Neimann AL </w:t>
      </w:r>
      <w:r w:rsidR="007C2E30">
        <w:rPr>
          <w:rFonts w:ascii="Arial" w:hAnsi="Arial" w:cs="Arial"/>
        </w:rPr>
        <w:t>et al</w:t>
      </w:r>
      <w:r w:rsidRPr="00D90FDE">
        <w:rPr>
          <w:rFonts w:ascii="Arial" w:hAnsi="Arial" w:cs="Arial"/>
        </w:rPr>
        <w:t xml:space="preserve">. The risk of lymphoma in patients with psoriasis. </w:t>
      </w:r>
      <w:r w:rsidRPr="007F18B5">
        <w:rPr>
          <w:rFonts w:ascii="Arial" w:hAnsi="Arial" w:cs="Arial"/>
          <w:i/>
          <w:iCs/>
        </w:rPr>
        <w:t>J</w:t>
      </w:r>
      <w:r w:rsidR="007F18B5" w:rsidRPr="007F18B5">
        <w:rPr>
          <w:rFonts w:ascii="Arial" w:hAnsi="Arial" w:cs="Arial"/>
          <w:i/>
          <w:iCs/>
        </w:rPr>
        <w:t xml:space="preserve"> I</w:t>
      </w:r>
      <w:r w:rsidRPr="007F18B5">
        <w:rPr>
          <w:rFonts w:ascii="Arial" w:hAnsi="Arial" w:cs="Arial"/>
          <w:i/>
          <w:iCs/>
        </w:rPr>
        <w:t xml:space="preserve">nvest </w:t>
      </w:r>
      <w:r w:rsidR="007F18B5" w:rsidRPr="007F18B5">
        <w:rPr>
          <w:rFonts w:ascii="Arial" w:hAnsi="Arial" w:cs="Arial"/>
          <w:i/>
          <w:iCs/>
        </w:rPr>
        <w:t>D</w:t>
      </w:r>
      <w:r w:rsidRPr="007F18B5">
        <w:rPr>
          <w:rFonts w:ascii="Arial" w:hAnsi="Arial" w:cs="Arial"/>
          <w:i/>
          <w:iCs/>
        </w:rPr>
        <w:t>ermatol</w:t>
      </w:r>
      <w:r w:rsidRPr="00D90FDE">
        <w:rPr>
          <w:rFonts w:ascii="Arial" w:hAnsi="Arial" w:cs="Arial"/>
        </w:rPr>
        <w:t xml:space="preserve"> 2006;</w:t>
      </w:r>
      <w:r w:rsidR="007F18B5">
        <w:rPr>
          <w:rFonts w:ascii="Arial" w:hAnsi="Arial" w:cs="Arial"/>
        </w:rPr>
        <w:t xml:space="preserve"> </w:t>
      </w:r>
      <w:r w:rsidRPr="007F18B5">
        <w:rPr>
          <w:rFonts w:ascii="Arial" w:hAnsi="Arial" w:cs="Arial"/>
          <w:b/>
          <w:bCs/>
        </w:rPr>
        <w:t>126</w:t>
      </w:r>
      <w:r w:rsidRPr="00D90FDE">
        <w:rPr>
          <w:rFonts w:ascii="Arial" w:hAnsi="Arial" w:cs="Arial"/>
        </w:rPr>
        <w:t>:</w:t>
      </w:r>
      <w:r w:rsidR="007F18B5">
        <w:rPr>
          <w:rFonts w:ascii="Arial" w:hAnsi="Arial" w:cs="Arial"/>
        </w:rPr>
        <w:t xml:space="preserve"> </w:t>
      </w:r>
      <w:r w:rsidRPr="00D90FDE">
        <w:rPr>
          <w:rFonts w:ascii="Arial" w:hAnsi="Arial" w:cs="Arial"/>
        </w:rPr>
        <w:t>2194-201.</w:t>
      </w:r>
    </w:p>
    <w:p w14:paraId="7BAE4A16" w14:textId="1DAA8CF8" w:rsidR="0039444B" w:rsidRPr="00D90FDE" w:rsidRDefault="0039444B" w:rsidP="00154792">
      <w:pPr>
        <w:pStyle w:val="EndNoteBibliography"/>
        <w:spacing w:after="0" w:line="480" w:lineRule="auto"/>
        <w:ind w:left="227" w:hanging="227"/>
        <w:rPr>
          <w:rFonts w:ascii="Arial" w:hAnsi="Arial" w:cs="Arial"/>
        </w:rPr>
      </w:pPr>
      <w:r w:rsidRPr="00D90FDE">
        <w:rPr>
          <w:rFonts w:ascii="Arial" w:hAnsi="Arial" w:cs="Arial"/>
        </w:rPr>
        <w:t>3.</w:t>
      </w:r>
      <w:r w:rsidR="00154792">
        <w:rPr>
          <w:rFonts w:ascii="Arial" w:hAnsi="Arial" w:cs="Arial"/>
        </w:rPr>
        <w:t xml:space="preserve"> </w:t>
      </w:r>
      <w:r w:rsidRPr="00D90FDE">
        <w:rPr>
          <w:rFonts w:ascii="Arial" w:hAnsi="Arial" w:cs="Arial"/>
        </w:rPr>
        <w:t xml:space="preserve">Griffiths CEM, Armstrong AW, Gudjonsson JE, Barker J. Psoriasis. </w:t>
      </w:r>
      <w:r w:rsidRPr="007F18B5">
        <w:rPr>
          <w:rFonts w:ascii="Arial" w:hAnsi="Arial" w:cs="Arial"/>
          <w:i/>
          <w:iCs/>
        </w:rPr>
        <w:t>Lancet</w:t>
      </w:r>
      <w:r w:rsidRPr="00D90FDE">
        <w:rPr>
          <w:rFonts w:ascii="Arial" w:hAnsi="Arial" w:cs="Arial"/>
        </w:rPr>
        <w:t xml:space="preserve"> 2021;</w:t>
      </w:r>
      <w:r w:rsidR="007F18B5">
        <w:rPr>
          <w:rFonts w:ascii="Arial" w:hAnsi="Arial" w:cs="Arial"/>
        </w:rPr>
        <w:t xml:space="preserve"> </w:t>
      </w:r>
      <w:r w:rsidRPr="007F18B5">
        <w:rPr>
          <w:rFonts w:ascii="Arial" w:hAnsi="Arial" w:cs="Arial"/>
          <w:b/>
          <w:bCs/>
        </w:rPr>
        <w:t>397</w:t>
      </w:r>
      <w:r w:rsidRPr="00D90FDE">
        <w:rPr>
          <w:rFonts w:ascii="Arial" w:hAnsi="Arial" w:cs="Arial"/>
        </w:rPr>
        <w:t>:</w:t>
      </w:r>
      <w:r w:rsidR="007F18B5">
        <w:rPr>
          <w:rFonts w:ascii="Arial" w:hAnsi="Arial" w:cs="Arial"/>
        </w:rPr>
        <w:t xml:space="preserve"> </w:t>
      </w:r>
      <w:r w:rsidRPr="00D90FDE">
        <w:rPr>
          <w:rFonts w:ascii="Arial" w:hAnsi="Arial" w:cs="Arial"/>
        </w:rPr>
        <w:t>1301-15.</w:t>
      </w:r>
    </w:p>
    <w:p w14:paraId="685D1877" w14:textId="40FECED7" w:rsidR="0039444B" w:rsidRDefault="0039444B" w:rsidP="00154792">
      <w:pPr>
        <w:pStyle w:val="EndNoteBibliography"/>
        <w:spacing w:after="0" w:line="480" w:lineRule="auto"/>
        <w:ind w:left="227" w:hanging="227"/>
        <w:rPr>
          <w:rFonts w:ascii="Arial" w:hAnsi="Arial" w:cs="Arial"/>
        </w:rPr>
      </w:pPr>
      <w:r w:rsidRPr="00D90FDE">
        <w:rPr>
          <w:rFonts w:ascii="Arial" w:hAnsi="Arial" w:cs="Arial"/>
        </w:rPr>
        <w:t>4.</w:t>
      </w:r>
      <w:r w:rsidR="00154792">
        <w:rPr>
          <w:rFonts w:ascii="Arial" w:hAnsi="Arial" w:cs="Arial"/>
        </w:rPr>
        <w:t xml:space="preserve"> </w:t>
      </w:r>
      <w:r w:rsidRPr="00D90FDE">
        <w:rPr>
          <w:rFonts w:ascii="Arial" w:hAnsi="Arial" w:cs="Arial"/>
        </w:rPr>
        <w:t xml:space="preserve">Gisondi P, Bellinato F, Girolomoni G. Topographic differential diagnosis of chronic plaque psoriasis: challenges and tricks. </w:t>
      </w:r>
      <w:r w:rsidRPr="003F56FE">
        <w:rPr>
          <w:rFonts w:ascii="Arial" w:hAnsi="Arial" w:cs="Arial"/>
          <w:i/>
          <w:iCs/>
        </w:rPr>
        <w:t>J</w:t>
      </w:r>
      <w:r w:rsidR="003F56FE" w:rsidRPr="003F56FE">
        <w:rPr>
          <w:rFonts w:ascii="Arial" w:hAnsi="Arial" w:cs="Arial"/>
          <w:i/>
          <w:iCs/>
        </w:rPr>
        <w:t xml:space="preserve"> </w:t>
      </w:r>
      <w:r w:rsidRPr="003F56FE">
        <w:rPr>
          <w:rFonts w:ascii="Arial" w:hAnsi="Arial" w:cs="Arial"/>
          <w:i/>
          <w:iCs/>
        </w:rPr>
        <w:t>Clin Med</w:t>
      </w:r>
      <w:r w:rsidRPr="00D90FDE">
        <w:rPr>
          <w:rFonts w:ascii="Arial" w:hAnsi="Arial" w:cs="Arial"/>
        </w:rPr>
        <w:t xml:space="preserve"> 2020;</w:t>
      </w:r>
      <w:r w:rsidR="003F56FE">
        <w:rPr>
          <w:rFonts w:ascii="Arial" w:hAnsi="Arial" w:cs="Arial"/>
        </w:rPr>
        <w:t xml:space="preserve"> </w:t>
      </w:r>
      <w:r w:rsidRPr="003F56FE">
        <w:rPr>
          <w:rFonts w:ascii="Arial" w:hAnsi="Arial" w:cs="Arial"/>
          <w:b/>
          <w:bCs/>
        </w:rPr>
        <w:t>9</w:t>
      </w:r>
      <w:r w:rsidRPr="00D90FDE">
        <w:rPr>
          <w:rFonts w:ascii="Arial" w:hAnsi="Arial" w:cs="Arial"/>
        </w:rPr>
        <w:t>:</w:t>
      </w:r>
      <w:r w:rsidR="003F56FE">
        <w:rPr>
          <w:rFonts w:ascii="Arial" w:hAnsi="Arial" w:cs="Arial"/>
        </w:rPr>
        <w:t xml:space="preserve"> </w:t>
      </w:r>
      <w:r w:rsidRPr="00D90FDE">
        <w:rPr>
          <w:rFonts w:ascii="Arial" w:hAnsi="Arial" w:cs="Arial"/>
        </w:rPr>
        <w:t>3594.</w:t>
      </w:r>
    </w:p>
    <w:p w14:paraId="4BDBDFA3" w14:textId="6064DF70" w:rsidR="00154792" w:rsidRPr="00D90FDE" w:rsidRDefault="00154792" w:rsidP="00154792">
      <w:pPr>
        <w:pStyle w:val="EndNoteBibliography"/>
        <w:spacing w:after="0" w:line="480" w:lineRule="auto"/>
        <w:ind w:left="227" w:hanging="227"/>
        <w:rPr>
          <w:rFonts w:ascii="Arial" w:hAnsi="Arial" w:cs="Arial"/>
        </w:rPr>
      </w:pPr>
      <w:r w:rsidRPr="00F03B8D">
        <w:rPr>
          <w:rFonts w:ascii="Arial" w:hAnsi="Arial" w:cs="Arial"/>
        </w:rPr>
        <w:t xml:space="preserve">5. </w:t>
      </w:r>
      <w:r w:rsidR="00F03B8D" w:rsidRPr="00F03B8D">
        <w:rPr>
          <w:rFonts w:ascii="Arial" w:hAnsi="Arial" w:cs="Arial"/>
        </w:rPr>
        <w:t>Biondo G, Cerroni L, Brunasso AMG</w:t>
      </w:r>
      <w:r w:rsidR="00F03B8D">
        <w:rPr>
          <w:rFonts w:ascii="Arial" w:hAnsi="Arial" w:cs="Arial"/>
        </w:rPr>
        <w:t xml:space="preserve"> et al</w:t>
      </w:r>
      <w:r w:rsidR="00F03B8D" w:rsidRPr="00F03B8D">
        <w:rPr>
          <w:rFonts w:ascii="Arial" w:hAnsi="Arial" w:cs="Arial"/>
        </w:rPr>
        <w:t xml:space="preserve">. Risk of mycosis fungoides in psoriatic patients: a critical review. </w:t>
      </w:r>
      <w:r w:rsidR="00F03B8D" w:rsidRPr="00F03B8D">
        <w:rPr>
          <w:rFonts w:ascii="Arial" w:hAnsi="Arial" w:cs="Arial"/>
          <w:i/>
          <w:iCs/>
        </w:rPr>
        <w:t>J Eur Acad Dermatol Venereol</w:t>
      </w:r>
      <w:r w:rsidR="00F03B8D">
        <w:rPr>
          <w:rFonts w:ascii="Arial" w:hAnsi="Arial" w:cs="Arial"/>
          <w:i/>
          <w:iCs/>
        </w:rPr>
        <w:t>.</w:t>
      </w:r>
      <w:r w:rsidR="00F03B8D" w:rsidRPr="00F03B8D">
        <w:rPr>
          <w:rFonts w:ascii="Arial" w:hAnsi="Arial" w:cs="Arial"/>
        </w:rPr>
        <w:t xml:space="preserve"> 2020;</w:t>
      </w:r>
      <w:r w:rsidR="00F03B8D">
        <w:rPr>
          <w:rFonts w:ascii="Arial" w:hAnsi="Arial" w:cs="Arial"/>
        </w:rPr>
        <w:t xml:space="preserve"> </w:t>
      </w:r>
      <w:r w:rsidR="00F03B8D" w:rsidRPr="00F03B8D">
        <w:rPr>
          <w:rFonts w:ascii="Arial" w:hAnsi="Arial" w:cs="Arial"/>
          <w:b/>
          <w:bCs/>
        </w:rPr>
        <w:t>34</w:t>
      </w:r>
      <w:r w:rsidR="00F03B8D" w:rsidRPr="00F03B8D">
        <w:rPr>
          <w:rFonts w:ascii="Arial" w:hAnsi="Arial" w:cs="Arial"/>
        </w:rPr>
        <w:t>:1186-1195</w:t>
      </w:r>
      <w:r w:rsidR="00F03B8D">
        <w:rPr>
          <w:rFonts w:ascii="Arial" w:hAnsi="Arial" w:cs="Arial"/>
        </w:rPr>
        <w:t>.</w:t>
      </w:r>
    </w:p>
    <w:p w14:paraId="56806B6A" w14:textId="18DCC54D" w:rsidR="0039444B" w:rsidRPr="00D90FDE" w:rsidRDefault="00154792" w:rsidP="00154792">
      <w:pPr>
        <w:pStyle w:val="EndNoteBibliography"/>
        <w:spacing w:after="0" w:line="480" w:lineRule="auto"/>
        <w:ind w:left="227" w:hanging="227"/>
        <w:rPr>
          <w:rFonts w:ascii="Arial" w:hAnsi="Arial" w:cs="Arial"/>
        </w:rPr>
      </w:pPr>
      <w:r>
        <w:rPr>
          <w:rFonts w:ascii="Arial" w:hAnsi="Arial" w:cs="Arial"/>
        </w:rPr>
        <w:t>6</w:t>
      </w:r>
      <w:r w:rsidR="0039444B" w:rsidRPr="00D90FDE">
        <w:rPr>
          <w:rFonts w:ascii="Arial" w:hAnsi="Arial" w:cs="Arial"/>
        </w:rPr>
        <w:t>.</w:t>
      </w:r>
      <w:r>
        <w:rPr>
          <w:rFonts w:ascii="Arial" w:hAnsi="Arial" w:cs="Arial"/>
        </w:rPr>
        <w:t xml:space="preserve"> </w:t>
      </w:r>
      <w:r w:rsidR="0039444B" w:rsidRPr="00D90FDE">
        <w:rPr>
          <w:rFonts w:ascii="Arial" w:hAnsi="Arial" w:cs="Arial"/>
        </w:rPr>
        <w:t xml:space="preserve">Martin A, Gutierrez E, Muglia J et al. A multicenter dose-escalation trial with denileukin diftitox (ONTAK, DAB389IL-2) in patients with severe psoriasis. </w:t>
      </w:r>
      <w:r w:rsidR="0039444B" w:rsidRPr="00EB12A4">
        <w:rPr>
          <w:rFonts w:ascii="Arial" w:hAnsi="Arial" w:cs="Arial"/>
          <w:i/>
          <w:iCs/>
        </w:rPr>
        <w:t>J</w:t>
      </w:r>
      <w:r w:rsidRPr="00EB12A4">
        <w:rPr>
          <w:rFonts w:ascii="Arial" w:hAnsi="Arial" w:cs="Arial"/>
          <w:i/>
          <w:iCs/>
        </w:rPr>
        <w:t xml:space="preserve"> </w:t>
      </w:r>
      <w:r w:rsidR="0039444B" w:rsidRPr="00EB12A4">
        <w:rPr>
          <w:rFonts w:ascii="Arial" w:hAnsi="Arial" w:cs="Arial"/>
          <w:i/>
          <w:iCs/>
        </w:rPr>
        <w:t>Am Acad Dermatol</w:t>
      </w:r>
      <w:r>
        <w:rPr>
          <w:rFonts w:ascii="Arial" w:hAnsi="Arial" w:cs="Arial"/>
        </w:rPr>
        <w:t xml:space="preserve"> </w:t>
      </w:r>
      <w:r w:rsidR="0039444B" w:rsidRPr="00D90FDE">
        <w:rPr>
          <w:rFonts w:ascii="Arial" w:hAnsi="Arial" w:cs="Arial"/>
        </w:rPr>
        <w:t>2001;</w:t>
      </w:r>
      <w:r>
        <w:rPr>
          <w:rFonts w:ascii="Arial" w:hAnsi="Arial" w:cs="Arial"/>
        </w:rPr>
        <w:t xml:space="preserve"> </w:t>
      </w:r>
      <w:r w:rsidR="0039444B" w:rsidRPr="00154792">
        <w:rPr>
          <w:rFonts w:ascii="Arial" w:hAnsi="Arial" w:cs="Arial"/>
          <w:b/>
          <w:bCs/>
        </w:rPr>
        <w:t>45</w:t>
      </w:r>
      <w:r w:rsidR="0039444B" w:rsidRPr="00D90FDE">
        <w:rPr>
          <w:rFonts w:ascii="Arial" w:hAnsi="Arial" w:cs="Arial"/>
        </w:rPr>
        <w:t>:</w:t>
      </w:r>
      <w:r>
        <w:rPr>
          <w:rFonts w:ascii="Arial" w:hAnsi="Arial" w:cs="Arial"/>
        </w:rPr>
        <w:t xml:space="preserve"> </w:t>
      </w:r>
      <w:r w:rsidR="0039444B" w:rsidRPr="00D90FDE">
        <w:rPr>
          <w:rFonts w:ascii="Arial" w:hAnsi="Arial" w:cs="Arial"/>
        </w:rPr>
        <w:t>871-81.</w:t>
      </w:r>
    </w:p>
    <w:p w14:paraId="17A5A7B6" w14:textId="6889C6E1" w:rsidR="0039444B" w:rsidRDefault="00154792" w:rsidP="00154792">
      <w:pPr>
        <w:pStyle w:val="EndNoteBibliography"/>
        <w:spacing w:line="480" w:lineRule="auto"/>
        <w:ind w:left="227" w:hanging="227"/>
        <w:rPr>
          <w:rFonts w:ascii="Arial" w:hAnsi="Arial" w:cs="Arial"/>
        </w:rPr>
      </w:pPr>
      <w:r>
        <w:rPr>
          <w:rFonts w:ascii="Arial" w:hAnsi="Arial" w:cs="Arial"/>
        </w:rPr>
        <w:t>7</w:t>
      </w:r>
      <w:r w:rsidR="0039444B" w:rsidRPr="00D90FDE">
        <w:rPr>
          <w:rFonts w:ascii="Arial" w:hAnsi="Arial" w:cs="Arial"/>
        </w:rPr>
        <w:t>.</w:t>
      </w:r>
      <w:r>
        <w:rPr>
          <w:rFonts w:ascii="Arial" w:hAnsi="Arial" w:cs="Arial"/>
        </w:rPr>
        <w:t xml:space="preserve"> </w:t>
      </w:r>
      <w:r w:rsidR="0039444B" w:rsidRPr="00D90FDE">
        <w:rPr>
          <w:rFonts w:ascii="Arial" w:hAnsi="Arial" w:cs="Arial"/>
        </w:rPr>
        <w:t xml:space="preserve">Nikolaou V, Marinos L, Moustou E </w:t>
      </w:r>
      <w:r w:rsidR="0039444B" w:rsidRPr="00FF70DA">
        <w:rPr>
          <w:rFonts w:ascii="Arial" w:hAnsi="Arial" w:cs="Arial"/>
        </w:rPr>
        <w:t>et al</w:t>
      </w:r>
      <w:r w:rsidR="0039444B" w:rsidRPr="00D90FDE">
        <w:rPr>
          <w:rFonts w:ascii="Arial" w:hAnsi="Arial" w:cs="Arial"/>
        </w:rPr>
        <w:t xml:space="preserve">. Psoriasis in patients with mycosis fungoides: a clinicopathological study of 25 patients. </w:t>
      </w:r>
      <w:r w:rsidR="0039444B" w:rsidRPr="00EB12A4">
        <w:rPr>
          <w:rFonts w:ascii="Arial" w:hAnsi="Arial" w:cs="Arial"/>
          <w:i/>
          <w:iCs/>
        </w:rPr>
        <w:t>J</w:t>
      </w:r>
      <w:r w:rsidR="00EB12A4" w:rsidRPr="00EB12A4">
        <w:rPr>
          <w:rFonts w:ascii="Arial" w:hAnsi="Arial" w:cs="Arial"/>
          <w:i/>
          <w:iCs/>
        </w:rPr>
        <w:t xml:space="preserve"> </w:t>
      </w:r>
      <w:r w:rsidR="0039444B" w:rsidRPr="00EB12A4">
        <w:rPr>
          <w:rFonts w:ascii="Arial" w:hAnsi="Arial" w:cs="Arial"/>
          <w:i/>
          <w:iCs/>
        </w:rPr>
        <w:t>Eur Acad Dermatol Venereol</w:t>
      </w:r>
      <w:r w:rsidR="0039444B" w:rsidRPr="00D90FDE">
        <w:rPr>
          <w:rFonts w:ascii="Arial" w:hAnsi="Arial" w:cs="Arial"/>
        </w:rPr>
        <w:t>. 2017;</w:t>
      </w:r>
      <w:r w:rsidR="00EB12A4">
        <w:rPr>
          <w:rFonts w:ascii="Arial" w:hAnsi="Arial" w:cs="Arial"/>
        </w:rPr>
        <w:t xml:space="preserve"> </w:t>
      </w:r>
      <w:r w:rsidR="0039444B" w:rsidRPr="00EB12A4">
        <w:rPr>
          <w:rFonts w:ascii="Arial" w:hAnsi="Arial" w:cs="Arial"/>
          <w:b/>
          <w:bCs/>
        </w:rPr>
        <w:t>31</w:t>
      </w:r>
      <w:r w:rsidR="0039444B" w:rsidRPr="00D90FDE">
        <w:rPr>
          <w:rFonts w:ascii="Arial" w:hAnsi="Arial" w:cs="Arial"/>
        </w:rPr>
        <w:t>:</w:t>
      </w:r>
      <w:r w:rsidR="00EB12A4">
        <w:rPr>
          <w:rFonts w:ascii="Arial" w:hAnsi="Arial" w:cs="Arial"/>
        </w:rPr>
        <w:t xml:space="preserve"> </w:t>
      </w:r>
      <w:r w:rsidR="0039444B" w:rsidRPr="00D90FDE">
        <w:rPr>
          <w:rFonts w:ascii="Arial" w:hAnsi="Arial" w:cs="Arial"/>
        </w:rPr>
        <w:t>1848-52.</w:t>
      </w:r>
    </w:p>
    <w:p w14:paraId="23178A77" w14:textId="089F9084" w:rsidR="00CA3F2D" w:rsidRPr="00D90FDE" w:rsidRDefault="00CA3F2D" w:rsidP="00CA3F2D">
      <w:pPr>
        <w:pStyle w:val="EndNoteBibliography"/>
        <w:spacing w:line="480" w:lineRule="auto"/>
        <w:ind w:left="227" w:hanging="227"/>
        <w:rPr>
          <w:rFonts w:ascii="Arial" w:hAnsi="Arial" w:cs="Arial"/>
        </w:rPr>
      </w:pPr>
      <w:r>
        <w:rPr>
          <w:rFonts w:ascii="Arial" w:hAnsi="Arial" w:cs="Arial"/>
        </w:rPr>
        <w:t xml:space="preserve">8. </w:t>
      </w:r>
      <w:r w:rsidRPr="00CA3F2D">
        <w:rPr>
          <w:rFonts w:ascii="Arial" w:hAnsi="Arial" w:cs="Arial"/>
        </w:rPr>
        <w:t xml:space="preserve">Springate DA, Parisi R, Kontopantelis E </w:t>
      </w:r>
      <w:r w:rsidR="00636E8F" w:rsidRPr="00FF70DA">
        <w:rPr>
          <w:rFonts w:ascii="Arial" w:hAnsi="Arial" w:cs="Arial"/>
        </w:rPr>
        <w:t>et al</w:t>
      </w:r>
      <w:r w:rsidRPr="00FF70DA">
        <w:rPr>
          <w:rFonts w:ascii="Arial" w:hAnsi="Arial" w:cs="Arial"/>
        </w:rPr>
        <w:t>.</w:t>
      </w:r>
      <w:r>
        <w:rPr>
          <w:rFonts w:ascii="Arial" w:hAnsi="Arial" w:cs="Arial"/>
        </w:rPr>
        <w:t xml:space="preserve"> </w:t>
      </w:r>
      <w:r w:rsidRPr="00CA3F2D">
        <w:rPr>
          <w:rFonts w:ascii="Arial" w:hAnsi="Arial" w:cs="Arial"/>
        </w:rPr>
        <w:t>Incidence, prevalence and mortality of patients with psoriasis: a U.K. population-based cohort study.</w:t>
      </w:r>
      <w:r>
        <w:rPr>
          <w:rFonts w:ascii="Arial" w:hAnsi="Arial" w:cs="Arial"/>
        </w:rPr>
        <w:t xml:space="preserve"> </w:t>
      </w:r>
      <w:r w:rsidRPr="00CA3F2D">
        <w:rPr>
          <w:rFonts w:ascii="Arial" w:hAnsi="Arial" w:cs="Arial"/>
          <w:i/>
          <w:iCs/>
        </w:rPr>
        <w:t>Br J Dermatol</w:t>
      </w:r>
      <w:r w:rsidRPr="00CA3F2D">
        <w:rPr>
          <w:rFonts w:ascii="Arial" w:hAnsi="Arial" w:cs="Arial"/>
        </w:rPr>
        <w:t>. 2017;</w:t>
      </w:r>
      <w:r>
        <w:rPr>
          <w:rFonts w:ascii="Arial" w:hAnsi="Arial" w:cs="Arial"/>
        </w:rPr>
        <w:t xml:space="preserve"> </w:t>
      </w:r>
      <w:r w:rsidRPr="00CA3F2D">
        <w:rPr>
          <w:rFonts w:ascii="Arial" w:hAnsi="Arial" w:cs="Arial"/>
          <w:b/>
          <w:bCs/>
        </w:rPr>
        <w:t>176</w:t>
      </w:r>
      <w:r w:rsidRPr="00CA3F2D">
        <w:rPr>
          <w:rFonts w:ascii="Arial" w:hAnsi="Arial" w:cs="Arial"/>
        </w:rPr>
        <w:t>:</w:t>
      </w:r>
      <w:r>
        <w:rPr>
          <w:rFonts w:ascii="Arial" w:hAnsi="Arial" w:cs="Arial"/>
        </w:rPr>
        <w:t xml:space="preserve"> </w:t>
      </w:r>
      <w:r w:rsidRPr="00CA3F2D">
        <w:rPr>
          <w:rFonts w:ascii="Arial" w:hAnsi="Arial" w:cs="Arial"/>
        </w:rPr>
        <w:t>650-58</w:t>
      </w:r>
      <w:r>
        <w:rPr>
          <w:rFonts w:ascii="Arial" w:hAnsi="Arial" w:cs="Arial"/>
        </w:rPr>
        <w:t>.</w:t>
      </w:r>
    </w:p>
    <w:p w14:paraId="7AB76DAF" w14:textId="491FC1AA" w:rsidR="00CA25A4" w:rsidRPr="00D90FDE" w:rsidRDefault="00CA25A4" w:rsidP="00D90FDE">
      <w:pPr>
        <w:spacing w:line="480" w:lineRule="auto"/>
        <w:rPr>
          <w:rFonts w:ascii="Arial" w:hAnsi="Arial" w:cs="Arial"/>
        </w:rPr>
      </w:pPr>
    </w:p>
    <w:sectPr w:rsidR="00CA25A4" w:rsidRPr="00D90FDE" w:rsidSect="00D90FDE">
      <w:footerReference w:type="default" r:id="rId11"/>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9FF0" w14:textId="77777777" w:rsidR="00CB58FA" w:rsidRDefault="00CB58FA" w:rsidP="00CA25A4">
      <w:pPr>
        <w:spacing w:after="0" w:line="240" w:lineRule="auto"/>
      </w:pPr>
      <w:r>
        <w:separator/>
      </w:r>
    </w:p>
  </w:endnote>
  <w:endnote w:type="continuationSeparator" w:id="0">
    <w:p w14:paraId="596E02DD" w14:textId="77777777" w:rsidR="00CB58FA" w:rsidRDefault="00CB58FA" w:rsidP="00CA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06032"/>
      <w:docPartObj>
        <w:docPartGallery w:val="Page Numbers (Bottom of Page)"/>
        <w:docPartUnique/>
      </w:docPartObj>
    </w:sdtPr>
    <w:sdtEndPr>
      <w:rPr>
        <w:noProof/>
      </w:rPr>
    </w:sdtEndPr>
    <w:sdtContent>
      <w:p w14:paraId="4266CF8F" w14:textId="6E8B80B4" w:rsidR="008521A1" w:rsidRDefault="008521A1">
        <w:pPr>
          <w:pStyle w:val="Footer"/>
        </w:pPr>
        <w:r>
          <w:fldChar w:fldCharType="begin"/>
        </w:r>
        <w:r>
          <w:instrText xml:space="preserve"> PAGE   \* MERGEFORMAT </w:instrText>
        </w:r>
        <w:r>
          <w:fldChar w:fldCharType="separate"/>
        </w:r>
        <w:r>
          <w:rPr>
            <w:noProof/>
          </w:rPr>
          <w:t>2</w:t>
        </w:r>
        <w:r>
          <w:rPr>
            <w:noProof/>
          </w:rPr>
          <w:fldChar w:fldCharType="end"/>
        </w:r>
      </w:p>
    </w:sdtContent>
  </w:sdt>
  <w:p w14:paraId="225484DD" w14:textId="77777777" w:rsidR="00CA25A4" w:rsidRDefault="00CA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3AE0" w14:textId="77777777" w:rsidR="00CB58FA" w:rsidRDefault="00CB58FA" w:rsidP="00CA25A4">
      <w:pPr>
        <w:spacing w:after="0" w:line="240" w:lineRule="auto"/>
      </w:pPr>
      <w:r>
        <w:separator/>
      </w:r>
    </w:p>
  </w:footnote>
  <w:footnote w:type="continuationSeparator" w:id="0">
    <w:p w14:paraId="1389BAED" w14:textId="77777777" w:rsidR="00CB58FA" w:rsidRDefault="00CB58FA" w:rsidP="00CA2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BA20"/>
    <w:multiLevelType w:val="hybridMultilevel"/>
    <w:tmpl w:val="512A4448"/>
    <w:lvl w:ilvl="0" w:tplc="D8C45D7A">
      <w:start w:val="1"/>
      <w:numFmt w:val="lowerLetter"/>
      <w:lvlText w:val="(%1)"/>
      <w:lvlJc w:val="left"/>
      <w:pPr>
        <w:ind w:left="720" w:hanging="360"/>
      </w:pPr>
    </w:lvl>
    <w:lvl w:ilvl="1" w:tplc="76145862">
      <w:start w:val="1"/>
      <w:numFmt w:val="lowerLetter"/>
      <w:lvlText w:val="%2."/>
      <w:lvlJc w:val="left"/>
      <w:pPr>
        <w:ind w:left="1440" w:hanging="360"/>
      </w:pPr>
    </w:lvl>
    <w:lvl w:ilvl="2" w:tplc="FDA2B890">
      <w:start w:val="1"/>
      <w:numFmt w:val="lowerRoman"/>
      <w:lvlText w:val="%3."/>
      <w:lvlJc w:val="right"/>
      <w:pPr>
        <w:ind w:left="2160" w:hanging="180"/>
      </w:pPr>
    </w:lvl>
    <w:lvl w:ilvl="3" w:tplc="0ADE66AC">
      <w:start w:val="1"/>
      <w:numFmt w:val="decimal"/>
      <w:lvlText w:val="%4."/>
      <w:lvlJc w:val="left"/>
      <w:pPr>
        <w:ind w:left="2880" w:hanging="360"/>
      </w:pPr>
    </w:lvl>
    <w:lvl w:ilvl="4" w:tplc="4F0E41DA">
      <w:start w:val="1"/>
      <w:numFmt w:val="lowerLetter"/>
      <w:lvlText w:val="%5."/>
      <w:lvlJc w:val="left"/>
      <w:pPr>
        <w:ind w:left="3600" w:hanging="360"/>
      </w:pPr>
    </w:lvl>
    <w:lvl w:ilvl="5" w:tplc="BC42AF94">
      <w:start w:val="1"/>
      <w:numFmt w:val="lowerRoman"/>
      <w:lvlText w:val="%6."/>
      <w:lvlJc w:val="right"/>
      <w:pPr>
        <w:ind w:left="4320" w:hanging="180"/>
      </w:pPr>
    </w:lvl>
    <w:lvl w:ilvl="6" w:tplc="4A868838">
      <w:start w:val="1"/>
      <w:numFmt w:val="decimal"/>
      <w:lvlText w:val="%7."/>
      <w:lvlJc w:val="left"/>
      <w:pPr>
        <w:ind w:left="5040" w:hanging="360"/>
      </w:pPr>
    </w:lvl>
    <w:lvl w:ilvl="7" w:tplc="69DC81FE">
      <w:start w:val="1"/>
      <w:numFmt w:val="lowerLetter"/>
      <w:lvlText w:val="%8."/>
      <w:lvlJc w:val="left"/>
      <w:pPr>
        <w:ind w:left="5760" w:hanging="360"/>
      </w:pPr>
    </w:lvl>
    <w:lvl w:ilvl="8" w:tplc="7466019E">
      <w:start w:val="1"/>
      <w:numFmt w:val="lowerRoman"/>
      <w:lvlText w:val="%9."/>
      <w:lvlJc w:val="right"/>
      <w:pPr>
        <w:ind w:left="6480" w:hanging="180"/>
      </w:pPr>
    </w:lvl>
  </w:abstractNum>
  <w:abstractNum w:abstractNumId="1" w15:restartNumberingAfterBreak="0">
    <w:nsid w:val="34375AD3"/>
    <w:multiLevelType w:val="hybridMultilevel"/>
    <w:tmpl w:val="1618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F505E"/>
    <w:multiLevelType w:val="hybridMultilevel"/>
    <w:tmpl w:val="8CA04974"/>
    <w:lvl w:ilvl="0" w:tplc="737032FE">
      <w:start w:val="1"/>
      <w:numFmt w:val="lowerLetter"/>
      <w:lvlText w:val="(%1)"/>
      <w:lvlJc w:val="left"/>
      <w:pPr>
        <w:ind w:left="720" w:hanging="360"/>
      </w:pPr>
    </w:lvl>
    <w:lvl w:ilvl="1" w:tplc="A9E6844A">
      <w:start w:val="1"/>
      <w:numFmt w:val="lowerLetter"/>
      <w:lvlText w:val="%2."/>
      <w:lvlJc w:val="left"/>
      <w:pPr>
        <w:ind w:left="1440" w:hanging="360"/>
      </w:pPr>
    </w:lvl>
    <w:lvl w:ilvl="2" w:tplc="7E98E9AC">
      <w:start w:val="1"/>
      <w:numFmt w:val="lowerRoman"/>
      <w:lvlText w:val="%3."/>
      <w:lvlJc w:val="right"/>
      <w:pPr>
        <w:ind w:left="2160" w:hanging="180"/>
      </w:pPr>
    </w:lvl>
    <w:lvl w:ilvl="3" w:tplc="18920106">
      <w:start w:val="1"/>
      <w:numFmt w:val="decimal"/>
      <w:lvlText w:val="%4."/>
      <w:lvlJc w:val="left"/>
      <w:pPr>
        <w:ind w:left="2880" w:hanging="360"/>
      </w:pPr>
    </w:lvl>
    <w:lvl w:ilvl="4" w:tplc="92C62A1E">
      <w:start w:val="1"/>
      <w:numFmt w:val="lowerLetter"/>
      <w:lvlText w:val="%5."/>
      <w:lvlJc w:val="left"/>
      <w:pPr>
        <w:ind w:left="3600" w:hanging="360"/>
      </w:pPr>
    </w:lvl>
    <w:lvl w:ilvl="5" w:tplc="03ECEE80">
      <w:start w:val="1"/>
      <w:numFmt w:val="lowerRoman"/>
      <w:lvlText w:val="%6."/>
      <w:lvlJc w:val="right"/>
      <w:pPr>
        <w:ind w:left="4320" w:hanging="180"/>
      </w:pPr>
    </w:lvl>
    <w:lvl w:ilvl="6" w:tplc="6442AB1E">
      <w:start w:val="1"/>
      <w:numFmt w:val="decimal"/>
      <w:lvlText w:val="%7."/>
      <w:lvlJc w:val="left"/>
      <w:pPr>
        <w:ind w:left="5040" w:hanging="360"/>
      </w:pPr>
    </w:lvl>
    <w:lvl w:ilvl="7" w:tplc="4A4CDB9E">
      <w:start w:val="1"/>
      <w:numFmt w:val="lowerLetter"/>
      <w:lvlText w:val="%8."/>
      <w:lvlJc w:val="left"/>
      <w:pPr>
        <w:ind w:left="5760" w:hanging="360"/>
      </w:pPr>
    </w:lvl>
    <w:lvl w:ilvl="8" w:tplc="EA1CF878">
      <w:start w:val="1"/>
      <w:numFmt w:val="lowerRoman"/>
      <w:lvlText w:val="%9."/>
      <w:lvlJc w:val="right"/>
      <w:pPr>
        <w:ind w:left="6480" w:hanging="180"/>
      </w:pPr>
    </w:lvl>
  </w:abstractNum>
  <w:abstractNum w:abstractNumId="3" w15:restartNumberingAfterBreak="0">
    <w:nsid w:val="48C32135"/>
    <w:multiLevelType w:val="hybridMultilevel"/>
    <w:tmpl w:val="635E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867B0"/>
    <w:multiLevelType w:val="hybridMultilevel"/>
    <w:tmpl w:val="EB3E5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9E9C75"/>
    <w:multiLevelType w:val="hybridMultilevel"/>
    <w:tmpl w:val="D6D4206E"/>
    <w:lvl w:ilvl="0" w:tplc="A5F43294">
      <w:start w:val="1"/>
      <w:numFmt w:val="lowerLetter"/>
      <w:lvlText w:val="(%1)"/>
      <w:lvlJc w:val="left"/>
      <w:pPr>
        <w:ind w:left="720" w:hanging="360"/>
      </w:pPr>
    </w:lvl>
    <w:lvl w:ilvl="1" w:tplc="CFFA6084">
      <w:start w:val="1"/>
      <w:numFmt w:val="lowerLetter"/>
      <w:lvlText w:val="%2."/>
      <w:lvlJc w:val="left"/>
      <w:pPr>
        <w:ind w:left="1440" w:hanging="360"/>
      </w:pPr>
    </w:lvl>
    <w:lvl w:ilvl="2" w:tplc="1F16E32A">
      <w:start w:val="1"/>
      <w:numFmt w:val="lowerRoman"/>
      <w:lvlText w:val="%3."/>
      <w:lvlJc w:val="right"/>
      <w:pPr>
        <w:ind w:left="2160" w:hanging="180"/>
      </w:pPr>
    </w:lvl>
    <w:lvl w:ilvl="3" w:tplc="452E4AC8">
      <w:start w:val="1"/>
      <w:numFmt w:val="decimal"/>
      <w:lvlText w:val="%4."/>
      <w:lvlJc w:val="left"/>
      <w:pPr>
        <w:ind w:left="2880" w:hanging="360"/>
      </w:pPr>
    </w:lvl>
    <w:lvl w:ilvl="4" w:tplc="6D2828D6">
      <w:start w:val="1"/>
      <w:numFmt w:val="lowerLetter"/>
      <w:lvlText w:val="%5."/>
      <w:lvlJc w:val="left"/>
      <w:pPr>
        <w:ind w:left="3600" w:hanging="360"/>
      </w:pPr>
    </w:lvl>
    <w:lvl w:ilvl="5" w:tplc="E9E45338">
      <w:start w:val="1"/>
      <w:numFmt w:val="lowerRoman"/>
      <w:lvlText w:val="%6."/>
      <w:lvlJc w:val="right"/>
      <w:pPr>
        <w:ind w:left="4320" w:hanging="180"/>
      </w:pPr>
    </w:lvl>
    <w:lvl w:ilvl="6" w:tplc="23B2F08C">
      <w:start w:val="1"/>
      <w:numFmt w:val="decimal"/>
      <w:lvlText w:val="%7."/>
      <w:lvlJc w:val="left"/>
      <w:pPr>
        <w:ind w:left="5040" w:hanging="360"/>
      </w:pPr>
    </w:lvl>
    <w:lvl w:ilvl="7" w:tplc="B1024920">
      <w:start w:val="1"/>
      <w:numFmt w:val="lowerLetter"/>
      <w:lvlText w:val="%8."/>
      <w:lvlJc w:val="left"/>
      <w:pPr>
        <w:ind w:left="5760" w:hanging="360"/>
      </w:pPr>
    </w:lvl>
    <w:lvl w:ilvl="8" w:tplc="B3B6F9F0">
      <w:start w:val="1"/>
      <w:numFmt w:val="lowerRoman"/>
      <w:lvlText w:val="%9."/>
      <w:lvlJc w:val="right"/>
      <w:pPr>
        <w:ind w:left="6480" w:hanging="180"/>
      </w:pPr>
    </w:lvl>
  </w:abstractNum>
  <w:num w:numId="1" w16cid:durableId="2146310769">
    <w:abstractNumId w:val="2"/>
  </w:num>
  <w:num w:numId="2" w16cid:durableId="300691670">
    <w:abstractNumId w:val="0"/>
  </w:num>
  <w:num w:numId="3" w16cid:durableId="1312712802">
    <w:abstractNumId w:val="5"/>
  </w:num>
  <w:num w:numId="4" w16cid:durableId="639454849">
    <w:abstractNumId w:val="4"/>
  </w:num>
  <w:num w:numId="5" w16cid:durableId="457338361">
    <w:abstractNumId w:val="1"/>
  </w:num>
  <w:num w:numId="6" w16cid:durableId="27625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5ffvfwxdvvverrtkvs9arfrtvwep29sxt&quot;&gt;My EndNote Library&lt;record-ids&gt;&lt;item&gt;1&lt;/item&gt;&lt;/record-ids&gt;&lt;/item&gt;&lt;/Libraries&gt;"/>
  </w:docVars>
  <w:rsids>
    <w:rsidRoot w:val="00CA25A4"/>
    <w:rsid w:val="00020CD5"/>
    <w:rsid w:val="000344E6"/>
    <w:rsid w:val="000849F1"/>
    <w:rsid w:val="000B3894"/>
    <w:rsid w:val="000D0AEF"/>
    <w:rsid w:val="000F50C9"/>
    <w:rsid w:val="00111FAF"/>
    <w:rsid w:val="00147FEB"/>
    <w:rsid w:val="0015315C"/>
    <w:rsid w:val="00154792"/>
    <w:rsid w:val="001E267E"/>
    <w:rsid w:val="001F4F43"/>
    <w:rsid w:val="00206711"/>
    <w:rsid w:val="00221A76"/>
    <w:rsid w:val="00236A63"/>
    <w:rsid w:val="00283FF6"/>
    <w:rsid w:val="00285F72"/>
    <w:rsid w:val="00291063"/>
    <w:rsid w:val="00291FF1"/>
    <w:rsid w:val="00296836"/>
    <w:rsid w:val="002B031F"/>
    <w:rsid w:val="002B16C8"/>
    <w:rsid w:val="002B45EC"/>
    <w:rsid w:val="002D7AEA"/>
    <w:rsid w:val="002E6EF4"/>
    <w:rsid w:val="00312313"/>
    <w:rsid w:val="003168F8"/>
    <w:rsid w:val="003313D2"/>
    <w:rsid w:val="003325E8"/>
    <w:rsid w:val="003820B5"/>
    <w:rsid w:val="003869BB"/>
    <w:rsid w:val="0039444B"/>
    <w:rsid w:val="003B150C"/>
    <w:rsid w:val="003D35BF"/>
    <w:rsid w:val="003F56FE"/>
    <w:rsid w:val="003F6C2B"/>
    <w:rsid w:val="0042110D"/>
    <w:rsid w:val="004779B5"/>
    <w:rsid w:val="00487FD8"/>
    <w:rsid w:val="004C0443"/>
    <w:rsid w:val="004E2B69"/>
    <w:rsid w:val="00502895"/>
    <w:rsid w:val="00534FD1"/>
    <w:rsid w:val="005536D1"/>
    <w:rsid w:val="00560F86"/>
    <w:rsid w:val="00587F01"/>
    <w:rsid w:val="005D2F5F"/>
    <w:rsid w:val="005D5380"/>
    <w:rsid w:val="005D7F14"/>
    <w:rsid w:val="00636A94"/>
    <w:rsid w:val="00636E8F"/>
    <w:rsid w:val="00637972"/>
    <w:rsid w:val="00645A96"/>
    <w:rsid w:val="00651165"/>
    <w:rsid w:val="00663F9C"/>
    <w:rsid w:val="00670834"/>
    <w:rsid w:val="00680E15"/>
    <w:rsid w:val="006825E3"/>
    <w:rsid w:val="00692FA9"/>
    <w:rsid w:val="006A272B"/>
    <w:rsid w:val="006C1D86"/>
    <w:rsid w:val="006D6346"/>
    <w:rsid w:val="007B4655"/>
    <w:rsid w:val="007C2E30"/>
    <w:rsid w:val="007D05B9"/>
    <w:rsid w:val="007E0056"/>
    <w:rsid w:val="007F18B5"/>
    <w:rsid w:val="00807420"/>
    <w:rsid w:val="00810FC6"/>
    <w:rsid w:val="00812741"/>
    <w:rsid w:val="00815B29"/>
    <w:rsid w:val="00821F93"/>
    <w:rsid w:val="0082419A"/>
    <w:rsid w:val="00842AC7"/>
    <w:rsid w:val="008521A1"/>
    <w:rsid w:val="008551B0"/>
    <w:rsid w:val="0085727A"/>
    <w:rsid w:val="0086686E"/>
    <w:rsid w:val="00884979"/>
    <w:rsid w:val="008B02C3"/>
    <w:rsid w:val="008E62BF"/>
    <w:rsid w:val="008F35B3"/>
    <w:rsid w:val="00901C60"/>
    <w:rsid w:val="00910318"/>
    <w:rsid w:val="0092684A"/>
    <w:rsid w:val="009A4638"/>
    <w:rsid w:val="009A7862"/>
    <w:rsid w:val="009B1435"/>
    <w:rsid w:val="009B1841"/>
    <w:rsid w:val="009C5EA3"/>
    <w:rsid w:val="009D1FC8"/>
    <w:rsid w:val="00A01D29"/>
    <w:rsid w:val="00A05989"/>
    <w:rsid w:val="00A11E2D"/>
    <w:rsid w:val="00A272AD"/>
    <w:rsid w:val="00A772F9"/>
    <w:rsid w:val="00AF116C"/>
    <w:rsid w:val="00AF50A5"/>
    <w:rsid w:val="00B005FD"/>
    <w:rsid w:val="00B23B9B"/>
    <w:rsid w:val="00B244F4"/>
    <w:rsid w:val="00B366F9"/>
    <w:rsid w:val="00B52F72"/>
    <w:rsid w:val="00B7236D"/>
    <w:rsid w:val="00B759A5"/>
    <w:rsid w:val="00BB11D6"/>
    <w:rsid w:val="00BC3CFA"/>
    <w:rsid w:val="00BE1EDF"/>
    <w:rsid w:val="00C02B13"/>
    <w:rsid w:val="00C545EF"/>
    <w:rsid w:val="00C74884"/>
    <w:rsid w:val="00C80717"/>
    <w:rsid w:val="00CA25A4"/>
    <w:rsid w:val="00CA3F2D"/>
    <w:rsid w:val="00CB58FA"/>
    <w:rsid w:val="00CE635A"/>
    <w:rsid w:val="00CF2EF4"/>
    <w:rsid w:val="00D3003B"/>
    <w:rsid w:val="00D36647"/>
    <w:rsid w:val="00D41018"/>
    <w:rsid w:val="00D90FDE"/>
    <w:rsid w:val="00DA2B0E"/>
    <w:rsid w:val="00DD4400"/>
    <w:rsid w:val="00DE6CDD"/>
    <w:rsid w:val="00E507D4"/>
    <w:rsid w:val="00E70FC6"/>
    <w:rsid w:val="00E73340"/>
    <w:rsid w:val="00EB12A4"/>
    <w:rsid w:val="00EB3316"/>
    <w:rsid w:val="00EB351C"/>
    <w:rsid w:val="00EF6136"/>
    <w:rsid w:val="00F03B8D"/>
    <w:rsid w:val="00F26B99"/>
    <w:rsid w:val="00F476CD"/>
    <w:rsid w:val="00F569B0"/>
    <w:rsid w:val="00FF6AD8"/>
    <w:rsid w:val="00FF70DA"/>
    <w:rsid w:val="0233EDA7"/>
    <w:rsid w:val="039A358B"/>
    <w:rsid w:val="04D485F3"/>
    <w:rsid w:val="06AB5FF5"/>
    <w:rsid w:val="0745028E"/>
    <w:rsid w:val="096601E7"/>
    <w:rsid w:val="09701027"/>
    <w:rsid w:val="0A463623"/>
    <w:rsid w:val="0FA19209"/>
    <w:rsid w:val="139390F8"/>
    <w:rsid w:val="13CDAAFC"/>
    <w:rsid w:val="1CA0F526"/>
    <w:rsid w:val="21918D55"/>
    <w:rsid w:val="21CA9C2C"/>
    <w:rsid w:val="22C7D37B"/>
    <w:rsid w:val="249B92E7"/>
    <w:rsid w:val="26748674"/>
    <w:rsid w:val="283D27FF"/>
    <w:rsid w:val="2928FD6C"/>
    <w:rsid w:val="29D8F860"/>
    <w:rsid w:val="2A138F4E"/>
    <w:rsid w:val="2D109922"/>
    <w:rsid w:val="3003C8ED"/>
    <w:rsid w:val="3036AF2B"/>
    <w:rsid w:val="3318D6CD"/>
    <w:rsid w:val="3634830E"/>
    <w:rsid w:val="37EC47F0"/>
    <w:rsid w:val="4599C0D8"/>
    <w:rsid w:val="467DE3B2"/>
    <w:rsid w:val="472213DB"/>
    <w:rsid w:val="47A839C8"/>
    <w:rsid w:val="47C29C0E"/>
    <w:rsid w:val="481A6319"/>
    <w:rsid w:val="49C60406"/>
    <w:rsid w:val="4B41FA02"/>
    <w:rsid w:val="5191B232"/>
    <w:rsid w:val="548EAA56"/>
    <w:rsid w:val="5545EA97"/>
    <w:rsid w:val="59621B79"/>
    <w:rsid w:val="5DA45DBE"/>
    <w:rsid w:val="5E9E69AF"/>
    <w:rsid w:val="62615A1C"/>
    <w:rsid w:val="6463D511"/>
    <w:rsid w:val="64B400F3"/>
    <w:rsid w:val="68C7F080"/>
    <w:rsid w:val="6A1C552A"/>
    <w:rsid w:val="6A8984AD"/>
    <w:rsid w:val="6C4EDE58"/>
    <w:rsid w:val="70259FC4"/>
    <w:rsid w:val="704F72CE"/>
    <w:rsid w:val="71EB432F"/>
    <w:rsid w:val="73FEB44D"/>
    <w:rsid w:val="74FEFA34"/>
    <w:rsid w:val="759A84AE"/>
    <w:rsid w:val="76CF4281"/>
    <w:rsid w:val="7796A518"/>
    <w:rsid w:val="786B12E2"/>
    <w:rsid w:val="79360A55"/>
    <w:rsid w:val="7A664ACC"/>
    <w:rsid w:val="7B3E7A7E"/>
    <w:rsid w:val="7BC2C93D"/>
    <w:rsid w:val="7C021B2D"/>
    <w:rsid w:val="7D9DEB8E"/>
    <w:rsid w:val="7DB13B64"/>
    <w:rsid w:val="7E59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7328"/>
  <w15:docId w15:val="{D0139F9C-6BBF-4594-9D27-7C72BF4C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5A4"/>
  </w:style>
  <w:style w:type="paragraph" w:styleId="Footer">
    <w:name w:val="footer"/>
    <w:basedOn w:val="Normal"/>
    <w:link w:val="FooterChar"/>
    <w:uiPriority w:val="99"/>
    <w:unhideWhenUsed/>
    <w:rsid w:val="00CA2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5A4"/>
  </w:style>
  <w:style w:type="paragraph" w:styleId="ListParagraph">
    <w:name w:val="List Paragraph"/>
    <w:basedOn w:val="Normal"/>
    <w:uiPriority w:val="34"/>
    <w:qFormat/>
    <w:rsid w:val="00CA25A4"/>
    <w:pPr>
      <w:ind w:left="720"/>
      <w:contextualSpacing/>
    </w:pPr>
  </w:style>
  <w:style w:type="character" w:styleId="Hyperlink">
    <w:name w:val="Hyperlink"/>
    <w:basedOn w:val="DefaultParagraphFont"/>
    <w:uiPriority w:val="99"/>
    <w:unhideWhenUsed/>
    <w:rsid w:val="00CA25A4"/>
    <w:rPr>
      <w:color w:val="0563C1" w:themeColor="hyperlink"/>
      <w:u w:val="single"/>
    </w:rPr>
  </w:style>
  <w:style w:type="character" w:styleId="UnresolvedMention">
    <w:name w:val="Unresolved Mention"/>
    <w:basedOn w:val="DefaultParagraphFont"/>
    <w:uiPriority w:val="99"/>
    <w:semiHidden/>
    <w:unhideWhenUsed/>
    <w:rsid w:val="00CA25A4"/>
    <w:rPr>
      <w:color w:val="605E5C"/>
      <w:shd w:val="clear" w:color="auto" w:fill="E1DFDD"/>
    </w:rPr>
  </w:style>
  <w:style w:type="paragraph" w:customStyle="1" w:styleId="EndNoteBibliographyTitle">
    <w:name w:val="EndNote Bibliography Title"/>
    <w:basedOn w:val="Normal"/>
    <w:link w:val="EndNoteBibliographyTitleChar"/>
    <w:rsid w:val="008521A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521A1"/>
    <w:rPr>
      <w:rFonts w:ascii="Calibri" w:hAnsi="Calibri" w:cs="Calibri"/>
      <w:noProof/>
      <w:lang w:val="en-US"/>
    </w:rPr>
  </w:style>
  <w:style w:type="paragraph" w:customStyle="1" w:styleId="EndNoteBibliography">
    <w:name w:val="EndNote Bibliography"/>
    <w:basedOn w:val="Normal"/>
    <w:link w:val="EndNoteBibliographyChar"/>
    <w:rsid w:val="008521A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521A1"/>
    <w:rPr>
      <w:rFonts w:ascii="Calibri" w:hAnsi="Calibri" w:cs="Calibri"/>
      <w:noProof/>
      <w:lang w:val="en-US"/>
    </w:rPr>
  </w:style>
  <w:style w:type="paragraph" w:styleId="Revision">
    <w:name w:val="Revision"/>
    <w:hidden/>
    <w:uiPriority w:val="99"/>
    <w:semiHidden/>
    <w:rsid w:val="00291063"/>
    <w:pPr>
      <w:spacing w:after="0" w:line="240" w:lineRule="auto"/>
    </w:pPr>
  </w:style>
  <w:style w:type="character" w:styleId="CommentReference">
    <w:name w:val="annotation reference"/>
    <w:basedOn w:val="DefaultParagraphFont"/>
    <w:uiPriority w:val="99"/>
    <w:semiHidden/>
    <w:unhideWhenUsed/>
    <w:rsid w:val="00BB11D6"/>
    <w:rPr>
      <w:sz w:val="16"/>
      <w:szCs w:val="16"/>
    </w:rPr>
  </w:style>
  <w:style w:type="paragraph" w:styleId="CommentText">
    <w:name w:val="annotation text"/>
    <w:basedOn w:val="Normal"/>
    <w:link w:val="CommentTextChar"/>
    <w:uiPriority w:val="99"/>
    <w:semiHidden/>
    <w:unhideWhenUsed/>
    <w:rsid w:val="00BB11D6"/>
    <w:pPr>
      <w:spacing w:line="240" w:lineRule="auto"/>
    </w:pPr>
    <w:rPr>
      <w:sz w:val="20"/>
      <w:szCs w:val="20"/>
    </w:rPr>
  </w:style>
  <w:style w:type="character" w:customStyle="1" w:styleId="CommentTextChar">
    <w:name w:val="Comment Text Char"/>
    <w:basedOn w:val="DefaultParagraphFont"/>
    <w:link w:val="CommentText"/>
    <w:uiPriority w:val="99"/>
    <w:semiHidden/>
    <w:rsid w:val="00BB11D6"/>
    <w:rPr>
      <w:sz w:val="20"/>
      <w:szCs w:val="20"/>
    </w:rPr>
  </w:style>
  <w:style w:type="paragraph" w:styleId="CommentSubject">
    <w:name w:val="annotation subject"/>
    <w:basedOn w:val="CommentText"/>
    <w:next w:val="CommentText"/>
    <w:link w:val="CommentSubjectChar"/>
    <w:uiPriority w:val="99"/>
    <w:semiHidden/>
    <w:unhideWhenUsed/>
    <w:rsid w:val="00BB11D6"/>
    <w:rPr>
      <w:b/>
      <w:bCs/>
    </w:rPr>
  </w:style>
  <w:style w:type="character" w:customStyle="1" w:styleId="CommentSubjectChar">
    <w:name w:val="Comment Subject Char"/>
    <w:basedOn w:val="CommentTextChar"/>
    <w:link w:val="CommentSubject"/>
    <w:uiPriority w:val="99"/>
    <w:semiHidden/>
    <w:rsid w:val="00BB1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1435e8-85d3-4686-bf66-e0a2248d27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08DECE093034D96B5CB6EE0354EBE" ma:contentTypeVersion="15" ma:contentTypeDescription="Create a new document." ma:contentTypeScope="" ma:versionID="07ca1d5f26787b7ddf79a17377cb31cd">
  <xsd:schema xmlns:xsd="http://www.w3.org/2001/XMLSchema" xmlns:xs="http://www.w3.org/2001/XMLSchema" xmlns:p="http://schemas.microsoft.com/office/2006/metadata/properties" xmlns:ns3="951435e8-85d3-4686-bf66-e0a2248d27f8" xmlns:ns4="898d0c08-334f-4682-ae6f-2b71cfd97dce" targetNamespace="http://schemas.microsoft.com/office/2006/metadata/properties" ma:root="true" ma:fieldsID="91e1dcd66fab480c03b1d1f5a8f80271" ns3:_="" ns4:_="">
    <xsd:import namespace="951435e8-85d3-4686-bf66-e0a2248d27f8"/>
    <xsd:import namespace="898d0c08-334f-4682-ae6f-2b71cfd9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435e8-85d3-4686-bf66-e0a2248d2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d0c08-334f-4682-ae6f-2b71cfd97d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34D5B-CCD5-4C67-BBB3-916C730E5A16}">
  <ds:schemaRefs>
    <ds:schemaRef ds:uri="http://schemas.microsoft.com/office/2006/metadata/properties"/>
    <ds:schemaRef ds:uri="http://schemas.microsoft.com/office/infopath/2007/PartnerControls"/>
    <ds:schemaRef ds:uri="951435e8-85d3-4686-bf66-e0a2248d27f8"/>
  </ds:schemaRefs>
</ds:datastoreItem>
</file>

<file path=customXml/itemProps2.xml><?xml version="1.0" encoding="utf-8"?>
<ds:datastoreItem xmlns:ds="http://schemas.openxmlformats.org/officeDocument/2006/customXml" ds:itemID="{521743DD-445D-40AB-9689-82F46F42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435e8-85d3-4686-bf66-e0a2248d27f8"/>
    <ds:schemaRef ds:uri="898d0c08-334f-4682-ae6f-2b71cfd9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847E-EB8E-45B0-AE23-C5E84869D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Scott</dc:creator>
  <cp:keywords/>
  <dc:description/>
  <cp:lastModifiedBy>Joseph Scott</cp:lastModifiedBy>
  <cp:revision>2</cp:revision>
  <dcterms:created xsi:type="dcterms:W3CDTF">2023-06-16T06:35:00Z</dcterms:created>
  <dcterms:modified xsi:type="dcterms:W3CDTF">2023-06-16T06:35:00Z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0x010100F7608DECE093034D96B5CB6EE0354EBE</vt:lpwstr>
  </property>
</Properties>
</file>