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9C87" w14:textId="77777777" w:rsidR="002754F5" w:rsidRPr="00827C81" w:rsidRDefault="002754F5" w:rsidP="00DB1437">
      <w:pPr>
        <w:spacing w:line="480" w:lineRule="auto"/>
        <w:rPr>
          <w:rFonts w:ascii="Times New Roman" w:eastAsia="Times New Roman" w:hAnsi="Times New Roman" w:cs="Times New Roman"/>
          <w:bCs/>
          <w:sz w:val="24"/>
          <w:szCs w:val="24"/>
        </w:rPr>
      </w:pPr>
      <w:r w:rsidRPr="00827C81">
        <w:rPr>
          <w:rFonts w:ascii="Times New Roman" w:hAnsi="Times New Roman" w:cs="Times New Roman"/>
          <w:b/>
          <w:sz w:val="24"/>
          <w:szCs w:val="24"/>
        </w:rPr>
        <w:t>Title:</w:t>
      </w:r>
      <w:r w:rsidRPr="00827C81">
        <w:rPr>
          <w:rFonts w:ascii="Times New Roman" w:hAnsi="Times New Roman" w:cs="Times New Roman"/>
          <w:bCs/>
          <w:sz w:val="24"/>
          <w:szCs w:val="24"/>
        </w:rPr>
        <w:t xml:space="preserve"> </w:t>
      </w:r>
      <w:bookmarkStart w:id="0" w:name="_Hlk135294076"/>
      <w:r w:rsidRPr="00827C81">
        <w:rPr>
          <w:rFonts w:ascii="Times New Roman" w:eastAsia="Times New Roman" w:hAnsi="Times New Roman" w:cs="Times New Roman"/>
          <w:bCs/>
          <w:sz w:val="24"/>
          <w:szCs w:val="24"/>
        </w:rPr>
        <w:t>Amitriptyline at Low-dose and Titrated for Irritable Bowel Syndrome as Second-line Treatment (ATLANTIS): A Randomised Double-blind Placebo-controlled Trial in Primary Care</w:t>
      </w:r>
      <w:bookmarkEnd w:id="0"/>
      <w:r w:rsidRPr="00827C81">
        <w:rPr>
          <w:rFonts w:ascii="Times New Roman" w:eastAsia="Times New Roman" w:hAnsi="Times New Roman" w:cs="Times New Roman"/>
          <w:bCs/>
          <w:sz w:val="24"/>
          <w:szCs w:val="24"/>
        </w:rPr>
        <w:t>.</w:t>
      </w:r>
    </w:p>
    <w:p w14:paraId="0374CF7F" w14:textId="77777777" w:rsidR="002754F5" w:rsidRPr="00827C81" w:rsidRDefault="002754F5" w:rsidP="00DB1437">
      <w:pPr>
        <w:spacing w:line="480" w:lineRule="auto"/>
        <w:rPr>
          <w:rFonts w:ascii="Times New Roman" w:hAnsi="Times New Roman" w:cs="Times New Roman"/>
          <w:bCs/>
          <w:sz w:val="24"/>
          <w:szCs w:val="24"/>
        </w:rPr>
      </w:pPr>
    </w:p>
    <w:p w14:paraId="3348F68E"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Short running head:</w:t>
      </w:r>
      <w:r w:rsidRPr="00827C81">
        <w:rPr>
          <w:rFonts w:ascii="Times New Roman" w:hAnsi="Times New Roman" w:cs="Times New Roman"/>
          <w:bCs/>
          <w:sz w:val="24"/>
          <w:szCs w:val="24"/>
        </w:rPr>
        <w:t xml:space="preserve"> Amitriptyline as Second-line Treatment for Irritable Bowel Syndrome.</w:t>
      </w:r>
    </w:p>
    <w:p w14:paraId="11278100" w14:textId="77777777" w:rsidR="002754F5" w:rsidRPr="00827C81" w:rsidRDefault="002754F5" w:rsidP="00DB1437">
      <w:pPr>
        <w:spacing w:line="480" w:lineRule="auto"/>
        <w:rPr>
          <w:rFonts w:ascii="Times New Roman" w:hAnsi="Times New Roman" w:cs="Times New Roman"/>
          <w:bCs/>
          <w:sz w:val="24"/>
          <w:szCs w:val="24"/>
        </w:rPr>
      </w:pPr>
    </w:p>
    <w:p w14:paraId="338CA78E" w14:textId="77777777" w:rsidR="002754F5" w:rsidRPr="00827C81" w:rsidRDefault="002754F5" w:rsidP="00DB1437">
      <w:pPr>
        <w:spacing w:line="480" w:lineRule="auto"/>
        <w:rPr>
          <w:rFonts w:ascii="Times New Roman" w:eastAsia="Times New Roman" w:hAnsi="Times New Roman" w:cs="Times New Roman"/>
          <w:bCs/>
          <w:sz w:val="24"/>
          <w:szCs w:val="24"/>
        </w:rPr>
      </w:pPr>
      <w:r w:rsidRPr="00D42F46">
        <w:rPr>
          <w:rFonts w:ascii="Times New Roman" w:hAnsi="Times New Roman" w:cs="Times New Roman"/>
          <w:b/>
          <w:sz w:val="24"/>
          <w:szCs w:val="24"/>
        </w:rPr>
        <w:t>Authors:</w:t>
      </w:r>
      <w:r w:rsidRPr="00D42F46">
        <w:rPr>
          <w:rFonts w:ascii="Times New Roman" w:hAnsi="Times New Roman" w:cs="Times New Roman"/>
          <w:bCs/>
          <w:sz w:val="24"/>
          <w:szCs w:val="24"/>
        </w:rPr>
        <w:t xml:space="preserve"> Professor Alexander C. Ford MD*</w:t>
      </w:r>
      <w:r w:rsidRPr="00D42F46">
        <w:rPr>
          <w:rFonts w:ascii="Times New Roman" w:hAnsi="Times New Roman" w:cs="Times New Roman"/>
          <w:bCs/>
          <w:sz w:val="24"/>
          <w:szCs w:val="24"/>
          <w:vertAlign w:val="superscript"/>
        </w:rPr>
        <w:t>1,2</w:t>
      </w:r>
      <w:r w:rsidRPr="00D42F46">
        <w:rPr>
          <w:rFonts w:ascii="Times New Roman" w:hAnsi="Times New Roman" w:cs="Times New Roman"/>
          <w:bCs/>
          <w:sz w:val="24"/>
          <w:szCs w:val="24"/>
        </w:rPr>
        <w:t>, Alexandra Wright-Hughes MSc*</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Sarah L. Alderson PhD</w:t>
      </w:r>
      <w:r w:rsidRPr="00D42F46">
        <w:rPr>
          <w:rFonts w:ascii="Times New Roman" w:hAnsi="Times New Roman" w:cs="Times New Roman"/>
          <w:bCs/>
          <w:sz w:val="24"/>
          <w:szCs w:val="24"/>
          <w:vertAlign w:val="superscript"/>
        </w:rPr>
        <w:t>4</w:t>
      </w:r>
      <w:r w:rsidRPr="00D42F46">
        <w:rPr>
          <w:rFonts w:ascii="Times New Roman" w:hAnsi="Times New Roman" w:cs="Times New Roman"/>
          <w:bCs/>
          <w:sz w:val="24"/>
          <w:szCs w:val="24"/>
        </w:rPr>
        <w:t>, Pei-Loo Ow MSc</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Professor Matthew J. Ridd PhD</w:t>
      </w:r>
      <w:r w:rsidRPr="00D42F46">
        <w:rPr>
          <w:rFonts w:ascii="Times New Roman" w:hAnsi="Times New Roman" w:cs="Times New Roman"/>
          <w:bCs/>
          <w:sz w:val="24"/>
          <w:szCs w:val="24"/>
          <w:vertAlign w:val="superscript"/>
        </w:rPr>
        <w:t>5</w:t>
      </w:r>
      <w:r w:rsidRPr="00D42F46">
        <w:rPr>
          <w:rFonts w:ascii="Times New Roman" w:hAnsi="Times New Roman" w:cs="Times New Roman"/>
          <w:bCs/>
          <w:sz w:val="24"/>
          <w:szCs w:val="24"/>
        </w:rPr>
        <w:t>, Professor Robbie Foy PhD</w:t>
      </w:r>
      <w:r w:rsidRPr="00D42F46">
        <w:rPr>
          <w:rFonts w:ascii="Times New Roman" w:hAnsi="Times New Roman" w:cs="Times New Roman"/>
          <w:bCs/>
          <w:sz w:val="24"/>
          <w:szCs w:val="24"/>
          <w:vertAlign w:val="superscript"/>
        </w:rPr>
        <w:t>4</w:t>
      </w:r>
      <w:r w:rsidRPr="00D42F46">
        <w:rPr>
          <w:rFonts w:ascii="Times New Roman" w:hAnsi="Times New Roman" w:cs="Times New Roman"/>
          <w:bCs/>
          <w:sz w:val="24"/>
          <w:szCs w:val="24"/>
        </w:rPr>
        <w:t>, Gina Bianco</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Professor Felicity L. Bishop PhD</w:t>
      </w:r>
      <w:r w:rsidRPr="00D42F46">
        <w:rPr>
          <w:rFonts w:ascii="Times New Roman" w:hAnsi="Times New Roman" w:cs="Times New Roman"/>
          <w:bCs/>
          <w:sz w:val="24"/>
          <w:szCs w:val="24"/>
          <w:vertAlign w:val="superscript"/>
        </w:rPr>
        <w:t>6</w:t>
      </w:r>
      <w:r w:rsidRPr="00D42F46">
        <w:rPr>
          <w:rFonts w:ascii="Times New Roman" w:hAnsi="Times New Roman" w:cs="Times New Roman"/>
          <w:bCs/>
          <w:sz w:val="24"/>
          <w:szCs w:val="24"/>
        </w:rPr>
        <w:t xml:space="preserve">, Matthew </w:t>
      </w:r>
      <w:proofErr w:type="spellStart"/>
      <w:r w:rsidRPr="00D42F46">
        <w:rPr>
          <w:rFonts w:ascii="Times New Roman" w:hAnsi="Times New Roman" w:cs="Times New Roman"/>
          <w:bCs/>
          <w:sz w:val="24"/>
          <w:szCs w:val="24"/>
        </w:rPr>
        <w:t>Chaddock</w:t>
      </w:r>
      <w:proofErr w:type="spellEnd"/>
      <w:r w:rsidRPr="00D42F46">
        <w:rPr>
          <w:rFonts w:ascii="Times New Roman" w:hAnsi="Times New Roman" w:cs="Times New Roman"/>
          <w:bCs/>
          <w:sz w:val="24"/>
          <w:szCs w:val="24"/>
        </w:rPr>
        <w:t xml:space="preserve"> BA</w:t>
      </w:r>
      <w:r w:rsidRPr="00D42F46">
        <w:rPr>
          <w:rFonts w:ascii="Times New Roman" w:hAnsi="Times New Roman" w:cs="Times New Roman"/>
          <w:bCs/>
          <w:sz w:val="24"/>
          <w:szCs w:val="24"/>
          <w:vertAlign w:val="superscript"/>
        </w:rPr>
        <w:t>7</w:t>
      </w:r>
      <w:r w:rsidRPr="00D42F46">
        <w:rPr>
          <w:rFonts w:ascii="Times New Roman" w:hAnsi="Times New Roman" w:cs="Times New Roman"/>
          <w:bCs/>
          <w:sz w:val="24"/>
          <w:szCs w:val="24"/>
        </w:rPr>
        <w:t>, Heather Cook PhD</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Deborah Cooper</w:t>
      </w:r>
      <w:r w:rsidRPr="00D42F46">
        <w:rPr>
          <w:rFonts w:ascii="Times New Roman" w:hAnsi="Times New Roman" w:cs="Times New Roman"/>
          <w:bCs/>
          <w:sz w:val="24"/>
          <w:szCs w:val="24"/>
          <w:vertAlign w:val="superscript"/>
        </w:rPr>
        <w:t>4</w:t>
      </w:r>
      <w:r w:rsidRPr="00D42F46">
        <w:rPr>
          <w:rFonts w:ascii="Times New Roman" w:hAnsi="Times New Roman" w:cs="Times New Roman"/>
          <w:bCs/>
          <w:sz w:val="24"/>
          <w:szCs w:val="24"/>
        </w:rPr>
        <w:t>, Catherine Fernandez PhD</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Professor Elspeth A. Guthrie MD</w:t>
      </w:r>
      <w:r w:rsidRPr="00D42F46">
        <w:rPr>
          <w:rFonts w:ascii="Times New Roman" w:hAnsi="Times New Roman" w:cs="Times New Roman"/>
          <w:bCs/>
          <w:sz w:val="24"/>
          <w:szCs w:val="24"/>
          <w:vertAlign w:val="superscript"/>
        </w:rPr>
        <w:t>4</w:t>
      </w:r>
      <w:r w:rsidRPr="00D42F46">
        <w:rPr>
          <w:rFonts w:ascii="Times New Roman" w:hAnsi="Times New Roman" w:cs="Times New Roman"/>
          <w:bCs/>
          <w:sz w:val="24"/>
          <w:szCs w:val="24"/>
        </w:rPr>
        <w:t>, Suzanne Hartley MSc</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Amy Herbert MSc</w:t>
      </w:r>
      <w:r w:rsidRPr="00D42F46">
        <w:rPr>
          <w:rFonts w:ascii="Times New Roman" w:hAnsi="Times New Roman" w:cs="Times New Roman"/>
          <w:bCs/>
          <w:sz w:val="24"/>
          <w:szCs w:val="24"/>
          <w:vertAlign w:val="superscript"/>
        </w:rPr>
        <w:t>5</w:t>
      </w:r>
      <w:r w:rsidRPr="00D42F46">
        <w:rPr>
          <w:rFonts w:ascii="Times New Roman" w:hAnsi="Times New Roman" w:cs="Times New Roman"/>
          <w:bCs/>
          <w:sz w:val="24"/>
          <w:szCs w:val="24"/>
        </w:rPr>
        <w:t>, Daniel Howdon PhD</w:t>
      </w:r>
      <w:r w:rsidRPr="00D42F46">
        <w:rPr>
          <w:rFonts w:ascii="Times New Roman" w:hAnsi="Times New Roman" w:cs="Times New Roman"/>
          <w:bCs/>
          <w:sz w:val="24"/>
          <w:szCs w:val="24"/>
          <w:vertAlign w:val="superscript"/>
        </w:rPr>
        <w:t>4</w:t>
      </w:r>
      <w:r w:rsidRPr="00D42F46">
        <w:rPr>
          <w:rFonts w:ascii="Times New Roman" w:hAnsi="Times New Roman" w:cs="Times New Roman"/>
          <w:bCs/>
          <w:sz w:val="24"/>
          <w:szCs w:val="24"/>
        </w:rPr>
        <w:t>, Delia P. Muir BA</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Taposhi Nath BSc</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Sonia Newman PG Dip</w:t>
      </w:r>
      <w:r w:rsidRPr="00D42F46">
        <w:rPr>
          <w:rFonts w:ascii="Times New Roman" w:hAnsi="Times New Roman" w:cs="Times New Roman"/>
          <w:bCs/>
          <w:sz w:val="24"/>
          <w:szCs w:val="24"/>
          <w:vertAlign w:val="superscript"/>
        </w:rPr>
        <w:t>8</w:t>
      </w:r>
      <w:r w:rsidRPr="00D42F46">
        <w:rPr>
          <w:rFonts w:ascii="Times New Roman" w:hAnsi="Times New Roman" w:cs="Times New Roman"/>
          <w:bCs/>
          <w:sz w:val="24"/>
          <w:szCs w:val="24"/>
        </w:rPr>
        <w:t>, Thomas Smith BA</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Christopher A. Taylor BA</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Emma J. Teasdale PhD</w:t>
      </w:r>
      <w:r w:rsidRPr="00D42F46">
        <w:rPr>
          <w:rFonts w:ascii="Times New Roman" w:hAnsi="Times New Roman" w:cs="Times New Roman"/>
          <w:bCs/>
          <w:sz w:val="24"/>
          <w:szCs w:val="24"/>
          <w:vertAlign w:val="superscript"/>
        </w:rPr>
        <w:t>6</w:t>
      </w:r>
      <w:r w:rsidRPr="00D42F46">
        <w:rPr>
          <w:rFonts w:ascii="Times New Roman" w:hAnsi="Times New Roman" w:cs="Times New Roman"/>
          <w:bCs/>
          <w:sz w:val="24"/>
          <w:szCs w:val="24"/>
        </w:rPr>
        <w:t>, Ruth Thornton BN</w:t>
      </w:r>
      <w:r w:rsidRPr="00D42F46">
        <w:rPr>
          <w:rFonts w:ascii="Times New Roman" w:hAnsi="Times New Roman" w:cs="Times New Roman"/>
          <w:bCs/>
          <w:sz w:val="24"/>
          <w:szCs w:val="24"/>
          <w:vertAlign w:val="superscript"/>
        </w:rPr>
        <w:t>8</w:t>
      </w:r>
      <w:r w:rsidRPr="00D42F46">
        <w:rPr>
          <w:rFonts w:ascii="Times New Roman" w:hAnsi="Times New Roman" w:cs="Times New Roman"/>
          <w:bCs/>
          <w:sz w:val="24"/>
          <w:szCs w:val="24"/>
        </w:rPr>
        <w:t>, Professor Amanda J. Farrin MSc</w:t>
      </w:r>
      <w:r w:rsidRPr="00D42F46">
        <w:rPr>
          <w:rFonts w:ascii="Times New Roman" w:hAnsi="Times New Roman" w:cs="Times New Roman"/>
          <w:bCs/>
          <w:sz w:val="24"/>
          <w:szCs w:val="24"/>
          <w:vertAlign w:val="superscript"/>
        </w:rPr>
        <w:t>3</w:t>
      </w:r>
      <w:r w:rsidRPr="00D42F46">
        <w:rPr>
          <w:rFonts w:ascii="Times New Roman" w:hAnsi="Times New Roman" w:cs="Times New Roman"/>
          <w:bCs/>
          <w:sz w:val="24"/>
          <w:szCs w:val="24"/>
        </w:rPr>
        <w:t>†, Professor Hazel A. Everitt PhD</w:t>
      </w:r>
      <w:r w:rsidRPr="00D42F46">
        <w:rPr>
          <w:rFonts w:ascii="Times New Roman" w:hAnsi="Times New Roman" w:cs="Times New Roman"/>
          <w:bCs/>
          <w:sz w:val="24"/>
          <w:szCs w:val="24"/>
          <w:vertAlign w:val="superscript"/>
        </w:rPr>
        <w:t>8</w:t>
      </w:r>
      <w:r w:rsidRPr="00D42F46">
        <w:rPr>
          <w:rFonts w:ascii="Times New Roman" w:hAnsi="Times New Roman" w:cs="Times New Roman"/>
          <w:bCs/>
          <w:sz w:val="24"/>
          <w:szCs w:val="24"/>
        </w:rPr>
        <w:t>†, ATLANTIS trialists</w:t>
      </w:r>
    </w:p>
    <w:p w14:paraId="3604C229" w14:textId="77777777" w:rsidR="002754F5" w:rsidRPr="00827C81" w:rsidRDefault="002754F5" w:rsidP="00DB1437">
      <w:pPr>
        <w:spacing w:line="480" w:lineRule="auto"/>
        <w:rPr>
          <w:rFonts w:ascii="Times New Roman" w:hAnsi="Times New Roman" w:cs="Times New Roman"/>
          <w:bCs/>
          <w:sz w:val="24"/>
          <w:szCs w:val="24"/>
        </w:rPr>
      </w:pPr>
    </w:p>
    <w:p w14:paraId="6F9974FC"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*Joint first author</w:t>
      </w:r>
    </w:p>
    <w:p w14:paraId="6D29DC6F"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†Joint last author</w:t>
      </w:r>
    </w:p>
    <w:p w14:paraId="79FA75F2"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1</w:t>
      </w:r>
      <w:r w:rsidRPr="00827C81">
        <w:rPr>
          <w:rFonts w:ascii="Times New Roman" w:hAnsi="Times New Roman" w:cs="Times New Roman"/>
          <w:bCs/>
          <w:sz w:val="24"/>
          <w:szCs w:val="24"/>
        </w:rPr>
        <w:t>Leeds Institute of Medical Research at St. James’s, University of Leeds, Leeds, UK.</w:t>
      </w:r>
    </w:p>
    <w:p w14:paraId="188BCD36"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2</w:t>
      </w:r>
      <w:r w:rsidRPr="00827C81">
        <w:rPr>
          <w:rFonts w:ascii="Times New Roman" w:hAnsi="Times New Roman" w:cs="Times New Roman"/>
          <w:bCs/>
          <w:sz w:val="24"/>
          <w:szCs w:val="24"/>
        </w:rPr>
        <w:t xml:space="preserve">Leeds Gastroenterology Institute, St James's University Hospital, Leeds, UK. </w:t>
      </w:r>
    </w:p>
    <w:p w14:paraId="464C53AE"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3</w:t>
      </w:r>
      <w:r w:rsidRPr="00827C81">
        <w:rPr>
          <w:rFonts w:ascii="Times New Roman" w:hAnsi="Times New Roman" w:cs="Times New Roman"/>
          <w:bCs/>
          <w:sz w:val="24"/>
          <w:szCs w:val="24"/>
        </w:rPr>
        <w:t>Clinical Trial Research Unit, Leeds Institute of Clinical Trials Research, School of Medicine, University of Leeds, UK.</w:t>
      </w:r>
    </w:p>
    <w:p w14:paraId="7933037D"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4</w:t>
      </w:r>
      <w:r w:rsidRPr="00827C81">
        <w:rPr>
          <w:rFonts w:ascii="Times New Roman" w:hAnsi="Times New Roman" w:cs="Times New Roman"/>
          <w:bCs/>
          <w:sz w:val="24"/>
          <w:szCs w:val="24"/>
        </w:rPr>
        <w:t>Leeds Institute of Health Sciences, School of Medicine, University of Leeds, UK.</w:t>
      </w:r>
    </w:p>
    <w:p w14:paraId="3519C4FA"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lastRenderedPageBreak/>
        <w:t>5</w:t>
      </w:r>
      <w:r w:rsidRPr="00827C81">
        <w:rPr>
          <w:rFonts w:ascii="Times New Roman" w:hAnsi="Times New Roman" w:cs="Times New Roman"/>
          <w:bCs/>
          <w:sz w:val="24"/>
          <w:szCs w:val="24"/>
        </w:rPr>
        <w:t>Population Health Sciences, Bristol Medical School, University of Bristol, UK.</w:t>
      </w:r>
    </w:p>
    <w:p w14:paraId="38A67A52"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6</w:t>
      </w:r>
      <w:r w:rsidRPr="00827C81">
        <w:rPr>
          <w:rFonts w:ascii="Times New Roman" w:hAnsi="Times New Roman" w:cs="Times New Roman"/>
          <w:bCs/>
          <w:sz w:val="24"/>
          <w:szCs w:val="24"/>
        </w:rPr>
        <w:t>Centre for Clinical and Community Applications of Health Psychology, School of Psychology, University of Southampton, UK.</w:t>
      </w:r>
    </w:p>
    <w:p w14:paraId="65AF6AE9"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vertAlign w:val="superscript"/>
        </w:rPr>
        <w:t>7</w:t>
      </w:r>
      <w:r w:rsidRPr="00827C81">
        <w:rPr>
          <w:rFonts w:ascii="Times New Roman" w:hAnsi="Times New Roman" w:cs="Times New Roman"/>
          <w:bCs/>
          <w:sz w:val="24"/>
          <w:szCs w:val="24"/>
        </w:rPr>
        <w:t>Let’sCure IBS, Leeds, UK.</w:t>
      </w:r>
    </w:p>
    <w:p w14:paraId="15A565A8" w14:textId="77777777" w:rsidR="002754F5" w:rsidRPr="00827C81" w:rsidRDefault="002754F5" w:rsidP="00DB1437">
      <w:pPr>
        <w:spacing w:line="480" w:lineRule="auto"/>
        <w:rPr>
          <w:rFonts w:ascii="Times New Roman" w:hAnsi="Times New Roman" w:cs="Times New Roman"/>
          <w:bCs/>
          <w:sz w:val="24"/>
          <w:szCs w:val="24"/>
        </w:rPr>
      </w:pPr>
      <w:r w:rsidRPr="00827C81">
        <w:rPr>
          <w:rStyle w:val="normaltextrun"/>
          <w:rFonts w:ascii="Times New Roman" w:hAnsi="Times New Roman" w:cs="Times New Roman"/>
          <w:bCs/>
          <w:sz w:val="24"/>
          <w:szCs w:val="24"/>
          <w:shd w:val="clear" w:color="auto" w:fill="FFFFFF"/>
          <w:vertAlign w:val="superscript"/>
        </w:rPr>
        <w:t>8</w:t>
      </w:r>
      <w:r w:rsidRPr="00827C81">
        <w:rPr>
          <w:rFonts w:ascii="Times New Roman" w:hAnsi="Times New Roman" w:cs="Times New Roman"/>
          <w:bCs/>
          <w:sz w:val="24"/>
          <w:szCs w:val="24"/>
        </w:rPr>
        <w:t>Primary Care Research Centre, Faculty of Medicine, University of Southampton, Southampton, UK.</w:t>
      </w:r>
    </w:p>
    <w:p w14:paraId="05399EEC" w14:textId="77777777" w:rsidR="002754F5" w:rsidRPr="00827C81" w:rsidRDefault="002754F5" w:rsidP="00DB1437">
      <w:pPr>
        <w:spacing w:line="480" w:lineRule="auto"/>
        <w:rPr>
          <w:rFonts w:ascii="Times New Roman" w:hAnsi="Times New Roman" w:cs="Times New Roman"/>
          <w:bCs/>
          <w:sz w:val="24"/>
          <w:szCs w:val="24"/>
        </w:rPr>
      </w:pPr>
    </w:p>
    <w:p w14:paraId="0E9282C1"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Abbreviations:</w:t>
      </w:r>
      <w:r w:rsidRPr="00827C81">
        <w:rPr>
          <w:rFonts w:ascii="Times New Roman" w:hAnsi="Times New Roman" w:cs="Times New Roman"/>
          <w:bCs/>
          <w:sz w:val="24"/>
          <w:szCs w:val="24"/>
        </w:rPr>
        <w:t xml:space="preserve"> </w:t>
      </w:r>
      <w:r w:rsidRPr="00827C81">
        <w:rPr>
          <w:rFonts w:ascii="Times New Roman" w:hAnsi="Times New Roman" w:cs="Times New Roman"/>
          <w:bCs/>
          <w:sz w:val="24"/>
          <w:szCs w:val="24"/>
        </w:rPr>
        <w:tab/>
        <w:t>ASEC</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Antidepressant Side Effect Checklist</w:t>
      </w:r>
      <w:r w:rsidRPr="00827C81">
        <w:rPr>
          <w:rFonts w:ascii="Times New Roman" w:hAnsi="Times New Roman" w:cs="Times New Roman"/>
          <w:bCs/>
          <w:sz w:val="24"/>
          <w:szCs w:val="24"/>
        </w:rPr>
        <w:tab/>
      </w:r>
    </w:p>
    <w:p w14:paraId="25AED060"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BDA</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British Dietetic Association</w:t>
      </w:r>
    </w:p>
    <w:p w14:paraId="3E7CB76F"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CI</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confidence interval</w:t>
      </w:r>
    </w:p>
    <w:p w14:paraId="5195FEE1"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EMA</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European Medicines Agency</w:t>
      </w:r>
    </w:p>
    <w:p w14:paraId="025FEA9D"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FDA</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Food and Drug Administration</w:t>
      </w:r>
    </w:p>
    <w:p w14:paraId="34B83997"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GP</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eastAsia="Times New Roman" w:hAnsi="Times New Roman" w:cs="Times New Roman"/>
          <w:bCs/>
          <w:sz w:val="24"/>
          <w:szCs w:val="24"/>
        </w:rPr>
        <w:t>general practitioner</w:t>
      </w:r>
    </w:p>
    <w:p w14:paraId="1A86244F"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HADS</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Hospital Anxiety and Depression Scale</w:t>
      </w:r>
    </w:p>
    <w:p w14:paraId="272BBC00"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IBS</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irritable bowel syndrome</w:t>
      </w:r>
    </w:p>
    <w:p w14:paraId="53D8028C"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IBS-C</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irritable bowel syndrome with constipation</w:t>
      </w:r>
    </w:p>
    <w:p w14:paraId="20E697B1"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IBS-D</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irritable bowel syndrome with diarrhoea</w:t>
      </w:r>
    </w:p>
    <w:p w14:paraId="49562B2E"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IBS-M</w:t>
      </w:r>
      <w:r w:rsidRPr="00827C81">
        <w:rPr>
          <w:rFonts w:ascii="Times New Roman" w:hAnsi="Times New Roman" w:cs="Times New Roman"/>
          <w:bCs/>
          <w:sz w:val="24"/>
          <w:szCs w:val="24"/>
        </w:rPr>
        <w:tab/>
        <w:t>irritable bowel syndrome with mixed bowel habits</w:t>
      </w:r>
    </w:p>
    <w:p w14:paraId="09C3614D" w14:textId="77777777" w:rsidR="002754F5" w:rsidRPr="00D42F46" w:rsidRDefault="002754F5" w:rsidP="00DB1437">
      <w:pPr>
        <w:spacing w:line="480" w:lineRule="auto"/>
        <w:ind w:left="3600" w:hanging="1440"/>
        <w:rPr>
          <w:rFonts w:ascii="Times New Roman" w:hAnsi="Times New Roman" w:cs="Times New Roman"/>
          <w:bCs/>
          <w:sz w:val="24"/>
          <w:szCs w:val="24"/>
          <w:lang w:val="fr-FR"/>
        </w:rPr>
      </w:pPr>
      <w:r w:rsidRPr="00D42F46">
        <w:rPr>
          <w:rFonts w:ascii="Times New Roman" w:hAnsi="Times New Roman" w:cs="Times New Roman"/>
          <w:bCs/>
          <w:sz w:val="24"/>
          <w:szCs w:val="24"/>
          <w:lang w:val="fr-FR"/>
        </w:rPr>
        <w:t>IBS-U</w:t>
      </w:r>
      <w:r w:rsidRPr="00D42F46">
        <w:rPr>
          <w:rFonts w:ascii="Times New Roman" w:hAnsi="Times New Roman" w:cs="Times New Roman"/>
          <w:bCs/>
          <w:sz w:val="24"/>
          <w:szCs w:val="24"/>
          <w:lang w:val="fr-FR"/>
        </w:rPr>
        <w:tab/>
        <w:t xml:space="preserve">irritable </w:t>
      </w:r>
      <w:proofErr w:type="spellStart"/>
      <w:r w:rsidRPr="00D42F46">
        <w:rPr>
          <w:rFonts w:ascii="Times New Roman" w:hAnsi="Times New Roman" w:cs="Times New Roman"/>
          <w:bCs/>
          <w:sz w:val="24"/>
          <w:szCs w:val="24"/>
          <w:lang w:val="fr-FR"/>
        </w:rPr>
        <w:t>bowel</w:t>
      </w:r>
      <w:proofErr w:type="spellEnd"/>
      <w:r w:rsidRPr="00D42F46">
        <w:rPr>
          <w:rFonts w:ascii="Times New Roman" w:hAnsi="Times New Roman" w:cs="Times New Roman"/>
          <w:bCs/>
          <w:sz w:val="24"/>
          <w:szCs w:val="24"/>
          <w:lang w:val="fr-FR"/>
        </w:rPr>
        <w:t xml:space="preserve"> syndrome </w:t>
      </w:r>
      <w:proofErr w:type="spellStart"/>
      <w:r w:rsidRPr="00D42F46">
        <w:rPr>
          <w:rFonts w:ascii="Times New Roman" w:hAnsi="Times New Roman" w:cs="Times New Roman"/>
          <w:bCs/>
          <w:sz w:val="24"/>
          <w:szCs w:val="24"/>
          <w:lang w:val="fr-FR"/>
        </w:rPr>
        <w:t>unclassified</w:t>
      </w:r>
      <w:proofErr w:type="spellEnd"/>
    </w:p>
    <w:p w14:paraId="2778756E"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IBS-SSS</w:t>
      </w:r>
      <w:r w:rsidRPr="00827C81">
        <w:rPr>
          <w:rFonts w:ascii="Times New Roman" w:hAnsi="Times New Roman" w:cs="Times New Roman"/>
          <w:bCs/>
          <w:sz w:val="24"/>
          <w:szCs w:val="24"/>
        </w:rPr>
        <w:tab/>
        <w:t>Irritable Bowel Syndrome Severity Scoring System</w:t>
      </w:r>
    </w:p>
    <w:p w14:paraId="533DC81D"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lastRenderedPageBreak/>
        <w:t>MCID</w:t>
      </w:r>
      <w:r w:rsidRPr="00827C81">
        <w:rPr>
          <w:rFonts w:ascii="Times New Roman" w:hAnsi="Times New Roman" w:cs="Times New Roman"/>
          <w:bCs/>
          <w:sz w:val="24"/>
          <w:szCs w:val="24"/>
        </w:rPr>
        <w:tab/>
        <w:t>minimum clinically important difference</w:t>
      </w:r>
    </w:p>
    <w:p w14:paraId="0432E17F"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NICE</w:t>
      </w:r>
      <w:r w:rsidRPr="00827C81">
        <w:rPr>
          <w:rFonts w:ascii="Times New Roman" w:hAnsi="Times New Roman" w:cs="Times New Roman"/>
          <w:bCs/>
          <w:sz w:val="24"/>
          <w:szCs w:val="24"/>
        </w:rPr>
        <w:tab/>
        <w:t>National Institute for Health and Care Excellence</w:t>
      </w:r>
    </w:p>
    <w:p w14:paraId="2F017A43" w14:textId="77777777" w:rsidR="002754F5" w:rsidRPr="00827C81" w:rsidRDefault="002754F5" w:rsidP="00DB1437">
      <w:pPr>
        <w:spacing w:line="480" w:lineRule="auto"/>
        <w:ind w:left="3600" w:hanging="1440"/>
        <w:rPr>
          <w:rFonts w:ascii="Times New Roman" w:eastAsia="Times New Roman" w:hAnsi="Times New Roman" w:cs="Times New Roman"/>
          <w:bCs/>
          <w:sz w:val="24"/>
          <w:szCs w:val="24"/>
        </w:rPr>
      </w:pPr>
      <w:r w:rsidRPr="00827C81">
        <w:rPr>
          <w:rFonts w:ascii="Times New Roman" w:hAnsi="Times New Roman" w:cs="Times New Roman"/>
          <w:bCs/>
          <w:sz w:val="24"/>
          <w:szCs w:val="24"/>
        </w:rPr>
        <w:t>NIHR</w:t>
      </w:r>
      <w:r w:rsidRPr="00827C81">
        <w:rPr>
          <w:rFonts w:ascii="Times New Roman" w:hAnsi="Times New Roman" w:cs="Times New Roman"/>
          <w:bCs/>
          <w:sz w:val="24"/>
          <w:szCs w:val="24"/>
        </w:rPr>
        <w:tab/>
      </w:r>
      <w:r w:rsidRPr="00827C81">
        <w:rPr>
          <w:rFonts w:ascii="Times New Roman" w:eastAsia="Times New Roman" w:hAnsi="Times New Roman" w:cs="Times New Roman"/>
          <w:bCs/>
          <w:sz w:val="24"/>
          <w:szCs w:val="24"/>
        </w:rPr>
        <w:t>National Institute for Health and Care Research</w:t>
      </w:r>
    </w:p>
    <w:p w14:paraId="66BC2DDC"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OR</w:t>
      </w:r>
      <w:r w:rsidRPr="00827C81">
        <w:rPr>
          <w:rFonts w:ascii="Times New Roman" w:hAnsi="Times New Roman" w:cs="Times New Roman"/>
          <w:bCs/>
          <w:sz w:val="24"/>
          <w:szCs w:val="24"/>
        </w:rPr>
        <w:tab/>
        <w:t>odds ratio</w:t>
      </w:r>
    </w:p>
    <w:p w14:paraId="5C3842BD"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PHQ-12</w:t>
      </w:r>
      <w:r w:rsidRPr="00827C81">
        <w:rPr>
          <w:rFonts w:ascii="Times New Roman" w:hAnsi="Times New Roman" w:cs="Times New Roman"/>
          <w:bCs/>
          <w:sz w:val="24"/>
          <w:szCs w:val="24"/>
        </w:rPr>
        <w:tab/>
        <w:t>Patient Health Questionnaire-12</w:t>
      </w:r>
    </w:p>
    <w:p w14:paraId="75652320" w14:textId="77777777" w:rsidR="002754F5" w:rsidRPr="00827C81" w:rsidRDefault="002754F5" w:rsidP="00DB1437">
      <w:pPr>
        <w:spacing w:line="480" w:lineRule="auto"/>
        <w:ind w:left="3600" w:hanging="1440"/>
        <w:rPr>
          <w:rFonts w:ascii="Times New Roman" w:hAnsi="Times New Roman" w:cs="Times New Roman"/>
          <w:bCs/>
          <w:sz w:val="24"/>
          <w:szCs w:val="24"/>
        </w:rPr>
      </w:pPr>
      <w:r w:rsidRPr="00827C81">
        <w:rPr>
          <w:rFonts w:ascii="Times New Roman" w:hAnsi="Times New Roman" w:cs="Times New Roman"/>
          <w:bCs/>
          <w:sz w:val="24"/>
          <w:szCs w:val="24"/>
        </w:rPr>
        <w:t>PPI</w:t>
      </w:r>
      <w:r w:rsidRPr="00827C81">
        <w:rPr>
          <w:rFonts w:ascii="Times New Roman" w:hAnsi="Times New Roman" w:cs="Times New Roman"/>
          <w:bCs/>
          <w:sz w:val="24"/>
          <w:szCs w:val="24"/>
        </w:rPr>
        <w:tab/>
      </w:r>
      <w:r w:rsidRPr="00827C81">
        <w:rPr>
          <w:rFonts w:ascii="Times New Roman" w:hAnsi="Times New Roman" w:cs="Times New Roman"/>
          <w:bCs/>
          <w:noProof/>
          <w:sz w:val="24"/>
          <w:szCs w:val="24"/>
        </w:rPr>
        <w:t>patient and public involvement</w:t>
      </w:r>
    </w:p>
    <w:p w14:paraId="440173FE"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RCT</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randomised controlled trial</w:t>
      </w:r>
    </w:p>
    <w:p w14:paraId="06CBAA5F"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SD</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standard deviation</w:t>
      </w:r>
    </w:p>
    <w:p w14:paraId="4E53C2D9"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SGA</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eastAsia="Times New Roman" w:hAnsi="Times New Roman" w:cs="Times New Roman"/>
          <w:bCs/>
          <w:sz w:val="24"/>
          <w:szCs w:val="24"/>
        </w:rPr>
        <w:t>subjective global assessment</w:t>
      </w:r>
    </w:p>
    <w:p w14:paraId="7E66CB7B"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TCA</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tricyclic antidepressant</w:t>
      </w:r>
    </w:p>
    <w:p w14:paraId="489926EB"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r>
      <w:r w:rsidRPr="00827C81">
        <w:rPr>
          <w:rFonts w:ascii="Times New Roman" w:hAnsi="Times New Roman" w:cs="Times New Roman"/>
          <w:bCs/>
          <w:sz w:val="24"/>
          <w:szCs w:val="24"/>
        </w:rPr>
        <w:tab/>
      </w:r>
      <w:r w:rsidRPr="00827C81">
        <w:rPr>
          <w:rFonts w:ascii="Times New Roman" w:hAnsi="Times New Roman" w:cs="Times New Roman"/>
          <w:bCs/>
          <w:sz w:val="24"/>
          <w:szCs w:val="24"/>
        </w:rPr>
        <w:tab/>
        <w:t>WSAS</w:t>
      </w:r>
      <w:r w:rsidRPr="00827C81">
        <w:rPr>
          <w:rFonts w:ascii="Times New Roman" w:hAnsi="Times New Roman" w:cs="Times New Roman"/>
          <w:bCs/>
          <w:sz w:val="24"/>
          <w:szCs w:val="24"/>
        </w:rPr>
        <w:tab/>
      </w:r>
      <w:r w:rsidRPr="00827C81">
        <w:rPr>
          <w:rFonts w:ascii="Times New Roman" w:hAnsi="Times New Roman" w:cs="Times New Roman"/>
          <w:bCs/>
          <w:sz w:val="24"/>
          <w:szCs w:val="24"/>
        </w:rPr>
        <w:tab/>
        <w:t>Work and Social Adjustment Scale</w:t>
      </w:r>
    </w:p>
    <w:p w14:paraId="3676DB51" w14:textId="77777777" w:rsidR="002754F5" w:rsidRPr="00827C81" w:rsidRDefault="002754F5" w:rsidP="00DB1437">
      <w:pPr>
        <w:spacing w:line="480" w:lineRule="auto"/>
        <w:rPr>
          <w:rFonts w:ascii="Times New Roman" w:hAnsi="Times New Roman" w:cs="Times New Roman"/>
          <w:bCs/>
          <w:sz w:val="24"/>
          <w:szCs w:val="24"/>
        </w:rPr>
      </w:pPr>
    </w:p>
    <w:p w14:paraId="08C87305"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Correspondence:</w:t>
      </w:r>
      <w:r w:rsidRPr="00827C81">
        <w:rPr>
          <w:rFonts w:ascii="Times New Roman" w:hAnsi="Times New Roman" w:cs="Times New Roman"/>
          <w:bCs/>
          <w:sz w:val="24"/>
          <w:szCs w:val="24"/>
        </w:rPr>
        <w:t xml:space="preserve"> </w:t>
      </w:r>
      <w:r w:rsidRPr="00827C81">
        <w:rPr>
          <w:rFonts w:ascii="Times New Roman" w:hAnsi="Times New Roman" w:cs="Times New Roman"/>
          <w:bCs/>
          <w:sz w:val="24"/>
          <w:szCs w:val="24"/>
        </w:rPr>
        <w:tab/>
        <w:t>Professor Alexander C. Ford</w:t>
      </w:r>
    </w:p>
    <w:p w14:paraId="0CF129F6" w14:textId="77777777" w:rsidR="002754F5" w:rsidRPr="00827C81" w:rsidRDefault="002754F5" w:rsidP="00DB1437">
      <w:pPr>
        <w:spacing w:line="480" w:lineRule="auto"/>
        <w:ind w:left="2160"/>
        <w:rPr>
          <w:rFonts w:ascii="Times New Roman" w:hAnsi="Times New Roman" w:cs="Times New Roman"/>
          <w:bCs/>
          <w:sz w:val="24"/>
          <w:szCs w:val="24"/>
        </w:rPr>
      </w:pPr>
      <w:r w:rsidRPr="00827C81">
        <w:rPr>
          <w:rFonts w:ascii="Times New Roman" w:hAnsi="Times New Roman" w:cs="Times New Roman"/>
          <w:bCs/>
          <w:sz w:val="24"/>
          <w:szCs w:val="24"/>
        </w:rPr>
        <w:t>Leeds Gastroenterology Institute</w:t>
      </w:r>
    </w:p>
    <w:p w14:paraId="1AE37D1D"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Room 125</w:t>
      </w:r>
    </w:p>
    <w:p w14:paraId="24438499"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4</w:t>
      </w:r>
      <w:r w:rsidRPr="00827C81">
        <w:rPr>
          <w:rFonts w:ascii="Times New Roman" w:hAnsi="Times New Roman" w:cs="Times New Roman"/>
          <w:bCs/>
          <w:sz w:val="24"/>
          <w:szCs w:val="24"/>
          <w:vertAlign w:val="superscript"/>
        </w:rPr>
        <w:t>th</w:t>
      </w:r>
      <w:r w:rsidRPr="00827C81">
        <w:rPr>
          <w:rFonts w:ascii="Times New Roman" w:hAnsi="Times New Roman" w:cs="Times New Roman"/>
          <w:bCs/>
          <w:sz w:val="24"/>
          <w:szCs w:val="24"/>
        </w:rPr>
        <w:t xml:space="preserve"> Floor</w:t>
      </w:r>
    </w:p>
    <w:p w14:paraId="4D42AADD"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Bexley Wing</w:t>
      </w:r>
    </w:p>
    <w:p w14:paraId="11A1AC7E"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St. James’s University Hospital</w:t>
      </w:r>
    </w:p>
    <w:p w14:paraId="026306D7"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Beckett Street</w:t>
      </w:r>
    </w:p>
    <w:p w14:paraId="2C0A07E6"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Leeds</w:t>
      </w:r>
    </w:p>
    <w:p w14:paraId="17DDD954"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lastRenderedPageBreak/>
        <w:t>United Kingdom</w:t>
      </w:r>
    </w:p>
    <w:p w14:paraId="34E71CAB" w14:textId="77777777" w:rsidR="002754F5" w:rsidRPr="00827C81" w:rsidRDefault="002754F5" w:rsidP="00DB1437">
      <w:pPr>
        <w:spacing w:line="480" w:lineRule="auto"/>
        <w:ind w:left="1440" w:firstLine="720"/>
        <w:rPr>
          <w:rFonts w:ascii="Times New Roman" w:hAnsi="Times New Roman" w:cs="Times New Roman"/>
          <w:bCs/>
          <w:sz w:val="24"/>
          <w:szCs w:val="24"/>
        </w:rPr>
      </w:pPr>
      <w:r w:rsidRPr="00827C81">
        <w:rPr>
          <w:rFonts w:ascii="Times New Roman" w:hAnsi="Times New Roman" w:cs="Times New Roman"/>
          <w:bCs/>
          <w:sz w:val="24"/>
          <w:szCs w:val="24"/>
        </w:rPr>
        <w:t>LS9 7TF</w:t>
      </w:r>
    </w:p>
    <w:p w14:paraId="2143ABF5" w14:textId="77777777" w:rsidR="002754F5" w:rsidRPr="00D42F46" w:rsidRDefault="002754F5" w:rsidP="00DB1437">
      <w:pPr>
        <w:spacing w:line="480" w:lineRule="auto"/>
        <w:ind w:left="1440" w:firstLine="720"/>
        <w:rPr>
          <w:rFonts w:ascii="Times New Roman" w:hAnsi="Times New Roman" w:cs="Times New Roman"/>
          <w:bCs/>
          <w:sz w:val="24"/>
          <w:szCs w:val="24"/>
          <w:lang w:val="it-IT"/>
        </w:rPr>
      </w:pPr>
      <w:r w:rsidRPr="00D42F46">
        <w:rPr>
          <w:rFonts w:ascii="Times New Roman" w:hAnsi="Times New Roman" w:cs="Times New Roman"/>
          <w:bCs/>
          <w:sz w:val="24"/>
          <w:szCs w:val="24"/>
          <w:lang w:val="it-IT"/>
        </w:rPr>
        <w:t xml:space="preserve">E-mail: </w:t>
      </w:r>
      <w:r w:rsidRPr="00D42F46">
        <w:rPr>
          <w:rFonts w:ascii="Times New Roman" w:hAnsi="Times New Roman" w:cs="Times New Roman"/>
          <w:bCs/>
          <w:sz w:val="24"/>
          <w:szCs w:val="24"/>
          <w:lang w:val="it-IT"/>
        </w:rPr>
        <w:tab/>
      </w:r>
      <w:r>
        <w:fldChar w:fldCharType="begin"/>
      </w:r>
      <w:r>
        <w:instrText>HYPERLINK "mailto:A.C.Ford@leeds.ac.uk"</w:instrText>
      </w:r>
      <w:r>
        <w:fldChar w:fldCharType="separate"/>
      </w:r>
      <w:r w:rsidRPr="00D42F46">
        <w:rPr>
          <w:rStyle w:val="Hyperlink"/>
          <w:rFonts w:ascii="Times New Roman" w:hAnsi="Times New Roman" w:cs="Times New Roman"/>
          <w:bCs/>
          <w:sz w:val="24"/>
          <w:szCs w:val="24"/>
          <w:lang w:val="it-IT"/>
        </w:rPr>
        <w:t>A.C.Ford@leeds.ac.uk</w:t>
      </w:r>
      <w:r>
        <w:rPr>
          <w:rStyle w:val="Hyperlink"/>
          <w:rFonts w:ascii="Times New Roman" w:hAnsi="Times New Roman" w:cs="Times New Roman"/>
          <w:bCs/>
          <w:sz w:val="24"/>
          <w:szCs w:val="24"/>
          <w:lang w:val="it-IT"/>
        </w:rPr>
        <w:fldChar w:fldCharType="end"/>
      </w:r>
      <w:r w:rsidRPr="00D42F46">
        <w:rPr>
          <w:rStyle w:val="Hyperlink"/>
          <w:rFonts w:ascii="Times New Roman" w:hAnsi="Times New Roman" w:cs="Times New Roman"/>
          <w:bCs/>
          <w:color w:val="auto"/>
          <w:sz w:val="24"/>
          <w:szCs w:val="24"/>
          <w:lang w:val="it-IT"/>
        </w:rPr>
        <w:t xml:space="preserve"> </w:t>
      </w:r>
    </w:p>
    <w:p w14:paraId="3C2895B2" w14:textId="77777777" w:rsidR="002754F5" w:rsidRPr="00827C81" w:rsidRDefault="002754F5" w:rsidP="00DB1437">
      <w:pPr>
        <w:spacing w:line="480" w:lineRule="auto"/>
        <w:rPr>
          <w:rFonts w:ascii="Times New Roman" w:hAnsi="Times New Roman" w:cs="Times New Roman"/>
          <w:bCs/>
          <w:sz w:val="24"/>
          <w:szCs w:val="24"/>
        </w:rPr>
      </w:pPr>
      <w:r w:rsidRPr="00D42F46">
        <w:rPr>
          <w:rFonts w:ascii="Times New Roman" w:hAnsi="Times New Roman" w:cs="Times New Roman"/>
          <w:bCs/>
          <w:sz w:val="24"/>
          <w:szCs w:val="24"/>
          <w:lang w:val="it-IT"/>
        </w:rPr>
        <w:tab/>
      </w:r>
      <w:r w:rsidRPr="00D42F46">
        <w:rPr>
          <w:rFonts w:ascii="Times New Roman" w:hAnsi="Times New Roman" w:cs="Times New Roman"/>
          <w:bCs/>
          <w:sz w:val="24"/>
          <w:szCs w:val="24"/>
          <w:lang w:val="it-IT"/>
        </w:rPr>
        <w:tab/>
      </w:r>
      <w:r w:rsidRPr="00D42F46">
        <w:rPr>
          <w:rFonts w:ascii="Times New Roman" w:hAnsi="Times New Roman" w:cs="Times New Roman"/>
          <w:bCs/>
          <w:sz w:val="24"/>
          <w:szCs w:val="24"/>
          <w:lang w:val="it-IT"/>
        </w:rPr>
        <w:tab/>
      </w:r>
      <w:r w:rsidRPr="00827C81">
        <w:rPr>
          <w:rFonts w:ascii="Times New Roman" w:hAnsi="Times New Roman" w:cs="Times New Roman"/>
          <w:bCs/>
          <w:sz w:val="24"/>
          <w:szCs w:val="24"/>
        </w:rPr>
        <w:t xml:space="preserve">Telephone: </w:t>
      </w:r>
      <w:r w:rsidRPr="00827C81">
        <w:rPr>
          <w:rFonts w:ascii="Times New Roman" w:hAnsi="Times New Roman" w:cs="Times New Roman"/>
          <w:bCs/>
          <w:sz w:val="24"/>
          <w:szCs w:val="24"/>
        </w:rPr>
        <w:tab/>
        <w:t>+441132684963</w:t>
      </w:r>
    </w:p>
    <w:p w14:paraId="7C039046" w14:textId="77777777" w:rsidR="002754F5" w:rsidRPr="00827C81" w:rsidRDefault="002754F5" w:rsidP="00DB1437">
      <w:pPr>
        <w:spacing w:line="480" w:lineRule="auto"/>
        <w:ind w:left="2160" w:hanging="2160"/>
        <w:rPr>
          <w:rFonts w:ascii="Times New Roman" w:hAnsi="Times New Roman" w:cs="Times New Roman"/>
          <w:bCs/>
          <w:sz w:val="24"/>
          <w:szCs w:val="24"/>
        </w:rPr>
      </w:pPr>
    </w:p>
    <w:p w14:paraId="2FC2B9A1" w14:textId="77777777" w:rsidR="002754F5" w:rsidRPr="00827C81" w:rsidRDefault="002754F5" w:rsidP="00DB1437">
      <w:pPr>
        <w:spacing w:line="480" w:lineRule="auto"/>
        <w:ind w:left="2160" w:hanging="2160"/>
        <w:rPr>
          <w:rFonts w:ascii="Times New Roman" w:hAnsi="Times New Roman" w:cs="Times New Roman"/>
          <w:b/>
          <w:sz w:val="24"/>
          <w:szCs w:val="24"/>
        </w:rPr>
      </w:pPr>
      <w:r w:rsidRPr="00827C81">
        <w:rPr>
          <w:rFonts w:ascii="Times New Roman" w:hAnsi="Times New Roman" w:cs="Times New Roman"/>
          <w:b/>
          <w:sz w:val="24"/>
          <w:szCs w:val="24"/>
        </w:rPr>
        <w:t>Keywords:</w:t>
      </w:r>
      <w:r w:rsidRPr="00827C81">
        <w:rPr>
          <w:rFonts w:ascii="Times New Roman" w:hAnsi="Times New Roman" w:cs="Times New Roman"/>
          <w:b/>
          <w:sz w:val="24"/>
          <w:szCs w:val="24"/>
        </w:rPr>
        <w:tab/>
      </w:r>
      <w:r w:rsidRPr="00827C81">
        <w:rPr>
          <w:rFonts w:ascii="Times New Roman" w:hAnsi="Times New Roman" w:cs="Times New Roman"/>
          <w:bCs/>
          <w:sz w:val="24"/>
          <w:szCs w:val="24"/>
        </w:rPr>
        <w:t>irritable bowel syndrome; tricyclic antidepressant; abdominal pain; bowel habit; abdominal distension</w:t>
      </w:r>
    </w:p>
    <w:p w14:paraId="5C58140D" w14:textId="77777777" w:rsidR="002754F5" w:rsidRPr="00827C81" w:rsidRDefault="002754F5" w:rsidP="00DB1437">
      <w:pPr>
        <w:spacing w:line="480" w:lineRule="auto"/>
        <w:rPr>
          <w:rFonts w:ascii="Times New Roman" w:hAnsi="Times New Roman" w:cs="Times New Roman"/>
          <w:bCs/>
          <w:sz w:val="24"/>
          <w:szCs w:val="24"/>
        </w:rPr>
      </w:pPr>
    </w:p>
    <w:p w14:paraId="3A062A43"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Word count:</w:t>
      </w:r>
      <w:r w:rsidRPr="00827C81">
        <w:rPr>
          <w:rFonts w:ascii="Times New Roman" w:hAnsi="Times New Roman" w:cs="Times New Roman"/>
          <w:b/>
          <w:sz w:val="24"/>
          <w:szCs w:val="24"/>
        </w:rPr>
        <w:tab/>
      </w:r>
      <w:r w:rsidRPr="00827C81">
        <w:rPr>
          <w:rFonts w:ascii="Times New Roman" w:hAnsi="Times New Roman" w:cs="Times New Roman"/>
          <w:b/>
          <w:sz w:val="24"/>
          <w:szCs w:val="24"/>
        </w:rPr>
        <w:tab/>
      </w:r>
      <w:r>
        <w:rPr>
          <w:rFonts w:ascii="Times New Roman" w:hAnsi="Times New Roman" w:cs="Times New Roman"/>
          <w:bCs/>
          <w:sz w:val="24"/>
          <w:szCs w:val="24"/>
        </w:rPr>
        <w:t>4997</w:t>
      </w:r>
    </w:p>
    <w:p w14:paraId="199029A1"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br w:type="page"/>
      </w:r>
    </w:p>
    <w:p w14:paraId="4A99BE6F"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SUMMARY</w:t>
      </w:r>
    </w:p>
    <w:p w14:paraId="072B83F7"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Background:</w:t>
      </w:r>
      <w:r w:rsidRPr="00827C81">
        <w:rPr>
          <w:rFonts w:ascii="Times New Roman" w:eastAsia="Times New Roman" w:hAnsi="Times New Roman" w:cs="Times New Roman"/>
          <w:bCs/>
          <w:sz w:val="24"/>
          <w:szCs w:val="24"/>
        </w:rPr>
        <w:t xml:space="preserve"> Most patients with irritable bowel syndrome (IBS) are managed in primary care. When first-line therapies for IBS are ineffective, the National Institute for Health and Care Excellence guideline suggests considering low dose tricyclic antidepressants (TCAs) as second-line treatment, but their effectiveness in primary care is </w:t>
      </w:r>
      <w:r w:rsidRPr="00827C81">
        <w:rPr>
          <w:rFonts w:ascii="Times New Roman" w:hAnsi="Times New Roman" w:cs="Times New Roman"/>
          <w:sz w:val="24"/>
          <w:szCs w:val="24"/>
          <w:shd w:val="clear" w:color="auto" w:fill="FFFFFF"/>
        </w:rPr>
        <w:t>unknown and they are infrequently prescribed in this setting</w:t>
      </w:r>
      <w:r w:rsidRPr="00827C81">
        <w:rPr>
          <w:rFonts w:ascii="Times New Roman" w:eastAsia="Times New Roman" w:hAnsi="Times New Roman" w:cs="Times New Roman"/>
          <w:bCs/>
          <w:sz w:val="24"/>
          <w:szCs w:val="24"/>
        </w:rPr>
        <w:t>.</w:t>
      </w:r>
    </w:p>
    <w:p w14:paraId="2B7253D4"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Methods:</w:t>
      </w:r>
      <w:r w:rsidRPr="00827C81">
        <w:rPr>
          <w:rFonts w:ascii="Times New Roman" w:hAnsi="Times New Roman" w:cs="Times New Roman"/>
          <w:bCs/>
          <w:sz w:val="24"/>
          <w:szCs w:val="24"/>
        </w:rPr>
        <w:t xml:space="preserve"> </w:t>
      </w:r>
      <w:bookmarkStart w:id="1" w:name="_Hlk135294592"/>
      <w:r w:rsidRPr="00827C81">
        <w:rPr>
          <w:rFonts w:ascii="Times New Roman" w:hAnsi="Times New Roman" w:cs="Times New Roman"/>
          <w:bCs/>
          <w:sz w:val="24"/>
          <w:szCs w:val="24"/>
        </w:rPr>
        <w:t xml:space="preserve">We did a </w:t>
      </w:r>
      <w:r w:rsidRPr="00827C81">
        <w:rPr>
          <w:rFonts w:ascii="Times New Roman" w:eastAsia="Times New Roman" w:hAnsi="Times New Roman" w:cs="Times New Roman"/>
          <w:bCs/>
          <w:sz w:val="24"/>
          <w:szCs w:val="24"/>
        </w:rPr>
        <w:t>randomised, double-blind, placebo-controlled trial (</w:t>
      </w:r>
      <w:proofErr w:type="spellStart"/>
      <w:r w:rsidRPr="00827C81">
        <w:rPr>
          <w:rFonts w:ascii="Times New Roman" w:hAnsi="Times New Roman" w:cs="Times New Roman"/>
          <w:bCs/>
          <w:sz w:val="24"/>
          <w:szCs w:val="24"/>
        </w:rPr>
        <w:t>AmitripTyline</w:t>
      </w:r>
      <w:proofErr w:type="spellEnd"/>
      <w:r w:rsidRPr="00827C81">
        <w:rPr>
          <w:rFonts w:ascii="Times New Roman" w:hAnsi="Times New Roman" w:cs="Times New Roman"/>
          <w:bCs/>
          <w:sz w:val="24"/>
          <w:szCs w:val="24"/>
        </w:rPr>
        <w:t xml:space="preserve"> at Low-dose </w:t>
      </w:r>
      <w:proofErr w:type="spellStart"/>
      <w:r w:rsidRPr="00827C81">
        <w:rPr>
          <w:rFonts w:ascii="Times New Roman" w:hAnsi="Times New Roman" w:cs="Times New Roman"/>
          <w:bCs/>
          <w:sz w:val="24"/>
          <w:szCs w:val="24"/>
        </w:rPr>
        <w:t>ANd</w:t>
      </w:r>
      <w:proofErr w:type="spellEnd"/>
      <w:r w:rsidRPr="00827C81">
        <w:rPr>
          <w:rFonts w:ascii="Times New Roman" w:hAnsi="Times New Roman" w:cs="Times New Roman"/>
          <w:bCs/>
          <w:sz w:val="24"/>
          <w:szCs w:val="24"/>
        </w:rPr>
        <w:t xml:space="preserve"> Titrated for Irritable bowel syndrome as Second-line treatment (ATLANTIS)) at </w:t>
      </w:r>
      <w:r w:rsidRPr="00827C81">
        <w:rPr>
          <w:rFonts w:ascii="Times New Roman" w:hAnsi="Times New Roman" w:cs="Times New Roman"/>
          <w:sz w:val="24"/>
          <w:szCs w:val="24"/>
          <w:shd w:val="clear" w:color="auto" w:fill="FFFFFF"/>
        </w:rPr>
        <w:t>55 general practices in the UK. Eligible participants were aged 18 years or over with Rome IV IBS of any subtype, and ongoing symptoms (</w:t>
      </w:r>
      <w:bookmarkStart w:id="2" w:name="_Hlk135294720"/>
      <w:r w:rsidRPr="00827C81">
        <w:rPr>
          <w:rFonts w:ascii="Times New Roman" w:hAnsi="Times New Roman" w:cs="Times New Roman"/>
          <w:sz w:val="24"/>
          <w:szCs w:val="24"/>
          <w:shd w:val="clear" w:color="auto" w:fill="FFFFFF"/>
        </w:rPr>
        <w:t>IBS Severity Scoring System</w:t>
      </w:r>
      <w:bookmarkEnd w:id="2"/>
      <w:r w:rsidRPr="00827C81">
        <w:rPr>
          <w:rFonts w:ascii="Times New Roman" w:hAnsi="Times New Roman" w:cs="Times New Roman"/>
          <w:sz w:val="24"/>
          <w:szCs w:val="24"/>
          <w:shd w:val="clear" w:color="auto" w:fill="FFFFFF"/>
        </w:rPr>
        <w:t xml:space="preserve"> (IBS-SSS) score 75 points or more) despite </w:t>
      </w:r>
      <w:r>
        <w:rPr>
          <w:rFonts w:ascii="Times New Roman" w:hAnsi="Times New Roman" w:cs="Times New Roman"/>
          <w:sz w:val="24"/>
          <w:szCs w:val="24"/>
          <w:shd w:val="clear" w:color="auto" w:fill="FFFFFF"/>
        </w:rPr>
        <w:t xml:space="preserve">dietary changes and </w:t>
      </w:r>
      <w:r w:rsidRPr="00827C81">
        <w:rPr>
          <w:rFonts w:ascii="Times New Roman" w:hAnsi="Times New Roman" w:cs="Times New Roman"/>
          <w:sz w:val="24"/>
          <w:szCs w:val="24"/>
          <w:shd w:val="clear" w:color="auto" w:fill="FFFFFF"/>
        </w:rPr>
        <w:t xml:space="preserve">first-line therapies, a normal full blood count and C-reactive protein, negative coeliac serology, and no evidence of suicidal ideation. Participants were randomly assigned (1:1) to low-dose oral amitriptyline (10mg once daily) or placebo for 6 months, with dose titration over 3 weeks (up to 30mg once daily), according to symptoms and tolerability. </w:t>
      </w:r>
      <w:bookmarkEnd w:id="1"/>
      <w:r w:rsidRPr="00827C81">
        <w:rPr>
          <w:rFonts w:ascii="Times New Roman" w:hAnsi="Times New Roman" w:cs="Times New Roman"/>
          <w:sz w:val="24"/>
          <w:szCs w:val="24"/>
          <w:shd w:val="clear" w:color="auto" w:fill="FFFFFF"/>
        </w:rPr>
        <w:t xml:space="preserve">Participants, their general practitioners (GPs), investigators, and the analysis team were all masked to allocation throughout the trial. </w:t>
      </w:r>
      <w:bookmarkStart w:id="3" w:name="_Hlk135294707"/>
      <w:r w:rsidRPr="00827C81">
        <w:rPr>
          <w:rFonts w:ascii="Times New Roman" w:hAnsi="Times New Roman" w:cs="Times New Roman"/>
          <w:bCs/>
          <w:sz w:val="24"/>
          <w:szCs w:val="24"/>
          <w:shd w:val="clear" w:color="auto" w:fill="FFFFFF"/>
        </w:rPr>
        <w:t xml:space="preserve">The primary outcome was the </w:t>
      </w:r>
      <w:r w:rsidRPr="00827C81">
        <w:rPr>
          <w:rFonts w:ascii="Times New Roman" w:hAnsi="Times New Roman" w:cs="Times New Roman"/>
          <w:bCs/>
          <w:sz w:val="24"/>
          <w:szCs w:val="24"/>
        </w:rPr>
        <w:t xml:space="preserve">IBS-SSS score at 6 months. A key secondary outcome was </w:t>
      </w:r>
      <w:r w:rsidRPr="00827C81">
        <w:rPr>
          <w:rFonts w:ascii="Times New Roman" w:eastAsia="Times New Roman" w:hAnsi="Times New Roman" w:cs="Times New Roman"/>
          <w:bCs/>
          <w:sz w:val="24"/>
          <w:szCs w:val="24"/>
        </w:rPr>
        <w:t xml:space="preserve">subjective global assessment (SGA) </w:t>
      </w:r>
      <w:bookmarkStart w:id="4" w:name="_Hlk135903353"/>
      <w:r w:rsidRPr="00827C81">
        <w:rPr>
          <w:rFonts w:ascii="Times New Roman" w:eastAsia="Times New Roman" w:hAnsi="Times New Roman" w:cs="Times New Roman"/>
          <w:bCs/>
          <w:sz w:val="24"/>
          <w:szCs w:val="24"/>
        </w:rPr>
        <w:t>of relief of IBS symptoms at 6 months</w:t>
      </w:r>
      <w:bookmarkEnd w:id="4"/>
      <w:r w:rsidRPr="00827C81">
        <w:rPr>
          <w:rFonts w:ascii="Times New Roman" w:eastAsia="Times New Roman" w:hAnsi="Times New Roman" w:cs="Times New Roman"/>
          <w:bCs/>
          <w:sz w:val="24"/>
          <w:szCs w:val="24"/>
        </w:rPr>
        <w:t xml:space="preserve">. </w:t>
      </w:r>
      <w:bookmarkEnd w:id="3"/>
      <w:r w:rsidRPr="00827C81">
        <w:rPr>
          <w:rFonts w:ascii="Times New Roman" w:hAnsi="Times New Roman" w:cs="Times New Roman"/>
          <w:sz w:val="24"/>
          <w:szCs w:val="24"/>
          <w:shd w:val="clear" w:color="auto" w:fill="FFFFFF"/>
        </w:rPr>
        <w:t xml:space="preserve">Effectiveness analyses were according to intention-to-treat; safety analyses were according to treatment receipt. </w:t>
      </w:r>
      <w:r w:rsidRPr="00827C81">
        <w:rPr>
          <w:rFonts w:ascii="Times New Roman" w:eastAsia="Times New Roman" w:hAnsi="Times New Roman" w:cs="Times New Roman"/>
          <w:bCs/>
          <w:sz w:val="24"/>
          <w:szCs w:val="24"/>
        </w:rPr>
        <w:t>This trial is registered with the ISRCTN (ISRCTN48075063).</w:t>
      </w:r>
    </w:p>
    <w:p w14:paraId="5C06AF3A" w14:textId="09FF12D2" w:rsidR="002754F5" w:rsidRPr="00827C81" w:rsidRDefault="002754F5" w:rsidP="00DB1437">
      <w:pPr>
        <w:spacing w:line="480" w:lineRule="auto"/>
        <w:rPr>
          <w:rFonts w:ascii="Times New Roman" w:hAnsi="Times New Roman" w:cs="Times New Roman"/>
          <w:sz w:val="24"/>
          <w:szCs w:val="24"/>
          <w:shd w:val="clear" w:color="auto" w:fill="FFFFFF"/>
        </w:rPr>
      </w:pPr>
      <w:r w:rsidRPr="00827C81">
        <w:rPr>
          <w:rFonts w:ascii="Times New Roman" w:hAnsi="Times New Roman" w:cs="Times New Roman"/>
          <w:b/>
          <w:sz w:val="24"/>
          <w:szCs w:val="24"/>
        </w:rPr>
        <w:t>Findings:</w:t>
      </w:r>
      <w:r w:rsidRPr="00827C81">
        <w:rPr>
          <w:rFonts w:ascii="Times New Roman" w:hAnsi="Times New Roman" w:cs="Times New Roman"/>
          <w:bCs/>
          <w:sz w:val="24"/>
          <w:szCs w:val="24"/>
        </w:rPr>
        <w:t xml:space="preserve"> </w:t>
      </w:r>
      <w:bookmarkStart w:id="5" w:name="_Hlk135294958"/>
      <w:r w:rsidRPr="00827C81">
        <w:rPr>
          <w:rFonts w:ascii="Times New Roman" w:hAnsi="Times New Roman" w:cs="Times New Roman"/>
          <w:bCs/>
          <w:sz w:val="24"/>
          <w:szCs w:val="24"/>
        </w:rPr>
        <w:t>Between 18</w:t>
      </w:r>
      <w:r w:rsidRPr="00827C81">
        <w:rPr>
          <w:rFonts w:ascii="Times New Roman" w:hAnsi="Times New Roman" w:cs="Times New Roman"/>
          <w:bCs/>
          <w:sz w:val="24"/>
          <w:szCs w:val="24"/>
          <w:vertAlign w:val="superscript"/>
        </w:rPr>
        <w:t>th</w:t>
      </w:r>
      <w:r w:rsidRPr="00827C81">
        <w:rPr>
          <w:rFonts w:ascii="Times New Roman" w:hAnsi="Times New Roman" w:cs="Times New Roman"/>
          <w:bCs/>
          <w:sz w:val="24"/>
          <w:szCs w:val="24"/>
        </w:rPr>
        <w:t xml:space="preserve"> October 2019 and 11</w:t>
      </w:r>
      <w:r w:rsidRPr="00827C81">
        <w:rPr>
          <w:rFonts w:ascii="Times New Roman" w:hAnsi="Times New Roman" w:cs="Times New Roman"/>
          <w:bCs/>
          <w:sz w:val="24"/>
          <w:szCs w:val="24"/>
          <w:vertAlign w:val="superscript"/>
        </w:rPr>
        <w:t>th</w:t>
      </w:r>
      <w:r w:rsidRPr="00827C81">
        <w:rPr>
          <w:rFonts w:ascii="Times New Roman" w:hAnsi="Times New Roman" w:cs="Times New Roman"/>
          <w:bCs/>
          <w:sz w:val="24"/>
          <w:szCs w:val="24"/>
        </w:rPr>
        <w:t xml:space="preserve"> April 2022, 463 </w:t>
      </w:r>
      <w:r w:rsidRPr="00827C81">
        <w:rPr>
          <w:rFonts w:ascii="Times New Roman" w:hAnsi="Times New Roman" w:cs="Times New Roman"/>
          <w:sz w:val="24"/>
          <w:szCs w:val="24"/>
          <w:shd w:val="clear" w:color="auto" w:fill="FFFFFF"/>
        </w:rPr>
        <w:t xml:space="preserve">participants </w:t>
      </w:r>
      <w:r w:rsidRPr="00827C81">
        <w:rPr>
          <w:rFonts w:ascii="Times New Roman" w:hAnsi="Times New Roman" w:cs="Times New Roman"/>
          <w:bCs/>
          <w:sz w:val="24"/>
          <w:szCs w:val="24"/>
        </w:rPr>
        <w:t xml:space="preserve">(mean age 48.5 years (SD 16.1 years), 315 (68%) female) were randomly assigned to receive low-dose amitriptyline (232) or placebo (231). Intention-to-treat analysis of the primary outcome showed a significant difference in favour of low-dose amitriptyline in IBS-SSS score between </w:t>
      </w:r>
      <w:r w:rsidRPr="00827C81">
        <w:rPr>
          <w:rFonts w:ascii="Times New Roman" w:hAnsi="Times New Roman" w:cs="Times New Roman"/>
          <w:bCs/>
          <w:sz w:val="24"/>
          <w:szCs w:val="24"/>
        </w:rPr>
        <w:lastRenderedPageBreak/>
        <w:t xml:space="preserve">arms at 6 months </w:t>
      </w:r>
      <w:r w:rsidRPr="00827C81">
        <w:rPr>
          <w:rFonts w:ascii="Times New Roman" w:hAnsi="Times New Roman" w:cs="Times New Roman"/>
          <w:color w:val="414141"/>
          <w:sz w:val="24"/>
          <w:szCs w:val="24"/>
          <w:shd w:val="clear" w:color="auto" w:fill="FFFFFF"/>
        </w:rPr>
        <w:t xml:space="preserve">(-27.0; 95% CI -46.9 to -7.10, </w:t>
      </w:r>
      <w:r w:rsidRPr="00827C81">
        <w:rPr>
          <w:rFonts w:ascii="Times New Roman" w:hAnsi="Times New Roman" w:cs="Times New Roman"/>
          <w:i/>
          <w:iCs/>
          <w:color w:val="414141"/>
          <w:sz w:val="24"/>
          <w:szCs w:val="24"/>
          <w:shd w:val="clear" w:color="auto" w:fill="FFFFFF"/>
        </w:rPr>
        <w:t>p</w:t>
      </w:r>
      <w:r w:rsidRPr="00827C81">
        <w:rPr>
          <w:rFonts w:ascii="Times New Roman" w:hAnsi="Times New Roman" w:cs="Times New Roman"/>
          <w:color w:val="414141"/>
          <w:sz w:val="24"/>
          <w:szCs w:val="24"/>
          <w:shd w:val="clear" w:color="auto" w:fill="FFFFFF"/>
        </w:rPr>
        <w:t>=0.0079</w:t>
      </w:r>
      <w:r w:rsidRPr="00827C81">
        <w:rPr>
          <w:rFonts w:ascii="Times New Roman" w:hAnsi="Times New Roman" w:cs="Times New Roman"/>
          <w:bCs/>
          <w:sz w:val="24"/>
          <w:szCs w:val="24"/>
        </w:rPr>
        <w:t xml:space="preserve">). </w:t>
      </w:r>
      <w:r w:rsidRPr="00827C81">
        <w:rPr>
          <w:rFonts w:ascii="Times New Roman" w:hAnsi="Times New Roman" w:cs="Times New Roman"/>
          <w:sz w:val="24"/>
          <w:szCs w:val="24"/>
          <w:shd w:val="clear" w:color="auto" w:fill="FFFFFF"/>
        </w:rPr>
        <w:t xml:space="preserve">Forty-six (20%) participants discontinued </w:t>
      </w:r>
      <w:r w:rsidRPr="00827C81">
        <w:rPr>
          <w:rFonts w:ascii="Times New Roman" w:hAnsi="Times New Roman" w:cs="Times New Roman"/>
          <w:bCs/>
          <w:sz w:val="24"/>
          <w:szCs w:val="24"/>
        </w:rPr>
        <w:t xml:space="preserve">low-dose </w:t>
      </w:r>
      <w:r w:rsidRPr="00827C81">
        <w:rPr>
          <w:rFonts w:ascii="Times New Roman" w:hAnsi="Times New Roman" w:cs="Times New Roman"/>
          <w:sz w:val="24"/>
          <w:szCs w:val="24"/>
          <w:shd w:val="clear" w:color="auto" w:fill="FFFFFF"/>
        </w:rPr>
        <w:t xml:space="preserve">amitriptyline (30 (13%) due to adverse events) and 59 (26%) discontinued placebo (20 (9%) due to adverse events) before 6 months. </w:t>
      </w:r>
      <w:bookmarkEnd w:id="5"/>
      <w:r w:rsidRPr="00827C81">
        <w:rPr>
          <w:rFonts w:ascii="Times New Roman" w:hAnsi="Times New Roman" w:cs="Times New Roman"/>
          <w:sz w:val="24"/>
          <w:szCs w:val="24"/>
          <w:shd w:val="clear" w:color="auto" w:fill="FFFFFF"/>
        </w:rPr>
        <w:t xml:space="preserve">There were five serious adverse reactions (two amitriptyline, three placebo) and five serious adverse events unrelated to trial medication. </w:t>
      </w:r>
    </w:p>
    <w:p w14:paraId="077D1B4A"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Interpretation:</w:t>
      </w:r>
      <w:r w:rsidRPr="00827C81">
        <w:rPr>
          <w:rFonts w:ascii="Times New Roman" w:hAnsi="Times New Roman" w:cs="Times New Roman"/>
          <w:bCs/>
          <w:sz w:val="24"/>
          <w:szCs w:val="24"/>
        </w:rPr>
        <w:t xml:space="preserve"> </w:t>
      </w:r>
      <w:r w:rsidRPr="00827C81">
        <w:rPr>
          <w:rFonts w:ascii="Times New Roman" w:hAnsi="Times New Roman" w:cs="Times New Roman"/>
          <w:sz w:val="24"/>
          <w:szCs w:val="24"/>
          <w:shd w:val="clear" w:color="auto" w:fill="FFFFFF"/>
        </w:rPr>
        <w:t>This is the largest trial of a TCA in IBS ever conducted. </w:t>
      </w:r>
      <w:r w:rsidRPr="00827C81">
        <w:rPr>
          <w:rFonts w:ascii="Times New Roman" w:hAnsi="Times New Roman" w:cs="Times New Roman"/>
          <w:bCs/>
          <w:sz w:val="24"/>
          <w:szCs w:val="24"/>
        </w:rPr>
        <w:t>Titrated low-dose amitriptyline was superior to placebo as a second-line treatment for IBS in primary care across multiple outcomes and was safe. GPs should offer low-dose amitriptyline to patients with IBS whose symptoms do not improve with first-line therapies</w:t>
      </w:r>
      <w:r>
        <w:rPr>
          <w:rFonts w:ascii="Times New Roman" w:hAnsi="Times New Roman" w:cs="Times New Roman"/>
          <w:bCs/>
          <w:sz w:val="24"/>
          <w:szCs w:val="24"/>
        </w:rPr>
        <w:t>,</w:t>
      </w:r>
      <w:r w:rsidRPr="00AA21AC">
        <w:rPr>
          <w:rFonts w:ascii="Times New Roman" w:hAnsi="Times New Roman" w:cs="Times New Roman"/>
          <w:bCs/>
          <w:sz w:val="24"/>
          <w:szCs w:val="24"/>
        </w:rPr>
        <w:t xml:space="preserve"> </w:t>
      </w:r>
      <w:r w:rsidRPr="00AD769F">
        <w:rPr>
          <w:rFonts w:ascii="Times New Roman" w:hAnsi="Times New Roman" w:cs="Times New Roman"/>
          <w:sz w:val="24"/>
          <w:szCs w:val="24"/>
        </w:rPr>
        <w:t xml:space="preserve">with appropriate support to guide </w:t>
      </w:r>
      <w:r>
        <w:rPr>
          <w:rFonts w:ascii="Times New Roman" w:hAnsi="Times New Roman" w:cs="Times New Roman"/>
          <w:sz w:val="24"/>
          <w:szCs w:val="24"/>
        </w:rPr>
        <w:t xml:space="preserve">patient-led </w:t>
      </w:r>
      <w:r w:rsidRPr="00AD769F">
        <w:rPr>
          <w:rFonts w:ascii="Times New Roman" w:hAnsi="Times New Roman" w:cs="Times New Roman"/>
          <w:sz w:val="24"/>
          <w:szCs w:val="24"/>
        </w:rPr>
        <w:t xml:space="preserve">dose titration, such as the self-titration document </w:t>
      </w:r>
      <w:r>
        <w:rPr>
          <w:rFonts w:ascii="Times New Roman" w:hAnsi="Times New Roman" w:cs="Times New Roman"/>
          <w:sz w:val="24"/>
          <w:szCs w:val="24"/>
        </w:rPr>
        <w:t>developed for this trial.</w:t>
      </w:r>
    </w:p>
    <w:p w14:paraId="658CA9D7"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t>Funding:</w:t>
      </w:r>
      <w:r w:rsidRPr="00827C81">
        <w:rPr>
          <w:rFonts w:ascii="Times New Roman" w:eastAsia="Times New Roman" w:hAnsi="Times New Roman" w:cs="Times New Roman"/>
          <w:bCs/>
          <w:sz w:val="24"/>
          <w:szCs w:val="24"/>
        </w:rPr>
        <w:t xml:space="preserve"> National Institute for Health and Care Research Health Technology Assessment Programme (grant reference: 16/162/01).</w:t>
      </w:r>
    </w:p>
    <w:p w14:paraId="605C93A4"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br w:type="page"/>
      </w:r>
    </w:p>
    <w:p w14:paraId="5A98E20E"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RESEARCH IN CONTEXT</w:t>
      </w:r>
    </w:p>
    <w:p w14:paraId="36250702" w14:textId="77777777" w:rsidR="002754F5" w:rsidRPr="00827C81" w:rsidRDefault="002754F5" w:rsidP="00DB1437">
      <w:pPr>
        <w:spacing w:line="480" w:lineRule="auto"/>
        <w:rPr>
          <w:rFonts w:ascii="Times New Roman" w:hAnsi="Times New Roman" w:cs="Times New Roman"/>
          <w:b/>
          <w:sz w:val="24"/>
          <w:szCs w:val="24"/>
        </w:rPr>
      </w:pPr>
    </w:p>
    <w:p w14:paraId="458A9BFC"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Evidence before this study</w:t>
      </w:r>
    </w:p>
    <w:p w14:paraId="718EFE97" w14:textId="77777777" w:rsidR="002754F5" w:rsidRPr="00827C81" w:rsidRDefault="002754F5" w:rsidP="00DB1437">
      <w:pPr>
        <w:spacing w:line="480" w:lineRule="auto"/>
        <w:rPr>
          <w:rFonts w:ascii="Times New Roman" w:hAnsi="Times New Roman" w:cs="Times New Roman"/>
          <w:bCs/>
          <w:color w:val="000000" w:themeColor="text1"/>
          <w:sz w:val="24"/>
          <w:szCs w:val="24"/>
        </w:rPr>
      </w:pPr>
      <w:r w:rsidRPr="00827C81">
        <w:rPr>
          <w:rFonts w:ascii="Times New Roman" w:hAnsi="Times New Roman" w:cs="Times New Roman"/>
          <w:color w:val="000000" w:themeColor="text1"/>
          <w:sz w:val="24"/>
          <w:szCs w:val="24"/>
        </w:rPr>
        <w:t xml:space="preserve">Most patients with irritable bowel syndrome (IBS) are managed in primary care. When first-line treatments, such as dietary changes, fibre, laxatives, or antispasmodic or anti-diarrhoeal drugs do not improve symptoms, National Institute for </w:t>
      </w:r>
      <w:proofErr w:type="gramStart"/>
      <w:r w:rsidRPr="00827C81">
        <w:rPr>
          <w:rFonts w:ascii="Times New Roman" w:hAnsi="Times New Roman" w:cs="Times New Roman"/>
          <w:color w:val="000000" w:themeColor="text1"/>
          <w:sz w:val="24"/>
          <w:szCs w:val="24"/>
        </w:rPr>
        <w:t>Health</w:t>
      </w:r>
      <w:proofErr w:type="gramEnd"/>
      <w:r w:rsidRPr="00827C81">
        <w:rPr>
          <w:rFonts w:ascii="Times New Roman" w:hAnsi="Times New Roman" w:cs="Times New Roman"/>
          <w:color w:val="000000" w:themeColor="text1"/>
          <w:sz w:val="24"/>
          <w:szCs w:val="24"/>
        </w:rPr>
        <w:t xml:space="preserve"> and Care Excellence (NICE) guidance for the management of IBS in primary care in the UK suggests that general practitioners (GPs) should “consider” low-dose tricyclic antidepressants (TCAs) as a second-line treatment. We searched PubMed with the terms “irritable bowel syndrome”, “treatment”, and “tricyclic antidepressant” to identify articles published between January 1</w:t>
      </w:r>
      <w:r w:rsidRPr="00827C81">
        <w:rPr>
          <w:rFonts w:ascii="Times New Roman" w:hAnsi="Times New Roman" w:cs="Times New Roman"/>
          <w:color w:val="000000" w:themeColor="text1"/>
          <w:sz w:val="24"/>
          <w:szCs w:val="24"/>
          <w:vertAlign w:val="superscript"/>
        </w:rPr>
        <w:t>st</w:t>
      </w:r>
      <w:r w:rsidRPr="00827C81">
        <w:rPr>
          <w:rFonts w:ascii="Times New Roman" w:hAnsi="Times New Roman" w:cs="Times New Roman"/>
          <w:color w:val="000000" w:themeColor="text1"/>
          <w:sz w:val="24"/>
          <w:szCs w:val="24"/>
        </w:rPr>
        <w:t>, 1980, and May 23</w:t>
      </w:r>
      <w:r w:rsidRPr="00827C81">
        <w:rPr>
          <w:rFonts w:ascii="Times New Roman" w:hAnsi="Times New Roman" w:cs="Times New Roman"/>
          <w:color w:val="000000" w:themeColor="text1"/>
          <w:sz w:val="24"/>
          <w:szCs w:val="24"/>
          <w:vertAlign w:val="superscript"/>
        </w:rPr>
        <w:t>rd</w:t>
      </w:r>
      <w:r w:rsidRPr="00827C81">
        <w:rPr>
          <w:rFonts w:ascii="Times New Roman" w:hAnsi="Times New Roman" w:cs="Times New Roman"/>
          <w:color w:val="000000" w:themeColor="text1"/>
          <w:sz w:val="24"/>
          <w:szCs w:val="24"/>
        </w:rPr>
        <w:t xml:space="preserve">, 2023. </w:t>
      </w:r>
      <w:bookmarkStart w:id="6" w:name="_Hlk138395117"/>
      <w:r w:rsidRPr="00827C81">
        <w:rPr>
          <w:rFonts w:ascii="Times New Roman" w:hAnsi="Times New Roman" w:cs="Times New Roman"/>
          <w:color w:val="000000" w:themeColor="text1"/>
          <w:sz w:val="24"/>
          <w:szCs w:val="24"/>
        </w:rPr>
        <w:t xml:space="preserve">We did not limit the search according to dose of TCA studied. </w:t>
      </w:r>
      <w:bookmarkEnd w:id="6"/>
      <w:r w:rsidRPr="00827C81">
        <w:rPr>
          <w:rFonts w:ascii="Times New Roman" w:hAnsi="Times New Roman" w:cs="Times New Roman"/>
          <w:color w:val="000000" w:themeColor="text1"/>
          <w:sz w:val="24"/>
          <w:szCs w:val="24"/>
        </w:rPr>
        <w:t xml:space="preserve">We identified 168 articles reporting on this issue. </w:t>
      </w:r>
      <w:bookmarkStart w:id="7" w:name="_Hlk138395135"/>
      <w:r w:rsidRPr="00827C81">
        <w:rPr>
          <w:rFonts w:ascii="Times New Roman" w:hAnsi="Times New Roman" w:cs="Times New Roman"/>
          <w:color w:val="000000" w:themeColor="text1"/>
          <w:sz w:val="24"/>
          <w:szCs w:val="24"/>
        </w:rPr>
        <w:t>Although several systematic reviews and meta-analyses report that TCAs are efficacious for IBS, all but one of the randomised controlled trials contributing data to these meta-analyses are small and underpowered, and none were conducted entirely in primary care</w:t>
      </w:r>
      <w:bookmarkEnd w:id="7"/>
      <w:r w:rsidRPr="00827C81">
        <w:rPr>
          <w:rFonts w:ascii="Times New Roman" w:hAnsi="Times New Roman" w:cs="Times New Roman"/>
          <w:color w:val="000000" w:themeColor="text1"/>
          <w:sz w:val="24"/>
          <w:szCs w:val="24"/>
        </w:rPr>
        <w:t xml:space="preserve">. This questions the generalisability of their findings to patients in this setting. In addition, the NICE guideline </w:t>
      </w:r>
      <w:r w:rsidRPr="00827C81">
        <w:rPr>
          <w:rFonts w:ascii="Times New Roman" w:eastAsia="Times New Roman" w:hAnsi="Times New Roman" w:cs="Times New Roman"/>
          <w:bCs/>
          <w:sz w:val="24"/>
          <w:szCs w:val="24"/>
        </w:rPr>
        <w:t>highlights the need for a trial of low-dose TCAs in IBS in primary care.</w:t>
      </w:r>
      <w:r w:rsidRPr="00827C81">
        <w:rPr>
          <w:rFonts w:ascii="Times New Roman" w:hAnsi="Times New Roman" w:cs="Times New Roman"/>
          <w:color w:val="000000" w:themeColor="text1"/>
          <w:sz w:val="24"/>
          <w:szCs w:val="24"/>
        </w:rPr>
        <w:t xml:space="preserve"> </w:t>
      </w:r>
      <w:r w:rsidRPr="00827C81">
        <w:rPr>
          <w:rFonts w:ascii="Times New Roman" w:hAnsi="Times New Roman" w:cs="Times New Roman"/>
          <w:sz w:val="24"/>
          <w:szCs w:val="24"/>
        </w:rPr>
        <w:t xml:space="preserve">We aimed to assess whether titrated low-dose amitriptyline was effective as a second-line treatment for IBS in primary care in a pragmatic, </w:t>
      </w:r>
      <w:r w:rsidRPr="00827C81">
        <w:rPr>
          <w:rFonts w:ascii="Times New Roman" w:eastAsia="Times New Roman" w:hAnsi="Times New Roman" w:cs="Times New Roman"/>
          <w:bCs/>
          <w:sz w:val="24"/>
          <w:szCs w:val="24"/>
        </w:rPr>
        <w:t>randomised, double-blind, placebo-controlled trial</w:t>
      </w:r>
      <w:r w:rsidRPr="00827C81">
        <w:rPr>
          <w:rFonts w:ascii="Times New Roman" w:hAnsi="Times New Roman" w:cs="Times New Roman"/>
          <w:sz w:val="24"/>
          <w:szCs w:val="24"/>
        </w:rPr>
        <w:t>.</w:t>
      </w:r>
    </w:p>
    <w:p w14:paraId="15C9E437" w14:textId="77777777" w:rsidR="002754F5" w:rsidRPr="00827C81" w:rsidRDefault="002754F5" w:rsidP="00DB1437">
      <w:pPr>
        <w:spacing w:line="480" w:lineRule="auto"/>
        <w:rPr>
          <w:rFonts w:ascii="Times New Roman" w:hAnsi="Times New Roman" w:cs="Times New Roman"/>
          <w:b/>
          <w:sz w:val="24"/>
          <w:szCs w:val="24"/>
        </w:rPr>
      </w:pPr>
    </w:p>
    <w:p w14:paraId="7D44C11B"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Added value of the study</w:t>
      </w:r>
    </w:p>
    <w:p w14:paraId="51B132AD" w14:textId="77777777" w:rsidR="002754F5" w:rsidRPr="00827C81" w:rsidRDefault="002754F5" w:rsidP="00DB1437">
      <w:pPr>
        <w:spacing w:line="480" w:lineRule="auto"/>
        <w:rPr>
          <w:rFonts w:ascii="Times New Roman" w:hAnsi="Times New Roman" w:cs="Times New Roman"/>
          <w:sz w:val="24"/>
          <w:szCs w:val="24"/>
        </w:rPr>
      </w:pPr>
      <w:r w:rsidRPr="00827C81">
        <w:rPr>
          <w:rFonts w:ascii="Times New Roman" w:hAnsi="Times New Roman" w:cs="Times New Roman"/>
          <w:color w:val="000000" w:themeColor="text1"/>
          <w:sz w:val="24"/>
          <w:szCs w:val="24"/>
        </w:rPr>
        <w:t xml:space="preserve">To our knowledge, this is the largest trial of a TCA in IBS ever conducted, and the first based entirely in primary care. During 6 months of treatment, low-dose amitriptyline, titrated from 10mg o.d. to a maximum of 30mg o.d., was superior to placebo for both the primary and key </w:t>
      </w:r>
      <w:r w:rsidRPr="00827C81">
        <w:rPr>
          <w:rFonts w:ascii="Times New Roman" w:hAnsi="Times New Roman" w:cs="Times New Roman"/>
          <w:color w:val="000000" w:themeColor="text1"/>
          <w:sz w:val="24"/>
          <w:szCs w:val="24"/>
        </w:rPr>
        <w:lastRenderedPageBreak/>
        <w:t xml:space="preserve">secondary outcomes in 463 participants. Amitriptyline was also superior to placebo across multiple other symptom-based outcomes for IBS, but had no </w:t>
      </w:r>
      <w:r w:rsidRPr="00827C81">
        <w:rPr>
          <w:rFonts w:ascii="Times New Roman" w:hAnsi="Times New Roman" w:cs="Times New Roman"/>
          <w:bCs/>
          <w:sz w:val="24"/>
          <w:szCs w:val="24"/>
        </w:rPr>
        <w:t>impact on somatoform symptom-reporting, anxiety, depression, or work and social adjustment scores</w:t>
      </w:r>
      <w:r>
        <w:rPr>
          <w:rFonts w:ascii="Times New Roman" w:hAnsi="Times New Roman" w:cs="Times New Roman"/>
          <w:bCs/>
          <w:sz w:val="24"/>
          <w:szCs w:val="24"/>
        </w:rPr>
        <w:t xml:space="preserve"> at 6 months</w:t>
      </w:r>
      <w:r w:rsidRPr="00827C81">
        <w:rPr>
          <w:rFonts w:ascii="Times New Roman" w:hAnsi="Times New Roman" w:cs="Times New Roman"/>
          <w:bCs/>
          <w:sz w:val="24"/>
          <w:szCs w:val="24"/>
        </w:rPr>
        <w:t>.</w:t>
      </w:r>
      <w:r w:rsidRPr="00827C81">
        <w:rPr>
          <w:rFonts w:ascii="Times New Roman" w:hAnsi="Times New Roman" w:cs="Times New Roman"/>
          <w:color w:val="000000" w:themeColor="text1"/>
          <w:sz w:val="24"/>
          <w:szCs w:val="24"/>
        </w:rPr>
        <w:t xml:space="preserve"> </w:t>
      </w:r>
      <w:r w:rsidRPr="00827C81">
        <w:rPr>
          <w:rFonts w:ascii="Times New Roman" w:hAnsi="Times New Roman" w:cs="Times New Roman"/>
          <w:bCs/>
          <w:sz w:val="24"/>
          <w:szCs w:val="24"/>
        </w:rPr>
        <w:t xml:space="preserve">Significantly more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s found low-dose amitriptyline acceptable to take than placebo and almost three-quarters adhered to the drug during the trial, with adherence generally higher in the amitriptyline arm. Adverse events were more frequent with low-dose amitriptyline, and in keeping with the known anticholinergic effects of the drug, but most were judged as mild. Withdrawals due to adverse events were slightly more frequent with low-dose amitriptyline.</w:t>
      </w:r>
    </w:p>
    <w:p w14:paraId="15F1F915" w14:textId="77777777" w:rsidR="002754F5" w:rsidRPr="00827C81" w:rsidRDefault="002754F5" w:rsidP="00DB1437">
      <w:pPr>
        <w:spacing w:line="480" w:lineRule="auto"/>
        <w:rPr>
          <w:rFonts w:ascii="Times New Roman" w:hAnsi="Times New Roman" w:cs="Times New Roman"/>
          <w:b/>
          <w:sz w:val="24"/>
          <w:szCs w:val="24"/>
        </w:rPr>
      </w:pPr>
    </w:p>
    <w:p w14:paraId="7EED531F"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Implications of all the available evidence</w:t>
      </w:r>
    </w:p>
    <w:p w14:paraId="719ACAD0" w14:textId="77777777" w:rsidR="002754F5" w:rsidRPr="00827C81" w:rsidRDefault="002754F5" w:rsidP="00DB1437">
      <w:pPr>
        <w:spacing w:line="480" w:lineRule="auto"/>
        <w:rPr>
          <w:rFonts w:ascii="Times New Roman" w:hAnsi="Times New Roman" w:cs="Times New Roman"/>
          <w:sz w:val="24"/>
          <w:szCs w:val="24"/>
        </w:rPr>
      </w:pPr>
      <w:r w:rsidRPr="00827C81">
        <w:rPr>
          <w:rFonts w:ascii="Times New Roman" w:hAnsi="Times New Roman" w:cs="Times New Roman"/>
          <w:sz w:val="24"/>
          <w:szCs w:val="24"/>
        </w:rPr>
        <w:t xml:space="preserve">The results of this trial of titrated low-dose amitriptyline as a second-line treatment for IBS in primary care strongly support its use in this setting. </w:t>
      </w:r>
      <w:r w:rsidRPr="00827C81">
        <w:rPr>
          <w:rFonts w:ascii="Times New Roman" w:hAnsi="Times New Roman" w:cs="Times New Roman"/>
          <w:bCs/>
          <w:sz w:val="24"/>
          <w:szCs w:val="24"/>
        </w:rPr>
        <w:t>GPs should offer low-dose amitriptyline to patients with IBS whose symptoms do not improve with first-line therapies</w:t>
      </w:r>
      <w:r>
        <w:rPr>
          <w:rFonts w:ascii="Times New Roman" w:hAnsi="Times New Roman" w:cs="Times New Roman"/>
          <w:bCs/>
          <w:sz w:val="24"/>
          <w:szCs w:val="24"/>
        </w:rPr>
        <w:t xml:space="preserve">, </w:t>
      </w:r>
      <w:r w:rsidRPr="00AD769F">
        <w:rPr>
          <w:rFonts w:ascii="Times New Roman" w:hAnsi="Times New Roman" w:cs="Times New Roman"/>
          <w:sz w:val="24"/>
          <w:szCs w:val="24"/>
        </w:rPr>
        <w:t xml:space="preserve">with appropriate support to guide </w:t>
      </w:r>
      <w:r>
        <w:rPr>
          <w:rFonts w:ascii="Times New Roman" w:hAnsi="Times New Roman" w:cs="Times New Roman"/>
          <w:sz w:val="24"/>
          <w:szCs w:val="24"/>
        </w:rPr>
        <w:t xml:space="preserve">patient-led </w:t>
      </w:r>
      <w:r w:rsidRPr="00AD769F">
        <w:rPr>
          <w:rFonts w:ascii="Times New Roman" w:hAnsi="Times New Roman" w:cs="Times New Roman"/>
          <w:sz w:val="24"/>
          <w:szCs w:val="24"/>
        </w:rPr>
        <w:t xml:space="preserve">dose titration, such as the self-titration document </w:t>
      </w:r>
      <w:r>
        <w:rPr>
          <w:rFonts w:ascii="Times New Roman" w:hAnsi="Times New Roman" w:cs="Times New Roman"/>
          <w:sz w:val="24"/>
          <w:szCs w:val="24"/>
        </w:rPr>
        <w:t>developed for this trial</w:t>
      </w:r>
      <w:r w:rsidRPr="00827C81">
        <w:rPr>
          <w:rFonts w:ascii="Times New Roman" w:hAnsi="Times New Roman" w:cs="Times New Roman"/>
          <w:bCs/>
          <w:sz w:val="24"/>
          <w:szCs w:val="24"/>
        </w:rPr>
        <w:t>.</w:t>
      </w:r>
    </w:p>
    <w:p w14:paraId="5A6385D2" w14:textId="77777777" w:rsidR="002754F5" w:rsidRPr="00827C81" w:rsidRDefault="002754F5" w:rsidP="00DB1437">
      <w:pPr>
        <w:rPr>
          <w:rFonts w:ascii="Times New Roman" w:hAnsi="Times New Roman" w:cs="Times New Roman"/>
          <w:b/>
          <w:sz w:val="24"/>
          <w:szCs w:val="24"/>
        </w:rPr>
      </w:pPr>
      <w:r w:rsidRPr="00827C81">
        <w:rPr>
          <w:rFonts w:ascii="Times New Roman" w:hAnsi="Times New Roman" w:cs="Times New Roman"/>
          <w:b/>
          <w:sz w:val="24"/>
          <w:szCs w:val="24"/>
        </w:rPr>
        <w:br w:type="page"/>
      </w:r>
    </w:p>
    <w:p w14:paraId="3711B7A9"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INTRODUCTION</w:t>
      </w:r>
    </w:p>
    <w:p w14:paraId="3DBF973A" w14:textId="77777777" w:rsidR="002754F5" w:rsidRPr="00827C81" w:rsidRDefault="002754F5" w:rsidP="00DB1437">
      <w:pPr>
        <w:autoSpaceDE w:val="0"/>
        <w:autoSpaceDN w:val="0"/>
        <w:adjustRightInd w:val="0"/>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Irritable bowel syndrome (IBS) is a functional bowel disorder characterised by abdominal pain in association with change in stool form or frequency.</w:t>
      </w:r>
      <w:r w:rsidRPr="00827C81">
        <w:rPr>
          <w:rFonts w:ascii="Times New Roman" w:hAnsi="Times New Roman" w:cs="Times New Roman"/>
          <w:bCs/>
          <w:noProof/>
          <w:sz w:val="24"/>
          <w:szCs w:val="24"/>
          <w:vertAlign w:val="superscript"/>
        </w:rPr>
        <w:t>1</w:t>
      </w:r>
      <w:r w:rsidRPr="00827C81">
        <w:rPr>
          <w:rFonts w:ascii="Times New Roman" w:hAnsi="Times New Roman" w:cs="Times New Roman"/>
          <w:bCs/>
          <w:sz w:val="24"/>
          <w:szCs w:val="24"/>
        </w:rPr>
        <w:t xml:space="preserve"> The condition is chronic and fluctuating,</w:t>
      </w:r>
      <w:r w:rsidRPr="00827C81">
        <w:rPr>
          <w:rFonts w:ascii="Times New Roman" w:hAnsi="Times New Roman" w:cs="Times New Roman"/>
          <w:bCs/>
          <w:noProof/>
          <w:sz w:val="24"/>
          <w:szCs w:val="24"/>
          <w:vertAlign w:val="superscript"/>
        </w:rPr>
        <w:t>2,3</w:t>
      </w:r>
      <w:r w:rsidRPr="00827C81">
        <w:rPr>
          <w:rFonts w:ascii="Times New Roman" w:hAnsi="Times New Roman" w:cs="Times New Roman"/>
          <w:bCs/>
          <w:sz w:val="24"/>
          <w:szCs w:val="24"/>
        </w:rPr>
        <w:t xml:space="preserve"> with a prevalence of 5% to 10% globally.</w:t>
      </w:r>
      <w:r w:rsidRPr="00827C81">
        <w:rPr>
          <w:rFonts w:ascii="Times New Roman" w:hAnsi="Times New Roman" w:cs="Times New Roman"/>
          <w:bCs/>
          <w:noProof/>
          <w:sz w:val="24"/>
          <w:szCs w:val="24"/>
          <w:vertAlign w:val="superscript"/>
        </w:rPr>
        <w:t>4</w:t>
      </w:r>
      <w:r w:rsidRPr="00827C81">
        <w:rPr>
          <w:rFonts w:ascii="Times New Roman" w:hAnsi="Times New Roman" w:cs="Times New Roman"/>
          <w:bCs/>
          <w:sz w:val="24"/>
          <w:szCs w:val="24"/>
        </w:rPr>
        <w:t xml:space="preserve"> Its pathophysiology is incompletely understood,</w:t>
      </w:r>
      <w:r w:rsidRPr="00827C81">
        <w:rPr>
          <w:rFonts w:ascii="Times New Roman" w:hAnsi="Times New Roman" w:cs="Times New Roman"/>
          <w:bCs/>
          <w:noProof/>
          <w:sz w:val="24"/>
          <w:szCs w:val="24"/>
          <w:vertAlign w:val="superscript"/>
        </w:rPr>
        <w:t>5</w:t>
      </w:r>
      <w:r w:rsidRPr="00827C81">
        <w:rPr>
          <w:rFonts w:ascii="Times New Roman" w:hAnsi="Times New Roman" w:cs="Times New Roman"/>
          <w:bCs/>
          <w:sz w:val="24"/>
          <w:szCs w:val="24"/>
        </w:rPr>
        <w:t xml:space="preserve"> and there is no cure; treatment is, therefore, directed at symptoms.</w:t>
      </w:r>
      <w:r w:rsidRPr="00827C81">
        <w:rPr>
          <w:rFonts w:ascii="Times New Roman" w:hAnsi="Times New Roman" w:cs="Times New Roman"/>
          <w:bCs/>
          <w:noProof/>
          <w:sz w:val="24"/>
          <w:szCs w:val="24"/>
          <w:vertAlign w:val="superscript"/>
        </w:rPr>
        <w:t>6</w:t>
      </w:r>
      <w:r w:rsidRPr="00827C81">
        <w:rPr>
          <w:rFonts w:ascii="Times New Roman" w:hAnsi="Times New Roman" w:cs="Times New Roman"/>
          <w:bCs/>
          <w:sz w:val="24"/>
          <w:szCs w:val="24"/>
        </w:rPr>
        <w:t xml:space="preserve"> IBS has a considerable impact on both the individual and society. Patients with IBS may have impairments in quality of life of a similar magnitude to individuals with organic gastrointestinal conditions, such as Crohn’s disease,</w:t>
      </w:r>
      <w:r w:rsidRPr="00827C81">
        <w:rPr>
          <w:rFonts w:ascii="Times New Roman" w:hAnsi="Times New Roman" w:cs="Times New Roman"/>
          <w:bCs/>
          <w:noProof/>
          <w:sz w:val="24"/>
          <w:szCs w:val="24"/>
          <w:vertAlign w:val="superscript"/>
        </w:rPr>
        <w:t>7</w:t>
      </w:r>
      <w:r w:rsidRPr="00827C81">
        <w:rPr>
          <w:rFonts w:ascii="Times New Roman" w:hAnsi="Times New Roman" w:cs="Times New Roman"/>
          <w:bCs/>
          <w:sz w:val="24"/>
          <w:szCs w:val="24"/>
        </w:rPr>
        <w:t xml:space="preserve"> and worse than patients with other chronic non-gastrointestinal diseases, such as diabetes or heart failure.</w:t>
      </w:r>
      <w:r w:rsidRPr="00827C81">
        <w:rPr>
          <w:rFonts w:ascii="Times New Roman" w:hAnsi="Times New Roman" w:cs="Times New Roman"/>
          <w:bCs/>
          <w:noProof/>
          <w:sz w:val="24"/>
          <w:szCs w:val="24"/>
          <w:vertAlign w:val="superscript"/>
        </w:rPr>
        <w:t>8</w:t>
      </w:r>
      <w:r w:rsidRPr="00827C81">
        <w:rPr>
          <w:rFonts w:ascii="Times New Roman" w:hAnsi="Times New Roman" w:cs="Times New Roman"/>
          <w:bCs/>
          <w:sz w:val="24"/>
          <w:szCs w:val="24"/>
        </w:rPr>
        <w:t xml:space="preserve"> Work activity and social functioning are impaired due to the debilitating nature of symptoms.</w:t>
      </w:r>
      <w:r w:rsidRPr="00827C81">
        <w:rPr>
          <w:rFonts w:ascii="Times New Roman" w:hAnsi="Times New Roman" w:cs="Times New Roman"/>
          <w:bCs/>
          <w:noProof/>
          <w:sz w:val="24"/>
          <w:szCs w:val="24"/>
          <w:vertAlign w:val="superscript"/>
        </w:rPr>
        <w:t>9,10</w:t>
      </w:r>
      <w:r w:rsidRPr="00827C81">
        <w:rPr>
          <w:rFonts w:ascii="Times New Roman" w:hAnsi="Times New Roman" w:cs="Times New Roman"/>
          <w:bCs/>
          <w:sz w:val="24"/>
          <w:szCs w:val="24"/>
        </w:rPr>
        <w:t xml:space="preserve"> The annual direct and indirect costs related to IBS are considerable, estimated at £1 billion in the UK,</w:t>
      </w:r>
      <w:r w:rsidRPr="00827C81">
        <w:rPr>
          <w:rFonts w:ascii="Times New Roman" w:hAnsi="Times New Roman" w:cs="Times New Roman"/>
          <w:bCs/>
          <w:noProof/>
          <w:sz w:val="24"/>
          <w:szCs w:val="24"/>
          <w:vertAlign w:val="superscript"/>
        </w:rPr>
        <w:t>11</w:t>
      </w:r>
      <w:r w:rsidRPr="00827C81">
        <w:rPr>
          <w:rFonts w:ascii="Times New Roman" w:hAnsi="Times New Roman" w:cs="Times New Roman"/>
          <w:bCs/>
          <w:sz w:val="24"/>
          <w:szCs w:val="24"/>
        </w:rPr>
        <w:t xml:space="preserve"> </w:t>
      </w:r>
      <w:r w:rsidRPr="00827C81">
        <w:rPr>
          <w:rFonts w:ascii="Times New Roman" w:hAnsi="Times New Roman" w:cs="Times New Roman"/>
          <w:bCs/>
          <w:sz w:val="24"/>
          <w:szCs w:val="24"/>
          <w:shd w:val="clear" w:color="auto" w:fill="FFFFFF"/>
        </w:rPr>
        <w:t>¥</w:t>
      </w:r>
      <w:r w:rsidRPr="00827C81">
        <w:rPr>
          <w:rFonts w:ascii="Times New Roman" w:hAnsi="Times New Roman" w:cs="Times New Roman"/>
          <w:bCs/>
          <w:sz w:val="24"/>
          <w:szCs w:val="24"/>
        </w:rPr>
        <w:t>123 billion in China,</w:t>
      </w:r>
      <w:r w:rsidRPr="00827C81">
        <w:rPr>
          <w:rFonts w:ascii="Times New Roman" w:hAnsi="Times New Roman" w:cs="Times New Roman"/>
          <w:bCs/>
          <w:noProof/>
          <w:sz w:val="24"/>
          <w:szCs w:val="24"/>
          <w:vertAlign w:val="superscript"/>
        </w:rPr>
        <w:t>12</w:t>
      </w:r>
      <w:r w:rsidRPr="00827C81">
        <w:rPr>
          <w:rFonts w:ascii="Times New Roman" w:hAnsi="Times New Roman" w:cs="Times New Roman"/>
          <w:bCs/>
          <w:sz w:val="24"/>
          <w:szCs w:val="24"/>
        </w:rPr>
        <w:t xml:space="preserve"> and in excess of $10 billion in the USA.</w:t>
      </w:r>
      <w:r w:rsidRPr="00827C81">
        <w:rPr>
          <w:rFonts w:ascii="Times New Roman" w:hAnsi="Times New Roman" w:cs="Times New Roman"/>
          <w:bCs/>
          <w:noProof/>
          <w:sz w:val="24"/>
          <w:szCs w:val="24"/>
          <w:vertAlign w:val="superscript"/>
        </w:rPr>
        <w:t>13</w:t>
      </w:r>
    </w:p>
    <w:p w14:paraId="7A1954D3" w14:textId="77777777" w:rsidR="002754F5" w:rsidRPr="00827C81" w:rsidRDefault="002754F5" w:rsidP="00DB1437">
      <w:pPr>
        <w:autoSpaceDE w:val="0"/>
        <w:autoSpaceDN w:val="0"/>
        <w:adjustRightInd w:val="0"/>
        <w:spacing w:line="480" w:lineRule="auto"/>
        <w:ind w:firstLine="720"/>
        <w:rPr>
          <w:rFonts w:ascii="Times New Roman" w:eastAsia="Times New Roman" w:hAnsi="Times New Roman" w:cs="Times New Roman"/>
          <w:bCs/>
          <w:sz w:val="24"/>
          <w:szCs w:val="24"/>
        </w:rPr>
      </w:pPr>
      <w:bookmarkStart w:id="8" w:name="_Hlk135294261"/>
      <w:r w:rsidRPr="00827C81">
        <w:rPr>
          <w:rFonts w:ascii="Times New Roman" w:eastAsia="Times New Roman" w:hAnsi="Times New Roman" w:cs="Times New Roman"/>
          <w:bCs/>
          <w:sz w:val="24"/>
          <w:szCs w:val="24"/>
        </w:rPr>
        <w:t>Most patients with IBS are managed by general practitioners (GPs).</w:t>
      </w:r>
      <w:r w:rsidRPr="00827C81">
        <w:rPr>
          <w:rFonts w:ascii="Times New Roman" w:eastAsia="Times New Roman" w:hAnsi="Times New Roman" w:cs="Times New Roman"/>
          <w:bCs/>
          <w:noProof/>
          <w:sz w:val="24"/>
          <w:szCs w:val="24"/>
          <w:vertAlign w:val="superscript"/>
        </w:rPr>
        <w:t>14</w:t>
      </w:r>
      <w:r w:rsidRPr="00827C81">
        <w:rPr>
          <w:rFonts w:ascii="Times New Roman" w:eastAsia="Times New Roman" w:hAnsi="Times New Roman" w:cs="Times New Roman"/>
          <w:bCs/>
          <w:sz w:val="24"/>
          <w:szCs w:val="24"/>
        </w:rPr>
        <w:t xml:space="preserve"> First-line therapies in primary care, as recommended by the UK National Institute for Health and Care Excellence (NICE) guideline,</w:t>
      </w:r>
      <w:r w:rsidRPr="00827C81">
        <w:rPr>
          <w:rFonts w:ascii="Times New Roman" w:eastAsia="Times New Roman" w:hAnsi="Times New Roman" w:cs="Times New Roman"/>
          <w:bCs/>
          <w:noProof/>
          <w:sz w:val="24"/>
          <w:szCs w:val="24"/>
          <w:vertAlign w:val="superscript"/>
        </w:rPr>
        <w:t>15</w:t>
      </w:r>
      <w:r w:rsidRPr="00827C81">
        <w:rPr>
          <w:rFonts w:ascii="Times New Roman" w:eastAsia="Times New Roman" w:hAnsi="Times New Roman" w:cs="Times New Roman"/>
          <w:bCs/>
          <w:sz w:val="24"/>
          <w:szCs w:val="24"/>
        </w:rPr>
        <w:t xml:space="preserve"> other than clear explanation of the condition and information sharing on self-management, include dietary </w:t>
      </w:r>
      <w:r>
        <w:rPr>
          <w:rFonts w:ascii="Times New Roman" w:eastAsia="Times New Roman" w:hAnsi="Times New Roman" w:cs="Times New Roman"/>
          <w:bCs/>
          <w:sz w:val="24"/>
          <w:szCs w:val="24"/>
        </w:rPr>
        <w:t xml:space="preserve">changes </w:t>
      </w:r>
      <w:r w:rsidRPr="00827C81">
        <w:rPr>
          <w:rFonts w:ascii="Times New Roman" w:eastAsia="Times New Roman" w:hAnsi="Times New Roman" w:cs="Times New Roman"/>
          <w:bCs/>
          <w:sz w:val="24"/>
          <w:szCs w:val="24"/>
        </w:rPr>
        <w:t>and lifestyle advice, soluble fibre, laxatives, and antispasmodic or anti-diarrhoeal drugs, although their efficacy is modest</w:t>
      </w:r>
      <w:bookmarkEnd w:id="8"/>
      <w:r w:rsidRPr="00827C81">
        <w:rPr>
          <w:rFonts w:ascii="Times New Roman" w:eastAsia="Times New Roman" w:hAnsi="Times New Roman" w:cs="Times New Roman"/>
          <w:bCs/>
          <w:sz w:val="24"/>
          <w:szCs w:val="24"/>
        </w:rPr>
        <w:t>.</w:t>
      </w:r>
      <w:r w:rsidRPr="00827C81">
        <w:rPr>
          <w:rFonts w:ascii="Times New Roman" w:eastAsia="Times New Roman" w:hAnsi="Times New Roman" w:cs="Times New Roman"/>
          <w:bCs/>
          <w:noProof/>
          <w:sz w:val="24"/>
          <w:szCs w:val="24"/>
          <w:vertAlign w:val="superscript"/>
        </w:rPr>
        <w:t>16,17</w:t>
      </w:r>
      <w:r w:rsidRPr="00827C81">
        <w:rPr>
          <w:rFonts w:ascii="Times New Roman" w:eastAsia="Times New Roman" w:hAnsi="Times New Roman" w:cs="Times New Roman"/>
          <w:bCs/>
          <w:sz w:val="24"/>
          <w:szCs w:val="24"/>
        </w:rPr>
        <w:t xml:space="preserve"> </w:t>
      </w:r>
      <w:bookmarkStart w:id="9" w:name="_Hlk138425237"/>
      <w:r w:rsidRPr="00827C81">
        <w:rPr>
          <w:rFonts w:ascii="Times New Roman" w:eastAsia="Times New Roman" w:hAnsi="Times New Roman" w:cs="Times New Roman"/>
          <w:bCs/>
          <w:sz w:val="24"/>
          <w:szCs w:val="24"/>
        </w:rPr>
        <w:t xml:space="preserve">When these are ineffective, the NICE guideline states that GPs should “consider” low dose tricyclic antidepressants (TCAs) for their analgesic effect as a second-line treatment, </w:t>
      </w:r>
      <w:r>
        <w:rPr>
          <w:rFonts w:ascii="Times New Roman" w:eastAsia="Times New Roman" w:hAnsi="Times New Roman" w:cs="Times New Roman"/>
          <w:bCs/>
          <w:sz w:val="24"/>
          <w:szCs w:val="24"/>
        </w:rPr>
        <w:t xml:space="preserve">with “consider” </w:t>
      </w:r>
      <w:r w:rsidRPr="00827C81">
        <w:rPr>
          <w:rFonts w:ascii="Times New Roman" w:eastAsia="Times New Roman" w:hAnsi="Times New Roman" w:cs="Times New Roman"/>
          <w:bCs/>
          <w:sz w:val="24"/>
          <w:szCs w:val="24"/>
        </w:rPr>
        <w:t xml:space="preserve">meaning that any benefit is uncertain. </w:t>
      </w:r>
      <w:bookmarkEnd w:id="9"/>
      <w:r w:rsidRPr="00827C81">
        <w:rPr>
          <w:rFonts w:ascii="Times New Roman" w:eastAsia="Times New Roman" w:hAnsi="Times New Roman" w:cs="Times New Roman"/>
          <w:bCs/>
          <w:sz w:val="24"/>
          <w:szCs w:val="24"/>
        </w:rPr>
        <w:t xml:space="preserve">However, </w:t>
      </w:r>
      <w:bookmarkStart w:id="10" w:name="_Hlk135294423"/>
      <w:r w:rsidRPr="00827C81">
        <w:rPr>
          <w:rFonts w:ascii="Times New Roman" w:eastAsia="Times New Roman" w:hAnsi="Times New Roman" w:cs="Times New Roman"/>
          <w:bCs/>
          <w:sz w:val="24"/>
          <w:szCs w:val="24"/>
        </w:rPr>
        <w:t>less than 10% of GPs prescribe TCAs for IBS often, and only 50% believe they are effective</w:t>
      </w:r>
      <w:bookmarkEnd w:id="10"/>
      <w:r w:rsidRPr="00827C81">
        <w:rPr>
          <w:rFonts w:ascii="Times New Roman" w:eastAsia="Times New Roman" w:hAnsi="Times New Roman" w:cs="Times New Roman"/>
          <w:bCs/>
          <w:sz w:val="24"/>
          <w:szCs w:val="24"/>
        </w:rPr>
        <w:t>.</w:t>
      </w:r>
      <w:r w:rsidRPr="00827C81">
        <w:rPr>
          <w:rFonts w:ascii="Times New Roman" w:eastAsia="Times New Roman" w:hAnsi="Times New Roman" w:cs="Times New Roman"/>
          <w:bCs/>
          <w:noProof/>
          <w:sz w:val="24"/>
          <w:szCs w:val="24"/>
          <w:vertAlign w:val="superscript"/>
        </w:rPr>
        <w:t>18</w:t>
      </w:r>
      <w:r w:rsidRPr="00827C81">
        <w:rPr>
          <w:rFonts w:ascii="Times New Roman" w:eastAsia="Times New Roman" w:hAnsi="Times New Roman" w:cs="Times New Roman"/>
          <w:bCs/>
          <w:sz w:val="24"/>
          <w:szCs w:val="24"/>
        </w:rPr>
        <w:t xml:space="preserve"> </w:t>
      </w:r>
      <w:bookmarkStart w:id="11" w:name="_Hlk138425256"/>
      <w:r w:rsidRPr="007C2016">
        <w:rPr>
          <w:rFonts w:ascii="Times New Roman" w:hAnsi="Times New Roman" w:cs="Times New Roman"/>
          <w:sz w:val="24"/>
          <w:szCs w:val="24"/>
        </w:rPr>
        <w:t xml:space="preserve">Given that 95% of GPs use </w:t>
      </w:r>
      <w:r w:rsidRPr="00827C81">
        <w:rPr>
          <w:rFonts w:ascii="Times New Roman" w:hAnsi="Times New Roman" w:cs="Times New Roman"/>
          <w:sz w:val="24"/>
          <w:szCs w:val="24"/>
        </w:rPr>
        <w:t>TCAs to t</w:t>
      </w:r>
      <w:r w:rsidRPr="007C2016">
        <w:rPr>
          <w:rFonts w:ascii="Times New Roman" w:hAnsi="Times New Roman" w:cs="Times New Roman"/>
          <w:sz w:val="24"/>
          <w:szCs w:val="24"/>
        </w:rPr>
        <w:t>reat</w:t>
      </w:r>
      <w:r w:rsidRPr="00827C81">
        <w:rPr>
          <w:rFonts w:ascii="Times New Roman" w:hAnsi="Times New Roman" w:cs="Times New Roman"/>
          <w:sz w:val="24"/>
          <w:szCs w:val="24"/>
        </w:rPr>
        <w:t xml:space="preserve"> </w:t>
      </w:r>
      <w:r w:rsidRPr="007C2016">
        <w:rPr>
          <w:rFonts w:ascii="Times New Roman" w:hAnsi="Times New Roman" w:cs="Times New Roman"/>
          <w:sz w:val="24"/>
          <w:szCs w:val="24"/>
        </w:rPr>
        <w:t>insomnia,</w:t>
      </w:r>
      <w:r w:rsidRPr="007C2016">
        <w:rPr>
          <w:rFonts w:ascii="Times New Roman" w:hAnsi="Times New Roman" w:cs="Times New Roman"/>
          <w:noProof/>
          <w:sz w:val="24"/>
          <w:szCs w:val="24"/>
          <w:vertAlign w:val="superscript"/>
        </w:rPr>
        <w:t>19</w:t>
      </w:r>
      <w:r w:rsidRPr="007C2016">
        <w:rPr>
          <w:rFonts w:ascii="Times New Roman" w:hAnsi="Times New Roman" w:cs="Times New Roman"/>
          <w:sz w:val="24"/>
          <w:szCs w:val="24"/>
        </w:rPr>
        <w:t xml:space="preserve"> it is </w:t>
      </w:r>
      <w:bookmarkStart w:id="12" w:name="_Int_7OIc3f7u"/>
      <w:r w:rsidRPr="007C2016">
        <w:rPr>
          <w:rFonts w:ascii="Times New Roman" w:hAnsi="Times New Roman" w:cs="Times New Roman"/>
          <w:sz w:val="24"/>
          <w:szCs w:val="24"/>
        </w:rPr>
        <w:t>presumably uncertainty</w:t>
      </w:r>
      <w:bookmarkEnd w:id="12"/>
      <w:r w:rsidRPr="007C2016">
        <w:rPr>
          <w:rFonts w:ascii="Times New Roman" w:hAnsi="Times New Roman" w:cs="Times New Roman"/>
          <w:sz w:val="24"/>
          <w:szCs w:val="24"/>
        </w:rPr>
        <w:t xml:space="preserve"> over their efficacy in IBS, rather than concerns about side effects, </w:t>
      </w:r>
      <w:r w:rsidRPr="00827C81">
        <w:rPr>
          <w:rFonts w:ascii="Times New Roman" w:hAnsi="Times New Roman" w:cs="Times New Roman"/>
          <w:sz w:val="24"/>
          <w:szCs w:val="24"/>
        </w:rPr>
        <w:t>that</w:t>
      </w:r>
      <w:r w:rsidRPr="007C2016">
        <w:rPr>
          <w:rFonts w:ascii="Times New Roman" w:hAnsi="Times New Roman" w:cs="Times New Roman"/>
          <w:sz w:val="24"/>
          <w:szCs w:val="24"/>
        </w:rPr>
        <w:t xml:space="preserve"> explains this</w:t>
      </w:r>
      <w:r w:rsidRPr="00827C81">
        <w:rPr>
          <w:rFonts w:ascii="Times New Roman" w:hAnsi="Times New Roman" w:cs="Times New Roman"/>
          <w:sz w:val="24"/>
          <w:szCs w:val="24"/>
        </w:rPr>
        <w:t>.</w:t>
      </w:r>
      <w:bookmarkEnd w:id="11"/>
    </w:p>
    <w:p w14:paraId="38D80ACE" w14:textId="77777777" w:rsidR="002754F5" w:rsidRPr="00827C81" w:rsidRDefault="002754F5" w:rsidP="00DB1437">
      <w:pPr>
        <w:autoSpaceDE w:val="0"/>
        <w:autoSpaceDN w:val="0"/>
        <w:adjustRightInd w:val="0"/>
        <w:spacing w:line="480" w:lineRule="auto"/>
        <w:ind w:firstLine="720"/>
        <w:rPr>
          <w:rFonts w:ascii="Times New Roman" w:eastAsia="Times New Roman" w:hAnsi="Times New Roman" w:cs="Times New Roman"/>
          <w:bCs/>
          <w:sz w:val="24"/>
          <w:szCs w:val="24"/>
        </w:rPr>
      </w:pPr>
      <w:r w:rsidRPr="00827C81">
        <w:rPr>
          <w:rFonts w:ascii="Times New Roman" w:eastAsia="Times New Roman" w:hAnsi="Times New Roman" w:cs="Times New Roman"/>
          <w:bCs/>
          <w:sz w:val="24"/>
          <w:szCs w:val="24"/>
        </w:rPr>
        <w:lastRenderedPageBreak/>
        <w:t>Meta-analyses of randomised controlled trials (RCTs) suggest a benefit of TCAs,</w:t>
      </w:r>
      <w:r w:rsidRPr="00827C81">
        <w:rPr>
          <w:rFonts w:ascii="Times New Roman" w:eastAsia="Times New Roman" w:hAnsi="Times New Roman" w:cs="Times New Roman"/>
          <w:bCs/>
          <w:noProof/>
          <w:sz w:val="24"/>
          <w:szCs w:val="24"/>
          <w:vertAlign w:val="superscript"/>
        </w:rPr>
        <w:t>16,20,21</w:t>
      </w:r>
      <w:r w:rsidRPr="00827C81">
        <w:rPr>
          <w:rFonts w:ascii="Times New Roman" w:eastAsia="Times New Roman" w:hAnsi="Times New Roman" w:cs="Times New Roman"/>
          <w:bCs/>
          <w:sz w:val="24"/>
          <w:szCs w:val="24"/>
        </w:rPr>
        <w:t xml:space="preserve"> possibly via their pain-modifying properties and actions on gastrointestinal motility,</w:t>
      </w:r>
      <w:r w:rsidRPr="00827C81">
        <w:rPr>
          <w:rFonts w:ascii="Times New Roman" w:eastAsia="Times New Roman" w:hAnsi="Times New Roman" w:cs="Times New Roman"/>
          <w:bCs/>
          <w:noProof/>
          <w:sz w:val="24"/>
          <w:szCs w:val="24"/>
          <w:vertAlign w:val="superscript"/>
        </w:rPr>
        <w:t>22-26</w:t>
      </w:r>
      <w:r w:rsidRPr="00827C81">
        <w:rPr>
          <w:rFonts w:ascii="Times New Roman" w:eastAsia="Times New Roman" w:hAnsi="Times New Roman" w:cs="Times New Roman"/>
          <w:bCs/>
          <w:sz w:val="24"/>
          <w:szCs w:val="24"/>
        </w:rPr>
        <w:t xml:space="preserve"> rather than any effect on mood given the low doses used in IBS. </w:t>
      </w:r>
      <w:bookmarkStart w:id="13" w:name="_Hlk138429081"/>
      <w:r w:rsidRPr="00827C81">
        <w:rPr>
          <w:rFonts w:ascii="Times New Roman" w:eastAsia="Times New Roman" w:hAnsi="Times New Roman" w:cs="Times New Roman"/>
          <w:bCs/>
          <w:sz w:val="24"/>
          <w:szCs w:val="24"/>
        </w:rPr>
        <w:t>However, almost all trials have been conducted in specialist settings, where patients tend to have more severe symptoms and it is, therefore, unclear whether TCAs are effective in patients with IBS seen in primary care</w:t>
      </w:r>
      <w:bookmarkEnd w:id="13"/>
      <w:r w:rsidRPr="00827C81">
        <w:rPr>
          <w:rFonts w:ascii="Times New Roman" w:eastAsia="Times New Roman" w:hAnsi="Times New Roman" w:cs="Times New Roman"/>
          <w:bCs/>
          <w:sz w:val="24"/>
          <w:szCs w:val="24"/>
        </w:rPr>
        <w:t xml:space="preserve">. </w:t>
      </w:r>
      <w:bookmarkStart w:id="14" w:name="_Hlk135294405"/>
      <w:r w:rsidRPr="00827C81">
        <w:rPr>
          <w:rFonts w:ascii="Times New Roman" w:eastAsia="Times New Roman" w:hAnsi="Times New Roman" w:cs="Times New Roman"/>
          <w:bCs/>
          <w:sz w:val="24"/>
          <w:szCs w:val="24"/>
        </w:rPr>
        <w:t>Indeed, the NICE guideline highlights the need for a trial of TCAs in IBS in primary care.</w:t>
      </w:r>
      <w:bookmarkEnd w:id="14"/>
      <w:r w:rsidRPr="00827C81">
        <w:rPr>
          <w:rFonts w:ascii="Times New Roman" w:eastAsia="Times New Roman" w:hAnsi="Times New Roman" w:cs="Times New Roman"/>
          <w:bCs/>
          <w:noProof/>
          <w:sz w:val="24"/>
          <w:szCs w:val="24"/>
          <w:vertAlign w:val="superscript"/>
        </w:rPr>
        <w:t>15</w:t>
      </w:r>
      <w:r w:rsidRPr="00827C81">
        <w:rPr>
          <w:rFonts w:ascii="Times New Roman" w:eastAsia="Times New Roman" w:hAnsi="Times New Roman" w:cs="Times New Roman"/>
          <w:bCs/>
          <w:sz w:val="24"/>
          <w:szCs w:val="24"/>
        </w:rPr>
        <w:t xml:space="preserve"> Amitriptyline has shown promise in two previous small trials in IBS,</w:t>
      </w:r>
      <w:r w:rsidRPr="00827C81">
        <w:rPr>
          <w:rFonts w:ascii="Times New Roman" w:eastAsia="Times New Roman" w:hAnsi="Times New Roman" w:cs="Times New Roman"/>
          <w:bCs/>
          <w:noProof/>
          <w:sz w:val="24"/>
          <w:szCs w:val="24"/>
          <w:vertAlign w:val="superscript"/>
        </w:rPr>
        <w:t>27,28</w:t>
      </w:r>
      <w:r w:rsidRPr="00827C81">
        <w:rPr>
          <w:rFonts w:ascii="Times New Roman" w:eastAsia="Times New Roman" w:hAnsi="Times New Roman" w:cs="Times New Roman"/>
          <w:bCs/>
          <w:sz w:val="24"/>
          <w:szCs w:val="24"/>
        </w:rPr>
        <w:t xml:space="preserve"> is an established, inexpensive drug, which GPs prescribe commonly for other conditions,</w:t>
      </w:r>
      <w:r w:rsidRPr="00827C81">
        <w:rPr>
          <w:rFonts w:ascii="Times New Roman" w:eastAsia="Times New Roman" w:hAnsi="Times New Roman" w:cs="Times New Roman"/>
          <w:bCs/>
          <w:noProof/>
          <w:sz w:val="24"/>
          <w:szCs w:val="24"/>
          <w:vertAlign w:val="superscript"/>
        </w:rPr>
        <w:t>19</w:t>
      </w:r>
      <w:r w:rsidRPr="00827C81">
        <w:rPr>
          <w:rFonts w:ascii="Times New Roman" w:eastAsia="Times New Roman" w:hAnsi="Times New Roman" w:cs="Times New Roman"/>
          <w:bCs/>
          <w:sz w:val="24"/>
          <w:szCs w:val="24"/>
        </w:rPr>
        <w:t xml:space="preserve"> and has a well-characterised safety profile.</w:t>
      </w:r>
      <w:r w:rsidRPr="00827C81">
        <w:rPr>
          <w:rFonts w:ascii="Times New Roman" w:eastAsia="Times New Roman" w:hAnsi="Times New Roman" w:cs="Times New Roman"/>
          <w:bCs/>
          <w:noProof/>
          <w:sz w:val="24"/>
          <w:szCs w:val="24"/>
          <w:vertAlign w:val="superscript"/>
        </w:rPr>
        <w:t>29</w:t>
      </w:r>
      <w:r w:rsidRPr="00827C81">
        <w:rPr>
          <w:rFonts w:ascii="Times New Roman" w:eastAsia="Times New Roman" w:hAnsi="Times New Roman" w:cs="Times New Roman"/>
          <w:bCs/>
          <w:sz w:val="24"/>
          <w:szCs w:val="24"/>
        </w:rPr>
        <w:t xml:space="preserve"> We, therefore, did a RCT of amitriptyline </w:t>
      </w:r>
      <w:r w:rsidRPr="00827C81">
        <w:rPr>
          <w:rFonts w:ascii="Times New Roman" w:hAnsi="Times New Roman" w:cs="Times New Roman"/>
          <w:bCs/>
          <w:sz w:val="24"/>
          <w:szCs w:val="24"/>
        </w:rPr>
        <w:t>in IBS in primary care.</w:t>
      </w:r>
    </w:p>
    <w:p w14:paraId="532346E5" w14:textId="77777777" w:rsidR="002754F5" w:rsidRPr="00827C81" w:rsidRDefault="002754F5" w:rsidP="00DB1437">
      <w:pPr>
        <w:autoSpaceDE w:val="0"/>
        <w:autoSpaceDN w:val="0"/>
        <w:adjustRightInd w:val="0"/>
        <w:spacing w:line="480" w:lineRule="auto"/>
        <w:ind w:firstLine="720"/>
        <w:rPr>
          <w:rFonts w:ascii="Times New Roman" w:hAnsi="Times New Roman" w:cs="Times New Roman"/>
          <w:bCs/>
          <w:sz w:val="24"/>
          <w:szCs w:val="24"/>
        </w:rPr>
      </w:pPr>
    </w:p>
    <w:p w14:paraId="0B6392AA" w14:textId="77777777" w:rsidR="002754F5" w:rsidRPr="00827C81" w:rsidRDefault="002754F5" w:rsidP="00DB1437">
      <w:pPr>
        <w:autoSpaceDE w:val="0"/>
        <w:autoSpaceDN w:val="0"/>
        <w:adjustRightInd w:val="0"/>
        <w:spacing w:line="480" w:lineRule="auto"/>
        <w:ind w:firstLine="720"/>
        <w:rPr>
          <w:rFonts w:ascii="Times New Roman" w:hAnsi="Times New Roman" w:cs="Times New Roman"/>
          <w:bCs/>
          <w:sz w:val="24"/>
          <w:szCs w:val="24"/>
        </w:rPr>
      </w:pPr>
    </w:p>
    <w:p w14:paraId="05FE4493" w14:textId="77777777" w:rsidR="002754F5" w:rsidRPr="00827C81" w:rsidRDefault="002754F5" w:rsidP="00DB1437">
      <w:pPr>
        <w:autoSpaceDE w:val="0"/>
        <w:autoSpaceDN w:val="0"/>
        <w:adjustRightInd w:val="0"/>
        <w:spacing w:line="480" w:lineRule="auto"/>
        <w:rPr>
          <w:rFonts w:ascii="Times New Roman" w:hAnsi="Times New Roman" w:cs="Times New Roman"/>
          <w:bCs/>
          <w:sz w:val="24"/>
          <w:szCs w:val="24"/>
        </w:rPr>
      </w:pPr>
    </w:p>
    <w:p w14:paraId="06997374"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br w:type="page"/>
      </w:r>
    </w:p>
    <w:p w14:paraId="47EED785"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METHODS</w:t>
      </w:r>
    </w:p>
    <w:p w14:paraId="30CEF3DE" w14:textId="77777777" w:rsidR="002754F5" w:rsidRPr="00827C81" w:rsidRDefault="002754F5" w:rsidP="00DB1437">
      <w:pPr>
        <w:spacing w:after="0" w:line="480" w:lineRule="auto"/>
        <w:rPr>
          <w:rFonts w:ascii="Times New Roman" w:hAnsi="Times New Roman" w:cs="Times New Roman"/>
          <w:bCs/>
          <w:sz w:val="24"/>
          <w:szCs w:val="24"/>
        </w:rPr>
      </w:pPr>
    </w:p>
    <w:p w14:paraId="0E6E4A5E"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Study Design and Participants</w:t>
      </w:r>
    </w:p>
    <w:p w14:paraId="3827ACE6" w14:textId="26FEAD53" w:rsidR="002754F5" w:rsidRPr="00827C81" w:rsidRDefault="002754F5" w:rsidP="00DB1437">
      <w:pPr>
        <w:spacing w:line="480" w:lineRule="auto"/>
        <w:rPr>
          <w:rFonts w:ascii="Times New Roman" w:hAnsi="Times New Roman" w:cs="Times New Roman"/>
          <w:bCs/>
          <w:noProof/>
          <w:sz w:val="24"/>
          <w:szCs w:val="24"/>
        </w:rPr>
      </w:pPr>
      <w:r w:rsidRPr="00827C81">
        <w:rPr>
          <w:rFonts w:ascii="Times New Roman" w:hAnsi="Times New Roman" w:cs="Times New Roman"/>
          <w:bCs/>
          <w:sz w:val="24"/>
          <w:szCs w:val="24"/>
        </w:rPr>
        <w:tab/>
        <w:t>The ATLANTIS (</w:t>
      </w:r>
      <w:proofErr w:type="spellStart"/>
      <w:r w:rsidRPr="00827C81">
        <w:rPr>
          <w:rFonts w:ascii="Times New Roman" w:hAnsi="Times New Roman" w:cs="Times New Roman"/>
          <w:bCs/>
          <w:sz w:val="24"/>
          <w:szCs w:val="24"/>
        </w:rPr>
        <w:t>AmitripTyline</w:t>
      </w:r>
      <w:proofErr w:type="spellEnd"/>
      <w:r w:rsidRPr="00827C81">
        <w:rPr>
          <w:rFonts w:ascii="Times New Roman" w:hAnsi="Times New Roman" w:cs="Times New Roman"/>
          <w:bCs/>
          <w:sz w:val="24"/>
          <w:szCs w:val="24"/>
        </w:rPr>
        <w:t xml:space="preserve"> at Low-dose </w:t>
      </w:r>
      <w:proofErr w:type="spellStart"/>
      <w:r w:rsidRPr="00827C81">
        <w:rPr>
          <w:rFonts w:ascii="Times New Roman" w:hAnsi="Times New Roman" w:cs="Times New Roman"/>
          <w:bCs/>
          <w:sz w:val="24"/>
          <w:szCs w:val="24"/>
        </w:rPr>
        <w:t>ANd</w:t>
      </w:r>
      <w:proofErr w:type="spellEnd"/>
      <w:r w:rsidRPr="00827C81">
        <w:rPr>
          <w:rFonts w:ascii="Times New Roman" w:hAnsi="Times New Roman" w:cs="Times New Roman"/>
          <w:bCs/>
          <w:sz w:val="24"/>
          <w:szCs w:val="24"/>
        </w:rPr>
        <w:t xml:space="preserve"> Titrated for Irritable bowel syndrome as Second-line treatment) trial was a randomised,</w:t>
      </w:r>
      <w:r w:rsidRPr="00827C81">
        <w:rPr>
          <w:rFonts w:ascii="Times New Roman" w:eastAsia="Times New Roman" w:hAnsi="Times New Roman" w:cs="Times New Roman"/>
          <w:bCs/>
          <w:sz w:val="24"/>
          <w:szCs w:val="24"/>
        </w:rPr>
        <w:t xml:space="preserve"> double-blind, </w:t>
      </w:r>
      <w:r w:rsidRPr="00827C81">
        <w:rPr>
          <w:rFonts w:ascii="Times New Roman" w:hAnsi="Times New Roman" w:cs="Times New Roman"/>
          <w:bCs/>
          <w:sz w:val="24"/>
          <w:szCs w:val="24"/>
        </w:rPr>
        <w:t>placebo-controlled superiority trial of amitriptyline as second-line treatment for IBS in primary care, recruiting adult</w:t>
      </w:r>
      <w:r w:rsidRPr="00827C81">
        <w:rPr>
          <w:rFonts w:ascii="Times New Roman" w:hAnsi="Times New Roman" w:cs="Times New Roman"/>
          <w:sz w:val="24"/>
          <w:szCs w:val="24"/>
          <w:shd w:val="clear" w:color="auto" w:fill="FFFFFF"/>
        </w:rPr>
        <w:t xml:space="preserve">s </w:t>
      </w:r>
      <w:r w:rsidRPr="00827C81">
        <w:rPr>
          <w:rFonts w:ascii="Times New Roman" w:hAnsi="Times New Roman" w:cs="Times New Roman"/>
          <w:bCs/>
          <w:sz w:val="24"/>
          <w:szCs w:val="24"/>
        </w:rPr>
        <w:t>with IBS (</w:t>
      </w:r>
      <w:r w:rsidR="00A06A6E">
        <w:rPr>
          <w:rFonts w:ascii="Times New Roman" w:hAnsi="Times New Roman" w:cs="Times New Roman"/>
          <w:bCs/>
          <w:sz w:val="24"/>
          <w:szCs w:val="24"/>
        </w:rPr>
        <w:t>Figure 1</w:t>
      </w:r>
      <w:r w:rsidRPr="00827C81">
        <w:rPr>
          <w:rFonts w:ascii="Times New Roman" w:hAnsi="Times New Roman" w:cs="Times New Roman"/>
          <w:bCs/>
          <w:sz w:val="24"/>
          <w:szCs w:val="24"/>
        </w:rPr>
        <w:t xml:space="preserve">). </w:t>
      </w:r>
      <w:proofErr w:type="gramStart"/>
      <w:r w:rsidRPr="00827C81">
        <w:rPr>
          <w:rFonts w:ascii="Times New Roman" w:hAnsi="Times New Roman" w:cs="Times New Roman"/>
          <w:bCs/>
          <w:sz w:val="24"/>
          <w:szCs w:val="24"/>
        </w:rPr>
        <w:t>The majority of</w:t>
      </w:r>
      <w:proofErr w:type="gramEnd"/>
      <w:r w:rsidRPr="00827C81">
        <w:rPr>
          <w:rFonts w:ascii="Times New Roman" w:hAnsi="Times New Roman" w:cs="Times New Roman"/>
          <w:bCs/>
          <w:sz w:val="24"/>
          <w:szCs w:val="24"/>
        </w:rPr>
        <w:t xml:space="preserve"> participants </w:t>
      </w:r>
      <w:r w:rsidRPr="00827C81">
        <w:rPr>
          <w:rFonts w:ascii="Times New Roman" w:hAnsi="Times New Roman" w:cs="Times New Roman"/>
          <w:bCs/>
          <w:noProof/>
          <w:sz w:val="24"/>
          <w:szCs w:val="24"/>
        </w:rPr>
        <w:t xml:space="preserve">recruited </w:t>
      </w:r>
      <w:r w:rsidRPr="00827C81">
        <w:rPr>
          <w:rFonts w:ascii="Times New Roman" w:hAnsi="Times New Roman" w:cs="Times New Roman"/>
          <w:bCs/>
          <w:sz w:val="24"/>
          <w:szCs w:val="24"/>
        </w:rPr>
        <w:t xml:space="preserve">consented to </w:t>
      </w:r>
      <w:r w:rsidRPr="00827C81">
        <w:rPr>
          <w:rFonts w:ascii="Times New Roman" w:eastAsia="Times New Roman" w:hAnsi="Times New Roman" w:cs="Times New Roman"/>
          <w:bCs/>
          <w:sz w:val="24"/>
          <w:szCs w:val="24"/>
        </w:rPr>
        <w:t>12-month study participation,</w:t>
      </w:r>
      <w:r w:rsidRPr="00827C81">
        <w:rPr>
          <w:rFonts w:ascii="Times New Roman" w:hAnsi="Times New Roman" w:cs="Times New Roman"/>
          <w:bCs/>
          <w:sz w:val="24"/>
          <w:szCs w:val="24"/>
        </w:rPr>
        <w:t xml:space="preserve"> consisting of an initial 6 months of trial medication with the option to continue this for a further 6 months. </w:t>
      </w:r>
      <w:r w:rsidRPr="00827C81">
        <w:rPr>
          <w:rFonts w:ascii="Times New Roman" w:hAnsi="Times New Roman" w:cs="Times New Roman"/>
          <w:bCs/>
          <w:noProof/>
          <w:sz w:val="24"/>
          <w:szCs w:val="24"/>
        </w:rPr>
        <w:t xml:space="preserve">Treatment duration and follow-up was curtailed to 6 months for later recruits, due to protocol changes during the COVID-19 pandemic. </w:t>
      </w:r>
      <w:bookmarkStart w:id="15" w:name="_Hlk138394129"/>
      <w:r w:rsidRPr="00827C81">
        <w:rPr>
          <w:rFonts w:ascii="Times New Roman" w:hAnsi="Times New Roman" w:cs="Times New Roman"/>
          <w:bCs/>
          <w:noProof/>
          <w:sz w:val="24"/>
          <w:szCs w:val="24"/>
        </w:rPr>
        <w:t xml:space="preserve">A within-study cost-effectiveness was planned, but removed, after a costed extension was required to complete the trial due to delays imposed by the pandemic, </w:t>
      </w:r>
      <w:bookmarkStart w:id="16" w:name="_Hlk138393083"/>
      <w:r w:rsidRPr="00827C81">
        <w:rPr>
          <w:rFonts w:ascii="Times New Roman" w:hAnsi="Times New Roman" w:cs="Times New Roman"/>
          <w:bCs/>
          <w:noProof/>
          <w:sz w:val="24"/>
          <w:szCs w:val="24"/>
        </w:rPr>
        <w:t xml:space="preserve">to </w:t>
      </w:r>
      <w:r w:rsidRPr="007C2016">
        <w:rPr>
          <w:rFonts w:ascii="Times New Roman" w:hAnsi="Times New Roman" w:cs="Times New Roman"/>
          <w:sz w:val="24"/>
          <w:szCs w:val="24"/>
        </w:rPr>
        <w:t>minimise additional funding and prioritise funds for participant recruitment</w:t>
      </w:r>
      <w:bookmarkEnd w:id="16"/>
      <w:r w:rsidRPr="007C2016">
        <w:rPr>
          <w:rFonts w:ascii="Times New Roman" w:hAnsi="Times New Roman" w:cs="Times New Roman"/>
          <w:sz w:val="24"/>
          <w:szCs w:val="24"/>
        </w:rPr>
        <w:t xml:space="preserve">. </w:t>
      </w:r>
      <w:r w:rsidR="00180DD1">
        <w:rPr>
          <w:rFonts w:ascii="Times New Roman" w:hAnsi="Times New Roman" w:cs="Times New Roman"/>
          <w:sz w:val="24"/>
          <w:szCs w:val="24"/>
        </w:rPr>
        <w:t xml:space="preserve">This is </w:t>
      </w:r>
      <w:r w:rsidRPr="007C2016">
        <w:rPr>
          <w:rFonts w:ascii="Times New Roman" w:hAnsi="Times New Roman" w:cs="Times New Roman"/>
          <w:sz w:val="24"/>
          <w:szCs w:val="24"/>
        </w:rPr>
        <w:t xml:space="preserve">now on hold, subject to further funding. </w:t>
      </w:r>
      <w:bookmarkEnd w:id="15"/>
      <w:r w:rsidRPr="00827C81">
        <w:rPr>
          <w:rFonts w:ascii="Times New Roman" w:hAnsi="Times New Roman" w:cs="Times New Roman"/>
          <w:bCs/>
          <w:noProof/>
          <w:sz w:val="24"/>
          <w:szCs w:val="24"/>
        </w:rPr>
        <w:t>A nested qualitative study exploring participant and GP experiences of treatment and trial involvement will be reported separately. Patient and public involvement (PPI) representatives were involved at all stages and provided valuable contributions to trial design, documentation, and outputs.</w:t>
      </w:r>
    </w:p>
    <w:p w14:paraId="6520C899" w14:textId="77777777"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rPr>
        <w:t xml:space="preserve">ATLANTIS was conducted in 55 general practices in three regions, termed hubs, in England: 13 in West Yorkshire; 20 in Wessex; and 22 in West of England. The final protocol and subsequent amendments were approved by </w:t>
      </w:r>
      <w:r w:rsidRPr="00827C81">
        <w:rPr>
          <w:rFonts w:ascii="Times New Roman" w:eastAsia="Times New Roman" w:hAnsi="Times New Roman" w:cs="Times New Roman"/>
          <w:bCs/>
          <w:sz w:val="24"/>
          <w:szCs w:val="24"/>
        </w:rPr>
        <w:t>Yorkshire and the Humber (Sheffield) Research Ethics Committee (19/YH/0150) and published in full</w:t>
      </w:r>
      <w:r w:rsidRPr="00827C81">
        <w:rPr>
          <w:rFonts w:ascii="Times New Roman" w:hAnsi="Times New Roman" w:cs="Times New Roman"/>
          <w:bCs/>
          <w:sz w:val="24"/>
          <w:szCs w:val="24"/>
        </w:rPr>
        <w:t>.</w:t>
      </w:r>
      <w:r w:rsidRPr="00827C81">
        <w:rPr>
          <w:rFonts w:ascii="Times New Roman" w:hAnsi="Times New Roman" w:cs="Times New Roman"/>
          <w:bCs/>
          <w:noProof/>
          <w:sz w:val="24"/>
          <w:szCs w:val="24"/>
          <w:vertAlign w:val="superscript"/>
        </w:rPr>
        <w:t>30</w:t>
      </w:r>
      <w:r w:rsidRPr="00827C81">
        <w:rPr>
          <w:rFonts w:ascii="Times New Roman" w:hAnsi="Times New Roman" w:cs="Times New Roman"/>
          <w:bCs/>
          <w:sz w:val="24"/>
          <w:szCs w:val="24"/>
        </w:rPr>
        <w:t xml:space="preserve"> The trial was conducted in accordance with the principles of Good Clinical Practice and the Declaration of Helsinki and </w:t>
      </w:r>
      <w:r w:rsidRPr="00827C81">
        <w:rPr>
          <w:rFonts w:ascii="Times New Roman" w:eastAsia="Times New Roman" w:hAnsi="Times New Roman" w:cs="Times New Roman"/>
          <w:bCs/>
          <w:sz w:val="24"/>
          <w:szCs w:val="24"/>
        </w:rPr>
        <w:t>registered with the ISRCTN (ISRCTN48075063).</w:t>
      </w:r>
    </w:p>
    <w:p w14:paraId="35BC75A4" w14:textId="134C0F4A"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lastRenderedPageBreak/>
        <w:tab/>
        <w:t xml:space="preserve">Eligible </w:t>
      </w:r>
      <w:r w:rsidRPr="00827C81">
        <w:rPr>
          <w:rFonts w:ascii="Times New Roman" w:hAnsi="Times New Roman" w:cs="Times New Roman"/>
          <w:sz w:val="24"/>
          <w:szCs w:val="24"/>
          <w:shd w:val="clear" w:color="auto" w:fill="FFFFFF"/>
        </w:rPr>
        <w:t xml:space="preserve">participants </w:t>
      </w:r>
      <w:r w:rsidRPr="00827C81">
        <w:rPr>
          <w:rFonts w:ascii="Times New Roman" w:hAnsi="Times New Roman" w:cs="Times New Roman"/>
          <w:bCs/>
          <w:sz w:val="24"/>
          <w:szCs w:val="24"/>
        </w:rPr>
        <w:t>were 18 years and over with a primary care diagnosis of IBS of any subtype (IBS with constipation (IBS-C), diarrhoea (IBS-D), mixed bowel habits (IBS-M), or unclassified (IBS-U)) and meeting Rome IV criteria for IBS (</w:t>
      </w:r>
      <w:r>
        <w:rPr>
          <w:rFonts w:ascii="Times New Roman" w:hAnsi="Times New Roman" w:cs="Times New Roman"/>
          <w:bCs/>
          <w:sz w:val="24"/>
          <w:szCs w:val="24"/>
        </w:rPr>
        <w:t xml:space="preserve">appendix, page </w:t>
      </w:r>
      <w:r w:rsidR="00A06A6E">
        <w:rPr>
          <w:rFonts w:ascii="Times New Roman" w:hAnsi="Times New Roman" w:cs="Times New Roman"/>
          <w:bCs/>
          <w:sz w:val="24"/>
          <w:szCs w:val="24"/>
        </w:rPr>
        <w:t>9</w:t>
      </w:r>
      <w:r w:rsidRPr="00827C81">
        <w:rPr>
          <w:rFonts w:ascii="Times New Roman" w:hAnsi="Times New Roman" w:cs="Times New Roman"/>
          <w:bCs/>
          <w:sz w:val="24"/>
          <w:szCs w:val="24"/>
        </w:rPr>
        <w:t>).</w:t>
      </w:r>
      <w:r w:rsidRPr="00827C81">
        <w:rPr>
          <w:rFonts w:ascii="Times New Roman" w:hAnsi="Times New Roman" w:cs="Times New Roman"/>
          <w:bCs/>
          <w:noProof/>
          <w:sz w:val="24"/>
          <w:szCs w:val="24"/>
          <w:vertAlign w:val="superscript"/>
        </w:rPr>
        <w:t>31</w:t>
      </w:r>
      <w:r w:rsidRPr="00827C81">
        <w:rPr>
          <w:rFonts w:ascii="Times New Roman" w:hAnsi="Times New Roman" w:cs="Times New Roman"/>
          <w:bCs/>
          <w:sz w:val="24"/>
          <w:szCs w:val="24"/>
        </w:rPr>
        <w:t xml:space="preserve"> P</w:t>
      </w:r>
      <w:r w:rsidRPr="00827C81">
        <w:rPr>
          <w:rFonts w:ascii="Times New Roman" w:hAnsi="Times New Roman" w:cs="Times New Roman"/>
          <w:sz w:val="24"/>
          <w:szCs w:val="24"/>
          <w:shd w:val="clear" w:color="auto" w:fill="FFFFFF"/>
        </w:rPr>
        <w:t xml:space="preserve">articipants </w:t>
      </w:r>
      <w:r w:rsidRPr="00827C81">
        <w:rPr>
          <w:rFonts w:ascii="Times New Roman" w:hAnsi="Times New Roman" w:cs="Times New Roman"/>
          <w:bCs/>
          <w:sz w:val="24"/>
          <w:szCs w:val="24"/>
        </w:rPr>
        <w:t>had tried first-line treatments, as recommended by NICE,</w:t>
      </w:r>
      <w:r w:rsidRPr="00827C81">
        <w:rPr>
          <w:rFonts w:ascii="Times New Roman" w:hAnsi="Times New Roman" w:cs="Times New Roman"/>
          <w:bCs/>
          <w:noProof/>
          <w:sz w:val="24"/>
          <w:szCs w:val="24"/>
          <w:vertAlign w:val="superscript"/>
        </w:rPr>
        <w:t>15</w:t>
      </w:r>
      <w:r w:rsidRPr="00827C81">
        <w:rPr>
          <w:rFonts w:ascii="Times New Roman" w:hAnsi="Times New Roman" w:cs="Times New Roman"/>
          <w:bCs/>
          <w:sz w:val="24"/>
          <w:szCs w:val="24"/>
        </w:rPr>
        <w:t xml:space="preserve"> including dietary </w:t>
      </w:r>
      <w:r>
        <w:rPr>
          <w:rFonts w:ascii="Times New Roman" w:hAnsi="Times New Roman" w:cs="Times New Roman"/>
          <w:bCs/>
          <w:sz w:val="24"/>
          <w:szCs w:val="24"/>
        </w:rPr>
        <w:t xml:space="preserve">changes </w:t>
      </w:r>
      <w:r w:rsidRPr="00827C81">
        <w:rPr>
          <w:rFonts w:ascii="Times New Roman" w:hAnsi="Times New Roman" w:cs="Times New Roman"/>
          <w:bCs/>
          <w:sz w:val="24"/>
          <w:szCs w:val="24"/>
        </w:rPr>
        <w:t>and lifestyle advice, soluble fibre, antispasmodics, laxatives, or anti-diarrhoeals, without success, and had active symptoms, scoring 75 or more on the IBS Severity Scoring System (IBS-SSS),</w:t>
      </w:r>
      <w:r w:rsidRPr="00827C81">
        <w:rPr>
          <w:rFonts w:ascii="Times New Roman" w:hAnsi="Times New Roman" w:cs="Times New Roman"/>
          <w:bCs/>
          <w:noProof/>
          <w:sz w:val="24"/>
          <w:szCs w:val="24"/>
          <w:vertAlign w:val="superscript"/>
        </w:rPr>
        <w:t>32</w:t>
      </w:r>
      <w:r w:rsidRPr="00827C81">
        <w:rPr>
          <w:rFonts w:ascii="Times New Roman" w:hAnsi="Times New Roman" w:cs="Times New Roman"/>
          <w:bCs/>
          <w:sz w:val="24"/>
          <w:szCs w:val="24"/>
        </w:rPr>
        <w:t xml:space="preserve"> a validated,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-reported, </w:t>
      </w:r>
      <w:r w:rsidRPr="00827C81">
        <w:rPr>
          <w:rFonts w:ascii="Times New Roman" w:hAnsi="Times New Roman" w:cs="Times New Roman"/>
          <w:bCs/>
          <w:noProof/>
          <w:sz w:val="24"/>
          <w:szCs w:val="24"/>
        </w:rPr>
        <w:t xml:space="preserve">five-item questionnaire </w:t>
      </w:r>
      <w:r w:rsidRPr="00827C81">
        <w:rPr>
          <w:rFonts w:ascii="Times New Roman" w:hAnsi="Times New Roman" w:cs="Times New Roman"/>
          <w:bCs/>
          <w:sz w:val="24"/>
          <w:szCs w:val="24"/>
        </w:rPr>
        <w:t>used widely in IBS trials. Other inclusion criteria included: normal haemoglobin, white cell and platelet count, and C-reactive protein within 6 months of eligibility screening; negative anti-tissue transglutaminase antibodies; no evidence of suicidal ideation (given that amitriptyline can be fatal in overdose); ability to complete questionnaires, trial assessments, and provide written informed consent; and, if female and not post-menopausal or surgically sterile, willingness to use highly effective contraception. Exclusion criteria included: age &gt;60 years with no GP review in the 12 months prior to screening (to assess for organic gastrointestinal disease); meeting NICE fast-track referral criteria for suspected lower gastrointestinal cancer;</w:t>
      </w:r>
      <w:r w:rsidRPr="00827C81">
        <w:rPr>
          <w:rFonts w:ascii="Times New Roman" w:hAnsi="Times New Roman" w:cs="Times New Roman"/>
          <w:bCs/>
          <w:noProof/>
          <w:sz w:val="24"/>
          <w:szCs w:val="24"/>
          <w:vertAlign w:val="superscript"/>
        </w:rPr>
        <w:t>33</w:t>
      </w:r>
      <w:r w:rsidRPr="00827C81">
        <w:rPr>
          <w:rFonts w:ascii="Times New Roman" w:hAnsi="Times New Roman" w:cs="Times New Roman"/>
          <w:bCs/>
          <w:sz w:val="24"/>
          <w:szCs w:val="24"/>
        </w:rPr>
        <w:t xml:space="preserve"> coeliac disease or inflammatory bowel disease; previous colorectal cancer; involvement in another clinical trial of an investigational medicinal product; pregnancy, breastfeeding, or planning to become pregnant; or current use of, or allergy or contraindications to, a TCA.</w:t>
      </w:r>
      <w:r w:rsidRPr="00827C81">
        <w:rPr>
          <w:rFonts w:ascii="Times New Roman" w:hAnsi="Times New Roman" w:cs="Times New Roman"/>
          <w:bCs/>
          <w:noProof/>
          <w:sz w:val="24"/>
          <w:szCs w:val="24"/>
          <w:vertAlign w:val="superscript"/>
        </w:rPr>
        <w:t>30</w:t>
      </w:r>
      <w:r w:rsidRPr="00827C81">
        <w:rPr>
          <w:rFonts w:ascii="Times New Roman" w:hAnsi="Times New Roman" w:cs="Times New Roman"/>
          <w:bCs/>
          <w:sz w:val="24"/>
          <w:szCs w:val="24"/>
        </w:rPr>
        <w:t xml:space="preserve"> Eligible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s met all inclusion criteria and none of the exclusion criteria.</w:t>
      </w:r>
    </w:p>
    <w:p w14:paraId="19F9E92D" w14:textId="77777777" w:rsidR="002754F5" w:rsidRPr="00827C81" w:rsidRDefault="002754F5" w:rsidP="00DB1437">
      <w:pPr>
        <w:spacing w:after="0"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rPr>
        <w:t xml:space="preserve">Potentially eligible patients were identified via </w:t>
      </w:r>
      <w:proofErr w:type="spellStart"/>
      <w:r w:rsidRPr="00827C81">
        <w:rPr>
          <w:rFonts w:ascii="Times New Roman" w:hAnsi="Times New Roman" w:cs="Times New Roman"/>
          <w:bCs/>
          <w:sz w:val="24"/>
          <w:szCs w:val="24"/>
        </w:rPr>
        <w:t>SnoMed</w:t>
      </w:r>
      <w:proofErr w:type="spellEnd"/>
      <w:r w:rsidRPr="00827C81">
        <w:rPr>
          <w:rFonts w:ascii="Times New Roman" w:hAnsi="Times New Roman" w:cs="Times New Roman"/>
          <w:bCs/>
          <w:sz w:val="24"/>
          <w:szCs w:val="24"/>
        </w:rPr>
        <w:t xml:space="preserve"> clinical terms searches of primary care records and invited to take part by letter, or opportunistically following a GP visit. Interested patients were telephone screened by research nurses, followed by a clinic</w:t>
      </w:r>
      <w:r w:rsidRPr="00827C81">
        <w:t xml:space="preserve"> </w:t>
      </w:r>
      <w:r w:rsidRPr="00827C81">
        <w:rPr>
          <w:rFonts w:ascii="Times New Roman" w:hAnsi="Times New Roman" w:cs="Times New Roman"/>
          <w:bCs/>
          <w:sz w:val="24"/>
          <w:szCs w:val="24"/>
        </w:rPr>
        <w:t>appointment to provide written informed consent and blood tests, with final confirmation of eligibility by the GP and hub lead clinician.</w:t>
      </w:r>
    </w:p>
    <w:p w14:paraId="23731999" w14:textId="77777777" w:rsidR="002754F5" w:rsidRPr="00827C81" w:rsidRDefault="002754F5" w:rsidP="00DB1437">
      <w:pPr>
        <w:spacing w:after="0" w:line="480" w:lineRule="auto"/>
        <w:rPr>
          <w:rFonts w:ascii="Times New Roman" w:hAnsi="Times New Roman" w:cs="Times New Roman"/>
          <w:bCs/>
          <w:sz w:val="24"/>
          <w:szCs w:val="24"/>
        </w:rPr>
      </w:pPr>
      <w:r w:rsidRPr="00827C81">
        <w:rPr>
          <w:rFonts w:ascii="Times New Roman" w:hAnsi="Times New Roman" w:cs="Times New Roman"/>
          <w:bCs/>
          <w:sz w:val="24"/>
          <w:szCs w:val="24"/>
        </w:rPr>
        <w:t xml:space="preserve"> </w:t>
      </w:r>
    </w:p>
    <w:p w14:paraId="11A9C98B"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Randomisation and Masking</w:t>
      </w:r>
    </w:p>
    <w:p w14:paraId="39A58D7F"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Participants were assigned randomly (1:1) to receive amitriptyline or matched placebo. Allocation, via a web randomisation system at the University of Leeds Clinical Trials Research Unit, was performed using minimisation incorporating a random element to ensure treatment arms were well balanced for IBS subtype, judged via the Bristol stool form scale,</w:t>
      </w:r>
      <w:r w:rsidRPr="00827C81">
        <w:rPr>
          <w:rFonts w:ascii="Times New Roman" w:hAnsi="Times New Roman" w:cs="Times New Roman"/>
          <w:bCs/>
          <w:noProof/>
          <w:sz w:val="24"/>
          <w:szCs w:val="24"/>
          <w:vertAlign w:val="superscript"/>
        </w:rPr>
        <w:t>34</w:t>
      </w:r>
      <w:r w:rsidRPr="00827C81">
        <w:rPr>
          <w:rFonts w:ascii="Times New Roman" w:hAnsi="Times New Roman" w:cs="Times New Roman"/>
          <w:bCs/>
          <w:sz w:val="24"/>
          <w:szCs w:val="24"/>
        </w:rPr>
        <w:t xml:space="preserve"> a score of 8 or more on the depression subscale of the hospital anxiety and depression scale (HADS),</w:t>
      </w:r>
      <w:r w:rsidRPr="00827C81">
        <w:rPr>
          <w:rFonts w:ascii="Times New Roman" w:hAnsi="Times New Roman" w:cs="Times New Roman"/>
          <w:bCs/>
          <w:noProof/>
          <w:sz w:val="24"/>
          <w:szCs w:val="24"/>
          <w:vertAlign w:val="superscript"/>
        </w:rPr>
        <w:t>35</w:t>
      </w:r>
      <w:r w:rsidRPr="00827C81">
        <w:rPr>
          <w:rFonts w:ascii="Times New Roman" w:hAnsi="Times New Roman" w:cs="Times New Roman"/>
          <w:bCs/>
          <w:sz w:val="24"/>
          <w:szCs w:val="24"/>
        </w:rPr>
        <w:t xml:space="preserve"> and recruitment hub. All people involved directly in trial conduct and analysis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w:t>
      </w:r>
      <w:r w:rsidRPr="00827C81">
        <w:rPr>
          <w:rFonts w:ascii="Times New Roman" w:hAnsi="Times New Roman" w:cs="Times New Roman"/>
          <w:bCs/>
          <w:sz w:val="24"/>
          <w:szCs w:val="24"/>
          <w:shd w:val="clear" w:color="auto" w:fill="FFFFFF"/>
        </w:rPr>
        <w:t>GPs,</w:t>
      </w:r>
      <w:r w:rsidRPr="00827C81">
        <w:rPr>
          <w:rFonts w:ascii="Times New Roman" w:hAnsi="Times New Roman" w:cs="Times New Roman"/>
          <w:bCs/>
          <w:sz w:val="24"/>
          <w:szCs w:val="24"/>
        </w:rPr>
        <w:t xml:space="preserve"> investigators, and </w:t>
      </w:r>
      <w:r w:rsidRPr="00827C81">
        <w:rPr>
          <w:rFonts w:ascii="Times New Roman" w:hAnsi="Times New Roman" w:cs="Times New Roman"/>
          <w:bCs/>
          <w:sz w:val="24"/>
          <w:szCs w:val="24"/>
          <w:shd w:val="clear" w:color="auto" w:fill="FFFFFF"/>
        </w:rPr>
        <w:t>the analysis team</w:t>
      </w:r>
      <w:r w:rsidRPr="00827C81">
        <w:rPr>
          <w:rFonts w:ascii="Times New Roman" w:hAnsi="Times New Roman" w:cs="Times New Roman"/>
          <w:bCs/>
          <w:sz w:val="24"/>
          <w:szCs w:val="24"/>
        </w:rPr>
        <w:t xml:space="preserve">) were masked fully to treatment allocation prior to database lock, except for unblinded safety statisticians. Trial medication was supplied by </w:t>
      </w:r>
      <w:proofErr w:type="spellStart"/>
      <w:r w:rsidRPr="00827C81">
        <w:rPr>
          <w:rFonts w:ascii="Times New Roman" w:hAnsi="Times New Roman" w:cs="Times New Roman"/>
          <w:bCs/>
          <w:sz w:val="24"/>
          <w:szCs w:val="24"/>
        </w:rPr>
        <w:t>Modepharma</w:t>
      </w:r>
      <w:proofErr w:type="spellEnd"/>
      <w:r w:rsidRPr="00827C81">
        <w:rPr>
          <w:rFonts w:ascii="Times New Roman" w:hAnsi="Times New Roman" w:cs="Times New Roman"/>
          <w:bCs/>
          <w:sz w:val="24"/>
          <w:szCs w:val="24"/>
        </w:rPr>
        <w:t xml:space="preserve"> Limited and dispensed by post by a central pharmacy at Leeds Teaching Hospitals NHS Trust. To maintain masking, trial medication appearance, packaging, and labelling were identical in both active treatment and placebo arms, and unique kit codes were used.</w:t>
      </w:r>
    </w:p>
    <w:p w14:paraId="1F321D3A" w14:textId="77777777" w:rsidR="002754F5" w:rsidRPr="00827C81" w:rsidRDefault="002754F5" w:rsidP="00DB1437">
      <w:pPr>
        <w:spacing w:line="480" w:lineRule="auto"/>
        <w:rPr>
          <w:rFonts w:ascii="Times New Roman" w:hAnsi="Times New Roman" w:cs="Times New Roman"/>
          <w:bCs/>
          <w:sz w:val="24"/>
          <w:szCs w:val="24"/>
        </w:rPr>
      </w:pPr>
    </w:p>
    <w:p w14:paraId="6097F69C"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Procedures</w:t>
      </w:r>
    </w:p>
    <w:p w14:paraId="40DCB5E2" w14:textId="77777777" w:rsidR="002754F5" w:rsidRPr="00827C81" w:rsidRDefault="002754F5" w:rsidP="00DB1437">
      <w:pPr>
        <w:spacing w:line="480" w:lineRule="auto"/>
        <w:ind w:firstLine="720"/>
        <w:rPr>
          <w:rFonts w:ascii="Times New Roman" w:hAnsi="Times New Roman" w:cs="Times New Roman"/>
          <w:bCs/>
          <w:noProof/>
          <w:sz w:val="24"/>
          <w:szCs w:val="24"/>
        </w:rPr>
      </w:pPr>
      <w:r w:rsidRPr="00827C81">
        <w:rPr>
          <w:rFonts w:ascii="Times New Roman" w:hAnsi="Times New Roman" w:cs="Times New Roman"/>
          <w:bCs/>
          <w:sz w:val="24"/>
          <w:szCs w:val="24"/>
        </w:rPr>
        <w:t>Participants received titrated low-dose oral amitriptyline (Teva, Netherlands) or placebo tablets for 6 months and all participants were provided with the NICE-approved British Dietetic Association (BDA) first-line dietary advice sheet for IBS.</w:t>
      </w:r>
      <w:r w:rsidRPr="00827C81">
        <w:rPr>
          <w:rFonts w:ascii="Times New Roman" w:hAnsi="Times New Roman" w:cs="Times New Roman"/>
          <w:bCs/>
          <w:noProof/>
          <w:sz w:val="24"/>
          <w:szCs w:val="24"/>
          <w:vertAlign w:val="superscript"/>
        </w:rPr>
        <w:t>36</w:t>
      </w:r>
      <w:r w:rsidRPr="00827C81">
        <w:rPr>
          <w:rFonts w:ascii="Times New Roman" w:hAnsi="Times New Roman" w:cs="Times New Roman"/>
          <w:bCs/>
          <w:sz w:val="24"/>
          <w:szCs w:val="24"/>
        </w:rPr>
        <w:t xml:space="preserve"> </w:t>
      </w:r>
      <w:r w:rsidRPr="00827C81">
        <w:rPr>
          <w:rFonts w:ascii="Times New Roman" w:eastAsia="Times New Roman" w:hAnsi="Times New Roman" w:cs="Times New Roman"/>
          <w:bCs/>
          <w:sz w:val="24"/>
          <w:szCs w:val="24"/>
        </w:rPr>
        <w:t>Usual care for IBS was provided by the participant’s GP, except that amitriptyline, other TCAs, or drugs contraindicated with TCAs, such as</w:t>
      </w:r>
      <w:r w:rsidRPr="00827C81">
        <w:rPr>
          <w:rFonts w:ascii="Times New Roman" w:hAnsi="Times New Roman" w:cs="Times New Roman"/>
          <w:bCs/>
          <w:sz w:val="24"/>
          <w:szCs w:val="24"/>
        </w:rPr>
        <w:t xml:space="preserve"> monoamine oxidase inhibitors or drugs prolonging the QT interval, were prohibited during the </w:t>
      </w:r>
      <w:r w:rsidRPr="00827C81">
        <w:rPr>
          <w:rFonts w:ascii="Times New Roman" w:eastAsia="Times New Roman" w:hAnsi="Times New Roman" w:cs="Times New Roman"/>
          <w:bCs/>
          <w:sz w:val="24"/>
          <w:szCs w:val="24"/>
        </w:rPr>
        <w:t xml:space="preserve">trial. </w:t>
      </w:r>
      <w:r w:rsidRPr="00827C81">
        <w:rPr>
          <w:rFonts w:ascii="Times New Roman" w:hAnsi="Times New Roman" w:cs="Times New Roman"/>
          <w:bCs/>
          <w:sz w:val="24"/>
          <w:szCs w:val="24"/>
        </w:rPr>
        <w:t xml:space="preserve">Following randomisation,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noProof/>
          <w:sz w:val="24"/>
          <w:szCs w:val="24"/>
        </w:rPr>
        <w:t xml:space="preserve">s were offered an optional GP appointment at 1-month, in case of any questions, in addition to research nurse support. </w:t>
      </w:r>
    </w:p>
    <w:p w14:paraId="6E3A7890" w14:textId="77777777" w:rsidR="002754F5" w:rsidRPr="00827C81" w:rsidRDefault="002754F5" w:rsidP="00DB1437">
      <w:pPr>
        <w:spacing w:line="480" w:lineRule="auto"/>
        <w:ind w:firstLine="720"/>
        <w:rPr>
          <w:rFonts w:ascii="Times New Roman" w:eastAsia="Times New Roman" w:hAnsi="Times New Roman" w:cs="Times New Roman"/>
          <w:bCs/>
          <w:sz w:val="24"/>
          <w:szCs w:val="24"/>
        </w:rPr>
      </w:pPr>
      <w:r w:rsidRPr="00827C81">
        <w:rPr>
          <w:rFonts w:ascii="Times New Roman" w:hAnsi="Times New Roman" w:cs="Times New Roman"/>
          <w:bCs/>
          <w:sz w:val="24"/>
          <w:szCs w:val="24"/>
        </w:rPr>
        <w:lastRenderedPageBreak/>
        <w:t>We provided standardised written information (</w:t>
      </w:r>
      <w:r>
        <w:rPr>
          <w:rFonts w:ascii="Times New Roman" w:hAnsi="Times New Roman" w:cs="Times New Roman"/>
          <w:bCs/>
          <w:sz w:val="24"/>
          <w:szCs w:val="24"/>
        </w:rPr>
        <w:t>appendix, pages 2 to 5</w:t>
      </w:r>
      <w:r w:rsidRPr="00827C81">
        <w:rPr>
          <w:rFonts w:ascii="Times New Roman" w:hAnsi="Times New Roman" w:cs="Times New Roman"/>
          <w:bCs/>
          <w:sz w:val="24"/>
          <w:szCs w:val="24"/>
        </w:rPr>
        <w:t xml:space="preserve">), developed with input from PPI representatives, to guide dose titration, advising participants </w:t>
      </w:r>
      <w:r w:rsidRPr="00827C81">
        <w:rPr>
          <w:rFonts w:ascii="Times New Roman" w:hAnsi="Times New Roman" w:cs="Times New Roman"/>
          <w:bCs/>
          <w:noProof/>
          <w:sz w:val="24"/>
          <w:szCs w:val="24"/>
        </w:rPr>
        <w:t xml:space="preserve">to </w:t>
      </w:r>
      <w:r w:rsidRPr="00827C81">
        <w:rPr>
          <w:rFonts w:ascii="Times New Roman" w:hAnsi="Times New Roman" w:cs="Times New Roman"/>
          <w:bCs/>
          <w:sz w:val="24"/>
          <w:szCs w:val="24"/>
        </w:rPr>
        <w:t xml:space="preserve">commence at a dose of 10mg (one tablet) at night with dose titration over 3 weeks, up to a maximum of 30mg at night (three tablets), depending on side effects and symptom response. </w:t>
      </w:r>
      <w:r w:rsidRPr="00827C81">
        <w:rPr>
          <w:rFonts w:ascii="Times New Roman" w:hAnsi="Times New Roman" w:cs="Times New Roman"/>
          <w:bCs/>
          <w:noProof/>
          <w:sz w:val="24"/>
          <w:szCs w:val="24"/>
        </w:rPr>
        <w:t xml:space="preserve">After an initial 3-week titration, with telephone support from a research nurse at 1 and 3 weeks to assess tolerability, it was expected most </w:t>
      </w:r>
      <w:r w:rsidRPr="00827C81">
        <w:rPr>
          <w:rFonts w:ascii="Times New Roman" w:eastAsiaTheme="minorEastAsia" w:hAnsi="Times New Roman" w:cs="Times New Roman"/>
          <w:bCs/>
          <w:sz w:val="24"/>
          <w:szCs w:val="24"/>
          <w:lang w:eastAsia="zh-CN"/>
        </w:rPr>
        <w:t>participants</w:t>
      </w:r>
      <w:r w:rsidRPr="00827C81">
        <w:rPr>
          <w:rFonts w:ascii="Times New Roman" w:hAnsi="Times New Roman" w:cs="Times New Roman"/>
          <w:bCs/>
          <w:noProof/>
          <w:sz w:val="24"/>
          <w:szCs w:val="24"/>
        </w:rPr>
        <w:t xml:space="preserve"> would reach a steady dose. However, </w:t>
      </w:r>
      <w:r w:rsidRPr="00827C81">
        <w:rPr>
          <w:rFonts w:ascii="Times New Roman" w:eastAsiaTheme="minorEastAsia" w:hAnsi="Times New Roman" w:cs="Times New Roman"/>
          <w:bCs/>
          <w:sz w:val="24"/>
          <w:szCs w:val="24"/>
          <w:lang w:eastAsia="zh-CN"/>
        </w:rPr>
        <w:t>participants could</w:t>
      </w:r>
      <w:r w:rsidRPr="00827C81">
        <w:rPr>
          <w:rFonts w:ascii="Times New Roman" w:hAnsi="Times New Roman" w:cs="Times New Roman"/>
          <w:bCs/>
          <w:noProof/>
          <w:sz w:val="24"/>
          <w:szCs w:val="24"/>
        </w:rPr>
        <w:t xml:space="preserve"> modify dose throughout the study in response to IBS symptoms and </w:t>
      </w:r>
      <w:r w:rsidRPr="00827C81">
        <w:rPr>
          <w:rFonts w:ascii="Times New Roman" w:hAnsi="Times New Roman" w:cs="Times New Roman"/>
          <w:bCs/>
          <w:sz w:val="24"/>
          <w:szCs w:val="24"/>
        </w:rPr>
        <w:t>side effects</w:t>
      </w:r>
      <w:r w:rsidRPr="00827C81">
        <w:rPr>
          <w:rFonts w:ascii="Times New Roman" w:hAnsi="Times New Roman" w:cs="Times New Roman"/>
          <w:bCs/>
          <w:noProof/>
          <w:sz w:val="24"/>
          <w:szCs w:val="24"/>
        </w:rPr>
        <w:t xml:space="preserve">, reflecting amitriptyline use in usual care. </w:t>
      </w:r>
      <w:r w:rsidRPr="00827C81">
        <w:rPr>
          <w:rFonts w:ascii="Times New Roman" w:eastAsia="Times New Roman" w:hAnsi="Times New Roman" w:cs="Times New Roman"/>
          <w:bCs/>
          <w:sz w:val="24"/>
          <w:szCs w:val="24"/>
        </w:rPr>
        <w:t xml:space="preserve">Due to the risk of amitriptyline in overdose, trial medication was provided as an initial 1-month supply, followed by a 2-month, and 3-month supply, </w:t>
      </w:r>
      <w:r>
        <w:rPr>
          <w:rFonts w:ascii="Times New Roman" w:eastAsia="Times New Roman" w:hAnsi="Times New Roman" w:cs="Times New Roman"/>
          <w:bCs/>
          <w:sz w:val="24"/>
          <w:szCs w:val="24"/>
        </w:rPr>
        <w:t>with a further two 3-month supplies for those consented to 12-month follow-up. A</w:t>
      </w:r>
      <w:r w:rsidRPr="00827C81">
        <w:rPr>
          <w:rFonts w:ascii="Times New Roman" w:eastAsia="Times New Roman" w:hAnsi="Times New Roman" w:cs="Times New Roman"/>
          <w:bCs/>
          <w:sz w:val="24"/>
          <w:szCs w:val="24"/>
        </w:rPr>
        <w:t xml:space="preserve"> research nurse </w:t>
      </w:r>
      <w:r>
        <w:rPr>
          <w:rFonts w:ascii="Times New Roman" w:eastAsia="Times New Roman" w:hAnsi="Times New Roman" w:cs="Times New Roman"/>
          <w:bCs/>
          <w:sz w:val="24"/>
          <w:szCs w:val="24"/>
        </w:rPr>
        <w:t xml:space="preserve">did a </w:t>
      </w:r>
      <w:r w:rsidRPr="00827C81">
        <w:rPr>
          <w:rFonts w:ascii="Times New Roman" w:eastAsia="Times New Roman" w:hAnsi="Times New Roman" w:cs="Times New Roman"/>
          <w:bCs/>
          <w:sz w:val="24"/>
          <w:szCs w:val="24"/>
        </w:rPr>
        <w:t>telephone review, at week 3 and month 3, to ensure no development of suicidal ideation</w:t>
      </w:r>
      <w:r>
        <w:rPr>
          <w:rFonts w:ascii="Times New Roman" w:eastAsia="Times New Roman" w:hAnsi="Times New Roman" w:cs="Times New Roman"/>
          <w:bCs/>
          <w:sz w:val="24"/>
          <w:szCs w:val="24"/>
        </w:rPr>
        <w:t>, and again at months 6 and 9 in those consented to 12-month follow-up</w:t>
      </w:r>
      <w:r w:rsidRPr="00827C81">
        <w:rPr>
          <w:rFonts w:ascii="Times New Roman" w:eastAsia="Times New Roman" w:hAnsi="Times New Roman" w:cs="Times New Roman"/>
          <w:bCs/>
          <w:sz w:val="24"/>
          <w:szCs w:val="24"/>
        </w:rPr>
        <w:t xml:space="preserve">. </w:t>
      </w:r>
    </w:p>
    <w:p w14:paraId="543027DE" w14:textId="77777777"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eastAsia="Calibri" w:hAnsi="Times New Roman" w:cs="Times New Roman"/>
          <w:bCs/>
          <w:sz w:val="24"/>
          <w:szCs w:val="24"/>
        </w:rPr>
        <w:t xml:space="preserve">All </w:t>
      </w:r>
      <w:r w:rsidRPr="00827C81">
        <w:rPr>
          <w:rFonts w:ascii="Times New Roman" w:eastAsiaTheme="minorEastAsia" w:hAnsi="Times New Roman" w:cs="Times New Roman"/>
          <w:bCs/>
          <w:sz w:val="24"/>
          <w:szCs w:val="24"/>
          <w:lang w:eastAsia="zh-CN"/>
        </w:rPr>
        <w:t>participants</w:t>
      </w:r>
      <w:r w:rsidRPr="00827C81">
        <w:rPr>
          <w:rFonts w:ascii="Times New Roman" w:eastAsia="Calibri" w:hAnsi="Times New Roman" w:cs="Times New Roman"/>
          <w:bCs/>
          <w:sz w:val="24"/>
          <w:szCs w:val="24"/>
        </w:rPr>
        <w:t xml:space="preserve"> completed electronic or postal questionnaires at baseline, and 3</w:t>
      </w:r>
      <w:r>
        <w:rPr>
          <w:rFonts w:ascii="Times New Roman" w:eastAsia="Calibri" w:hAnsi="Times New Roman" w:cs="Times New Roman"/>
          <w:bCs/>
          <w:sz w:val="24"/>
          <w:szCs w:val="24"/>
        </w:rPr>
        <w:t>,</w:t>
      </w:r>
      <w:r w:rsidRPr="00827C81">
        <w:rPr>
          <w:rFonts w:ascii="Times New Roman" w:eastAsia="Calibri" w:hAnsi="Times New Roman" w:cs="Times New Roman"/>
          <w:bCs/>
          <w:sz w:val="24"/>
          <w:szCs w:val="24"/>
        </w:rPr>
        <w:t xml:space="preserve"> 6</w:t>
      </w:r>
      <w:r>
        <w:rPr>
          <w:rFonts w:ascii="Times New Roman" w:eastAsia="Calibri" w:hAnsi="Times New Roman" w:cs="Times New Roman"/>
          <w:bCs/>
          <w:sz w:val="24"/>
          <w:szCs w:val="24"/>
        </w:rPr>
        <w:t>, and 12</w:t>
      </w:r>
      <w:r w:rsidRPr="00827C81">
        <w:rPr>
          <w:rFonts w:ascii="Times New Roman" w:eastAsia="Calibri" w:hAnsi="Times New Roman" w:cs="Times New Roman"/>
          <w:bCs/>
          <w:sz w:val="24"/>
          <w:szCs w:val="24"/>
        </w:rPr>
        <w:t xml:space="preserve"> months, and answered a weekly question </w:t>
      </w:r>
      <w:r w:rsidRPr="00827C81">
        <w:rPr>
          <w:rStyle w:val="normaltextrun"/>
          <w:rFonts w:ascii="Times New Roman" w:hAnsi="Times New Roman" w:cs="Times New Roman"/>
          <w:bCs/>
          <w:sz w:val="24"/>
          <w:szCs w:val="24"/>
          <w:bdr w:val="none" w:sz="0" w:space="0" w:color="auto" w:frame="1"/>
        </w:rPr>
        <w:t>“Have you had adequate relief of your IBS symptoms?”</w:t>
      </w:r>
      <w:r w:rsidRPr="00827C81">
        <w:rPr>
          <w:rFonts w:ascii="Times New Roman" w:eastAsia="Calibri" w:hAnsi="Times New Roman" w:cs="Times New Roman"/>
          <w:bCs/>
          <w:sz w:val="24"/>
          <w:szCs w:val="24"/>
        </w:rPr>
        <w:t xml:space="preserve"> for the entire 6-month study duration. </w:t>
      </w:r>
      <w:r w:rsidRPr="00827C81">
        <w:rPr>
          <w:rFonts w:ascii="Times New Roman" w:hAnsi="Times New Roman" w:cs="Times New Roman"/>
          <w:bCs/>
          <w:sz w:val="24"/>
          <w:szCs w:val="24"/>
        </w:rPr>
        <w:t>Text message and e-mail reminders were sent to non-responders at 1-week to prompt completion, followed by a telephone call as a final reminder.</w:t>
      </w:r>
    </w:p>
    <w:p w14:paraId="56765DB8" w14:textId="77777777" w:rsidR="002754F5" w:rsidRPr="00827C81" w:rsidRDefault="002754F5" w:rsidP="00DB1437">
      <w:pPr>
        <w:spacing w:line="480" w:lineRule="auto"/>
        <w:ind w:firstLine="720"/>
        <w:rPr>
          <w:rFonts w:ascii="Times New Roman" w:hAnsi="Times New Roman" w:cs="Times New Roman"/>
          <w:bCs/>
          <w:sz w:val="24"/>
          <w:szCs w:val="24"/>
        </w:rPr>
      </w:pPr>
    </w:p>
    <w:p w14:paraId="15F62F2B" w14:textId="77777777" w:rsidR="002754F5" w:rsidRPr="00827C81" w:rsidRDefault="002754F5" w:rsidP="00DB1437">
      <w:pPr>
        <w:spacing w:after="0" w:line="480" w:lineRule="auto"/>
        <w:rPr>
          <w:rFonts w:ascii="Times New Roman" w:hAnsi="Times New Roman" w:cs="Times New Roman"/>
          <w:b/>
          <w:sz w:val="24"/>
          <w:szCs w:val="24"/>
        </w:rPr>
      </w:pPr>
      <w:r w:rsidRPr="00827C81">
        <w:rPr>
          <w:rFonts w:ascii="Times New Roman" w:hAnsi="Times New Roman" w:cs="Times New Roman"/>
          <w:b/>
          <w:sz w:val="24"/>
          <w:szCs w:val="24"/>
        </w:rPr>
        <w:t>Outcomes</w:t>
      </w:r>
    </w:p>
    <w:p w14:paraId="207C3780" w14:textId="799CC30E" w:rsidR="002754F5" w:rsidRPr="00827C81" w:rsidRDefault="002754F5" w:rsidP="00DB1437">
      <w:pPr>
        <w:spacing w:line="480" w:lineRule="auto"/>
        <w:ind w:firstLine="709"/>
        <w:rPr>
          <w:rFonts w:ascii="Times New Roman" w:hAnsi="Times New Roman" w:cs="Times New Roman"/>
          <w:bCs/>
          <w:noProof/>
          <w:sz w:val="24"/>
          <w:szCs w:val="24"/>
        </w:rPr>
      </w:pPr>
      <w:bookmarkStart w:id="17" w:name="_Hlk92287762"/>
      <w:r w:rsidRPr="00827C81">
        <w:rPr>
          <w:rFonts w:ascii="Times New Roman" w:hAnsi="Times New Roman" w:cs="Times New Roman"/>
          <w:bCs/>
          <w:sz w:val="24"/>
          <w:szCs w:val="24"/>
        </w:rPr>
        <w:t xml:space="preserve">Full definitions of outcomes are provided in the </w:t>
      </w:r>
      <w:r w:rsidR="00A06A6E">
        <w:rPr>
          <w:rFonts w:ascii="Times New Roman" w:hAnsi="Times New Roman" w:cs="Times New Roman"/>
          <w:bCs/>
          <w:sz w:val="24"/>
          <w:szCs w:val="24"/>
        </w:rPr>
        <w:t>appendix (pages 6 to 7)</w:t>
      </w:r>
      <w:r w:rsidRPr="00827C81">
        <w:rPr>
          <w:rFonts w:ascii="Times New Roman" w:hAnsi="Times New Roman" w:cs="Times New Roman"/>
          <w:bCs/>
          <w:sz w:val="24"/>
          <w:szCs w:val="24"/>
        </w:rPr>
        <w:t>. The primary outcome was the effect on global IBS symptoms, measured by the IBS-SSS,</w:t>
      </w:r>
      <w:r w:rsidRPr="00827C81">
        <w:rPr>
          <w:rFonts w:ascii="Times New Roman" w:hAnsi="Times New Roman" w:cs="Times New Roman"/>
          <w:bCs/>
          <w:noProof/>
          <w:sz w:val="24"/>
          <w:szCs w:val="24"/>
          <w:vertAlign w:val="superscript"/>
        </w:rPr>
        <w:t>32</w:t>
      </w:r>
      <w:r w:rsidRPr="00827C81">
        <w:rPr>
          <w:rFonts w:ascii="Times New Roman" w:hAnsi="Times New Roman" w:cs="Times New Roman"/>
          <w:bCs/>
          <w:noProof/>
          <w:sz w:val="24"/>
          <w:szCs w:val="24"/>
        </w:rPr>
        <w:t xml:space="preserve"> 6 months after randomisation. A key secondary outcome was </w:t>
      </w:r>
      <w:r w:rsidRPr="00827C81">
        <w:rPr>
          <w:rFonts w:ascii="Times New Roman" w:eastAsia="Times New Roman" w:hAnsi="Times New Roman" w:cs="Times New Roman"/>
          <w:bCs/>
          <w:sz w:val="24"/>
          <w:szCs w:val="24"/>
        </w:rPr>
        <w:t>relief of IBS symptoms, measured by subjective global assessment (SGA) of relief of IBS symptoms at 6 months,</w:t>
      </w:r>
      <w:r w:rsidRPr="00827C81">
        <w:rPr>
          <w:rFonts w:ascii="Times New Roman" w:hAnsi="Times New Roman" w:cs="Times New Roman"/>
          <w:bCs/>
          <w:noProof/>
          <w:sz w:val="24"/>
          <w:szCs w:val="24"/>
          <w:vertAlign w:val="superscript"/>
        </w:rPr>
        <w:t>37</w:t>
      </w:r>
      <w:r w:rsidRPr="00827C81">
        <w:rPr>
          <w:rFonts w:ascii="Times New Roman" w:eastAsia="Times New Roman" w:hAnsi="Times New Roman" w:cs="Times New Roman"/>
          <w:bCs/>
          <w:sz w:val="24"/>
          <w:szCs w:val="24"/>
        </w:rPr>
        <w:t xml:space="preserve"> with responders </w:t>
      </w:r>
      <w:r w:rsidRPr="00827C81">
        <w:rPr>
          <w:rFonts w:ascii="Times New Roman" w:eastAsia="Times New Roman" w:hAnsi="Times New Roman" w:cs="Times New Roman"/>
          <w:bCs/>
          <w:sz w:val="24"/>
          <w:szCs w:val="24"/>
        </w:rPr>
        <w:lastRenderedPageBreak/>
        <w:t xml:space="preserve">defined as participants reporting symptoms as at least somewhat relieved. </w:t>
      </w:r>
      <w:r w:rsidRPr="00827C81">
        <w:rPr>
          <w:rFonts w:ascii="Times New Roman" w:hAnsi="Times New Roman" w:cs="Times New Roman"/>
          <w:bCs/>
          <w:noProof/>
          <w:sz w:val="24"/>
          <w:szCs w:val="24"/>
        </w:rPr>
        <w:t xml:space="preserve">Other secondary outcomes included effect on </w:t>
      </w:r>
      <w:r w:rsidRPr="00827C81">
        <w:rPr>
          <w:rFonts w:ascii="Times New Roman" w:eastAsia="Times New Roman" w:hAnsi="Times New Roman" w:cs="Times New Roman"/>
          <w:bCs/>
          <w:sz w:val="24"/>
          <w:szCs w:val="24"/>
        </w:rPr>
        <w:t>global IBS symptoms, via the IBS-SSS,</w:t>
      </w:r>
      <w:r w:rsidRPr="00827C81">
        <w:rPr>
          <w:rFonts w:ascii="Times New Roman" w:hAnsi="Times New Roman" w:cs="Times New Roman"/>
          <w:bCs/>
          <w:noProof/>
          <w:sz w:val="24"/>
          <w:szCs w:val="24"/>
        </w:rPr>
        <w:t xml:space="preserve"> </w:t>
      </w:r>
      <w:r w:rsidRPr="00827C81">
        <w:rPr>
          <w:rFonts w:ascii="Times New Roman" w:eastAsia="Times New Roman" w:hAnsi="Times New Roman" w:cs="Times New Roman"/>
          <w:bCs/>
          <w:sz w:val="24"/>
          <w:szCs w:val="24"/>
        </w:rPr>
        <w:t>and SGA of relief of IBS symptoms at 3 and 12 months, and a weekly</w:t>
      </w:r>
      <w:r w:rsidRPr="00827C81">
        <w:rPr>
          <w:rFonts w:ascii="Times New Roman" w:hAnsi="Times New Roman" w:cs="Times New Roman"/>
          <w:bCs/>
          <w:sz w:val="24"/>
          <w:szCs w:val="24"/>
        </w:rPr>
        <w:t xml:space="preserve"> </w:t>
      </w:r>
      <w:r w:rsidRPr="00827C81">
        <w:rPr>
          <w:rFonts w:ascii="Times New Roman" w:eastAsia="Times New Roman" w:hAnsi="Times New Roman" w:cs="Times New Roman"/>
          <w:bCs/>
          <w:sz w:val="24"/>
          <w:szCs w:val="24"/>
        </w:rPr>
        <w:t>response to the question “Have you had adequate relief of your IBS symptoms?” with responders defined as participants reporting adequate relief for ≥50% of weeks at 6 months. We assessed IBS-associated somatic symptoms,</w:t>
      </w:r>
      <w:r w:rsidRPr="00827C81">
        <w:rPr>
          <w:rFonts w:ascii="Times New Roman" w:eastAsia="Times New Roman" w:hAnsi="Times New Roman" w:cs="Times New Roman"/>
          <w:bCs/>
          <w:noProof/>
          <w:sz w:val="24"/>
          <w:szCs w:val="24"/>
          <w:vertAlign w:val="superscript"/>
        </w:rPr>
        <w:t>38</w:t>
      </w:r>
      <w:r w:rsidRPr="00827C81">
        <w:rPr>
          <w:rFonts w:ascii="Times New Roman" w:eastAsia="Times New Roman" w:hAnsi="Times New Roman" w:cs="Times New Roman"/>
          <w:bCs/>
          <w:sz w:val="24"/>
          <w:szCs w:val="24"/>
        </w:rPr>
        <w:t xml:space="preserve"> using the </w:t>
      </w:r>
      <w:r w:rsidRPr="00827C81">
        <w:rPr>
          <w:rFonts w:ascii="Times New Roman" w:hAnsi="Times New Roman" w:cs="Times New Roman"/>
          <w:bCs/>
          <w:sz w:val="24"/>
          <w:szCs w:val="24"/>
        </w:rPr>
        <w:t xml:space="preserve">Patient Health Questionnaire-12 (PHQ-12) </w:t>
      </w:r>
      <w:r w:rsidRPr="00827C81">
        <w:rPr>
          <w:rFonts w:ascii="Times New Roman" w:eastAsia="Times New Roman" w:hAnsi="Times New Roman" w:cs="Times New Roman"/>
          <w:bCs/>
          <w:sz w:val="24"/>
          <w:szCs w:val="24"/>
        </w:rPr>
        <w:t>at 6 months.</w:t>
      </w:r>
      <w:r w:rsidRPr="00827C81">
        <w:rPr>
          <w:rFonts w:ascii="Times New Roman" w:hAnsi="Times New Roman" w:cs="Times New Roman"/>
          <w:bCs/>
          <w:noProof/>
          <w:sz w:val="24"/>
          <w:szCs w:val="24"/>
          <w:vertAlign w:val="superscript"/>
        </w:rPr>
        <w:t>39</w:t>
      </w:r>
      <w:r w:rsidRPr="00827C81">
        <w:rPr>
          <w:rFonts w:ascii="Times New Roman" w:hAnsi="Times New Roman" w:cs="Times New Roman"/>
          <w:bCs/>
          <w:sz w:val="24"/>
          <w:szCs w:val="24"/>
        </w:rPr>
        <w:t xml:space="preserve"> </w:t>
      </w:r>
      <w:bookmarkEnd w:id="17"/>
      <w:r w:rsidRPr="00827C81">
        <w:rPr>
          <w:rFonts w:ascii="Times New Roman" w:hAnsi="Times New Roman" w:cs="Times New Roman"/>
          <w:bCs/>
          <w:sz w:val="24"/>
          <w:szCs w:val="24"/>
        </w:rPr>
        <w:t>A</w:t>
      </w:r>
      <w:r w:rsidRPr="00827C81">
        <w:rPr>
          <w:rFonts w:ascii="Times New Roman" w:eastAsia="Times New Roman" w:hAnsi="Times New Roman" w:cs="Times New Roman"/>
          <w:bCs/>
          <w:sz w:val="24"/>
          <w:szCs w:val="24"/>
        </w:rPr>
        <w:t xml:space="preserve">nxiety and depression scores, via the </w:t>
      </w:r>
      <w:r w:rsidRPr="00827C81">
        <w:rPr>
          <w:rFonts w:ascii="Times New Roman" w:hAnsi="Times New Roman" w:cs="Times New Roman"/>
          <w:bCs/>
          <w:sz w:val="24"/>
          <w:szCs w:val="24"/>
        </w:rPr>
        <w:t>HADS,</w:t>
      </w:r>
      <w:r w:rsidRPr="00827C81">
        <w:rPr>
          <w:rFonts w:ascii="Times New Roman" w:hAnsi="Times New Roman" w:cs="Times New Roman"/>
          <w:bCs/>
          <w:noProof/>
          <w:sz w:val="24"/>
          <w:szCs w:val="24"/>
          <w:vertAlign w:val="superscript"/>
        </w:rPr>
        <w:t>35</w:t>
      </w:r>
      <w:r w:rsidRPr="00827C81">
        <w:rPr>
          <w:rFonts w:ascii="Times New Roman" w:hAnsi="Times New Roman" w:cs="Times New Roman"/>
          <w:bCs/>
          <w:sz w:val="24"/>
          <w:szCs w:val="24"/>
        </w:rPr>
        <w:t xml:space="preserve"> a</w:t>
      </w:r>
      <w:r w:rsidRPr="00827C81">
        <w:rPr>
          <w:rFonts w:ascii="Times New Roman" w:eastAsia="Times New Roman" w:hAnsi="Times New Roman" w:cs="Times New Roman"/>
          <w:bCs/>
          <w:sz w:val="24"/>
          <w:szCs w:val="24"/>
        </w:rPr>
        <w:t xml:space="preserve">bility to work and participate in other activities, using the </w:t>
      </w:r>
      <w:r w:rsidRPr="00827C81">
        <w:rPr>
          <w:rFonts w:ascii="Times New Roman" w:hAnsi="Times New Roman" w:cs="Times New Roman"/>
          <w:bCs/>
          <w:sz w:val="24"/>
          <w:szCs w:val="24"/>
        </w:rPr>
        <w:t>Work and Social Adjustment Scale (WSAS)</w:t>
      </w:r>
      <w:r w:rsidRPr="00827C81">
        <w:rPr>
          <w:rFonts w:ascii="Times New Roman" w:eastAsia="Times New Roman" w:hAnsi="Times New Roman" w:cs="Times New Roman"/>
          <w:bCs/>
          <w:sz w:val="24"/>
          <w:szCs w:val="24"/>
        </w:rPr>
        <w:t>,</w:t>
      </w:r>
      <w:r w:rsidRPr="00827C81">
        <w:rPr>
          <w:rFonts w:ascii="Times New Roman" w:hAnsi="Times New Roman" w:cs="Times New Roman"/>
          <w:bCs/>
          <w:noProof/>
          <w:sz w:val="24"/>
          <w:szCs w:val="24"/>
          <w:vertAlign w:val="superscript"/>
        </w:rPr>
        <w:t>40</w:t>
      </w:r>
      <w:r w:rsidRPr="00827C81">
        <w:rPr>
          <w:rFonts w:ascii="Times New Roman" w:eastAsia="Times New Roman" w:hAnsi="Times New Roman" w:cs="Times New Roman"/>
          <w:bCs/>
          <w:sz w:val="24"/>
          <w:szCs w:val="24"/>
        </w:rPr>
        <w:t xml:space="preserve"> self-reported adherence to treatment, and tolerability of treatment, using the validated </w:t>
      </w:r>
      <w:r w:rsidRPr="00827C81">
        <w:rPr>
          <w:rFonts w:ascii="Times New Roman" w:hAnsi="Times New Roman" w:cs="Times New Roman"/>
          <w:bCs/>
          <w:noProof/>
          <w:sz w:val="24"/>
          <w:szCs w:val="24"/>
        </w:rPr>
        <w:t>Antidepressant Side Effect Checklist (ASEC),</w:t>
      </w:r>
      <w:r w:rsidRPr="00827C81">
        <w:rPr>
          <w:rFonts w:ascii="Times New Roman" w:hAnsi="Times New Roman" w:cs="Times New Roman"/>
          <w:bCs/>
          <w:noProof/>
          <w:sz w:val="24"/>
          <w:szCs w:val="24"/>
          <w:vertAlign w:val="superscript"/>
        </w:rPr>
        <w:t>41</w:t>
      </w:r>
      <w:r w:rsidRPr="00827C81">
        <w:rPr>
          <w:rFonts w:ascii="Times New Roman" w:hAnsi="Times New Roman" w:cs="Times New Roman"/>
          <w:bCs/>
          <w:noProof/>
          <w:sz w:val="24"/>
          <w:szCs w:val="24"/>
        </w:rPr>
        <w:t xml:space="preserve"> were assessed at 3, 6, and 12 months.</w:t>
      </w:r>
    </w:p>
    <w:p w14:paraId="5869E9CA" w14:textId="77777777" w:rsidR="002754F5" w:rsidRPr="00827C81" w:rsidRDefault="002754F5" w:rsidP="00DB1437">
      <w:pPr>
        <w:spacing w:line="480" w:lineRule="auto"/>
        <w:ind w:firstLine="709"/>
        <w:rPr>
          <w:rFonts w:ascii="Times New Roman" w:hAnsi="Times New Roman" w:cs="Times New Roman"/>
          <w:bCs/>
          <w:noProof/>
          <w:sz w:val="24"/>
          <w:szCs w:val="24"/>
        </w:rPr>
      </w:pPr>
    </w:p>
    <w:p w14:paraId="723ABE60"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Statistical Analysis</w:t>
      </w:r>
    </w:p>
    <w:p w14:paraId="52A65A77" w14:textId="77777777" w:rsidR="002754F5" w:rsidRPr="00827C81" w:rsidRDefault="002754F5" w:rsidP="00DB1437">
      <w:pPr>
        <w:spacing w:line="480" w:lineRule="auto"/>
        <w:ind w:firstLine="720"/>
        <w:rPr>
          <w:rFonts w:ascii="Times New Roman" w:hAnsi="Times New Roman" w:cs="Times New Roman"/>
          <w:bCs/>
          <w:sz w:val="24"/>
          <w:szCs w:val="24"/>
        </w:rPr>
      </w:pPr>
      <w:bookmarkStart w:id="18" w:name="_Hlk119681065"/>
      <w:r w:rsidRPr="00827C81">
        <w:rPr>
          <w:rFonts w:ascii="Times New Roman" w:hAnsi="Times New Roman" w:cs="Times New Roman"/>
          <w:bCs/>
          <w:sz w:val="24"/>
          <w:szCs w:val="24"/>
        </w:rPr>
        <w:t xml:space="preserve">We estimated an evaluable sample size of 414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s provide</w:t>
      </w:r>
      <w:r>
        <w:rPr>
          <w:rFonts w:ascii="Times New Roman" w:hAnsi="Times New Roman" w:cs="Times New Roman"/>
          <w:bCs/>
          <w:sz w:val="24"/>
          <w:szCs w:val="24"/>
        </w:rPr>
        <w:t>d</w:t>
      </w:r>
      <w:r w:rsidRPr="00827C81">
        <w:rPr>
          <w:rFonts w:ascii="Times New Roman" w:hAnsi="Times New Roman" w:cs="Times New Roman"/>
          <w:bCs/>
          <w:sz w:val="24"/>
          <w:szCs w:val="24"/>
        </w:rPr>
        <w:t xml:space="preserve"> 90% power to detect a minimum clinically important difference (MCID) of 35 points between amitriptyline and placebo at 6 months on the IBS-SSS, proposed in a previous trial of cognitive behavioural therapy in IBS,</w:t>
      </w:r>
      <w:r w:rsidRPr="00827C81">
        <w:rPr>
          <w:rFonts w:ascii="Times New Roman" w:hAnsi="Times New Roman" w:cs="Times New Roman"/>
          <w:bCs/>
          <w:noProof/>
          <w:sz w:val="24"/>
          <w:szCs w:val="24"/>
          <w:vertAlign w:val="superscript"/>
        </w:rPr>
        <w:t>42,43</w:t>
      </w:r>
      <w:r w:rsidRPr="00827C81">
        <w:rPr>
          <w:rFonts w:ascii="Times New Roman" w:hAnsi="Times New Roman" w:cs="Times New Roman"/>
          <w:bCs/>
          <w:sz w:val="24"/>
          <w:szCs w:val="24"/>
        </w:rPr>
        <w:t xml:space="preserve"> assuming a maximum IBS-SSS standard deviation (SD) of 110 points,</w:t>
      </w:r>
      <w:r w:rsidRPr="00827C81">
        <w:rPr>
          <w:rFonts w:ascii="Times New Roman" w:hAnsi="Times New Roman" w:cs="Times New Roman"/>
          <w:bCs/>
          <w:noProof/>
          <w:sz w:val="24"/>
          <w:szCs w:val="24"/>
          <w:vertAlign w:val="superscript"/>
        </w:rPr>
        <w:t>44,45</w:t>
      </w:r>
      <w:r w:rsidRPr="00827C81">
        <w:rPr>
          <w:rFonts w:ascii="Times New Roman" w:hAnsi="Times New Roman" w:cs="Times New Roman"/>
          <w:bCs/>
          <w:sz w:val="24"/>
          <w:szCs w:val="24"/>
        </w:rPr>
        <w:t xml:space="preserve"> and 5% significance. This equates to a small to moderate effect size of 0.32. The sample size provided at least 85% power to detect a 15% absolute difference in the key secondary outcome of SGA of relief of IBS symptoms at 6 months.</w:t>
      </w:r>
      <w:r w:rsidRPr="00827C81">
        <w:rPr>
          <w:rFonts w:ascii="Times New Roman" w:hAnsi="Times New Roman" w:cs="Times New Roman"/>
          <w:bCs/>
          <w:noProof/>
          <w:sz w:val="24"/>
          <w:szCs w:val="24"/>
          <w:vertAlign w:val="superscript"/>
        </w:rPr>
        <w:t>37</w:t>
      </w:r>
      <w:r w:rsidRPr="00827C81">
        <w:rPr>
          <w:rFonts w:ascii="Times New Roman" w:hAnsi="Times New Roman" w:cs="Times New Roman"/>
          <w:bCs/>
          <w:sz w:val="24"/>
          <w:szCs w:val="24"/>
        </w:rPr>
        <w:t xml:space="preserve"> We planned to recruit 518 participants, allowing for 20% loss to follow-up.</w:t>
      </w:r>
      <w:r w:rsidRPr="00827C81">
        <w:rPr>
          <w:rFonts w:ascii="Times New Roman" w:hAnsi="Times New Roman" w:cs="Times New Roman"/>
          <w:bCs/>
          <w:noProof/>
          <w:sz w:val="24"/>
          <w:szCs w:val="24"/>
          <w:vertAlign w:val="superscript"/>
        </w:rPr>
        <w:t>30</w:t>
      </w:r>
    </w:p>
    <w:bookmarkEnd w:id="18"/>
    <w:p w14:paraId="52E96F28" w14:textId="0A2305A2"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shd w:val="clear" w:color="auto" w:fill="FFFFFF"/>
        </w:rPr>
        <w:t xml:space="preserve">We analysed effectiveness outcomes in the intention-to-treat population, defined as all </w:t>
      </w:r>
      <w:r w:rsidRPr="00827C81">
        <w:rPr>
          <w:rFonts w:ascii="Times New Roman" w:eastAsiaTheme="minorEastAsia" w:hAnsi="Times New Roman" w:cs="Times New Roman"/>
          <w:bCs/>
          <w:sz w:val="24"/>
          <w:szCs w:val="24"/>
          <w:lang w:eastAsia="zh-CN"/>
        </w:rPr>
        <w:t>participants</w:t>
      </w:r>
      <w:r w:rsidRPr="00827C81">
        <w:rPr>
          <w:rFonts w:ascii="Times New Roman" w:hAnsi="Times New Roman" w:cs="Times New Roman"/>
          <w:bCs/>
          <w:sz w:val="24"/>
          <w:szCs w:val="24"/>
          <w:shd w:val="clear" w:color="auto" w:fill="FFFFFF"/>
        </w:rPr>
        <w:t xml:space="preserve"> randomised, regardless of adherence. </w:t>
      </w:r>
      <w:r>
        <w:rPr>
          <w:rFonts w:ascii="Times New Roman" w:hAnsi="Times New Roman" w:cs="Times New Roman"/>
          <w:bCs/>
          <w:sz w:val="24"/>
          <w:szCs w:val="24"/>
          <w:shd w:val="clear" w:color="auto" w:fill="FFFFFF"/>
        </w:rPr>
        <w:t xml:space="preserve">Similarly, for 12-month outcomes these were analysed in the intention-to-treat population, </w:t>
      </w:r>
      <w:r w:rsidRPr="00FF1021">
        <w:rPr>
          <w:rFonts w:ascii="Times New Roman" w:hAnsi="Times New Roman" w:cs="Times New Roman"/>
          <w:bCs/>
          <w:sz w:val="24"/>
          <w:szCs w:val="24"/>
          <w:shd w:val="clear" w:color="auto" w:fill="FFFFFF"/>
        </w:rPr>
        <w:t xml:space="preserve">defined as all </w:t>
      </w:r>
      <w:r w:rsidRPr="00FF1021">
        <w:rPr>
          <w:rFonts w:ascii="Times New Roman" w:eastAsiaTheme="minorEastAsia" w:hAnsi="Times New Roman" w:cs="Times New Roman"/>
          <w:bCs/>
          <w:sz w:val="24"/>
          <w:szCs w:val="24"/>
          <w:lang w:eastAsia="zh-CN"/>
        </w:rPr>
        <w:t>participants</w:t>
      </w:r>
      <w:r w:rsidRPr="00FF1021">
        <w:rPr>
          <w:rFonts w:ascii="Times New Roman" w:hAnsi="Times New Roman" w:cs="Times New Roman"/>
          <w:bCs/>
          <w:sz w:val="24"/>
          <w:szCs w:val="24"/>
          <w:shd w:val="clear" w:color="auto" w:fill="FFFFFF"/>
        </w:rPr>
        <w:t xml:space="preserve"> randomised</w:t>
      </w:r>
      <w:r>
        <w:rPr>
          <w:rFonts w:ascii="Times New Roman" w:hAnsi="Times New Roman" w:cs="Times New Roman"/>
          <w:bCs/>
          <w:sz w:val="24"/>
          <w:szCs w:val="24"/>
          <w:shd w:val="clear" w:color="auto" w:fill="FFFFFF"/>
        </w:rPr>
        <w:t xml:space="preserve"> to 12-month follow-up, regardless of adherence. </w:t>
      </w:r>
      <w:r w:rsidRPr="00827C81">
        <w:rPr>
          <w:rFonts w:ascii="Times New Roman" w:hAnsi="Times New Roman" w:cs="Times New Roman"/>
          <w:bCs/>
          <w:sz w:val="24"/>
          <w:szCs w:val="24"/>
          <w:shd w:val="clear" w:color="auto" w:fill="FFFFFF"/>
        </w:rPr>
        <w:t xml:space="preserve">All statistical testing used two-sided 5% </w:t>
      </w:r>
      <w:r w:rsidRPr="00827C81">
        <w:rPr>
          <w:rFonts w:ascii="Times New Roman" w:hAnsi="Times New Roman" w:cs="Times New Roman"/>
          <w:bCs/>
          <w:sz w:val="24"/>
          <w:szCs w:val="24"/>
          <w:shd w:val="clear" w:color="auto" w:fill="FFFFFF"/>
        </w:rPr>
        <w:lastRenderedPageBreak/>
        <w:t xml:space="preserve">significance levels, performed in SAS, version 9.4. We </w:t>
      </w:r>
      <w:r>
        <w:rPr>
          <w:rFonts w:ascii="Times New Roman" w:hAnsi="Times New Roman" w:cs="Times New Roman"/>
          <w:bCs/>
          <w:sz w:val="24"/>
          <w:szCs w:val="24"/>
          <w:shd w:val="clear" w:color="auto" w:fill="FFFFFF"/>
        </w:rPr>
        <w:t>undertook</w:t>
      </w:r>
      <w:r w:rsidRPr="00827C81">
        <w:rPr>
          <w:rFonts w:ascii="Times New Roman" w:hAnsi="Times New Roman" w:cs="Times New Roman"/>
          <w:bCs/>
          <w:sz w:val="24"/>
          <w:szCs w:val="24"/>
          <w:shd w:val="clear" w:color="auto" w:fill="FFFFFF"/>
        </w:rPr>
        <w:t xml:space="preserve"> final analysis of outcomes data once after data lock, with </w:t>
      </w:r>
      <w:r w:rsidRPr="00827C81">
        <w:rPr>
          <w:rFonts w:ascii="Times New Roman" w:hAnsi="Times New Roman" w:cs="Times New Roman"/>
          <w:bCs/>
          <w:sz w:val="24"/>
          <w:szCs w:val="24"/>
        </w:rPr>
        <w:t xml:space="preserve">no interim analyses. We analysed the primary outcome using a linear regression model, adjusted for true values of minimisation variables and IBS-SSS score at baseline, to test for differences between treatment groups on the IBS-SSS at 6 months. We imputed missing data by treatment arm via multiple imputation by chained equations with 25 imputations, including recruitment hub, IBS subtype, sex, age, baseline questionnaire scores (IBS-SSS, PHQ-12, HADS, and WSAS), 3-month IBS-SSS score, and 6-month treatment status in the model. </w:t>
      </w:r>
      <w:bookmarkStart w:id="19" w:name="_Hlk138754666"/>
      <w:r w:rsidRPr="00F95A3F">
        <w:rPr>
          <w:rFonts w:ascii="Times New Roman" w:hAnsi="Times New Roman" w:cs="Times New Roman"/>
          <w:bCs/>
          <w:sz w:val="24"/>
          <w:szCs w:val="24"/>
        </w:rPr>
        <w:t>Results were calculated using</w:t>
      </w:r>
      <w:r>
        <w:rPr>
          <w:rFonts w:ascii="Times New Roman" w:hAnsi="Times New Roman" w:cs="Times New Roman"/>
          <w:bCs/>
          <w:sz w:val="24"/>
          <w:szCs w:val="24"/>
        </w:rPr>
        <w:t xml:space="preserve"> </w:t>
      </w:r>
      <w:r w:rsidRPr="00F95A3F">
        <w:rPr>
          <w:rFonts w:ascii="Times New Roman" w:hAnsi="Times New Roman" w:cs="Times New Roman"/>
          <w:bCs/>
          <w:sz w:val="24"/>
          <w:szCs w:val="24"/>
        </w:rPr>
        <w:t>Rubin’s rules</w:t>
      </w:r>
      <w:r>
        <w:rPr>
          <w:rFonts w:ascii="Times New Roman" w:hAnsi="Times New Roman" w:cs="Times New Roman"/>
          <w:bCs/>
          <w:sz w:val="24"/>
          <w:szCs w:val="24"/>
        </w:rPr>
        <w:t xml:space="preserve"> </w:t>
      </w:r>
      <w:r w:rsidRPr="00F95A3F">
        <w:rPr>
          <w:rFonts w:ascii="Times New Roman" w:hAnsi="Times New Roman" w:cs="Times New Roman"/>
          <w:bCs/>
          <w:sz w:val="24"/>
          <w:szCs w:val="24"/>
        </w:rPr>
        <w:t>for combining results of identical analyses performed on each of the imputed data sets</w:t>
      </w:r>
      <w:bookmarkEnd w:id="19"/>
      <w:r w:rsidRPr="00F95A3F">
        <w:rPr>
          <w:rFonts w:ascii="Times New Roman" w:hAnsi="Times New Roman" w:cs="Times New Roman"/>
          <w:bCs/>
          <w:sz w:val="24"/>
          <w:szCs w:val="24"/>
        </w:rPr>
        <w:t>.</w:t>
      </w:r>
      <w:r w:rsidRPr="00ED2460">
        <w:rPr>
          <w:rFonts w:ascii="Times New Roman" w:hAnsi="Times New Roman" w:cs="Times New Roman"/>
          <w:bCs/>
          <w:noProof/>
          <w:sz w:val="24"/>
          <w:szCs w:val="24"/>
          <w:vertAlign w:val="superscript"/>
        </w:rPr>
        <w:t>46</w:t>
      </w:r>
      <w:r>
        <w:rPr>
          <w:rFonts w:ascii="Times New Roman" w:hAnsi="Times New Roman" w:cs="Times New Roman"/>
          <w:bCs/>
          <w:sz w:val="24"/>
          <w:szCs w:val="24"/>
        </w:rPr>
        <w:t xml:space="preserve"> </w:t>
      </w:r>
      <w:r w:rsidRPr="00827C81">
        <w:rPr>
          <w:rFonts w:ascii="Times New Roman" w:hAnsi="Times New Roman" w:cs="Times New Roman"/>
          <w:bCs/>
          <w:sz w:val="24"/>
          <w:szCs w:val="24"/>
        </w:rPr>
        <w:t xml:space="preserve">Sensitivity analyses on the per protocol population (defined as </w:t>
      </w:r>
      <w:r w:rsidRPr="00827C81">
        <w:rPr>
          <w:rFonts w:ascii="Times New Roman" w:hAnsi="Times New Roman" w:cs="Times New Roman"/>
          <w:sz w:val="24"/>
          <w:szCs w:val="24"/>
        </w:rPr>
        <w:t xml:space="preserve">participants who were not major protocol violators, received a full 6 </w:t>
      </w:r>
      <w:proofErr w:type="gramStart"/>
      <w:r w:rsidRPr="00827C81">
        <w:rPr>
          <w:rFonts w:ascii="Times New Roman" w:hAnsi="Times New Roman" w:cs="Times New Roman"/>
          <w:sz w:val="24"/>
          <w:szCs w:val="24"/>
        </w:rPr>
        <w:t>months</w:t>
      </w:r>
      <w:proofErr w:type="gramEnd"/>
      <w:r w:rsidRPr="00827C81">
        <w:rPr>
          <w:rFonts w:ascii="Times New Roman" w:hAnsi="Times New Roman" w:cs="Times New Roman"/>
          <w:sz w:val="24"/>
          <w:szCs w:val="24"/>
        </w:rPr>
        <w:t xml:space="preserve"> treatment, and adhered to trial medication; </w:t>
      </w:r>
      <w:r>
        <w:rPr>
          <w:rFonts w:ascii="Times New Roman" w:hAnsi="Times New Roman" w:cs="Times New Roman"/>
          <w:bCs/>
          <w:sz w:val="24"/>
          <w:szCs w:val="24"/>
        </w:rPr>
        <w:t xml:space="preserve">appendix, page </w:t>
      </w:r>
      <w:r w:rsidR="00A06A6E">
        <w:rPr>
          <w:rFonts w:ascii="Times New Roman" w:hAnsi="Times New Roman" w:cs="Times New Roman"/>
          <w:bCs/>
          <w:sz w:val="24"/>
          <w:szCs w:val="24"/>
        </w:rPr>
        <w:t>10</w:t>
      </w:r>
      <w:r w:rsidRPr="00827C81">
        <w:rPr>
          <w:rFonts w:ascii="Times New Roman" w:hAnsi="Times New Roman" w:cs="Times New Roman"/>
          <w:bCs/>
          <w:sz w:val="24"/>
          <w:szCs w:val="24"/>
        </w:rPr>
        <w:t xml:space="preserve">), and on </w:t>
      </w:r>
      <w:r w:rsidRPr="00827C81">
        <w:rPr>
          <w:rFonts w:ascii="Times New Roman" w:eastAsiaTheme="minorEastAsia" w:hAnsi="Times New Roman" w:cs="Times New Roman"/>
          <w:bCs/>
          <w:sz w:val="24"/>
          <w:szCs w:val="24"/>
          <w:lang w:eastAsia="zh-CN"/>
        </w:rPr>
        <w:t>participants</w:t>
      </w:r>
      <w:r w:rsidRPr="00827C81">
        <w:rPr>
          <w:rFonts w:ascii="Times New Roman" w:hAnsi="Times New Roman" w:cs="Times New Roman"/>
          <w:bCs/>
          <w:sz w:val="24"/>
          <w:szCs w:val="24"/>
        </w:rPr>
        <w:t xml:space="preserve"> with complete data, tested robustness of results for the primary outcome. Results were expressed as point estimates, together with 95% confidence intervals (CIs) and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-values.</w:t>
      </w:r>
    </w:p>
    <w:p w14:paraId="605A28E5" w14:textId="7C9BD451" w:rsidR="002754F5"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rPr>
        <w:t>We analysed secondary binary (SGA of relief and acceptability) outcomes similarly in logistic or ordinal (adherence</w:t>
      </w:r>
      <w:r>
        <w:rPr>
          <w:rFonts w:ascii="Times New Roman" w:hAnsi="Times New Roman" w:cs="Times New Roman"/>
          <w:bCs/>
          <w:sz w:val="24"/>
          <w:szCs w:val="24"/>
        </w:rPr>
        <w:t>, using the cumulative logits</w:t>
      </w:r>
      <w:r w:rsidRPr="00827C81">
        <w:rPr>
          <w:rFonts w:ascii="Times New Roman" w:hAnsi="Times New Roman" w:cs="Times New Roman"/>
          <w:bCs/>
          <w:sz w:val="24"/>
          <w:szCs w:val="24"/>
        </w:rPr>
        <w:t>) regression models, expressing results as odds ratios (ORs) with 95% CIs.</w:t>
      </w:r>
      <w:r w:rsidRPr="00827C81">
        <w:rPr>
          <w:rFonts w:ascii="Times New Roman" w:hAnsi="Times New Roman" w:cs="Times New Roman"/>
          <w:bCs/>
          <w:i/>
          <w:iCs/>
          <w:sz w:val="24"/>
          <w:szCs w:val="24"/>
        </w:rPr>
        <w:t xml:space="preserve"> </w:t>
      </w:r>
      <w:r w:rsidRPr="00827C81">
        <w:rPr>
          <w:rFonts w:ascii="Times New Roman" w:hAnsi="Times New Roman" w:cs="Times New Roman"/>
          <w:bCs/>
          <w:sz w:val="24"/>
          <w:szCs w:val="24"/>
        </w:rPr>
        <w:t>We analysed IBS symptoms reported weekly in a generalised linear marginal mixed repeated measures model, using available data without multiple imputation. We analysed continuous secondary outcomes at 3</w:t>
      </w:r>
      <w:r>
        <w:rPr>
          <w:rFonts w:ascii="Times New Roman" w:hAnsi="Times New Roman" w:cs="Times New Roman"/>
          <w:bCs/>
          <w:sz w:val="24"/>
          <w:szCs w:val="24"/>
        </w:rPr>
        <w:t>,</w:t>
      </w:r>
      <w:r w:rsidRPr="00827C81">
        <w:rPr>
          <w:rFonts w:ascii="Times New Roman" w:hAnsi="Times New Roman" w:cs="Times New Roman"/>
          <w:bCs/>
          <w:sz w:val="24"/>
          <w:szCs w:val="24"/>
        </w:rPr>
        <w:t xml:space="preserve"> 6</w:t>
      </w:r>
      <w:r>
        <w:rPr>
          <w:rFonts w:ascii="Times New Roman" w:hAnsi="Times New Roman" w:cs="Times New Roman"/>
          <w:bCs/>
          <w:sz w:val="24"/>
          <w:szCs w:val="24"/>
        </w:rPr>
        <w:t xml:space="preserve">, and 12 </w:t>
      </w:r>
      <w:r w:rsidRPr="00827C81">
        <w:rPr>
          <w:rFonts w:ascii="Times New Roman" w:hAnsi="Times New Roman" w:cs="Times New Roman"/>
          <w:bCs/>
          <w:sz w:val="24"/>
          <w:szCs w:val="24"/>
        </w:rPr>
        <w:t xml:space="preserve">months including PHQ-12, HADS, and WSAS scores, as for the primary outcome, adjusted for the respective baseline score. We conducted </w:t>
      </w:r>
      <w:r>
        <w:rPr>
          <w:rFonts w:ascii="Times New Roman" w:hAnsi="Times New Roman" w:cs="Times New Roman"/>
          <w:bCs/>
          <w:sz w:val="24"/>
          <w:szCs w:val="24"/>
        </w:rPr>
        <w:t xml:space="preserve">pre-specified </w:t>
      </w:r>
      <w:r w:rsidRPr="00827C81">
        <w:rPr>
          <w:rFonts w:ascii="Times New Roman" w:hAnsi="Times New Roman" w:cs="Times New Roman"/>
          <w:bCs/>
          <w:sz w:val="24"/>
          <w:szCs w:val="24"/>
        </w:rPr>
        <w:t>exploratory analyses of the primary outcome, the IBS-SSS, and the key secondary outcome, SGA of relief of IBS symptoms, using alternative exploratory outcome definitions in logistic and ordinal regression, as appropriate (</w:t>
      </w:r>
      <w:r>
        <w:rPr>
          <w:rFonts w:ascii="Times New Roman" w:hAnsi="Times New Roman" w:cs="Times New Roman"/>
          <w:bCs/>
          <w:sz w:val="24"/>
          <w:szCs w:val="24"/>
        </w:rPr>
        <w:t xml:space="preserve">appendix, page </w:t>
      </w:r>
      <w:r w:rsidR="00A06A6E">
        <w:rPr>
          <w:rFonts w:ascii="Times New Roman" w:hAnsi="Times New Roman" w:cs="Times New Roman"/>
          <w:bCs/>
          <w:sz w:val="24"/>
          <w:szCs w:val="24"/>
        </w:rPr>
        <w:t>8</w:t>
      </w:r>
      <w:r w:rsidRPr="00827C81">
        <w:rPr>
          <w:rFonts w:ascii="Times New Roman" w:hAnsi="Times New Roman" w:cs="Times New Roman"/>
          <w:bCs/>
          <w:sz w:val="24"/>
          <w:szCs w:val="24"/>
        </w:rPr>
        <w:t xml:space="preserve">). We conducted further </w:t>
      </w:r>
      <w:r>
        <w:rPr>
          <w:rFonts w:ascii="Times New Roman" w:hAnsi="Times New Roman" w:cs="Times New Roman"/>
          <w:bCs/>
          <w:sz w:val="24"/>
          <w:szCs w:val="24"/>
        </w:rPr>
        <w:t xml:space="preserve">pre-specified (and </w:t>
      </w:r>
      <w:r>
        <w:rPr>
          <w:rFonts w:ascii="Times New Roman" w:hAnsi="Times New Roman" w:cs="Times New Roman"/>
          <w:bCs/>
          <w:i/>
          <w:iCs/>
          <w:sz w:val="24"/>
          <w:szCs w:val="24"/>
        </w:rPr>
        <w:t xml:space="preserve">post hoc </w:t>
      </w:r>
      <w:r>
        <w:rPr>
          <w:rFonts w:ascii="Times New Roman" w:hAnsi="Times New Roman" w:cs="Times New Roman"/>
          <w:bCs/>
          <w:sz w:val="24"/>
          <w:szCs w:val="24"/>
        </w:rPr>
        <w:t>where indicated</w:t>
      </w:r>
      <w:r w:rsidR="00180DD1">
        <w:rPr>
          <w:rFonts w:ascii="Times New Roman" w:hAnsi="Times New Roman" w:cs="Times New Roman"/>
          <w:bCs/>
          <w:sz w:val="24"/>
          <w:szCs w:val="24"/>
        </w:rPr>
        <w:t>)</w:t>
      </w:r>
      <w:r>
        <w:rPr>
          <w:rFonts w:ascii="Times New Roman" w:hAnsi="Times New Roman" w:cs="Times New Roman"/>
          <w:bCs/>
          <w:i/>
          <w:iCs/>
          <w:sz w:val="24"/>
          <w:szCs w:val="24"/>
        </w:rPr>
        <w:t xml:space="preserve"> </w:t>
      </w:r>
      <w:r w:rsidRPr="00827C81">
        <w:rPr>
          <w:rFonts w:ascii="Times New Roman" w:hAnsi="Times New Roman" w:cs="Times New Roman"/>
          <w:bCs/>
          <w:sz w:val="24"/>
          <w:szCs w:val="24"/>
        </w:rPr>
        <w:t xml:space="preserve">exploratory moderator analyses to investigate if the 6-month treatment effect on </w:t>
      </w:r>
      <w:r w:rsidRPr="00827C81">
        <w:rPr>
          <w:rFonts w:ascii="Times New Roman" w:hAnsi="Times New Roman" w:cs="Times New Roman"/>
          <w:bCs/>
          <w:sz w:val="24"/>
          <w:szCs w:val="24"/>
        </w:rPr>
        <w:lastRenderedPageBreak/>
        <w:t>the IBS-SSS varied by IBS subtype, HADS score, hub</w:t>
      </w:r>
      <w:r>
        <w:rPr>
          <w:rFonts w:ascii="Times New Roman" w:hAnsi="Times New Roman" w:cs="Times New Roman"/>
          <w:bCs/>
          <w:sz w:val="24"/>
          <w:szCs w:val="24"/>
        </w:rPr>
        <w:t xml:space="preserve"> (</w:t>
      </w:r>
      <w:r>
        <w:rPr>
          <w:rFonts w:ascii="Times New Roman" w:hAnsi="Times New Roman" w:cs="Times New Roman"/>
          <w:bCs/>
          <w:i/>
          <w:iCs/>
          <w:sz w:val="24"/>
          <w:szCs w:val="24"/>
        </w:rPr>
        <w:t>post hoc</w:t>
      </w:r>
      <w:r>
        <w:rPr>
          <w:rFonts w:ascii="Times New Roman" w:hAnsi="Times New Roman" w:cs="Times New Roman"/>
          <w:bCs/>
          <w:sz w:val="24"/>
          <w:szCs w:val="24"/>
        </w:rPr>
        <w:t>)</w:t>
      </w:r>
      <w:r w:rsidRPr="00827C81">
        <w:rPr>
          <w:rFonts w:ascii="Times New Roman" w:hAnsi="Times New Roman" w:cs="Times New Roman"/>
          <w:bCs/>
          <w:sz w:val="24"/>
          <w:szCs w:val="24"/>
        </w:rPr>
        <w:t xml:space="preserve">, </w:t>
      </w:r>
      <w:r>
        <w:rPr>
          <w:rFonts w:ascii="Times New Roman" w:hAnsi="Times New Roman" w:cs="Times New Roman"/>
          <w:bCs/>
          <w:sz w:val="24"/>
          <w:szCs w:val="24"/>
        </w:rPr>
        <w:t>sex (</w:t>
      </w:r>
      <w:r>
        <w:rPr>
          <w:rFonts w:ascii="Times New Roman" w:hAnsi="Times New Roman" w:cs="Times New Roman"/>
          <w:bCs/>
          <w:i/>
          <w:iCs/>
          <w:sz w:val="24"/>
          <w:szCs w:val="24"/>
        </w:rPr>
        <w:t>post hoc</w:t>
      </w:r>
      <w:r>
        <w:rPr>
          <w:rFonts w:ascii="Times New Roman" w:hAnsi="Times New Roman" w:cs="Times New Roman"/>
          <w:bCs/>
          <w:sz w:val="24"/>
          <w:szCs w:val="24"/>
        </w:rPr>
        <w:t>)</w:t>
      </w:r>
      <w:r w:rsidR="00180DD1">
        <w:rPr>
          <w:rFonts w:ascii="Times New Roman" w:hAnsi="Times New Roman" w:cs="Times New Roman"/>
          <w:bCs/>
          <w:sz w:val="24"/>
          <w:szCs w:val="24"/>
        </w:rPr>
        <w:t>,</w:t>
      </w:r>
      <w:r>
        <w:rPr>
          <w:rFonts w:ascii="Times New Roman" w:hAnsi="Times New Roman" w:cs="Times New Roman"/>
          <w:bCs/>
          <w:i/>
          <w:iCs/>
          <w:sz w:val="24"/>
          <w:szCs w:val="24"/>
        </w:rPr>
        <w:t xml:space="preserve"> </w:t>
      </w:r>
      <w:r w:rsidRPr="00827C81">
        <w:rPr>
          <w:rFonts w:ascii="Times New Roman" w:hAnsi="Times New Roman" w:cs="Times New Roman"/>
          <w:bCs/>
          <w:sz w:val="24"/>
          <w:szCs w:val="24"/>
        </w:rPr>
        <w:t>or baseline IBS-SSS score</w:t>
      </w:r>
      <w:r>
        <w:rPr>
          <w:rFonts w:ascii="Times New Roman" w:hAnsi="Times New Roman" w:cs="Times New Roman"/>
          <w:bCs/>
          <w:sz w:val="24"/>
          <w:szCs w:val="24"/>
        </w:rPr>
        <w:t xml:space="preserve"> (</w:t>
      </w:r>
      <w:r>
        <w:rPr>
          <w:rFonts w:ascii="Times New Roman" w:hAnsi="Times New Roman" w:cs="Times New Roman"/>
          <w:bCs/>
          <w:i/>
          <w:iCs/>
          <w:sz w:val="24"/>
          <w:szCs w:val="24"/>
        </w:rPr>
        <w:t>post hoc</w:t>
      </w:r>
      <w:r>
        <w:rPr>
          <w:rFonts w:ascii="Times New Roman" w:hAnsi="Times New Roman" w:cs="Times New Roman"/>
          <w:bCs/>
          <w:sz w:val="24"/>
          <w:szCs w:val="24"/>
        </w:rPr>
        <w:t>)</w:t>
      </w:r>
      <w:r w:rsidRPr="00827C81">
        <w:rPr>
          <w:rFonts w:ascii="Times New Roman" w:hAnsi="Times New Roman" w:cs="Times New Roman"/>
          <w:bCs/>
          <w:sz w:val="24"/>
          <w:szCs w:val="24"/>
        </w:rPr>
        <w:t xml:space="preserve">, and for the treatment effect on SGA </w:t>
      </w:r>
      <w:r>
        <w:rPr>
          <w:rFonts w:ascii="Times New Roman" w:hAnsi="Times New Roman" w:cs="Times New Roman"/>
          <w:bCs/>
          <w:sz w:val="24"/>
          <w:szCs w:val="24"/>
        </w:rPr>
        <w:t xml:space="preserve">of relief </w:t>
      </w:r>
      <w:r w:rsidRPr="00827C81">
        <w:rPr>
          <w:rFonts w:ascii="Times New Roman" w:hAnsi="Times New Roman" w:cs="Times New Roman"/>
          <w:bCs/>
          <w:sz w:val="24"/>
          <w:szCs w:val="24"/>
        </w:rPr>
        <w:t>by IBS subtype</w:t>
      </w:r>
      <w:r>
        <w:rPr>
          <w:rFonts w:ascii="Times New Roman" w:hAnsi="Times New Roman" w:cs="Times New Roman"/>
          <w:bCs/>
          <w:sz w:val="24"/>
          <w:szCs w:val="24"/>
        </w:rPr>
        <w:t xml:space="preserve"> and sex (both </w:t>
      </w:r>
      <w:r>
        <w:rPr>
          <w:rFonts w:ascii="Times New Roman" w:hAnsi="Times New Roman" w:cs="Times New Roman"/>
          <w:bCs/>
          <w:i/>
          <w:iCs/>
          <w:sz w:val="24"/>
          <w:szCs w:val="24"/>
        </w:rPr>
        <w:t>post hoc</w:t>
      </w:r>
      <w:r>
        <w:rPr>
          <w:rFonts w:ascii="Times New Roman" w:hAnsi="Times New Roman" w:cs="Times New Roman"/>
          <w:bCs/>
          <w:sz w:val="24"/>
          <w:szCs w:val="24"/>
        </w:rPr>
        <w:t>)</w:t>
      </w:r>
      <w:r w:rsidRPr="00827C81">
        <w:rPr>
          <w:rFonts w:ascii="Times New Roman" w:hAnsi="Times New Roman" w:cs="Times New Roman"/>
          <w:bCs/>
          <w:sz w:val="24"/>
          <w:szCs w:val="24"/>
        </w:rPr>
        <w:t xml:space="preserve">, by including an interaction between the treatment arm and each potential moderator in the primary analysis model with sensitivity analysis using complete data. We used sensitivity analyses on </w:t>
      </w:r>
      <w:r w:rsidRPr="00827C81">
        <w:rPr>
          <w:rFonts w:ascii="Times New Roman" w:eastAsiaTheme="minorEastAsia" w:hAnsi="Times New Roman" w:cs="Times New Roman"/>
          <w:bCs/>
          <w:sz w:val="24"/>
          <w:szCs w:val="24"/>
          <w:lang w:eastAsia="zh-CN"/>
        </w:rPr>
        <w:t>participants</w:t>
      </w:r>
      <w:r w:rsidRPr="00827C81">
        <w:rPr>
          <w:rFonts w:ascii="Times New Roman" w:hAnsi="Times New Roman" w:cs="Times New Roman"/>
          <w:bCs/>
          <w:sz w:val="24"/>
          <w:szCs w:val="24"/>
        </w:rPr>
        <w:t xml:space="preserve"> with complete data, for all secondary and exploratory outcomes, compared with analysis using multiple imputations.</w:t>
      </w:r>
    </w:p>
    <w:p w14:paraId="7DDFD173" w14:textId="77777777" w:rsidR="002754F5" w:rsidRPr="00827C81" w:rsidRDefault="002754F5" w:rsidP="00DB143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We ensured that </w:t>
      </w:r>
      <w:r w:rsidRPr="002B308A">
        <w:rPr>
          <w:rFonts w:ascii="Times New Roman" w:hAnsi="Times New Roman" w:cs="Times New Roman"/>
          <w:bCs/>
          <w:sz w:val="24"/>
          <w:szCs w:val="24"/>
        </w:rPr>
        <w:t>the assumptions of linear and logistic regression models were satisfied</w:t>
      </w:r>
      <w:r w:rsidRPr="009B0FA1">
        <w:rPr>
          <w:rFonts w:ascii="Times New Roman" w:hAnsi="Times New Roman" w:cs="Times New Roman"/>
          <w:bCs/>
          <w:sz w:val="24"/>
          <w:szCs w:val="24"/>
        </w:rPr>
        <w:t xml:space="preserve"> </w:t>
      </w:r>
      <w:r>
        <w:rPr>
          <w:rFonts w:ascii="Times New Roman" w:hAnsi="Times New Roman" w:cs="Times New Roman"/>
          <w:bCs/>
          <w:sz w:val="24"/>
          <w:szCs w:val="24"/>
        </w:rPr>
        <w:t>using r</w:t>
      </w:r>
      <w:r w:rsidRPr="007C2016">
        <w:rPr>
          <w:rFonts w:ascii="Times New Roman" w:hAnsi="Times New Roman" w:cs="Times New Roman"/>
          <w:bCs/>
          <w:sz w:val="24"/>
          <w:szCs w:val="24"/>
        </w:rPr>
        <w:t>esidual plots for analysis of primary and key secondary outcomes</w:t>
      </w:r>
      <w:r>
        <w:rPr>
          <w:rFonts w:ascii="Times New Roman" w:hAnsi="Times New Roman" w:cs="Times New Roman"/>
          <w:bCs/>
          <w:sz w:val="24"/>
          <w:szCs w:val="24"/>
        </w:rPr>
        <w:t xml:space="preserve">, and a </w:t>
      </w:r>
      <w:r w:rsidRPr="007C2016">
        <w:rPr>
          <w:rFonts w:ascii="Times New Roman" w:hAnsi="Times New Roman" w:cs="Times New Roman"/>
          <w:bCs/>
          <w:sz w:val="24"/>
          <w:szCs w:val="24"/>
        </w:rPr>
        <w:t xml:space="preserve">Hosmer and </w:t>
      </w:r>
      <w:proofErr w:type="spellStart"/>
      <w:r w:rsidRPr="007C2016">
        <w:rPr>
          <w:rFonts w:ascii="Times New Roman" w:hAnsi="Times New Roman" w:cs="Times New Roman"/>
          <w:bCs/>
          <w:sz w:val="24"/>
          <w:szCs w:val="24"/>
        </w:rPr>
        <w:t>Lemeshow</w:t>
      </w:r>
      <w:proofErr w:type="spellEnd"/>
      <w:r w:rsidRPr="007C2016">
        <w:rPr>
          <w:rFonts w:ascii="Times New Roman" w:hAnsi="Times New Roman" w:cs="Times New Roman"/>
          <w:bCs/>
          <w:sz w:val="24"/>
          <w:szCs w:val="24"/>
        </w:rPr>
        <w:t xml:space="preserve"> goodness of fit test </w:t>
      </w:r>
      <w:r>
        <w:rPr>
          <w:rFonts w:ascii="Times New Roman" w:hAnsi="Times New Roman" w:cs="Times New Roman"/>
          <w:bCs/>
          <w:sz w:val="24"/>
          <w:szCs w:val="24"/>
        </w:rPr>
        <w:t xml:space="preserve">and a </w:t>
      </w:r>
      <w:r w:rsidRPr="002B308A">
        <w:rPr>
          <w:rFonts w:ascii="Times New Roman" w:hAnsi="Times New Roman" w:cs="Times New Roman"/>
          <w:bCs/>
          <w:sz w:val="24"/>
          <w:szCs w:val="24"/>
        </w:rPr>
        <w:t>score test for the proportional odds assumption</w:t>
      </w:r>
      <w:r>
        <w:rPr>
          <w:rFonts w:ascii="Times New Roman" w:hAnsi="Times New Roman" w:cs="Times New Roman"/>
          <w:bCs/>
          <w:sz w:val="24"/>
          <w:szCs w:val="24"/>
        </w:rPr>
        <w:t xml:space="preserve"> to </w:t>
      </w:r>
      <w:r w:rsidRPr="007C2016">
        <w:rPr>
          <w:rFonts w:ascii="Times New Roman" w:hAnsi="Times New Roman" w:cs="Times New Roman"/>
          <w:bCs/>
          <w:sz w:val="24"/>
          <w:szCs w:val="24"/>
        </w:rPr>
        <w:t>confirm the adequacy of the ordinal regression model.</w:t>
      </w:r>
    </w:p>
    <w:p w14:paraId="0E731713" w14:textId="799B0412" w:rsidR="002754F5" w:rsidRPr="00827C81" w:rsidRDefault="002754F5" w:rsidP="00DB1437">
      <w:pPr>
        <w:spacing w:line="480" w:lineRule="auto"/>
        <w:ind w:firstLine="720"/>
        <w:rPr>
          <w:rFonts w:ascii="Times New Roman" w:hAnsi="Times New Roman" w:cs="Times New Roman"/>
          <w:bCs/>
          <w:i/>
          <w:iCs/>
          <w:sz w:val="24"/>
          <w:szCs w:val="24"/>
        </w:rPr>
      </w:pPr>
      <w:r w:rsidRPr="00827C81">
        <w:rPr>
          <w:rFonts w:ascii="Times New Roman" w:hAnsi="Times New Roman" w:cs="Times New Roman"/>
          <w:bCs/>
          <w:sz w:val="24"/>
          <w:szCs w:val="24"/>
        </w:rPr>
        <w:t xml:space="preserve">We included all participants receiving at least one dose of trial medication, according to medication received, in the safety analysis. Descriptive statistics of self-reported adverse events on the ASEC were presented by treatment arm, and the total ASEC score was analysed using linear regression adjusted for true minimisation variables and available data for participants on </w:t>
      </w:r>
      <w:r w:rsidRPr="00632555">
        <w:rPr>
          <w:rFonts w:ascii="Times New Roman" w:hAnsi="Times New Roman" w:cs="Times New Roman"/>
          <w:bCs/>
          <w:sz w:val="24"/>
          <w:szCs w:val="24"/>
        </w:rPr>
        <w:t>treatment at 3 and 6 months</w:t>
      </w:r>
      <w:r w:rsidRPr="00827C81">
        <w:rPr>
          <w:rFonts w:ascii="Times New Roman" w:hAnsi="Times New Roman" w:cs="Times New Roman"/>
          <w:bCs/>
          <w:sz w:val="24"/>
          <w:szCs w:val="24"/>
        </w:rPr>
        <w:t>.</w:t>
      </w:r>
      <w:r w:rsidRPr="00827C81">
        <w:rPr>
          <w:rFonts w:ascii="Times New Roman" w:hAnsi="Times New Roman" w:cs="Times New Roman"/>
          <w:bCs/>
          <w:noProof/>
          <w:sz w:val="24"/>
          <w:szCs w:val="24"/>
          <w:vertAlign w:val="superscript"/>
        </w:rPr>
        <w:t>41</w:t>
      </w:r>
      <w:r w:rsidRPr="00827C81">
        <w:rPr>
          <w:rFonts w:ascii="Times New Roman" w:hAnsi="Times New Roman" w:cs="Times New Roman"/>
          <w:bCs/>
          <w:noProof/>
          <w:sz w:val="24"/>
          <w:szCs w:val="24"/>
        </w:rPr>
        <w:t xml:space="preserve"> </w:t>
      </w:r>
      <w:r w:rsidRPr="00827C81">
        <w:rPr>
          <w:rFonts w:ascii="Times New Roman" w:hAnsi="Times New Roman" w:cs="Times New Roman"/>
          <w:bCs/>
          <w:sz w:val="24"/>
          <w:szCs w:val="24"/>
        </w:rPr>
        <w:t>The number of participants reporting a serious adverse event, and details of all serious adverse events, were reported for each treatment group. The number</w:t>
      </w:r>
      <w:r w:rsidR="002412C0">
        <w:rPr>
          <w:rFonts w:ascii="Times New Roman" w:hAnsi="Times New Roman" w:cs="Times New Roman"/>
          <w:bCs/>
          <w:sz w:val="24"/>
          <w:szCs w:val="24"/>
        </w:rPr>
        <w:t>s</w:t>
      </w:r>
      <w:r w:rsidRPr="00827C81">
        <w:rPr>
          <w:rFonts w:ascii="Times New Roman" w:hAnsi="Times New Roman" w:cs="Times New Roman"/>
          <w:bCs/>
          <w:sz w:val="24"/>
          <w:szCs w:val="24"/>
        </w:rPr>
        <w:t xml:space="preserve"> of participants withdrawing from trial treatment were summarised by treatment arm</w:t>
      </w:r>
      <w:r>
        <w:rPr>
          <w:rFonts w:ascii="Times New Roman" w:hAnsi="Times New Roman" w:cs="Times New Roman"/>
          <w:bCs/>
          <w:sz w:val="24"/>
          <w:szCs w:val="24"/>
        </w:rPr>
        <w:t>,</w:t>
      </w:r>
      <w:r w:rsidRPr="00827C81">
        <w:rPr>
          <w:rFonts w:ascii="Times New Roman" w:hAnsi="Times New Roman" w:cs="Times New Roman"/>
          <w:bCs/>
          <w:sz w:val="24"/>
          <w:szCs w:val="24"/>
        </w:rPr>
        <w:t xml:space="preserve"> with reasons. </w:t>
      </w:r>
    </w:p>
    <w:p w14:paraId="7048F5C3" w14:textId="77777777" w:rsidR="002754F5" w:rsidRPr="00827C81" w:rsidRDefault="002754F5" w:rsidP="00DB1437">
      <w:pPr>
        <w:spacing w:after="0" w:line="480" w:lineRule="auto"/>
        <w:rPr>
          <w:rFonts w:ascii="Times New Roman" w:hAnsi="Times New Roman" w:cs="Times New Roman"/>
          <w:bCs/>
          <w:sz w:val="24"/>
          <w:szCs w:val="24"/>
        </w:rPr>
      </w:pPr>
    </w:p>
    <w:p w14:paraId="3A092D15"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t>Role of the Funding Source</w:t>
      </w:r>
    </w:p>
    <w:p w14:paraId="0D134032" w14:textId="77777777" w:rsidR="002754F5" w:rsidRPr="00827C81" w:rsidRDefault="002754F5" w:rsidP="00DB1437">
      <w:pPr>
        <w:spacing w:line="480" w:lineRule="auto"/>
        <w:ind w:firstLine="720"/>
        <w:rPr>
          <w:rFonts w:ascii="Times New Roman" w:eastAsia="Times New Roman" w:hAnsi="Times New Roman" w:cs="Times New Roman"/>
          <w:bCs/>
          <w:sz w:val="24"/>
          <w:szCs w:val="24"/>
        </w:rPr>
      </w:pPr>
      <w:r w:rsidRPr="00827C81">
        <w:rPr>
          <w:rFonts w:ascii="Times New Roman" w:eastAsia="Times New Roman" w:hAnsi="Times New Roman" w:cs="Times New Roman"/>
          <w:bCs/>
          <w:sz w:val="24"/>
          <w:szCs w:val="24"/>
        </w:rPr>
        <w:t xml:space="preserve">The study was funded by the National Institute for Health and Care Research (NIHR) Health Technology Assessment Programme (grant reference: 16/162/01). The funder had no role in data collection, analysis, interpretation, writing of the manuscript, or the decision to submit for publication. This report is independent research in response to a commissioned </w:t>
      </w:r>
      <w:r w:rsidRPr="00827C81">
        <w:rPr>
          <w:rFonts w:ascii="Times New Roman" w:eastAsia="Times New Roman" w:hAnsi="Times New Roman" w:cs="Times New Roman"/>
          <w:bCs/>
          <w:sz w:val="24"/>
          <w:szCs w:val="24"/>
        </w:rPr>
        <w:lastRenderedPageBreak/>
        <w:t>call funded by the NIHR. The views expressed in this publication are those of the authors, not necessarily those of the National Health Service, the NIHR, or the Department of Health and Social Care.</w:t>
      </w:r>
    </w:p>
    <w:p w14:paraId="36926F2B" w14:textId="77777777" w:rsidR="002754F5" w:rsidRDefault="002754F5">
      <w:pPr>
        <w:rPr>
          <w:rFonts w:ascii="Times New Roman" w:hAnsi="Times New Roman" w:cs="Times New Roman"/>
          <w:b/>
          <w:sz w:val="24"/>
          <w:szCs w:val="24"/>
        </w:rPr>
      </w:pPr>
      <w:r>
        <w:rPr>
          <w:rFonts w:ascii="Times New Roman" w:hAnsi="Times New Roman" w:cs="Times New Roman"/>
          <w:b/>
          <w:sz w:val="24"/>
          <w:szCs w:val="24"/>
        </w:rPr>
        <w:br w:type="page"/>
      </w:r>
    </w:p>
    <w:p w14:paraId="2ABF9685"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
          <w:sz w:val="24"/>
          <w:szCs w:val="24"/>
        </w:rPr>
        <w:lastRenderedPageBreak/>
        <w:t>RESULTS</w:t>
      </w:r>
    </w:p>
    <w:p w14:paraId="12FE3440" w14:textId="76C5EDCC"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Between 18</w:t>
      </w:r>
      <w:r w:rsidRPr="00827C81">
        <w:rPr>
          <w:rFonts w:ascii="Times New Roman" w:hAnsi="Times New Roman" w:cs="Times New Roman"/>
          <w:bCs/>
          <w:sz w:val="24"/>
          <w:szCs w:val="24"/>
          <w:vertAlign w:val="superscript"/>
        </w:rPr>
        <w:t>th</w:t>
      </w:r>
      <w:r w:rsidRPr="00827C81">
        <w:rPr>
          <w:rFonts w:ascii="Times New Roman" w:hAnsi="Times New Roman" w:cs="Times New Roman"/>
          <w:bCs/>
          <w:sz w:val="24"/>
          <w:szCs w:val="24"/>
        </w:rPr>
        <w:t xml:space="preserve"> October 2019 and 11</w:t>
      </w:r>
      <w:r w:rsidRPr="00827C81">
        <w:rPr>
          <w:rFonts w:ascii="Times New Roman" w:hAnsi="Times New Roman" w:cs="Times New Roman"/>
          <w:bCs/>
          <w:sz w:val="24"/>
          <w:szCs w:val="24"/>
          <w:vertAlign w:val="superscript"/>
        </w:rPr>
        <w:t>th</w:t>
      </w:r>
      <w:r w:rsidRPr="00827C81">
        <w:rPr>
          <w:rFonts w:ascii="Times New Roman" w:hAnsi="Times New Roman" w:cs="Times New Roman"/>
          <w:bCs/>
          <w:sz w:val="24"/>
          <w:szCs w:val="24"/>
        </w:rPr>
        <w:t xml:space="preserve"> April 2022, 15,672 potentially eligible patients were invited to take part and 1253 interested patients were screened (Figure </w:t>
      </w:r>
      <w:r w:rsidR="007C04E4">
        <w:rPr>
          <w:rFonts w:ascii="Times New Roman" w:hAnsi="Times New Roman" w:cs="Times New Roman"/>
          <w:bCs/>
          <w:sz w:val="24"/>
          <w:szCs w:val="24"/>
        </w:rPr>
        <w:t>2</w:t>
      </w:r>
      <w:r w:rsidRPr="00827C81">
        <w:rPr>
          <w:rFonts w:ascii="Times New Roman" w:hAnsi="Times New Roman" w:cs="Times New Roman"/>
          <w:bCs/>
          <w:sz w:val="24"/>
          <w:szCs w:val="24"/>
        </w:rPr>
        <w:t xml:space="preserve">). We randomised 463 (37% of those screened)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(mean age 48.5 years (SD 16.1 years), 315 (68%) female), to receive amitriptyline (n=232) or placebo (n=231). </w:t>
      </w:r>
      <w:bookmarkStart w:id="20" w:name="_Hlk138392913"/>
      <w:r w:rsidRPr="00827C81">
        <w:rPr>
          <w:rFonts w:ascii="Times New Roman" w:hAnsi="Times New Roman" w:cs="Times New Roman"/>
          <w:bCs/>
          <w:sz w:val="24"/>
          <w:szCs w:val="24"/>
        </w:rPr>
        <w:t>Participants were representative of those invited, responding, interested, eligible, and registered</w:t>
      </w:r>
      <w:r>
        <w:rPr>
          <w:rFonts w:ascii="Times New Roman" w:hAnsi="Times New Roman" w:cs="Times New Roman"/>
          <w:bCs/>
          <w:sz w:val="24"/>
          <w:szCs w:val="24"/>
        </w:rPr>
        <w:t>, in terms of age and sex</w:t>
      </w:r>
      <w:r w:rsidRPr="00827C81">
        <w:rPr>
          <w:rFonts w:ascii="Times New Roman" w:hAnsi="Times New Roman" w:cs="Times New Roman"/>
          <w:bCs/>
          <w:sz w:val="24"/>
          <w:szCs w:val="24"/>
        </w:rPr>
        <w:t xml:space="preserve"> </w:t>
      </w:r>
      <w:bookmarkEnd w:id="20"/>
      <w:r w:rsidRPr="00827C81">
        <w:rPr>
          <w:rFonts w:ascii="Times New Roman" w:hAnsi="Times New Roman" w:cs="Times New Roman"/>
          <w:bCs/>
          <w:sz w:val="24"/>
          <w:szCs w:val="24"/>
        </w:rPr>
        <w:t>(</w:t>
      </w:r>
      <w:r>
        <w:rPr>
          <w:rFonts w:ascii="Times New Roman" w:hAnsi="Times New Roman" w:cs="Times New Roman"/>
          <w:bCs/>
          <w:sz w:val="24"/>
          <w:szCs w:val="24"/>
        </w:rPr>
        <w:t xml:space="preserve">appendix, page </w:t>
      </w:r>
      <w:r w:rsidR="00A06A6E">
        <w:rPr>
          <w:rFonts w:ascii="Times New Roman" w:hAnsi="Times New Roman" w:cs="Times New Roman"/>
          <w:bCs/>
          <w:sz w:val="24"/>
          <w:szCs w:val="24"/>
        </w:rPr>
        <w:t>11</w:t>
      </w:r>
      <w:r w:rsidRPr="00827C81">
        <w:rPr>
          <w:rFonts w:ascii="Times New Roman" w:hAnsi="Times New Roman" w:cs="Times New Roman"/>
          <w:bCs/>
          <w:sz w:val="24"/>
          <w:szCs w:val="24"/>
        </w:rPr>
        <w:t xml:space="preserve">). Due to the </w:t>
      </w:r>
      <w:r w:rsidRPr="00827C81">
        <w:rPr>
          <w:rFonts w:ascii="Times New Roman" w:hAnsi="Times New Roman" w:cs="Times New Roman"/>
          <w:bCs/>
          <w:noProof/>
          <w:sz w:val="24"/>
          <w:szCs w:val="24"/>
        </w:rPr>
        <w:t xml:space="preserve">COVID-19 </w:t>
      </w:r>
      <w:r w:rsidRPr="00827C81">
        <w:rPr>
          <w:rFonts w:ascii="Times New Roman" w:hAnsi="Times New Roman" w:cs="Times New Roman"/>
          <w:bCs/>
          <w:sz w:val="24"/>
          <w:szCs w:val="24"/>
        </w:rPr>
        <w:t>pandemic, trial recruitment paused from March 2020 to July 2020, in line with national guidance. Trial follow-up completed in October 2022 with 6-month follow-up achieved for 401 (87%) participants (204 (88%) amitriptyline, 197 (85%) placebo) (</w:t>
      </w:r>
      <w:r>
        <w:rPr>
          <w:rFonts w:ascii="Times New Roman" w:hAnsi="Times New Roman" w:cs="Times New Roman"/>
          <w:bCs/>
          <w:sz w:val="24"/>
          <w:szCs w:val="24"/>
        </w:rPr>
        <w:t>appendix, page 1</w:t>
      </w:r>
      <w:r w:rsidR="00A06A6E">
        <w:rPr>
          <w:rFonts w:ascii="Times New Roman" w:hAnsi="Times New Roman" w:cs="Times New Roman"/>
          <w:bCs/>
          <w:sz w:val="24"/>
          <w:szCs w:val="24"/>
        </w:rPr>
        <w:t>2</w:t>
      </w:r>
      <w:r w:rsidRPr="00827C81">
        <w:rPr>
          <w:rFonts w:ascii="Times New Roman" w:hAnsi="Times New Roman" w:cs="Times New Roman"/>
          <w:bCs/>
          <w:sz w:val="24"/>
          <w:szCs w:val="24"/>
        </w:rPr>
        <w:t>). Study withdrawals from optional interviews, monthly or weekly questionnaires, or from further data collection occurred in 23 (5%) participants. Fourteen (3%) participants (four (2%) low-dose amitriptyline, 10 (4%) placebo) took up the optional 1-month GP appointment. All participants assigned to treatment were included in intention-to-treat analyses. Protocol violations occurred in six (1%) participants; four were major violations and excluded from the per protocol analysis (</w:t>
      </w:r>
      <w:r>
        <w:rPr>
          <w:rFonts w:ascii="Times New Roman" w:hAnsi="Times New Roman" w:cs="Times New Roman"/>
          <w:bCs/>
          <w:sz w:val="24"/>
          <w:szCs w:val="24"/>
        </w:rPr>
        <w:t xml:space="preserve">appendix, page </w:t>
      </w:r>
      <w:r w:rsidR="00A06A6E">
        <w:rPr>
          <w:rFonts w:ascii="Times New Roman" w:hAnsi="Times New Roman" w:cs="Times New Roman"/>
          <w:bCs/>
          <w:sz w:val="24"/>
          <w:szCs w:val="24"/>
        </w:rPr>
        <w:t>10</w:t>
      </w:r>
      <w:r w:rsidRPr="00827C81">
        <w:rPr>
          <w:rFonts w:ascii="Times New Roman" w:hAnsi="Times New Roman" w:cs="Times New Roman"/>
          <w:bCs/>
          <w:sz w:val="24"/>
          <w:szCs w:val="24"/>
        </w:rPr>
        <w:t>).</w:t>
      </w:r>
    </w:p>
    <w:p w14:paraId="3D273D1D" w14:textId="77777777" w:rsidR="002754F5" w:rsidRPr="00827C81" w:rsidRDefault="002754F5" w:rsidP="00DB1437">
      <w:pPr>
        <w:spacing w:line="480" w:lineRule="auto"/>
        <w:ind w:firstLine="720"/>
        <w:rPr>
          <w:rFonts w:ascii="Times New Roman" w:hAnsi="Times New Roman" w:cs="Times New Roman"/>
          <w:sz w:val="24"/>
          <w:szCs w:val="24"/>
        </w:rPr>
      </w:pP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 demographics and baseline characteristics, IBS symptom severity, PHQ-12 scores, HADS-</w:t>
      </w:r>
      <w:proofErr w:type="gramStart"/>
      <w:r w:rsidRPr="00827C81">
        <w:rPr>
          <w:rFonts w:ascii="Times New Roman" w:hAnsi="Times New Roman" w:cs="Times New Roman"/>
          <w:bCs/>
          <w:sz w:val="24"/>
          <w:szCs w:val="24"/>
        </w:rPr>
        <w:t>depression</w:t>
      </w:r>
      <w:proofErr w:type="gramEnd"/>
      <w:r w:rsidRPr="00827C81">
        <w:rPr>
          <w:rFonts w:ascii="Times New Roman" w:hAnsi="Times New Roman" w:cs="Times New Roman"/>
          <w:bCs/>
          <w:sz w:val="24"/>
          <w:szCs w:val="24"/>
        </w:rPr>
        <w:t xml:space="preserve"> and HADS-anxiety scores, and previous first-line treatments were similar between arms (Table 1).</w:t>
      </w:r>
      <w:r w:rsidRPr="00827C81">
        <w:rPr>
          <w:rFonts w:ascii="Times New Roman" w:hAnsi="Times New Roman" w:cs="Times New Roman"/>
          <w:sz w:val="24"/>
          <w:szCs w:val="24"/>
        </w:rPr>
        <w:t xml:space="preserve"> Over 80% of participants had IBS-D or IBS-M, 84% had a normal HADS-depression score, and 85% of participants had moderate to severe scores on the IBS-SSS. The mean IBS-SSS score in all participants was 272.8 (SD 90.3) and </w:t>
      </w:r>
      <w:r w:rsidRPr="007C2016">
        <w:rPr>
          <w:rFonts w:ascii="Times New Roman" w:hAnsi="Times New Roman" w:cs="Times New Roman"/>
          <w:sz w:val="24"/>
          <w:szCs w:val="24"/>
        </w:rPr>
        <w:t>median duration of IBS was 10 years.</w:t>
      </w:r>
    </w:p>
    <w:p w14:paraId="25604E6A" w14:textId="2417FC8D"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sz w:val="24"/>
          <w:szCs w:val="24"/>
        </w:rPr>
        <w:t>In total, 338 (73%) participants completed 6 months treatment; 173 (75%) in the amitriptyline arm and 165 (71%) allocated to placebo (</w:t>
      </w:r>
      <w:r>
        <w:rPr>
          <w:rFonts w:ascii="Times New Roman" w:hAnsi="Times New Roman" w:cs="Times New Roman"/>
          <w:sz w:val="24"/>
          <w:szCs w:val="24"/>
        </w:rPr>
        <w:t>appendix, page 1</w:t>
      </w:r>
      <w:r w:rsidR="00A06A6E">
        <w:rPr>
          <w:rFonts w:ascii="Times New Roman" w:hAnsi="Times New Roman" w:cs="Times New Roman"/>
          <w:sz w:val="24"/>
          <w:szCs w:val="24"/>
        </w:rPr>
        <w:t>3</w:t>
      </w:r>
      <w:r w:rsidRPr="00827C81">
        <w:rPr>
          <w:rFonts w:ascii="Times New Roman" w:hAnsi="Times New Roman" w:cs="Times New Roman"/>
          <w:sz w:val="24"/>
          <w:szCs w:val="24"/>
        </w:rPr>
        <w:t xml:space="preserve">). There were 105 </w:t>
      </w:r>
      <w:r w:rsidRPr="00827C81">
        <w:rPr>
          <w:rFonts w:ascii="Times New Roman" w:hAnsi="Times New Roman" w:cs="Times New Roman"/>
          <w:sz w:val="24"/>
          <w:szCs w:val="24"/>
        </w:rPr>
        <w:lastRenderedPageBreak/>
        <w:t xml:space="preserve">(23%) participants discontinuing trial medication before 6 months; 46 (20%) allocated to amitriptyline and 59 (26%) to placebo. The most common reason for discontinuation was </w:t>
      </w:r>
      <w:r w:rsidRPr="00827C81">
        <w:rPr>
          <w:rFonts w:ascii="Times New Roman" w:hAnsi="Times New Roman" w:cs="Times New Roman"/>
          <w:sz w:val="24"/>
          <w:szCs w:val="24"/>
          <w:shd w:val="clear" w:color="auto" w:fill="FFFFFF"/>
        </w:rPr>
        <w:t>adverse events</w:t>
      </w:r>
      <w:r w:rsidRPr="00827C81">
        <w:rPr>
          <w:rFonts w:ascii="Times New Roman" w:hAnsi="Times New Roman" w:cs="Times New Roman"/>
          <w:sz w:val="24"/>
          <w:szCs w:val="24"/>
        </w:rPr>
        <w:t xml:space="preserve"> in </w:t>
      </w:r>
      <w:r w:rsidRPr="00827C81">
        <w:rPr>
          <w:rFonts w:ascii="Times New Roman" w:hAnsi="Times New Roman" w:cs="Times New Roman"/>
          <w:sz w:val="24"/>
          <w:szCs w:val="24"/>
          <w:shd w:val="clear" w:color="auto" w:fill="FFFFFF"/>
        </w:rPr>
        <w:t xml:space="preserve">30 (13%) participants </w:t>
      </w:r>
      <w:r w:rsidRPr="00827C81">
        <w:rPr>
          <w:rFonts w:ascii="Times New Roman" w:hAnsi="Times New Roman" w:cs="Times New Roman"/>
          <w:sz w:val="24"/>
          <w:szCs w:val="24"/>
        </w:rPr>
        <w:t xml:space="preserve">allocated to amitriptyline </w:t>
      </w:r>
      <w:r w:rsidRPr="00827C81">
        <w:rPr>
          <w:rFonts w:ascii="Times New Roman" w:hAnsi="Times New Roman" w:cs="Times New Roman"/>
          <w:sz w:val="24"/>
          <w:szCs w:val="24"/>
          <w:shd w:val="clear" w:color="auto" w:fill="FFFFFF"/>
        </w:rPr>
        <w:t xml:space="preserve">and 20 (9%) to placebo, followed by lack of benefit in seven (3%) amitriptyline and 18 (8%) </w:t>
      </w:r>
      <w:proofErr w:type="gramStart"/>
      <w:r w:rsidRPr="00827C81">
        <w:rPr>
          <w:rFonts w:ascii="Times New Roman" w:hAnsi="Times New Roman" w:cs="Times New Roman"/>
          <w:sz w:val="24"/>
          <w:szCs w:val="24"/>
          <w:shd w:val="clear" w:color="auto" w:fill="FFFFFF"/>
        </w:rPr>
        <w:t>placebo</w:t>
      </w:r>
      <w:proofErr w:type="gramEnd"/>
      <w:r w:rsidRPr="00827C81">
        <w:rPr>
          <w:rFonts w:ascii="Times New Roman" w:hAnsi="Times New Roman" w:cs="Times New Roman"/>
          <w:sz w:val="24"/>
          <w:szCs w:val="24"/>
        </w:rPr>
        <w:t xml:space="preserve">. A further 17 (4%) participants were lost to follow-up and three (1%) did not commence treatment. </w:t>
      </w:r>
      <w:bookmarkStart w:id="21" w:name="_Hlk138428360"/>
      <w:r w:rsidRPr="00827C81">
        <w:rPr>
          <w:rFonts w:ascii="Times New Roman" w:hAnsi="Times New Roman" w:cs="Times New Roman"/>
          <w:bCs/>
          <w:sz w:val="24"/>
          <w:szCs w:val="24"/>
        </w:rPr>
        <w:t xml:space="preserve">Similar numbers of the 338 participants completing 6 months treatment in </w:t>
      </w:r>
      <w:r>
        <w:rPr>
          <w:rFonts w:ascii="Times New Roman" w:hAnsi="Times New Roman" w:cs="Times New Roman"/>
          <w:bCs/>
          <w:sz w:val="24"/>
          <w:szCs w:val="24"/>
        </w:rPr>
        <w:t>both</w:t>
      </w:r>
      <w:r w:rsidRPr="00827C81">
        <w:rPr>
          <w:rFonts w:ascii="Times New Roman" w:hAnsi="Times New Roman" w:cs="Times New Roman"/>
          <w:bCs/>
          <w:sz w:val="24"/>
          <w:szCs w:val="24"/>
        </w:rPr>
        <w:t xml:space="preserve"> arm</w:t>
      </w:r>
      <w:r>
        <w:rPr>
          <w:rFonts w:ascii="Times New Roman" w:hAnsi="Times New Roman" w:cs="Times New Roman"/>
          <w:bCs/>
          <w:sz w:val="24"/>
          <w:szCs w:val="24"/>
        </w:rPr>
        <w:t>s</w:t>
      </w:r>
      <w:r w:rsidRPr="00827C81">
        <w:rPr>
          <w:rFonts w:ascii="Times New Roman" w:hAnsi="Times New Roman" w:cs="Times New Roman"/>
          <w:bCs/>
          <w:sz w:val="24"/>
          <w:szCs w:val="24"/>
        </w:rPr>
        <w:t xml:space="preserve"> reported making dietary modifications, changing their exercise regimen, or commencing a new drug for IBS</w:t>
      </w:r>
      <w:r>
        <w:rPr>
          <w:rFonts w:ascii="Times New Roman" w:hAnsi="Times New Roman" w:cs="Times New Roman"/>
          <w:bCs/>
          <w:sz w:val="24"/>
          <w:szCs w:val="24"/>
        </w:rPr>
        <w:t xml:space="preserve">, </w:t>
      </w:r>
      <w:r w:rsidRPr="00827C81">
        <w:rPr>
          <w:rFonts w:ascii="Times New Roman" w:hAnsi="Times New Roman" w:cs="Times New Roman"/>
          <w:bCs/>
          <w:sz w:val="24"/>
          <w:szCs w:val="24"/>
        </w:rPr>
        <w:t>other than a TCA</w:t>
      </w:r>
      <w:r>
        <w:rPr>
          <w:rFonts w:ascii="Times New Roman" w:hAnsi="Times New Roman" w:cs="Times New Roman"/>
          <w:bCs/>
          <w:sz w:val="24"/>
          <w:szCs w:val="24"/>
        </w:rPr>
        <w:t>,</w:t>
      </w:r>
      <w:r w:rsidRPr="00827C81">
        <w:rPr>
          <w:rFonts w:ascii="Times New Roman" w:hAnsi="Times New Roman" w:cs="Times New Roman"/>
          <w:bCs/>
          <w:sz w:val="24"/>
          <w:szCs w:val="24"/>
        </w:rPr>
        <w:t xml:space="preserve"> during the trial (</w:t>
      </w:r>
      <w:r>
        <w:rPr>
          <w:rFonts w:ascii="Times New Roman" w:hAnsi="Times New Roman" w:cs="Times New Roman"/>
          <w:bCs/>
          <w:sz w:val="24"/>
          <w:szCs w:val="24"/>
        </w:rPr>
        <w:t>appendix, page 1</w:t>
      </w:r>
      <w:r w:rsidR="00A06A6E">
        <w:rPr>
          <w:rFonts w:ascii="Times New Roman" w:hAnsi="Times New Roman" w:cs="Times New Roman"/>
          <w:bCs/>
          <w:sz w:val="24"/>
          <w:szCs w:val="24"/>
        </w:rPr>
        <w:t>4</w:t>
      </w:r>
      <w:r w:rsidRPr="00827C81">
        <w:rPr>
          <w:rFonts w:ascii="Times New Roman" w:hAnsi="Times New Roman" w:cs="Times New Roman"/>
          <w:bCs/>
          <w:sz w:val="24"/>
          <w:szCs w:val="24"/>
        </w:rPr>
        <w:t xml:space="preserve">). </w:t>
      </w:r>
      <w:bookmarkEnd w:id="21"/>
      <w:r w:rsidRPr="00827C81">
        <w:rPr>
          <w:rFonts w:ascii="Times New Roman" w:hAnsi="Times New Roman" w:cs="Times New Roman"/>
          <w:bCs/>
          <w:sz w:val="24"/>
          <w:szCs w:val="24"/>
        </w:rPr>
        <w:t xml:space="preserve">By 3 months, similar proportions of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randomised to amitriptyline were taking 20mg (35%) or 30mg o.d. (38%), although by 6 months this increased to 43% taking 30mg o.d. However, in the placebo arm, 57% of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s titrated their dose to 30mg o.d. by 3 months and this remained similar at 6 months (</w:t>
      </w:r>
      <w:r>
        <w:rPr>
          <w:rFonts w:ascii="Times New Roman" w:hAnsi="Times New Roman" w:cs="Times New Roman"/>
          <w:bCs/>
          <w:sz w:val="24"/>
          <w:szCs w:val="24"/>
        </w:rPr>
        <w:t>appendix, page 1</w:t>
      </w:r>
      <w:r w:rsidR="00A06A6E">
        <w:rPr>
          <w:rFonts w:ascii="Times New Roman" w:hAnsi="Times New Roman" w:cs="Times New Roman"/>
          <w:bCs/>
          <w:sz w:val="24"/>
          <w:szCs w:val="24"/>
        </w:rPr>
        <w:t>5</w:t>
      </w:r>
      <w:r w:rsidRPr="00827C81">
        <w:rPr>
          <w:rFonts w:ascii="Times New Roman" w:hAnsi="Times New Roman" w:cs="Times New Roman"/>
          <w:bCs/>
          <w:sz w:val="24"/>
          <w:szCs w:val="24"/>
        </w:rPr>
        <w:t xml:space="preserve">). </w:t>
      </w:r>
    </w:p>
    <w:p w14:paraId="7AACF9EB" w14:textId="47407F7E"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 xml:space="preserve">Amitriptyline was superior to placebo at 6 months in the intention-to-treat analysis for the primary outcome, with a significant difference in mean IBS-SSS score between arms (-27.0; 95% CI -46.9 to -7.1,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=0.0079) (Table 2), and the key secondary outcome, with increased odds of </w:t>
      </w:r>
      <w:r w:rsidR="009D284C">
        <w:rPr>
          <w:rFonts w:ascii="Times New Roman" w:hAnsi="Times New Roman" w:cs="Times New Roman"/>
          <w:bCs/>
          <w:sz w:val="24"/>
          <w:szCs w:val="24"/>
        </w:rPr>
        <w:t xml:space="preserve">SGA of </w:t>
      </w:r>
      <w:r w:rsidRPr="00827C81">
        <w:rPr>
          <w:rFonts w:ascii="Times New Roman" w:hAnsi="Times New Roman" w:cs="Times New Roman"/>
          <w:bCs/>
          <w:sz w:val="24"/>
          <w:szCs w:val="24"/>
        </w:rPr>
        <w:t xml:space="preserve">relief of IBS symptoms (OR = 1.78; 95% CI 1.19 to 2.66,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=0.0050) (Table 2 and Figure </w:t>
      </w:r>
      <w:r w:rsidR="007C04E4">
        <w:rPr>
          <w:rFonts w:ascii="Times New Roman" w:hAnsi="Times New Roman" w:cs="Times New Roman"/>
          <w:bCs/>
          <w:sz w:val="24"/>
          <w:szCs w:val="24"/>
        </w:rPr>
        <w:t>3</w:t>
      </w:r>
      <w:r w:rsidRPr="00827C81">
        <w:rPr>
          <w:rFonts w:ascii="Times New Roman" w:hAnsi="Times New Roman" w:cs="Times New Roman"/>
          <w:bCs/>
          <w:sz w:val="24"/>
          <w:szCs w:val="24"/>
        </w:rPr>
        <w:t xml:space="preserve">). The difference in mean change in IBS-SSS score was also significant at 3 months (-23.3; 95% CI -42.0 to -4.6,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=0.014), as was SGA of relief of IBS symptoms (OR = 1.70; 95% CI 1.15 to 2.53,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=0.0080) (Table 2).</w:t>
      </w:r>
    </w:p>
    <w:p w14:paraId="58FC9C2A" w14:textId="1067EF8D"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rPr>
        <w:t xml:space="preserve">Amitriptyline was also superior to placebo for adequate relief of IBS symptoms, with an increased odds of adequate relief across all 25 weeks (OR = 1.56; 95% CI 1.20 to 2.03,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=0.0008) (Table 2, </w:t>
      </w:r>
      <w:r>
        <w:rPr>
          <w:rFonts w:ascii="Times New Roman" w:hAnsi="Times New Roman" w:cs="Times New Roman"/>
          <w:bCs/>
          <w:sz w:val="24"/>
          <w:szCs w:val="24"/>
        </w:rPr>
        <w:t>appendix, page 2</w:t>
      </w:r>
      <w:r w:rsidR="00A06A6E">
        <w:rPr>
          <w:rFonts w:ascii="Times New Roman" w:hAnsi="Times New Roman" w:cs="Times New Roman"/>
          <w:bCs/>
          <w:sz w:val="24"/>
          <w:szCs w:val="24"/>
        </w:rPr>
        <w:t>2</w:t>
      </w:r>
      <w:r w:rsidRPr="00827C81">
        <w:rPr>
          <w:rFonts w:ascii="Times New Roman" w:hAnsi="Times New Roman" w:cs="Times New Roman"/>
          <w:bCs/>
          <w:sz w:val="24"/>
          <w:szCs w:val="24"/>
        </w:rPr>
        <w:t xml:space="preserve">), and an increased proportion of participants reporting relief for ≥13 of 25 weeks (90/222 (41%) vs. 67/221 (30%)). Overall, more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found amitriptyline acceptable and would have been willing to continue taking </w:t>
      </w:r>
      <w:r>
        <w:rPr>
          <w:rFonts w:ascii="Times New Roman" w:hAnsi="Times New Roman" w:cs="Times New Roman"/>
          <w:bCs/>
          <w:sz w:val="24"/>
          <w:szCs w:val="24"/>
        </w:rPr>
        <w:t>it</w:t>
      </w:r>
      <w:r w:rsidRPr="00827C81">
        <w:rPr>
          <w:rFonts w:ascii="Times New Roman" w:hAnsi="Times New Roman" w:cs="Times New Roman"/>
          <w:bCs/>
          <w:sz w:val="24"/>
          <w:szCs w:val="24"/>
        </w:rPr>
        <w:t xml:space="preserve"> at 6 months (OR = 1.60; 95% CI 1.08 to 2.35,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=0.018). Adherence at 3 months was identical between treatment </w:t>
      </w:r>
      <w:r w:rsidRPr="00827C81">
        <w:rPr>
          <w:rFonts w:ascii="Times New Roman" w:hAnsi="Times New Roman" w:cs="Times New Roman"/>
          <w:bCs/>
          <w:sz w:val="24"/>
          <w:szCs w:val="24"/>
        </w:rPr>
        <w:lastRenderedPageBreak/>
        <w:t>arms, but by 6 months it was generally higher in the amitriptyline arm (172/232 (74%) vs. 155/228 (68%)). There was no evidence of an effect on PHQ-12 scores at 6 months, or HADS-anxiety</w:t>
      </w:r>
      <w:r>
        <w:rPr>
          <w:rFonts w:ascii="Times New Roman" w:hAnsi="Times New Roman" w:cs="Times New Roman"/>
          <w:bCs/>
          <w:sz w:val="24"/>
          <w:szCs w:val="24"/>
        </w:rPr>
        <w:t>.</w:t>
      </w:r>
      <w:r w:rsidRPr="00827C81">
        <w:rPr>
          <w:rFonts w:ascii="Times New Roman" w:hAnsi="Times New Roman" w:cs="Times New Roman"/>
          <w:bCs/>
          <w:sz w:val="24"/>
          <w:szCs w:val="24"/>
        </w:rPr>
        <w:t xml:space="preserve"> HADS-depression</w:t>
      </w:r>
      <w:r>
        <w:rPr>
          <w:rFonts w:ascii="Times New Roman" w:hAnsi="Times New Roman" w:cs="Times New Roman"/>
          <w:bCs/>
          <w:sz w:val="24"/>
          <w:szCs w:val="24"/>
        </w:rPr>
        <w:t>,</w:t>
      </w:r>
      <w:r w:rsidRPr="00827C81">
        <w:rPr>
          <w:rFonts w:ascii="Times New Roman" w:hAnsi="Times New Roman" w:cs="Times New Roman"/>
          <w:bCs/>
          <w:sz w:val="24"/>
          <w:szCs w:val="24"/>
        </w:rPr>
        <w:t xml:space="preserve"> </w:t>
      </w:r>
      <w:r>
        <w:rPr>
          <w:rFonts w:ascii="Times New Roman" w:hAnsi="Times New Roman" w:cs="Times New Roman"/>
          <w:bCs/>
          <w:sz w:val="24"/>
          <w:szCs w:val="24"/>
        </w:rPr>
        <w:t xml:space="preserve">or WSAS </w:t>
      </w:r>
      <w:r w:rsidRPr="00827C81">
        <w:rPr>
          <w:rFonts w:ascii="Times New Roman" w:hAnsi="Times New Roman" w:cs="Times New Roman"/>
          <w:bCs/>
          <w:sz w:val="24"/>
          <w:szCs w:val="24"/>
        </w:rPr>
        <w:t>scores at either 3 or 6 months (Table 2).</w:t>
      </w:r>
    </w:p>
    <w:p w14:paraId="6DFFD165" w14:textId="7E1F6346" w:rsidR="002754F5" w:rsidRPr="00827C81" w:rsidRDefault="002754F5" w:rsidP="00AB775E">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 xml:space="preserve">In our </w:t>
      </w:r>
      <w:r>
        <w:rPr>
          <w:rFonts w:ascii="Times New Roman" w:hAnsi="Times New Roman" w:cs="Times New Roman"/>
          <w:bCs/>
          <w:sz w:val="24"/>
          <w:szCs w:val="24"/>
        </w:rPr>
        <w:t xml:space="preserve">pre-specified </w:t>
      </w:r>
      <w:r w:rsidRPr="00827C81">
        <w:rPr>
          <w:rFonts w:ascii="Times New Roman" w:hAnsi="Times New Roman" w:cs="Times New Roman"/>
          <w:bCs/>
          <w:sz w:val="24"/>
          <w:szCs w:val="24"/>
        </w:rPr>
        <w:t>exploratory outcomes (</w:t>
      </w:r>
      <w:r>
        <w:rPr>
          <w:rFonts w:ascii="Times New Roman" w:hAnsi="Times New Roman" w:cs="Times New Roman"/>
          <w:bCs/>
          <w:sz w:val="24"/>
          <w:szCs w:val="24"/>
        </w:rPr>
        <w:t>appendix, pages 1</w:t>
      </w:r>
      <w:r w:rsidR="00A06A6E">
        <w:rPr>
          <w:rFonts w:ascii="Times New Roman" w:hAnsi="Times New Roman" w:cs="Times New Roman"/>
          <w:bCs/>
          <w:sz w:val="24"/>
          <w:szCs w:val="24"/>
        </w:rPr>
        <w:t>6</w:t>
      </w:r>
      <w:r>
        <w:rPr>
          <w:rFonts w:ascii="Times New Roman" w:hAnsi="Times New Roman" w:cs="Times New Roman"/>
          <w:bCs/>
          <w:sz w:val="24"/>
          <w:szCs w:val="24"/>
        </w:rPr>
        <w:t>, 2</w:t>
      </w:r>
      <w:r w:rsidR="00A06A6E">
        <w:rPr>
          <w:rFonts w:ascii="Times New Roman" w:hAnsi="Times New Roman" w:cs="Times New Roman"/>
          <w:bCs/>
          <w:sz w:val="24"/>
          <w:szCs w:val="24"/>
        </w:rPr>
        <w:t>3</w:t>
      </w:r>
      <w:r>
        <w:rPr>
          <w:rFonts w:ascii="Times New Roman" w:hAnsi="Times New Roman" w:cs="Times New Roman"/>
          <w:bCs/>
          <w:sz w:val="24"/>
          <w:szCs w:val="24"/>
        </w:rPr>
        <w:t>, and 2</w:t>
      </w:r>
      <w:r w:rsidR="00A06A6E">
        <w:rPr>
          <w:rFonts w:ascii="Times New Roman" w:hAnsi="Times New Roman" w:cs="Times New Roman"/>
          <w:bCs/>
          <w:sz w:val="24"/>
          <w:szCs w:val="24"/>
        </w:rPr>
        <w:t>4</w:t>
      </w:r>
      <w:r w:rsidRPr="00827C81">
        <w:rPr>
          <w:rFonts w:ascii="Times New Roman" w:hAnsi="Times New Roman" w:cs="Times New Roman"/>
          <w:bCs/>
          <w:sz w:val="24"/>
          <w:szCs w:val="24"/>
        </w:rPr>
        <w:t xml:space="preserve">), there was an increased odds with amitriptyline for IBS-SSS to reduce by at least 50 points at both 3 months (OR = 1.49; 95% CI 0.97 to 2.28,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=0.068) and 6 months (OR = 1.48; 95% CI 0.97 to 2.27,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=0.068), but this was not statistically significant. Significantly more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allocated to amitriptyline experienced a ≥30% decrease in abdominal pain severity on the IBS-SSS at 6 months (OR = 1.66; 95% CI 1.12 to 2.46, </w:t>
      </w:r>
      <w:r w:rsidRPr="00827C81">
        <w:rPr>
          <w:rFonts w:ascii="Times New Roman" w:hAnsi="Times New Roman" w:cs="Times New Roman"/>
          <w:bCs/>
          <w:i/>
          <w:iCs/>
          <w:sz w:val="24"/>
          <w:szCs w:val="24"/>
        </w:rPr>
        <w:t>p</w:t>
      </w:r>
      <w:r w:rsidRPr="00827C81">
        <w:rPr>
          <w:rFonts w:ascii="Times New Roman" w:hAnsi="Times New Roman" w:cs="Times New Roman"/>
          <w:bCs/>
          <w:sz w:val="24"/>
          <w:szCs w:val="24"/>
        </w:rPr>
        <w:t xml:space="preserve">=0.012) but not abdominal distension severity. Using an alternative definition of SGA of relief of IBS symptoms, where only those reporting considerable or complete relief at 3 or 6 months were considered responders, an increase in the effect size for amitriptyline was observed at both 3 (OR = 1.81; 95% CI 1.17 to 2.79) and 6 months (OR = 1.88; 95% CI 1.20 to 2.95); results of ordinal regression of SGA of relief of IBS symptoms were comparable to the primary analysis. Sensitivity analyses on the per protocol population for the primary outcome, and on </w:t>
      </w:r>
      <w:r w:rsidRPr="00827C81">
        <w:rPr>
          <w:rFonts w:ascii="Times New Roman" w:eastAsiaTheme="minorEastAsia" w:hAnsi="Times New Roman" w:cs="Times New Roman"/>
          <w:bCs/>
          <w:sz w:val="24"/>
          <w:szCs w:val="24"/>
          <w:lang w:eastAsia="zh-CN"/>
        </w:rPr>
        <w:t>participants</w:t>
      </w:r>
      <w:r w:rsidRPr="00827C81">
        <w:rPr>
          <w:rFonts w:ascii="Times New Roman" w:hAnsi="Times New Roman" w:cs="Times New Roman"/>
          <w:bCs/>
          <w:sz w:val="24"/>
          <w:szCs w:val="24"/>
        </w:rPr>
        <w:t xml:space="preserve"> with complete data for the primary and key secondary outcomes gave consistent results, albeit with larger estimated treatment effects.</w:t>
      </w:r>
      <w:r>
        <w:rPr>
          <w:rFonts w:ascii="Times New Roman" w:hAnsi="Times New Roman" w:cs="Times New Roman"/>
          <w:bCs/>
          <w:sz w:val="24"/>
          <w:szCs w:val="24"/>
        </w:rPr>
        <w:t xml:space="preserve"> For 12-month analyses and pre-specified and </w:t>
      </w:r>
      <w:r>
        <w:rPr>
          <w:rFonts w:ascii="Times New Roman" w:hAnsi="Times New Roman" w:cs="Times New Roman"/>
          <w:bCs/>
          <w:i/>
          <w:iCs/>
          <w:sz w:val="24"/>
          <w:szCs w:val="24"/>
        </w:rPr>
        <w:t xml:space="preserve">post hoc </w:t>
      </w:r>
      <w:r>
        <w:rPr>
          <w:rFonts w:ascii="Times New Roman" w:hAnsi="Times New Roman" w:cs="Times New Roman"/>
          <w:bCs/>
          <w:sz w:val="24"/>
          <w:szCs w:val="24"/>
        </w:rPr>
        <w:t>exploratory moderator analyses see appendix, pages 1, 1</w:t>
      </w:r>
      <w:r w:rsidR="00BE2793">
        <w:rPr>
          <w:rFonts w:ascii="Times New Roman" w:hAnsi="Times New Roman" w:cs="Times New Roman"/>
          <w:bCs/>
          <w:sz w:val="24"/>
          <w:szCs w:val="24"/>
        </w:rPr>
        <w:t>8</w:t>
      </w:r>
      <w:r>
        <w:rPr>
          <w:rFonts w:ascii="Times New Roman" w:hAnsi="Times New Roman" w:cs="Times New Roman"/>
          <w:bCs/>
          <w:sz w:val="24"/>
          <w:szCs w:val="24"/>
        </w:rPr>
        <w:t xml:space="preserve"> to </w:t>
      </w:r>
      <w:r w:rsidR="00BE2793">
        <w:rPr>
          <w:rFonts w:ascii="Times New Roman" w:hAnsi="Times New Roman" w:cs="Times New Roman"/>
          <w:bCs/>
          <w:sz w:val="24"/>
          <w:szCs w:val="24"/>
        </w:rPr>
        <w:t>2</w:t>
      </w:r>
      <w:r>
        <w:rPr>
          <w:rFonts w:ascii="Times New Roman" w:hAnsi="Times New Roman" w:cs="Times New Roman"/>
          <w:bCs/>
          <w:sz w:val="24"/>
          <w:szCs w:val="24"/>
        </w:rPr>
        <w:t>1, and 2</w:t>
      </w:r>
      <w:r w:rsidR="00BE2793">
        <w:rPr>
          <w:rFonts w:ascii="Times New Roman" w:hAnsi="Times New Roman" w:cs="Times New Roman"/>
          <w:bCs/>
          <w:sz w:val="24"/>
          <w:szCs w:val="24"/>
        </w:rPr>
        <w:t>7</w:t>
      </w:r>
      <w:r>
        <w:rPr>
          <w:rFonts w:ascii="Times New Roman" w:hAnsi="Times New Roman" w:cs="Times New Roman"/>
          <w:bCs/>
          <w:sz w:val="24"/>
          <w:szCs w:val="24"/>
        </w:rPr>
        <w:t xml:space="preserve"> to 3</w:t>
      </w:r>
      <w:r w:rsidR="00BE2793">
        <w:rPr>
          <w:rFonts w:ascii="Times New Roman" w:hAnsi="Times New Roman" w:cs="Times New Roman"/>
          <w:bCs/>
          <w:sz w:val="24"/>
          <w:szCs w:val="24"/>
        </w:rPr>
        <w:t>5</w:t>
      </w:r>
      <w:r w:rsidRPr="00B41D62">
        <w:rPr>
          <w:rFonts w:ascii="Times New Roman" w:hAnsi="Times New Roman" w:cs="Times New Roman"/>
          <w:bCs/>
          <w:sz w:val="24"/>
          <w:szCs w:val="24"/>
        </w:rPr>
        <w:t>.</w:t>
      </w:r>
      <w:r w:rsidRPr="007C2016">
        <w:rPr>
          <w:rFonts w:ascii="Times New Roman" w:hAnsi="Times New Roman" w:cs="Times New Roman"/>
          <w:bCs/>
          <w:sz w:val="24"/>
          <w:szCs w:val="24"/>
        </w:rPr>
        <w:t xml:space="preserve"> </w:t>
      </w:r>
    </w:p>
    <w:p w14:paraId="0A10FD3D" w14:textId="7E2EA048" w:rsidR="002754F5" w:rsidRPr="00827C81" w:rsidRDefault="002754F5" w:rsidP="006B27E0">
      <w:pPr>
        <w:spacing w:line="480" w:lineRule="auto"/>
        <w:ind w:firstLine="720"/>
        <w:rPr>
          <w:rFonts w:ascii="Times New Roman" w:hAnsi="Times New Roman" w:cs="Times New Roman"/>
          <w:sz w:val="24"/>
          <w:szCs w:val="24"/>
          <w:shd w:val="clear" w:color="auto" w:fill="FFFFFF"/>
        </w:rPr>
      </w:pPr>
      <w:r w:rsidRPr="00827C81">
        <w:rPr>
          <w:rFonts w:ascii="Times New Roman" w:hAnsi="Times New Roman" w:cs="Times New Roman"/>
          <w:sz w:val="24"/>
          <w:szCs w:val="24"/>
          <w:shd w:val="clear" w:color="auto" w:fill="FFFFFF"/>
        </w:rPr>
        <w:t xml:space="preserve">Table 3 reports treatment-emergent adverse events at 3 and 6 months, as captured by the ASEC for participants still on treatment. There was a statistically significant increase in the total ASEC score with amitriptyline compared with placebo at 3 months (1.39; 95% CI 0.29 to 2.50, </w:t>
      </w:r>
      <w:r w:rsidRPr="00827C81">
        <w:rPr>
          <w:rFonts w:ascii="Times New Roman" w:hAnsi="Times New Roman" w:cs="Times New Roman"/>
          <w:i/>
          <w:iCs/>
          <w:sz w:val="24"/>
          <w:szCs w:val="24"/>
          <w:shd w:val="clear" w:color="auto" w:fill="FFFFFF"/>
        </w:rPr>
        <w:t>p</w:t>
      </w:r>
      <w:r w:rsidRPr="00827C81">
        <w:rPr>
          <w:rFonts w:ascii="Times New Roman" w:hAnsi="Times New Roman" w:cs="Times New Roman"/>
          <w:sz w:val="24"/>
          <w:szCs w:val="24"/>
          <w:shd w:val="clear" w:color="auto" w:fill="FFFFFF"/>
        </w:rPr>
        <w:t xml:space="preserve">=0.013) but not 6 months (0.26; 95% CI -0.98 to 1.51, </w:t>
      </w:r>
      <w:r w:rsidRPr="00827C81">
        <w:rPr>
          <w:rFonts w:ascii="Times New Roman" w:hAnsi="Times New Roman" w:cs="Times New Roman"/>
          <w:i/>
          <w:iCs/>
          <w:sz w:val="24"/>
          <w:szCs w:val="24"/>
          <w:shd w:val="clear" w:color="auto" w:fill="FFFFFF"/>
        </w:rPr>
        <w:t>p</w:t>
      </w:r>
      <w:r w:rsidRPr="00827C81">
        <w:rPr>
          <w:rFonts w:ascii="Times New Roman" w:hAnsi="Times New Roman" w:cs="Times New Roman"/>
          <w:sz w:val="24"/>
          <w:szCs w:val="24"/>
          <w:shd w:val="clear" w:color="auto" w:fill="FFFFFF"/>
        </w:rPr>
        <w:t xml:space="preserve">=0.68). </w:t>
      </w:r>
      <w:bookmarkStart w:id="22" w:name="_Hlk135295173"/>
      <w:r>
        <w:rPr>
          <w:rFonts w:ascii="Times New Roman" w:hAnsi="Times New Roman" w:cs="Times New Roman"/>
          <w:sz w:val="24"/>
          <w:szCs w:val="24"/>
          <w:shd w:val="clear" w:color="auto" w:fill="FFFFFF"/>
        </w:rPr>
        <w:t>Excess a</w:t>
      </w:r>
      <w:r w:rsidRPr="00827C81">
        <w:rPr>
          <w:rFonts w:ascii="Times New Roman" w:hAnsi="Times New Roman" w:cs="Times New Roman"/>
          <w:sz w:val="24"/>
          <w:szCs w:val="24"/>
          <w:shd w:val="clear" w:color="auto" w:fill="FFFFFF"/>
        </w:rPr>
        <w:t xml:space="preserve">dverse events </w:t>
      </w:r>
      <w:r>
        <w:rPr>
          <w:rFonts w:ascii="Times New Roman" w:hAnsi="Times New Roman" w:cs="Times New Roman"/>
          <w:sz w:val="24"/>
          <w:szCs w:val="24"/>
          <w:shd w:val="clear" w:color="auto" w:fill="FFFFFF"/>
        </w:rPr>
        <w:t>with</w:t>
      </w:r>
      <w:r w:rsidRPr="00827C81">
        <w:rPr>
          <w:rFonts w:ascii="Times New Roman" w:hAnsi="Times New Roman" w:cs="Times New Roman"/>
          <w:sz w:val="24"/>
          <w:szCs w:val="24"/>
          <w:shd w:val="clear" w:color="auto" w:fill="FFFFFF"/>
        </w:rPr>
        <w:t xml:space="preserve"> amitriptyline related mainly to its known anticholinergic effects, including dry mouth, drowsiness, blurred vision, and urination problems. However, rates fell generally </w:t>
      </w:r>
      <w:r w:rsidRPr="00827C81">
        <w:rPr>
          <w:rFonts w:ascii="Times New Roman" w:hAnsi="Times New Roman" w:cs="Times New Roman"/>
          <w:sz w:val="24"/>
          <w:szCs w:val="24"/>
          <w:shd w:val="clear" w:color="auto" w:fill="FFFFFF"/>
        </w:rPr>
        <w:lastRenderedPageBreak/>
        <w:t>between 3 and 6 months and few (&lt;5%) were severe</w:t>
      </w:r>
      <w:bookmarkEnd w:id="22"/>
      <w:r w:rsidRPr="00827C81">
        <w:rPr>
          <w:rFonts w:ascii="Times New Roman" w:hAnsi="Times New Roman" w:cs="Times New Roman"/>
          <w:sz w:val="24"/>
          <w:szCs w:val="24"/>
          <w:shd w:val="clear" w:color="auto" w:fill="FFFFFF"/>
        </w:rPr>
        <w:t>, except for constipation and diarrhoea (&lt;10%) (</w:t>
      </w:r>
      <w:r>
        <w:rPr>
          <w:rFonts w:ascii="Times New Roman" w:hAnsi="Times New Roman" w:cs="Times New Roman"/>
          <w:sz w:val="24"/>
          <w:szCs w:val="24"/>
          <w:shd w:val="clear" w:color="auto" w:fill="FFFFFF"/>
        </w:rPr>
        <w:t>appendix, pages 2</w:t>
      </w:r>
      <w:r w:rsidR="00BE2793">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and 2</w:t>
      </w:r>
      <w:r w:rsidR="00BE2793">
        <w:rPr>
          <w:rFonts w:ascii="Times New Roman" w:hAnsi="Times New Roman" w:cs="Times New Roman"/>
          <w:sz w:val="24"/>
          <w:szCs w:val="24"/>
          <w:shd w:val="clear" w:color="auto" w:fill="FFFFFF"/>
        </w:rPr>
        <w:t>6</w:t>
      </w:r>
      <w:r w:rsidRPr="00827C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For </w:t>
      </w:r>
      <w:r w:rsidRPr="00827C81">
        <w:rPr>
          <w:rFonts w:ascii="Times New Roman" w:hAnsi="Times New Roman" w:cs="Times New Roman"/>
          <w:sz w:val="24"/>
          <w:szCs w:val="24"/>
          <w:shd w:val="clear" w:color="auto" w:fill="FFFFFF"/>
        </w:rPr>
        <w:t>adverse events leading to treatment discontinuation</w:t>
      </w:r>
      <w:r>
        <w:rPr>
          <w:rFonts w:ascii="Times New Roman" w:hAnsi="Times New Roman" w:cs="Times New Roman"/>
          <w:sz w:val="24"/>
          <w:szCs w:val="24"/>
          <w:shd w:val="clear" w:color="auto" w:fill="FFFFFF"/>
        </w:rPr>
        <w:t>, see appendix page 1</w:t>
      </w:r>
      <w:r w:rsidR="00BE2793">
        <w:rPr>
          <w:rFonts w:ascii="Times New Roman" w:hAnsi="Times New Roman" w:cs="Times New Roman"/>
          <w:sz w:val="24"/>
          <w:szCs w:val="24"/>
          <w:shd w:val="clear" w:color="auto" w:fill="FFFFFF"/>
        </w:rPr>
        <w:t>7</w:t>
      </w:r>
      <w:r w:rsidRPr="00827C81">
        <w:rPr>
          <w:rFonts w:ascii="Times New Roman" w:hAnsi="Times New Roman" w:cs="Times New Roman"/>
          <w:sz w:val="24"/>
          <w:szCs w:val="24"/>
          <w:shd w:val="clear" w:color="auto" w:fill="FFFFFF"/>
        </w:rPr>
        <w:t xml:space="preserve">. There were five serious adverse reactions (two amitriptyline, three placebo) and five serious adverse events unrelated to trial medication (four amitriptyline, one placebo). </w:t>
      </w:r>
    </w:p>
    <w:p w14:paraId="48CFD637" w14:textId="77777777" w:rsidR="002754F5" w:rsidRPr="00827C81" w:rsidRDefault="002754F5">
      <w:pPr>
        <w:rPr>
          <w:rFonts w:ascii="Times New Roman" w:hAnsi="Times New Roman" w:cs="Times New Roman"/>
          <w:b/>
          <w:sz w:val="24"/>
          <w:szCs w:val="24"/>
        </w:rPr>
      </w:pPr>
      <w:r w:rsidRPr="00827C81">
        <w:rPr>
          <w:rFonts w:ascii="Times New Roman" w:hAnsi="Times New Roman" w:cs="Times New Roman"/>
          <w:b/>
          <w:sz w:val="24"/>
          <w:szCs w:val="24"/>
        </w:rPr>
        <w:br w:type="page"/>
      </w:r>
    </w:p>
    <w:p w14:paraId="6859D9A4" w14:textId="77777777" w:rsidR="002754F5" w:rsidRPr="00827C81" w:rsidRDefault="002754F5" w:rsidP="00DB1437">
      <w:pPr>
        <w:spacing w:line="480" w:lineRule="auto"/>
        <w:rPr>
          <w:rFonts w:ascii="Times New Roman" w:hAnsi="Times New Roman" w:cs="Times New Roman"/>
          <w:b/>
          <w:sz w:val="24"/>
          <w:szCs w:val="24"/>
        </w:rPr>
      </w:pPr>
      <w:r w:rsidRPr="00827C81">
        <w:rPr>
          <w:rFonts w:ascii="Times New Roman" w:hAnsi="Times New Roman" w:cs="Times New Roman"/>
          <w:b/>
          <w:sz w:val="24"/>
          <w:szCs w:val="24"/>
        </w:rPr>
        <w:lastRenderedPageBreak/>
        <w:t>DISCUSSION</w:t>
      </w:r>
    </w:p>
    <w:p w14:paraId="59FF445D"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 xml:space="preserve">To our knowledge, this is the largest trial of a TCA in IBS ever undertaken and the first based entirely in primary care. It </w:t>
      </w:r>
      <w:bookmarkStart w:id="23" w:name="_Hlk135295344"/>
      <w:r w:rsidRPr="00827C81">
        <w:rPr>
          <w:rFonts w:ascii="Times New Roman" w:hAnsi="Times New Roman" w:cs="Times New Roman"/>
          <w:bCs/>
          <w:sz w:val="24"/>
          <w:szCs w:val="24"/>
        </w:rPr>
        <w:t>addresses a key research priority identified by NICE guidance for management of IBS in primary care.</w:t>
      </w:r>
      <w:r w:rsidRPr="00827C81">
        <w:rPr>
          <w:rFonts w:ascii="Times New Roman" w:hAnsi="Times New Roman" w:cs="Times New Roman"/>
          <w:bCs/>
          <w:noProof/>
          <w:sz w:val="24"/>
          <w:szCs w:val="24"/>
          <w:vertAlign w:val="superscript"/>
        </w:rPr>
        <w:t>15</w:t>
      </w:r>
      <w:r w:rsidRPr="00827C81">
        <w:rPr>
          <w:rFonts w:ascii="Times New Roman" w:hAnsi="Times New Roman" w:cs="Times New Roman"/>
          <w:bCs/>
          <w:sz w:val="24"/>
          <w:szCs w:val="24"/>
        </w:rPr>
        <w:t xml:space="preserve"> In a population not experienc</w:t>
      </w:r>
      <w:r>
        <w:rPr>
          <w:rFonts w:ascii="Times New Roman" w:hAnsi="Times New Roman" w:cs="Times New Roman"/>
          <w:bCs/>
          <w:sz w:val="24"/>
          <w:szCs w:val="24"/>
        </w:rPr>
        <w:t>ing</w:t>
      </w:r>
      <w:r w:rsidRPr="00827C81">
        <w:rPr>
          <w:rFonts w:ascii="Times New Roman" w:hAnsi="Times New Roman" w:cs="Times New Roman"/>
          <w:bCs/>
          <w:sz w:val="24"/>
          <w:szCs w:val="24"/>
        </w:rPr>
        <w:t xml:space="preserve"> a</w:t>
      </w:r>
      <w:r>
        <w:rPr>
          <w:rFonts w:ascii="Times New Roman" w:hAnsi="Times New Roman" w:cs="Times New Roman"/>
          <w:bCs/>
          <w:sz w:val="24"/>
          <w:szCs w:val="24"/>
        </w:rPr>
        <w:t>ny</w:t>
      </w:r>
      <w:r w:rsidRPr="00827C81">
        <w:rPr>
          <w:rFonts w:ascii="Times New Roman" w:hAnsi="Times New Roman" w:cs="Times New Roman"/>
          <w:bCs/>
          <w:sz w:val="24"/>
          <w:szCs w:val="24"/>
        </w:rPr>
        <w:t xml:space="preserve"> benefit from first-line therapies, with a long duration of disease, and moderate to severe symptoms, low-dose amitriptyline met the primary outcome, with a mean decrease in IBS-SSS of almost 100 points at both 3 and 6 months, compared with baseline, and key secondary outcome for effectiveness, as well as other IBS symptom measures.</w:t>
      </w:r>
      <w:bookmarkEnd w:id="23"/>
      <w:r>
        <w:rPr>
          <w:rFonts w:ascii="Times New Roman" w:hAnsi="Times New Roman" w:cs="Times New Roman"/>
          <w:bCs/>
          <w:sz w:val="24"/>
          <w:szCs w:val="24"/>
        </w:rPr>
        <w:t xml:space="preserve"> </w:t>
      </w:r>
      <w:r w:rsidRPr="00827C81">
        <w:rPr>
          <w:rFonts w:ascii="Times New Roman" w:hAnsi="Times New Roman" w:cs="Times New Roman"/>
          <w:bCs/>
          <w:sz w:val="24"/>
          <w:szCs w:val="24"/>
        </w:rPr>
        <w:t xml:space="preserve">There was no effect of low-dose amitriptyline on somatoform symptom-reporting scores, or anxiety or depression scores during 6-month follow-up, nor was there any impact on work and social activities. </w:t>
      </w:r>
      <w:bookmarkStart w:id="24" w:name="_Hlk135295314"/>
      <w:r w:rsidRPr="00827C81">
        <w:rPr>
          <w:rFonts w:ascii="Times New Roman" w:hAnsi="Times New Roman" w:cs="Times New Roman"/>
          <w:bCs/>
          <w:sz w:val="24"/>
          <w:szCs w:val="24"/>
        </w:rPr>
        <w:t xml:space="preserve">More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found low-dose amitriptyline acceptable to take than placebo and almost three-quarters adhered to the drug during the 6-month trial. </w:t>
      </w:r>
      <w:bookmarkEnd w:id="24"/>
      <w:r w:rsidRPr="00827C81">
        <w:rPr>
          <w:rFonts w:ascii="Times New Roman" w:hAnsi="Times New Roman" w:cs="Times New Roman"/>
          <w:bCs/>
          <w:sz w:val="24"/>
          <w:szCs w:val="24"/>
        </w:rPr>
        <w:t xml:space="preserve">Adverse events were more frequent with low-dose amitriptyline. </w:t>
      </w:r>
      <w:r w:rsidRPr="00827C81">
        <w:rPr>
          <w:rFonts w:ascii="Times New Roman" w:eastAsia="Arial" w:hAnsi="Times New Roman" w:cs="Times New Roman"/>
          <w:color w:val="000000" w:themeColor="text1"/>
          <w:sz w:val="24"/>
          <w:szCs w:val="24"/>
        </w:rPr>
        <w:t xml:space="preserve">Those reported in participants receiving amitriptyline </w:t>
      </w:r>
      <w:proofErr w:type="gramStart"/>
      <w:r w:rsidRPr="00827C81">
        <w:rPr>
          <w:rFonts w:ascii="Times New Roman" w:eastAsia="Arial" w:hAnsi="Times New Roman" w:cs="Times New Roman"/>
          <w:color w:val="000000" w:themeColor="text1"/>
          <w:sz w:val="24"/>
          <w:szCs w:val="24"/>
        </w:rPr>
        <w:t>in excess of</w:t>
      </w:r>
      <w:proofErr w:type="gramEnd"/>
      <w:r w:rsidRPr="00827C81">
        <w:rPr>
          <w:rFonts w:ascii="Times New Roman" w:eastAsia="Arial" w:hAnsi="Times New Roman" w:cs="Times New Roman"/>
          <w:color w:val="000000" w:themeColor="text1"/>
          <w:sz w:val="24"/>
          <w:szCs w:val="24"/>
        </w:rPr>
        <w:t xml:space="preserve"> those reported by the placebo arm mainly related to its anticholinergic effects</w:t>
      </w:r>
      <w:r w:rsidRPr="00827C81">
        <w:rPr>
          <w:rFonts w:ascii="Times New Roman" w:hAnsi="Times New Roman" w:cs="Times New Roman"/>
          <w:bCs/>
          <w:sz w:val="24"/>
          <w:szCs w:val="24"/>
        </w:rPr>
        <w:t xml:space="preserve">, including drowsiness and dry mouth. However, for most participants, these were judged as mild, although withdrawals due to adverse events were slightly more frequent with low-dose amitriptyline. </w:t>
      </w:r>
    </w:p>
    <w:p w14:paraId="30EE912F" w14:textId="2B90711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ab/>
        <w:t>The 6-month duration of treatment in ATLANTIS is longer than most drug trials in IBS, where efficacy is usually assessed over 12 weeks. Our study is, therefore, in line with European Medicines Agency (EMA) recommendations for IBS treatment trials,</w:t>
      </w:r>
      <w:r w:rsidRPr="00ED2460">
        <w:rPr>
          <w:rFonts w:ascii="Times New Roman" w:hAnsi="Times New Roman" w:cs="Times New Roman"/>
          <w:bCs/>
          <w:noProof/>
          <w:sz w:val="24"/>
          <w:szCs w:val="24"/>
          <w:vertAlign w:val="superscript"/>
        </w:rPr>
        <w:t>47</w:t>
      </w:r>
      <w:r w:rsidRPr="00827C81">
        <w:rPr>
          <w:rFonts w:ascii="Times New Roman" w:hAnsi="Times New Roman" w:cs="Times New Roman"/>
          <w:bCs/>
          <w:sz w:val="24"/>
          <w:szCs w:val="24"/>
        </w:rPr>
        <w:t xml:space="preserve"> and the results are likely to be more representative of the effectiveness of low-dose amitriptyline for a condition that, for many people, is chronic and relapsing.</w:t>
      </w:r>
      <w:r w:rsidRPr="00827C81">
        <w:rPr>
          <w:rFonts w:ascii="Times New Roman" w:hAnsi="Times New Roman" w:cs="Times New Roman"/>
          <w:bCs/>
          <w:noProof/>
          <w:sz w:val="24"/>
          <w:szCs w:val="24"/>
          <w:vertAlign w:val="superscript"/>
        </w:rPr>
        <w:t>2</w:t>
      </w:r>
      <w:r w:rsidRPr="00827C81">
        <w:rPr>
          <w:rFonts w:ascii="Times New Roman" w:hAnsi="Times New Roman" w:cs="Times New Roman"/>
          <w:bCs/>
          <w:sz w:val="24"/>
          <w:szCs w:val="24"/>
        </w:rPr>
        <w:t xml:space="preserve"> We used outcomes that are accepted widely in trials conducted in IBS, including a mean change in the total IBS-SSS and adequate relief of symptoms of IBS. Effectiveness analyses were conducted on all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irrespective of adherence, with imputation of missing data. Therefore, it is </w:t>
      </w:r>
      <w:r w:rsidRPr="00827C81">
        <w:rPr>
          <w:rFonts w:ascii="Times New Roman" w:hAnsi="Times New Roman" w:cs="Times New Roman"/>
          <w:bCs/>
          <w:sz w:val="24"/>
          <w:szCs w:val="24"/>
        </w:rPr>
        <w:lastRenderedPageBreak/>
        <w:t xml:space="preserve">unlikely we have overestimated the effectiveness of low-dose amitriptyline for IBS in primary care. We used current recommended symptom-based criteria, the Rome IV criteria, together with limited diagnostic testing to exclude known organic “mimics” of IBS in all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s, in line with UK guidance.</w:t>
      </w:r>
      <w:r w:rsidRPr="00827C81">
        <w:rPr>
          <w:rFonts w:ascii="Times New Roman" w:hAnsi="Times New Roman" w:cs="Times New Roman"/>
          <w:bCs/>
          <w:noProof/>
          <w:sz w:val="24"/>
          <w:szCs w:val="24"/>
          <w:vertAlign w:val="superscript"/>
        </w:rPr>
        <w:t>6,15</w:t>
      </w:r>
      <w:r w:rsidRPr="00827C81">
        <w:rPr>
          <w:rFonts w:ascii="Times New Roman" w:hAnsi="Times New Roman" w:cs="Times New Roman"/>
          <w:bCs/>
          <w:sz w:val="24"/>
          <w:szCs w:val="24"/>
        </w:rPr>
        <w:t xml:space="preserve"> We recruited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with IBS, irrespective of predominant stool pattern, with symptoms of varying severity, from a broad range of general practices in three different regions </w:t>
      </w:r>
      <w:r>
        <w:rPr>
          <w:rFonts w:ascii="Times New Roman" w:hAnsi="Times New Roman" w:cs="Times New Roman"/>
          <w:bCs/>
          <w:sz w:val="24"/>
          <w:szCs w:val="24"/>
        </w:rPr>
        <w:t>of</w:t>
      </w:r>
      <w:r w:rsidRPr="00827C81">
        <w:rPr>
          <w:rFonts w:ascii="Times New Roman" w:hAnsi="Times New Roman" w:cs="Times New Roman"/>
          <w:bCs/>
          <w:sz w:val="24"/>
          <w:szCs w:val="24"/>
        </w:rPr>
        <w:t xml:space="preserve"> the UK, meaning our results are likely to be generalisable to many patients in this setting. Follow-up rates for participant-reported outcomes at 6 months </w:t>
      </w:r>
      <w:r w:rsidRPr="00891BA6">
        <w:rPr>
          <w:rFonts w:ascii="Times New Roman" w:hAnsi="Times New Roman" w:cs="Times New Roman"/>
          <w:bCs/>
          <w:sz w:val="24"/>
          <w:szCs w:val="24"/>
        </w:rPr>
        <w:t>were 87%, preserving power despite the slightly smaller than projected sample size.</w:t>
      </w:r>
      <w:r w:rsidRPr="00827C81">
        <w:rPr>
          <w:rFonts w:ascii="Times New Roman" w:hAnsi="Times New Roman" w:cs="Times New Roman"/>
          <w:bCs/>
          <w:sz w:val="24"/>
          <w:szCs w:val="24"/>
        </w:rPr>
        <w:t xml:space="preserve"> </w:t>
      </w:r>
      <w:bookmarkStart w:id="25" w:name="_Hlk138919279"/>
      <w:r>
        <w:rPr>
          <w:rFonts w:ascii="Times New Roman" w:hAnsi="Times New Roman" w:cs="Times New Roman"/>
          <w:sz w:val="24"/>
          <w:szCs w:val="24"/>
          <w:shd w:val="clear" w:color="auto" w:fill="FFFFFF"/>
        </w:rPr>
        <w:t>In terms of where trials lie on the pragmatic-explanatory continuum, ATLANTIS leaned strongly towards the pragmatic end for six of the nine PRECIS-2 criteria</w:t>
      </w:r>
      <w:bookmarkEnd w:id="25"/>
      <w:r w:rsidR="002640AD">
        <w:rPr>
          <w:rFonts w:ascii="Times New Roman" w:hAnsi="Times New Roman" w:cs="Times New Roman"/>
          <w:sz w:val="24"/>
          <w:szCs w:val="24"/>
          <w:shd w:val="clear" w:color="auto" w:fill="FFFFFF"/>
        </w:rPr>
        <w:t>,</w:t>
      </w:r>
      <w:r w:rsidRPr="00B5748C">
        <w:rPr>
          <w:rFonts w:ascii="Times New Roman" w:hAnsi="Times New Roman" w:cs="Times New Roman"/>
          <w:noProof/>
          <w:sz w:val="24"/>
          <w:szCs w:val="24"/>
          <w:shd w:val="clear" w:color="auto" w:fill="FFFFFF"/>
          <w:vertAlign w:val="superscript"/>
        </w:rPr>
        <w:t>48</w:t>
      </w:r>
      <w:r w:rsidR="002640AD" w:rsidRPr="002640AD">
        <w:rPr>
          <w:rFonts w:ascii="Times New Roman" w:hAnsi="Times New Roman" w:cs="Times New Roman"/>
          <w:sz w:val="24"/>
          <w:szCs w:val="24"/>
          <w:shd w:val="clear" w:color="auto" w:fill="FFFFFF"/>
        </w:rPr>
        <w:t xml:space="preserve"> </w:t>
      </w:r>
      <w:r w:rsidR="002640AD">
        <w:rPr>
          <w:rFonts w:ascii="Times New Roman" w:hAnsi="Times New Roman" w:cs="Times New Roman"/>
          <w:sz w:val="24"/>
          <w:szCs w:val="24"/>
          <w:shd w:val="clear" w:color="auto" w:fill="FFFFFF"/>
        </w:rPr>
        <w:t>including eligibility, setting, organisation, flexibility of delivery of the intervention, primary outcome, and primary analysis.</w:t>
      </w:r>
    </w:p>
    <w:p w14:paraId="4B44730B" w14:textId="77777777" w:rsidR="002754F5" w:rsidRPr="00827C81" w:rsidRDefault="002754F5" w:rsidP="00DB1437">
      <w:pPr>
        <w:spacing w:line="480" w:lineRule="auto"/>
        <w:ind w:firstLine="720"/>
        <w:rPr>
          <w:rFonts w:ascii="Times New Roman" w:hAnsi="Times New Roman" w:cs="Times New Roman"/>
          <w:bCs/>
          <w:sz w:val="24"/>
          <w:szCs w:val="24"/>
        </w:rPr>
      </w:pPr>
      <w:r w:rsidRPr="00827C81">
        <w:rPr>
          <w:rFonts w:ascii="Times New Roman" w:hAnsi="Times New Roman" w:cs="Times New Roman"/>
          <w:bCs/>
          <w:sz w:val="24"/>
          <w:szCs w:val="24"/>
        </w:rPr>
        <w:t>Our chosen primary outcomes differed from Food and Drug Administration (FDA) and EMA recommendations for drug trials in IBS.</w:t>
      </w:r>
      <w:r w:rsidRPr="00B5748C">
        <w:rPr>
          <w:rFonts w:ascii="Times New Roman" w:hAnsi="Times New Roman" w:cs="Times New Roman"/>
          <w:bCs/>
          <w:noProof/>
          <w:sz w:val="24"/>
          <w:szCs w:val="24"/>
          <w:vertAlign w:val="superscript"/>
        </w:rPr>
        <w:t>47,49</w:t>
      </w:r>
      <w:r w:rsidRPr="00827C81">
        <w:rPr>
          <w:rFonts w:ascii="Times New Roman" w:hAnsi="Times New Roman" w:cs="Times New Roman"/>
          <w:bCs/>
          <w:sz w:val="24"/>
          <w:szCs w:val="24"/>
        </w:rPr>
        <w:t xml:space="preserve"> This would have been impractical in a pragmatic 6-month trial recruiting </w:t>
      </w:r>
      <w:r w:rsidRPr="00827C81">
        <w:rPr>
          <w:rFonts w:ascii="Times New Roman" w:hAnsi="Times New Roman" w:cs="Times New Roman"/>
          <w:sz w:val="24"/>
          <w:szCs w:val="24"/>
          <w:shd w:val="clear" w:color="auto" w:fill="FFFFFF"/>
        </w:rPr>
        <w:t>participant</w:t>
      </w:r>
      <w:r w:rsidRPr="00827C81">
        <w:rPr>
          <w:rFonts w:ascii="Times New Roman" w:hAnsi="Times New Roman" w:cs="Times New Roman"/>
          <w:bCs/>
          <w:sz w:val="24"/>
          <w:szCs w:val="24"/>
        </w:rPr>
        <w:t xml:space="preserve">s in primary care with IBS of all subtypes, including IBS-M or IBS-U, for which there is no consensus on recommended endpoints. Our </w:t>
      </w:r>
      <w:r>
        <w:rPr>
          <w:rFonts w:ascii="Times New Roman" w:hAnsi="Times New Roman" w:cs="Times New Roman"/>
          <w:bCs/>
          <w:sz w:val="24"/>
          <w:szCs w:val="24"/>
        </w:rPr>
        <w:t>exploratory</w:t>
      </w:r>
      <w:r w:rsidRPr="00827C81">
        <w:rPr>
          <w:rFonts w:ascii="Times New Roman" w:hAnsi="Times New Roman" w:cs="Times New Roman"/>
          <w:bCs/>
          <w:sz w:val="24"/>
          <w:szCs w:val="24"/>
        </w:rPr>
        <w:t xml:space="preserve"> outcomes of a ≥30% improvement in abdominal pain on the IBS-SSS and adequate relief of IBS symptoms in 50% of weeks, both of which were significantly higher with low-dose amitriptyline, approximate to FDA and EMA</w:t>
      </w:r>
      <w:r>
        <w:rPr>
          <w:rFonts w:ascii="Times New Roman" w:hAnsi="Times New Roman" w:cs="Times New Roman"/>
          <w:bCs/>
          <w:sz w:val="24"/>
          <w:szCs w:val="24"/>
        </w:rPr>
        <w:t>-</w:t>
      </w:r>
      <w:r w:rsidRPr="00827C81">
        <w:rPr>
          <w:rFonts w:ascii="Times New Roman" w:hAnsi="Times New Roman" w:cs="Times New Roman"/>
          <w:bCs/>
          <w:sz w:val="24"/>
          <w:szCs w:val="24"/>
        </w:rPr>
        <w:t xml:space="preserve">recommended endpoints and are more stringent but did not require completion of a daily diary outcome specific to IBS subtype. Those recruited were not ethnically diverse, despite considerable efforts to reach out to ethnic minorities with IBS during the trial. However, unlike many treatment trials in IBS more than 30% of recruited participants were male, and age and deprivation indices were wide ranging. Over 80% of participants had IBS-D or IBS-M, meaning effectiveness of low-dose amitriptyline in those with IBS-C or IBS-U may be more difficult to judge. Our </w:t>
      </w:r>
      <w:r>
        <w:rPr>
          <w:rFonts w:ascii="Times New Roman" w:hAnsi="Times New Roman" w:cs="Times New Roman"/>
          <w:bCs/>
          <w:sz w:val="24"/>
          <w:szCs w:val="24"/>
        </w:rPr>
        <w:lastRenderedPageBreak/>
        <w:t>participant</w:t>
      </w:r>
      <w:r w:rsidRPr="00827C81">
        <w:rPr>
          <w:rFonts w:ascii="Times New Roman" w:hAnsi="Times New Roman" w:cs="Times New Roman"/>
          <w:bCs/>
          <w:sz w:val="24"/>
          <w:szCs w:val="24"/>
        </w:rPr>
        <w:t xml:space="preserve"> information leaflet mentioned constipation was a potential side effect of amitriptyline, and </w:t>
      </w:r>
      <w:r>
        <w:rPr>
          <w:rFonts w:ascii="Times New Roman" w:hAnsi="Times New Roman" w:cs="Times New Roman"/>
          <w:bCs/>
          <w:sz w:val="24"/>
          <w:szCs w:val="24"/>
        </w:rPr>
        <w:t>perhaps</w:t>
      </w:r>
      <w:r w:rsidRPr="00827C81">
        <w:rPr>
          <w:rFonts w:ascii="Times New Roman" w:hAnsi="Times New Roman" w:cs="Times New Roman"/>
          <w:bCs/>
          <w:sz w:val="24"/>
          <w:szCs w:val="24"/>
        </w:rPr>
        <w:t xml:space="preserve"> deterred patients with IBS-C from participating. </w:t>
      </w:r>
      <w:bookmarkStart w:id="26" w:name="_Hlk138392780"/>
      <w:r w:rsidRPr="00827C81">
        <w:rPr>
          <w:rFonts w:ascii="Times New Roman" w:hAnsi="Times New Roman" w:cs="Times New Roman"/>
          <w:bCs/>
          <w:sz w:val="24"/>
          <w:szCs w:val="24"/>
        </w:rPr>
        <w:t xml:space="preserve">Given the higher rates of anticholinergic side effects in the amitriptyline arm, there is the possibility that </w:t>
      </w:r>
      <w:bookmarkStart w:id="27" w:name="_Hlk138792549"/>
      <w:r>
        <w:rPr>
          <w:rFonts w:ascii="Times New Roman" w:hAnsi="Times New Roman" w:cs="Times New Roman"/>
          <w:bCs/>
          <w:sz w:val="24"/>
          <w:szCs w:val="24"/>
        </w:rPr>
        <w:t xml:space="preserve">some </w:t>
      </w:r>
      <w:r w:rsidRPr="00827C81">
        <w:rPr>
          <w:rFonts w:ascii="Times New Roman" w:hAnsi="Times New Roman" w:cs="Times New Roman"/>
          <w:bCs/>
          <w:sz w:val="24"/>
          <w:szCs w:val="24"/>
        </w:rPr>
        <w:t xml:space="preserve">participants </w:t>
      </w:r>
      <w:r>
        <w:rPr>
          <w:rFonts w:ascii="Times New Roman" w:hAnsi="Times New Roman" w:cs="Times New Roman"/>
          <w:bCs/>
          <w:sz w:val="24"/>
          <w:szCs w:val="24"/>
        </w:rPr>
        <w:t>guessed</w:t>
      </w:r>
      <w:r w:rsidRPr="00827C81">
        <w:rPr>
          <w:rFonts w:ascii="Times New Roman" w:hAnsi="Times New Roman" w:cs="Times New Roman"/>
          <w:bCs/>
          <w:sz w:val="24"/>
          <w:szCs w:val="24"/>
        </w:rPr>
        <w:t xml:space="preserve"> </w:t>
      </w:r>
      <w:r>
        <w:rPr>
          <w:rFonts w:ascii="Times New Roman" w:hAnsi="Times New Roman" w:cs="Times New Roman"/>
          <w:bCs/>
          <w:sz w:val="24"/>
          <w:szCs w:val="24"/>
        </w:rPr>
        <w:t xml:space="preserve">correctly </w:t>
      </w:r>
      <w:r w:rsidRPr="00827C81">
        <w:rPr>
          <w:rFonts w:ascii="Times New Roman" w:hAnsi="Times New Roman" w:cs="Times New Roman"/>
          <w:bCs/>
          <w:sz w:val="24"/>
          <w:szCs w:val="24"/>
        </w:rPr>
        <w:t xml:space="preserve">they were </w:t>
      </w:r>
      <w:r>
        <w:rPr>
          <w:rFonts w:ascii="Times New Roman" w:hAnsi="Times New Roman" w:cs="Times New Roman"/>
          <w:bCs/>
          <w:sz w:val="24"/>
          <w:szCs w:val="24"/>
        </w:rPr>
        <w:t>receiving</w:t>
      </w:r>
      <w:r w:rsidRPr="00827C81">
        <w:rPr>
          <w:rFonts w:ascii="Times New Roman" w:hAnsi="Times New Roman" w:cs="Times New Roman"/>
          <w:bCs/>
          <w:sz w:val="24"/>
          <w:szCs w:val="24"/>
        </w:rPr>
        <w:t xml:space="preserve"> active drug</w:t>
      </w:r>
      <w:bookmarkEnd w:id="27"/>
      <w:r w:rsidRPr="00827C81">
        <w:rPr>
          <w:rFonts w:ascii="Times New Roman" w:hAnsi="Times New Roman" w:cs="Times New Roman"/>
          <w:bCs/>
          <w:sz w:val="24"/>
          <w:szCs w:val="24"/>
        </w:rPr>
        <w:t>, and this has influenced findings.</w:t>
      </w:r>
      <w:bookmarkEnd w:id="26"/>
    </w:p>
    <w:p w14:paraId="1BFE44F7" w14:textId="77777777" w:rsidR="002754F5" w:rsidRPr="007C2016" w:rsidRDefault="002754F5" w:rsidP="00DB1437">
      <w:pPr>
        <w:spacing w:line="480" w:lineRule="auto"/>
        <w:ind w:firstLine="720"/>
        <w:rPr>
          <w:rFonts w:ascii="Times New Roman" w:hAnsi="Times New Roman" w:cs="Times New Roman"/>
          <w:sz w:val="24"/>
          <w:szCs w:val="24"/>
        </w:rPr>
      </w:pPr>
      <w:r w:rsidRPr="007C2016">
        <w:rPr>
          <w:rFonts w:ascii="Times New Roman" w:hAnsi="Times New Roman" w:cs="Times New Roman"/>
          <w:sz w:val="24"/>
          <w:szCs w:val="24"/>
        </w:rPr>
        <w:t>The Rome IV criteria select a group of patients with higher symptom severity,</w:t>
      </w:r>
      <w:r w:rsidRPr="00B5748C">
        <w:rPr>
          <w:rFonts w:ascii="Times New Roman" w:hAnsi="Times New Roman" w:cs="Times New Roman"/>
          <w:noProof/>
          <w:sz w:val="24"/>
          <w:szCs w:val="24"/>
          <w:vertAlign w:val="superscript"/>
        </w:rPr>
        <w:t>50</w:t>
      </w:r>
      <w:r w:rsidRPr="007C2016">
        <w:rPr>
          <w:rFonts w:ascii="Times New Roman" w:hAnsi="Times New Roman" w:cs="Times New Roman"/>
          <w:sz w:val="24"/>
          <w:szCs w:val="24"/>
        </w:rPr>
        <w:t xml:space="preserve"> borne out by the mean IBS-SSS scores at baseline, which were in the moderate to severe range. The median duration of IBS among </w:t>
      </w:r>
      <w:r w:rsidRPr="00827C81">
        <w:rPr>
          <w:rFonts w:ascii="Times New Roman" w:hAnsi="Times New Roman" w:cs="Times New Roman"/>
          <w:bCs/>
          <w:sz w:val="24"/>
          <w:szCs w:val="24"/>
        </w:rPr>
        <w:t>participant</w:t>
      </w:r>
      <w:r w:rsidRPr="007C2016">
        <w:rPr>
          <w:rFonts w:ascii="Times New Roman" w:hAnsi="Times New Roman" w:cs="Times New Roman"/>
          <w:sz w:val="24"/>
          <w:szCs w:val="24"/>
        </w:rPr>
        <w:t xml:space="preserve">s was 10 years. Given this, and the 6-month treatment duration, the placebo response rates seen in the trial may appear relatively high, and </w:t>
      </w:r>
      <w:bookmarkStart w:id="28" w:name="_Hlk138768564"/>
      <w:r w:rsidRPr="007C2016">
        <w:rPr>
          <w:rFonts w:ascii="Times New Roman" w:hAnsi="Times New Roman" w:cs="Times New Roman"/>
          <w:sz w:val="24"/>
          <w:szCs w:val="24"/>
        </w:rPr>
        <w:t xml:space="preserve">the 35-point MCID was not met, although the 95% CI included 35 points and excluded the possibility of no </w:t>
      </w:r>
      <w:r>
        <w:rPr>
          <w:rFonts w:ascii="Times New Roman" w:hAnsi="Times New Roman" w:cs="Times New Roman"/>
          <w:sz w:val="24"/>
          <w:szCs w:val="24"/>
        </w:rPr>
        <w:t>effectiveness of amitriptyline</w:t>
      </w:r>
      <w:r w:rsidRPr="007C2016">
        <w:rPr>
          <w:rFonts w:ascii="Times New Roman" w:hAnsi="Times New Roman" w:cs="Times New Roman"/>
          <w:sz w:val="24"/>
          <w:szCs w:val="24"/>
        </w:rPr>
        <w:t>. In terms of the latter, the MCID was derived from a pilot trial,</w:t>
      </w:r>
      <w:r w:rsidRPr="00B5748C">
        <w:rPr>
          <w:rFonts w:ascii="Times New Roman" w:hAnsi="Times New Roman" w:cs="Times New Roman"/>
          <w:noProof/>
          <w:sz w:val="24"/>
          <w:szCs w:val="24"/>
          <w:vertAlign w:val="superscript"/>
        </w:rPr>
        <w:t>51</w:t>
      </w:r>
      <w:r w:rsidRPr="007C2016">
        <w:rPr>
          <w:rFonts w:ascii="Times New Roman" w:hAnsi="Times New Roman" w:cs="Times New Roman"/>
          <w:sz w:val="24"/>
          <w:szCs w:val="24"/>
        </w:rPr>
        <w:t xml:space="preserve"> and although used </w:t>
      </w:r>
      <w:r>
        <w:rPr>
          <w:rFonts w:ascii="Times New Roman" w:hAnsi="Times New Roman" w:cs="Times New Roman"/>
          <w:sz w:val="24"/>
          <w:szCs w:val="24"/>
        </w:rPr>
        <w:t xml:space="preserve">as an endpoint </w:t>
      </w:r>
      <w:r w:rsidRPr="007C2016">
        <w:rPr>
          <w:rFonts w:ascii="Times New Roman" w:hAnsi="Times New Roman" w:cs="Times New Roman"/>
          <w:sz w:val="24"/>
          <w:szCs w:val="24"/>
        </w:rPr>
        <w:t xml:space="preserve">and achieved in a trial of cognitive behavioural therapy in </w:t>
      </w:r>
      <w:r>
        <w:rPr>
          <w:rFonts w:ascii="Times New Roman" w:hAnsi="Times New Roman" w:cs="Times New Roman"/>
          <w:sz w:val="24"/>
          <w:szCs w:val="24"/>
        </w:rPr>
        <w:t>I</w:t>
      </w:r>
      <w:r w:rsidRPr="007C2016">
        <w:rPr>
          <w:rFonts w:ascii="Times New Roman" w:hAnsi="Times New Roman" w:cs="Times New Roman"/>
          <w:sz w:val="24"/>
          <w:szCs w:val="24"/>
        </w:rPr>
        <w:t>BS,</w:t>
      </w:r>
      <w:r w:rsidRPr="00827C81">
        <w:rPr>
          <w:rFonts w:ascii="Times New Roman" w:hAnsi="Times New Roman" w:cs="Times New Roman"/>
          <w:noProof/>
          <w:sz w:val="24"/>
          <w:szCs w:val="24"/>
          <w:vertAlign w:val="superscript"/>
        </w:rPr>
        <w:t>43</w:t>
      </w:r>
      <w:r w:rsidRPr="007C2016">
        <w:rPr>
          <w:rFonts w:ascii="Times New Roman" w:hAnsi="Times New Roman" w:cs="Times New Roman"/>
          <w:sz w:val="24"/>
          <w:szCs w:val="24"/>
        </w:rPr>
        <w:t xml:space="preserve"> this was in comparison with treatment as usual </w:t>
      </w:r>
      <w:r>
        <w:rPr>
          <w:rFonts w:ascii="Times New Roman" w:hAnsi="Times New Roman" w:cs="Times New Roman"/>
          <w:sz w:val="24"/>
          <w:szCs w:val="24"/>
        </w:rPr>
        <w:t>and</w:t>
      </w:r>
      <w:r w:rsidRPr="007C2016">
        <w:rPr>
          <w:rFonts w:ascii="Times New Roman" w:hAnsi="Times New Roman" w:cs="Times New Roman"/>
          <w:sz w:val="24"/>
          <w:szCs w:val="24"/>
        </w:rPr>
        <w:t xml:space="preserve"> participants were not blinded</w:t>
      </w:r>
      <w:r>
        <w:rPr>
          <w:rFonts w:ascii="Times New Roman" w:hAnsi="Times New Roman" w:cs="Times New Roman"/>
          <w:sz w:val="24"/>
          <w:szCs w:val="24"/>
        </w:rPr>
        <w:t>,</w:t>
      </w:r>
      <w:r w:rsidRPr="007C2016">
        <w:rPr>
          <w:rFonts w:ascii="Times New Roman" w:hAnsi="Times New Roman" w:cs="Times New Roman"/>
          <w:sz w:val="24"/>
          <w:szCs w:val="24"/>
        </w:rPr>
        <w:t xml:space="preserve"> so </w:t>
      </w:r>
      <w:r>
        <w:rPr>
          <w:rFonts w:ascii="Times New Roman" w:hAnsi="Times New Roman" w:cs="Times New Roman"/>
          <w:sz w:val="24"/>
          <w:szCs w:val="24"/>
        </w:rPr>
        <w:t>knew</w:t>
      </w:r>
      <w:r w:rsidRPr="007C2016">
        <w:rPr>
          <w:rFonts w:ascii="Times New Roman" w:hAnsi="Times New Roman" w:cs="Times New Roman"/>
          <w:sz w:val="24"/>
          <w:szCs w:val="24"/>
        </w:rPr>
        <w:t xml:space="preserve"> whether they </w:t>
      </w:r>
      <w:r>
        <w:rPr>
          <w:rFonts w:ascii="Times New Roman" w:hAnsi="Times New Roman" w:cs="Times New Roman"/>
          <w:sz w:val="24"/>
          <w:szCs w:val="24"/>
        </w:rPr>
        <w:t>received</w:t>
      </w:r>
      <w:r w:rsidRPr="007C2016">
        <w:rPr>
          <w:rFonts w:ascii="Times New Roman" w:hAnsi="Times New Roman" w:cs="Times New Roman"/>
          <w:sz w:val="24"/>
          <w:szCs w:val="24"/>
        </w:rPr>
        <w:t xml:space="preserve"> active treatment. </w:t>
      </w:r>
      <w:r>
        <w:rPr>
          <w:rFonts w:ascii="Times New Roman" w:hAnsi="Times New Roman" w:cs="Times New Roman"/>
          <w:sz w:val="24"/>
          <w:szCs w:val="24"/>
        </w:rPr>
        <w:t xml:space="preserve">ATLANTIS was blinded and placebo-controlled and there is evidence that patients with IBS are more likely to respond to placebo than a control intervention of no </w:t>
      </w:r>
      <w:r w:rsidRPr="00827C81">
        <w:rPr>
          <w:rFonts w:ascii="Times New Roman" w:hAnsi="Times New Roman" w:cs="Times New Roman"/>
          <w:sz w:val="24"/>
          <w:szCs w:val="24"/>
        </w:rPr>
        <w:t>treatment</w:t>
      </w:r>
      <w:bookmarkEnd w:id="28"/>
      <w:r w:rsidRPr="00827C81">
        <w:rPr>
          <w:rFonts w:ascii="Times New Roman" w:hAnsi="Times New Roman" w:cs="Times New Roman"/>
          <w:sz w:val="24"/>
          <w:szCs w:val="24"/>
        </w:rPr>
        <w:t>.</w:t>
      </w:r>
      <w:r w:rsidRPr="00B5748C">
        <w:rPr>
          <w:rFonts w:ascii="Times New Roman" w:hAnsi="Times New Roman" w:cs="Times New Roman"/>
          <w:noProof/>
          <w:sz w:val="24"/>
          <w:szCs w:val="24"/>
          <w:vertAlign w:val="superscript"/>
          <w:lang w:val="en-US"/>
        </w:rPr>
        <w:t>52,53</w:t>
      </w:r>
      <w:r w:rsidRPr="00827C81">
        <w:rPr>
          <w:rFonts w:ascii="Times New Roman" w:hAnsi="Times New Roman" w:cs="Times New Roman"/>
          <w:sz w:val="24"/>
          <w:szCs w:val="24"/>
        </w:rPr>
        <w:t xml:space="preserve"> </w:t>
      </w:r>
      <w:r>
        <w:rPr>
          <w:rFonts w:ascii="Times New Roman" w:hAnsi="Times New Roman" w:cs="Times New Roman"/>
          <w:sz w:val="24"/>
          <w:szCs w:val="24"/>
        </w:rPr>
        <w:t>Other</w:t>
      </w:r>
      <w:r w:rsidRPr="007C2016">
        <w:rPr>
          <w:rFonts w:ascii="Times New Roman" w:hAnsi="Times New Roman" w:cs="Times New Roman"/>
          <w:sz w:val="24"/>
          <w:szCs w:val="24"/>
        </w:rPr>
        <w:t xml:space="preserve"> </w:t>
      </w:r>
      <w:r>
        <w:rPr>
          <w:rFonts w:ascii="Times New Roman" w:hAnsi="Times New Roman" w:cs="Times New Roman"/>
          <w:sz w:val="24"/>
          <w:szCs w:val="24"/>
        </w:rPr>
        <w:t xml:space="preserve">possible </w:t>
      </w:r>
      <w:r w:rsidRPr="007C2016">
        <w:rPr>
          <w:rFonts w:ascii="Times New Roman" w:hAnsi="Times New Roman" w:cs="Times New Roman"/>
          <w:sz w:val="24"/>
          <w:szCs w:val="24"/>
        </w:rPr>
        <w:t xml:space="preserve">explanations include provision of the BDA dietary advice sheet to all participants, regular follow-up, usual GP care throughout, and telephone calls from a research nurse to assist with dose titration and trial medication re-issue. </w:t>
      </w:r>
      <w:bookmarkStart w:id="29" w:name="_Hlk138499268"/>
      <w:r w:rsidRPr="007C2016">
        <w:rPr>
          <w:rFonts w:ascii="Times New Roman" w:hAnsi="Times New Roman" w:cs="Times New Roman"/>
          <w:sz w:val="24"/>
          <w:szCs w:val="24"/>
        </w:rPr>
        <w:t>However, number</w:t>
      </w:r>
      <w:r>
        <w:rPr>
          <w:rFonts w:ascii="Times New Roman" w:hAnsi="Times New Roman" w:cs="Times New Roman"/>
          <w:sz w:val="24"/>
          <w:szCs w:val="24"/>
        </w:rPr>
        <w:t>s</w:t>
      </w:r>
      <w:r w:rsidRPr="007C2016">
        <w:rPr>
          <w:rFonts w:ascii="Times New Roman" w:hAnsi="Times New Roman" w:cs="Times New Roman"/>
          <w:sz w:val="24"/>
          <w:szCs w:val="24"/>
        </w:rPr>
        <w:t xml:space="preserve"> of participants </w:t>
      </w:r>
      <w:bookmarkStart w:id="30" w:name="_Hlk138851681"/>
      <w:r w:rsidRPr="007C2016">
        <w:rPr>
          <w:rFonts w:ascii="Times New Roman" w:hAnsi="Times New Roman" w:cs="Times New Roman"/>
          <w:sz w:val="24"/>
          <w:szCs w:val="24"/>
        </w:rPr>
        <w:t xml:space="preserve">reporting making dietary changes or commencing a new drug </w:t>
      </w:r>
      <w:bookmarkEnd w:id="30"/>
      <w:r w:rsidRPr="007C2016">
        <w:rPr>
          <w:rFonts w:ascii="Times New Roman" w:hAnsi="Times New Roman" w:cs="Times New Roman"/>
          <w:sz w:val="24"/>
          <w:szCs w:val="24"/>
        </w:rPr>
        <w:t xml:space="preserve">for IBS </w:t>
      </w:r>
      <w:r>
        <w:rPr>
          <w:rFonts w:ascii="Times New Roman" w:hAnsi="Times New Roman" w:cs="Times New Roman"/>
          <w:sz w:val="24"/>
          <w:szCs w:val="24"/>
        </w:rPr>
        <w:t>were</w:t>
      </w:r>
      <w:r w:rsidRPr="007C2016">
        <w:rPr>
          <w:rFonts w:ascii="Times New Roman" w:hAnsi="Times New Roman" w:cs="Times New Roman"/>
          <w:sz w:val="24"/>
          <w:szCs w:val="24"/>
        </w:rPr>
        <w:t xml:space="preserve"> relatively small, and similar between treatment arms. </w:t>
      </w:r>
      <w:bookmarkEnd w:id="29"/>
      <w:r w:rsidRPr="007C2016">
        <w:rPr>
          <w:rFonts w:ascii="Times New Roman" w:hAnsi="Times New Roman" w:cs="Times New Roman"/>
          <w:sz w:val="24"/>
          <w:szCs w:val="24"/>
        </w:rPr>
        <w:t xml:space="preserve">Participants may also have felt more in control of their symptoms and empowered through being able to self-titrate their dose in response to symptoms and side effects. Additionally, regression towards the mean during follow-up is well-recognised in clinical trials. This makes it particularly noteworthy that despite the placebo response rates observed, there was still a significant difference in effectiveness with </w:t>
      </w:r>
      <w:r>
        <w:rPr>
          <w:rFonts w:ascii="Times New Roman" w:hAnsi="Times New Roman" w:cs="Times New Roman"/>
          <w:sz w:val="24"/>
          <w:szCs w:val="24"/>
        </w:rPr>
        <w:t>amitriptyline</w:t>
      </w:r>
      <w:r w:rsidRPr="007C2016">
        <w:rPr>
          <w:rFonts w:ascii="Times New Roman" w:hAnsi="Times New Roman" w:cs="Times New Roman"/>
          <w:sz w:val="24"/>
          <w:szCs w:val="24"/>
        </w:rPr>
        <w:t xml:space="preserve"> over placebo.</w:t>
      </w:r>
    </w:p>
    <w:p w14:paraId="04A874A7" w14:textId="77777777" w:rsidR="002754F5" w:rsidRPr="007C2016" w:rsidRDefault="002754F5" w:rsidP="00DB1437">
      <w:pPr>
        <w:spacing w:line="480" w:lineRule="auto"/>
        <w:ind w:firstLine="720"/>
        <w:rPr>
          <w:rFonts w:ascii="Times New Roman" w:hAnsi="Times New Roman" w:cs="Times New Roman"/>
          <w:sz w:val="24"/>
          <w:szCs w:val="24"/>
        </w:rPr>
      </w:pPr>
      <w:r w:rsidRPr="007C2016">
        <w:rPr>
          <w:rFonts w:ascii="Times New Roman" w:hAnsi="Times New Roman" w:cs="Times New Roman"/>
          <w:sz w:val="24"/>
          <w:szCs w:val="24"/>
        </w:rPr>
        <w:lastRenderedPageBreak/>
        <w:t>Although previous meta-analyses of TCAs in IBS demonstrate these drugs, as a class, are superior to placebo,</w:t>
      </w:r>
      <w:r w:rsidRPr="00827C81">
        <w:rPr>
          <w:rFonts w:ascii="Times New Roman" w:eastAsia="Times New Roman" w:hAnsi="Times New Roman" w:cs="Times New Roman"/>
          <w:bCs/>
          <w:noProof/>
          <w:sz w:val="24"/>
          <w:szCs w:val="24"/>
          <w:vertAlign w:val="superscript"/>
        </w:rPr>
        <w:t>16,20,21</w:t>
      </w:r>
      <w:r w:rsidRPr="00827C81">
        <w:rPr>
          <w:rFonts w:ascii="Times New Roman" w:eastAsia="Times New Roman" w:hAnsi="Times New Roman" w:cs="Times New Roman"/>
          <w:bCs/>
          <w:sz w:val="24"/>
          <w:szCs w:val="24"/>
        </w:rPr>
        <w:t xml:space="preserve"> the </w:t>
      </w:r>
      <w:r w:rsidRPr="007C2016">
        <w:rPr>
          <w:rFonts w:ascii="Times New Roman" w:hAnsi="Times New Roman" w:cs="Times New Roman"/>
          <w:sz w:val="24"/>
          <w:szCs w:val="24"/>
        </w:rPr>
        <w:t>included trials have been relatively small, with a maximum treatment duration of 3 months, and none have been conducted entirely in primary care. The largest RCT to date used desipramine 150mg o.d., recruiting a mixed population of 216 female patients with functional bowel disorders, 172 of whom had IBS.</w:t>
      </w:r>
      <w:r w:rsidRPr="00B5748C">
        <w:rPr>
          <w:rFonts w:ascii="Times New Roman" w:hAnsi="Times New Roman" w:cs="Times New Roman"/>
          <w:noProof/>
          <w:sz w:val="24"/>
          <w:szCs w:val="24"/>
          <w:vertAlign w:val="superscript"/>
        </w:rPr>
        <w:t>54</w:t>
      </w:r>
      <w:r w:rsidRPr="007C2016">
        <w:rPr>
          <w:rFonts w:ascii="Times New Roman" w:hAnsi="Times New Roman" w:cs="Times New Roman"/>
          <w:sz w:val="24"/>
          <w:szCs w:val="24"/>
        </w:rPr>
        <w:t xml:space="preserve"> Similar to our trial, the commonest side effects related to the anticholinergic effects of the drug. More patients discontinued desipramine due to adverse events than in our trial, which may reflect the higher dosage used. Their primary outcome, a composite of patient satisfaction, </w:t>
      </w:r>
      <w:r>
        <w:rPr>
          <w:rFonts w:ascii="Times New Roman" w:hAnsi="Times New Roman" w:cs="Times New Roman"/>
          <w:sz w:val="24"/>
          <w:szCs w:val="24"/>
        </w:rPr>
        <w:t xml:space="preserve">symptom </w:t>
      </w:r>
      <w:r w:rsidRPr="007C2016">
        <w:rPr>
          <w:rFonts w:ascii="Times New Roman" w:hAnsi="Times New Roman" w:cs="Times New Roman"/>
          <w:sz w:val="24"/>
          <w:szCs w:val="24"/>
        </w:rPr>
        <w:t xml:space="preserve">improvement, and increased engagement in social activities, was not met, with a 60% response rate with desipramine versus 47% with placebo. However, subgroup analyses demonstrated desipramine was superior to placebo in those with moderate, rather than severe, symptoms and those with IBS-D. Presence of abnormal </w:t>
      </w:r>
      <w:r>
        <w:rPr>
          <w:rFonts w:ascii="Times New Roman" w:hAnsi="Times New Roman" w:cs="Times New Roman"/>
          <w:sz w:val="24"/>
          <w:szCs w:val="24"/>
        </w:rPr>
        <w:t xml:space="preserve">baseline </w:t>
      </w:r>
      <w:r w:rsidRPr="007C2016">
        <w:rPr>
          <w:rFonts w:ascii="Times New Roman" w:hAnsi="Times New Roman" w:cs="Times New Roman"/>
          <w:sz w:val="24"/>
          <w:szCs w:val="24"/>
        </w:rPr>
        <w:t>depression scores had no effect on treatment response. In another trial conducted in 54 patients with IBS-D in secondary care,</w:t>
      </w:r>
      <w:r w:rsidRPr="007C2016">
        <w:rPr>
          <w:rFonts w:ascii="Times New Roman" w:hAnsi="Times New Roman" w:cs="Times New Roman"/>
          <w:noProof/>
          <w:sz w:val="24"/>
          <w:szCs w:val="24"/>
          <w:vertAlign w:val="superscript"/>
        </w:rPr>
        <w:t>28</w:t>
      </w:r>
      <w:r w:rsidRPr="007C2016">
        <w:rPr>
          <w:rFonts w:ascii="Times New Roman" w:hAnsi="Times New Roman" w:cs="Times New Roman"/>
          <w:sz w:val="24"/>
          <w:szCs w:val="24"/>
        </w:rPr>
        <w:t xml:space="preserve"> response rates with amitriptyline 10mg o.d. were 70%, compared with 41% with placebo, but this was not statistically significant, likely due to an underpowered RCT. Adverse event rates were similar between treatment arms. </w:t>
      </w:r>
    </w:p>
    <w:p w14:paraId="4D8FD1A1" w14:textId="1AB3204B" w:rsidR="002754F5" w:rsidRDefault="002754F5" w:rsidP="00C23978">
      <w:pPr>
        <w:spacing w:line="480" w:lineRule="auto"/>
        <w:ind w:firstLine="720"/>
        <w:rPr>
          <w:rFonts w:ascii="Times New Roman" w:hAnsi="Times New Roman" w:cs="Times New Roman"/>
          <w:sz w:val="24"/>
          <w:szCs w:val="24"/>
        </w:rPr>
      </w:pPr>
      <w:r w:rsidRPr="00827C81">
        <w:rPr>
          <w:rFonts w:ascii="Times New Roman" w:hAnsi="Times New Roman" w:cs="Times New Roman"/>
          <w:sz w:val="24"/>
          <w:szCs w:val="24"/>
        </w:rPr>
        <w:t xml:space="preserve">In our trial, treatment effects were generally larger in those with </w:t>
      </w:r>
      <w:r w:rsidRPr="00827C81">
        <w:rPr>
          <w:rFonts w:ascii="Times New Roman" w:hAnsi="Times New Roman" w:cs="Times New Roman"/>
          <w:bCs/>
          <w:sz w:val="24"/>
          <w:szCs w:val="24"/>
        </w:rPr>
        <w:t>IBS-C or IBS-D, lower baseline HADS-anxiety scores, higher baseline IBS-SSS scores</w:t>
      </w:r>
      <w:r>
        <w:rPr>
          <w:rFonts w:ascii="Times New Roman" w:hAnsi="Times New Roman" w:cs="Times New Roman"/>
          <w:bCs/>
          <w:sz w:val="24"/>
          <w:szCs w:val="24"/>
        </w:rPr>
        <w:t>, and men</w:t>
      </w:r>
      <w:r w:rsidRPr="00827C81">
        <w:rPr>
          <w:rFonts w:ascii="Times New Roman" w:hAnsi="Times New Roman" w:cs="Times New Roman"/>
          <w:bCs/>
          <w:sz w:val="24"/>
          <w:szCs w:val="24"/>
        </w:rPr>
        <w:t>. T</w:t>
      </w:r>
      <w:r w:rsidRPr="00827C81">
        <w:rPr>
          <w:rFonts w:ascii="Times New Roman" w:hAnsi="Times New Roman" w:cs="Times New Roman"/>
          <w:sz w:val="24"/>
          <w:szCs w:val="24"/>
        </w:rPr>
        <w:t xml:space="preserve">he magnitude of the difference in treatment effect increased between 3 and 6 months, and remained similar at 12 months, </w:t>
      </w:r>
      <w:r w:rsidRPr="00827C81">
        <w:rPr>
          <w:rFonts w:ascii="Times New Roman" w:hAnsi="Times New Roman" w:cs="Times New Roman"/>
          <w:bCs/>
          <w:sz w:val="24"/>
          <w:szCs w:val="24"/>
        </w:rPr>
        <w:t>although this was no longer statistically significant</w:t>
      </w:r>
      <w:r>
        <w:rPr>
          <w:rFonts w:ascii="Times New Roman" w:hAnsi="Times New Roman" w:cs="Times New Roman"/>
          <w:bCs/>
          <w:sz w:val="24"/>
          <w:szCs w:val="24"/>
        </w:rPr>
        <w:t xml:space="preserve">, </w:t>
      </w:r>
      <w:r w:rsidRPr="00827C81">
        <w:rPr>
          <w:rFonts w:ascii="Times New Roman" w:hAnsi="Times New Roman" w:cs="Times New Roman"/>
          <w:sz w:val="24"/>
          <w:szCs w:val="24"/>
        </w:rPr>
        <w:t>underlining the importance of allowing adequate time for low-dose amitriptyline to have a beneficial effect in IBS and compatible with reports of a decrease in placebo response rates as trial duration increases.</w:t>
      </w:r>
      <w:r w:rsidRPr="00B5748C">
        <w:rPr>
          <w:rFonts w:ascii="Times New Roman" w:hAnsi="Times New Roman" w:cs="Times New Roman"/>
          <w:noProof/>
          <w:sz w:val="24"/>
          <w:szCs w:val="24"/>
          <w:vertAlign w:val="superscript"/>
        </w:rPr>
        <w:t>55</w:t>
      </w:r>
      <w:r w:rsidRPr="00827C81">
        <w:rPr>
          <w:rFonts w:ascii="Times New Roman" w:hAnsi="Times New Roman" w:cs="Times New Roman"/>
          <w:color w:val="FF0000"/>
          <w:sz w:val="24"/>
          <w:szCs w:val="24"/>
        </w:rPr>
        <w:t xml:space="preserve"> </w:t>
      </w:r>
      <w:bookmarkStart w:id="31" w:name="_Hlk135295562"/>
      <w:r w:rsidRPr="00827C81">
        <w:rPr>
          <w:rFonts w:ascii="Times New Roman" w:hAnsi="Times New Roman" w:cs="Times New Roman"/>
          <w:sz w:val="24"/>
          <w:szCs w:val="24"/>
        </w:rPr>
        <w:t xml:space="preserve">We observed no effect of </w:t>
      </w:r>
      <w:r w:rsidRPr="00827C81">
        <w:rPr>
          <w:rFonts w:ascii="Times New Roman" w:hAnsi="Times New Roman" w:cs="Times New Roman"/>
          <w:bCs/>
          <w:sz w:val="24"/>
          <w:szCs w:val="24"/>
        </w:rPr>
        <w:t xml:space="preserve">low-dose </w:t>
      </w:r>
      <w:r w:rsidRPr="00827C81">
        <w:rPr>
          <w:rFonts w:ascii="Times New Roman" w:hAnsi="Times New Roman" w:cs="Times New Roman"/>
          <w:sz w:val="24"/>
          <w:szCs w:val="24"/>
        </w:rPr>
        <w:t xml:space="preserve">amitriptyline on somatoform symptom-reporting, anxiety, or depression scores during the 6 months of treatment. This supports a benefit of </w:t>
      </w:r>
      <w:r w:rsidRPr="00827C81">
        <w:rPr>
          <w:rFonts w:ascii="Times New Roman" w:hAnsi="Times New Roman" w:cs="Times New Roman"/>
          <w:bCs/>
          <w:sz w:val="24"/>
          <w:szCs w:val="24"/>
        </w:rPr>
        <w:t xml:space="preserve">low-dose </w:t>
      </w:r>
      <w:r w:rsidRPr="00827C81">
        <w:rPr>
          <w:rFonts w:ascii="Times New Roman" w:hAnsi="Times New Roman" w:cs="Times New Roman"/>
          <w:sz w:val="24"/>
          <w:szCs w:val="24"/>
        </w:rPr>
        <w:t xml:space="preserve">amitriptyline in IBS arising from its peripheral actions on </w:t>
      </w:r>
      <w:r w:rsidRPr="00827C81">
        <w:rPr>
          <w:rFonts w:ascii="Times New Roman" w:hAnsi="Times New Roman" w:cs="Times New Roman"/>
          <w:sz w:val="24"/>
          <w:szCs w:val="24"/>
        </w:rPr>
        <w:lastRenderedPageBreak/>
        <w:t>gastrointestinal motility and pain sensation,</w:t>
      </w:r>
      <w:r w:rsidRPr="00B5748C">
        <w:rPr>
          <w:rFonts w:ascii="Times New Roman" w:hAnsi="Times New Roman" w:cs="Times New Roman"/>
          <w:noProof/>
          <w:sz w:val="24"/>
          <w:szCs w:val="24"/>
          <w:vertAlign w:val="superscript"/>
        </w:rPr>
        <w:t>26,56</w:t>
      </w:r>
      <w:r w:rsidRPr="00827C81">
        <w:rPr>
          <w:rFonts w:ascii="Times New Roman" w:hAnsi="Times New Roman" w:cs="Times New Roman"/>
          <w:sz w:val="24"/>
          <w:szCs w:val="24"/>
        </w:rPr>
        <w:t xml:space="preserve"> rather than improvements in extra-intestinal symptoms, anxiety, or depression, which are </w:t>
      </w:r>
      <w:r>
        <w:rPr>
          <w:rFonts w:ascii="Times New Roman" w:hAnsi="Times New Roman" w:cs="Times New Roman"/>
          <w:sz w:val="24"/>
          <w:szCs w:val="24"/>
        </w:rPr>
        <w:t>often</w:t>
      </w:r>
      <w:r w:rsidRPr="00827C81">
        <w:rPr>
          <w:rFonts w:ascii="Times New Roman" w:hAnsi="Times New Roman" w:cs="Times New Roman"/>
          <w:sz w:val="24"/>
          <w:szCs w:val="24"/>
        </w:rPr>
        <w:t xml:space="preserve"> associated with IBS</w:t>
      </w:r>
      <w:bookmarkEnd w:id="31"/>
      <w:r w:rsidRPr="00827C81">
        <w:rPr>
          <w:rFonts w:ascii="Times New Roman" w:hAnsi="Times New Roman" w:cs="Times New Roman"/>
          <w:sz w:val="24"/>
          <w:szCs w:val="24"/>
        </w:rPr>
        <w:t>.</w:t>
      </w:r>
      <w:r w:rsidRPr="00B5748C">
        <w:rPr>
          <w:rFonts w:ascii="Times New Roman" w:hAnsi="Times New Roman" w:cs="Times New Roman"/>
          <w:noProof/>
          <w:sz w:val="24"/>
          <w:szCs w:val="24"/>
          <w:vertAlign w:val="superscript"/>
        </w:rPr>
        <w:t>38,57</w:t>
      </w:r>
      <w:r w:rsidRPr="00827C81">
        <w:rPr>
          <w:rFonts w:ascii="Times New Roman" w:hAnsi="Times New Roman" w:cs="Times New Roman"/>
          <w:sz w:val="24"/>
          <w:szCs w:val="24"/>
        </w:rPr>
        <w:t xml:space="preserve"> Nor was there any impact on ability to work or social functioning, according to the WSAS</w:t>
      </w:r>
      <w:r>
        <w:rPr>
          <w:rFonts w:ascii="Times New Roman" w:hAnsi="Times New Roman" w:cs="Times New Roman"/>
          <w:sz w:val="24"/>
          <w:szCs w:val="24"/>
        </w:rPr>
        <w:t xml:space="preserve"> at 6 months</w:t>
      </w:r>
      <w:r w:rsidRPr="00827C81">
        <w:rPr>
          <w:rFonts w:ascii="Times New Roman" w:hAnsi="Times New Roman" w:cs="Times New Roman"/>
          <w:sz w:val="24"/>
          <w:szCs w:val="24"/>
        </w:rPr>
        <w:t xml:space="preserve">, although reduction in scores was generally greater in the </w:t>
      </w:r>
      <w:r w:rsidRPr="00827C81">
        <w:rPr>
          <w:rFonts w:ascii="Times New Roman" w:hAnsi="Times New Roman" w:cs="Times New Roman"/>
          <w:bCs/>
          <w:sz w:val="24"/>
          <w:szCs w:val="24"/>
        </w:rPr>
        <w:t xml:space="preserve">low-dose </w:t>
      </w:r>
      <w:r w:rsidRPr="00827C81">
        <w:rPr>
          <w:rFonts w:ascii="Times New Roman" w:hAnsi="Times New Roman" w:cs="Times New Roman"/>
          <w:sz w:val="24"/>
          <w:szCs w:val="24"/>
        </w:rPr>
        <w:t xml:space="preserve">amitriptyline arm. It may be that the treatment duration was too short to see any meaningful improvement, given WSAS scores were significantly lower with amitriptyline at 12 months. HADS-depression scores were also significantly lower with amitriptyline by 12 months. However, strong conclusions cannot be drawn from 12-month outcomes, </w:t>
      </w:r>
      <w:r>
        <w:rPr>
          <w:rFonts w:ascii="Times New Roman" w:hAnsi="Times New Roman" w:cs="Times New Roman"/>
          <w:sz w:val="24"/>
          <w:szCs w:val="24"/>
        </w:rPr>
        <w:t>because curtailment of follow-up due to the pandemic reduced the intended sample size, and participants were no longer randomised, as they had the option to continue or cease trial medication.</w:t>
      </w:r>
    </w:p>
    <w:p w14:paraId="2169F8B6" w14:textId="77777777" w:rsidR="002754F5" w:rsidRPr="00827C81" w:rsidRDefault="002754F5" w:rsidP="00C23978">
      <w:pPr>
        <w:spacing w:line="480" w:lineRule="auto"/>
        <w:ind w:firstLine="720"/>
        <w:rPr>
          <w:rFonts w:ascii="Times New Roman" w:hAnsi="Times New Roman" w:cs="Times New Roman"/>
          <w:color w:val="FF0000"/>
          <w:sz w:val="24"/>
          <w:szCs w:val="24"/>
        </w:rPr>
      </w:pPr>
      <w:r w:rsidRPr="007C2016">
        <w:rPr>
          <w:rFonts w:ascii="Times New Roman" w:hAnsi="Times New Roman" w:cs="Times New Roman"/>
          <w:sz w:val="24"/>
          <w:szCs w:val="24"/>
        </w:rPr>
        <w:t xml:space="preserve">In summary, this trial of low-dose amitriptyline, 10 to 30mg o.d., as second-line therapy in 463 </w:t>
      </w:r>
      <w:r w:rsidRPr="00827C81">
        <w:rPr>
          <w:rFonts w:ascii="Times New Roman" w:hAnsi="Times New Roman" w:cs="Times New Roman"/>
          <w:bCs/>
          <w:sz w:val="24"/>
          <w:szCs w:val="24"/>
        </w:rPr>
        <w:t>participant</w:t>
      </w:r>
      <w:r w:rsidRPr="007C2016">
        <w:rPr>
          <w:rFonts w:ascii="Times New Roman" w:hAnsi="Times New Roman" w:cs="Times New Roman"/>
          <w:sz w:val="24"/>
          <w:szCs w:val="24"/>
        </w:rPr>
        <w:t>s with IBS in primary care has addressed an important unanswered question. Amitriptyline was more effective than placebo across a range of IBS symptom measures, and was safe and well-tolerated, when titrated according to symptom response and side effects.</w:t>
      </w:r>
      <w:r w:rsidRPr="007C2016">
        <w:rPr>
          <w:rFonts w:ascii="Times New Roman" w:hAnsi="Times New Roman" w:cs="Times New Roman"/>
          <w:color w:val="FF0000"/>
          <w:sz w:val="24"/>
          <w:szCs w:val="24"/>
        </w:rPr>
        <w:t xml:space="preserve"> </w:t>
      </w:r>
      <w:bookmarkStart w:id="32" w:name="_Hlk135295614"/>
      <w:r w:rsidRPr="007C2016">
        <w:rPr>
          <w:rFonts w:ascii="Times New Roman" w:hAnsi="Times New Roman" w:cs="Times New Roman"/>
          <w:sz w:val="24"/>
          <w:szCs w:val="24"/>
        </w:rPr>
        <w:t xml:space="preserve">When the rationale for use of a TCA for IBS is explained clearly, as in the information materials provided to participants in this trial, with appropriate support, many people with IBS find it acceptable and beneficial. </w:t>
      </w:r>
      <w:bookmarkStart w:id="33" w:name="_Hlk138393792"/>
      <w:r w:rsidRPr="007C2016">
        <w:rPr>
          <w:rFonts w:ascii="Times New Roman" w:hAnsi="Times New Roman" w:cs="Times New Roman"/>
          <w:sz w:val="24"/>
          <w:szCs w:val="24"/>
        </w:rPr>
        <w:t xml:space="preserve">GPs should offer low-dose amitriptyline to patients with IBS in whom first-line therapies are ineffective, with appropriate support to guide </w:t>
      </w:r>
      <w:r>
        <w:rPr>
          <w:rFonts w:ascii="Times New Roman" w:hAnsi="Times New Roman" w:cs="Times New Roman"/>
          <w:sz w:val="24"/>
          <w:szCs w:val="24"/>
        </w:rPr>
        <w:t xml:space="preserve">patient-led </w:t>
      </w:r>
      <w:r w:rsidRPr="007C2016">
        <w:rPr>
          <w:rFonts w:ascii="Times New Roman" w:hAnsi="Times New Roman" w:cs="Times New Roman"/>
          <w:sz w:val="24"/>
          <w:szCs w:val="24"/>
        </w:rPr>
        <w:t xml:space="preserve">dose titration, such as the self-titration document we </w:t>
      </w:r>
      <w:r>
        <w:rPr>
          <w:rFonts w:ascii="Times New Roman" w:hAnsi="Times New Roman" w:cs="Times New Roman"/>
          <w:sz w:val="24"/>
          <w:szCs w:val="24"/>
        </w:rPr>
        <w:t>developed</w:t>
      </w:r>
      <w:r w:rsidRPr="007C2016">
        <w:rPr>
          <w:rFonts w:ascii="Times New Roman" w:hAnsi="Times New Roman" w:cs="Times New Roman"/>
          <w:sz w:val="24"/>
          <w:szCs w:val="24"/>
        </w:rPr>
        <w:t xml:space="preserve">. </w:t>
      </w:r>
      <w:bookmarkEnd w:id="33"/>
      <w:r w:rsidRPr="007C2016">
        <w:rPr>
          <w:rFonts w:ascii="Times New Roman" w:hAnsi="Times New Roman" w:cs="Times New Roman"/>
          <w:sz w:val="24"/>
          <w:szCs w:val="24"/>
        </w:rPr>
        <w:t>Management guidelines need to change to reflect these findings</w:t>
      </w:r>
      <w:bookmarkEnd w:id="32"/>
      <w:r w:rsidRPr="007C2016">
        <w:rPr>
          <w:rFonts w:ascii="Times New Roman" w:hAnsi="Times New Roman" w:cs="Times New Roman"/>
          <w:sz w:val="24"/>
          <w:szCs w:val="24"/>
        </w:rPr>
        <w:t xml:space="preserve">. </w:t>
      </w:r>
    </w:p>
    <w:p w14:paraId="7977352E" w14:textId="77777777" w:rsidR="002754F5" w:rsidRPr="00827C81" w:rsidRDefault="002754F5" w:rsidP="00DB1437">
      <w:pPr>
        <w:spacing w:line="480" w:lineRule="auto"/>
        <w:rPr>
          <w:rFonts w:ascii="Times New Roman" w:hAnsi="Times New Roman" w:cs="Times New Roman"/>
          <w:bCs/>
          <w:noProof/>
          <w:sz w:val="24"/>
          <w:szCs w:val="24"/>
        </w:rPr>
      </w:pPr>
      <w:r w:rsidRPr="00827C81">
        <w:rPr>
          <w:rFonts w:ascii="Times New Roman" w:hAnsi="Times New Roman" w:cs="Times New Roman"/>
          <w:bCs/>
          <w:sz w:val="24"/>
          <w:szCs w:val="24"/>
        </w:rPr>
        <w:br w:type="page"/>
      </w:r>
    </w:p>
    <w:p w14:paraId="6D402875" w14:textId="77777777" w:rsidR="002754F5" w:rsidRPr="007C2016" w:rsidRDefault="002754F5" w:rsidP="00C206A1">
      <w:pPr>
        <w:pStyle w:val="EndNoteBibliographyTitle"/>
        <w:spacing w:line="480" w:lineRule="auto"/>
        <w:jc w:val="left"/>
        <w:rPr>
          <w:b/>
          <w:bCs/>
          <w:lang w:val="en-GB"/>
        </w:rPr>
      </w:pPr>
      <w:r w:rsidRPr="007C2016">
        <w:rPr>
          <w:b/>
          <w:bCs/>
          <w:lang w:val="en-GB"/>
        </w:rPr>
        <w:lastRenderedPageBreak/>
        <w:t>ACKNOWLEDGEMENTS</w:t>
      </w:r>
    </w:p>
    <w:p w14:paraId="515D0F5B" w14:textId="77777777" w:rsidR="002754F5" w:rsidRPr="00827C81" w:rsidRDefault="002754F5" w:rsidP="00EC0B68">
      <w:pPr>
        <w:spacing w:line="480" w:lineRule="auto"/>
        <w:rPr>
          <w:rFonts w:ascii="Times New Roman" w:eastAsia="Times New Roman" w:hAnsi="Times New Roman" w:cs="Times New Roman"/>
          <w:bCs/>
          <w:sz w:val="24"/>
          <w:szCs w:val="24"/>
        </w:rPr>
      </w:pPr>
      <w:r w:rsidRPr="00827C81">
        <w:rPr>
          <w:rFonts w:ascii="Times New Roman" w:eastAsia="Times New Roman" w:hAnsi="Times New Roman" w:cs="Times New Roman"/>
          <w:bCs/>
          <w:sz w:val="24"/>
          <w:szCs w:val="24"/>
        </w:rPr>
        <w:t>The study was funded by the NIHR Health Technology Assessment Programme (grant reference: 16/162/01). The funder had no role in data collection, analysis, interpretation, writing of the manuscript, or the decision to submit for publication. This report is independent research in response to a commissioned call funded by the NIHR. The views expressed in this publication are those of the authors, not necessarily those of the National Health Service, the NIHR, or the Department of Health and Social Care.</w:t>
      </w:r>
    </w:p>
    <w:p w14:paraId="7A2303D3" w14:textId="77777777" w:rsidR="002754F5" w:rsidRPr="007C2016" w:rsidRDefault="002754F5" w:rsidP="00C206A1">
      <w:pPr>
        <w:pStyle w:val="EndNoteBibliographyTitle"/>
        <w:spacing w:line="480" w:lineRule="auto"/>
        <w:jc w:val="left"/>
        <w:rPr>
          <w:lang w:val="en-GB"/>
        </w:rPr>
      </w:pPr>
      <w:r w:rsidRPr="007C2016">
        <w:rPr>
          <w:lang w:val="en-GB"/>
        </w:rPr>
        <w:t>We would like to thank the 463 participants and the 55 general practices involved in the study, as well as the Trial Steering Committee and Data Monitoring and Ethics Committee for their support throughout.</w:t>
      </w:r>
    </w:p>
    <w:p w14:paraId="2C56B9D4" w14:textId="77777777" w:rsidR="002754F5" w:rsidRPr="007C2016" w:rsidRDefault="002754F5" w:rsidP="00C206A1">
      <w:pPr>
        <w:pStyle w:val="EndNoteBibliographyTitle"/>
        <w:spacing w:line="480" w:lineRule="auto"/>
        <w:jc w:val="left"/>
        <w:rPr>
          <w:lang w:val="en-GB"/>
        </w:rPr>
      </w:pPr>
    </w:p>
    <w:p w14:paraId="1623BD61" w14:textId="77777777" w:rsidR="002754F5" w:rsidRPr="00827C81" w:rsidRDefault="002754F5" w:rsidP="006F75B2">
      <w:pPr>
        <w:autoSpaceDE w:val="0"/>
        <w:autoSpaceDN w:val="0"/>
        <w:adjustRightInd w:val="0"/>
        <w:spacing w:line="480" w:lineRule="auto"/>
        <w:rPr>
          <w:rFonts w:ascii="Times New Roman" w:hAnsi="Times New Roman" w:cs="Times New Roman"/>
          <w:b/>
          <w:sz w:val="24"/>
          <w:szCs w:val="24"/>
        </w:rPr>
      </w:pPr>
      <w:r w:rsidRPr="00827C81">
        <w:rPr>
          <w:rFonts w:ascii="Times New Roman" w:hAnsi="Times New Roman" w:cs="Times New Roman"/>
          <w:b/>
          <w:sz w:val="24"/>
          <w:szCs w:val="24"/>
        </w:rPr>
        <w:t>AUTHORS CONTRIBUTIONS</w:t>
      </w:r>
    </w:p>
    <w:p w14:paraId="7424F106" w14:textId="77777777" w:rsidR="002754F5" w:rsidRPr="007C2016" w:rsidRDefault="002754F5" w:rsidP="00F606A1">
      <w:pPr>
        <w:spacing w:line="480" w:lineRule="auto"/>
      </w:pPr>
      <w:r w:rsidRPr="00827C81">
        <w:rPr>
          <w:rFonts w:ascii="Times New Roman" w:eastAsia="Arial" w:hAnsi="Times New Roman" w:cs="Times New Roman"/>
          <w:sz w:val="24"/>
          <w:szCs w:val="24"/>
        </w:rPr>
        <w:t>ACF</w:t>
      </w:r>
      <w:r w:rsidRPr="00827C81">
        <w:rPr>
          <w:rFonts w:ascii="Times New Roman" w:eastAsia="Arial" w:hAnsi="Times New Roman" w:cs="Times New Roman"/>
          <w:color w:val="000000" w:themeColor="text1"/>
          <w:sz w:val="24"/>
          <w:szCs w:val="24"/>
        </w:rPr>
        <w:t xml:space="preserve"> </w:t>
      </w:r>
      <w:r w:rsidRPr="00827C81">
        <w:rPr>
          <w:rFonts w:ascii="Times New Roman" w:eastAsia="Arial" w:hAnsi="Times New Roman" w:cs="Times New Roman"/>
          <w:sz w:val="24"/>
          <w:szCs w:val="24"/>
        </w:rPr>
        <w:t>conceived and designed the ATLANTIS trial and had overall responsibility in his role as co-chief investigator. AW</w:t>
      </w:r>
      <w:r>
        <w:rPr>
          <w:rFonts w:ascii="Times New Roman" w:eastAsia="Arial" w:hAnsi="Times New Roman" w:cs="Times New Roman"/>
          <w:sz w:val="24"/>
          <w:szCs w:val="24"/>
        </w:rPr>
        <w:t>-</w:t>
      </w:r>
      <w:r w:rsidRPr="00827C81">
        <w:rPr>
          <w:rFonts w:ascii="Times New Roman" w:eastAsia="Arial" w:hAnsi="Times New Roman" w:cs="Times New Roman"/>
          <w:sz w:val="24"/>
          <w:szCs w:val="24"/>
        </w:rPr>
        <w:t xml:space="preserve">H provided statistical input into the implementation and statistical analysis plan, under the supervision of AJF. SLA contributed to the design of the trial, participant enrolment, and data acquisition. P-LO provided statistical input into the implementation and statistical analysis plan, under the supervision of AW-H and AJF. MJR contributed to the design of the trial, participant enrolment, and data acquisition. RF contributed to the design of the trial, participant enrolment, and data acquisition. FLB </w:t>
      </w:r>
      <w:r>
        <w:rPr>
          <w:rFonts w:ascii="Times New Roman" w:eastAsia="Arial" w:hAnsi="Times New Roman" w:cs="Times New Roman"/>
          <w:sz w:val="24"/>
          <w:szCs w:val="24"/>
        </w:rPr>
        <w:t xml:space="preserve">designed and </w:t>
      </w:r>
      <w:r w:rsidRPr="00827C81">
        <w:rPr>
          <w:rFonts w:ascii="Times New Roman" w:eastAsia="Arial" w:hAnsi="Times New Roman" w:cs="Times New Roman"/>
          <w:sz w:val="24"/>
          <w:szCs w:val="24"/>
        </w:rPr>
        <w:t>implement</w:t>
      </w:r>
      <w:r>
        <w:rPr>
          <w:rFonts w:ascii="Times New Roman" w:eastAsia="Arial" w:hAnsi="Times New Roman" w:cs="Times New Roman"/>
          <w:sz w:val="24"/>
          <w:szCs w:val="24"/>
        </w:rPr>
        <w:t>ed</w:t>
      </w:r>
      <w:r w:rsidRPr="00827C81">
        <w:rPr>
          <w:rFonts w:ascii="Times New Roman" w:eastAsia="Arial" w:hAnsi="Times New Roman" w:cs="Times New Roman"/>
          <w:sz w:val="24"/>
          <w:szCs w:val="24"/>
        </w:rPr>
        <w:t xml:space="preserve"> the nested qualitative study</w:t>
      </w:r>
      <w:r>
        <w:rPr>
          <w:rFonts w:ascii="Times New Roman" w:eastAsia="Arial" w:hAnsi="Times New Roman" w:cs="Times New Roman"/>
          <w:sz w:val="24"/>
          <w:szCs w:val="24"/>
        </w:rPr>
        <w:t xml:space="preserve"> and supervised the qualitative analysis</w:t>
      </w:r>
      <w:r w:rsidRPr="00827C81">
        <w:rPr>
          <w:rFonts w:ascii="Times New Roman" w:eastAsia="Arial" w:hAnsi="Times New Roman" w:cs="Times New Roman"/>
          <w:sz w:val="24"/>
          <w:szCs w:val="24"/>
        </w:rPr>
        <w:t xml:space="preserve">. MC </w:t>
      </w:r>
      <w:r>
        <w:rPr>
          <w:rFonts w:ascii="Times New Roman" w:eastAsia="Arial" w:hAnsi="Times New Roman" w:cs="Times New Roman"/>
          <w:sz w:val="24"/>
          <w:szCs w:val="24"/>
        </w:rPr>
        <w:t>provided</w:t>
      </w:r>
      <w:r w:rsidRPr="00827C81">
        <w:rPr>
          <w:rFonts w:ascii="Times New Roman" w:eastAsia="Arial" w:hAnsi="Times New Roman" w:cs="Times New Roman"/>
          <w:sz w:val="24"/>
          <w:szCs w:val="24"/>
        </w:rPr>
        <w:t xml:space="preserve"> PPI input in the design, implementation, and trial reporting. HC contributed to the protocol development, implementation, and co-ordination of the data acquisition. DC contributed to participant enrolment and data acquisition. CF </w:t>
      </w:r>
      <w:r>
        <w:rPr>
          <w:rFonts w:ascii="Times New Roman" w:eastAsia="Arial" w:hAnsi="Times New Roman" w:cs="Times New Roman"/>
          <w:sz w:val="24"/>
          <w:szCs w:val="24"/>
        </w:rPr>
        <w:t>implemented the</w:t>
      </w:r>
      <w:r w:rsidRPr="00827C81">
        <w:rPr>
          <w:rFonts w:ascii="Times New Roman" w:eastAsia="Arial" w:hAnsi="Times New Roman" w:cs="Times New Roman"/>
          <w:sz w:val="24"/>
          <w:szCs w:val="24"/>
        </w:rPr>
        <w:t xml:space="preserve"> trial and contributed to the co-ordination of data acquisition and trial reporting. EAG contributed to the design of the trial. SH </w:t>
      </w:r>
      <w:r>
        <w:rPr>
          <w:rFonts w:ascii="Times New Roman" w:eastAsia="Arial" w:hAnsi="Times New Roman" w:cs="Times New Roman"/>
          <w:sz w:val="24"/>
          <w:szCs w:val="24"/>
        </w:rPr>
        <w:t>undertook</w:t>
      </w:r>
      <w:r w:rsidRPr="00827C81">
        <w:rPr>
          <w:rFonts w:ascii="Times New Roman" w:eastAsia="Arial" w:hAnsi="Times New Roman" w:cs="Times New Roman"/>
          <w:sz w:val="24"/>
          <w:szCs w:val="24"/>
        </w:rPr>
        <w:t xml:space="preserve"> operational delivery of the trial </w:t>
      </w:r>
      <w:r>
        <w:rPr>
          <w:rFonts w:ascii="Times New Roman" w:eastAsia="Arial" w:hAnsi="Times New Roman" w:cs="Times New Roman"/>
          <w:sz w:val="24"/>
          <w:szCs w:val="24"/>
        </w:rPr>
        <w:t xml:space="preserve">. </w:t>
      </w:r>
      <w:r w:rsidRPr="00827C81">
        <w:rPr>
          <w:rFonts w:ascii="Times New Roman" w:eastAsia="Arial" w:hAnsi="Times New Roman" w:cs="Times New Roman"/>
          <w:sz w:val="24"/>
          <w:szCs w:val="24"/>
        </w:rPr>
        <w:t xml:space="preserve">AH </w:t>
      </w:r>
      <w:r w:rsidRPr="00827C81">
        <w:rPr>
          <w:rFonts w:ascii="Times New Roman" w:eastAsia="Arial" w:hAnsi="Times New Roman" w:cs="Times New Roman"/>
          <w:sz w:val="24"/>
          <w:szCs w:val="24"/>
        </w:rPr>
        <w:lastRenderedPageBreak/>
        <w:t>contributed to participant enrolment and data acquisition. DH contributed to the acquisition of health economic data. DPM provided PPI advice to inform the design and trial reporting. TN contributed to implementation of the trial. SN contributed to participant enrolment and data acquisition. CMT provided data management input into the design and was responsible for the co-ordination of data acquisition. EJT contributed to the acquisition of qualitative data and trial reporting</w:t>
      </w:r>
      <w:r>
        <w:rPr>
          <w:rFonts w:ascii="Times New Roman" w:eastAsia="Arial" w:hAnsi="Times New Roman" w:cs="Times New Roman"/>
          <w:sz w:val="24"/>
          <w:szCs w:val="24"/>
        </w:rPr>
        <w:t>, under the supervision of FLB</w:t>
      </w:r>
      <w:r w:rsidRPr="00827C81">
        <w:rPr>
          <w:rFonts w:ascii="Times New Roman" w:eastAsia="Arial" w:hAnsi="Times New Roman" w:cs="Times New Roman"/>
          <w:sz w:val="24"/>
          <w:szCs w:val="24"/>
        </w:rPr>
        <w:t xml:space="preserve">. RT contributed to participant enrolment and data acquisition. AJF conceived and designed the ATLANTIS trial, was responsible for its overall implementation across Leeds Clinical Trials Research Unit and supervised the statistical analysis. HAE conceived and designed the ATLANTIS trial, contributed to participant enrolment, and data acquisition and had overall responsibility in her role as co-chief investigator. </w:t>
      </w:r>
      <w:r w:rsidRPr="00827C81">
        <w:rPr>
          <w:rFonts w:ascii="Times New Roman" w:hAnsi="Times New Roman" w:cs="Times New Roman"/>
          <w:sz w:val="24"/>
          <w:szCs w:val="24"/>
        </w:rPr>
        <w:t>ACF, AW</w:t>
      </w:r>
      <w:r>
        <w:rPr>
          <w:rFonts w:ascii="Times New Roman" w:hAnsi="Times New Roman" w:cs="Times New Roman"/>
          <w:sz w:val="24"/>
          <w:szCs w:val="24"/>
        </w:rPr>
        <w:t>-</w:t>
      </w:r>
      <w:r w:rsidRPr="00827C81">
        <w:rPr>
          <w:rFonts w:ascii="Times New Roman" w:hAnsi="Times New Roman" w:cs="Times New Roman"/>
          <w:sz w:val="24"/>
          <w:szCs w:val="24"/>
        </w:rPr>
        <w:t xml:space="preserve">H, P-LO, AJF, and HAE drafted the manuscript. </w:t>
      </w:r>
      <w:r w:rsidRPr="007C2016">
        <w:rPr>
          <w:rFonts w:ascii="Times New Roman" w:hAnsi="Times New Roman" w:cs="Times New Roman"/>
          <w:sz w:val="24"/>
          <w:szCs w:val="24"/>
        </w:rPr>
        <w:t>All authors commented</w:t>
      </w:r>
      <w:r w:rsidRPr="007C2016">
        <w:rPr>
          <w:rFonts w:ascii="Times New Roman" w:hAnsi="Times New Roman" w:cs="Times New Roman"/>
          <w:sz w:val="24"/>
          <w:szCs w:val="24"/>
          <w:vertAlign w:val="superscript"/>
        </w:rPr>
        <w:t xml:space="preserve"> </w:t>
      </w:r>
      <w:r w:rsidRPr="007C2016">
        <w:rPr>
          <w:rFonts w:ascii="Times New Roman" w:hAnsi="Times New Roman" w:cs="Times New Roman"/>
          <w:sz w:val="24"/>
          <w:szCs w:val="24"/>
        </w:rPr>
        <w:t xml:space="preserve">on drafts of the paper. All authors have approved the final draft of the manuscript. </w:t>
      </w:r>
      <w:r w:rsidRPr="00827C81">
        <w:rPr>
          <w:rFonts w:ascii="Times New Roman" w:hAnsi="Times New Roman" w:cs="Times New Roman"/>
          <w:sz w:val="24"/>
          <w:szCs w:val="24"/>
        </w:rPr>
        <w:t xml:space="preserve">AW-H and P-LO </w:t>
      </w:r>
      <w:r w:rsidRPr="00827C81">
        <w:rPr>
          <w:rFonts w:ascii="Times New Roman" w:hAnsi="Times New Roman" w:cs="Times New Roman"/>
          <w:sz w:val="24"/>
          <w:szCs w:val="24"/>
          <w:lang w:eastAsia="en-GB"/>
        </w:rPr>
        <w:t>had full access to, and verified, all the data in the study.</w:t>
      </w:r>
      <w:r w:rsidRPr="00827C81">
        <w:rPr>
          <w:rFonts w:ascii="Times New Roman" w:hAnsi="Times New Roman" w:cs="Times New Roman"/>
          <w:sz w:val="24"/>
          <w:szCs w:val="24"/>
        </w:rPr>
        <w:t xml:space="preserve"> ACF, AJF, and HAE</w:t>
      </w:r>
      <w:r w:rsidRPr="00827C81">
        <w:rPr>
          <w:rFonts w:ascii="Times New Roman" w:hAnsi="Times New Roman" w:cs="Times New Roman"/>
          <w:sz w:val="24"/>
          <w:szCs w:val="24"/>
          <w:lang w:eastAsia="en-GB"/>
        </w:rPr>
        <w:t xml:space="preserve"> had final responsibility for the decision to submit for publication.</w:t>
      </w:r>
      <w:r>
        <w:rPr>
          <w:rFonts w:ascii="Times New Roman" w:hAnsi="Times New Roman" w:cs="Times New Roman"/>
          <w:sz w:val="24"/>
          <w:szCs w:val="24"/>
          <w:lang w:eastAsia="en-GB"/>
        </w:rPr>
        <w:t xml:space="preserve"> AJF is guarantor.</w:t>
      </w:r>
    </w:p>
    <w:p w14:paraId="483F7BA0" w14:textId="77777777" w:rsidR="002754F5" w:rsidRPr="00827C81" w:rsidRDefault="002754F5" w:rsidP="004A3CE3">
      <w:pPr>
        <w:spacing w:line="480" w:lineRule="auto"/>
        <w:rPr>
          <w:rFonts w:ascii="Times New Roman" w:hAnsi="Times New Roman" w:cs="Times New Roman"/>
          <w:b/>
          <w:sz w:val="24"/>
          <w:szCs w:val="24"/>
        </w:rPr>
      </w:pPr>
    </w:p>
    <w:p w14:paraId="46767A1F" w14:textId="77777777" w:rsidR="002754F5" w:rsidRPr="00827C81" w:rsidRDefault="002754F5" w:rsidP="001453A0">
      <w:pPr>
        <w:autoSpaceDE w:val="0"/>
        <w:autoSpaceDN w:val="0"/>
        <w:adjustRightInd w:val="0"/>
        <w:spacing w:line="480" w:lineRule="auto"/>
        <w:rPr>
          <w:rFonts w:ascii="Times New Roman" w:hAnsi="Times New Roman" w:cs="Times New Roman"/>
          <w:b/>
          <w:sz w:val="24"/>
          <w:szCs w:val="24"/>
        </w:rPr>
      </w:pPr>
      <w:r w:rsidRPr="00827C81">
        <w:rPr>
          <w:rFonts w:ascii="Times New Roman" w:hAnsi="Times New Roman" w:cs="Times New Roman"/>
          <w:b/>
          <w:sz w:val="24"/>
          <w:szCs w:val="24"/>
        </w:rPr>
        <w:t>DECLARATION OF INTERESTS</w:t>
      </w:r>
    </w:p>
    <w:p w14:paraId="4A37DEAA" w14:textId="77777777" w:rsidR="002754F5" w:rsidRPr="00827C81" w:rsidRDefault="002754F5" w:rsidP="00BB0448">
      <w:pPr>
        <w:spacing w:line="480" w:lineRule="auto"/>
        <w:rPr>
          <w:rFonts w:ascii="Times New Roman" w:eastAsia="Times New Roman" w:hAnsi="Times New Roman" w:cs="Times New Roman"/>
          <w:bCs/>
          <w:sz w:val="24"/>
          <w:szCs w:val="24"/>
        </w:rPr>
      </w:pPr>
      <w:r w:rsidRPr="00827C81">
        <w:rPr>
          <w:rFonts w:ascii="Times New Roman" w:hAnsi="Times New Roman" w:cs="Times New Roman"/>
          <w:bCs/>
          <w:sz w:val="24"/>
          <w:szCs w:val="24"/>
        </w:rPr>
        <w:t xml:space="preserve">Alexander C. Ford: NIHR grant funding paid to his </w:t>
      </w:r>
      <w:r w:rsidRPr="00D50D30">
        <w:rPr>
          <w:rFonts w:ascii="Times New Roman" w:hAnsi="Times New Roman" w:cs="Times New Roman"/>
          <w:bCs/>
          <w:sz w:val="24"/>
          <w:szCs w:val="24"/>
        </w:rPr>
        <w:t xml:space="preserve">institution. Alexandra Wright-Hughes: NIHR grant funding paid to her institution, Data Monitoring and Ethics Committee and Trial Steering Committee member of NIHR and MRC funded projects, travel reimbursement for </w:t>
      </w:r>
      <w:r w:rsidRPr="007C2016">
        <w:rPr>
          <w:rFonts w:ascii="Times New Roman" w:hAnsi="Times New Roman" w:cs="Times New Roman"/>
          <w:sz w:val="24"/>
          <w:szCs w:val="24"/>
        </w:rPr>
        <w:t xml:space="preserve">expert Committee membership of the Yorkshire and </w:t>
      </w:r>
      <w:r w:rsidRPr="00D50D30">
        <w:rPr>
          <w:rFonts w:ascii="Times New Roman" w:hAnsi="Times New Roman" w:cs="Times New Roman"/>
          <w:sz w:val="24"/>
          <w:szCs w:val="24"/>
        </w:rPr>
        <w:t>Northeast</w:t>
      </w:r>
      <w:r w:rsidRPr="007C2016">
        <w:rPr>
          <w:rFonts w:ascii="Times New Roman" w:hAnsi="Times New Roman" w:cs="Times New Roman"/>
          <w:sz w:val="24"/>
          <w:szCs w:val="24"/>
        </w:rPr>
        <w:t xml:space="preserve"> Regional Advisory Committee for NIHR Research for Patient Benefit</w:t>
      </w:r>
      <w:r w:rsidRPr="0061680F">
        <w:rPr>
          <w:rFonts w:ascii="Times New Roman" w:hAnsi="Times New Roman" w:cs="Times New Roman"/>
          <w:bCs/>
          <w:sz w:val="24"/>
          <w:szCs w:val="24"/>
        </w:rPr>
        <w:t>.</w:t>
      </w:r>
      <w:r w:rsidRPr="00827C81">
        <w:rPr>
          <w:rFonts w:ascii="Times New Roman" w:hAnsi="Times New Roman" w:cs="Times New Roman"/>
          <w:bCs/>
          <w:sz w:val="24"/>
          <w:szCs w:val="24"/>
        </w:rPr>
        <w:t xml:space="preserve"> Sarah L. Alderson: NIHR, YCR, and Health Data Research UK grant funding paid to her institution, consulting fees from West Yorkshire Integrated Care Board paid to her institution, speaker</w:t>
      </w:r>
      <w:r>
        <w:rPr>
          <w:rFonts w:ascii="Times New Roman" w:hAnsi="Times New Roman" w:cs="Times New Roman"/>
          <w:bCs/>
          <w:sz w:val="24"/>
          <w:szCs w:val="24"/>
        </w:rPr>
        <w:t>’</w:t>
      </w:r>
      <w:r w:rsidRPr="00827C81">
        <w:rPr>
          <w:rFonts w:ascii="Times New Roman" w:hAnsi="Times New Roman" w:cs="Times New Roman"/>
          <w:bCs/>
          <w:sz w:val="24"/>
          <w:szCs w:val="24"/>
        </w:rPr>
        <w:t xml:space="preserve">s payments from </w:t>
      </w:r>
      <w:proofErr w:type="spellStart"/>
      <w:r w:rsidRPr="00827C81">
        <w:rPr>
          <w:rFonts w:ascii="Times New Roman" w:hAnsi="Times New Roman" w:cs="Times New Roman"/>
          <w:bCs/>
          <w:sz w:val="24"/>
          <w:szCs w:val="24"/>
        </w:rPr>
        <w:t>Xytal</w:t>
      </w:r>
      <w:proofErr w:type="spellEnd"/>
      <w:r w:rsidRPr="00827C81">
        <w:rPr>
          <w:rFonts w:ascii="Times New Roman" w:hAnsi="Times New Roman" w:cs="Times New Roman"/>
          <w:bCs/>
          <w:sz w:val="24"/>
          <w:szCs w:val="24"/>
        </w:rPr>
        <w:t xml:space="preserve">, and grant </w:t>
      </w:r>
      <w:r w:rsidRPr="00827C81">
        <w:rPr>
          <w:rFonts w:ascii="Times New Roman" w:hAnsi="Times New Roman" w:cs="Times New Roman"/>
          <w:bCs/>
          <w:sz w:val="24"/>
          <w:szCs w:val="24"/>
        </w:rPr>
        <w:lastRenderedPageBreak/>
        <w:t xml:space="preserve">funding panel member for </w:t>
      </w:r>
      <w:r w:rsidRPr="001153C2">
        <w:rPr>
          <w:rFonts w:ascii="Times New Roman" w:hAnsi="Times New Roman" w:cs="Times New Roman"/>
          <w:bCs/>
          <w:sz w:val="24"/>
          <w:szCs w:val="24"/>
        </w:rPr>
        <w:t xml:space="preserve">NIHR. </w:t>
      </w:r>
      <w:r w:rsidRPr="00FE3320">
        <w:rPr>
          <w:rFonts w:ascii="Times New Roman" w:hAnsi="Times New Roman" w:cs="Times New Roman"/>
          <w:bCs/>
          <w:sz w:val="24"/>
          <w:szCs w:val="24"/>
        </w:rPr>
        <w:t>Pei-Loo Ow: none.</w:t>
      </w:r>
      <w:r w:rsidRPr="001153C2">
        <w:rPr>
          <w:rFonts w:ascii="Times New Roman" w:hAnsi="Times New Roman" w:cs="Times New Roman"/>
          <w:bCs/>
          <w:sz w:val="24"/>
          <w:szCs w:val="24"/>
        </w:rPr>
        <w:t xml:space="preserve"> Matthew</w:t>
      </w:r>
      <w:r w:rsidRPr="00827C81">
        <w:rPr>
          <w:rFonts w:ascii="Times New Roman" w:hAnsi="Times New Roman" w:cs="Times New Roman"/>
          <w:bCs/>
          <w:sz w:val="24"/>
          <w:szCs w:val="24"/>
        </w:rPr>
        <w:t xml:space="preserve"> J. Ridd: NIHR grant funding paid to his institution. Robbie Foy: NIHR and YCR grant funding paid to his institution, </w:t>
      </w:r>
      <w:r w:rsidRPr="007C2016">
        <w:rPr>
          <w:rFonts w:ascii="Times New Roman" w:hAnsi="Times New Roman" w:cs="Times New Roman"/>
          <w:bCs/>
          <w:sz w:val="24"/>
          <w:szCs w:val="24"/>
        </w:rPr>
        <w:t xml:space="preserve">Chair of NICE Implementation Strategy Group. </w:t>
      </w:r>
      <w:r w:rsidRPr="00D42F46">
        <w:rPr>
          <w:rFonts w:ascii="Times New Roman" w:hAnsi="Times New Roman" w:cs="Times New Roman"/>
          <w:bCs/>
          <w:sz w:val="24"/>
          <w:szCs w:val="24"/>
          <w:lang w:val="it-IT"/>
        </w:rPr>
        <w:t xml:space="preserve">Gina Bianco: none. Felicity L. Bishop: none. Matthew Chaddock: none. </w:t>
      </w:r>
      <w:r w:rsidRPr="007C2016">
        <w:rPr>
          <w:rFonts w:ascii="Times New Roman" w:hAnsi="Times New Roman" w:cs="Times New Roman"/>
          <w:bCs/>
          <w:sz w:val="24"/>
          <w:szCs w:val="24"/>
        </w:rPr>
        <w:t xml:space="preserve">Heather Cook: none. Deborah Cooper: none. Catherine Fernandez: none. Elspeth A. Guthrie: NIHR and Leeds Hospitals Charity grant funding paid to her institution. </w:t>
      </w:r>
      <w:r w:rsidRPr="00D42F46">
        <w:rPr>
          <w:rFonts w:ascii="Times New Roman" w:hAnsi="Times New Roman" w:cs="Times New Roman"/>
          <w:bCs/>
          <w:sz w:val="24"/>
          <w:szCs w:val="24"/>
          <w:lang w:val="it-IT"/>
        </w:rPr>
        <w:t xml:space="preserve">Suzanne Hartley: none. Amy Herbert: none. Daniel Howdon: none. Delia P. Muir: none. Taposhi Nath: none. Sonia Newman: none. </w:t>
      </w:r>
      <w:r w:rsidRPr="00D64E6A">
        <w:rPr>
          <w:rFonts w:ascii="Times New Roman" w:hAnsi="Times New Roman" w:cs="Times New Roman"/>
          <w:bCs/>
          <w:sz w:val="24"/>
          <w:szCs w:val="24"/>
        </w:rPr>
        <w:t>Thomas Smith: none. Christopher</w:t>
      </w:r>
      <w:r w:rsidRPr="00827C81">
        <w:rPr>
          <w:rFonts w:ascii="Times New Roman" w:hAnsi="Times New Roman" w:cs="Times New Roman"/>
          <w:bCs/>
          <w:sz w:val="24"/>
          <w:szCs w:val="24"/>
        </w:rPr>
        <w:t xml:space="preserve"> M. Taylor: none. Emma J. Teasdale: none. Ruth Thornton: none. Amanda J. Farrin: NIHR grant funding paid to </w:t>
      </w:r>
      <w:r>
        <w:rPr>
          <w:rFonts w:ascii="Times New Roman" w:hAnsi="Times New Roman" w:cs="Times New Roman"/>
          <w:bCs/>
          <w:sz w:val="24"/>
          <w:szCs w:val="24"/>
        </w:rPr>
        <w:t>her</w:t>
      </w:r>
      <w:r w:rsidRPr="00827C81">
        <w:rPr>
          <w:rFonts w:ascii="Times New Roman" w:hAnsi="Times New Roman" w:cs="Times New Roman"/>
          <w:bCs/>
          <w:sz w:val="24"/>
          <w:szCs w:val="24"/>
        </w:rPr>
        <w:t xml:space="preserve"> institution</w:t>
      </w:r>
      <w:r>
        <w:rPr>
          <w:rFonts w:ascii="Times New Roman" w:hAnsi="Times New Roman" w:cs="Times New Roman"/>
          <w:bCs/>
          <w:sz w:val="24"/>
          <w:szCs w:val="24"/>
        </w:rPr>
        <w:t xml:space="preserve">, </w:t>
      </w:r>
      <w:r w:rsidRPr="00D50D30">
        <w:rPr>
          <w:rFonts w:ascii="Times New Roman" w:hAnsi="Times New Roman" w:cs="Times New Roman"/>
          <w:bCs/>
          <w:sz w:val="24"/>
          <w:szCs w:val="24"/>
        </w:rPr>
        <w:t xml:space="preserve">Data Monitoring and Ethics Committee and Trial Steering Committee member of NIHR and </w:t>
      </w:r>
      <w:r>
        <w:rPr>
          <w:rFonts w:ascii="Times New Roman" w:hAnsi="Times New Roman" w:cs="Times New Roman"/>
          <w:bCs/>
          <w:sz w:val="24"/>
          <w:szCs w:val="24"/>
        </w:rPr>
        <w:t>BHF</w:t>
      </w:r>
      <w:r w:rsidRPr="00D50D30">
        <w:rPr>
          <w:rFonts w:ascii="Times New Roman" w:hAnsi="Times New Roman" w:cs="Times New Roman"/>
          <w:bCs/>
          <w:sz w:val="24"/>
          <w:szCs w:val="24"/>
        </w:rPr>
        <w:t xml:space="preserve"> funded projects</w:t>
      </w:r>
      <w:r>
        <w:rPr>
          <w:rFonts w:ascii="Times New Roman" w:hAnsi="Times New Roman" w:cs="Times New Roman"/>
          <w:bCs/>
          <w:sz w:val="24"/>
          <w:szCs w:val="24"/>
        </w:rPr>
        <w:t>, and NIHR senior investigator</w:t>
      </w:r>
      <w:r w:rsidRPr="00827C81">
        <w:rPr>
          <w:rFonts w:ascii="Times New Roman" w:hAnsi="Times New Roman" w:cs="Times New Roman"/>
          <w:bCs/>
          <w:sz w:val="24"/>
          <w:szCs w:val="24"/>
        </w:rPr>
        <w:t>. Hazel A. Everitt: NIHR grant funding paid to her institution.</w:t>
      </w:r>
    </w:p>
    <w:p w14:paraId="5C65ECB5" w14:textId="77777777" w:rsidR="002754F5" w:rsidRPr="00827C81" w:rsidRDefault="002754F5" w:rsidP="001453A0">
      <w:pPr>
        <w:autoSpaceDE w:val="0"/>
        <w:autoSpaceDN w:val="0"/>
        <w:adjustRightInd w:val="0"/>
        <w:spacing w:line="480" w:lineRule="auto"/>
        <w:rPr>
          <w:rFonts w:ascii="Times New Roman" w:hAnsi="Times New Roman" w:cs="Times New Roman"/>
          <w:b/>
          <w:sz w:val="24"/>
          <w:szCs w:val="24"/>
        </w:rPr>
      </w:pPr>
    </w:p>
    <w:p w14:paraId="4D36CA7F" w14:textId="77777777" w:rsidR="002754F5" w:rsidRPr="00827C81" w:rsidRDefault="002754F5" w:rsidP="001453A0">
      <w:pPr>
        <w:autoSpaceDE w:val="0"/>
        <w:autoSpaceDN w:val="0"/>
        <w:adjustRightInd w:val="0"/>
        <w:spacing w:line="480" w:lineRule="auto"/>
        <w:rPr>
          <w:rFonts w:ascii="Times New Roman" w:hAnsi="Times New Roman" w:cs="Times New Roman"/>
          <w:b/>
          <w:sz w:val="24"/>
          <w:szCs w:val="24"/>
        </w:rPr>
      </w:pPr>
      <w:r w:rsidRPr="00827C81">
        <w:rPr>
          <w:rFonts w:ascii="Times New Roman" w:hAnsi="Times New Roman" w:cs="Times New Roman"/>
          <w:b/>
          <w:sz w:val="24"/>
          <w:szCs w:val="24"/>
        </w:rPr>
        <w:t>ETHICS COMMITTEE APPROVAL</w:t>
      </w:r>
    </w:p>
    <w:p w14:paraId="4A0355CF" w14:textId="77777777" w:rsidR="002754F5" w:rsidRPr="00827C81" w:rsidRDefault="002754F5" w:rsidP="001453A0">
      <w:pPr>
        <w:autoSpaceDE w:val="0"/>
        <w:autoSpaceDN w:val="0"/>
        <w:adjustRightInd w:val="0"/>
        <w:spacing w:line="480" w:lineRule="auto"/>
        <w:rPr>
          <w:rFonts w:ascii="Times New Roman" w:eastAsia="Times New Roman" w:hAnsi="Times New Roman" w:cs="Times New Roman"/>
          <w:bCs/>
          <w:sz w:val="24"/>
          <w:szCs w:val="24"/>
        </w:rPr>
      </w:pPr>
      <w:r w:rsidRPr="00827C81">
        <w:rPr>
          <w:rFonts w:ascii="Times New Roman" w:hAnsi="Times New Roman" w:cs="Times New Roman"/>
          <w:bCs/>
          <w:sz w:val="24"/>
          <w:szCs w:val="24"/>
        </w:rPr>
        <w:t xml:space="preserve">The final protocol and subsequent amendments were approved by </w:t>
      </w:r>
      <w:r w:rsidRPr="00827C81">
        <w:rPr>
          <w:rFonts w:ascii="Times New Roman" w:eastAsia="Times New Roman" w:hAnsi="Times New Roman" w:cs="Times New Roman"/>
          <w:bCs/>
          <w:sz w:val="24"/>
          <w:szCs w:val="24"/>
        </w:rPr>
        <w:t>Yorkshire and the Humber (Sheffield) Research Ethics Committee (19/YH/0150).</w:t>
      </w:r>
    </w:p>
    <w:p w14:paraId="7CFFC0B6" w14:textId="77777777" w:rsidR="002754F5" w:rsidRPr="00827C81" w:rsidRDefault="002754F5" w:rsidP="001453A0">
      <w:pPr>
        <w:autoSpaceDE w:val="0"/>
        <w:autoSpaceDN w:val="0"/>
        <w:adjustRightInd w:val="0"/>
        <w:spacing w:line="480" w:lineRule="auto"/>
        <w:rPr>
          <w:rFonts w:ascii="Times New Roman" w:hAnsi="Times New Roman" w:cs="Times New Roman"/>
          <w:b/>
          <w:bCs/>
          <w:sz w:val="24"/>
          <w:szCs w:val="24"/>
        </w:rPr>
      </w:pPr>
    </w:p>
    <w:p w14:paraId="7A90F023" w14:textId="77777777" w:rsidR="002754F5" w:rsidRPr="00827C81" w:rsidRDefault="002754F5" w:rsidP="00897FEB">
      <w:pPr>
        <w:autoSpaceDE w:val="0"/>
        <w:autoSpaceDN w:val="0"/>
        <w:adjustRightInd w:val="0"/>
        <w:spacing w:line="480" w:lineRule="auto"/>
        <w:rPr>
          <w:rFonts w:ascii="Times New Roman" w:hAnsi="Times New Roman" w:cs="Times New Roman"/>
          <w:b/>
          <w:bCs/>
        </w:rPr>
      </w:pPr>
      <w:r w:rsidRPr="00827C81">
        <w:rPr>
          <w:rFonts w:ascii="Times New Roman" w:hAnsi="Times New Roman" w:cs="Times New Roman"/>
          <w:b/>
          <w:bCs/>
          <w:sz w:val="24"/>
          <w:szCs w:val="24"/>
        </w:rPr>
        <w:t>DATA SHARING STATEMENT</w:t>
      </w:r>
    </w:p>
    <w:p w14:paraId="25596FD1" w14:textId="77777777" w:rsidR="002754F5" w:rsidRPr="00827C81" w:rsidRDefault="002754F5" w:rsidP="00897FEB">
      <w:pPr>
        <w:pStyle w:val="NormalWeb"/>
        <w:spacing w:after="165" w:line="480" w:lineRule="auto"/>
        <w:rPr>
          <w:rFonts w:ascii="Times New Roman" w:hAnsi="Times New Roman"/>
          <w:color w:val="000000"/>
        </w:rPr>
      </w:pPr>
      <w:r w:rsidRPr="00827C81">
        <w:rPr>
          <w:rFonts w:ascii="Times New Roman" w:hAnsi="Times New Roman"/>
          <w:color w:val="000000" w:themeColor="text1"/>
        </w:rPr>
        <w:t>All data requests should be submitted to the corresponding author for consideration and would be subject to review by a subgroup of the trial team, which will include the data guarantor, Professor Amanda J. Farrin. Access to anonymised data may be granted following this review. All data-sharing activities would require a data-sharing agreement.</w:t>
      </w:r>
    </w:p>
    <w:p w14:paraId="73237D90" w14:textId="77777777" w:rsidR="002754F5" w:rsidRPr="007C2016" w:rsidRDefault="002754F5" w:rsidP="00C206A1">
      <w:pPr>
        <w:pStyle w:val="EndNoteBibliographyTitle"/>
        <w:spacing w:line="480" w:lineRule="auto"/>
        <w:jc w:val="left"/>
        <w:rPr>
          <w:lang w:val="en-GB"/>
        </w:rPr>
      </w:pPr>
    </w:p>
    <w:p w14:paraId="3394F8F2" w14:textId="77777777" w:rsidR="002754F5" w:rsidRDefault="002754F5">
      <w:pPr>
        <w:rPr>
          <w:rFonts w:ascii="Times New Roman" w:hAnsi="Times New Roman" w:cs="Times New Roman"/>
          <w:noProof/>
          <w:sz w:val="24"/>
          <w:lang w:val="en-US"/>
        </w:rPr>
      </w:pPr>
      <w:r>
        <w:br w:type="page"/>
      </w:r>
    </w:p>
    <w:p w14:paraId="751F2AA9" w14:textId="77777777" w:rsidR="002754F5" w:rsidRPr="00B5748C" w:rsidRDefault="002754F5" w:rsidP="00E66ACB">
      <w:pPr>
        <w:pStyle w:val="EndNoteBibliographyTitle"/>
        <w:jc w:val="left"/>
        <w:rPr>
          <w:b/>
        </w:rPr>
      </w:pPr>
      <w:r w:rsidRPr="00B5748C">
        <w:rPr>
          <w:b/>
        </w:rPr>
        <w:lastRenderedPageBreak/>
        <w:t>REFERENCES</w:t>
      </w:r>
    </w:p>
    <w:p w14:paraId="47B491ED" w14:textId="77777777" w:rsidR="002754F5" w:rsidRPr="00B5748C" w:rsidRDefault="002754F5" w:rsidP="00B5748C">
      <w:pPr>
        <w:pStyle w:val="EndNoteBibliographyTitle"/>
        <w:rPr>
          <w:b/>
        </w:rPr>
      </w:pPr>
    </w:p>
    <w:p w14:paraId="754F06BD" w14:textId="77777777" w:rsidR="002754F5" w:rsidRPr="00B5748C" w:rsidRDefault="002754F5" w:rsidP="00B5748C">
      <w:pPr>
        <w:pStyle w:val="EndNoteBibliographyTitle"/>
        <w:rPr>
          <w:b/>
        </w:rPr>
      </w:pPr>
    </w:p>
    <w:p w14:paraId="73C27219" w14:textId="77777777" w:rsidR="002754F5" w:rsidRPr="00B5748C" w:rsidRDefault="002754F5" w:rsidP="00B5748C">
      <w:pPr>
        <w:pStyle w:val="EndNoteBibliography"/>
        <w:spacing w:after="480"/>
      </w:pPr>
      <w:r w:rsidRPr="00B5748C">
        <w:t>1.</w:t>
      </w:r>
      <w:r w:rsidRPr="00B5748C">
        <w:tab/>
        <w:t xml:space="preserve">Ford AC, Sperber AD, Corsetti M, Camilleri M. Irritable bowel syndrome. </w:t>
      </w:r>
      <w:r w:rsidRPr="00B5748C">
        <w:rPr>
          <w:i/>
        </w:rPr>
        <w:t>Lancet</w:t>
      </w:r>
      <w:r w:rsidRPr="00B5748C">
        <w:t xml:space="preserve"> 2020; </w:t>
      </w:r>
      <w:r w:rsidRPr="00B5748C">
        <w:rPr>
          <w:b/>
        </w:rPr>
        <w:t>396</w:t>
      </w:r>
      <w:r w:rsidRPr="00B5748C">
        <w:t>: 1675-88.</w:t>
      </w:r>
    </w:p>
    <w:p w14:paraId="05A02997" w14:textId="77777777" w:rsidR="002754F5" w:rsidRPr="00B5748C" w:rsidRDefault="002754F5" w:rsidP="00B5748C">
      <w:pPr>
        <w:pStyle w:val="EndNoteBibliography"/>
        <w:spacing w:after="480"/>
      </w:pPr>
      <w:r w:rsidRPr="00B5748C">
        <w:t>2.</w:t>
      </w:r>
      <w:r w:rsidRPr="00B5748C">
        <w:tab/>
        <w:t xml:space="preserve">Ford AC, Forman D, Bailey AG, Axon ATR, Moayyedi P. Irritable bowel syndrome: A 10-year natural history of symptoms, and factors that influence consultation behavior. </w:t>
      </w:r>
      <w:r w:rsidRPr="00B5748C">
        <w:rPr>
          <w:i/>
        </w:rPr>
        <w:t>Am J Gastroenterol</w:t>
      </w:r>
      <w:r w:rsidRPr="00B5748C">
        <w:t xml:space="preserve"> 2008; </w:t>
      </w:r>
      <w:r w:rsidRPr="00B5748C">
        <w:rPr>
          <w:b/>
        </w:rPr>
        <w:t>103</w:t>
      </w:r>
      <w:r w:rsidRPr="00B5748C">
        <w:t>: 1229-39.</w:t>
      </w:r>
    </w:p>
    <w:p w14:paraId="6C6826BF" w14:textId="77777777" w:rsidR="002754F5" w:rsidRPr="00B5748C" w:rsidRDefault="002754F5" w:rsidP="00B5748C">
      <w:pPr>
        <w:pStyle w:val="EndNoteBibliography"/>
        <w:spacing w:after="480"/>
      </w:pPr>
      <w:r w:rsidRPr="00B5748C">
        <w:t>3.</w:t>
      </w:r>
      <w:r w:rsidRPr="00B5748C">
        <w:tab/>
        <w:t xml:space="preserve">Barberio B, Houghton LA, Yiannakou Y, Savarino EV, Black CJ, Ford AC. Symptom Stability in Rome IV vs Rome III Irritable Bowel Syndrome. </w:t>
      </w:r>
      <w:r w:rsidRPr="00B5748C">
        <w:rPr>
          <w:i/>
        </w:rPr>
        <w:t>Am J Gastroenterol</w:t>
      </w:r>
      <w:r w:rsidRPr="00B5748C">
        <w:t xml:space="preserve"> 2021; </w:t>
      </w:r>
      <w:r w:rsidRPr="00B5748C">
        <w:rPr>
          <w:b/>
        </w:rPr>
        <w:t>116</w:t>
      </w:r>
      <w:r w:rsidRPr="00B5748C">
        <w:t>: 362-71.</w:t>
      </w:r>
    </w:p>
    <w:p w14:paraId="72A3639F" w14:textId="77777777" w:rsidR="002754F5" w:rsidRPr="00B5748C" w:rsidRDefault="002754F5" w:rsidP="00B5748C">
      <w:pPr>
        <w:pStyle w:val="EndNoteBibliography"/>
        <w:spacing w:after="480"/>
      </w:pPr>
      <w:r w:rsidRPr="00B5748C">
        <w:t>4.</w:t>
      </w:r>
      <w:r w:rsidRPr="00B5748C">
        <w:tab/>
        <w:t xml:space="preserve">Oka P, Parr H, Barberio B, Black CJ, Savarino EV, Ford AC. Global prevalence of irritable bowel syndrome according to Rome III or IV criteria: A systematic review and meta-analysis. </w:t>
      </w:r>
      <w:r w:rsidRPr="00B5748C">
        <w:rPr>
          <w:i/>
        </w:rPr>
        <w:t>The lancet Gastroenterology &amp; hepatology</w:t>
      </w:r>
      <w:r w:rsidRPr="00B5748C">
        <w:t xml:space="preserve"> 2020; </w:t>
      </w:r>
      <w:r w:rsidRPr="00B5748C">
        <w:rPr>
          <w:b/>
        </w:rPr>
        <w:t>5</w:t>
      </w:r>
      <w:r w:rsidRPr="00B5748C">
        <w:t>: 908-17.</w:t>
      </w:r>
    </w:p>
    <w:p w14:paraId="0131BCE2" w14:textId="77777777" w:rsidR="002754F5" w:rsidRPr="00B5748C" w:rsidRDefault="002754F5" w:rsidP="00B5748C">
      <w:pPr>
        <w:pStyle w:val="EndNoteBibliography"/>
        <w:spacing w:after="480"/>
      </w:pPr>
      <w:r w:rsidRPr="00B5748C">
        <w:t>5.</w:t>
      </w:r>
      <w:r w:rsidRPr="00B5748C">
        <w:tab/>
        <w:t xml:space="preserve">Holtmann GJ, Ford AC, Talley NJ. Pathophysiology of irritable bowel syndrome. </w:t>
      </w:r>
      <w:r w:rsidRPr="00B5748C">
        <w:rPr>
          <w:i/>
        </w:rPr>
        <w:t>The lancet Gastroenterology &amp; hepatology</w:t>
      </w:r>
      <w:r w:rsidRPr="00B5748C">
        <w:t xml:space="preserve"> 2016; </w:t>
      </w:r>
      <w:r w:rsidRPr="00B5748C">
        <w:rPr>
          <w:b/>
        </w:rPr>
        <w:t>1</w:t>
      </w:r>
      <w:r w:rsidRPr="00B5748C">
        <w:t>: 133-46.</w:t>
      </w:r>
    </w:p>
    <w:p w14:paraId="6C27CFCA" w14:textId="77777777" w:rsidR="002754F5" w:rsidRPr="00B5748C" w:rsidRDefault="002754F5" w:rsidP="00B5748C">
      <w:pPr>
        <w:pStyle w:val="EndNoteBibliography"/>
        <w:spacing w:after="480"/>
      </w:pPr>
      <w:r w:rsidRPr="00B5748C">
        <w:t>6.</w:t>
      </w:r>
      <w:r w:rsidRPr="00B5748C">
        <w:tab/>
        <w:t xml:space="preserve">Vasant DH, Paine PA, Black CJ, et al. British Society of Gastroenterology guidelines on the management of irritable bowel syndrome. </w:t>
      </w:r>
      <w:r w:rsidRPr="00B5748C">
        <w:rPr>
          <w:i/>
        </w:rPr>
        <w:t>Gut</w:t>
      </w:r>
      <w:r w:rsidRPr="00B5748C">
        <w:t xml:space="preserve"> 2021; </w:t>
      </w:r>
      <w:r w:rsidRPr="00B5748C">
        <w:rPr>
          <w:b/>
        </w:rPr>
        <w:t>70</w:t>
      </w:r>
      <w:r w:rsidRPr="00B5748C">
        <w:t>: 1214-40.</w:t>
      </w:r>
    </w:p>
    <w:p w14:paraId="4E5B603C" w14:textId="77777777" w:rsidR="002754F5" w:rsidRPr="00B5748C" w:rsidRDefault="002754F5" w:rsidP="00B5748C">
      <w:pPr>
        <w:pStyle w:val="EndNoteBibliography"/>
        <w:spacing w:after="480"/>
      </w:pPr>
      <w:r w:rsidRPr="00B5748C">
        <w:t>7.</w:t>
      </w:r>
      <w:r w:rsidRPr="00B5748C">
        <w:tab/>
        <w:t xml:space="preserve">Pace F, Molteni P, Bollani S, et al. Inflammatory bowel disease versus irritable bowel syndrome: A hospital-based, case-control study of disease impact on quality of life. </w:t>
      </w:r>
      <w:r w:rsidRPr="00B5748C">
        <w:rPr>
          <w:i/>
        </w:rPr>
        <w:t>Scand J Gastroenterol</w:t>
      </w:r>
      <w:r w:rsidRPr="00B5748C">
        <w:t xml:space="preserve"> 2003; </w:t>
      </w:r>
      <w:r w:rsidRPr="00B5748C">
        <w:rPr>
          <w:b/>
        </w:rPr>
        <w:t>38</w:t>
      </w:r>
      <w:r w:rsidRPr="00B5748C">
        <w:t>: 1031-8.</w:t>
      </w:r>
    </w:p>
    <w:p w14:paraId="2287B9BC" w14:textId="77777777" w:rsidR="002754F5" w:rsidRPr="00B5748C" w:rsidRDefault="002754F5" w:rsidP="00B5748C">
      <w:pPr>
        <w:pStyle w:val="EndNoteBibliography"/>
        <w:spacing w:after="480"/>
      </w:pPr>
      <w:r w:rsidRPr="00B5748C">
        <w:lastRenderedPageBreak/>
        <w:t>8.</w:t>
      </w:r>
      <w:r w:rsidRPr="00B5748C">
        <w:tab/>
        <w:t xml:space="preserve">Goodoory VC, Guthrie EA, Ng CE, Black CJ, Ford AC. Factors associated with lower disease-specific and generic health-related quality of life in Rome IV irritable bowel syndrome. </w:t>
      </w:r>
      <w:r w:rsidRPr="00B5748C">
        <w:rPr>
          <w:i/>
        </w:rPr>
        <w:t>Aliment Pharmacol Ther</w:t>
      </w:r>
      <w:r w:rsidRPr="00B5748C">
        <w:t xml:space="preserve"> 2023; </w:t>
      </w:r>
      <w:r w:rsidRPr="00B5748C">
        <w:rPr>
          <w:b/>
        </w:rPr>
        <w:t>57</w:t>
      </w:r>
      <w:r w:rsidRPr="00B5748C">
        <w:t>: 323-34.</w:t>
      </w:r>
    </w:p>
    <w:p w14:paraId="4BED3644" w14:textId="77777777" w:rsidR="002754F5" w:rsidRPr="00B5748C" w:rsidRDefault="002754F5" w:rsidP="00B5748C">
      <w:pPr>
        <w:pStyle w:val="EndNoteBibliography"/>
        <w:spacing w:after="480"/>
      </w:pPr>
      <w:r w:rsidRPr="00B5748C">
        <w:t>9.</w:t>
      </w:r>
      <w:r w:rsidRPr="00B5748C">
        <w:tab/>
        <w:t xml:space="preserve">Ballou S, McMahon C, Lee HN, et al. Effects of irritable bowel syndrome on daily activities vary among subtypes based on results from the IBS in America survey. </w:t>
      </w:r>
      <w:r w:rsidRPr="00B5748C">
        <w:rPr>
          <w:i/>
        </w:rPr>
        <w:t>Clin Gastroenterol Hepatol</w:t>
      </w:r>
      <w:r w:rsidRPr="00B5748C">
        <w:t xml:space="preserve"> 2019; </w:t>
      </w:r>
      <w:r w:rsidRPr="00B5748C">
        <w:rPr>
          <w:b/>
        </w:rPr>
        <w:t>17</w:t>
      </w:r>
      <w:r w:rsidRPr="00B5748C">
        <w:t>: 2471-8.e3.</w:t>
      </w:r>
    </w:p>
    <w:p w14:paraId="6647A7CA" w14:textId="77777777" w:rsidR="002754F5" w:rsidRPr="00B5748C" w:rsidRDefault="002754F5" w:rsidP="00B5748C">
      <w:pPr>
        <w:pStyle w:val="EndNoteBibliography"/>
        <w:spacing w:after="480"/>
      </w:pPr>
      <w:r w:rsidRPr="00B5748C">
        <w:t>10.</w:t>
      </w:r>
      <w:r w:rsidRPr="00B5748C">
        <w:tab/>
        <w:t xml:space="preserve">Goodoory VC, Ng CE, Black CJ, Ford AC. Impact of Rome IV irritable bowel syndrome on work and activities of daily living. </w:t>
      </w:r>
      <w:r w:rsidRPr="00B5748C">
        <w:rPr>
          <w:i/>
        </w:rPr>
        <w:t>Aliment Pharmacol Ther</w:t>
      </w:r>
      <w:r w:rsidRPr="00B5748C">
        <w:t xml:space="preserve"> 2022; </w:t>
      </w:r>
      <w:r w:rsidRPr="00B5748C">
        <w:rPr>
          <w:b/>
        </w:rPr>
        <w:t>56</w:t>
      </w:r>
      <w:r w:rsidRPr="00B5748C">
        <w:t>: 844-56.</w:t>
      </w:r>
    </w:p>
    <w:p w14:paraId="65FCEF76" w14:textId="77777777" w:rsidR="002754F5" w:rsidRPr="00B5748C" w:rsidRDefault="002754F5" w:rsidP="00B5748C">
      <w:pPr>
        <w:pStyle w:val="EndNoteBibliography"/>
        <w:spacing w:after="480"/>
      </w:pPr>
      <w:r w:rsidRPr="00B5748C">
        <w:t>11.</w:t>
      </w:r>
      <w:r w:rsidRPr="00B5748C">
        <w:tab/>
        <w:t xml:space="preserve">Goodoory VC, Ng CE, Black CJ, Ford AC. Direct healthcare costs of Rome IV or Rome III-defined irritable bowel syndrome in the United Kingdom. </w:t>
      </w:r>
      <w:r w:rsidRPr="00B5748C">
        <w:rPr>
          <w:i/>
        </w:rPr>
        <w:t>Aliment Pharmacol Ther</w:t>
      </w:r>
      <w:r w:rsidRPr="00B5748C">
        <w:t xml:space="preserve"> 2022; </w:t>
      </w:r>
      <w:r w:rsidRPr="00B5748C">
        <w:rPr>
          <w:b/>
        </w:rPr>
        <w:t>56</w:t>
      </w:r>
      <w:r w:rsidRPr="00B5748C">
        <w:t>: 110-20.</w:t>
      </w:r>
    </w:p>
    <w:p w14:paraId="337B5E1B" w14:textId="77777777" w:rsidR="002754F5" w:rsidRPr="00B5748C" w:rsidRDefault="002754F5" w:rsidP="00B5748C">
      <w:pPr>
        <w:pStyle w:val="EndNoteBibliography"/>
        <w:spacing w:after="480"/>
      </w:pPr>
      <w:r w:rsidRPr="00B5748C">
        <w:t>12.</w:t>
      </w:r>
      <w:r w:rsidRPr="00B5748C">
        <w:tab/>
        <w:t xml:space="preserve">Zhang F, Xiang W, Li CY, Li SC. Economic burden of irritable bowel syndrome in China. </w:t>
      </w:r>
      <w:r w:rsidRPr="00B5748C">
        <w:rPr>
          <w:i/>
        </w:rPr>
        <w:t>World J Gastroenterol</w:t>
      </w:r>
      <w:r w:rsidRPr="00B5748C">
        <w:t xml:space="preserve"> 2016; </w:t>
      </w:r>
      <w:r w:rsidRPr="00B5748C">
        <w:rPr>
          <w:b/>
        </w:rPr>
        <w:t>22</w:t>
      </w:r>
      <w:r w:rsidRPr="00B5748C">
        <w:t>: 10450-60.</w:t>
      </w:r>
    </w:p>
    <w:p w14:paraId="1ED5FC4A" w14:textId="77777777" w:rsidR="002754F5" w:rsidRPr="00B5748C" w:rsidRDefault="002754F5" w:rsidP="00B5748C">
      <w:pPr>
        <w:pStyle w:val="EndNoteBibliography"/>
        <w:spacing w:after="480"/>
      </w:pPr>
      <w:r w:rsidRPr="00B5748C">
        <w:t>13.</w:t>
      </w:r>
      <w:r w:rsidRPr="00B5748C">
        <w:tab/>
        <w:t xml:space="preserve">Peery AF, Crockett SD, Murphy CC, et al. Burden and cost of gastrointestinal, liver, and pancreatic diseases in the United States: Update 2018. </w:t>
      </w:r>
      <w:r w:rsidRPr="00B5748C">
        <w:rPr>
          <w:i/>
        </w:rPr>
        <w:t>Gastroenterology</w:t>
      </w:r>
      <w:r w:rsidRPr="00B5748C">
        <w:t xml:space="preserve"> 2019; </w:t>
      </w:r>
      <w:r w:rsidRPr="00B5748C">
        <w:rPr>
          <w:b/>
        </w:rPr>
        <w:t>156</w:t>
      </w:r>
      <w:r w:rsidRPr="00B5748C">
        <w:t>: 254-72.e11.</w:t>
      </w:r>
    </w:p>
    <w:p w14:paraId="123C6B7E" w14:textId="77777777" w:rsidR="002754F5" w:rsidRPr="00B5748C" w:rsidRDefault="002754F5" w:rsidP="00B5748C">
      <w:pPr>
        <w:pStyle w:val="EndNoteBibliography"/>
        <w:spacing w:after="480"/>
      </w:pPr>
      <w:r w:rsidRPr="00B5748C">
        <w:t>14.</w:t>
      </w:r>
      <w:r w:rsidRPr="00B5748C">
        <w:tab/>
        <w:t xml:space="preserve">Thompson WG, Heaton KW, Smyth GT, Smyth C. Irritable bowel syndrome: The view from general practice. </w:t>
      </w:r>
      <w:r w:rsidRPr="00B5748C">
        <w:rPr>
          <w:i/>
        </w:rPr>
        <w:t>Eur J Gastroenterol Hepatol</w:t>
      </w:r>
      <w:r w:rsidRPr="00B5748C">
        <w:t xml:space="preserve"> 1997; </w:t>
      </w:r>
      <w:r w:rsidRPr="00B5748C">
        <w:rPr>
          <w:b/>
        </w:rPr>
        <w:t>9</w:t>
      </w:r>
      <w:r w:rsidRPr="00B5748C">
        <w:t>: 689-92.</w:t>
      </w:r>
    </w:p>
    <w:p w14:paraId="32F474A0" w14:textId="77777777" w:rsidR="002754F5" w:rsidRPr="00B5748C" w:rsidRDefault="002754F5" w:rsidP="00B5748C">
      <w:pPr>
        <w:pStyle w:val="EndNoteBibliography"/>
        <w:spacing w:after="480"/>
      </w:pPr>
      <w:r w:rsidRPr="00B5748C">
        <w:lastRenderedPageBreak/>
        <w:t>15.</w:t>
      </w:r>
      <w:r w:rsidRPr="00B5748C">
        <w:tab/>
        <w:t xml:space="preserve">Hookway C, Buckner S, Crosland P, Longson D. Irritable bowel syndrome in adults in primary care: Summary of updated NICE guidance. </w:t>
      </w:r>
      <w:r w:rsidRPr="00B5748C">
        <w:rPr>
          <w:i/>
        </w:rPr>
        <w:t>BMJ</w:t>
      </w:r>
      <w:r w:rsidRPr="00B5748C">
        <w:t xml:space="preserve"> 2015; </w:t>
      </w:r>
      <w:r w:rsidRPr="00B5748C">
        <w:rPr>
          <w:b/>
        </w:rPr>
        <w:t>350</w:t>
      </w:r>
      <w:r w:rsidRPr="00B5748C">
        <w:t>: h701.</w:t>
      </w:r>
    </w:p>
    <w:p w14:paraId="672AEC46" w14:textId="77777777" w:rsidR="002754F5" w:rsidRPr="00B5748C" w:rsidRDefault="002754F5" w:rsidP="00B5748C">
      <w:pPr>
        <w:pStyle w:val="EndNoteBibliography"/>
        <w:spacing w:after="480"/>
      </w:pPr>
      <w:r w:rsidRPr="00B5748C">
        <w:t>16.</w:t>
      </w:r>
      <w:r w:rsidRPr="00B5748C">
        <w:tab/>
        <w:t xml:space="preserve">Black CJ, Yuan Y, Selinger CP, et al. Efficacy of soluble fibre, antispasmodic drugs, and gut-brain neuromodulators in irritable bowel syndrome: A systematic review and network meta-analysis. </w:t>
      </w:r>
      <w:r w:rsidRPr="00B5748C">
        <w:rPr>
          <w:i/>
        </w:rPr>
        <w:t>The lancet Gastroenterology &amp; hepatology</w:t>
      </w:r>
      <w:r w:rsidRPr="00B5748C">
        <w:t xml:space="preserve"> 2020; </w:t>
      </w:r>
      <w:r w:rsidRPr="00B5748C">
        <w:rPr>
          <w:b/>
        </w:rPr>
        <w:t>5</w:t>
      </w:r>
      <w:r w:rsidRPr="00B5748C">
        <w:t>: 117-31.</w:t>
      </w:r>
    </w:p>
    <w:p w14:paraId="74B72493" w14:textId="77777777" w:rsidR="002754F5" w:rsidRPr="00B5748C" w:rsidRDefault="002754F5" w:rsidP="00B5748C">
      <w:pPr>
        <w:pStyle w:val="EndNoteBibliography"/>
        <w:spacing w:after="480"/>
      </w:pPr>
      <w:r w:rsidRPr="00B5748C">
        <w:t>17.</w:t>
      </w:r>
      <w:r w:rsidRPr="00B5748C">
        <w:tab/>
        <w:t xml:space="preserve">Black CJ, Staudacher HM, Ford AC. Efficacy of a low FODMAP diet in irritable bowel syndrome: systematic review and network meta-analysis. </w:t>
      </w:r>
      <w:r w:rsidRPr="00B5748C">
        <w:rPr>
          <w:i/>
        </w:rPr>
        <w:t>Gut</w:t>
      </w:r>
      <w:r w:rsidRPr="00B5748C">
        <w:t xml:space="preserve"> 2022; </w:t>
      </w:r>
      <w:r w:rsidRPr="00B5748C">
        <w:rPr>
          <w:b/>
        </w:rPr>
        <w:t>71</w:t>
      </w:r>
      <w:r w:rsidRPr="00B5748C">
        <w:t>: 1117-26.</w:t>
      </w:r>
    </w:p>
    <w:p w14:paraId="310311DD" w14:textId="77777777" w:rsidR="002754F5" w:rsidRPr="00B5748C" w:rsidRDefault="002754F5" w:rsidP="00B5748C">
      <w:pPr>
        <w:pStyle w:val="EndNoteBibliography"/>
        <w:spacing w:after="480"/>
      </w:pPr>
      <w:r w:rsidRPr="00B5748C">
        <w:t>18.</w:t>
      </w:r>
      <w:r w:rsidRPr="00B5748C">
        <w:tab/>
        <w:t xml:space="preserve">Shivaji UN, Ford AC. Beliefs about management of irritable bowel syndrome in primary care: Cross-sectional survey in one locality. </w:t>
      </w:r>
      <w:r w:rsidRPr="00B5748C">
        <w:rPr>
          <w:i/>
        </w:rPr>
        <w:t>Prim Health Care Res Dev</w:t>
      </w:r>
      <w:r w:rsidRPr="00B5748C">
        <w:t xml:space="preserve"> 2014; </w:t>
      </w:r>
      <w:r w:rsidRPr="00B5748C">
        <w:rPr>
          <w:b/>
        </w:rPr>
        <w:t>16</w:t>
      </w:r>
      <w:r w:rsidRPr="00B5748C">
        <w:t>: 263-9.</w:t>
      </w:r>
    </w:p>
    <w:p w14:paraId="5DD12BDE" w14:textId="77777777" w:rsidR="002754F5" w:rsidRPr="00D42F46" w:rsidRDefault="002754F5" w:rsidP="00B5748C">
      <w:pPr>
        <w:pStyle w:val="EndNoteBibliography"/>
        <w:spacing w:after="480"/>
        <w:rPr>
          <w:lang w:val="nl-NL"/>
        </w:rPr>
      </w:pPr>
      <w:r w:rsidRPr="00B5748C">
        <w:t>19.</w:t>
      </w:r>
      <w:r w:rsidRPr="00B5748C">
        <w:tab/>
        <w:t xml:space="preserve">Everitt H, McDermott L, Leydon G, Yules H, Baldwin D, Little P. GPs' management strategies for patients with insomnia: a survey and qualitative interview study. </w:t>
      </w:r>
      <w:r w:rsidRPr="00D42F46">
        <w:rPr>
          <w:i/>
          <w:lang w:val="nl-NL"/>
        </w:rPr>
        <w:t>Br J Gen Pract</w:t>
      </w:r>
      <w:r w:rsidRPr="00D42F46">
        <w:rPr>
          <w:lang w:val="nl-NL"/>
        </w:rPr>
        <w:t xml:space="preserve"> 2014; </w:t>
      </w:r>
      <w:r w:rsidRPr="00D42F46">
        <w:rPr>
          <w:b/>
          <w:lang w:val="nl-NL"/>
        </w:rPr>
        <w:t>64</w:t>
      </w:r>
      <w:r w:rsidRPr="00D42F46">
        <w:rPr>
          <w:lang w:val="nl-NL"/>
        </w:rPr>
        <w:t>(619).</w:t>
      </w:r>
    </w:p>
    <w:p w14:paraId="3C8CC2A8" w14:textId="77777777" w:rsidR="002754F5" w:rsidRPr="00B5748C" w:rsidRDefault="002754F5" w:rsidP="00B5748C">
      <w:pPr>
        <w:pStyle w:val="EndNoteBibliography"/>
        <w:spacing w:after="480"/>
      </w:pPr>
      <w:r w:rsidRPr="00D42F46">
        <w:rPr>
          <w:lang w:val="nl-NL"/>
        </w:rPr>
        <w:t>20.</w:t>
      </w:r>
      <w:r w:rsidRPr="00D42F46">
        <w:rPr>
          <w:lang w:val="nl-NL"/>
        </w:rPr>
        <w:tab/>
        <w:t xml:space="preserve">Ruepert L, Quartero AO, de Wit NJ, van der Heijden GJ, Rubin G, Muris JW. </w:t>
      </w:r>
      <w:r w:rsidRPr="00B5748C">
        <w:t xml:space="preserve">Bulking agents, antispasmodics and antidepressants for the treatment of irritable bowel syndrome. </w:t>
      </w:r>
      <w:r w:rsidRPr="00B5748C">
        <w:rPr>
          <w:i/>
        </w:rPr>
        <w:t>Cochrane Database Syst Rev</w:t>
      </w:r>
      <w:r w:rsidRPr="00B5748C">
        <w:t xml:space="preserve"> 2011; </w:t>
      </w:r>
      <w:r w:rsidRPr="00B5748C">
        <w:rPr>
          <w:b/>
        </w:rPr>
        <w:t>Aug 10;(8):CD003460</w:t>
      </w:r>
      <w:r w:rsidRPr="00B5748C">
        <w:t>.</w:t>
      </w:r>
    </w:p>
    <w:p w14:paraId="7F148D28" w14:textId="77777777" w:rsidR="002754F5" w:rsidRPr="00B5748C" w:rsidRDefault="002754F5" w:rsidP="00B5748C">
      <w:pPr>
        <w:pStyle w:val="EndNoteBibliography"/>
        <w:spacing w:after="480"/>
      </w:pPr>
      <w:r w:rsidRPr="00B5748C">
        <w:t>21.</w:t>
      </w:r>
      <w:r w:rsidRPr="00B5748C">
        <w:tab/>
        <w:t xml:space="preserve">Ford AC, Lacy BE, Harris LA, Quigley EM, Moayyedi P. Effect of antidepressants and psychological therapies in irritable bowel syndrome: An updated systematic review and meta-analysis. </w:t>
      </w:r>
      <w:r w:rsidRPr="00B5748C">
        <w:rPr>
          <w:i/>
        </w:rPr>
        <w:t>Am J Gastroenterol</w:t>
      </w:r>
      <w:r w:rsidRPr="00B5748C">
        <w:t xml:space="preserve"> 2019; </w:t>
      </w:r>
      <w:r w:rsidRPr="00B5748C">
        <w:rPr>
          <w:b/>
        </w:rPr>
        <w:t>114</w:t>
      </w:r>
      <w:r w:rsidRPr="00B5748C">
        <w:t>: 21-39.</w:t>
      </w:r>
    </w:p>
    <w:p w14:paraId="52782779" w14:textId="77777777" w:rsidR="002754F5" w:rsidRPr="00B5748C" w:rsidRDefault="002754F5" w:rsidP="00B5748C">
      <w:pPr>
        <w:pStyle w:val="EndNoteBibliography"/>
        <w:spacing w:after="480"/>
      </w:pPr>
      <w:r w:rsidRPr="00B5748C">
        <w:lastRenderedPageBreak/>
        <w:t>22.</w:t>
      </w:r>
      <w:r w:rsidRPr="00B5748C">
        <w:tab/>
        <w:t xml:space="preserve">Sindrup SH, Otto M, Finnerup NB, Jensen TS. Antidepressants in the treatment of neuropathic pain. </w:t>
      </w:r>
      <w:r w:rsidRPr="00B5748C">
        <w:rPr>
          <w:i/>
        </w:rPr>
        <w:t>Basic &amp; clinical pharmacology &amp; toxicology</w:t>
      </w:r>
      <w:r w:rsidRPr="00B5748C">
        <w:t xml:space="preserve"> 2005; </w:t>
      </w:r>
      <w:r w:rsidRPr="00B5748C">
        <w:rPr>
          <w:b/>
        </w:rPr>
        <w:t>96</w:t>
      </w:r>
      <w:r w:rsidRPr="00B5748C">
        <w:t>: 399-409.</w:t>
      </w:r>
    </w:p>
    <w:p w14:paraId="668F352E" w14:textId="77777777" w:rsidR="002754F5" w:rsidRPr="00B5748C" w:rsidRDefault="002754F5" w:rsidP="00B5748C">
      <w:pPr>
        <w:pStyle w:val="EndNoteBibliography"/>
        <w:spacing w:after="480"/>
      </w:pPr>
      <w:r w:rsidRPr="00B5748C">
        <w:t>23.</w:t>
      </w:r>
      <w:r w:rsidRPr="00B5748C">
        <w:tab/>
        <w:t xml:space="preserve">Saarto T, Wiffen PJ. Antidepressants for neuropathic pain. </w:t>
      </w:r>
      <w:r w:rsidRPr="00B5748C">
        <w:rPr>
          <w:i/>
        </w:rPr>
        <w:t>Cochrane Database Syst Rev</w:t>
      </w:r>
      <w:r w:rsidRPr="00B5748C">
        <w:t xml:space="preserve"> 2007: Oct 17;(4):CD005454.</w:t>
      </w:r>
    </w:p>
    <w:p w14:paraId="1EF818F4" w14:textId="77777777" w:rsidR="002754F5" w:rsidRPr="00B5748C" w:rsidRDefault="002754F5" w:rsidP="00B5748C">
      <w:pPr>
        <w:pStyle w:val="EndNoteBibliography"/>
        <w:spacing w:after="480"/>
      </w:pPr>
      <w:r w:rsidRPr="00B5748C">
        <w:t>24.</w:t>
      </w:r>
      <w:r w:rsidRPr="00B5748C">
        <w:tab/>
        <w:t xml:space="preserve">Wong J, Motulsky A, Abrahamowicz M, Eguale T, Buckeridge DL, Tamblyn R. Off-label indications for antidepressants in primary care: Descriptive study of prescriptions from an indication based electronic prescribing system. </w:t>
      </w:r>
      <w:r w:rsidRPr="00B5748C">
        <w:rPr>
          <w:i/>
        </w:rPr>
        <w:t>BMJ</w:t>
      </w:r>
      <w:r w:rsidRPr="00B5748C">
        <w:t xml:space="preserve"> 2017; </w:t>
      </w:r>
      <w:r w:rsidRPr="00B5748C">
        <w:rPr>
          <w:b/>
        </w:rPr>
        <w:t>356</w:t>
      </w:r>
      <w:r w:rsidRPr="00B5748C">
        <w:t>: j603.</w:t>
      </w:r>
    </w:p>
    <w:p w14:paraId="2EE20A0E" w14:textId="77777777" w:rsidR="002754F5" w:rsidRPr="00B5748C" w:rsidRDefault="002754F5" w:rsidP="00B5748C">
      <w:pPr>
        <w:pStyle w:val="EndNoteBibliography"/>
        <w:spacing w:after="480"/>
      </w:pPr>
      <w:r w:rsidRPr="00B5748C">
        <w:t>25.</w:t>
      </w:r>
      <w:r w:rsidRPr="00B5748C">
        <w:tab/>
        <w:t xml:space="preserve">Gorard DA, Libby GW, Farthing MJ. Influence of antidepressants on whole gut orocaecal transit times in health and irritable bowel syndrome. </w:t>
      </w:r>
      <w:r w:rsidRPr="00B5748C">
        <w:rPr>
          <w:i/>
        </w:rPr>
        <w:t>Aliment Pharmacol Ther</w:t>
      </w:r>
      <w:r w:rsidRPr="00B5748C">
        <w:t xml:space="preserve"> 1994; </w:t>
      </w:r>
      <w:r w:rsidRPr="00B5748C">
        <w:rPr>
          <w:b/>
        </w:rPr>
        <w:t>8</w:t>
      </w:r>
      <w:r w:rsidRPr="00B5748C">
        <w:t>: 159-66.</w:t>
      </w:r>
    </w:p>
    <w:p w14:paraId="30A88484" w14:textId="77777777" w:rsidR="002754F5" w:rsidRPr="00B5748C" w:rsidRDefault="002754F5" w:rsidP="00B5748C">
      <w:pPr>
        <w:pStyle w:val="EndNoteBibliography"/>
        <w:spacing w:after="480"/>
      </w:pPr>
      <w:r w:rsidRPr="00B5748C">
        <w:t>26.</w:t>
      </w:r>
      <w:r w:rsidRPr="00B5748C">
        <w:tab/>
        <w:t xml:space="preserve">Gorard DA, Libby GW, Farthing MJ. Effect of a tricyclic antidepressant on small intestinal motility in health and diarrhea-predominant irritable bowel syndrome. </w:t>
      </w:r>
      <w:r w:rsidRPr="00B5748C">
        <w:rPr>
          <w:i/>
        </w:rPr>
        <w:t>Dig Dis Sci</w:t>
      </w:r>
      <w:r w:rsidRPr="00B5748C">
        <w:t xml:space="preserve"> 1995; </w:t>
      </w:r>
      <w:r w:rsidRPr="00B5748C">
        <w:rPr>
          <w:b/>
        </w:rPr>
        <w:t>40</w:t>
      </w:r>
      <w:r w:rsidRPr="00B5748C">
        <w:t>: 86-95.</w:t>
      </w:r>
    </w:p>
    <w:p w14:paraId="4BF09617" w14:textId="77777777" w:rsidR="002754F5" w:rsidRPr="00B5748C" w:rsidRDefault="002754F5" w:rsidP="00B5748C">
      <w:pPr>
        <w:pStyle w:val="EndNoteBibliography"/>
        <w:spacing w:after="480"/>
      </w:pPr>
      <w:r w:rsidRPr="00B5748C">
        <w:t>27.</w:t>
      </w:r>
      <w:r w:rsidRPr="00B5748C">
        <w:tab/>
        <w:t xml:space="preserve">Nigam P, Kapoor KK, Rastog CK, Kumar A, Gupta AK. Different therapeutic regimens in irritable bowel syndrome. </w:t>
      </w:r>
      <w:r w:rsidRPr="00B5748C">
        <w:rPr>
          <w:i/>
        </w:rPr>
        <w:t>J Assoc Physicians India</w:t>
      </w:r>
      <w:r w:rsidRPr="00B5748C">
        <w:t xml:space="preserve"> 1984; </w:t>
      </w:r>
      <w:r w:rsidRPr="00B5748C">
        <w:rPr>
          <w:b/>
        </w:rPr>
        <w:t>32</w:t>
      </w:r>
      <w:r w:rsidRPr="00B5748C">
        <w:t>: 1041-4.</w:t>
      </w:r>
    </w:p>
    <w:p w14:paraId="67BADDE6" w14:textId="77777777" w:rsidR="002754F5" w:rsidRPr="00B5748C" w:rsidRDefault="002754F5" w:rsidP="00B5748C">
      <w:pPr>
        <w:pStyle w:val="EndNoteBibliography"/>
        <w:spacing w:after="480"/>
      </w:pPr>
      <w:r w:rsidRPr="00D42F46">
        <w:rPr>
          <w:lang w:val="nl-NL"/>
        </w:rPr>
        <w:t>28.</w:t>
      </w:r>
      <w:r w:rsidRPr="00D42F46">
        <w:rPr>
          <w:lang w:val="nl-NL"/>
        </w:rPr>
        <w:tab/>
        <w:t xml:space="preserve">Vahedi H, Merat S, Momtahen S, et al. </w:t>
      </w:r>
      <w:r w:rsidRPr="00B5748C">
        <w:t xml:space="preserve">Clinical trial: The effect of amitriptyline in patients with diarrhea-predominant irritable bowel syndrome. </w:t>
      </w:r>
      <w:r w:rsidRPr="00B5748C">
        <w:rPr>
          <w:i/>
        </w:rPr>
        <w:t>Aliment Pharmacol Ther</w:t>
      </w:r>
      <w:r w:rsidRPr="00B5748C">
        <w:t xml:space="preserve"> 2008; </w:t>
      </w:r>
      <w:r w:rsidRPr="00B5748C">
        <w:rPr>
          <w:b/>
        </w:rPr>
        <w:t>27</w:t>
      </w:r>
      <w:r w:rsidRPr="00B5748C">
        <w:t>: 678-84.</w:t>
      </w:r>
    </w:p>
    <w:p w14:paraId="06DFAFD4" w14:textId="77777777" w:rsidR="002754F5" w:rsidRPr="00B5748C" w:rsidRDefault="002754F5" w:rsidP="00B5748C">
      <w:pPr>
        <w:pStyle w:val="EndNoteBibliography"/>
        <w:spacing w:after="480"/>
      </w:pPr>
      <w:r w:rsidRPr="00B5748C">
        <w:lastRenderedPageBreak/>
        <w:t>29.</w:t>
      </w:r>
      <w:r w:rsidRPr="00B5748C">
        <w:tab/>
        <w:t xml:space="preserve">Kaminski A, Kamper A, Thaler K, Chapman A, Gartlehner G. Antidepressants for the treatment of abdominal pain-related functional gastrointestinal disorders in children and adolescents. </w:t>
      </w:r>
      <w:r w:rsidRPr="00B5748C">
        <w:rPr>
          <w:i/>
        </w:rPr>
        <w:t>Cochrane Database Syst Rev</w:t>
      </w:r>
      <w:r w:rsidRPr="00B5748C">
        <w:t xml:space="preserve"> 2011; </w:t>
      </w:r>
      <w:r w:rsidRPr="00B5748C">
        <w:rPr>
          <w:b/>
        </w:rPr>
        <w:t>6</w:t>
      </w:r>
      <w:r w:rsidRPr="00B5748C">
        <w:t>((7):CD008013).</w:t>
      </w:r>
    </w:p>
    <w:p w14:paraId="4E690160" w14:textId="77777777" w:rsidR="002754F5" w:rsidRPr="00B5748C" w:rsidRDefault="002754F5" w:rsidP="00B5748C">
      <w:pPr>
        <w:pStyle w:val="EndNoteBibliography"/>
        <w:spacing w:after="480"/>
      </w:pPr>
      <w:r w:rsidRPr="00B5748C">
        <w:t>30.</w:t>
      </w:r>
      <w:r w:rsidRPr="00B5748C">
        <w:tab/>
        <w:t xml:space="preserve">Alderson SL, Wright-Hughes A, Ford AC, et al. Amitriptyline at low-dose and titrated for irritable bowel syndrome as second-line treatment (The ATLANTIS trial): Protocol for a randomised double-blind placebo-controlled trial in primary care. </w:t>
      </w:r>
      <w:r w:rsidRPr="00B5748C">
        <w:rPr>
          <w:i/>
        </w:rPr>
        <w:t>Trials</w:t>
      </w:r>
      <w:r w:rsidRPr="00B5748C">
        <w:t xml:space="preserve"> 2022; </w:t>
      </w:r>
      <w:r w:rsidRPr="00B5748C">
        <w:rPr>
          <w:b/>
        </w:rPr>
        <w:t>23</w:t>
      </w:r>
      <w:r w:rsidRPr="00B5748C">
        <w:t>: 552.</w:t>
      </w:r>
    </w:p>
    <w:p w14:paraId="2D66A3E8" w14:textId="77777777" w:rsidR="002754F5" w:rsidRPr="00B5748C" w:rsidRDefault="002754F5" w:rsidP="00B5748C">
      <w:pPr>
        <w:pStyle w:val="EndNoteBibliography"/>
        <w:spacing w:after="480"/>
      </w:pPr>
      <w:r w:rsidRPr="00B5748C">
        <w:t>31.</w:t>
      </w:r>
      <w:r w:rsidRPr="00B5748C">
        <w:tab/>
        <w:t xml:space="preserve">Mearin F, Lacy BE, Chang L, et al. Bowel disorders. </w:t>
      </w:r>
      <w:r w:rsidRPr="00B5748C">
        <w:rPr>
          <w:i/>
        </w:rPr>
        <w:t>Gastroenterology</w:t>
      </w:r>
      <w:r w:rsidRPr="00B5748C">
        <w:t xml:space="preserve"> 2016; </w:t>
      </w:r>
      <w:r w:rsidRPr="00B5748C">
        <w:rPr>
          <w:b/>
        </w:rPr>
        <w:t>150</w:t>
      </w:r>
      <w:r w:rsidRPr="00B5748C">
        <w:t>: 1393-407.</w:t>
      </w:r>
    </w:p>
    <w:p w14:paraId="55AAC190" w14:textId="77777777" w:rsidR="002754F5" w:rsidRPr="00B5748C" w:rsidRDefault="002754F5" w:rsidP="00B5748C">
      <w:pPr>
        <w:pStyle w:val="EndNoteBibliography"/>
        <w:spacing w:after="480"/>
      </w:pPr>
      <w:r w:rsidRPr="00B5748C">
        <w:t>32.</w:t>
      </w:r>
      <w:r w:rsidRPr="00B5748C">
        <w:tab/>
        <w:t xml:space="preserve">Francis CY, Morris J, Whorwell PJ. The irritable bowel severity scoring system: A simple method of monitoring irritable bowel syndrome and its progress. </w:t>
      </w:r>
      <w:r w:rsidRPr="00B5748C">
        <w:rPr>
          <w:i/>
        </w:rPr>
        <w:t>Aliment Pharmacol Ther</w:t>
      </w:r>
      <w:r w:rsidRPr="00B5748C">
        <w:t xml:space="preserve"> 1997; </w:t>
      </w:r>
      <w:r w:rsidRPr="00B5748C">
        <w:rPr>
          <w:b/>
        </w:rPr>
        <w:t>11</w:t>
      </w:r>
      <w:r w:rsidRPr="00B5748C">
        <w:t>: 395-402.</w:t>
      </w:r>
    </w:p>
    <w:p w14:paraId="12D099B1" w14:textId="7AAF1B21" w:rsidR="002754F5" w:rsidRPr="00B5748C" w:rsidRDefault="002754F5" w:rsidP="00B5748C">
      <w:pPr>
        <w:pStyle w:val="EndNoteBibliography"/>
        <w:spacing w:after="480"/>
      </w:pPr>
      <w:r w:rsidRPr="00B5748C">
        <w:t>33.</w:t>
      </w:r>
      <w:r w:rsidRPr="00B5748C">
        <w:tab/>
        <w:t xml:space="preserve">Suspected cancer: recognition and referral. </w:t>
      </w:r>
      <w:hyperlink r:id="rId7" w:anchor="lower-gastrointestinal-tract-cancers" w:history="1">
        <w:r w:rsidR="006E09E6" w:rsidRPr="00933073">
          <w:rPr>
            <w:rStyle w:val="Hyperlink"/>
          </w:rPr>
          <w:t>https://www.nice.org.uk/guidance/NG12/chapter/1-Recommendations-organised-by-site-of-cancer#lower-gastrointestinal-tract-cancers</w:t>
        </w:r>
      </w:hyperlink>
      <w:r w:rsidR="006E09E6">
        <w:t xml:space="preserve"> </w:t>
      </w:r>
      <w:r w:rsidRPr="00B5748C">
        <w:t>2015.</w:t>
      </w:r>
      <w:r w:rsidR="006E09E6" w:rsidRPr="006E09E6">
        <w:t xml:space="preserve"> </w:t>
      </w:r>
      <w:r w:rsidR="006E09E6">
        <w:t>Accessed 2</w:t>
      </w:r>
      <w:r w:rsidR="006E09E6" w:rsidRPr="00AC20FF">
        <w:rPr>
          <w:vertAlign w:val="superscript"/>
        </w:rPr>
        <w:t>nd</w:t>
      </w:r>
      <w:r w:rsidR="006E09E6">
        <w:t xml:space="preserve"> June 2023.</w:t>
      </w:r>
    </w:p>
    <w:p w14:paraId="67A4CFC0" w14:textId="77777777" w:rsidR="002754F5" w:rsidRPr="00B5748C" w:rsidRDefault="002754F5" w:rsidP="00B5748C">
      <w:pPr>
        <w:pStyle w:val="EndNoteBibliography"/>
        <w:spacing w:after="480"/>
      </w:pPr>
      <w:r w:rsidRPr="00B5748C">
        <w:t>34.</w:t>
      </w:r>
      <w:r w:rsidRPr="00B5748C">
        <w:tab/>
        <w:t xml:space="preserve">Heaton KW, Ghosh S, Braddon FE. How bad are the symptoms and bowel dysfunction of patients with the irritable bowel syndrome? A prospective, controlled study with emphasis on stool form. </w:t>
      </w:r>
      <w:r w:rsidRPr="00B5748C">
        <w:rPr>
          <w:i/>
        </w:rPr>
        <w:t>Gut</w:t>
      </w:r>
      <w:r w:rsidRPr="00B5748C">
        <w:t xml:space="preserve"> 1991; </w:t>
      </w:r>
      <w:r w:rsidRPr="00B5748C">
        <w:rPr>
          <w:b/>
        </w:rPr>
        <w:t>32</w:t>
      </w:r>
      <w:r w:rsidRPr="00B5748C">
        <w:t>: 73-9.</w:t>
      </w:r>
    </w:p>
    <w:p w14:paraId="38C2D849" w14:textId="77777777" w:rsidR="002754F5" w:rsidRPr="00B5748C" w:rsidRDefault="002754F5" w:rsidP="00B5748C">
      <w:pPr>
        <w:pStyle w:val="EndNoteBibliography"/>
        <w:spacing w:after="480"/>
      </w:pPr>
      <w:r w:rsidRPr="00B5748C">
        <w:t>35.</w:t>
      </w:r>
      <w:r w:rsidRPr="00B5748C">
        <w:tab/>
        <w:t xml:space="preserve">Zigmond AS, Snaith RP. The hospital anxiety and depression scale. </w:t>
      </w:r>
      <w:r w:rsidRPr="00B5748C">
        <w:rPr>
          <w:i/>
        </w:rPr>
        <w:t>Acta Psychiatr Scand</w:t>
      </w:r>
      <w:r w:rsidRPr="00B5748C">
        <w:t xml:space="preserve"> 1983; </w:t>
      </w:r>
      <w:r w:rsidRPr="00B5748C">
        <w:rPr>
          <w:b/>
        </w:rPr>
        <w:t>67</w:t>
      </w:r>
      <w:r w:rsidRPr="00B5748C">
        <w:t>: 361-70.</w:t>
      </w:r>
    </w:p>
    <w:p w14:paraId="25F032B3" w14:textId="65D1DE15" w:rsidR="002754F5" w:rsidRPr="00B5748C" w:rsidRDefault="002754F5" w:rsidP="00B5748C">
      <w:pPr>
        <w:pStyle w:val="EndNoteBibliography"/>
        <w:spacing w:after="480"/>
      </w:pPr>
      <w:r w:rsidRPr="00B5748C">
        <w:lastRenderedPageBreak/>
        <w:t>36.</w:t>
      </w:r>
      <w:r w:rsidRPr="00B5748C">
        <w:tab/>
        <w:t xml:space="preserve">British Dietetic Association. Irritable bowel syndrome and diet, </w:t>
      </w:r>
      <w:hyperlink r:id="rId8" w:history="1">
        <w:r w:rsidR="006E09E6" w:rsidRPr="00933073">
          <w:rPr>
            <w:rStyle w:val="Hyperlink"/>
          </w:rPr>
          <w:t>https://www.bda.uk.com/resource/irritable-bowel-syndrome-diet.html</w:t>
        </w:r>
      </w:hyperlink>
      <w:r w:rsidR="006E09E6">
        <w:t xml:space="preserve"> Accessed 2</w:t>
      </w:r>
      <w:r w:rsidR="006E09E6" w:rsidRPr="00AC20FF">
        <w:rPr>
          <w:vertAlign w:val="superscript"/>
        </w:rPr>
        <w:t>nd</w:t>
      </w:r>
      <w:r w:rsidR="006E09E6">
        <w:t xml:space="preserve"> June 2023.</w:t>
      </w:r>
    </w:p>
    <w:p w14:paraId="0AD5D020" w14:textId="77777777" w:rsidR="002754F5" w:rsidRPr="00B5748C" w:rsidRDefault="002754F5" w:rsidP="00B5748C">
      <w:pPr>
        <w:pStyle w:val="EndNoteBibliography"/>
        <w:spacing w:after="480"/>
      </w:pPr>
      <w:r w:rsidRPr="00D42F46">
        <w:rPr>
          <w:lang w:val="nl-NL"/>
        </w:rPr>
        <w:t>37.</w:t>
      </w:r>
      <w:r w:rsidRPr="00D42F46">
        <w:rPr>
          <w:lang w:val="nl-NL"/>
        </w:rPr>
        <w:tab/>
        <w:t xml:space="preserve">Muller-Lissner S, Koch G, Talley NJ, et al. </w:t>
      </w:r>
      <w:r w:rsidRPr="00B5748C">
        <w:t xml:space="preserve">Subject's Global Assessment of Relief: An appropriate method to assess the impact of treatment on irritable bowel syndrome-related symptoms in clinical trials. </w:t>
      </w:r>
      <w:r w:rsidRPr="00B5748C">
        <w:rPr>
          <w:i/>
        </w:rPr>
        <w:t>J Clin Epidemiol</w:t>
      </w:r>
      <w:r w:rsidRPr="00B5748C">
        <w:t xml:space="preserve"> 2003; </w:t>
      </w:r>
      <w:r w:rsidRPr="00B5748C">
        <w:rPr>
          <w:b/>
        </w:rPr>
        <w:t>56</w:t>
      </w:r>
      <w:r w:rsidRPr="00B5748C">
        <w:t>: 310-6.</w:t>
      </w:r>
    </w:p>
    <w:p w14:paraId="479E1FF6" w14:textId="77777777" w:rsidR="002754F5" w:rsidRPr="00D42F46" w:rsidRDefault="002754F5" w:rsidP="00B5748C">
      <w:pPr>
        <w:pStyle w:val="EndNoteBibliography"/>
        <w:spacing w:after="480"/>
        <w:rPr>
          <w:lang w:val="fr-FR"/>
        </w:rPr>
      </w:pPr>
      <w:r w:rsidRPr="00B5748C">
        <w:t>38.</w:t>
      </w:r>
      <w:r w:rsidRPr="00B5748C">
        <w:tab/>
        <w:t xml:space="preserve">Patel P, Bercik P, Morgan DG, et al. Irritable bowel syndrome is significantly associated with somatisation in 840 patients, which may drive bloating. </w:t>
      </w:r>
      <w:r w:rsidRPr="00D42F46">
        <w:rPr>
          <w:i/>
          <w:lang w:val="fr-FR"/>
        </w:rPr>
        <w:t>Aliment Pharmacol Ther</w:t>
      </w:r>
      <w:r w:rsidRPr="00D42F46">
        <w:rPr>
          <w:lang w:val="fr-FR"/>
        </w:rPr>
        <w:t xml:space="preserve"> 2015; </w:t>
      </w:r>
      <w:r w:rsidRPr="00D42F46">
        <w:rPr>
          <w:b/>
          <w:lang w:val="fr-FR"/>
        </w:rPr>
        <w:t>41</w:t>
      </w:r>
      <w:r w:rsidRPr="00D42F46">
        <w:rPr>
          <w:lang w:val="fr-FR"/>
        </w:rPr>
        <w:t>: 449-58.</w:t>
      </w:r>
    </w:p>
    <w:p w14:paraId="183CED06" w14:textId="77777777" w:rsidR="002754F5" w:rsidRPr="00B5748C" w:rsidRDefault="002754F5" w:rsidP="00B5748C">
      <w:pPr>
        <w:pStyle w:val="EndNoteBibliography"/>
        <w:spacing w:after="480"/>
      </w:pPr>
      <w:r w:rsidRPr="00D42F46">
        <w:rPr>
          <w:lang w:val="fr-FR"/>
        </w:rPr>
        <w:t>39.</w:t>
      </w:r>
      <w:r w:rsidRPr="00D42F46">
        <w:rPr>
          <w:lang w:val="fr-FR"/>
        </w:rPr>
        <w:tab/>
        <w:t xml:space="preserve">Spiller RC, Humes DJ, Campbell E, et al. </w:t>
      </w:r>
      <w:r w:rsidRPr="00B5748C">
        <w:t xml:space="preserve">The Patient Health Questionnaire 12 Somatic Symptom scale as a predictor of symptom severity and consulting behaviour in patients with irritable bowel syndrome and symptomatic diverticular disease. </w:t>
      </w:r>
      <w:r w:rsidRPr="00B5748C">
        <w:rPr>
          <w:i/>
        </w:rPr>
        <w:t>Aliment Pharmacol Ther</w:t>
      </w:r>
      <w:r w:rsidRPr="00B5748C">
        <w:t xml:space="preserve"> 2010; </w:t>
      </w:r>
      <w:r w:rsidRPr="00B5748C">
        <w:rPr>
          <w:b/>
        </w:rPr>
        <w:t>32</w:t>
      </w:r>
      <w:r w:rsidRPr="00B5748C">
        <w:t>: 811-20.</w:t>
      </w:r>
    </w:p>
    <w:p w14:paraId="745DABAF" w14:textId="77777777" w:rsidR="002754F5" w:rsidRPr="00B5748C" w:rsidRDefault="002754F5" w:rsidP="00B5748C">
      <w:pPr>
        <w:pStyle w:val="EndNoteBibliography"/>
        <w:spacing w:after="480"/>
      </w:pPr>
      <w:r w:rsidRPr="00B5748C">
        <w:t>40.</w:t>
      </w:r>
      <w:r w:rsidRPr="00B5748C">
        <w:tab/>
        <w:t xml:space="preserve">Mundt JC, Marks IM, Shear MK, Greist JH. The Work and Social Adjustment Scale: A simple measure of impairment in functioning. </w:t>
      </w:r>
      <w:r w:rsidRPr="00B5748C">
        <w:rPr>
          <w:i/>
        </w:rPr>
        <w:t>Br J Psychiatry</w:t>
      </w:r>
      <w:r w:rsidRPr="00B5748C">
        <w:t xml:space="preserve"> 2002; </w:t>
      </w:r>
      <w:r w:rsidRPr="00B5748C">
        <w:rPr>
          <w:b/>
        </w:rPr>
        <w:t>180</w:t>
      </w:r>
      <w:r w:rsidRPr="00B5748C">
        <w:t>: 461-4.</w:t>
      </w:r>
    </w:p>
    <w:p w14:paraId="489054BB" w14:textId="77777777" w:rsidR="002754F5" w:rsidRPr="00B5748C" w:rsidRDefault="002754F5" w:rsidP="00B5748C">
      <w:pPr>
        <w:pStyle w:val="EndNoteBibliography"/>
        <w:spacing w:after="480"/>
      </w:pPr>
      <w:r w:rsidRPr="00B5748C">
        <w:t>41.</w:t>
      </w:r>
      <w:r w:rsidRPr="00B5748C">
        <w:tab/>
        <w:t xml:space="preserve">Uher R, Farmer A, Henigsberg N, et al. Adverse reactions to antidepressants. </w:t>
      </w:r>
      <w:r w:rsidRPr="00B5748C">
        <w:rPr>
          <w:i/>
        </w:rPr>
        <w:t>Br J Psychiatry</w:t>
      </w:r>
      <w:r w:rsidRPr="00B5748C">
        <w:t xml:space="preserve"> 2009; </w:t>
      </w:r>
      <w:r w:rsidRPr="00B5748C">
        <w:rPr>
          <w:b/>
        </w:rPr>
        <w:t>195</w:t>
      </w:r>
      <w:r w:rsidRPr="00B5748C">
        <w:t>: 202-10.</w:t>
      </w:r>
    </w:p>
    <w:p w14:paraId="640F6305" w14:textId="77777777" w:rsidR="002754F5" w:rsidRPr="00B5748C" w:rsidRDefault="002754F5" w:rsidP="00B5748C">
      <w:pPr>
        <w:pStyle w:val="EndNoteBibliography"/>
        <w:spacing w:after="480"/>
      </w:pPr>
      <w:r w:rsidRPr="00B5748C">
        <w:t>42.</w:t>
      </w:r>
      <w:r w:rsidRPr="00B5748C">
        <w:tab/>
        <w:t xml:space="preserve">Everitt H, Landau S, Little P, et al. Assessing Cognitive behavioural Therapy in Irritable Bowel (ACTIB): Protocol for a randomised controlled trial of clinical-effectiveness </w:t>
      </w:r>
      <w:r w:rsidRPr="00B5748C">
        <w:lastRenderedPageBreak/>
        <w:t xml:space="preserve">and cost-effectiveness of therapist delivered cognitive behavioural therapy and web-based self-management in irritable bowel syndrome in adults. </w:t>
      </w:r>
      <w:r w:rsidRPr="00B5748C">
        <w:rPr>
          <w:i/>
        </w:rPr>
        <w:t>BMJ open</w:t>
      </w:r>
      <w:r w:rsidRPr="00B5748C">
        <w:t xml:space="preserve"> 2015; </w:t>
      </w:r>
      <w:r w:rsidRPr="00B5748C">
        <w:rPr>
          <w:b/>
        </w:rPr>
        <w:t>5</w:t>
      </w:r>
      <w:r w:rsidRPr="00B5748C">
        <w:t>: e008622.</w:t>
      </w:r>
    </w:p>
    <w:p w14:paraId="3D56B5E5" w14:textId="77777777" w:rsidR="002754F5" w:rsidRPr="00B5748C" w:rsidRDefault="002754F5" w:rsidP="00B5748C">
      <w:pPr>
        <w:pStyle w:val="EndNoteBibliography"/>
        <w:spacing w:after="480"/>
      </w:pPr>
      <w:r w:rsidRPr="00B5748C">
        <w:t>43.</w:t>
      </w:r>
      <w:r w:rsidRPr="00B5748C">
        <w:tab/>
        <w:t xml:space="preserve">Everitt HA, Landau S, O'Reilly G, et al. Assessing telephone-delivered cognitive-behavioural therapy (CBT) and web-delivered CBT versus treatment as usual in irritable bowel syndrome (ACTIB): A multicentre randomised trial. </w:t>
      </w:r>
      <w:r w:rsidRPr="00B5748C">
        <w:rPr>
          <w:i/>
        </w:rPr>
        <w:t>Gut</w:t>
      </w:r>
      <w:r w:rsidRPr="00B5748C">
        <w:t xml:space="preserve"> 2019; </w:t>
      </w:r>
      <w:r w:rsidRPr="00B5748C">
        <w:rPr>
          <w:b/>
        </w:rPr>
        <w:t>68</w:t>
      </w:r>
      <w:r w:rsidRPr="00B5748C">
        <w:t>: 1613-23.</w:t>
      </w:r>
    </w:p>
    <w:p w14:paraId="428CEE6E" w14:textId="77777777" w:rsidR="002754F5" w:rsidRPr="00B5748C" w:rsidRDefault="002754F5" w:rsidP="00B5748C">
      <w:pPr>
        <w:pStyle w:val="EndNoteBibliography"/>
        <w:spacing w:after="480"/>
      </w:pPr>
      <w:r w:rsidRPr="00B5748C">
        <w:t>44.</w:t>
      </w:r>
      <w:r w:rsidRPr="00B5748C">
        <w:tab/>
        <w:t xml:space="preserve">Sisson G, Ayis S, Sherwood RA, Bjarnason I. Randomised clinical trial: A liquid multi-strain probiotic vs. placebo in the irritable bowel syndrome--a 12 week double-blind study. </w:t>
      </w:r>
      <w:r w:rsidRPr="00B5748C">
        <w:rPr>
          <w:i/>
        </w:rPr>
        <w:t>Aliment Pharmacol Ther</w:t>
      </w:r>
      <w:r w:rsidRPr="00B5748C">
        <w:t xml:space="preserve"> 2014; </w:t>
      </w:r>
      <w:r w:rsidRPr="00B5748C">
        <w:rPr>
          <w:b/>
        </w:rPr>
        <w:t>40</w:t>
      </w:r>
      <w:r w:rsidRPr="00B5748C">
        <w:t>: 51-62.</w:t>
      </w:r>
    </w:p>
    <w:p w14:paraId="33A3BC71" w14:textId="77777777" w:rsidR="002754F5" w:rsidRPr="00B5748C" w:rsidRDefault="002754F5" w:rsidP="00B5748C">
      <w:pPr>
        <w:pStyle w:val="EndNoteBibliography"/>
        <w:spacing w:after="480"/>
      </w:pPr>
      <w:r w:rsidRPr="00B5748C">
        <w:t>45.</w:t>
      </w:r>
      <w:r w:rsidRPr="00B5748C">
        <w:tab/>
        <w:t xml:space="preserve">Peckham EJ, Relton C, Raw J, et al. Interim results of a randomised controlled trial of homeopathic treatment for irritable bowel syndrome. </w:t>
      </w:r>
      <w:r w:rsidRPr="00B5748C">
        <w:rPr>
          <w:i/>
        </w:rPr>
        <w:t>Homeopathy</w:t>
      </w:r>
      <w:r w:rsidRPr="00B5748C">
        <w:t xml:space="preserve"> 2014; </w:t>
      </w:r>
      <w:r w:rsidRPr="00B5748C">
        <w:rPr>
          <w:b/>
        </w:rPr>
        <w:t>103</w:t>
      </w:r>
      <w:r w:rsidRPr="00B5748C">
        <w:t>: 172-7.</w:t>
      </w:r>
    </w:p>
    <w:p w14:paraId="2B8103A8" w14:textId="77777777" w:rsidR="002754F5" w:rsidRPr="00B5748C" w:rsidRDefault="002754F5" w:rsidP="00B5748C">
      <w:pPr>
        <w:pStyle w:val="EndNoteBibliography"/>
        <w:spacing w:after="480"/>
      </w:pPr>
      <w:r w:rsidRPr="00B5748C">
        <w:t>46.</w:t>
      </w:r>
      <w:r w:rsidRPr="00B5748C">
        <w:tab/>
        <w:t xml:space="preserve">Rubin DB. Inference and missing data. </w:t>
      </w:r>
      <w:r w:rsidRPr="00B5748C">
        <w:rPr>
          <w:i/>
        </w:rPr>
        <w:t>Biometrika</w:t>
      </w:r>
      <w:r w:rsidRPr="00B5748C">
        <w:t xml:space="preserve"> 1976; </w:t>
      </w:r>
      <w:r w:rsidRPr="00B5748C">
        <w:rPr>
          <w:b/>
        </w:rPr>
        <w:t>63</w:t>
      </w:r>
      <w:r w:rsidRPr="00B5748C">
        <w:t>: 581-92.</w:t>
      </w:r>
    </w:p>
    <w:p w14:paraId="0F761E40" w14:textId="1B3D4968" w:rsidR="002754F5" w:rsidRPr="00B5748C" w:rsidRDefault="002754F5" w:rsidP="00B5748C">
      <w:pPr>
        <w:pStyle w:val="EndNoteBibliography"/>
        <w:spacing w:after="480"/>
      </w:pPr>
      <w:r w:rsidRPr="00B5748C">
        <w:t>47.</w:t>
      </w:r>
      <w:r w:rsidRPr="00B5748C">
        <w:tab/>
        <w:t xml:space="preserve">European Medicines Agency. Guideline on the evaluation of medicinal products for the treatment of irritable bowel syndrome. </w:t>
      </w:r>
      <w:hyperlink r:id="rId9" w:history="1">
        <w:r w:rsidR="006E09E6" w:rsidRPr="00933073">
          <w:rPr>
            <w:rStyle w:val="Hyperlink"/>
          </w:rPr>
          <w:t>https://www.ema.europa.eu/en/documents/scientific-guideline/guideline-evaluation-medicinal-products-treatment-irritable-bowel-syndrome-revision-1_en.pdf 2014</w:t>
        </w:r>
      </w:hyperlink>
      <w:r w:rsidRPr="00B5748C">
        <w:t>.</w:t>
      </w:r>
      <w:r w:rsidR="006E09E6">
        <w:t xml:space="preserve"> Accessed 2</w:t>
      </w:r>
      <w:r w:rsidR="006E09E6" w:rsidRPr="00AC20FF">
        <w:rPr>
          <w:vertAlign w:val="superscript"/>
        </w:rPr>
        <w:t>nd</w:t>
      </w:r>
      <w:r w:rsidR="006E09E6">
        <w:t xml:space="preserve"> June 2023.</w:t>
      </w:r>
    </w:p>
    <w:p w14:paraId="4173250A" w14:textId="77777777" w:rsidR="002754F5" w:rsidRPr="00B5748C" w:rsidRDefault="002754F5" w:rsidP="00B5748C">
      <w:pPr>
        <w:pStyle w:val="EndNoteBibliography"/>
        <w:spacing w:after="480"/>
      </w:pPr>
      <w:r w:rsidRPr="00B5748C">
        <w:t>48.</w:t>
      </w:r>
      <w:r w:rsidRPr="00B5748C">
        <w:tab/>
        <w:t xml:space="preserve">Loudon K, Treweek S, Sullivan F, Donnan P, Thorpe KE, Zwarenstein M. The PRECIS-2 tool: Designing trials that are fit for purpose. </w:t>
      </w:r>
      <w:r w:rsidRPr="00B5748C">
        <w:rPr>
          <w:i/>
        </w:rPr>
        <w:t>BMJ</w:t>
      </w:r>
      <w:r w:rsidRPr="00B5748C">
        <w:t xml:space="preserve"> 2015; </w:t>
      </w:r>
      <w:r w:rsidRPr="00B5748C">
        <w:rPr>
          <w:b/>
        </w:rPr>
        <w:t>350</w:t>
      </w:r>
      <w:r w:rsidRPr="00B5748C">
        <w:t>: h2147.</w:t>
      </w:r>
    </w:p>
    <w:p w14:paraId="7960B56A" w14:textId="37C77A64" w:rsidR="002754F5" w:rsidRPr="00B5748C" w:rsidRDefault="002754F5" w:rsidP="00B5748C">
      <w:pPr>
        <w:pStyle w:val="EndNoteBibliography"/>
        <w:spacing w:after="480"/>
      </w:pPr>
      <w:r w:rsidRPr="00B5748C">
        <w:lastRenderedPageBreak/>
        <w:t>49.</w:t>
      </w:r>
      <w:r w:rsidRPr="00B5748C">
        <w:tab/>
        <w:t xml:space="preserve">Food and Drug Administration. Guidance for industry: Irritable bowel syndrome - clinical evaluation of drugs for treatment. </w:t>
      </w:r>
      <w:hyperlink r:id="rId10" w:history="1">
        <w:r w:rsidR="006E09E6" w:rsidRPr="00933073">
          <w:rPr>
            <w:rStyle w:val="Hyperlink"/>
          </w:rPr>
          <w:t>https://www.fda.gov/media/78622/download</w:t>
        </w:r>
      </w:hyperlink>
      <w:r w:rsidRPr="00B5748C">
        <w:t xml:space="preserve"> 2012.</w:t>
      </w:r>
      <w:r w:rsidR="006E09E6">
        <w:t xml:space="preserve"> Accessed 2</w:t>
      </w:r>
      <w:r w:rsidR="006E09E6" w:rsidRPr="00AC20FF">
        <w:rPr>
          <w:vertAlign w:val="superscript"/>
        </w:rPr>
        <w:t>nd</w:t>
      </w:r>
      <w:r w:rsidR="006E09E6">
        <w:t xml:space="preserve"> June 2023.</w:t>
      </w:r>
    </w:p>
    <w:p w14:paraId="0E1C99F9" w14:textId="77777777" w:rsidR="002754F5" w:rsidRPr="00B5748C" w:rsidRDefault="002754F5" w:rsidP="00B5748C">
      <w:pPr>
        <w:pStyle w:val="EndNoteBibliography"/>
        <w:spacing w:after="480"/>
      </w:pPr>
      <w:r w:rsidRPr="00B5748C">
        <w:t>50.</w:t>
      </w:r>
      <w:r w:rsidRPr="00B5748C">
        <w:tab/>
        <w:t xml:space="preserve">Black CJ, Yiannakou Y, Houghton LA, Ford AC. Epidemiological, clinical, and psychological characteristics of individuals with self-reported irritable bowel syndrome based on the Rome IV vs Rome III criteria. </w:t>
      </w:r>
      <w:r w:rsidRPr="00B5748C">
        <w:rPr>
          <w:i/>
        </w:rPr>
        <w:t>Clin Gastroenterol Hepatol</w:t>
      </w:r>
      <w:r w:rsidRPr="00B5748C">
        <w:t xml:space="preserve"> 2020; </w:t>
      </w:r>
      <w:r w:rsidRPr="00B5748C">
        <w:rPr>
          <w:b/>
        </w:rPr>
        <w:t>18</w:t>
      </w:r>
      <w:r w:rsidRPr="00B5748C">
        <w:t>: 392-8.</w:t>
      </w:r>
    </w:p>
    <w:p w14:paraId="7A4B9FAC" w14:textId="77777777" w:rsidR="002754F5" w:rsidRPr="00D42F46" w:rsidRDefault="002754F5" w:rsidP="00B5748C">
      <w:pPr>
        <w:pStyle w:val="EndNoteBibliography"/>
        <w:spacing w:after="480"/>
        <w:rPr>
          <w:lang w:val="nl-NL"/>
        </w:rPr>
      </w:pPr>
      <w:r w:rsidRPr="00B5748C">
        <w:t>51.</w:t>
      </w:r>
      <w:r w:rsidRPr="00B5748C">
        <w:tab/>
        <w:t xml:space="preserve">Everitt H, Moss-Morris R, Sibelli A, et al. Management of irritable bowel syndrome in primary care: The results of an exploratory randomised controlled trial of mebeverine, methylcellulose, placebo and a self-management website. </w:t>
      </w:r>
      <w:r w:rsidRPr="00D42F46">
        <w:rPr>
          <w:i/>
          <w:lang w:val="nl-NL"/>
        </w:rPr>
        <w:t>BMC Gastroenterol</w:t>
      </w:r>
      <w:r w:rsidRPr="00D42F46">
        <w:rPr>
          <w:lang w:val="nl-NL"/>
        </w:rPr>
        <w:t xml:space="preserve"> 2013; </w:t>
      </w:r>
      <w:r w:rsidRPr="00D42F46">
        <w:rPr>
          <w:b/>
          <w:lang w:val="nl-NL"/>
        </w:rPr>
        <w:t>13</w:t>
      </w:r>
      <w:r w:rsidRPr="00D42F46">
        <w:rPr>
          <w:lang w:val="nl-NL"/>
        </w:rPr>
        <w:t>: 68.</w:t>
      </w:r>
    </w:p>
    <w:p w14:paraId="42398EDB" w14:textId="77777777" w:rsidR="002754F5" w:rsidRPr="00B5748C" w:rsidRDefault="002754F5" w:rsidP="00B5748C">
      <w:pPr>
        <w:pStyle w:val="EndNoteBibliography"/>
        <w:spacing w:after="480"/>
      </w:pPr>
      <w:r w:rsidRPr="00D42F46">
        <w:rPr>
          <w:lang w:val="nl-NL"/>
        </w:rPr>
        <w:t>52.</w:t>
      </w:r>
      <w:r w:rsidRPr="00D42F46">
        <w:rPr>
          <w:lang w:val="nl-NL"/>
        </w:rPr>
        <w:tab/>
        <w:t xml:space="preserve">Lembo A, Kelley JM, Nee J, et al. </w:t>
      </w:r>
      <w:r w:rsidRPr="00B5748C">
        <w:t xml:space="preserve">Open-label placebo vs double-blind placebo for irritable bowel syndrome: A randomized clinical trial. </w:t>
      </w:r>
      <w:r w:rsidRPr="00B5748C">
        <w:rPr>
          <w:i/>
        </w:rPr>
        <w:t>Pain</w:t>
      </w:r>
      <w:r w:rsidRPr="00B5748C">
        <w:t xml:space="preserve"> 2021; </w:t>
      </w:r>
      <w:r w:rsidRPr="00B5748C">
        <w:rPr>
          <w:b/>
        </w:rPr>
        <w:t>162</w:t>
      </w:r>
      <w:r w:rsidRPr="00B5748C">
        <w:t>: 2428-35.</w:t>
      </w:r>
    </w:p>
    <w:p w14:paraId="352A4DB0" w14:textId="77777777" w:rsidR="002754F5" w:rsidRPr="00B5748C" w:rsidRDefault="002754F5" w:rsidP="00B5748C">
      <w:pPr>
        <w:pStyle w:val="EndNoteBibliography"/>
        <w:spacing w:after="480"/>
      </w:pPr>
      <w:r w:rsidRPr="00B5748C">
        <w:t>53.</w:t>
      </w:r>
      <w:r w:rsidRPr="00B5748C">
        <w:tab/>
        <w:t xml:space="preserve">Kaptchuk TJ, Friedlander E, Kelley JM, et al. Placebos without deception: A randomized controlled trial in irritable bowel syndrome. </w:t>
      </w:r>
      <w:r w:rsidRPr="00B5748C">
        <w:rPr>
          <w:i/>
        </w:rPr>
        <w:t>PLoS One</w:t>
      </w:r>
      <w:r w:rsidRPr="00B5748C">
        <w:t xml:space="preserve"> 2010; </w:t>
      </w:r>
      <w:r w:rsidRPr="00B5748C">
        <w:rPr>
          <w:b/>
        </w:rPr>
        <w:t>5</w:t>
      </w:r>
      <w:r w:rsidRPr="00B5748C">
        <w:t>: e15591.</w:t>
      </w:r>
    </w:p>
    <w:p w14:paraId="32F32285" w14:textId="77777777" w:rsidR="002754F5" w:rsidRPr="00B5748C" w:rsidRDefault="002754F5" w:rsidP="00B5748C">
      <w:pPr>
        <w:pStyle w:val="EndNoteBibliography"/>
        <w:spacing w:after="480"/>
      </w:pPr>
      <w:r w:rsidRPr="00B5748C">
        <w:t>54.</w:t>
      </w:r>
      <w:r w:rsidRPr="00B5748C">
        <w:tab/>
        <w:t xml:space="preserve">Drossman DA, Toner BB, Whitehead WE, et al. Cognitive-behavioral therapy versus education and desipramine versus placebo for moderate to severe functional bowel disorders. </w:t>
      </w:r>
      <w:r w:rsidRPr="00B5748C">
        <w:rPr>
          <w:i/>
        </w:rPr>
        <w:t>Gastroenterology</w:t>
      </w:r>
      <w:r w:rsidRPr="00B5748C">
        <w:t xml:space="preserve"> 2003; </w:t>
      </w:r>
      <w:r w:rsidRPr="00B5748C">
        <w:rPr>
          <w:b/>
        </w:rPr>
        <w:t>125</w:t>
      </w:r>
      <w:r w:rsidRPr="00B5748C">
        <w:t>: 19-31.</w:t>
      </w:r>
    </w:p>
    <w:p w14:paraId="34800A08" w14:textId="77777777" w:rsidR="002754F5" w:rsidRPr="00B5748C" w:rsidRDefault="002754F5" w:rsidP="00B5748C">
      <w:pPr>
        <w:pStyle w:val="EndNoteBibliography"/>
        <w:spacing w:after="480"/>
      </w:pPr>
      <w:r w:rsidRPr="00B5748C">
        <w:t>55.</w:t>
      </w:r>
      <w:r w:rsidRPr="00B5748C">
        <w:tab/>
        <w:t xml:space="preserve">Ford AC, Moayyedi P. Meta-analysis: Factors affecting placebo response rate in irritable bowel syndrome. </w:t>
      </w:r>
      <w:r w:rsidRPr="00B5748C">
        <w:rPr>
          <w:i/>
        </w:rPr>
        <w:t>Aliment Pharmacol Ther</w:t>
      </w:r>
      <w:r w:rsidRPr="00B5748C">
        <w:t xml:space="preserve"> 2010; </w:t>
      </w:r>
      <w:r w:rsidRPr="00B5748C">
        <w:rPr>
          <w:b/>
        </w:rPr>
        <w:t>32</w:t>
      </w:r>
      <w:r w:rsidRPr="00B5748C">
        <w:t>: 144-58.</w:t>
      </w:r>
    </w:p>
    <w:p w14:paraId="2F0D93D9" w14:textId="77777777" w:rsidR="002754F5" w:rsidRPr="00B5748C" w:rsidRDefault="002754F5" w:rsidP="00B5748C">
      <w:pPr>
        <w:pStyle w:val="EndNoteBibliography"/>
        <w:spacing w:after="480"/>
      </w:pPr>
      <w:r w:rsidRPr="00B5748C">
        <w:lastRenderedPageBreak/>
        <w:t>56.</w:t>
      </w:r>
      <w:r w:rsidRPr="00B5748C">
        <w:tab/>
        <w:t xml:space="preserve">Morgan V, Pickens D, Gautam S, Kessler R, Mertz H. Amitriptyline reduces rectal pain related activation of the anterior cingulate cortex in patients with irritable bowel syndrome. </w:t>
      </w:r>
      <w:r w:rsidRPr="00B5748C">
        <w:rPr>
          <w:i/>
        </w:rPr>
        <w:t>Gut</w:t>
      </w:r>
      <w:r w:rsidRPr="00B5748C">
        <w:t xml:space="preserve"> 2005; </w:t>
      </w:r>
      <w:r w:rsidRPr="00B5748C">
        <w:rPr>
          <w:b/>
        </w:rPr>
        <w:t>54</w:t>
      </w:r>
      <w:r w:rsidRPr="00B5748C">
        <w:t>: 601-7.</w:t>
      </w:r>
    </w:p>
    <w:p w14:paraId="36EDB57D" w14:textId="77777777" w:rsidR="002754F5" w:rsidRPr="00B5748C" w:rsidRDefault="002754F5" w:rsidP="00B5748C">
      <w:pPr>
        <w:pStyle w:val="EndNoteBibliography"/>
        <w:spacing w:after="480"/>
      </w:pPr>
      <w:r w:rsidRPr="00B5748C">
        <w:t>57.</w:t>
      </w:r>
      <w:r w:rsidRPr="00B5748C">
        <w:tab/>
        <w:t xml:space="preserve">Zamani M, Alizadeh-Tabari S, Zamani V. Systematic review with meta-analysis: The prevalence of anxiety and depression in patients with irritable bowel syndrome. </w:t>
      </w:r>
      <w:r w:rsidRPr="00B5748C">
        <w:rPr>
          <w:i/>
        </w:rPr>
        <w:t>Aliment Pharmacol Ther</w:t>
      </w:r>
      <w:r w:rsidRPr="00B5748C">
        <w:t xml:space="preserve"> 2019; </w:t>
      </w:r>
      <w:r w:rsidRPr="00B5748C">
        <w:rPr>
          <w:b/>
        </w:rPr>
        <w:t>50</w:t>
      </w:r>
      <w:r w:rsidRPr="00B5748C">
        <w:t>: 132-43.</w:t>
      </w:r>
    </w:p>
    <w:p w14:paraId="58584517" w14:textId="77777777" w:rsidR="002754F5" w:rsidRPr="00B5748C" w:rsidRDefault="002754F5" w:rsidP="00B5748C">
      <w:pPr>
        <w:pStyle w:val="EndNoteBibliography"/>
        <w:spacing w:after="480"/>
      </w:pPr>
      <w:r w:rsidRPr="00B5748C">
        <w:t>58.</w:t>
      </w:r>
      <w:r w:rsidRPr="00B5748C">
        <w:tab/>
        <w:t xml:space="preserve">EuroQol Group. EuroQol--a new facility for the measurement of health-related quality of life. </w:t>
      </w:r>
      <w:r w:rsidRPr="00B5748C">
        <w:rPr>
          <w:i/>
        </w:rPr>
        <w:t>Health policy (Amsterdam, Netherlands)</w:t>
      </w:r>
      <w:r w:rsidRPr="00B5748C">
        <w:t xml:space="preserve"> 1990; </w:t>
      </w:r>
      <w:r w:rsidRPr="00B5748C">
        <w:rPr>
          <w:b/>
        </w:rPr>
        <w:t>16</w:t>
      </w:r>
      <w:r w:rsidRPr="00B5748C">
        <w:t>: 199-208.</w:t>
      </w:r>
    </w:p>
    <w:p w14:paraId="4D5F6489" w14:textId="77777777" w:rsidR="002754F5" w:rsidRPr="00B5748C" w:rsidRDefault="002754F5" w:rsidP="00B5748C">
      <w:pPr>
        <w:pStyle w:val="EndNoteBibliography"/>
      </w:pPr>
      <w:r w:rsidRPr="00B5748C">
        <w:t>59.</w:t>
      </w:r>
      <w:r w:rsidRPr="00B5748C">
        <w:tab/>
        <w:t xml:space="preserve">Bushnell DM, Martin ML, Ricci JF, Bracco A. Performance of the EQ-5D in patients with irritable bowel syndrome. </w:t>
      </w:r>
      <w:r w:rsidRPr="00B5748C">
        <w:rPr>
          <w:i/>
        </w:rPr>
        <w:t>Value Health</w:t>
      </w:r>
      <w:r w:rsidRPr="00B5748C">
        <w:t xml:space="preserve"> 2006; </w:t>
      </w:r>
      <w:r w:rsidRPr="00B5748C">
        <w:rPr>
          <w:b/>
        </w:rPr>
        <w:t>9</w:t>
      </w:r>
      <w:r w:rsidRPr="00B5748C">
        <w:t>: 90-7.</w:t>
      </w:r>
    </w:p>
    <w:p w14:paraId="5FA0CC29" w14:textId="77777777" w:rsidR="002754F5" w:rsidRPr="00827C81" w:rsidRDefault="002754F5" w:rsidP="00C206A1">
      <w:pPr>
        <w:spacing w:line="480" w:lineRule="auto"/>
        <w:rPr>
          <w:rFonts w:ascii="Times New Roman" w:hAnsi="Times New Roman" w:cs="Times New Roman"/>
          <w:bCs/>
          <w:sz w:val="24"/>
          <w:szCs w:val="24"/>
        </w:rPr>
      </w:pPr>
    </w:p>
    <w:p w14:paraId="36C52C6B" w14:textId="77777777" w:rsidR="002754F5" w:rsidRPr="00827C81" w:rsidRDefault="002754F5" w:rsidP="00DB1437">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br w:type="page"/>
      </w:r>
    </w:p>
    <w:p w14:paraId="2165EB3F" w14:textId="6C156301" w:rsidR="00BE2793" w:rsidRDefault="002754F5" w:rsidP="00DB1437">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lastRenderedPageBreak/>
        <w:br w:type="page"/>
      </w:r>
      <w:r w:rsidRPr="00827C81">
        <w:rPr>
          <w:rFonts w:ascii="Times New Roman" w:hAnsi="Times New Roman" w:cs="Times New Roman"/>
          <w:b/>
          <w:sz w:val="24"/>
          <w:szCs w:val="24"/>
          <w:lang w:eastAsia="en-GB"/>
        </w:rPr>
        <w:lastRenderedPageBreak/>
        <w:t xml:space="preserve">Figure 1. </w:t>
      </w:r>
      <w:r w:rsidR="00BE2793">
        <w:rPr>
          <w:rFonts w:ascii="Times New Roman" w:hAnsi="Times New Roman" w:cs="Times New Roman"/>
          <w:b/>
          <w:sz w:val="24"/>
          <w:szCs w:val="24"/>
          <w:lang w:eastAsia="en-GB"/>
        </w:rPr>
        <w:t>Study Design.</w:t>
      </w:r>
    </w:p>
    <w:p w14:paraId="2AC2FFAA" w14:textId="559FC208" w:rsidR="002754F5" w:rsidRPr="00827C81" w:rsidRDefault="00BE2793" w:rsidP="00DB1437">
      <w:pPr>
        <w:spacing w:line="48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Figure 2. </w:t>
      </w:r>
      <w:r w:rsidR="002754F5" w:rsidRPr="00827C81">
        <w:rPr>
          <w:rFonts w:ascii="Times New Roman" w:hAnsi="Times New Roman" w:cs="Times New Roman"/>
          <w:b/>
          <w:sz w:val="24"/>
          <w:szCs w:val="24"/>
          <w:lang w:eastAsia="en-GB"/>
        </w:rPr>
        <w:t>Flow of Participants Through the Trial.</w:t>
      </w:r>
    </w:p>
    <w:p w14:paraId="15D6F0D5" w14:textId="28151C93" w:rsidR="002754F5" w:rsidRPr="00827C81" w:rsidRDefault="002754F5" w:rsidP="00DB1437">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t xml:space="preserve">Figure </w:t>
      </w:r>
      <w:r w:rsidR="00BE2793">
        <w:rPr>
          <w:rFonts w:ascii="Times New Roman" w:hAnsi="Times New Roman" w:cs="Times New Roman"/>
          <w:b/>
          <w:sz w:val="24"/>
          <w:szCs w:val="24"/>
          <w:lang w:eastAsia="en-GB"/>
        </w:rPr>
        <w:t>3</w:t>
      </w:r>
      <w:r w:rsidRPr="00827C81">
        <w:rPr>
          <w:rFonts w:ascii="Times New Roman" w:hAnsi="Times New Roman" w:cs="Times New Roman"/>
          <w:b/>
          <w:sz w:val="24"/>
          <w:szCs w:val="24"/>
          <w:lang w:eastAsia="en-GB"/>
        </w:rPr>
        <w:t xml:space="preserve">. Key Secondary Outcome of SGA of Relief of IBS Symptoms at 6 Months. </w:t>
      </w:r>
    </w:p>
    <w:p w14:paraId="71E1C736" w14:textId="77777777" w:rsidR="002754F5" w:rsidRPr="00827C81" w:rsidRDefault="002754F5" w:rsidP="00107215">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br w:type="page"/>
      </w:r>
    </w:p>
    <w:p w14:paraId="7DA4466B" w14:textId="77777777" w:rsidR="002754F5" w:rsidRPr="00827C81" w:rsidRDefault="002754F5" w:rsidP="00107215">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lastRenderedPageBreak/>
        <w:t>Table 1. Baseline Demographics and Characteristics of Participants.</w:t>
      </w:r>
    </w:p>
    <w:tbl>
      <w:tblPr>
        <w:tblStyle w:val="TableGrid"/>
        <w:tblW w:w="0" w:type="auto"/>
        <w:tblLook w:val="04A0" w:firstRow="1" w:lastRow="0" w:firstColumn="1" w:lastColumn="0" w:noHBand="0" w:noVBand="1"/>
      </w:tblPr>
      <w:tblGrid>
        <w:gridCol w:w="3510"/>
        <w:gridCol w:w="1835"/>
        <w:gridCol w:w="1835"/>
        <w:gridCol w:w="1836"/>
      </w:tblGrid>
      <w:tr w:rsidR="002754F5" w:rsidRPr="00827C81" w14:paraId="659E5402" w14:textId="77777777" w:rsidTr="007C2016">
        <w:tc>
          <w:tcPr>
            <w:tcW w:w="3510" w:type="dxa"/>
            <w:shd w:val="clear" w:color="auto" w:fill="FFCCCC"/>
          </w:tcPr>
          <w:p w14:paraId="222E74FA" w14:textId="77777777" w:rsidR="002754F5" w:rsidRPr="00827C81" w:rsidRDefault="002754F5" w:rsidP="00107215">
            <w:pPr>
              <w:spacing w:line="480" w:lineRule="auto"/>
              <w:rPr>
                <w:rFonts w:ascii="Times New Roman" w:hAnsi="Times New Roman" w:cs="Times New Roman"/>
                <w:sz w:val="20"/>
                <w:szCs w:val="20"/>
              </w:rPr>
            </w:pPr>
            <w:bookmarkStart w:id="34" w:name="_Hlk135922063"/>
          </w:p>
        </w:tc>
        <w:tc>
          <w:tcPr>
            <w:tcW w:w="1835" w:type="dxa"/>
            <w:shd w:val="clear" w:color="auto" w:fill="FFCCCC"/>
          </w:tcPr>
          <w:p w14:paraId="6B4A6945" w14:textId="77777777" w:rsidR="002754F5" w:rsidRPr="00827C81" w:rsidRDefault="002754F5" w:rsidP="002C7110">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Low-dose amitriptyline</w:t>
            </w:r>
          </w:p>
          <w:p w14:paraId="20B55CBA"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232)</w:t>
            </w:r>
          </w:p>
        </w:tc>
        <w:tc>
          <w:tcPr>
            <w:tcW w:w="1835" w:type="dxa"/>
            <w:shd w:val="clear" w:color="auto" w:fill="FFCCCC"/>
          </w:tcPr>
          <w:p w14:paraId="68B30B55"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 xml:space="preserve">Placebo </w:t>
            </w:r>
          </w:p>
          <w:p w14:paraId="37C6ABD3"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231)</w:t>
            </w:r>
          </w:p>
        </w:tc>
        <w:tc>
          <w:tcPr>
            <w:tcW w:w="1836" w:type="dxa"/>
            <w:shd w:val="clear" w:color="auto" w:fill="FFCCCC"/>
          </w:tcPr>
          <w:p w14:paraId="5BBA7F5D"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All participants</w:t>
            </w:r>
          </w:p>
          <w:p w14:paraId="1CB4F817"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463)</w:t>
            </w:r>
          </w:p>
        </w:tc>
      </w:tr>
      <w:tr w:rsidR="002754F5" w:rsidRPr="00827C81" w14:paraId="7846FB80" w14:textId="77777777" w:rsidTr="007C2016">
        <w:tc>
          <w:tcPr>
            <w:tcW w:w="3510" w:type="dxa"/>
          </w:tcPr>
          <w:p w14:paraId="0609BFC6"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age (SD)</w:t>
            </w:r>
          </w:p>
        </w:tc>
        <w:tc>
          <w:tcPr>
            <w:tcW w:w="1835" w:type="dxa"/>
          </w:tcPr>
          <w:p w14:paraId="3F0EC9C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49.2 (16.2)</w:t>
            </w:r>
          </w:p>
        </w:tc>
        <w:tc>
          <w:tcPr>
            <w:tcW w:w="1835" w:type="dxa"/>
          </w:tcPr>
          <w:p w14:paraId="355E94C8"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47.8 (15.9)</w:t>
            </w:r>
          </w:p>
        </w:tc>
        <w:tc>
          <w:tcPr>
            <w:tcW w:w="1836" w:type="dxa"/>
          </w:tcPr>
          <w:p w14:paraId="087E81D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48.5 (16.1)</w:t>
            </w:r>
          </w:p>
        </w:tc>
      </w:tr>
      <w:tr w:rsidR="002754F5" w:rsidRPr="00827C81" w14:paraId="0F5F1039" w14:textId="77777777" w:rsidTr="007C2016">
        <w:tc>
          <w:tcPr>
            <w:tcW w:w="3510" w:type="dxa"/>
            <w:shd w:val="clear" w:color="auto" w:fill="FFCCCC"/>
          </w:tcPr>
          <w:p w14:paraId="562B4FC4"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Female sex (%)</w:t>
            </w:r>
          </w:p>
        </w:tc>
        <w:tc>
          <w:tcPr>
            <w:tcW w:w="1835" w:type="dxa"/>
            <w:shd w:val="clear" w:color="auto" w:fill="FFCCCC"/>
          </w:tcPr>
          <w:p w14:paraId="569FEC3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156 (67)</w:t>
            </w:r>
          </w:p>
        </w:tc>
        <w:tc>
          <w:tcPr>
            <w:tcW w:w="1835" w:type="dxa"/>
            <w:shd w:val="clear" w:color="auto" w:fill="FFCCCC"/>
          </w:tcPr>
          <w:p w14:paraId="5034F36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159 (69)</w:t>
            </w:r>
          </w:p>
        </w:tc>
        <w:tc>
          <w:tcPr>
            <w:tcW w:w="1836" w:type="dxa"/>
            <w:shd w:val="clear" w:color="auto" w:fill="FFCCCC"/>
          </w:tcPr>
          <w:p w14:paraId="1A6AD44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315 (68)</w:t>
            </w:r>
          </w:p>
        </w:tc>
      </w:tr>
      <w:tr w:rsidR="002754F5" w:rsidRPr="00827C81" w14:paraId="6D544B16" w14:textId="77777777" w:rsidTr="007C2016">
        <w:tc>
          <w:tcPr>
            <w:tcW w:w="3510" w:type="dxa"/>
          </w:tcPr>
          <w:p w14:paraId="4CFE1F6A"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White ethnicity (%)</w:t>
            </w:r>
          </w:p>
        </w:tc>
        <w:tc>
          <w:tcPr>
            <w:tcW w:w="1835" w:type="dxa"/>
          </w:tcPr>
          <w:p w14:paraId="4C08150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226 (97)</w:t>
            </w:r>
          </w:p>
        </w:tc>
        <w:tc>
          <w:tcPr>
            <w:tcW w:w="1835" w:type="dxa"/>
          </w:tcPr>
          <w:p w14:paraId="6D1A85A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225 (97)</w:t>
            </w:r>
          </w:p>
        </w:tc>
        <w:tc>
          <w:tcPr>
            <w:tcW w:w="1836" w:type="dxa"/>
          </w:tcPr>
          <w:p w14:paraId="2D854928"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451 (97)</w:t>
            </w:r>
          </w:p>
        </w:tc>
      </w:tr>
      <w:tr w:rsidR="002754F5" w:rsidRPr="00827C81" w14:paraId="1308ED3C" w14:textId="77777777" w:rsidTr="007C2016">
        <w:tc>
          <w:tcPr>
            <w:tcW w:w="3510" w:type="dxa"/>
            <w:shd w:val="clear" w:color="auto" w:fill="FFCCCC"/>
          </w:tcPr>
          <w:p w14:paraId="55D176BD"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IBS subtype (%)</w:t>
            </w:r>
          </w:p>
          <w:p w14:paraId="5FC5124A"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IBS-C</w:t>
            </w:r>
          </w:p>
          <w:p w14:paraId="265B94B9"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IBS-D</w:t>
            </w:r>
          </w:p>
          <w:p w14:paraId="22655001"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IBS-M</w:t>
            </w:r>
          </w:p>
          <w:p w14:paraId="23BB0531"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IBS-U</w:t>
            </w:r>
          </w:p>
        </w:tc>
        <w:tc>
          <w:tcPr>
            <w:tcW w:w="1835" w:type="dxa"/>
            <w:shd w:val="clear" w:color="auto" w:fill="FFCCCC"/>
          </w:tcPr>
          <w:p w14:paraId="58C2DF92" w14:textId="77777777" w:rsidR="002754F5" w:rsidRPr="00827C81" w:rsidRDefault="002754F5" w:rsidP="00107215">
            <w:pPr>
              <w:spacing w:line="480" w:lineRule="auto"/>
              <w:jc w:val="center"/>
              <w:rPr>
                <w:rFonts w:ascii="Times New Roman" w:hAnsi="Times New Roman" w:cs="Times New Roman"/>
                <w:sz w:val="20"/>
                <w:szCs w:val="20"/>
              </w:rPr>
            </w:pPr>
          </w:p>
          <w:p w14:paraId="4707DBC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40 (17)</w:t>
            </w:r>
          </w:p>
          <w:p w14:paraId="13871ED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92 (40)</w:t>
            </w:r>
          </w:p>
          <w:p w14:paraId="41B5C9E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93 (40)</w:t>
            </w:r>
          </w:p>
          <w:p w14:paraId="760FB9E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 (3)</w:t>
            </w:r>
          </w:p>
        </w:tc>
        <w:tc>
          <w:tcPr>
            <w:tcW w:w="1835" w:type="dxa"/>
            <w:shd w:val="clear" w:color="auto" w:fill="FFCCCC"/>
          </w:tcPr>
          <w:p w14:paraId="545B869E" w14:textId="77777777" w:rsidR="002754F5" w:rsidRPr="00827C81" w:rsidRDefault="002754F5" w:rsidP="00107215">
            <w:pPr>
              <w:spacing w:line="480" w:lineRule="auto"/>
              <w:jc w:val="center"/>
              <w:rPr>
                <w:rFonts w:ascii="Times New Roman" w:hAnsi="Times New Roman" w:cs="Times New Roman"/>
                <w:sz w:val="20"/>
                <w:szCs w:val="20"/>
              </w:rPr>
            </w:pPr>
          </w:p>
          <w:p w14:paraId="5648422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37 (16.0)</w:t>
            </w:r>
          </w:p>
          <w:p w14:paraId="2D1DA097"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89 (39)</w:t>
            </w:r>
          </w:p>
          <w:p w14:paraId="64A687F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98 (42)</w:t>
            </w:r>
          </w:p>
          <w:p w14:paraId="63BAD0AA"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 (3)</w:t>
            </w:r>
          </w:p>
        </w:tc>
        <w:tc>
          <w:tcPr>
            <w:tcW w:w="1836" w:type="dxa"/>
            <w:shd w:val="clear" w:color="auto" w:fill="FFCCCC"/>
          </w:tcPr>
          <w:p w14:paraId="10E403F8" w14:textId="77777777" w:rsidR="002754F5" w:rsidRPr="00827C81" w:rsidRDefault="002754F5" w:rsidP="00107215">
            <w:pPr>
              <w:spacing w:line="480" w:lineRule="auto"/>
              <w:jc w:val="center"/>
              <w:rPr>
                <w:rFonts w:ascii="Times New Roman" w:hAnsi="Times New Roman" w:cs="Times New Roman"/>
                <w:sz w:val="20"/>
                <w:szCs w:val="20"/>
              </w:rPr>
            </w:pPr>
          </w:p>
          <w:p w14:paraId="1678FE6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77 (17)</w:t>
            </w:r>
          </w:p>
          <w:p w14:paraId="3AC3E5C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181 (39)</w:t>
            </w:r>
          </w:p>
          <w:p w14:paraId="08528D3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191 (41)</w:t>
            </w:r>
          </w:p>
          <w:p w14:paraId="61FF1D0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14 (3)</w:t>
            </w:r>
          </w:p>
        </w:tc>
      </w:tr>
      <w:tr w:rsidR="002754F5" w:rsidRPr="00827C81" w14:paraId="252966C2" w14:textId="77777777" w:rsidTr="007C2016">
        <w:tc>
          <w:tcPr>
            <w:tcW w:w="3510" w:type="dxa"/>
          </w:tcPr>
          <w:p w14:paraId="5881D4E9"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Hub (%)</w:t>
            </w:r>
          </w:p>
          <w:p w14:paraId="07D1DEBE"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West Yorkshire</w:t>
            </w:r>
          </w:p>
          <w:p w14:paraId="195AC850"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West of England</w:t>
            </w:r>
          </w:p>
          <w:p w14:paraId="4AC35BC3"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Wessex</w:t>
            </w:r>
          </w:p>
        </w:tc>
        <w:tc>
          <w:tcPr>
            <w:tcW w:w="1835" w:type="dxa"/>
          </w:tcPr>
          <w:p w14:paraId="43A4123E" w14:textId="77777777" w:rsidR="002754F5" w:rsidRPr="00827C81" w:rsidRDefault="002754F5" w:rsidP="00107215">
            <w:pPr>
              <w:spacing w:line="480" w:lineRule="auto"/>
              <w:jc w:val="center"/>
              <w:rPr>
                <w:rFonts w:ascii="Times New Roman" w:hAnsi="Times New Roman" w:cs="Times New Roman"/>
                <w:sz w:val="20"/>
                <w:szCs w:val="20"/>
              </w:rPr>
            </w:pPr>
          </w:p>
          <w:p w14:paraId="085CBC87"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43 (19)</w:t>
            </w:r>
          </w:p>
          <w:p w14:paraId="68B93F0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92 (40)</w:t>
            </w:r>
          </w:p>
          <w:p w14:paraId="25B34A3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97 (42)</w:t>
            </w:r>
          </w:p>
        </w:tc>
        <w:tc>
          <w:tcPr>
            <w:tcW w:w="1835" w:type="dxa"/>
          </w:tcPr>
          <w:p w14:paraId="6A3381BD" w14:textId="77777777" w:rsidR="002754F5" w:rsidRPr="00827C81" w:rsidRDefault="002754F5" w:rsidP="00107215">
            <w:pPr>
              <w:spacing w:line="480" w:lineRule="auto"/>
              <w:jc w:val="center"/>
              <w:rPr>
                <w:rFonts w:ascii="Times New Roman" w:hAnsi="Times New Roman" w:cs="Times New Roman"/>
                <w:sz w:val="20"/>
                <w:szCs w:val="20"/>
              </w:rPr>
            </w:pPr>
          </w:p>
          <w:p w14:paraId="5505145D"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44 (19)</w:t>
            </w:r>
          </w:p>
          <w:p w14:paraId="3EEB126C"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92 (40)</w:t>
            </w:r>
          </w:p>
          <w:p w14:paraId="5B2E7C8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95 (41)</w:t>
            </w:r>
          </w:p>
        </w:tc>
        <w:tc>
          <w:tcPr>
            <w:tcW w:w="1836" w:type="dxa"/>
          </w:tcPr>
          <w:p w14:paraId="216BD881" w14:textId="77777777" w:rsidR="002754F5" w:rsidRPr="00827C81" w:rsidRDefault="002754F5" w:rsidP="00107215">
            <w:pPr>
              <w:spacing w:line="480" w:lineRule="auto"/>
              <w:jc w:val="center"/>
              <w:rPr>
                <w:rFonts w:ascii="Times New Roman" w:hAnsi="Times New Roman" w:cs="Times New Roman"/>
                <w:sz w:val="20"/>
                <w:szCs w:val="20"/>
              </w:rPr>
            </w:pPr>
          </w:p>
          <w:p w14:paraId="415D8CB4"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87 (19)</w:t>
            </w:r>
          </w:p>
          <w:p w14:paraId="3CEBA5F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184 (40)</w:t>
            </w:r>
          </w:p>
          <w:p w14:paraId="3749CC2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192 (42)</w:t>
            </w:r>
          </w:p>
        </w:tc>
      </w:tr>
      <w:tr w:rsidR="002754F5" w:rsidRPr="00827C81" w14:paraId="019E6D3D" w14:textId="77777777" w:rsidTr="007C2016">
        <w:tc>
          <w:tcPr>
            <w:tcW w:w="3510" w:type="dxa"/>
            <w:shd w:val="clear" w:color="auto" w:fill="FFCCCC"/>
          </w:tcPr>
          <w:p w14:paraId="4057E69C"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IMD quintile (%)*</w:t>
            </w:r>
          </w:p>
          <w:p w14:paraId="0736C91D"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1</w:t>
            </w:r>
          </w:p>
          <w:p w14:paraId="5BCE1A3A"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2</w:t>
            </w:r>
          </w:p>
          <w:p w14:paraId="0CD101DC"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3</w:t>
            </w:r>
          </w:p>
          <w:p w14:paraId="4940FFC8"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4</w:t>
            </w:r>
          </w:p>
          <w:p w14:paraId="5DA17199"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5</w:t>
            </w:r>
          </w:p>
        </w:tc>
        <w:tc>
          <w:tcPr>
            <w:tcW w:w="1835" w:type="dxa"/>
            <w:shd w:val="clear" w:color="auto" w:fill="FFCCCC"/>
          </w:tcPr>
          <w:p w14:paraId="158FE189" w14:textId="77777777" w:rsidR="002754F5" w:rsidRPr="00827C81" w:rsidRDefault="002754F5" w:rsidP="00107215">
            <w:pPr>
              <w:spacing w:line="480" w:lineRule="auto"/>
              <w:jc w:val="center"/>
              <w:rPr>
                <w:rFonts w:ascii="Times New Roman" w:hAnsi="Times New Roman" w:cs="Times New Roman"/>
                <w:sz w:val="20"/>
                <w:szCs w:val="20"/>
              </w:rPr>
            </w:pPr>
          </w:p>
          <w:p w14:paraId="4BCC0E4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13/229 (6)</w:t>
            </w:r>
          </w:p>
          <w:p w14:paraId="6E4C748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34/229 (15)</w:t>
            </w:r>
          </w:p>
          <w:p w14:paraId="061F953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38/229 (17)</w:t>
            </w:r>
          </w:p>
          <w:p w14:paraId="04AB688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75/229 (33)</w:t>
            </w:r>
          </w:p>
          <w:p w14:paraId="3ED5897D"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69/229 (30)</w:t>
            </w:r>
          </w:p>
        </w:tc>
        <w:tc>
          <w:tcPr>
            <w:tcW w:w="1835" w:type="dxa"/>
            <w:shd w:val="clear" w:color="auto" w:fill="FFCCCC"/>
          </w:tcPr>
          <w:p w14:paraId="21084BB7" w14:textId="77777777" w:rsidR="002754F5" w:rsidRPr="00827C81" w:rsidRDefault="002754F5" w:rsidP="00107215">
            <w:pPr>
              <w:spacing w:line="480" w:lineRule="auto"/>
              <w:jc w:val="center"/>
              <w:rPr>
                <w:rFonts w:ascii="Times New Roman" w:hAnsi="Times New Roman" w:cs="Times New Roman"/>
                <w:sz w:val="20"/>
                <w:szCs w:val="20"/>
              </w:rPr>
            </w:pPr>
          </w:p>
          <w:p w14:paraId="564D740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13/230 (6)</w:t>
            </w:r>
          </w:p>
          <w:p w14:paraId="74686A5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27/230 (12)</w:t>
            </w:r>
          </w:p>
          <w:p w14:paraId="64C4378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33/230 (14)</w:t>
            </w:r>
          </w:p>
          <w:p w14:paraId="5692878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74/230 (32)</w:t>
            </w:r>
          </w:p>
          <w:p w14:paraId="4E658E2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83/230 (36)</w:t>
            </w:r>
          </w:p>
        </w:tc>
        <w:tc>
          <w:tcPr>
            <w:tcW w:w="1836" w:type="dxa"/>
            <w:shd w:val="clear" w:color="auto" w:fill="FFCCCC"/>
          </w:tcPr>
          <w:p w14:paraId="290B0E50" w14:textId="77777777" w:rsidR="002754F5" w:rsidRPr="00827C81" w:rsidRDefault="002754F5" w:rsidP="00107215">
            <w:pPr>
              <w:spacing w:line="480" w:lineRule="auto"/>
              <w:jc w:val="center"/>
              <w:rPr>
                <w:rFonts w:ascii="Times New Roman" w:hAnsi="Times New Roman" w:cs="Times New Roman"/>
                <w:sz w:val="20"/>
                <w:szCs w:val="20"/>
              </w:rPr>
            </w:pPr>
          </w:p>
          <w:p w14:paraId="2830E9F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26/459 (6)</w:t>
            </w:r>
          </w:p>
          <w:p w14:paraId="778D10A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61/459 (13)</w:t>
            </w:r>
          </w:p>
          <w:p w14:paraId="79C3F78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71/459 (16)</w:t>
            </w:r>
          </w:p>
          <w:p w14:paraId="6DFB1C5A"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149/459 (33)</w:t>
            </w:r>
          </w:p>
          <w:p w14:paraId="557B98B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152/459 (33)</w:t>
            </w:r>
          </w:p>
        </w:tc>
      </w:tr>
      <w:tr w:rsidR="002754F5" w:rsidRPr="00827C81" w14:paraId="5C98D185" w14:textId="77777777" w:rsidTr="007C2016">
        <w:tc>
          <w:tcPr>
            <w:tcW w:w="3510" w:type="dxa"/>
          </w:tcPr>
          <w:p w14:paraId="35D17EF3"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Median years from IBS diagnosis (IQR)</w:t>
            </w:r>
          </w:p>
        </w:tc>
        <w:tc>
          <w:tcPr>
            <w:tcW w:w="1835" w:type="dxa"/>
          </w:tcPr>
          <w:p w14:paraId="40FFF63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 (4, 21)</w:t>
            </w:r>
          </w:p>
        </w:tc>
        <w:tc>
          <w:tcPr>
            <w:tcW w:w="1835" w:type="dxa"/>
          </w:tcPr>
          <w:p w14:paraId="3694607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 (4, 18)</w:t>
            </w:r>
          </w:p>
        </w:tc>
        <w:tc>
          <w:tcPr>
            <w:tcW w:w="1836" w:type="dxa"/>
          </w:tcPr>
          <w:p w14:paraId="754469B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 (4, 20)</w:t>
            </w:r>
          </w:p>
        </w:tc>
      </w:tr>
      <w:tr w:rsidR="002754F5" w:rsidRPr="00827C81" w14:paraId="6D0DAF74" w14:textId="77777777" w:rsidTr="007C2016">
        <w:tc>
          <w:tcPr>
            <w:tcW w:w="3510" w:type="dxa"/>
            <w:shd w:val="clear" w:color="auto" w:fill="FFCCCC"/>
          </w:tcPr>
          <w:p w14:paraId="6DAACA22"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IBS-SSS (SD)†</w:t>
            </w:r>
          </w:p>
        </w:tc>
        <w:tc>
          <w:tcPr>
            <w:tcW w:w="1835" w:type="dxa"/>
            <w:shd w:val="clear" w:color="auto" w:fill="FFCCCC"/>
          </w:tcPr>
          <w:p w14:paraId="4C196CFE"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273.4 (90.5)</w:t>
            </w:r>
          </w:p>
        </w:tc>
        <w:tc>
          <w:tcPr>
            <w:tcW w:w="1835" w:type="dxa"/>
            <w:shd w:val="clear" w:color="auto" w:fill="FFCCCC"/>
          </w:tcPr>
          <w:p w14:paraId="067722D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272.1 (90.3)</w:t>
            </w:r>
          </w:p>
        </w:tc>
        <w:tc>
          <w:tcPr>
            <w:tcW w:w="1836" w:type="dxa"/>
            <w:shd w:val="clear" w:color="auto" w:fill="FFCCCC"/>
          </w:tcPr>
          <w:p w14:paraId="237F7DE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272.8 (90.3)</w:t>
            </w:r>
          </w:p>
        </w:tc>
      </w:tr>
      <w:tr w:rsidR="002754F5" w:rsidRPr="00827C81" w14:paraId="7BA11674" w14:textId="77777777" w:rsidTr="007C2016">
        <w:tc>
          <w:tcPr>
            <w:tcW w:w="3510" w:type="dxa"/>
          </w:tcPr>
          <w:p w14:paraId="4110D93F"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IBS-SSS severity (%)‡</w:t>
            </w:r>
          </w:p>
          <w:p w14:paraId="3E6B1323"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Mild (75-174)</w:t>
            </w:r>
          </w:p>
          <w:p w14:paraId="2CCA09F8"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Moderate (175-299)</w:t>
            </w:r>
          </w:p>
          <w:p w14:paraId="5DED4A48"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sz w:val="20"/>
                <w:szCs w:val="20"/>
              </w:rPr>
              <w:t>Severe (300-500)</w:t>
            </w:r>
          </w:p>
        </w:tc>
        <w:tc>
          <w:tcPr>
            <w:tcW w:w="1835" w:type="dxa"/>
          </w:tcPr>
          <w:p w14:paraId="7347882A" w14:textId="77777777" w:rsidR="002754F5" w:rsidRPr="00827C81" w:rsidRDefault="002754F5" w:rsidP="00107215">
            <w:pPr>
              <w:spacing w:line="480" w:lineRule="auto"/>
              <w:jc w:val="center"/>
              <w:rPr>
                <w:rFonts w:ascii="Times New Roman" w:hAnsi="Times New Roman" w:cs="Times New Roman"/>
                <w:sz w:val="20"/>
                <w:szCs w:val="20"/>
              </w:rPr>
            </w:pPr>
          </w:p>
          <w:p w14:paraId="1A3FB59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37 (16)</w:t>
            </w:r>
          </w:p>
          <w:p w14:paraId="192503FF"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98 (42)</w:t>
            </w:r>
          </w:p>
          <w:p w14:paraId="3C17075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94 (41)</w:t>
            </w:r>
          </w:p>
        </w:tc>
        <w:tc>
          <w:tcPr>
            <w:tcW w:w="1835" w:type="dxa"/>
          </w:tcPr>
          <w:p w14:paraId="5A811C79" w14:textId="77777777" w:rsidR="002754F5" w:rsidRPr="00827C81" w:rsidRDefault="002754F5" w:rsidP="00107215">
            <w:pPr>
              <w:spacing w:line="480" w:lineRule="auto"/>
              <w:jc w:val="center"/>
              <w:rPr>
                <w:rFonts w:ascii="Times New Roman" w:hAnsi="Times New Roman" w:cs="Times New Roman"/>
                <w:sz w:val="20"/>
                <w:szCs w:val="20"/>
              </w:rPr>
            </w:pPr>
          </w:p>
          <w:p w14:paraId="262E2A9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26 (11)</w:t>
            </w:r>
          </w:p>
          <w:p w14:paraId="5423E9FF"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103 (45)</w:t>
            </w:r>
          </w:p>
          <w:p w14:paraId="00D4B60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97 (42)</w:t>
            </w:r>
          </w:p>
        </w:tc>
        <w:tc>
          <w:tcPr>
            <w:tcW w:w="1836" w:type="dxa"/>
          </w:tcPr>
          <w:p w14:paraId="7B56FA15" w14:textId="77777777" w:rsidR="002754F5" w:rsidRPr="00827C81" w:rsidRDefault="002754F5" w:rsidP="00107215">
            <w:pPr>
              <w:spacing w:line="480" w:lineRule="auto"/>
              <w:jc w:val="center"/>
              <w:rPr>
                <w:rFonts w:ascii="Times New Roman" w:hAnsi="Times New Roman" w:cs="Times New Roman"/>
                <w:sz w:val="20"/>
                <w:szCs w:val="20"/>
              </w:rPr>
            </w:pPr>
          </w:p>
          <w:p w14:paraId="52C500E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63 (14)</w:t>
            </w:r>
          </w:p>
          <w:p w14:paraId="6AC053F0"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201 (43)</w:t>
            </w:r>
          </w:p>
          <w:p w14:paraId="6F611CF7"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191 (41)</w:t>
            </w:r>
          </w:p>
        </w:tc>
      </w:tr>
      <w:tr w:rsidR="002754F5" w:rsidRPr="00827C81" w14:paraId="449D8EB0" w14:textId="77777777" w:rsidTr="007C2016">
        <w:tc>
          <w:tcPr>
            <w:tcW w:w="3510" w:type="dxa"/>
            <w:shd w:val="clear" w:color="auto" w:fill="FFCCCC"/>
          </w:tcPr>
          <w:p w14:paraId="6DE7618A"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lastRenderedPageBreak/>
              <w:t>Mean PHQ-12 score (SD)†</w:t>
            </w:r>
          </w:p>
        </w:tc>
        <w:tc>
          <w:tcPr>
            <w:tcW w:w="1835" w:type="dxa"/>
            <w:shd w:val="clear" w:color="auto" w:fill="FFCCCC"/>
          </w:tcPr>
          <w:p w14:paraId="6095DFA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6.3 (3.5)</w:t>
            </w:r>
          </w:p>
        </w:tc>
        <w:tc>
          <w:tcPr>
            <w:tcW w:w="1835" w:type="dxa"/>
            <w:shd w:val="clear" w:color="auto" w:fill="FFCCCC"/>
          </w:tcPr>
          <w:p w14:paraId="70B1A82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6.3 (3.6)</w:t>
            </w:r>
          </w:p>
        </w:tc>
        <w:tc>
          <w:tcPr>
            <w:tcW w:w="1836" w:type="dxa"/>
            <w:shd w:val="clear" w:color="auto" w:fill="FFCCCC"/>
          </w:tcPr>
          <w:p w14:paraId="6A8D2A5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6.3 (3.5)</w:t>
            </w:r>
          </w:p>
        </w:tc>
      </w:tr>
      <w:tr w:rsidR="002754F5" w:rsidRPr="00827C81" w14:paraId="5753C98C" w14:textId="77777777" w:rsidTr="007C2016">
        <w:tc>
          <w:tcPr>
            <w:tcW w:w="3510" w:type="dxa"/>
          </w:tcPr>
          <w:p w14:paraId="6B77DC4A"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HADS-anxiety score (SD)†</w:t>
            </w:r>
          </w:p>
        </w:tc>
        <w:tc>
          <w:tcPr>
            <w:tcW w:w="1835" w:type="dxa"/>
          </w:tcPr>
          <w:p w14:paraId="704AE15D"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7.3 (4.3)</w:t>
            </w:r>
          </w:p>
        </w:tc>
        <w:tc>
          <w:tcPr>
            <w:tcW w:w="1835" w:type="dxa"/>
          </w:tcPr>
          <w:p w14:paraId="03B4AEF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7.7 (4.3)</w:t>
            </w:r>
          </w:p>
        </w:tc>
        <w:tc>
          <w:tcPr>
            <w:tcW w:w="1836" w:type="dxa"/>
          </w:tcPr>
          <w:p w14:paraId="45A7F44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7.5 (4.3)</w:t>
            </w:r>
          </w:p>
        </w:tc>
      </w:tr>
      <w:tr w:rsidR="002754F5" w:rsidRPr="00827C81" w14:paraId="0750C152" w14:textId="77777777" w:rsidTr="007C2016">
        <w:tc>
          <w:tcPr>
            <w:tcW w:w="3510" w:type="dxa"/>
            <w:shd w:val="clear" w:color="auto" w:fill="FFCCCC"/>
          </w:tcPr>
          <w:p w14:paraId="4467D3B4"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b/>
                <w:bCs/>
                <w:sz w:val="20"/>
                <w:szCs w:val="20"/>
              </w:rPr>
              <w:t>HADS-anxiety score ≥8 (%)</w:t>
            </w:r>
          </w:p>
        </w:tc>
        <w:tc>
          <w:tcPr>
            <w:tcW w:w="1835" w:type="dxa"/>
            <w:shd w:val="clear" w:color="auto" w:fill="FFCCCC"/>
          </w:tcPr>
          <w:p w14:paraId="5E31840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106 (46)</w:t>
            </w:r>
          </w:p>
        </w:tc>
        <w:tc>
          <w:tcPr>
            <w:tcW w:w="1835" w:type="dxa"/>
            <w:shd w:val="clear" w:color="auto" w:fill="FFCCCC"/>
          </w:tcPr>
          <w:p w14:paraId="2CA38A2A"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112 (49)</w:t>
            </w:r>
          </w:p>
        </w:tc>
        <w:tc>
          <w:tcPr>
            <w:tcW w:w="1836" w:type="dxa"/>
            <w:shd w:val="clear" w:color="auto" w:fill="FFCCCC"/>
          </w:tcPr>
          <w:p w14:paraId="18F843E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218 (47)</w:t>
            </w:r>
          </w:p>
        </w:tc>
      </w:tr>
      <w:tr w:rsidR="002754F5" w:rsidRPr="00827C81" w14:paraId="05571A0D" w14:textId="77777777" w:rsidTr="007C2016">
        <w:tc>
          <w:tcPr>
            <w:tcW w:w="3510" w:type="dxa"/>
          </w:tcPr>
          <w:p w14:paraId="40150B34" w14:textId="77777777" w:rsidR="002754F5" w:rsidRPr="00827C81" w:rsidRDefault="002754F5" w:rsidP="00E947D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Previously treated for anxiety (%)</w:t>
            </w:r>
          </w:p>
        </w:tc>
        <w:tc>
          <w:tcPr>
            <w:tcW w:w="1835" w:type="dxa"/>
          </w:tcPr>
          <w:p w14:paraId="025BAE60"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80 (34)</w:t>
            </w:r>
          </w:p>
        </w:tc>
        <w:tc>
          <w:tcPr>
            <w:tcW w:w="1835" w:type="dxa"/>
          </w:tcPr>
          <w:p w14:paraId="123D3C3F"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79 (34)</w:t>
            </w:r>
          </w:p>
        </w:tc>
        <w:tc>
          <w:tcPr>
            <w:tcW w:w="1836" w:type="dxa"/>
          </w:tcPr>
          <w:p w14:paraId="523CE62C"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159 (34)</w:t>
            </w:r>
          </w:p>
        </w:tc>
      </w:tr>
      <w:tr w:rsidR="002754F5" w:rsidRPr="00827C81" w14:paraId="1145A27E" w14:textId="77777777" w:rsidTr="007C2016">
        <w:tc>
          <w:tcPr>
            <w:tcW w:w="3510" w:type="dxa"/>
            <w:shd w:val="clear" w:color="auto" w:fill="FFCCCC"/>
          </w:tcPr>
          <w:p w14:paraId="798F260F"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b/>
                <w:bCs/>
                <w:sz w:val="20"/>
                <w:szCs w:val="20"/>
              </w:rPr>
              <w:t>Mean HADS-depression score (SD)†</w:t>
            </w:r>
          </w:p>
        </w:tc>
        <w:tc>
          <w:tcPr>
            <w:tcW w:w="1835" w:type="dxa"/>
            <w:shd w:val="clear" w:color="auto" w:fill="FFCCCC"/>
          </w:tcPr>
          <w:p w14:paraId="03B3F647"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4.4 (3.6)</w:t>
            </w:r>
          </w:p>
        </w:tc>
        <w:tc>
          <w:tcPr>
            <w:tcW w:w="1835" w:type="dxa"/>
            <w:shd w:val="clear" w:color="auto" w:fill="FFCCCC"/>
          </w:tcPr>
          <w:p w14:paraId="29FBB9C4"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4.1 (3.2)</w:t>
            </w:r>
          </w:p>
        </w:tc>
        <w:tc>
          <w:tcPr>
            <w:tcW w:w="1836" w:type="dxa"/>
            <w:shd w:val="clear" w:color="auto" w:fill="FFCCCC"/>
          </w:tcPr>
          <w:p w14:paraId="391261FB"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4.3 (3.4)</w:t>
            </w:r>
          </w:p>
        </w:tc>
      </w:tr>
      <w:tr w:rsidR="002754F5" w:rsidRPr="00827C81" w14:paraId="3FB89E32" w14:textId="77777777" w:rsidTr="007C2016">
        <w:tc>
          <w:tcPr>
            <w:tcW w:w="3510" w:type="dxa"/>
            <w:shd w:val="clear" w:color="auto" w:fill="auto"/>
          </w:tcPr>
          <w:p w14:paraId="37777A1D"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b/>
                <w:bCs/>
                <w:sz w:val="20"/>
                <w:szCs w:val="20"/>
              </w:rPr>
              <w:t>HADS-depression score ≥8 (%)</w:t>
            </w:r>
          </w:p>
        </w:tc>
        <w:tc>
          <w:tcPr>
            <w:tcW w:w="1835" w:type="dxa"/>
            <w:shd w:val="clear" w:color="auto" w:fill="auto"/>
          </w:tcPr>
          <w:p w14:paraId="7D94892B"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37 (16)</w:t>
            </w:r>
          </w:p>
        </w:tc>
        <w:tc>
          <w:tcPr>
            <w:tcW w:w="1835" w:type="dxa"/>
            <w:shd w:val="clear" w:color="auto" w:fill="auto"/>
          </w:tcPr>
          <w:p w14:paraId="465F2045"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36 (16)</w:t>
            </w:r>
          </w:p>
        </w:tc>
        <w:tc>
          <w:tcPr>
            <w:tcW w:w="1836" w:type="dxa"/>
            <w:shd w:val="clear" w:color="auto" w:fill="auto"/>
          </w:tcPr>
          <w:p w14:paraId="4A65D567"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73 (16)</w:t>
            </w:r>
          </w:p>
        </w:tc>
      </w:tr>
      <w:tr w:rsidR="002754F5" w:rsidRPr="00827C81" w14:paraId="6AE5F82B" w14:textId="77777777" w:rsidTr="007C2016">
        <w:tc>
          <w:tcPr>
            <w:tcW w:w="3510" w:type="dxa"/>
            <w:shd w:val="clear" w:color="auto" w:fill="FFCCCC"/>
          </w:tcPr>
          <w:p w14:paraId="2899AC79" w14:textId="77777777" w:rsidR="002754F5" w:rsidRPr="00827C81" w:rsidRDefault="002754F5" w:rsidP="00E947D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Previously treated for depression (%)</w:t>
            </w:r>
          </w:p>
        </w:tc>
        <w:tc>
          <w:tcPr>
            <w:tcW w:w="1835" w:type="dxa"/>
            <w:shd w:val="clear" w:color="auto" w:fill="FFCCCC"/>
          </w:tcPr>
          <w:p w14:paraId="2A7A5C4D"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79 (34)</w:t>
            </w:r>
          </w:p>
        </w:tc>
        <w:tc>
          <w:tcPr>
            <w:tcW w:w="1835" w:type="dxa"/>
            <w:shd w:val="clear" w:color="auto" w:fill="FFCCCC"/>
          </w:tcPr>
          <w:p w14:paraId="3333AE3F"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99 (43)</w:t>
            </w:r>
          </w:p>
        </w:tc>
        <w:tc>
          <w:tcPr>
            <w:tcW w:w="1836" w:type="dxa"/>
            <w:shd w:val="clear" w:color="auto" w:fill="FFCCCC"/>
          </w:tcPr>
          <w:p w14:paraId="60B06A2C"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178 (38)</w:t>
            </w:r>
          </w:p>
        </w:tc>
      </w:tr>
      <w:tr w:rsidR="002754F5" w:rsidRPr="00827C81" w14:paraId="66E2CBEA" w14:textId="77777777" w:rsidTr="007C2016">
        <w:tc>
          <w:tcPr>
            <w:tcW w:w="3510" w:type="dxa"/>
          </w:tcPr>
          <w:p w14:paraId="136E6FD4" w14:textId="77777777" w:rsidR="002754F5" w:rsidRPr="00827C81" w:rsidRDefault="002754F5" w:rsidP="00E947D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WSAS score (SD)†</w:t>
            </w:r>
          </w:p>
        </w:tc>
        <w:tc>
          <w:tcPr>
            <w:tcW w:w="1835" w:type="dxa"/>
          </w:tcPr>
          <w:p w14:paraId="0EC4C234"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11.2 (8.2)</w:t>
            </w:r>
          </w:p>
        </w:tc>
        <w:tc>
          <w:tcPr>
            <w:tcW w:w="1835" w:type="dxa"/>
          </w:tcPr>
          <w:p w14:paraId="2D5B027C"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11.5 (7.6)</w:t>
            </w:r>
          </w:p>
        </w:tc>
        <w:tc>
          <w:tcPr>
            <w:tcW w:w="1836" w:type="dxa"/>
          </w:tcPr>
          <w:p w14:paraId="177B0E5D"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11.4 (7.9)</w:t>
            </w:r>
          </w:p>
        </w:tc>
      </w:tr>
      <w:tr w:rsidR="002754F5" w:rsidRPr="00827C81" w14:paraId="774FBFBC" w14:textId="77777777" w:rsidTr="00435679">
        <w:tc>
          <w:tcPr>
            <w:tcW w:w="3510" w:type="dxa"/>
            <w:shd w:val="clear" w:color="auto" w:fill="FFCCCC"/>
          </w:tcPr>
          <w:p w14:paraId="25B5D0D0" w14:textId="77777777" w:rsidR="002754F5" w:rsidRPr="00827C81" w:rsidRDefault="002754F5" w:rsidP="00E947D2">
            <w:pPr>
              <w:spacing w:line="480" w:lineRule="auto"/>
              <w:rPr>
                <w:rFonts w:ascii="Times New Roman" w:hAnsi="Times New Roman" w:cs="Times New Roman"/>
                <w:b/>
                <w:bCs/>
                <w:sz w:val="20"/>
                <w:szCs w:val="20"/>
              </w:rPr>
            </w:pPr>
            <w:r>
              <w:rPr>
                <w:rFonts w:ascii="Times New Roman" w:hAnsi="Times New Roman" w:cs="Times New Roman"/>
                <w:b/>
                <w:bCs/>
                <w:sz w:val="20"/>
                <w:szCs w:val="20"/>
              </w:rPr>
              <w:t>Previous dietary changes (%)</w:t>
            </w:r>
          </w:p>
        </w:tc>
        <w:tc>
          <w:tcPr>
            <w:tcW w:w="1835" w:type="dxa"/>
            <w:shd w:val="clear" w:color="auto" w:fill="FFCCCC"/>
          </w:tcPr>
          <w:p w14:paraId="4B187841" w14:textId="77777777" w:rsidR="002754F5"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232 (100)</w:t>
            </w:r>
          </w:p>
        </w:tc>
        <w:tc>
          <w:tcPr>
            <w:tcW w:w="1835" w:type="dxa"/>
            <w:shd w:val="clear" w:color="auto" w:fill="FFCCCC"/>
          </w:tcPr>
          <w:p w14:paraId="04CA3467" w14:textId="77777777" w:rsidR="002754F5"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231 (100)</w:t>
            </w:r>
          </w:p>
        </w:tc>
        <w:tc>
          <w:tcPr>
            <w:tcW w:w="1836" w:type="dxa"/>
            <w:shd w:val="clear" w:color="auto" w:fill="FFCCCC"/>
          </w:tcPr>
          <w:p w14:paraId="5C48FE47" w14:textId="77777777" w:rsidR="002754F5"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463 (100)</w:t>
            </w:r>
          </w:p>
        </w:tc>
      </w:tr>
      <w:tr w:rsidR="002754F5" w:rsidRPr="00827C81" w14:paraId="6C8A0B8D" w14:textId="77777777" w:rsidTr="007C2016">
        <w:tc>
          <w:tcPr>
            <w:tcW w:w="3510" w:type="dxa"/>
            <w:shd w:val="clear" w:color="auto" w:fill="FFCCCC"/>
          </w:tcPr>
          <w:p w14:paraId="497B7640" w14:textId="77777777" w:rsidR="002754F5" w:rsidRDefault="002754F5" w:rsidP="00E947D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Previous first-line treatments (%)⁑</w:t>
            </w:r>
          </w:p>
          <w:p w14:paraId="20743EE8"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sz w:val="20"/>
                <w:szCs w:val="20"/>
              </w:rPr>
              <w:t>Antispasmodics</w:t>
            </w:r>
          </w:p>
          <w:p w14:paraId="269E12F7"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sz w:val="20"/>
                <w:szCs w:val="20"/>
              </w:rPr>
              <w:t>Anti-diarrhoeals</w:t>
            </w:r>
          </w:p>
          <w:p w14:paraId="194A488D"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sz w:val="20"/>
                <w:szCs w:val="20"/>
              </w:rPr>
              <w:t>Fibre supplements</w:t>
            </w:r>
          </w:p>
          <w:p w14:paraId="51CE1340"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sz w:val="20"/>
                <w:szCs w:val="20"/>
              </w:rPr>
              <w:t xml:space="preserve">Laxatives </w:t>
            </w:r>
          </w:p>
          <w:p w14:paraId="69C569C5" w14:textId="77777777" w:rsidR="002754F5" w:rsidRPr="00827C81" w:rsidRDefault="002754F5" w:rsidP="00E947D2">
            <w:pPr>
              <w:spacing w:line="480" w:lineRule="auto"/>
              <w:rPr>
                <w:rFonts w:ascii="Times New Roman" w:hAnsi="Times New Roman" w:cs="Times New Roman"/>
                <w:sz w:val="20"/>
                <w:szCs w:val="20"/>
              </w:rPr>
            </w:pPr>
            <w:r w:rsidRPr="00827C81">
              <w:rPr>
                <w:rFonts w:ascii="Times New Roman" w:hAnsi="Times New Roman" w:cs="Times New Roman"/>
                <w:sz w:val="20"/>
                <w:szCs w:val="20"/>
              </w:rPr>
              <w:t>Peppermint oil</w:t>
            </w:r>
          </w:p>
        </w:tc>
        <w:tc>
          <w:tcPr>
            <w:tcW w:w="1835" w:type="dxa"/>
            <w:shd w:val="clear" w:color="auto" w:fill="FFCCCC"/>
          </w:tcPr>
          <w:p w14:paraId="55779D81" w14:textId="77777777" w:rsidR="002754F5"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232 (100)</w:t>
            </w:r>
          </w:p>
          <w:p w14:paraId="68E25020"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176 (76)</w:t>
            </w:r>
          </w:p>
          <w:p w14:paraId="4D28DBE7"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70 (30)</w:t>
            </w:r>
          </w:p>
          <w:p w14:paraId="3389058F"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52 (22)</w:t>
            </w:r>
          </w:p>
          <w:p w14:paraId="2AA71438"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51 (22)</w:t>
            </w:r>
          </w:p>
          <w:p w14:paraId="66BF76F1"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18 (8)</w:t>
            </w:r>
          </w:p>
        </w:tc>
        <w:tc>
          <w:tcPr>
            <w:tcW w:w="1835" w:type="dxa"/>
            <w:shd w:val="clear" w:color="auto" w:fill="FFCCCC"/>
          </w:tcPr>
          <w:p w14:paraId="5A42EA25" w14:textId="77777777" w:rsidR="002754F5" w:rsidRPr="00827C81"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231 (100)</w:t>
            </w:r>
            <w:r w:rsidRPr="00827C81">
              <w:rPr>
                <w:rFonts w:ascii="Times New Roman" w:hAnsi="Times New Roman" w:cs="Times New Roman"/>
                <w:sz w:val="20"/>
                <w:szCs w:val="20"/>
              </w:rPr>
              <w:t>183 (79)</w:t>
            </w:r>
          </w:p>
          <w:p w14:paraId="541D6B2D"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75 (33)</w:t>
            </w:r>
          </w:p>
          <w:p w14:paraId="07A5801B"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52 (23)</w:t>
            </w:r>
          </w:p>
          <w:p w14:paraId="73304EB7"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34 (15)</w:t>
            </w:r>
          </w:p>
          <w:p w14:paraId="1F48CA8D"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27 (12)</w:t>
            </w:r>
          </w:p>
        </w:tc>
        <w:tc>
          <w:tcPr>
            <w:tcW w:w="1836" w:type="dxa"/>
            <w:shd w:val="clear" w:color="auto" w:fill="FFCCCC"/>
          </w:tcPr>
          <w:p w14:paraId="468F57AB" w14:textId="77777777" w:rsidR="002754F5" w:rsidRPr="00827C81" w:rsidRDefault="002754F5" w:rsidP="00E947D2">
            <w:pPr>
              <w:spacing w:line="480" w:lineRule="auto"/>
              <w:jc w:val="center"/>
              <w:rPr>
                <w:rFonts w:ascii="Times New Roman" w:hAnsi="Times New Roman" w:cs="Times New Roman"/>
                <w:sz w:val="20"/>
                <w:szCs w:val="20"/>
              </w:rPr>
            </w:pPr>
            <w:r>
              <w:rPr>
                <w:rFonts w:ascii="Times New Roman" w:hAnsi="Times New Roman" w:cs="Times New Roman"/>
                <w:sz w:val="20"/>
                <w:szCs w:val="20"/>
              </w:rPr>
              <w:t>463 (100)</w:t>
            </w:r>
            <w:r w:rsidRPr="00827C81">
              <w:rPr>
                <w:rFonts w:ascii="Times New Roman" w:hAnsi="Times New Roman" w:cs="Times New Roman"/>
                <w:sz w:val="20"/>
                <w:szCs w:val="20"/>
              </w:rPr>
              <w:t>359 (78)</w:t>
            </w:r>
          </w:p>
          <w:p w14:paraId="042309CD"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145 (31)</w:t>
            </w:r>
          </w:p>
          <w:p w14:paraId="4F3BA64F"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104 (23)</w:t>
            </w:r>
          </w:p>
          <w:p w14:paraId="3E67FE50"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85 (18)</w:t>
            </w:r>
          </w:p>
          <w:p w14:paraId="36942632" w14:textId="77777777" w:rsidR="002754F5" w:rsidRPr="00827C81" w:rsidRDefault="002754F5" w:rsidP="00E947D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45 (10)</w:t>
            </w:r>
          </w:p>
        </w:tc>
      </w:tr>
    </w:tbl>
    <w:bookmarkEnd w:id="34"/>
    <w:p w14:paraId="06EA13B1"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sz w:val="24"/>
          <w:szCs w:val="24"/>
        </w:rPr>
        <w:t>*Index of mean deprivation; quintile 1 = neighbourhood in the 20% most deprived neighbourhoods in England, 2 = 20-40%, 3 = 40-60%, 4 = 60-80%, 5 = neighbourhood in the 20% least deprived neighbourhoods in England.</w:t>
      </w:r>
    </w:p>
    <w:p w14:paraId="5D021D54"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sz w:val="24"/>
          <w:szCs w:val="24"/>
        </w:rPr>
        <w:t>†Lower scores are better.</w:t>
      </w:r>
    </w:p>
    <w:p w14:paraId="352C09EA"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sz w:val="24"/>
          <w:szCs w:val="24"/>
        </w:rPr>
        <w:t xml:space="preserve">‡Eight </w:t>
      </w:r>
      <w:r w:rsidRPr="00827C81">
        <w:rPr>
          <w:rFonts w:ascii="Times New Roman" w:hAnsi="Times New Roman" w:cs="Times New Roman"/>
          <w:bCs/>
          <w:sz w:val="24"/>
          <w:szCs w:val="24"/>
        </w:rPr>
        <w:t>participant</w:t>
      </w:r>
      <w:r w:rsidRPr="00827C81">
        <w:rPr>
          <w:rFonts w:ascii="Times New Roman" w:hAnsi="Times New Roman" w:cs="Times New Roman"/>
          <w:sz w:val="24"/>
          <w:szCs w:val="24"/>
        </w:rPr>
        <w:t xml:space="preserve">s with an IBS-SSS ≥75 points at eligibility screening had a score &lt;75 points at the time of randomisation but were included as they met eligibility criteria at screening. </w:t>
      </w:r>
    </w:p>
    <w:p w14:paraId="75852D25"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bCs/>
          <w:sz w:val="24"/>
          <w:szCs w:val="24"/>
        </w:rPr>
        <w:t>⁑</w:t>
      </w:r>
      <w:r w:rsidRPr="00827C81">
        <w:rPr>
          <w:rFonts w:ascii="Times New Roman" w:hAnsi="Times New Roman" w:cs="Times New Roman"/>
          <w:sz w:val="24"/>
          <w:szCs w:val="24"/>
        </w:rPr>
        <w:t>Not mutually exclusive.</w:t>
      </w:r>
    </w:p>
    <w:p w14:paraId="1121EE2A" w14:textId="77777777" w:rsidR="002754F5" w:rsidRPr="00827C81" w:rsidRDefault="002754F5" w:rsidP="00107215">
      <w:pPr>
        <w:spacing w:line="480" w:lineRule="auto"/>
        <w:rPr>
          <w:rFonts w:ascii="Times New Roman" w:hAnsi="Times New Roman" w:cs="Times New Roman"/>
          <w:b/>
          <w:sz w:val="24"/>
          <w:szCs w:val="24"/>
          <w:lang w:eastAsia="en-GB"/>
        </w:rPr>
      </w:pPr>
    </w:p>
    <w:p w14:paraId="5DBA6F56" w14:textId="77777777" w:rsidR="002754F5" w:rsidRPr="00827C81" w:rsidRDefault="002754F5" w:rsidP="00107215">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br w:type="page"/>
      </w:r>
    </w:p>
    <w:p w14:paraId="544E2B47" w14:textId="77777777" w:rsidR="002754F5" w:rsidRPr="00827C81" w:rsidRDefault="002754F5" w:rsidP="00107215">
      <w:pPr>
        <w:spacing w:line="480" w:lineRule="auto"/>
        <w:rPr>
          <w:rFonts w:ascii="Times New Roman" w:hAnsi="Times New Roman" w:cs="Times New Roman"/>
          <w:b/>
          <w:sz w:val="24"/>
          <w:szCs w:val="24"/>
          <w:lang w:eastAsia="en-GB"/>
        </w:rPr>
        <w:sectPr w:rsidR="002754F5" w:rsidRPr="00827C81" w:rsidSect="00FA53A1">
          <w:headerReference w:type="default" r:id="rId11"/>
          <w:pgSz w:w="11906" w:h="16838"/>
          <w:pgMar w:top="1440" w:right="1440" w:bottom="1440" w:left="1440" w:header="708" w:footer="708" w:gutter="0"/>
          <w:cols w:space="708"/>
          <w:docGrid w:linePitch="360"/>
        </w:sectPr>
      </w:pPr>
    </w:p>
    <w:p w14:paraId="55DF385B" w14:textId="77777777" w:rsidR="002754F5" w:rsidRPr="00827C81" w:rsidRDefault="002754F5" w:rsidP="00107215">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lastRenderedPageBreak/>
        <w:t xml:space="preserve">Table 2. Primary Outcome at 6 Months and Secondary Outcomes at 3 and 6 Months. </w:t>
      </w:r>
    </w:p>
    <w:tbl>
      <w:tblPr>
        <w:tblStyle w:val="TableGrid"/>
        <w:tblW w:w="5000" w:type="pct"/>
        <w:jc w:val="center"/>
        <w:tblLook w:val="04A0" w:firstRow="1" w:lastRow="0" w:firstColumn="1" w:lastColumn="0" w:noHBand="0" w:noVBand="1"/>
      </w:tblPr>
      <w:tblGrid>
        <w:gridCol w:w="3454"/>
        <w:gridCol w:w="1749"/>
        <w:gridCol w:w="1749"/>
        <w:gridCol w:w="1749"/>
        <w:gridCol w:w="1749"/>
        <w:gridCol w:w="1749"/>
        <w:gridCol w:w="1749"/>
      </w:tblGrid>
      <w:tr w:rsidR="002754F5" w:rsidRPr="00827C81" w14:paraId="29BA035B" w14:textId="77777777" w:rsidTr="003647E8">
        <w:trPr>
          <w:cantSplit/>
          <w:jc w:val="center"/>
        </w:trPr>
        <w:tc>
          <w:tcPr>
            <w:tcW w:w="1238" w:type="pct"/>
            <w:shd w:val="clear" w:color="auto" w:fill="FFCCCC"/>
          </w:tcPr>
          <w:p w14:paraId="6F81D4AC" w14:textId="77777777" w:rsidR="002754F5" w:rsidRPr="00827C81" w:rsidRDefault="002754F5" w:rsidP="00107215">
            <w:pPr>
              <w:spacing w:line="480" w:lineRule="auto"/>
              <w:rPr>
                <w:rFonts w:ascii="Times New Roman" w:hAnsi="Times New Roman" w:cs="Times New Roman"/>
                <w:color w:val="414141"/>
                <w:sz w:val="20"/>
                <w:szCs w:val="20"/>
                <w:shd w:val="clear" w:color="auto" w:fill="FFFFFF"/>
              </w:rPr>
            </w:pPr>
          </w:p>
        </w:tc>
        <w:tc>
          <w:tcPr>
            <w:tcW w:w="1881" w:type="pct"/>
            <w:gridSpan w:val="3"/>
            <w:shd w:val="clear" w:color="auto" w:fill="FFCCCC"/>
          </w:tcPr>
          <w:p w14:paraId="62C8AD9D"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3 months</w:t>
            </w:r>
          </w:p>
        </w:tc>
        <w:tc>
          <w:tcPr>
            <w:tcW w:w="1881" w:type="pct"/>
            <w:gridSpan w:val="3"/>
            <w:shd w:val="clear" w:color="auto" w:fill="FFCCCC"/>
          </w:tcPr>
          <w:p w14:paraId="47B945DD"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6 months</w:t>
            </w:r>
          </w:p>
        </w:tc>
      </w:tr>
      <w:tr w:rsidR="002754F5" w:rsidRPr="00827C81" w14:paraId="5B0501C5" w14:textId="77777777" w:rsidTr="003647E8">
        <w:trPr>
          <w:cantSplit/>
          <w:jc w:val="center"/>
        </w:trPr>
        <w:tc>
          <w:tcPr>
            <w:tcW w:w="1238" w:type="pct"/>
            <w:shd w:val="clear" w:color="auto" w:fill="FFCCCC"/>
          </w:tcPr>
          <w:p w14:paraId="601F8C41" w14:textId="77777777" w:rsidR="002754F5" w:rsidRPr="00827C81" w:rsidRDefault="002754F5" w:rsidP="00107215">
            <w:pPr>
              <w:spacing w:line="480" w:lineRule="auto"/>
              <w:rPr>
                <w:rFonts w:ascii="Times New Roman" w:hAnsi="Times New Roman" w:cs="Times New Roman"/>
                <w:color w:val="414141"/>
                <w:sz w:val="20"/>
                <w:szCs w:val="20"/>
                <w:shd w:val="clear" w:color="auto" w:fill="FFFFFF"/>
              </w:rPr>
            </w:pPr>
          </w:p>
        </w:tc>
        <w:tc>
          <w:tcPr>
            <w:tcW w:w="627" w:type="pct"/>
            <w:shd w:val="clear" w:color="auto" w:fill="FFCCCC"/>
          </w:tcPr>
          <w:p w14:paraId="35547D6B"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Low-dose amitriptyline</w:t>
            </w:r>
          </w:p>
          <w:p w14:paraId="055C499E"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232)</w:t>
            </w:r>
          </w:p>
        </w:tc>
        <w:tc>
          <w:tcPr>
            <w:tcW w:w="627" w:type="pct"/>
            <w:shd w:val="clear" w:color="auto" w:fill="FFCCCC"/>
          </w:tcPr>
          <w:p w14:paraId="4080DA69"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Placebo</w:t>
            </w:r>
          </w:p>
          <w:p w14:paraId="2A47C7D6"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231)</w:t>
            </w:r>
          </w:p>
        </w:tc>
        <w:tc>
          <w:tcPr>
            <w:tcW w:w="627" w:type="pct"/>
            <w:shd w:val="clear" w:color="auto" w:fill="FFCCCC"/>
          </w:tcPr>
          <w:p w14:paraId="1ECA207B" w14:textId="77777777" w:rsidR="002754F5" w:rsidRPr="00827C81" w:rsidRDefault="002754F5" w:rsidP="00107215">
            <w:pPr>
              <w:spacing w:line="480" w:lineRule="auto"/>
              <w:jc w:val="center"/>
              <w:rPr>
                <w:rFonts w:ascii="Times New Roman" w:hAnsi="Times New Roman" w:cs="Times New Roman"/>
                <w:b/>
                <w:bCs/>
                <w:sz w:val="20"/>
                <w:szCs w:val="20"/>
                <w:shd w:val="clear" w:color="auto" w:fill="FFCCCC"/>
              </w:rPr>
            </w:pPr>
            <w:r w:rsidRPr="00827C81">
              <w:rPr>
                <w:rFonts w:ascii="Times New Roman" w:hAnsi="Times New Roman" w:cs="Times New Roman"/>
                <w:b/>
                <w:bCs/>
                <w:sz w:val="20"/>
                <w:szCs w:val="20"/>
                <w:shd w:val="clear" w:color="auto" w:fill="FFCCCC"/>
              </w:rPr>
              <w:t xml:space="preserve">Effect (95% CI), </w:t>
            </w:r>
          </w:p>
          <w:p w14:paraId="4B4CC9F4" w14:textId="77777777" w:rsidR="002754F5" w:rsidRPr="00827C81" w:rsidRDefault="002754F5" w:rsidP="00107215">
            <w:pPr>
              <w:spacing w:line="480" w:lineRule="auto"/>
              <w:jc w:val="center"/>
              <w:rPr>
                <w:rFonts w:ascii="Times New Roman" w:hAnsi="Times New Roman" w:cs="Times New Roman"/>
                <w:b/>
                <w:bCs/>
                <w:sz w:val="20"/>
                <w:szCs w:val="20"/>
                <w:shd w:val="clear" w:color="auto" w:fill="FFFFFF"/>
              </w:rPr>
            </w:pPr>
            <w:r w:rsidRPr="00827C81">
              <w:rPr>
                <w:rFonts w:ascii="Times New Roman" w:hAnsi="Times New Roman" w:cs="Times New Roman"/>
                <w:b/>
                <w:bCs/>
                <w:i/>
                <w:iCs/>
                <w:sz w:val="20"/>
                <w:szCs w:val="20"/>
                <w:shd w:val="clear" w:color="auto" w:fill="FFCCCC"/>
              </w:rPr>
              <w:t>p-</w:t>
            </w:r>
            <w:r w:rsidRPr="00827C81">
              <w:rPr>
                <w:rFonts w:ascii="Times New Roman" w:hAnsi="Times New Roman" w:cs="Times New Roman"/>
                <w:b/>
                <w:bCs/>
                <w:sz w:val="20"/>
                <w:szCs w:val="20"/>
              </w:rPr>
              <w:t>value*</w:t>
            </w:r>
          </w:p>
        </w:tc>
        <w:tc>
          <w:tcPr>
            <w:tcW w:w="627" w:type="pct"/>
            <w:shd w:val="clear" w:color="auto" w:fill="FFCCCC"/>
          </w:tcPr>
          <w:p w14:paraId="5BEC631D" w14:textId="77777777" w:rsidR="002754F5" w:rsidRPr="00827C81" w:rsidRDefault="002754F5" w:rsidP="002C7110">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Low-dose amitriptyline</w:t>
            </w:r>
          </w:p>
          <w:p w14:paraId="16A348B2"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232)</w:t>
            </w:r>
          </w:p>
        </w:tc>
        <w:tc>
          <w:tcPr>
            <w:tcW w:w="627" w:type="pct"/>
            <w:shd w:val="clear" w:color="auto" w:fill="FFCCCC"/>
          </w:tcPr>
          <w:p w14:paraId="1128A37E"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Placebo</w:t>
            </w:r>
          </w:p>
          <w:p w14:paraId="5F14CF8B"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(n = 231)</w:t>
            </w:r>
          </w:p>
        </w:tc>
        <w:tc>
          <w:tcPr>
            <w:tcW w:w="627" w:type="pct"/>
            <w:shd w:val="clear" w:color="auto" w:fill="FFCCCC"/>
          </w:tcPr>
          <w:p w14:paraId="3C6AFF3B" w14:textId="77777777" w:rsidR="002754F5" w:rsidRPr="00827C81" w:rsidRDefault="002754F5" w:rsidP="00107215">
            <w:pPr>
              <w:spacing w:line="480" w:lineRule="auto"/>
              <w:jc w:val="center"/>
              <w:rPr>
                <w:rFonts w:ascii="Times New Roman" w:hAnsi="Times New Roman" w:cs="Times New Roman"/>
                <w:b/>
                <w:bCs/>
                <w:sz w:val="20"/>
                <w:szCs w:val="20"/>
                <w:shd w:val="clear" w:color="auto" w:fill="FFCCCC"/>
              </w:rPr>
            </w:pPr>
            <w:r w:rsidRPr="00827C81">
              <w:rPr>
                <w:rFonts w:ascii="Times New Roman" w:hAnsi="Times New Roman" w:cs="Times New Roman"/>
                <w:b/>
                <w:bCs/>
                <w:sz w:val="20"/>
                <w:szCs w:val="20"/>
                <w:shd w:val="clear" w:color="auto" w:fill="FFCCCC"/>
              </w:rPr>
              <w:t xml:space="preserve">Effect (95% CI), </w:t>
            </w:r>
          </w:p>
          <w:p w14:paraId="6FCE5E4F"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i/>
                <w:iCs/>
                <w:sz w:val="20"/>
                <w:szCs w:val="20"/>
                <w:shd w:val="clear" w:color="auto" w:fill="FFCCCC"/>
              </w:rPr>
              <w:t>p-</w:t>
            </w:r>
            <w:r w:rsidRPr="00827C81">
              <w:rPr>
                <w:rFonts w:ascii="Times New Roman" w:hAnsi="Times New Roman" w:cs="Times New Roman"/>
                <w:b/>
                <w:bCs/>
                <w:sz w:val="20"/>
                <w:szCs w:val="20"/>
              </w:rPr>
              <w:t>value*</w:t>
            </w:r>
          </w:p>
        </w:tc>
      </w:tr>
      <w:tr w:rsidR="002754F5" w:rsidRPr="00827C81" w14:paraId="360F82D4" w14:textId="77777777" w:rsidTr="003647E8">
        <w:trPr>
          <w:cantSplit/>
          <w:trHeight w:val="1757"/>
          <w:jc w:val="center"/>
        </w:trPr>
        <w:tc>
          <w:tcPr>
            <w:tcW w:w="1238" w:type="pct"/>
            <w:shd w:val="clear" w:color="auto" w:fill="auto"/>
          </w:tcPr>
          <w:p w14:paraId="6A21D32E"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IBS-SSS†</w:t>
            </w:r>
          </w:p>
          <w:p w14:paraId="2EAF8C24"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Mean total IBS-SSS (SD)‡</w:t>
            </w:r>
          </w:p>
          <w:p w14:paraId="1FA0014B" w14:textId="77777777" w:rsidR="002754F5" w:rsidRPr="00827C81" w:rsidRDefault="002754F5" w:rsidP="00107215">
            <w:pPr>
              <w:spacing w:line="480" w:lineRule="auto"/>
              <w:rPr>
                <w:rFonts w:ascii="Times New Roman" w:hAnsi="Times New Roman" w:cs="Times New Roman"/>
                <w:sz w:val="20"/>
                <w:szCs w:val="20"/>
              </w:rPr>
            </w:pPr>
          </w:p>
          <w:p w14:paraId="585E6745" w14:textId="77777777" w:rsidR="002754F5" w:rsidRPr="00827C81" w:rsidRDefault="002754F5" w:rsidP="00107215">
            <w:pPr>
              <w:spacing w:line="480" w:lineRule="auto"/>
              <w:rPr>
                <w:rFonts w:ascii="Times New Roman" w:hAnsi="Times New Roman" w:cs="Times New Roman"/>
                <w:sz w:val="20"/>
                <w:szCs w:val="20"/>
              </w:rPr>
            </w:pPr>
            <w:r w:rsidRPr="00827C81">
              <w:rPr>
                <w:rFonts w:ascii="Times New Roman" w:hAnsi="Times New Roman" w:cs="Times New Roman"/>
                <w:sz w:val="20"/>
                <w:szCs w:val="20"/>
              </w:rPr>
              <w:t>Change in IBS-SSS from baseline (SD)</w:t>
            </w:r>
          </w:p>
        </w:tc>
        <w:tc>
          <w:tcPr>
            <w:tcW w:w="627" w:type="pct"/>
            <w:shd w:val="clear" w:color="auto" w:fill="auto"/>
          </w:tcPr>
          <w:p w14:paraId="38ACB7C8"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551334D8"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173.0 (106.6), </w:t>
            </w:r>
          </w:p>
          <w:p w14:paraId="5CDF1D5B"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219</w:t>
            </w:r>
          </w:p>
          <w:p w14:paraId="7676128F"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-99.8 (107.7)</w:t>
            </w:r>
          </w:p>
        </w:tc>
        <w:tc>
          <w:tcPr>
            <w:tcW w:w="627" w:type="pct"/>
            <w:shd w:val="clear" w:color="auto" w:fill="auto"/>
          </w:tcPr>
          <w:p w14:paraId="2AB2E45F"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2BEFE40F"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194.6 (107.5), </w:t>
            </w:r>
          </w:p>
          <w:p w14:paraId="2D0CDB3B"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213</w:t>
            </w:r>
          </w:p>
          <w:p w14:paraId="614340B8"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-76.1 (107.1)</w:t>
            </w:r>
          </w:p>
        </w:tc>
        <w:tc>
          <w:tcPr>
            <w:tcW w:w="627" w:type="pct"/>
            <w:shd w:val="clear" w:color="auto" w:fill="auto"/>
          </w:tcPr>
          <w:p w14:paraId="6C16CE53"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41F62D2E"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-23.3 (-42.0, -4.6),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0.014</w:t>
            </w:r>
          </w:p>
          <w:p w14:paraId="1C300E43"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shd w:val="clear" w:color="auto" w:fill="FFFFFF"/>
              </w:rPr>
              <w:t>--</w:t>
            </w:r>
          </w:p>
        </w:tc>
        <w:tc>
          <w:tcPr>
            <w:tcW w:w="627" w:type="pct"/>
            <w:shd w:val="clear" w:color="auto" w:fill="auto"/>
          </w:tcPr>
          <w:p w14:paraId="7A9FDDED"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6211D923"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170.4 (107.7), </w:t>
            </w:r>
          </w:p>
          <w:p w14:paraId="61C40049"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204</w:t>
            </w:r>
          </w:p>
          <w:p w14:paraId="374BD1ED"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-99.2 (112.9)</w:t>
            </w:r>
          </w:p>
        </w:tc>
        <w:tc>
          <w:tcPr>
            <w:tcW w:w="627" w:type="pct"/>
            <w:shd w:val="clear" w:color="auto" w:fill="auto"/>
          </w:tcPr>
          <w:p w14:paraId="72C15007"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7D282210"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200.1 (114.5), </w:t>
            </w:r>
          </w:p>
          <w:p w14:paraId="07AFB408"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197</w:t>
            </w:r>
          </w:p>
          <w:p w14:paraId="7A9A3FE4"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-68.9 (109.3)</w:t>
            </w:r>
          </w:p>
        </w:tc>
        <w:tc>
          <w:tcPr>
            <w:tcW w:w="627" w:type="pct"/>
            <w:shd w:val="clear" w:color="auto" w:fill="auto"/>
          </w:tcPr>
          <w:p w14:paraId="0A91F562" w14:textId="77777777" w:rsidR="002754F5" w:rsidRPr="00827C81" w:rsidRDefault="002754F5" w:rsidP="00107215">
            <w:pPr>
              <w:pStyle w:val="NoSpacing"/>
              <w:spacing w:line="480" w:lineRule="auto"/>
              <w:jc w:val="center"/>
              <w:rPr>
                <w:rFonts w:ascii="Times New Roman" w:hAnsi="Times New Roman" w:cs="Times New Roman"/>
                <w:sz w:val="20"/>
                <w:szCs w:val="20"/>
              </w:rPr>
            </w:pPr>
          </w:p>
          <w:p w14:paraId="1C7F6547"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-27.0 (-46.9, -7.1),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0.0079</w:t>
            </w:r>
          </w:p>
          <w:p w14:paraId="5E5D22DE" w14:textId="77777777" w:rsidR="002754F5" w:rsidRPr="00827C81" w:rsidRDefault="002754F5" w:rsidP="00107215">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shd w:val="clear" w:color="auto" w:fill="FFFFFF"/>
              </w:rPr>
              <w:t>--</w:t>
            </w:r>
          </w:p>
        </w:tc>
      </w:tr>
      <w:tr w:rsidR="002754F5" w:rsidRPr="00827C81" w14:paraId="72AF2576" w14:textId="77777777" w:rsidTr="003647E8">
        <w:trPr>
          <w:cantSplit/>
          <w:jc w:val="center"/>
        </w:trPr>
        <w:tc>
          <w:tcPr>
            <w:tcW w:w="1238" w:type="pct"/>
            <w:shd w:val="clear" w:color="auto" w:fill="FFCCCC"/>
          </w:tcPr>
          <w:p w14:paraId="0C1AD33D"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SGA of relief of IBS symptoms (%)⁑</w:t>
            </w:r>
          </w:p>
        </w:tc>
        <w:tc>
          <w:tcPr>
            <w:tcW w:w="627" w:type="pct"/>
            <w:shd w:val="clear" w:color="auto" w:fill="FFCCCC"/>
          </w:tcPr>
          <w:p w14:paraId="7C2684ED"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139/220 (63)</w:t>
            </w:r>
          </w:p>
        </w:tc>
        <w:tc>
          <w:tcPr>
            <w:tcW w:w="627" w:type="pct"/>
            <w:shd w:val="clear" w:color="auto" w:fill="FFCCCC"/>
          </w:tcPr>
          <w:p w14:paraId="6CC67A0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105/213 (49)</w:t>
            </w:r>
          </w:p>
        </w:tc>
        <w:tc>
          <w:tcPr>
            <w:tcW w:w="627" w:type="pct"/>
            <w:shd w:val="clear" w:color="auto" w:fill="FFCCCC"/>
          </w:tcPr>
          <w:p w14:paraId="154410D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1.70 (1.15, 2.53), </w:t>
            </w:r>
          </w:p>
          <w:p w14:paraId="6F461DA1" w14:textId="77777777" w:rsidR="002754F5" w:rsidRPr="00827C81" w:rsidRDefault="002754F5" w:rsidP="00107215">
            <w:pPr>
              <w:spacing w:line="480" w:lineRule="auto"/>
              <w:jc w:val="center"/>
              <w:rPr>
                <w:rFonts w:ascii="Times New Roman" w:hAnsi="Times New Roman" w:cs="Times New Roman"/>
                <w:color w:val="FF0000"/>
                <w:sz w:val="20"/>
                <w:szCs w:val="20"/>
              </w:rPr>
            </w:pPr>
            <w:r w:rsidRPr="00827C81">
              <w:rPr>
                <w:rFonts w:ascii="Times New Roman" w:hAnsi="Times New Roman" w:cs="Times New Roman"/>
                <w:i/>
                <w:iCs/>
                <w:sz w:val="20"/>
                <w:szCs w:val="20"/>
              </w:rPr>
              <w:t>p</w:t>
            </w:r>
            <w:r w:rsidRPr="00827C81">
              <w:rPr>
                <w:rFonts w:ascii="Times New Roman" w:hAnsi="Times New Roman" w:cs="Times New Roman"/>
                <w:sz w:val="20"/>
                <w:szCs w:val="20"/>
              </w:rPr>
              <w:t xml:space="preserve"> = 0.0080</w:t>
            </w:r>
          </w:p>
        </w:tc>
        <w:tc>
          <w:tcPr>
            <w:tcW w:w="627" w:type="pct"/>
            <w:shd w:val="clear" w:color="auto" w:fill="FFCCCC"/>
          </w:tcPr>
          <w:p w14:paraId="6FEBA56B"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125/204 (61)</w:t>
            </w:r>
          </w:p>
        </w:tc>
        <w:tc>
          <w:tcPr>
            <w:tcW w:w="627" w:type="pct"/>
            <w:shd w:val="clear" w:color="auto" w:fill="FFCCCC"/>
          </w:tcPr>
          <w:p w14:paraId="3E35E47F"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88/195 (45)</w:t>
            </w:r>
          </w:p>
        </w:tc>
        <w:tc>
          <w:tcPr>
            <w:tcW w:w="627" w:type="pct"/>
            <w:shd w:val="clear" w:color="auto" w:fill="FFCCCC"/>
          </w:tcPr>
          <w:p w14:paraId="348BA1E5"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1.78 (1.19, 2.66), </w:t>
            </w:r>
          </w:p>
          <w:p w14:paraId="6BCEAC26"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0.0050</w:t>
            </w:r>
          </w:p>
        </w:tc>
      </w:tr>
      <w:tr w:rsidR="002754F5" w:rsidRPr="00827C81" w14:paraId="06807BD0" w14:textId="77777777" w:rsidTr="00E73287">
        <w:trPr>
          <w:cantSplit/>
          <w:trHeight w:val="165"/>
          <w:jc w:val="center"/>
        </w:trPr>
        <w:tc>
          <w:tcPr>
            <w:tcW w:w="1238" w:type="pct"/>
            <w:shd w:val="clear" w:color="auto" w:fill="auto"/>
          </w:tcPr>
          <w:p w14:paraId="443D2337" w14:textId="77777777" w:rsidR="002754F5" w:rsidRPr="00827C81" w:rsidRDefault="002754F5" w:rsidP="00E21549">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Adequate relief of IBS symptoms over 25 weeks (%)§</w:t>
            </w:r>
          </w:p>
        </w:tc>
        <w:tc>
          <w:tcPr>
            <w:tcW w:w="627" w:type="pct"/>
            <w:shd w:val="clear" w:color="auto" w:fill="auto"/>
          </w:tcPr>
          <w:p w14:paraId="787CDEDA" w14:textId="77777777" w:rsidR="002754F5" w:rsidRPr="00827C81" w:rsidRDefault="002754F5" w:rsidP="00E21549">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auto"/>
          </w:tcPr>
          <w:p w14:paraId="697E4448" w14:textId="77777777" w:rsidR="002754F5" w:rsidRPr="00827C81" w:rsidRDefault="002754F5" w:rsidP="00E21549">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auto"/>
          </w:tcPr>
          <w:p w14:paraId="2C0E7E5C" w14:textId="77777777" w:rsidR="002754F5" w:rsidRPr="00827C81" w:rsidRDefault="002754F5" w:rsidP="00E21549">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auto"/>
          </w:tcPr>
          <w:p w14:paraId="43126118" w14:textId="77777777" w:rsidR="002754F5" w:rsidRPr="00827C81" w:rsidRDefault="002754F5" w:rsidP="00E21549">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90/222 (41)</w:t>
            </w:r>
          </w:p>
        </w:tc>
        <w:tc>
          <w:tcPr>
            <w:tcW w:w="627" w:type="pct"/>
            <w:shd w:val="clear" w:color="auto" w:fill="auto"/>
          </w:tcPr>
          <w:p w14:paraId="3323AF1C" w14:textId="77777777" w:rsidR="002754F5" w:rsidRPr="00827C81" w:rsidRDefault="002754F5" w:rsidP="00E21549">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67/221 (30)</w:t>
            </w:r>
          </w:p>
        </w:tc>
        <w:tc>
          <w:tcPr>
            <w:tcW w:w="627" w:type="pct"/>
            <w:shd w:val="clear" w:color="auto" w:fill="auto"/>
          </w:tcPr>
          <w:p w14:paraId="7B019365" w14:textId="77777777" w:rsidR="002754F5" w:rsidRPr="00827C81" w:rsidRDefault="002754F5" w:rsidP="00E21549">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1.56 (1.20, 2.03), </w:t>
            </w:r>
            <w:r w:rsidRPr="00827C81">
              <w:rPr>
                <w:rFonts w:ascii="Times New Roman" w:hAnsi="Times New Roman" w:cs="Times New Roman"/>
                <w:i/>
                <w:iCs/>
                <w:sz w:val="20"/>
                <w:szCs w:val="20"/>
              </w:rPr>
              <w:t>p</w:t>
            </w:r>
            <w:r w:rsidRPr="00827C81">
              <w:rPr>
                <w:rFonts w:ascii="Times New Roman" w:hAnsi="Times New Roman" w:cs="Times New Roman"/>
                <w:sz w:val="20"/>
                <w:szCs w:val="20"/>
              </w:rPr>
              <w:t xml:space="preserve"> = 0.0008</w:t>
            </w:r>
          </w:p>
        </w:tc>
      </w:tr>
      <w:tr w:rsidR="002754F5" w:rsidRPr="00827C81" w14:paraId="3C707BF6" w14:textId="77777777" w:rsidTr="00380814">
        <w:trPr>
          <w:cantSplit/>
          <w:trHeight w:val="165"/>
          <w:jc w:val="center"/>
        </w:trPr>
        <w:tc>
          <w:tcPr>
            <w:tcW w:w="1238" w:type="pct"/>
            <w:shd w:val="clear" w:color="auto" w:fill="FFCCCC"/>
          </w:tcPr>
          <w:p w14:paraId="0A1A8041"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PHQ-12 score (SD)†</w:t>
            </w:r>
          </w:p>
        </w:tc>
        <w:tc>
          <w:tcPr>
            <w:tcW w:w="627" w:type="pct"/>
            <w:shd w:val="clear" w:color="auto" w:fill="FFCCCC"/>
          </w:tcPr>
          <w:p w14:paraId="35B6FF1A"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486558D8"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730E2C7C"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01CD7EF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5.7 (3.4),</w:t>
            </w:r>
          </w:p>
          <w:p w14:paraId="438CB58D"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202</w:t>
            </w:r>
          </w:p>
        </w:tc>
        <w:tc>
          <w:tcPr>
            <w:tcW w:w="627" w:type="pct"/>
            <w:shd w:val="clear" w:color="auto" w:fill="FFCCCC"/>
          </w:tcPr>
          <w:p w14:paraId="081DCAAE"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5.9 (3.2)</w:t>
            </w:r>
          </w:p>
          <w:p w14:paraId="79F52144"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192</w:t>
            </w:r>
          </w:p>
        </w:tc>
        <w:tc>
          <w:tcPr>
            <w:tcW w:w="627" w:type="pct"/>
            <w:shd w:val="clear" w:color="auto" w:fill="FFCCCC"/>
          </w:tcPr>
          <w:p w14:paraId="4C0A266A"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-0.04 (-0.58, 0.49),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0.88</w:t>
            </w:r>
          </w:p>
        </w:tc>
      </w:tr>
      <w:tr w:rsidR="002754F5" w:rsidRPr="00827C81" w14:paraId="3EC08084" w14:textId="77777777" w:rsidTr="00380814">
        <w:trPr>
          <w:cantSplit/>
          <w:jc w:val="center"/>
        </w:trPr>
        <w:tc>
          <w:tcPr>
            <w:tcW w:w="1238" w:type="pct"/>
            <w:shd w:val="clear" w:color="auto" w:fill="auto"/>
          </w:tcPr>
          <w:p w14:paraId="425062D6"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HADS-anxiety score (SD)†</w:t>
            </w:r>
          </w:p>
        </w:tc>
        <w:tc>
          <w:tcPr>
            <w:tcW w:w="627" w:type="pct"/>
            <w:shd w:val="clear" w:color="auto" w:fill="auto"/>
          </w:tcPr>
          <w:p w14:paraId="20EC76BF"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6.5 (4.4), </w:t>
            </w:r>
          </w:p>
          <w:p w14:paraId="2A945069"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kern w:val="24"/>
                <w:sz w:val="20"/>
                <w:szCs w:val="20"/>
              </w:rPr>
              <w:t>n = 220</w:t>
            </w:r>
          </w:p>
        </w:tc>
        <w:tc>
          <w:tcPr>
            <w:tcW w:w="627" w:type="pct"/>
            <w:shd w:val="clear" w:color="auto" w:fill="auto"/>
          </w:tcPr>
          <w:p w14:paraId="16DD8983"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6.6 (4.0), </w:t>
            </w:r>
          </w:p>
          <w:p w14:paraId="4BF1375D"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kern w:val="24"/>
                <w:sz w:val="20"/>
                <w:szCs w:val="20"/>
              </w:rPr>
              <w:t>n = 212</w:t>
            </w:r>
          </w:p>
        </w:tc>
        <w:tc>
          <w:tcPr>
            <w:tcW w:w="627" w:type="pct"/>
            <w:shd w:val="clear" w:color="auto" w:fill="auto"/>
          </w:tcPr>
          <w:p w14:paraId="7FE5BD47"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 xml:space="preserve">0.05 (-0.53, 0.63),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0.86</w:t>
            </w:r>
          </w:p>
        </w:tc>
        <w:tc>
          <w:tcPr>
            <w:tcW w:w="627" w:type="pct"/>
            <w:shd w:val="clear" w:color="auto" w:fill="auto"/>
          </w:tcPr>
          <w:p w14:paraId="2B9B4C79"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6.7 (4.4), </w:t>
            </w:r>
          </w:p>
          <w:p w14:paraId="7FD18536"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kern w:val="24"/>
                <w:sz w:val="20"/>
                <w:szCs w:val="20"/>
              </w:rPr>
              <w:t>n = 203</w:t>
            </w:r>
          </w:p>
        </w:tc>
        <w:tc>
          <w:tcPr>
            <w:tcW w:w="627" w:type="pct"/>
            <w:shd w:val="clear" w:color="auto" w:fill="auto"/>
          </w:tcPr>
          <w:p w14:paraId="23F05EDB"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6.9 (4.0), </w:t>
            </w:r>
          </w:p>
          <w:p w14:paraId="5773C34F"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kern w:val="24"/>
                <w:sz w:val="20"/>
                <w:szCs w:val="20"/>
              </w:rPr>
              <w:t>n = 193</w:t>
            </w:r>
          </w:p>
        </w:tc>
        <w:tc>
          <w:tcPr>
            <w:tcW w:w="627" w:type="pct"/>
            <w:shd w:val="clear" w:color="auto" w:fill="auto"/>
          </w:tcPr>
          <w:p w14:paraId="0F18A00B"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 xml:space="preserve">0.08 (-0.49, 0.65),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0.78</w:t>
            </w:r>
          </w:p>
        </w:tc>
      </w:tr>
      <w:tr w:rsidR="002754F5" w:rsidRPr="00827C81" w14:paraId="3660AE95" w14:textId="77777777" w:rsidTr="00380814">
        <w:trPr>
          <w:cantSplit/>
          <w:jc w:val="center"/>
        </w:trPr>
        <w:tc>
          <w:tcPr>
            <w:tcW w:w="1238" w:type="pct"/>
            <w:shd w:val="clear" w:color="auto" w:fill="FFCCCC"/>
          </w:tcPr>
          <w:p w14:paraId="7A0F1C78"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lastRenderedPageBreak/>
              <w:t>Mean HADS-depression score (SD)†</w:t>
            </w:r>
          </w:p>
        </w:tc>
        <w:tc>
          <w:tcPr>
            <w:tcW w:w="627" w:type="pct"/>
            <w:shd w:val="clear" w:color="auto" w:fill="FFCCCC"/>
          </w:tcPr>
          <w:p w14:paraId="30C4239A"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3.5 (3.3), </w:t>
            </w:r>
          </w:p>
          <w:p w14:paraId="6F969619"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sz w:val="20"/>
                <w:szCs w:val="20"/>
              </w:rPr>
              <w:t>n =220</w:t>
            </w:r>
          </w:p>
        </w:tc>
        <w:tc>
          <w:tcPr>
            <w:tcW w:w="627" w:type="pct"/>
            <w:shd w:val="clear" w:color="auto" w:fill="FFCCCC"/>
          </w:tcPr>
          <w:p w14:paraId="7F091E09"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3.6 (3.2), </w:t>
            </w:r>
          </w:p>
          <w:p w14:paraId="1BD24146"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sz w:val="20"/>
                <w:szCs w:val="20"/>
              </w:rPr>
              <w:t>n = 212</w:t>
            </w:r>
          </w:p>
        </w:tc>
        <w:tc>
          <w:tcPr>
            <w:tcW w:w="627" w:type="pct"/>
            <w:shd w:val="clear" w:color="auto" w:fill="FFCCCC"/>
          </w:tcPr>
          <w:p w14:paraId="6C1ED399"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sz w:val="20"/>
                <w:szCs w:val="20"/>
              </w:rPr>
              <w:t xml:space="preserve">-0.22 (-0.71, 0.26),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0.37</w:t>
            </w:r>
          </w:p>
        </w:tc>
        <w:tc>
          <w:tcPr>
            <w:tcW w:w="627" w:type="pct"/>
            <w:shd w:val="clear" w:color="auto" w:fill="FFCCCC"/>
          </w:tcPr>
          <w:p w14:paraId="75A8851F"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3.9 (3.6), </w:t>
            </w:r>
          </w:p>
          <w:p w14:paraId="5D07EFDE"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kern w:val="24"/>
                <w:sz w:val="20"/>
                <w:szCs w:val="20"/>
              </w:rPr>
              <w:t>n = 202</w:t>
            </w:r>
          </w:p>
        </w:tc>
        <w:tc>
          <w:tcPr>
            <w:tcW w:w="627" w:type="pct"/>
            <w:shd w:val="clear" w:color="auto" w:fill="FFCCCC"/>
          </w:tcPr>
          <w:p w14:paraId="148A105C"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4.0 (3.5), </w:t>
            </w:r>
          </w:p>
          <w:p w14:paraId="0FA264CE"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kern w:val="24"/>
                <w:sz w:val="20"/>
                <w:szCs w:val="20"/>
              </w:rPr>
              <w:t>n = 193</w:t>
            </w:r>
          </w:p>
        </w:tc>
        <w:tc>
          <w:tcPr>
            <w:tcW w:w="627" w:type="pct"/>
            <w:shd w:val="clear" w:color="auto" w:fill="FFCCCC"/>
          </w:tcPr>
          <w:p w14:paraId="6401DBF8"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 xml:space="preserve">-0.20 (-0.75, 0.34),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0.46</w:t>
            </w:r>
          </w:p>
        </w:tc>
      </w:tr>
      <w:tr w:rsidR="002754F5" w:rsidRPr="00827C81" w14:paraId="13426F8E" w14:textId="77777777" w:rsidTr="00380814">
        <w:trPr>
          <w:cantSplit/>
          <w:jc w:val="center"/>
        </w:trPr>
        <w:tc>
          <w:tcPr>
            <w:tcW w:w="1238" w:type="pct"/>
            <w:shd w:val="clear" w:color="auto" w:fill="auto"/>
          </w:tcPr>
          <w:p w14:paraId="36165CC7"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Mean WSAS score (SD)†</w:t>
            </w:r>
          </w:p>
        </w:tc>
        <w:tc>
          <w:tcPr>
            <w:tcW w:w="627" w:type="pct"/>
            <w:shd w:val="clear" w:color="auto" w:fill="auto"/>
          </w:tcPr>
          <w:p w14:paraId="12F1FF2F" w14:textId="77777777" w:rsidR="002754F5" w:rsidRPr="00827C81" w:rsidRDefault="002754F5" w:rsidP="00107215">
            <w:pPr>
              <w:spacing w:line="480" w:lineRule="auto"/>
              <w:jc w:val="center"/>
              <w:rPr>
                <w:rFonts w:ascii="Times New Roman" w:hAnsi="Times New Roman" w:cs="Times New Roman"/>
                <w:kern w:val="24"/>
                <w:sz w:val="20"/>
                <w:szCs w:val="20"/>
              </w:rPr>
            </w:pPr>
            <w:r w:rsidRPr="00827C81">
              <w:rPr>
                <w:rFonts w:ascii="Times New Roman" w:hAnsi="Times New Roman" w:cs="Times New Roman"/>
                <w:kern w:val="24"/>
                <w:sz w:val="20"/>
                <w:szCs w:val="20"/>
              </w:rPr>
              <w:t xml:space="preserve">9.3 (7.6), </w:t>
            </w:r>
          </w:p>
          <w:p w14:paraId="68D76D16"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kern w:val="24"/>
                <w:sz w:val="20"/>
                <w:szCs w:val="20"/>
              </w:rPr>
              <w:t>n = 210</w:t>
            </w:r>
          </w:p>
        </w:tc>
        <w:tc>
          <w:tcPr>
            <w:tcW w:w="627" w:type="pct"/>
            <w:shd w:val="clear" w:color="auto" w:fill="auto"/>
          </w:tcPr>
          <w:p w14:paraId="2B80DBFB" w14:textId="77777777" w:rsidR="002754F5" w:rsidRPr="00827C81" w:rsidRDefault="002754F5" w:rsidP="00107215">
            <w:pPr>
              <w:spacing w:line="480" w:lineRule="auto"/>
              <w:jc w:val="center"/>
              <w:rPr>
                <w:rFonts w:ascii="Times New Roman" w:eastAsiaTheme="minorEastAsia" w:hAnsi="Times New Roman" w:cs="Times New Roman"/>
                <w:kern w:val="24"/>
                <w:sz w:val="20"/>
                <w:szCs w:val="20"/>
              </w:rPr>
            </w:pPr>
            <w:r w:rsidRPr="00827C81">
              <w:rPr>
                <w:rFonts w:ascii="Times New Roman" w:eastAsiaTheme="minorEastAsia" w:hAnsi="Times New Roman" w:cs="Times New Roman"/>
                <w:kern w:val="24"/>
                <w:sz w:val="20"/>
                <w:szCs w:val="20"/>
              </w:rPr>
              <w:t xml:space="preserve">9.5 (6.3), </w:t>
            </w:r>
          </w:p>
          <w:p w14:paraId="0983F0BF"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eastAsiaTheme="minorEastAsia" w:hAnsi="Times New Roman" w:cs="Times New Roman"/>
                <w:kern w:val="24"/>
                <w:sz w:val="20"/>
                <w:szCs w:val="20"/>
              </w:rPr>
              <w:t>n = 198</w:t>
            </w:r>
          </w:p>
        </w:tc>
        <w:tc>
          <w:tcPr>
            <w:tcW w:w="627" w:type="pct"/>
            <w:shd w:val="clear" w:color="auto" w:fill="auto"/>
          </w:tcPr>
          <w:p w14:paraId="25B78A95"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hAnsi="Times New Roman" w:cs="Times New Roman"/>
                <w:sz w:val="20"/>
                <w:szCs w:val="20"/>
              </w:rPr>
              <w:t xml:space="preserve">-0.27 (-1.36, 0.83),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0.63</w:t>
            </w:r>
          </w:p>
        </w:tc>
        <w:tc>
          <w:tcPr>
            <w:tcW w:w="627" w:type="pct"/>
            <w:shd w:val="clear" w:color="auto" w:fill="auto"/>
          </w:tcPr>
          <w:p w14:paraId="0D4C3CA4" w14:textId="77777777" w:rsidR="002754F5" w:rsidRPr="00827C81" w:rsidRDefault="002754F5" w:rsidP="00107215">
            <w:pPr>
              <w:spacing w:line="480" w:lineRule="auto"/>
              <w:jc w:val="center"/>
              <w:rPr>
                <w:rFonts w:ascii="Times New Roman" w:eastAsiaTheme="minorEastAsia" w:hAnsi="Times New Roman" w:cs="Times New Roman"/>
                <w:kern w:val="24"/>
                <w:sz w:val="20"/>
                <w:szCs w:val="20"/>
              </w:rPr>
            </w:pPr>
            <w:r w:rsidRPr="00827C81">
              <w:rPr>
                <w:rFonts w:ascii="Times New Roman" w:eastAsiaTheme="minorEastAsia" w:hAnsi="Times New Roman" w:cs="Times New Roman"/>
                <w:kern w:val="24"/>
                <w:sz w:val="20"/>
                <w:szCs w:val="20"/>
              </w:rPr>
              <w:t xml:space="preserve">8.1 (7.6), </w:t>
            </w:r>
          </w:p>
          <w:p w14:paraId="40BF1022"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eastAsiaTheme="minorEastAsia" w:hAnsi="Times New Roman" w:cs="Times New Roman"/>
                <w:kern w:val="24"/>
                <w:sz w:val="20"/>
                <w:szCs w:val="20"/>
              </w:rPr>
              <w:t>n = 195</w:t>
            </w:r>
          </w:p>
        </w:tc>
        <w:tc>
          <w:tcPr>
            <w:tcW w:w="627" w:type="pct"/>
            <w:shd w:val="clear" w:color="auto" w:fill="auto"/>
          </w:tcPr>
          <w:p w14:paraId="7CDAB6CC" w14:textId="77777777" w:rsidR="002754F5" w:rsidRPr="00827C81" w:rsidRDefault="002754F5" w:rsidP="00107215">
            <w:pPr>
              <w:spacing w:line="480" w:lineRule="auto"/>
              <w:jc w:val="center"/>
              <w:rPr>
                <w:rFonts w:ascii="Times New Roman" w:eastAsiaTheme="minorEastAsia" w:hAnsi="Times New Roman" w:cs="Times New Roman"/>
                <w:kern w:val="24"/>
                <w:sz w:val="20"/>
                <w:szCs w:val="20"/>
              </w:rPr>
            </w:pPr>
            <w:r w:rsidRPr="00827C81">
              <w:rPr>
                <w:rFonts w:ascii="Times New Roman" w:eastAsiaTheme="minorEastAsia" w:hAnsi="Times New Roman" w:cs="Times New Roman"/>
                <w:kern w:val="24"/>
                <w:sz w:val="20"/>
                <w:szCs w:val="20"/>
              </w:rPr>
              <w:t xml:space="preserve">9.4 (7.8), </w:t>
            </w:r>
          </w:p>
          <w:p w14:paraId="6DA3B721" w14:textId="77777777" w:rsidR="002754F5" w:rsidRPr="00827C81" w:rsidRDefault="002754F5" w:rsidP="00107215">
            <w:pPr>
              <w:spacing w:line="480" w:lineRule="auto"/>
              <w:jc w:val="center"/>
              <w:rPr>
                <w:rFonts w:ascii="Times New Roman" w:hAnsi="Times New Roman" w:cs="Times New Roman"/>
                <w:color w:val="FF0000"/>
                <w:sz w:val="20"/>
                <w:szCs w:val="20"/>
                <w:shd w:val="clear" w:color="auto" w:fill="FFFFFF"/>
              </w:rPr>
            </w:pPr>
            <w:r w:rsidRPr="00827C81">
              <w:rPr>
                <w:rFonts w:ascii="Times New Roman" w:eastAsiaTheme="minorEastAsia" w:hAnsi="Times New Roman" w:cs="Times New Roman"/>
                <w:kern w:val="24"/>
                <w:sz w:val="20"/>
                <w:szCs w:val="20"/>
              </w:rPr>
              <w:t>n = 184</w:t>
            </w:r>
          </w:p>
        </w:tc>
        <w:tc>
          <w:tcPr>
            <w:tcW w:w="627" w:type="pct"/>
            <w:shd w:val="clear" w:color="auto" w:fill="auto"/>
          </w:tcPr>
          <w:p w14:paraId="3CB5531E"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 xml:space="preserve">-1.04 (-2.30, 0.23),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0.11</w:t>
            </w:r>
          </w:p>
        </w:tc>
      </w:tr>
      <w:tr w:rsidR="002754F5" w:rsidRPr="00827C81" w14:paraId="77BB9A97" w14:textId="77777777" w:rsidTr="00380814">
        <w:trPr>
          <w:cantSplit/>
          <w:trHeight w:val="199"/>
          <w:jc w:val="center"/>
        </w:trPr>
        <w:tc>
          <w:tcPr>
            <w:tcW w:w="1238" w:type="pct"/>
            <w:shd w:val="clear" w:color="auto" w:fill="FFCCCC"/>
          </w:tcPr>
          <w:p w14:paraId="76BE6343"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Acceptability of treatment (%)</w:t>
            </w:r>
          </w:p>
        </w:tc>
        <w:tc>
          <w:tcPr>
            <w:tcW w:w="627" w:type="pct"/>
            <w:shd w:val="clear" w:color="auto" w:fill="FFCCCC"/>
          </w:tcPr>
          <w:p w14:paraId="00F308E4"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06A8B693"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1170CB2C"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FFCCCC"/>
          </w:tcPr>
          <w:p w14:paraId="2F2F0493"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122/211 (58)</w:t>
            </w:r>
          </w:p>
        </w:tc>
        <w:tc>
          <w:tcPr>
            <w:tcW w:w="627" w:type="pct"/>
            <w:shd w:val="clear" w:color="auto" w:fill="FFCCCC"/>
          </w:tcPr>
          <w:p w14:paraId="39CF4EB4"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100/213 (47)</w:t>
            </w:r>
          </w:p>
        </w:tc>
        <w:tc>
          <w:tcPr>
            <w:tcW w:w="627" w:type="pct"/>
            <w:shd w:val="clear" w:color="auto" w:fill="FFCCCC"/>
          </w:tcPr>
          <w:p w14:paraId="610B307F"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1.60 (1.08, 2.35), </w:t>
            </w:r>
          </w:p>
          <w:p w14:paraId="05506191"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0.018</w:t>
            </w:r>
          </w:p>
        </w:tc>
      </w:tr>
      <w:tr w:rsidR="002754F5" w:rsidRPr="00827C81" w14:paraId="0851F1B2" w14:textId="77777777" w:rsidTr="00380814">
        <w:trPr>
          <w:cantSplit/>
          <w:trHeight w:val="205"/>
          <w:jc w:val="center"/>
        </w:trPr>
        <w:tc>
          <w:tcPr>
            <w:tcW w:w="1238" w:type="pct"/>
            <w:shd w:val="clear" w:color="auto" w:fill="auto"/>
          </w:tcPr>
          <w:p w14:paraId="7326856B" w14:textId="77777777" w:rsidR="002754F5" w:rsidRPr="00827C81" w:rsidRDefault="002754F5" w:rsidP="00107215">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Adherence to treatment (%)⁋</w:t>
            </w:r>
          </w:p>
        </w:tc>
        <w:tc>
          <w:tcPr>
            <w:tcW w:w="627" w:type="pct"/>
            <w:shd w:val="clear" w:color="auto" w:fill="auto"/>
          </w:tcPr>
          <w:p w14:paraId="27D94FBC"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193/232 (83)</w:t>
            </w:r>
          </w:p>
        </w:tc>
        <w:tc>
          <w:tcPr>
            <w:tcW w:w="627" w:type="pct"/>
            <w:shd w:val="clear" w:color="auto" w:fill="auto"/>
          </w:tcPr>
          <w:p w14:paraId="56D4AE7F"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183/220 (83)</w:t>
            </w:r>
          </w:p>
        </w:tc>
        <w:tc>
          <w:tcPr>
            <w:tcW w:w="627" w:type="pct"/>
            <w:shd w:val="clear" w:color="auto" w:fill="auto"/>
          </w:tcPr>
          <w:p w14:paraId="383717C0" w14:textId="77777777" w:rsidR="002754F5" w:rsidRPr="00827C81" w:rsidRDefault="002754F5" w:rsidP="00107215">
            <w:pPr>
              <w:spacing w:line="480" w:lineRule="auto"/>
              <w:jc w:val="center"/>
              <w:rPr>
                <w:rFonts w:ascii="Times New Roman" w:hAnsi="Times New Roman" w:cs="Times New Roman"/>
                <w:sz w:val="20"/>
                <w:szCs w:val="20"/>
                <w:shd w:val="clear" w:color="auto" w:fill="FFFFFF"/>
              </w:rPr>
            </w:pPr>
            <w:r w:rsidRPr="00827C81">
              <w:rPr>
                <w:rFonts w:ascii="Times New Roman" w:hAnsi="Times New Roman" w:cs="Times New Roman"/>
                <w:sz w:val="20"/>
                <w:szCs w:val="20"/>
              </w:rPr>
              <w:t>--</w:t>
            </w:r>
          </w:p>
        </w:tc>
        <w:tc>
          <w:tcPr>
            <w:tcW w:w="627" w:type="pct"/>
            <w:shd w:val="clear" w:color="auto" w:fill="auto"/>
          </w:tcPr>
          <w:p w14:paraId="349703E2"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172/232 (74)</w:t>
            </w:r>
          </w:p>
        </w:tc>
        <w:tc>
          <w:tcPr>
            <w:tcW w:w="627" w:type="pct"/>
            <w:shd w:val="clear" w:color="auto" w:fill="auto"/>
          </w:tcPr>
          <w:p w14:paraId="207CB47E"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155/228 (68)</w:t>
            </w:r>
          </w:p>
        </w:tc>
        <w:tc>
          <w:tcPr>
            <w:tcW w:w="627" w:type="pct"/>
            <w:shd w:val="clear" w:color="auto" w:fill="auto"/>
          </w:tcPr>
          <w:p w14:paraId="6B2512DF" w14:textId="77777777" w:rsidR="002754F5" w:rsidRPr="00827C81" w:rsidRDefault="002754F5" w:rsidP="00107215">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w:t>
            </w:r>
          </w:p>
        </w:tc>
      </w:tr>
    </w:tbl>
    <w:p w14:paraId="4AB1F6BB" w14:textId="77777777" w:rsidR="002754F5" w:rsidRPr="00827C81" w:rsidRDefault="002754F5" w:rsidP="00107215">
      <w:pPr>
        <w:spacing w:line="480" w:lineRule="auto"/>
        <w:rPr>
          <w:rFonts w:ascii="Times New Roman" w:hAnsi="Times New Roman" w:cs="Times New Roman"/>
          <w:sz w:val="20"/>
          <w:szCs w:val="20"/>
        </w:rPr>
      </w:pPr>
      <w:bookmarkStart w:id="35" w:name="_Hlk138406245"/>
      <w:r w:rsidRPr="00827C81">
        <w:rPr>
          <w:rFonts w:ascii="Times New Roman" w:hAnsi="Times New Roman" w:cs="Times New Roman"/>
          <w:sz w:val="24"/>
          <w:szCs w:val="24"/>
        </w:rPr>
        <w:t xml:space="preserve">*Effect represents the mean difference between treatment arms for continuous outcomes (IBS-SSS total score, PHQ-12, HADS, and WSAS) and odds ratios for binary outcomes (SGA of relief of IBS symptoms and acceptability) estimated using linear and logistic regression adjusted for stratification variables, and baseline score in linear regression. Missing data imputed via multiple imputation. </w:t>
      </w:r>
    </w:p>
    <w:p w14:paraId="28533F33"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sz w:val="24"/>
          <w:szCs w:val="24"/>
        </w:rPr>
        <w:t>†Lower scores are better.</w:t>
      </w:r>
    </w:p>
    <w:p w14:paraId="1CAC4426" w14:textId="77777777" w:rsidR="002754F5" w:rsidRPr="00827C81" w:rsidRDefault="002754F5" w:rsidP="00107215">
      <w:pPr>
        <w:spacing w:line="480" w:lineRule="auto"/>
        <w:rPr>
          <w:rFonts w:ascii="Times New Roman" w:hAnsi="Times New Roman" w:cs="Times New Roman"/>
          <w:sz w:val="24"/>
          <w:szCs w:val="24"/>
        </w:rPr>
      </w:pPr>
      <w:bookmarkStart w:id="36" w:name="_Hlk138408065"/>
      <w:bookmarkEnd w:id="35"/>
      <w:r w:rsidRPr="00827C81">
        <w:rPr>
          <w:rFonts w:ascii="Times New Roman" w:hAnsi="Times New Roman" w:cs="Times New Roman"/>
          <w:sz w:val="24"/>
          <w:szCs w:val="24"/>
        </w:rPr>
        <w:t>‡</w:t>
      </w:r>
      <w:bookmarkEnd w:id="36"/>
      <w:r w:rsidRPr="00827C81">
        <w:rPr>
          <w:rFonts w:ascii="Times New Roman" w:hAnsi="Times New Roman" w:cs="Times New Roman"/>
          <w:sz w:val="24"/>
          <w:szCs w:val="24"/>
        </w:rPr>
        <w:t>Primary outcome at 6 months.</w:t>
      </w:r>
    </w:p>
    <w:p w14:paraId="17BF1743"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bCs/>
          <w:sz w:val="24"/>
          <w:szCs w:val="24"/>
        </w:rPr>
        <w:t>⁑</w:t>
      </w:r>
      <w:r w:rsidRPr="00827C81">
        <w:rPr>
          <w:rFonts w:ascii="Times New Roman" w:hAnsi="Times New Roman" w:cs="Times New Roman"/>
          <w:sz w:val="24"/>
          <w:szCs w:val="24"/>
        </w:rPr>
        <w:t>Key secondary outcome at 6 months.</w:t>
      </w:r>
    </w:p>
    <w:p w14:paraId="18EC1453" w14:textId="77777777" w:rsidR="002754F5" w:rsidRPr="00827C81" w:rsidRDefault="002754F5" w:rsidP="00107215">
      <w:pPr>
        <w:spacing w:line="480" w:lineRule="auto"/>
        <w:rPr>
          <w:rFonts w:ascii="Times New Roman" w:hAnsi="Times New Roman" w:cs="Times New Roman"/>
          <w:bCs/>
          <w:sz w:val="24"/>
          <w:szCs w:val="24"/>
        </w:rPr>
      </w:pPr>
      <w:r w:rsidRPr="00827C81">
        <w:rPr>
          <w:rFonts w:ascii="Times New Roman" w:hAnsi="Times New Roman" w:cs="Times New Roman"/>
          <w:bCs/>
          <w:sz w:val="24"/>
          <w:szCs w:val="24"/>
        </w:rPr>
        <w:t>§n/N (%) indicates the number of participants with adequate relief for ≥13 of 25 weeks, whereas effect indicated odds of relief across all 25 weeks with amitriptyline relative to placebo estimated from a generalised linear marginal mixed model of weekly data.</w:t>
      </w:r>
    </w:p>
    <w:p w14:paraId="33D4635C"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bCs/>
          <w:color w:val="414141"/>
          <w:sz w:val="24"/>
          <w:szCs w:val="24"/>
          <w:shd w:val="clear" w:color="auto" w:fill="FFFFFF"/>
        </w:rPr>
        <w:lastRenderedPageBreak/>
        <w:t>⁋</w:t>
      </w:r>
      <w:bookmarkStart w:id="37" w:name="_Hlk138408107"/>
      <w:r w:rsidRPr="00827C81">
        <w:rPr>
          <w:rFonts w:ascii="Times New Roman" w:hAnsi="Times New Roman" w:cs="Times New Roman"/>
          <w:bCs/>
          <w:color w:val="414141"/>
          <w:sz w:val="24"/>
          <w:szCs w:val="24"/>
          <w:shd w:val="clear" w:color="auto" w:fill="FFFFFF"/>
        </w:rPr>
        <w:t>Defined as “On medication every day or nearly every day” or “Half the days or more than half the days”. Proportional odds assumption not satisfied, descriptive analysis only</w:t>
      </w:r>
      <w:r w:rsidRPr="00827C81">
        <w:rPr>
          <w:rFonts w:ascii="Times New Roman" w:hAnsi="Times New Roman" w:cs="Times New Roman"/>
          <w:sz w:val="24"/>
          <w:szCs w:val="24"/>
        </w:rPr>
        <w:t>.</w:t>
      </w:r>
      <w:bookmarkEnd w:id="37"/>
    </w:p>
    <w:p w14:paraId="75F48487" w14:textId="77777777" w:rsidR="002754F5" w:rsidRPr="00827C81" w:rsidRDefault="002754F5" w:rsidP="00107215">
      <w:pPr>
        <w:spacing w:line="480" w:lineRule="auto"/>
        <w:rPr>
          <w:rFonts w:ascii="Times New Roman" w:hAnsi="Times New Roman" w:cs="Times New Roman"/>
          <w:b/>
          <w:sz w:val="24"/>
          <w:szCs w:val="24"/>
          <w:lang w:eastAsia="en-GB"/>
        </w:rPr>
        <w:sectPr w:rsidR="002754F5" w:rsidRPr="00827C81" w:rsidSect="00397BBC">
          <w:pgSz w:w="16838" w:h="11906" w:orient="landscape"/>
          <w:pgMar w:top="1440" w:right="1440" w:bottom="1440" w:left="1440" w:header="709" w:footer="709" w:gutter="0"/>
          <w:lnNumType w:countBy="1" w:restart="continuous"/>
          <w:cols w:space="708"/>
          <w:docGrid w:linePitch="360"/>
        </w:sectPr>
      </w:pPr>
    </w:p>
    <w:p w14:paraId="408D3384" w14:textId="77777777" w:rsidR="002754F5" w:rsidRPr="00827C81" w:rsidRDefault="002754F5" w:rsidP="00107215">
      <w:pPr>
        <w:spacing w:line="480" w:lineRule="auto"/>
        <w:rPr>
          <w:rFonts w:ascii="Times New Roman" w:hAnsi="Times New Roman" w:cs="Times New Roman"/>
          <w:b/>
          <w:sz w:val="24"/>
          <w:szCs w:val="24"/>
          <w:lang w:eastAsia="en-GB"/>
        </w:rPr>
      </w:pPr>
      <w:r w:rsidRPr="00827C81">
        <w:rPr>
          <w:rFonts w:ascii="Times New Roman" w:hAnsi="Times New Roman" w:cs="Times New Roman"/>
          <w:b/>
          <w:sz w:val="24"/>
          <w:szCs w:val="24"/>
          <w:lang w:eastAsia="en-GB"/>
        </w:rPr>
        <w:lastRenderedPageBreak/>
        <w:t xml:space="preserve">Table 3. Overview of Treatment-emergent Adverse Events at 3 and 6 Months in the Safety Analysis Set. </w:t>
      </w:r>
    </w:p>
    <w:tbl>
      <w:tblPr>
        <w:tblStyle w:val="TableGrid"/>
        <w:tblW w:w="0" w:type="auto"/>
        <w:tblLook w:val="04A0" w:firstRow="1" w:lastRow="0" w:firstColumn="1" w:lastColumn="0" w:noHBand="0" w:noVBand="1"/>
      </w:tblPr>
      <w:tblGrid>
        <w:gridCol w:w="3117"/>
        <w:gridCol w:w="1489"/>
        <w:gridCol w:w="1460"/>
        <w:gridCol w:w="1490"/>
        <w:gridCol w:w="1460"/>
      </w:tblGrid>
      <w:tr w:rsidR="002754F5" w:rsidRPr="00827C81" w14:paraId="0ACA2E2B" w14:textId="77777777" w:rsidTr="00086B21">
        <w:trPr>
          <w:cantSplit/>
        </w:trPr>
        <w:tc>
          <w:tcPr>
            <w:tcW w:w="3239" w:type="dxa"/>
            <w:shd w:val="clear" w:color="auto" w:fill="FFCCCC"/>
          </w:tcPr>
          <w:p w14:paraId="03FE2E31" w14:textId="77777777" w:rsidR="002754F5" w:rsidRPr="00827C81" w:rsidRDefault="002754F5" w:rsidP="00107215">
            <w:pPr>
              <w:spacing w:line="480" w:lineRule="auto"/>
              <w:rPr>
                <w:rFonts w:ascii="Times New Roman" w:hAnsi="Times New Roman" w:cs="Times New Roman"/>
                <w:b/>
                <w:bCs/>
                <w:sz w:val="20"/>
                <w:szCs w:val="20"/>
              </w:rPr>
            </w:pPr>
            <w:bookmarkStart w:id="38" w:name="_Hlk134809173"/>
          </w:p>
        </w:tc>
        <w:tc>
          <w:tcPr>
            <w:tcW w:w="3001" w:type="dxa"/>
            <w:gridSpan w:val="2"/>
            <w:shd w:val="clear" w:color="auto" w:fill="FFCCCC"/>
          </w:tcPr>
          <w:p w14:paraId="493EBC1B"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3 months</w:t>
            </w:r>
          </w:p>
        </w:tc>
        <w:tc>
          <w:tcPr>
            <w:tcW w:w="3002" w:type="dxa"/>
            <w:gridSpan w:val="2"/>
            <w:shd w:val="clear" w:color="auto" w:fill="FFCCCC"/>
          </w:tcPr>
          <w:p w14:paraId="06C33B64" w14:textId="77777777" w:rsidR="002754F5" w:rsidRPr="00827C81" w:rsidRDefault="002754F5" w:rsidP="0010721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6 months</w:t>
            </w:r>
          </w:p>
        </w:tc>
      </w:tr>
      <w:tr w:rsidR="002754F5" w:rsidRPr="00827C81" w14:paraId="346E3BEB" w14:textId="77777777" w:rsidTr="00086B21">
        <w:trPr>
          <w:cantSplit/>
        </w:trPr>
        <w:tc>
          <w:tcPr>
            <w:tcW w:w="3239" w:type="dxa"/>
            <w:shd w:val="clear" w:color="auto" w:fill="FFCCCC"/>
          </w:tcPr>
          <w:p w14:paraId="0959DC00" w14:textId="77777777" w:rsidR="002754F5" w:rsidRPr="00827C81" w:rsidRDefault="002754F5" w:rsidP="00A762E5">
            <w:pPr>
              <w:spacing w:line="480" w:lineRule="auto"/>
              <w:rPr>
                <w:rFonts w:ascii="Times New Roman" w:hAnsi="Times New Roman" w:cs="Times New Roman"/>
                <w:b/>
                <w:bCs/>
                <w:sz w:val="20"/>
                <w:szCs w:val="20"/>
              </w:rPr>
            </w:pPr>
          </w:p>
        </w:tc>
        <w:tc>
          <w:tcPr>
            <w:tcW w:w="1500" w:type="dxa"/>
            <w:shd w:val="clear" w:color="auto" w:fill="FFCCCC"/>
          </w:tcPr>
          <w:p w14:paraId="57599E33" w14:textId="77777777" w:rsidR="002754F5" w:rsidRPr="00827C81" w:rsidRDefault="002754F5" w:rsidP="00A762E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 xml:space="preserve">Low-dose amitriptyline </w:t>
            </w:r>
          </w:p>
          <w:p w14:paraId="2416FF31" w14:textId="77777777" w:rsidR="002754F5" w:rsidRPr="00827C81" w:rsidRDefault="002754F5" w:rsidP="00A762E5">
            <w:pPr>
              <w:spacing w:line="480" w:lineRule="auto"/>
              <w:jc w:val="center"/>
              <w:rPr>
                <w:rFonts w:ascii="Times New Roman" w:hAnsi="Times New Roman" w:cs="Times New Roman"/>
                <w:b/>
                <w:bCs/>
                <w:color w:val="FF0000"/>
                <w:sz w:val="20"/>
                <w:szCs w:val="20"/>
              </w:rPr>
            </w:pPr>
            <w:r w:rsidRPr="00827C81">
              <w:rPr>
                <w:rFonts w:ascii="Times New Roman" w:hAnsi="Times New Roman" w:cs="Times New Roman"/>
                <w:b/>
                <w:bCs/>
                <w:sz w:val="20"/>
                <w:szCs w:val="20"/>
              </w:rPr>
              <w:t>(n = 231)*</w:t>
            </w:r>
          </w:p>
        </w:tc>
        <w:tc>
          <w:tcPr>
            <w:tcW w:w="1501" w:type="dxa"/>
            <w:shd w:val="clear" w:color="auto" w:fill="FFCCCC"/>
          </w:tcPr>
          <w:p w14:paraId="2148CD86" w14:textId="77777777" w:rsidR="002754F5" w:rsidRPr="00827C81" w:rsidRDefault="002754F5" w:rsidP="00A762E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 xml:space="preserve">Placebo </w:t>
            </w:r>
          </w:p>
          <w:p w14:paraId="0101558A" w14:textId="77777777" w:rsidR="002754F5" w:rsidRPr="00827C81" w:rsidRDefault="002754F5" w:rsidP="00A762E5">
            <w:pPr>
              <w:spacing w:line="480" w:lineRule="auto"/>
              <w:jc w:val="center"/>
              <w:rPr>
                <w:rFonts w:ascii="Times New Roman" w:hAnsi="Times New Roman" w:cs="Times New Roman"/>
                <w:b/>
                <w:bCs/>
                <w:color w:val="FF0000"/>
                <w:sz w:val="20"/>
                <w:szCs w:val="20"/>
              </w:rPr>
            </w:pPr>
            <w:r w:rsidRPr="00827C81">
              <w:rPr>
                <w:rFonts w:ascii="Times New Roman" w:hAnsi="Times New Roman" w:cs="Times New Roman"/>
                <w:b/>
                <w:bCs/>
                <w:sz w:val="20"/>
                <w:szCs w:val="20"/>
              </w:rPr>
              <w:t>(n = 229)*</w:t>
            </w:r>
          </w:p>
        </w:tc>
        <w:tc>
          <w:tcPr>
            <w:tcW w:w="1501" w:type="dxa"/>
            <w:shd w:val="clear" w:color="auto" w:fill="FFCCCC"/>
          </w:tcPr>
          <w:p w14:paraId="2B3B4A07" w14:textId="77777777" w:rsidR="002754F5" w:rsidRPr="00827C81" w:rsidRDefault="002754F5" w:rsidP="00A762E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 xml:space="preserve">Low-dose amitriptyline </w:t>
            </w:r>
          </w:p>
          <w:p w14:paraId="1C93BF8B" w14:textId="77777777" w:rsidR="002754F5" w:rsidRPr="00827C81" w:rsidRDefault="002754F5" w:rsidP="00A762E5">
            <w:pPr>
              <w:spacing w:line="480" w:lineRule="auto"/>
              <w:jc w:val="center"/>
              <w:rPr>
                <w:rFonts w:ascii="Times New Roman" w:hAnsi="Times New Roman" w:cs="Times New Roman"/>
                <w:b/>
                <w:bCs/>
                <w:color w:val="FF0000"/>
                <w:sz w:val="20"/>
                <w:szCs w:val="20"/>
              </w:rPr>
            </w:pPr>
            <w:r w:rsidRPr="00827C81">
              <w:rPr>
                <w:rFonts w:ascii="Times New Roman" w:hAnsi="Times New Roman" w:cs="Times New Roman"/>
                <w:b/>
                <w:bCs/>
                <w:sz w:val="20"/>
                <w:szCs w:val="20"/>
              </w:rPr>
              <w:t>(n = 232)†</w:t>
            </w:r>
          </w:p>
        </w:tc>
        <w:tc>
          <w:tcPr>
            <w:tcW w:w="1501" w:type="dxa"/>
            <w:shd w:val="clear" w:color="auto" w:fill="FFCCCC"/>
          </w:tcPr>
          <w:p w14:paraId="6B280408" w14:textId="77777777" w:rsidR="002754F5" w:rsidRPr="00827C81" w:rsidRDefault="002754F5" w:rsidP="00A762E5">
            <w:pPr>
              <w:spacing w:line="480" w:lineRule="auto"/>
              <w:jc w:val="center"/>
              <w:rPr>
                <w:rFonts w:ascii="Times New Roman" w:hAnsi="Times New Roman" w:cs="Times New Roman"/>
                <w:b/>
                <w:bCs/>
                <w:sz w:val="20"/>
                <w:szCs w:val="20"/>
              </w:rPr>
            </w:pPr>
            <w:r w:rsidRPr="00827C81">
              <w:rPr>
                <w:rFonts w:ascii="Times New Roman" w:hAnsi="Times New Roman" w:cs="Times New Roman"/>
                <w:b/>
                <w:bCs/>
                <w:sz w:val="20"/>
                <w:szCs w:val="20"/>
              </w:rPr>
              <w:t xml:space="preserve">Placebo </w:t>
            </w:r>
          </w:p>
          <w:p w14:paraId="792FA8DE" w14:textId="77777777" w:rsidR="002754F5" w:rsidRPr="00827C81" w:rsidRDefault="002754F5" w:rsidP="00A762E5">
            <w:pPr>
              <w:spacing w:line="480" w:lineRule="auto"/>
              <w:jc w:val="center"/>
              <w:rPr>
                <w:rFonts w:ascii="Times New Roman" w:hAnsi="Times New Roman" w:cs="Times New Roman"/>
                <w:b/>
                <w:bCs/>
                <w:color w:val="FF0000"/>
                <w:sz w:val="20"/>
                <w:szCs w:val="20"/>
              </w:rPr>
            </w:pPr>
            <w:r w:rsidRPr="00827C81">
              <w:rPr>
                <w:rFonts w:ascii="Times New Roman" w:hAnsi="Times New Roman" w:cs="Times New Roman"/>
                <w:b/>
                <w:bCs/>
                <w:sz w:val="20"/>
                <w:szCs w:val="20"/>
              </w:rPr>
              <w:t>(n = 228)†</w:t>
            </w:r>
          </w:p>
        </w:tc>
      </w:tr>
      <w:tr w:rsidR="002754F5" w:rsidRPr="00827C81" w14:paraId="2E60499C" w14:textId="77777777" w:rsidTr="00086B21">
        <w:trPr>
          <w:cantSplit/>
        </w:trPr>
        <w:tc>
          <w:tcPr>
            <w:tcW w:w="3239" w:type="dxa"/>
          </w:tcPr>
          <w:p w14:paraId="03FD762C"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 xml:space="preserve">Number of participants on treatment </w:t>
            </w:r>
          </w:p>
        </w:tc>
        <w:tc>
          <w:tcPr>
            <w:tcW w:w="1500" w:type="dxa"/>
          </w:tcPr>
          <w:p w14:paraId="2DAB3A9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194</w:t>
            </w:r>
          </w:p>
        </w:tc>
        <w:tc>
          <w:tcPr>
            <w:tcW w:w="1501" w:type="dxa"/>
          </w:tcPr>
          <w:p w14:paraId="1CF4A7E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196</w:t>
            </w:r>
          </w:p>
        </w:tc>
        <w:tc>
          <w:tcPr>
            <w:tcW w:w="1501" w:type="dxa"/>
          </w:tcPr>
          <w:p w14:paraId="70DAF17B"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174</w:t>
            </w:r>
          </w:p>
        </w:tc>
        <w:tc>
          <w:tcPr>
            <w:tcW w:w="1501" w:type="dxa"/>
          </w:tcPr>
          <w:p w14:paraId="1A6EF95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164</w:t>
            </w:r>
          </w:p>
        </w:tc>
      </w:tr>
      <w:tr w:rsidR="002754F5" w:rsidRPr="00827C81" w14:paraId="1445ACCD" w14:textId="77777777" w:rsidTr="0048603F">
        <w:trPr>
          <w:cantSplit/>
        </w:trPr>
        <w:tc>
          <w:tcPr>
            <w:tcW w:w="3239" w:type="dxa"/>
            <w:shd w:val="clear" w:color="auto" w:fill="FFCCCC"/>
          </w:tcPr>
          <w:p w14:paraId="3EF4B8B1"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Number of participants on treatment and completing the ASEC</w:t>
            </w:r>
          </w:p>
        </w:tc>
        <w:tc>
          <w:tcPr>
            <w:tcW w:w="1500" w:type="dxa"/>
            <w:shd w:val="clear" w:color="auto" w:fill="FFCCCC"/>
          </w:tcPr>
          <w:p w14:paraId="4D5E420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193</w:t>
            </w:r>
          </w:p>
        </w:tc>
        <w:tc>
          <w:tcPr>
            <w:tcW w:w="1501" w:type="dxa"/>
            <w:shd w:val="clear" w:color="auto" w:fill="FFCCCC"/>
          </w:tcPr>
          <w:p w14:paraId="3417FDA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192</w:t>
            </w:r>
          </w:p>
        </w:tc>
        <w:tc>
          <w:tcPr>
            <w:tcW w:w="1501" w:type="dxa"/>
            <w:shd w:val="clear" w:color="auto" w:fill="FFCCCC"/>
          </w:tcPr>
          <w:p w14:paraId="176BCEB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166</w:t>
            </w:r>
          </w:p>
        </w:tc>
        <w:tc>
          <w:tcPr>
            <w:tcW w:w="1501" w:type="dxa"/>
            <w:shd w:val="clear" w:color="auto" w:fill="FFCCCC"/>
          </w:tcPr>
          <w:p w14:paraId="1DE5CF12"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152</w:t>
            </w:r>
          </w:p>
        </w:tc>
      </w:tr>
      <w:tr w:rsidR="002754F5" w:rsidRPr="00827C81" w14:paraId="0EDFC1CB" w14:textId="77777777" w:rsidTr="00086B21">
        <w:trPr>
          <w:cantSplit/>
        </w:trPr>
        <w:tc>
          <w:tcPr>
            <w:tcW w:w="3239" w:type="dxa"/>
          </w:tcPr>
          <w:p w14:paraId="5002DDFB"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t>Total ASEC score‡</w:t>
            </w:r>
          </w:p>
          <w:p w14:paraId="190AD827"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Mean (SD)</w:t>
            </w:r>
          </w:p>
          <w:p w14:paraId="50130E35" w14:textId="77777777" w:rsidR="002754F5" w:rsidRPr="00827C81" w:rsidRDefault="002754F5" w:rsidP="00916E72">
            <w:pPr>
              <w:spacing w:line="480" w:lineRule="auto"/>
              <w:rPr>
                <w:rFonts w:ascii="Times New Roman" w:hAnsi="Times New Roman" w:cs="Times New Roman"/>
                <w:sz w:val="20"/>
                <w:szCs w:val="20"/>
              </w:rPr>
            </w:pPr>
          </w:p>
          <w:p w14:paraId="0614F062"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sz w:val="20"/>
                <w:szCs w:val="20"/>
              </w:rPr>
              <w:t xml:space="preserve">Mean difference (95% CI), </w:t>
            </w:r>
            <w:r w:rsidRPr="00827C81">
              <w:rPr>
                <w:rFonts w:ascii="Times New Roman" w:hAnsi="Times New Roman" w:cs="Times New Roman"/>
                <w:i/>
                <w:iCs/>
                <w:sz w:val="20"/>
                <w:szCs w:val="20"/>
              </w:rPr>
              <w:t>p-</w:t>
            </w:r>
            <w:r w:rsidRPr="00827C81">
              <w:rPr>
                <w:rFonts w:ascii="Times New Roman" w:hAnsi="Times New Roman" w:cs="Times New Roman"/>
                <w:sz w:val="20"/>
                <w:szCs w:val="20"/>
              </w:rPr>
              <w:t>value⁑</w:t>
            </w:r>
          </w:p>
        </w:tc>
        <w:tc>
          <w:tcPr>
            <w:tcW w:w="1500" w:type="dxa"/>
          </w:tcPr>
          <w:p w14:paraId="6C568D01" w14:textId="77777777" w:rsidR="002754F5" w:rsidRPr="00827C81" w:rsidRDefault="002754F5" w:rsidP="00916E72">
            <w:pPr>
              <w:pStyle w:val="NoSpacing"/>
              <w:spacing w:line="480" w:lineRule="auto"/>
              <w:jc w:val="center"/>
              <w:rPr>
                <w:rFonts w:ascii="Times New Roman" w:hAnsi="Times New Roman" w:cs="Times New Roman"/>
                <w:sz w:val="20"/>
                <w:szCs w:val="20"/>
              </w:rPr>
            </w:pPr>
          </w:p>
          <w:p w14:paraId="4F6C626A" w14:textId="77777777" w:rsidR="002754F5" w:rsidRPr="00827C81" w:rsidRDefault="002754F5" w:rsidP="00916E72">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9.9 (6.0), </w:t>
            </w:r>
          </w:p>
          <w:p w14:paraId="0C084A83" w14:textId="77777777" w:rsidR="002754F5" w:rsidRPr="00827C81" w:rsidRDefault="002754F5" w:rsidP="00916E72">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193</w:t>
            </w:r>
          </w:p>
          <w:p w14:paraId="351F3A70"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1.39 (0.29, 2.50), </w:t>
            </w:r>
            <w:r w:rsidRPr="00827C81">
              <w:rPr>
                <w:rFonts w:ascii="Times New Roman" w:hAnsi="Times New Roman" w:cs="Times New Roman"/>
                <w:i/>
                <w:iCs/>
                <w:sz w:val="20"/>
                <w:szCs w:val="20"/>
              </w:rPr>
              <w:t xml:space="preserve">p </w:t>
            </w:r>
            <w:r w:rsidRPr="00827C81">
              <w:rPr>
                <w:rFonts w:ascii="Times New Roman" w:hAnsi="Times New Roman" w:cs="Times New Roman"/>
                <w:sz w:val="20"/>
                <w:szCs w:val="20"/>
              </w:rPr>
              <w:t>= 0.013</w:t>
            </w:r>
          </w:p>
        </w:tc>
        <w:tc>
          <w:tcPr>
            <w:tcW w:w="1501" w:type="dxa"/>
          </w:tcPr>
          <w:p w14:paraId="0A11B308" w14:textId="77777777" w:rsidR="002754F5" w:rsidRPr="00827C81" w:rsidRDefault="002754F5" w:rsidP="00916E72">
            <w:pPr>
              <w:pStyle w:val="NoSpacing"/>
              <w:spacing w:line="480" w:lineRule="auto"/>
              <w:jc w:val="center"/>
              <w:rPr>
                <w:rFonts w:ascii="Times New Roman" w:hAnsi="Times New Roman" w:cs="Times New Roman"/>
                <w:sz w:val="20"/>
                <w:szCs w:val="20"/>
              </w:rPr>
            </w:pPr>
          </w:p>
          <w:p w14:paraId="640DF34D" w14:textId="77777777" w:rsidR="002754F5" w:rsidRPr="00827C81" w:rsidRDefault="002754F5" w:rsidP="00916E72">
            <w:pPr>
              <w:pStyle w:val="NoSpacing"/>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8.4 (5.7), </w:t>
            </w:r>
          </w:p>
          <w:p w14:paraId="063BB00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192</w:t>
            </w:r>
          </w:p>
        </w:tc>
        <w:tc>
          <w:tcPr>
            <w:tcW w:w="1501" w:type="dxa"/>
          </w:tcPr>
          <w:p w14:paraId="3ADDF62F" w14:textId="77777777" w:rsidR="002754F5" w:rsidRPr="00827C81" w:rsidRDefault="002754F5" w:rsidP="00916E72">
            <w:pPr>
              <w:spacing w:line="480" w:lineRule="auto"/>
              <w:jc w:val="center"/>
              <w:rPr>
                <w:rFonts w:ascii="Times New Roman" w:hAnsi="Times New Roman" w:cs="Times New Roman"/>
                <w:sz w:val="20"/>
                <w:szCs w:val="20"/>
              </w:rPr>
            </w:pPr>
          </w:p>
          <w:p w14:paraId="703A2E8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9.3 (6.1), </w:t>
            </w:r>
          </w:p>
          <w:p w14:paraId="0317FFD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n = 166</w:t>
            </w:r>
          </w:p>
          <w:p w14:paraId="4ABF567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 xml:space="preserve">0.26 (-0.98, 1.51), </w:t>
            </w:r>
            <w:r w:rsidRPr="00827C81">
              <w:rPr>
                <w:rFonts w:ascii="Times New Roman" w:hAnsi="Times New Roman" w:cs="Times New Roman"/>
                <w:i/>
                <w:iCs/>
                <w:sz w:val="20"/>
                <w:szCs w:val="20"/>
              </w:rPr>
              <w:t>p</w:t>
            </w:r>
            <w:r w:rsidRPr="00827C81">
              <w:rPr>
                <w:rFonts w:ascii="Times New Roman" w:hAnsi="Times New Roman" w:cs="Times New Roman"/>
                <w:sz w:val="20"/>
                <w:szCs w:val="20"/>
              </w:rPr>
              <w:t xml:space="preserve"> = 0.68</w:t>
            </w:r>
          </w:p>
        </w:tc>
        <w:tc>
          <w:tcPr>
            <w:tcW w:w="1501" w:type="dxa"/>
          </w:tcPr>
          <w:p w14:paraId="2965E2C3" w14:textId="77777777" w:rsidR="002754F5" w:rsidRPr="00827C81" w:rsidRDefault="002754F5" w:rsidP="00916E72">
            <w:pPr>
              <w:spacing w:line="480" w:lineRule="auto"/>
              <w:jc w:val="center"/>
              <w:rPr>
                <w:rFonts w:ascii="Times New Roman" w:hAnsi="Times New Roman" w:cs="Times New Roman"/>
                <w:sz w:val="20"/>
                <w:szCs w:val="20"/>
              </w:rPr>
            </w:pPr>
          </w:p>
          <w:p w14:paraId="44B92C2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8.7 (6.2), n=152</w:t>
            </w:r>
          </w:p>
        </w:tc>
      </w:tr>
      <w:tr w:rsidR="002754F5" w:rsidRPr="00827C81" w14:paraId="2A360E78" w14:textId="77777777" w:rsidTr="0048603F">
        <w:trPr>
          <w:cantSplit/>
        </w:trPr>
        <w:tc>
          <w:tcPr>
            <w:tcW w:w="3239" w:type="dxa"/>
            <w:shd w:val="clear" w:color="auto" w:fill="FFCCCC"/>
          </w:tcPr>
          <w:p w14:paraId="391A3242"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b/>
                <w:bCs/>
                <w:color w:val="000000"/>
                <w:sz w:val="20"/>
                <w:szCs w:val="20"/>
              </w:rPr>
              <w:t>Side effect (%)</w:t>
            </w:r>
          </w:p>
          <w:p w14:paraId="3D06D994"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color w:val="000000"/>
                <w:sz w:val="20"/>
                <w:szCs w:val="20"/>
              </w:rPr>
              <w:t>No side effects reported</w:t>
            </w:r>
          </w:p>
          <w:p w14:paraId="4AD5E72B"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sz w:val="20"/>
                <w:szCs w:val="20"/>
              </w:rPr>
              <w:t>≥1 mild to severe side effect</w:t>
            </w:r>
          </w:p>
          <w:p w14:paraId="0B1245C0"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sz w:val="20"/>
                <w:szCs w:val="20"/>
              </w:rPr>
              <w:t>≥1 moderate to severe side effect</w:t>
            </w:r>
          </w:p>
          <w:p w14:paraId="570A8428"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sz w:val="20"/>
                <w:szCs w:val="20"/>
              </w:rPr>
              <w:t>≥1 severe side effect</w:t>
            </w:r>
          </w:p>
        </w:tc>
        <w:tc>
          <w:tcPr>
            <w:tcW w:w="1500" w:type="dxa"/>
            <w:shd w:val="clear" w:color="auto" w:fill="FFCCCC"/>
          </w:tcPr>
          <w:p w14:paraId="497CCF38"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54266545"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5/193 (3)</w:t>
            </w:r>
          </w:p>
          <w:p w14:paraId="6007DE4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188/193 (97)</w:t>
            </w:r>
          </w:p>
          <w:p w14:paraId="28E8592A"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156/193 (81)</w:t>
            </w:r>
          </w:p>
          <w:p w14:paraId="74B1594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58/193 (30)</w:t>
            </w:r>
          </w:p>
        </w:tc>
        <w:tc>
          <w:tcPr>
            <w:tcW w:w="1501" w:type="dxa"/>
            <w:shd w:val="clear" w:color="auto" w:fill="FFCCCC"/>
          </w:tcPr>
          <w:p w14:paraId="52BADB66"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657FB36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7/192 (4)</w:t>
            </w:r>
          </w:p>
          <w:p w14:paraId="6F11ED4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185/192 (96)</w:t>
            </w:r>
          </w:p>
          <w:p w14:paraId="1DC8907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154/192 (80)</w:t>
            </w:r>
          </w:p>
          <w:p w14:paraId="325BE13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46/192 (24)</w:t>
            </w:r>
          </w:p>
        </w:tc>
        <w:tc>
          <w:tcPr>
            <w:tcW w:w="1501" w:type="dxa"/>
            <w:shd w:val="clear" w:color="auto" w:fill="FFCCCC"/>
          </w:tcPr>
          <w:p w14:paraId="09DB60E9"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4021760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2/166 (1)</w:t>
            </w:r>
          </w:p>
          <w:p w14:paraId="5EB9CAE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164/166 (99)</w:t>
            </w:r>
          </w:p>
          <w:p w14:paraId="18A9CA0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127/166 (77)</w:t>
            </w:r>
          </w:p>
          <w:p w14:paraId="44B8144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45/166 (27)</w:t>
            </w:r>
          </w:p>
        </w:tc>
        <w:tc>
          <w:tcPr>
            <w:tcW w:w="1501" w:type="dxa"/>
            <w:shd w:val="clear" w:color="auto" w:fill="FFCCCC"/>
          </w:tcPr>
          <w:p w14:paraId="64EFE327"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61EA41C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3/152 (2)</w:t>
            </w:r>
          </w:p>
          <w:p w14:paraId="72EB789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149/152 (98)</w:t>
            </w:r>
          </w:p>
          <w:p w14:paraId="4E7E234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113/152 (74)</w:t>
            </w:r>
          </w:p>
          <w:p w14:paraId="581B4BC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37/152 (24)</w:t>
            </w:r>
          </w:p>
        </w:tc>
      </w:tr>
      <w:tr w:rsidR="002754F5" w:rsidRPr="00827C81" w14:paraId="77B6D19F" w14:textId="77777777" w:rsidTr="00F1403E">
        <w:trPr>
          <w:cantSplit/>
          <w:trHeight w:val="10579"/>
        </w:trPr>
        <w:tc>
          <w:tcPr>
            <w:tcW w:w="3239" w:type="dxa"/>
          </w:tcPr>
          <w:p w14:paraId="76D5E5E3" w14:textId="77777777" w:rsidR="002754F5" w:rsidRPr="00827C81" w:rsidRDefault="002754F5" w:rsidP="00916E72">
            <w:pPr>
              <w:spacing w:line="480" w:lineRule="auto"/>
              <w:rPr>
                <w:rFonts w:ascii="Times New Roman" w:hAnsi="Times New Roman" w:cs="Times New Roman"/>
                <w:b/>
                <w:bCs/>
                <w:sz w:val="20"/>
                <w:szCs w:val="20"/>
              </w:rPr>
            </w:pPr>
            <w:r w:rsidRPr="00827C81">
              <w:rPr>
                <w:rFonts w:ascii="Times New Roman" w:hAnsi="Times New Roman" w:cs="Times New Roman"/>
                <w:b/>
                <w:bCs/>
                <w:sz w:val="20"/>
                <w:szCs w:val="20"/>
              </w:rPr>
              <w:lastRenderedPageBreak/>
              <w:t>Side effects reported at any frequency (%)</w:t>
            </w:r>
          </w:p>
          <w:p w14:paraId="06E11C92" w14:textId="77777777" w:rsidR="002754F5" w:rsidRPr="00827C81" w:rsidRDefault="002754F5" w:rsidP="00916E72">
            <w:pPr>
              <w:spacing w:line="480" w:lineRule="auto"/>
              <w:rPr>
                <w:rFonts w:ascii="Times New Roman" w:hAnsi="Times New Roman" w:cs="Times New Roman"/>
                <w:sz w:val="20"/>
                <w:szCs w:val="20"/>
                <w:highlight w:val="yellow"/>
              </w:rPr>
            </w:pPr>
            <w:r w:rsidRPr="00827C81">
              <w:rPr>
                <w:rFonts w:ascii="Times New Roman" w:hAnsi="Times New Roman" w:cs="Times New Roman"/>
                <w:sz w:val="20"/>
                <w:szCs w:val="20"/>
              </w:rPr>
              <w:t>Dry mouth</w:t>
            </w:r>
          </w:p>
          <w:p w14:paraId="0511BE1F"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Drowsiness</w:t>
            </w:r>
          </w:p>
          <w:p w14:paraId="14B75DC4"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Insomnia</w:t>
            </w:r>
          </w:p>
          <w:p w14:paraId="5994EC03"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Blurred vision</w:t>
            </w:r>
          </w:p>
          <w:p w14:paraId="412F17B1"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Headache</w:t>
            </w:r>
          </w:p>
          <w:p w14:paraId="46ACAAA8"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Constipation</w:t>
            </w:r>
          </w:p>
          <w:p w14:paraId="691BC233"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Diarrhoea</w:t>
            </w:r>
          </w:p>
          <w:p w14:paraId="68F61031"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Increased appetite</w:t>
            </w:r>
          </w:p>
          <w:p w14:paraId="42D816B2"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Decreased appetite</w:t>
            </w:r>
          </w:p>
          <w:p w14:paraId="76EB7DE8"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Nausea or vomiting</w:t>
            </w:r>
          </w:p>
          <w:p w14:paraId="434A25EA"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Problems with urination</w:t>
            </w:r>
          </w:p>
          <w:p w14:paraId="0E9D6CEF"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Problems with sexual function</w:t>
            </w:r>
          </w:p>
          <w:p w14:paraId="4868C804"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Palpitations</w:t>
            </w:r>
          </w:p>
          <w:p w14:paraId="76CE2E52"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Light-headed on standing</w:t>
            </w:r>
          </w:p>
          <w:p w14:paraId="5ED3FD11"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Feeling like the room spinning</w:t>
            </w:r>
          </w:p>
          <w:p w14:paraId="05A069FE"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Sweating</w:t>
            </w:r>
          </w:p>
          <w:p w14:paraId="760EEF91"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Increased body temperature</w:t>
            </w:r>
          </w:p>
          <w:p w14:paraId="360973A7"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Tremor</w:t>
            </w:r>
          </w:p>
          <w:p w14:paraId="23A6AFC0"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Disorientation</w:t>
            </w:r>
          </w:p>
          <w:p w14:paraId="4CB129AC" w14:textId="77777777" w:rsidR="002754F5" w:rsidRPr="00827C81" w:rsidRDefault="002754F5" w:rsidP="00916E72">
            <w:pPr>
              <w:spacing w:line="480" w:lineRule="auto"/>
              <w:rPr>
                <w:rFonts w:ascii="Times New Roman" w:hAnsi="Times New Roman" w:cs="Times New Roman"/>
                <w:sz w:val="20"/>
                <w:szCs w:val="20"/>
              </w:rPr>
            </w:pPr>
            <w:r w:rsidRPr="00827C81">
              <w:rPr>
                <w:rFonts w:ascii="Times New Roman" w:hAnsi="Times New Roman" w:cs="Times New Roman"/>
                <w:sz w:val="20"/>
                <w:szCs w:val="20"/>
              </w:rPr>
              <w:t>Yawning</w:t>
            </w:r>
          </w:p>
          <w:p w14:paraId="43988BEB" w14:textId="77777777" w:rsidR="002754F5" w:rsidRPr="00827C81" w:rsidRDefault="002754F5" w:rsidP="00916E72">
            <w:pPr>
              <w:spacing w:line="480" w:lineRule="auto"/>
              <w:rPr>
                <w:rFonts w:ascii="Times New Roman" w:hAnsi="Times New Roman" w:cs="Times New Roman"/>
                <w:b/>
                <w:bCs/>
                <w:sz w:val="20"/>
                <w:szCs w:val="20"/>
                <w:highlight w:val="yellow"/>
              </w:rPr>
            </w:pPr>
            <w:r w:rsidRPr="00827C81">
              <w:rPr>
                <w:rFonts w:ascii="Times New Roman" w:hAnsi="Times New Roman" w:cs="Times New Roman"/>
                <w:sz w:val="20"/>
                <w:szCs w:val="20"/>
              </w:rPr>
              <w:t>Weight gain</w:t>
            </w:r>
          </w:p>
        </w:tc>
        <w:tc>
          <w:tcPr>
            <w:tcW w:w="1500" w:type="dxa"/>
          </w:tcPr>
          <w:p w14:paraId="4E3C8771"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0324E86D"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39F54011"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122 (63)</w:t>
            </w:r>
          </w:p>
          <w:p w14:paraId="10A794F0"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128 (66)</w:t>
            </w:r>
          </w:p>
          <w:p w14:paraId="08096D9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78 (40)</w:t>
            </w:r>
          </w:p>
          <w:p w14:paraId="6CBF033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29 (15)</w:t>
            </w:r>
          </w:p>
          <w:p w14:paraId="76EC27E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74 (38)</w:t>
            </w:r>
          </w:p>
          <w:p w14:paraId="5CC2D22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110 (57)</w:t>
            </w:r>
          </w:p>
          <w:p w14:paraId="3905264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117 (61)</w:t>
            </w:r>
          </w:p>
          <w:p w14:paraId="1599E17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54 (28)</w:t>
            </w:r>
          </w:p>
          <w:p w14:paraId="4B6B2EC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34 (18)</w:t>
            </w:r>
          </w:p>
          <w:p w14:paraId="69EE69F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35 (18)</w:t>
            </w:r>
          </w:p>
          <w:p w14:paraId="7A65567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31 (16)</w:t>
            </w:r>
          </w:p>
          <w:p w14:paraId="1CB2221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29 (15)</w:t>
            </w:r>
          </w:p>
          <w:p w14:paraId="78D29BB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56 (29)</w:t>
            </w:r>
          </w:p>
          <w:p w14:paraId="42AC2FF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73 (38)</w:t>
            </w:r>
          </w:p>
          <w:p w14:paraId="62B80B9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29 (15)</w:t>
            </w:r>
          </w:p>
          <w:p w14:paraId="49A16DE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71 (37)</w:t>
            </w:r>
          </w:p>
          <w:p w14:paraId="510327A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56 (29)</w:t>
            </w:r>
          </w:p>
          <w:p w14:paraId="011492C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17 (9)</w:t>
            </w:r>
          </w:p>
          <w:p w14:paraId="0D507C3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24 (12)</w:t>
            </w:r>
          </w:p>
          <w:p w14:paraId="63BB321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67 (35)</w:t>
            </w:r>
          </w:p>
          <w:p w14:paraId="1F7D59FC"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72 (37)</w:t>
            </w:r>
          </w:p>
        </w:tc>
        <w:tc>
          <w:tcPr>
            <w:tcW w:w="1501" w:type="dxa"/>
          </w:tcPr>
          <w:p w14:paraId="26F1EE91"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2A59F83C"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5894DB2E"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87 (45)</w:t>
            </w:r>
          </w:p>
          <w:p w14:paraId="61A9553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67 (35)</w:t>
            </w:r>
          </w:p>
          <w:p w14:paraId="38361EB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108 (56)</w:t>
            </w:r>
          </w:p>
          <w:p w14:paraId="0F44BA6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24 (13)</w:t>
            </w:r>
          </w:p>
          <w:p w14:paraId="5AB0DC09"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85 (44)</w:t>
            </w:r>
          </w:p>
          <w:p w14:paraId="4DF62973"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89 (46)</w:t>
            </w:r>
          </w:p>
          <w:p w14:paraId="77A0F4F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126 (66)</w:t>
            </w:r>
          </w:p>
          <w:p w14:paraId="74E3BAC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44 (23)</w:t>
            </w:r>
          </w:p>
          <w:p w14:paraId="5F80F33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28 (15)</w:t>
            </w:r>
          </w:p>
          <w:p w14:paraId="70FEF16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26 (14)</w:t>
            </w:r>
          </w:p>
          <w:p w14:paraId="7F80ACC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23 (12)</w:t>
            </w:r>
          </w:p>
          <w:p w14:paraId="0671218B"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23 (12)</w:t>
            </w:r>
          </w:p>
          <w:p w14:paraId="3D207D7B"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37 (19)</w:t>
            </w:r>
          </w:p>
          <w:p w14:paraId="227AA310"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63 (33)</w:t>
            </w:r>
          </w:p>
          <w:p w14:paraId="55CE6C4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24 (13)</w:t>
            </w:r>
          </w:p>
          <w:p w14:paraId="6B1E082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60 (31)</w:t>
            </w:r>
          </w:p>
          <w:p w14:paraId="7A2CEC15"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48 (25)</w:t>
            </w:r>
          </w:p>
          <w:p w14:paraId="2869C8F5"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13 (7)</w:t>
            </w:r>
          </w:p>
          <w:p w14:paraId="7D4F250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8 (4)</w:t>
            </w:r>
          </w:p>
          <w:p w14:paraId="604DAA4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68 (35)</w:t>
            </w:r>
          </w:p>
          <w:p w14:paraId="1E8A737C"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59 (31)</w:t>
            </w:r>
          </w:p>
        </w:tc>
        <w:tc>
          <w:tcPr>
            <w:tcW w:w="1501" w:type="dxa"/>
          </w:tcPr>
          <w:p w14:paraId="407D2208"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1B8F5969"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6565D614"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90 (54)</w:t>
            </w:r>
          </w:p>
          <w:p w14:paraId="0ED29B4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88 (53)</w:t>
            </w:r>
          </w:p>
          <w:p w14:paraId="409CB13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77 (46)</w:t>
            </w:r>
          </w:p>
          <w:p w14:paraId="564849F3"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28 (17)</w:t>
            </w:r>
          </w:p>
          <w:p w14:paraId="2E49D27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78 (47)</w:t>
            </w:r>
          </w:p>
          <w:p w14:paraId="611CA56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93 (56)</w:t>
            </w:r>
          </w:p>
          <w:p w14:paraId="23024FC3"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98 (59)</w:t>
            </w:r>
          </w:p>
          <w:p w14:paraId="2ABAC289"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45 (27)</w:t>
            </w:r>
          </w:p>
          <w:p w14:paraId="59C5BB50"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17 (10)</w:t>
            </w:r>
          </w:p>
          <w:p w14:paraId="11AFD91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26 (16)</w:t>
            </w:r>
          </w:p>
          <w:p w14:paraId="2227DF7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36 (22)</w:t>
            </w:r>
          </w:p>
          <w:p w14:paraId="6EB55E4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24 (15)</w:t>
            </w:r>
          </w:p>
          <w:p w14:paraId="3EEDC505"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41 (25)</w:t>
            </w:r>
          </w:p>
          <w:p w14:paraId="42AC2FC0"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69 (42)</w:t>
            </w:r>
          </w:p>
          <w:p w14:paraId="62B0B7E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20 (12)</w:t>
            </w:r>
          </w:p>
          <w:p w14:paraId="308C3359"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54 (33)</w:t>
            </w:r>
          </w:p>
          <w:p w14:paraId="0D9A9EA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35 (21)</w:t>
            </w:r>
          </w:p>
          <w:p w14:paraId="7FC5EEF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13 (8)</w:t>
            </w:r>
          </w:p>
          <w:p w14:paraId="676C982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13 (8)</w:t>
            </w:r>
          </w:p>
          <w:p w14:paraId="4C16BD4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63 (38)</w:t>
            </w:r>
          </w:p>
          <w:p w14:paraId="1F6933B4"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73 (44)</w:t>
            </w:r>
          </w:p>
        </w:tc>
        <w:tc>
          <w:tcPr>
            <w:tcW w:w="1501" w:type="dxa"/>
          </w:tcPr>
          <w:p w14:paraId="21F1361E"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3DB5D971" w14:textId="77777777" w:rsidR="002754F5" w:rsidRPr="00827C81" w:rsidRDefault="002754F5" w:rsidP="00916E72">
            <w:pPr>
              <w:spacing w:line="480" w:lineRule="auto"/>
              <w:jc w:val="center"/>
              <w:rPr>
                <w:rFonts w:ascii="Times New Roman" w:hAnsi="Times New Roman" w:cs="Times New Roman"/>
                <w:color w:val="000000"/>
                <w:sz w:val="20"/>
                <w:szCs w:val="20"/>
              </w:rPr>
            </w:pPr>
          </w:p>
          <w:p w14:paraId="046394E7"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56 (37)</w:t>
            </w:r>
          </w:p>
          <w:p w14:paraId="7B54150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sz w:val="20"/>
                <w:szCs w:val="20"/>
              </w:rPr>
              <w:t>52 (34)</w:t>
            </w:r>
          </w:p>
          <w:p w14:paraId="63B73602"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96 (63)</w:t>
            </w:r>
          </w:p>
          <w:p w14:paraId="069FD8C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14 (9)</w:t>
            </w:r>
          </w:p>
          <w:p w14:paraId="3D4CDD6E"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80 (53)</w:t>
            </w:r>
          </w:p>
          <w:p w14:paraId="48D79E33"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78 (51)</w:t>
            </w:r>
          </w:p>
          <w:p w14:paraId="12DCF12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103 (68)</w:t>
            </w:r>
          </w:p>
          <w:p w14:paraId="411D45B5"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34 (22)</w:t>
            </w:r>
          </w:p>
          <w:p w14:paraId="1B07FBFC"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22 (15)</w:t>
            </w:r>
          </w:p>
          <w:p w14:paraId="1C5AB41D"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26 (17)</w:t>
            </w:r>
          </w:p>
          <w:p w14:paraId="5EBC6D89"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20 (13)</w:t>
            </w:r>
          </w:p>
          <w:p w14:paraId="7DC3190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16 (11)</w:t>
            </w:r>
          </w:p>
          <w:p w14:paraId="40A40FD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38 (25)</w:t>
            </w:r>
          </w:p>
          <w:p w14:paraId="71006CF7"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54 (36)</w:t>
            </w:r>
          </w:p>
          <w:p w14:paraId="386132F9"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19 (13)</w:t>
            </w:r>
          </w:p>
          <w:p w14:paraId="03ED3C06"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49 (32)</w:t>
            </w:r>
          </w:p>
          <w:p w14:paraId="3F24632F"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36 (24)</w:t>
            </w:r>
          </w:p>
          <w:p w14:paraId="71FDD3F8"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11 (7)</w:t>
            </w:r>
          </w:p>
          <w:p w14:paraId="31B9BF64"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10 (7)</w:t>
            </w:r>
          </w:p>
          <w:p w14:paraId="3DF02131" w14:textId="77777777" w:rsidR="002754F5" w:rsidRPr="00827C81" w:rsidRDefault="002754F5" w:rsidP="00916E72">
            <w:pPr>
              <w:spacing w:line="480" w:lineRule="auto"/>
              <w:jc w:val="center"/>
              <w:rPr>
                <w:rFonts w:ascii="Times New Roman" w:hAnsi="Times New Roman" w:cs="Times New Roman"/>
                <w:sz w:val="20"/>
                <w:szCs w:val="20"/>
              </w:rPr>
            </w:pPr>
            <w:r w:rsidRPr="00827C81">
              <w:rPr>
                <w:rFonts w:ascii="Times New Roman" w:hAnsi="Times New Roman" w:cs="Times New Roman"/>
                <w:color w:val="000000"/>
                <w:sz w:val="20"/>
                <w:szCs w:val="20"/>
              </w:rPr>
              <w:t>50 (33)</w:t>
            </w:r>
          </w:p>
          <w:p w14:paraId="403621AD" w14:textId="77777777" w:rsidR="002754F5" w:rsidRPr="00827C81" w:rsidRDefault="002754F5" w:rsidP="00916E72">
            <w:pPr>
              <w:spacing w:line="480" w:lineRule="auto"/>
              <w:jc w:val="center"/>
              <w:rPr>
                <w:rFonts w:ascii="Times New Roman" w:hAnsi="Times New Roman" w:cs="Times New Roman"/>
                <w:sz w:val="20"/>
                <w:szCs w:val="20"/>
                <w:highlight w:val="yellow"/>
              </w:rPr>
            </w:pPr>
            <w:r w:rsidRPr="00827C81">
              <w:rPr>
                <w:rFonts w:ascii="Times New Roman" w:hAnsi="Times New Roman" w:cs="Times New Roman"/>
                <w:color w:val="000000"/>
                <w:sz w:val="20"/>
                <w:szCs w:val="20"/>
              </w:rPr>
              <w:t>49 (32)</w:t>
            </w:r>
          </w:p>
        </w:tc>
      </w:tr>
    </w:tbl>
    <w:p w14:paraId="3B94B08E" w14:textId="77777777" w:rsidR="002754F5" w:rsidRPr="00827C81" w:rsidRDefault="002754F5" w:rsidP="00DF4DAD">
      <w:pPr>
        <w:spacing w:line="480" w:lineRule="auto"/>
        <w:rPr>
          <w:rFonts w:ascii="Times New Roman" w:hAnsi="Times New Roman" w:cs="Times New Roman"/>
          <w:sz w:val="24"/>
          <w:szCs w:val="24"/>
        </w:rPr>
      </w:pPr>
      <w:bookmarkStart w:id="39" w:name="_Hlk135119152"/>
      <w:bookmarkEnd w:id="38"/>
      <w:r w:rsidRPr="00827C81">
        <w:rPr>
          <w:rFonts w:ascii="Times New Roman" w:hAnsi="Times New Roman" w:cs="Times New Roman"/>
          <w:sz w:val="24"/>
          <w:szCs w:val="24"/>
        </w:rPr>
        <w:t>*</w:t>
      </w:r>
      <w:r w:rsidRPr="00827C81">
        <w:rPr>
          <w:rFonts w:ascii="Times New Roman" w:hAnsi="Times New Roman" w:cs="Times New Roman"/>
          <w:bCs/>
          <w:sz w:val="24"/>
          <w:szCs w:val="24"/>
        </w:rPr>
        <w:t>Two participants allocated to amitriptyline and one allocated to placebo did not commence treatment. In addition, one participant allocated to placebo was mailed the wrong trial medication due to a kit number identification error and received amitriptyline. The participant was informed, classed as a protocol violation, and withdrawn from the trial.</w:t>
      </w:r>
    </w:p>
    <w:p w14:paraId="524611B9" w14:textId="77777777" w:rsidR="002754F5" w:rsidRPr="00827C81" w:rsidRDefault="002754F5" w:rsidP="00107215">
      <w:pPr>
        <w:spacing w:line="480" w:lineRule="auto"/>
        <w:rPr>
          <w:rFonts w:ascii="Times New Roman" w:hAnsi="Times New Roman" w:cs="Times New Roman"/>
          <w:sz w:val="24"/>
          <w:szCs w:val="24"/>
        </w:rPr>
      </w:pPr>
      <w:r w:rsidRPr="00827C81">
        <w:rPr>
          <w:rFonts w:ascii="Times New Roman" w:hAnsi="Times New Roman" w:cs="Times New Roman"/>
          <w:sz w:val="24"/>
          <w:szCs w:val="24"/>
        </w:rPr>
        <w:t>†Between 3 and 6 months, one participant in the placebo arm took a single 30mg dose of their friend’s amitriptyline as they were away and had forgotten their trial medication.</w:t>
      </w:r>
      <w:bookmarkEnd w:id="39"/>
    </w:p>
    <w:p w14:paraId="6522D3C0" w14:textId="77777777" w:rsidR="002754F5" w:rsidRPr="00827C81" w:rsidRDefault="002754F5" w:rsidP="00B5145C">
      <w:pPr>
        <w:spacing w:line="480" w:lineRule="auto"/>
        <w:rPr>
          <w:rFonts w:ascii="Times New Roman" w:hAnsi="Times New Roman" w:cs="Times New Roman"/>
          <w:sz w:val="24"/>
          <w:szCs w:val="24"/>
        </w:rPr>
      </w:pPr>
      <w:r w:rsidRPr="00827C81">
        <w:rPr>
          <w:rFonts w:ascii="Times New Roman" w:hAnsi="Times New Roman" w:cs="Times New Roman"/>
          <w:sz w:val="24"/>
          <w:szCs w:val="24"/>
        </w:rPr>
        <w:lastRenderedPageBreak/>
        <w:t xml:space="preserve">‡Lower scores are better. </w:t>
      </w:r>
    </w:p>
    <w:p w14:paraId="04225C06" w14:textId="77777777" w:rsidR="002754F5" w:rsidRPr="00827C81" w:rsidRDefault="002754F5" w:rsidP="00B5145C">
      <w:pPr>
        <w:spacing w:line="480" w:lineRule="auto"/>
        <w:rPr>
          <w:rFonts w:ascii="Times New Roman" w:hAnsi="Times New Roman" w:cs="Times New Roman"/>
          <w:sz w:val="20"/>
          <w:szCs w:val="20"/>
        </w:rPr>
      </w:pPr>
      <w:r w:rsidRPr="00827C81">
        <w:rPr>
          <w:rFonts w:ascii="Times New Roman" w:hAnsi="Times New Roman" w:cs="Times New Roman"/>
          <w:bCs/>
          <w:sz w:val="24"/>
          <w:szCs w:val="24"/>
        </w:rPr>
        <w:t>⁑</w:t>
      </w:r>
      <w:r w:rsidRPr="00827C81">
        <w:rPr>
          <w:rFonts w:ascii="Times New Roman" w:hAnsi="Times New Roman" w:cs="Times New Roman"/>
          <w:sz w:val="24"/>
          <w:szCs w:val="24"/>
        </w:rPr>
        <w:t>Estimated using linear regression for participants on treatment with complete data, adjusted for stratification variables.</w:t>
      </w:r>
    </w:p>
    <w:p w14:paraId="3530FB8B" w14:textId="77777777" w:rsidR="002754F5" w:rsidRPr="00827C81" w:rsidRDefault="002754F5" w:rsidP="00107215">
      <w:pPr>
        <w:spacing w:line="480" w:lineRule="auto"/>
        <w:rPr>
          <w:rFonts w:ascii="Times New Roman" w:hAnsi="Times New Roman" w:cs="Times New Roman"/>
          <w:sz w:val="24"/>
          <w:szCs w:val="24"/>
        </w:rPr>
      </w:pPr>
    </w:p>
    <w:p w14:paraId="332EC12A" w14:textId="77777777" w:rsidR="00FF305C" w:rsidRDefault="00FF305C"/>
    <w:sectPr w:rsidR="00FF305C" w:rsidSect="00397BBC">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665C" w14:textId="77777777" w:rsidR="00D9761E" w:rsidRDefault="00D9761E">
      <w:pPr>
        <w:spacing w:after="0" w:line="240" w:lineRule="auto"/>
      </w:pPr>
      <w:r>
        <w:separator/>
      </w:r>
    </w:p>
  </w:endnote>
  <w:endnote w:type="continuationSeparator" w:id="0">
    <w:p w14:paraId="538D59CF" w14:textId="77777777" w:rsidR="00D9761E" w:rsidRDefault="00D9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6FAF" w14:textId="77777777" w:rsidR="00D9761E" w:rsidRDefault="00D9761E">
      <w:pPr>
        <w:spacing w:after="0" w:line="240" w:lineRule="auto"/>
      </w:pPr>
      <w:r>
        <w:separator/>
      </w:r>
    </w:p>
  </w:footnote>
  <w:footnote w:type="continuationSeparator" w:id="0">
    <w:p w14:paraId="78BD82D7" w14:textId="77777777" w:rsidR="00D9761E" w:rsidRDefault="00D97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3A41" w14:textId="77777777" w:rsidR="00E26CB3" w:rsidRPr="00D4339E" w:rsidRDefault="004F31E9" w:rsidP="00E26CB3">
    <w:pPr>
      <w:pStyle w:val="Header"/>
      <w:rPr>
        <w:rFonts w:ascii="Times New Roman" w:hAnsi="Times New Roman" w:cs="Times New Roman"/>
        <w:i/>
        <w:iCs/>
        <w:sz w:val="24"/>
        <w:szCs w:val="24"/>
        <w:lang w:val="fr-FR"/>
      </w:rPr>
    </w:pPr>
    <w:r w:rsidRPr="00D4339E">
      <w:rPr>
        <w:rFonts w:ascii="Times New Roman" w:hAnsi="Times New Roman" w:cs="Times New Roman"/>
        <w:sz w:val="24"/>
        <w:szCs w:val="24"/>
        <w:lang w:val="fr-FR"/>
      </w:rPr>
      <w:t xml:space="preserve">Ford </w:t>
    </w:r>
    <w:r w:rsidRPr="00D4339E">
      <w:rPr>
        <w:rFonts w:ascii="Times New Roman" w:hAnsi="Times New Roman" w:cs="Times New Roman"/>
        <w:i/>
        <w:iCs/>
        <w:sz w:val="24"/>
        <w:szCs w:val="24"/>
        <w:lang w:val="fr-FR"/>
      </w:rPr>
      <w:t>et al.</w:t>
    </w:r>
    <w:r w:rsidRPr="00D4339E">
      <w:rPr>
        <w:rFonts w:ascii="Times New Roman" w:hAnsi="Times New Roman" w:cs="Times New Roman"/>
        <w:i/>
        <w:iCs/>
        <w:sz w:val="24"/>
        <w:szCs w:val="24"/>
        <w:lang w:val="fr-FR"/>
      </w:rPr>
      <w:tab/>
    </w:r>
    <w:r w:rsidRPr="00D4339E">
      <w:rPr>
        <w:rFonts w:ascii="Times New Roman" w:hAnsi="Times New Roman" w:cs="Times New Roman"/>
        <w:i/>
        <w:iCs/>
        <w:sz w:val="24"/>
        <w:szCs w:val="24"/>
        <w:lang w:val="fr-FR"/>
      </w:rPr>
      <w:tab/>
    </w:r>
    <w:sdt>
      <w:sdtPr>
        <w:rPr>
          <w:rFonts w:ascii="Times New Roman" w:hAnsi="Times New Roman" w:cs="Times New Roman"/>
          <w:sz w:val="24"/>
          <w:szCs w:val="24"/>
        </w:rPr>
        <w:id w:val="-1318336367"/>
        <w:docPartObj>
          <w:docPartGallery w:val="Page Numbers (Top of Page)"/>
          <w:docPartUnique/>
        </w:docPartObj>
      </w:sdtPr>
      <w:sdtEndPr/>
      <w:sdtContent>
        <w:r w:rsidRPr="00D4339E">
          <w:rPr>
            <w:rFonts w:ascii="Times New Roman" w:hAnsi="Times New Roman" w:cs="Times New Roman"/>
            <w:sz w:val="24"/>
            <w:szCs w:val="24"/>
            <w:lang w:val="fr-FR"/>
          </w:rPr>
          <w:t xml:space="preserve">Page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PAGE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r w:rsidRPr="00D4339E">
          <w:rPr>
            <w:rFonts w:ascii="Times New Roman" w:hAnsi="Times New Roman" w:cs="Times New Roman"/>
            <w:sz w:val="24"/>
            <w:szCs w:val="24"/>
            <w:lang w:val="fr-FR"/>
          </w:rPr>
          <w:t xml:space="preserve"> of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NUMPAGES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sdtContent>
    </w:sdt>
  </w:p>
  <w:p w14:paraId="0EB4C75A" w14:textId="77777777" w:rsidR="00E26CB3" w:rsidRPr="00D4339E" w:rsidRDefault="004F31E9">
    <w:pPr>
      <w:pStyle w:val="Header"/>
      <w:rPr>
        <w:rFonts w:ascii="Times New Roman" w:hAnsi="Times New Roman" w:cs="Times New Roman"/>
        <w:i/>
        <w:i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6A9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49C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7AF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2ED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9C7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5C8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880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44A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E40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4AA0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D374A"/>
    <w:multiLevelType w:val="hybridMultilevel"/>
    <w:tmpl w:val="3B56DCCA"/>
    <w:lvl w:ilvl="0" w:tplc="11CC0968">
      <w:start w:val="1"/>
      <w:numFmt w:val="bullet"/>
      <w:pStyle w:val="ListParagraph"/>
      <w:lvlText w:val=""/>
      <w:lvlJc w:val="left"/>
      <w:pPr>
        <w:ind w:left="1211" w:hanging="360"/>
      </w:pPr>
      <w:rPr>
        <w:rFonts w:ascii="Symbol" w:hAnsi="Symbol" w:hint="default"/>
      </w:rPr>
    </w:lvl>
    <w:lvl w:ilvl="1" w:tplc="3F482E1C">
      <w:start w:val="1"/>
      <w:numFmt w:val="bullet"/>
      <w:lvlText w:val="o"/>
      <w:lvlJc w:val="left"/>
      <w:pPr>
        <w:ind w:left="1931" w:hanging="360"/>
      </w:pPr>
      <w:rPr>
        <w:rFonts w:ascii="Courier New" w:hAnsi="Courier New" w:cs="Courier New" w:hint="default"/>
      </w:rPr>
    </w:lvl>
    <w:lvl w:ilvl="2" w:tplc="61AEA9A0" w:tentative="1">
      <w:start w:val="1"/>
      <w:numFmt w:val="bullet"/>
      <w:lvlText w:val=""/>
      <w:lvlJc w:val="left"/>
      <w:pPr>
        <w:ind w:left="2651" w:hanging="360"/>
      </w:pPr>
      <w:rPr>
        <w:rFonts w:ascii="Wingdings" w:hAnsi="Wingdings" w:hint="default"/>
      </w:rPr>
    </w:lvl>
    <w:lvl w:ilvl="3" w:tplc="EFD07DA2" w:tentative="1">
      <w:start w:val="1"/>
      <w:numFmt w:val="bullet"/>
      <w:lvlText w:val=""/>
      <w:lvlJc w:val="left"/>
      <w:pPr>
        <w:ind w:left="3371" w:hanging="360"/>
      </w:pPr>
      <w:rPr>
        <w:rFonts w:ascii="Symbol" w:hAnsi="Symbol" w:hint="default"/>
      </w:rPr>
    </w:lvl>
    <w:lvl w:ilvl="4" w:tplc="36F0FAE0" w:tentative="1">
      <w:start w:val="1"/>
      <w:numFmt w:val="bullet"/>
      <w:lvlText w:val="o"/>
      <w:lvlJc w:val="left"/>
      <w:pPr>
        <w:ind w:left="4091" w:hanging="360"/>
      </w:pPr>
      <w:rPr>
        <w:rFonts w:ascii="Courier New" w:hAnsi="Courier New" w:cs="Courier New" w:hint="default"/>
      </w:rPr>
    </w:lvl>
    <w:lvl w:ilvl="5" w:tplc="02F499E0" w:tentative="1">
      <w:start w:val="1"/>
      <w:numFmt w:val="bullet"/>
      <w:lvlText w:val=""/>
      <w:lvlJc w:val="left"/>
      <w:pPr>
        <w:ind w:left="4811" w:hanging="360"/>
      </w:pPr>
      <w:rPr>
        <w:rFonts w:ascii="Wingdings" w:hAnsi="Wingdings" w:hint="default"/>
      </w:rPr>
    </w:lvl>
    <w:lvl w:ilvl="6" w:tplc="8D30D950" w:tentative="1">
      <w:start w:val="1"/>
      <w:numFmt w:val="bullet"/>
      <w:lvlText w:val=""/>
      <w:lvlJc w:val="left"/>
      <w:pPr>
        <w:ind w:left="5531" w:hanging="360"/>
      </w:pPr>
      <w:rPr>
        <w:rFonts w:ascii="Symbol" w:hAnsi="Symbol" w:hint="default"/>
      </w:rPr>
    </w:lvl>
    <w:lvl w:ilvl="7" w:tplc="6246A5F6" w:tentative="1">
      <w:start w:val="1"/>
      <w:numFmt w:val="bullet"/>
      <w:lvlText w:val="o"/>
      <w:lvlJc w:val="left"/>
      <w:pPr>
        <w:ind w:left="6251" w:hanging="360"/>
      </w:pPr>
      <w:rPr>
        <w:rFonts w:ascii="Courier New" w:hAnsi="Courier New" w:cs="Courier New" w:hint="default"/>
      </w:rPr>
    </w:lvl>
    <w:lvl w:ilvl="8" w:tplc="77124986" w:tentative="1">
      <w:start w:val="1"/>
      <w:numFmt w:val="bullet"/>
      <w:lvlText w:val=""/>
      <w:lvlJc w:val="left"/>
      <w:pPr>
        <w:ind w:left="6971" w:hanging="360"/>
      </w:pPr>
      <w:rPr>
        <w:rFonts w:ascii="Wingdings" w:hAnsi="Wingdings" w:hint="default"/>
      </w:rPr>
    </w:lvl>
  </w:abstractNum>
  <w:abstractNum w:abstractNumId="11" w15:restartNumberingAfterBreak="0">
    <w:nsid w:val="239C4DC5"/>
    <w:multiLevelType w:val="hybridMultilevel"/>
    <w:tmpl w:val="B42A34F6"/>
    <w:lvl w:ilvl="0" w:tplc="5948A7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F1191"/>
    <w:multiLevelType w:val="hybridMultilevel"/>
    <w:tmpl w:val="A4C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4238B"/>
    <w:multiLevelType w:val="hybridMultilevel"/>
    <w:tmpl w:val="859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37442"/>
    <w:multiLevelType w:val="hybridMultilevel"/>
    <w:tmpl w:val="23303B2A"/>
    <w:lvl w:ilvl="0" w:tplc="FFFFFFFF">
      <w:start w:val="1"/>
      <w:numFmt w:val="decimal"/>
      <w:lvlText w:val="%1."/>
      <w:lvlJc w:val="left"/>
      <w:pPr>
        <w:ind w:left="720" w:hanging="360"/>
      </w:pPr>
    </w:lvl>
    <w:lvl w:ilvl="1" w:tplc="6568DDCA">
      <w:numFmt w:val="bullet"/>
      <w:lvlText w:val="-"/>
      <w:lvlJc w:val="left"/>
      <w:pPr>
        <w:ind w:left="1440" w:hanging="360"/>
      </w:pPr>
      <w:rPr>
        <w:rFonts w:ascii="Calibri" w:eastAsia="Times New Roman" w:hAnsi="Calibri" w:cs="Calibri" w:hint="default"/>
      </w:rPr>
    </w:lvl>
    <w:lvl w:ilvl="2" w:tplc="EDD814A0">
      <w:start w:val="1"/>
      <w:numFmt w:val="lowerRoman"/>
      <w:lvlText w:val="%3."/>
      <w:lvlJc w:val="right"/>
      <w:pPr>
        <w:ind w:left="2160" w:hanging="180"/>
      </w:pPr>
    </w:lvl>
    <w:lvl w:ilvl="3" w:tplc="8D6E1694">
      <w:start w:val="1"/>
      <w:numFmt w:val="decimal"/>
      <w:lvlText w:val="%4."/>
      <w:lvlJc w:val="left"/>
      <w:pPr>
        <w:ind w:left="2880" w:hanging="360"/>
      </w:pPr>
    </w:lvl>
    <w:lvl w:ilvl="4" w:tplc="8DD25706">
      <w:start w:val="1"/>
      <w:numFmt w:val="lowerLetter"/>
      <w:lvlText w:val="%5."/>
      <w:lvlJc w:val="left"/>
      <w:pPr>
        <w:ind w:left="3600" w:hanging="360"/>
      </w:pPr>
    </w:lvl>
    <w:lvl w:ilvl="5" w:tplc="D61C9CF8">
      <w:start w:val="1"/>
      <w:numFmt w:val="lowerRoman"/>
      <w:lvlText w:val="%6."/>
      <w:lvlJc w:val="right"/>
      <w:pPr>
        <w:ind w:left="4320" w:hanging="180"/>
      </w:pPr>
    </w:lvl>
    <w:lvl w:ilvl="6" w:tplc="3F3AF3DE">
      <w:start w:val="1"/>
      <w:numFmt w:val="decimal"/>
      <w:lvlText w:val="%7."/>
      <w:lvlJc w:val="left"/>
      <w:pPr>
        <w:ind w:left="5040" w:hanging="360"/>
      </w:pPr>
    </w:lvl>
    <w:lvl w:ilvl="7" w:tplc="32C8A9EE">
      <w:start w:val="1"/>
      <w:numFmt w:val="lowerLetter"/>
      <w:lvlText w:val="%8."/>
      <w:lvlJc w:val="left"/>
      <w:pPr>
        <w:ind w:left="5760" w:hanging="360"/>
      </w:pPr>
    </w:lvl>
    <w:lvl w:ilvl="8" w:tplc="85C2FF66">
      <w:start w:val="1"/>
      <w:numFmt w:val="lowerRoman"/>
      <w:lvlText w:val="%9."/>
      <w:lvlJc w:val="right"/>
      <w:pPr>
        <w:ind w:left="6480" w:hanging="180"/>
      </w:pPr>
    </w:lvl>
  </w:abstractNum>
  <w:abstractNum w:abstractNumId="15" w15:restartNumberingAfterBreak="0">
    <w:nsid w:val="62F17868"/>
    <w:multiLevelType w:val="hybridMultilevel"/>
    <w:tmpl w:val="200C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739D7"/>
    <w:multiLevelType w:val="hybridMultilevel"/>
    <w:tmpl w:val="719CF6F0"/>
    <w:lvl w:ilvl="0" w:tplc="030AFCEC">
      <w:start w:val="1"/>
      <w:numFmt w:val="upp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88325060">
    <w:abstractNumId w:val="10"/>
  </w:num>
  <w:num w:numId="2" w16cid:durableId="909265042">
    <w:abstractNumId w:val="14"/>
  </w:num>
  <w:num w:numId="3" w16cid:durableId="59409066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72707">
    <w:abstractNumId w:val="9"/>
  </w:num>
  <w:num w:numId="5" w16cid:durableId="1588728538">
    <w:abstractNumId w:val="7"/>
  </w:num>
  <w:num w:numId="6" w16cid:durableId="1798598557">
    <w:abstractNumId w:val="6"/>
  </w:num>
  <w:num w:numId="7" w16cid:durableId="443887316">
    <w:abstractNumId w:val="5"/>
  </w:num>
  <w:num w:numId="8" w16cid:durableId="935753710">
    <w:abstractNumId w:val="4"/>
  </w:num>
  <w:num w:numId="9" w16cid:durableId="1100642950">
    <w:abstractNumId w:val="8"/>
  </w:num>
  <w:num w:numId="10" w16cid:durableId="759109569">
    <w:abstractNumId w:val="3"/>
  </w:num>
  <w:num w:numId="11" w16cid:durableId="1881354380">
    <w:abstractNumId w:val="2"/>
  </w:num>
  <w:num w:numId="12" w16cid:durableId="811992274">
    <w:abstractNumId w:val="1"/>
  </w:num>
  <w:num w:numId="13" w16cid:durableId="457771190">
    <w:abstractNumId w:val="0"/>
  </w:num>
  <w:num w:numId="14" w16cid:durableId="1295019953">
    <w:abstractNumId w:val="12"/>
  </w:num>
  <w:num w:numId="15" w16cid:durableId="393352516">
    <w:abstractNumId w:val="16"/>
  </w:num>
  <w:num w:numId="16" w16cid:durableId="211423500">
    <w:abstractNumId w:val="11"/>
  </w:num>
  <w:num w:numId="17" w16cid:durableId="616447386">
    <w:abstractNumId w:val="13"/>
  </w:num>
  <w:num w:numId="18" w16cid:durableId="57870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754F5"/>
    <w:rsid w:val="00180DD1"/>
    <w:rsid w:val="002412C0"/>
    <w:rsid w:val="002640AD"/>
    <w:rsid w:val="002754F5"/>
    <w:rsid w:val="004421F2"/>
    <w:rsid w:val="00454CB3"/>
    <w:rsid w:val="004F31E9"/>
    <w:rsid w:val="006E09E6"/>
    <w:rsid w:val="00770B4E"/>
    <w:rsid w:val="007C04E4"/>
    <w:rsid w:val="0080151F"/>
    <w:rsid w:val="008B359B"/>
    <w:rsid w:val="009729CD"/>
    <w:rsid w:val="009D284C"/>
    <w:rsid w:val="00A06A6E"/>
    <w:rsid w:val="00A23927"/>
    <w:rsid w:val="00BE2793"/>
    <w:rsid w:val="00CC007C"/>
    <w:rsid w:val="00D42F46"/>
    <w:rsid w:val="00D9761E"/>
    <w:rsid w:val="00E64A37"/>
    <w:rsid w:val="00FF3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9F08"/>
  <w15:chartTrackingRefBased/>
  <w15:docId w15:val="{86F12977-8DC5-4ABB-8B33-8BD25C9E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4F5"/>
    <w:rPr>
      <w:color w:val="0000FF"/>
      <w:u w:val="single"/>
    </w:rPr>
  </w:style>
  <w:style w:type="paragraph" w:customStyle="1" w:styleId="EndNoteBibliographyTitle">
    <w:name w:val="EndNote Bibliography Title"/>
    <w:basedOn w:val="Normal"/>
    <w:link w:val="EndNoteBibliographyTitleChar"/>
    <w:rsid w:val="002754F5"/>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2754F5"/>
    <w:rPr>
      <w:rFonts w:ascii="Times New Roman" w:hAnsi="Times New Roman" w:cs="Times New Roman"/>
      <w:noProof/>
      <w:kern w:val="0"/>
      <w:sz w:val="24"/>
      <w:lang w:val="en-US"/>
      <w14:ligatures w14:val="none"/>
    </w:rPr>
  </w:style>
  <w:style w:type="paragraph" w:customStyle="1" w:styleId="EndNoteBibliography">
    <w:name w:val="EndNote Bibliography"/>
    <w:basedOn w:val="Normal"/>
    <w:link w:val="EndNoteBibliographyChar"/>
    <w:rsid w:val="002754F5"/>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2754F5"/>
    <w:rPr>
      <w:rFonts w:ascii="Times New Roman" w:hAnsi="Times New Roman" w:cs="Times New Roman"/>
      <w:noProof/>
      <w:kern w:val="0"/>
      <w:sz w:val="24"/>
      <w:lang w:val="en-US"/>
      <w14:ligatures w14:val="none"/>
    </w:rPr>
  </w:style>
  <w:style w:type="character" w:styleId="UnresolvedMention">
    <w:name w:val="Unresolved Mention"/>
    <w:basedOn w:val="DefaultParagraphFont"/>
    <w:uiPriority w:val="99"/>
    <w:semiHidden/>
    <w:unhideWhenUsed/>
    <w:rsid w:val="002754F5"/>
    <w:rPr>
      <w:color w:val="605E5C"/>
      <w:shd w:val="clear" w:color="auto" w:fill="E1DFDD"/>
    </w:rPr>
  </w:style>
  <w:style w:type="character" w:customStyle="1" w:styleId="normaltextrun">
    <w:name w:val="normaltextrun"/>
    <w:basedOn w:val="DefaultParagraphFont"/>
    <w:rsid w:val="002754F5"/>
  </w:style>
  <w:style w:type="paragraph" w:styleId="ListParagraph">
    <w:name w:val="List Paragraph"/>
    <w:basedOn w:val="Normal"/>
    <w:link w:val="ListParagraphChar"/>
    <w:uiPriority w:val="34"/>
    <w:qFormat/>
    <w:rsid w:val="002754F5"/>
    <w:pPr>
      <w:numPr>
        <w:numId w:val="1"/>
      </w:numPr>
      <w:spacing w:after="200" w:line="276" w:lineRule="auto"/>
      <w:contextualSpacing/>
      <w:jc w:val="both"/>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2754F5"/>
    <w:rPr>
      <w:rFonts w:ascii="Times New Roman" w:eastAsia="Calibri" w:hAnsi="Times New Roman" w:cs="Times New Roman"/>
      <w:kern w:val="0"/>
      <w:sz w:val="24"/>
      <w14:ligatures w14:val="none"/>
    </w:rPr>
  </w:style>
  <w:style w:type="character" w:styleId="LineNumber">
    <w:name w:val="line number"/>
    <w:basedOn w:val="DefaultParagraphFont"/>
    <w:uiPriority w:val="99"/>
    <w:semiHidden/>
    <w:unhideWhenUsed/>
    <w:rsid w:val="002754F5"/>
    <w:rPr>
      <w:rFonts w:ascii="Times New Roman" w:hAnsi="Times New Roman"/>
    </w:rPr>
  </w:style>
  <w:style w:type="paragraph" w:styleId="Header">
    <w:name w:val="header"/>
    <w:basedOn w:val="Normal"/>
    <w:link w:val="HeaderChar"/>
    <w:uiPriority w:val="99"/>
    <w:unhideWhenUsed/>
    <w:rsid w:val="00275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4F5"/>
    <w:rPr>
      <w:kern w:val="0"/>
      <w14:ligatures w14:val="none"/>
    </w:rPr>
  </w:style>
  <w:style w:type="paragraph" w:styleId="Footer">
    <w:name w:val="footer"/>
    <w:basedOn w:val="Normal"/>
    <w:link w:val="FooterChar"/>
    <w:uiPriority w:val="99"/>
    <w:unhideWhenUsed/>
    <w:rsid w:val="00275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4F5"/>
    <w:rPr>
      <w:kern w:val="0"/>
      <w14:ligatures w14:val="none"/>
    </w:rPr>
  </w:style>
  <w:style w:type="character" w:customStyle="1" w:styleId="eop">
    <w:name w:val="eop"/>
    <w:basedOn w:val="DefaultParagraphFont"/>
    <w:rsid w:val="002754F5"/>
  </w:style>
  <w:style w:type="character" w:styleId="CommentReference">
    <w:name w:val="annotation reference"/>
    <w:basedOn w:val="DefaultParagraphFont"/>
    <w:uiPriority w:val="99"/>
    <w:unhideWhenUsed/>
    <w:rsid w:val="002754F5"/>
    <w:rPr>
      <w:sz w:val="16"/>
      <w:szCs w:val="16"/>
    </w:rPr>
  </w:style>
  <w:style w:type="paragraph" w:styleId="CommentText">
    <w:name w:val="annotation text"/>
    <w:basedOn w:val="Normal"/>
    <w:link w:val="CommentTextChar"/>
    <w:uiPriority w:val="99"/>
    <w:unhideWhenUsed/>
    <w:rsid w:val="002754F5"/>
    <w:pPr>
      <w:spacing w:line="240" w:lineRule="auto"/>
    </w:pPr>
    <w:rPr>
      <w:sz w:val="20"/>
      <w:szCs w:val="20"/>
    </w:rPr>
  </w:style>
  <w:style w:type="character" w:customStyle="1" w:styleId="CommentTextChar">
    <w:name w:val="Comment Text Char"/>
    <w:basedOn w:val="DefaultParagraphFont"/>
    <w:link w:val="CommentText"/>
    <w:uiPriority w:val="99"/>
    <w:rsid w:val="002754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54F5"/>
    <w:rPr>
      <w:b/>
      <w:bCs/>
    </w:rPr>
  </w:style>
  <w:style w:type="character" w:customStyle="1" w:styleId="CommentSubjectChar">
    <w:name w:val="Comment Subject Char"/>
    <w:basedOn w:val="CommentTextChar"/>
    <w:link w:val="CommentSubject"/>
    <w:uiPriority w:val="99"/>
    <w:semiHidden/>
    <w:rsid w:val="002754F5"/>
    <w:rPr>
      <w:b/>
      <w:bCs/>
      <w:kern w:val="0"/>
      <w:sz w:val="20"/>
      <w:szCs w:val="20"/>
      <w14:ligatures w14:val="none"/>
    </w:rPr>
  </w:style>
  <w:style w:type="paragraph" w:styleId="NoSpacing">
    <w:name w:val="No Spacing"/>
    <w:uiPriority w:val="1"/>
    <w:qFormat/>
    <w:rsid w:val="002754F5"/>
    <w:pPr>
      <w:spacing w:after="0" w:line="240" w:lineRule="auto"/>
    </w:pPr>
    <w:rPr>
      <w:kern w:val="0"/>
      <w14:ligatures w14:val="none"/>
    </w:rPr>
  </w:style>
  <w:style w:type="table" w:styleId="TableGrid">
    <w:name w:val="Table Grid"/>
    <w:basedOn w:val="TableNormal"/>
    <w:uiPriority w:val="39"/>
    <w:rsid w:val="0027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4F5"/>
    <w:pPr>
      <w:spacing w:after="0" w:line="240" w:lineRule="auto"/>
    </w:pPr>
    <w:rPr>
      <w:kern w:val="0"/>
      <w14:ligatures w14:val="none"/>
    </w:rPr>
  </w:style>
  <w:style w:type="character" w:customStyle="1" w:styleId="CommentTextChar1">
    <w:name w:val="Comment Text Char1"/>
    <w:basedOn w:val="DefaultParagraphFont"/>
    <w:uiPriority w:val="99"/>
    <w:rsid w:val="002754F5"/>
    <w:rPr>
      <w:sz w:val="20"/>
      <w:szCs w:val="20"/>
    </w:rPr>
  </w:style>
  <w:style w:type="paragraph" w:styleId="NormalWeb">
    <w:name w:val="Normal (Web)"/>
    <w:basedOn w:val="Normal"/>
    <w:uiPriority w:val="99"/>
    <w:unhideWhenUsed/>
    <w:rsid w:val="002754F5"/>
    <w:pPr>
      <w:spacing w:after="60" w:line="360" w:lineRule="auto"/>
    </w:pPr>
    <w:rPr>
      <w:rFonts w:ascii="Arial" w:hAnsi="Arial" w:cs="Times New Roman"/>
      <w:sz w:val="24"/>
      <w:szCs w:val="24"/>
    </w:rPr>
  </w:style>
  <w:style w:type="character" w:styleId="FollowedHyperlink">
    <w:name w:val="FollowedHyperlink"/>
    <w:basedOn w:val="DefaultParagraphFont"/>
    <w:uiPriority w:val="99"/>
    <w:semiHidden/>
    <w:unhideWhenUsed/>
    <w:rsid w:val="00275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uk.com/resource/irritable-bowel-syndrome-die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NG12/chapter/1-Recommendations-organised-by-site-of-canc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da.gov/media/78622/download" TargetMode="External"/><Relationship Id="rId4" Type="http://schemas.openxmlformats.org/officeDocument/2006/relationships/webSettings" Target="webSettings.xml"/><Relationship Id="rId9" Type="http://schemas.openxmlformats.org/officeDocument/2006/relationships/hyperlink" Target="https://www.ema.europa.eu/en/documents/scientific-guideline/guideline-evaluation-medicinal-products-treatment-irritable-bowel-syndrome-revision-1_en.pdf%2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9972</Words>
  <Characters>56845</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Ford</dc:creator>
  <cp:keywords/>
  <dc:description/>
  <cp:lastModifiedBy>Hazel Everitt</cp:lastModifiedBy>
  <cp:revision>2</cp:revision>
  <dcterms:created xsi:type="dcterms:W3CDTF">2023-07-21T13:32:00Z</dcterms:created>
  <dcterms:modified xsi:type="dcterms:W3CDTF">2023-07-21T13:32:00Z</dcterms:modified>
</cp:coreProperties>
</file>