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AF18A" w14:textId="4CE95D0D" w:rsidR="00A21AD5" w:rsidRDefault="002719D4" w:rsidP="003D414B">
      <w:pPr>
        <w:pStyle w:val="Title"/>
      </w:pPr>
      <w:r>
        <w:t xml:space="preserve">[Headline] </w:t>
      </w:r>
      <w:r w:rsidR="00025CE9">
        <w:t>Is open access tarnished?</w:t>
      </w:r>
    </w:p>
    <w:p w14:paraId="51A5DA03" w14:textId="41EA98B5" w:rsidR="002719D4" w:rsidRPr="002719D4" w:rsidRDefault="002719D4" w:rsidP="004752C0">
      <w:r>
        <w:t xml:space="preserve">[Standfirst] </w:t>
      </w:r>
      <w:r w:rsidR="009C1196">
        <w:t xml:space="preserve">As </w:t>
      </w:r>
      <w:r w:rsidR="00246BCC">
        <w:t>open access</w:t>
      </w:r>
      <w:r w:rsidR="00841229">
        <w:t xml:space="preserve"> terms</w:t>
      </w:r>
      <w:r w:rsidR="009C1196">
        <w:t xml:space="preserve"> ha</w:t>
      </w:r>
      <w:r w:rsidR="00841229">
        <w:t>ve</w:t>
      </w:r>
      <w:r w:rsidR="009C1196">
        <w:t xml:space="preserve"> split into colour-coded brands</w:t>
      </w:r>
      <w:r w:rsidR="00AB2973">
        <w:t>, not all</w:t>
      </w:r>
      <w:r w:rsidR="00195E11">
        <w:t xml:space="preserve"> allow totally unrestricted access</w:t>
      </w:r>
      <w:r w:rsidR="000E2D06">
        <w:t xml:space="preserve"> and reuse</w:t>
      </w:r>
      <w:r w:rsidR="00246BCC">
        <w:t>. Among these</w:t>
      </w:r>
      <w:r w:rsidR="00B908F3">
        <w:t>,</w:t>
      </w:r>
      <w:r w:rsidR="00246BCC">
        <w:t xml:space="preserve"> “bronze OA</w:t>
      </w:r>
      <w:r w:rsidR="00841229">
        <w:t>” stands out as a potentially damaging misnomer, writes Steven Vidovic</w:t>
      </w:r>
      <w:r w:rsidR="00246BCC">
        <w:t xml:space="preserve"> </w:t>
      </w:r>
      <w:r w:rsidR="00AB2973">
        <w:t xml:space="preserve"> </w:t>
      </w:r>
      <w:r w:rsidR="009C1196">
        <w:t xml:space="preserve"> </w:t>
      </w:r>
    </w:p>
    <w:p w14:paraId="756BA6FD" w14:textId="1412F568" w:rsidR="003D414B" w:rsidRPr="004752C0" w:rsidRDefault="003D414B" w:rsidP="003D414B">
      <w:pPr>
        <w:pStyle w:val="Heading1"/>
        <w:rPr>
          <w:rStyle w:val="Emphasis"/>
          <w:lang w:val="nl-NL"/>
        </w:rPr>
      </w:pPr>
      <w:r w:rsidRPr="004752C0">
        <w:rPr>
          <w:rStyle w:val="Emphasis"/>
          <w:lang w:val="nl-NL"/>
        </w:rPr>
        <w:t>Dr Steven U. Vidovic</w:t>
      </w:r>
      <w:r w:rsidR="0057664D" w:rsidRPr="004752C0">
        <w:rPr>
          <w:rStyle w:val="Emphasis"/>
          <w:lang w:val="nl-NL"/>
        </w:rPr>
        <w:t xml:space="preserve"> </w:t>
      </w:r>
    </w:p>
    <w:p w14:paraId="4391A3DE" w14:textId="11E9AB88" w:rsidR="00F97A87" w:rsidRPr="004752C0" w:rsidRDefault="00B15167" w:rsidP="00F97A87">
      <w:pPr>
        <w:rPr>
          <w:rStyle w:val="css-901oao"/>
          <w:lang w:val="nl-NL"/>
        </w:rPr>
      </w:pPr>
      <w:r w:rsidRPr="004752C0">
        <w:rPr>
          <w:rStyle w:val="css-901oao"/>
          <w:lang w:val="nl-NL"/>
        </w:rPr>
        <w:t xml:space="preserve">Twitter: </w:t>
      </w:r>
      <w:r w:rsidR="00F97A87" w:rsidRPr="004752C0">
        <w:rPr>
          <w:rStyle w:val="css-901oao"/>
          <w:lang w:val="nl-NL"/>
        </w:rPr>
        <w:t>@SteveVidovic</w:t>
      </w:r>
    </w:p>
    <w:p w14:paraId="0C6FA8E4" w14:textId="03F26BB2" w:rsidR="00B32EE1" w:rsidRPr="00F97A87" w:rsidRDefault="00B15167" w:rsidP="00F97A87">
      <w:proofErr w:type="spellStart"/>
      <w:r>
        <w:t>ORCiD</w:t>
      </w:r>
      <w:proofErr w:type="spellEnd"/>
      <w:r>
        <w:t xml:space="preserve">: </w:t>
      </w:r>
      <w:r w:rsidRPr="00B15167">
        <w:t>0000-0002-4726-8018</w:t>
      </w:r>
    </w:p>
    <w:p w14:paraId="52BBDDAB" w14:textId="01D26972" w:rsidR="00D71E83" w:rsidRDefault="00025CE9">
      <w:r>
        <w:t xml:space="preserve">Open Access </w:t>
      </w:r>
      <w:r w:rsidR="008663A7">
        <w:t xml:space="preserve">(OA) </w:t>
      </w:r>
      <w:r>
        <w:t xml:space="preserve">is a global movement to </w:t>
      </w:r>
      <w:r w:rsidR="00C52C4F">
        <w:t xml:space="preserve">unlock </w:t>
      </w:r>
      <w:r w:rsidR="008663A7">
        <w:t>research</w:t>
      </w:r>
      <w:r w:rsidR="00B30CC4">
        <w:t xml:space="preserve"> outputs</w:t>
      </w:r>
      <w:r w:rsidR="00D8540C">
        <w:t xml:space="preserve">, allowing unrestricted access without </w:t>
      </w:r>
      <w:r w:rsidR="008663A7">
        <w:t xml:space="preserve">barriers except for the need </w:t>
      </w:r>
      <w:r w:rsidR="00845232">
        <w:t>of</w:t>
      </w:r>
      <w:r w:rsidR="008663A7">
        <w:t xml:space="preserve"> an internet connection. Different characteristics of OA have become branded </w:t>
      </w:r>
      <w:r w:rsidR="00DD506D">
        <w:t xml:space="preserve">with </w:t>
      </w:r>
      <w:r w:rsidR="00EA42ED">
        <w:t>colours</w:t>
      </w:r>
      <w:r w:rsidR="6617C436">
        <w:t xml:space="preserve"> (</w:t>
      </w:r>
      <w:r w:rsidR="00DD506D">
        <w:t>such as</w:t>
      </w:r>
      <w:r w:rsidR="6617C436">
        <w:t xml:space="preserve"> </w:t>
      </w:r>
      <w:r w:rsidR="31ED5535">
        <w:t>G</w:t>
      </w:r>
      <w:r w:rsidR="6617C436">
        <w:t>reen</w:t>
      </w:r>
      <w:r w:rsidR="75B9EE57">
        <w:t xml:space="preserve"> OA</w:t>
      </w:r>
      <w:r w:rsidR="6617C436">
        <w:t>)</w:t>
      </w:r>
      <w:r w:rsidR="00EA42ED">
        <w:t>, precious metals</w:t>
      </w:r>
      <w:r w:rsidR="7D1BEEB4">
        <w:t xml:space="preserve"> (e.g. Gold</w:t>
      </w:r>
      <w:r w:rsidR="66A3BF36">
        <w:t xml:space="preserve"> OA</w:t>
      </w:r>
      <w:r w:rsidR="7D1BEEB4">
        <w:t>)</w:t>
      </w:r>
      <w:r w:rsidR="00EA42ED">
        <w:t xml:space="preserve"> and gems</w:t>
      </w:r>
      <w:r w:rsidR="49A942C0">
        <w:t xml:space="preserve"> (e.g. Diamond OA)</w:t>
      </w:r>
      <w:r w:rsidR="00A856D5">
        <w:t xml:space="preserve"> that</w:t>
      </w:r>
      <w:r w:rsidR="00B30CC4">
        <w:t xml:space="preserve"> </w:t>
      </w:r>
      <w:r w:rsidR="00A856D5">
        <w:t xml:space="preserve">are intended </w:t>
      </w:r>
      <w:r w:rsidR="00B30CC4">
        <w:t>to</w:t>
      </w:r>
      <w:r w:rsidR="00EA42ED">
        <w:t xml:space="preserve"> describe the</w:t>
      </w:r>
      <w:r w:rsidR="00B30CC4">
        <w:t xml:space="preserve"> nature of how</w:t>
      </w:r>
      <w:r w:rsidR="00595A21">
        <w:t xml:space="preserve"> </w:t>
      </w:r>
      <w:r w:rsidR="00831D79">
        <w:t>open ou</w:t>
      </w:r>
      <w:r w:rsidR="574BB800">
        <w:t>t</w:t>
      </w:r>
      <w:r w:rsidR="00831D79">
        <w:t xml:space="preserve">puts are and how </w:t>
      </w:r>
      <w:r w:rsidR="00DD506D">
        <w:t xml:space="preserve">that </w:t>
      </w:r>
      <w:r w:rsidR="00831D79">
        <w:t xml:space="preserve">is achieved. </w:t>
      </w:r>
      <w:r w:rsidR="00372E59">
        <w:t>However, it is crucial to recogni</w:t>
      </w:r>
      <w:r w:rsidR="00832982">
        <w:t>s</w:t>
      </w:r>
      <w:r w:rsidR="00372E59">
        <w:t>e that some OA brands fall short of true Open Access. Among these, the term 'Bronze OA' stands out</w:t>
      </w:r>
      <w:r w:rsidR="70026E7B">
        <w:t xml:space="preserve"> to me</w:t>
      </w:r>
      <w:r w:rsidR="00372E59">
        <w:t xml:space="preserve"> as a potentially damaging misnomer.</w:t>
      </w:r>
    </w:p>
    <w:p w14:paraId="0DD2038A" w14:textId="1D9D4899" w:rsidR="001B5035" w:rsidRDefault="34C312E7">
      <w:r>
        <w:t>‘Bronze OA’</w:t>
      </w:r>
      <w:r w:rsidR="069BC27B">
        <w:t xml:space="preserve"> refers to </w:t>
      </w:r>
      <w:r w:rsidR="00E13C29">
        <w:t>content,</w:t>
      </w:r>
      <w:r w:rsidR="069BC27B">
        <w:t xml:space="preserve"> which is freely accessible </w:t>
      </w:r>
      <w:r w:rsidR="00DB2A1A">
        <w:t xml:space="preserve">to users </w:t>
      </w:r>
      <w:r w:rsidR="069BC27B">
        <w:t xml:space="preserve">at the point of use, but it </w:t>
      </w:r>
      <w:r w:rsidR="003909C5">
        <w:t>is not always</w:t>
      </w:r>
      <w:r w:rsidR="069BC27B">
        <w:t xml:space="preserve"> clear what lice</w:t>
      </w:r>
      <w:r w:rsidR="3AC56F24">
        <w:t xml:space="preserve">nse is applied </w:t>
      </w:r>
      <w:r w:rsidR="003909C5">
        <w:t xml:space="preserve">or </w:t>
      </w:r>
      <w:r w:rsidR="3AC56F24">
        <w:t>what the users</w:t>
      </w:r>
      <w:r w:rsidR="373FB582">
        <w:t>’ (or indeed the author</w:t>
      </w:r>
      <w:r w:rsidR="0A30823F">
        <w:t>s’)</w:t>
      </w:r>
      <w:r w:rsidR="3AC56F24">
        <w:t xml:space="preserve"> rights are</w:t>
      </w:r>
      <w:r w:rsidR="2203E70E">
        <w:t xml:space="preserve">. </w:t>
      </w:r>
      <w:r w:rsidR="00DA5843">
        <w:t>O</w:t>
      </w:r>
      <w:r w:rsidR="001527B6">
        <w:t xml:space="preserve">pen </w:t>
      </w:r>
      <w:r w:rsidR="05C0F757">
        <w:t>Access</w:t>
      </w:r>
      <w:r w:rsidR="00DA5843">
        <w:t xml:space="preserve">, </w:t>
      </w:r>
      <w:r w:rsidR="00FF089D">
        <w:t>however,</w:t>
      </w:r>
      <w:r w:rsidR="001527B6">
        <w:t xml:space="preserve"> </w:t>
      </w:r>
      <w:r w:rsidR="05C0F757">
        <w:t xml:space="preserve">was defined by the </w:t>
      </w:r>
      <w:r w:rsidR="00EB20B4">
        <w:t xml:space="preserve">2003 </w:t>
      </w:r>
      <w:hyperlink r:id="rId4" w:history="1">
        <w:r w:rsidR="05C0F757" w:rsidRPr="00DE1FCC">
          <w:rPr>
            <w:rStyle w:val="Hyperlink"/>
          </w:rPr>
          <w:t>Berlin Declaration</w:t>
        </w:r>
      </w:hyperlink>
      <w:r w:rsidR="05C0F757">
        <w:t xml:space="preserve"> as the worldwide and irrevocable right to freely “access”, “copy, use, distribute, transmit and display the work publicly and to make and distribute derivative works”, “subject to proper attribution of authorship</w:t>
      </w:r>
      <w:r w:rsidR="4DAB7926">
        <w:t>”</w:t>
      </w:r>
      <w:r w:rsidR="05C0F757">
        <w:t xml:space="preserve">. </w:t>
      </w:r>
      <w:r w:rsidR="000911C4">
        <w:t>These principles are vital in safeguarding authors</w:t>
      </w:r>
      <w:r w:rsidR="008E5F36">
        <w:t>’</w:t>
      </w:r>
      <w:r w:rsidR="000911C4">
        <w:t xml:space="preserve"> intellectual property</w:t>
      </w:r>
      <w:r w:rsidR="006E20A7">
        <w:t>,</w:t>
      </w:r>
      <w:r w:rsidR="000911C4">
        <w:t xml:space="preserve"> while</w:t>
      </w:r>
      <w:r w:rsidR="008E5F36">
        <w:t xml:space="preserve"> enabling others to build </w:t>
      </w:r>
      <w:r w:rsidR="006E20A7">
        <w:t>up</w:t>
      </w:r>
      <w:r w:rsidR="008E5F36">
        <w:t>on and benefit from the work</w:t>
      </w:r>
      <w:r w:rsidR="006E20A7">
        <w:t>; maximising</w:t>
      </w:r>
      <w:r w:rsidR="00E53A3C">
        <w:t xml:space="preserve"> </w:t>
      </w:r>
      <w:r w:rsidR="000911C4">
        <w:t>the publication</w:t>
      </w:r>
      <w:r w:rsidR="008E5F36">
        <w:t>’</w:t>
      </w:r>
      <w:r w:rsidR="000911C4">
        <w:t>s impact.</w:t>
      </w:r>
      <w:r w:rsidR="05C0F757">
        <w:t xml:space="preserve"> In response to early advocacy for OA, mechanisms and publishing business models were developed to address these needs. Not all th</w:t>
      </w:r>
      <w:r w:rsidR="1643D68B">
        <w:t>o</w:t>
      </w:r>
      <w:r w:rsidR="05C0F757">
        <w:t>se mechanisms address every definitive point of OA</w:t>
      </w:r>
      <w:r w:rsidR="59108760">
        <w:t>.</w:t>
      </w:r>
      <w:r w:rsidR="711190AB">
        <w:t xml:space="preserve"> However,</w:t>
      </w:r>
      <w:r w:rsidR="59108760">
        <w:t xml:space="preserve"> </w:t>
      </w:r>
      <w:r w:rsidR="528C8166">
        <w:t xml:space="preserve">I argue </w:t>
      </w:r>
      <w:r w:rsidR="05C0F757">
        <w:t xml:space="preserve">that Bronze OA meets none of these requirements </w:t>
      </w:r>
      <w:r w:rsidR="00105544">
        <w:t xml:space="preserve">perpetually and </w:t>
      </w:r>
      <w:r w:rsidR="05C0F757">
        <w:t>unambiguously.</w:t>
      </w:r>
    </w:p>
    <w:p w14:paraId="20C259F7" w14:textId="17F19BEE" w:rsidR="00830949" w:rsidRDefault="00705A72">
      <w:r>
        <w:t xml:space="preserve">Despite its inadequacies, </w:t>
      </w:r>
      <w:r w:rsidR="1BDE9FE6">
        <w:t xml:space="preserve">‘Bronze OA’ </w:t>
      </w:r>
      <w:r w:rsidR="313E4221">
        <w:t>is being used widely by OA advocacy not-for-profit organisations (</w:t>
      </w:r>
      <w:r w:rsidR="0079357A">
        <w:t>such as</w:t>
      </w:r>
      <w:r w:rsidR="313E4221">
        <w:t xml:space="preserve"> </w:t>
      </w:r>
      <w:hyperlink r:id="rId5" w:history="1">
        <w:proofErr w:type="spellStart"/>
        <w:r w:rsidR="313E4221" w:rsidRPr="00830949">
          <w:rPr>
            <w:rStyle w:val="Hyperlink"/>
          </w:rPr>
          <w:t>Unpaywall</w:t>
        </w:r>
        <w:proofErr w:type="spellEnd"/>
        <w:r w:rsidR="313E4221" w:rsidRPr="00830949">
          <w:rPr>
            <w:rStyle w:val="Hyperlink"/>
          </w:rPr>
          <w:t xml:space="preserve"> supplied by Our Research</w:t>
        </w:r>
      </w:hyperlink>
      <w:r w:rsidR="00830949">
        <w:t>)</w:t>
      </w:r>
      <w:r w:rsidR="313E4221">
        <w:t>, publishers and bibliographic indexing services (</w:t>
      </w:r>
      <w:r w:rsidR="00830949">
        <w:t>for example</w:t>
      </w:r>
      <w:r w:rsidR="00E13C29">
        <w:t>,</w:t>
      </w:r>
      <w:r w:rsidR="313E4221">
        <w:t xml:space="preserve"> Dimensions.ai, Web of Science and Scopus).</w:t>
      </w:r>
      <w:r w:rsidR="6932C2F3">
        <w:t xml:space="preserve"> </w:t>
      </w:r>
      <w:r w:rsidR="00830949">
        <w:t>This wastebasket term</w:t>
      </w:r>
      <w:r w:rsidR="00830949" w:rsidDel="00830949">
        <w:t xml:space="preserve"> </w:t>
      </w:r>
      <w:r w:rsidR="00830949">
        <w:t>captures a</w:t>
      </w:r>
      <w:r w:rsidR="6932C2F3">
        <w:t xml:space="preserve"> mix of content</w:t>
      </w:r>
      <w:r w:rsidR="0D5838F4">
        <w:t>, but</w:t>
      </w:r>
      <w:r w:rsidR="479ECF65">
        <w:t xml:space="preserve"> often </w:t>
      </w:r>
      <w:r w:rsidR="00830949">
        <w:t xml:space="preserve">the publisher makes </w:t>
      </w:r>
      <w:r w:rsidR="479ECF65">
        <w:t xml:space="preserve">the content </w:t>
      </w:r>
      <w:r w:rsidR="00E2426D">
        <w:t>accessible</w:t>
      </w:r>
      <w:r w:rsidR="479ECF65">
        <w:t xml:space="preserve"> as part of promotional activities</w:t>
      </w:r>
      <w:r w:rsidR="599A50C6">
        <w:t xml:space="preserve">, such as </w:t>
      </w:r>
      <w:r w:rsidR="5D1B43DF">
        <w:t xml:space="preserve">time-limited access </w:t>
      </w:r>
      <w:r w:rsidR="599A50C6">
        <w:t>supporting a press</w:t>
      </w:r>
      <w:r w:rsidR="00830949">
        <w:t xml:space="preserve"> </w:t>
      </w:r>
      <w:r w:rsidR="599A50C6">
        <w:t xml:space="preserve">release or </w:t>
      </w:r>
      <w:r w:rsidR="1B80A8BB">
        <w:t xml:space="preserve">due to a </w:t>
      </w:r>
      <w:r w:rsidR="13117047">
        <w:t xml:space="preserve">rolling paywall. </w:t>
      </w:r>
      <w:r w:rsidR="0008716C">
        <w:t xml:space="preserve">In such cases, the right to share, build upon or reuse the publication becomes subject to third-party licensing, introducing barriers that hinder public benefit from these publications. </w:t>
      </w:r>
    </w:p>
    <w:p w14:paraId="6858338C" w14:textId="636B1E30" w:rsidR="001D1603" w:rsidRDefault="0008716C">
      <w:r>
        <w:t>What</w:t>
      </w:r>
      <w:r w:rsidR="00830949">
        <w:t>’</w:t>
      </w:r>
      <w:r>
        <w:t xml:space="preserve">s worse, the continued use of the term 'Bronze OA instead of descriptors </w:t>
      </w:r>
      <w:r w:rsidR="00830949">
        <w:t>such as “</w:t>
      </w:r>
      <w:r>
        <w:t>free</w:t>
      </w:r>
      <w:r w:rsidR="00830949">
        <w:t xml:space="preserve"> </w:t>
      </w:r>
      <w:r>
        <w:t>to</w:t>
      </w:r>
      <w:r w:rsidR="00830949">
        <w:t xml:space="preserve"> </w:t>
      </w:r>
      <w:r>
        <w:t>view</w:t>
      </w:r>
      <w:r w:rsidR="00830949">
        <w:t>”</w:t>
      </w:r>
      <w:r>
        <w:t xml:space="preserve"> or </w:t>
      </w:r>
      <w:r w:rsidR="00830949">
        <w:t>“</w:t>
      </w:r>
      <w:r>
        <w:t>gratis access</w:t>
      </w:r>
      <w:r w:rsidR="00830949">
        <w:t>”</w:t>
      </w:r>
      <w:r>
        <w:t xml:space="preserve"> may mislead well-intentioned authors into believing their outputs possess the defining and crucial characteristics of Open Access.</w:t>
      </w:r>
      <w:r w:rsidR="03946389">
        <w:t xml:space="preserve"> </w:t>
      </w:r>
      <w:r w:rsidR="00705D50">
        <w:t>While I am</w:t>
      </w:r>
      <w:r w:rsidR="004E09EE">
        <w:t xml:space="preserve"> personally</w:t>
      </w:r>
      <w:r w:rsidR="00705D50">
        <w:t xml:space="preserve"> unaware of instances where individuals have been burdened with copyright clearance charges for reproducing or reusing content </w:t>
      </w:r>
      <w:r w:rsidR="00830949">
        <w:t xml:space="preserve">that </w:t>
      </w:r>
      <w:r w:rsidR="00705D50">
        <w:t xml:space="preserve">they believed to be OA, I have encountered situations, in various job roles, where authors firmly believed </w:t>
      </w:r>
      <w:r w:rsidR="00830949">
        <w:t xml:space="preserve">that </w:t>
      </w:r>
      <w:r w:rsidR="00705D50">
        <w:t>their free-to-view articles would be or were made OA despite the Publishing Agreement indicating otherwise.</w:t>
      </w:r>
    </w:p>
    <w:p w14:paraId="3B81F003" w14:textId="45BF4181" w:rsidR="00BF70DB" w:rsidRDefault="38AD04A7" w:rsidP="46D7B8EA">
      <w:r>
        <w:t xml:space="preserve">This issue was brought sharply into focus on 31 January 2020, when the </w:t>
      </w:r>
      <w:hyperlink r:id="rId6" w:history="1">
        <w:proofErr w:type="spellStart"/>
        <w:r w:rsidRPr="002F5CC2">
          <w:rPr>
            <w:rStyle w:val="Hyperlink"/>
          </w:rPr>
          <w:t>Wellcome</w:t>
        </w:r>
        <w:proofErr w:type="spellEnd"/>
        <w:r w:rsidRPr="002F5CC2">
          <w:rPr>
            <w:rStyle w:val="Hyperlink"/>
          </w:rPr>
          <w:t xml:space="preserve"> Trust is</w:t>
        </w:r>
        <w:r w:rsidR="0023112A">
          <w:rPr>
            <w:rStyle w:val="Hyperlink"/>
          </w:rPr>
          <w:t>su</w:t>
        </w:r>
        <w:r w:rsidRPr="002F5CC2">
          <w:rPr>
            <w:rStyle w:val="Hyperlink"/>
          </w:rPr>
          <w:t>ed a press release</w:t>
        </w:r>
      </w:hyperlink>
      <w:r>
        <w:t xml:space="preserve"> announcing that the</w:t>
      </w:r>
      <w:r w:rsidR="00225542">
        <w:t xml:space="preserve"> </w:t>
      </w:r>
      <w:r>
        <w:t>novel coronavirus represent</w:t>
      </w:r>
      <w:r w:rsidR="00DB4551">
        <w:t>e</w:t>
      </w:r>
      <w:r w:rsidR="00225542">
        <w:t>d</w:t>
      </w:r>
      <w:r>
        <w:t xml:space="preserve"> a </w:t>
      </w:r>
      <w:r w:rsidR="007755A1">
        <w:t>major</w:t>
      </w:r>
      <w:r>
        <w:t xml:space="preserve"> threat to global health and asked researchers, journals and funders to </w:t>
      </w:r>
      <w:r w:rsidR="00BB2140">
        <w:t>share</w:t>
      </w:r>
      <w:r>
        <w:t xml:space="preserve"> research findings and data related to the pandemic “rapidly and openly”</w:t>
      </w:r>
      <w:r w:rsidR="00BB2140">
        <w:t xml:space="preserve"> </w:t>
      </w:r>
      <w:r w:rsidR="00660B1A">
        <w:t>–</w:t>
      </w:r>
      <w:r w:rsidR="5305E0C4">
        <w:t xml:space="preserve"> or at the very least</w:t>
      </w:r>
      <w:r w:rsidR="00830949">
        <w:t xml:space="preserve"> </w:t>
      </w:r>
      <w:r w:rsidR="00BB2140">
        <w:t>make them</w:t>
      </w:r>
      <w:r w:rsidR="5305E0C4">
        <w:t xml:space="preserve"> “freely available” </w:t>
      </w:r>
      <w:r w:rsidR="00BB2140">
        <w:t>through</w:t>
      </w:r>
      <w:r w:rsidR="00BF70DB">
        <w:t>out</w:t>
      </w:r>
      <w:r w:rsidR="5305E0C4">
        <w:t xml:space="preserve"> the outbreak</w:t>
      </w:r>
      <w:r>
        <w:t>.</w:t>
      </w:r>
      <w:r w:rsidR="00D13964">
        <w:t xml:space="preserve"> </w:t>
      </w:r>
      <w:hyperlink r:id="rId7" w:history="1">
        <w:r w:rsidR="00D13964" w:rsidRPr="00096534">
          <w:rPr>
            <w:rStyle w:val="Hyperlink"/>
          </w:rPr>
          <w:t xml:space="preserve">By </w:t>
        </w:r>
        <w:r w:rsidR="00D13964" w:rsidRPr="00096534">
          <w:rPr>
            <w:rStyle w:val="Hyperlink"/>
          </w:rPr>
          <w:lastRenderedPageBreak/>
          <w:t>March 2020</w:t>
        </w:r>
      </w:hyperlink>
      <w:r w:rsidR="00D13964">
        <w:t xml:space="preserve"> </w:t>
      </w:r>
      <w:r w:rsidR="00722C6E">
        <w:t>national</w:t>
      </w:r>
      <w:r w:rsidR="00090BD1">
        <w:t xml:space="preserve"> </w:t>
      </w:r>
      <w:r w:rsidR="00D372F8">
        <w:t>leaders on science policy</w:t>
      </w:r>
      <w:r w:rsidR="00722C6E">
        <w:t xml:space="preserve"> across the globe</w:t>
      </w:r>
      <w:r w:rsidR="00D15E30">
        <w:t xml:space="preserve"> had joined the call</w:t>
      </w:r>
      <w:r w:rsidR="00CD506E">
        <w:t xml:space="preserve"> to action</w:t>
      </w:r>
      <w:r w:rsidR="002F5CC2">
        <w:t>,</w:t>
      </w:r>
      <w:r w:rsidR="00CD506E">
        <w:t xml:space="preserve"> and </w:t>
      </w:r>
      <w:r w:rsidR="00722C6E">
        <w:t xml:space="preserve">many international publishers of scholarly communications aligned </w:t>
      </w:r>
      <w:r w:rsidR="00F64ACE">
        <w:t xml:space="preserve">themselves with the movement. </w:t>
      </w:r>
    </w:p>
    <w:p w14:paraId="297C9323" w14:textId="5EB91666" w:rsidR="00F15237" w:rsidRDefault="00F64ACE" w:rsidP="46D7B8EA">
      <w:r>
        <w:t xml:space="preserve">However, </w:t>
      </w:r>
      <w:r w:rsidR="000367EF">
        <w:t>many publishers did not provide authors</w:t>
      </w:r>
      <w:r w:rsidR="00746A8D">
        <w:t xml:space="preserve"> with an open license, but instead committed to meet</w:t>
      </w:r>
      <w:r w:rsidR="002F5CC2">
        <w:t>ing</w:t>
      </w:r>
      <w:r w:rsidR="00746A8D">
        <w:t xml:space="preserve"> the minimum requirement.</w:t>
      </w:r>
      <w:r w:rsidR="008C28BA">
        <w:t xml:space="preserve"> Therefore, w</w:t>
      </w:r>
      <w:r>
        <w:t>here the author did not request an open license (</w:t>
      </w:r>
      <w:r w:rsidR="003B0066">
        <w:t>such as</w:t>
      </w:r>
      <w:r>
        <w:t xml:space="preserve"> </w:t>
      </w:r>
      <w:hyperlink r:id="rId8" w:history="1">
        <w:r w:rsidRPr="003B0066">
          <w:rPr>
            <w:rStyle w:val="Hyperlink"/>
          </w:rPr>
          <w:t>CC BY</w:t>
        </w:r>
      </w:hyperlink>
      <w:r>
        <w:t>)</w:t>
      </w:r>
      <w:r w:rsidR="003B0066">
        <w:t>,</w:t>
      </w:r>
      <w:r>
        <w:t xml:space="preserve"> the outputs in subscription journals would have been subject to a copyright transfer agreement and are made </w:t>
      </w:r>
      <w:hyperlink r:id="rId9" w:history="1">
        <w:r w:rsidRPr="005450BB">
          <w:rPr>
            <w:rStyle w:val="Hyperlink"/>
          </w:rPr>
          <w:t>freely available at the publisher’s discretion</w:t>
        </w:r>
      </w:hyperlink>
      <w:r>
        <w:t xml:space="preserve"> or</w:t>
      </w:r>
      <w:r w:rsidR="005450BB">
        <w:t>,</w:t>
      </w:r>
      <w:r>
        <w:t xml:space="preserve"> in other words</w:t>
      </w:r>
      <w:r w:rsidR="005450BB">
        <w:t>,</w:t>
      </w:r>
      <w:r>
        <w:t xml:space="preserve"> they were made ‘Bronze OA</w:t>
      </w:r>
      <w:r w:rsidR="00540672">
        <w:t>’</w:t>
      </w:r>
      <w:r>
        <w:t>.</w:t>
      </w:r>
      <w:r w:rsidR="00B90BB0">
        <w:t xml:space="preserve"> </w:t>
      </w:r>
    </w:p>
    <w:p w14:paraId="24072B01" w14:textId="392ACA46" w:rsidR="38AD04A7" w:rsidRDefault="007B75B7" w:rsidP="46D7B8EA">
      <w:r>
        <w:t xml:space="preserve">Indeed, searching ‘virology’ or ‘respiratory disease’ in abstracting indexing services will demonstrate a spike in publications in 2020 and 2021 and a noticeable (for now) difference in the percentage available via ‘Bronze OA’ in the same period. </w:t>
      </w:r>
      <w:r w:rsidR="00A25D56" w:rsidRPr="00A25D56">
        <w:t xml:space="preserve">There is a risk that the content made available during this global emergency may be locked away in the future, with publishers </w:t>
      </w:r>
      <w:r w:rsidR="009D1DCD">
        <w:t>introducing</w:t>
      </w:r>
      <w:r w:rsidR="00A25D56" w:rsidRPr="00A25D56">
        <w:t xml:space="preserve"> barriers to </w:t>
      </w:r>
      <w:r w:rsidR="009D1DCD">
        <w:t xml:space="preserve">help </w:t>
      </w:r>
      <w:r w:rsidR="00A25D56" w:rsidRPr="00A25D56">
        <w:t>moneti</w:t>
      </w:r>
      <w:r w:rsidR="009D1DCD">
        <w:t>s</w:t>
      </w:r>
      <w:r w:rsidR="00A25D56" w:rsidRPr="00A25D56">
        <w:t>e content reuse.</w:t>
      </w:r>
      <w:r w:rsidR="00590BB3" w:rsidRPr="00590BB3">
        <w:t xml:space="preserve"> </w:t>
      </w:r>
      <w:r w:rsidR="00E84A4F">
        <w:t xml:space="preserve">Thankfully, </w:t>
      </w:r>
      <w:r w:rsidR="00F971A3">
        <w:t xml:space="preserve">the pandemic coincided </w:t>
      </w:r>
      <w:r w:rsidR="005E2A32">
        <w:t>with</w:t>
      </w:r>
      <w:r w:rsidR="00A44580">
        <w:t xml:space="preserve"> </w:t>
      </w:r>
      <w:r w:rsidR="00D14BE6">
        <w:t>consortia</w:t>
      </w:r>
      <w:r w:rsidR="00F971A3">
        <w:t xml:space="preserve"> </w:t>
      </w:r>
      <w:r w:rsidR="005D6EFC">
        <w:t xml:space="preserve">establishing </w:t>
      </w:r>
      <w:r w:rsidR="00D14BE6">
        <w:t xml:space="preserve">many </w:t>
      </w:r>
      <w:r w:rsidR="00CE5677">
        <w:t>no-additional-cost Open Access publishing agreements</w:t>
      </w:r>
      <w:r w:rsidR="00556C7C">
        <w:t xml:space="preserve">, which </w:t>
      </w:r>
      <w:r w:rsidR="00CE5677">
        <w:t>remov</w:t>
      </w:r>
      <w:r w:rsidR="00556C7C">
        <w:t>ed</w:t>
      </w:r>
      <w:r w:rsidR="00CE5677">
        <w:t xml:space="preserve"> barriers to </w:t>
      </w:r>
      <w:r w:rsidR="008847BA">
        <w:t>‘</w:t>
      </w:r>
      <w:r w:rsidR="00CE5677">
        <w:t>Gold OA</w:t>
      </w:r>
      <w:r w:rsidR="008847BA">
        <w:t>’ (</w:t>
      </w:r>
      <w:r w:rsidR="002A1DD7">
        <w:t>that is,</w:t>
      </w:r>
      <w:r w:rsidR="008847BA">
        <w:t xml:space="preserve"> an open license is applied to the published version of record)</w:t>
      </w:r>
      <w:r w:rsidR="00556C7C">
        <w:t xml:space="preserve"> and</w:t>
      </w:r>
      <w:r w:rsidR="002817B4">
        <w:t>,</w:t>
      </w:r>
      <w:r w:rsidR="00556C7C">
        <w:t xml:space="preserve"> </w:t>
      </w:r>
      <w:r w:rsidR="008C6272">
        <w:t>in all likelihood</w:t>
      </w:r>
      <w:r w:rsidR="002817B4">
        <w:t>,</w:t>
      </w:r>
      <w:r w:rsidR="001F2900">
        <w:t xml:space="preserve"> limited</w:t>
      </w:r>
      <w:r w:rsidR="000B6CEC">
        <w:t xml:space="preserve"> the effect of what is described above</w:t>
      </w:r>
      <w:r w:rsidR="008847BA">
        <w:t>.</w:t>
      </w:r>
    </w:p>
    <w:p w14:paraId="28364ECE" w14:textId="4F2EDF23" w:rsidR="007F29D5" w:rsidRDefault="007F29D5" w:rsidP="46D7B8EA">
      <w:r>
        <w:t xml:space="preserve">Those problems described can be tackled in </w:t>
      </w:r>
      <w:r w:rsidR="002E218F">
        <w:t xml:space="preserve">large </w:t>
      </w:r>
      <w:r>
        <w:t>part by libraries and publishers working to create an environment in which it is straight-forward, cost effective (seemingly free to the author</w:t>
      </w:r>
      <w:r w:rsidR="002E218F">
        <w:t>)</w:t>
      </w:r>
      <w:r>
        <w:t xml:space="preserve">, and ultimately the default to make research </w:t>
      </w:r>
      <w:r w:rsidR="002E218F">
        <w:t xml:space="preserve">findings and data OA. However, practical steps we can take to make </w:t>
      </w:r>
      <w:r w:rsidR="0031505A">
        <w:t xml:space="preserve">true </w:t>
      </w:r>
      <w:r w:rsidR="002E218F">
        <w:t>OA normative include creating communities of practice, educating ourselves and supporting others navigating new Open Research practices</w:t>
      </w:r>
      <w:r w:rsidR="00922219">
        <w:t xml:space="preserve">. Additionally, </w:t>
      </w:r>
      <w:r w:rsidR="002E218F">
        <w:t xml:space="preserve">Institutions, funders and journals should incentivise Open Research best practices so that it pays for researchers to engage with it. </w:t>
      </w:r>
      <w:r w:rsidR="00EB07C7">
        <w:t>More practically</w:t>
      </w:r>
      <w:r w:rsidR="002E218F">
        <w:t>, if in doubt</w:t>
      </w:r>
      <w:r w:rsidR="00CC5F00">
        <w:t xml:space="preserve"> about OA</w:t>
      </w:r>
      <w:r w:rsidR="002E218F">
        <w:t xml:space="preserve">, have a backstop! </w:t>
      </w:r>
      <w:hyperlink r:id="rId10" w:history="1">
        <w:r w:rsidR="002E218F" w:rsidRPr="00922219">
          <w:rPr>
            <w:rStyle w:val="Hyperlink"/>
          </w:rPr>
          <w:t>Rights retention</w:t>
        </w:r>
      </w:hyperlink>
      <w:r w:rsidR="002E218F">
        <w:t xml:space="preserve"> is</w:t>
      </w:r>
      <w:r w:rsidR="00922219">
        <w:t xml:space="preserve"> a great backstop. It’s</w:t>
      </w:r>
      <w:r w:rsidR="002E218F">
        <w:t xml:space="preserve"> a way an author, as the rights holder, can assert their right to assign a license to other versions of their work and share that openly</w:t>
      </w:r>
      <w:r w:rsidR="00922219">
        <w:t xml:space="preserve"> regardless of how it will be published once accepted by the publisher</w:t>
      </w:r>
      <w:r w:rsidR="002E218F">
        <w:t>.</w:t>
      </w:r>
      <w:r w:rsidR="00922219">
        <w:t xml:space="preserve"> Case in point, I have applied a CC BY license to the submitted version of this article.</w:t>
      </w:r>
    </w:p>
    <w:p w14:paraId="4EF739F7" w14:textId="17E46BB7" w:rsidR="00D501BE" w:rsidRDefault="009544AD">
      <w:r w:rsidRPr="009544AD">
        <w:t xml:space="preserve">As someone dedicated to understanding and managing the distinctions among publishing models, I </w:t>
      </w:r>
      <w:r w:rsidR="002A1DD7" w:rsidRPr="009544AD">
        <w:t>recogni</w:t>
      </w:r>
      <w:r w:rsidR="002A1DD7">
        <w:t>s</w:t>
      </w:r>
      <w:r w:rsidR="002A1DD7" w:rsidRPr="009544AD">
        <w:t xml:space="preserve">e </w:t>
      </w:r>
      <w:r w:rsidRPr="009544AD">
        <w:t xml:space="preserve">that researchers should not be burdened with excessive considerations in this regard. Instead, I advocate for fostering a stronger sense of community through enhanced collaboration and communication between research-enabling and research-performing members of </w:t>
      </w:r>
      <w:r w:rsidR="00D4333B" w:rsidRPr="009544AD">
        <w:t>organi</w:t>
      </w:r>
      <w:r w:rsidR="00D4333B">
        <w:t>s</w:t>
      </w:r>
      <w:r w:rsidR="00D4333B" w:rsidRPr="009544AD">
        <w:t>ations</w:t>
      </w:r>
      <w:r w:rsidRPr="009544AD">
        <w:t xml:space="preserve">. This approach will empower each individual to become an expert in their respective areas and focus on unlocking the full potential of their research outputs. To </w:t>
      </w:r>
      <w:r w:rsidR="00600C8F">
        <w:t xml:space="preserve">help </w:t>
      </w:r>
      <w:r w:rsidRPr="009544AD">
        <w:t xml:space="preserve">achieve this goal, we </w:t>
      </w:r>
      <w:r w:rsidR="00D4333B">
        <w:t xml:space="preserve">must </w:t>
      </w:r>
      <w:r w:rsidRPr="009544AD">
        <w:t>discard unhelpful</w:t>
      </w:r>
      <w:r w:rsidR="00600C8F">
        <w:t xml:space="preserve"> </w:t>
      </w:r>
      <w:r w:rsidR="0068287A">
        <w:t>jargon and</w:t>
      </w:r>
      <w:r w:rsidRPr="009544AD">
        <w:t xml:space="preserve"> OA brands and move towards a more constructive and unified approach.</w:t>
      </w:r>
    </w:p>
    <w:p w14:paraId="2619221F" w14:textId="77777777" w:rsidR="00AC5F0B" w:rsidRDefault="00AC5F0B"/>
    <w:p w14:paraId="7AA903D7" w14:textId="30A5FA3F" w:rsidR="00D501BE" w:rsidRDefault="0090375D">
      <w:pPr>
        <w:rPr>
          <w:i/>
          <w:iCs/>
        </w:rPr>
      </w:pPr>
      <w:r w:rsidRPr="0090375D">
        <w:rPr>
          <w:i/>
          <w:iCs/>
        </w:rPr>
        <w:t>For the purpose of Open Access, a Creative Commons Attribution (CC BY) license</w:t>
      </w:r>
      <w:r>
        <w:rPr>
          <w:i/>
          <w:iCs/>
        </w:rPr>
        <w:t xml:space="preserve"> </w:t>
      </w:r>
      <w:r w:rsidRPr="0090375D">
        <w:rPr>
          <w:i/>
          <w:iCs/>
        </w:rPr>
        <w:t>has been applied to the submitted version of this manuscript.</w:t>
      </w:r>
    </w:p>
    <w:p w14:paraId="12C0042D" w14:textId="0E5F8F48" w:rsidR="00D501BE" w:rsidRPr="00540672" w:rsidRDefault="00D501BE" w:rsidP="00D501BE">
      <w:pPr>
        <w:pStyle w:val="Heading1"/>
        <w:rPr>
          <w:rStyle w:val="Emphasis"/>
          <w:b/>
          <w:bCs/>
          <w:i w:val="0"/>
          <w:iCs w:val="0"/>
        </w:rPr>
      </w:pPr>
      <w:r w:rsidRPr="00540672">
        <w:rPr>
          <w:rStyle w:val="Emphasis"/>
          <w:b/>
          <w:bCs/>
          <w:i w:val="0"/>
          <w:iCs w:val="0"/>
        </w:rPr>
        <w:t xml:space="preserve">Steven U. Vidovic </w:t>
      </w:r>
      <w:r>
        <w:rPr>
          <w:rStyle w:val="Emphasis"/>
          <w:b/>
          <w:bCs/>
          <w:i w:val="0"/>
          <w:iCs w:val="0"/>
        </w:rPr>
        <w:t>is h</w:t>
      </w:r>
      <w:r w:rsidRPr="00540672">
        <w:rPr>
          <w:rStyle w:val="Emphasis"/>
          <w:b/>
          <w:bCs/>
          <w:i w:val="0"/>
          <w:iCs w:val="0"/>
        </w:rPr>
        <w:t xml:space="preserve">ead of </w:t>
      </w:r>
      <w:r>
        <w:rPr>
          <w:rStyle w:val="Emphasis"/>
          <w:b/>
          <w:bCs/>
          <w:i w:val="0"/>
          <w:iCs w:val="0"/>
        </w:rPr>
        <w:t>o</w:t>
      </w:r>
      <w:r w:rsidRPr="00540672">
        <w:rPr>
          <w:rStyle w:val="Emphasis"/>
          <w:b/>
          <w:bCs/>
          <w:i w:val="0"/>
          <w:iCs w:val="0"/>
        </w:rPr>
        <w:t xml:space="preserve">pen </w:t>
      </w:r>
      <w:r>
        <w:rPr>
          <w:rStyle w:val="Emphasis"/>
          <w:b/>
          <w:bCs/>
          <w:i w:val="0"/>
          <w:iCs w:val="0"/>
        </w:rPr>
        <w:t>r</w:t>
      </w:r>
      <w:r w:rsidRPr="00540672">
        <w:rPr>
          <w:rStyle w:val="Emphasis"/>
          <w:b/>
          <w:bCs/>
          <w:i w:val="0"/>
          <w:iCs w:val="0"/>
        </w:rPr>
        <w:t xml:space="preserve">esearch </w:t>
      </w:r>
      <w:r>
        <w:rPr>
          <w:rStyle w:val="Emphasis"/>
          <w:b/>
          <w:bCs/>
          <w:i w:val="0"/>
          <w:iCs w:val="0"/>
        </w:rPr>
        <w:t>and</w:t>
      </w:r>
      <w:r w:rsidRPr="00540672">
        <w:rPr>
          <w:rStyle w:val="Emphasis"/>
          <w:b/>
          <w:bCs/>
          <w:i w:val="0"/>
          <w:iCs w:val="0"/>
        </w:rPr>
        <w:t xml:space="preserve"> </w:t>
      </w:r>
      <w:r>
        <w:rPr>
          <w:rStyle w:val="Emphasis"/>
          <w:b/>
          <w:bCs/>
          <w:i w:val="0"/>
          <w:iCs w:val="0"/>
        </w:rPr>
        <w:t>p</w:t>
      </w:r>
      <w:r w:rsidRPr="00540672">
        <w:rPr>
          <w:rStyle w:val="Emphasis"/>
          <w:b/>
          <w:bCs/>
          <w:i w:val="0"/>
          <w:iCs w:val="0"/>
        </w:rPr>
        <w:t xml:space="preserve">ublication </w:t>
      </w:r>
      <w:r>
        <w:rPr>
          <w:rStyle w:val="Emphasis"/>
          <w:b/>
          <w:bCs/>
          <w:i w:val="0"/>
          <w:iCs w:val="0"/>
        </w:rPr>
        <w:t>p</w:t>
      </w:r>
      <w:r w:rsidRPr="00540672">
        <w:rPr>
          <w:rStyle w:val="Emphasis"/>
          <w:b/>
          <w:bCs/>
          <w:i w:val="0"/>
          <w:iCs w:val="0"/>
        </w:rPr>
        <w:t>ractic</w:t>
      </w:r>
      <w:r>
        <w:rPr>
          <w:rStyle w:val="Emphasis"/>
          <w:b/>
          <w:bCs/>
          <w:i w:val="0"/>
          <w:iCs w:val="0"/>
        </w:rPr>
        <w:t>e at the</w:t>
      </w:r>
      <w:r w:rsidRPr="00540672">
        <w:rPr>
          <w:rStyle w:val="Emphasis"/>
          <w:b/>
          <w:bCs/>
          <w:i w:val="0"/>
          <w:iCs w:val="0"/>
        </w:rPr>
        <w:t xml:space="preserve"> University of Southampton</w:t>
      </w:r>
      <w:r>
        <w:rPr>
          <w:rStyle w:val="Emphasis"/>
          <w:b/>
          <w:bCs/>
          <w:i w:val="0"/>
          <w:iCs w:val="0"/>
        </w:rPr>
        <w:t>.</w:t>
      </w:r>
    </w:p>
    <w:p w14:paraId="3F432462" w14:textId="77777777" w:rsidR="00D501BE" w:rsidRPr="0090375D" w:rsidRDefault="00D501BE">
      <w:pPr>
        <w:rPr>
          <w:i/>
          <w:iCs/>
        </w:rPr>
      </w:pPr>
    </w:p>
    <w:p w14:paraId="7A313131" w14:textId="40E2131D" w:rsidR="00A21AD5" w:rsidRDefault="007E13B7">
      <w:r>
        <w:t>Sources added as hyperlinks in text</w:t>
      </w:r>
    </w:p>
    <w:p w14:paraId="3C57382A" w14:textId="77777777" w:rsidR="00CE17DF" w:rsidRDefault="00CE17DF" w:rsidP="00CE17DF">
      <w:r>
        <w:t xml:space="preserve">Berlin Declaration [WWW Document]. 2003. URL https://openaccess.mpg.de/Berlin-Declaration (accessed 4.12.21). </w:t>
      </w:r>
    </w:p>
    <w:p w14:paraId="7912759A" w14:textId="77777777" w:rsidR="00CE17DF" w:rsidRDefault="00CE17DF" w:rsidP="00CE17DF"/>
    <w:p w14:paraId="25FC9EEA" w14:textId="77777777" w:rsidR="00CE17DF" w:rsidRDefault="00CE17DF" w:rsidP="00CE17DF">
      <w:r>
        <w:t xml:space="preserve">Coronavirus (COVID-19): sharing research data | </w:t>
      </w:r>
      <w:proofErr w:type="spellStart"/>
      <w:r>
        <w:t>Wellcome</w:t>
      </w:r>
      <w:proofErr w:type="spellEnd"/>
      <w:r>
        <w:t xml:space="preserve"> [WWW Document]. 2020. . Wellcome.org. URL https://wellcome.org/coronavirus-covid-19/open-data (accessed 4.12.21). </w:t>
      </w:r>
    </w:p>
    <w:p w14:paraId="72E5F79F" w14:textId="77777777" w:rsidR="00CE17DF" w:rsidRDefault="00CE17DF" w:rsidP="00CE17DF"/>
    <w:p w14:paraId="7B5974F6" w14:textId="77777777" w:rsidR="00CE17DF" w:rsidRDefault="00CE17DF" w:rsidP="00CE17DF">
      <w:r>
        <w:t xml:space="preserve">Piwowar, H., Priem, J., Larivière, V., Alperin, J.P., Matthias, L., Norlander, B., Farley, A., West, J., Haustein, S. 2018. The state of OA: a large-scale analysis of the prevalence and impact of Open Access articles. </w:t>
      </w:r>
      <w:proofErr w:type="spellStart"/>
      <w:r>
        <w:t>PeerJ</w:t>
      </w:r>
      <w:proofErr w:type="spellEnd"/>
      <w:r>
        <w:t xml:space="preserve">. 6, e4375. doi:10.7717/peerj.4375 </w:t>
      </w:r>
    </w:p>
    <w:p w14:paraId="27C527F0" w14:textId="77777777" w:rsidR="00CE17DF" w:rsidRDefault="00CE17DF" w:rsidP="00CE17DF"/>
    <w:p w14:paraId="5199E433" w14:textId="77777777" w:rsidR="00CE17DF" w:rsidRDefault="00CE17DF" w:rsidP="00CE17DF">
      <w:r>
        <w:t xml:space="preserve">Price, R., Ozkan, Y. 2021. Characteristics of Imperial College London’s COVID-19 research outputs. Learned Publishing. n/a. </w:t>
      </w:r>
      <w:proofErr w:type="spellStart"/>
      <w:r>
        <w:t>doi:https</w:t>
      </w:r>
      <w:proofErr w:type="spellEnd"/>
      <w:r>
        <w:t xml:space="preserve">://doi.org/10.1002/leap.1358 </w:t>
      </w:r>
    </w:p>
    <w:p w14:paraId="17D45358" w14:textId="77777777" w:rsidR="00CE17DF" w:rsidRDefault="00CE17DF" w:rsidP="00CE17DF"/>
    <w:p w14:paraId="478E1024" w14:textId="278845DF" w:rsidR="00CE17DF" w:rsidRDefault="00CE17DF" w:rsidP="00CE17DF">
      <w:r>
        <w:t xml:space="preserve">Publishers make coronavirus (COVID-19) content freely available and reusable [WWW Document]. 2020. Wellcome.org. URL https://wellcome.org/press-release/publishers-make-coronavirus-covid-19-content-freely-available-and-reusable (accessed 4.12.21). </w:t>
      </w:r>
    </w:p>
    <w:p w14:paraId="300DFF42" w14:textId="77777777" w:rsidR="00CE17DF" w:rsidRDefault="00CE17DF" w:rsidP="00CE17DF"/>
    <w:p w14:paraId="22BA4F3D" w14:textId="77777777" w:rsidR="00CE17DF" w:rsidRDefault="00CE17DF" w:rsidP="00CE17DF"/>
    <w:p w14:paraId="45EBD8F1" w14:textId="77777777" w:rsidR="00A21AD5" w:rsidRDefault="00A21AD5"/>
    <w:sectPr w:rsidR="00A21A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8D"/>
    <w:rsid w:val="0000234D"/>
    <w:rsid w:val="00013C7E"/>
    <w:rsid w:val="000166EC"/>
    <w:rsid w:val="00022CE1"/>
    <w:rsid w:val="00025CE9"/>
    <w:rsid w:val="000360A9"/>
    <w:rsid w:val="000367EF"/>
    <w:rsid w:val="00061CE7"/>
    <w:rsid w:val="00080785"/>
    <w:rsid w:val="0008716C"/>
    <w:rsid w:val="00090BD1"/>
    <w:rsid w:val="000911C4"/>
    <w:rsid w:val="00096350"/>
    <w:rsid w:val="00096534"/>
    <w:rsid w:val="000A08FE"/>
    <w:rsid w:val="000B6CEC"/>
    <w:rsid w:val="000C2719"/>
    <w:rsid w:val="000C7FF1"/>
    <w:rsid w:val="000D06E6"/>
    <w:rsid w:val="000E2D06"/>
    <w:rsid w:val="000F7A0A"/>
    <w:rsid w:val="00105544"/>
    <w:rsid w:val="00110B6B"/>
    <w:rsid w:val="00116818"/>
    <w:rsid w:val="00120A79"/>
    <w:rsid w:val="00143DC2"/>
    <w:rsid w:val="001527B6"/>
    <w:rsid w:val="00155AF1"/>
    <w:rsid w:val="00195E11"/>
    <w:rsid w:val="001A0160"/>
    <w:rsid w:val="001B5035"/>
    <w:rsid w:val="001C28D4"/>
    <w:rsid w:val="001D1603"/>
    <w:rsid w:val="001D1D85"/>
    <w:rsid w:val="001E1B21"/>
    <w:rsid w:val="001F2900"/>
    <w:rsid w:val="00212930"/>
    <w:rsid w:val="00225542"/>
    <w:rsid w:val="0023112A"/>
    <w:rsid w:val="00232843"/>
    <w:rsid w:val="00237725"/>
    <w:rsid w:val="00246BCC"/>
    <w:rsid w:val="00253435"/>
    <w:rsid w:val="002669B1"/>
    <w:rsid w:val="002719D4"/>
    <w:rsid w:val="002817B4"/>
    <w:rsid w:val="002A1DD7"/>
    <w:rsid w:val="002A5414"/>
    <w:rsid w:val="002B5850"/>
    <w:rsid w:val="002D1977"/>
    <w:rsid w:val="002D273F"/>
    <w:rsid w:val="002E218F"/>
    <w:rsid w:val="002F5CC2"/>
    <w:rsid w:val="00301638"/>
    <w:rsid w:val="00303F12"/>
    <w:rsid w:val="00310480"/>
    <w:rsid w:val="003110A5"/>
    <w:rsid w:val="00314331"/>
    <w:rsid w:val="0031505A"/>
    <w:rsid w:val="00324A12"/>
    <w:rsid w:val="00330BA5"/>
    <w:rsid w:val="0033468B"/>
    <w:rsid w:val="0035101A"/>
    <w:rsid w:val="00362936"/>
    <w:rsid w:val="00372E59"/>
    <w:rsid w:val="003909C5"/>
    <w:rsid w:val="00392047"/>
    <w:rsid w:val="003B0066"/>
    <w:rsid w:val="003C096B"/>
    <w:rsid w:val="003D18C1"/>
    <w:rsid w:val="003D414B"/>
    <w:rsid w:val="003E78AF"/>
    <w:rsid w:val="003F6989"/>
    <w:rsid w:val="00422153"/>
    <w:rsid w:val="00423384"/>
    <w:rsid w:val="004649F2"/>
    <w:rsid w:val="00464F79"/>
    <w:rsid w:val="004752C0"/>
    <w:rsid w:val="0047668C"/>
    <w:rsid w:val="004C19FE"/>
    <w:rsid w:val="004D6FEB"/>
    <w:rsid w:val="004E09EE"/>
    <w:rsid w:val="004E1554"/>
    <w:rsid w:val="00513476"/>
    <w:rsid w:val="00523F2D"/>
    <w:rsid w:val="00540672"/>
    <w:rsid w:val="005434E0"/>
    <w:rsid w:val="005450BB"/>
    <w:rsid w:val="00556AC1"/>
    <w:rsid w:val="00556C7C"/>
    <w:rsid w:val="005751F1"/>
    <w:rsid w:val="0057664D"/>
    <w:rsid w:val="00590BB3"/>
    <w:rsid w:val="00595A21"/>
    <w:rsid w:val="005A59D6"/>
    <w:rsid w:val="005D6EFC"/>
    <w:rsid w:val="005E0C76"/>
    <w:rsid w:val="005E2A32"/>
    <w:rsid w:val="005E4225"/>
    <w:rsid w:val="00600C8F"/>
    <w:rsid w:val="00656A3C"/>
    <w:rsid w:val="00660B1A"/>
    <w:rsid w:val="00681E8D"/>
    <w:rsid w:val="0068287A"/>
    <w:rsid w:val="006878AC"/>
    <w:rsid w:val="006E20A7"/>
    <w:rsid w:val="006F26B6"/>
    <w:rsid w:val="006F78AC"/>
    <w:rsid w:val="0070159E"/>
    <w:rsid w:val="00705A72"/>
    <w:rsid w:val="00705D50"/>
    <w:rsid w:val="007100F6"/>
    <w:rsid w:val="00722C6E"/>
    <w:rsid w:val="00746A8D"/>
    <w:rsid w:val="007755A1"/>
    <w:rsid w:val="007922F9"/>
    <w:rsid w:val="0079357A"/>
    <w:rsid w:val="007B75B7"/>
    <w:rsid w:val="007D57CC"/>
    <w:rsid w:val="007E0B63"/>
    <w:rsid w:val="007E13B7"/>
    <w:rsid w:val="007F29D5"/>
    <w:rsid w:val="008246E3"/>
    <w:rsid w:val="00830949"/>
    <w:rsid w:val="00831D79"/>
    <w:rsid w:val="00832982"/>
    <w:rsid w:val="00833693"/>
    <w:rsid w:val="00835F0B"/>
    <w:rsid w:val="00841229"/>
    <w:rsid w:val="00845232"/>
    <w:rsid w:val="008663A7"/>
    <w:rsid w:val="008847BA"/>
    <w:rsid w:val="008A0F4D"/>
    <w:rsid w:val="008C28BA"/>
    <w:rsid w:val="008C6272"/>
    <w:rsid w:val="008E5F36"/>
    <w:rsid w:val="0090375D"/>
    <w:rsid w:val="00913006"/>
    <w:rsid w:val="00922219"/>
    <w:rsid w:val="0095066D"/>
    <w:rsid w:val="009544AD"/>
    <w:rsid w:val="00975D0A"/>
    <w:rsid w:val="009832A1"/>
    <w:rsid w:val="009B4DB9"/>
    <w:rsid w:val="009B677E"/>
    <w:rsid w:val="009C1196"/>
    <w:rsid w:val="009D1DCD"/>
    <w:rsid w:val="009D341B"/>
    <w:rsid w:val="009E1C6F"/>
    <w:rsid w:val="009E5816"/>
    <w:rsid w:val="00A21AD5"/>
    <w:rsid w:val="00A25D56"/>
    <w:rsid w:val="00A44580"/>
    <w:rsid w:val="00A853CD"/>
    <w:rsid w:val="00A856D5"/>
    <w:rsid w:val="00AA4E37"/>
    <w:rsid w:val="00AA6298"/>
    <w:rsid w:val="00AB2973"/>
    <w:rsid w:val="00AC5F0B"/>
    <w:rsid w:val="00B15167"/>
    <w:rsid w:val="00B16183"/>
    <w:rsid w:val="00B25B6D"/>
    <w:rsid w:val="00B2655F"/>
    <w:rsid w:val="00B30CC4"/>
    <w:rsid w:val="00B32EE1"/>
    <w:rsid w:val="00B50D16"/>
    <w:rsid w:val="00B83481"/>
    <w:rsid w:val="00B838CF"/>
    <w:rsid w:val="00B87414"/>
    <w:rsid w:val="00B908F3"/>
    <w:rsid w:val="00B90BB0"/>
    <w:rsid w:val="00B910A1"/>
    <w:rsid w:val="00BB2140"/>
    <w:rsid w:val="00BD0BAD"/>
    <w:rsid w:val="00BE1AA7"/>
    <w:rsid w:val="00BF70DB"/>
    <w:rsid w:val="00C015FE"/>
    <w:rsid w:val="00C4175C"/>
    <w:rsid w:val="00C521AA"/>
    <w:rsid w:val="00C52C4F"/>
    <w:rsid w:val="00C5647D"/>
    <w:rsid w:val="00C652D4"/>
    <w:rsid w:val="00CB1B98"/>
    <w:rsid w:val="00CC5F00"/>
    <w:rsid w:val="00CD204B"/>
    <w:rsid w:val="00CD506E"/>
    <w:rsid w:val="00CE17DF"/>
    <w:rsid w:val="00CE5677"/>
    <w:rsid w:val="00D005AC"/>
    <w:rsid w:val="00D10EFC"/>
    <w:rsid w:val="00D13964"/>
    <w:rsid w:val="00D14BE6"/>
    <w:rsid w:val="00D15E30"/>
    <w:rsid w:val="00D32F93"/>
    <w:rsid w:val="00D35B1B"/>
    <w:rsid w:val="00D372F8"/>
    <w:rsid w:val="00D4333B"/>
    <w:rsid w:val="00D501BE"/>
    <w:rsid w:val="00D56B53"/>
    <w:rsid w:val="00D63D09"/>
    <w:rsid w:val="00D65882"/>
    <w:rsid w:val="00D71E83"/>
    <w:rsid w:val="00D8540C"/>
    <w:rsid w:val="00DA5843"/>
    <w:rsid w:val="00DB2A1A"/>
    <w:rsid w:val="00DB4551"/>
    <w:rsid w:val="00DB6591"/>
    <w:rsid w:val="00DD506D"/>
    <w:rsid w:val="00DD792D"/>
    <w:rsid w:val="00DE1FCC"/>
    <w:rsid w:val="00E0216F"/>
    <w:rsid w:val="00E13C29"/>
    <w:rsid w:val="00E2426D"/>
    <w:rsid w:val="00E318EA"/>
    <w:rsid w:val="00E35B73"/>
    <w:rsid w:val="00E37469"/>
    <w:rsid w:val="00E53A3C"/>
    <w:rsid w:val="00E5586A"/>
    <w:rsid w:val="00E61340"/>
    <w:rsid w:val="00E84A4F"/>
    <w:rsid w:val="00E9410B"/>
    <w:rsid w:val="00E94987"/>
    <w:rsid w:val="00EA42ED"/>
    <w:rsid w:val="00EA6241"/>
    <w:rsid w:val="00EB07C7"/>
    <w:rsid w:val="00EB20B4"/>
    <w:rsid w:val="00EF6A96"/>
    <w:rsid w:val="00F15237"/>
    <w:rsid w:val="00F64ACE"/>
    <w:rsid w:val="00F705EA"/>
    <w:rsid w:val="00F971A3"/>
    <w:rsid w:val="00F97A87"/>
    <w:rsid w:val="00FC0C40"/>
    <w:rsid w:val="00FF06EF"/>
    <w:rsid w:val="00FF089D"/>
    <w:rsid w:val="03946389"/>
    <w:rsid w:val="05C0F757"/>
    <w:rsid w:val="069BC27B"/>
    <w:rsid w:val="0A30823F"/>
    <w:rsid w:val="0D4BEF54"/>
    <w:rsid w:val="0D5838F4"/>
    <w:rsid w:val="13117047"/>
    <w:rsid w:val="15B2C570"/>
    <w:rsid w:val="1643D68B"/>
    <w:rsid w:val="17A05E86"/>
    <w:rsid w:val="18CBCE2F"/>
    <w:rsid w:val="1B80A8BB"/>
    <w:rsid w:val="1BDE9FE6"/>
    <w:rsid w:val="1ECC5A68"/>
    <w:rsid w:val="1F6925CC"/>
    <w:rsid w:val="2074CC0F"/>
    <w:rsid w:val="21F23E2D"/>
    <w:rsid w:val="2203E70E"/>
    <w:rsid w:val="222A5B70"/>
    <w:rsid w:val="24A1535F"/>
    <w:rsid w:val="25751554"/>
    <w:rsid w:val="25A0373E"/>
    <w:rsid w:val="2CEA8327"/>
    <w:rsid w:val="313E4221"/>
    <w:rsid w:val="31ED5535"/>
    <w:rsid w:val="32CDDD10"/>
    <w:rsid w:val="34C312E7"/>
    <w:rsid w:val="35262E1A"/>
    <w:rsid w:val="36E8FDBB"/>
    <w:rsid w:val="373FB582"/>
    <w:rsid w:val="38AD04A7"/>
    <w:rsid w:val="38C2B443"/>
    <w:rsid w:val="3AC56F24"/>
    <w:rsid w:val="3F176317"/>
    <w:rsid w:val="442D727A"/>
    <w:rsid w:val="453BE889"/>
    <w:rsid w:val="457D0E1D"/>
    <w:rsid w:val="46D7B8EA"/>
    <w:rsid w:val="479ECF65"/>
    <w:rsid w:val="486A9FA6"/>
    <w:rsid w:val="498D2394"/>
    <w:rsid w:val="49A942C0"/>
    <w:rsid w:val="4A1733BD"/>
    <w:rsid w:val="4BC2E275"/>
    <w:rsid w:val="4CB69E10"/>
    <w:rsid w:val="4DAB7926"/>
    <w:rsid w:val="528C8166"/>
    <w:rsid w:val="5305E0C4"/>
    <w:rsid w:val="53EC45F9"/>
    <w:rsid w:val="574BB800"/>
    <w:rsid w:val="576C0694"/>
    <w:rsid w:val="59108760"/>
    <w:rsid w:val="599A50C6"/>
    <w:rsid w:val="5B01101B"/>
    <w:rsid w:val="5D1B43DF"/>
    <w:rsid w:val="5EA9D503"/>
    <w:rsid w:val="600BD0D1"/>
    <w:rsid w:val="61303D97"/>
    <w:rsid w:val="627EC7CF"/>
    <w:rsid w:val="63CBF8E1"/>
    <w:rsid w:val="6617C436"/>
    <w:rsid w:val="66A3BF36"/>
    <w:rsid w:val="6932C2F3"/>
    <w:rsid w:val="6EA9A3B5"/>
    <w:rsid w:val="6F19BF86"/>
    <w:rsid w:val="70026E7B"/>
    <w:rsid w:val="711190AB"/>
    <w:rsid w:val="71379747"/>
    <w:rsid w:val="747B43C3"/>
    <w:rsid w:val="7585DA92"/>
    <w:rsid w:val="75B9EE57"/>
    <w:rsid w:val="79FEAFDA"/>
    <w:rsid w:val="7C2AFBD9"/>
    <w:rsid w:val="7CFF473D"/>
    <w:rsid w:val="7D1BEEB4"/>
    <w:rsid w:val="7D69B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9D37E"/>
  <w15:chartTrackingRefBased/>
  <w15:docId w15:val="{C1160503-FE83-448F-8A8F-C6362C51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1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D41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D4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3D414B"/>
    <w:rPr>
      <w:i/>
      <w:iCs/>
    </w:rPr>
  </w:style>
  <w:style w:type="character" w:customStyle="1" w:styleId="css-901oao">
    <w:name w:val="css-901oao"/>
    <w:basedOn w:val="DefaultParagraphFont"/>
    <w:rsid w:val="00F97A87"/>
  </w:style>
  <w:style w:type="paragraph" w:styleId="Revision">
    <w:name w:val="Revision"/>
    <w:hidden/>
    <w:uiPriority w:val="99"/>
    <w:semiHidden/>
    <w:rsid w:val="00D501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E1F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FC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4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4E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4E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E3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C28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2.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llcome.org/press-release/publishers-make-coronavirus-covid-19-content-freely-available-and-reusabl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llcome.org/press-release/sharing-research-data-and-findings-relevant-novel-coronavirus-ncov-outbrea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eerj.com/articles/4375/" TargetMode="External"/><Relationship Id="rId10" Type="http://schemas.openxmlformats.org/officeDocument/2006/relationships/hyperlink" Target="https://www.coalition-s.org/rights-retention-strategy/" TargetMode="External"/><Relationship Id="rId4" Type="http://schemas.openxmlformats.org/officeDocument/2006/relationships/hyperlink" Target="https://openaccess.mpg.de/67605/berlin_declaration_engl.pdf" TargetMode="External"/><Relationship Id="rId9" Type="http://schemas.openxmlformats.org/officeDocument/2006/relationships/hyperlink" Target="https://onlinelibrary.wiley.com/doi/full/10.1002/leap.1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1242</Words>
  <Characters>7080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Vidovic</dc:creator>
  <cp:keywords/>
  <dc:description/>
  <cp:lastModifiedBy>Steven Vidovic</cp:lastModifiedBy>
  <cp:revision>2</cp:revision>
  <dcterms:created xsi:type="dcterms:W3CDTF">2023-08-02T15:28:00Z</dcterms:created>
  <dcterms:modified xsi:type="dcterms:W3CDTF">2023-08-02T15:28:00Z</dcterms:modified>
</cp:coreProperties>
</file>