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714F8" w14:textId="7F3C85A3" w:rsidR="00C246C5" w:rsidRPr="003F0485" w:rsidRDefault="00022598" w:rsidP="00022598">
      <w:pPr>
        <w:pStyle w:val="Articletitle"/>
      </w:pPr>
      <w:r w:rsidRPr="003F0485">
        <w:t>The worst is yet to come: The psychological impact of COVID-19 on Hong Kong music teachers</w:t>
      </w:r>
    </w:p>
    <w:p w14:paraId="51CC2E15" w14:textId="39B625EA" w:rsidR="00266354" w:rsidRPr="003F0485" w:rsidRDefault="006A075A" w:rsidP="00E01BAA">
      <w:pPr>
        <w:pStyle w:val="Abstract"/>
      </w:pPr>
      <w:r w:rsidRPr="003F0485">
        <w:t>The COVID-19 pandemic has made online and distance learning the new normal at all levels of education. Music as a school subject that relies heavily on multimodal sensory and auditory-motor interactions has been dramatically affected. Music teachers may not be coping mentally or psychologically with these drastic changes. This study examined the psychological impact of COVID-19 on music teachers’ (N = 120) mental health and well-being through a questionnaire survey and semi-structured interviews (n = 10). The Fear of Coronavirus-19 Scale, the Generalized Anxiety Disorder Scale and a shortened version of the Chinese Teacher Stress Questionnaire were used to measure Hong Kong music teachers’ experiences of psychological pressure and problem behaviours linked to the outbreak of the infectious disease. The findings revealed that music teachers are experiencing stress, fear, and anxiety in response to the pandemic. They are concerned about the effectiveness of online music teaching, parental expectations, students’ adaptability to online learning, technological integration and maintaining transformative teaching professionalism</w:t>
      </w:r>
      <w:r w:rsidR="00584738" w:rsidRPr="003F0485">
        <w:t>.</w:t>
      </w:r>
    </w:p>
    <w:p w14:paraId="19C0C640" w14:textId="22F35831" w:rsidR="002B1B1A" w:rsidRPr="003F0485" w:rsidRDefault="00997B0F" w:rsidP="00022598">
      <w:pPr>
        <w:pStyle w:val="Keywords"/>
      </w:pPr>
      <w:r w:rsidRPr="003F0485">
        <w:t>Keywords: word</w:t>
      </w:r>
      <w:r w:rsidR="00022598" w:rsidRPr="003F0485">
        <w:t xml:space="preserve"> COVID-19, music teacher, anxiety, fear, teacher professionalism </w:t>
      </w:r>
    </w:p>
    <w:p w14:paraId="13824551" w14:textId="6066A0A0" w:rsidR="00997B0F" w:rsidRPr="003F0485" w:rsidRDefault="00022598" w:rsidP="00106DAF">
      <w:pPr>
        <w:pStyle w:val="Heading1"/>
      </w:pPr>
      <w:r w:rsidRPr="003F0485">
        <w:t>Introduction</w:t>
      </w:r>
    </w:p>
    <w:p w14:paraId="66D97841" w14:textId="77777777" w:rsidR="006A075A" w:rsidRPr="003F0485" w:rsidRDefault="006A075A" w:rsidP="00D12ABA">
      <w:pPr>
        <w:pStyle w:val="Newparagraph"/>
        <w:ind w:firstLine="0"/>
      </w:pPr>
      <w:r w:rsidRPr="003F0485">
        <w:t xml:space="preserve">Since its outbreak, COVID-19 has rapidly transitioned into a pandemic, posing challenges for people in all walks of life, including those working in education. Schools have had to close temporarily, sometimes without a foreseeable reopening. Innovative education practices, such as online and distance learning, have become the new normal at all education levels, regardless of whether students, parents, and teachers are ready to engage in such practices. When face-to-face teaching is not possible, school subjects that rely heavily on multimodal sensory and auditory–motor interactions are at a disadvantage. There have been efforts to develop alternatives, but their effectiveness is unclear. In music education, incorporating information and communication technology </w:t>
      </w:r>
      <w:r w:rsidRPr="003F0485">
        <w:lastRenderedPageBreak/>
        <w:t>has become a viable solution, as it may offer new teaching approaches. Blended learning and virtual performance, which emerged before the outbreak, have been widely adopted during the recent school suspension (</w:t>
      </w:r>
      <w:proofErr w:type="spellStart"/>
      <w:r w:rsidRPr="003F0485">
        <w:t>Cayari</w:t>
      </w:r>
      <w:proofErr w:type="spellEnd"/>
      <w:r w:rsidRPr="003F0485">
        <w:t>, 2018; Crawford, 2017). However, music teachers may not be practically or mentally ready to accommodate the rapid changes in the education sector, posing a threat to their well-being (</w:t>
      </w:r>
      <w:proofErr w:type="spellStart"/>
      <w:r w:rsidRPr="003F0485">
        <w:t>Haning</w:t>
      </w:r>
      <w:proofErr w:type="spellEnd"/>
      <w:r w:rsidRPr="003F0485">
        <w:t>, 2016; Payne, Lewis &amp; McCaskill, 2020).</w:t>
      </w:r>
    </w:p>
    <w:p w14:paraId="5E6CB1D5" w14:textId="77777777" w:rsidR="006A075A" w:rsidRPr="003F0485" w:rsidRDefault="006A075A" w:rsidP="00022598">
      <w:pPr>
        <w:pStyle w:val="Newparagraph"/>
      </w:pPr>
      <w:r w:rsidRPr="003F0485">
        <w:t>Hong Kong was one of the first regions to encounter COVID-19. Before the pandemic, the government’s apparent attempts to facilitate the Chinese Communist Party’s control over the city sparked a series of political crises (Hartley &amp; Jarvis, 2020). Many of the provocations impacted school teachers, such as attempts to introduce Moral and National Education as a compulsory school subject (Morris &amp; Vickers, 2015) and the recent enactment of the National Security Law and the National Anthem Law (Cheng, 2020). Together with the pro-democracy social movement and civil unrest, COVID-19 may have brought teachers’ mental health and well-being to a new low, potentially affecting their long-term commitment to the profession (</w:t>
      </w:r>
      <w:proofErr w:type="spellStart"/>
      <w:r w:rsidRPr="003F0485">
        <w:t>Dornyei</w:t>
      </w:r>
      <w:proofErr w:type="spellEnd"/>
      <w:r w:rsidRPr="003F0485">
        <w:t xml:space="preserve"> &amp; </w:t>
      </w:r>
      <w:proofErr w:type="spellStart"/>
      <w:r w:rsidRPr="003F0485">
        <w:t>Ushioda</w:t>
      </w:r>
      <w:proofErr w:type="spellEnd"/>
      <w:r w:rsidRPr="003F0485">
        <w:t xml:space="preserve">, 2011; Wong &amp; Moorhouse, 2020). The novel coronavirus outbreak has posed another challenge to music teachers, whose main duties involve in-person contact with students. In line with the digital ‘turn’ in school education around the world, Hong Kong schools and authorities asked teachers to adopt online learning, and they may not have been capable or ready for such an adoption (Wong, 2016). </w:t>
      </w:r>
    </w:p>
    <w:p w14:paraId="2D12B083" w14:textId="7D42C501" w:rsidR="005B2AAF" w:rsidRPr="003F0485" w:rsidRDefault="006A075A" w:rsidP="003E2974">
      <w:pPr>
        <w:pStyle w:val="Newparagraph"/>
      </w:pPr>
      <w:r w:rsidRPr="003F0485">
        <w:t xml:space="preserve">In the school context, teachers are role models for members of the younger generation. They show students how to be positive and optimistic when facing challenges, including the threat posed by a pandemic. </w:t>
      </w:r>
      <w:r w:rsidR="000007A0" w:rsidRPr="003F0485">
        <w:t xml:space="preserve">Their psychological state has been an important factor to improve teaching performance and school commitment. </w:t>
      </w:r>
      <w:r w:rsidR="000A3796" w:rsidRPr="003F0485">
        <w:t xml:space="preserve">Through a questionnaire survey with 264 Chinese school teachers, </w:t>
      </w:r>
      <w:r w:rsidR="000007A0" w:rsidRPr="003F0485">
        <w:t xml:space="preserve">Cheung, Tang and </w:t>
      </w:r>
      <w:r w:rsidR="000007A0" w:rsidRPr="003F0485">
        <w:lastRenderedPageBreak/>
        <w:t>Tang (2011)</w:t>
      </w:r>
      <w:r w:rsidR="000A3796" w:rsidRPr="003F0485">
        <w:t xml:space="preserve"> found out that </w:t>
      </w:r>
      <w:r w:rsidR="0077407C" w:rsidRPr="003F0485">
        <w:t>higher</w:t>
      </w:r>
      <w:r w:rsidR="000A3796" w:rsidRPr="003F0485">
        <w:t xml:space="preserve"> psychological </w:t>
      </w:r>
      <w:r w:rsidR="0077407C" w:rsidRPr="003F0485">
        <w:t>capital</w:t>
      </w:r>
      <w:r w:rsidR="000A3796" w:rsidRPr="003F0485">
        <w:t xml:space="preserve"> was negatively related to burnout and positively related to job satisfaction.</w:t>
      </w:r>
      <w:r w:rsidR="0077407C" w:rsidRPr="003F0485">
        <w:t xml:space="preserve"> This is echoed by other studies </w:t>
      </w:r>
      <w:r w:rsidR="003E2974" w:rsidRPr="003F0485">
        <w:t xml:space="preserve">revealing the positive relationship between teachers’ psychological health and their teaching performance (Brien, Hass &amp; </w:t>
      </w:r>
      <w:proofErr w:type="spellStart"/>
      <w:r w:rsidR="003E2974" w:rsidRPr="003F0485">
        <w:t>Savoie</w:t>
      </w:r>
      <w:proofErr w:type="spellEnd"/>
      <w:r w:rsidR="003E2974" w:rsidRPr="003F0485">
        <w:t xml:space="preserve">, 2012). </w:t>
      </w:r>
      <w:r w:rsidR="005B2AAF" w:rsidRPr="003F0485">
        <w:t>Previous research has</w:t>
      </w:r>
      <w:r w:rsidR="003E2974" w:rsidRPr="003F0485">
        <w:t xml:space="preserve"> also</w:t>
      </w:r>
      <w:r w:rsidR="005B2AAF" w:rsidRPr="003F0485">
        <w:t xml:space="preserve"> revealed </w:t>
      </w:r>
      <w:r w:rsidR="0051627D" w:rsidRPr="003F0485">
        <w:t>the cross-sectoral</w:t>
      </w:r>
      <w:r w:rsidR="005B2AAF" w:rsidRPr="003F0485">
        <w:t xml:space="preserve"> associations between the </w:t>
      </w:r>
      <w:r w:rsidR="0051627D" w:rsidRPr="003F0485">
        <w:t xml:space="preserve">mental health and wellbeing of teachers and students (Harding et al., 2019), which reflected the values </w:t>
      </w:r>
      <w:r w:rsidR="00151497" w:rsidRPr="003F0485">
        <w:t xml:space="preserve">of </w:t>
      </w:r>
      <w:r w:rsidR="0051627D" w:rsidRPr="003F0485">
        <w:t>positive teacher-student relationships for learning and behaviour (</w:t>
      </w:r>
      <w:proofErr w:type="spellStart"/>
      <w:r w:rsidR="0051627D" w:rsidRPr="003F0485">
        <w:t>Roorda</w:t>
      </w:r>
      <w:proofErr w:type="spellEnd"/>
      <w:r w:rsidR="0051627D" w:rsidRPr="003F0485">
        <w:t xml:space="preserve"> et al., 2011). </w:t>
      </w:r>
      <w:r w:rsidR="00151497" w:rsidRPr="003F0485">
        <w:t xml:space="preserve">Based on these results, subsequent research has been conducted to </w:t>
      </w:r>
      <w:r w:rsidR="00D32135" w:rsidRPr="003F0485">
        <w:t>identify</w:t>
      </w:r>
      <w:r w:rsidR="00151497" w:rsidRPr="003F0485">
        <w:t xml:space="preserve"> different ways for the improvement of teachers’ wellbeing and hence the positive learning environment (Roffey, 2012).  </w:t>
      </w:r>
    </w:p>
    <w:p w14:paraId="667B4660" w14:textId="09CFC93F" w:rsidR="00022598" w:rsidRPr="003F0485" w:rsidRDefault="006A075A" w:rsidP="00E6699E">
      <w:pPr>
        <w:pStyle w:val="Newparagraph"/>
      </w:pPr>
      <w:r w:rsidRPr="003F0485">
        <w:t>Studies in other fields have revealed the adverse effects of COVID-19 on teachers’ well-being around the globe</w:t>
      </w:r>
      <w:r w:rsidR="00766D9A" w:rsidRPr="003F0485">
        <w:t xml:space="preserve">. </w:t>
      </w:r>
      <w:r w:rsidR="00F04BB5" w:rsidRPr="003F0485">
        <w:t xml:space="preserve">For example, </w:t>
      </w:r>
      <w:proofErr w:type="spellStart"/>
      <w:r w:rsidR="00F04BB5" w:rsidRPr="003F0485">
        <w:t>MacIntyre</w:t>
      </w:r>
      <w:proofErr w:type="spellEnd"/>
      <w:r w:rsidR="00F04BB5" w:rsidRPr="003F0485">
        <w:t xml:space="preserve">, </w:t>
      </w:r>
      <w:proofErr w:type="spellStart"/>
      <w:r w:rsidR="00F04BB5" w:rsidRPr="003F0485">
        <w:t>Gregersen</w:t>
      </w:r>
      <w:proofErr w:type="spellEnd"/>
      <w:r w:rsidR="00F04BB5" w:rsidRPr="003F0485">
        <w:t xml:space="preserve"> and Mercer (2020) surveyed more than 600 language teachers and found out the high levels of stress produced by the rapidly adopted online teaching environment. Another study by </w:t>
      </w:r>
      <w:proofErr w:type="spellStart"/>
      <w:r w:rsidR="00F04BB5" w:rsidRPr="003F0485">
        <w:t>Varea</w:t>
      </w:r>
      <w:proofErr w:type="spellEnd"/>
      <w:r w:rsidR="00F04BB5" w:rsidRPr="003F0485">
        <w:t xml:space="preserve"> and González-Calvo (2020) has revealed </w:t>
      </w:r>
      <w:r w:rsidR="00E6699E" w:rsidRPr="003F0485">
        <w:t xml:space="preserve">pre-service physical education teachers’ mixed emotions because of the </w:t>
      </w:r>
      <w:r w:rsidR="00D32135" w:rsidRPr="003F0485">
        <w:t>unrealistic</w:t>
      </w:r>
      <w:r w:rsidR="00E6699E" w:rsidRPr="003F0485">
        <w:t xml:space="preserve"> practicum experiences with the lack of direct contact with students. </w:t>
      </w:r>
      <w:r w:rsidRPr="003F0485">
        <w:t xml:space="preserve">However, there is a dearth of research on the impact of the pandemic on music teachers. The subject of music involves classroom-based teaching and learning as well as other activities, such as instrumental training, chorus, and ensemble practice. This heavy workload is combined with administrative duties and student caretaking, which have been especially important during the recent social unrest in Hong Kong (Gordon, 2010; Ni et al., 2020). This study sought to understand and raise awareness of mental health concerns in music education to help teachers cope before the stress becomes debilitating (Hamann &amp; Gordon, 2000). This mixed-methods </w:t>
      </w:r>
      <w:r w:rsidRPr="003F0485">
        <w:lastRenderedPageBreak/>
        <w:t>study was conducted to investigate music teachers’ stress and anxiety in response to the pandemic in the Hong Kong context.</w:t>
      </w:r>
    </w:p>
    <w:p w14:paraId="358B5B59" w14:textId="7153BA60" w:rsidR="00022598" w:rsidRPr="003F0485" w:rsidRDefault="00022598" w:rsidP="00022598">
      <w:pPr>
        <w:pStyle w:val="Heading1"/>
      </w:pPr>
      <w:r w:rsidRPr="003F0485">
        <w:t>Aim</w:t>
      </w:r>
    </w:p>
    <w:p w14:paraId="2247AFD0" w14:textId="4DAFA005" w:rsidR="00022598" w:rsidRPr="003F0485" w:rsidRDefault="00022598" w:rsidP="00022598">
      <w:pPr>
        <w:pStyle w:val="Paragraph"/>
      </w:pPr>
      <w:r w:rsidRPr="003F0485">
        <w:t>The aim of this study was to examine the impact of COVID-19 on music teachers’ mental health and well-being. The following three research questions guided the study.</w:t>
      </w:r>
    </w:p>
    <w:p w14:paraId="7AF0FDCA" w14:textId="00CA8126" w:rsidR="006B1531" w:rsidRPr="003F0485" w:rsidRDefault="006B1531" w:rsidP="006B1531">
      <w:pPr>
        <w:pStyle w:val="Numberedlist"/>
      </w:pPr>
      <w:r w:rsidRPr="003F0485">
        <w:t>What kinds of fear and anxiety have music teachers in Hong Kong encountered during the COVID-19 pandemic?</w:t>
      </w:r>
    </w:p>
    <w:p w14:paraId="0A451650" w14:textId="4B2147D8" w:rsidR="006B1531" w:rsidRPr="003F0485" w:rsidRDefault="006A075A" w:rsidP="006B1531">
      <w:pPr>
        <w:pStyle w:val="Numberedlist"/>
      </w:pPr>
      <w:r w:rsidRPr="003F0485">
        <w:t>What ecological factors have contributed to the fear and anxiety of Hong Kong music teachers</w:t>
      </w:r>
      <w:r w:rsidR="006B1531" w:rsidRPr="003F0485">
        <w:t>?</w:t>
      </w:r>
    </w:p>
    <w:p w14:paraId="1775AC25" w14:textId="67A960CE" w:rsidR="006B1531" w:rsidRPr="003F0485" w:rsidRDefault="006A075A" w:rsidP="006B1531">
      <w:pPr>
        <w:pStyle w:val="Numberedlist"/>
      </w:pPr>
      <w:r w:rsidRPr="003F0485">
        <w:t>How have music teachers responded to the digital transformation of music education caused by COVID-19</w:t>
      </w:r>
      <w:r w:rsidR="006B1531" w:rsidRPr="003F0485">
        <w:t>?</w:t>
      </w:r>
    </w:p>
    <w:p w14:paraId="16CF25EA" w14:textId="5411F91E" w:rsidR="00022598" w:rsidRPr="003F0485" w:rsidRDefault="00022598" w:rsidP="00022598">
      <w:pPr>
        <w:pStyle w:val="Heading1"/>
      </w:pPr>
      <w:r w:rsidRPr="003F0485">
        <w:t>Methodology</w:t>
      </w:r>
    </w:p>
    <w:p w14:paraId="655FD21F" w14:textId="09BE162C" w:rsidR="00022598" w:rsidRPr="003F0485" w:rsidRDefault="00022598" w:rsidP="00022598">
      <w:pPr>
        <w:pStyle w:val="Paragraph"/>
      </w:pPr>
      <w:r w:rsidRPr="003F0485">
        <w:t xml:space="preserve">This study took a mixed-methods approach that included an online questionnaire survey and semi-structured interviews with 120 participants about the psychological impact of COVID-19. This approach allowed the research team to triangulate the data and strengthen the validity of the findings (Greene, </w:t>
      </w:r>
      <w:proofErr w:type="spellStart"/>
      <w:r w:rsidRPr="003F0485">
        <w:t>Caracelli</w:t>
      </w:r>
      <w:proofErr w:type="spellEnd"/>
      <w:r w:rsidRPr="003F0485">
        <w:t>, &amp; Graham, 1989).</w:t>
      </w:r>
    </w:p>
    <w:p w14:paraId="126E0DBD" w14:textId="364737F7" w:rsidR="00022598" w:rsidRPr="003F0485" w:rsidRDefault="00022598" w:rsidP="00022598">
      <w:pPr>
        <w:pStyle w:val="Heading2"/>
      </w:pPr>
      <w:r w:rsidRPr="003F0485">
        <w:t>Participants</w:t>
      </w:r>
    </w:p>
    <w:p w14:paraId="2A55D3CF" w14:textId="45BD3CA4" w:rsidR="00022598" w:rsidRPr="003F0485" w:rsidRDefault="006A075A" w:rsidP="00022598">
      <w:pPr>
        <w:pStyle w:val="Paragraph"/>
      </w:pPr>
      <w:r w:rsidRPr="003F0485">
        <w:t xml:space="preserve">A total of 120 Hong Kong music teachers were invited to complete the online questionnaire survey. They had full-time experience of teaching music, ranging from 1 to 30 years (M = 8.92, SD = 7.26). Table 1 summarises the demographic information of the participants, including their gender, highest education level, school type, and whether they taught subjects other than music, such as language, mathematics, general </w:t>
      </w:r>
      <w:r w:rsidRPr="003F0485">
        <w:lastRenderedPageBreak/>
        <w:t>studies, liberal arts, and science. Convenience sampling was used because of the voluntary nature of participating in this study and the difficulty of reaching potential participants due to social distancing during COVID-19.</w:t>
      </w:r>
    </w:p>
    <w:p w14:paraId="1748CB8C" w14:textId="184D8238" w:rsidR="006A075A" w:rsidRPr="003F0485" w:rsidRDefault="006A075A" w:rsidP="006A075A">
      <w:pPr>
        <w:pStyle w:val="Newparagraph"/>
        <w:ind w:firstLine="0"/>
      </w:pPr>
      <w:r w:rsidRPr="003F0485">
        <w:t>Table 1. Demographic information of the participants</w:t>
      </w:r>
    </w:p>
    <w:tbl>
      <w:tblPr>
        <w:tblW w:w="8495" w:type="dxa"/>
        <w:tblBorders>
          <w:top w:val="single" w:sz="4" w:space="0" w:color="auto"/>
          <w:bottom w:val="single" w:sz="4" w:space="0" w:color="auto"/>
        </w:tblBorders>
        <w:tblLayout w:type="fixed"/>
        <w:tblLook w:val="0600" w:firstRow="0" w:lastRow="0" w:firstColumn="0" w:lastColumn="0" w:noHBand="1" w:noVBand="1"/>
      </w:tblPr>
      <w:tblGrid>
        <w:gridCol w:w="6653"/>
        <w:gridCol w:w="567"/>
        <w:gridCol w:w="1275"/>
      </w:tblGrid>
      <w:tr w:rsidR="006A075A" w:rsidRPr="003F0485" w14:paraId="0CD28707" w14:textId="77777777" w:rsidTr="006A075A">
        <w:tc>
          <w:tcPr>
            <w:tcW w:w="6653" w:type="dxa"/>
            <w:tcBorders>
              <w:bottom w:val="single" w:sz="4" w:space="0" w:color="auto"/>
            </w:tcBorders>
            <w:tcMar>
              <w:top w:w="100" w:type="dxa"/>
              <w:left w:w="100" w:type="dxa"/>
              <w:bottom w:w="100" w:type="dxa"/>
              <w:right w:w="100" w:type="dxa"/>
            </w:tcMar>
            <w:hideMark/>
          </w:tcPr>
          <w:p w14:paraId="6D39725F" w14:textId="77777777" w:rsidR="006A075A" w:rsidRPr="003F0485" w:rsidRDefault="006A075A" w:rsidP="006A075A">
            <w:pPr>
              <w:widowControl w:val="0"/>
              <w:spacing w:line="240" w:lineRule="auto"/>
              <w:jc w:val="center"/>
            </w:pPr>
            <w:r w:rsidRPr="003F0485">
              <w:t>Source</w:t>
            </w:r>
          </w:p>
        </w:tc>
        <w:tc>
          <w:tcPr>
            <w:tcW w:w="567" w:type="dxa"/>
            <w:tcBorders>
              <w:bottom w:val="single" w:sz="4" w:space="0" w:color="auto"/>
            </w:tcBorders>
            <w:tcMar>
              <w:top w:w="100" w:type="dxa"/>
              <w:left w:w="100" w:type="dxa"/>
              <w:bottom w:w="100" w:type="dxa"/>
              <w:right w:w="100" w:type="dxa"/>
            </w:tcMar>
            <w:hideMark/>
          </w:tcPr>
          <w:p w14:paraId="4FE5A85D" w14:textId="77777777" w:rsidR="006A075A" w:rsidRPr="003F0485" w:rsidRDefault="006A075A" w:rsidP="006A075A">
            <w:pPr>
              <w:widowControl w:val="0"/>
              <w:spacing w:line="240" w:lineRule="auto"/>
              <w:jc w:val="center"/>
              <w:rPr>
                <w:i/>
                <w:iCs/>
              </w:rPr>
            </w:pPr>
            <w:r w:rsidRPr="003F0485">
              <w:rPr>
                <w:i/>
                <w:iCs/>
              </w:rPr>
              <w:t>n</w:t>
            </w:r>
          </w:p>
        </w:tc>
        <w:tc>
          <w:tcPr>
            <w:tcW w:w="1275" w:type="dxa"/>
            <w:tcBorders>
              <w:bottom w:val="single" w:sz="4" w:space="0" w:color="auto"/>
            </w:tcBorders>
            <w:tcMar>
              <w:top w:w="100" w:type="dxa"/>
              <w:left w:w="100" w:type="dxa"/>
              <w:bottom w:w="100" w:type="dxa"/>
              <w:right w:w="100" w:type="dxa"/>
            </w:tcMar>
            <w:hideMark/>
          </w:tcPr>
          <w:p w14:paraId="3878C962" w14:textId="77777777" w:rsidR="006A075A" w:rsidRPr="003F0485" w:rsidRDefault="006A075A" w:rsidP="006A075A">
            <w:pPr>
              <w:widowControl w:val="0"/>
              <w:spacing w:line="240" w:lineRule="auto"/>
              <w:jc w:val="center"/>
            </w:pPr>
            <w:r w:rsidRPr="003F0485">
              <w:t>Percentage</w:t>
            </w:r>
          </w:p>
        </w:tc>
      </w:tr>
      <w:tr w:rsidR="006A075A" w:rsidRPr="003F0485" w14:paraId="5DF6C66B" w14:textId="77777777" w:rsidTr="006A075A">
        <w:tc>
          <w:tcPr>
            <w:tcW w:w="6653" w:type="dxa"/>
            <w:tcBorders>
              <w:top w:val="single" w:sz="4" w:space="0" w:color="auto"/>
              <w:bottom w:val="single" w:sz="4" w:space="0" w:color="auto"/>
            </w:tcBorders>
            <w:tcMar>
              <w:top w:w="100" w:type="dxa"/>
              <w:left w:w="100" w:type="dxa"/>
              <w:bottom w:w="100" w:type="dxa"/>
              <w:right w:w="100" w:type="dxa"/>
            </w:tcMar>
            <w:hideMark/>
          </w:tcPr>
          <w:p w14:paraId="0392C388" w14:textId="77777777" w:rsidR="006A075A" w:rsidRPr="003F0485" w:rsidRDefault="006A075A">
            <w:pPr>
              <w:widowControl w:val="0"/>
              <w:spacing w:line="240" w:lineRule="auto"/>
              <w:rPr>
                <w:b/>
                <w:bCs/>
              </w:rPr>
            </w:pPr>
            <w:r w:rsidRPr="003F0485">
              <w:rPr>
                <w:b/>
                <w:bCs/>
              </w:rPr>
              <w:t>Gender</w:t>
            </w:r>
          </w:p>
        </w:tc>
        <w:tc>
          <w:tcPr>
            <w:tcW w:w="567" w:type="dxa"/>
            <w:tcBorders>
              <w:top w:val="single" w:sz="4" w:space="0" w:color="auto"/>
              <w:bottom w:val="single" w:sz="4" w:space="0" w:color="auto"/>
            </w:tcBorders>
            <w:tcMar>
              <w:top w:w="100" w:type="dxa"/>
              <w:left w:w="100" w:type="dxa"/>
              <w:bottom w:w="100" w:type="dxa"/>
              <w:right w:w="100" w:type="dxa"/>
            </w:tcMar>
          </w:tcPr>
          <w:p w14:paraId="3063DD6C" w14:textId="77777777" w:rsidR="006A075A" w:rsidRPr="003F0485" w:rsidRDefault="006A075A">
            <w:pPr>
              <w:widowControl w:val="0"/>
              <w:spacing w:line="240" w:lineRule="auto"/>
              <w:jc w:val="center"/>
            </w:pPr>
          </w:p>
        </w:tc>
        <w:tc>
          <w:tcPr>
            <w:tcW w:w="1275" w:type="dxa"/>
            <w:tcBorders>
              <w:top w:val="single" w:sz="4" w:space="0" w:color="auto"/>
              <w:bottom w:val="single" w:sz="4" w:space="0" w:color="auto"/>
            </w:tcBorders>
            <w:tcMar>
              <w:top w:w="100" w:type="dxa"/>
              <w:left w:w="100" w:type="dxa"/>
              <w:bottom w:w="100" w:type="dxa"/>
              <w:right w:w="100" w:type="dxa"/>
            </w:tcMar>
          </w:tcPr>
          <w:p w14:paraId="023247BD" w14:textId="77777777" w:rsidR="006A075A" w:rsidRPr="003F0485" w:rsidRDefault="006A075A">
            <w:pPr>
              <w:widowControl w:val="0"/>
              <w:spacing w:line="240" w:lineRule="auto"/>
              <w:jc w:val="center"/>
            </w:pPr>
          </w:p>
        </w:tc>
      </w:tr>
      <w:tr w:rsidR="006A075A" w:rsidRPr="003F0485" w14:paraId="2D72CFF1" w14:textId="77777777" w:rsidTr="006A075A">
        <w:tc>
          <w:tcPr>
            <w:tcW w:w="6653" w:type="dxa"/>
            <w:tcBorders>
              <w:top w:val="single" w:sz="4" w:space="0" w:color="auto"/>
            </w:tcBorders>
            <w:tcMar>
              <w:top w:w="100" w:type="dxa"/>
              <w:left w:w="100" w:type="dxa"/>
              <w:bottom w:w="100" w:type="dxa"/>
              <w:right w:w="100" w:type="dxa"/>
            </w:tcMar>
            <w:hideMark/>
          </w:tcPr>
          <w:p w14:paraId="5F26EFE2" w14:textId="4308356B" w:rsidR="006A075A" w:rsidRPr="003F0485" w:rsidRDefault="006A075A">
            <w:pPr>
              <w:widowControl w:val="0"/>
              <w:spacing w:line="240" w:lineRule="auto"/>
            </w:pPr>
            <w:r w:rsidRPr="003F0485">
              <w:t>Male</w:t>
            </w:r>
          </w:p>
        </w:tc>
        <w:tc>
          <w:tcPr>
            <w:tcW w:w="567" w:type="dxa"/>
            <w:tcBorders>
              <w:top w:val="single" w:sz="4" w:space="0" w:color="auto"/>
            </w:tcBorders>
            <w:tcMar>
              <w:top w:w="100" w:type="dxa"/>
              <w:left w:w="100" w:type="dxa"/>
              <w:bottom w:w="100" w:type="dxa"/>
              <w:right w:w="100" w:type="dxa"/>
            </w:tcMar>
            <w:hideMark/>
          </w:tcPr>
          <w:p w14:paraId="73CD88FD" w14:textId="77777777" w:rsidR="006A075A" w:rsidRPr="003F0485" w:rsidRDefault="006A075A">
            <w:pPr>
              <w:widowControl w:val="0"/>
              <w:spacing w:line="240" w:lineRule="auto"/>
              <w:jc w:val="center"/>
            </w:pPr>
            <w:r w:rsidRPr="003F0485">
              <w:t>27</w:t>
            </w:r>
          </w:p>
        </w:tc>
        <w:tc>
          <w:tcPr>
            <w:tcW w:w="1275" w:type="dxa"/>
            <w:tcBorders>
              <w:top w:val="single" w:sz="4" w:space="0" w:color="auto"/>
            </w:tcBorders>
            <w:tcMar>
              <w:top w:w="100" w:type="dxa"/>
              <w:left w:w="100" w:type="dxa"/>
              <w:bottom w:w="100" w:type="dxa"/>
              <w:right w:w="100" w:type="dxa"/>
            </w:tcMar>
            <w:hideMark/>
          </w:tcPr>
          <w:p w14:paraId="2F0D5496" w14:textId="77777777" w:rsidR="006A075A" w:rsidRPr="003F0485" w:rsidRDefault="006A075A">
            <w:pPr>
              <w:widowControl w:val="0"/>
              <w:spacing w:line="240" w:lineRule="auto"/>
              <w:jc w:val="center"/>
            </w:pPr>
            <w:r w:rsidRPr="003F0485">
              <w:t>22.50</w:t>
            </w:r>
          </w:p>
        </w:tc>
      </w:tr>
      <w:tr w:rsidR="006A075A" w:rsidRPr="003F0485" w14:paraId="36E2E5C4" w14:textId="77777777" w:rsidTr="006A075A">
        <w:tc>
          <w:tcPr>
            <w:tcW w:w="6653" w:type="dxa"/>
            <w:tcBorders>
              <w:bottom w:val="single" w:sz="4" w:space="0" w:color="auto"/>
            </w:tcBorders>
            <w:tcMar>
              <w:top w:w="100" w:type="dxa"/>
              <w:left w:w="100" w:type="dxa"/>
              <w:bottom w:w="100" w:type="dxa"/>
              <w:right w:w="100" w:type="dxa"/>
            </w:tcMar>
            <w:hideMark/>
          </w:tcPr>
          <w:p w14:paraId="28A01509" w14:textId="7B6E3BA5" w:rsidR="006A075A" w:rsidRPr="003F0485" w:rsidRDefault="006A075A">
            <w:pPr>
              <w:widowControl w:val="0"/>
              <w:spacing w:line="240" w:lineRule="auto"/>
            </w:pPr>
            <w:r w:rsidRPr="003F0485">
              <w:t>Female</w:t>
            </w:r>
          </w:p>
        </w:tc>
        <w:tc>
          <w:tcPr>
            <w:tcW w:w="567" w:type="dxa"/>
            <w:tcBorders>
              <w:bottom w:val="single" w:sz="4" w:space="0" w:color="auto"/>
            </w:tcBorders>
            <w:tcMar>
              <w:top w:w="100" w:type="dxa"/>
              <w:left w:w="100" w:type="dxa"/>
              <w:bottom w:w="100" w:type="dxa"/>
              <w:right w:w="100" w:type="dxa"/>
            </w:tcMar>
            <w:hideMark/>
          </w:tcPr>
          <w:p w14:paraId="2053D4DC" w14:textId="77777777" w:rsidR="006A075A" w:rsidRPr="003F0485" w:rsidRDefault="006A075A">
            <w:pPr>
              <w:widowControl w:val="0"/>
              <w:spacing w:line="240" w:lineRule="auto"/>
              <w:jc w:val="center"/>
            </w:pPr>
            <w:r w:rsidRPr="003F0485">
              <w:t>93</w:t>
            </w:r>
          </w:p>
        </w:tc>
        <w:tc>
          <w:tcPr>
            <w:tcW w:w="1275" w:type="dxa"/>
            <w:tcBorders>
              <w:bottom w:val="single" w:sz="4" w:space="0" w:color="auto"/>
            </w:tcBorders>
            <w:tcMar>
              <w:top w:w="100" w:type="dxa"/>
              <w:left w:w="100" w:type="dxa"/>
              <w:bottom w:w="100" w:type="dxa"/>
              <w:right w:w="100" w:type="dxa"/>
            </w:tcMar>
            <w:hideMark/>
          </w:tcPr>
          <w:p w14:paraId="4B19C68D" w14:textId="77777777" w:rsidR="006A075A" w:rsidRPr="003F0485" w:rsidRDefault="006A075A">
            <w:pPr>
              <w:widowControl w:val="0"/>
              <w:spacing w:line="240" w:lineRule="auto"/>
              <w:jc w:val="center"/>
            </w:pPr>
            <w:r w:rsidRPr="003F0485">
              <w:t>77.50</w:t>
            </w:r>
          </w:p>
        </w:tc>
      </w:tr>
      <w:tr w:rsidR="006A075A" w:rsidRPr="003F0485" w14:paraId="41B50086" w14:textId="77777777" w:rsidTr="006A075A">
        <w:tc>
          <w:tcPr>
            <w:tcW w:w="6653" w:type="dxa"/>
            <w:tcBorders>
              <w:top w:val="single" w:sz="4" w:space="0" w:color="auto"/>
              <w:bottom w:val="single" w:sz="4" w:space="0" w:color="auto"/>
            </w:tcBorders>
            <w:tcMar>
              <w:top w:w="100" w:type="dxa"/>
              <w:left w:w="100" w:type="dxa"/>
              <w:bottom w:w="100" w:type="dxa"/>
              <w:right w:w="100" w:type="dxa"/>
            </w:tcMar>
            <w:hideMark/>
          </w:tcPr>
          <w:p w14:paraId="3995622D" w14:textId="77777777" w:rsidR="006A075A" w:rsidRPr="003F0485" w:rsidRDefault="006A075A">
            <w:pPr>
              <w:widowControl w:val="0"/>
              <w:spacing w:line="240" w:lineRule="auto"/>
              <w:rPr>
                <w:b/>
                <w:bCs/>
              </w:rPr>
            </w:pPr>
            <w:r w:rsidRPr="003F0485">
              <w:rPr>
                <w:b/>
                <w:bCs/>
              </w:rPr>
              <w:t>Highest education level</w:t>
            </w:r>
          </w:p>
        </w:tc>
        <w:tc>
          <w:tcPr>
            <w:tcW w:w="567" w:type="dxa"/>
            <w:tcBorders>
              <w:top w:val="single" w:sz="4" w:space="0" w:color="auto"/>
              <w:bottom w:val="single" w:sz="4" w:space="0" w:color="auto"/>
            </w:tcBorders>
            <w:tcMar>
              <w:top w:w="100" w:type="dxa"/>
              <w:left w:w="100" w:type="dxa"/>
              <w:bottom w:w="100" w:type="dxa"/>
              <w:right w:w="100" w:type="dxa"/>
            </w:tcMar>
          </w:tcPr>
          <w:p w14:paraId="32E42740" w14:textId="77777777" w:rsidR="006A075A" w:rsidRPr="003F0485" w:rsidRDefault="006A075A">
            <w:pPr>
              <w:widowControl w:val="0"/>
              <w:spacing w:line="240" w:lineRule="auto"/>
              <w:jc w:val="center"/>
            </w:pPr>
          </w:p>
        </w:tc>
        <w:tc>
          <w:tcPr>
            <w:tcW w:w="1275" w:type="dxa"/>
            <w:tcBorders>
              <w:top w:val="single" w:sz="4" w:space="0" w:color="auto"/>
              <w:bottom w:val="single" w:sz="4" w:space="0" w:color="auto"/>
            </w:tcBorders>
            <w:tcMar>
              <w:top w:w="100" w:type="dxa"/>
              <w:left w:w="100" w:type="dxa"/>
              <w:bottom w:w="100" w:type="dxa"/>
              <w:right w:w="100" w:type="dxa"/>
            </w:tcMar>
          </w:tcPr>
          <w:p w14:paraId="75C27FFD" w14:textId="77777777" w:rsidR="006A075A" w:rsidRPr="003F0485" w:rsidRDefault="006A075A">
            <w:pPr>
              <w:widowControl w:val="0"/>
              <w:spacing w:line="240" w:lineRule="auto"/>
              <w:jc w:val="center"/>
            </w:pPr>
          </w:p>
        </w:tc>
      </w:tr>
      <w:tr w:rsidR="006A075A" w:rsidRPr="003F0485" w14:paraId="3149A896" w14:textId="77777777" w:rsidTr="006A075A">
        <w:tc>
          <w:tcPr>
            <w:tcW w:w="6653" w:type="dxa"/>
            <w:tcBorders>
              <w:top w:val="single" w:sz="4" w:space="0" w:color="auto"/>
            </w:tcBorders>
            <w:tcMar>
              <w:top w:w="100" w:type="dxa"/>
              <w:left w:w="100" w:type="dxa"/>
              <w:bottom w:w="100" w:type="dxa"/>
              <w:right w:w="100" w:type="dxa"/>
            </w:tcMar>
            <w:hideMark/>
          </w:tcPr>
          <w:p w14:paraId="57E1F902" w14:textId="62027C3D" w:rsidR="006A075A" w:rsidRPr="003F0485" w:rsidRDefault="006A075A">
            <w:pPr>
              <w:widowControl w:val="0"/>
              <w:spacing w:line="240" w:lineRule="auto"/>
              <w:ind w:left="720" w:hanging="720"/>
            </w:pPr>
            <w:r w:rsidRPr="003F0485">
              <w:t>Certificate of Education</w:t>
            </w:r>
          </w:p>
        </w:tc>
        <w:tc>
          <w:tcPr>
            <w:tcW w:w="567" w:type="dxa"/>
            <w:tcBorders>
              <w:top w:val="single" w:sz="4" w:space="0" w:color="auto"/>
            </w:tcBorders>
            <w:tcMar>
              <w:top w:w="100" w:type="dxa"/>
              <w:left w:w="100" w:type="dxa"/>
              <w:bottom w:w="100" w:type="dxa"/>
              <w:right w:w="100" w:type="dxa"/>
            </w:tcMar>
            <w:hideMark/>
          </w:tcPr>
          <w:p w14:paraId="131AA3E3" w14:textId="77777777" w:rsidR="006A075A" w:rsidRPr="003F0485" w:rsidRDefault="006A075A">
            <w:pPr>
              <w:widowControl w:val="0"/>
              <w:spacing w:line="240" w:lineRule="auto"/>
              <w:jc w:val="center"/>
            </w:pPr>
            <w:r w:rsidRPr="003F0485">
              <w:t>1</w:t>
            </w:r>
          </w:p>
        </w:tc>
        <w:tc>
          <w:tcPr>
            <w:tcW w:w="1275" w:type="dxa"/>
            <w:tcBorders>
              <w:top w:val="single" w:sz="4" w:space="0" w:color="auto"/>
            </w:tcBorders>
            <w:tcMar>
              <w:top w:w="100" w:type="dxa"/>
              <w:left w:w="100" w:type="dxa"/>
              <w:bottom w:w="100" w:type="dxa"/>
              <w:right w:w="100" w:type="dxa"/>
            </w:tcMar>
            <w:hideMark/>
          </w:tcPr>
          <w:p w14:paraId="000DECFF" w14:textId="77777777" w:rsidR="006A075A" w:rsidRPr="003F0485" w:rsidRDefault="006A075A">
            <w:pPr>
              <w:widowControl w:val="0"/>
              <w:spacing w:line="240" w:lineRule="auto"/>
              <w:jc w:val="center"/>
            </w:pPr>
            <w:r w:rsidRPr="003F0485">
              <w:t>0.83</w:t>
            </w:r>
          </w:p>
        </w:tc>
      </w:tr>
      <w:tr w:rsidR="006A075A" w:rsidRPr="003F0485" w14:paraId="4A35A2A7" w14:textId="77777777" w:rsidTr="006A075A">
        <w:tc>
          <w:tcPr>
            <w:tcW w:w="6653" w:type="dxa"/>
            <w:tcMar>
              <w:top w:w="100" w:type="dxa"/>
              <w:left w:w="100" w:type="dxa"/>
              <w:bottom w:w="100" w:type="dxa"/>
              <w:right w:w="100" w:type="dxa"/>
            </w:tcMar>
            <w:hideMark/>
          </w:tcPr>
          <w:p w14:paraId="71D553F0" w14:textId="048DC48B" w:rsidR="006A075A" w:rsidRPr="003F0485" w:rsidRDefault="006A075A">
            <w:pPr>
              <w:widowControl w:val="0"/>
              <w:spacing w:line="240" w:lineRule="auto"/>
            </w:pPr>
            <w:r w:rsidRPr="003F0485">
              <w:t>Bachelor’s Degree</w:t>
            </w:r>
          </w:p>
        </w:tc>
        <w:tc>
          <w:tcPr>
            <w:tcW w:w="567" w:type="dxa"/>
            <w:tcMar>
              <w:top w:w="100" w:type="dxa"/>
              <w:left w:w="100" w:type="dxa"/>
              <w:bottom w:w="100" w:type="dxa"/>
              <w:right w:w="100" w:type="dxa"/>
            </w:tcMar>
            <w:hideMark/>
          </w:tcPr>
          <w:p w14:paraId="200216AD" w14:textId="77777777" w:rsidR="006A075A" w:rsidRPr="003F0485" w:rsidRDefault="006A075A">
            <w:pPr>
              <w:widowControl w:val="0"/>
              <w:spacing w:line="240" w:lineRule="auto"/>
              <w:jc w:val="center"/>
            </w:pPr>
            <w:r w:rsidRPr="003F0485">
              <w:t>38</w:t>
            </w:r>
          </w:p>
        </w:tc>
        <w:tc>
          <w:tcPr>
            <w:tcW w:w="1275" w:type="dxa"/>
            <w:tcMar>
              <w:top w:w="100" w:type="dxa"/>
              <w:left w:w="100" w:type="dxa"/>
              <w:bottom w:w="100" w:type="dxa"/>
              <w:right w:w="100" w:type="dxa"/>
            </w:tcMar>
            <w:hideMark/>
          </w:tcPr>
          <w:p w14:paraId="0B2CA153" w14:textId="77777777" w:rsidR="006A075A" w:rsidRPr="003F0485" w:rsidRDefault="006A075A">
            <w:pPr>
              <w:widowControl w:val="0"/>
              <w:spacing w:line="240" w:lineRule="auto"/>
              <w:jc w:val="center"/>
            </w:pPr>
            <w:r w:rsidRPr="003F0485">
              <w:t>31.67</w:t>
            </w:r>
          </w:p>
        </w:tc>
      </w:tr>
      <w:tr w:rsidR="006A075A" w:rsidRPr="003F0485" w14:paraId="7953F019" w14:textId="77777777" w:rsidTr="006A075A">
        <w:tc>
          <w:tcPr>
            <w:tcW w:w="6653" w:type="dxa"/>
            <w:tcMar>
              <w:top w:w="100" w:type="dxa"/>
              <w:left w:w="100" w:type="dxa"/>
              <w:bottom w:w="100" w:type="dxa"/>
              <w:right w:w="100" w:type="dxa"/>
            </w:tcMar>
            <w:hideMark/>
          </w:tcPr>
          <w:p w14:paraId="06ADAEAC" w14:textId="6BD71552" w:rsidR="006A075A" w:rsidRPr="003F0485" w:rsidRDefault="006A075A">
            <w:pPr>
              <w:widowControl w:val="0"/>
              <w:spacing w:line="240" w:lineRule="auto"/>
            </w:pPr>
            <w:r w:rsidRPr="003F0485">
              <w:t>Postgraduate Diploma in Education</w:t>
            </w:r>
          </w:p>
        </w:tc>
        <w:tc>
          <w:tcPr>
            <w:tcW w:w="567" w:type="dxa"/>
            <w:tcMar>
              <w:top w:w="100" w:type="dxa"/>
              <w:left w:w="100" w:type="dxa"/>
              <w:bottom w:w="100" w:type="dxa"/>
              <w:right w:w="100" w:type="dxa"/>
            </w:tcMar>
            <w:hideMark/>
          </w:tcPr>
          <w:p w14:paraId="5012B355" w14:textId="77777777" w:rsidR="006A075A" w:rsidRPr="003F0485" w:rsidRDefault="006A075A">
            <w:pPr>
              <w:widowControl w:val="0"/>
              <w:spacing w:line="240" w:lineRule="auto"/>
              <w:jc w:val="center"/>
            </w:pPr>
            <w:r w:rsidRPr="003F0485">
              <w:t>24</w:t>
            </w:r>
          </w:p>
        </w:tc>
        <w:tc>
          <w:tcPr>
            <w:tcW w:w="1275" w:type="dxa"/>
            <w:tcMar>
              <w:top w:w="100" w:type="dxa"/>
              <w:left w:w="100" w:type="dxa"/>
              <w:bottom w:w="100" w:type="dxa"/>
              <w:right w:w="100" w:type="dxa"/>
            </w:tcMar>
            <w:hideMark/>
          </w:tcPr>
          <w:p w14:paraId="78769C37" w14:textId="77777777" w:rsidR="006A075A" w:rsidRPr="003F0485" w:rsidRDefault="006A075A">
            <w:pPr>
              <w:widowControl w:val="0"/>
              <w:spacing w:line="240" w:lineRule="auto"/>
              <w:jc w:val="center"/>
            </w:pPr>
            <w:r w:rsidRPr="003F0485">
              <w:t>20.00</w:t>
            </w:r>
          </w:p>
        </w:tc>
      </w:tr>
      <w:tr w:rsidR="006A075A" w:rsidRPr="003F0485" w14:paraId="36F0E884" w14:textId="77777777" w:rsidTr="006A075A">
        <w:tc>
          <w:tcPr>
            <w:tcW w:w="6653" w:type="dxa"/>
            <w:tcBorders>
              <w:bottom w:val="single" w:sz="4" w:space="0" w:color="auto"/>
            </w:tcBorders>
            <w:tcMar>
              <w:top w:w="100" w:type="dxa"/>
              <w:left w:w="100" w:type="dxa"/>
              <w:bottom w:w="100" w:type="dxa"/>
              <w:right w:w="100" w:type="dxa"/>
            </w:tcMar>
            <w:hideMark/>
          </w:tcPr>
          <w:p w14:paraId="242EF4AE" w14:textId="54FACB0F" w:rsidR="006A075A" w:rsidRPr="003F0485" w:rsidRDefault="006A075A">
            <w:pPr>
              <w:widowControl w:val="0"/>
              <w:spacing w:line="240" w:lineRule="auto"/>
            </w:pPr>
            <w:r w:rsidRPr="003F0485">
              <w:t>Master’s Degree</w:t>
            </w:r>
          </w:p>
        </w:tc>
        <w:tc>
          <w:tcPr>
            <w:tcW w:w="567" w:type="dxa"/>
            <w:tcBorders>
              <w:bottom w:val="single" w:sz="4" w:space="0" w:color="auto"/>
            </w:tcBorders>
            <w:tcMar>
              <w:top w:w="100" w:type="dxa"/>
              <w:left w:w="100" w:type="dxa"/>
              <w:bottom w:w="100" w:type="dxa"/>
              <w:right w:w="100" w:type="dxa"/>
            </w:tcMar>
            <w:hideMark/>
          </w:tcPr>
          <w:p w14:paraId="386D8BF5" w14:textId="77777777" w:rsidR="006A075A" w:rsidRPr="003F0485" w:rsidRDefault="006A075A">
            <w:pPr>
              <w:widowControl w:val="0"/>
              <w:spacing w:line="240" w:lineRule="auto"/>
              <w:jc w:val="center"/>
            </w:pPr>
            <w:r w:rsidRPr="003F0485">
              <w:t>57</w:t>
            </w:r>
          </w:p>
        </w:tc>
        <w:tc>
          <w:tcPr>
            <w:tcW w:w="1275" w:type="dxa"/>
            <w:tcBorders>
              <w:bottom w:val="single" w:sz="4" w:space="0" w:color="auto"/>
            </w:tcBorders>
            <w:tcMar>
              <w:top w:w="100" w:type="dxa"/>
              <w:left w:w="100" w:type="dxa"/>
              <w:bottom w:w="100" w:type="dxa"/>
              <w:right w:w="100" w:type="dxa"/>
            </w:tcMar>
            <w:hideMark/>
          </w:tcPr>
          <w:p w14:paraId="5D9EFA30" w14:textId="77777777" w:rsidR="006A075A" w:rsidRPr="003F0485" w:rsidRDefault="006A075A">
            <w:pPr>
              <w:widowControl w:val="0"/>
              <w:spacing w:line="240" w:lineRule="auto"/>
              <w:jc w:val="center"/>
            </w:pPr>
            <w:r w:rsidRPr="003F0485">
              <w:t>47.50</w:t>
            </w:r>
          </w:p>
        </w:tc>
      </w:tr>
      <w:tr w:rsidR="006A075A" w:rsidRPr="003F0485" w14:paraId="3A9EB803" w14:textId="77777777" w:rsidTr="006A075A">
        <w:tc>
          <w:tcPr>
            <w:tcW w:w="6653" w:type="dxa"/>
            <w:tcBorders>
              <w:top w:val="single" w:sz="4" w:space="0" w:color="auto"/>
              <w:bottom w:val="single" w:sz="4" w:space="0" w:color="auto"/>
            </w:tcBorders>
            <w:tcMar>
              <w:top w:w="100" w:type="dxa"/>
              <w:left w:w="100" w:type="dxa"/>
              <w:bottom w:w="100" w:type="dxa"/>
              <w:right w:w="100" w:type="dxa"/>
            </w:tcMar>
            <w:hideMark/>
          </w:tcPr>
          <w:p w14:paraId="5314EB11" w14:textId="77777777" w:rsidR="006A075A" w:rsidRPr="003F0485" w:rsidRDefault="006A075A">
            <w:pPr>
              <w:widowControl w:val="0"/>
              <w:spacing w:line="240" w:lineRule="auto"/>
              <w:rPr>
                <w:b/>
                <w:bCs/>
              </w:rPr>
            </w:pPr>
            <w:r w:rsidRPr="003F0485">
              <w:rPr>
                <w:b/>
                <w:bCs/>
              </w:rPr>
              <w:t>School type</w:t>
            </w:r>
          </w:p>
        </w:tc>
        <w:tc>
          <w:tcPr>
            <w:tcW w:w="567" w:type="dxa"/>
            <w:tcBorders>
              <w:top w:val="single" w:sz="4" w:space="0" w:color="auto"/>
              <w:bottom w:val="single" w:sz="4" w:space="0" w:color="auto"/>
            </w:tcBorders>
            <w:tcMar>
              <w:top w:w="100" w:type="dxa"/>
              <w:left w:w="100" w:type="dxa"/>
              <w:bottom w:w="100" w:type="dxa"/>
              <w:right w:w="100" w:type="dxa"/>
            </w:tcMar>
          </w:tcPr>
          <w:p w14:paraId="648AC038" w14:textId="77777777" w:rsidR="006A075A" w:rsidRPr="003F0485" w:rsidRDefault="006A075A">
            <w:pPr>
              <w:widowControl w:val="0"/>
              <w:spacing w:line="240" w:lineRule="auto"/>
              <w:jc w:val="center"/>
            </w:pPr>
          </w:p>
        </w:tc>
        <w:tc>
          <w:tcPr>
            <w:tcW w:w="1275" w:type="dxa"/>
            <w:tcBorders>
              <w:top w:val="single" w:sz="4" w:space="0" w:color="auto"/>
              <w:bottom w:val="single" w:sz="4" w:space="0" w:color="auto"/>
            </w:tcBorders>
            <w:tcMar>
              <w:top w:w="100" w:type="dxa"/>
              <w:left w:w="100" w:type="dxa"/>
              <w:bottom w:w="100" w:type="dxa"/>
              <w:right w:w="100" w:type="dxa"/>
            </w:tcMar>
          </w:tcPr>
          <w:p w14:paraId="39FD0467" w14:textId="77777777" w:rsidR="006A075A" w:rsidRPr="003F0485" w:rsidRDefault="006A075A">
            <w:pPr>
              <w:widowControl w:val="0"/>
              <w:spacing w:line="240" w:lineRule="auto"/>
              <w:jc w:val="center"/>
            </w:pPr>
          </w:p>
        </w:tc>
      </w:tr>
      <w:tr w:rsidR="006A075A" w:rsidRPr="003F0485" w14:paraId="035A5BA0" w14:textId="77777777" w:rsidTr="006A075A">
        <w:tc>
          <w:tcPr>
            <w:tcW w:w="6653" w:type="dxa"/>
            <w:tcBorders>
              <w:top w:val="single" w:sz="4" w:space="0" w:color="auto"/>
            </w:tcBorders>
            <w:tcMar>
              <w:top w:w="100" w:type="dxa"/>
              <w:left w:w="100" w:type="dxa"/>
              <w:bottom w:w="100" w:type="dxa"/>
              <w:right w:w="100" w:type="dxa"/>
            </w:tcMar>
            <w:hideMark/>
          </w:tcPr>
          <w:p w14:paraId="760627B3" w14:textId="027A076A" w:rsidR="006A075A" w:rsidRPr="003F0485" w:rsidRDefault="006A075A">
            <w:pPr>
              <w:widowControl w:val="0"/>
              <w:spacing w:line="240" w:lineRule="auto"/>
            </w:pPr>
            <w:r w:rsidRPr="003F0485">
              <w:t>Primary</w:t>
            </w:r>
          </w:p>
        </w:tc>
        <w:tc>
          <w:tcPr>
            <w:tcW w:w="567" w:type="dxa"/>
            <w:tcBorders>
              <w:top w:val="single" w:sz="4" w:space="0" w:color="auto"/>
            </w:tcBorders>
            <w:tcMar>
              <w:top w:w="100" w:type="dxa"/>
              <w:left w:w="100" w:type="dxa"/>
              <w:bottom w:w="100" w:type="dxa"/>
              <w:right w:w="100" w:type="dxa"/>
            </w:tcMar>
            <w:hideMark/>
          </w:tcPr>
          <w:p w14:paraId="652DEB59" w14:textId="77777777" w:rsidR="006A075A" w:rsidRPr="003F0485" w:rsidRDefault="006A075A">
            <w:pPr>
              <w:widowControl w:val="0"/>
              <w:spacing w:line="240" w:lineRule="auto"/>
              <w:jc w:val="center"/>
            </w:pPr>
            <w:r w:rsidRPr="003F0485">
              <w:t>70</w:t>
            </w:r>
          </w:p>
        </w:tc>
        <w:tc>
          <w:tcPr>
            <w:tcW w:w="1275" w:type="dxa"/>
            <w:tcBorders>
              <w:top w:val="single" w:sz="4" w:space="0" w:color="auto"/>
            </w:tcBorders>
            <w:tcMar>
              <w:top w:w="100" w:type="dxa"/>
              <w:left w:w="100" w:type="dxa"/>
              <w:bottom w:w="100" w:type="dxa"/>
              <w:right w:w="100" w:type="dxa"/>
            </w:tcMar>
            <w:hideMark/>
          </w:tcPr>
          <w:p w14:paraId="2DAA8FC6" w14:textId="77777777" w:rsidR="006A075A" w:rsidRPr="003F0485" w:rsidRDefault="006A075A">
            <w:pPr>
              <w:widowControl w:val="0"/>
              <w:spacing w:line="240" w:lineRule="auto"/>
              <w:jc w:val="center"/>
            </w:pPr>
            <w:r w:rsidRPr="003F0485">
              <w:t>58.33</w:t>
            </w:r>
          </w:p>
        </w:tc>
      </w:tr>
      <w:tr w:rsidR="006A075A" w:rsidRPr="003F0485" w14:paraId="2480E7FE" w14:textId="77777777" w:rsidTr="006A075A">
        <w:tc>
          <w:tcPr>
            <w:tcW w:w="6653" w:type="dxa"/>
            <w:tcMar>
              <w:top w:w="100" w:type="dxa"/>
              <w:left w:w="100" w:type="dxa"/>
              <w:bottom w:w="100" w:type="dxa"/>
              <w:right w:w="100" w:type="dxa"/>
            </w:tcMar>
            <w:hideMark/>
          </w:tcPr>
          <w:p w14:paraId="3C79C18C" w14:textId="72D8AA4C" w:rsidR="006A075A" w:rsidRPr="003F0485" w:rsidRDefault="006A075A">
            <w:pPr>
              <w:widowControl w:val="0"/>
              <w:spacing w:line="240" w:lineRule="auto"/>
            </w:pPr>
            <w:r w:rsidRPr="003F0485">
              <w:t>Secondary</w:t>
            </w:r>
          </w:p>
        </w:tc>
        <w:tc>
          <w:tcPr>
            <w:tcW w:w="567" w:type="dxa"/>
            <w:tcMar>
              <w:top w:w="100" w:type="dxa"/>
              <w:left w:w="100" w:type="dxa"/>
              <w:bottom w:w="100" w:type="dxa"/>
              <w:right w:w="100" w:type="dxa"/>
            </w:tcMar>
            <w:hideMark/>
          </w:tcPr>
          <w:p w14:paraId="2602E915" w14:textId="77777777" w:rsidR="006A075A" w:rsidRPr="003F0485" w:rsidRDefault="006A075A">
            <w:pPr>
              <w:widowControl w:val="0"/>
              <w:spacing w:line="240" w:lineRule="auto"/>
              <w:jc w:val="center"/>
            </w:pPr>
            <w:r w:rsidRPr="003F0485">
              <w:t>29</w:t>
            </w:r>
          </w:p>
        </w:tc>
        <w:tc>
          <w:tcPr>
            <w:tcW w:w="1275" w:type="dxa"/>
            <w:tcMar>
              <w:top w:w="100" w:type="dxa"/>
              <w:left w:w="100" w:type="dxa"/>
              <w:bottom w:w="100" w:type="dxa"/>
              <w:right w:w="100" w:type="dxa"/>
            </w:tcMar>
            <w:hideMark/>
          </w:tcPr>
          <w:p w14:paraId="58B4A092" w14:textId="77777777" w:rsidR="006A075A" w:rsidRPr="003F0485" w:rsidRDefault="006A075A">
            <w:pPr>
              <w:widowControl w:val="0"/>
              <w:spacing w:line="240" w:lineRule="auto"/>
              <w:jc w:val="center"/>
            </w:pPr>
            <w:r w:rsidRPr="003F0485">
              <w:t>24.17</w:t>
            </w:r>
          </w:p>
        </w:tc>
      </w:tr>
      <w:tr w:rsidR="006A075A" w:rsidRPr="003F0485" w14:paraId="322ACF5A" w14:textId="77777777" w:rsidTr="006A075A">
        <w:tc>
          <w:tcPr>
            <w:tcW w:w="6653" w:type="dxa"/>
            <w:tcBorders>
              <w:bottom w:val="single" w:sz="4" w:space="0" w:color="auto"/>
            </w:tcBorders>
            <w:tcMar>
              <w:top w:w="100" w:type="dxa"/>
              <w:left w:w="100" w:type="dxa"/>
              <w:bottom w:w="100" w:type="dxa"/>
              <w:right w:w="100" w:type="dxa"/>
            </w:tcMar>
            <w:hideMark/>
          </w:tcPr>
          <w:p w14:paraId="0050C4C8" w14:textId="09E927D9" w:rsidR="006A075A" w:rsidRPr="003F0485" w:rsidRDefault="006A075A">
            <w:pPr>
              <w:widowControl w:val="0"/>
              <w:spacing w:line="240" w:lineRule="auto"/>
            </w:pPr>
            <w:r w:rsidRPr="003F0485">
              <w:t>Other (</w:t>
            </w:r>
            <w:proofErr w:type="gramStart"/>
            <w:r w:rsidRPr="003F0485">
              <w:t>e.g.</w:t>
            </w:r>
            <w:proofErr w:type="gramEnd"/>
            <w:r w:rsidRPr="003F0485">
              <w:t xml:space="preserve"> special needs school, kindergarten)</w:t>
            </w:r>
          </w:p>
        </w:tc>
        <w:tc>
          <w:tcPr>
            <w:tcW w:w="567" w:type="dxa"/>
            <w:tcBorders>
              <w:bottom w:val="single" w:sz="4" w:space="0" w:color="auto"/>
            </w:tcBorders>
            <w:tcMar>
              <w:top w:w="100" w:type="dxa"/>
              <w:left w:w="100" w:type="dxa"/>
              <w:bottom w:w="100" w:type="dxa"/>
              <w:right w:w="100" w:type="dxa"/>
            </w:tcMar>
            <w:hideMark/>
          </w:tcPr>
          <w:p w14:paraId="3599E767" w14:textId="77777777" w:rsidR="006A075A" w:rsidRPr="003F0485" w:rsidRDefault="006A075A">
            <w:pPr>
              <w:widowControl w:val="0"/>
              <w:spacing w:line="240" w:lineRule="auto"/>
              <w:jc w:val="center"/>
            </w:pPr>
            <w:r w:rsidRPr="003F0485">
              <w:t>12</w:t>
            </w:r>
          </w:p>
        </w:tc>
        <w:tc>
          <w:tcPr>
            <w:tcW w:w="1275" w:type="dxa"/>
            <w:tcBorders>
              <w:bottom w:val="single" w:sz="4" w:space="0" w:color="auto"/>
            </w:tcBorders>
            <w:tcMar>
              <w:top w:w="100" w:type="dxa"/>
              <w:left w:w="100" w:type="dxa"/>
              <w:bottom w:w="100" w:type="dxa"/>
              <w:right w:w="100" w:type="dxa"/>
            </w:tcMar>
            <w:hideMark/>
          </w:tcPr>
          <w:p w14:paraId="6C4F1D7A" w14:textId="77777777" w:rsidR="006A075A" w:rsidRPr="003F0485" w:rsidRDefault="006A075A">
            <w:pPr>
              <w:widowControl w:val="0"/>
              <w:spacing w:line="240" w:lineRule="auto"/>
              <w:jc w:val="center"/>
            </w:pPr>
            <w:r w:rsidRPr="003F0485">
              <w:t>10.00</w:t>
            </w:r>
          </w:p>
        </w:tc>
      </w:tr>
      <w:tr w:rsidR="006A075A" w:rsidRPr="003F0485" w14:paraId="19B681CE" w14:textId="77777777" w:rsidTr="006A075A">
        <w:tc>
          <w:tcPr>
            <w:tcW w:w="6653" w:type="dxa"/>
            <w:tcBorders>
              <w:top w:val="single" w:sz="4" w:space="0" w:color="auto"/>
              <w:bottom w:val="single" w:sz="4" w:space="0" w:color="auto"/>
            </w:tcBorders>
            <w:tcMar>
              <w:top w:w="100" w:type="dxa"/>
              <w:left w:w="100" w:type="dxa"/>
              <w:bottom w:w="100" w:type="dxa"/>
              <w:right w:w="100" w:type="dxa"/>
            </w:tcMar>
            <w:hideMark/>
          </w:tcPr>
          <w:p w14:paraId="2F617741" w14:textId="77777777" w:rsidR="006A075A" w:rsidRPr="003F0485" w:rsidRDefault="006A075A">
            <w:pPr>
              <w:widowControl w:val="0"/>
              <w:spacing w:line="240" w:lineRule="auto"/>
              <w:rPr>
                <w:b/>
                <w:bCs/>
              </w:rPr>
            </w:pPr>
            <w:r w:rsidRPr="003F0485">
              <w:rPr>
                <w:b/>
                <w:bCs/>
              </w:rPr>
              <w:t xml:space="preserve">Teaching subject(s) other than music  </w:t>
            </w:r>
          </w:p>
        </w:tc>
        <w:tc>
          <w:tcPr>
            <w:tcW w:w="567" w:type="dxa"/>
            <w:tcBorders>
              <w:top w:val="single" w:sz="4" w:space="0" w:color="auto"/>
              <w:bottom w:val="single" w:sz="4" w:space="0" w:color="auto"/>
            </w:tcBorders>
            <w:tcMar>
              <w:top w:w="100" w:type="dxa"/>
              <w:left w:w="100" w:type="dxa"/>
              <w:bottom w:w="100" w:type="dxa"/>
              <w:right w:w="100" w:type="dxa"/>
            </w:tcMar>
          </w:tcPr>
          <w:p w14:paraId="4928BDFF" w14:textId="77777777" w:rsidR="006A075A" w:rsidRPr="003F0485" w:rsidRDefault="006A075A">
            <w:pPr>
              <w:widowControl w:val="0"/>
              <w:spacing w:line="240" w:lineRule="auto"/>
              <w:jc w:val="center"/>
            </w:pPr>
          </w:p>
        </w:tc>
        <w:tc>
          <w:tcPr>
            <w:tcW w:w="1275" w:type="dxa"/>
            <w:tcBorders>
              <w:top w:val="single" w:sz="4" w:space="0" w:color="auto"/>
              <w:bottom w:val="single" w:sz="4" w:space="0" w:color="auto"/>
            </w:tcBorders>
            <w:tcMar>
              <w:top w:w="100" w:type="dxa"/>
              <w:left w:w="100" w:type="dxa"/>
              <w:bottom w:w="100" w:type="dxa"/>
              <w:right w:w="100" w:type="dxa"/>
            </w:tcMar>
          </w:tcPr>
          <w:p w14:paraId="3B0DC11E" w14:textId="77777777" w:rsidR="006A075A" w:rsidRPr="003F0485" w:rsidRDefault="006A075A">
            <w:pPr>
              <w:widowControl w:val="0"/>
              <w:spacing w:line="240" w:lineRule="auto"/>
              <w:jc w:val="center"/>
            </w:pPr>
          </w:p>
        </w:tc>
      </w:tr>
      <w:tr w:rsidR="006A075A" w:rsidRPr="003F0485" w14:paraId="00F0EB69" w14:textId="77777777" w:rsidTr="006A075A">
        <w:tc>
          <w:tcPr>
            <w:tcW w:w="6653" w:type="dxa"/>
            <w:tcBorders>
              <w:top w:val="single" w:sz="4" w:space="0" w:color="auto"/>
            </w:tcBorders>
            <w:tcMar>
              <w:top w:w="100" w:type="dxa"/>
              <w:left w:w="100" w:type="dxa"/>
              <w:bottom w:w="100" w:type="dxa"/>
              <w:right w:w="100" w:type="dxa"/>
            </w:tcMar>
            <w:hideMark/>
          </w:tcPr>
          <w:p w14:paraId="099E7084" w14:textId="328B6C90" w:rsidR="006A075A" w:rsidRPr="003F0485" w:rsidRDefault="006A075A">
            <w:pPr>
              <w:widowControl w:val="0"/>
              <w:spacing w:line="240" w:lineRule="auto"/>
            </w:pPr>
            <w:r w:rsidRPr="003F0485">
              <w:t>Yes</w:t>
            </w:r>
          </w:p>
        </w:tc>
        <w:tc>
          <w:tcPr>
            <w:tcW w:w="567" w:type="dxa"/>
            <w:tcBorders>
              <w:top w:val="single" w:sz="4" w:space="0" w:color="auto"/>
            </w:tcBorders>
            <w:tcMar>
              <w:top w:w="100" w:type="dxa"/>
              <w:left w:w="100" w:type="dxa"/>
              <w:bottom w:w="100" w:type="dxa"/>
              <w:right w:w="100" w:type="dxa"/>
            </w:tcMar>
            <w:hideMark/>
          </w:tcPr>
          <w:p w14:paraId="1E4F1FAB" w14:textId="77777777" w:rsidR="006A075A" w:rsidRPr="003F0485" w:rsidRDefault="006A075A">
            <w:pPr>
              <w:widowControl w:val="0"/>
              <w:spacing w:line="240" w:lineRule="auto"/>
              <w:jc w:val="center"/>
            </w:pPr>
            <w:r w:rsidRPr="003F0485">
              <w:t>94</w:t>
            </w:r>
          </w:p>
        </w:tc>
        <w:tc>
          <w:tcPr>
            <w:tcW w:w="1275" w:type="dxa"/>
            <w:tcBorders>
              <w:top w:val="single" w:sz="4" w:space="0" w:color="auto"/>
            </w:tcBorders>
            <w:tcMar>
              <w:top w:w="100" w:type="dxa"/>
              <w:left w:w="100" w:type="dxa"/>
              <w:bottom w:w="100" w:type="dxa"/>
              <w:right w:w="100" w:type="dxa"/>
            </w:tcMar>
            <w:hideMark/>
          </w:tcPr>
          <w:p w14:paraId="5C7EA0EF" w14:textId="77777777" w:rsidR="006A075A" w:rsidRPr="003F0485" w:rsidRDefault="006A075A">
            <w:pPr>
              <w:widowControl w:val="0"/>
              <w:spacing w:line="240" w:lineRule="auto"/>
              <w:jc w:val="center"/>
            </w:pPr>
            <w:r w:rsidRPr="003F0485">
              <w:t>78.33</w:t>
            </w:r>
          </w:p>
        </w:tc>
      </w:tr>
      <w:tr w:rsidR="006A075A" w:rsidRPr="003F0485" w14:paraId="32FB99F4" w14:textId="77777777" w:rsidTr="006A075A">
        <w:tc>
          <w:tcPr>
            <w:tcW w:w="6653" w:type="dxa"/>
            <w:tcMar>
              <w:top w:w="100" w:type="dxa"/>
              <w:left w:w="100" w:type="dxa"/>
              <w:bottom w:w="100" w:type="dxa"/>
              <w:right w:w="100" w:type="dxa"/>
            </w:tcMar>
            <w:hideMark/>
          </w:tcPr>
          <w:p w14:paraId="3583D4EA" w14:textId="44CBEF76" w:rsidR="006A075A" w:rsidRPr="003F0485" w:rsidRDefault="006A075A">
            <w:pPr>
              <w:widowControl w:val="0"/>
              <w:spacing w:line="240" w:lineRule="auto"/>
            </w:pPr>
            <w:r w:rsidRPr="003F0485">
              <w:t>No</w:t>
            </w:r>
          </w:p>
        </w:tc>
        <w:tc>
          <w:tcPr>
            <w:tcW w:w="567" w:type="dxa"/>
            <w:tcMar>
              <w:top w:w="100" w:type="dxa"/>
              <w:left w:w="100" w:type="dxa"/>
              <w:bottom w:w="100" w:type="dxa"/>
              <w:right w:w="100" w:type="dxa"/>
            </w:tcMar>
            <w:hideMark/>
          </w:tcPr>
          <w:p w14:paraId="1D8BF093" w14:textId="77777777" w:rsidR="006A075A" w:rsidRPr="003F0485" w:rsidRDefault="006A075A">
            <w:pPr>
              <w:widowControl w:val="0"/>
              <w:spacing w:line="240" w:lineRule="auto"/>
              <w:jc w:val="center"/>
            </w:pPr>
            <w:r w:rsidRPr="003F0485">
              <w:t>26</w:t>
            </w:r>
          </w:p>
        </w:tc>
        <w:tc>
          <w:tcPr>
            <w:tcW w:w="1275" w:type="dxa"/>
            <w:tcMar>
              <w:top w:w="100" w:type="dxa"/>
              <w:left w:w="100" w:type="dxa"/>
              <w:bottom w:w="100" w:type="dxa"/>
              <w:right w:w="100" w:type="dxa"/>
            </w:tcMar>
            <w:hideMark/>
          </w:tcPr>
          <w:p w14:paraId="1C98F4FF" w14:textId="77777777" w:rsidR="006A075A" w:rsidRPr="003F0485" w:rsidRDefault="006A075A">
            <w:pPr>
              <w:widowControl w:val="0"/>
              <w:spacing w:line="240" w:lineRule="auto"/>
              <w:jc w:val="center"/>
            </w:pPr>
            <w:r w:rsidRPr="003F0485">
              <w:t>21.67</w:t>
            </w:r>
          </w:p>
        </w:tc>
      </w:tr>
    </w:tbl>
    <w:p w14:paraId="2BCB32AB" w14:textId="129479F6" w:rsidR="00022598" w:rsidRPr="003F0485" w:rsidRDefault="00022598" w:rsidP="00022598">
      <w:pPr>
        <w:pStyle w:val="Heading2"/>
      </w:pPr>
      <w:r w:rsidRPr="003F0485">
        <w:t>Questionnaire survey and semi-structured interviews</w:t>
      </w:r>
    </w:p>
    <w:p w14:paraId="761D6E9E" w14:textId="3766B11D" w:rsidR="00022598" w:rsidRPr="003F0485" w:rsidRDefault="006A075A" w:rsidP="00022598">
      <w:pPr>
        <w:pStyle w:val="Paragraph"/>
      </w:pPr>
      <w:r w:rsidRPr="003F0485">
        <w:t xml:space="preserve">The online questionnaire survey consisted of four parts. The first part collected demographic information, including gender, age, years of teaching experience, and educational background. The second part assessed the participants’ fear of the novel coronavirus using the Fear of COVID-19 Scale (FCV-19S). This seven-item scale was developed and validated by </w:t>
      </w:r>
      <w:proofErr w:type="spellStart"/>
      <w:r w:rsidRPr="003F0485">
        <w:t>Ahorsu</w:t>
      </w:r>
      <w:proofErr w:type="spellEnd"/>
      <w:r w:rsidRPr="003F0485">
        <w:t xml:space="preserve"> et al. (2020), and has been translated into various languages and validated in multiple countries with good reliability and validity </w:t>
      </w:r>
      <w:r w:rsidRPr="003F0485">
        <w:lastRenderedPageBreak/>
        <w:t>(</w:t>
      </w:r>
      <w:proofErr w:type="spellStart"/>
      <w:r w:rsidRPr="003F0485">
        <w:t>Pakpour</w:t>
      </w:r>
      <w:proofErr w:type="spellEnd"/>
      <w:r w:rsidRPr="003F0485">
        <w:t xml:space="preserve">, Griffiths &amp; Lin, 2020; Winter et al., 2020). </w:t>
      </w:r>
      <w:r w:rsidR="00F96119" w:rsidRPr="003F0485">
        <w:t>The FCV-19S</w:t>
      </w:r>
      <w:r w:rsidR="00250CF8" w:rsidRPr="003F0485">
        <w:t xml:space="preserve"> been used to examine the impact of the pandemic within different contexts around the globe, including </w:t>
      </w:r>
      <w:r w:rsidR="00B8741B" w:rsidRPr="003F0485">
        <w:t>the school and university learning environments (</w:t>
      </w:r>
      <w:r w:rsidR="00397D32" w:rsidRPr="003F0485">
        <w:rPr>
          <w:lang w:val="en-HK"/>
        </w:rPr>
        <w:t>Cervantes-Guevara et al., 2021;</w:t>
      </w:r>
      <w:r w:rsidR="00397D32" w:rsidRPr="003F0485">
        <w:t xml:space="preserve"> </w:t>
      </w:r>
      <w:r w:rsidR="00250CF8" w:rsidRPr="003F0485">
        <w:t>Zolotov et al., 2020</w:t>
      </w:r>
      <w:r w:rsidR="00B8741B" w:rsidRPr="003F0485">
        <w:t>).</w:t>
      </w:r>
      <w:r w:rsidR="00397D32" w:rsidRPr="003F0485">
        <w:t xml:space="preserve"> </w:t>
      </w:r>
      <w:r w:rsidRPr="003F0485">
        <w:t xml:space="preserve">The third part assessed the severity of the participants’ anxiety using the seven-item Generalized Anxiety Disorder Scale (GAD-7), which was developed by Spitzer, Kroenke, Williams and </w:t>
      </w:r>
      <w:proofErr w:type="spellStart"/>
      <w:r w:rsidRPr="003F0485">
        <w:t>Löwe</w:t>
      </w:r>
      <w:proofErr w:type="spellEnd"/>
      <w:r w:rsidRPr="003F0485">
        <w:t xml:space="preserve"> (2006). </w:t>
      </w:r>
      <w:r w:rsidR="00F96119" w:rsidRPr="003F0485">
        <w:t>The GAD-7</w:t>
      </w:r>
      <w:r w:rsidR="00397D32" w:rsidRPr="003F0485">
        <w:t xml:space="preserve"> </w:t>
      </w:r>
      <w:r w:rsidR="00F96119" w:rsidRPr="003F0485">
        <w:t xml:space="preserve">has been widely used to measure or assess the severity of generalised anxiety disorder in different contexts (Plummer, </w:t>
      </w:r>
      <w:proofErr w:type="spellStart"/>
      <w:r w:rsidR="00F96119" w:rsidRPr="003F0485">
        <w:t>Manea</w:t>
      </w:r>
      <w:proofErr w:type="spellEnd"/>
      <w:r w:rsidR="00F96119" w:rsidRPr="003F0485">
        <w:t xml:space="preserve">, </w:t>
      </w:r>
      <w:proofErr w:type="spellStart"/>
      <w:r w:rsidR="00F96119" w:rsidRPr="003F0485">
        <w:t>Trepel</w:t>
      </w:r>
      <w:proofErr w:type="spellEnd"/>
      <w:r w:rsidR="00F96119" w:rsidRPr="003F0485">
        <w:t xml:space="preserve"> &amp; McMillan, 2016). </w:t>
      </w:r>
      <w:r w:rsidRPr="003F0485">
        <w:t xml:space="preserve">The fourth part determined the sources of stress, using the Chinese Teacher Stress Questionnaire (CTSQ), which was developed by </w:t>
      </w:r>
      <w:proofErr w:type="spellStart"/>
      <w:r w:rsidRPr="003F0485">
        <w:t>Kyriacou</w:t>
      </w:r>
      <w:proofErr w:type="spellEnd"/>
      <w:r w:rsidRPr="003F0485">
        <w:t xml:space="preserve"> and </w:t>
      </w:r>
      <w:proofErr w:type="spellStart"/>
      <w:r w:rsidRPr="003F0485">
        <w:t>Chien</w:t>
      </w:r>
      <w:proofErr w:type="spellEnd"/>
      <w:r w:rsidRPr="003F0485">
        <w:t xml:space="preserve"> (2004). The CTSQ covers teachers’ sources of stress, coping strategies and perceived effectiveness. The subset used in this study has been adapted in previous studies to assess teachers’ sources of stress in other </w:t>
      </w:r>
      <w:r w:rsidR="00F96119" w:rsidRPr="003F0485">
        <w:t xml:space="preserve">Chinese </w:t>
      </w:r>
      <w:r w:rsidR="00D32135" w:rsidRPr="003F0485">
        <w:t>contexts</w:t>
      </w:r>
      <w:r w:rsidR="00F96119" w:rsidRPr="003F0485">
        <w:t xml:space="preserve"> such as China and Hong Kong</w:t>
      </w:r>
      <w:r w:rsidRPr="003F0485">
        <w:t xml:space="preserve"> (Meng &amp; Liu, 2008; Wong, </w:t>
      </w:r>
      <w:proofErr w:type="spellStart"/>
      <w:r w:rsidRPr="003F0485">
        <w:t>Chik</w:t>
      </w:r>
      <w:proofErr w:type="spellEnd"/>
      <w:r w:rsidRPr="003F0485">
        <w:t xml:space="preserve"> &amp; Chan, 2018). The responses to the FCV-19S, the GAD-7 and a shortened version of the CTSQ were given on a 5- or 4-point Likert scale, based on the format of the original scales</w:t>
      </w:r>
      <w:r w:rsidR="00022598" w:rsidRPr="003F0485">
        <w:t>.</w:t>
      </w:r>
    </w:p>
    <w:p w14:paraId="745339A7" w14:textId="704960C6" w:rsidR="00022598" w:rsidRPr="003F0485" w:rsidRDefault="006A075A" w:rsidP="00022598">
      <w:pPr>
        <w:pStyle w:val="Newparagraph"/>
      </w:pPr>
      <w:r w:rsidRPr="003F0485">
        <w:t>Ten of the participants who had completed the online questionnaire survey were invited to participate in semi-structured interviews. The interviews were conducted on a one-on-one basis through video or telephone calls, and each took between 15 and 20 minutes. The qualitative data from the interviews were used to contextually supplement the online survey participants’ responses. The design of the open-ended questions aligned with the principles of content, clarity and sequencing (Miles, Huberman &amp; Saldana, 2014)</w:t>
      </w:r>
      <w:r w:rsidR="00887859" w:rsidRPr="003F0485">
        <w:t xml:space="preserve">, </w:t>
      </w:r>
      <w:r w:rsidRPr="003F0485">
        <w:t>referenced the three aforementioned instruments</w:t>
      </w:r>
      <w:r w:rsidR="00887859" w:rsidRPr="003F0485">
        <w:t>,</w:t>
      </w:r>
      <w:r w:rsidRPr="003F0485">
        <w:t xml:space="preserve"> and was guided by the technological, pedagogical and content knowledge (TPACK) framework (Koehler &amp; Mishra, 2009). The questions covered the use of and familiarity with online teaching technology, pedagogical changes due to the shift in learning environment, the </w:t>
      </w:r>
      <w:r w:rsidRPr="003F0485">
        <w:lastRenderedPageBreak/>
        <w:t>adjustment of content and activities without face-to-face interaction, interdisciplinary and ecological issues with overlaps across domains of the TPACK framework, and the detailed psychological impact on the participants in context. Care was taken to avoid the use of technical terms related to the use of technology that might be unfamiliar to music teachers who were new to online education. The interviewees discussed their well-being as music educators confronting the pandemic and their mental readiness for the digital turn in music education. The following series of open-ended questions guided each interview</w:t>
      </w:r>
      <w:r w:rsidR="00022598" w:rsidRPr="003F0485">
        <w:t>.</w:t>
      </w:r>
    </w:p>
    <w:p w14:paraId="1892C314" w14:textId="4FD67D0F" w:rsidR="0094575B" w:rsidRPr="003F0485" w:rsidRDefault="0094575B" w:rsidP="0094575B">
      <w:pPr>
        <w:pStyle w:val="Numberedlist"/>
      </w:pPr>
      <w:r w:rsidRPr="003F0485">
        <w:t>How are you and your school approaching music teaching and learning during COVID-19?</w:t>
      </w:r>
    </w:p>
    <w:p w14:paraId="51528FF6" w14:textId="00EB89C2" w:rsidR="0094575B" w:rsidRPr="003F0485" w:rsidRDefault="0094575B" w:rsidP="0094575B">
      <w:pPr>
        <w:pStyle w:val="Numberedlist"/>
      </w:pPr>
      <w:r w:rsidRPr="003F0485">
        <w:t>How is COVID-19 affecting your music teaching?</w:t>
      </w:r>
    </w:p>
    <w:p w14:paraId="6769A4F6" w14:textId="7EB7D9FA" w:rsidR="0094575B" w:rsidRPr="003F0485" w:rsidRDefault="0094575B" w:rsidP="0094575B">
      <w:pPr>
        <w:pStyle w:val="Numberedlist"/>
      </w:pPr>
      <w:r w:rsidRPr="003F0485">
        <w:t>What has been the biggest challenge for you as a music teacher, and why?</w:t>
      </w:r>
    </w:p>
    <w:p w14:paraId="5AEA4DFA" w14:textId="220DAF27" w:rsidR="0094575B" w:rsidRPr="003F0485" w:rsidRDefault="0094575B" w:rsidP="0094575B">
      <w:pPr>
        <w:pStyle w:val="Numberedlist"/>
      </w:pPr>
      <w:r w:rsidRPr="003F0485">
        <w:t>How do you feel about the government’s policymaking and actions in response to COVID-19?</w:t>
      </w:r>
    </w:p>
    <w:p w14:paraId="69BE5D23" w14:textId="53719761" w:rsidR="0094575B" w:rsidRPr="003F0485" w:rsidRDefault="0094575B" w:rsidP="0094575B">
      <w:pPr>
        <w:pStyle w:val="Numberedlist"/>
      </w:pPr>
      <w:r w:rsidRPr="003F0485">
        <w:t>How do you feel about the actions taken by your school in response to COVID-19?</w:t>
      </w:r>
    </w:p>
    <w:p w14:paraId="47080871" w14:textId="244376FB" w:rsidR="0094575B" w:rsidRPr="003F0485" w:rsidRDefault="0094575B" w:rsidP="0094575B">
      <w:pPr>
        <w:pStyle w:val="Numberedlist"/>
      </w:pPr>
      <w:r w:rsidRPr="003F0485">
        <w:t>What do you think about your students’ adaptation to learning music online?</w:t>
      </w:r>
    </w:p>
    <w:p w14:paraId="1A38B324" w14:textId="65882716" w:rsidR="0094575B" w:rsidRPr="003F0485" w:rsidRDefault="0094575B" w:rsidP="0094575B">
      <w:pPr>
        <w:pStyle w:val="Numberedlist"/>
      </w:pPr>
      <w:r w:rsidRPr="003F0485">
        <w:t>How has your role as a music teacher changed during the pandemic?</w:t>
      </w:r>
    </w:p>
    <w:p w14:paraId="512FFDAF" w14:textId="76880430" w:rsidR="0094575B" w:rsidRPr="003F0485" w:rsidRDefault="006B1531" w:rsidP="0094575B">
      <w:pPr>
        <w:pStyle w:val="Numberedlist"/>
      </w:pPr>
      <w:r w:rsidRPr="003F0485">
        <w:t>How do you feel about the adoption of technology in music education?</w:t>
      </w:r>
    </w:p>
    <w:p w14:paraId="61F8B0A7" w14:textId="17C976F8" w:rsidR="006B1531" w:rsidRPr="003F0485" w:rsidRDefault="006B1531" w:rsidP="006B1531">
      <w:pPr>
        <w:pStyle w:val="Numberedlist"/>
      </w:pPr>
      <w:r w:rsidRPr="003F0485">
        <w:t>What is your assessment of your mental well-being as a music teacher?</w:t>
      </w:r>
    </w:p>
    <w:p w14:paraId="64D0E5A2" w14:textId="7A9EC011" w:rsidR="00022598" w:rsidRPr="003F0485" w:rsidRDefault="00022598" w:rsidP="00022598">
      <w:pPr>
        <w:pStyle w:val="Heading2"/>
      </w:pPr>
      <w:r w:rsidRPr="003F0485">
        <w:t>Procedure</w:t>
      </w:r>
    </w:p>
    <w:p w14:paraId="707673B6" w14:textId="39AE3725" w:rsidR="00022598" w:rsidRPr="003F0485" w:rsidRDefault="006A075A" w:rsidP="00022598">
      <w:pPr>
        <w:pStyle w:val="Paragraph"/>
      </w:pPr>
      <w:r w:rsidRPr="003F0485">
        <w:t xml:space="preserve">A questionnaire survey was administered using an online survey tool. There was a formal invitation on the first page of the survey, which explained the purpose of this study and the data collection process. It also explained to the participants that </w:t>
      </w:r>
      <w:r w:rsidRPr="003F0485">
        <w:lastRenderedPageBreak/>
        <w:t>proceeding to the next page would signal their informed consent to participate in the study. The participants were assured that their responses would be treated as confidential and anonymous. The survey was distributed through social media groups in which Hong Kong music teachers are known to connect virtually. The use of Google Forms as the data collection tool with a prohibited null response ensured that no data were missed</w:t>
      </w:r>
      <w:r w:rsidR="00022598" w:rsidRPr="003F0485">
        <w:t>.</w:t>
      </w:r>
    </w:p>
    <w:p w14:paraId="31AAF801" w14:textId="3948D208" w:rsidR="00022598" w:rsidRPr="003F0485" w:rsidRDefault="006A075A" w:rsidP="00022598">
      <w:pPr>
        <w:pStyle w:val="Newparagraph"/>
      </w:pPr>
      <w:r w:rsidRPr="003F0485">
        <w:t>On the last page of the survey, the participants were asked whether they would be willing to participate in a video or telephone call interview. The research team contacted the participants who agreed to be interviewed, using the contact information they provided. Each interview commenced with a brief introduction outlining the study’s purpose and requesting permission to audio-record the conversation. The interviews were transcribed from the audio recordings and double-checked by the research team. An email with the interview transcript attached was sent to each participant after the transcriptions were completed. The emails also thanked the interviewees for their participation and asked them to confirm the validity of their transcripts</w:t>
      </w:r>
      <w:r w:rsidR="00022598" w:rsidRPr="003F0485">
        <w:t>.</w:t>
      </w:r>
    </w:p>
    <w:p w14:paraId="175E1AB1" w14:textId="4D10E427" w:rsidR="00022598" w:rsidRPr="003F0485" w:rsidRDefault="00022598" w:rsidP="00022598">
      <w:pPr>
        <w:pStyle w:val="Heading2"/>
      </w:pPr>
      <w:r w:rsidRPr="003F0485">
        <w:t>Internal reliability, normality, and homogeneity of data</w:t>
      </w:r>
    </w:p>
    <w:p w14:paraId="238A9DEE" w14:textId="30B05E99" w:rsidR="00022598" w:rsidRPr="003F0485" w:rsidRDefault="006A075A" w:rsidP="00022598">
      <w:pPr>
        <w:pStyle w:val="Paragraph"/>
      </w:pPr>
      <w:r w:rsidRPr="003F0485">
        <w:t xml:space="preserve">Cronbach’s alpha was used to estimate the reliability of the quantitative data from the questionnaire survey, which contained multiple items that measured the same constructs. The alpha coefficients were rated as ‘good’ for the FCV-19S (α = .86) and ‘excellent’ for the GAD-7 (α = .94) and the CTSQ (α = .95) in terms of internal reliability (George &amp; Mallery, 2003). The results of the analysis of variance (ANOVA) were confirmed by testing its parametric assumptions. The Kolmogorov–Smirnov test was conducted to assess the assumption of normality, and </w:t>
      </w:r>
      <w:proofErr w:type="spellStart"/>
      <w:r w:rsidRPr="003F0485">
        <w:t>Levene’s</w:t>
      </w:r>
      <w:proofErr w:type="spellEnd"/>
      <w:r w:rsidRPr="003F0485">
        <w:t xml:space="preserve"> test was used to assess the assumption of homogeneity of variance. No violations were found in either </w:t>
      </w:r>
      <w:r w:rsidRPr="003F0485">
        <w:lastRenderedPageBreak/>
        <w:t xml:space="preserve">test. The inter-coder reliability of the interview data coded independently by research team members was calculated using </w:t>
      </w:r>
      <w:proofErr w:type="spellStart"/>
      <w:r w:rsidRPr="003F0485">
        <w:t>Krippendorff’s</w:t>
      </w:r>
      <w:proofErr w:type="spellEnd"/>
      <w:r w:rsidRPr="003F0485">
        <w:t xml:space="preserve"> alpha, which was favourably calculated as .906 (</w:t>
      </w:r>
      <w:proofErr w:type="spellStart"/>
      <w:r w:rsidRPr="003F0485">
        <w:t>Krippendorff</w:t>
      </w:r>
      <w:proofErr w:type="spellEnd"/>
      <w:r w:rsidRPr="003F0485">
        <w:t>, 2004). The survey was conducted online, and null input was prohibited; thus, there were no missing values in the responses to the three instruments</w:t>
      </w:r>
      <w:r w:rsidR="00022598" w:rsidRPr="003F0485">
        <w:t>.</w:t>
      </w:r>
    </w:p>
    <w:p w14:paraId="2142E3D3" w14:textId="4527D177" w:rsidR="006A1C58" w:rsidRPr="003F0485" w:rsidRDefault="006A075A" w:rsidP="006A1C58">
      <w:pPr>
        <w:pStyle w:val="Heading1"/>
      </w:pPr>
      <w:r w:rsidRPr="003F0485">
        <w:t>Findings</w:t>
      </w:r>
    </w:p>
    <w:p w14:paraId="20B9950F" w14:textId="6D1F30BB" w:rsidR="00022598" w:rsidRPr="003F0485" w:rsidRDefault="004F28C4" w:rsidP="00D12ABA">
      <w:pPr>
        <w:pStyle w:val="Newparagraph"/>
        <w:ind w:firstLine="0"/>
      </w:pPr>
      <w:r w:rsidRPr="003F0485">
        <w:t>The participants’ responses to the three instrument scale items were converted into numeral representations for further analysis (e.g., 1 = strongly disagree to 5 = strongly agree, as in the FCV-19S). The mean rating scores were analysed against the independent scores. Tables 2, 3, and 4 display the individual and mean rating scores for all of the scale items from the FCV-19S, GAD-7 and CTSQ, respectively. The participants’ responses to the FCV-19S showed a mean of 2.92 on a 5-point Likert scale, and the mean scores of their responses to the GAD-7 and CTSQ were 1.87 on a 4-point Likert scale and 2.77 on a 5-point Likert scale, respectively</w:t>
      </w:r>
      <w:r w:rsidR="00022598" w:rsidRPr="003F0485">
        <w:t>.</w:t>
      </w:r>
    </w:p>
    <w:p w14:paraId="1674C5F4" w14:textId="7A03AE3C" w:rsidR="00022598" w:rsidRPr="003F0485" w:rsidRDefault="00022598" w:rsidP="00022598">
      <w:pPr>
        <w:pStyle w:val="Newparagraph"/>
        <w:ind w:firstLine="0"/>
      </w:pPr>
      <w:r w:rsidRPr="003F0485">
        <w:t xml:space="preserve">Table </w:t>
      </w:r>
      <w:r w:rsidR="006A075A" w:rsidRPr="003F0485">
        <w:t>2</w:t>
      </w:r>
      <w:r w:rsidRPr="003F0485">
        <w:t xml:space="preserve">. </w:t>
      </w:r>
      <w:r w:rsidRPr="003F0485">
        <w:rPr>
          <w:i/>
          <w:iCs/>
        </w:rPr>
        <w:t>Summary statistics for FCV-19S scale items among Hong Kong music teachers</w:t>
      </w:r>
      <w:r w:rsidRPr="003F0485">
        <w:t xml:space="preserve"> </w:t>
      </w:r>
    </w:p>
    <w:tbl>
      <w:tblPr>
        <w:tblW w:w="8637" w:type="dxa"/>
        <w:tblBorders>
          <w:top w:val="single" w:sz="4" w:space="0" w:color="auto"/>
          <w:bottom w:val="single" w:sz="4" w:space="0" w:color="auto"/>
        </w:tblBorders>
        <w:tblLayout w:type="fixed"/>
        <w:tblLook w:val="0600" w:firstRow="0" w:lastRow="0" w:firstColumn="0" w:lastColumn="0" w:noHBand="1" w:noVBand="1"/>
      </w:tblPr>
      <w:tblGrid>
        <w:gridCol w:w="6511"/>
        <w:gridCol w:w="850"/>
        <w:gridCol w:w="1276"/>
      </w:tblGrid>
      <w:tr w:rsidR="00022598" w:rsidRPr="003F0485" w14:paraId="1BAFC5C2" w14:textId="77777777" w:rsidTr="006A1C58">
        <w:tc>
          <w:tcPr>
            <w:tcW w:w="6511" w:type="dxa"/>
            <w:tcBorders>
              <w:top w:val="single" w:sz="4" w:space="0" w:color="auto"/>
              <w:bottom w:val="single" w:sz="4" w:space="0" w:color="auto"/>
            </w:tcBorders>
            <w:shd w:val="clear" w:color="auto" w:fill="auto"/>
            <w:tcMar>
              <w:top w:w="100" w:type="dxa"/>
              <w:left w:w="100" w:type="dxa"/>
              <w:bottom w:w="100" w:type="dxa"/>
              <w:right w:w="100" w:type="dxa"/>
            </w:tcMar>
            <w:vAlign w:val="bottom"/>
          </w:tcPr>
          <w:p w14:paraId="701D0628" w14:textId="77777777" w:rsidR="00022598" w:rsidRPr="003F0485" w:rsidRDefault="00022598" w:rsidP="006A1C58">
            <w:pPr>
              <w:widowControl w:val="0"/>
              <w:pBdr>
                <w:top w:val="nil"/>
                <w:left w:val="nil"/>
                <w:bottom w:val="nil"/>
                <w:right w:val="nil"/>
                <w:between w:val="nil"/>
              </w:pBdr>
              <w:spacing w:line="240" w:lineRule="auto"/>
              <w:jc w:val="center"/>
            </w:pPr>
            <w:r w:rsidRPr="003F0485">
              <w:t>Items</w:t>
            </w:r>
          </w:p>
        </w:tc>
        <w:tc>
          <w:tcPr>
            <w:tcW w:w="850" w:type="dxa"/>
            <w:tcBorders>
              <w:top w:val="single" w:sz="4" w:space="0" w:color="auto"/>
              <w:bottom w:val="single" w:sz="4" w:space="0" w:color="auto"/>
            </w:tcBorders>
            <w:shd w:val="clear" w:color="auto" w:fill="auto"/>
            <w:tcMar>
              <w:top w:w="100" w:type="dxa"/>
              <w:left w:w="100" w:type="dxa"/>
              <w:bottom w:w="100" w:type="dxa"/>
              <w:right w:w="100" w:type="dxa"/>
            </w:tcMar>
            <w:vAlign w:val="bottom"/>
          </w:tcPr>
          <w:p w14:paraId="2482264B" w14:textId="77777777" w:rsidR="00022598" w:rsidRPr="003F0485" w:rsidRDefault="00022598" w:rsidP="006A1C58">
            <w:pPr>
              <w:widowControl w:val="0"/>
              <w:pBdr>
                <w:top w:val="nil"/>
                <w:left w:val="nil"/>
                <w:bottom w:val="nil"/>
                <w:right w:val="nil"/>
                <w:between w:val="nil"/>
              </w:pBdr>
              <w:spacing w:line="240" w:lineRule="auto"/>
              <w:jc w:val="center"/>
            </w:pPr>
            <w:r w:rsidRPr="003F0485">
              <w:t>Mean</w:t>
            </w:r>
          </w:p>
        </w:tc>
        <w:tc>
          <w:tcPr>
            <w:tcW w:w="1276" w:type="dxa"/>
            <w:tcBorders>
              <w:top w:val="single" w:sz="4" w:space="0" w:color="auto"/>
              <w:bottom w:val="single" w:sz="4" w:space="0" w:color="auto"/>
            </w:tcBorders>
            <w:shd w:val="clear" w:color="auto" w:fill="auto"/>
            <w:tcMar>
              <w:top w:w="100" w:type="dxa"/>
              <w:left w:w="100" w:type="dxa"/>
              <w:bottom w:w="100" w:type="dxa"/>
              <w:right w:w="100" w:type="dxa"/>
            </w:tcMar>
          </w:tcPr>
          <w:p w14:paraId="3003C52B" w14:textId="77777777" w:rsidR="00022598" w:rsidRPr="003F0485" w:rsidRDefault="00022598" w:rsidP="006A1C58">
            <w:pPr>
              <w:widowControl w:val="0"/>
              <w:pBdr>
                <w:top w:val="nil"/>
                <w:left w:val="nil"/>
                <w:bottom w:val="nil"/>
                <w:right w:val="nil"/>
                <w:between w:val="nil"/>
              </w:pBdr>
              <w:spacing w:line="240" w:lineRule="auto"/>
              <w:jc w:val="center"/>
            </w:pPr>
            <w:r w:rsidRPr="003F0485">
              <w:t>Standard Deviation</w:t>
            </w:r>
          </w:p>
        </w:tc>
      </w:tr>
      <w:tr w:rsidR="00022598" w:rsidRPr="003F0485" w14:paraId="7DFBDC3A" w14:textId="77777777" w:rsidTr="006A1C58">
        <w:tc>
          <w:tcPr>
            <w:tcW w:w="6511" w:type="dxa"/>
            <w:tcBorders>
              <w:top w:val="single" w:sz="4" w:space="0" w:color="auto"/>
            </w:tcBorders>
            <w:shd w:val="clear" w:color="auto" w:fill="auto"/>
            <w:tcMar>
              <w:top w:w="100" w:type="dxa"/>
              <w:left w:w="100" w:type="dxa"/>
              <w:bottom w:w="100" w:type="dxa"/>
              <w:right w:w="100" w:type="dxa"/>
            </w:tcMar>
          </w:tcPr>
          <w:p w14:paraId="414273BA" w14:textId="77777777" w:rsidR="00022598" w:rsidRPr="003F0485" w:rsidRDefault="00022598" w:rsidP="006A075A">
            <w:pPr>
              <w:widowControl w:val="0"/>
              <w:spacing w:line="240" w:lineRule="auto"/>
            </w:pPr>
            <w:r w:rsidRPr="003F0485">
              <w:t>1. I am most afraid of coronavirus-19</w:t>
            </w:r>
          </w:p>
        </w:tc>
        <w:tc>
          <w:tcPr>
            <w:tcW w:w="850" w:type="dxa"/>
            <w:tcBorders>
              <w:top w:val="single" w:sz="4" w:space="0" w:color="auto"/>
            </w:tcBorders>
            <w:shd w:val="clear" w:color="auto" w:fill="auto"/>
            <w:tcMar>
              <w:top w:w="100" w:type="dxa"/>
              <w:left w:w="100" w:type="dxa"/>
              <w:bottom w:w="100" w:type="dxa"/>
              <w:right w:w="100" w:type="dxa"/>
            </w:tcMar>
          </w:tcPr>
          <w:p w14:paraId="2D5E6EA7" w14:textId="77777777" w:rsidR="00022598" w:rsidRPr="003F0485" w:rsidRDefault="00022598" w:rsidP="006A075A">
            <w:pPr>
              <w:widowControl w:val="0"/>
              <w:pBdr>
                <w:top w:val="nil"/>
                <w:left w:val="nil"/>
                <w:bottom w:val="nil"/>
                <w:right w:val="nil"/>
                <w:between w:val="nil"/>
              </w:pBdr>
              <w:spacing w:line="240" w:lineRule="auto"/>
              <w:jc w:val="center"/>
            </w:pPr>
            <w:r w:rsidRPr="003F0485">
              <w:t>3.61</w:t>
            </w:r>
          </w:p>
        </w:tc>
        <w:tc>
          <w:tcPr>
            <w:tcW w:w="1276" w:type="dxa"/>
            <w:tcBorders>
              <w:top w:val="single" w:sz="4" w:space="0" w:color="auto"/>
            </w:tcBorders>
            <w:shd w:val="clear" w:color="auto" w:fill="auto"/>
            <w:tcMar>
              <w:top w:w="100" w:type="dxa"/>
              <w:left w:w="100" w:type="dxa"/>
              <w:bottom w:w="100" w:type="dxa"/>
              <w:right w:w="100" w:type="dxa"/>
            </w:tcMar>
          </w:tcPr>
          <w:p w14:paraId="1AC7CC78" w14:textId="77777777" w:rsidR="00022598" w:rsidRPr="003F0485" w:rsidRDefault="00022598" w:rsidP="006A075A">
            <w:pPr>
              <w:widowControl w:val="0"/>
              <w:pBdr>
                <w:top w:val="nil"/>
                <w:left w:val="nil"/>
                <w:bottom w:val="nil"/>
                <w:right w:val="nil"/>
                <w:between w:val="nil"/>
              </w:pBdr>
              <w:spacing w:line="240" w:lineRule="auto"/>
              <w:jc w:val="center"/>
            </w:pPr>
            <w:r w:rsidRPr="003F0485">
              <w:t>0.83</w:t>
            </w:r>
          </w:p>
        </w:tc>
      </w:tr>
      <w:tr w:rsidR="00022598" w:rsidRPr="003F0485" w14:paraId="410067C9" w14:textId="77777777" w:rsidTr="006A1C58">
        <w:tc>
          <w:tcPr>
            <w:tcW w:w="6511" w:type="dxa"/>
            <w:shd w:val="clear" w:color="auto" w:fill="auto"/>
            <w:tcMar>
              <w:top w:w="100" w:type="dxa"/>
              <w:left w:w="100" w:type="dxa"/>
              <w:bottom w:w="100" w:type="dxa"/>
              <w:right w:w="100" w:type="dxa"/>
            </w:tcMar>
          </w:tcPr>
          <w:p w14:paraId="423C8598" w14:textId="77777777" w:rsidR="00022598" w:rsidRPr="003F0485" w:rsidRDefault="00022598" w:rsidP="006A075A">
            <w:pPr>
              <w:widowControl w:val="0"/>
              <w:spacing w:line="240" w:lineRule="auto"/>
            </w:pPr>
            <w:r w:rsidRPr="003F0485">
              <w:t>2. It makes me uncomfortable to think about coronavirus-19</w:t>
            </w:r>
          </w:p>
        </w:tc>
        <w:tc>
          <w:tcPr>
            <w:tcW w:w="850" w:type="dxa"/>
            <w:shd w:val="clear" w:color="auto" w:fill="auto"/>
            <w:tcMar>
              <w:top w:w="100" w:type="dxa"/>
              <w:left w:w="100" w:type="dxa"/>
              <w:bottom w:w="100" w:type="dxa"/>
              <w:right w:w="100" w:type="dxa"/>
            </w:tcMar>
          </w:tcPr>
          <w:p w14:paraId="26DE010C" w14:textId="77777777" w:rsidR="00022598" w:rsidRPr="003F0485" w:rsidRDefault="00022598" w:rsidP="006A075A">
            <w:pPr>
              <w:widowControl w:val="0"/>
              <w:spacing w:line="240" w:lineRule="auto"/>
              <w:jc w:val="center"/>
            </w:pPr>
            <w:r w:rsidRPr="003F0485">
              <w:t>3.58</w:t>
            </w:r>
          </w:p>
        </w:tc>
        <w:tc>
          <w:tcPr>
            <w:tcW w:w="1276" w:type="dxa"/>
            <w:shd w:val="clear" w:color="auto" w:fill="auto"/>
            <w:tcMar>
              <w:top w:w="100" w:type="dxa"/>
              <w:left w:w="100" w:type="dxa"/>
              <w:bottom w:w="100" w:type="dxa"/>
              <w:right w:w="100" w:type="dxa"/>
            </w:tcMar>
          </w:tcPr>
          <w:p w14:paraId="2DDAE142" w14:textId="77777777" w:rsidR="00022598" w:rsidRPr="003F0485" w:rsidRDefault="00022598" w:rsidP="006A075A">
            <w:pPr>
              <w:widowControl w:val="0"/>
              <w:spacing w:line="240" w:lineRule="auto"/>
              <w:jc w:val="center"/>
            </w:pPr>
            <w:r w:rsidRPr="003F0485">
              <w:t>0.87</w:t>
            </w:r>
          </w:p>
        </w:tc>
      </w:tr>
      <w:tr w:rsidR="00022598" w:rsidRPr="003F0485" w14:paraId="2A2CFA9A" w14:textId="77777777" w:rsidTr="006A1C58">
        <w:tc>
          <w:tcPr>
            <w:tcW w:w="6511" w:type="dxa"/>
            <w:shd w:val="clear" w:color="auto" w:fill="auto"/>
            <w:tcMar>
              <w:top w:w="100" w:type="dxa"/>
              <w:left w:w="100" w:type="dxa"/>
              <w:bottom w:w="100" w:type="dxa"/>
              <w:right w:w="100" w:type="dxa"/>
            </w:tcMar>
          </w:tcPr>
          <w:p w14:paraId="479A5672" w14:textId="77777777" w:rsidR="00022598" w:rsidRPr="003F0485" w:rsidRDefault="00022598" w:rsidP="006A075A">
            <w:pPr>
              <w:widowControl w:val="0"/>
              <w:spacing w:line="240" w:lineRule="auto"/>
            </w:pPr>
            <w:r w:rsidRPr="003F0485">
              <w:t>3. My hands become clammy when I think about coronavirus-19</w:t>
            </w:r>
          </w:p>
        </w:tc>
        <w:tc>
          <w:tcPr>
            <w:tcW w:w="850" w:type="dxa"/>
            <w:shd w:val="clear" w:color="auto" w:fill="auto"/>
            <w:tcMar>
              <w:top w:w="100" w:type="dxa"/>
              <w:left w:w="100" w:type="dxa"/>
              <w:bottom w:w="100" w:type="dxa"/>
              <w:right w:w="100" w:type="dxa"/>
            </w:tcMar>
          </w:tcPr>
          <w:p w14:paraId="06F337BF" w14:textId="77777777" w:rsidR="00022598" w:rsidRPr="003F0485" w:rsidRDefault="00022598" w:rsidP="006A075A">
            <w:pPr>
              <w:widowControl w:val="0"/>
              <w:spacing w:line="240" w:lineRule="auto"/>
              <w:jc w:val="center"/>
            </w:pPr>
            <w:r w:rsidRPr="003F0485">
              <w:t>1.97</w:t>
            </w:r>
          </w:p>
        </w:tc>
        <w:tc>
          <w:tcPr>
            <w:tcW w:w="1276" w:type="dxa"/>
            <w:shd w:val="clear" w:color="auto" w:fill="auto"/>
            <w:tcMar>
              <w:top w:w="100" w:type="dxa"/>
              <w:left w:w="100" w:type="dxa"/>
              <w:bottom w:w="100" w:type="dxa"/>
              <w:right w:w="100" w:type="dxa"/>
            </w:tcMar>
          </w:tcPr>
          <w:p w14:paraId="3BAE562E" w14:textId="77777777" w:rsidR="00022598" w:rsidRPr="003F0485" w:rsidRDefault="00022598" w:rsidP="006A075A">
            <w:pPr>
              <w:widowControl w:val="0"/>
              <w:spacing w:line="240" w:lineRule="auto"/>
              <w:jc w:val="center"/>
            </w:pPr>
            <w:r w:rsidRPr="003F0485">
              <w:t>0.80</w:t>
            </w:r>
          </w:p>
        </w:tc>
      </w:tr>
      <w:tr w:rsidR="00022598" w:rsidRPr="003F0485" w14:paraId="0C755938" w14:textId="77777777" w:rsidTr="006A1C58">
        <w:tc>
          <w:tcPr>
            <w:tcW w:w="6511" w:type="dxa"/>
            <w:shd w:val="clear" w:color="auto" w:fill="auto"/>
            <w:tcMar>
              <w:top w:w="100" w:type="dxa"/>
              <w:left w:w="100" w:type="dxa"/>
              <w:bottom w:w="100" w:type="dxa"/>
              <w:right w:w="100" w:type="dxa"/>
            </w:tcMar>
          </w:tcPr>
          <w:p w14:paraId="1A96C242" w14:textId="77777777" w:rsidR="00022598" w:rsidRPr="003F0485" w:rsidRDefault="00022598" w:rsidP="006A075A">
            <w:pPr>
              <w:widowControl w:val="0"/>
              <w:spacing w:line="240" w:lineRule="auto"/>
            </w:pPr>
            <w:r w:rsidRPr="003F0485">
              <w:t>4. I am afraid of losing my life because of coronavirus-19</w:t>
            </w:r>
          </w:p>
        </w:tc>
        <w:tc>
          <w:tcPr>
            <w:tcW w:w="850" w:type="dxa"/>
            <w:shd w:val="clear" w:color="auto" w:fill="auto"/>
            <w:tcMar>
              <w:top w:w="100" w:type="dxa"/>
              <w:left w:w="100" w:type="dxa"/>
              <w:bottom w:w="100" w:type="dxa"/>
              <w:right w:w="100" w:type="dxa"/>
            </w:tcMar>
          </w:tcPr>
          <w:p w14:paraId="24A72F6D" w14:textId="77777777" w:rsidR="00022598" w:rsidRPr="003F0485" w:rsidRDefault="00022598" w:rsidP="006A075A">
            <w:pPr>
              <w:widowControl w:val="0"/>
              <w:spacing w:line="240" w:lineRule="auto"/>
              <w:jc w:val="center"/>
            </w:pPr>
            <w:r w:rsidRPr="003F0485">
              <w:t>3.33</w:t>
            </w:r>
          </w:p>
        </w:tc>
        <w:tc>
          <w:tcPr>
            <w:tcW w:w="1276" w:type="dxa"/>
            <w:shd w:val="clear" w:color="auto" w:fill="auto"/>
            <w:tcMar>
              <w:top w:w="100" w:type="dxa"/>
              <w:left w:w="100" w:type="dxa"/>
              <w:bottom w:w="100" w:type="dxa"/>
              <w:right w:w="100" w:type="dxa"/>
            </w:tcMar>
          </w:tcPr>
          <w:p w14:paraId="3CD32D15" w14:textId="77777777" w:rsidR="00022598" w:rsidRPr="003F0485" w:rsidRDefault="00022598" w:rsidP="006A075A">
            <w:pPr>
              <w:widowControl w:val="0"/>
              <w:spacing w:line="240" w:lineRule="auto"/>
              <w:jc w:val="center"/>
            </w:pPr>
            <w:r w:rsidRPr="003F0485">
              <w:t>1.10</w:t>
            </w:r>
          </w:p>
        </w:tc>
      </w:tr>
      <w:tr w:rsidR="00022598" w:rsidRPr="003F0485" w14:paraId="50023A5B" w14:textId="77777777" w:rsidTr="006A1C58">
        <w:tc>
          <w:tcPr>
            <w:tcW w:w="6511" w:type="dxa"/>
            <w:shd w:val="clear" w:color="auto" w:fill="auto"/>
            <w:tcMar>
              <w:top w:w="100" w:type="dxa"/>
              <w:left w:w="100" w:type="dxa"/>
              <w:bottom w:w="100" w:type="dxa"/>
              <w:right w:w="100" w:type="dxa"/>
            </w:tcMar>
          </w:tcPr>
          <w:p w14:paraId="0CEC83FA" w14:textId="77777777" w:rsidR="00022598" w:rsidRPr="003F0485" w:rsidRDefault="00022598" w:rsidP="006A075A">
            <w:pPr>
              <w:widowControl w:val="0"/>
              <w:spacing w:line="240" w:lineRule="auto"/>
            </w:pPr>
            <w:r w:rsidRPr="003F0485">
              <w:t>5. When watching news and stories about coronavirus-19 on social media, I become nervous or anxious</w:t>
            </w:r>
          </w:p>
        </w:tc>
        <w:tc>
          <w:tcPr>
            <w:tcW w:w="850" w:type="dxa"/>
            <w:shd w:val="clear" w:color="auto" w:fill="auto"/>
            <w:tcMar>
              <w:top w:w="100" w:type="dxa"/>
              <w:left w:w="100" w:type="dxa"/>
              <w:bottom w:w="100" w:type="dxa"/>
              <w:right w:w="100" w:type="dxa"/>
            </w:tcMar>
          </w:tcPr>
          <w:p w14:paraId="688FBDFF" w14:textId="77777777" w:rsidR="00022598" w:rsidRPr="003F0485" w:rsidRDefault="00022598" w:rsidP="006A075A">
            <w:pPr>
              <w:widowControl w:val="0"/>
              <w:spacing w:line="240" w:lineRule="auto"/>
              <w:jc w:val="center"/>
            </w:pPr>
            <w:r w:rsidRPr="003F0485">
              <w:t>3.50</w:t>
            </w:r>
          </w:p>
        </w:tc>
        <w:tc>
          <w:tcPr>
            <w:tcW w:w="1276" w:type="dxa"/>
            <w:shd w:val="clear" w:color="auto" w:fill="auto"/>
            <w:tcMar>
              <w:top w:w="100" w:type="dxa"/>
              <w:left w:w="100" w:type="dxa"/>
              <w:bottom w:w="100" w:type="dxa"/>
              <w:right w:w="100" w:type="dxa"/>
            </w:tcMar>
          </w:tcPr>
          <w:p w14:paraId="6D78D7F8" w14:textId="77777777" w:rsidR="00022598" w:rsidRPr="003F0485" w:rsidRDefault="00022598" w:rsidP="006A075A">
            <w:pPr>
              <w:widowControl w:val="0"/>
              <w:spacing w:line="240" w:lineRule="auto"/>
              <w:jc w:val="center"/>
            </w:pPr>
            <w:r w:rsidRPr="003F0485">
              <w:t>1.00</w:t>
            </w:r>
          </w:p>
        </w:tc>
      </w:tr>
      <w:tr w:rsidR="00022598" w:rsidRPr="003F0485" w14:paraId="0721FD94" w14:textId="77777777" w:rsidTr="006A1C58">
        <w:tc>
          <w:tcPr>
            <w:tcW w:w="6511" w:type="dxa"/>
            <w:shd w:val="clear" w:color="auto" w:fill="auto"/>
            <w:tcMar>
              <w:top w:w="100" w:type="dxa"/>
              <w:left w:w="100" w:type="dxa"/>
              <w:bottom w:w="100" w:type="dxa"/>
              <w:right w:w="100" w:type="dxa"/>
            </w:tcMar>
          </w:tcPr>
          <w:p w14:paraId="0085993E" w14:textId="77777777" w:rsidR="00022598" w:rsidRPr="003F0485" w:rsidRDefault="00022598" w:rsidP="006A075A">
            <w:pPr>
              <w:widowControl w:val="0"/>
              <w:spacing w:line="240" w:lineRule="auto"/>
            </w:pPr>
            <w:r w:rsidRPr="003F0485">
              <w:t>6. I cannot sleep because I’m worrying about getting coronavirus-19</w:t>
            </w:r>
          </w:p>
        </w:tc>
        <w:tc>
          <w:tcPr>
            <w:tcW w:w="850" w:type="dxa"/>
            <w:shd w:val="clear" w:color="auto" w:fill="auto"/>
            <w:tcMar>
              <w:top w:w="100" w:type="dxa"/>
              <w:left w:w="100" w:type="dxa"/>
              <w:bottom w:w="100" w:type="dxa"/>
              <w:right w:w="100" w:type="dxa"/>
            </w:tcMar>
          </w:tcPr>
          <w:p w14:paraId="20548D62" w14:textId="77777777" w:rsidR="00022598" w:rsidRPr="003F0485" w:rsidRDefault="00022598" w:rsidP="006A075A">
            <w:pPr>
              <w:widowControl w:val="0"/>
              <w:spacing w:line="240" w:lineRule="auto"/>
              <w:jc w:val="center"/>
            </w:pPr>
            <w:r w:rsidRPr="003F0485">
              <w:t>2.00</w:t>
            </w:r>
          </w:p>
        </w:tc>
        <w:tc>
          <w:tcPr>
            <w:tcW w:w="1276" w:type="dxa"/>
            <w:shd w:val="clear" w:color="auto" w:fill="auto"/>
            <w:tcMar>
              <w:top w:w="100" w:type="dxa"/>
              <w:left w:w="100" w:type="dxa"/>
              <w:bottom w:w="100" w:type="dxa"/>
              <w:right w:w="100" w:type="dxa"/>
            </w:tcMar>
          </w:tcPr>
          <w:p w14:paraId="66C0A25F" w14:textId="77777777" w:rsidR="00022598" w:rsidRPr="003F0485" w:rsidRDefault="00022598" w:rsidP="006A075A">
            <w:pPr>
              <w:widowControl w:val="0"/>
              <w:spacing w:line="240" w:lineRule="auto"/>
              <w:jc w:val="center"/>
            </w:pPr>
            <w:r w:rsidRPr="003F0485">
              <w:t>0.97</w:t>
            </w:r>
          </w:p>
        </w:tc>
      </w:tr>
      <w:tr w:rsidR="00022598" w:rsidRPr="003F0485" w14:paraId="133C12B4" w14:textId="77777777" w:rsidTr="006A1C58">
        <w:tc>
          <w:tcPr>
            <w:tcW w:w="6511" w:type="dxa"/>
            <w:tcBorders>
              <w:bottom w:val="single" w:sz="4" w:space="0" w:color="auto"/>
            </w:tcBorders>
            <w:shd w:val="clear" w:color="auto" w:fill="auto"/>
            <w:tcMar>
              <w:top w:w="100" w:type="dxa"/>
              <w:left w:w="100" w:type="dxa"/>
              <w:bottom w:w="100" w:type="dxa"/>
              <w:right w:w="100" w:type="dxa"/>
            </w:tcMar>
          </w:tcPr>
          <w:p w14:paraId="3E09D781" w14:textId="77777777" w:rsidR="00022598" w:rsidRPr="003F0485" w:rsidRDefault="00022598" w:rsidP="006A075A">
            <w:pPr>
              <w:widowControl w:val="0"/>
              <w:spacing w:line="240" w:lineRule="auto"/>
            </w:pPr>
            <w:r w:rsidRPr="003F0485">
              <w:t>7. My heart races or palpitates when I think about getting coronavirus-19</w:t>
            </w:r>
          </w:p>
        </w:tc>
        <w:tc>
          <w:tcPr>
            <w:tcW w:w="850" w:type="dxa"/>
            <w:tcBorders>
              <w:bottom w:val="single" w:sz="4" w:space="0" w:color="auto"/>
            </w:tcBorders>
            <w:shd w:val="clear" w:color="auto" w:fill="auto"/>
            <w:tcMar>
              <w:top w:w="100" w:type="dxa"/>
              <w:left w:w="100" w:type="dxa"/>
              <w:bottom w:w="100" w:type="dxa"/>
              <w:right w:w="100" w:type="dxa"/>
            </w:tcMar>
          </w:tcPr>
          <w:p w14:paraId="1A9D474F" w14:textId="77777777" w:rsidR="00022598" w:rsidRPr="003F0485" w:rsidRDefault="00022598" w:rsidP="006A075A">
            <w:pPr>
              <w:widowControl w:val="0"/>
              <w:spacing w:line="240" w:lineRule="auto"/>
              <w:jc w:val="center"/>
            </w:pPr>
            <w:r w:rsidRPr="003F0485">
              <w:t>2.43</w:t>
            </w:r>
          </w:p>
        </w:tc>
        <w:tc>
          <w:tcPr>
            <w:tcW w:w="1276" w:type="dxa"/>
            <w:tcBorders>
              <w:bottom w:val="single" w:sz="4" w:space="0" w:color="auto"/>
            </w:tcBorders>
            <w:shd w:val="clear" w:color="auto" w:fill="auto"/>
            <w:tcMar>
              <w:top w:w="100" w:type="dxa"/>
              <w:left w:w="100" w:type="dxa"/>
              <w:bottom w:w="100" w:type="dxa"/>
              <w:right w:w="100" w:type="dxa"/>
            </w:tcMar>
          </w:tcPr>
          <w:p w14:paraId="1EC55434" w14:textId="77777777" w:rsidR="00022598" w:rsidRPr="003F0485" w:rsidRDefault="00022598" w:rsidP="006A075A">
            <w:pPr>
              <w:widowControl w:val="0"/>
              <w:spacing w:line="240" w:lineRule="auto"/>
              <w:jc w:val="center"/>
            </w:pPr>
            <w:r w:rsidRPr="003F0485">
              <w:t>1.18</w:t>
            </w:r>
          </w:p>
        </w:tc>
      </w:tr>
      <w:tr w:rsidR="00022598" w:rsidRPr="003F0485" w14:paraId="68FD8CE2" w14:textId="77777777" w:rsidTr="006A1C58">
        <w:tc>
          <w:tcPr>
            <w:tcW w:w="6511" w:type="dxa"/>
            <w:tcBorders>
              <w:top w:val="single" w:sz="4" w:space="0" w:color="auto"/>
              <w:bottom w:val="single" w:sz="4" w:space="0" w:color="auto"/>
            </w:tcBorders>
            <w:shd w:val="clear" w:color="auto" w:fill="auto"/>
            <w:tcMar>
              <w:top w:w="100" w:type="dxa"/>
              <w:left w:w="100" w:type="dxa"/>
              <w:bottom w:w="100" w:type="dxa"/>
              <w:right w:w="100" w:type="dxa"/>
            </w:tcMar>
          </w:tcPr>
          <w:p w14:paraId="02A645A2" w14:textId="77777777" w:rsidR="00022598" w:rsidRPr="003F0485" w:rsidRDefault="00022598" w:rsidP="006A075A">
            <w:pPr>
              <w:widowControl w:val="0"/>
              <w:spacing w:line="240" w:lineRule="auto"/>
              <w:jc w:val="right"/>
            </w:pPr>
            <w:r w:rsidRPr="003F0485">
              <w:t>Average:</w:t>
            </w:r>
          </w:p>
        </w:tc>
        <w:tc>
          <w:tcPr>
            <w:tcW w:w="850" w:type="dxa"/>
            <w:tcBorders>
              <w:top w:val="single" w:sz="4" w:space="0" w:color="auto"/>
              <w:bottom w:val="single" w:sz="4" w:space="0" w:color="auto"/>
            </w:tcBorders>
            <w:shd w:val="clear" w:color="auto" w:fill="auto"/>
            <w:tcMar>
              <w:top w:w="100" w:type="dxa"/>
              <w:left w:w="100" w:type="dxa"/>
              <w:bottom w:w="100" w:type="dxa"/>
              <w:right w:w="100" w:type="dxa"/>
            </w:tcMar>
          </w:tcPr>
          <w:p w14:paraId="3FC9FAD8" w14:textId="77777777" w:rsidR="00022598" w:rsidRPr="003F0485" w:rsidRDefault="00022598" w:rsidP="006A075A">
            <w:pPr>
              <w:widowControl w:val="0"/>
              <w:spacing w:line="240" w:lineRule="auto"/>
              <w:jc w:val="center"/>
            </w:pPr>
            <w:r w:rsidRPr="003F0485">
              <w:t>2.92</w:t>
            </w:r>
          </w:p>
        </w:tc>
        <w:tc>
          <w:tcPr>
            <w:tcW w:w="1276" w:type="dxa"/>
            <w:tcBorders>
              <w:top w:val="single" w:sz="4" w:space="0" w:color="auto"/>
              <w:bottom w:val="single" w:sz="4" w:space="0" w:color="auto"/>
            </w:tcBorders>
            <w:shd w:val="clear" w:color="auto" w:fill="auto"/>
            <w:tcMar>
              <w:top w:w="100" w:type="dxa"/>
              <w:left w:w="100" w:type="dxa"/>
              <w:bottom w:w="100" w:type="dxa"/>
              <w:right w:w="100" w:type="dxa"/>
            </w:tcMar>
          </w:tcPr>
          <w:p w14:paraId="42A903A4" w14:textId="77777777" w:rsidR="00022598" w:rsidRPr="003F0485" w:rsidRDefault="00022598" w:rsidP="006A075A">
            <w:pPr>
              <w:widowControl w:val="0"/>
              <w:spacing w:line="240" w:lineRule="auto"/>
              <w:jc w:val="center"/>
            </w:pPr>
            <w:r w:rsidRPr="003F0485">
              <w:t>0.97</w:t>
            </w:r>
          </w:p>
        </w:tc>
      </w:tr>
    </w:tbl>
    <w:p w14:paraId="57C379F7" w14:textId="77777777" w:rsidR="00022598" w:rsidRPr="003F0485" w:rsidRDefault="00022598" w:rsidP="00022598">
      <w:pPr>
        <w:pStyle w:val="Newparagraph"/>
        <w:ind w:firstLine="0"/>
      </w:pPr>
    </w:p>
    <w:p w14:paraId="56715A17" w14:textId="047344DC" w:rsidR="006A1C58" w:rsidRPr="003F0485" w:rsidRDefault="006A1C58" w:rsidP="006A1C58">
      <w:pPr>
        <w:pStyle w:val="Newparagraph"/>
        <w:ind w:firstLine="0"/>
        <w:rPr>
          <w:i/>
          <w:iCs/>
        </w:rPr>
      </w:pPr>
      <w:r w:rsidRPr="003F0485">
        <w:t xml:space="preserve">Table </w:t>
      </w:r>
      <w:r w:rsidR="004F28C4" w:rsidRPr="003F0485">
        <w:t>3</w:t>
      </w:r>
      <w:r w:rsidRPr="003F0485">
        <w:t xml:space="preserve">. </w:t>
      </w:r>
      <w:r w:rsidRPr="003F0485">
        <w:rPr>
          <w:i/>
          <w:iCs/>
        </w:rPr>
        <w:t xml:space="preserve">Summary statistics for GAD-7 scale items among Hong Kong music teachers </w:t>
      </w:r>
    </w:p>
    <w:tbl>
      <w:tblPr>
        <w:tblW w:w="8495" w:type="dxa"/>
        <w:tblBorders>
          <w:top w:val="single" w:sz="4" w:space="0" w:color="auto"/>
          <w:bottom w:val="single" w:sz="4" w:space="0" w:color="auto"/>
        </w:tblBorders>
        <w:tblLayout w:type="fixed"/>
        <w:tblLook w:val="0600" w:firstRow="0" w:lastRow="0" w:firstColumn="0" w:lastColumn="0" w:noHBand="1" w:noVBand="1"/>
      </w:tblPr>
      <w:tblGrid>
        <w:gridCol w:w="6369"/>
        <w:gridCol w:w="851"/>
        <w:gridCol w:w="1275"/>
      </w:tblGrid>
      <w:tr w:rsidR="006A1C58" w:rsidRPr="003F0485" w14:paraId="5BF6FE83" w14:textId="77777777" w:rsidTr="006A1C58">
        <w:tc>
          <w:tcPr>
            <w:tcW w:w="6369" w:type="dxa"/>
            <w:tcBorders>
              <w:top w:val="single" w:sz="4" w:space="0" w:color="auto"/>
              <w:bottom w:val="single" w:sz="4" w:space="0" w:color="auto"/>
            </w:tcBorders>
            <w:shd w:val="clear" w:color="auto" w:fill="auto"/>
            <w:tcMar>
              <w:top w:w="100" w:type="dxa"/>
              <w:left w:w="100" w:type="dxa"/>
              <w:bottom w:w="100" w:type="dxa"/>
              <w:right w:w="100" w:type="dxa"/>
            </w:tcMar>
            <w:vAlign w:val="bottom"/>
          </w:tcPr>
          <w:p w14:paraId="60D1490A" w14:textId="77777777" w:rsidR="006A1C58" w:rsidRPr="003F0485" w:rsidRDefault="006A1C58" w:rsidP="006A1C58">
            <w:pPr>
              <w:widowControl w:val="0"/>
              <w:spacing w:line="240" w:lineRule="auto"/>
              <w:jc w:val="center"/>
            </w:pPr>
            <w:r w:rsidRPr="003F0485">
              <w:t>Items</w:t>
            </w:r>
          </w:p>
        </w:tc>
        <w:tc>
          <w:tcPr>
            <w:tcW w:w="851" w:type="dxa"/>
            <w:tcBorders>
              <w:top w:val="single" w:sz="4" w:space="0" w:color="auto"/>
              <w:bottom w:val="single" w:sz="4" w:space="0" w:color="auto"/>
            </w:tcBorders>
            <w:shd w:val="clear" w:color="auto" w:fill="auto"/>
            <w:tcMar>
              <w:top w:w="100" w:type="dxa"/>
              <w:left w:w="100" w:type="dxa"/>
              <w:bottom w:w="100" w:type="dxa"/>
              <w:right w:w="100" w:type="dxa"/>
            </w:tcMar>
            <w:vAlign w:val="bottom"/>
          </w:tcPr>
          <w:p w14:paraId="57EBF4A6" w14:textId="77777777" w:rsidR="006A1C58" w:rsidRPr="003F0485" w:rsidRDefault="006A1C58" w:rsidP="006A1C58">
            <w:pPr>
              <w:widowControl w:val="0"/>
              <w:spacing w:line="240" w:lineRule="auto"/>
              <w:jc w:val="center"/>
            </w:pPr>
            <w:r w:rsidRPr="003F0485">
              <w:t>Mean</w:t>
            </w:r>
          </w:p>
        </w:tc>
        <w:tc>
          <w:tcPr>
            <w:tcW w:w="1275" w:type="dxa"/>
            <w:tcBorders>
              <w:top w:val="single" w:sz="4" w:space="0" w:color="auto"/>
              <w:bottom w:val="single" w:sz="4" w:space="0" w:color="auto"/>
            </w:tcBorders>
            <w:shd w:val="clear" w:color="auto" w:fill="auto"/>
            <w:tcMar>
              <w:top w:w="100" w:type="dxa"/>
              <w:left w:w="100" w:type="dxa"/>
              <w:bottom w:w="100" w:type="dxa"/>
              <w:right w:w="100" w:type="dxa"/>
            </w:tcMar>
          </w:tcPr>
          <w:p w14:paraId="1215735A" w14:textId="77777777" w:rsidR="006A1C58" w:rsidRPr="003F0485" w:rsidRDefault="006A1C58" w:rsidP="006A1C58">
            <w:pPr>
              <w:widowControl w:val="0"/>
              <w:spacing w:line="240" w:lineRule="auto"/>
              <w:jc w:val="center"/>
            </w:pPr>
            <w:r w:rsidRPr="003F0485">
              <w:t>Standard Deviation</w:t>
            </w:r>
          </w:p>
        </w:tc>
      </w:tr>
      <w:tr w:rsidR="006A1C58" w:rsidRPr="003F0485" w14:paraId="37793FC8" w14:textId="77777777" w:rsidTr="006A1C58">
        <w:tc>
          <w:tcPr>
            <w:tcW w:w="6369" w:type="dxa"/>
            <w:tcBorders>
              <w:top w:val="single" w:sz="4" w:space="0" w:color="auto"/>
            </w:tcBorders>
            <w:shd w:val="clear" w:color="auto" w:fill="auto"/>
            <w:tcMar>
              <w:top w:w="100" w:type="dxa"/>
              <w:left w:w="100" w:type="dxa"/>
              <w:bottom w:w="100" w:type="dxa"/>
              <w:right w:w="100" w:type="dxa"/>
            </w:tcMar>
          </w:tcPr>
          <w:p w14:paraId="2D8ED7FC" w14:textId="77777777" w:rsidR="006A1C58" w:rsidRPr="003F0485" w:rsidRDefault="006A1C58" w:rsidP="006A075A">
            <w:pPr>
              <w:widowControl w:val="0"/>
              <w:spacing w:line="240" w:lineRule="auto"/>
            </w:pPr>
            <w:r w:rsidRPr="003F0485">
              <w:t>1. Feeling nervous, anxious or on edge</w:t>
            </w:r>
          </w:p>
        </w:tc>
        <w:tc>
          <w:tcPr>
            <w:tcW w:w="851" w:type="dxa"/>
            <w:tcBorders>
              <w:top w:val="single" w:sz="4" w:space="0" w:color="auto"/>
            </w:tcBorders>
            <w:shd w:val="clear" w:color="auto" w:fill="auto"/>
            <w:tcMar>
              <w:top w:w="100" w:type="dxa"/>
              <w:left w:w="100" w:type="dxa"/>
              <w:bottom w:w="100" w:type="dxa"/>
              <w:right w:w="100" w:type="dxa"/>
            </w:tcMar>
          </w:tcPr>
          <w:p w14:paraId="5C00A3B4" w14:textId="77777777" w:rsidR="006A1C58" w:rsidRPr="003F0485" w:rsidRDefault="006A1C58" w:rsidP="006A075A">
            <w:pPr>
              <w:widowControl w:val="0"/>
              <w:spacing w:line="240" w:lineRule="auto"/>
              <w:jc w:val="center"/>
            </w:pPr>
            <w:r w:rsidRPr="003F0485">
              <w:t>1.98</w:t>
            </w:r>
          </w:p>
        </w:tc>
        <w:tc>
          <w:tcPr>
            <w:tcW w:w="1275" w:type="dxa"/>
            <w:tcBorders>
              <w:top w:val="single" w:sz="4" w:space="0" w:color="auto"/>
            </w:tcBorders>
            <w:shd w:val="clear" w:color="auto" w:fill="auto"/>
            <w:tcMar>
              <w:top w:w="100" w:type="dxa"/>
              <w:left w:w="100" w:type="dxa"/>
              <w:bottom w:w="100" w:type="dxa"/>
              <w:right w:w="100" w:type="dxa"/>
            </w:tcMar>
          </w:tcPr>
          <w:p w14:paraId="1F952355" w14:textId="77777777" w:rsidR="006A1C58" w:rsidRPr="003F0485" w:rsidRDefault="006A1C58" w:rsidP="006A075A">
            <w:pPr>
              <w:widowControl w:val="0"/>
              <w:spacing w:line="240" w:lineRule="auto"/>
              <w:jc w:val="center"/>
            </w:pPr>
            <w:r w:rsidRPr="003F0485">
              <w:t>0.84</w:t>
            </w:r>
          </w:p>
        </w:tc>
      </w:tr>
      <w:tr w:rsidR="006A1C58" w:rsidRPr="003F0485" w14:paraId="3AC54F49" w14:textId="77777777" w:rsidTr="006A1C58">
        <w:tc>
          <w:tcPr>
            <w:tcW w:w="6369" w:type="dxa"/>
            <w:shd w:val="clear" w:color="auto" w:fill="auto"/>
            <w:tcMar>
              <w:top w:w="100" w:type="dxa"/>
              <w:left w:w="100" w:type="dxa"/>
              <w:bottom w:w="100" w:type="dxa"/>
              <w:right w:w="100" w:type="dxa"/>
            </w:tcMar>
          </w:tcPr>
          <w:p w14:paraId="4190B592" w14:textId="77777777" w:rsidR="006A1C58" w:rsidRPr="003F0485" w:rsidRDefault="006A1C58" w:rsidP="006A075A">
            <w:pPr>
              <w:widowControl w:val="0"/>
              <w:spacing w:line="240" w:lineRule="auto"/>
            </w:pPr>
            <w:r w:rsidRPr="003F0485">
              <w:t>2. Not being able to stop or control worrying</w:t>
            </w:r>
          </w:p>
        </w:tc>
        <w:tc>
          <w:tcPr>
            <w:tcW w:w="851" w:type="dxa"/>
            <w:shd w:val="clear" w:color="auto" w:fill="auto"/>
            <w:tcMar>
              <w:top w:w="100" w:type="dxa"/>
              <w:left w:w="100" w:type="dxa"/>
              <w:bottom w:w="100" w:type="dxa"/>
              <w:right w:w="100" w:type="dxa"/>
            </w:tcMar>
          </w:tcPr>
          <w:p w14:paraId="67927AAD" w14:textId="77777777" w:rsidR="006A1C58" w:rsidRPr="003F0485" w:rsidRDefault="006A1C58" w:rsidP="006A075A">
            <w:pPr>
              <w:widowControl w:val="0"/>
              <w:spacing w:line="240" w:lineRule="auto"/>
              <w:jc w:val="center"/>
            </w:pPr>
            <w:r w:rsidRPr="003F0485">
              <w:t>1.70</w:t>
            </w:r>
          </w:p>
        </w:tc>
        <w:tc>
          <w:tcPr>
            <w:tcW w:w="1275" w:type="dxa"/>
            <w:shd w:val="clear" w:color="auto" w:fill="auto"/>
            <w:tcMar>
              <w:top w:w="100" w:type="dxa"/>
              <w:left w:w="100" w:type="dxa"/>
              <w:bottom w:w="100" w:type="dxa"/>
              <w:right w:w="100" w:type="dxa"/>
            </w:tcMar>
          </w:tcPr>
          <w:p w14:paraId="79793A7A" w14:textId="77777777" w:rsidR="006A1C58" w:rsidRPr="003F0485" w:rsidRDefault="006A1C58" w:rsidP="006A075A">
            <w:pPr>
              <w:widowControl w:val="0"/>
              <w:spacing w:line="240" w:lineRule="auto"/>
              <w:jc w:val="center"/>
            </w:pPr>
            <w:r w:rsidRPr="003F0485">
              <w:t>0.84</w:t>
            </w:r>
          </w:p>
        </w:tc>
      </w:tr>
      <w:tr w:rsidR="006A1C58" w:rsidRPr="003F0485" w14:paraId="47AD3EF3" w14:textId="77777777" w:rsidTr="006A1C58">
        <w:tc>
          <w:tcPr>
            <w:tcW w:w="6369" w:type="dxa"/>
            <w:shd w:val="clear" w:color="auto" w:fill="auto"/>
            <w:tcMar>
              <w:top w:w="100" w:type="dxa"/>
              <w:left w:w="100" w:type="dxa"/>
              <w:bottom w:w="100" w:type="dxa"/>
              <w:right w:w="100" w:type="dxa"/>
            </w:tcMar>
          </w:tcPr>
          <w:p w14:paraId="3E7F6BD3" w14:textId="77777777" w:rsidR="006A1C58" w:rsidRPr="003F0485" w:rsidRDefault="006A1C58" w:rsidP="006A075A">
            <w:pPr>
              <w:widowControl w:val="0"/>
              <w:spacing w:line="240" w:lineRule="auto"/>
            </w:pPr>
            <w:r w:rsidRPr="003F0485">
              <w:t>3. Worrying too much about different things</w:t>
            </w:r>
          </w:p>
        </w:tc>
        <w:tc>
          <w:tcPr>
            <w:tcW w:w="851" w:type="dxa"/>
            <w:shd w:val="clear" w:color="auto" w:fill="auto"/>
            <w:tcMar>
              <w:top w:w="100" w:type="dxa"/>
              <w:left w:w="100" w:type="dxa"/>
              <w:bottom w:w="100" w:type="dxa"/>
              <w:right w:w="100" w:type="dxa"/>
            </w:tcMar>
          </w:tcPr>
          <w:p w14:paraId="3958625B" w14:textId="77777777" w:rsidR="006A1C58" w:rsidRPr="003F0485" w:rsidRDefault="006A1C58" w:rsidP="006A075A">
            <w:pPr>
              <w:widowControl w:val="0"/>
              <w:spacing w:line="240" w:lineRule="auto"/>
              <w:jc w:val="center"/>
            </w:pPr>
            <w:r w:rsidRPr="003F0485">
              <w:t>1.91</w:t>
            </w:r>
          </w:p>
        </w:tc>
        <w:tc>
          <w:tcPr>
            <w:tcW w:w="1275" w:type="dxa"/>
            <w:shd w:val="clear" w:color="auto" w:fill="auto"/>
            <w:tcMar>
              <w:top w:w="100" w:type="dxa"/>
              <w:left w:w="100" w:type="dxa"/>
              <w:bottom w:w="100" w:type="dxa"/>
              <w:right w:w="100" w:type="dxa"/>
            </w:tcMar>
          </w:tcPr>
          <w:p w14:paraId="0EC21BB2" w14:textId="77777777" w:rsidR="006A1C58" w:rsidRPr="003F0485" w:rsidRDefault="006A1C58" w:rsidP="006A075A">
            <w:pPr>
              <w:widowControl w:val="0"/>
              <w:spacing w:line="240" w:lineRule="auto"/>
              <w:jc w:val="center"/>
            </w:pPr>
            <w:r w:rsidRPr="003F0485">
              <w:t>0.83</w:t>
            </w:r>
          </w:p>
        </w:tc>
      </w:tr>
      <w:tr w:rsidR="006A1C58" w:rsidRPr="003F0485" w14:paraId="1FC0C9F3" w14:textId="77777777" w:rsidTr="006A1C58">
        <w:tc>
          <w:tcPr>
            <w:tcW w:w="6369" w:type="dxa"/>
            <w:shd w:val="clear" w:color="auto" w:fill="auto"/>
            <w:tcMar>
              <w:top w:w="100" w:type="dxa"/>
              <w:left w:w="100" w:type="dxa"/>
              <w:bottom w:w="100" w:type="dxa"/>
              <w:right w:w="100" w:type="dxa"/>
            </w:tcMar>
          </w:tcPr>
          <w:p w14:paraId="5C54CE76" w14:textId="77777777" w:rsidR="006A1C58" w:rsidRPr="003F0485" w:rsidRDefault="006A1C58" w:rsidP="006A075A">
            <w:pPr>
              <w:widowControl w:val="0"/>
              <w:spacing w:line="240" w:lineRule="auto"/>
            </w:pPr>
            <w:r w:rsidRPr="003F0485">
              <w:t>4. Trouble relaxing</w:t>
            </w:r>
          </w:p>
        </w:tc>
        <w:tc>
          <w:tcPr>
            <w:tcW w:w="851" w:type="dxa"/>
            <w:shd w:val="clear" w:color="auto" w:fill="auto"/>
            <w:tcMar>
              <w:top w:w="100" w:type="dxa"/>
              <w:left w:w="100" w:type="dxa"/>
              <w:bottom w:w="100" w:type="dxa"/>
              <w:right w:w="100" w:type="dxa"/>
            </w:tcMar>
          </w:tcPr>
          <w:p w14:paraId="3C816B12" w14:textId="77777777" w:rsidR="006A1C58" w:rsidRPr="003F0485" w:rsidRDefault="006A1C58" w:rsidP="006A075A">
            <w:pPr>
              <w:widowControl w:val="0"/>
              <w:spacing w:line="240" w:lineRule="auto"/>
              <w:jc w:val="center"/>
            </w:pPr>
            <w:r w:rsidRPr="003F0485">
              <w:t>2.02</w:t>
            </w:r>
          </w:p>
        </w:tc>
        <w:tc>
          <w:tcPr>
            <w:tcW w:w="1275" w:type="dxa"/>
            <w:shd w:val="clear" w:color="auto" w:fill="auto"/>
            <w:tcMar>
              <w:top w:w="100" w:type="dxa"/>
              <w:left w:w="100" w:type="dxa"/>
              <w:bottom w:w="100" w:type="dxa"/>
              <w:right w:w="100" w:type="dxa"/>
            </w:tcMar>
          </w:tcPr>
          <w:p w14:paraId="4BF56216" w14:textId="77777777" w:rsidR="006A1C58" w:rsidRPr="003F0485" w:rsidRDefault="006A1C58" w:rsidP="006A075A">
            <w:pPr>
              <w:widowControl w:val="0"/>
              <w:spacing w:line="240" w:lineRule="auto"/>
              <w:jc w:val="center"/>
            </w:pPr>
            <w:r w:rsidRPr="003F0485">
              <w:t>0.94</w:t>
            </w:r>
          </w:p>
        </w:tc>
      </w:tr>
      <w:tr w:rsidR="006A1C58" w:rsidRPr="003F0485" w14:paraId="75D13168" w14:textId="77777777" w:rsidTr="006A1C58">
        <w:tc>
          <w:tcPr>
            <w:tcW w:w="6369" w:type="dxa"/>
            <w:shd w:val="clear" w:color="auto" w:fill="auto"/>
            <w:tcMar>
              <w:top w:w="100" w:type="dxa"/>
              <w:left w:w="100" w:type="dxa"/>
              <w:bottom w:w="100" w:type="dxa"/>
              <w:right w:w="100" w:type="dxa"/>
            </w:tcMar>
          </w:tcPr>
          <w:p w14:paraId="42102E98" w14:textId="77777777" w:rsidR="006A1C58" w:rsidRPr="003F0485" w:rsidRDefault="006A1C58" w:rsidP="006A075A">
            <w:pPr>
              <w:widowControl w:val="0"/>
              <w:spacing w:line="240" w:lineRule="auto"/>
            </w:pPr>
            <w:r w:rsidRPr="003F0485">
              <w:t>5. Being so restless that it’s hard to sit still</w:t>
            </w:r>
          </w:p>
        </w:tc>
        <w:tc>
          <w:tcPr>
            <w:tcW w:w="851" w:type="dxa"/>
            <w:shd w:val="clear" w:color="auto" w:fill="auto"/>
            <w:tcMar>
              <w:top w:w="100" w:type="dxa"/>
              <w:left w:w="100" w:type="dxa"/>
              <w:bottom w:w="100" w:type="dxa"/>
              <w:right w:w="100" w:type="dxa"/>
            </w:tcMar>
          </w:tcPr>
          <w:p w14:paraId="01D8435B" w14:textId="77777777" w:rsidR="006A1C58" w:rsidRPr="003F0485" w:rsidRDefault="006A1C58" w:rsidP="006A075A">
            <w:pPr>
              <w:widowControl w:val="0"/>
              <w:spacing w:line="240" w:lineRule="auto"/>
              <w:jc w:val="center"/>
            </w:pPr>
            <w:r w:rsidRPr="003F0485">
              <w:t>1.73</w:t>
            </w:r>
          </w:p>
        </w:tc>
        <w:tc>
          <w:tcPr>
            <w:tcW w:w="1275" w:type="dxa"/>
            <w:shd w:val="clear" w:color="auto" w:fill="auto"/>
            <w:tcMar>
              <w:top w:w="100" w:type="dxa"/>
              <w:left w:w="100" w:type="dxa"/>
              <w:bottom w:w="100" w:type="dxa"/>
              <w:right w:w="100" w:type="dxa"/>
            </w:tcMar>
          </w:tcPr>
          <w:p w14:paraId="609CAE22" w14:textId="77777777" w:rsidR="006A1C58" w:rsidRPr="003F0485" w:rsidRDefault="006A1C58" w:rsidP="006A075A">
            <w:pPr>
              <w:widowControl w:val="0"/>
              <w:spacing w:line="240" w:lineRule="auto"/>
              <w:jc w:val="center"/>
            </w:pPr>
            <w:r w:rsidRPr="003F0485">
              <w:t>0.84</w:t>
            </w:r>
          </w:p>
        </w:tc>
      </w:tr>
      <w:tr w:rsidR="006A1C58" w:rsidRPr="003F0485" w14:paraId="51B05E35" w14:textId="77777777" w:rsidTr="006A1C58">
        <w:tc>
          <w:tcPr>
            <w:tcW w:w="6369" w:type="dxa"/>
            <w:shd w:val="clear" w:color="auto" w:fill="auto"/>
            <w:tcMar>
              <w:top w:w="100" w:type="dxa"/>
              <w:left w:w="100" w:type="dxa"/>
              <w:bottom w:w="100" w:type="dxa"/>
              <w:right w:w="100" w:type="dxa"/>
            </w:tcMar>
          </w:tcPr>
          <w:p w14:paraId="75615891" w14:textId="77777777" w:rsidR="006A1C58" w:rsidRPr="003F0485" w:rsidRDefault="006A1C58" w:rsidP="006A075A">
            <w:pPr>
              <w:widowControl w:val="0"/>
              <w:spacing w:line="240" w:lineRule="auto"/>
            </w:pPr>
            <w:r w:rsidRPr="003F0485">
              <w:t>6. Becoming easily annoyed or irritable</w:t>
            </w:r>
          </w:p>
        </w:tc>
        <w:tc>
          <w:tcPr>
            <w:tcW w:w="851" w:type="dxa"/>
            <w:shd w:val="clear" w:color="auto" w:fill="auto"/>
            <w:tcMar>
              <w:top w:w="100" w:type="dxa"/>
              <w:left w:w="100" w:type="dxa"/>
              <w:bottom w:w="100" w:type="dxa"/>
              <w:right w:w="100" w:type="dxa"/>
            </w:tcMar>
          </w:tcPr>
          <w:p w14:paraId="328FA132" w14:textId="77777777" w:rsidR="006A1C58" w:rsidRPr="003F0485" w:rsidRDefault="006A1C58" w:rsidP="006A075A">
            <w:pPr>
              <w:widowControl w:val="0"/>
              <w:spacing w:line="240" w:lineRule="auto"/>
              <w:jc w:val="center"/>
            </w:pPr>
            <w:r w:rsidRPr="003F0485">
              <w:t>2.03</w:t>
            </w:r>
          </w:p>
        </w:tc>
        <w:tc>
          <w:tcPr>
            <w:tcW w:w="1275" w:type="dxa"/>
            <w:shd w:val="clear" w:color="auto" w:fill="auto"/>
            <w:tcMar>
              <w:top w:w="100" w:type="dxa"/>
              <w:left w:w="100" w:type="dxa"/>
              <w:bottom w:w="100" w:type="dxa"/>
              <w:right w:w="100" w:type="dxa"/>
            </w:tcMar>
          </w:tcPr>
          <w:p w14:paraId="4B27D201" w14:textId="77777777" w:rsidR="006A1C58" w:rsidRPr="003F0485" w:rsidRDefault="006A1C58" w:rsidP="006A075A">
            <w:pPr>
              <w:widowControl w:val="0"/>
              <w:spacing w:line="240" w:lineRule="auto"/>
              <w:jc w:val="center"/>
            </w:pPr>
            <w:r w:rsidRPr="003F0485">
              <w:t>0.89</w:t>
            </w:r>
          </w:p>
        </w:tc>
      </w:tr>
      <w:tr w:rsidR="006A1C58" w:rsidRPr="003F0485" w14:paraId="695C6EAC" w14:textId="77777777" w:rsidTr="006A1C58">
        <w:tc>
          <w:tcPr>
            <w:tcW w:w="6369" w:type="dxa"/>
            <w:tcBorders>
              <w:bottom w:val="single" w:sz="4" w:space="0" w:color="auto"/>
            </w:tcBorders>
            <w:shd w:val="clear" w:color="auto" w:fill="auto"/>
            <w:tcMar>
              <w:top w:w="100" w:type="dxa"/>
              <w:left w:w="100" w:type="dxa"/>
              <w:bottom w:w="100" w:type="dxa"/>
              <w:right w:w="100" w:type="dxa"/>
            </w:tcMar>
          </w:tcPr>
          <w:p w14:paraId="761AFC08" w14:textId="77777777" w:rsidR="006A1C58" w:rsidRPr="003F0485" w:rsidRDefault="006A1C58" w:rsidP="006A075A">
            <w:pPr>
              <w:widowControl w:val="0"/>
              <w:spacing w:line="240" w:lineRule="auto"/>
            </w:pPr>
            <w:r w:rsidRPr="003F0485">
              <w:t>7. Feeling afraid as if something awful might happen</w:t>
            </w:r>
          </w:p>
        </w:tc>
        <w:tc>
          <w:tcPr>
            <w:tcW w:w="851" w:type="dxa"/>
            <w:tcBorders>
              <w:bottom w:val="single" w:sz="4" w:space="0" w:color="auto"/>
            </w:tcBorders>
            <w:shd w:val="clear" w:color="auto" w:fill="auto"/>
            <w:tcMar>
              <w:top w:w="100" w:type="dxa"/>
              <w:left w:w="100" w:type="dxa"/>
              <w:bottom w:w="100" w:type="dxa"/>
              <w:right w:w="100" w:type="dxa"/>
            </w:tcMar>
          </w:tcPr>
          <w:p w14:paraId="0443A483" w14:textId="77777777" w:rsidR="006A1C58" w:rsidRPr="003F0485" w:rsidRDefault="006A1C58" w:rsidP="006A075A">
            <w:pPr>
              <w:widowControl w:val="0"/>
              <w:spacing w:line="240" w:lineRule="auto"/>
              <w:jc w:val="center"/>
            </w:pPr>
            <w:r w:rsidRPr="003F0485">
              <w:t>1.71</w:t>
            </w:r>
          </w:p>
        </w:tc>
        <w:tc>
          <w:tcPr>
            <w:tcW w:w="1275" w:type="dxa"/>
            <w:tcBorders>
              <w:bottom w:val="single" w:sz="4" w:space="0" w:color="auto"/>
            </w:tcBorders>
            <w:shd w:val="clear" w:color="auto" w:fill="auto"/>
            <w:tcMar>
              <w:top w:w="100" w:type="dxa"/>
              <w:left w:w="100" w:type="dxa"/>
              <w:bottom w:w="100" w:type="dxa"/>
              <w:right w:w="100" w:type="dxa"/>
            </w:tcMar>
          </w:tcPr>
          <w:p w14:paraId="320AF4C1" w14:textId="77777777" w:rsidR="006A1C58" w:rsidRPr="003F0485" w:rsidRDefault="006A1C58" w:rsidP="006A075A">
            <w:pPr>
              <w:widowControl w:val="0"/>
              <w:spacing w:line="240" w:lineRule="auto"/>
              <w:jc w:val="center"/>
            </w:pPr>
            <w:r w:rsidRPr="003F0485">
              <w:t>0.82</w:t>
            </w:r>
          </w:p>
        </w:tc>
      </w:tr>
      <w:tr w:rsidR="006A1C58" w:rsidRPr="003F0485" w14:paraId="0D7CFB27" w14:textId="77777777" w:rsidTr="006A1C58">
        <w:tc>
          <w:tcPr>
            <w:tcW w:w="6369" w:type="dxa"/>
            <w:tcBorders>
              <w:top w:val="single" w:sz="4" w:space="0" w:color="auto"/>
              <w:bottom w:val="single" w:sz="4" w:space="0" w:color="auto"/>
            </w:tcBorders>
            <w:shd w:val="clear" w:color="auto" w:fill="auto"/>
            <w:tcMar>
              <w:top w:w="100" w:type="dxa"/>
              <w:left w:w="100" w:type="dxa"/>
              <w:bottom w:w="100" w:type="dxa"/>
              <w:right w:w="100" w:type="dxa"/>
            </w:tcMar>
          </w:tcPr>
          <w:p w14:paraId="1A0E9F2B" w14:textId="77777777" w:rsidR="006A1C58" w:rsidRPr="003F0485" w:rsidRDefault="006A1C58" w:rsidP="006A075A">
            <w:pPr>
              <w:widowControl w:val="0"/>
              <w:spacing w:line="240" w:lineRule="auto"/>
              <w:jc w:val="right"/>
            </w:pPr>
            <w:r w:rsidRPr="003F0485">
              <w:t>Average:</w:t>
            </w:r>
          </w:p>
        </w:tc>
        <w:tc>
          <w:tcPr>
            <w:tcW w:w="851" w:type="dxa"/>
            <w:tcBorders>
              <w:top w:val="single" w:sz="4" w:space="0" w:color="auto"/>
              <w:bottom w:val="single" w:sz="4" w:space="0" w:color="auto"/>
            </w:tcBorders>
            <w:shd w:val="clear" w:color="auto" w:fill="auto"/>
            <w:tcMar>
              <w:top w:w="100" w:type="dxa"/>
              <w:left w:w="100" w:type="dxa"/>
              <w:bottom w:w="100" w:type="dxa"/>
              <w:right w:w="100" w:type="dxa"/>
            </w:tcMar>
          </w:tcPr>
          <w:p w14:paraId="3DFCF090" w14:textId="77777777" w:rsidR="006A1C58" w:rsidRPr="003F0485" w:rsidRDefault="006A1C58" w:rsidP="006A075A">
            <w:pPr>
              <w:widowControl w:val="0"/>
              <w:spacing w:line="240" w:lineRule="auto"/>
              <w:jc w:val="center"/>
            </w:pPr>
            <w:r w:rsidRPr="003F0485">
              <w:t>1.87</w:t>
            </w:r>
          </w:p>
        </w:tc>
        <w:tc>
          <w:tcPr>
            <w:tcW w:w="1275" w:type="dxa"/>
            <w:tcBorders>
              <w:top w:val="single" w:sz="4" w:space="0" w:color="auto"/>
              <w:bottom w:val="single" w:sz="4" w:space="0" w:color="auto"/>
            </w:tcBorders>
            <w:shd w:val="clear" w:color="auto" w:fill="auto"/>
            <w:tcMar>
              <w:top w:w="100" w:type="dxa"/>
              <w:left w:w="100" w:type="dxa"/>
              <w:bottom w:w="100" w:type="dxa"/>
              <w:right w:w="100" w:type="dxa"/>
            </w:tcMar>
          </w:tcPr>
          <w:p w14:paraId="2BA5AA24" w14:textId="77777777" w:rsidR="006A1C58" w:rsidRPr="003F0485" w:rsidRDefault="006A1C58" w:rsidP="006A075A">
            <w:pPr>
              <w:widowControl w:val="0"/>
              <w:spacing w:line="240" w:lineRule="auto"/>
              <w:jc w:val="center"/>
            </w:pPr>
            <w:r w:rsidRPr="003F0485">
              <w:t>0.86</w:t>
            </w:r>
          </w:p>
        </w:tc>
      </w:tr>
    </w:tbl>
    <w:p w14:paraId="3196A496" w14:textId="77777777" w:rsidR="006A1C58" w:rsidRPr="003F0485" w:rsidRDefault="006A1C58" w:rsidP="006A1C58">
      <w:pPr>
        <w:pStyle w:val="Newparagraph"/>
        <w:ind w:firstLine="0"/>
      </w:pPr>
    </w:p>
    <w:p w14:paraId="04E244F9" w14:textId="1FAA6280" w:rsidR="006A1C58" w:rsidRPr="003F0485" w:rsidRDefault="006A1C58" w:rsidP="006A1C58">
      <w:pPr>
        <w:pStyle w:val="Newparagraph"/>
        <w:ind w:firstLine="0"/>
        <w:rPr>
          <w:i/>
          <w:iCs/>
        </w:rPr>
      </w:pPr>
      <w:r w:rsidRPr="003F0485">
        <w:t xml:space="preserve">Table </w:t>
      </w:r>
      <w:r w:rsidR="004F28C4" w:rsidRPr="003F0485">
        <w:t>4</w:t>
      </w:r>
      <w:r w:rsidRPr="003F0485">
        <w:t xml:space="preserve">. </w:t>
      </w:r>
      <w:r w:rsidRPr="003F0485">
        <w:rPr>
          <w:i/>
          <w:iCs/>
        </w:rPr>
        <w:t>Summary statistics for CTSQ scale items among Hong Kong music teachers</w:t>
      </w:r>
    </w:p>
    <w:tbl>
      <w:tblPr>
        <w:tblW w:w="8505" w:type="dxa"/>
        <w:tblBorders>
          <w:top w:val="single" w:sz="4" w:space="0" w:color="auto"/>
        </w:tblBorders>
        <w:tblLayout w:type="fixed"/>
        <w:tblLook w:val="0600" w:firstRow="0" w:lastRow="0" w:firstColumn="0" w:lastColumn="0" w:noHBand="1" w:noVBand="1"/>
      </w:tblPr>
      <w:tblGrid>
        <w:gridCol w:w="6379"/>
        <w:gridCol w:w="851"/>
        <w:gridCol w:w="1275"/>
      </w:tblGrid>
      <w:tr w:rsidR="006A1C58" w:rsidRPr="003F0485" w14:paraId="35DB8E88" w14:textId="77777777" w:rsidTr="006A1C58">
        <w:tc>
          <w:tcPr>
            <w:tcW w:w="6379" w:type="dxa"/>
            <w:tcBorders>
              <w:top w:val="single" w:sz="4" w:space="0" w:color="auto"/>
              <w:bottom w:val="single" w:sz="4" w:space="0" w:color="auto"/>
            </w:tcBorders>
            <w:shd w:val="clear" w:color="auto" w:fill="auto"/>
            <w:tcMar>
              <w:top w:w="100" w:type="dxa"/>
              <w:left w:w="100" w:type="dxa"/>
              <w:bottom w:w="100" w:type="dxa"/>
              <w:right w:w="100" w:type="dxa"/>
            </w:tcMar>
            <w:vAlign w:val="bottom"/>
          </w:tcPr>
          <w:p w14:paraId="2860E25B" w14:textId="77777777" w:rsidR="006A1C58" w:rsidRPr="003F0485" w:rsidRDefault="006A1C58" w:rsidP="006A1C58">
            <w:pPr>
              <w:widowControl w:val="0"/>
              <w:spacing w:line="240" w:lineRule="auto"/>
              <w:jc w:val="center"/>
            </w:pPr>
            <w:r w:rsidRPr="003F0485">
              <w:t>Items</w:t>
            </w:r>
          </w:p>
        </w:tc>
        <w:tc>
          <w:tcPr>
            <w:tcW w:w="851" w:type="dxa"/>
            <w:tcBorders>
              <w:top w:val="single" w:sz="4" w:space="0" w:color="auto"/>
              <w:bottom w:val="single" w:sz="4" w:space="0" w:color="auto"/>
            </w:tcBorders>
            <w:shd w:val="clear" w:color="auto" w:fill="auto"/>
            <w:tcMar>
              <w:top w:w="100" w:type="dxa"/>
              <w:left w:w="100" w:type="dxa"/>
              <w:bottom w:w="100" w:type="dxa"/>
              <w:right w:w="100" w:type="dxa"/>
            </w:tcMar>
            <w:vAlign w:val="bottom"/>
          </w:tcPr>
          <w:p w14:paraId="27D88717" w14:textId="77777777" w:rsidR="006A1C58" w:rsidRPr="003F0485" w:rsidRDefault="006A1C58" w:rsidP="006A1C58">
            <w:pPr>
              <w:widowControl w:val="0"/>
              <w:spacing w:line="240" w:lineRule="auto"/>
              <w:jc w:val="center"/>
            </w:pPr>
            <w:r w:rsidRPr="003F0485">
              <w:t>Mean</w:t>
            </w:r>
          </w:p>
        </w:tc>
        <w:tc>
          <w:tcPr>
            <w:tcW w:w="1275" w:type="dxa"/>
            <w:tcBorders>
              <w:top w:val="single" w:sz="4" w:space="0" w:color="auto"/>
              <w:bottom w:val="single" w:sz="4" w:space="0" w:color="auto"/>
            </w:tcBorders>
            <w:shd w:val="clear" w:color="auto" w:fill="auto"/>
            <w:tcMar>
              <w:top w:w="100" w:type="dxa"/>
              <w:left w:w="100" w:type="dxa"/>
              <w:bottom w:w="100" w:type="dxa"/>
              <w:right w:w="100" w:type="dxa"/>
            </w:tcMar>
          </w:tcPr>
          <w:p w14:paraId="38C34284" w14:textId="77777777" w:rsidR="006A1C58" w:rsidRPr="003F0485" w:rsidRDefault="006A1C58" w:rsidP="006A1C58">
            <w:pPr>
              <w:widowControl w:val="0"/>
              <w:spacing w:line="240" w:lineRule="auto"/>
              <w:jc w:val="center"/>
            </w:pPr>
            <w:r w:rsidRPr="003F0485">
              <w:t>Standard Deviation</w:t>
            </w:r>
          </w:p>
        </w:tc>
      </w:tr>
      <w:tr w:rsidR="006A1C58" w:rsidRPr="003F0485" w14:paraId="45F8441E" w14:textId="77777777" w:rsidTr="006A1C58">
        <w:tc>
          <w:tcPr>
            <w:tcW w:w="6379" w:type="dxa"/>
            <w:tcBorders>
              <w:top w:val="single" w:sz="4" w:space="0" w:color="auto"/>
            </w:tcBorders>
            <w:shd w:val="clear" w:color="auto" w:fill="auto"/>
            <w:tcMar>
              <w:top w:w="100" w:type="dxa"/>
              <w:left w:w="100" w:type="dxa"/>
              <w:bottom w:w="100" w:type="dxa"/>
              <w:right w:w="100" w:type="dxa"/>
            </w:tcMar>
          </w:tcPr>
          <w:p w14:paraId="42F7C34F" w14:textId="77777777" w:rsidR="006A1C58" w:rsidRPr="003F0485" w:rsidRDefault="006A1C58" w:rsidP="006A075A">
            <w:pPr>
              <w:widowControl w:val="0"/>
              <w:spacing w:line="240" w:lineRule="auto"/>
            </w:pPr>
            <w:r w:rsidRPr="003F0485">
              <w:t>1. Pupils who lack motivation</w:t>
            </w:r>
          </w:p>
        </w:tc>
        <w:tc>
          <w:tcPr>
            <w:tcW w:w="851" w:type="dxa"/>
            <w:tcBorders>
              <w:top w:val="single" w:sz="4" w:space="0" w:color="auto"/>
            </w:tcBorders>
            <w:shd w:val="clear" w:color="auto" w:fill="auto"/>
            <w:tcMar>
              <w:top w:w="100" w:type="dxa"/>
              <w:left w:w="100" w:type="dxa"/>
              <w:bottom w:w="100" w:type="dxa"/>
              <w:right w:w="100" w:type="dxa"/>
            </w:tcMar>
          </w:tcPr>
          <w:p w14:paraId="360C879D" w14:textId="77777777" w:rsidR="006A1C58" w:rsidRPr="003F0485" w:rsidRDefault="006A1C58" w:rsidP="006A075A">
            <w:pPr>
              <w:widowControl w:val="0"/>
              <w:spacing w:line="240" w:lineRule="auto"/>
              <w:jc w:val="center"/>
            </w:pPr>
            <w:r w:rsidRPr="003F0485">
              <w:t>2.75</w:t>
            </w:r>
          </w:p>
        </w:tc>
        <w:tc>
          <w:tcPr>
            <w:tcW w:w="1275" w:type="dxa"/>
            <w:tcBorders>
              <w:top w:val="single" w:sz="4" w:space="0" w:color="auto"/>
            </w:tcBorders>
            <w:shd w:val="clear" w:color="auto" w:fill="auto"/>
            <w:tcMar>
              <w:top w:w="100" w:type="dxa"/>
              <w:left w:w="100" w:type="dxa"/>
              <w:bottom w:w="100" w:type="dxa"/>
              <w:right w:w="100" w:type="dxa"/>
            </w:tcMar>
          </w:tcPr>
          <w:p w14:paraId="19BB6AAE" w14:textId="77777777" w:rsidR="006A1C58" w:rsidRPr="003F0485" w:rsidRDefault="006A1C58" w:rsidP="006A075A">
            <w:pPr>
              <w:widowControl w:val="0"/>
              <w:spacing w:line="240" w:lineRule="auto"/>
              <w:jc w:val="center"/>
            </w:pPr>
            <w:r w:rsidRPr="003F0485">
              <w:t>1.00</w:t>
            </w:r>
          </w:p>
        </w:tc>
      </w:tr>
      <w:tr w:rsidR="006A1C58" w:rsidRPr="003F0485" w14:paraId="7EF324F3" w14:textId="77777777" w:rsidTr="006A1C58">
        <w:tc>
          <w:tcPr>
            <w:tcW w:w="6379" w:type="dxa"/>
            <w:shd w:val="clear" w:color="auto" w:fill="auto"/>
            <w:tcMar>
              <w:top w:w="100" w:type="dxa"/>
              <w:left w:w="100" w:type="dxa"/>
              <w:bottom w:w="100" w:type="dxa"/>
              <w:right w:w="100" w:type="dxa"/>
            </w:tcMar>
          </w:tcPr>
          <w:p w14:paraId="605A017F" w14:textId="77777777" w:rsidR="006A1C58" w:rsidRPr="003F0485" w:rsidRDefault="006A1C58" w:rsidP="006A075A">
            <w:pPr>
              <w:widowControl w:val="0"/>
              <w:spacing w:line="240" w:lineRule="auto"/>
            </w:pPr>
            <w:r w:rsidRPr="003F0485">
              <w:t>2. Communications to and from parents</w:t>
            </w:r>
          </w:p>
        </w:tc>
        <w:tc>
          <w:tcPr>
            <w:tcW w:w="851" w:type="dxa"/>
            <w:shd w:val="clear" w:color="auto" w:fill="auto"/>
            <w:tcMar>
              <w:top w:w="100" w:type="dxa"/>
              <w:left w:w="100" w:type="dxa"/>
              <w:bottom w:w="100" w:type="dxa"/>
              <w:right w:w="100" w:type="dxa"/>
            </w:tcMar>
          </w:tcPr>
          <w:p w14:paraId="77F853BA" w14:textId="77777777" w:rsidR="006A1C58" w:rsidRPr="003F0485" w:rsidRDefault="006A1C58" w:rsidP="006A075A">
            <w:pPr>
              <w:widowControl w:val="0"/>
              <w:spacing w:line="240" w:lineRule="auto"/>
              <w:jc w:val="center"/>
            </w:pPr>
            <w:r w:rsidRPr="003F0485">
              <w:t>2.50</w:t>
            </w:r>
          </w:p>
        </w:tc>
        <w:tc>
          <w:tcPr>
            <w:tcW w:w="1275" w:type="dxa"/>
            <w:shd w:val="clear" w:color="auto" w:fill="auto"/>
            <w:tcMar>
              <w:top w:w="100" w:type="dxa"/>
              <w:left w:w="100" w:type="dxa"/>
              <w:bottom w:w="100" w:type="dxa"/>
              <w:right w:w="100" w:type="dxa"/>
            </w:tcMar>
          </w:tcPr>
          <w:p w14:paraId="0CB10AAC" w14:textId="77777777" w:rsidR="006A1C58" w:rsidRPr="003F0485" w:rsidRDefault="006A1C58" w:rsidP="006A075A">
            <w:pPr>
              <w:widowControl w:val="0"/>
              <w:spacing w:line="240" w:lineRule="auto"/>
              <w:jc w:val="center"/>
            </w:pPr>
            <w:r w:rsidRPr="003F0485">
              <w:t>1.01</w:t>
            </w:r>
          </w:p>
        </w:tc>
      </w:tr>
      <w:tr w:rsidR="006A1C58" w:rsidRPr="003F0485" w14:paraId="16BFE499" w14:textId="77777777" w:rsidTr="006A1C58">
        <w:tc>
          <w:tcPr>
            <w:tcW w:w="6379" w:type="dxa"/>
            <w:shd w:val="clear" w:color="auto" w:fill="auto"/>
            <w:tcMar>
              <w:top w:w="100" w:type="dxa"/>
              <w:left w:w="100" w:type="dxa"/>
              <w:bottom w:w="100" w:type="dxa"/>
              <w:right w:w="100" w:type="dxa"/>
            </w:tcMar>
          </w:tcPr>
          <w:p w14:paraId="50DD6E85" w14:textId="77777777" w:rsidR="006A1C58" w:rsidRPr="003F0485" w:rsidRDefault="006A1C58" w:rsidP="006A075A">
            <w:pPr>
              <w:widowControl w:val="0"/>
              <w:spacing w:line="240" w:lineRule="auto"/>
            </w:pPr>
            <w:r w:rsidRPr="003F0485">
              <w:t>3. Public’s attitude and misunderstanding about primary teachers’ workload</w:t>
            </w:r>
          </w:p>
        </w:tc>
        <w:tc>
          <w:tcPr>
            <w:tcW w:w="851" w:type="dxa"/>
            <w:shd w:val="clear" w:color="auto" w:fill="auto"/>
            <w:tcMar>
              <w:top w:w="100" w:type="dxa"/>
              <w:left w:w="100" w:type="dxa"/>
              <w:bottom w:w="100" w:type="dxa"/>
              <w:right w:w="100" w:type="dxa"/>
            </w:tcMar>
          </w:tcPr>
          <w:p w14:paraId="59E5C20D" w14:textId="77777777" w:rsidR="006A1C58" w:rsidRPr="003F0485" w:rsidRDefault="006A1C58" w:rsidP="006A075A">
            <w:pPr>
              <w:widowControl w:val="0"/>
              <w:spacing w:line="240" w:lineRule="auto"/>
              <w:jc w:val="center"/>
            </w:pPr>
            <w:r w:rsidRPr="003F0485">
              <w:t>2.96</w:t>
            </w:r>
          </w:p>
        </w:tc>
        <w:tc>
          <w:tcPr>
            <w:tcW w:w="1275" w:type="dxa"/>
            <w:shd w:val="clear" w:color="auto" w:fill="auto"/>
            <w:tcMar>
              <w:top w:w="100" w:type="dxa"/>
              <w:left w:w="100" w:type="dxa"/>
              <w:bottom w:w="100" w:type="dxa"/>
              <w:right w:w="100" w:type="dxa"/>
            </w:tcMar>
          </w:tcPr>
          <w:p w14:paraId="5E524F7A" w14:textId="77777777" w:rsidR="006A1C58" w:rsidRPr="003F0485" w:rsidRDefault="006A1C58" w:rsidP="006A075A">
            <w:pPr>
              <w:widowControl w:val="0"/>
              <w:spacing w:line="240" w:lineRule="auto"/>
              <w:jc w:val="center"/>
            </w:pPr>
            <w:r w:rsidRPr="003F0485">
              <w:t>1.18</w:t>
            </w:r>
          </w:p>
        </w:tc>
      </w:tr>
      <w:tr w:rsidR="006A1C58" w:rsidRPr="003F0485" w14:paraId="48C2222F" w14:textId="77777777" w:rsidTr="006A1C58">
        <w:tc>
          <w:tcPr>
            <w:tcW w:w="6379" w:type="dxa"/>
            <w:shd w:val="clear" w:color="auto" w:fill="auto"/>
            <w:tcMar>
              <w:top w:w="100" w:type="dxa"/>
              <w:left w:w="100" w:type="dxa"/>
              <w:bottom w:w="100" w:type="dxa"/>
              <w:right w:w="100" w:type="dxa"/>
            </w:tcMar>
          </w:tcPr>
          <w:p w14:paraId="5AB17CED" w14:textId="77777777" w:rsidR="006A1C58" w:rsidRPr="003F0485" w:rsidRDefault="006A1C58" w:rsidP="006A075A">
            <w:pPr>
              <w:widowControl w:val="0"/>
              <w:spacing w:line="240" w:lineRule="auto"/>
            </w:pPr>
            <w:r w:rsidRPr="003F0485">
              <w:t>4. Pupils’ misbehaviour</w:t>
            </w:r>
          </w:p>
        </w:tc>
        <w:tc>
          <w:tcPr>
            <w:tcW w:w="851" w:type="dxa"/>
            <w:shd w:val="clear" w:color="auto" w:fill="auto"/>
            <w:tcMar>
              <w:top w:w="100" w:type="dxa"/>
              <w:left w:w="100" w:type="dxa"/>
              <w:bottom w:w="100" w:type="dxa"/>
              <w:right w:w="100" w:type="dxa"/>
            </w:tcMar>
          </w:tcPr>
          <w:p w14:paraId="6612648A" w14:textId="77777777" w:rsidR="006A1C58" w:rsidRPr="003F0485" w:rsidRDefault="006A1C58" w:rsidP="006A075A">
            <w:pPr>
              <w:widowControl w:val="0"/>
              <w:spacing w:line="240" w:lineRule="auto"/>
              <w:jc w:val="center"/>
            </w:pPr>
            <w:r w:rsidRPr="003F0485">
              <w:t>2.64</w:t>
            </w:r>
          </w:p>
        </w:tc>
        <w:tc>
          <w:tcPr>
            <w:tcW w:w="1275" w:type="dxa"/>
            <w:shd w:val="clear" w:color="auto" w:fill="auto"/>
            <w:tcMar>
              <w:top w:w="100" w:type="dxa"/>
              <w:left w:w="100" w:type="dxa"/>
              <w:bottom w:w="100" w:type="dxa"/>
              <w:right w:w="100" w:type="dxa"/>
            </w:tcMar>
          </w:tcPr>
          <w:p w14:paraId="6AA7F72B" w14:textId="77777777" w:rsidR="006A1C58" w:rsidRPr="003F0485" w:rsidRDefault="006A1C58" w:rsidP="006A075A">
            <w:pPr>
              <w:widowControl w:val="0"/>
              <w:spacing w:line="240" w:lineRule="auto"/>
              <w:jc w:val="center"/>
            </w:pPr>
            <w:r w:rsidRPr="003F0485">
              <w:t>1.06</w:t>
            </w:r>
          </w:p>
        </w:tc>
      </w:tr>
      <w:tr w:rsidR="006A1C58" w:rsidRPr="003F0485" w14:paraId="458C5590" w14:textId="77777777" w:rsidTr="006A1C58">
        <w:tc>
          <w:tcPr>
            <w:tcW w:w="6379" w:type="dxa"/>
            <w:shd w:val="clear" w:color="auto" w:fill="auto"/>
            <w:tcMar>
              <w:top w:w="100" w:type="dxa"/>
              <w:left w:w="100" w:type="dxa"/>
              <w:bottom w:w="100" w:type="dxa"/>
              <w:right w:w="100" w:type="dxa"/>
            </w:tcMar>
          </w:tcPr>
          <w:p w14:paraId="5AA63EB0" w14:textId="77777777" w:rsidR="006A1C58" w:rsidRPr="003F0485" w:rsidRDefault="006A1C58" w:rsidP="006A075A">
            <w:pPr>
              <w:widowControl w:val="0"/>
              <w:spacing w:line="240" w:lineRule="auto"/>
            </w:pPr>
            <w:r w:rsidRPr="003F0485">
              <w:t>5. Management style of the school principal</w:t>
            </w:r>
          </w:p>
        </w:tc>
        <w:tc>
          <w:tcPr>
            <w:tcW w:w="851" w:type="dxa"/>
            <w:shd w:val="clear" w:color="auto" w:fill="auto"/>
            <w:tcMar>
              <w:top w:w="100" w:type="dxa"/>
              <w:left w:w="100" w:type="dxa"/>
              <w:bottom w:w="100" w:type="dxa"/>
              <w:right w:w="100" w:type="dxa"/>
            </w:tcMar>
          </w:tcPr>
          <w:p w14:paraId="36BFC912" w14:textId="77777777" w:rsidR="006A1C58" w:rsidRPr="003F0485" w:rsidRDefault="006A1C58" w:rsidP="006A075A">
            <w:pPr>
              <w:widowControl w:val="0"/>
              <w:spacing w:line="240" w:lineRule="auto"/>
              <w:jc w:val="center"/>
            </w:pPr>
            <w:r w:rsidRPr="003F0485">
              <w:t>3.14</w:t>
            </w:r>
          </w:p>
        </w:tc>
        <w:tc>
          <w:tcPr>
            <w:tcW w:w="1275" w:type="dxa"/>
            <w:shd w:val="clear" w:color="auto" w:fill="auto"/>
            <w:tcMar>
              <w:top w:w="100" w:type="dxa"/>
              <w:left w:w="100" w:type="dxa"/>
              <w:bottom w:w="100" w:type="dxa"/>
              <w:right w:w="100" w:type="dxa"/>
            </w:tcMar>
          </w:tcPr>
          <w:p w14:paraId="769176ED" w14:textId="77777777" w:rsidR="006A1C58" w:rsidRPr="003F0485" w:rsidRDefault="006A1C58" w:rsidP="006A075A">
            <w:pPr>
              <w:widowControl w:val="0"/>
              <w:spacing w:line="240" w:lineRule="auto"/>
              <w:jc w:val="center"/>
            </w:pPr>
            <w:r w:rsidRPr="003F0485">
              <w:t>1.01</w:t>
            </w:r>
          </w:p>
        </w:tc>
      </w:tr>
      <w:tr w:rsidR="006A1C58" w:rsidRPr="003F0485" w14:paraId="281AD609" w14:textId="77777777" w:rsidTr="006A1C58">
        <w:tc>
          <w:tcPr>
            <w:tcW w:w="6379" w:type="dxa"/>
            <w:shd w:val="clear" w:color="auto" w:fill="auto"/>
            <w:tcMar>
              <w:top w:w="100" w:type="dxa"/>
              <w:left w:w="100" w:type="dxa"/>
              <w:bottom w:w="100" w:type="dxa"/>
              <w:right w:w="100" w:type="dxa"/>
            </w:tcMar>
          </w:tcPr>
          <w:p w14:paraId="33BB4BB5" w14:textId="77777777" w:rsidR="006A1C58" w:rsidRPr="003F0485" w:rsidRDefault="006A1C58" w:rsidP="006A075A">
            <w:pPr>
              <w:widowControl w:val="0"/>
              <w:spacing w:line="240" w:lineRule="auto"/>
            </w:pPr>
            <w:r w:rsidRPr="003F0485">
              <w:t>6. Additional administrative work</w:t>
            </w:r>
          </w:p>
        </w:tc>
        <w:tc>
          <w:tcPr>
            <w:tcW w:w="851" w:type="dxa"/>
            <w:shd w:val="clear" w:color="auto" w:fill="auto"/>
            <w:tcMar>
              <w:top w:w="100" w:type="dxa"/>
              <w:left w:w="100" w:type="dxa"/>
              <w:bottom w:w="100" w:type="dxa"/>
              <w:right w:w="100" w:type="dxa"/>
            </w:tcMar>
          </w:tcPr>
          <w:p w14:paraId="335422CA" w14:textId="77777777" w:rsidR="006A1C58" w:rsidRPr="003F0485" w:rsidRDefault="006A1C58" w:rsidP="006A075A">
            <w:pPr>
              <w:widowControl w:val="0"/>
              <w:spacing w:line="240" w:lineRule="auto"/>
              <w:jc w:val="center"/>
            </w:pPr>
            <w:r w:rsidRPr="003F0485">
              <w:t>3.39</w:t>
            </w:r>
          </w:p>
        </w:tc>
        <w:tc>
          <w:tcPr>
            <w:tcW w:w="1275" w:type="dxa"/>
            <w:shd w:val="clear" w:color="auto" w:fill="auto"/>
            <w:tcMar>
              <w:top w:w="100" w:type="dxa"/>
              <w:left w:w="100" w:type="dxa"/>
              <w:bottom w:w="100" w:type="dxa"/>
              <w:right w:w="100" w:type="dxa"/>
            </w:tcMar>
          </w:tcPr>
          <w:p w14:paraId="3DC77686" w14:textId="77777777" w:rsidR="006A1C58" w:rsidRPr="003F0485" w:rsidRDefault="006A1C58" w:rsidP="006A075A">
            <w:pPr>
              <w:widowControl w:val="0"/>
              <w:spacing w:line="240" w:lineRule="auto"/>
              <w:jc w:val="center"/>
            </w:pPr>
            <w:r w:rsidRPr="003F0485">
              <w:t>1.02</w:t>
            </w:r>
          </w:p>
        </w:tc>
      </w:tr>
      <w:tr w:rsidR="006A1C58" w:rsidRPr="003F0485" w14:paraId="3B69A225" w14:textId="77777777" w:rsidTr="006A1C58">
        <w:tc>
          <w:tcPr>
            <w:tcW w:w="6379" w:type="dxa"/>
            <w:shd w:val="clear" w:color="auto" w:fill="auto"/>
            <w:tcMar>
              <w:top w:w="100" w:type="dxa"/>
              <w:left w:w="100" w:type="dxa"/>
              <w:bottom w:w="100" w:type="dxa"/>
              <w:right w:w="100" w:type="dxa"/>
            </w:tcMar>
          </w:tcPr>
          <w:p w14:paraId="2891EB91" w14:textId="77777777" w:rsidR="006A1C58" w:rsidRPr="003F0485" w:rsidRDefault="006A1C58" w:rsidP="006A075A">
            <w:pPr>
              <w:widowControl w:val="0"/>
              <w:spacing w:line="240" w:lineRule="auto"/>
            </w:pPr>
            <w:r w:rsidRPr="003F0485">
              <w:t>7. Competition between classes/colleagues</w:t>
            </w:r>
          </w:p>
        </w:tc>
        <w:tc>
          <w:tcPr>
            <w:tcW w:w="851" w:type="dxa"/>
            <w:shd w:val="clear" w:color="auto" w:fill="auto"/>
            <w:tcMar>
              <w:top w:w="100" w:type="dxa"/>
              <w:left w:w="100" w:type="dxa"/>
              <w:bottom w:w="100" w:type="dxa"/>
              <w:right w:w="100" w:type="dxa"/>
            </w:tcMar>
          </w:tcPr>
          <w:p w14:paraId="0106DA6B" w14:textId="77777777" w:rsidR="006A1C58" w:rsidRPr="003F0485" w:rsidRDefault="006A1C58" w:rsidP="006A075A">
            <w:pPr>
              <w:widowControl w:val="0"/>
              <w:spacing w:line="240" w:lineRule="auto"/>
              <w:jc w:val="center"/>
            </w:pPr>
            <w:r w:rsidRPr="003F0485">
              <w:t>2.33</w:t>
            </w:r>
          </w:p>
        </w:tc>
        <w:tc>
          <w:tcPr>
            <w:tcW w:w="1275" w:type="dxa"/>
            <w:shd w:val="clear" w:color="auto" w:fill="auto"/>
            <w:tcMar>
              <w:top w:w="100" w:type="dxa"/>
              <w:left w:w="100" w:type="dxa"/>
              <w:bottom w:w="100" w:type="dxa"/>
              <w:right w:w="100" w:type="dxa"/>
            </w:tcMar>
          </w:tcPr>
          <w:p w14:paraId="7EF5EBF2" w14:textId="77777777" w:rsidR="006A1C58" w:rsidRPr="003F0485" w:rsidRDefault="006A1C58" w:rsidP="006A075A">
            <w:pPr>
              <w:widowControl w:val="0"/>
              <w:spacing w:line="240" w:lineRule="auto"/>
              <w:jc w:val="center"/>
            </w:pPr>
            <w:r w:rsidRPr="003F0485">
              <w:t>1.05</w:t>
            </w:r>
          </w:p>
        </w:tc>
      </w:tr>
      <w:tr w:rsidR="006A1C58" w:rsidRPr="003F0485" w14:paraId="0AB0DB9F" w14:textId="77777777" w:rsidTr="006A1C58">
        <w:tc>
          <w:tcPr>
            <w:tcW w:w="6379" w:type="dxa"/>
            <w:shd w:val="clear" w:color="auto" w:fill="auto"/>
            <w:tcMar>
              <w:top w:w="100" w:type="dxa"/>
              <w:left w:w="100" w:type="dxa"/>
              <w:bottom w:w="100" w:type="dxa"/>
              <w:right w:w="100" w:type="dxa"/>
            </w:tcMar>
          </w:tcPr>
          <w:p w14:paraId="5E7E34CA" w14:textId="77777777" w:rsidR="006A1C58" w:rsidRPr="003F0485" w:rsidRDefault="006A1C58" w:rsidP="006A075A">
            <w:pPr>
              <w:widowControl w:val="0"/>
              <w:spacing w:line="240" w:lineRule="auto"/>
            </w:pPr>
            <w:r w:rsidRPr="003F0485">
              <w:t>8. Instructing pupils who take part in local or national competition</w:t>
            </w:r>
          </w:p>
        </w:tc>
        <w:tc>
          <w:tcPr>
            <w:tcW w:w="851" w:type="dxa"/>
            <w:shd w:val="clear" w:color="auto" w:fill="auto"/>
            <w:tcMar>
              <w:top w:w="100" w:type="dxa"/>
              <w:left w:w="100" w:type="dxa"/>
              <w:bottom w:w="100" w:type="dxa"/>
              <w:right w:w="100" w:type="dxa"/>
            </w:tcMar>
          </w:tcPr>
          <w:p w14:paraId="2ABC10EF" w14:textId="77777777" w:rsidR="006A1C58" w:rsidRPr="003F0485" w:rsidRDefault="006A1C58" w:rsidP="006A075A">
            <w:pPr>
              <w:widowControl w:val="0"/>
              <w:spacing w:line="240" w:lineRule="auto"/>
              <w:jc w:val="center"/>
            </w:pPr>
            <w:r w:rsidRPr="003F0485">
              <w:t>2.88</w:t>
            </w:r>
          </w:p>
        </w:tc>
        <w:tc>
          <w:tcPr>
            <w:tcW w:w="1275" w:type="dxa"/>
            <w:shd w:val="clear" w:color="auto" w:fill="auto"/>
            <w:tcMar>
              <w:top w:w="100" w:type="dxa"/>
              <w:left w:w="100" w:type="dxa"/>
              <w:bottom w:w="100" w:type="dxa"/>
              <w:right w:w="100" w:type="dxa"/>
            </w:tcMar>
          </w:tcPr>
          <w:p w14:paraId="0BE27BB7" w14:textId="77777777" w:rsidR="006A1C58" w:rsidRPr="003F0485" w:rsidRDefault="006A1C58" w:rsidP="006A075A">
            <w:pPr>
              <w:widowControl w:val="0"/>
              <w:spacing w:line="240" w:lineRule="auto"/>
              <w:jc w:val="center"/>
            </w:pPr>
            <w:r w:rsidRPr="003F0485">
              <w:t>1.08</w:t>
            </w:r>
          </w:p>
        </w:tc>
      </w:tr>
      <w:tr w:rsidR="006A1C58" w:rsidRPr="003F0485" w14:paraId="2F400514" w14:textId="77777777" w:rsidTr="006A1C58">
        <w:tc>
          <w:tcPr>
            <w:tcW w:w="6379" w:type="dxa"/>
            <w:shd w:val="clear" w:color="auto" w:fill="auto"/>
            <w:tcMar>
              <w:top w:w="100" w:type="dxa"/>
              <w:left w:w="100" w:type="dxa"/>
              <w:bottom w:w="100" w:type="dxa"/>
              <w:right w:w="100" w:type="dxa"/>
            </w:tcMar>
          </w:tcPr>
          <w:p w14:paraId="3DE628D2" w14:textId="77777777" w:rsidR="006A1C58" w:rsidRPr="003F0485" w:rsidRDefault="006A1C58" w:rsidP="006A075A">
            <w:pPr>
              <w:widowControl w:val="0"/>
              <w:spacing w:line="240" w:lineRule="auto"/>
            </w:pPr>
            <w:r w:rsidRPr="003F0485">
              <w:t>9. Too many pupils in one class</w:t>
            </w:r>
          </w:p>
        </w:tc>
        <w:tc>
          <w:tcPr>
            <w:tcW w:w="851" w:type="dxa"/>
            <w:shd w:val="clear" w:color="auto" w:fill="auto"/>
            <w:tcMar>
              <w:top w:w="100" w:type="dxa"/>
              <w:left w:w="100" w:type="dxa"/>
              <w:bottom w:w="100" w:type="dxa"/>
              <w:right w:w="100" w:type="dxa"/>
            </w:tcMar>
          </w:tcPr>
          <w:p w14:paraId="41B8D3C2" w14:textId="77777777" w:rsidR="006A1C58" w:rsidRPr="003F0485" w:rsidRDefault="006A1C58" w:rsidP="006A075A">
            <w:pPr>
              <w:widowControl w:val="0"/>
              <w:spacing w:line="240" w:lineRule="auto"/>
              <w:jc w:val="center"/>
            </w:pPr>
            <w:r w:rsidRPr="003F0485">
              <w:t>2.65</w:t>
            </w:r>
          </w:p>
        </w:tc>
        <w:tc>
          <w:tcPr>
            <w:tcW w:w="1275" w:type="dxa"/>
            <w:shd w:val="clear" w:color="auto" w:fill="auto"/>
            <w:tcMar>
              <w:top w:w="100" w:type="dxa"/>
              <w:left w:w="100" w:type="dxa"/>
              <w:bottom w:w="100" w:type="dxa"/>
              <w:right w:w="100" w:type="dxa"/>
            </w:tcMar>
          </w:tcPr>
          <w:p w14:paraId="6AA0A0A7" w14:textId="77777777" w:rsidR="006A1C58" w:rsidRPr="003F0485" w:rsidRDefault="006A1C58" w:rsidP="006A075A">
            <w:pPr>
              <w:widowControl w:val="0"/>
              <w:spacing w:line="240" w:lineRule="auto"/>
              <w:jc w:val="center"/>
            </w:pPr>
            <w:r w:rsidRPr="003F0485">
              <w:t>1.07</w:t>
            </w:r>
          </w:p>
        </w:tc>
      </w:tr>
      <w:tr w:rsidR="006A1C58" w:rsidRPr="003F0485" w14:paraId="095C5858" w14:textId="77777777" w:rsidTr="006A1C58">
        <w:tc>
          <w:tcPr>
            <w:tcW w:w="6379" w:type="dxa"/>
            <w:shd w:val="clear" w:color="auto" w:fill="auto"/>
            <w:tcMar>
              <w:top w:w="100" w:type="dxa"/>
              <w:left w:w="100" w:type="dxa"/>
              <w:bottom w:w="100" w:type="dxa"/>
              <w:right w:w="100" w:type="dxa"/>
            </w:tcMar>
          </w:tcPr>
          <w:p w14:paraId="460FA502" w14:textId="77777777" w:rsidR="006A1C58" w:rsidRPr="003F0485" w:rsidRDefault="006A1C58" w:rsidP="006A075A">
            <w:pPr>
              <w:widowControl w:val="0"/>
              <w:spacing w:line="240" w:lineRule="auto"/>
            </w:pPr>
            <w:r w:rsidRPr="003F0485">
              <w:t>10. Poor working conditions</w:t>
            </w:r>
          </w:p>
        </w:tc>
        <w:tc>
          <w:tcPr>
            <w:tcW w:w="851" w:type="dxa"/>
            <w:shd w:val="clear" w:color="auto" w:fill="auto"/>
            <w:tcMar>
              <w:top w:w="100" w:type="dxa"/>
              <w:left w:w="100" w:type="dxa"/>
              <w:bottom w:w="100" w:type="dxa"/>
              <w:right w:w="100" w:type="dxa"/>
            </w:tcMar>
          </w:tcPr>
          <w:p w14:paraId="613A2846" w14:textId="77777777" w:rsidR="006A1C58" w:rsidRPr="003F0485" w:rsidRDefault="006A1C58" w:rsidP="006A075A">
            <w:pPr>
              <w:widowControl w:val="0"/>
              <w:spacing w:line="240" w:lineRule="auto"/>
              <w:jc w:val="center"/>
            </w:pPr>
            <w:r w:rsidRPr="003F0485">
              <w:t>2.49</w:t>
            </w:r>
          </w:p>
        </w:tc>
        <w:tc>
          <w:tcPr>
            <w:tcW w:w="1275" w:type="dxa"/>
            <w:shd w:val="clear" w:color="auto" w:fill="auto"/>
            <w:tcMar>
              <w:top w:w="100" w:type="dxa"/>
              <w:left w:w="100" w:type="dxa"/>
              <w:bottom w:w="100" w:type="dxa"/>
              <w:right w:w="100" w:type="dxa"/>
            </w:tcMar>
          </w:tcPr>
          <w:p w14:paraId="0F27EA83" w14:textId="77777777" w:rsidR="006A1C58" w:rsidRPr="003F0485" w:rsidRDefault="006A1C58" w:rsidP="006A075A">
            <w:pPr>
              <w:widowControl w:val="0"/>
              <w:spacing w:line="240" w:lineRule="auto"/>
              <w:jc w:val="center"/>
            </w:pPr>
            <w:r w:rsidRPr="003F0485">
              <w:t>1.24</w:t>
            </w:r>
          </w:p>
        </w:tc>
      </w:tr>
      <w:tr w:rsidR="006A1C58" w:rsidRPr="003F0485" w14:paraId="5F0D87EC" w14:textId="77777777" w:rsidTr="006A1C58">
        <w:tc>
          <w:tcPr>
            <w:tcW w:w="6379" w:type="dxa"/>
            <w:shd w:val="clear" w:color="auto" w:fill="auto"/>
            <w:tcMar>
              <w:top w:w="100" w:type="dxa"/>
              <w:left w:w="100" w:type="dxa"/>
              <w:bottom w:w="100" w:type="dxa"/>
              <w:right w:w="100" w:type="dxa"/>
            </w:tcMar>
          </w:tcPr>
          <w:p w14:paraId="36B5D6A6" w14:textId="77777777" w:rsidR="006A1C58" w:rsidRPr="003F0485" w:rsidRDefault="006A1C58" w:rsidP="006A075A">
            <w:pPr>
              <w:widowControl w:val="0"/>
              <w:spacing w:line="240" w:lineRule="auto"/>
            </w:pPr>
            <w:r w:rsidRPr="003F0485">
              <w:t>11. Having to join too many teacher research and study seminars</w:t>
            </w:r>
          </w:p>
        </w:tc>
        <w:tc>
          <w:tcPr>
            <w:tcW w:w="851" w:type="dxa"/>
            <w:shd w:val="clear" w:color="auto" w:fill="auto"/>
            <w:tcMar>
              <w:top w:w="100" w:type="dxa"/>
              <w:left w:w="100" w:type="dxa"/>
              <w:bottom w:w="100" w:type="dxa"/>
              <w:right w:w="100" w:type="dxa"/>
            </w:tcMar>
          </w:tcPr>
          <w:p w14:paraId="78F87E5C" w14:textId="77777777" w:rsidR="006A1C58" w:rsidRPr="003F0485" w:rsidRDefault="006A1C58" w:rsidP="006A075A">
            <w:pPr>
              <w:widowControl w:val="0"/>
              <w:spacing w:line="240" w:lineRule="auto"/>
              <w:jc w:val="center"/>
            </w:pPr>
            <w:r w:rsidRPr="003F0485">
              <w:t>2.30</w:t>
            </w:r>
          </w:p>
        </w:tc>
        <w:tc>
          <w:tcPr>
            <w:tcW w:w="1275" w:type="dxa"/>
            <w:shd w:val="clear" w:color="auto" w:fill="auto"/>
            <w:tcMar>
              <w:top w:w="100" w:type="dxa"/>
              <w:left w:w="100" w:type="dxa"/>
              <w:bottom w:w="100" w:type="dxa"/>
              <w:right w:w="100" w:type="dxa"/>
            </w:tcMar>
          </w:tcPr>
          <w:p w14:paraId="70148A60" w14:textId="77777777" w:rsidR="006A1C58" w:rsidRPr="003F0485" w:rsidRDefault="006A1C58" w:rsidP="006A075A">
            <w:pPr>
              <w:widowControl w:val="0"/>
              <w:spacing w:line="240" w:lineRule="auto"/>
              <w:jc w:val="center"/>
            </w:pPr>
            <w:r w:rsidRPr="003F0485">
              <w:t>1.21</w:t>
            </w:r>
          </w:p>
        </w:tc>
      </w:tr>
      <w:tr w:rsidR="006A1C58" w:rsidRPr="003F0485" w14:paraId="36954854" w14:textId="77777777" w:rsidTr="006A1C58">
        <w:tc>
          <w:tcPr>
            <w:tcW w:w="6379" w:type="dxa"/>
            <w:shd w:val="clear" w:color="auto" w:fill="auto"/>
            <w:tcMar>
              <w:top w:w="100" w:type="dxa"/>
              <w:left w:w="100" w:type="dxa"/>
              <w:bottom w:w="100" w:type="dxa"/>
              <w:right w:w="100" w:type="dxa"/>
            </w:tcMar>
          </w:tcPr>
          <w:p w14:paraId="25245D1A" w14:textId="77777777" w:rsidR="006A1C58" w:rsidRPr="003F0485" w:rsidRDefault="006A1C58" w:rsidP="006A075A">
            <w:pPr>
              <w:widowControl w:val="0"/>
              <w:spacing w:line="240" w:lineRule="auto"/>
            </w:pPr>
            <w:r w:rsidRPr="003F0485">
              <w:lastRenderedPageBreak/>
              <w:t>12. Sundry class duties (e.g. collecting money for lunch/tuition fee or samples for parasite/urine inspection)</w:t>
            </w:r>
          </w:p>
        </w:tc>
        <w:tc>
          <w:tcPr>
            <w:tcW w:w="851" w:type="dxa"/>
            <w:shd w:val="clear" w:color="auto" w:fill="auto"/>
            <w:tcMar>
              <w:top w:w="100" w:type="dxa"/>
              <w:left w:w="100" w:type="dxa"/>
              <w:bottom w:w="100" w:type="dxa"/>
              <w:right w:w="100" w:type="dxa"/>
            </w:tcMar>
          </w:tcPr>
          <w:p w14:paraId="7F14654A" w14:textId="77777777" w:rsidR="006A1C58" w:rsidRPr="003F0485" w:rsidRDefault="006A1C58" w:rsidP="006A075A">
            <w:pPr>
              <w:widowControl w:val="0"/>
              <w:spacing w:line="240" w:lineRule="auto"/>
              <w:jc w:val="center"/>
            </w:pPr>
            <w:r w:rsidRPr="003F0485">
              <w:t>3.08</w:t>
            </w:r>
          </w:p>
        </w:tc>
        <w:tc>
          <w:tcPr>
            <w:tcW w:w="1275" w:type="dxa"/>
            <w:shd w:val="clear" w:color="auto" w:fill="auto"/>
            <w:tcMar>
              <w:top w:w="100" w:type="dxa"/>
              <w:left w:w="100" w:type="dxa"/>
              <w:bottom w:w="100" w:type="dxa"/>
              <w:right w:w="100" w:type="dxa"/>
            </w:tcMar>
          </w:tcPr>
          <w:p w14:paraId="4C7EC696" w14:textId="77777777" w:rsidR="006A1C58" w:rsidRPr="003F0485" w:rsidRDefault="006A1C58" w:rsidP="006A075A">
            <w:pPr>
              <w:widowControl w:val="0"/>
              <w:spacing w:line="240" w:lineRule="auto"/>
              <w:jc w:val="center"/>
            </w:pPr>
            <w:r w:rsidRPr="003F0485">
              <w:t>1.18</w:t>
            </w:r>
          </w:p>
        </w:tc>
      </w:tr>
      <w:tr w:rsidR="006A1C58" w:rsidRPr="003F0485" w14:paraId="3D42F69D" w14:textId="77777777" w:rsidTr="006A1C58">
        <w:tc>
          <w:tcPr>
            <w:tcW w:w="6379" w:type="dxa"/>
            <w:shd w:val="clear" w:color="auto" w:fill="auto"/>
            <w:tcMar>
              <w:top w:w="100" w:type="dxa"/>
              <w:left w:w="100" w:type="dxa"/>
              <w:bottom w:w="100" w:type="dxa"/>
              <w:right w:w="100" w:type="dxa"/>
            </w:tcMar>
          </w:tcPr>
          <w:p w14:paraId="18047E35" w14:textId="77777777" w:rsidR="006A1C58" w:rsidRPr="003F0485" w:rsidRDefault="006A1C58" w:rsidP="006A075A">
            <w:pPr>
              <w:widowControl w:val="0"/>
              <w:spacing w:line="240" w:lineRule="auto"/>
            </w:pPr>
            <w:r w:rsidRPr="003F0485">
              <w:t xml:space="preserve">13. Subject or grade taught does not fit expectations or </w:t>
            </w:r>
            <w:proofErr w:type="spellStart"/>
            <w:r w:rsidRPr="003F0485">
              <w:t>self ability</w:t>
            </w:r>
            <w:proofErr w:type="spellEnd"/>
          </w:p>
        </w:tc>
        <w:tc>
          <w:tcPr>
            <w:tcW w:w="851" w:type="dxa"/>
            <w:shd w:val="clear" w:color="auto" w:fill="auto"/>
            <w:tcMar>
              <w:top w:w="100" w:type="dxa"/>
              <w:left w:w="100" w:type="dxa"/>
              <w:bottom w:w="100" w:type="dxa"/>
              <w:right w:w="100" w:type="dxa"/>
            </w:tcMar>
          </w:tcPr>
          <w:p w14:paraId="7F6A79DD" w14:textId="77777777" w:rsidR="006A1C58" w:rsidRPr="003F0485" w:rsidRDefault="006A1C58" w:rsidP="006A075A">
            <w:pPr>
              <w:widowControl w:val="0"/>
              <w:spacing w:line="240" w:lineRule="auto"/>
              <w:jc w:val="center"/>
            </w:pPr>
            <w:r w:rsidRPr="003F0485">
              <w:t>2.57</w:t>
            </w:r>
          </w:p>
        </w:tc>
        <w:tc>
          <w:tcPr>
            <w:tcW w:w="1275" w:type="dxa"/>
            <w:shd w:val="clear" w:color="auto" w:fill="auto"/>
            <w:tcMar>
              <w:top w:w="100" w:type="dxa"/>
              <w:left w:w="100" w:type="dxa"/>
              <w:bottom w:w="100" w:type="dxa"/>
              <w:right w:w="100" w:type="dxa"/>
            </w:tcMar>
          </w:tcPr>
          <w:p w14:paraId="32D1FF7C" w14:textId="77777777" w:rsidR="006A1C58" w:rsidRPr="003F0485" w:rsidRDefault="006A1C58" w:rsidP="006A075A">
            <w:pPr>
              <w:widowControl w:val="0"/>
              <w:spacing w:line="240" w:lineRule="auto"/>
              <w:jc w:val="center"/>
            </w:pPr>
            <w:r w:rsidRPr="003F0485">
              <w:t>1.25</w:t>
            </w:r>
          </w:p>
        </w:tc>
      </w:tr>
      <w:tr w:rsidR="006A1C58" w:rsidRPr="003F0485" w14:paraId="297603B6" w14:textId="77777777" w:rsidTr="006A1C58">
        <w:tc>
          <w:tcPr>
            <w:tcW w:w="6379" w:type="dxa"/>
            <w:shd w:val="clear" w:color="auto" w:fill="auto"/>
            <w:tcMar>
              <w:top w:w="100" w:type="dxa"/>
              <w:left w:w="100" w:type="dxa"/>
              <w:bottom w:w="100" w:type="dxa"/>
              <w:right w:w="100" w:type="dxa"/>
            </w:tcMar>
          </w:tcPr>
          <w:p w14:paraId="4CFBB236" w14:textId="77777777" w:rsidR="006A1C58" w:rsidRPr="003F0485" w:rsidRDefault="006A1C58" w:rsidP="006A075A">
            <w:pPr>
              <w:widowControl w:val="0"/>
              <w:spacing w:line="240" w:lineRule="auto"/>
            </w:pPr>
            <w:r w:rsidRPr="003F0485">
              <w:t>14. Changeable education policy of the government</w:t>
            </w:r>
          </w:p>
        </w:tc>
        <w:tc>
          <w:tcPr>
            <w:tcW w:w="851" w:type="dxa"/>
            <w:shd w:val="clear" w:color="auto" w:fill="auto"/>
            <w:tcMar>
              <w:top w:w="100" w:type="dxa"/>
              <w:left w:w="100" w:type="dxa"/>
              <w:bottom w:w="100" w:type="dxa"/>
              <w:right w:w="100" w:type="dxa"/>
            </w:tcMar>
          </w:tcPr>
          <w:p w14:paraId="6EF09EE6" w14:textId="77777777" w:rsidR="006A1C58" w:rsidRPr="003F0485" w:rsidRDefault="006A1C58" w:rsidP="006A075A">
            <w:pPr>
              <w:widowControl w:val="0"/>
              <w:spacing w:line="240" w:lineRule="auto"/>
              <w:jc w:val="center"/>
            </w:pPr>
            <w:r w:rsidRPr="003F0485">
              <w:t>3.38</w:t>
            </w:r>
          </w:p>
        </w:tc>
        <w:tc>
          <w:tcPr>
            <w:tcW w:w="1275" w:type="dxa"/>
            <w:shd w:val="clear" w:color="auto" w:fill="auto"/>
            <w:tcMar>
              <w:top w:w="100" w:type="dxa"/>
              <w:left w:w="100" w:type="dxa"/>
              <w:bottom w:w="100" w:type="dxa"/>
              <w:right w:w="100" w:type="dxa"/>
            </w:tcMar>
          </w:tcPr>
          <w:p w14:paraId="200CE33B" w14:textId="77777777" w:rsidR="006A1C58" w:rsidRPr="003F0485" w:rsidRDefault="006A1C58" w:rsidP="006A075A">
            <w:pPr>
              <w:widowControl w:val="0"/>
              <w:spacing w:line="240" w:lineRule="auto"/>
              <w:jc w:val="center"/>
            </w:pPr>
            <w:r w:rsidRPr="003F0485">
              <w:t>1.20</w:t>
            </w:r>
          </w:p>
        </w:tc>
      </w:tr>
      <w:tr w:rsidR="006A1C58" w:rsidRPr="003F0485" w14:paraId="1D24CDC7" w14:textId="77777777" w:rsidTr="006A1C58">
        <w:tc>
          <w:tcPr>
            <w:tcW w:w="6379" w:type="dxa"/>
            <w:shd w:val="clear" w:color="auto" w:fill="auto"/>
            <w:tcMar>
              <w:top w:w="100" w:type="dxa"/>
              <w:left w:w="100" w:type="dxa"/>
              <w:bottom w:w="100" w:type="dxa"/>
              <w:right w:w="100" w:type="dxa"/>
            </w:tcMar>
          </w:tcPr>
          <w:p w14:paraId="2F791637" w14:textId="77777777" w:rsidR="006A1C58" w:rsidRPr="003F0485" w:rsidRDefault="006A1C58" w:rsidP="006A075A">
            <w:pPr>
              <w:widowControl w:val="0"/>
              <w:spacing w:line="240" w:lineRule="auto"/>
            </w:pPr>
            <w:r w:rsidRPr="003F0485">
              <w:t>15. Special pupils in the class (</w:t>
            </w:r>
            <w:proofErr w:type="spellStart"/>
            <w:r w:rsidRPr="003F0485">
              <w:t>eg</w:t>
            </w:r>
            <w:proofErr w:type="spellEnd"/>
            <w:r w:rsidRPr="003F0485">
              <w:t xml:space="preserve"> with autism, attention deficit and hyperactivity disorder (ADHD), low ability or low emotional intelligence)</w:t>
            </w:r>
          </w:p>
        </w:tc>
        <w:tc>
          <w:tcPr>
            <w:tcW w:w="851" w:type="dxa"/>
            <w:shd w:val="clear" w:color="auto" w:fill="auto"/>
            <w:tcMar>
              <w:top w:w="100" w:type="dxa"/>
              <w:left w:w="100" w:type="dxa"/>
              <w:bottom w:w="100" w:type="dxa"/>
              <w:right w:w="100" w:type="dxa"/>
            </w:tcMar>
          </w:tcPr>
          <w:p w14:paraId="5355FF31" w14:textId="77777777" w:rsidR="006A1C58" w:rsidRPr="003F0485" w:rsidRDefault="006A1C58" w:rsidP="006A075A">
            <w:pPr>
              <w:widowControl w:val="0"/>
              <w:spacing w:line="240" w:lineRule="auto"/>
              <w:jc w:val="center"/>
            </w:pPr>
            <w:r w:rsidRPr="003F0485">
              <w:t>2.87</w:t>
            </w:r>
          </w:p>
        </w:tc>
        <w:tc>
          <w:tcPr>
            <w:tcW w:w="1275" w:type="dxa"/>
            <w:shd w:val="clear" w:color="auto" w:fill="auto"/>
            <w:tcMar>
              <w:top w:w="100" w:type="dxa"/>
              <w:left w:w="100" w:type="dxa"/>
              <w:bottom w:w="100" w:type="dxa"/>
              <w:right w:w="100" w:type="dxa"/>
            </w:tcMar>
          </w:tcPr>
          <w:p w14:paraId="252BD205" w14:textId="77777777" w:rsidR="006A1C58" w:rsidRPr="003F0485" w:rsidRDefault="006A1C58" w:rsidP="006A075A">
            <w:pPr>
              <w:widowControl w:val="0"/>
              <w:spacing w:line="240" w:lineRule="auto"/>
              <w:jc w:val="center"/>
            </w:pPr>
            <w:r w:rsidRPr="003F0485">
              <w:t>1.13</w:t>
            </w:r>
          </w:p>
        </w:tc>
      </w:tr>
      <w:tr w:rsidR="006A1C58" w:rsidRPr="003F0485" w14:paraId="3C951B1C" w14:textId="77777777" w:rsidTr="006A1C58">
        <w:tc>
          <w:tcPr>
            <w:tcW w:w="6379" w:type="dxa"/>
            <w:shd w:val="clear" w:color="auto" w:fill="auto"/>
            <w:tcMar>
              <w:top w:w="100" w:type="dxa"/>
              <w:left w:w="100" w:type="dxa"/>
              <w:bottom w:w="100" w:type="dxa"/>
              <w:right w:w="100" w:type="dxa"/>
            </w:tcMar>
          </w:tcPr>
          <w:p w14:paraId="27F71B78" w14:textId="77777777" w:rsidR="006A1C58" w:rsidRPr="003F0485" w:rsidRDefault="006A1C58" w:rsidP="006A075A">
            <w:pPr>
              <w:widowControl w:val="0"/>
              <w:spacing w:line="240" w:lineRule="auto"/>
            </w:pPr>
            <w:r w:rsidRPr="003F0485">
              <w:t>16.Not enough teaching resources</w:t>
            </w:r>
          </w:p>
        </w:tc>
        <w:tc>
          <w:tcPr>
            <w:tcW w:w="851" w:type="dxa"/>
            <w:shd w:val="clear" w:color="auto" w:fill="auto"/>
            <w:tcMar>
              <w:top w:w="100" w:type="dxa"/>
              <w:left w:w="100" w:type="dxa"/>
              <w:bottom w:w="100" w:type="dxa"/>
              <w:right w:w="100" w:type="dxa"/>
            </w:tcMar>
          </w:tcPr>
          <w:p w14:paraId="4DE58BB5" w14:textId="77777777" w:rsidR="006A1C58" w:rsidRPr="003F0485" w:rsidRDefault="006A1C58" w:rsidP="006A075A">
            <w:pPr>
              <w:widowControl w:val="0"/>
              <w:spacing w:line="240" w:lineRule="auto"/>
              <w:jc w:val="center"/>
            </w:pPr>
            <w:r w:rsidRPr="003F0485">
              <w:t>2.58</w:t>
            </w:r>
          </w:p>
        </w:tc>
        <w:tc>
          <w:tcPr>
            <w:tcW w:w="1275" w:type="dxa"/>
            <w:shd w:val="clear" w:color="auto" w:fill="auto"/>
            <w:tcMar>
              <w:top w:w="100" w:type="dxa"/>
              <w:left w:w="100" w:type="dxa"/>
              <w:bottom w:w="100" w:type="dxa"/>
              <w:right w:w="100" w:type="dxa"/>
            </w:tcMar>
          </w:tcPr>
          <w:p w14:paraId="7A2D72AC" w14:textId="77777777" w:rsidR="006A1C58" w:rsidRPr="003F0485" w:rsidRDefault="006A1C58" w:rsidP="006A075A">
            <w:pPr>
              <w:widowControl w:val="0"/>
              <w:spacing w:line="240" w:lineRule="auto"/>
              <w:jc w:val="center"/>
            </w:pPr>
            <w:r w:rsidRPr="003F0485">
              <w:t>1.12</w:t>
            </w:r>
          </w:p>
        </w:tc>
      </w:tr>
      <w:tr w:rsidR="006A1C58" w:rsidRPr="003F0485" w14:paraId="1911E452" w14:textId="77777777" w:rsidTr="006A1C58">
        <w:tc>
          <w:tcPr>
            <w:tcW w:w="6379" w:type="dxa"/>
            <w:shd w:val="clear" w:color="auto" w:fill="auto"/>
            <w:tcMar>
              <w:top w:w="100" w:type="dxa"/>
              <w:left w:w="100" w:type="dxa"/>
              <w:bottom w:w="100" w:type="dxa"/>
              <w:right w:w="100" w:type="dxa"/>
            </w:tcMar>
          </w:tcPr>
          <w:p w14:paraId="3F3DC6EE" w14:textId="77777777" w:rsidR="006A1C58" w:rsidRPr="003F0485" w:rsidRDefault="006A1C58" w:rsidP="006A075A">
            <w:pPr>
              <w:widowControl w:val="0"/>
              <w:spacing w:line="240" w:lineRule="auto"/>
            </w:pPr>
            <w:r w:rsidRPr="003F0485">
              <w:t>17. Pupils’ poor attitudes toward classroom tasks</w:t>
            </w:r>
          </w:p>
        </w:tc>
        <w:tc>
          <w:tcPr>
            <w:tcW w:w="851" w:type="dxa"/>
            <w:shd w:val="clear" w:color="auto" w:fill="auto"/>
            <w:tcMar>
              <w:top w:w="100" w:type="dxa"/>
              <w:left w:w="100" w:type="dxa"/>
              <w:bottom w:w="100" w:type="dxa"/>
              <w:right w:w="100" w:type="dxa"/>
            </w:tcMar>
          </w:tcPr>
          <w:p w14:paraId="4005766C" w14:textId="77777777" w:rsidR="006A1C58" w:rsidRPr="003F0485" w:rsidRDefault="006A1C58" w:rsidP="006A075A">
            <w:pPr>
              <w:widowControl w:val="0"/>
              <w:spacing w:line="240" w:lineRule="auto"/>
              <w:jc w:val="center"/>
            </w:pPr>
            <w:r w:rsidRPr="003F0485">
              <w:t>2.82</w:t>
            </w:r>
          </w:p>
        </w:tc>
        <w:tc>
          <w:tcPr>
            <w:tcW w:w="1275" w:type="dxa"/>
            <w:shd w:val="clear" w:color="auto" w:fill="auto"/>
            <w:tcMar>
              <w:top w:w="100" w:type="dxa"/>
              <w:left w:w="100" w:type="dxa"/>
              <w:bottom w:w="100" w:type="dxa"/>
              <w:right w:w="100" w:type="dxa"/>
            </w:tcMar>
          </w:tcPr>
          <w:p w14:paraId="2C9CDE88" w14:textId="77777777" w:rsidR="006A1C58" w:rsidRPr="003F0485" w:rsidRDefault="006A1C58" w:rsidP="006A075A">
            <w:pPr>
              <w:widowControl w:val="0"/>
              <w:spacing w:line="240" w:lineRule="auto"/>
              <w:jc w:val="center"/>
            </w:pPr>
            <w:r w:rsidRPr="003F0485">
              <w:t>1.20</w:t>
            </w:r>
          </w:p>
        </w:tc>
      </w:tr>
      <w:tr w:rsidR="006A1C58" w:rsidRPr="003F0485" w14:paraId="08B00A44" w14:textId="77777777" w:rsidTr="006A1C58">
        <w:tc>
          <w:tcPr>
            <w:tcW w:w="6379" w:type="dxa"/>
            <w:shd w:val="clear" w:color="auto" w:fill="auto"/>
            <w:tcMar>
              <w:top w:w="100" w:type="dxa"/>
              <w:left w:w="100" w:type="dxa"/>
              <w:bottom w:w="100" w:type="dxa"/>
              <w:right w:w="100" w:type="dxa"/>
            </w:tcMar>
          </w:tcPr>
          <w:p w14:paraId="5E70DA41" w14:textId="77777777" w:rsidR="006A1C58" w:rsidRPr="003F0485" w:rsidRDefault="006A1C58" w:rsidP="006A075A">
            <w:pPr>
              <w:widowControl w:val="0"/>
              <w:spacing w:line="240" w:lineRule="auto"/>
            </w:pPr>
            <w:r w:rsidRPr="003F0485">
              <w:t>18. Being observed by colleagues, student teachers, college tutors or parents</w:t>
            </w:r>
          </w:p>
        </w:tc>
        <w:tc>
          <w:tcPr>
            <w:tcW w:w="851" w:type="dxa"/>
            <w:shd w:val="clear" w:color="auto" w:fill="auto"/>
            <w:tcMar>
              <w:top w:w="100" w:type="dxa"/>
              <w:left w:w="100" w:type="dxa"/>
              <w:bottom w:w="100" w:type="dxa"/>
              <w:right w:w="100" w:type="dxa"/>
            </w:tcMar>
          </w:tcPr>
          <w:p w14:paraId="2A71DFDC" w14:textId="77777777" w:rsidR="006A1C58" w:rsidRPr="003F0485" w:rsidRDefault="006A1C58" w:rsidP="006A075A">
            <w:pPr>
              <w:widowControl w:val="0"/>
              <w:spacing w:line="240" w:lineRule="auto"/>
              <w:jc w:val="center"/>
            </w:pPr>
            <w:r w:rsidRPr="003F0485">
              <w:t>2.73</w:t>
            </w:r>
          </w:p>
        </w:tc>
        <w:tc>
          <w:tcPr>
            <w:tcW w:w="1275" w:type="dxa"/>
            <w:shd w:val="clear" w:color="auto" w:fill="auto"/>
            <w:tcMar>
              <w:top w:w="100" w:type="dxa"/>
              <w:left w:w="100" w:type="dxa"/>
              <w:bottom w:w="100" w:type="dxa"/>
              <w:right w:w="100" w:type="dxa"/>
            </w:tcMar>
          </w:tcPr>
          <w:p w14:paraId="6DA5B224" w14:textId="77777777" w:rsidR="006A1C58" w:rsidRPr="003F0485" w:rsidRDefault="006A1C58" w:rsidP="006A075A">
            <w:pPr>
              <w:widowControl w:val="0"/>
              <w:spacing w:line="240" w:lineRule="auto"/>
              <w:jc w:val="center"/>
            </w:pPr>
            <w:r w:rsidRPr="003F0485">
              <w:t>1.22</w:t>
            </w:r>
          </w:p>
        </w:tc>
      </w:tr>
      <w:tr w:rsidR="006A1C58" w:rsidRPr="003F0485" w14:paraId="1F1E62C2" w14:textId="77777777" w:rsidTr="006A1C58">
        <w:tc>
          <w:tcPr>
            <w:tcW w:w="6379" w:type="dxa"/>
            <w:shd w:val="clear" w:color="auto" w:fill="auto"/>
            <w:tcMar>
              <w:top w:w="100" w:type="dxa"/>
              <w:left w:w="100" w:type="dxa"/>
              <w:bottom w:w="100" w:type="dxa"/>
              <w:right w:w="100" w:type="dxa"/>
            </w:tcMar>
          </w:tcPr>
          <w:p w14:paraId="6486777E" w14:textId="77777777" w:rsidR="006A1C58" w:rsidRPr="003F0485" w:rsidRDefault="006A1C58" w:rsidP="006A075A">
            <w:pPr>
              <w:widowControl w:val="0"/>
              <w:spacing w:line="240" w:lineRule="auto"/>
            </w:pPr>
            <w:r w:rsidRPr="003F0485">
              <w:t>19. Too much subject matter to teach</w:t>
            </w:r>
          </w:p>
        </w:tc>
        <w:tc>
          <w:tcPr>
            <w:tcW w:w="851" w:type="dxa"/>
            <w:shd w:val="clear" w:color="auto" w:fill="auto"/>
            <w:tcMar>
              <w:top w:w="100" w:type="dxa"/>
              <w:left w:w="100" w:type="dxa"/>
              <w:bottom w:w="100" w:type="dxa"/>
              <w:right w:w="100" w:type="dxa"/>
            </w:tcMar>
          </w:tcPr>
          <w:p w14:paraId="15A2FDBC" w14:textId="77777777" w:rsidR="006A1C58" w:rsidRPr="003F0485" w:rsidRDefault="006A1C58" w:rsidP="006A075A">
            <w:pPr>
              <w:widowControl w:val="0"/>
              <w:spacing w:line="240" w:lineRule="auto"/>
              <w:jc w:val="center"/>
            </w:pPr>
            <w:r w:rsidRPr="003F0485">
              <w:t>2.40</w:t>
            </w:r>
          </w:p>
        </w:tc>
        <w:tc>
          <w:tcPr>
            <w:tcW w:w="1275" w:type="dxa"/>
            <w:shd w:val="clear" w:color="auto" w:fill="auto"/>
            <w:tcMar>
              <w:top w:w="100" w:type="dxa"/>
              <w:left w:w="100" w:type="dxa"/>
              <w:bottom w:w="100" w:type="dxa"/>
              <w:right w:w="100" w:type="dxa"/>
            </w:tcMar>
          </w:tcPr>
          <w:p w14:paraId="28ECCA6C" w14:textId="77777777" w:rsidR="006A1C58" w:rsidRPr="003F0485" w:rsidRDefault="006A1C58" w:rsidP="006A075A">
            <w:pPr>
              <w:widowControl w:val="0"/>
              <w:spacing w:line="240" w:lineRule="auto"/>
              <w:jc w:val="center"/>
            </w:pPr>
            <w:r w:rsidRPr="003F0485">
              <w:t>1.10</w:t>
            </w:r>
          </w:p>
        </w:tc>
      </w:tr>
      <w:tr w:rsidR="006A1C58" w:rsidRPr="003F0485" w14:paraId="1966BBFF" w14:textId="77777777" w:rsidTr="006A1C58">
        <w:tc>
          <w:tcPr>
            <w:tcW w:w="6379" w:type="dxa"/>
            <w:tcBorders>
              <w:bottom w:val="single" w:sz="4" w:space="0" w:color="auto"/>
            </w:tcBorders>
            <w:shd w:val="clear" w:color="auto" w:fill="auto"/>
            <w:tcMar>
              <w:top w:w="100" w:type="dxa"/>
              <w:left w:w="100" w:type="dxa"/>
              <w:bottom w:w="100" w:type="dxa"/>
              <w:right w:w="100" w:type="dxa"/>
            </w:tcMar>
          </w:tcPr>
          <w:p w14:paraId="6BBF77ED" w14:textId="77777777" w:rsidR="006A1C58" w:rsidRPr="003F0485" w:rsidRDefault="006A1C58" w:rsidP="006A075A">
            <w:pPr>
              <w:widowControl w:val="0"/>
              <w:spacing w:line="240" w:lineRule="auto"/>
            </w:pPr>
            <w:r w:rsidRPr="003F0485">
              <w:t>20. Break time is too short</w:t>
            </w:r>
          </w:p>
        </w:tc>
        <w:tc>
          <w:tcPr>
            <w:tcW w:w="851" w:type="dxa"/>
            <w:tcBorders>
              <w:bottom w:val="single" w:sz="4" w:space="0" w:color="auto"/>
            </w:tcBorders>
            <w:shd w:val="clear" w:color="auto" w:fill="auto"/>
            <w:tcMar>
              <w:top w:w="100" w:type="dxa"/>
              <w:left w:w="100" w:type="dxa"/>
              <w:bottom w:w="100" w:type="dxa"/>
              <w:right w:w="100" w:type="dxa"/>
            </w:tcMar>
          </w:tcPr>
          <w:p w14:paraId="2B68BBEE" w14:textId="77777777" w:rsidR="006A1C58" w:rsidRPr="003F0485" w:rsidRDefault="006A1C58" w:rsidP="006A075A">
            <w:pPr>
              <w:widowControl w:val="0"/>
              <w:spacing w:line="240" w:lineRule="auto"/>
              <w:jc w:val="center"/>
            </w:pPr>
            <w:r w:rsidRPr="003F0485">
              <w:t>2.96</w:t>
            </w:r>
          </w:p>
        </w:tc>
        <w:tc>
          <w:tcPr>
            <w:tcW w:w="1275" w:type="dxa"/>
            <w:tcBorders>
              <w:bottom w:val="single" w:sz="4" w:space="0" w:color="auto"/>
            </w:tcBorders>
            <w:shd w:val="clear" w:color="auto" w:fill="auto"/>
            <w:tcMar>
              <w:top w:w="100" w:type="dxa"/>
              <w:left w:w="100" w:type="dxa"/>
              <w:bottom w:w="100" w:type="dxa"/>
              <w:right w:w="100" w:type="dxa"/>
            </w:tcMar>
          </w:tcPr>
          <w:p w14:paraId="6BFE649D" w14:textId="77777777" w:rsidR="006A1C58" w:rsidRPr="003F0485" w:rsidRDefault="006A1C58" w:rsidP="006A075A">
            <w:pPr>
              <w:widowControl w:val="0"/>
              <w:spacing w:line="240" w:lineRule="auto"/>
              <w:jc w:val="center"/>
            </w:pPr>
            <w:r w:rsidRPr="003F0485">
              <w:t>1.24</w:t>
            </w:r>
          </w:p>
        </w:tc>
      </w:tr>
      <w:tr w:rsidR="006A1C58" w:rsidRPr="003F0485" w14:paraId="383CA609" w14:textId="77777777" w:rsidTr="006A1C58">
        <w:tc>
          <w:tcPr>
            <w:tcW w:w="6379" w:type="dxa"/>
            <w:tcBorders>
              <w:top w:val="single" w:sz="4" w:space="0" w:color="auto"/>
              <w:bottom w:val="single" w:sz="4" w:space="0" w:color="auto"/>
            </w:tcBorders>
            <w:shd w:val="clear" w:color="auto" w:fill="auto"/>
            <w:tcMar>
              <w:top w:w="100" w:type="dxa"/>
              <w:left w:w="100" w:type="dxa"/>
              <w:bottom w:w="100" w:type="dxa"/>
              <w:right w:w="100" w:type="dxa"/>
            </w:tcMar>
          </w:tcPr>
          <w:p w14:paraId="1546DAEA" w14:textId="77777777" w:rsidR="006A1C58" w:rsidRPr="003F0485" w:rsidRDefault="006A1C58" w:rsidP="006A075A">
            <w:pPr>
              <w:widowControl w:val="0"/>
              <w:spacing w:line="240" w:lineRule="auto"/>
              <w:jc w:val="right"/>
            </w:pPr>
            <w:r w:rsidRPr="003F0485">
              <w:t>Average:</w:t>
            </w:r>
          </w:p>
        </w:tc>
        <w:tc>
          <w:tcPr>
            <w:tcW w:w="851" w:type="dxa"/>
            <w:tcBorders>
              <w:top w:val="single" w:sz="4" w:space="0" w:color="auto"/>
              <w:bottom w:val="single" w:sz="4" w:space="0" w:color="auto"/>
            </w:tcBorders>
            <w:shd w:val="clear" w:color="auto" w:fill="auto"/>
            <w:tcMar>
              <w:top w:w="100" w:type="dxa"/>
              <w:left w:w="100" w:type="dxa"/>
              <w:bottom w:w="100" w:type="dxa"/>
              <w:right w:w="100" w:type="dxa"/>
            </w:tcMar>
          </w:tcPr>
          <w:p w14:paraId="5A48FC1A" w14:textId="77777777" w:rsidR="006A1C58" w:rsidRPr="003F0485" w:rsidRDefault="006A1C58" w:rsidP="006A075A">
            <w:pPr>
              <w:widowControl w:val="0"/>
              <w:spacing w:line="240" w:lineRule="auto"/>
              <w:jc w:val="center"/>
            </w:pPr>
            <w:r w:rsidRPr="003F0485">
              <w:t>2.77</w:t>
            </w:r>
          </w:p>
        </w:tc>
        <w:tc>
          <w:tcPr>
            <w:tcW w:w="1275" w:type="dxa"/>
            <w:tcBorders>
              <w:top w:val="single" w:sz="4" w:space="0" w:color="auto"/>
              <w:bottom w:val="single" w:sz="4" w:space="0" w:color="auto"/>
            </w:tcBorders>
            <w:shd w:val="clear" w:color="auto" w:fill="auto"/>
            <w:tcMar>
              <w:top w:w="100" w:type="dxa"/>
              <w:left w:w="100" w:type="dxa"/>
              <w:bottom w:w="100" w:type="dxa"/>
              <w:right w:w="100" w:type="dxa"/>
            </w:tcMar>
          </w:tcPr>
          <w:p w14:paraId="3CFC5B05" w14:textId="77777777" w:rsidR="006A1C58" w:rsidRPr="003F0485" w:rsidRDefault="006A1C58" w:rsidP="006A075A">
            <w:pPr>
              <w:widowControl w:val="0"/>
              <w:spacing w:line="240" w:lineRule="auto"/>
              <w:jc w:val="center"/>
            </w:pPr>
            <w:r w:rsidRPr="003F0485">
              <w:t>1.31</w:t>
            </w:r>
          </w:p>
        </w:tc>
      </w:tr>
    </w:tbl>
    <w:p w14:paraId="547089EE" w14:textId="3DA1B5B0" w:rsidR="006A1C58" w:rsidRPr="003F0485" w:rsidRDefault="006A1C58" w:rsidP="006A1C58">
      <w:pPr>
        <w:pStyle w:val="Heading2"/>
      </w:pPr>
      <w:r w:rsidRPr="003F0485">
        <w:t>Impact of demographic factors</w:t>
      </w:r>
    </w:p>
    <w:p w14:paraId="738629FD" w14:textId="1941A446" w:rsidR="006A1C58" w:rsidRPr="003F0485" w:rsidRDefault="004F28C4" w:rsidP="006A1C58">
      <w:pPr>
        <w:pStyle w:val="Paragraph"/>
      </w:pPr>
      <w:r w:rsidRPr="003F0485">
        <w:t>A one-way multiple analysis of variance (MANOVA) was performed to test the difference between males (n = 27) and females (n = 93) in the mean rating scores for the three instruments, and no significant difference was found (</w:t>
      </w:r>
      <w:proofErr w:type="gramStart"/>
      <w:r w:rsidRPr="003F0485">
        <w:t>F(</w:t>
      </w:r>
      <w:proofErr w:type="gramEnd"/>
      <w:r w:rsidRPr="003F0485">
        <w:t>3, 116) = 1.077, p = .362, partial η2 = .027). Another set of independent t-tests was performed to assess the statistical significance of the effect of teaching only music as a subject on the mean rating scores. The participants who only taught music had a significantly higher mean rating score in the GAD-7 (n = 28, M = 1.96, SD = 0.86) than the participants who also taught other subjects (n = 92, M = 1.84, SD = 0.70), as shown in Table 5. Because the three scales were independent that there are no causal relationships between any of them, no correction for multiple comparisons was required</w:t>
      </w:r>
      <w:r w:rsidR="006A1C58" w:rsidRPr="003F0485">
        <w:t>.</w:t>
      </w:r>
    </w:p>
    <w:p w14:paraId="4FB47FBD" w14:textId="0CA9EF51" w:rsidR="006A1C58" w:rsidRPr="003F0485" w:rsidRDefault="006A1C58" w:rsidP="006A1C58">
      <w:pPr>
        <w:pStyle w:val="Newparagraph"/>
        <w:ind w:firstLine="0"/>
      </w:pPr>
      <w:r w:rsidRPr="003F0485">
        <w:t xml:space="preserve">Table </w:t>
      </w:r>
      <w:r w:rsidR="004F28C4" w:rsidRPr="003F0485">
        <w:t>5</w:t>
      </w:r>
      <w:r w:rsidRPr="003F0485">
        <w:t xml:space="preserve">. </w:t>
      </w:r>
      <w:r w:rsidRPr="003F0485">
        <w:rPr>
          <w:i/>
          <w:iCs/>
        </w:rPr>
        <w:t>Impact of teaching music only on FCV-19S, GAD7 and CTSQ scores</w:t>
      </w:r>
    </w:p>
    <w:tbl>
      <w:tblPr>
        <w:tblW w:w="8495" w:type="dxa"/>
        <w:tblBorders>
          <w:top w:val="single" w:sz="4" w:space="0" w:color="auto"/>
          <w:bottom w:val="single" w:sz="4" w:space="0" w:color="auto"/>
        </w:tblBorders>
        <w:tblLayout w:type="fixed"/>
        <w:tblLook w:val="0600" w:firstRow="0" w:lastRow="0" w:firstColumn="0" w:lastColumn="0" w:noHBand="1" w:noVBand="1"/>
      </w:tblPr>
      <w:tblGrid>
        <w:gridCol w:w="1185"/>
        <w:gridCol w:w="2633"/>
        <w:gridCol w:w="567"/>
        <w:gridCol w:w="850"/>
        <w:gridCol w:w="709"/>
        <w:gridCol w:w="992"/>
        <w:gridCol w:w="567"/>
        <w:gridCol w:w="992"/>
      </w:tblGrid>
      <w:tr w:rsidR="006A1C58" w:rsidRPr="003F0485" w14:paraId="5080C39E" w14:textId="77777777" w:rsidTr="006A1C58">
        <w:tc>
          <w:tcPr>
            <w:tcW w:w="1185" w:type="dxa"/>
            <w:tcBorders>
              <w:bottom w:val="single" w:sz="4" w:space="0" w:color="auto"/>
            </w:tcBorders>
            <w:shd w:val="clear" w:color="auto" w:fill="auto"/>
            <w:tcMar>
              <w:top w:w="100" w:type="dxa"/>
              <w:left w:w="100" w:type="dxa"/>
              <w:bottom w:w="100" w:type="dxa"/>
              <w:right w:w="100" w:type="dxa"/>
            </w:tcMar>
          </w:tcPr>
          <w:p w14:paraId="4EFAE953" w14:textId="77777777" w:rsidR="006A1C58" w:rsidRPr="003F0485" w:rsidRDefault="006A1C58" w:rsidP="006A1C58">
            <w:pPr>
              <w:widowControl w:val="0"/>
              <w:pBdr>
                <w:top w:val="nil"/>
                <w:left w:val="nil"/>
                <w:bottom w:val="nil"/>
                <w:right w:val="nil"/>
                <w:between w:val="nil"/>
              </w:pBdr>
              <w:spacing w:line="240" w:lineRule="auto"/>
              <w:jc w:val="center"/>
            </w:pPr>
            <w:r w:rsidRPr="003F0485">
              <w:t>Scale</w:t>
            </w:r>
          </w:p>
        </w:tc>
        <w:tc>
          <w:tcPr>
            <w:tcW w:w="2633" w:type="dxa"/>
            <w:tcBorders>
              <w:bottom w:val="single" w:sz="4" w:space="0" w:color="auto"/>
            </w:tcBorders>
            <w:shd w:val="clear" w:color="auto" w:fill="auto"/>
            <w:tcMar>
              <w:top w:w="100" w:type="dxa"/>
              <w:left w:w="100" w:type="dxa"/>
              <w:bottom w:w="100" w:type="dxa"/>
              <w:right w:w="100" w:type="dxa"/>
            </w:tcMar>
          </w:tcPr>
          <w:p w14:paraId="0AD5E315" w14:textId="77777777" w:rsidR="006A1C58" w:rsidRPr="003F0485" w:rsidRDefault="006A1C58" w:rsidP="006A1C58">
            <w:pPr>
              <w:widowControl w:val="0"/>
              <w:pBdr>
                <w:top w:val="nil"/>
                <w:left w:val="nil"/>
                <w:bottom w:val="nil"/>
                <w:right w:val="nil"/>
                <w:between w:val="nil"/>
              </w:pBdr>
              <w:spacing w:line="240" w:lineRule="auto"/>
              <w:jc w:val="center"/>
            </w:pPr>
            <w:r w:rsidRPr="003F0485">
              <w:t>Subject(s) taught</w:t>
            </w:r>
          </w:p>
        </w:tc>
        <w:tc>
          <w:tcPr>
            <w:tcW w:w="567" w:type="dxa"/>
            <w:tcBorders>
              <w:bottom w:val="single" w:sz="4" w:space="0" w:color="auto"/>
            </w:tcBorders>
            <w:shd w:val="clear" w:color="auto" w:fill="auto"/>
            <w:tcMar>
              <w:top w:w="100" w:type="dxa"/>
              <w:left w:w="100" w:type="dxa"/>
              <w:bottom w:w="100" w:type="dxa"/>
              <w:right w:w="100" w:type="dxa"/>
            </w:tcMar>
          </w:tcPr>
          <w:p w14:paraId="4A754C82" w14:textId="77777777" w:rsidR="006A1C58" w:rsidRPr="003F0485" w:rsidRDefault="006A1C58" w:rsidP="006A1C58">
            <w:pPr>
              <w:widowControl w:val="0"/>
              <w:pBdr>
                <w:top w:val="nil"/>
                <w:left w:val="nil"/>
                <w:bottom w:val="nil"/>
                <w:right w:val="nil"/>
                <w:between w:val="nil"/>
              </w:pBdr>
              <w:spacing w:line="240" w:lineRule="auto"/>
              <w:jc w:val="center"/>
            </w:pPr>
            <w:r w:rsidRPr="003F0485">
              <w:t>n</w:t>
            </w:r>
          </w:p>
        </w:tc>
        <w:tc>
          <w:tcPr>
            <w:tcW w:w="850" w:type="dxa"/>
            <w:tcBorders>
              <w:bottom w:val="single" w:sz="4" w:space="0" w:color="auto"/>
            </w:tcBorders>
            <w:shd w:val="clear" w:color="auto" w:fill="auto"/>
            <w:tcMar>
              <w:top w:w="100" w:type="dxa"/>
              <w:left w:w="100" w:type="dxa"/>
              <w:bottom w:w="100" w:type="dxa"/>
              <w:right w:w="100" w:type="dxa"/>
            </w:tcMar>
          </w:tcPr>
          <w:p w14:paraId="1104F3B1" w14:textId="77777777" w:rsidR="006A1C58" w:rsidRPr="003F0485" w:rsidRDefault="006A1C58" w:rsidP="006A1C58">
            <w:pPr>
              <w:widowControl w:val="0"/>
              <w:pBdr>
                <w:top w:val="nil"/>
                <w:left w:val="nil"/>
                <w:bottom w:val="nil"/>
                <w:right w:val="nil"/>
                <w:between w:val="nil"/>
              </w:pBdr>
              <w:spacing w:line="240" w:lineRule="auto"/>
              <w:jc w:val="center"/>
            </w:pPr>
            <w:r w:rsidRPr="003F0485">
              <w:t>Mean</w:t>
            </w:r>
          </w:p>
        </w:tc>
        <w:tc>
          <w:tcPr>
            <w:tcW w:w="709" w:type="dxa"/>
            <w:tcBorders>
              <w:bottom w:val="single" w:sz="4" w:space="0" w:color="auto"/>
            </w:tcBorders>
            <w:shd w:val="clear" w:color="auto" w:fill="auto"/>
            <w:tcMar>
              <w:top w:w="100" w:type="dxa"/>
              <w:left w:w="100" w:type="dxa"/>
              <w:bottom w:w="100" w:type="dxa"/>
              <w:right w:w="100" w:type="dxa"/>
            </w:tcMar>
          </w:tcPr>
          <w:p w14:paraId="06058653" w14:textId="77777777" w:rsidR="006A1C58" w:rsidRPr="003F0485" w:rsidRDefault="006A1C58" w:rsidP="006A1C58">
            <w:pPr>
              <w:widowControl w:val="0"/>
              <w:pBdr>
                <w:top w:val="nil"/>
                <w:left w:val="nil"/>
                <w:bottom w:val="nil"/>
                <w:right w:val="nil"/>
                <w:between w:val="nil"/>
              </w:pBdr>
              <w:spacing w:line="240" w:lineRule="auto"/>
              <w:jc w:val="center"/>
            </w:pPr>
            <w:r w:rsidRPr="003F0485">
              <w:t>SD</w:t>
            </w:r>
          </w:p>
        </w:tc>
        <w:tc>
          <w:tcPr>
            <w:tcW w:w="992" w:type="dxa"/>
            <w:tcBorders>
              <w:bottom w:val="single" w:sz="4" w:space="0" w:color="auto"/>
            </w:tcBorders>
            <w:shd w:val="clear" w:color="auto" w:fill="auto"/>
            <w:tcMar>
              <w:top w:w="100" w:type="dxa"/>
              <w:left w:w="100" w:type="dxa"/>
              <w:bottom w:w="100" w:type="dxa"/>
              <w:right w:w="100" w:type="dxa"/>
            </w:tcMar>
          </w:tcPr>
          <w:p w14:paraId="1CFEDA66" w14:textId="77777777" w:rsidR="006A1C58" w:rsidRPr="003F0485" w:rsidRDefault="006A1C58" w:rsidP="006A1C58">
            <w:pPr>
              <w:widowControl w:val="0"/>
              <w:pBdr>
                <w:top w:val="nil"/>
                <w:left w:val="nil"/>
                <w:bottom w:val="nil"/>
                <w:right w:val="nil"/>
                <w:between w:val="nil"/>
              </w:pBdr>
              <w:spacing w:line="240" w:lineRule="auto"/>
              <w:jc w:val="center"/>
            </w:pPr>
            <w:r w:rsidRPr="003F0485">
              <w:t>t-value</w:t>
            </w:r>
          </w:p>
        </w:tc>
        <w:tc>
          <w:tcPr>
            <w:tcW w:w="567" w:type="dxa"/>
            <w:tcBorders>
              <w:bottom w:val="single" w:sz="4" w:space="0" w:color="auto"/>
            </w:tcBorders>
            <w:shd w:val="clear" w:color="auto" w:fill="auto"/>
            <w:tcMar>
              <w:top w:w="100" w:type="dxa"/>
              <w:left w:w="100" w:type="dxa"/>
              <w:bottom w:w="100" w:type="dxa"/>
              <w:right w:w="100" w:type="dxa"/>
            </w:tcMar>
          </w:tcPr>
          <w:p w14:paraId="780D3007" w14:textId="77777777" w:rsidR="006A1C58" w:rsidRPr="003F0485" w:rsidRDefault="006A1C58" w:rsidP="006A1C58">
            <w:pPr>
              <w:widowControl w:val="0"/>
              <w:pBdr>
                <w:top w:val="nil"/>
                <w:left w:val="nil"/>
                <w:bottom w:val="nil"/>
                <w:right w:val="nil"/>
                <w:between w:val="nil"/>
              </w:pBdr>
              <w:spacing w:line="240" w:lineRule="auto"/>
              <w:jc w:val="center"/>
            </w:pPr>
            <w:r w:rsidRPr="003F0485">
              <w:t>df</w:t>
            </w:r>
          </w:p>
        </w:tc>
        <w:tc>
          <w:tcPr>
            <w:tcW w:w="992" w:type="dxa"/>
            <w:tcBorders>
              <w:bottom w:val="single" w:sz="4" w:space="0" w:color="auto"/>
            </w:tcBorders>
            <w:shd w:val="clear" w:color="auto" w:fill="auto"/>
            <w:tcMar>
              <w:top w:w="100" w:type="dxa"/>
              <w:left w:w="100" w:type="dxa"/>
              <w:bottom w:w="100" w:type="dxa"/>
              <w:right w:w="100" w:type="dxa"/>
            </w:tcMar>
          </w:tcPr>
          <w:p w14:paraId="2CF8667E" w14:textId="77777777" w:rsidR="006A1C58" w:rsidRPr="003F0485" w:rsidRDefault="006A1C58" w:rsidP="006A1C58">
            <w:pPr>
              <w:widowControl w:val="0"/>
              <w:pBdr>
                <w:top w:val="nil"/>
                <w:left w:val="nil"/>
                <w:bottom w:val="nil"/>
                <w:right w:val="nil"/>
                <w:between w:val="nil"/>
              </w:pBdr>
              <w:spacing w:line="240" w:lineRule="auto"/>
              <w:jc w:val="center"/>
            </w:pPr>
            <w:r w:rsidRPr="003F0485">
              <w:t>p-value</w:t>
            </w:r>
          </w:p>
        </w:tc>
      </w:tr>
      <w:tr w:rsidR="006A1C58" w:rsidRPr="003F0485" w14:paraId="0F99D876" w14:textId="77777777" w:rsidTr="006A1C58">
        <w:tc>
          <w:tcPr>
            <w:tcW w:w="1185" w:type="dxa"/>
            <w:tcBorders>
              <w:top w:val="single" w:sz="4" w:space="0" w:color="auto"/>
              <w:bottom w:val="nil"/>
            </w:tcBorders>
            <w:shd w:val="clear" w:color="auto" w:fill="auto"/>
            <w:tcMar>
              <w:top w:w="100" w:type="dxa"/>
              <w:left w:w="100" w:type="dxa"/>
              <w:bottom w:w="100" w:type="dxa"/>
              <w:right w:w="100" w:type="dxa"/>
            </w:tcMar>
          </w:tcPr>
          <w:p w14:paraId="76DD680D" w14:textId="77777777" w:rsidR="006A1C58" w:rsidRPr="003F0485" w:rsidRDefault="006A1C58" w:rsidP="006A075A">
            <w:pPr>
              <w:widowControl w:val="0"/>
              <w:pBdr>
                <w:top w:val="nil"/>
                <w:left w:val="nil"/>
                <w:bottom w:val="nil"/>
                <w:right w:val="nil"/>
                <w:between w:val="nil"/>
              </w:pBdr>
              <w:spacing w:line="240" w:lineRule="auto"/>
            </w:pPr>
            <w:r w:rsidRPr="003F0485">
              <w:lastRenderedPageBreak/>
              <w:t>FCV-19S</w:t>
            </w:r>
          </w:p>
        </w:tc>
        <w:tc>
          <w:tcPr>
            <w:tcW w:w="2633" w:type="dxa"/>
            <w:tcBorders>
              <w:top w:val="single" w:sz="4" w:space="0" w:color="auto"/>
              <w:bottom w:val="nil"/>
            </w:tcBorders>
            <w:shd w:val="clear" w:color="auto" w:fill="auto"/>
            <w:tcMar>
              <w:top w:w="100" w:type="dxa"/>
              <w:left w:w="100" w:type="dxa"/>
              <w:bottom w:w="100" w:type="dxa"/>
              <w:right w:w="100" w:type="dxa"/>
            </w:tcMar>
          </w:tcPr>
          <w:p w14:paraId="26EDAAE4" w14:textId="77777777" w:rsidR="006A1C58" w:rsidRPr="003F0485" w:rsidRDefault="006A1C58" w:rsidP="006A075A">
            <w:pPr>
              <w:widowControl w:val="0"/>
              <w:pBdr>
                <w:top w:val="nil"/>
                <w:left w:val="nil"/>
                <w:bottom w:val="nil"/>
                <w:right w:val="nil"/>
                <w:between w:val="nil"/>
              </w:pBdr>
              <w:spacing w:line="240" w:lineRule="auto"/>
            </w:pPr>
            <w:r w:rsidRPr="003F0485">
              <w:t xml:space="preserve">Only music </w:t>
            </w:r>
          </w:p>
        </w:tc>
        <w:tc>
          <w:tcPr>
            <w:tcW w:w="567" w:type="dxa"/>
            <w:tcBorders>
              <w:top w:val="single" w:sz="4" w:space="0" w:color="auto"/>
              <w:bottom w:val="nil"/>
            </w:tcBorders>
            <w:shd w:val="clear" w:color="auto" w:fill="auto"/>
            <w:tcMar>
              <w:top w:w="100" w:type="dxa"/>
              <w:left w:w="100" w:type="dxa"/>
              <w:bottom w:w="100" w:type="dxa"/>
              <w:right w:w="100" w:type="dxa"/>
            </w:tcMar>
            <w:vAlign w:val="center"/>
          </w:tcPr>
          <w:p w14:paraId="06C1C386" w14:textId="77777777" w:rsidR="006A1C58" w:rsidRPr="003F0485" w:rsidRDefault="006A1C58" w:rsidP="006A1C58">
            <w:pPr>
              <w:widowControl w:val="0"/>
              <w:pBdr>
                <w:top w:val="nil"/>
                <w:left w:val="nil"/>
                <w:bottom w:val="nil"/>
                <w:right w:val="nil"/>
                <w:between w:val="nil"/>
              </w:pBdr>
              <w:spacing w:line="240" w:lineRule="auto"/>
              <w:jc w:val="center"/>
            </w:pPr>
            <w:r w:rsidRPr="003F0485">
              <w:t>28</w:t>
            </w:r>
          </w:p>
        </w:tc>
        <w:tc>
          <w:tcPr>
            <w:tcW w:w="850" w:type="dxa"/>
            <w:tcBorders>
              <w:top w:val="single" w:sz="4" w:space="0" w:color="auto"/>
              <w:bottom w:val="nil"/>
            </w:tcBorders>
            <w:shd w:val="clear" w:color="auto" w:fill="auto"/>
            <w:tcMar>
              <w:top w:w="100" w:type="dxa"/>
              <w:left w:w="100" w:type="dxa"/>
              <w:bottom w:w="100" w:type="dxa"/>
              <w:right w:w="100" w:type="dxa"/>
            </w:tcMar>
            <w:vAlign w:val="center"/>
          </w:tcPr>
          <w:p w14:paraId="5276A539" w14:textId="77777777" w:rsidR="006A1C58" w:rsidRPr="003F0485" w:rsidRDefault="006A1C58" w:rsidP="006A1C58">
            <w:pPr>
              <w:widowControl w:val="0"/>
              <w:pBdr>
                <w:top w:val="nil"/>
                <w:left w:val="nil"/>
                <w:bottom w:val="nil"/>
                <w:right w:val="nil"/>
                <w:between w:val="nil"/>
              </w:pBdr>
              <w:spacing w:line="240" w:lineRule="auto"/>
              <w:jc w:val="center"/>
            </w:pPr>
            <w:r w:rsidRPr="003F0485">
              <w:t>2.96</w:t>
            </w:r>
          </w:p>
        </w:tc>
        <w:tc>
          <w:tcPr>
            <w:tcW w:w="709" w:type="dxa"/>
            <w:tcBorders>
              <w:top w:val="single" w:sz="4" w:space="0" w:color="auto"/>
              <w:bottom w:val="nil"/>
            </w:tcBorders>
            <w:shd w:val="clear" w:color="auto" w:fill="auto"/>
            <w:tcMar>
              <w:top w:w="100" w:type="dxa"/>
              <w:left w:w="100" w:type="dxa"/>
              <w:bottom w:w="100" w:type="dxa"/>
              <w:right w:w="100" w:type="dxa"/>
            </w:tcMar>
            <w:vAlign w:val="center"/>
          </w:tcPr>
          <w:p w14:paraId="2CAD68BB" w14:textId="77777777" w:rsidR="006A1C58" w:rsidRPr="003F0485" w:rsidRDefault="006A1C58" w:rsidP="006A1C58">
            <w:pPr>
              <w:widowControl w:val="0"/>
              <w:pBdr>
                <w:top w:val="nil"/>
                <w:left w:val="nil"/>
                <w:bottom w:val="nil"/>
                <w:right w:val="nil"/>
                <w:between w:val="nil"/>
              </w:pBdr>
              <w:spacing w:line="240" w:lineRule="auto"/>
              <w:jc w:val="center"/>
            </w:pPr>
            <w:r w:rsidRPr="003F0485">
              <w:t>0.66</w:t>
            </w:r>
          </w:p>
        </w:tc>
        <w:tc>
          <w:tcPr>
            <w:tcW w:w="992" w:type="dxa"/>
            <w:tcBorders>
              <w:top w:val="single" w:sz="4" w:space="0" w:color="auto"/>
              <w:bottom w:val="nil"/>
            </w:tcBorders>
            <w:shd w:val="clear" w:color="auto" w:fill="auto"/>
            <w:tcMar>
              <w:top w:w="100" w:type="dxa"/>
              <w:left w:w="100" w:type="dxa"/>
              <w:bottom w:w="100" w:type="dxa"/>
              <w:right w:w="100" w:type="dxa"/>
            </w:tcMar>
            <w:vAlign w:val="center"/>
          </w:tcPr>
          <w:p w14:paraId="13978C6D" w14:textId="77777777" w:rsidR="006A1C58" w:rsidRPr="003F0485" w:rsidRDefault="006A1C58" w:rsidP="006A1C58">
            <w:pPr>
              <w:widowControl w:val="0"/>
              <w:pBdr>
                <w:top w:val="nil"/>
                <w:left w:val="nil"/>
                <w:bottom w:val="nil"/>
                <w:right w:val="nil"/>
                <w:between w:val="nil"/>
              </w:pBdr>
              <w:spacing w:line="240" w:lineRule="auto"/>
              <w:jc w:val="center"/>
            </w:pPr>
            <w:r w:rsidRPr="003F0485">
              <w:t>0.34</w:t>
            </w:r>
          </w:p>
        </w:tc>
        <w:tc>
          <w:tcPr>
            <w:tcW w:w="567" w:type="dxa"/>
            <w:tcBorders>
              <w:top w:val="single" w:sz="4" w:space="0" w:color="auto"/>
              <w:bottom w:val="nil"/>
            </w:tcBorders>
            <w:shd w:val="clear" w:color="auto" w:fill="auto"/>
            <w:tcMar>
              <w:top w:w="100" w:type="dxa"/>
              <w:left w:w="100" w:type="dxa"/>
              <w:bottom w:w="100" w:type="dxa"/>
              <w:right w:w="100" w:type="dxa"/>
            </w:tcMar>
            <w:vAlign w:val="center"/>
          </w:tcPr>
          <w:p w14:paraId="37F2F7CE" w14:textId="77777777" w:rsidR="006A1C58" w:rsidRPr="003F0485" w:rsidRDefault="006A1C58" w:rsidP="006A1C58">
            <w:pPr>
              <w:widowControl w:val="0"/>
              <w:pBdr>
                <w:top w:val="nil"/>
                <w:left w:val="nil"/>
                <w:bottom w:val="nil"/>
                <w:right w:val="nil"/>
                <w:between w:val="nil"/>
              </w:pBdr>
              <w:spacing w:line="240" w:lineRule="auto"/>
              <w:jc w:val="center"/>
            </w:pPr>
            <w:r w:rsidRPr="003F0485">
              <w:t>118</w:t>
            </w:r>
          </w:p>
        </w:tc>
        <w:tc>
          <w:tcPr>
            <w:tcW w:w="992" w:type="dxa"/>
            <w:tcBorders>
              <w:top w:val="single" w:sz="4" w:space="0" w:color="auto"/>
              <w:bottom w:val="nil"/>
            </w:tcBorders>
            <w:shd w:val="clear" w:color="auto" w:fill="auto"/>
            <w:tcMar>
              <w:top w:w="100" w:type="dxa"/>
              <w:left w:w="100" w:type="dxa"/>
              <w:bottom w:w="100" w:type="dxa"/>
              <w:right w:w="100" w:type="dxa"/>
            </w:tcMar>
            <w:vAlign w:val="center"/>
          </w:tcPr>
          <w:p w14:paraId="7F197B3D" w14:textId="77777777" w:rsidR="006A1C58" w:rsidRPr="003F0485" w:rsidRDefault="006A1C58" w:rsidP="006A1C58">
            <w:pPr>
              <w:widowControl w:val="0"/>
              <w:pBdr>
                <w:top w:val="nil"/>
                <w:left w:val="nil"/>
                <w:bottom w:val="nil"/>
                <w:right w:val="nil"/>
                <w:between w:val="nil"/>
              </w:pBdr>
              <w:spacing w:line="240" w:lineRule="auto"/>
              <w:jc w:val="center"/>
            </w:pPr>
            <w:r w:rsidRPr="003F0485">
              <w:t>.880</w:t>
            </w:r>
          </w:p>
        </w:tc>
      </w:tr>
      <w:tr w:rsidR="006A1C58" w:rsidRPr="003F0485" w14:paraId="589E459E" w14:textId="77777777" w:rsidTr="006A1C58">
        <w:tc>
          <w:tcPr>
            <w:tcW w:w="1185" w:type="dxa"/>
            <w:tcBorders>
              <w:top w:val="nil"/>
            </w:tcBorders>
            <w:shd w:val="clear" w:color="auto" w:fill="auto"/>
            <w:tcMar>
              <w:top w:w="100" w:type="dxa"/>
              <w:left w:w="100" w:type="dxa"/>
              <w:bottom w:w="100" w:type="dxa"/>
              <w:right w:w="100" w:type="dxa"/>
            </w:tcMar>
          </w:tcPr>
          <w:p w14:paraId="1C11DFBE" w14:textId="77777777" w:rsidR="006A1C58" w:rsidRPr="003F0485" w:rsidRDefault="006A1C58" w:rsidP="006A075A">
            <w:pPr>
              <w:widowControl w:val="0"/>
              <w:pBdr>
                <w:top w:val="nil"/>
                <w:left w:val="nil"/>
                <w:bottom w:val="nil"/>
                <w:right w:val="nil"/>
                <w:between w:val="nil"/>
              </w:pBdr>
              <w:spacing w:line="240" w:lineRule="auto"/>
            </w:pPr>
          </w:p>
        </w:tc>
        <w:tc>
          <w:tcPr>
            <w:tcW w:w="2633" w:type="dxa"/>
            <w:tcBorders>
              <w:top w:val="nil"/>
            </w:tcBorders>
            <w:shd w:val="clear" w:color="auto" w:fill="auto"/>
            <w:tcMar>
              <w:top w:w="100" w:type="dxa"/>
              <w:left w:w="100" w:type="dxa"/>
              <w:bottom w:w="100" w:type="dxa"/>
              <w:right w:w="100" w:type="dxa"/>
            </w:tcMar>
          </w:tcPr>
          <w:p w14:paraId="74C12A54" w14:textId="77777777" w:rsidR="006A1C58" w:rsidRPr="003F0485" w:rsidRDefault="006A1C58" w:rsidP="006A075A">
            <w:pPr>
              <w:widowControl w:val="0"/>
              <w:pBdr>
                <w:top w:val="nil"/>
                <w:left w:val="nil"/>
                <w:bottom w:val="nil"/>
                <w:right w:val="nil"/>
                <w:between w:val="nil"/>
              </w:pBdr>
              <w:spacing w:line="240" w:lineRule="auto"/>
            </w:pPr>
            <w:r w:rsidRPr="003F0485">
              <w:t>Music and one or more other subjects</w:t>
            </w:r>
          </w:p>
        </w:tc>
        <w:tc>
          <w:tcPr>
            <w:tcW w:w="567" w:type="dxa"/>
            <w:tcBorders>
              <w:top w:val="nil"/>
            </w:tcBorders>
            <w:shd w:val="clear" w:color="auto" w:fill="auto"/>
            <w:tcMar>
              <w:top w:w="100" w:type="dxa"/>
              <w:left w:w="100" w:type="dxa"/>
              <w:bottom w:w="100" w:type="dxa"/>
              <w:right w:w="100" w:type="dxa"/>
            </w:tcMar>
            <w:vAlign w:val="center"/>
          </w:tcPr>
          <w:p w14:paraId="3181BC19" w14:textId="77777777" w:rsidR="006A1C58" w:rsidRPr="003F0485" w:rsidRDefault="006A1C58" w:rsidP="006A1C58">
            <w:pPr>
              <w:widowControl w:val="0"/>
              <w:pBdr>
                <w:top w:val="nil"/>
                <w:left w:val="nil"/>
                <w:bottom w:val="nil"/>
                <w:right w:val="nil"/>
                <w:between w:val="nil"/>
              </w:pBdr>
              <w:spacing w:line="240" w:lineRule="auto"/>
              <w:jc w:val="center"/>
            </w:pPr>
            <w:r w:rsidRPr="003F0485">
              <w:t>92</w:t>
            </w:r>
          </w:p>
        </w:tc>
        <w:tc>
          <w:tcPr>
            <w:tcW w:w="850" w:type="dxa"/>
            <w:tcBorders>
              <w:top w:val="nil"/>
            </w:tcBorders>
            <w:shd w:val="clear" w:color="auto" w:fill="auto"/>
            <w:tcMar>
              <w:top w:w="100" w:type="dxa"/>
              <w:left w:w="100" w:type="dxa"/>
              <w:bottom w:w="100" w:type="dxa"/>
              <w:right w:w="100" w:type="dxa"/>
            </w:tcMar>
            <w:vAlign w:val="center"/>
          </w:tcPr>
          <w:p w14:paraId="5919CDFE" w14:textId="77777777" w:rsidR="006A1C58" w:rsidRPr="003F0485" w:rsidRDefault="006A1C58" w:rsidP="006A1C58">
            <w:pPr>
              <w:widowControl w:val="0"/>
              <w:pBdr>
                <w:top w:val="nil"/>
                <w:left w:val="nil"/>
                <w:bottom w:val="nil"/>
                <w:right w:val="nil"/>
                <w:between w:val="nil"/>
              </w:pBdr>
              <w:spacing w:line="240" w:lineRule="auto"/>
              <w:jc w:val="center"/>
            </w:pPr>
            <w:r w:rsidRPr="003F0485">
              <w:t>2.91</w:t>
            </w:r>
          </w:p>
        </w:tc>
        <w:tc>
          <w:tcPr>
            <w:tcW w:w="709" w:type="dxa"/>
            <w:tcBorders>
              <w:top w:val="nil"/>
            </w:tcBorders>
            <w:shd w:val="clear" w:color="auto" w:fill="auto"/>
            <w:tcMar>
              <w:top w:w="100" w:type="dxa"/>
              <w:left w:w="100" w:type="dxa"/>
              <w:bottom w:w="100" w:type="dxa"/>
              <w:right w:w="100" w:type="dxa"/>
            </w:tcMar>
            <w:vAlign w:val="center"/>
          </w:tcPr>
          <w:p w14:paraId="4E006AFB" w14:textId="77777777" w:rsidR="006A1C58" w:rsidRPr="003F0485" w:rsidRDefault="006A1C58" w:rsidP="006A1C58">
            <w:pPr>
              <w:widowControl w:val="0"/>
              <w:pBdr>
                <w:top w:val="nil"/>
                <w:left w:val="nil"/>
                <w:bottom w:val="nil"/>
                <w:right w:val="nil"/>
                <w:between w:val="nil"/>
              </w:pBdr>
              <w:spacing w:line="240" w:lineRule="auto"/>
              <w:jc w:val="center"/>
            </w:pPr>
            <w:r w:rsidRPr="003F0485">
              <w:t>0.73</w:t>
            </w:r>
          </w:p>
        </w:tc>
        <w:tc>
          <w:tcPr>
            <w:tcW w:w="992" w:type="dxa"/>
            <w:tcBorders>
              <w:top w:val="nil"/>
            </w:tcBorders>
            <w:shd w:val="clear" w:color="auto" w:fill="auto"/>
            <w:tcMar>
              <w:top w:w="100" w:type="dxa"/>
              <w:left w:w="100" w:type="dxa"/>
              <w:bottom w:w="100" w:type="dxa"/>
              <w:right w:w="100" w:type="dxa"/>
            </w:tcMar>
            <w:vAlign w:val="center"/>
          </w:tcPr>
          <w:p w14:paraId="0114F3A2" w14:textId="77777777" w:rsidR="006A1C58" w:rsidRPr="003F0485" w:rsidRDefault="006A1C58" w:rsidP="006A1C58">
            <w:pPr>
              <w:widowControl w:val="0"/>
              <w:pBdr>
                <w:top w:val="nil"/>
                <w:left w:val="nil"/>
                <w:bottom w:val="nil"/>
                <w:right w:val="nil"/>
                <w:between w:val="nil"/>
              </w:pBdr>
              <w:spacing w:line="240" w:lineRule="auto"/>
              <w:jc w:val="center"/>
            </w:pPr>
          </w:p>
        </w:tc>
        <w:tc>
          <w:tcPr>
            <w:tcW w:w="567" w:type="dxa"/>
            <w:tcBorders>
              <w:top w:val="nil"/>
            </w:tcBorders>
            <w:shd w:val="clear" w:color="auto" w:fill="auto"/>
            <w:tcMar>
              <w:top w:w="100" w:type="dxa"/>
              <w:left w:w="100" w:type="dxa"/>
              <w:bottom w:w="100" w:type="dxa"/>
              <w:right w:w="100" w:type="dxa"/>
            </w:tcMar>
            <w:vAlign w:val="center"/>
          </w:tcPr>
          <w:p w14:paraId="1BD3362A" w14:textId="77777777" w:rsidR="006A1C58" w:rsidRPr="003F0485" w:rsidRDefault="006A1C58" w:rsidP="006A1C58">
            <w:pPr>
              <w:widowControl w:val="0"/>
              <w:pBdr>
                <w:top w:val="nil"/>
                <w:left w:val="nil"/>
                <w:bottom w:val="nil"/>
                <w:right w:val="nil"/>
                <w:between w:val="nil"/>
              </w:pBdr>
              <w:spacing w:line="240" w:lineRule="auto"/>
              <w:jc w:val="center"/>
            </w:pPr>
          </w:p>
        </w:tc>
        <w:tc>
          <w:tcPr>
            <w:tcW w:w="992" w:type="dxa"/>
            <w:tcBorders>
              <w:top w:val="nil"/>
            </w:tcBorders>
            <w:shd w:val="clear" w:color="auto" w:fill="auto"/>
            <w:tcMar>
              <w:top w:w="100" w:type="dxa"/>
              <w:left w:w="100" w:type="dxa"/>
              <w:bottom w:w="100" w:type="dxa"/>
              <w:right w:w="100" w:type="dxa"/>
            </w:tcMar>
            <w:vAlign w:val="center"/>
          </w:tcPr>
          <w:p w14:paraId="10D1B876" w14:textId="77777777" w:rsidR="006A1C58" w:rsidRPr="003F0485" w:rsidRDefault="006A1C58" w:rsidP="006A1C58">
            <w:pPr>
              <w:widowControl w:val="0"/>
              <w:pBdr>
                <w:top w:val="nil"/>
                <w:left w:val="nil"/>
                <w:bottom w:val="nil"/>
                <w:right w:val="nil"/>
                <w:between w:val="nil"/>
              </w:pBdr>
              <w:spacing w:line="240" w:lineRule="auto"/>
              <w:jc w:val="center"/>
            </w:pPr>
          </w:p>
        </w:tc>
      </w:tr>
      <w:tr w:rsidR="006A1C58" w:rsidRPr="003F0485" w14:paraId="6D9F57BF" w14:textId="77777777" w:rsidTr="006A1C58">
        <w:tc>
          <w:tcPr>
            <w:tcW w:w="1185" w:type="dxa"/>
            <w:shd w:val="clear" w:color="auto" w:fill="auto"/>
            <w:tcMar>
              <w:top w:w="100" w:type="dxa"/>
              <w:left w:w="100" w:type="dxa"/>
              <w:bottom w:w="100" w:type="dxa"/>
              <w:right w:w="100" w:type="dxa"/>
            </w:tcMar>
          </w:tcPr>
          <w:p w14:paraId="4AE1B02D" w14:textId="77777777" w:rsidR="006A1C58" w:rsidRPr="003F0485" w:rsidRDefault="006A1C58" w:rsidP="006A075A">
            <w:pPr>
              <w:widowControl w:val="0"/>
              <w:pBdr>
                <w:top w:val="nil"/>
                <w:left w:val="nil"/>
                <w:bottom w:val="nil"/>
                <w:right w:val="nil"/>
                <w:between w:val="nil"/>
              </w:pBdr>
              <w:spacing w:line="240" w:lineRule="auto"/>
            </w:pPr>
            <w:r w:rsidRPr="003F0485">
              <w:t>GAD-7</w:t>
            </w:r>
          </w:p>
        </w:tc>
        <w:tc>
          <w:tcPr>
            <w:tcW w:w="2633" w:type="dxa"/>
            <w:shd w:val="clear" w:color="auto" w:fill="auto"/>
            <w:tcMar>
              <w:top w:w="100" w:type="dxa"/>
              <w:left w:w="100" w:type="dxa"/>
              <w:bottom w:w="100" w:type="dxa"/>
              <w:right w:w="100" w:type="dxa"/>
            </w:tcMar>
          </w:tcPr>
          <w:p w14:paraId="4F30948D" w14:textId="77777777" w:rsidR="006A1C58" w:rsidRPr="003F0485" w:rsidRDefault="006A1C58" w:rsidP="006A075A">
            <w:pPr>
              <w:widowControl w:val="0"/>
              <w:spacing w:line="240" w:lineRule="auto"/>
            </w:pPr>
            <w:r w:rsidRPr="003F0485">
              <w:t xml:space="preserve">Only music </w:t>
            </w:r>
          </w:p>
        </w:tc>
        <w:tc>
          <w:tcPr>
            <w:tcW w:w="567" w:type="dxa"/>
            <w:shd w:val="clear" w:color="auto" w:fill="auto"/>
            <w:tcMar>
              <w:top w:w="100" w:type="dxa"/>
              <w:left w:w="100" w:type="dxa"/>
              <w:bottom w:w="100" w:type="dxa"/>
              <w:right w:w="100" w:type="dxa"/>
            </w:tcMar>
            <w:vAlign w:val="center"/>
          </w:tcPr>
          <w:p w14:paraId="15BFB5C6" w14:textId="77777777" w:rsidR="006A1C58" w:rsidRPr="003F0485" w:rsidRDefault="006A1C58" w:rsidP="006A1C58">
            <w:pPr>
              <w:widowControl w:val="0"/>
              <w:spacing w:line="240" w:lineRule="auto"/>
              <w:jc w:val="center"/>
            </w:pPr>
            <w:r w:rsidRPr="003F0485">
              <w:t>28</w:t>
            </w:r>
          </w:p>
        </w:tc>
        <w:tc>
          <w:tcPr>
            <w:tcW w:w="850" w:type="dxa"/>
            <w:shd w:val="clear" w:color="auto" w:fill="auto"/>
            <w:tcMar>
              <w:top w:w="100" w:type="dxa"/>
              <w:left w:w="100" w:type="dxa"/>
              <w:bottom w:w="100" w:type="dxa"/>
              <w:right w:w="100" w:type="dxa"/>
            </w:tcMar>
            <w:vAlign w:val="center"/>
          </w:tcPr>
          <w:p w14:paraId="76AD2A85" w14:textId="77777777" w:rsidR="006A1C58" w:rsidRPr="003F0485" w:rsidRDefault="006A1C58" w:rsidP="006A1C58">
            <w:pPr>
              <w:widowControl w:val="0"/>
              <w:pBdr>
                <w:top w:val="nil"/>
                <w:left w:val="nil"/>
                <w:bottom w:val="nil"/>
                <w:right w:val="nil"/>
                <w:between w:val="nil"/>
              </w:pBdr>
              <w:spacing w:line="240" w:lineRule="auto"/>
              <w:jc w:val="center"/>
            </w:pPr>
            <w:r w:rsidRPr="003F0485">
              <w:t>1.96</w:t>
            </w:r>
          </w:p>
        </w:tc>
        <w:tc>
          <w:tcPr>
            <w:tcW w:w="709" w:type="dxa"/>
            <w:shd w:val="clear" w:color="auto" w:fill="auto"/>
            <w:tcMar>
              <w:top w:w="100" w:type="dxa"/>
              <w:left w:w="100" w:type="dxa"/>
              <w:bottom w:w="100" w:type="dxa"/>
              <w:right w:w="100" w:type="dxa"/>
            </w:tcMar>
            <w:vAlign w:val="center"/>
          </w:tcPr>
          <w:p w14:paraId="6C4515FE" w14:textId="77777777" w:rsidR="006A1C58" w:rsidRPr="003F0485" w:rsidRDefault="006A1C58" w:rsidP="006A1C58">
            <w:pPr>
              <w:widowControl w:val="0"/>
              <w:pBdr>
                <w:top w:val="nil"/>
                <w:left w:val="nil"/>
                <w:bottom w:val="nil"/>
                <w:right w:val="nil"/>
                <w:between w:val="nil"/>
              </w:pBdr>
              <w:spacing w:line="240" w:lineRule="auto"/>
              <w:jc w:val="center"/>
            </w:pPr>
            <w:r w:rsidRPr="003F0485">
              <w:t>0.86</w:t>
            </w:r>
          </w:p>
        </w:tc>
        <w:tc>
          <w:tcPr>
            <w:tcW w:w="992" w:type="dxa"/>
            <w:shd w:val="clear" w:color="auto" w:fill="auto"/>
            <w:tcMar>
              <w:top w:w="100" w:type="dxa"/>
              <w:left w:w="100" w:type="dxa"/>
              <w:bottom w:w="100" w:type="dxa"/>
              <w:right w:w="100" w:type="dxa"/>
            </w:tcMar>
            <w:vAlign w:val="center"/>
          </w:tcPr>
          <w:p w14:paraId="31699DD9" w14:textId="77777777" w:rsidR="006A1C58" w:rsidRPr="003F0485" w:rsidRDefault="006A1C58" w:rsidP="006A1C58">
            <w:pPr>
              <w:widowControl w:val="0"/>
              <w:spacing w:line="240" w:lineRule="auto"/>
              <w:jc w:val="center"/>
            </w:pPr>
            <w:r w:rsidRPr="003F0485">
              <w:t>0.80</w:t>
            </w:r>
          </w:p>
        </w:tc>
        <w:tc>
          <w:tcPr>
            <w:tcW w:w="567" w:type="dxa"/>
            <w:shd w:val="clear" w:color="auto" w:fill="auto"/>
            <w:tcMar>
              <w:top w:w="100" w:type="dxa"/>
              <w:left w:w="100" w:type="dxa"/>
              <w:bottom w:w="100" w:type="dxa"/>
              <w:right w:w="100" w:type="dxa"/>
            </w:tcMar>
            <w:vAlign w:val="center"/>
          </w:tcPr>
          <w:p w14:paraId="3BD948F3" w14:textId="77777777" w:rsidR="006A1C58" w:rsidRPr="003F0485" w:rsidRDefault="006A1C58" w:rsidP="006A1C58">
            <w:pPr>
              <w:widowControl w:val="0"/>
              <w:pBdr>
                <w:top w:val="nil"/>
                <w:left w:val="nil"/>
                <w:bottom w:val="nil"/>
                <w:right w:val="nil"/>
                <w:between w:val="nil"/>
              </w:pBdr>
              <w:spacing w:line="240" w:lineRule="auto"/>
              <w:jc w:val="center"/>
            </w:pPr>
            <w:r w:rsidRPr="003F0485">
              <w:t>118</w:t>
            </w:r>
          </w:p>
        </w:tc>
        <w:tc>
          <w:tcPr>
            <w:tcW w:w="992" w:type="dxa"/>
            <w:shd w:val="clear" w:color="auto" w:fill="auto"/>
            <w:tcMar>
              <w:top w:w="100" w:type="dxa"/>
              <w:left w:w="100" w:type="dxa"/>
              <w:bottom w:w="100" w:type="dxa"/>
              <w:right w:w="100" w:type="dxa"/>
            </w:tcMar>
            <w:vAlign w:val="center"/>
          </w:tcPr>
          <w:p w14:paraId="19D0782F" w14:textId="77777777" w:rsidR="006A1C58" w:rsidRPr="003F0485" w:rsidRDefault="006A1C58" w:rsidP="006A1C58">
            <w:pPr>
              <w:widowControl w:val="0"/>
              <w:pBdr>
                <w:top w:val="nil"/>
                <w:left w:val="nil"/>
                <w:bottom w:val="nil"/>
                <w:right w:val="nil"/>
                <w:between w:val="nil"/>
              </w:pBdr>
              <w:spacing w:line="240" w:lineRule="auto"/>
              <w:jc w:val="center"/>
            </w:pPr>
            <w:r w:rsidRPr="003F0485">
              <w:t>.027</w:t>
            </w:r>
          </w:p>
        </w:tc>
      </w:tr>
      <w:tr w:rsidR="006A1C58" w:rsidRPr="003F0485" w14:paraId="2AFA70FA" w14:textId="77777777" w:rsidTr="006A1C58">
        <w:tc>
          <w:tcPr>
            <w:tcW w:w="1185" w:type="dxa"/>
            <w:shd w:val="clear" w:color="auto" w:fill="auto"/>
            <w:tcMar>
              <w:top w:w="100" w:type="dxa"/>
              <w:left w:w="100" w:type="dxa"/>
              <w:bottom w:w="100" w:type="dxa"/>
              <w:right w:w="100" w:type="dxa"/>
            </w:tcMar>
          </w:tcPr>
          <w:p w14:paraId="14F62ED4" w14:textId="77777777" w:rsidR="006A1C58" w:rsidRPr="003F0485" w:rsidRDefault="006A1C58" w:rsidP="006A075A">
            <w:pPr>
              <w:widowControl w:val="0"/>
              <w:pBdr>
                <w:top w:val="nil"/>
                <w:left w:val="nil"/>
                <w:bottom w:val="nil"/>
                <w:right w:val="nil"/>
                <w:between w:val="nil"/>
              </w:pBdr>
              <w:spacing w:line="240" w:lineRule="auto"/>
            </w:pPr>
          </w:p>
        </w:tc>
        <w:tc>
          <w:tcPr>
            <w:tcW w:w="2633" w:type="dxa"/>
            <w:shd w:val="clear" w:color="auto" w:fill="auto"/>
            <w:tcMar>
              <w:top w:w="100" w:type="dxa"/>
              <w:left w:w="100" w:type="dxa"/>
              <w:bottom w:w="100" w:type="dxa"/>
              <w:right w:w="100" w:type="dxa"/>
            </w:tcMar>
          </w:tcPr>
          <w:p w14:paraId="436F38FB" w14:textId="77777777" w:rsidR="006A1C58" w:rsidRPr="003F0485" w:rsidRDefault="006A1C58" w:rsidP="006A075A">
            <w:pPr>
              <w:widowControl w:val="0"/>
              <w:spacing w:line="240" w:lineRule="auto"/>
            </w:pPr>
            <w:r w:rsidRPr="003F0485">
              <w:t>Music and one or more other subjects</w:t>
            </w:r>
          </w:p>
        </w:tc>
        <w:tc>
          <w:tcPr>
            <w:tcW w:w="567" w:type="dxa"/>
            <w:shd w:val="clear" w:color="auto" w:fill="auto"/>
            <w:tcMar>
              <w:top w:w="100" w:type="dxa"/>
              <w:left w:w="100" w:type="dxa"/>
              <w:bottom w:w="100" w:type="dxa"/>
              <w:right w:w="100" w:type="dxa"/>
            </w:tcMar>
            <w:vAlign w:val="center"/>
          </w:tcPr>
          <w:p w14:paraId="1CE9D758" w14:textId="77777777" w:rsidR="006A1C58" w:rsidRPr="003F0485" w:rsidRDefault="006A1C58" w:rsidP="006A1C58">
            <w:pPr>
              <w:widowControl w:val="0"/>
              <w:spacing w:line="240" w:lineRule="auto"/>
              <w:jc w:val="center"/>
            </w:pPr>
            <w:r w:rsidRPr="003F0485">
              <w:t>92</w:t>
            </w:r>
          </w:p>
        </w:tc>
        <w:tc>
          <w:tcPr>
            <w:tcW w:w="850" w:type="dxa"/>
            <w:shd w:val="clear" w:color="auto" w:fill="auto"/>
            <w:tcMar>
              <w:top w:w="100" w:type="dxa"/>
              <w:left w:w="100" w:type="dxa"/>
              <w:bottom w:w="100" w:type="dxa"/>
              <w:right w:w="100" w:type="dxa"/>
            </w:tcMar>
            <w:vAlign w:val="center"/>
          </w:tcPr>
          <w:p w14:paraId="51F6FC7F" w14:textId="77777777" w:rsidR="006A1C58" w:rsidRPr="003F0485" w:rsidRDefault="006A1C58" w:rsidP="006A1C58">
            <w:pPr>
              <w:widowControl w:val="0"/>
              <w:pBdr>
                <w:top w:val="nil"/>
                <w:left w:val="nil"/>
                <w:bottom w:val="nil"/>
                <w:right w:val="nil"/>
                <w:between w:val="nil"/>
              </w:pBdr>
              <w:spacing w:line="240" w:lineRule="auto"/>
              <w:jc w:val="center"/>
            </w:pPr>
            <w:r w:rsidRPr="003F0485">
              <w:t>1.84</w:t>
            </w:r>
          </w:p>
        </w:tc>
        <w:tc>
          <w:tcPr>
            <w:tcW w:w="709" w:type="dxa"/>
            <w:shd w:val="clear" w:color="auto" w:fill="auto"/>
            <w:tcMar>
              <w:top w:w="100" w:type="dxa"/>
              <w:left w:w="100" w:type="dxa"/>
              <w:bottom w:w="100" w:type="dxa"/>
              <w:right w:w="100" w:type="dxa"/>
            </w:tcMar>
            <w:vAlign w:val="center"/>
          </w:tcPr>
          <w:p w14:paraId="0B417074" w14:textId="77777777" w:rsidR="006A1C58" w:rsidRPr="003F0485" w:rsidRDefault="006A1C58" w:rsidP="006A1C58">
            <w:pPr>
              <w:widowControl w:val="0"/>
              <w:pBdr>
                <w:top w:val="nil"/>
                <w:left w:val="nil"/>
                <w:bottom w:val="nil"/>
                <w:right w:val="nil"/>
                <w:between w:val="nil"/>
              </w:pBdr>
              <w:spacing w:line="240" w:lineRule="auto"/>
              <w:jc w:val="center"/>
            </w:pPr>
            <w:r w:rsidRPr="003F0485">
              <w:t>0.71</w:t>
            </w:r>
          </w:p>
        </w:tc>
        <w:tc>
          <w:tcPr>
            <w:tcW w:w="992" w:type="dxa"/>
            <w:shd w:val="clear" w:color="auto" w:fill="auto"/>
            <w:tcMar>
              <w:top w:w="100" w:type="dxa"/>
              <w:left w:w="100" w:type="dxa"/>
              <w:bottom w:w="100" w:type="dxa"/>
              <w:right w:w="100" w:type="dxa"/>
            </w:tcMar>
            <w:vAlign w:val="center"/>
          </w:tcPr>
          <w:p w14:paraId="6883BD39" w14:textId="77777777" w:rsidR="006A1C58" w:rsidRPr="003F0485" w:rsidRDefault="006A1C58" w:rsidP="006A1C58">
            <w:pPr>
              <w:widowControl w:val="0"/>
              <w:pBdr>
                <w:top w:val="nil"/>
                <w:left w:val="nil"/>
                <w:bottom w:val="nil"/>
                <w:right w:val="nil"/>
                <w:between w:val="nil"/>
              </w:pBdr>
              <w:spacing w:line="240" w:lineRule="auto"/>
              <w:jc w:val="center"/>
            </w:pPr>
          </w:p>
        </w:tc>
        <w:tc>
          <w:tcPr>
            <w:tcW w:w="567" w:type="dxa"/>
            <w:shd w:val="clear" w:color="auto" w:fill="auto"/>
            <w:tcMar>
              <w:top w:w="100" w:type="dxa"/>
              <w:left w:w="100" w:type="dxa"/>
              <w:bottom w:w="100" w:type="dxa"/>
              <w:right w:w="100" w:type="dxa"/>
            </w:tcMar>
            <w:vAlign w:val="center"/>
          </w:tcPr>
          <w:p w14:paraId="20FF1E8F" w14:textId="77777777" w:rsidR="006A1C58" w:rsidRPr="003F0485" w:rsidRDefault="006A1C58" w:rsidP="006A1C58">
            <w:pPr>
              <w:widowControl w:val="0"/>
              <w:pBdr>
                <w:top w:val="nil"/>
                <w:left w:val="nil"/>
                <w:bottom w:val="nil"/>
                <w:right w:val="nil"/>
                <w:between w:val="nil"/>
              </w:pBdr>
              <w:spacing w:line="240" w:lineRule="auto"/>
              <w:jc w:val="center"/>
            </w:pPr>
          </w:p>
        </w:tc>
        <w:tc>
          <w:tcPr>
            <w:tcW w:w="992" w:type="dxa"/>
            <w:shd w:val="clear" w:color="auto" w:fill="auto"/>
            <w:tcMar>
              <w:top w:w="100" w:type="dxa"/>
              <w:left w:w="100" w:type="dxa"/>
              <w:bottom w:w="100" w:type="dxa"/>
              <w:right w:w="100" w:type="dxa"/>
            </w:tcMar>
            <w:vAlign w:val="center"/>
          </w:tcPr>
          <w:p w14:paraId="7644082C" w14:textId="77777777" w:rsidR="006A1C58" w:rsidRPr="003F0485" w:rsidRDefault="006A1C58" w:rsidP="006A1C58">
            <w:pPr>
              <w:widowControl w:val="0"/>
              <w:pBdr>
                <w:top w:val="nil"/>
                <w:left w:val="nil"/>
                <w:bottom w:val="nil"/>
                <w:right w:val="nil"/>
                <w:between w:val="nil"/>
              </w:pBdr>
              <w:spacing w:line="240" w:lineRule="auto"/>
              <w:jc w:val="center"/>
            </w:pPr>
          </w:p>
        </w:tc>
      </w:tr>
      <w:tr w:rsidR="006A1C58" w:rsidRPr="003F0485" w14:paraId="4D50479B" w14:textId="77777777" w:rsidTr="006A1C58">
        <w:tc>
          <w:tcPr>
            <w:tcW w:w="1185" w:type="dxa"/>
            <w:shd w:val="clear" w:color="auto" w:fill="auto"/>
            <w:tcMar>
              <w:top w:w="100" w:type="dxa"/>
              <w:left w:w="100" w:type="dxa"/>
              <w:bottom w:w="100" w:type="dxa"/>
              <w:right w:w="100" w:type="dxa"/>
            </w:tcMar>
          </w:tcPr>
          <w:p w14:paraId="64CCFD5C" w14:textId="77777777" w:rsidR="006A1C58" w:rsidRPr="003F0485" w:rsidRDefault="006A1C58" w:rsidP="006A075A">
            <w:pPr>
              <w:widowControl w:val="0"/>
              <w:pBdr>
                <w:top w:val="nil"/>
                <w:left w:val="nil"/>
                <w:bottom w:val="nil"/>
                <w:right w:val="nil"/>
                <w:between w:val="nil"/>
              </w:pBdr>
              <w:spacing w:line="240" w:lineRule="auto"/>
            </w:pPr>
            <w:r w:rsidRPr="003F0485">
              <w:t>CTSQ</w:t>
            </w:r>
          </w:p>
        </w:tc>
        <w:tc>
          <w:tcPr>
            <w:tcW w:w="2633" w:type="dxa"/>
            <w:shd w:val="clear" w:color="auto" w:fill="auto"/>
            <w:tcMar>
              <w:top w:w="100" w:type="dxa"/>
              <w:left w:w="100" w:type="dxa"/>
              <w:bottom w:w="100" w:type="dxa"/>
              <w:right w:w="100" w:type="dxa"/>
            </w:tcMar>
          </w:tcPr>
          <w:p w14:paraId="2720AAC2" w14:textId="77777777" w:rsidR="006A1C58" w:rsidRPr="003F0485" w:rsidRDefault="006A1C58" w:rsidP="006A075A">
            <w:pPr>
              <w:widowControl w:val="0"/>
              <w:spacing w:line="240" w:lineRule="auto"/>
            </w:pPr>
            <w:r w:rsidRPr="003F0485">
              <w:t xml:space="preserve">Only music </w:t>
            </w:r>
          </w:p>
        </w:tc>
        <w:tc>
          <w:tcPr>
            <w:tcW w:w="567" w:type="dxa"/>
            <w:shd w:val="clear" w:color="auto" w:fill="auto"/>
            <w:tcMar>
              <w:top w:w="100" w:type="dxa"/>
              <w:left w:w="100" w:type="dxa"/>
              <w:bottom w:w="100" w:type="dxa"/>
              <w:right w:w="100" w:type="dxa"/>
            </w:tcMar>
            <w:vAlign w:val="center"/>
          </w:tcPr>
          <w:p w14:paraId="2B43A361" w14:textId="77777777" w:rsidR="006A1C58" w:rsidRPr="003F0485" w:rsidRDefault="006A1C58" w:rsidP="006A1C58">
            <w:pPr>
              <w:widowControl w:val="0"/>
              <w:spacing w:line="240" w:lineRule="auto"/>
              <w:jc w:val="center"/>
            </w:pPr>
            <w:r w:rsidRPr="003F0485">
              <w:t>28</w:t>
            </w:r>
          </w:p>
        </w:tc>
        <w:tc>
          <w:tcPr>
            <w:tcW w:w="850" w:type="dxa"/>
            <w:shd w:val="clear" w:color="auto" w:fill="auto"/>
            <w:tcMar>
              <w:top w:w="100" w:type="dxa"/>
              <w:left w:w="100" w:type="dxa"/>
              <w:bottom w:w="100" w:type="dxa"/>
              <w:right w:w="100" w:type="dxa"/>
            </w:tcMar>
            <w:vAlign w:val="center"/>
          </w:tcPr>
          <w:p w14:paraId="5CDF7DFA" w14:textId="77777777" w:rsidR="006A1C58" w:rsidRPr="003F0485" w:rsidRDefault="006A1C58" w:rsidP="006A1C58">
            <w:pPr>
              <w:widowControl w:val="0"/>
              <w:pBdr>
                <w:top w:val="nil"/>
                <w:left w:val="nil"/>
                <w:bottom w:val="nil"/>
                <w:right w:val="nil"/>
                <w:between w:val="nil"/>
              </w:pBdr>
              <w:spacing w:line="240" w:lineRule="auto"/>
              <w:jc w:val="center"/>
            </w:pPr>
            <w:r w:rsidRPr="003F0485">
              <w:t>2.82</w:t>
            </w:r>
          </w:p>
        </w:tc>
        <w:tc>
          <w:tcPr>
            <w:tcW w:w="709" w:type="dxa"/>
            <w:shd w:val="clear" w:color="auto" w:fill="auto"/>
            <w:tcMar>
              <w:top w:w="100" w:type="dxa"/>
              <w:left w:w="100" w:type="dxa"/>
              <w:bottom w:w="100" w:type="dxa"/>
              <w:right w:w="100" w:type="dxa"/>
            </w:tcMar>
            <w:vAlign w:val="center"/>
          </w:tcPr>
          <w:p w14:paraId="04F0D370" w14:textId="77777777" w:rsidR="006A1C58" w:rsidRPr="003F0485" w:rsidRDefault="006A1C58" w:rsidP="006A1C58">
            <w:pPr>
              <w:widowControl w:val="0"/>
              <w:pBdr>
                <w:top w:val="nil"/>
                <w:left w:val="nil"/>
                <w:bottom w:val="nil"/>
                <w:right w:val="nil"/>
                <w:between w:val="nil"/>
              </w:pBdr>
              <w:spacing w:line="240" w:lineRule="auto"/>
              <w:jc w:val="center"/>
            </w:pPr>
            <w:r w:rsidRPr="003F0485">
              <w:t>0.90</w:t>
            </w:r>
          </w:p>
        </w:tc>
        <w:tc>
          <w:tcPr>
            <w:tcW w:w="992" w:type="dxa"/>
            <w:shd w:val="clear" w:color="auto" w:fill="auto"/>
            <w:tcMar>
              <w:top w:w="100" w:type="dxa"/>
              <w:left w:w="100" w:type="dxa"/>
              <w:bottom w:w="100" w:type="dxa"/>
              <w:right w:w="100" w:type="dxa"/>
            </w:tcMar>
            <w:vAlign w:val="center"/>
          </w:tcPr>
          <w:p w14:paraId="25EC2D95" w14:textId="77777777" w:rsidR="006A1C58" w:rsidRPr="003F0485" w:rsidRDefault="006A1C58" w:rsidP="006A1C58">
            <w:pPr>
              <w:widowControl w:val="0"/>
              <w:pBdr>
                <w:top w:val="nil"/>
                <w:left w:val="nil"/>
                <w:bottom w:val="nil"/>
                <w:right w:val="nil"/>
                <w:between w:val="nil"/>
              </w:pBdr>
              <w:spacing w:line="240" w:lineRule="auto"/>
              <w:jc w:val="center"/>
            </w:pPr>
            <w:r w:rsidRPr="003F0485">
              <w:t>0.35</w:t>
            </w:r>
          </w:p>
        </w:tc>
        <w:tc>
          <w:tcPr>
            <w:tcW w:w="567" w:type="dxa"/>
            <w:shd w:val="clear" w:color="auto" w:fill="auto"/>
            <w:tcMar>
              <w:top w:w="100" w:type="dxa"/>
              <w:left w:w="100" w:type="dxa"/>
              <w:bottom w:w="100" w:type="dxa"/>
              <w:right w:w="100" w:type="dxa"/>
            </w:tcMar>
            <w:vAlign w:val="center"/>
          </w:tcPr>
          <w:p w14:paraId="709D61F3" w14:textId="77777777" w:rsidR="006A1C58" w:rsidRPr="003F0485" w:rsidRDefault="006A1C58" w:rsidP="006A1C58">
            <w:pPr>
              <w:widowControl w:val="0"/>
              <w:pBdr>
                <w:top w:val="nil"/>
                <w:left w:val="nil"/>
                <w:bottom w:val="nil"/>
                <w:right w:val="nil"/>
                <w:between w:val="nil"/>
              </w:pBdr>
              <w:spacing w:line="240" w:lineRule="auto"/>
              <w:jc w:val="center"/>
            </w:pPr>
            <w:r w:rsidRPr="003F0485">
              <w:t>118</w:t>
            </w:r>
          </w:p>
        </w:tc>
        <w:tc>
          <w:tcPr>
            <w:tcW w:w="992" w:type="dxa"/>
            <w:shd w:val="clear" w:color="auto" w:fill="auto"/>
            <w:tcMar>
              <w:top w:w="100" w:type="dxa"/>
              <w:left w:w="100" w:type="dxa"/>
              <w:bottom w:w="100" w:type="dxa"/>
              <w:right w:w="100" w:type="dxa"/>
            </w:tcMar>
            <w:vAlign w:val="center"/>
          </w:tcPr>
          <w:p w14:paraId="60C3A9A7" w14:textId="77777777" w:rsidR="006A1C58" w:rsidRPr="003F0485" w:rsidRDefault="006A1C58" w:rsidP="006A1C58">
            <w:pPr>
              <w:widowControl w:val="0"/>
              <w:pBdr>
                <w:top w:val="nil"/>
                <w:left w:val="nil"/>
                <w:bottom w:val="nil"/>
                <w:right w:val="nil"/>
                <w:between w:val="nil"/>
              </w:pBdr>
              <w:spacing w:line="240" w:lineRule="auto"/>
              <w:jc w:val="center"/>
            </w:pPr>
            <w:r w:rsidRPr="003F0485">
              <w:t>.353</w:t>
            </w:r>
          </w:p>
        </w:tc>
      </w:tr>
      <w:tr w:rsidR="006A1C58" w:rsidRPr="003F0485" w14:paraId="13B5D278" w14:textId="77777777" w:rsidTr="006A1C58">
        <w:tc>
          <w:tcPr>
            <w:tcW w:w="1185" w:type="dxa"/>
            <w:shd w:val="clear" w:color="auto" w:fill="auto"/>
            <w:tcMar>
              <w:top w:w="100" w:type="dxa"/>
              <w:left w:w="100" w:type="dxa"/>
              <w:bottom w:w="100" w:type="dxa"/>
              <w:right w:w="100" w:type="dxa"/>
            </w:tcMar>
          </w:tcPr>
          <w:p w14:paraId="1BD7DA48" w14:textId="77777777" w:rsidR="006A1C58" w:rsidRPr="003F0485" w:rsidRDefault="006A1C58" w:rsidP="006A075A">
            <w:pPr>
              <w:widowControl w:val="0"/>
              <w:pBdr>
                <w:top w:val="nil"/>
                <w:left w:val="nil"/>
                <w:bottom w:val="nil"/>
                <w:right w:val="nil"/>
                <w:between w:val="nil"/>
              </w:pBdr>
              <w:spacing w:line="240" w:lineRule="auto"/>
            </w:pPr>
          </w:p>
        </w:tc>
        <w:tc>
          <w:tcPr>
            <w:tcW w:w="2633" w:type="dxa"/>
            <w:shd w:val="clear" w:color="auto" w:fill="auto"/>
            <w:tcMar>
              <w:top w:w="100" w:type="dxa"/>
              <w:left w:w="100" w:type="dxa"/>
              <w:bottom w:w="100" w:type="dxa"/>
              <w:right w:w="100" w:type="dxa"/>
            </w:tcMar>
          </w:tcPr>
          <w:p w14:paraId="42DDAEE2" w14:textId="77777777" w:rsidR="006A1C58" w:rsidRPr="003F0485" w:rsidRDefault="006A1C58" w:rsidP="006A075A">
            <w:pPr>
              <w:widowControl w:val="0"/>
              <w:spacing w:line="240" w:lineRule="auto"/>
            </w:pPr>
            <w:r w:rsidRPr="003F0485">
              <w:t>Music and one or more other subjects</w:t>
            </w:r>
          </w:p>
        </w:tc>
        <w:tc>
          <w:tcPr>
            <w:tcW w:w="567" w:type="dxa"/>
            <w:shd w:val="clear" w:color="auto" w:fill="auto"/>
            <w:tcMar>
              <w:top w:w="100" w:type="dxa"/>
              <w:left w:w="100" w:type="dxa"/>
              <w:bottom w:w="100" w:type="dxa"/>
              <w:right w:w="100" w:type="dxa"/>
            </w:tcMar>
            <w:vAlign w:val="center"/>
          </w:tcPr>
          <w:p w14:paraId="4D8AECD1" w14:textId="77777777" w:rsidR="006A1C58" w:rsidRPr="003F0485" w:rsidRDefault="006A1C58" w:rsidP="006A1C58">
            <w:pPr>
              <w:widowControl w:val="0"/>
              <w:spacing w:line="240" w:lineRule="auto"/>
              <w:jc w:val="center"/>
            </w:pPr>
            <w:r w:rsidRPr="003F0485">
              <w:t>92</w:t>
            </w:r>
          </w:p>
        </w:tc>
        <w:tc>
          <w:tcPr>
            <w:tcW w:w="850" w:type="dxa"/>
            <w:shd w:val="clear" w:color="auto" w:fill="auto"/>
            <w:tcMar>
              <w:top w:w="100" w:type="dxa"/>
              <w:left w:w="100" w:type="dxa"/>
              <w:bottom w:w="100" w:type="dxa"/>
              <w:right w:w="100" w:type="dxa"/>
            </w:tcMar>
            <w:vAlign w:val="center"/>
          </w:tcPr>
          <w:p w14:paraId="65ABEA29" w14:textId="77777777" w:rsidR="006A1C58" w:rsidRPr="003F0485" w:rsidRDefault="006A1C58" w:rsidP="006A1C58">
            <w:pPr>
              <w:widowControl w:val="0"/>
              <w:pBdr>
                <w:top w:val="nil"/>
                <w:left w:val="nil"/>
                <w:bottom w:val="nil"/>
                <w:right w:val="nil"/>
                <w:between w:val="nil"/>
              </w:pBdr>
              <w:spacing w:line="240" w:lineRule="auto"/>
              <w:jc w:val="center"/>
            </w:pPr>
            <w:r w:rsidRPr="003F0485">
              <w:t>2.76</w:t>
            </w:r>
          </w:p>
        </w:tc>
        <w:tc>
          <w:tcPr>
            <w:tcW w:w="709" w:type="dxa"/>
            <w:shd w:val="clear" w:color="auto" w:fill="auto"/>
            <w:tcMar>
              <w:top w:w="100" w:type="dxa"/>
              <w:left w:w="100" w:type="dxa"/>
              <w:bottom w:w="100" w:type="dxa"/>
              <w:right w:w="100" w:type="dxa"/>
            </w:tcMar>
            <w:vAlign w:val="center"/>
          </w:tcPr>
          <w:p w14:paraId="0F4317BD" w14:textId="77777777" w:rsidR="006A1C58" w:rsidRPr="003F0485" w:rsidRDefault="006A1C58" w:rsidP="006A1C58">
            <w:pPr>
              <w:widowControl w:val="0"/>
              <w:pBdr>
                <w:top w:val="nil"/>
                <w:left w:val="nil"/>
                <w:bottom w:val="nil"/>
                <w:right w:val="nil"/>
                <w:between w:val="nil"/>
              </w:pBdr>
              <w:spacing w:line="240" w:lineRule="auto"/>
              <w:jc w:val="center"/>
            </w:pPr>
            <w:r w:rsidRPr="003F0485">
              <w:t>0.80</w:t>
            </w:r>
          </w:p>
        </w:tc>
        <w:tc>
          <w:tcPr>
            <w:tcW w:w="992" w:type="dxa"/>
            <w:shd w:val="clear" w:color="auto" w:fill="auto"/>
            <w:tcMar>
              <w:top w:w="100" w:type="dxa"/>
              <w:left w:w="100" w:type="dxa"/>
              <w:bottom w:w="100" w:type="dxa"/>
              <w:right w:w="100" w:type="dxa"/>
            </w:tcMar>
            <w:vAlign w:val="center"/>
          </w:tcPr>
          <w:p w14:paraId="1BF27645" w14:textId="77777777" w:rsidR="006A1C58" w:rsidRPr="003F0485" w:rsidRDefault="006A1C58" w:rsidP="006A1C58">
            <w:pPr>
              <w:widowControl w:val="0"/>
              <w:pBdr>
                <w:top w:val="nil"/>
                <w:left w:val="nil"/>
                <w:bottom w:val="nil"/>
                <w:right w:val="nil"/>
                <w:between w:val="nil"/>
              </w:pBdr>
              <w:spacing w:line="240" w:lineRule="auto"/>
              <w:jc w:val="center"/>
            </w:pPr>
          </w:p>
        </w:tc>
        <w:tc>
          <w:tcPr>
            <w:tcW w:w="567" w:type="dxa"/>
            <w:shd w:val="clear" w:color="auto" w:fill="auto"/>
            <w:tcMar>
              <w:top w:w="100" w:type="dxa"/>
              <w:left w:w="100" w:type="dxa"/>
              <w:bottom w:w="100" w:type="dxa"/>
              <w:right w:w="100" w:type="dxa"/>
            </w:tcMar>
            <w:vAlign w:val="center"/>
          </w:tcPr>
          <w:p w14:paraId="3FAFE8EB" w14:textId="77777777" w:rsidR="006A1C58" w:rsidRPr="003F0485" w:rsidRDefault="006A1C58" w:rsidP="006A1C58">
            <w:pPr>
              <w:widowControl w:val="0"/>
              <w:pBdr>
                <w:top w:val="nil"/>
                <w:left w:val="nil"/>
                <w:bottom w:val="nil"/>
                <w:right w:val="nil"/>
                <w:between w:val="nil"/>
              </w:pBdr>
              <w:spacing w:line="240" w:lineRule="auto"/>
              <w:jc w:val="center"/>
            </w:pPr>
          </w:p>
        </w:tc>
        <w:tc>
          <w:tcPr>
            <w:tcW w:w="992" w:type="dxa"/>
            <w:shd w:val="clear" w:color="auto" w:fill="auto"/>
            <w:tcMar>
              <w:top w:w="100" w:type="dxa"/>
              <w:left w:w="100" w:type="dxa"/>
              <w:bottom w:w="100" w:type="dxa"/>
              <w:right w:w="100" w:type="dxa"/>
            </w:tcMar>
            <w:vAlign w:val="center"/>
          </w:tcPr>
          <w:p w14:paraId="5A874D85" w14:textId="77777777" w:rsidR="006A1C58" w:rsidRPr="003F0485" w:rsidRDefault="006A1C58" w:rsidP="006A1C58">
            <w:pPr>
              <w:widowControl w:val="0"/>
              <w:pBdr>
                <w:top w:val="nil"/>
                <w:left w:val="nil"/>
                <w:bottom w:val="nil"/>
                <w:right w:val="nil"/>
                <w:between w:val="nil"/>
              </w:pBdr>
              <w:spacing w:line="240" w:lineRule="auto"/>
              <w:jc w:val="center"/>
            </w:pPr>
          </w:p>
        </w:tc>
      </w:tr>
    </w:tbl>
    <w:p w14:paraId="63F887FF" w14:textId="600DD16A" w:rsidR="006A1C58" w:rsidRPr="003F0485" w:rsidRDefault="004F28C4" w:rsidP="00D12ABA">
      <w:pPr>
        <w:pStyle w:val="Paragraph"/>
        <w:ind w:firstLine="720"/>
      </w:pPr>
      <w:r w:rsidRPr="003F0485">
        <w:t>One-way MANOVA and between-groups ANOVA were performed to test the hypothesis that the school type (primary, secondary, other) at which the participants taught would affect the dependent variables. The overall effect of the school type was found to be statistically significant among the mean rating scores in the three scales (</w:t>
      </w:r>
      <w:proofErr w:type="gramStart"/>
      <w:r w:rsidRPr="003F0485">
        <w:t>F(</w:t>
      </w:r>
      <w:proofErr w:type="gramEnd"/>
      <w:r w:rsidRPr="003F0485">
        <w:t>6, 230) = 2.396, p = .029, partial η2 = .059). Subsequently, a statistically significant effect was found for the mean score in the FCV-19S (</w:t>
      </w:r>
      <w:proofErr w:type="gramStart"/>
      <w:r w:rsidRPr="003F0485">
        <w:t>F(</w:t>
      </w:r>
      <w:proofErr w:type="gramEnd"/>
      <w:r w:rsidRPr="003F0485">
        <w:t>2,117) = 5.64, p = .005, partial η2 = .088) but not for the mean rating scores in the GAD-7 (F(2,117) = 2.36, p = .099, partial η2 = .039) or CTSQ (F(2,117) = 2.38, p = .097, partial η2 = .039). The mean rating score for the FCV-19S among the participants who taught in secondary schools (n = 29, M = 2.55, SD = 0.76) was significantly lower than that among the primary school teachers (n = 70, M = 3.06, SD = 0.63) and other types of teachers (n = 21, M = 2.95, SD = 0.75), such as those who worked with kindergarteners or students with special needs (Table 6)</w:t>
      </w:r>
      <w:r w:rsidR="006A1C58" w:rsidRPr="003F0485">
        <w:t>.</w:t>
      </w:r>
    </w:p>
    <w:p w14:paraId="126C68F0" w14:textId="135D432A" w:rsidR="006A1C58" w:rsidRPr="003F0485" w:rsidRDefault="006A1C58" w:rsidP="006A1C58">
      <w:pPr>
        <w:pStyle w:val="Newparagraph"/>
        <w:ind w:firstLine="0"/>
        <w:rPr>
          <w:i/>
          <w:iCs/>
        </w:rPr>
      </w:pPr>
      <w:r w:rsidRPr="003F0485">
        <w:t xml:space="preserve">Table </w:t>
      </w:r>
      <w:r w:rsidR="004F28C4" w:rsidRPr="003F0485">
        <w:t>6</w:t>
      </w:r>
      <w:r w:rsidRPr="003F0485">
        <w:t xml:space="preserve">. </w:t>
      </w:r>
      <w:r w:rsidRPr="003F0485">
        <w:rPr>
          <w:i/>
          <w:iCs/>
        </w:rPr>
        <w:t xml:space="preserve">Impact of participants’ </w:t>
      </w:r>
      <w:r w:rsidR="004F28C4" w:rsidRPr="003F0485">
        <w:rPr>
          <w:i/>
          <w:iCs/>
        </w:rPr>
        <w:t>school type</w:t>
      </w:r>
      <w:r w:rsidRPr="003F0485">
        <w:rPr>
          <w:i/>
          <w:iCs/>
        </w:rPr>
        <w:t xml:space="preserve"> on FCV-19S, GAD7 and CTSQ scores</w:t>
      </w:r>
    </w:p>
    <w:tbl>
      <w:tblPr>
        <w:tblW w:w="8495" w:type="dxa"/>
        <w:tblBorders>
          <w:top w:val="single" w:sz="4" w:space="0" w:color="auto"/>
          <w:bottom w:val="single" w:sz="4" w:space="0" w:color="auto"/>
        </w:tblBorders>
        <w:tblLayout w:type="fixed"/>
        <w:tblLook w:val="0600" w:firstRow="0" w:lastRow="0" w:firstColumn="0" w:lastColumn="0" w:noHBand="1" w:noVBand="1"/>
      </w:tblPr>
      <w:tblGrid>
        <w:gridCol w:w="4668"/>
        <w:gridCol w:w="567"/>
        <w:gridCol w:w="851"/>
        <w:gridCol w:w="708"/>
        <w:gridCol w:w="709"/>
        <w:gridCol w:w="992"/>
      </w:tblGrid>
      <w:tr w:rsidR="006A1C58" w:rsidRPr="003F0485" w14:paraId="591B8B39" w14:textId="77777777" w:rsidTr="006A1C58">
        <w:tc>
          <w:tcPr>
            <w:tcW w:w="4668" w:type="dxa"/>
            <w:tcBorders>
              <w:bottom w:val="single" w:sz="4" w:space="0" w:color="auto"/>
            </w:tcBorders>
            <w:shd w:val="clear" w:color="auto" w:fill="auto"/>
            <w:tcMar>
              <w:top w:w="100" w:type="dxa"/>
              <w:left w:w="100" w:type="dxa"/>
              <w:bottom w:w="100" w:type="dxa"/>
              <w:right w:w="100" w:type="dxa"/>
            </w:tcMar>
          </w:tcPr>
          <w:p w14:paraId="6B775CAA" w14:textId="77777777" w:rsidR="006A1C58" w:rsidRPr="003F0485" w:rsidRDefault="006A1C58" w:rsidP="006A1C58">
            <w:pPr>
              <w:widowControl w:val="0"/>
              <w:pBdr>
                <w:top w:val="nil"/>
                <w:left w:val="nil"/>
                <w:bottom w:val="nil"/>
                <w:right w:val="nil"/>
                <w:between w:val="nil"/>
              </w:pBdr>
              <w:spacing w:line="240" w:lineRule="auto"/>
              <w:jc w:val="center"/>
            </w:pPr>
            <w:r w:rsidRPr="003F0485">
              <w:t>Source</w:t>
            </w:r>
          </w:p>
        </w:tc>
        <w:tc>
          <w:tcPr>
            <w:tcW w:w="567" w:type="dxa"/>
            <w:tcBorders>
              <w:bottom w:val="single" w:sz="4" w:space="0" w:color="auto"/>
            </w:tcBorders>
            <w:shd w:val="clear" w:color="auto" w:fill="auto"/>
            <w:tcMar>
              <w:top w:w="100" w:type="dxa"/>
              <w:left w:w="100" w:type="dxa"/>
              <w:bottom w:w="100" w:type="dxa"/>
              <w:right w:w="100" w:type="dxa"/>
            </w:tcMar>
          </w:tcPr>
          <w:p w14:paraId="5D2AD0C1" w14:textId="77777777" w:rsidR="006A1C58" w:rsidRPr="003F0485" w:rsidRDefault="006A1C58" w:rsidP="006A1C58">
            <w:pPr>
              <w:widowControl w:val="0"/>
              <w:pBdr>
                <w:top w:val="nil"/>
                <w:left w:val="nil"/>
                <w:bottom w:val="nil"/>
                <w:right w:val="nil"/>
                <w:between w:val="nil"/>
              </w:pBdr>
              <w:spacing w:line="240" w:lineRule="auto"/>
              <w:jc w:val="center"/>
              <w:rPr>
                <w:i/>
              </w:rPr>
            </w:pPr>
            <w:r w:rsidRPr="003F0485">
              <w:rPr>
                <w:i/>
              </w:rPr>
              <w:t>df</w:t>
            </w:r>
          </w:p>
        </w:tc>
        <w:tc>
          <w:tcPr>
            <w:tcW w:w="851" w:type="dxa"/>
            <w:tcBorders>
              <w:bottom w:val="single" w:sz="4" w:space="0" w:color="auto"/>
            </w:tcBorders>
            <w:shd w:val="clear" w:color="auto" w:fill="auto"/>
            <w:tcMar>
              <w:top w:w="100" w:type="dxa"/>
              <w:left w:w="100" w:type="dxa"/>
              <w:bottom w:w="100" w:type="dxa"/>
              <w:right w:w="100" w:type="dxa"/>
            </w:tcMar>
          </w:tcPr>
          <w:p w14:paraId="4E9764A3" w14:textId="77777777" w:rsidR="006A1C58" w:rsidRPr="003F0485" w:rsidRDefault="006A1C58" w:rsidP="006A1C58">
            <w:pPr>
              <w:widowControl w:val="0"/>
              <w:pBdr>
                <w:top w:val="nil"/>
                <w:left w:val="nil"/>
                <w:bottom w:val="nil"/>
                <w:right w:val="nil"/>
                <w:between w:val="nil"/>
              </w:pBdr>
              <w:spacing w:line="240" w:lineRule="auto"/>
              <w:jc w:val="center"/>
              <w:rPr>
                <w:i/>
              </w:rPr>
            </w:pPr>
            <w:r w:rsidRPr="003F0485">
              <w:rPr>
                <w:i/>
              </w:rPr>
              <w:t>SS</w:t>
            </w:r>
          </w:p>
        </w:tc>
        <w:tc>
          <w:tcPr>
            <w:tcW w:w="708" w:type="dxa"/>
            <w:tcBorders>
              <w:bottom w:val="single" w:sz="4" w:space="0" w:color="auto"/>
            </w:tcBorders>
            <w:shd w:val="clear" w:color="auto" w:fill="auto"/>
            <w:tcMar>
              <w:top w:w="100" w:type="dxa"/>
              <w:left w:w="100" w:type="dxa"/>
              <w:bottom w:w="100" w:type="dxa"/>
              <w:right w:w="100" w:type="dxa"/>
            </w:tcMar>
          </w:tcPr>
          <w:p w14:paraId="20FCA9F8" w14:textId="0747D57D" w:rsidR="006A1C58" w:rsidRPr="003F0485" w:rsidRDefault="006A1C58" w:rsidP="006A1C58">
            <w:pPr>
              <w:widowControl w:val="0"/>
              <w:pBdr>
                <w:top w:val="nil"/>
                <w:left w:val="nil"/>
                <w:bottom w:val="nil"/>
                <w:right w:val="nil"/>
                <w:between w:val="nil"/>
              </w:pBdr>
              <w:spacing w:line="240" w:lineRule="auto"/>
              <w:jc w:val="center"/>
              <w:rPr>
                <w:i/>
              </w:rPr>
            </w:pPr>
            <w:r w:rsidRPr="003F0485">
              <w:rPr>
                <w:i/>
              </w:rPr>
              <w:t>MS</w:t>
            </w:r>
          </w:p>
        </w:tc>
        <w:tc>
          <w:tcPr>
            <w:tcW w:w="709" w:type="dxa"/>
            <w:tcBorders>
              <w:bottom w:val="single" w:sz="4" w:space="0" w:color="auto"/>
            </w:tcBorders>
            <w:shd w:val="clear" w:color="auto" w:fill="auto"/>
            <w:tcMar>
              <w:top w:w="100" w:type="dxa"/>
              <w:left w:w="100" w:type="dxa"/>
              <w:bottom w:w="100" w:type="dxa"/>
              <w:right w:w="100" w:type="dxa"/>
            </w:tcMar>
          </w:tcPr>
          <w:p w14:paraId="18114006" w14:textId="77777777" w:rsidR="006A1C58" w:rsidRPr="003F0485" w:rsidRDefault="006A1C58" w:rsidP="006A1C58">
            <w:pPr>
              <w:widowControl w:val="0"/>
              <w:pBdr>
                <w:top w:val="nil"/>
                <w:left w:val="nil"/>
                <w:bottom w:val="nil"/>
                <w:right w:val="nil"/>
                <w:between w:val="nil"/>
              </w:pBdr>
              <w:spacing w:line="240" w:lineRule="auto"/>
              <w:jc w:val="center"/>
              <w:rPr>
                <w:i/>
              </w:rPr>
            </w:pPr>
            <w:r w:rsidRPr="003F0485">
              <w:rPr>
                <w:i/>
              </w:rPr>
              <w:t>F</w:t>
            </w:r>
          </w:p>
        </w:tc>
        <w:tc>
          <w:tcPr>
            <w:tcW w:w="992" w:type="dxa"/>
            <w:tcBorders>
              <w:bottom w:val="single" w:sz="4" w:space="0" w:color="auto"/>
            </w:tcBorders>
            <w:shd w:val="clear" w:color="auto" w:fill="auto"/>
            <w:tcMar>
              <w:top w:w="100" w:type="dxa"/>
              <w:left w:w="100" w:type="dxa"/>
              <w:bottom w:w="100" w:type="dxa"/>
              <w:right w:w="100" w:type="dxa"/>
            </w:tcMar>
          </w:tcPr>
          <w:p w14:paraId="68D1F11B" w14:textId="77777777" w:rsidR="006A1C58" w:rsidRPr="003F0485" w:rsidRDefault="006A1C58" w:rsidP="006A1C58">
            <w:pPr>
              <w:widowControl w:val="0"/>
              <w:pBdr>
                <w:top w:val="nil"/>
                <w:left w:val="nil"/>
                <w:bottom w:val="nil"/>
                <w:right w:val="nil"/>
                <w:between w:val="nil"/>
              </w:pBdr>
              <w:spacing w:line="240" w:lineRule="auto"/>
              <w:jc w:val="center"/>
            </w:pPr>
            <w:r w:rsidRPr="003F0485">
              <w:rPr>
                <w:i/>
              </w:rPr>
              <w:t>p</w:t>
            </w:r>
            <w:r w:rsidRPr="003F0485">
              <w:t>-value</w:t>
            </w:r>
          </w:p>
        </w:tc>
      </w:tr>
      <w:tr w:rsidR="006A1C58" w:rsidRPr="003F0485" w14:paraId="2217CB59" w14:textId="77777777" w:rsidTr="006A1C58">
        <w:trPr>
          <w:trHeight w:val="273"/>
        </w:trPr>
        <w:tc>
          <w:tcPr>
            <w:tcW w:w="8495" w:type="dxa"/>
            <w:gridSpan w:val="6"/>
            <w:tcBorders>
              <w:top w:val="single" w:sz="4" w:space="0" w:color="auto"/>
              <w:bottom w:val="single" w:sz="4" w:space="0" w:color="auto"/>
            </w:tcBorders>
            <w:shd w:val="clear" w:color="auto" w:fill="auto"/>
            <w:tcMar>
              <w:top w:w="100" w:type="dxa"/>
              <w:left w:w="100" w:type="dxa"/>
              <w:bottom w:w="100" w:type="dxa"/>
              <w:right w:w="100" w:type="dxa"/>
            </w:tcMar>
          </w:tcPr>
          <w:p w14:paraId="10B8F190" w14:textId="77777777" w:rsidR="006A1C58" w:rsidRPr="003F0485" w:rsidRDefault="006A1C58" w:rsidP="006A075A">
            <w:pPr>
              <w:widowControl w:val="0"/>
              <w:pBdr>
                <w:top w:val="nil"/>
                <w:left w:val="nil"/>
                <w:bottom w:val="nil"/>
                <w:right w:val="nil"/>
                <w:between w:val="nil"/>
              </w:pBdr>
              <w:spacing w:line="240" w:lineRule="auto"/>
              <w:rPr>
                <w:b/>
              </w:rPr>
            </w:pPr>
            <w:r w:rsidRPr="003F0485">
              <w:rPr>
                <w:b/>
              </w:rPr>
              <w:t>FCV-19S</w:t>
            </w:r>
          </w:p>
        </w:tc>
      </w:tr>
      <w:tr w:rsidR="006A1C58" w:rsidRPr="003F0485" w14:paraId="4DD7DBAA" w14:textId="77777777" w:rsidTr="006A1C58">
        <w:tc>
          <w:tcPr>
            <w:tcW w:w="4668" w:type="dxa"/>
            <w:tcBorders>
              <w:top w:val="single" w:sz="4" w:space="0" w:color="auto"/>
            </w:tcBorders>
            <w:shd w:val="clear" w:color="auto" w:fill="auto"/>
            <w:tcMar>
              <w:top w:w="100" w:type="dxa"/>
              <w:left w:w="100" w:type="dxa"/>
              <w:bottom w:w="100" w:type="dxa"/>
              <w:right w:w="100" w:type="dxa"/>
            </w:tcMar>
          </w:tcPr>
          <w:p w14:paraId="05E0EB5B" w14:textId="77777777" w:rsidR="006A1C58" w:rsidRPr="003F0485" w:rsidRDefault="006A1C58" w:rsidP="006A075A">
            <w:pPr>
              <w:widowControl w:val="0"/>
              <w:pBdr>
                <w:top w:val="nil"/>
                <w:left w:val="nil"/>
                <w:bottom w:val="nil"/>
                <w:right w:val="nil"/>
                <w:between w:val="nil"/>
              </w:pBdr>
              <w:spacing w:line="240" w:lineRule="auto"/>
            </w:pPr>
            <w:r w:rsidRPr="003F0485">
              <w:t>Between groups</w:t>
            </w:r>
          </w:p>
        </w:tc>
        <w:tc>
          <w:tcPr>
            <w:tcW w:w="567" w:type="dxa"/>
            <w:tcBorders>
              <w:top w:val="single" w:sz="4" w:space="0" w:color="auto"/>
            </w:tcBorders>
            <w:shd w:val="clear" w:color="auto" w:fill="auto"/>
            <w:tcMar>
              <w:top w:w="100" w:type="dxa"/>
              <w:left w:w="100" w:type="dxa"/>
              <w:bottom w:w="100" w:type="dxa"/>
              <w:right w:w="100" w:type="dxa"/>
            </w:tcMar>
          </w:tcPr>
          <w:p w14:paraId="20B1A341" w14:textId="77777777" w:rsidR="006A1C58" w:rsidRPr="003F0485" w:rsidRDefault="006A1C58" w:rsidP="006A1C58">
            <w:pPr>
              <w:widowControl w:val="0"/>
              <w:pBdr>
                <w:top w:val="nil"/>
                <w:left w:val="nil"/>
                <w:bottom w:val="nil"/>
                <w:right w:val="nil"/>
                <w:between w:val="nil"/>
              </w:pBdr>
              <w:spacing w:line="240" w:lineRule="auto"/>
              <w:jc w:val="center"/>
            </w:pPr>
            <w:r w:rsidRPr="003F0485">
              <w:t>2</w:t>
            </w:r>
          </w:p>
        </w:tc>
        <w:tc>
          <w:tcPr>
            <w:tcW w:w="851" w:type="dxa"/>
            <w:tcBorders>
              <w:top w:val="single" w:sz="4" w:space="0" w:color="auto"/>
            </w:tcBorders>
            <w:shd w:val="clear" w:color="auto" w:fill="auto"/>
            <w:tcMar>
              <w:top w:w="100" w:type="dxa"/>
              <w:left w:w="100" w:type="dxa"/>
              <w:bottom w:w="100" w:type="dxa"/>
              <w:right w:w="100" w:type="dxa"/>
            </w:tcMar>
          </w:tcPr>
          <w:p w14:paraId="59D0B9FF" w14:textId="77777777" w:rsidR="006A1C58" w:rsidRPr="003F0485" w:rsidRDefault="006A1C58" w:rsidP="006A1C58">
            <w:pPr>
              <w:widowControl w:val="0"/>
              <w:pBdr>
                <w:top w:val="nil"/>
                <w:left w:val="nil"/>
                <w:bottom w:val="nil"/>
                <w:right w:val="nil"/>
                <w:between w:val="nil"/>
              </w:pBdr>
              <w:spacing w:line="240" w:lineRule="auto"/>
              <w:jc w:val="center"/>
            </w:pPr>
            <w:r w:rsidRPr="003F0485">
              <w:t>5.31</w:t>
            </w:r>
          </w:p>
        </w:tc>
        <w:tc>
          <w:tcPr>
            <w:tcW w:w="708" w:type="dxa"/>
            <w:tcBorders>
              <w:top w:val="single" w:sz="4" w:space="0" w:color="auto"/>
            </w:tcBorders>
            <w:shd w:val="clear" w:color="auto" w:fill="auto"/>
            <w:tcMar>
              <w:top w:w="100" w:type="dxa"/>
              <w:left w:w="100" w:type="dxa"/>
              <w:bottom w:w="100" w:type="dxa"/>
              <w:right w:w="100" w:type="dxa"/>
            </w:tcMar>
          </w:tcPr>
          <w:p w14:paraId="377C4D1F" w14:textId="77777777" w:rsidR="006A1C58" w:rsidRPr="003F0485" w:rsidRDefault="006A1C58" w:rsidP="006A1C58">
            <w:pPr>
              <w:widowControl w:val="0"/>
              <w:pBdr>
                <w:top w:val="nil"/>
                <w:left w:val="nil"/>
                <w:bottom w:val="nil"/>
                <w:right w:val="nil"/>
                <w:between w:val="nil"/>
              </w:pBdr>
              <w:spacing w:line="240" w:lineRule="auto"/>
              <w:jc w:val="center"/>
            </w:pPr>
            <w:r w:rsidRPr="003F0485">
              <w:t>2.66</w:t>
            </w:r>
          </w:p>
        </w:tc>
        <w:tc>
          <w:tcPr>
            <w:tcW w:w="709" w:type="dxa"/>
            <w:tcBorders>
              <w:top w:val="single" w:sz="4" w:space="0" w:color="auto"/>
            </w:tcBorders>
            <w:shd w:val="clear" w:color="auto" w:fill="auto"/>
            <w:tcMar>
              <w:top w:w="100" w:type="dxa"/>
              <w:left w:w="100" w:type="dxa"/>
              <w:bottom w:w="100" w:type="dxa"/>
              <w:right w:w="100" w:type="dxa"/>
            </w:tcMar>
          </w:tcPr>
          <w:p w14:paraId="36A75DCD" w14:textId="77777777" w:rsidR="006A1C58" w:rsidRPr="003F0485" w:rsidRDefault="006A1C58" w:rsidP="006A1C58">
            <w:pPr>
              <w:widowControl w:val="0"/>
              <w:pBdr>
                <w:top w:val="nil"/>
                <w:left w:val="nil"/>
                <w:bottom w:val="nil"/>
                <w:right w:val="nil"/>
                <w:between w:val="nil"/>
              </w:pBdr>
              <w:spacing w:line="240" w:lineRule="auto"/>
              <w:jc w:val="center"/>
            </w:pPr>
            <w:r w:rsidRPr="003F0485">
              <w:t>5.64</w:t>
            </w:r>
          </w:p>
        </w:tc>
        <w:tc>
          <w:tcPr>
            <w:tcW w:w="992" w:type="dxa"/>
            <w:tcBorders>
              <w:top w:val="single" w:sz="4" w:space="0" w:color="auto"/>
            </w:tcBorders>
            <w:shd w:val="clear" w:color="auto" w:fill="auto"/>
            <w:tcMar>
              <w:top w:w="100" w:type="dxa"/>
              <w:left w:w="100" w:type="dxa"/>
              <w:bottom w:w="100" w:type="dxa"/>
              <w:right w:w="100" w:type="dxa"/>
            </w:tcMar>
          </w:tcPr>
          <w:p w14:paraId="4DC65C83" w14:textId="77777777" w:rsidR="006A1C58" w:rsidRPr="003F0485" w:rsidRDefault="006A1C58" w:rsidP="006A1C58">
            <w:pPr>
              <w:widowControl w:val="0"/>
              <w:pBdr>
                <w:top w:val="nil"/>
                <w:left w:val="nil"/>
                <w:bottom w:val="nil"/>
                <w:right w:val="nil"/>
                <w:between w:val="nil"/>
              </w:pBdr>
              <w:spacing w:line="240" w:lineRule="auto"/>
              <w:jc w:val="center"/>
            </w:pPr>
            <w:r w:rsidRPr="003F0485">
              <w:t>.005</w:t>
            </w:r>
          </w:p>
        </w:tc>
      </w:tr>
      <w:tr w:rsidR="006A1C58" w:rsidRPr="003F0485" w14:paraId="2976EE60" w14:textId="77777777" w:rsidTr="006A1C58">
        <w:tc>
          <w:tcPr>
            <w:tcW w:w="4668" w:type="dxa"/>
            <w:shd w:val="clear" w:color="auto" w:fill="auto"/>
            <w:tcMar>
              <w:top w:w="100" w:type="dxa"/>
              <w:left w:w="100" w:type="dxa"/>
              <w:bottom w:w="100" w:type="dxa"/>
              <w:right w:w="100" w:type="dxa"/>
            </w:tcMar>
          </w:tcPr>
          <w:p w14:paraId="6D12ECEF" w14:textId="77777777" w:rsidR="006A1C58" w:rsidRPr="003F0485" w:rsidRDefault="006A1C58" w:rsidP="006A075A">
            <w:pPr>
              <w:widowControl w:val="0"/>
              <w:pBdr>
                <w:top w:val="nil"/>
                <w:left w:val="nil"/>
                <w:bottom w:val="nil"/>
                <w:right w:val="nil"/>
                <w:between w:val="nil"/>
              </w:pBdr>
              <w:spacing w:line="240" w:lineRule="auto"/>
            </w:pPr>
            <w:r w:rsidRPr="003F0485">
              <w:t>Within groups</w:t>
            </w:r>
          </w:p>
        </w:tc>
        <w:tc>
          <w:tcPr>
            <w:tcW w:w="567" w:type="dxa"/>
            <w:shd w:val="clear" w:color="auto" w:fill="auto"/>
            <w:tcMar>
              <w:top w:w="100" w:type="dxa"/>
              <w:left w:w="100" w:type="dxa"/>
              <w:bottom w:w="100" w:type="dxa"/>
              <w:right w:w="100" w:type="dxa"/>
            </w:tcMar>
          </w:tcPr>
          <w:p w14:paraId="0A188769" w14:textId="77777777" w:rsidR="006A1C58" w:rsidRPr="003F0485" w:rsidRDefault="006A1C58" w:rsidP="006A1C58">
            <w:pPr>
              <w:widowControl w:val="0"/>
              <w:pBdr>
                <w:top w:val="nil"/>
                <w:left w:val="nil"/>
                <w:bottom w:val="nil"/>
                <w:right w:val="nil"/>
                <w:between w:val="nil"/>
              </w:pBdr>
              <w:spacing w:line="240" w:lineRule="auto"/>
              <w:jc w:val="center"/>
            </w:pPr>
            <w:r w:rsidRPr="003F0485">
              <w:t>117</w:t>
            </w:r>
          </w:p>
        </w:tc>
        <w:tc>
          <w:tcPr>
            <w:tcW w:w="851" w:type="dxa"/>
            <w:shd w:val="clear" w:color="auto" w:fill="auto"/>
            <w:tcMar>
              <w:top w:w="100" w:type="dxa"/>
              <w:left w:w="100" w:type="dxa"/>
              <w:bottom w:w="100" w:type="dxa"/>
              <w:right w:w="100" w:type="dxa"/>
            </w:tcMar>
          </w:tcPr>
          <w:p w14:paraId="6A0F80E9" w14:textId="77777777" w:rsidR="006A1C58" w:rsidRPr="003F0485" w:rsidRDefault="006A1C58" w:rsidP="006A1C58">
            <w:pPr>
              <w:widowControl w:val="0"/>
              <w:pBdr>
                <w:top w:val="nil"/>
                <w:left w:val="nil"/>
                <w:bottom w:val="nil"/>
                <w:right w:val="nil"/>
                <w:between w:val="nil"/>
              </w:pBdr>
              <w:spacing w:line="240" w:lineRule="auto"/>
              <w:jc w:val="center"/>
            </w:pPr>
            <w:r w:rsidRPr="003F0485">
              <w:t>55.13</w:t>
            </w:r>
          </w:p>
        </w:tc>
        <w:tc>
          <w:tcPr>
            <w:tcW w:w="708" w:type="dxa"/>
            <w:shd w:val="clear" w:color="auto" w:fill="auto"/>
            <w:tcMar>
              <w:top w:w="100" w:type="dxa"/>
              <w:left w:w="100" w:type="dxa"/>
              <w:bottom w:w="100" w:type="dxa"/>
              <w:right w:w="100" w:type="dxa"/>
            </w:tcMar>
          </w:tcPr>
          <w:p w14:paraId="6FD16C91" w14:textId="77777777" w:rsidR="006A1C58" w:rsidRPr="003F0485" w:rsidRDefault="006A1C58" w:rsidP="006A1C58">
            <w:pPr>
              <w:widowControl w:val="0"/>
              <w:pBdr>
                <w:top w:val="nil"/>
                <w:left w:val="nil"/>
                <w:bottom w:val="nil"/>
                <w:right w:val="nil"/>
                <w:between w:val="nil"/>
              </w:pBdr>
              <w:spacing w:line="240" w:lineRule="auto"/>
              <w:jc w:val="center"/>
            </w:pPr>
            <w:r w:rsidRPr="003F0485">
              <w:t>0.47</w:t>
            </w:r>
          </w:p>
        </w:tc>
        <w:tc>
          <w:tcPr>
            <w:tcW w:w="709" w:type="dxa"/>
            <w:shd w:val="clear" w:color="auto" w:fill="auto"/>
            <w:tcMar>
              <w:top w:w="100" w:type="dxa"/>
              <w:left w:w="100" w:type="dxa"/>
              <w:bottom w:w="100" w:type="dxa"/>
              <w:right w:w="100" w:type="dxa"/>
            </w:tcMar>
          </w:tcPr>
          <w:p w14:paraId="503EF587" w14:textId="77777777" w:rsidR="006A1C58" w:rsidRPr="003F0485" w:rsidRDefault="006A1C58" w:rsidP="006A1C58">
            <w:pPr>
              <w:widowControl w:val="0"/>
              <w:pBdr>
                <w:top w:val="nil"/>
                <w:left w:val="nil"/>
                <w:bottom w:val="nil"/>
                <w:right w:val="nil"/>
                <w:between w:val="nil"/>
              </w:pBdr>
              <w:spacing w:line="240" w:lineRule="auto"/>
              <w:jc w:val="center"/>
            </w:pPr>
          </w:p>
        </w:tc>
        <w:tc>
          <w:tcPr>
            <w:tcW w:w="992" w:type="dxa"/>
            <w:shd w:val="clear" w:color="auto" w:fill="auto"/>
            <w:tcMar>
              <w:top w:w="100" w:type="dxa"/>
              <w:left w:w="100" w:type="dxa"/>
              <w:bottom w:w="100" w:type="dxa"/>
              <w:right w:w="100" w:type="dxa"/>
            </w:tcMar>
          </w:tcPr>
          <w:p w14:paraId="1A5E29D1" w14:textId="77777777" w:rsidR="006A1C58" w:rsidRPr="003F0485" w:rsidRDefault="006A1C58" w:rsidP="006A1C58">
            <w:pPr>
              <w:widowControl w:val="0"/>
              <w:pBdr>
                <w:top w:val="nil"/>
                <w:left w:val="nil"/>
                <w:bottom w:val="nil"/>
                <w:right w:val="nil"/>
                <w:between w:val="nil"/>
              </w:pBdr>
              <w:spacing w:line="240" w:lineRule="auto"/>
              <w:jc w:val="center"/>
            </w:pPr>
          </w:p>
        </w:tc>
      </w:tr>
      <w:tr w:rsidR="006A1C58" w:rsidRPr="003F0485" w14:paraId="2FC5FDC8" w14:textId="77777777" w:rsidTr="006A1C58">
        <w:tc>
          <w:tcPr>
            <w:tcW w:w="4668" w:type="dxa"/>
            <w:tcBorders>
              <w:bottom w:val="single" w:sz="4" w:space="0" w:color="auto"/>
            </w:tcBorders>
            <w:shd w:val="clear" w:color="auto" w:fill="auto"/>
            <w:tcMar>
              <w:top w:w="100" w:type="dxa"/>
              <w:left w:w="100" w:type="dxa"/>
              <w:bottom w:w="100" w:type="dxa"/>
              <w:right w:w="100" w:type="dxa"/>
            </w:tcMar>
          </w:tcPr>
          <w:p w14:paraId="52A39C3C" w14:textId="77777777" w:rsidR="006A1C58" w:rsidRPr="003F0485" w:rsidRDefault="006A1C58" w:rsidP="006A075A">
            <w:pPr>
              <w:widowControl w:val="0"/>
              <w:pBdr>
                <w:top w:val="nil"/>
                <w:left w:val="nil"/>
                <w:bottom w:val="nil"/>
                <w:right w:val="nil"/>
                <w:between w:val="nil"/>
              </w:pBdr>
              <w:spacing w:line="240" w:lineRule="auto"/>
            </w:pPr>
            <w:r w:rsidRPr="003F0485">
              <w:lastRenderedPageBreak/>
              <w:t>Total</w:t>
            </w:r>
          </w:p>
        </w:tc>
        <w:tc>
          <w:tcPr>
            <w:tcW w:w="567" w:type="dxa"/>
            <w:tcBorders>
              <w:bottom w:val="single" w:sz="4" w:space="0" w:color="auto"/>
            </w:tcBorders>
            <w:shd w:val="clear" w:color="auto" w:fill="auto"/>
            <w:tcMar>
              <w:top w:w="100" w:type="dxa"/>
              <w:left w:w="100" w:type="dxa"/>
              <w:bottom w:w="100" w:type="dxa"/>
              <w:right w:w="100" w:type="dxa"/>
            </w:tcMar>
          </w:tcPr>
          <w:p w14:paraId="69AD8EF3" w14:textId="77777777" w:rsidR="006A1C58" w:rsidRPr="003F0485" w:rsidRDefault="006A1C58" w:rsidP="006A1C58">
            <w:pPr>
              <w:widowControl w:val="0"/>
              <w:pBdr>
                <w:top w:val="nil"/>
                <w:left w:val="nil"/>
                <w:bottom w:val="nil"/>
                <w:right w:val="nil"/>
                <w:between w:val="nil"/>
              </w:pBdr>
              <w:spacing w:line="240" w:lineRule="auto"/>
              <w:jc w:val="center"/>
            </w:pPr>
            <w:r w:rsidRPr="003F0485">
              <w:t>119</w:t>
            </w:r>
          </w:p>
        </w:tc>
        <w:tc>
          <w:tcPr>
            <w:tcW w:w="851" w:type="dxa"/>
            <w:tcBorders>
              <w:bottom w:val="single" w:sz="4" w:space="0" w:color="auto"/>
            </w:tcBorders>
            <w:shd w:val="clear" w:color="auto" w:fill="auto"/>
            <w:tcMar>
              <w:top w:w="100" w:type="dxa"/>
              <w:left w:w="100" w:type="dxa"/>
              <w:bottom w:w="100" w:type="dxa"/>
              <w:right w:w="100" w:type="dxa"/>
            </w:tcMar>
          </w:tcPr>
          <w:p w14:paraId="4251E25C" w14:textId="77777777" w:rsidR="006A1C58" w:rsidRPr="003F0485" w:rsidRDefault="006A1C58" w:rsidP="006A1C58">
            <w:pPr>
              <w:widowControl w:val="0"/>
              <w:pBdr>
                <w:top w:val="nil"/>
                <w:left w:val="nil"/>
                <w:bottom w:val="nil"/>
                <w:right w:val="nil"/>
                <w:between w:val="nil"/>
              </w:pBdr>
              <w:spacing w:line="240" w:lineRule="auto"/>
              <w:jc w:val="center"/>
            </w:pPr>
            <w:r w:rsidRPr="003F0485">
              <w:t>60.44</w:t>
            </w:r>
          </w:p>
        </w:tc>
        <w:tc>
          <w:tcPr>
            <w:tcW w:w="708" w:type="dxa"/>
            <w:tcBorders>
              <w:bottom w:val="single" w:sz="4" w:space="0" w:color="auto"/>
            </w:tcBorders>
            <w:shd w:val="clear" w:color="auto" w:fill="auto"/>
            <w:tcMar>
              <w:top w:w="100" w:type="dxa"/>
              <w:left w:w="100" w:type="dxa"/>
              <w:bottom w:w="100" w:type="dxa"/>
              <w:right w:w="100" w:type="dxa"/>
            </w:tcMar>
          </w:tcPr>
          <w:p w14:paraId="5A65B458" w14:textId="77777777" w:rsidR="006A1C58" w:rsidRPr="003F0485" w:rsidRDefault="006A1C58" w:rsidP="006A1C58">
            <w:pPr>
              <w:widowControl w:val="0"/>
              <w:pBdr>
                <w:top w:val="nil"/>
                <w:left w:val="nil"/>
                <w:bottom w:val="nil"/>
                <w:right w:val="nil"/>
                <w:between w:val="nil"/>
              </w:pBdr>
              <w:spacing w:line="240" w:lineRule="auto"/>
              <w:jc w:val="center"/>
            </w:pPr>
          </w:p>
        </w:tc>
        <w:tc>
          <w:tcPr>
            <w:tcW w:w="709" w:type="dxa"/>
            <w:tcBorders>
              <w:bottom w:val="single" w:sz="4" w:space="0" w:color="auto"/>
            </w:tcBorders>
            <w:shd w:val="clear" w:color="auto" w:fill="auto"/>
            <w:tcMar>
              <w:top w:w="100" w:type="dxa"/>
              <w:left w:w="100" w:type="dxa"/>
              <w:bottom w:w="100" w:type="dxa"/>
              <w:right w:w="100" w:type="dxa"/>
            </w:tcMar>
          </w:tcPr>
          <w:p w14:paraId="0AC47468" w14:textId="77777777" w:rsidR="006A1C58" w:rsidRPr="003F0485" w:rsidRDefault="006A1C58" w:rsidP="006A1C58">
            <w:pPr>
              <w:widowControl w:val="0"/>
              <w:pBdr>
                <w:top w:val="nil"/>
                <w:left w:val="nil"/>
                <w:bottom w:val="nil"/>
                <w:right w:val="nil"/>
                <w:between w:val="nil"/>
              </w:pBdr>
              <w:spacing w:line="240" w:lineRule="auto"/>
              <w:jc w:val="center"/>
            </w:pPr>
          </w:p>
        </w:tc>
        <w:tc>
          <w:tcPr>
            <w:tcW w:w="992" w:type="dxa"/>
            <w:tcBorders>
              <w:bottom w:val="single" w:sz="4" w:space="0" w:color="auto"/>
            </w:tcBorders>
            <w:shd w:val="clear" w:color="auto" w:fill="auto"/>
            <w:tcMar>
              <w:top w:w="100" w:type="dxa"/>
              <w:left w:w="100" w:type="dxa"/>
              <w:bottom w:w="100" w:type="dxa"/>
              <w:right w:w="100" w:type="dxa"/>
            </w:tcMar>
          </w:tcPr>
          <w:p w14:paraId="2DB2647E" w14:textId="77777777" w:rsidR="006A1C58" w:rsidRPr="003F0485" w:rsidRDefault="006A1C58" w:rsidP="006A1C58">
            <w:pPr>
              <w:widowControl w:val="0"/>
              <w:pBdr>
                <w:top w:val="nil"/>
                <w:left w:val="nil"/>
                <w:bottom w:val="nil"/>
                <w:right w:val="nil"/>
                <w:between w:val="nil"/>
              </w:pBdr>
              <w:spacing w:line="240" w:lineRule="auto"/>
              <w:jc w:val="center"/>
            </w:pPr>
          </w:p>
        </w:tc>
      </w:tr>
      <w:tr w:rsidR="006A1C58" w:rsidRPr="003F0485" w14:paraId="438A462A" w14:textId="77777777" w:rsidTr="006A1C58">
        <w:trPr>
          <w:trHeight w:val="145"/>
        </w:trPr>
        <w:tc>
          <w:tcPr>
            <w:tcW w:w="8495" w:type="dxa"/>
            <w:gridSpan w:val="6"/>
            <w:tcBorders>
              <w:top w:val="single" w:sz="4" w:space="0" w:color="auto"/>
              <w:bottom w:val="single" w:sz="4" w:space="0" w:color="auto"/>
            </w:tcBorders>
            <w:shd w:val="clear" w:color="auto" w:fill="auto"/>
            <w:tcMar>
              <w:top w:w="100" w:type="dxa"/>
              <w:left w:w="100" w:type="dxa"/>
              <w:bottom w:w="100" w:type="dxa"/>
              <w:right w:w="100" w:type="dxa"/>
            </w:tcMar>
          </w:tcPr>
          <w:p w14:paraId="59A5AA7C" w14:textId="77777777" w:rsidR="006A1C58" w:rsidRPr="003F0485" w:rsidRDefault="006A1C58" w:rsidP="006A075A">
            <w:pPr>
              <w:widowControl w:val="0"/>
              <w:pBdr>
                <w:top w:val="nil"/>
                <w:left w:val="nil"/>
                <w:bottom w:val="nil"/>
                <w:right w:val="nil"/>
                <w:between w:val="nil"/>
              </w:pBdr>
              <w:spacing w:line="240" w:lineRule="auto"/>
              <w:rPr>
                <w:b/>
              </w:rPr>
            </w:pPr>
            <w:r w:rsidRPr="003F0485">
              <w:rPr>
                <w:b/>
              </w:rPr>
              <w:t>GAD-7</w:t>
            </w:r>
          </w:p>
        </w:tc>
      </w:tr>
      <w:tr w:rsidR="006A1C58" w:rsidRPr="003F0485" w14:paraId="1B401331" w14:textId="77777777" w:rsidTr="006A1C58">
        <w:tc>
          <w:tcPr>
            <w:tcW w:w="4668" w:type="dxa"/>
            <w:tcBorders>
              <w:top w:val="single" w:sz="4" w:space="0" w:color="auto"/>
            </w:tcBorders>
            <w:shd w:val="clear" w:color="auto" w:fill="auto"/>
            <w:tcMar>
              <w:top w:w="100" w:type="dxa"/>
              <w:left w:w="100" w:type="dxa"/>
              <w:bottom w:w="100" w:type="dxa"/>
              <w:right w:w="100" w:type="dxa"/>
            </w:tcMar>
          </w:tcPr>
          <w:p w14:paraId="2AB2A169" w14:textId="77777777" w:rsidR="006A1C58" w:rsidRPr="003F0485" w:rsidRDefault="006A1C58" w:rsidP="006A075A">
            <w:pPr>
              <w:widowControl w:val="0"/>
              <w:spacing w:line="240" w:lineRule="auto"/>
            </w:pPr>
            <w:r w:rsidRPr="003F0485">
              <w:t>Between groups</w:t>
            </w:r>
          </w:p>
        </w:tc>
        <w:tc>
          <w:tcPr>
            <w:tcW w:w="567" w:type="dxa"/>
            <w:tcBorders>
              <w:top w:val="single" w:sz="4" w:space="0" w:color="auto"/>
            </w:tcBorders>
            <w:shd w:val="clear" w:color="auto" w:fill="auto"/>
            <w:tcMar>
              <w:top w:w="100" w:type="dxa"/>
              <w:left w:w="100" w:type="dxa"/>
              <w:bottom w:w="100" w:type="dxa"/>
              <w:right w:w="100" w:type="dxa"/>
            </w:tcMar>
          </w:tcPr>
          <w:p w14:paraId="21E6FF0E" w14:textId="77777777" w:rsidR="006A1C58" w:rsidRPr="003F0485" w:rsidRDefault="006A1C58" w:rsidP="006A1C58">
            <w:pPr>
              <w:widowControl w:val="0"/>
              <w:spacing w:line="240" w:lineRule="auto"/>
              <w:jc w:val="center"/>
            </w:pPr>
            <w:r w:rsidRPr="003F0485">
              <w:t>2</w:t>
            </w:r>
          </w:p>
        </w:tc>
        <w:tc>
          <w:tcPr>
            <w:tcW w:w="851" w:type="dxa"/>
            <w:tcBorders>
              <w:top w:val="single" w:sz="4" w:space="0" w:color="auto"/>
            </w:tcBorders>
            <w:shd w:val="clear" w:color="auto" w:fill="auto"/>
            <w:tcMar>
              <w:top w:w="100" w:type="dxa"/>
              <w:left w:w="100" w:type="dxa"/>
              <w:bottom w:w="100" w:type="dxa"/>
              <w:right w:w="100" w:type="dxa"/>
            </w:tcMar>
          </w:tcPr>
          <w:p w14:paraId="35D3819F" w14:textId="77777777" w:rsidR="006A1C58" w:rsidRPr="003F0485" w:rsidRDefault="006A1C58" w:rsidP="006A1C58">
            <w:pPr>
              <w:widowControl w:val="0"/>
              <w:pBdr>
                <w:top w:val="nil"/>
                <w:left w:val="nil"/>
                <w:bottom w:val="nil"/>
                <w:right w:val="nil"/>
                <w:between w:val="nil"/>
              </w:pBdr>
              <w:spacing w:line="240" w:lineRule="auto"/>
              <w:jc w:val="center"/>
            </w:pPr>
            <w:r w:rsidRPr="003F0485">
              <w:t>2.53</w:t>
            </w:r>
          </w:p>
        </w:tc>
        <w:tc>
          <w:tcPr>
            <w:tcW w:w="708" w:type="dxa"/>
            <w:tcBorders>
              <w:top w:val="single" w:sz="4" w:space="0" w:color="auto"/>
            </w:tcBorders>
            <w:shd w:val="clear" w:color="auto" w:fill="auto"/>
            <w:tcMar>
              <w:top w:w="100" w:type="dxa"/>
              <w:left w:w="100" w:type="dxa"/>
              <w:bottom w:w="100" w:type="dxa"/>
              <w:right w:w="100" w:type="dxa"/>
            </w:tcMar>
          </w:tcPr>
          <w:p w14:paraId="0E2079D2" w14:textId="77777777" w:rsidR="006A1C58" w:rsidRPr="003F0485" w:rsidRDefault="006A1C58" w:rsidP="006A1C58">
            <w:pPr>
              <w:widowControl w:val="0"/>
              <w:pBdr>
                <w:top w:val="nil"/>
                <w:left w:val="nil"/>
                <w:bottom w:val="nil"/>
                <w:right w:val="nil"/>
                <w:between w:val="nil"/>
              </w:pBdr>
              <w:spacing w:line="240" w:lineRule="auto"/>
              <w:jc w:val="center"/>
            </w:pPr>
            <w:r w:rsidRPr="003F0485">
              <w:t>1.26</w:t>
            </w:r>
          </w:p>
        </w:tc>
        <w:tc>
          <w:tcPr>
            <w:tcW w:w="709" w:type="dxa"/>
            <w:tcBorders>
              <w:top w:val="single" w:sz="4" w:space="0" w:color="auto"/>
            </w:tcBorders>
            <w:shd w:val="clear" w:color="auto" w:fill="auto"/>
            <w:tcMar>
              <w:top w:w="100" w:type="dxa"/>
              <w:left w:w="100" w:type="dxa"/>
              <w:bottom w:w="100" w:type="dxa"/>
              <w:right w:w="100" w:type="dxa"/>
            </w:tcMar>
          </w:tcPr>
          <w:p w14:paraId="0EEE2497" w14:textId="77777777" w:rsidR="006A1C58" w:rsidRPr="003F0485" w:rsidRDefault="006A1C58" w:rsidP="006A1C58">
            <w:pPr>
              <w:widowControl w:val="0"/>
              <w:pBdr>
                <w:top w:val="nil"/>
                <w:left w:val="nil"/>
                <w:bottom w:val="nil"/>
                <w:right w:val="nil"/>
                <w:between w:val="nil"/>
              </w:pBdr>
              <w:spacing w:line="240" w:lineRule="auto"/>
              <w:jc w:val="center"/>
            </w:pPr>
            <w:r w:rsidRPr="003F0485">
              <w:t>2.36</w:t>
            </w:r>
          </w:p>
        </w:tc>
        <w:tc>
          <w:tcPr>
            <w:tcW w:w="992" w:type="dxa"/>
            <w:tcBorders>
              <w:top w:val="single" w:sz="4" w:space="0" w:color="auto"/>
            </w:tcBorders>
            <w:shd w:val="clear" w:color="auto" w:fill="auto"/>
            <w:tcMar>
              <w:top w:w="100" w:type="dxa"/>
              <w:left w:w="100" w:type="dxa"/>
              <w:bottom w:w="100" w:type="dxa"/>
              <w:right w:w="100" w:type="dxa"/>
            </w:tcMar>
          </w:tcPr>
          <w:p w14:paraId="60FE6A47" w14:textId="77777777" w:rsidR="006A1C58" w:rsidRPr="003F0485" w:rsidRDefault="006A1C58" w:rsidP="006A1C58">
            <w:pPr>
              <w:widowControl w:val="0"/>
              <w:pBdr>
                <w:top w:val="nil"/>
                <w:left w:val="nil"/>
                <w:bottom w:val="nil"/>
                <w:right w:val="nil"/>
                <w:between w:val="nil"/>
              </w:pBdr>
              <w:spacing w:line="240" w:lineRule="auto"/>
              <w:jc w:val="center"/>
            </w:pPr>
            <w:r w:rsidRPr="003F0485">
              <w:t>.099</w:t>
            </w:r>
          </w:p>
        </w:tc>
      </w:tr>
      <w:tr w:rsidR="006A1C58" w:rsidRPr="003F0485" w14:paraId="200E70A1" w14:textId="77777777" w:rsidTr="006A1C58">
        <w:tc>
          <w:tcPr>
            <w:tcW w:w="4668" w:type="dxa"/>
            <w:shd w:val="clear" w:color="auto" w:fill="auto"/>
            <w:tcMar>
              <w:top w:w="100" w:type="dxa"/>
              <w:left w:w="100" w:type="dxa"/>
              <w:bottom w:w="100" w:type="dxa"/>
              <w:right w:w="100" w:type="dxa"/>
            </w:tcMar>
          </w:tcPr>
          <w:p w14:paraId="042CF9C6" w14:textId="77777777" w:rsidR="006A1C58" w:rsidRPr="003F0485" w:rsidRDefault="006A1C58" w:rsidP="006A075A">
            <w:pPr>
              <w:widowControl w:val="0"/>
              <w:spacing w:line="240" w:lineRule="auto"/>
            </w:pPr>
            <w:r w:rsidRPr="003F0485">
              <w:t>Within groups</w:t>
            </w:r>
          </w:p>
        </w:tc>
        <w:tc>
          <w:tcPr>
            <w:tcW w:w="567" w:type="dxa"/>
            <w:shd w:val="clear" w:color="auto" w:fill="auto"/>
            <w:tcMar>
              <w:top w:w="100" w:type="dxa"/>
              <w:left w:w="100" w:type="dxa"/>
              <w:bottom w:w="100" w:type="dxa"/>
              <w:right w:w="100" w:type="dxa"/>
            </w:tcMar>
          </w:tcPr>
          <w:p w14:paraId="4C76D288" w14:textId="77777777" w:rsidR="006A1C58" w:rsidRPr="003F0485" w:rsidRDefault="006A1C58" w:rsidP="006A1C58">
            <w:pPr>
              <w:widowControl w:val="0"/>
              <w:spacing w:line="240" w:lineRule="auto"/>
              <w:jc w:val="center"/>
            </w:pPr>
            <w:r w:rsidRPr="003F0485">
              <w:t>117</w:t>
            </w:r>
          </w:p>
        </w:tc>
        <w:tc>
          <w:tcPr>
            <w:tcW w:w="851" w:type="dxa"/>
            <w:shd w:val="clear" w:color="auto" w:fill="auto"/>
            <w:tcMar>
              <w:top w:w="100" w:type="dxa"/>
              <w:left w:w="100" w:type="dxa"/>
              <w:bottom w:w="100" w:type="dxa"/>
              <w:right w:w="100" w:type="dxa"/>
            </w:tcMar>
          </w:tcPr>
          <w:p w14:paraId="05778EB1" w14:textId="77777777" w:rsidR="006A1C58" w:rsidRPr="003F0485" w:rsidRDefault="006A1C58" w:rsidP="006A1C58">
            <w:pPr>
              <w:widowControl w:val="0"/>
              <w:pBdr>
                <w:top w:val="nil"/>
                <w:left w:val="nil"/>
                <w:bottom w:val="nil"/>
                <w:right w:val="nil"/>
                <w:between w:val="nil"/>
              </w:pBdr>
              <w:spacing w:line="240" w:lineRule="auto"/>
              <w:jc w:val="center"/>
            </w:pPr>
            <w:r w:rsidRPr="003F0485">
              <w:t>62.57</w:t>
            </w:r>
          </w:p>
        </w:tc>
        <w:tc>
          <w:tcPr>
            <w:tcW w:w="708" w:type="dxa"/>
            <w:shd w:val="clear" w:color="auto" w:fill="auto"/>
            <w:tcMar>
              <w:top w:w="100" w:type="dxa"/>
              <w:left w:w="100" w:type="dxa"/>
              <w:bottom w:w="100" w:type="dxa"/>
              <w:right w:w="100" w:type="dxa"/>
            </w:tcMar>
          </w:tcPr>
          <w:p w14:paraId="56A9C343" w14:textId="77777777" w:rsidR="006A1C58" w:rsidRPr="003F0485" w:rsidRDefault="006A1C58" w:rsidP="006A1C58">
            <w:pPr>
              <w:widowControl w:val="0"/>
              <w:pBdr>
                <w:top w:val="nil"/>
                <w:left w:val="nil"/>
                <w:bottom w:val="nil"/>
                <w:right w:val="nil"/>
                <w:between w:val="nil"/>
              </w:pBdr>
              <w:spacing w:line="240" w:lineRule="auto"/>
              <w:jc w:val="center"/>
            </w:pPr>
            <w:r w:rsidRPr="003F0485">
              <w:t>0.54</w:t>
            </w:r>
          </w:p>
        </w:tc>
        <w:tc>
          <w:tcPr>
            <w:tcW w:w="709" w:type="dxa"/>
            <w:shd w:val="clear" w:color="auto" w:fill="auto"/>
            <w:tcMar>
              <w:top w:w="100" w:type="dxa"/>
              <w:left w:w="100" w:type="dxa"/>
              <w:bottom w:w="100" w:type="dxa"/>
              <w:right w:w="100" w:type="dxa"/>
            </w:tcMar>
          </w:tcPr>
          <w:p w14:paraId="49B4CC90" w14:textId="77777777" w:rsidR="006A1C58" w:rsidRPr="003F0485" w:rsidRDefault="006A1C58" w:rsidP="006A1C58">
            <w:pPr>
              <w:widowControl w:val="0"/>
              <w:pBdr>
                <w:top w:val="nil"/>
                <w:left w:val="nil"/>
                <w:bottom w:val="nil"/>
                <w:right w:val="nil"/>
                <w:between w:val="nil"/>
              </w:pBdr>
              <w:spacing w:line="240" w:lineRule="auto"/>
              <w:jc w:val="center"/>
            </w:pPr>
          </w:p>
        </w:tc>
        <w:tc>
          <w:tcPr>
            <w:tcW w:w="992" w:type="dxa"/>
            <w:shd w:val="clear" w:color="auto" w:fill="auto"/>
            <w:tcMar>
              <w:top w:w="100" w:type="dxa"/>
              <w:left w:w="100" w:type="dxa"/>
              <w:bottom w:w="100" w:type="dxa"/>
              <w:right w:w="100" w:type="dxa"/>
            </w:tcMar>
          </w:tcPr>
          <w:p w14:paraId="38188761" w14:textId="77777777" w:rsidR="006A1C58" w:rsidRPr="003F0485" w:rsidRDefault="006A1C58" w:rsidP="006A1C58">
            <w:pPr>
              <w:widowControl w:val="0"/>
              <w:pBdr>
                <w:top w:val="nil"/>
                <w:left w:val="nil"/>
                <w:bottom w:val="nil"/>
                <w:right w:val="nil"/>
                <w:between w:val="nil"/>
              </w:pBdr>
              <w:spacing w:line="240" w:lineRule="auto"/>
              <w:jc w:val="center"/>
            </w:pPr>
          </w:p>
        </w:tc>
      </w:tr>
      <w:tr w:rsidR="006A1C58" w:rsidRPr="003F0485" w14:paraId="252C586F" w14:textId="77777777" w:rsidTr="006A1C58">
        <w:tc>
          <w:tcPr>
            <w:tcW w:w="4668" w:type="dxa"/>
            <w:tcBorders>
              <w:bottom w:val="single" w:sz="4" w:space="0" w:color="auto"/>
            </w:tcBorders>
            <w:shd w:val="clear" w:color="auto" w:fill="auto"/>
            <w:tcMar>
              <w:top w:w="100" w:type="dxa"/>
              <w:left w:w="100" w:type="dxa"/>
              <w:bottom w:w="100" w:type="dxa"/>
              <w:right w:w="100" w:type="dxa"/>
            </w:tcMar>
          </w:tcPr>
          <w:p w14:paraId="6503828A" w14:textId="77777777" w:rsidR="006A1C58" w:rsidRPr="003F0485" w:rsidRDefault="006A1C58" w:rsidP="006A075A">
            <w:pPr>
              <w:widowControl w:val="0"/>
              <w:spacing w:line="240" w:lineRule="auto"/>
            </w:pPr>
            <w:r w:rsidRPr="003F0485">
              <w:t>Total</w:t>
            </w:r>
          </w:p>
        </w:tc>
        <w:tc>
          <w:tcPr>
            <w:tcW w:w="567" w:type="dxa"/>
            <w:tcBorders>
              <w:bottom w:val="single" w:sz="4" w:space="0" w:color="auto"/>
            </w:tcBorders>
            <w:shd w:val="clear" w:color="auto" w:fill="auto"/>
            <w:tcMar>
              <w:top w:w="100" w:type="dxa"/>
              <w:left w:w="100" w:type="dxa"/>
              <w:bottom w:w="100" w:type="dxa"/>
              <w:right w:w="100" w:type="dxa"/>
            </w:tcMar>
          </w:tcPr>
          <w:p w14:paraId="52B3CEDC" w14:textId="77777777" w:rsidR="006A1C58" w:rsidRPr="003F0485" w:rsidRDefault="006A1C58" w:rsidP="006A1C58">
            <w:pPr>
              <w:widowControl w:val="0"/>
              <w:spacing w:line="240" w:lineRule="auto"/>
              <w:jc w:val="center"/>
            </w:pPr>
            <w:r w:rsidRPr="003F0485">
              <w:t>119</w:t>
            </w:r>
          </w:p>
        </w:tc>
        <w:tc>
          <w:tcPr>
            <w:tcW w:w="851" w:type="dxa"/>
            <w:tcBorders>
              <w:bottom w:val="single" w:sz="4" w:space="0" w:color="auto"/>
            </w:tcBorders>
            <w:shd w:val="clear" w:color="auto" w:fill="auto"/>
            <w:tcMar>
              <w:top w:w="100" w:type="dxa"/>
              <w:left w:w="100" w:type="dxa"/>
              <w:bottom w:w="100" w:type="dxa"/>
              <w:right w:w="100" w:type="dxa"/>
            </w:tcMar>
          </w:tcPr>
          <w:p w14:paraId="5713A8E2" w14:textId="77777777" w:rsidR="006A1C58" w:rsidRPr="003F0485" w:rsidRDefault="006A1C58" w:rsidP="006A1C58">
            <w:pPr>
              <w:widowControl w:val="0"/>
              <w:pBdr>
                <w:top w:val="nil"/>
                <w:left w:val="nil"/>
                <w:bottom w:val="nil"/>
                <w:right w:val="nil"/>
                <w:between w:val="nil"/>
              </w:pBdr>
              <w:spacing w:line="240" w:lineRule="auto"/>
              <w:jc w:val="center"/>
            </w:pPr>
            <w:r w:rsidRPr="003F0485">
              <w:t>65.09</w:t>
            </w:r>
          </w:p>
        </w:tc>
        <w:tc>
          <w:tcPr>
            <w:tcW w:w="708" w:type="dxa"/>
            <w:tcBorders>
              <w:bottom w:val="single" w:sz="4" w:space="0" w:color="auto"/>
            </w:tcBorders>
            <w:shd w:val="clear" w:color="auto" w:fill="auto"/>
            <w:tcMar>
              <w:top w:w="100" w:type="dxa"/>
              <w:left w:w="100" w:type="dxa"/>
              <w:bottom w:w="100" w:type="dxa"/>
              <w:right w:w="100" w:type="dxa"/>
            </w:tcMar>
          </w:tcPr>
          <w:p w14:paraId="2842D393" w14:textId="77777777" w:rsidR="006A1C58" w:rsidRPr="003F0485" w:rsidRDefault="006A1C58" w:rsidP="006A1C58">
            <w:pPr>
              <w:widowControl w:val="0"/>
              <w:pBdr>
                <w:top w:val="nil"/>
                <w:left w:val="nil"/>
                <w:bottom w:val="nil"/>
                <w:right w:val="nil"/>
                <w:between w:val="nil"/>
              </w:pBdr>
              <w:spacing w:line="240" w:lineRule="auto"/>
              <w:jc w:val="center"/>
            </w:pPr>
          </w:p>
        </w:tc>
        <w:tc>
          <w:tcPr>
            <w:tcW w:w="709" w:type="dxa"/>
            <w:tcBorders>
              <w:bottom w:val="single" w:sz="4" w:space="0" w:color="auto"/>
            </w:tcBorders>
            <w:shd w:val="clear" w:color="auto" w:fill="auto"/>
            <w:tcMar>
              <w:top w:w="100" w:type="dxa"/>
              <w:left w:w="100" w:type="dxa"/>
              <w:bottom w:w="100" w:type="dxa"/>
              <w:right w:w="100" w:type="dxa"/>
            </w:tcMar>
          </w:tcPr>
          <w:p w14:paraId="26BB7057" w14:textId="77777777" w:rsidR="006A1C58" w:rsidRPr="003F0485" w:rsidRDefault="006A1C58" w:rsidP="006A1C58">
            <w:pPr>
              <w:widowControl w:val="0"/>
              <w:pBdr>
                <w:top w:val="nil"/>
                <w:left w:val="nil"/>
                <w:bottom w:val="nil"/>
                <w:right w:val="nil"/>
                <w:between w:val="nil"/>
              </w:pBdr>
              <w:spacing w:line="240" w:lineRule="auto"/>
              <w:jc w:val="center"/>
            </w:pPr>
          </w:p>
        </w:tc>
        <w:tc>
          <w:tcPr>
            <w:tcW w:w="992" w:type="dxa"/>
            <w:tcBorders>
              <w:bottom w:val="single" w:sz="4" w:space="0" w:color="auto"/>
            </w:tcBorders>
            <w:shd w:val="clear" w:color="auto" w:fill="auto"/>
            <w:tcMar>
              <w:top w:w="100" w:type="dxa"/>
              <w:left w:w="100" w:type="dxa"/>
              <w:bottom w:w="100" w:type="dxa"/>
              <w:right w:w="100" w:type="dxa"/>
            </w:tcMar>
          </w:tcPr>
          <w:p w14:paraId="7FD18D72" w14:textId="77777777" w:rsidR="006A1C58" w:rsidRPr="003F0485" w:rsidRDefault="006A1C58" w:rsidP="006A1C58">
            <w:pPr>
              <w:widowControl w:val="0"/>
              <w:pBdr>
                <w:top w:val="nil"/>
                <w:left w:val="nil"/>
                <w:bottom w:val="nil"/>
                <w:right w:val="nil"/>
                <w:between w:val="nil"/>
              </w:pBdr>
              <w:spacing w:line="240" w:lineRule="auto"/>
              <w:jc w:val="center"/>
            </w:pPr>
          </w:p>
        </w:tc>
      </w:tr>
      <w:tr w:rsidR="006A1C58" w:rsidRPr="003F0485" w14:paraId="6798DC58" w14:textId="77777777" w:rsidTr="006A1C58">
        <w:trPr>
          <w:trHeight w:val="287"/>
        </w:trPr>
        <w:tc>
          <w:tcPr>
            <w:tcW w:w="8495" w:type="dxa"/>
            <w:gridSpan w:val="6"/>
            <w:tcBorders>
              <w:top w:val="single" w:sz="4" w:space="0" w:color="auto"/>
              <w:bottom w:val="single" w:sz="4" w:space="0" w:color="auto"/>
            </w:tcBorders>
            <w:shd w:val="clear" w:color="auto" w:fill="auto"/>
            <w:tcMar>
              <w:top w:w="100" w:type="dxa"/>
              <w:left w:w="100" w:type="dxa"/>
              <w:bottom w:w="100" w:type="dxa"/>
              <w:right w:w="100" w:type="dxa"/>
            </w:tcMar>
          </w:tcPr>
          <w:p w14:paraId="31496448" w14:textId="77777777" w:rsidR="006A1C58" w:rsidRPr="003F0485" w:rsidRDefault="006A1C58" w:rsidP="006A075A">
            <w:pPr>
              <w:widowControl w:val="0"/>
              <w:pBdr>
                <w:top w:val="nil"/>
                <w:left w:val="nil"/>
                <w:bottom w:val="nil"/>
                <w:right w:val="nil"/>
                <w:between w:val="nil"/>
              </w:pBdr>
              <w:spacing w:line="240" w:lineRule="auto"/>
              <w:rPr>
                <w:b/>
              </w:rPr>
            </w:pPr>
            <w:r w:rsidRPr="003F0485">
              <w:rPr>
                <w:b/>
              </w:rPr>
              <w:t>CTSQ</w:t>
            </w:r>
          </w:p>
        </w:tc>
      </w:tr>
      <w:tr w:rsidR="006A1C58" w:rsidRPr="003F0485" w14:paraId="0F78C97C" w14:textId="77777777" w:rsidTr="006A1C58">
        <w:tc>
          <w:tcPr>
            <w:tcW w:w="4668" w:type="dxa"/>
            <w:tcBorders>
              <w:top w:val="single" w:sz="4" w:space="0" w:color="auto"/>
            </w:tcBorders>
            <w:shd w:val="clear" w:color="auto" w:fill="auto"/>
            <w:tcMar>
              <w:top w:w="100" w:type="dxa"/>
              <w:left w:w="100" w:type="dxa"/>
              <w:bottom w:w="100" w:type="dxa"/>
              <w:right w:w="100" w:type="dxa"/>
            </w:tcMar>
          </w:tcPr>
          <w:p w14:paraId="6E4A1307" w14:textId="77777777" w:rsidR="006A1C58" w:rsidRPr="003F0485" w:rsidRDefault="006A1C58" w:rsidP="006A075A">
            <w:pPr>
              <w:widowControl w:val="0"/>
              <w:spacing w:line="240" w:lineRule="auto"/>
            </w:pPr>
            <w:r w:rsidRPr="003F0485">
              <w:t>Between groups</w:t>
            </w:r>
          </w:p>
        </w:tc>
        <w:tc>
          <w:tcPr>
            <w:tcW w:w="567" w:type="dxa"/>
            <w:tcBorders>
              <w:top w:val="single" w:sz="4" w:space="0" w:color="auto"/>
            </w:tcBorders>
            <w:shd w:val="clear" w:color="auto" w:fill="auto"/>
            <w:tcMar>
              <w:top w:w="100" w:type="dxa"/>
              <w:left w:w="100" w:type="dxa"/>
              <w:bottom w:w="100" w:type="dxa"/>
              <w:right w:w="100" w:type="dxa"/>
            </w:tcMar>
          </w:tcPr>
          <w:p w14:paraId="2AC8E570" w14:textId="77777777" w:rsidR="006A1C58" w:rsidRPr="003F0485" w:rsidRDefault="006A1C58" w:rsidP="006A1C58">
            <w:pPr>
              <w:widowControl w:val="0"/>
              <w:spacing w:line="240" w:lineRule="auto"/>
              <w:jc w:val="center"/>
            </w:pPr>
            <w:r w:rsidRPr="003F0485">
              <w:t>2</w:t>
            </w:r>
          </w:p>
        </w:tc>
        <w:tc>
          <w:tcPr>
            <w:tcW w:w="851" w:type="dxa"/>
            <w:tcBorders>
              <w:top w:val="single" w:sz="4" w:space="0" w:color="auto"/>
            </w:tcBorders>
            <w:shd w:val="clear" w:color="auto" w:fill="auto"/>
            <w:tcMar>
              <w:top w:w="100" w:type="dxa"/>
              <w:left w:w="100" w:type="dxa"/>
              <w:bottom w:w="100" w:type="dxa"/>
              <w:right w:w="100" w:type="dxa"/>
            </w:tcMar>
          </w:tcPr>
          <w:p w14:paraId="7816B0C2" w14:textId="77777777" w:rsidR="006A1C58" w:rsidRPr="003F0485" w:rsidRDefault="006A1C58" w:rsidP="006A1C58">
            <w:pPr>
              <w:widowControl w:val="0"/>
              <w:pBdr>
                <w:top w:val="nil"/>
                <w:left w:val="nil"/>
                <w:bottom w:val="nil"/>
                <w:right w:val="nil"/>
                <w:between w:val="nil"/>
              </w:pBdr>
              <w:spacing w:line="240" w:lineRule="auto"/>
              <w:jc w:val="center"/>
            </w:pPr>
            <w:r w:rsidRPr="003F0485">
              <w:t>3.12</w:t>
            </w:r>
          </w:p>
        </w:tc>
        <w:tc>
          <w:tcPr>
            <w:tcW w:w="708" w:type="dxa"/>
            <w:tcBorders>
              <w:top w:val="single" w:sz="4" w:space="0" w:color="auto"/>
            </w:tcBorders>
            <w:shd w:val="clear" w:color="auto" w:fill="auto"/>
            <w:tcMar>
              <w:top w:w="100" w:type="dxa"/>
              <w:left w:w="100" w:type="dxa"/>
              <w:bottom w:w="100" w:type="dxa"/>
              <w:right w:w="100" w:type="dxa"/>
            </w:tcMar>
          </w:tcPr>
          <w:p w14:paraId="1987EFBA" w14:textId="77777777" w:rsidR="006A1C58" w:rsidRPr="003F0485" w:rsidRDefault="006A1C58" w:rsidP="006A1C58">
            <w:pPr>
              <w:widowControl w:val="0"/>
              <w:pBdr>
                <w:top w:val="nil"/>
                <w:left w:val="nil"/>
                <w:bottom w:val="nil"/>
                <w:right w:val="nil"/>
                <w:between w:val="nil"/>
              </w:pBdr>
              <w:spacing w:line="240" w:lineRule="auto"/>
              <w:jc w:val="center"/>
            </w:pPr>
            <w:r w:rsidRPr="003F0485">
              <w:t>1.56</w:t>
            </w:r>
          </w:p>
        </w:tc>
        <w:tc>
          <w:tcPr>
            <w:tcW w:w="709" w:type="dxa"/>
            <w:tcBorders>
              <w:top w:val="single" w:sz="4" w:space="0" w:color="auto"/>
            </w:tcBorders>
            <w:shd w:val="clear" w:color="auto" w:fill="auto"/>
            <w:tcMar>
              <w:top w:w="100" w:type="dxa"/>
              <w:left w:w="100" w:type="dxa"/>
              <w:bottom w:w="100" w:type="dxa"/>
              <w:right w:w="100" w:type="dxa"/>
            </w:tcMar>
          </w:tcPr>
          <w:p w14:paraId="0F045FC1" w14:textId="77777777" w:rsidR="006A1C58" w:rsidRPr="003F0485" w:rsidRDefault="006A1C58" w:rsidP="006A1C58">
            <w:pPr>
              <w:widowControl w:val="0"/>
              <w:pBdr>
                <w:top w:val="nil"/>
                <w:left w:val="nil"/>
                <w:bottom w:val="nil"/>
                <w:right w:val="nil"/>
                <w:between w:val="nil"/>
              </w:pBdr>
              <w:spacing w:line="240" w:lineRule="auto"/>
              <w:jc w:val="center"/>
            </w:pPr>
            <w:r w:rsidRPr="003F0485">
              <w:t>2.38</w:t>
            </w:r>
          </w:p>
        </w:tc>
        <w:tc>
          <w:tcPr>
            <w:tcW w:w="992" w:type="dxa"/>
            <w:tcBorders>
              <w:top w:val="single" w:sz="4" w:space="0" w:color="auto"/>
            </w:tcBorders>
            <w:shd w:val="clear" w:color="auto" w:fill="auto"/>
            <w:tcMar>
              <w:top w:w="100" w:type="dxa"/>
              <w:left w:w="100" w:type="dxa"/>
              <w:bottom w:w="100" w:type="dxa"/>
              <w:right w:w="100" w:type="dxa"/>
            </w:tcMar>
          </w:tcPr>
          <w:p w14:paraId="35DA36E5" w14:textId="77777777" w:rsidR="006A1C58" w:rsidRPr="003F0485" w:rsidRDefault="006A1C58" w:rsidP="006A1C58">
            <w:pPr>
              <w:widowControl w:val="0"/>
              <w:pBdr>
                <w:top w:val="nil"/>
                <w:left w:val="nil"/>
                <w:bottom w:val="nil"/>
                <w:right w:val="nil"/>
                <w:between w:val="nil"/>
              </w:pBdr>
              <w:spacing w:line="240" w:lineRule="auto"/>
              <w:jc w:val="center"/>
            </w:pPr>
            <w:r w:rsidRPr="003F0485">
              <w:t>.097</w:t>
            </w:r>
          </w:p>
        </w:tc>
      </w:tr>
      <w:tr w:rsidR="006A1C58" w:rsidRPr="003F0485" w14:paraId="73403099" w14:textId="77777777" w:rsidTr="006A1C58">
        <w:tc>
          <w:tcPr>
            <w:tcW w:w="4668" w:type="dxa"/>
            <w:shd w:val="clear" w:color="auto" w:fill="auto"/>
            <w:tcMar>
              <w:top w:w="100" w:type="dxa"/>
              <w:left w:w="100" w:type="dxa"/>
              <w:bottom w:w="100" w:type="dxa"/>
              <w:right w:w="100" w:type="dxa"/>
            </w:tcMar>
          </w:tcPr>
          <w:p w14:paraId="27D648CE" w14:textId="77777777" w:rsidR="006A1C58" w:rsidRPr="003F0485" w:rsidRDefault="006A1C58" w:rsidP="006A075A">
            <w:pPr>
              <w:widowControl w:val="0"/>
              <w:spacing w:line="240" w:lineRule="auto"/>
            </w:pPr>
            <w:r w:rsidRPr="003F0485">
              <w:t>Within groups</w:t>
            </w:r>
          </w:p>
        </w:tc>
        <w:tc>
          <w:tcPr>
            <w:tcW w:w="567" w:type="dxa"/>
            <w:shd w:val="clear" w:color="auto" w:fill="auto"/>
            <w:tcMar>
              <w:top w:w="100" w:type="dxa"/>
              <w:left w:w="100" w:type="dxa"/>
              <w:bottom w:w="100" w:type="dxa"/>
              <w:right w:w="100" w:type="dxa"/>
            </w:tcMar>
          </w:tcPr>
          <w:p w14:paraId="62B3C77F" w14:textId="77777777" w:rsidR="006A1C58" w:rsidRPr="003F0485" w:rsidRDefault="006A1C58" w:rsidP="006A1C58">
            <w:pPr>
              <w:widowControl w:val="0"/>
              <w:spacing w:line="240" w:lineRule="auto"/>
              <w:jc w:val="center"/>
            </w:pPr>
            <w:r w:rsidRPr="003F0485">
              <w:t>117</w:t>
            </w:r>
          </w:p>
        </w:tc>
        <w:tc>
          <w:tcPr>
            <w:tcW w:w="851" w:type="dxa"/>
            <w:shd w:val="clear" w:color="auto" w:fill="auto"/>
            <w:tcMar>
              <w:top w:w="100" w:type="dxa"/>
              <w:left w:w="100" w:type="dxa"/>
              <w:bottom w:w="100" w:type="dxa"/>
              <w:right w:w="100" w:type="dxa"/>
            </w:tcMar>
          </w:tcPr>
          <w:p w14:paraId="25F949FA" w14:textId="77777777" w:rsidR="006A1C58" w:rsidRPr="003F0485" w:rsidRDefault="006A1C58" w:rsidP="006A1C58">
            <w:pPr>
              <w:widowControl w:val="0"/>
              <w:pBdr>
                <w:top w:val="nil"/>
                <w:left w:val="nil"/>
                <w:bottom w:val="nil"/>
                <w:right w:val="nil"/>
                <w:between w:val="nil"/>
              </w:pBdr>
              <w:spacing w:line="240" w:lineRule="auto"/>
              <w:jc w:val="center"/>
            </w:pPr>
            <w:r w:rsidRPr="003F0485">
              <w:t>76.72</w:t>
            </w:r>
          </w:p>
        </w:tc>
        <w:tc>
          <w:tcPr>
            <w:tcW w:w="708" w:type="dxa"/>
            <w:shd w:val="clear" w:color="auto" w:fill="auto"/>
            <w:tcMar>
              <w:top w:w="100" w:type="dxa"/>
              <w:left w:w="100" w:type="dxa"/>
              <w:bottom w:w="100" w:type="dxa"/>
              <w:right w:w="100" w:type="dxa"/>
            </w:tcMar>
          </w:tcPr>
          <w:p w14:paraId="6797B271" w14:textId="77777777" w:rsidR="006A1C58" w:rsidRPr="003F0485" w:rsidRDefault="006A1C58" w:rsidP="006A1C58">
            <w:pPr>
              <w:widowControl w:val="0"/>
              <w:pBdr>
                <w:top w:val="nil"/>
                <w:left w:val="nil"/>
                <w:bottom w:val="nil"/>
                <w:right w:val="nil"/>
                <w:between w:val="nil"/>
              </w:pBdr>
              <w:spacing w:line="240" w:lineRule="auto"/>
              <w:jc w:val="center"/>
            </w:pPr>
            <w:r w:rsidRPr="003F0485">
              <w:t>0.66</w:t>
            </w:r>
          </w:p>
        </w:tc>
        <w:tc>
          <w:tcPr>
            <w:tcW w:w="709" w:type="dxa"/>
            <w:shd w:val="clear" w:color="auto" w:fill="auto"/>
            <w:tcMar>
              <w:top w:w="100" w:type="dxa"/>
              <w:left w:w="100" w:type="dxa"/>
              <w:bottom w:w="100" w:type="dxa"/>
              <w:right w:w="100" w:type="dxa"/>
            </w:tcMar>
          </w:tcPr>
          <w:p w14:paraId="41A582DA" w14:textId="77777777" w:rsidR="006A1C58" w:rsidRPr="003F0485" w:rsidRDefault="006A1C58" w:rsidP="006A1C58">
            <w:pPr>
              <w:widowControl w:val="0"/>
              <w:pBdr>
                <w:top w:val="nil"/>
                <w:left w:val="nil"/>
                <w:bottom w:val="nil"/>
                <w:right w:val="nil"/>
                <w:between w:val="nil"/>
              </w:pBdr>
              <w:spacing w:line="240" w:lineRule="auto"/>
              <w:jc w:val="center"/>
            </w:pPr>
          </w:p>
        </w:tc>
        <w:tc>
          <w:tcPr>
            <w:tcW w:w="992" w:type="dxa"/>
            <w:shd w:val="clear" w:color="auto" w:fill="auto"/>
            <w:tcMar>
              <w:top w:w="100" w:type="dxa"/>
              <w:left w:w="100" w:type="dxa"/>
              <w:bottom w:w="100" w:type="dxa"/>
              <w:right w:w="100" w:type="dxa"/>
            </w:tcMar>
          </w:tcPr>
          <w:p w14:paraId="0599AAF5" w14:textId="77777777" w:rsidR="006A1C58" w:rsidRPr="003F0485" w:rsidRDefault="006A1C58" w:rsidP="006A1C58">
            <w:pPr>
              <w:widowControl w:val="0"/>
              <w:pBdr>
                <w:top w:val="nil"/>
                <w:left w:val="nil"/>
                <w:bottom w:val="nil"/>
                <w:right w:val="nil"/>
                <w:between w:val="nil"/>
              </w:pBdr>
              <w:spacing w:line="240" w:lineRule="auto"/>
              <w:jc w:val="center"/>
            </w:pPr>
          </w:p>
        </w:tc>
      </w:tr>
      <w:tr w:rsidR="006A1C58" w:rsidRPr="003F0485" w14:paraId="711A7165" w14:textId="77777777" w:rsidTr="006A1C58">
        <w:tc>
          <w:tcPr>
            <w:tcW w:w="4668" w:type="dxa"/>
            <w:shd w:val="clear" w:color="auto" w:fill="auto"/>
            <w:tcMar>
              <w:top w:w="100" w:type="dxa"/>
              <w:left w:w="100" w:type="dxa"/>
              <w:bottom w:w="100" w:type="dxa"/>
              <w:right w:w="100" w:type="dxa"/>
            </w:tcMar>
          </w:tcPr>
          <w:p w14:paraId="0095553F" w14:textId="77777777" w:rsidR="006A1C58" w:rsidRPr="003F0485" w:rsidRDefault="006A1C58" w:rsidP="006A075A">
            <w:pPr>
              <w:widowControl w:val="0"/>
              <w:spacing w:line="240" w:lineRule="auto"/>
            </w:pPr>
            <w:r w:rsidRPr="003F0485">
              <w:t>Total</w:t>
            </w:r>
          </w:p>
        </w:tc>
        <w:tc>
          <w:tcPr>
            <w:tcW w:w="567" w:type="dxa"/>
            <w:shd w:val="clear" w:color="auto" w:fill="auto"/>
            <w:tcMar>
              <w:top w:w="100" w:type="dxa"/>
              <w:left w:w="100" w:type="dxa"/>
              <w:bottom w:w="100" w:type="dxa"/>
              <w:right w:w="100" w:type="dxa"/>
            </w:tcMar>
          </w:tcPr>
          <w:p w14:paraId="7BF40882" w14:textId="77777777" w:rsidR="006A1C58" w:rsidRPr="003F0485" w:rsidRDefault="006A1C58" w:rsidP="006A1C58">
            <w:pPr>
              <w:widowControl w:val="0"/>
              <w:spacing w:line="240" w:lineRule="auto"/>
              <w:jc w:val="center"/>
            </w:pPr>
            <w:r w:rsidRPr="003F0485">
              <w:t>119</w:t>
            </w:r>
          </w:p>
        </w:tc>
        <w:tc>
          <w:tcPr>
            <w:tcW w:w="851" w:type="dxa"/>
            <w:shd w:val="clear" w:color="auto" w:fill="auto"/>
            <w:tcMar>
              <w:top w:w="100" w:type="dxa"/>
              <w:left w:w="100" w:type="dxa"/>
              <w:bottom w:w="100" w:type="dxa"/>
              <w:right w:w="100" w:type="dxa"/>
            </w:tcMar>
          </w:tcPr>
          <w:p w14:paraId="5BF74D06" w14:textId="77777777" w:rsidR="006A1C58" w:rsidRPr="003F0485" w:rsidRDefault="006A1C58" w:rsidP="006A1C58">
            <w:pPr>
              <w:widowControl w:val="0"/>
              <w:pBdr>
                <w:top w:val="nil"/>
                <w:left w:val="nil"/>
                <w:bottom w:val="nil"/>
                <w:right w:val="nil"/>
                <w:between w:val="nil"/>
              </w:pBdr>
              <w:spacing w:line="240" w:lineRule="auto"/>
              <w:jc w:val="center"/>
            </w:pPr>
            <w:r w:rsidRPr="003F0485">
              <w:t>79.84</w:t>
            </w:r>
          </w:p>
        </w:tc>
        <w:tc>
          <w:tcPr>
            <w:tcW w:w="708" w:type="dxa"/>
            <w:shd w:val="clear" w:color="auto" w:fill="auto"/>
            <w:tcMar>
              <w:top w:w="100" w:type="dxa"/>
              <w:left w:w="100" w:type="dxa"/>
              <w:bottom w:w="100" w:type="dxa"/>
              <w:right w:w="100" w:type="dxa"/>
            </w:tcMar>
          </w:tcPr>
          <w:p w14:paraId="3952D6D7" w14:textId="77777777" w:rsidR="006A1C58" w:rsidRPr="003F0485" w:rsidRDefault="006A1C58" w:rsidP="006A1C58">
            <w:pPr>
              <w:widowControl w:val="0"/>
              <w:pBdr>
                <w:top w:val="nil"/>
                <w:left w:val="nil"/>
                <w:bottom w:val="nil"/>
                <w:right w:val="nil"/>
                <w:between w:val="nil"/>
              </w:pBdr>
              <w:spacing w:line="240" w:lineRule="auto"/>
              <w:jc w:val="center"/>
            </w:pPr>
          </w:p>
        </w:tc>
        <w:tc>
          <w:tcPr>
            <w:tcW w:w="709" w:type="dxa"/>
            <w:shd w:val="clear" w:color="auto" w:fill="auto"/>
            <w:tcMar>
              <w:top w:w="100" w:type="dxa"/>
              <w:left w:w="100" w:type="dxa"/>
              <w:bottom w:w="100" w:type="dxa"/>
              <w:right w:w="100" w:type="dxa"/>
            </w:tcMar>
          </w:tcPr>
          <w:p w14:paraId="3A08D304" w14:textId="77777777" w:rsidR="006A1C58" w:rsidRPr="003F0485" w:rsidRDefault="006A1C58" w:rsidP="006A1C58">
            <w:pPr>
              <w:widowControl w:val="0"/>
              <w:pBdr>
                <w:top w:val="nil"/>
                <w:left w:val="nil"/>
                <w:bottom w:val="nil"/>
                <w:right w:val="nil"/>
                <w:between w:val="nil"/>
              </w:pBdr>
              <w:spacing w:line="240" w:lineRule="auto"/>
              <w:jc w:val="center"/>
            </w:pPr>
          </w:p>
        </w:tc>
        <w:tc>
          <w:tcPr>
            <w:tcW w:w="992" w:type="dxa"/>
            <w:shd w:val="clear" w:color="auto" w:fill="auto"/>
            <w:tcMar>
              <w:top w:w="100" w:type="dxa"/>
              <w:left w:w="100" w:type="dxa"/>
              <w:bottom w:w="100" w:type="dxa"/>
              <w:right w:w="100" w:type="dxa"/>
            </w:tcMar>
          </w:tcPr>
          <w:p w14:paraId="7F942348" w14:textId="77777777" w:rsidR="006A1C58" w:rsidRPr="003F0485" w:rsidRDefault="006A1C58" w:rsidP="006A1C58">
            <w:pPr>
              <w:widowControl w:val="0"/>
              <w:pBdr>
                <w:top w:val="nil"/>
                <w:left w:val="nil"/>
                <w:bottom w:val="nil"/>
                <w:right w:val="nil"/>
                <w:between w:val="nil"/>
              </w:pBdr>
              <w:spacing w:line="240" w:lineRule="auto"/>
              <w:jc w:val="center"/>
            </w:pPr>
          </w:p>
        </w:tc>
      </w:tr>
    </w:tbl>
    <w:p w14:paraId="480BF8A0" w14:textId="6A694DB5" w:rsidR="006A1C58" w:rsidRPr="003F0485" w:rsidRDefault="004F28C4" w:rsidP="00D12ABA">
      <w:pPr>
        <w:pStyle w:val="Paragraph"/>
        <w:ind w:firstLine="720"/>
      </w:pPr>
      <w:r w:rsidRPr="003F0485">
        <w:t>Bivariate analysis was conducted to examine the null hypothesis that there would be no relationship between years of teaching experience and the mean rating scores for the FCV-19S, GAD-7, and CTSQ. Assumptions of normality, linearity, or homoscedasticity were assessed through the examination of kurtosis, skew, normal probability plots, and scatterplots prior to the bivariate analysis. No violations were found among the four variables. A statistically significant relationship was found between years of teaching experience and score in the GAD-7 but not between years of teaching experience and scores in the FCV-19S or CTSQ (Table 7). Pearson correlation coefficients revealed a weak negative relationship between years of teaching experience and the GAD-7 score (r = .200, p = .029), indicating that participants with more teaching experience tended to achieve lower scores for items in the GAD-7. Between-groups ANOVA was performed to examine the effect of educational background on the mean rating scores for the three instruments. No statistically significant effects were found</w:t>
      </w:r>
      <w:r w:rsidR="006A1C58" w:rsidRPr="003F0485">
        <w:t>.</w:t>
      </w:r>
    </w:p>
    <w:p w14:paraId="2F25D48E" w14:textId="342BAC69" w:rsidR="006A1C58" w:rsidRPr="003F0485" w:rsidRDefault="006A1C58" w:rsidP="006A1C58">
      <w:pPr>
        <w:pStyle w:val="Newparagraph"/>
        <w:ind w:firstLine="0"/>
        <w:rPr>
          <w:i/>
          <w:iCs/>
        </w:rPr>
      </w:pPr>
      <w:r w:rsidRPr="003F0485">
        <w:t xml:space="preserve">Table </w:t>
      </w:r>
      <w:r w:rsidR="004F28C4" w:rsidRPr="003F0485">
        <w:t>7</w:t>
      </w:r>
      <w:r w:rsidRPr="003F0485">
        <w:t xml:space="preserve">. </w:t>
      </w:r>
      <w:r w:rsidR="004F28C4" w:rsidRPr="003F0485">
        <w:rPr>
          <w:i/>
          <w:iCs/>
        </w:rPr>
        <w:t>Correlation of</w:t>
      </w:r>
      <w:r w:rsidRPr="003F0485">
        <w:rPr>
          <w:i/>
          <w:iCs/>
        </w:rPr>
        <w:t xml:space="preserve"> participants’ years of teaching experience on FCV-19S, GAD7 and CTSQ scores</w:t>
      </w:r>
    </w:p>
    <w:tbl>
      <w:tblPr>
        <w:tblW w:w="8495" w:type="dxa"/>
        <w:tblBorders>
          <w:top w:val="single" w:sz="4" w:space="0" w:color="auto"/>
          <w:bottom w:val="single" w:sz="4" w:space="0" w:color="auto"/>
        </w:tblBorders>
        <w:tblLayout w:type="fixed"/>
        <w:tblLook w:val="0600" w:firstRow="0" w:lastRow="0" w:firstColumn="0" w:lastColumn="0" w:noHBand="1" w:noVBand="1"/>
      </w:tblPr>
      <w:tblGrid>
        <w:gridCol w:w="4952"/>
        <w:gridCol w:w="1275"/>
        <w:gridCol w:w="1134"/>
        <w:gridCol w:w="1134"/>
      </w:tblGrid>
      <w:tr w:rsidR="004F28C4" w:rsidRPr="003F0485" w14:paraId="44A262B3" w14:textId="77777777" w:rsidTr="004F28C4">
        <w:tc>
          <w:tcPr>
            <w:tcW w:w="4952" w:type="dxa"/>
            <w:tcBorders>
              <w:top w:val="single" w:sz="4" w:space="0" w:color="auto"/>
              <w:bottom w:val="single" w:sz="4" w:space="0" w:color="auto"/>
            </w:tcBorders>
            <w:tcMar>
              <w:top w:w="100" w:type="dxa"/>
              <w:left w:w="100" w:type="dxa"/>
              <w:bottom w:w="100" w:type="dxa"/>
              <w:right w:w="100" w:type="dxa"/>
            </w:tcMar>
          </w:tcPr>
          <w:p w14:paraId="529B0E42" w14:textId="77777777" w:rsidR="004F28C4" w:rsidRPr="003F0485" w:rsidRDefault="004F28C4">
            <w:pPr>
              <w:widowControl w:val="0"/>
              <w:spacing w:line="240" w:lineRule="auto"/>
            </w:pPr>
            <w:bookmarkStart w:id="0" w:name="_Hlk53962859"/>
          </w:p>
        </w:tc>
        <w:tc>
          <w:tcPr>
            <w:tcW w:w="1275" w:type="dxa"/>
            <w:tcBorders>
              <w:top w:val="single" w:sz="4" w:space="0" w:color="auto"/>
              <w:bottom w:val="single" w:sz="4" w:space="0" w:color="auto"/>
            </w:tcBorders>
            <w:tcMar>
              <w:top w:w="100" w:type="dxa"/>
              <w:left w:w="100" w:type="dxa"/>
              <w:bottom w:w="100" w:type="dxa"/>
              <w:right w:w="100" w:type="dxa"/>
            </w:tcMar>
            <w:hideMark/>
          </w:tcPr>
          <w:p w14:paraId="217EE9FF" w14:textId="77777777" w:rsidR="004F28C4" w:rsidRPr="003F0485" w:rsidRDefault="004F28C4">
            <w:pPr>
              <w:widowControl w:val="0"/>
              <w:spacing w:line="240" w:lineRule="auto"/>
              <w:jc w:val="center"/>
            </w:pPr>
            <w:r w:rsidRPr="003F0485">
              <w:t>FCV-19S</w:t>
            </w:r>
          </w:p>
        </w:tc>
        <w:tc>
          <w:tcPr>
            <w:tcW w:w="1134" w:type="dxa"/>
            <w:tcBorders>
              <w:top w:val="single" w:sz="4" w:space="0" w:color="auto"/>
              <w:bottom w:val="single" w:sz="4" w:space="0" w:color="auto"/>
            </w:tcBorders>
            <w:tcMar>
              <w:top w:w="100" w:type="dxa"/>
              <w:left w:w="100" w:type="dxa"/>
              <w:bottom w:w="100" w:type="dxa"/>
              <w:right w:w="100" w:type="dxa"/>
            </w:tcMar>
            <w:hideMark/>
          </w:tcPr>
          <w:p w14:paraId="1CE3A452" w14:textId="77777777" w:rsidR="004F28C4" w:rsidRPr="003F0485" w:rsidRDefault="004F28C4">
            <w:pPr>
              <w:widowControl w:val="0"/>
              <w:spacing w:line="240" w:lineRule="auto"/>
              <w:jc w:val="center"/>
            </w:pPr>
            <w:r w:rsidRPr="003F0485">
              <w:t>GAD-7</w:t>
            </w:r>
          </w:p>
        </w:tc>
        <w:tc>
          <w:tcPr>
            <w:tcW w:w="1134" w:type="dxa"/>
            <w:tcBorders>
              <w:top w:val="single" w:sz="4" w:space="0" w:color="auto"/>
              <w:bottom w:val="single" w:sz="4" w:space="0" w:color="auto"/>
            </w:tcBorders>
            <w:tcMar>
              <w:top w:w="100" w:type="dxa"/>
              <w:left w:w="100" w:type="dxa"/>
              <w:bottom w:w="100" w:type="dxa"/>
              <w:right w:w="100" w:type="dxa"/>
            </w:tcMar>
            <w:hideMark/>
          </w:tcPr>
          <w:p w14:paraId="6423989B" w14:textId="77777777" w:rsidR="004F28C4" w:rsidRPr="003F0485" w:rsidRDefault="004F28C4">
            <w:pPr>
              <w:widowControl w:val="0"/>
              <w:spacing w:line="240" w:lineRule="auto"/>
              <w:jc w:val="center"/>
            </w:pPr>
            <w:r w:rsidRPr="003F0485">
              <w:t>CTSQ</w:t>
            </w:r>
          </w:p>
        </w:tc>
      </w:tr>
      <w:tr w:rsidR="004F28C4" w:rsidRPr="003F0485" w14:paraId="1F990706" w14:textId="77777777" w:rsidTr="004F28C4">
        <w:tc>
          <w:tcPr>
            <w:tcW w:w="4952" w:type="dxa"/>
            <w:tcBorders>
              <w:top w:val="single" w:sz="4" w:space="0" w:color="auto"/>
            </w:tcBorders>
            <w:tcMar>
              <w:top w:w="100" w:type="dxa"/>
              <w:left w:w="100" w:type="dxa"/>
              <w:bottom w:w="100" w:type="dxa"/>
              <w:right w:w="100" w:type="dxa"/>
            </w:tcMar>
            <w:hideMark/>
          </w:tcPr>
          <w:p w14:paraId="24B1588D" w14:textId="77777777" w:rsidR="004F28C4" w:rsidRPr="003F0485" w:rsidRDefault="004F28C4">
            <w:pPr>
              <w:widowControl w:val="0"/>
              <w:spacing w:line="240" w:lineRule="auto"/>
            </w:pPr>
            <w:r w:rsidRPr="003F0485">
              <w:lastRenderedPageBreak/>
              <w:t>Years of teaching experience</w:t>
            </w:r>
          </w:p>
        </w:tc>
        <w:tc>
          <w:tcPr>
            <w:tcW w:w="1275" w:type="dxa"/>
            <w:tcBorders>
              <w:top w:val="single" w:sz="4" w:space="0" w:color="auto"/>
            </w:tcBorders>
            <w:tcMar>
              <w:top w:w="100" w:type="dxa"/>
              <w:left w:w="100" w:type="dxa"/>
              <w:bottom w:w="100" w:type="dxa"/>
              <w:right w:w="100" w:type="dxa"/>
            </w:tcMar>
            <w:hideMark/>
          </w:tcPr>
          <w:p w14:paraId="429EE5CD" w14:textId="77777777" w:rsidR="004F28C4" w:rsidRPr="003F0485" w:rsidRDefault="004F28C4">
            <w:pPr>
              <w:widowControl w:val="0"/>
              <w:spacing w:line="240" w:lineRule="auto"/>
              <w:jc w:val="center"/>
            </w:pPr>
            <w:r w:rsidRPr="003F0485">
              <w:t>-.136</w:t>
            </w:r>
          </w:p>
        </w:tc>
        <w:tc>
          <w:tcPr>
            <w:tcW w:w="1134" w:type="dxa"/>
            <w:tcBorders>
              <w:top w:val="single" w:sz="4" w:space="0" w:color="auto"/>
            </w:tcBorders>
            <w:tcMar>
              <w:top w:w="100" w:type="dxa"/>
              <w:left w:w="100" w:type="dxa"/>
              <w:bottom w:w="100" w:type="dxa"/>
              <w:right w:w="100" w:type="dxa"/>
            </w:tcMar>
            <w:hideMark/>
          </w:tcPr>
          <w:p w14:paraId="64E2B560" w14:textId="77777777" w:rsidR="004F28C4" w:rsidRPr="003F0485" w:rsidRDefault="004F28C4">
            <w:pPr>
              <w:widowControl w:val="0"/>
              <w:spacing w:line="240" w:lineRule="auto"/>
              <w:jc w:val="center"/>
            </w:pPr>
            <w:r w:rsidRPr="003F0485">
              <w:t>-.200</w:t>
            </w:r>
          </w:p>
        </w:tc>
        <w:tc>
          <w:tcPr>
            <w:tcW w:w="1134" w:type="dxa"/>
            <w:tcBorders>
              <w:top w:val="single" w:sz="4" w:space="0" w:color="auto"/>
            </w:tcBorders>
            <w:tcMar>
              <w:top w:w="100" w:type="dxa"/>
              <w:left w:w="100" w:type="dxa"/>
              <w:bottom w:w="100" w:type="dxa"/>
              <w:right w:w="100" w:type="dxa"/>
            </w:tcMar>
            <w:hideMark/>
          </w:tcPr>
          <w:p w14:paraId="6854FDC9" w14:textId="77777777" w:rsidR="004F28C4" w:rsidRPr="003F0485" w:rsidRDefault="004F28C4">
            <w:pPr>
              <w:widowControl w:val="0"/>
              <w:spacing w:line="240" w:lineRule="auto"/>
              <w:jc w:val="center"/>
            </w:pPr>
            <w:r w:rsidRPr="003F0485">
              <w:t>0.75</w:t>
            </w:r>
          </w:p>
        </w:tc>
      </w:tr>
      <w:tr w:rsidR="004F28C4" w:rsidRPr="003F0485" w14:paraId="096C3F46" w14:textId="77777777" w:rsidTr="004F28C4">
        <w:tc>
          <w:tcPr>
            <w:tcW w:w="4952" w:type="dxa"/>
            <w:tcMar>
              <w:top w:w="100" w:type="dxa"/>
              <w:left w:w="100" w:type="dxa"/>
              <w:bottom w:w="100" w:type="dxa"/>
              <w:right w:w="100" w:type="dxa"/>
            </w:tcMar>
            <w:hideMark/>
          </w:tcPr>
          <w:p w14:paraId="4CAF4673" w14:textId="77777777" w:rsidR="004F28C4" w:rsidRPr="003F0485" w:rsidRDefault="004F28C4">
            <w:pPr>
              <w:widowControl w:val="0"/>
              <w:spacing w:line="240" w:lineRule="auto"/>
            </w:pPr>
            <w:r w:rsidRPr="003F0485">
              <w:rPr>
                <w:i/>
              </w:rPr>
              <w:t>p</w:t>
            </w:r>
            <w:r w:rsidRPr="003F0485">
              <w:t>-value</w:t>
            </w:r>
          </w:p>
        </w:tc>
        <w:tc>
          <w:tcPr>
            <w:tcW w:w="1275" w:type="dxa"/>
            <w:tcMar>
              <w:top w:w="100" w:type="dxa"/>
              <w:left w:w="100" w:type="dxa"/>
              <w:bottom w:w="100" w:type="dxa"/>
              <w:right w:w="100" w:type="dxa"/>
            </w:tcMar>
            <w:hideMark/>
          </w:tcPr>
          <w:p w14:paraId="7B2E7860" w14:textId="77777777" w:rsidR="004F28C4" w:rsidRPr="003F0485" w:rsidRDefault="004F28C4">
            <w:pPr>
              <w:widowControl w:val="0"/>
              <w:spacing w:line="240" w:lineRule="auto"/>
              <w:jc w:val="center"/>
            </w:pPr>
            <w:r w:rsidRPr="003F0485">
              <w:t>.138</w:t>
            </w:r>
          </w:p>
        </w:tc>
        <w:tc>
          <w:tcPr>
            <w:tcW w:w="1134" w:type="dxa"/>
            <w:tcMar>
              <w:top w:w="100" w:type="dxa"/>
              <w:left w:w="100" w:type="dxa"/>
              <w:bottom w:w="100" w:type="dxa"/>
              <w:right w:w="100" w:type="dxa"/>
            </w:tcMar>
            <w:hideMark/>
          </w:tcPr>
          <w:p w14:paraId="40CCE978" w14:textId="77777777" w:rsidR="004F28C4" w:rsidRPr="003F0485" w:rsidRDefault="004F28C4">
            <w:pPr>
              <w:widowControl w:val="0"/>
              <w:spacing w:line="240" w:lineRule="auto"/>
              <w:jc w:val="center"/>
            </w:pPr>
            <w:r w:rsidRPr="003F0485">
              <w:t>.029</w:t>
            </w:r>
          </w:p>
        </w:tc>
        <w:tc>
          <w:tcPr>
            <w:tcW w:w="1134" w:type="dxa"/>
            <w:tcMar>
              <w:top w:w="100" w:type="dxa"/>
              <w:left w:w="100" w:type="dxa"/>
              <w:bottom w:w="100" w:type="dxa"/>
              <w:right w:w="100" w:type="dxa"/>
            </w:tcMar>
            <w:hideMark/>
          </w:tcPr>
          <w:p w14:paraId="10257E55" w14:textId="77777777" w:rsidR="004F28C4" w:rsidRPr="003F0485" w:rsidRDefault="004F28C4">
            <w:pPr>
              <w:widowControl w:val="0"/>
              <w:spacing w:line="240" w:lineRule="auto"/>
              <w:jc w:val="center"/>
            </w:pPr>
            <w:r w:rsidRPr="003F0485">
              <w:t>.528</w:t>
            </w:r>
          </w:p>
        </w:tc>
        <w:bookmarkEnd w:id="0"/>
      </w:tr>
    </w:tbl>
    <w:p w14:paraId="426BED56" w14:textId="55957AAB" w:rsidR="0094575B" w:rsidRPr="003F0485" w:rsidRDefault="0094575B" w:rsidP="0094575B">
      <w:pPr>
        <w:pStyle w:val="Heading2"/>
      </w:pPr>
      <w:r w:rsidRPr="003F0485">
        <w:t>Potential relationships between anxiety, stress, and fear of COVID-19</w:t>
      </w:r>
    </w:p>
    <w:p w14:paraId="5D4E40D1" w14:textId="72A46D02" w:rsidR="006A1C58" w:rsidRPr="003F0485" w:rsidRDefault="004F28C4" w:rsidP="006A1C58">
      <w:pPr>
        <w:pStyle w:val="Paragraph"/>
      </w:pPr>
      <w:r w:rsidRPr="003F0485">
        <w:t>Bivariate analysis was conducted to evaluate the null hypothesis that there would be no relationships between the mean rating scores for the FCV-19S, GAD-7 and CTSQ. The null hypothesis was rejected. There were positive and significant relationships between the rating scores for the three scales. Pearson correlation coefficients revealed a medium relationship between scores in the FCV-19S and GAD-7 (r = .485, p &lt; .001), a strong relationship between scores in the FCV-19S and CTSQ (r = .506, p &lt; .001), and a strong relationship between scores in the GAD-7 and CTSQ (r = .534, p &lt; .001) (Table 8)</w:t>
      </w:r>
      <w:r w:rsidR="006A1C58" w:rsidRPr="003F0485">
        <w:t>.</w:t>
      </w:r>
    </w:p>
    <w:p w14:paraId="27F164A5" w14:textId="77777777" w:rsidR="004F28C4" w:rsidRPr="003F0485" w:rsidRDefault="004F28C4" w:rsidP="004F28C4">
      <w:pPr>
        <w:spacing w:before="240" w:after="240"/>
        <w:rPr>
          <w:i/>
        </w:rPr>
      </w:pPr>
      <w:r w:rsidRPr="003F0485">
        <w:rPr>
          <w:i/>
          <w:iCs/>
        </w:rPr>
        <w:t>Table 8. Pearson correlations among</w:t>
      </w:r>
      <w:r w:rsidRPr="003F0485">
        <w:t xml:space="preserve"> </w:t>
      </w:r>
      <w:r w:rsidRPr="003F0485">
        <w:rPr>
          <w:i/>
        </w:rPr>
        <w:t>FCV-19S, GAD-7, and CTSQ scores</w:t>
      </w:r>
    </w:p>
    <w:tbl>
      <w:tblPr>
        <w:tblW w:w="8495" w:type="dxa"/>
        <w:tblBorders>
          <w:top w:val="single" w:sz="4" w:space="0" w:color="auto"/>
          <w:bottom w:val="single" w:sz="4" w:space="0" w:color="auto"/>
        </w:tblBorders>
        <w:tblLayout w:type="fixed"/>
        <w:tblLook w:val="0600" w:firstRow="0" w:lastRow="0" w:firstColumn="0" w:lastColumn="0" w:noHBand="1" w:noVBand="1"/>
      </w:tblPr>
      <w:tblGrid>
        <w:gridCol w:w="4952"/>
        <w:gridCol w:w="1275"/>
        <w:gridCol w:w="1134"/>
        <w:gridCol w:w="1134"/>
      </w:tblGrid>
      <w:tr w:rsidR="004F28C4" w:rsidRPr="003F0485" w14:paraId="2F9C8DBE" w14:textId="77777777" w:rsidTr="004F28C4">
        <w:tc>
          <w:tcPr>
            <w:tcW w:w="4952" w:type="dxa"/>
            <w:tcBorders>
              <w:bottom w:val="single" w:sz="4" w:space="0" w:color="auto"/>
            </w:tcBorders>
            <w:tcMar>
              <w:top w:w="100" w:type="dxa"/>
              <w:left w:w="100" w:type="dxa"/>
              <w:bottom w:w="100" w:type="dxa"/>
              <w:right w:w="100" w:type="dxa"/>
            </w:tcMar>
          </w:tcPr>
          <w:p w14:paraId="39D6A2A6" w14:textId="431033E1" w:rsidR="004F28C4" w:rsidRPr="003F0485" w:rsidRDefault="00D12ABA" w:rsidP="00D12ABA">
            <w:pPr>
              <w:widowControl w:val="0"/>
              <w:spacing w:line="240" w:lineRule="auto"/>
              <w:jc w:val="center"/>
              <w:rPr>
                <w:iCs/>
              </w:rPr>
            </w:pPr>
            <w:r w:rsidRPr="003F0485">
              <w:rPr>
                <w:iCs/>
              </w:rPr>
              <w:t>Source</w:t>
            </w:r>
          </w:p>
        </w:tc>
        <w:tc>
          <w:tcPr>
            <w:tcW w:w="1275" w:type="dxa"/>
            <w:tcBorders>
              <w:bottom w:val="single" w:sz="4" w:space="0" w:color="auto"/>
            </w:tcBorders>
            <w:tcMar>
              <w:top w:w="100" w:type="dxa"/>
              <w:left w:w="100" w:type="dxa"/>
              <w:bottom w:w="100" w:type="dxa"/>
              <w:right w:w="100" w:type="dxa"/>
            </w:tcMar>
            <w:hideMark/>
          </w:tcPr>
          <w:p w14:paraId="7A2A963D" w14:textId="77777777" w:rsidR="004F28C4" w:rsidRPr="003F0485" w:rsidRDefault="004F28C4">
            <w:pPr>
              <w:widowControl w:val="0"/>
              <w:spacing w:line="240" w:lineRule="auto"/>
              <w:jc w:val="center"/>
              <w:rPr>
                <w:i/>
              </w:rPr>
            </w:pPr>
            <w:r w:rsidRPr="003F0485">
              <w:t>FCV-19S</w:t>
            </w:r>
          </w:p>
        </w:tc>
        <w:tc>
          <w:tcPr>
            <w:tcW w:w="1134" w:type="dxa"/>
            <w:tcBorders>
              <w:bottom w:val="single" w:sz="4" w:space="0" w:color="auto"/>
            </w:tcBorders>
            <w:tcMar>
              <w:top w:w="100" w:type="dxa"/>
              <w:left w:w="100" w:type="dxa"/>
              <w:bottom w:w="100" w:type="dxa"/>
              <w:right w:w="100" w:type="dxa"/>
            </w:tcMar>
            <w:hideMark/>
          </w:tcPr>
          <w:p w14:paraId="4ED29D7E" w14:textId="77777777" w:rsidR="004F28C4" w:rsidRPr="003F0485" w:rsidRDefault="004F28C4">
            <w:pPr>
              <w:widowControl w:val="0"/>
              <w:spacing w:line="240" w:lineRule="auto"/>
              <w:jc w:val="center"/>
              <w:rPr>
                <w:i/>
              </w:rPr>
            </w:pPr>
            <w:r w:rsidRPr="003F0485">
              <w:t>GAD-7</w:t>
            </w:r>
          </w:p>
        </w:tc>
        <w:tc>
          <w:tcPr>
            <w:tcW w:w="1134" w:type="dxa"/>
            <w:tcBorders>
              <w:bottom w:val="single" w:sz="4" w:space="0" w:color="auto"/>
            </w:tcBorders>
            <w:tcMar>
              <w:top w:w="100" w:type="dxa"/>
              <w:left w:w="100" w:type="dxa"/>
              <w:bottom w:w="100" w:type="dxa"/>
              <w:right w:w="100" w:type="dxa"/>
            </w:tcMar>
            <w:hideMark/>
          </w:tcPr>
          <w:p w14:paraId="00F0C404" w14:textId="77777777" w:rsidR="004F28C4" w:rsidRPr="003F0485" w:rsidRDefault="004F28C4">
            <w:pPr>
              <w:widowControl w:val="0"/>
              <w:spacing w:line="240" w:lineRule="auto"/>
              <w:jc w:val="center"/>
            </w:pPr>
            <w:r w:rsidRPr="003F0485">
              <w:t>CTSQ</w:t>
            </w:r>
          </w:p>
        </w:tc>
      </w:tr>
      <w:tr w:rsidR="004F28C4" w:rsidRPr="003F0485" w14:paraId="798F516B" w14:textId="77777777" w:rsidTr="004F28C4">
        <w:tc>
          <w:tcPr>
            <w:tcW w:w="4952" w:type="dxa"/>
            <w:tcBorders>
              <w:top w:val="single" w:sz="4" w:space="0" w:color="auto"/>
              <w:bottom w:val="single" w:sz="4" w:space="0" w:color="auto"/>
            </w:tcBorders>
            <w:tcMar>
              <w:top w:w="100" w:type="dxa"/>
              <w:left w:w="100" w:type="dxa"/>
              <w:bottom w:w="100" w:type="dxa"/>
              <w:right w:w="100" w:type="dxa"/>
            </w:tcMar>
          </w:tcPr>
          <w:p w14:paraId="4219A044" w14:textId="1179A4DC" w:rsidR="004F28C4" w:rsidRPr="003F0485" w:rsidRDefault="004F28C4">
            <w:pPr>
              <w:widowControl w:val="0"/>
              <w:spacing w:line="240" w:lineRule="auto"/>
              <w:rPr>
                <w:b/>
                <w:bCs/>
                <w:i/>
              </w:rPr>
            </w:pPr>
            <w:r w:rsidRPr="003F0485">
              <w:rPr>
                <w:b/>
                <w:bCs/>
              </w:rPr>
              <w:t>FCV-19S</w:t>
            </w:r>
          </w:p>
        </w:tc>
        <w:tc>
          <w:tcPr>
            <w:tcW w:w="1275" w:type="dxa"/>
            <w:tcBorders>
              <w:top w:val="single" w:sz="4" w:space="0" w:color="auto"/>
              <w:bottom w:val="single" w:sz="4" w:space="0" w:color="auto"/>
            </w:tcBorders>
            <w:tcMar>
              <w:top w:w="100" w:type="dxa"/>
              <w:left w:w="100" w:type="dxa"/>
              <w:bottom w:w="100" w:type="dxa"/>
              <w:right w:w="100" w:type="dxa"/>
            </w:tcMar>
          </w:tcPr>
          <w:p w14:paraId="6C2639D3" w14:textId="77777777" w:rsidR="004F28C4" w:rsidRPr="003F0485" w:rsidRDefault="004F28C4">
            <w:pPr>
              <w:widowControl w:val="0"/>
              <w:spacing w:line="240" w:lineRule="auto"/>
              <w:jc w:val="center"/>
            </w:pPr>
          </w:p>
        </w:tc>
        <w:tc>
          <w:tcPr>
            <w:tcW w:w="1134" w:type="dxa"/>
            <w:tcBorders>
              <w:top w:val="single" w:sz="4" w:space="0" w:color="auto"/>
              <w:bottom w:val="single" w:sz="4" w:space="0" w:color="auto"/>
            </w:tcBorders>
            <w:tcMar>
              <w:top w:w="100" w:type="dxa"/>
              <w:left w:w="100" w:type="dxa"/>
              <w:bottom w:w="100" w:type="dxa"/>
              <w:right w:w="100" w:type="dxa"/>
            </w:tcMar>
          </w:tcPr>
          <w:p w14:paraId="11854DCA" w14:textId="77777777" w:rsidR="004F28C4" w:rsidRPr="003F0485" w:rsidRDefault="004F28C4">
            <w:pPr>
              <w:widowControl w:val="0"/>
              <w:spacing w:line="240" w:lineRule="auto"/>
              <w:jc w:val="center"/>
            </w:pPr>
          </w:p>
        </w:tc>
        <w:tc>
          <w:tcPr>
            <w:tcW w:w="1134" w:type="dxa"/>
            <w:tcBorders>
              <w:top w:val="single" w:sz="4" w:space="0" w:color="auto"/>
              <w:bottom w:val="single" w:sz="4" w:space="0" w:color="auto"/>
            </w:tcBorders>
            <w:tcMar>
              <w:top w:w="100" w:type="dxa"/>
              <w:left w:w="100" w:type="dxa"/>
              <w:bottom w:w="100" w:type="dxa"/>
              <w:right w:w="100" w:type="dxa"/>
            </w:tcMar>
          </w:tcPr>
          <w:p w14:paraId="4205F4DB" w14:textId="77777777" w:rsidR="004F28C4" w:rsidRPr="003F0485" w:rsidRDefault="004F28C4">
            <w:pPr>
              <w:widowControl w:val="0"/>
              <w:spacing w:line="240" w:lineRule="auto"/>
              <w:jc w:val="center"/>
            </w:pPr>
          </w:p>
        </w:tc>
      </w:tr>
      <w:tr w:rsidR="004F28C4" w:rsidRPr="003F0485" w14:paraId="05F3B1FD" w14:textId="77777777" w:rsidTr="004F28C4">
        <w:tc>
          <w:tcPr>
            <w:tcW w:w="4952" w:type="dxa"/>
            <w:tcBorders>
              <w:top w:val="single" w:sz="4" w:space="0" w:color="auto"/>
            </w:tcBorders>
            <w:tcMar>
              <w:top w:w="100" w:type="dxa"/>
              <w:left w:w="100" w:type="dxa"/>
              <w:bottom w:w="100" w:type="dxa"/>
              <w:right w:w="100" w:type="dxa"/>
            </w:tcMar>
            <w:hideMark/>
          </w:tcPr>
          <w:p w14:paraId="4380448C" w14:textId="77777777" w:rsidR="004F28C4" w:rsidRPr="003F0485" w:rsidRDefault="004F28C4">
            <w:pPr>
              <w:widowControl w:val="0"/>
              <w:spacing w:line="240" w:lineRule="auto"/>
            </w:pPr>
            <w:r w:rsidRPr="003F0485">
              <w:t>Pearson correlation</w:t>
            </w:r>
          </w:p>
        </w:tc>
        <w:tc>
          <w:tcPr>
            <w:tcW w:w="1275" w:type="dxa"/>
            <w:tcBorders>
              <w:top w:val="single" w:sz="4" w:space="0" w:color="auto"/>
            </w:tcBorders>
            <w:tcMar>
              <w:top w:w="100" w:type="dxa"/>
              <w:left w:w="100" w:type="dxa"/>
              <w:bottom w:w="100" w:type="dxa"/>
              <w:right w:w="100" w:type="dxa"/>
            </w:tcMar>
            <w:hideMark/>
          </w:tcPr>
          <w:p w14:paraId="2AD27F12" w14:textId="77777777" w:rsidR="004F28C4" w:rsidRPr="003F0485" w:rsidRDefault="004F28C4">
            <w:pPr>
              <w:widowControl w:val="0"/>
              <w:spacing w:line="240" w:lineRule="auto"/>
              <w:jc w:val="center"/>
            </w:pPr>
            <w:r w:rsidRPr="003F0485">
              <w:t>1</w:t>
            </w:r>
          </w:p>
        </w:tc>
        <w:tc>
          <w:tcPr>
            <w:tcW w:w="1134" w:type="dxa"/>
            <w:tcBorders>
              <w:top w:val="single" w:sz="4" w:space="0" w:color="auto"/>
            </w:tcBorders>
            <w:tcMar>
              <w:top w:w="100" w:type="dxa"/>
              <w:left w:w="100" w:type="dxa"/>
              <w:bottom w:w="100" w:type="dxa"/>
              <w:right w:w="100" w:type="dxa"/>
            </w:tcMar>
            <w:hideMark/>
          </w:tcPr>
          <w:p w14:paraId="6861AD5A" w14:textId="77777777" w:rsidR="004F28C4" w:rsidRPr="003F0485" w:rsidRDefault="004F28C4">
            <w:pPr>
              <w:widowControl w:val="0"/>
              <w:spacing w:line="240" w:lineRule="auto"/>
              <w:jc w:val="center"/>
            </w:pPr>
            <w:r w:rsidRPr="003F0485">
              <w:t>.485</w:t>
            </w:r>
          </w:p>
        </w:tc>
        <w:tc>
          <w:tcPr>
            <w:tcW w:w="1134" w:type="dxa"/>
            <w:tcBorders>
              <w:top w:val="single" w:sz="4" w:space="0" w:color="auto"/>
            </w:tcBorders>
            <w:tcMar>
              <w:top w:w="100" w:type="dxa"/>
              <w:left w:w="100" w:type="dxa"/>
              <w:bottom w:w="100" w:type="dxa"/>
              <w:right w:w="100" w:type="dxa"/>
            </w:tcMar>
            <w:hideMark/>
          </w:tcPr>
          <w:p w14:paraId="06445168" w14:textId="77777777" w:rsidR="004F28C4" w:rsidRPr="003F0485" w:rsidRDefault="004F28C4">
            <w:pPr>
              <w:widowControl w:val="0"/>
              <w:spacing w:line="240" w:lineRule="auto"/>
              <w:jc w:val="center"/>
            </w:pPr>
            <w:r w:rsidRPr="003F0485">
              <w:t>.506</w:t>
            </w:r>
          </w:p>
        </w:tc>
      </w:tr>
      <w:tr w:rsidR="004F28C4" w:rsidRPr="003F0485" w14:paraId="25666BA1" w14:textId="77777777" w:rsidTr="004F28C4">
        <w:tc>
          <w:tcPr>
            <w:tcW w:w="4952" w:type="dxa"/>
            <w:tcBorders>
              <w:bottom w:val="single" w:sz="4" w:space="0" w:color="auto"/>
            </w:tcBorders>
            <w:tcMar>
              <w:top w:w="100" w:type="dxa"/>
              <w:left w:w="100" w:type="dxa"/>
              <w:bottom w:w="100" w:type="dxa"/>
              <w:right w:w="100" w:type="dxa"/>
            </w:tcMar>
            <w:hideMark/>
          </w:tcPr>
          <w:p w14:paraId="274DCCEE" w14:textId="77777777" w:rsidR="004F28C4" w:rsidRPr="003F0485" w:rsidRDefault="004F28C4">
            <w:pPr>
              <w:widowControl w:val="0"/>
              <w:spacing w:line="240" w:lineRule="auto"/>
            </w:pPr>
            <w:r w:rsidRPr="003F0485">
              <w:rPr>
                <w:i/>
              </w:rPr>
              <w:t>p</w:t>
            </w:r>
            <w:r w:rsidRPr="003F0485">
              <w:t>-value</w:t>
            </w:r>
          </w:p>
        </w:tc>
        <w:tc>
          <w:tcPr>
            <w:tcW w:w="1275" w:type="dxa"/>
            <w:tcBorders>
              <w:bottom w:val="single" w:sz="4" w:space="0" w:color="auto"/>
            </w:tcBorders>
            <w:tcMar>
              <w:top w:w="100" w:type="dxa"/>
              <w:left w:w="100" w:type="dxa"/>
              <w:bottom w:w="100" w:type="dxa"/>
              <w:right w:w="100" w:type="dxa"/>
            </w:tcMar>
          </w:tcPr>
          <w:p w14:paraId="6EBB7F54" w14:textId="77777777" w:rsidR="004F28C4" w:rsidRPr="003F0485" w:rsidRDefault="004F28C4">
            <w:pPr>
              <w:widowControl w:val="0"/>
              <w:spacing w:line="240" w:lineRule="auto"/>
              <w:jc w:val="center"/>
            </w:pPr>
          </w:p>
        </w:tc>
        <w:tc>
          <w:tcPr>
            <w:tcW w:w="1134" w:type="dxa"/>
            <w:tcBorders>
              <w:bottom w:val="single" w:sz="4" w:space="0" w:color="auto"/>
            </w:tcBorders>
            <w:tcMar>
              <w:top w:w="100" w:type="dxa"/>
              <w:left w:w="100" w:type="dxa"/>
              <w:bottom w:w="100" w:type="dxa"/>
              <w:right w:w="100" w:type="dxa"/>
            </w:tcMar>
            <w:hideMark/>
          </w:tcPr>
          <w:p w14:paraId="2A10B48D" w14:textId="77777777" w:rsidR="004F28C4" w:rsidRPr="003F0485" w:rsidRDefault="004F28C4">
            <w:pPr>
              <w:widowControl w:val="0"/>
              <w:spacing w:line="240" w:lineRule="auto"/>
              <w:jc w:val="center"/>
            </w:pPr>
            <w:r w:rsidRPr="003F0485">
              <w:t>.000</w:t>
            </w:r>
          </w:p>
        </w:tc>
        <w:tc>
          <w:tcPr>
            <w:tcW w:w="1134" w:type="dxa"/>
            <w:tcBorders>
              <w:bottom w:val="single" w:sz="4" w:space="0" w:color="auto"/>
            </w:tcBorders>
            <w:tcMar>
              <w:top w:w="100" w:type="dxa"/>
              <w:left w:w="100" w:type="dxa"/>
              <w:bottom w:w="100" w:type="dxa"/>
              <w:right w:w="100" w:type="dxa"/>
            </w:tcMar>
            <w:hideMark/>
          </w:tcPr>
          <w:p w14:paraId="5DEB4296" w14:textId="77777777" w:rsidR="004F28C4" w:rsidRPr="003F0485" w:rsidRDefault="004F28C4">
            <w:pPr>
              <w:widowControl w:val="0"/>
              <w:spacing w:line="240" w:lineRule="auto"/>
              <w:jc w:val="center"/>
            </w:pPr>
            <w:r w:rsidRPr="003F0485">
              <w:t>.000</w:t>
            </w:r>
          </w:p>
        </w:tc>
      </w:tr>
      <w:tr w:rsidR="004F28C4" w:rsidRPr="003F0485" w14:paraId="1D498A6D" w14:textId="77777777" w:rsidTr="004F28C4">
        <w:tc>
          <w:tcPr>
            <w:tcW w:w="4952" w:type="dxa"/>
            <w:tcBorders>
              <w:top w:val="single" w:sz="4" w:space="0" w:color="auto"/>
              <w:bottom w:val="single" w:sz="4" w:space="0" w:color="auto"/>
            </w:tcBorders>
            <w:tcMar>
              <w:top w:w="100" w:type="dxa"/>
              <w:left w:w="100" w:type="dxa"/>
              <w:bottom w:w="100" w:type="dxa"/>
              <w:right w:w="100" w:type="dxa"/>
            </w:tcMar>
          </w:tcPr>
          <w:p w14:paraId="515CB945" w14:textId="0BBFC3A3" w:rsidR="004F28C4" w:rsidRPr="003F0485" w:rsidRDefault="004F28C4">
            <w:pPr>
              <w:widowControl w:val="0"/>
              <w:spacing w:line="240" w:lineRule="auto"/>
              <w:rPr>
                <w:b/>
                <w:bCs/>
                <w:i/>
              </w:rPr>
            </w:pPr>
            <w:r w:rsidRPr="003F0485">
              <w:rPr>
                <w:b/>
                <w:bCs/>
              </w:rPr>
              <w:t>GAD-7</w:t>
            </w:r>
          </w:p>
        </w:tc>
        <w:tc>
          <w:tcPr>
            <w:tcW w:w="1275" w:type="dxa"/>
            <w:tcBorders>
              <w:top w:val="single" w:sz="4" w:space="0" w:color="auto"/>
              <w:bottom w:val="single" w:sz="4" w:space="0" w:color="auto"/>
            </w:tcBorders>
            <w:tcMar>
              <w:top w:w="100" w:type="dxa"/>
              <w:left w:w="100" w:type="dxa"/>
              <w:bottom w:w="100" w:type="dxa"/>
              <w:right w:w="100" w:type="dxa"/>
            </w:tcMar>
          </w:tcPr>
          <w:p w14:paraId="6D3C666D" w14:textId="77777777" w:rsidR="004F28C4" w:rsidRPr="003F0485" w:rsidRDefault="004F28C4">
            <w:pPr>
              <w:widowControl w:val="0"/>
              <w:spacing w:line="240" w:lineRule="auto"/>
              <w:jc w:val="center"/>
            </w:pPr>
          </w:p>
        </w:tc>
        <w:tc>
          <w:tcPr>
            <w:tcW w:w="1134" w:type="dxa"/>
            <w:tcBorders>
              <w:top w:val="single" w:sz="4" w:space="0" w:color="auto"/>
              <w:bottom w:val="single" w:sz="4" w:space="0" w:color="auto"/>
            </w:tcBorders>
            <w:tcMar>
              <w:top w:w="100" w:type="dxa"/>
              <w:left w:w="100" w:type="dxa"/>
              <w:bottom w:w="100" w:type="dxa"/>
              <w:right w:w="100" w:type="dxa"/>
            </w:tcMar>
          </w:tcPr>
          <w:p w14:paraId="4132660C" w14:textId="77777777" w:rsidR="004F28C4" w:rsidRPr="003F0485" w:rsidRDefault="004F28C4">
            <w:pPr>
              <w:widowControl w:val="0"/>
              <w:spacing w:line="240" w:lineRule="auto"/>
              <w:jc w:val="center"/>
            </w:pPr>
          </w:p>
        </w:tc>
        <w:tc>
          <w:tcPr>
            <w:tcW w:w="1134" w:type="dxa"/>
            <w:tcBorders>
              <w:top w:val="single" w:sz="4" w:space="0" w:color="auto"/>
              <w:bottom w:val="single" w:sz="4" w:space="0" w:color="auto"/>
            </w:tcBorders>
            <w:tcMar>
              <w:top w:w="100" w:type="dxa"/>
              <w:left w:w="100" w:type="dxa"/>
              <w:bottom w:w="100" w:type="dxa"/>
              <w:right w:w="100" w:type="dxa"/>
            </w:tcMar>
          </w:tcPr>
          <w:p w14:paraId="4581BD57" w14:textId="77777777" w:rsidR="004F28C4" w:rsidRPr="003F0485" w:rsidRDefault="004F28C4">
            <w:pPr>
              <w:widowControl w:val="0"/>
              <w:spacing w:line="240" w:lineRule="auto"/>
              <w:jc w:val="center"/>
            </w:pPr>
          </w:p>
        </w:tc>
      </w:tr>
      <w:tr w:rsidR="004F28C4" w:rsidRPr="003F0485" w14:paraId="5D503AF0" w14:textId="77777777" w:rsidTr="004F28C4">
        <w:tc>
          <w:tcPr>
            <w:tcW w:w="4952" w:type="dxa"/>
            <w:tcBorders>
              <w:top w:val="single" w:sz="4" w:space="0" w:color="auto"/>
            </w:tcBorders>
            <w:tcMar>
              <w:top w:w="100" w:type="dxa"/>
              <w:left w:w="100" w:type="dxa"/>
              <w:bottom w:w="100" w:type="dxa"/>
              <w:right w:w="100" w:type="dxa"/>
            </w:tcMar>
            <w:hideMark/>
          </w:tcPr>
          <w:p w14:paraId="42F389DD" w14:textId="77777777" w:rsidR="004F28C4" w:rsidRPr="003F0485" w:rsidRDefault="004F28C4">
            <w:pPr>
              <w:widowControl w:val="0"/>
              <w:spacing w:line="240" w:lineRule="auto"/>
            </w:pPr>
            <w:r w:rsidRPr="003F0485">
              <w:t>Pearson correlation</w:t>
            </w:r>
          </w:p>
        </w:tc>
        <w:tc>
          <w:tcPr>
            <w:tcW w:w="1275" w:type="dxa"/>
            <w:tcBorders>
              <w:top w:val="single" w:sz="4" w:space="0" w:color="auto"/>
            </w:tcBorders>
            <w:tcMar>
              <w:top w:w="100" w:type="dxa"/>
              <w:left w:w="100" w:type="dxa"/>
              <w:bottom w:w="100" w:type="dxa"/>
              <w:right w:w="100" w:type="dxa"/>
            </w:tcMar>
            <w:hideMark/>
          </w:tcPr>
          <w:p w14:paraId="13FCAA8C" w14:textId="77777777" w:rsidR="004F28C4" w:rsidRPr="003F0485" w:rsidRDefault="004F28C4">
            <w:pPr>
              <w:widowControl w:val="0"/>
              <w:spacing w:line="240" w:lineRule="auto"/>
              <w:jc w:val="center"/>
            </w:pPr>
            <w:r w:rsidRPr="003F0485">
              <w:t>.485</w:t>
            </w:r>
          </w:p>
        </w:tc>
        <w:tc>
          <w:tcPr>
            <w:tcW w:w="1134" w:type="dxa"/>
            <w:tcBorders>
              <w:top w:val="single" w:sz="4" w:space="0" w:color="auto"/>
            </w:tcBorders>
            <w:tcMar>
              <w:top w:w="100" w:type="dxa"/>
              <w:left w:w="100" w:type="dxa"/>
              <w:bottom w:w="100" w:type="dxa"/>
              <w:right w:w="100" w:type="dxa"/>
            </w:tcMar>
            <w:hideMark/>
          </w:tcPr>
          <w:p w14:paraId="5F27665E" w14:textId="77777777" w:rsidR="004F28C4" w:rsidRPr="003F0485" w:rsidRDefault="004F28C4">
            <w:pPr>
              <w:widowControl w:val="0"/>
              <w:spacing w:line="240" w:lineRule="auto"/>
              <w:jc w:val="center"/>
            </w:pPr>
            <w:r w:rsidRPr="003F0485">
              <w:t>1</w:t>
            </w:r>
          </w:p>
        </w:tc>
        <w:tc>
          <w:tcPr>
            <w:tcW w:w="1134" w:type="dxa"/>
            <w:tcBorders>
              <w:top w:val="single" w:sz="4" w:space="0" w:color="auto"/>
            </w:tcBorders>
            <w:tcMar>
              <w:top w:w="100" w:type="dxa"/>
              <w:left w:w="100" w:type="dxa"/>
              <w:bottom w:w="100" w:type="dxa"/>
              <w:right w:w="100" w:type="dxa"/>
            </w:tcMar>
            <w:hideMark/>
          </w:tcPr>
          <w:p w14:paraId="058F161E" w14:textId="77777777" w:rsidR="004F28C4" w:rsidRPr="003F0485" w:rsidRDefault="004F28C4">
            <w:pPr>
              <w:widowControl w:val="0"/>
              <w:spacing w:line="240" w:lineRule="auto"/>
              <w:jc w:val="center"/>
            </w:pPr>
            <w:r w:rsidRPr="003F0485">
              <w:t>.534</w:t>
            </w:r>
          </w:p>
        </w:tc>
      </w:tr>
      <w:tr w:rsidR="004F28C4" w:rsidRPr="003F0485" w14:paraId="5FB8EFA4" w14:textId="77777777" w:rsidTr="004F28C4">
        <w:tc>
          <w:tcPr>
            <w:tcW w:w="4952" w:type="dxa"/>
            <w:tcBorders>
              <w:bottom w:val="single" w:sz="4" w:space="0" w:color="auto"/>
            </w:tcBorders>
            <w:tcMar>
              <w:top w:w="100" w:type="dxa"/>
              <w:left w:w="100" w:type="dxa"/>
              <w:bottom w:w="100" w:type="dxa"/>
              <w:right w:w="100" w:type="dxa"/>
            </w:tcMar>
            <w:hideMark/>
          </w:tcPr>
          <w:p w14:paraId="01E9BAD6" w14:textId="77777777" w:rsidR="004F28C4" w:rsidRPr="003F0485" w:rsidRDefault="004F28C4">
            <w:pPr>
              <w:widowControl w:val="0"/>
              <w:spacing w:line="240" w:lineRule="auto"/>
            </w:pPr>
            <w:r w:rsidRPr="003F0485">
              <w:rPr>
                <w:i/>
              </w:rPr>
              <w:t>p</w:t>
            </w:r>
            <w:r w:rsidRPr="003F0485">
              <w:t>-value</w:t>
            </w:r>
          </w:p>
        </w:tc>
        <w:tc>
          <w:tcPr>
            <w:tcW w:w="1275" w:type="dxa"/>
            <w:tcBorders>
              <w:bottom w:val="single" w:sz="4" w:space="0" w:color="auto"/>
            </w:tcBorders>
            <w:tcMar>
              <w:top w:w="100" w:type="dxa"/>
              <w:left w:w="100" w:type="dxa"/>
              <w:bottom w:w="100" w:type="dxa"/>
              <w:right w:w="100" w:type="dxa"/>
            </w:tcMar>
            <w:hideMark/>
          </w:tcPr>
          <w:p w14:paraId="7EB15A10" w14:textId="77777777" w:rsidR="004F28C4" w:rsidRPr="003F0485" w:rsidRDefault="004F28C4">
            <w:pPr>
              <w:widowControl w:val="0"/>
              <w:spacing w:line="240" w:lineRule="auto"/>
              <w:jc w:val="center"/>
            </w:pPr>
            <w:r w:rsidRPr="003F0485">
              <w:t>.000</w:t>
            </w:r>
          </w:p>
        </w:tc>
        <w:tc>
          <w:tcPr>
            <w:tcW w:w="1134" w:type="dxa"/>
            <w:tcBorders>
              <w:bottom w:val="single" w:sz="4" w:space="0" w:color="auto"/>
            </w:tcBorders>
            <w:tcMar>
              <w:top w:w="100" w:type="dxa"/>
              <w:left w:w="100" w:type="dxa"/>
              <w:bottom w:w="100" w:type="dxa"/>
              <w:right w:w="100" w:type="dxa"/>
            </w:tcMar>
          </w:tcPr>
          <w:p w14:paraId="74D90C1A" w14:textId="77777777" w:rsidR="004F28C4" w:rsidRPr="003F0485" w:rsidRDefault="004F28C4">
            <w:pPr>
              <w:widowControl w:val="0"/>
              <w:spacing w:line="240" w:lineRule="auto"/>
              <w:jc w:val="center"/>
            </w:pPr>
          </w:p>
        </w:tc>
        <w:tc>
          <w:tcPr>
            <w:tcW w:w="1134" w:type="dxa"/>
            <w:tcBorders>
              <w:bottom w:val="single" w:sz="4" w:space="0" w:color="auto"/>
            </w:tcBorders>
            <w:tcMar>
              <w:top w:w="100" w:type="dxa"/>
              <w:left w:w="100" w:type="dxa"/>
              <w:bottom w:w="100" w:type="dxa"/>
              <w:right w:w="100" w:type="dxa"/>
            </w:tcMar>
            <w:hideMark/>
          </w:tcPr>
          <w:p w14:paraId="45B22EC4" w14:textId="77777777" w:rsidR="004F28C4" w:rsidRPr="003F0485" w:rsidRDefault="004F28C4">
            <w:pPr>
              <w:widowControl w:val="0"/>
              <w:spacing w:line="240" w:lineRule="auto"/>
              <w:jc w:val="center"/>
            </w:pPr>
            <w:r w:rsidRPr="003F0485">
              <w:t>.000</w:t>
            </w:r>
          </w:p>
        </w:tc>
      </w:tr>
      <w:tr w:rsidR="004F28C4" w:rsidRPr="003F0485" w14:paraId="07459F23" w14:textId="77777777" w:rsidTr="004F28C4">
        <w:tc>
          <w:tcPr>
            <w:tcW w:w="4952" w:type="dxa"/>
            <w:tcBorders>
              <w:top w:val="single" w:sz="4" w:space="0" w:color="auto"/>
              <w:bottom w:val="single" w:sz="4" w:space="0" w:color="auto"/>
            </w:tcBorders>
            <w:tcMar>
              <w:top w:w="100" w:type="dxa"/>
              <w:left w:w="100" w:type="dxa"/>
              <w:bottom w:w="100" w:type="dxa"/>
              <w:right w:w="100" w:type="dxa"/>
            </w:tcMar>
          </w:tcPr>
          <w:p w14:paraId="483FAA9A" w14:textId="7FB94697" w:rsidR="004F28C4" w:rsidRPr="003F0485" w:rsidRDefault="004F28C4">
            <w:pPr>
              <w:widowControl w:val="0"/>
              <w:spacing w:line="240" w:lineRule="auto"/>
              <w:rPr>
                <w:b/>
                <w:bCs/>
                <w:i/>
              </w:rPr>
            </w:pPr>
            <w:r w:rsidRPr="003F0485">
              <w:rPr>
                <w:b/>
                <w:bCs/>
              </w:rPr>
              <w:t>CTSQ</w:t>
            </w:r>
          </w:p>
        </w:tc>
        <w:tc>
          <w:tcPr>
            <w:tcW w:w="1275" w:type="dxa"/>
            <w:tcBorders>
              <w:top w:val="single" w:sz="4" w:space="0" w:color="auto"/>
              <w:bottom w:val="single" w:sz="4" w:space="0" w:color="auto"/>
            </w:tcBorders>
            <w:tcMar>
              <w:top w:w="100" w:type="dxa"/>
              <w:left w:w="100" w:type="dxa"/>
              <w:bottom w:w="100" w:type="dxa"/>
              <w:right w:w="100" w:type="dxa"/>
            </w:tcMar>
          </w:tcPr>
          <w:p w14:paraId="4D80C045" w14:textId="77777777" w:rsidR="004F28C4" w:rsidRPr="003F0485" w:rsidRDefault="004F28C4">
            <w:pPr>
              <w:widowControl w:val="0"/>
              <w:spacing w:line="240" w:lineRule="auto"/>
              <w:jc w:val="center"/>
            </w:pPr>
          </w:p>
        </w:tc>
        <w:tc>
          <w:tcPr>
            <w:tcW w:w="1134" w:type="dxa"/>
            <w:tcBorders>
              <w:top w:val="single" w:sz="4" w:space="0" w:color="auto"/>
              <w:bottom w:val="single" w:sz="4" w:space="0" w:color="auto"/>
            </w:tcBorders>
            <w:tcMar>
              <w:top w:w="100" w:type="dxa"/>
              <w:left w:w="100" w:type="dxa"/>
              <w:bottom w:w="100" w:type="dxa"/>
              <w:right w:w="100" w:type="dxa"/>
            </w:tcMar>
          </w:tcPr>
          <w:p w14:paraId="5F5CE73D" w14:textId="77777777" w:rsidR="004F28C4" w:rsidRPr="003F0485" w:rsidRDefault="004F28C4">
            <w:pPr>
              <w:widowControl w:val="0"/>
              <w:spacing w:line="240" w:lineRule="auto"/>
              <w:jc w:val="center"/>
            </w:pPr>
          </w:p>
        </w:tc>
        <w:tc>
          <w:tcPr>
            <w:tcW w:w="1134" w:type="dxa"/>
            <w:tcBorders>
              <w:top w:val="single" w:sz="4" w:space="0" w:color="auto"/>
              <w:bottom w:val="single" w:sz="4" w:space="0" w:color="auto"/>
            </w:tcBorders>
            <w:tcMar>
              <w:top w:w="100" w:type="dxa"/>
              <w:left w:w="100" w:type="dxa"/>
              <w:bottom w:w="100" w:type="dxa"/>
              <w:right w:w="100" w:type="dxa"/>
            </w:tcMar>
          </w:tcPr>
          <w:p w14:paraId="0A1FF6A4" w14:textId="77777777" w:rsidR="004F28C4" w:rsidRPr="003F0485" w:rsidRDefault="004F28C4">
            <w:pPr>
              <w:widowControl w:val="0"/>
              <w:spacing w:line="240" w:lineRule="auto"/>
              <w:jc w:val="center"/>
            </w:pPr>
          </w:p>
        </w:tc>
      </w:tr>
      <w:tr w:rsidR="004F28C4" w:rsidRPr="003F0485" w14:paraId="1478518F" w14:textId="77777777" w:rsidTr="004F28C4">
        <w:tc>
          <w:tcPr>
            <w:tcW w:w="4952" w:type="dxa"/>
            <w:tcBorders>
              <w:top w:val="single" w:sz="4" w:space="0" w:color="auto"/>
            </w:tcBorders>
            <w:tcMar>
              <w:top w:w="100" w:type="dxa"/>
              <w:left w:w="100" w:type="dxa"/>
              <w:bottom w:w="100" w:type="dxa"/>
              <w:right w:w="100" w:type="dxa"/>
            </w:tcMar>
            <w:hideMark/>
          </w:tcPr>
          <w:p w14:paraId="08EBAAA4" w14:textId="77777777" w:rsidR="004F28C4" w:rsidRPr="003F0485" w:rsidRDefault="004F28C4">
            <w:pPr>
              <w:widowControl w:val="0"/>
              <w:spacing w:line="240" w:lineRule="auto"/>
            </w:pPr>
            <w:r w:rsidRPr="003F0485">
              <w:t>Pearson correlation</w:t>
            </w:r>
          </w:p>
        </w:tc>
        <w:tc>
          <w:tcPr>
            <w:tcW w:w="1275" w:type="dxa"/>
            <w:tcBorders>
              <w:top w:val="single" w:sz="4" w:space="0" w:color="auto"/>
            </w:tcBorders>
            <w:tcMar>
              <w:top w:w="100" w:type="dxa"/>
              <w:left w:w="100" w:type="dxa"/>
              <w:bottom w:w="100" w:type="dxa"/>
              <w:right w:w="100" w:type="dxa"/>
            </w:tcMar>
            <w:hideMark/>
          </w:tcPr>
          <w:p w14:paraId="53FE0070" w14:textId="77777777" w:rsidR="004F28C4" w:rsidRPr="003F0485" w:rsidRDefault="004F28C4">
            <w:pPr>
              <w:widowControl w:val="0"/>
              <w:spacing w:line="240" w:lineRule="auto"/>
              <w:jc w:val="center"/>
            </w:pPr>
            <w:r w:rsidRPr="003F0485">
              <w:t>.506</w:t>
            </w:r>
          </w:p>
        </w:tc>
        <w:tc>
          <w:tcPr>
            <w:tcW w:w="1134" w:type="dxa"/>
            <w:tcBorders>
              <w:top w:val="single" w:sz="4" w:space="0" w:color="auto"/>
            </w:tcBorders>
            <w:tcMar>
              <w:top w:w="100" w:type="dxa"/>
              <w:left w:w="100" w:type="dxa"/>
              <w:bottom w:w="100" w:type="dxa"/>
              <w:right w:w="100" w:type="dxa"/>
            </w:tcMar>
            <w:hideMark/>
          </w:tcPr>
          <w:p w14:paraId="52639EA1" w14:textId="77777777" w:rsidR="004F28C4" w:rsidRPr="003F0485" w:rsidRDefault="004F28C4">
            <w:pPr>
              <w:widowControl w:val="0"/>
              <w:spacing w:line="240" w:lineRule="auto"/>
              <w:jc w:val="center"/>
            </w:pPr>
            <w:r w:rsidRPr="003F0485">
              <w:t>.534</w:t>
            </w:r>
          </w:p>
        </w:tc>
        <w:tc>
          <w:tcPr>
            <w:tcW w:w="1134" w:type="dxa"/>
            <w:tcBorders>
              <w:top w:val="single" w:sz="4" w:space="0" w:color="auto"/>
            </w:tcBorders>
            <w:tcMar>
              <w:top w:w="100" w:type="dxa"/>
              <w:left w:w="100" w:type="dxa"/>
              <w:bottom w:w="100" w:type="dxa"/>
              <w:right w:w="100" w:type="dxa"/>
            </w:tcMar>
            <w:hideMark/>
          </w:tcPr>
          <w:p w14:paraId="52C96D70" w14:textId="77777777" w:rsidR="004F28C4" w:rsidRPr="003F0485" w:rsidRDefault="004F28C4">
            <w:pPr>
              <w:widowControl w:val="0"/>
              <w:spacing w:line="240" w:lineRule="auto"/>
              <w:jc w:val="center"/>
            </w:pPr>
            <w:r w:rsidRPr="003F0485">
              <w:t>1</w:t>
            </w:r>
          </w:p>
        </w:tc>
      </w:tr>
      <w:tr w:rsidR="004F28C4" w:rsidRPr="003F0485" w14:paraId="36E635D7" w14:textId="77777777" w:rsidTr="004F28C4">
        <w:tc>
          <w:tcPr>
            <w:tcW w:w="4952" w:type="dxa"/>
            <w:tcMar>
              <w:top w:w="100" w:type="dxa"/>
              <w:left w:w="100" w:type="dxa"/>
              <w:bottom w:w="100" w:type="dxa"/>
              <w:right w:w="100" w:type="dxa"/>
            </w:tcMar>
            <w:hideMark/>
          </w:tcPr>
          <w:p w14:paraId="5DC490B9" w14:textId="77777777" w:rsidR="004F28C4" w:rsidRPr="003F0485" w:rsidRDefault="004F28C4">
            <w:pPr>
              <w:widowControl w:val="0"/>
              <w:spacing w:line="240" w:lineRule="auto"/>
            </w:pPr>
            <w:r w:rsidRPr="003F0485">
              <w:rPr>
                <w:i/>
              </w:rPr>
              <w:t>p</w:t>
            </w:r>
            <w:r w:rsidRPr="003F0485">
              <w:t>-value</w:t>
            </w:r>
          </w:p>
        </w:tc>
        <w:tc>
          <w:tcPr>
            <w:tcW w:w="1275" w:type="dxa"/>
            <w:tcMar>
              <w:top w:w="100" w:type="dxa"/>
              <w:left w:w="100" w:type="dxa"/>
              <w:bottom w:w="100" w:type="dxa"/>
              <w:right w:w="100" w:type="dxa"/>
            </w:tcMar>
            <w:hideMark/>
          </w:tcPr>
          <w:p w14:paraId="58F0F8D9" w14:textId="77777777" w:rsidR="004F28C4" w:rsidRPr="003F0485" w:rsidRDefault="004F28C4">
            <w:pPr>
              <w:widowControl w:val="0"/>
              <w:spacing w:line="240" w:lineRule="auto"/>
              <w:jc w:val="center"/>
            </w:pPr>
            <w:r w:rsidRPr="003F0485">
              <w:t>.000</w:t>
            </w:r>
          </w:p>
        </w:tc>
        <w:tc>
          <w:tcPr>
            <w:tcW w:w="1134" w:type="dxa"/>
            <w:tcMar>
              <w:top w:w="100" w:type="dxa"/>
              <w:left w:w="100" w:type="dxa"/>
              <w:bottom w:w="100" w:type="dxa"/>
              <w:right w:w="100" w:type="dxa"/>
            </w:tcMar>
            <w:hideMark/>
          </w:tcPr>
          <w:p w14:paraId="2F878F66" w14:textId="77777777" w:rsidR="004F28C4" w:rsidRPr="003F0485" w:rsidRDefault="004F28C4">
            <w:pPr>
              <w:widowControl w:val="0"/>
              <w:spacing w:line="240" w:lineRule="auto"/>
              <w:jc w:val="center"/>
            </w:pPr>
            <w:r w:rsidRPr="003F0485">
              <w:t>.000</w:t>
            </w:r>
          </w:p>
        </w:tc>
        <w:tc>
          <w:tcPr>
            <w:tcW w:w="1134" w:type="dxa"/>
            <w:tcMar>
              <w:top w:w="100" w:type="dxa"/>
              <w:left w:w="100" w:type="dxa"/>
              <w:bottom w:w="100" w:type="dxa"/>
              <w:right w:w="100" w:type="dxa"/>
            </w:tcMar>
          </w:tcPr>
          <w:p w14:paraId="7E950B7A" w14:textId="77777777" w:rsidR="004F28C4" w:rsidRPr="003F0485" w:rsidRDefault="004F28C4">
            <w:pPr>
              <w:widowControl w:val="0"/>
              <w:spacing w:line="240" w:lineRule="auto"/>
              <w:jc w:val="center"/>
            </w:pPr>
          </w:p>
        </w:tc>
      </w:tr>
    </w:tbl>
    <w:p w14:paraId="102369BB" w14:textId="27232C8F" w:rsidR="00D12ABA" w:rsidRPr="003F0485" w:rsidRDefault="00D12ABA" w:rsidP="00D12ABA">
      <w:pPr>
        <w:pStyle w:val="Heading2"/>
      </w:pPr>
      <w:r w:rsidRPr="003F0485">
        <w:t>Sources of fear and anxiety</w:t>
      </w:r>
    </w:p>
    <w:p w14:paraId="0E1B096B" w14:textId="74F1183C" w:rsidR="00D12ABA" w:rsidRPr="003F0485" w:rsidRDefault="00D12ABA" w:rsidP="00D12ABA">
      <w:pPr>
        <w:pStyle w:val="Paragraph"/>
      </w:pPr>
      <w:r w:rsidRPr="003F0485">
        <w:t xml:space="preserve">The participants revealed several sources of fear and anxiety during the pandemic. One was the sudden increase in feedback from parents, as teaching resources had been made </w:t>
      </w:r>
      <w:r w:rsidRPr="003F0485">
        <w:lastRenderedPageBreak/>
        <w:t>available online to parents as well as students.</w:t>
      </w:r>
    </w:p>
    <w:p w14:paraId="3463BDCF" w14:textId="77777777" w:rsidR="00D12ABA" w:rsidRPr="003F0485" w:rsidRDefault="00D12ABA" w:rsidP="00D12ABA">
      <w:pPr>
        <w:pStyle w:val="Displayedquotation"/>
      </w:pPr>
      <w:r w:rsidRPr="003F0485">
        <w:t>It is a lot easier now for parents to observe and provide feedback, either positive or negative. They talk to the teachers or even the school as soon as they are unhappy about anything that they see in the online teaching resources. Sometimes they compare online teaching practices between schools and request changes. (Teacher A)</w:t>
      </w:r>
    </w:p>
    <w:p w14:paraId="71756DF6" w14:textId="77777777" w:rsidR="00D12ABA" w:rsidRPr="003F0485" w:rsidRDefault="00D12ABA" w:rsidP="00D12ABA">
      <w:pPr>
        <w:pStyle w:val="Displayedquotation"/>
      </w:pPr>
      <w:r w:rsidRPr="003F0485">
        <w:t>(Synchronised) online teaching involves not only students but also their parents. Sometimes parents directly challenge us through the teleconferencing platform. (Teacher B)</w:t>
      </w:r>
    </w:p>
    <w:p w14:paraId="0D10DC4D" w14:textId="627C2C5F" w:rsidR="00D12ABA" w:rsidRPr="003F0485" w:rsidRDefault="00D12ABA" w:rsidP="00D12ABA">
      <w:pPr>
        <w:pStyle w:val="Newparagraph"/>
      </w:pPr>
      <w:r w:rsidRPr="003F0485">
        <w:t xml:space="preserve">Another major source of fear and anxiety was the integration of technology to music teaching and learning. The participants in this study admitted that they were technologically and mentally unprepared to adapt to the digital transformation of music teaching, which left them unsure about their teaching performance. </w:t>
      </w:r>
    </w:p>
    <w:p w14:paraId="298894E0" w14:textId="77777777" w:rsidR="00D12ABA" w:rsidRPr="003F0485" w:rsidRDefault="00D12ABA" w:rsidP="00D12ABA">
      <w:pPr>
        <w:pStyle w:val="Displayedquotation"/>
      </w:pPr>
      <w:r w:rsidRPr="003F0485">
        <w:t>I am not familiar with those online teaching technologies and still often click on the wrong buttons. It makes me feel unready to teach the lesson, even though everything else has been prepared. (Teacher C)</w:t>
      </w:r>
    </w:p>
    <w:p w14:paraId="77C41DAD" w14:textId="77777777" w:rsidR="00D12ABA" w:rsidRPr="003F0485" w:rsidRDefault="00D12ABA" w:rsidP="00D12ABA">
      <w:pPr>
        <w:pStyle w:val="Displayedquotation"/>
      </w:pPr>
      <w:r w:rsidRPr="003F0485">
        <w:t>It has been more difficult than I expected to adopt online teaching for music. (Teacher D)</w:t>
      </w:r>
    </w:p>
    <w:p w14:paraId="1EF6906C" w14:textId="5B854436" w:rsidR="00D12ABA" w:rsidRPr="003F0485" w:rsidRDefault="00D12ABA" w:rsidP="00D12ABA">
      <w:pPr>
        <w:pStyle w:val="Newparagraph"/>
      </w:pPr>
      <w:r w:rsidRPr="003F0485">
        <w:t xml:space="preserve">The participants also felt incapable of offering help to students and their families who struggled to meet the minimum requirements for online learning, owing to insufficient technology and Internet access. </w:t>
      </w:r>
    </w:p>
    <w:p w14:paraId="0CAEB921" w14:textId="77777777" w:rsidR="00D12ABA" w:rsidRPr="003F0485" w:rsidRDefault="00D12ABA" w:rsidP="00D12ABA">
      <w:pPr>
        <w:pStyle w:val="Displayedquotation"/>
      </w:pPr>
      <w:r w:rsidRPr="003F0485">
        <w:t>Cross-boundary students do not have stable Internet access in mainland China. Even if that could be secured, they are also restricted by the use of learning platforms and resources because of Internet censorship in China. (Teacher A)</w:t>
      </w:r>
    </w:p>
    <w:p w14:paraId="0C2E1D5C" w14:textId="1541B422" w:rsidR="00D12ABA" w:rsidRPr="003F0485" w:rsidRDefault="00D12ABA" w:rsidP="00D12ABA">
      <w:pPr>
        <w:pStyle w:val="Newparagraph"/>
      </w:pPr>
      <w:r w:rsidRPr="003F0485">
        <w:t xml:space="preserve">Although the implementation of music activities such as ensemble practice and instrumental lessons in this unfavourable online environment was unavoidable, the ineffectiveness of the music teaching and learning led to frustration and depression </w:t>
      </w:r>
      <w:r w:rsidRPr="003F0485">
        <w:lastRenderedPageBreak/>
        <w:t xml:space="preserve">among the participants. Some teachers blamed themselves for being unable to keeping up with the demands of teaching. </w:t>
      </w:r>
    </w:p>
    <w:p w14:paraId="1200980C" w14:textId="77777777" w:rsidR="00D12ABA" w:rsidRPr="003F0485" w:rsidRDefault="00D12ABA" w:rsidP="00D12ABA">
      <w:pPr>
        <w:pStyle w:val="Displayedquotation"/>
      </w:pPr>
      <w:r w:rsidRPr="003F0485">
        <w:t>The school management required us to provide extracurricular activities for students’ music learning. We all want to see that happen, although everyone knows that it will not be effective to teach musical instruments or conduct choral practice online. Students realise this too, which is reflected in their devotion and participation. (Teacher E)</w:t>
      </w:r>
    </w:p>
    <w:p w14:paraId="71F0E9A7" w14:textId="0DFC88BB" w:rsidR="00D12ABA" w:rsidRPr="003F0485" w:rsidRDefault="00D12ABA" w:rsidP="00D12ABA">
      <w:pPr>
        <w:pStyle w:val="Heading2"/>
      </w:pPr>
      <w:r w:rsidRPr="003F0485">
        <w:t>Ecological factors</w:t>
      </w:r>
    </w:p>
    <w:p w14:paraId="4240A2CE" w14:textId="273A56C2" w:rsidR="00D12ABA" w:rsidRPr="003F0485" w:rsidRDefault="00D12ABA" w:rsidP="00D12ABA">
      <w:pPr>
        <w:pStyle w:val="Paragraph"/>
      </w:pPr>
      <w:r w:rsidRPr="003F0485">
        <w:t>In addition to sources of fear and anxiety within the context of classroom music teaching and learning, ecological factors associated with other stakeholders in music education contributed to the music teachers’ stress. These included the continuation of public examinations and benchmarking exercises, governmental bureaucracy, and insensitive educational policies.</w:t>
      </w:r>
    </w:p>
    <w:p w14:paraId="04907111" w14:textId="77777777" w:rsidR="00D12ABA" w:rsidRPr="003F0485" w:rsidRDefault="00D12ABA" w:rsidP="00D12ABA">
      <w:pPr>
        <w:pStyle w:val="Displayedquotation"/>
      </w:pPr>
      <w:r w:rsidRPr="003F0485">
        <w:t>One of the major challenges of music education in Hong Kong is keeping up with covering everything included in the curriculum. Although there have been no hints as to when face-to-face teaching will be resumed, we have had to assume that benchmarking activities will happen. The only thing we can do is always prepare students to be ready for the examinations. (Teacher F)</w:t>
      </w:r>
    </w:p>
    <w:p w14:paraId="344E4875" w14:textId="77777777" w:rsidR="00D12ABA" w:rsidRPr="003F0485" w:rsidRDefault="00D12ABA" w:rsidP="00D12ABA">
      <w:pPr>
        <w:pStyle w:val="Displayedquotation"/>
      </w:pPr>
      <w:r w:rsidRPr="003F0485">
        <w:t>The government is too naïve in thinking that making everything go online will solve all the problems. No, it cannot. Online teaching cannot replace face-to-face teaching, especially for music. (Teacher B)</w:t>
      </w:r>
    </w:p>
    <w:p w14:paraId="3A3E7B95" w14:textId="77777777" w:rsidR="00D12ABA" w:rsidRPr="003F0485" w:rsidRDefault="00D12ABA" w:rsidP="00D12ABA">
      <w:pPr>
        <w:pStyle w:val="Displayedquotation"/>
      </w:pPr>
      <w:r w:rsidRPr="003F0485">
        <w:t>Although there is no centralised policy on what should be done in relation to online teaching, parents compare the school policy with others anyway. Then they start to complain about why some practices at other schools are not happening at our school. (Teacher G)</w:t>
      </w:r>
    </w:p>
    <w:p w14:paraId="7248F75F" w14:textId="020E1E6F" w:rsidR="00D12ABA" w:rsidRPr="003F0485" w:rsidRDefault="00D12ABA" w:rsidP="00D12ABA">
      <w:pPr>
        <w:pStyle w:val="Heading2"/>
      </w:pPr>
      <w:r w:rsidRPr="003F0485">
        <w:t>Digital transformation of music education</w:t>
      </w:r>
    </w:p>
    <w:p w14:paraId="7446ECD9" w14:textId="7722EE4A" w:rsidR="00D12ABA" w:rsidRPr="003F0485" w:rsidRDefault="00D12ABA" w:rsidP="00D12ABA">
      <w:pPr>
        <w:pStyle w:val="Paragraph"/>
      </w:pPr>
      <w:r w:rsidRPr="003F0485">
        <w:t>The participants described the pandemic as a catalyst of digital transformation in music education and the teacher’s role.</w:t>
      </w:r>
    </w:p>
    <w:p w14:paraId="65CA6178" w14:textId="77777777" w:rsidR="00D12ABA" w:rsidRPr="003F0485" w:rsidRDefault="00D12ABA" w:rsidP="00D12ABA">
      <w:pPr>
        <w:pStyle w:val="Displayedquotation"/>
      </w:pPr>
      <w:r w:rsidRPr="003F0485">
        <w:lastRenderedPageBreak/>
        <w:t>My school has been implementing an e-learning policy for a few years and making a very small part of the teaching content digitally available online for students to learn by themselves. It has been slow because everyone was busy and reluctant to do so, but now everyone has been forced to learn and implement e-learning within a very short period. (Teacher D)</w:t>
      </w:r>
    </w:p>
    <w:p w14:paraId="200A229F" w14:textId="77777777" w:rsidR="00D12ABA" w:rsidRPr="003F0485" w:rsidRDefault="00D12ABA" w:rsidP="00D12ABA">
      <w:pPr>
        <w:pStyle w:val="Displayedquotation"/>
      </w:pPr>
      <w:r w:rsidRPr="003F0485">
        <w:t>Kids, at the age of ten, can handle online learning already. They can look for resources by themselves on the Internet. This affects the role of music teachers, who may no longer need to spoon-feed their students and perhaps need to prepare for the role of learning facilitator. (Teacher H)</w:t>
      </w:r>
    </w:p>
    <w:p w14:paraId="64935168" w14:textId="5FBF667B" w:rsidR="00D12ABA" w:rsidRPr="003F0485" w:rsidRDefault="00D12ABA" w:rsidP="00D12ABA">
      <w:pPr>
        <w:pStyle w:val="Newparagraph"/>
      </w:pPr>
      <w:r w:rsidRPr="003F0485">
        <w:t xml:space="preserve">Under the new normal of online learning and the continuously changing teaching conditions, music teachers must be very flexible and technologically prepared for sudden changes in relation with their teaching duties. For example, one participant learned to adopt a hybrid mode of teaching to allow non-local students to study with those physically present in the classroom. </w:t>
      </w:r>
    </w:p>
    <w:p w14:paraId="2864D2BD" w14:textId="77777777" w:rsidR="00D12ABA" w:rsidRPr="003F0485" w:rsidRDefault="00D12ABA" w:rsidP="00D12ABA">
      <w:pPr>
        <w:pStyle w:val="Displayedquotation"/>
      </w:pPr>
      <w:r w:rsidRPr="003F0485">
        <w:t>The school reopening in September was sudden, but cross-boundary students were not ready because of quarantine measures. To avoid repeating the lessons with these two types of students, I had to organise live streaming to make it possible for cross-boundary students to attend the lessons virtually. (Teacher C)</w:t>
      </w:r>
    </w:p>
    <w:p w14:paraId="6554F1C5" w14:textId="244F4677" w:rsidR="00D12ABA" w:rsidRPr="003F0485" w:rsidRDefault="00D12ABA" w:rsidP="00D12ABA">
      <w:pPr>
        <w:pStyle w:val="Newparagraph"/>
      </w:pPr>
      <w:r w:rsidRPr="003F0485">
        <w:t xml:space="preserve">The music teachers were also involved in educating their students’ parents. The participants revealed that parents were obliged to seek help from teachers regarding technological and pedagogical issues aspects of their children’s home-schooling experience. </w:t>
      </w:r>
    </w:p>
    <w:p w14:paraId="238512CD" w14:textId="77777777" w:rsidR="00D12ABA" w:rsidRPr="003F0485" w:rsidRDefault="00D12ABA" w:rsidP="00D12ABA">
      <w:pPr>
        <w:pStyle w:val="Displayedquotation"/>
      </w:pPr>
      <w:r w:rsidRPr="003F0485">
        <w:t>In the very early phase, I had to instruct the parents step by step on how to use the telecommunication and e-learning platforms for synchronous learning and homework submission. (Teacher H).</w:t>
      </w:r>
    </w:p>
    <w:p w14:paraId="00B7423D" w14:textId="0E0590D0" w:rsidR="00D12ABA" w:rsidRPr="003F0485" w:rsidRDefault="00D12ABA" w:rsidP="00D12ABA">
      <w:pPr>
        <w:pStyle w:val="Newparagraph"/>
      </w:pPr>
      <w:r w:rsidRPr="003F0485">
        <w:t xml:space="preserve">The participants also mentioned the collaboration and mutual support among teachers has enabled the sharing of good practices, concerns and ideas about how to become better music teachers within the digital transformation process. </w:t>
      </w:r>
    </w:p>
    <w:p w14:paraId="644F767D" w14:textId="77777777" w:rsidR="00D12ABA" w:rsidRPr="003F0485" w:rsidRDefault="00D12ABA" w:rsidP="00D12ABA">
      <w:pPr>
        <w:pStyle w:val="Displayedquotation"/>
      </w:pPr>
      <w:r w:rsidRPr="003F0485">
        <w:lastRenderedPageBreak/>
        <w:t>Online classes present a few unique challenges, from managing remote students’ participation to making an effort to maintain the privacy of students’ interactions. No-one has any experience regarding these issues, so colleagues have had to share with each other their approaches, and together, we have built a new practice. (Teacher I)</w:t>
      </w:r>
    </w:p>
    <w:p w14:paraId="20A73C74" w14:textId="18408762" w:rsidR="00D12ABA" w:rsidRPr="003F0485" w:rsidRDefault="00D12ABA" w:rsidP="00D12ABA">
      <w:pPr>
        <w:pStyle w:val="Newparagraph"/>
      </w:pPr>
      <w:r w:rsidRPr="003F0485">
        <w:t xml:space="preserve">Another possible positive change observed in the interviews concerned students’ attitudes towards music learning with teachers. The blended learning approach has drastically decreased the level of interaction between teachers and students. However, students have started to appreciate seeing their teachers’ faces and talking to them. </w:t>
      </w:r>
    </w:p>
    <w:p w14:paraId="6B0432B4" w14:textId="77777777" w:rsidR="00D12ABA" w:rsidRPr="003F0485" w:rsidRDefault="00D12ABA" w:rsidP="00D12ABA">
      <w:pPr>
        <w:pStyle w:val="Displayedquotation"/>
      </w:pPr>
      <w:r w:rsidRPr="003F0485">
        <w:t>Students feel happy meeting with us even though it is only for 50 minutes per week. Some of them have started to pay more attention and become more willing to learn music. (Teacher J)</w:t>
      </w:r>
    </w:p>
    <w:p w14:paraId="3068E142" w14:textId="56A7E412" w:rsidR="0094575B" w:rsidRPr="003F0485" w:rsidRDefault="0094575B" w:rsidP="0094575B">
      <w:pPr>
        <w:pStyle w:val="Heading1"/>
      </w:pPr>
      <w:r w:rsidRPr="003F0485">
        <w:t>Discussion</w:t>
      </w:r>
    </w:p>
    <w:p w14:paraId="379F811D" w14:textId="5C7E5009" w:rsidR="0094575B" w:rsidRPr="003F0485" w:rsidRDefault="00D12ABA" w:rsidP="0094575B">
      <w:pPr>
        <w:pStyle w:val="Paragraph"/>
      </w:pPr>
      <w:r w:rsidRPr="003F0485">
        <w:t xml:space="preserve">The participants’ responses to the FCV-19S, GAD-7 and CTSQ revealed that the music teachers had varying degrees of fear and anxiety about the COVID-19 pandemic, which were positively correlated with each other. Among the mean rating scores for the three scales, more extreme responses were recorded for the FCV-19S items. Low rating scores were mostly related to superficial symptoms, such as sweaty hands, insomnia, and palpitation. High scores were related to items relating to emotional and psychological states, such as fear, discomfort, nervousness, and anxiety. The extreme rating scores indicate that the participants were more sensitive to COVID-19 than they were to the general anxiety and stress of being a teacher. The adverse impact of COVID-19 was more psychological than symptomatic. The top-ranking stressors and the insignificant relationship between the rating scores and demographic factors found in the present study were similar to the results of a study by Wong, </w:t>
      </w:r>
      <w:proofErr w:type="spellStart"/>
      <w:r w:rsidRPr="003F0485">
        <w:t>Chik</w:t>
      </w:r>
      <w:proofErr w:type="spellEnd"/>
      <w:r w:rsidRPr="003F0485">
        <w:t xml:space="preserve"> and Chan (2018), who surveyed the stressors of Hong Kong primary school music teachers using </w:t>
      </w:r>
      <w:r w:rsidRPr="003F0485">
        <w:lastRenderedPageBreak/>
        <w:t>the CTSQ. The stressors and rating scores reflect a combination of global and contextual factors specific to Hong Kong music education. However, the coronavirus outbreak has created a new dimension of stress</w:t>
      </w:r>
      <w:r w:rsidR="0094575B" w:rsidRPr="003F0485">
        <w:t>.</w:t>
      </w:r>
    </w:p>
    <w:p w14:paraId="7D28FBAA" w14:textId="699441BE" w:rsidR="0094575B" w:rsidRPr="003F0485" w:rsidRDefault="00D12ABA" w:rsidP="0094575B">
      <w:pPr>
        <w:pStyle w:val="Newparagraph"/>
      </w:pPr>
      <w:r w:rsidRPr="003F0485">
        <w:t xml:space="preserve">Junior teachers and those who only taught music seemed to suffer more from anxiety than those who had more teaching experience or taught other subjects. The survey results showed that key stressors included overwhelming administrative duties and extracurricular music activities, including after-class instrumental lessons, coaching choir, and music ensembles, and preparing for music competitions and performances (Wong, </w:t>
      </w:r>
      <w:proofErr w:type="spellStart"/>
      <w:r w:rsidRPr="003F0485">
        <w:t>Chik</w:t>
      </w:r>
      <w:proofErr w:type="spellEnd"/>
      <w:r w:rsidRPr="003F0485">
        <w:t xml:space="preserve"> &amp; Chan, 2018). Previous studies have found that administrative and peer support, especially from experienced teachers, are essential factors in enhancing junior music teachers’ well-being (Krueger, 2000). The transformation brought about by the outbreak has resulted in an excessive administrative burden for those who may not have experience of coping with abrupt changes. Together with other factors such as job instability for early career teachers and unfulfillment in the teaching profession (Tang, 2011), the unfavourable conditions resulting from COVID-19 have made it difficult for junior teachers to find music education a psychologically safe working environment</w:t>
      </w:r>
      <w:r w:rsidR="0094575B" w:rsidRPr="003F0485">
        <w:t>.</w:t>
      </w:r>
    </w:p>
    <w:p w14:paraId="47E71BC6" w14:textId="309AE525" w:rsidR="00D12ABA" w:rsidRPr="003F0485" w:rsidRDefault="00D12ABA" w:rsidP="003D62FB">
      <w:pPr>
        <w:pStyle w:val="Newparagraph"/>
      </w:pPr>
      <w:r w:rsidRPr="003F0485">
        <w:t xml:space="preserve">One major source of stress comes from pupils’ parents. In contrast with the monthly or semi-annual class visit that is part of building trust in the teacher–parent relationship, the shift in all formal lessons from face-to-face to online has made it possible for parents to monitor teaching content and assess teachers’ performance. The complete disclosure of classroom dynamics has increased transparency and accountability, resulting in an extra burden for teachers, who must also meet parents’ expectations and answer for their advices. Teachers usually welcome recommendations; however, when suggestions have been made without considering broader environmental factors, such as school management and policies, holding teachers accountable to </w:t>
      </w:r>
      <w:r w:rsidRPr="003F0485">
        <w:lastRenderedPageBreak/>
        <w:t xml:space="preserve">parents’ requests is more stressful than beneficial. It is an extra burden for teachers to liaise between stakeholders and make adjustments to meet all parents’ wishes. This is especially critical in the Chinese context, parents are overwhelmingly concerned about their children’s academic performance (Cheng, 2010). However, the increased interaction between music teachers and parents may not be simply a negative change. One positive form of engagement has seen teachers taking on the role of moderators to provide support for parents suffering from the shift in teaching effort required by the change in the physical learning environment from school to home. To this end, the digital transformation of music education caused by COVID-19 could be seen as an opportunity to open up more possibilities for parental engagement and transformative change in home–school co-operation (Jiménez-Castellanos, Ochoa &amp; </w:t>
      </w:r>
      <w:proofErr w:type="spellStart"/>
      <w:r w:rsidRPr="003F0485">
        <w:t>Olivos</w:t>
      </w:r>
      <w:proofErr w:type="spellEnd"/>
      <w:r w:rsidRPr="003F0485">
        <w:t>, 2016)</w:t>
      </w:r>
      <w:r w:rsidR="0094575B" w:rsidRPr="003F0485">
        <w:t>.</w:t>
      </w:r>
    </w:p>
    <w:p w14:paraId="29139331" w14:textId="22D7576D" w:rsidR="003D62FB" w:rsidRPr="003F0485" w:rsidRDefault="00D12ABA" w:rsidP="003D62FB">
      <w:pPr>
        <w:pStyle w:val="Newparagraph"/>
      </w:pPr>
      <w:r w:rsidRPr="003F0485">
        <w:t>Technical incompetence or unfamiliarity with the technology were other key sources of anxiety for the music teachers in this study. The drastic change in music teaching, which newly depended on unfamiliar technology, resulted in anxiety, fear and concern, as found in previous studies (Bitner &amp; Bitner, 2002). As both teachers and students were accustomed to face-to-face music activities and practice-based learning, the physical and material cost of teaching and learning music online might have been too great. Some of the participants mentioned the digital poverty that some of their students had encountered because of geopolitical conditions and their families’ low socioeconomic status, which has also been observed in other parts of the world (Manson, 2020). This threatened music teacher’s teaching professionalism, who were concerned about how they could support those left behind.</w:t>
      </w:r>
    </w:p>
    <w:p w14:paraId="3A41B6F5" w14:textId="17FF1A26" w:rsidR="003D62FB" w:rsidRPr="003F0485" w:rsidRDefault="003D62FB" w:rsidP="003D62FB">
      <w:pPr>
        <w:pStyle w:val="Newparagraph"/>
      </w:pPr>
      <w:r w:rsidRPr="003F0485">
        <w:t xml:space="preserve">Besides technical incompetence and socioeconomic and geopolitical limitations, the interviews reflected the participants’ frustration with the ineffectiveness of teaching music online. After the teachers had made their teaching plans and prepared their </w:t>
      </w:r>
      <w:r w:rsidRPr="003F0485">
        <w:lastRenderedPageBreak/>
        <w:t>materials, they realised that the volatility of the pandemic meant that their efforts had been in vain. When they had to teach instrumental techniques and conduct ensemble practice, they saw that the students’ learning progress was far slower in the virtual environment than what would be expected in the physical classroom. This frustrated and depressed the music teachers and added to their teaching pressure and workload.</w:t>
      </w:r>
    </w:p>
    <w:p w14:paraId="07F2422E" w14:textId="097DA525" w:rsidR="003D62FB" w:rsidRPr="003F0485" w:rsidRDefault="003D62FB" w:rsidP="003D62FB">
      <w:pPr>
        <w:pStyle w:val="Newparagraph"/>
      </w:pPr>
      <w:r w:rsidRPr="003F0485">
        <w:t>The participants’ interview responses also revealed unfavourable ecological factors that have negatively impacted music teachers’ mental well-being and prohibited them from teaching in a flexible manner according to the needs and concerns of their students and school. While the participants felt caught between students’ needs, parents’ expectations, school management orders, curriculum guidance, and their own teaching standards, there was no centralised policy on whether and how to implement online teaching at the inter-school level. Perhaps due to the limited policy capacity associated with a low-trust state (Hartley &amp; Jarvis, 2020), the Education Bureau’s official directions tend to rely on school-based management. Schools in Hong Kong must decide whether and how to provide online teaching, and comparisons result when there are discrepancies in the implementation of online teaching among different schools. However, public examinations and benchmarking exercises continue, forcing schools and teachers to keep up with educational changes by any means necessary.</w:t>
      </w:r>
    </w:p>
    <w:p w14:paraId="79F19FB8" w14:textId="498DDD2D" w:rsidR="003D62FB" w:rsidRPr="003F0485" w:rsidRDefault="003D62FB" w:rsidP="003D62FB">
      <w:pPr>
        <w:pStyle w:val="Newparagraph"/>
      </w:pPr>
      <w:r w:rsidRPr="003F0485">
        <w:t>The digital transformation of music education has catalysed the development of teacher professionalism. Online and blended learning have long been essential components of teaching (</w:t>
      </w:r>
      <w:proofErr w:type="spellStart"/>
      <w:r w:rsidRPr="003F0485">
        <w:t>Philipsen</w:t>
      </w:r>
      <w:proofErr w:type="spellEnd"/>
      <w:r w:rsidRPr="003F0485">
        <w:t xml:space="preserve">, </w:t>
      </w:r>
      <w:proofErr w:type="spellStart"/>
      <w:r w:rsidRPr="003F0485">
        <w:t>Tondeur</w:t>
      </w:r>
      <w:proofErr w:type="spellEnd"/>
      <w:r w:rsidRPr="003F0485">
        <w:t xml:space="preserve">, Roblin, </w:t>
      </w:r>
      <w:proofErr w:type="spellStart"/>
      <w:r w:rsidRPr="003F0485">
        <w:t>Vanslambrouck</w:t>
      </w:r>
      <w:proofErr w:type="spellEnd"/>
      <w:r w:rsidRPr="003F0485">
        <w:t xml:space="preserve"> &amp; Zhu, 2019). Due to the pandemic, this approach has finally been implemented on a large scale. In response to the changing demands of the educational environment, the participants reflected various degrees of transformative teacher professionalism (</w:t>
      </w:r>
      <w:proofErr w:type="spellStart"/>
      <w:r w:rsidRPr="003F0485">
        <w:t>Mockler</w:t>
      </w:r>
      <w:proofErr w:type="spellEnd"/>
      <w:r w:rsidRPr="003F0485">
        <w:t xml:space="preserve">, 2005). Younger students are having to learn how to handle self-directed learning in the virtual </w:t>
      </w:r>
      <w:r w:rsidRPr="003F0485">
        <w:lastRenderedPageBreak/>
        <w:t>environment, and music teachers are realising that they need to transform themselves from instructors into facilitators of students’ learning. Teachers have become more proficient in using educational software and telecommunication platforms to instruct, handle assignments, monitor students’ learning progress and shift between different learning platforms to cater to students with different needs. They have realised the educational affordances of the technologies, learned to compensate for the weaknesses of online teaching through other means and used technology to develop new, pedagogically sound music activities (Cheng &amp; Leong, 2017). They also learned to support one another both mentally and pedagogically through the formation of learning communities, which resulted in a community of practice (Lave &amp; Wenger, 1991).</w:t>
      </w:r>
    </w:p>
    <w:p w14:paraId="4023B076" w14:textId="2594A450" w:rsidR="003D62FB" w:rsidRPr="003F0485" w:rsidRDefault="003D62FB" w:rsidP="003D62FB">
      <w:pPr>
        <w:pStyle w:val="Heading1"/>
      </w:pPr>
      <w:r w:rsidRPr="003F0485">
        <w:t>Conclusion</w:t>
      </w:r>
    </w:p>
    <w:p w14:paraId="5FFDA33D" w14:textId="505BB3C5" w:rsidR="003D62FB" w:rsidRPr="003F0485" w:rsidRDefault="003D62FB" w:rsidP="003D62FB">
      <w:pPr>
        <w:pStyle w:val="Newparagraph"/>
        <w:ind w:firstLine="0"/>
      </w:pPr>
      <w:r w:rsidRPr="003F0485">
        <w:t>The music education sector has undergone a transformation in pedagogical practices, and it has sometimes been painful and difficult for music teachers to adapt to the ‘new normal’. This study reported on the impact of COVID-19 on music teachers’ mental health and well-being. It identified sources of fear and anxiety, including technical incompetence, parental expectations, and the ineffectiveness of online music teaching. This study revealed the ecological factors that contributed to the sources of fear and anxiety, including a lack of sensitivity and support in terms of policy directions, socioeconomic and geopolitical limitations, and comparisons within the school sector. Despite the stress and pressure, however, the participants were able to achieve transformative teacher professionalism and cope with the challenges of confronting the digital turn in music education during the pandemic.</w:t>
      </w:r>
    </w:p>
    <w:p w14:paraId="1DE39CE2" w14:textId="37C2141D" w:rsidR="003D62FB" w:rsidRPr="003F0485" w:rsidRDefault="003D62FB" w:rsidP="003D62FB">
      <w:pPr>
        <w:pStyle w:val="Newparagraph"/>
      </w:pPr>
      <w:r w:rsidRPr="003F0485">
        <w:t xml:space="preserve">During the interviews, the researchers observed that the participants lacked a vocabulary for sharing their feelings about their stress, anxiety, and fear. Whilst depersonalisation and hiding one’s negative feelings to maintain a professional image </w:t>
      </w:r>
      <w:r w:rsidRPr="003F0485">
        <w:lastRenderedPageBreak/>
        <w:t xml:space="preserve">are usual practices for teachers in Chinese culture (Chan, 2003; </w:t>
      </w:r>
      <w:proofErr w:type="spellStart"/>
      <w:r w:rsidRPr="003F0485">
        <w:t>Jin</w:t>
      </w:r>
      <w:proofErr w:type="spellEnd"/>
      <w:r w:rsidRPr="003F0485">
        <w:t xml:space="preserve"> &amp; </w:t>
      </w:r>
      <w:proofErr w:type="spellStart"/>
      <w:r w:rsidRPr="003F0485">
        <w:t>Cortazzi</w:t>
      </w:r>
      <w:proofErr w:type="spellEnd"/>
      <w:r w:rsidRPr="003F0485">
        <w:t>, 2008), continuing to do so may eventually lead to burnout. In the ‘good old days’ before the pandemic, political instability, and civil unrest, music teachers could naively long for a better future, as expressed in the famous Cantopop song ‘The Best is Yet to Come’. Today, however, they have to prepare for the worst, facing a range of social, political, economic and public health crises. No-one knows when and how these crises will end. The findings of this study suggest that teachers must continuously equip themselves with skills and knowledge and pursue transformative teacher professionalism to cope with crises and challenges that arise in the future.</w:t>
      </w:r>
    </w:p>
    <w:p w14:paraId="4523F567" w14:textId="77777777" w:rsidR="00530107" w:rsidRPr="003F0485" w:rsidRDefault="00530107" w:rsidP="00530107">
      <w:pPr>
        <w:pStyle w:val="Heading1"/>
      </w:pPr>
      <w:r w:rsidRPr="003F0485">
        <w:t>Disclosure statement</w:t>
      </w:r>
    </w:p>
    <w:p w14:paraId="0F8A50DB" w14:textId="77777777" w:rsidR="00530107" w:rsidRPr="003F0485" w:rsidRDefault="00530107" w:rsidP="00530107">
      <w:pPr>
        <w:pStyle w:val="Newparagraph"/>
        <w:ind w:firstLine="0"/>
      </w:pPr>
      <w:r w:rsidRPr="003F0485">
        <w:t>No potential conflict of interest was reported by the author(s).</w:t>
      </w:r>
    </w:p>
    <w:p w14:paraId="484C8C44" w14:textId="35E510C1" w:rsidR="00530107" w:rsidRPr="003F0485" w:rsidRDefault="00530107" w:rsidP="00530107">
      <w:pPr>
        <w:pStyle w:val="Heading1"/>
      </w:pPr>
      <w:r w:rsidRPr="003F0485">
        <w:t>Funding details</w:t>
      </w:r>
    </w:p>
    <w:p w14:paraId="3BADFB13" w14:textId="64EB97D3" w:rsidR="00530107" w:rsidRPr="003F0485" w:rsidRDefault="00530107" w:rsidP="00530107">
      <w:pPr>
        <w:pStyle w:val="Newparagraph"/>
        <w:ind w:firstLine="0"/>
      </w:pPr>
      <w:r w:rsidRPr="003F0485">
        <w:t>This project was funded by the Seed Funding Grant (SFG), Ref. no. RG 45/2020-2-21R, supported by The Education University of Hong Kong.</w:t>
      </w:r>
    </w:p>
    <w:p w14:paraId="78492CD8" w14:textId="77777777" w:rsidR="00530107" w:rsidRPr="003F0485" w:rsidRDefault="00530107">
      <w:pPr>
        <w:spacing w:line="240" w:lineRule="auto"/>
        <w:rPr>
          <w:rFonts w:cs="Arial"/>
          <w:b/>
          <w:bCs/>
          <w:kern w:val="32"/>
          <w:szCs w:val="32"/>
        </w:rPr>
      </w:pPr>
      <w:r w:rsidRPr="003F0485">
        <w:br w:type="page"/>
      </w:r>
    </w:p>
    <w:p w14:paraId="2FDF668A" w14:textId="65152C16" w:rsidR="006B1531" w:rsidRPr="003F0485" w:rsidRDefault="003D62FB" w:rsidP="006B1531">
      <w:pPr>
        <w:pStyle w:val="Heading1"/>
      </w:pPr>
      <w:r w:rsidRPr="003F0485">
        <w:lastRenderedPageBreak/>
        <w:t>References</w:t>
      </w:r>
    </w:p>
    <w:p w14:paraId="4E229431" w14:textId="77777777" w:rsidR="00530107" w:rsidRPr="003F0485" w:rsidRDefault="00530107" w:rsidP="006B1531">
      <w:pPr>
        <w:ind w:left="720" w:hanging="720"/>
        <w:rPr>
          <w:lang w:val="en-HK"/>
        </w:rPr>
      </w:pPr>
      <w:proofErr w:type="spellStart"/>
      <w:r w:rsidRPr="003F0485">
        <w:rPr>
          <w:lang w:val="en-HK"/>
        </w:rPr>
        <w:t>Ahorsu</w:t>
      </w:r>
      <w:proofErr w:type="spellEnd"/>
      <w:r w:rsidRPr="003F0485">
        <w:rPr>
          <w:lang w:val="en-HK"/>
        </w:rPr>
        <w:t xml:space="preserve">, D. K., Lin, C. Y., Imani, V., </w:t>
      </w:r>
      <w:proofErr w:type="spellStart"/>
      <w:r w:rsidRPr="003F0485">
        <w:rPr>
          <w:lang w:val="en-HK"/>
        </w:rPr>
        <w:t>Saffari</w:t>
      </w:r>
      <w:proofErr w:type="spellEnd"/>
      <w:r w:rsidRPr="003F0485">
        <w:rPr>
          <w:lang w:val="en-HK"/>
        </w:rPr>
        <w:t xml:space="preserve">, M., Griffiths, M. D., and </w:t>
      </w:r>
      <w:proofErr w:type="spellStart"/>
      <w:r w:rsidRPr="003F0485">
        <w:rPr>
          <w:lang w:val="en-HK"/>
        </w:rPr>
        <w:t>Pakpour</w:t>
      </w:r>
      <w:proofErr w:type="spellEnd"/>
      <w:r w:rsidRPr="003F0485">
        <w:rPr>
          <w:lang w:val="en-HK"/>
        </w:rPr>
        <w:t xml:space="preserve">, A. H. 2020. “The Fear of COVID-19 Scale: Development and Initial Validation.” </w:t>
      </w:r>
      <w:r w:rsidRPr="003F0485">
        <w:rPr>
          <w:i/>
          <w:iCs/>
          <w:lang w:val="en-HK"/>
        </w:rPr>
        <w:t>International Journal of Mental Health and Addiction</w:t>
      </w:r>
      <w:r w:rsidRPr="003F0485">
        <w:rPr>
          <w:lang w:val="en-HK"/>
        </w:rPr>
        <w:t xml:space="preserve"> Advance online publication. doi:10.1007/s11469-020-00270-8.</w:t>
      </w:r>
    </w:p>
    <w:p w14:paraId="6FE198E4" w14:textId="77777777" w:rsidR="00530107" w:rsidRPr="003F0485" w:rsidRDefault="00530107" w:rsidP="006B1531">
      <w:pPr>
        <w:ind w:left="720" w:hanging="720"/>
        <w:rPr>
          <w:lang w:val="en-HK"/>
        </w:rPr>
      </w:pPr>
      <w:r w:rsidRPr="003F0485">
        <w:rPr>
          <w:lang w:val="en-HK"/>
        </w:rPr>
        <w:t xml:space="preserve">Bitner, N., and Bitner, J. 2002. “Integrating Technology into the Classroom: Eight Keys to Success.” </w:t>
      </w:r>
      <w:r w:rsidRPr="003F0485">
        <w:rPr>
          <w:i/>
          <w:iCs/>
          <w:lang w:val="en-HK"/>
        </w:rPr>
        <w:t>Journal of Technology and Teacher Education</w:t>
      </w:r>
      <w:r w:rsidRPr="003F0485">
        <w:rPr>
          <w:lang w:val="en-HK"/>
        </w:rPr>
        <w:t xml:space="preserve"> 10 (1): 95–100.</w:t>
      </w:r>
    </w:p>
    <w:p w14:paraId="522810E7" w14:textId="39291070" w:rsidR="003E2974" w:rsidRPr="003F0485" w:rsidRDefault="003E2974" w:rsidP="006B1531">
      <w:pPr>
        <w:ind w:left="720" w:hanging="720"/>
        <w:rPr>
          <w:lang w:val="en-HK"/>
        </w:rPr>
      </w:pPr>
      <w:r w:rsidRPr="003F0485">
        <w:rPr>
          <w:lang w:val="en-HK"/>
        </w:rPr>
        <w:t xml:space="preserve">Brien, M., Hass, C., and </w:t>
      </w:r>
      <w:proofErr w:type="spellStart"/>
      <w:r w:rsidRPr="003F0485">
        <w:rPr>
          <w:lang w:val="en-HK"/>
        </w:rPr>
        <w:t>Savoie</w:t>
      </w:r>
      <w:proofErr w:type="spellEnd"/>
      <w:r w:rsidRPr="003F0485">
        <w:rPr>
          <w:lang w:val="en-HK"/>
        </w:rPr>
        <w:t xml:space="preserve">, A. 2012. “Psychological Health as a Mediator Between Need Satisfaction at Work and Teachers' Self-Perceptions of Performance.” </w:t>
      </w:r>
      <w:r w:rsidRPr="003F0485">
        <w:rPr>
          <w:i/>
          <w:iCs/>
          <w:lang w:val="en-HK"/>
        </w:rPr>
        <w:t>Canadian Journal of Behavioural Science</w:t>
      </w:r>
      <w:r w:rsidRPr="003F0485">
        <w:rPr>
          <w:lang w:val="en-HK"/>
        </w:rPr>
        <w:t xml:space="preserve"> 44 (4): 288–299. doi:10.1037/a0028056.</w:t>
      </w:r>
    </w:p>
    <w:p w14:paraId="57915870" w14:textId="29238167" w:rsidR="006B1531" w:rsidRPr="003F0485" w:rsidRDefault="00530107" w:rsidP="006B1531">
      <w:pPr>
        <w:ind w:left="720" w:hanging="720"/>
        <w:rPr>
          <w:lang w:val="en-HK"/>
        </w:rPr>
      </w:pPr>
      <w:proofErr w:type="spellStart"/>
      <w:r w:rsidRPr="003F0485">
        <w:rPr>
          <w:lang w:val="en-HK"/>
        </w:rPr>
        <w:t>Cayari</w:t>
      </w:r>
      <w:proofErr w:type="spellEnd"/>
      <w:r w:rsidRPr="003F0485">
        <w:rPr>
          <w:lang w:val="en-HK"/>
        </w:rPr>
        <w:t xml:space="preserve">, C. 2018. “Connecting Music Education and Virtual Performance Practices from YouTube.” </w:t>
      </w:r>
      <w:r w:rsidRPr="003F0485">
        <w:rPr>
          <w:i/>
          <w:iCs/>
          <w:lang w:val="en-HK"/>
        </w:rPr>
        <w:t>Music Education Research</w:t>
      </w:r>
      <w:r w:rsidRPr="003F0485">
        <w:rPr>
          <w:lang w:val="en-HK"/>
        </w:rPr>
        <w:t xml:space="preserve"> 20 (3): 360–376. doi:10.1080/14613808.2017.</w:t>
      </w:r>
      <w:r w:rsidR="006B1531" w:rsidRPr="003F0485">
        <w:rPr>
          <w:lang w:val="en-HK"/>
        </w:rPr>
        <w:t>1383374</w:t>
      </w:r>
      <w:r w:rsidRPr="003F0485">
        <w:rPr>
          <w:lang w:val="en-HK"/>
        </w:rPr>
        <w:t>.</w:t>
      </w:r>
    </w:p>
    <w:p w14:paraId="6294D2E6" w14:textId="5B46CF28" w:rsidR="00B8741B" w:rsidRPr="003F0485" w:rsidRDefault="00B8741B" w:rsidP="006B1531">
      <w:pPr>
        <w:ind w:left="720" w:hanging="720"/>
        <w:rPr>
          <w:lang w:val="en-HK"/>
        </w:rPr>
      </w:pPr>
      <w:r w:rsidRPr="003F0485">
        <w:rPr>
          <w:lang w:val="en-HK"/>
        </w:rPr>
        <w:t xml:space="preserve">Cervantes-Guevara, G., </w:t>
      </w:r>
      <w:proofErr w:type="spellStart"/>
      <w:r w:rsidRPr="003F0485">
        <w:rPr>
          <w:lang w:val="en-HK"/>
        </w:rPr>
        <w:t>Maciel-Saldierna</w:t>
      </w:r>
      <w:proofErr w:type="spellEnd"/>
      <w:r w:rsidRPr="003F0485">
        <w:rPr>
          <w:lang w:val="en-HK"/>
        </w:rPr>
        <w:t>, M., Elizondo-Hernández, E.</w:t>
      </w:r>
      <w:r w:rsidR="00397D32" w:rsidRPr="003F0485">
        <w:rPr>
          <w:lang w:val="en-HK"/>
        </w:rPr>
        <w:t xml:space="preserve">, Cervantes-Pérez, L. A., Cervantes-Cardona, G. A., García-Reyna, B., </w:t>
      </w:r>
      <w:proofErr w:type="spellStart"/>
      <w:r w:rsidR="00397D32" w:rsidRPr="003F0485">
        <w:rPr>
          <w:lang w:val="en-HK"/>
        </w:rPr>
        <w:t>Ibarrola</w:t>
      </w:r>
      <w:proofErr w:type="spellEnd"/>
      <w:r w:rsidR="00397D32" w:rsidRPr="003F0485">
        <w:rPr>
          <w:lang w:val="en-HK"/>
        </w:rPr>
        <w:t>-Peña, J. C., et al. 2021.</w:t>
      </w:r>
      <w:r w:rsidRPr="003F0485">
        <w:rPr>
          <w:lang w:val="en-HK"/>
        </w:rPr>
        <w:t xml:space="preserve"> </w:t>
      </w:r>
      <w:r w:rsidR="00397D32" w:rsidRPr="003F0485">
        <w:rPr>
          <w:lang w:val="en-HK"/>
        </w:rPr>
        <w:t>“</w:t>
      </w:r>
      <w:r w:rsidRPr="003F0485">
        <w:rPr>
          <w:lang w:val="en-HK"/>
        </w:rPr>
        <w:t xml:space="preserve">Fear of COVID-19 in High School Personnel: </w:t>
      </w:r>
      <w:r w:rsidR="00397D32" w:rsidRPr="003F0485">
        <w:rPr>
          <w:lang w:val="en-HK"/>
        </w:rPr>
        <w:t>A</w:t>
      </w:r>
      <w:r w:rsidRPr="003F0485">
        <w:rPr>
          <w:lang w:val="en-HK"/>
        </w:rPr>
        <w:t xml:space="preserve"> Survey Study in Western Mexico.</w:t>
      </w:r>
      <w:r w:rsidR="00397D32" w:rsidRPr="003F0485">
        <w:rPr>
          <w:lang w:val="en-HK"/>
        </w:rPr>
        <w:t>”</w:t>
      </w:r>
      <w:r w:rsidRPr="003F0485">
        <w:rPr>
          <w:lang w:val="en-HK"/>
        </w:rPr>
        <w:t xml:space="preserve"> </w:t>
      </w:r>
      <w:r w:rsidR="00397D32" w:rsidRPr="003F0485">
        <w:rPr>
          <w:i/>
          <w:iCs/>
          <w:lang w:val="en-HK"/>
        </w:rPr>
        <w:t>International Journal of Mental Health and Addiction</w:t>
      </w:r>
      <w:r w:rsidRPr="003F0485">
        <w:rPr>
          <w:lang w:val="en-HK"/>
        </w:rPr>
        <w:t>. doi</w:t>
      </w:r>
      <w:r w:rsidR="00397D32" w:rsidRPr="003F0485">
        <w:rPr>
          <w:lang w:val="en-HK"/>
        </w:rPr>
        <w:t>:</w:t>
      </w:r>
      <w:r w:rsidRPr="003F0485">
        <w:rPr>
          <w:lang w:val="en-HK"/>
        </w:rPr>
        <w:t>10.1007/s11469-020-00473-z</w:t>
      </w:r>
      <w:r w:rsidR="00397D32" w:rsidRPr="003F0485">
        <w:rPr>
          <w:lang w:val="en-HK"/>
        </w:rPr>
        <w:t>.</w:t>
      </w:r>
    </w:p>
    <w:p w14:paraId="4DB861FA" w14:textId="77F73AB9" w:rsidR="00530107" w:rsidRPr="003F0485" w:rsidRDefault="00530107" w:rsidP="006B1531">
      <w:pPr>
        <w:ind w:left="720" w:hanging="720"/>
        <w:rPr>
          <w:lang w:val="en-HK"/>
        </w:rPr>
      </w:pPr>
      <w:r w:rsidRPr="003F0485">
        <w:rPr>
          <w:lang w:val="en-HK"/>
        </w:rPr>
        <w:t xml:space="preserve">Chan, D. W. 2003. “Hardiness and its Role in the Stress–burnout Relationship among Prospective Chinese Teachers in Hong Kong.” </w:t>
      </w:r>
      <w:r w:rsidRPr="003F0485">
        <w:rPr>
          <w:i/>
          <w:iCs/>
          <w:lang w:val="en-HK"/>
        </w:rPr>
        <w:t>Teaching and Teacher Education</w:t>
      </w:r>
      <w:r w:rsidRPr="003F0485">
        <w:rPr>
          <w:lang w:val="en-HK"/>
        </w:rPr>
        <w:t xml:space="preserve"> 19 (4): 381–395. doi:10.1016/S0742-051</w:t>
      </w:r>
      <w:proofErr w:type="gramStart"/>
      <w:r w:rsidRPr="003F0485">
        <w:rPr>
          <w:lang w:val="en-HK"/>
        </w:rPr>
        <w:t>X(</w:t>
      </w:r>
      <w:proofErr w:type="gramEnd"/>
      <w:r w:rsidRPr="003F0485">
        <w:rPr>
          <w:lang w:val="en-HK"/>
        </w:rPr>
        <w:t>03)00023-4.</w:t>
      </w:r>
    </w:p>
    <w:p w14:paraId="1348F03C" w14:textId="0ED4673A" w:rsidR="006B1531" w:rsidRPr="003F0485" w:rsidRDefault="00530107" w:rsidP="006B1531">
      <w:pPr>
        <w:ind w:left="720" w:hanging="720"/>
        <w:rPr>
          <w:lang w:val="en-HK"/>
        </w:rPr>
      </w:pPr>
      <w:r w:rsidRPr="003F0485">
        <w:rPr>
          <w:lang w:val="en-HK"/>
        </w:rPr>
        <w:t xml:space="preserve">Cheng, L. 2020. “Music Classroom as the Shifting Ground for Patriotism: National Anthem Law in Hong Kong.” In </w:t>
      </w:r>
      <w:r w:rsidRPr="003F0485">
        <w:rPr>
          <w:i/>
          <w:iCs/>
          <w:lang w:val="en-HK"/>
        </w:rPr>
        <w:t>Proceedings of the 20th International Seminar of the ISME Commission on Policy: Culture, Media and Education</w:t>
      </w:r>
      <w:r w:rsidRPr="003F0485">
        <w:rPr>
          <w:lang w:val="en-HK"/>
        </w:rPr>
        <w:t xml:space="preserve">, edited by Carla E. Aguilar, Carlos Poblete Lagos, Anita </w:t>
      </w:r>
      <w:proofErr w:type="spellStart"/>
      <w:r w:rsidRPr="003F0485">
        <w:rPr>
          <w:lang w:val="en-HK"/>
        </w:rPr>
        <w:t>Prest</w:t>
      </w:r>
      <w:proofErr w:type="spellEnd"/>
      <w:r w:rsidRPr="003F0485">
        <w:rPr>
          <w:lang w:val="en-HK"/>
        </w:rPr>
        <w:t xml:space="preserve">, and Lauren </w:t>
      </w:r>
      <w:proofErr w:type="spellStart"/>
      <w:r w:rsidRPr="003F0485">
        <w:rPr>
          <w:lang w:val="en-HK"/>
        </w:rPr>
        <w:t>Kapalka</w:t>
      </w:r>
      <w:proofErr w:type="spellEnd"/>
      <w:r w:rsidRPr="003F0485">
        <w:rPr>
          <w:lang w:val="en-HK"/>
        </w:rPr>
        <w:t xml:space="preserve"> </w:t>
      </w:r>
      <w:proofErr w:type="spellStart"/>
      <w:r w:rsidRPr="003F0485">
        <w:rPr>
          <w:lang w:val="en-HK"/>
        </w:rPr>
        <w:lastRenderedPageBreak/>
        <w:t>Richerme</w:t>
      </w:r>
      <w:proofErr w:type="spellEnd"/>
      <w:r w:rsidRPr="003F0485">
        <w:rPr>
          <w:lang w:val="en-HK"/>
        </w:rPr>
        <w:t>, 65–72. Melbourne, Australia: International Society for Music Education</w:t>
      </w:r>
      <w:r w:rsidR="006B1531" w:rsidRPr="003F0485">
        <w:rPr>
          <w:lang w:val="en-HK"/>
        </w:rPr>
        <w:t>.</w:t>
      </w:r>
    </w:p>
    <w:p w14:paraId="67EEE361" w14:textId="77777777" w:rsidR="00530107" w:rsidRPr="003F0485" w:rsidRDefault="00530107" w:rsidP="006B1531">
      <w:pPr>
        <w:ind w:left="720" w:hanging="720"/>
        <w:rPr>
          <w:lang w:val="en-HK"/>
        </w:rPr>
      </w:pPr>
      <w:r w:rsidRPr="003F0485">
        <w:rPr>
          <w:lang w:val="en-HK"/>
        </w:rPr>
        <w:t xml:space="preserve">Cheng, L., and Leong, S. 2017. “Educational Affordances and Learning Design in Music Software Development.” </w:t>
      </w:r>
      <w:r w:rsidRPr="003F0485">
        <w:rPr>
          <w:i/>
          <w:iCs/>
          <w:lang w:val="en-HK"/>
        </w:rPr>
        <w:t>Technology, Pedagogy and Education</w:t>
      </w:r>
      <w:r w:rsidRPr="003F0485">
        <w:rPr>
          <w:lang w:val="en-HK"/>
        </w:rPr>
        <w:t xml:space="preserve"> 26 (4): 395–407. doi:10.1080/1475939X.2016.1267037.</w:t>
      </w:r>
    </w:p>
    <w:p w14:paraId="6D242660" w14:textId="77777777" w:rsidR="00530107" w:rsidRPr="003F0485" w:rsidRDefault="00530107" w:rsidP="006B1531">
      <w:pPr>
        <w:ind w:left="720" w:hanging="720"/>
        <w:rPr>
          <w:lang w:val="en-HK"/>
        </w:rPr>
      </w:pPr>
      <w:r w:rsidRPr="003F0485">
        <w:rPr>
          <w:lang w:val="en-HK"/>
        </w:rPr>
        <w:t xml:space="preserve">Cheng, V. M. Y. 2010. “Tensions and Dilemmas of Teachers in Creativity Reform in a Chinese Context.” </w:t>
      </w:r>
      <w:r w:rsidRPr="003F0485">
        <w:rPr>
          <w:i/>
          <w:iCs/>
          <w:lang w:val="en-HK"/>
        </w:rPr>
        <w:t>Thinking Skills and Creativity</w:t>
      </w:r>
      <w:r w:rsidRPr="003F0485">
        <w:rPr>
          <w:lang w:val="en-HK"/>
        </w:rPr>
        <w:t xml:space="preserve"> 5 (3): 120–137. </w:t>
      </w:r>
      <w:proofErr w:type="gramStart"/>
      <w:r w:rsidRPr="003F0485">
        <w:rPr>
          <w:lang w:val="en-HK"/>
        </w:rPr>
        <w:t>doi:10.1016/j.tsc</w:t>
      </w:r>
      <w:proofErr w:type="gramEnd"/>
      <w:r w:rsidRPr="003F0485">
        <w:rPr>
          <w:lang w:val="en-HK"/>
        </w:rPr>
        <w:t>.2010.09.005.</w:t>
      </w:r>
    </w:p>
    <w:p w14:paraId="15F11008" w14:textId="3654E895" w:rsidR="000007A0" w:rsidRPr="003F0485" w:rsidRDefault="000007A0" w:rsidP="00530107">
      <w:pPr>
        <w:ind w:left="720" w:hanging="720"/>
        <w:rPr>
          <w:lang w:val="en-HK"/>
        </w:rPr>
      </w:pPr>
      <w:r w:rsidRPr="003F0485">
        <w:rPr>
          <w:lang w:val="en-HK"/>
        </w:rPr>
        <w:t xml:space="preserve">Cheung, F., Tang, C. S-K., and Tang, S. 2011. “Psychological Capital as a Moderator Between Emotional </w:t>
      </w:r>
      <w:proofErr w:type="spellStart"/>
      <w:r w:rsidRPr="003F0485">
        <w:rPr>
          <w:lang w:val="en-HK"/>
        </w:rPr>
        <w:t>Labor</w:t>
      </w:r>
      <w:proofErr w:type="spellEnd"/>
      <w:r w:rsidRPr="003F0485">
        <w:rPr>
          <w:lang w:val="en-HK"/>
        </w:rPr>
        <w:t xml:space="preserve">, Burnout, and Job Satisfaction Among School Teachers in China.” </w:t>
      </w:r>
      <w:r w:rsidRPr="003F0485">
        <w:rPr>
          <w:i/>
          <w:iCs/>
          <w:lang w:val="en-HK"/>
        </w:rPr>
        <w:t>International Journal of Stress Management</w:t>
      </w:r>
      <w:r w:rsidRPr="003F0485">
        <w:rPr>
          <w:lang w:val="en-HK"/>
        </w:rPr>
        <w:t xml:space="preserve"> 18 (4): 348</w:t>
      </w:r>
      <w:r w:rsidR="000A3796" w:rsidRPr="003F0485">
        <w:rPr>
          <w:lang w:val="en-HK"/>
        </w:rPr>
        <w:t>–</w:t>
      </w:r>
      <w:r w:rsidRPr="003F0485">
        <w:rPr>
          <w:lang w:val="en-HK"/>
        </w:rPr>
        <w:t>371.</w:t>
      </w:r>
      <w:r w:rsidR="000A3796" w:rsidRPr="003F0485">
        <w:rPr>
          <w:lang w:val="en-HK"/>
        </w:rPr>
        <w:t xml:space="preserve"> doi:10.1037/a0025787.</w:t>
      </w:r>
    </w:p>
    <w:p w14:paraId="53711429" w14:textId="46B12BFB" w:rsidR="00530107" w:rsidRPr="003F0485" w:rsidRDefault="00530107" w:rsidP="00530107">
      <w:pPr>
        <w:ind w:left="720" w:hanging="720"/>
        <w:rPr>
          <w:lang w:val="en-HK"/>
        </w:rPr>
      </w:pPr>
      <w:r w:rsidRPr="003F0485">
        <w:rPr>
          <w:lang w:val="en-HK"/>
        </w:rPr>
        <w:t xml:space="preserve">Crawford, R. 2017. “Rethinking Teaching and Learning Pedagogy for Education in the Twenty-first Century: Blended Learning in Music Education.” </w:t>
      </w:r>
      <w:r w:rsidRPr="003F0485">
        <w:rPr>
          <w:i/>
          <w:iCs/>
          <w:lang w:val="en-HK"/>
        </w:rPr>
        <w:t>Music Education Research</w:t>
      </w:r>
      <w:r w:rsidRPr="003F0485">
        <w:rPr>
          <w:lang w:val="en-HK"/>
        </w:rPr>
        <w:t xml:space="preserve"> 19 (2): 195–213. doi:10.1080/14613808.2016.1202223.</w:t>
      </w:r>
    </w:p>
    <w:p w14:paraId="30AA69AB" w14:textId="2F80AA43" w:rsidR="00530107" w:rsidRPr="003F0485" w:rsidRDefault="00530107" w:rsidP="00530107">
      <w:pPr>
        <w:ind w:left="720" w:hanging="720"/>
        <w:rPr>
          <w:lang w:val="en-HK"/>
        </w:rPr>
      </w:pPr>
      <w:proofErr w:type="spellStart"/>
      <w:r w:rsidRPr="003F0485">
        <w:rPr>
          <w:lang w:val="en-HK"/>
        </w:rPr>
        <w:t>Dornyei</w:t>
      </w:r>
      <w:proofErr w:type="spellEnd"/>
      <w:r w:rsidRPr="003F0485">
        <w:rPr>
          <w:lang w:val="en-HK"/>
        </w:rPr>
        <w:t xml:space="preserve">, Z., and </w:t>
      </w:r>
      <w:proofErr w:type="spellStart"/>
      <w:r w:rsidRPr="003F0485">
        <w:rPr>
          <w:lang w:val="en-HK"/>
        </w:rPr>
        <w:t>Ushioda</w:t>
      </w:r>
      <w:proofErr w:type="spellEnd"/>
      <w:r w:rsidRPr="003F0485">
        <w:rPr>
          <w:lang w:val="en-HK"/>
        </w:rPr>
        <w:t xml:space="preserve">, E. 2011. </w:t>
      </w:r>
      <w:r w:rsidRPr="003F0485">
        <w:rPr>
          <w:i/>
          <w:iCs/>
          <w:lang w:val="en-HK"/>
        </w:rPr>
        <w:t>Teaching and Researching Motivation</w:t>
      </w:r>
      <w:r w:rsidRPr="003F0485">
        <w:rPr>
          <w:lang w:val="en-HK"/>
        </w:rPr>
        <w:t>. 2nd ed. Harlow: Longman.</w:t>
      </w:r>
    </w:p>
    <w:p w14:paraId="55EF5116" w14:textId="7A96C8A6" w:rsidR="006B1531" w:rsidRPr="003F0485" w:rsidRDefault="00530107" w:rsidP="00530107">
      <w:pPr>
        <w:ind w:left="720" w:hanging="720"/>
        <w:rPr>
          <w:lang w:val="en-HK"/>
        </w:rPr>
      </w:pPr>
      <w:r w:rsidRPr="003F0485">
        <w:rPr>
          <w:lang w:val="en-HK"/>
        </w:rPr>
        <w:t xml:space="preserve">George, D., and Mallery, P. 2003. </w:t>
      </w:r>
      <w:r w:rsidRPr="003F0485">
        <w:rPr>
          <w:i/>
          <w:iCs/>
          <w:lang w:val="en-HK"/>
        </w:rPr>
        <w:t>SPSS for Windows Step by Step: A Simple Guide and Reference.</w:t>
      </w:r>
      <w:r w:rsidRPr="003F0485">
        <w:rPr>
          <w:lang w:val="en-HK"/>
        </w:rPr>
        <w:t xml:space="preserve"> 4th ed. Boston, MA: </w:t>
      </w:r>
      <w:proofErr w:type="spellStart"/>
      <w:r w:rsidRPr="003F0485">
        <w:rPr>
          <w:lang w:val="en-HK"/>
        </w:rPr>
        <w:t>Allyn</w:t>
      </w:r>
      <w:proofErr w:type="spellEnd"/>
      <w:r w:rsidRPr="003F0485">
        <w:rPr>
          <w:lang w:val="en-HK"/>
        </w:rPr>
        <w:t xml:space="preserve"> &amp; Bacon</w:t>
      </w:r>
      <w:r w:rsidR="006B1531" w:rsidRPr="003F0485">
        <w:rPr>
          <w:lang w:val="en-HK"/>
        </w:rPr>
        <w:t>.</w:t>
      </w:r>
    </w:p>
    <w:p w14:paraId="3CBE425B" w14:textId="77777777" w:rsidR="00530107" w:rsidRPr="003F0485" w:rsidRDefault="00530107" w:rsidP="006B1531">
      <w:pPr>
        <w:ind w:left="720" w:hanging="720"/>
        <w:rPr>
          <w:lang w:val="en-HK"/>
        </w:rPr>
      </w:pPr>
      <w:r w:rsidRPr="003F0485">
        <w:rPr>
          <w:lang w:val="en-HK"/>
        </w:rPr>
        <w:t xml:space="preserve">Gordon, D. G. 2010. “Discipline in the Music Classroom: One Component Contributing to Teacher Stress.” </w:t>
      </w:r>
      <w:r w:rsidRPr="003F0485">
        <w:rPr>
          <w:i/>
          <w:iCs/>
          <w:lang w:val="en-HK"/>
        </w:rPr>
        <w:t>Music Education Research</w:t>
      </w:r>
      <w:r w:rsidRPr="003F0485">
        <w:rPr>
          <w:lang w:val="en-HK"/>
        </w:rPr>
        <w:t xml:space="preserve"> 4 (1): 157–165. doi:10.1080/14613800220119831.</w:t>
      </w:r>
    </w:p>
    <w:p w14:paraId="3D7596E2" w14:textId="77777777" w:rsidR="00530107" w:rsidRPr="003F0485" w:rsidRDefault="00530107" w:rsidP="006B1531">
      <w:pPr>
        <w:ind w:left="720" w:hanging="720"/>
        <w:rPr>
          <w:lang w:val="en-HK"/>
        </w:rPr>
      </w:pPr>
      <w:r w:rsidRPr="003F0485">
        <w:rPr>
          <w:lang w:val="en-HK"/>
        </w:rPr>
        <w:t xml:space="preserve">Greene, J. C., </w:t>
      </w:r>
      <w:proofErr w:type="spellStart"/>
      <w:r w:rsidRPr="003F0485">
        <w:rPr>
          <w:lang w:val="en-HK"/>
        </w:rPr>
        <w:t>Caracelli</w:t>
      </w:r>
      <w:proofErr w:type="spellEnd"/>
      <w:r w:rsidRPr="003F0485">
        <w:rPr>
          <w:lang w:val="en-HK"/>
        </w:rPr>
        <w:t xml:space="preserve">, V. J., and Graham, W. F. 1989. “Toward a Conceptual Framework for Mixed-method Evaluation Designs.” </w:t>
      </w:r>
      <w:r w:rsidRPr="003F0485">
        <w:rPr>
          <w:i/>
          <w:iCs/>
          <w:lang w:val="en-HK"/>
        </w:rPr>
        <w:t>Educational Evaluation and Policy Analysis</w:t>
      </w:r>
      <w:r w:rsidRPr="003F0485">
        <w:rPr>
          <w:lang w:val="en-HK"/>
        </w:rPr>
        <w:t xml:space="preserve"> 11 (3): 255–274.</w:t>
      </w:r>
    </w:p>
    <w:p w14:paraId="04A34348" w14:textId="10CFB3B9" w:rsidR="00530107" w:rsidRPr="003F0485" w:rsidRDefault="00530107" w:rsidP="006B1531">
      <w:pPr>
        <w:ind w:left="720" w:hanging="720"/>
        <w:rPr>
          <w:lang w:val="en-HK"/>
        </w:rPr>
      </w:pPr>
      <w:proofErr w:type="spellStart"/>
      <w:r w:rsidRPr="003F0485">
        <w:rPr>
          <w:lang w:val="en-HK"/>
        </w:rPr>
        <w:lastRenderedPageBreak/>
        <w:t>Haning</w:t>
      </w:r>
      <w:proofErr w:type="spellEnd"/>
      <w:r w:rsidRPr="003F0485">
        <w:rPr>
          <w:lang w:val="en-HK"/>
        </w:rPr>
        <w:t xml:space="preserve">, M. 2016. “Are They Ready to Teach with Technology? An Investigation of Technology Instruction in Music Teacher Education Programs.” </w:t>
      </w:r>
      <w:r w:rsidRPr="003F0485">
        <w:rPr>
          <w:i/>
          <w:iCs/>
          <w:lang w:val="en-HK"/>
        </w:rPr>
        <w:t>Journal of Music Technology Education</w:t>
      </w:r>
      <w:r w:rsidRPr="003F0485">
        <w:rPr>
          <w:lang w:val="en-HK"/>
        </w:rPr>
        <w:t xml:space="preserve"> 25 (3): 78–90. doi:10.1177/1057083715577696.</w:t>
      </w:r>
    </w:p>
    <w:p w14:paraId="2436848C" w14:textId="2CDC0C46" w:rsidR="00530107" w:rsidRPr="003F0485" w:rsidRDefault="00530107" w:rsidP="006B1531">
      <w:pPr>
        <w:ind w:left="720" w:hanging="720"/>
        <w:rPr>
          <w:lang w:val="en-HK"/>
        </w:rPr>
      </w:pPr>
      <w:r w:rsidRPr="003F0485">
        <w:rPr>
          <w:lang w:val="en-HK"/>
        </w:rPr>
        <w:t xml:space="preserve">Harding, S., Morris, R., Gunnell, D., Ford, T., Hollingworth, W., Tilling, K., Evans, R., et al. 2019. “Is Teachers’ Mental Health and Wellbeing Associated with Students’ Mental Health and Wellbeing?” </w:t>
      </w:r>
      <w:r w:rsidRPr="003F0485">
        <w:rPr>
          <w:i/>
          <w:iCs/>
          <w:lang w:val="en-HK"/>
        </w:rPr>
        <w:t>Journal of Affective Disorders</w:t>
      </w:r>
      <w:r w:rsidRPr="003F0485">
        <w:rPr>
          <w:lang w:val="en-HK"/>
        </w:rPr>
        <w:t xml:space="preserve"> 242: 180–187. </w:t>
      </w:r>
      <w:proofErr w:type="gramStart"/>
      <w:r w:rsidRPr="003F0485">
        <w:rPr>
          <w:lang w:val="en-HK"/>
        </w:rPr>
        <w:t>doi:10.1016/j.jad</w:t>
      </w:r>
      <w:proofErr w:type="gramEnd"/>
      <w:r w:rsidRPr="003F0485">
        <w:rPr>
          <w:lang w:val="en-HK"/>
        </w:rPr>
        <w:t>.2018.08.080.</w:t>
      </w:r>
    </w:p>
    <w:p w14:paraId="5F5D9E43" w14:textId="7BE1B54D" w:rsidR="00D16A18" w:rsidRPr="003F0485" w:rsidRDefault="00D16A18" w:rsidP="006B1531">
      <w:pPr>
        <w:ind w:left="720" w:hanging="720"/>
        <w:rPr>
          <w:lang w:val="en-HK"/>
        </w:rPr>
      </w:pPr>
      <w:r w:rsidRPr="003F0485">
        <w:rPr>
          <w:lang w:val="en-HK"/>
        </w:rPr>
        <w:t xml:space="preserve">Hartley, K., and Jarvis, D. S. L. 2020. “Policymaking in a Low-trust State: Legitimacy, State Capacity, and Responses to COVID-19 in Hong Kong.” </w:t>
      </w:r>
      <w:r w:rsidRPr="003F0485">
        <w:rPr>
          <w:i/>
          <w:iCs/>
          <w:lang w:val="en-HK"/>
        </w:rPr>
        <w:t>Policy and Society</w:t>
      </w:r>
      <w:r w:rsidRPr="003F0485">
        <w:rPr>
          <w:lang w:val="en-HK"/>
        </w:rPr>
        <w:t xml:space="preserve"> 39 (3): 403–423. doi:10.1080/14494035.2020.1783791.</w:t>
      </w:r>
    </w:p>
    <w:p w14:paraId="5EA98F2C" w14:textId="189088ED" w:rsidR="00D16A18" w:rsidRPr="003F0485" w:rsidRDefault="00D16A18" w:rsidP="003D62FB">
      <w:pPr>
        <w:ind w:left="720" w:hanging="720"/>
        <w:rPr>
          <w:lang w:val="en-HK"/>
        </w:rPr>
      </w:pPr>
      <w:r w:rsidRPr="003F0485">
        <w:rPr>
          <w:lang w:val="en-HK"/>
        </w:rPr>
        <w:t xml:space="preserve">Hamann, D. L., and Gordon, D. G. 2000. Burnout: An Occupational Hazard. </w:t>
      </w:r>
      <w:r w:rsidRPr="003F0485">
        <w:rPr>
          <w:i/>
          <w:iCs/>
          <w:lang w:val="en-HK"/>
        </w:rPr>
        <w:t>Music Educators Journa</w:t>
      </w:r>
      <w:r w:rsidR="00B16C6B" w:rsidRPr="003F0485">
        <w:rPr>
          <w:i/>
          <w:iCs/>
          <w:lang w:val="en-HK"/>
        </w:rPr>
        <w:t>l</w:t>
      </w:r>
      <w:r w:rsidRPr="003F0485">
        <w:rPr>
          <w:lang w:val="en-HK"/>
        </w:rPr>
        <w:t xml:space="preserve"> 87 (3): 34–39. doi:10.2307/3399661.</w:t>
      </w:r>
    </w:p>
    <w:p w14:paraId="5D9EAD47" w14:textId="65382B2B" w:rsidR="003D62FB" w:rsidRPr="003F0485" w:rsidRDefault="003D62FB" w:rsidP="003D62FB">
      <w:pPr>
        <w:ind w:left="720" w:hanging="720"/>
        <w:rPr>
          <w:lang w:val="en-HK"/>
        </w:rPr>
      </w:pPr>
      <w:r w:rsidRPr="003F0485">
        <w:rPr>
          <w:lang w:val="en-HK"/>
        </w:rPr>
        <w:t xml:space="preserve">Jiménez-Castellanos, O., Ochoa, A. M., </w:t>
      </w:r>
      <w:r w:rsidR="00D16A18" w:rsidRPr="003F0485">
        <w:rPr>
          <w:lang w:val="en-HK"/>
        </w:rPr>
        <w:t>and</w:t>
      </w:r>
      <w:r w:rsidRPr="003F0485">
        <w:rPr>
          <w:lang w:val="en-HK"/>
        </w:rPr>
        <w:t xml:space="preserve"> </w:t>
      </w:r>
      <w:proofErr w:type="spellStart"/>
      <w:r w:rsidRPr="003F0485">
        <w:rPr>
          <w:lang w:val="en-HK"/>
        </w:rPr>
        <w:t>Olivos</w:t>
      </w:r>
      <w:proofErr w:type="spellEnd"/>
      <w:r w:rsidRPr="003F0485">
        <w:rPr>
          <w:lang w:val="en-HK"/>
        </w:rPr>
        <w:t>, E. M.</w:t>
      </w:r>
      <w:r w:rsidR="00D16A18" w:rsidRPr="003F0485">
        <w:rPr>
          <w:lang w:val="en-HK"/>
        </w:rPr>
        <w:t xml:space="preserve"> </w:t>
      </w:r>
      <w:r w:rsidRPr="003F0485">
        <w:rPr>
          <w:lang w:val="en-HK"/>
        </w:rPr>
        <w:t xml:space="preserve">2016.  Operationalizing </w:t>
      </w:r>
      <w:r w:rsidR="00D16A18" w:rsidRPr="003F0485">
        <w:rPr>
          <w:lang w:val="en-HK"/>
        </w:rPr>
        <w:t>T</w:t>
      </w:r>
      <w:r w:rsidRPr="003F0485">
        <w:rPr>
          <w:lang w:val="en-HK"/>
        </w:rPr>
        <w:t xml:space="preserve">ransformative </w:t>
      </w:r>
      <w:r w:rsidR="00D16A18" w:rsidRPr="003F0485">
        <w:rPr>
          <w:lang w:val="en-HK"/>
        </w:rPr>
        <w:t>P</w:t>
      </w:r>
      <w:r w:rsidRPr="003F0485">
        <w:rPr>
          <w:lang w:val="en-HK"/>
        </w:rPr>
        <w:t xml:space="preserve">arent </w:t>
      </w:r>
      <w:r w:rsidR="00D16A18" w:rsidRPr="003F0485">
        <w:rPr>
          <w:lang w:val="en-HK"/>
        </w:rPr>
        <w:t>E</w:t>
      </w:r>
      <w:r w:rsidRPr="003F0485">
        <w:rPr>
          <w:lang w:val="en-HK"/>
        </w:rPr>
        <w:t xml:space="preserve">ngagement in Latino </w:t>
      </w:r>
      <w:r w:rsidR="00D16A18" w:rsidRPr="003F0485">
        <w:rPr>
          <w:lang w:val="en-HK"/>
        </w:rPr>
        <w:t>S</w:t>
      </w:r>
      <w:r w:rsidRPr="003F0485">
        <w:rPr>
          <w:lang w:val="en-HK"/>
        </w:rPr>
        <w:t xml:space="preserve">chool </w:t>
      </w:r>
      <w:r w:rsidR="00D16A18" w:rsidRPr="003F0485">
        <w:rPr>
          <w:lang w:val="en-HK"/>
        </w:rPr>
        <w:t>C</w:t>
      </w:r>
      <w:r w:rsidRPr="003F0485">
        <w:rPr>
          <w:lang w:val="en-HK"/>
        </w:rPr>
        <w:t xml:space="preserve">ommunities: A </w:t>
      </w:r>
      <w:r w:rsidR="00D16A18" w:rsidRPr="003F0485">
        <w:rPr>
          <w:lang w:val="en-HK"/>
        </w:rPr>
        <w:t>C</w:t>
      </w:r>
      <w:r w:rsidRPr="003F0485">
        <w:rPr>
          <w:lang w:val="en-HK"/>
        </w:rPr>
        <w:t xml:space="preserve">ase </w:t>
      </w:r>
      <w:r w:rsidR="00D16A18" w:rsidRPr="003F0485">
        <w:rPr>
          <w:lang w:val="en-HK"/>
        </w:rPr>
        <w:t>S</w:t>
      </w:r>
      <w:r w:rsidRPr="003F0485">
        <w:rPr>
          <w:lang w:val="en-HK"/>
        </w:rPr>
        <w:t xml:space="preserve">tudy. </w:t>
      </w:r>
      <w:r w:rsidRPr="003F0485">
        <w:rPr>
          <w:i/>
          <w:iCs/>
          <w:lang w:val="en-HK"/>
        </w:rPr>
        <w:t xml:space="preserve">Journal of Latino/Latin American Studies </w:t>
      </w:r>
      <w:r w:rsidRPr="003F0485">
        <w:rPr>
          <w:lang w:val="en-HK"/>
        </w:rPr>
        <w:t>8</w:t>
      </w:r>
      <w:r w:rsidR="00D16A18" w:rsidRPr="003F0485">
        <w:rPr>
          <w:i/>
          <w:iCs/>
          <w:lang w:val="en-HK"/>
        </w:rPr>
        <w:t xml:space="preserve"> </w:t>
      </w:r>
      <w:r w:rsidRPr="003F0485">
        <w:rPr>
          <w:lang w:val="en-HK"/>
        </w:rPr>
        <w:t>(1)</w:t>
      </w:r>
      <w:r w:rsidR="00B16C6B" w:rsidRPr="003F0485">
        <w:rPr>
          <w:lang w:val="en-HK"/>
        </w:rPr>
        <w:t>:</w:t>
      </w:r>
      <w:r w:rsidRPr="003F0485">
        <w:rPr>
          <w:lang w:val="en-HK"/>
        </w:rPr>
        <w:t xml:space="preserve"> 93</w:t>
      </w:r>
      <w:r w:rsidR="00F04BB5" w:rsidRPr="003F0485">
        <w:rPr>
          <w:lang w:val="en-HK"/>
        </w:rPr>
        <w:t>–</w:t>
      </w:r>
      <w:r w:rsidRPr="003F0485">
        <w:rPr>
          <w:lang w:val="en-HK"/>
        </w:rPr>
        <w:t xml:space="preserve">107. </w:t>
      </w:r>
      <w:r w:rsidR="00B8741B" w:rsidRPr="003F0485">
        <w:rPr>
          <w:lang w:val="en-HK"/>
        </w:rPr>
        <w:t>d</w:t>
      </w:r>
      <w:r w:rsidRPr="003F0485">
        <w:rPr>
          <w:lang w:val="en-HK"/>
        </w:rPr>
        <w:t>oi</w:t>
      </w:r>
      <w:r w:rsidR="00D16A18" w:rsidRPr="003F0485">
        <w:rPr>
          <w:lang w:val="en-HK"/>
        </w:rPr>
        <w:t>:</w:t>
      </w:r>
      <w:r w:rsidRPr="003F0485">
        <w:rPr>
          <w:lang w:val="en-HK"/>
        </w:rPr>
        <w:t>10.18085/1549-9502-8.1.93</w:t>
      </w:r>
      <w:r w:rsidR="00D16A18" w:rsidRPr="003F0485">
        <w:rPr>
          <w:lang w:val="en-HK"/>
        </w:rPr>
        <w:t>.</w:t>
      </w:r>
    </w:p>
    <w:p w14:paraId="50EF61A2" w14:textId="55C42CB6" w:rsidR="00D16A18" w:rsidRPr="003F0485" w:rsidRDefault="00D16A18" w:rsidP="006B1531">
      <w:pPr>
        <w:ind w:left="720" w:hanging="720"/>
        <w:rPr>
          <w:lang w:val="en-HK"/>
        </w:rPr>
      </w:pPr>
      <w:proofErr w:type="spellStart"/>
      <w:r w:rsidRPr="003F0485">
        <w:rPr>
          <w:lang w:val="en-HK"/>
        </w:rPr>
        <w:t>Jin</w:t>
      </w:r>
      <w:proofErr w:type="spellEnd"/>
      <w:r w:rsidRPr="003F0485">
        <w:rPr>
          <w:lang w:val="en-HK"/>
        </w:rPr>
        <w:t xml:space="preserve"> L., and </w:t>
      </w:r>
      <w:proofErr w:type="spellStart"/>
      <w:r w:rsidRPr="003F0485">
        <w:rPr>
          <w:lang w:val="en-HK"/>
        </w:rPr>
        <w:t>Cortazzi</w:t>
      </w:r>
      <w:proofErr w:type="spellEnd"/>
      <w:r w:rsidRPr="003F0485">
        <w:rPr>
          <w:lang w:val="en-HK"/>
        </w:rPr>
        <w:t xml:space="preserve">, M. 2008. “Images of Teachers, Learning and Questioning in Chinese Cultures of Learning.” </w:t>
      </w:r>
      <w:r w:rsidRPr="003F0485">
        <w:rPr>
          <w:i/>
          <w:iCs/>
          <w:lang w:val="en-HK"/>
        </w:rPr>
        <w:t>Metaphors of learning: Cross-cultural Perspectives,</w:t>
      </w:r>
      <w:r w:rsidRPr="003F0485">
        <w:rPr>
          <w:lang w:val="en-HK"/>
        </w:rPr>
        <w:t xml:space="preserve"> edited by Erich A. Berendt, 177–202. Amsterdam: John </w:t>
      </w:r>
      <w:proofErr w:type="spellStart"/>
      <w:r w:rsidRPr="003F0485">
        <w:rPr>
          <w:lang w:val="en-HK"/>
        </w:rPr>
        <w:t>Benjamins</w:t>
      </w:r>
      <w:proofErr w:type="spellEnd"/>
      <w:r w:rsidRPr="003F0485">
        <w:rPr>
          <w:lang w:val="en-HK"/>
        </w:rPr>
        <w:t xml:space="preserve">. </w:t>
      </w:r>
      <w:proofErr w:type="gramStart"/>
      <w:r w:rsidRPr="003F0485">
        <w:rPr>
          <w:lang w:val="en-HK"/>
        </w:rPr>
        <w:t>doi:10.1075/hcp.22.13jin</w:t>
      </w:r>
      <w:proofErr w:type="gramEnd"/>
      <w:r w:rsidRPr="003F0485">
        <w:rPr>
          <w:lang w:val="en-HK"/>
        </w:rPr>
        <w:t>.</w:t>
      </w:r>
    </w:p>
    <w:p w14:paraId="48DB5658" w14:textId="2908C608" w:rsidR="00D16A18" w:rsidRPr="003F0485" w:rsidRDefault="00D16A18" w:rsidP="006B1531">
      <w:pPr>
        <w:ind w:left="720" w:hanging="720"/>
        <w:rPr>
          <w:lang w:val="en-HK"/>
        </w:rPr>
      </w:pPr>
      <w:proofErr w:type="spellStart"/>
      <w:r w:rsidRPr="003F0485">
        <w:rPr>
          <w:lang w:val="en-HK"/>
        </w:rPr>
        <w:t>Krippendorff</w:t>
      </w:r>
      <w:proofErr w:type="spellEnd"/>
      <w:r w:rsidRPr="003F0485">
        <w:rPr>
          <w:lang w:val="en-HK"/>
        </w:rPr>
        <w:t xml:space="preserve">, K. 2004. </w:t>
      </w:r>
      <w:r w:rsidRPr="003F0485">
        <w:rPr>
          <w:i/>
          <w:iCs/>
          <w:lang w:val="en-HK"/>
        </w:rPr>
        <w:t>Content Analysis: An Introduction to Its Methodology</w:t>
      </w:r>
      <w:r w:rsidRPr="003F0485">
        <w:rPr>
          <w:lang w:val="en-HK"/>
        </w:rPr>
        <w:t>. 2nd ed. Thousand Oaks, CA: Sage.</w:t>
      </w:r>
    </w:p>
    <w:p w14:paraId="78CB9290" w14:textId="77777777" w:rsidR="00D16A18" w:rsidRPr="003F0485" w:rsidRDefault="00D16A18" w:rsidP="006B1531">
      <w:pPr>
        <w:ind w:left="720" w:hanging="720"/>
        <w:rPr>
          <w:lang w:val="en-HK"/>
        </w:rPr>
      </w:pPr>
      <w:r w:rsidRPr="003F0485">
        <w:rPr>
          <w:lang w:val="en-HK"/>
        </w:rPr>
        <w:t xml:space="preserve">Krueger, P. J. 2000. “Beginning Music Teachers: Will They Leave the Profession?” Update: </w:t>
      </w:r>
      <w:r w:rsidRPr="003F0485">
        <w:rPr>
          <w:i/>
          <w:iCs/>
          <w:lang w:val="en-HK"/>
        </w:rPr>
        <w:t>Applications of Research in Music Education</w:t>
      </w:r>
      <w:r w:rsidRPr="003F0485">
        <w:rPr>
          <w:lang w:val="en-HK"/>
        </w:rPr>
        <w:t xml:space="preserve"> 19 (1): 22–26. doi:10.1177/875512330001900105.</w:t>
      </w:r>
    </w:p>
    <w:p w14:paraId="307ABB85" w14:textId="77777777" w:rsidR="00D16A18" w:rsidRPr="003F0485" w:rsidRDefault="00D16A18" w:rsidP="006B1531">
      <w:pPr>
        <w:ind w:left="720" w:hanging="720"/>
        <w:rPr>
          <w:lang w:val="en-HK"/>
        </w:rPr>
      </w:pPr>
      <w:proofErr w:type="spellStart"/>
      <w:r w:rsidRPr="003F0485">
        <w:rPr>
          <w:lang w:val="en-HK"/>
        </w:rPr>
        <w:lastRenderedPageBreak/>
        <w:t>Kyriacou</w:t>
      </w:r>
      <w:proofErr w:type="spellEnd"/>
      <w:r w:rsidRPr="003F0485">
        <w:rPr>
          <w:lang w:val="en-HK"/>
        </w:rPr>
        <w:t xml:space="preserve">, C., and </w:t>
      </w:r>
      <w:proofErr w:type="spellStart"/>
      <w:r w:rsidRPr="003F0485">
        <w:rPr>
          <w:lang w:val="en-HK"/>
        </w:rPr>
        <w:t>Chien</w:t>
      </w:r>
      <w:proofErr w:type="spellEnd"/>
      <w:r w:rsidRPr="003F0485">
        <w:rPr>
          <w:lang w:val="en-HK"/>
        </w:rPr>
        <w:t xml:space="preserve">, P. Y. 2004. “Teacher Stress in Taiwanese Primary Schools.” </w:t>
      </w:r>
      <w:r w:rsidRPr="003F0485">
        <w:rPr>
          <w:i/>
          <w:iCs/>
          <w:lang w:val="en-HK"/>
        </w:rPr>
        <w:t xml:space="preserve">Journal of Education Enquiry </w:t>
      </w:r>
      <w:r w:rsidRPr="003F0485">
        <w:rPr>
          <w:lang w:val="en-HK"/>
        </w:rPr>
        <w:t>5 (2): 86–104.</w:t>
      </w:r>
    </w:p>
    <w:p w14:paraId="47C5F510" w14:textId="1057423A" w:rsidR="00D16A18" w:rsidRPr="003F0485" w:rsidRDefault="00D16A18" w:rsidP="006B1531">
      <w:pPr>
        <w:ind w:left="720" w:hanging="720"/>
        <w:rPr>
          <w:lang w:val="en-HK"/>
        </w:rPr>
      </w:pPr>
      <w:r w:rsidRPr="003F0485">
        <w:rPr>
          <w:lang w:val="en-HK"/>
        </w:rPr>
        <w:t xml:space="preserve">Lave, J., and Wenger, E. 1991. </w:t>
      </w:r>
      <w:r w:rsidRPr="003F0485">
        <w:rPr>
          <w:i/>
          <w:iCs/>
          <w:lang w:val="en-HK"/>
        </w:rPr>
        <w:t>Situated Learning: Legitimate Peripheral Participation</w:t>
      </w:r>
      <w:r w:rsidRPr="003F0485">
        <w:rPr>
          <w:lang w:val="en-HK"/>
        </w:rPr>
        <w:t>. Cambridge: Cambridge University Press. doi:10.1017/CBO9780511815355.</w:t>
      </w:r>
    </w:p>
    <w:p w14:paraId="322A27F3" w14:textId="4E4E9C88" w:rsidR="00D16A18" w:rsidRPr="003F0485" w:rsidRDefault="00D16A18" w:rsidP="006B1531">
      <w:pPr>
        <w:ind w:left="720" w:hanging="720"/>
        <w:rPr>
          <w:lang w:val="en-HK"/>
        </w:rPr>
      </w:pPr>
      <w:proofErr w:type="spellStart"/>
      <w:r w:rsidRPr="003F0485">
        <w:rPr>
          <w:lang w:val="en-HK"/>
        </w:rPr>
        <w:t>MacIntyre</w:t>
      </w:r>
      <w:proofErr w:type="spellEnd"/>
      <w:r w:rsidRPr="003F0485">
        <w:rPr>
          <w:lang w:val="en-HK"/>
        </w:rPr>
        <w:t xml:space="preserve">, P., </w:t>
      </w:r>
      <w:proofErr w:type="spellStart"/>
      <w:r w:rsidRPr="003F0485">
        <w:rPr>
          <w:lang w:val="en-HK"/>
        </w:rPr>
        <w:t>Gregersen</w:t>
      </w:r>
      <w:proofErr w:type="spellEnd"/>
      <w:r w:rsidRPr="003F0485">
        <w:rPr>
          <w:lang w:val="en-HK"/>
        </w:rPr>
        <w:t xml:space="preserve">, T., and Mercer, S. 2020. Language Teachers' Coping Strategies during the Covid-19 Conversion to Online Teaching: Correlations with Stress, Wellbeing and Negative Emotions. </w:t>
      </w:r>
      <w:r w:rsidRPr="003F0485">
        <w:rPr>
          <w:i/>
          <w:iCs/>
          <w:lang w:val="en-HK"/>
        </w:rPr>
        <w:t xml:space="preserve">System </w:t>
      </w:r>
      <w:r w:rsidRPr="003F0485">
        <w:rPr>
          <w:lang w:val="en-HK"/>
        </w:rPr>
        <w:t xml:space="preserve">94. 1–13. </w:t>
      </w:r>
      <w:proofErr w:type="gramStart"/>
      <w:r w:rsidRPr="003F0485">
        <w:rPr>
          <w:lang w:val="en-HK"/>
        </w:rPr>
        <w:t>doi:10.1016/j.system</w:t>
      </w:r>
      <w:proofErr w:type="gramEnd"/>
      <w:r w:rsidRPr="003F0485">
        <w:rPr>
          <w:lang w:val="en-HK"/>
        </w:rPr>
        <w:t>.2020.102352.</w:t>
      </w:r>
    </w:p>
    <w:p w14:paraId="342FC2D4" w14:textId="607B61C6" w:rsidR="00D16A18" w:rsidRPr="003F0485" w:rsidRDefault="00D16A18" w:rsidP="00D16A18">
      <w:pPr>
        <w:ind w:left="720" w:hanging="720"/>
        <w:rPr>
          <w:lang w:val="en-HK"/>
        </w:rPr>
      </w:pPr>
      <w:r w:rsidRPr="003F0485">
        <w:rPr>
          <w:lang w:val="en-HK"/>
        </w:rPr>
        <w:t xml:space="preserve">Manson, J. L. 2020. “The </w:t>
      </w:r>
      <w:proofErr w:type="spellStart"/>
      <w:r w:rsidRPr="003F0485">
        <w:rPr>
          <w:lang w:val="en-HK"/>
        </w:rPr>
        <w:t>Reemergence</w:t>
      </w:r>
      <w:proofErr w:type="spellEnd"/>
      <w:r w:rsidRPr="003F0485">
        <w:rPr>
          <w:lang w:val="en-HK"/>
        </w:rPr>
        <w:t xml:space="preserve"> of Digital Poverty in Secondary Education.” Paper presented at the </w:t>
      </w:r>
      <w:r w:rsidRPr="003F0485">
        <w:rPr>
          <w:i/>
          <w:iCs/>
          <w:lang w:val="en-HK"/>
        </w:rPr>
        <w:t>Georgia Educational Research Association Conference</w:t>
      </w:r>
      <w:r w:rsidRPr="003F0485">
        <w:rPr>
          <w:lang w:val="en-HK"/>
        </w:rPr>
        <w:t>, Georgia, October. https://digitalcommons.georgiasouthern.edu/gera/2020/2020/38</w:t>
      </w:r>
    </w:p>
    <w:p w14:paraId="3E0C61D2" w14:textId="77777777" w:rsidR="00D16A18" w:rsidRPr="003F0485" w:rsidRDefault="00D16A18" w:rsidP="003D62FB">
      <w:pPr>
        <w:ind w:left="720" w:hanging="720"/>
        <w:rPr>
          <w:lang w:val="en-HK"/>
        </w:rPr>
      </w:pPr>
      <w:r w:rsidRPr="003F0485">
        <w:rPr>
          <w:lang w:val="en-HK"/>
        </w:rPr>
        <w:t xml:space="preserve">Meng, L. and Liu, S. 2008. “Mathematics Teacher Stress in Chinese Secondary Schools.” </w:t>
      </w:r>
      <w:r w:rsidRPr="003F0485">
        <w:rPr>
          <w:i/>
          <w:iCs/>
          <w:lang w:val="en-HK"/>
        </w:rPr>
        <w:t>Journal of Educational Enquiry</w:t>
      </w:r>
      <w:r w:rsidRPr="003F0485">
        <w:rPr>
          <w:lang w:val="en-HK"/>
        </w:rPr>
        <w:t xml:space="preserve"> 8 (1): 73–96.</w:t>
      </w:r>
    </w:p>
    <w:p w14:paraId="7AC2679E" w14:textId="36232B89" w:rsidR="003D62FB" w:rsidRPr="003F0485" w:rsidRDefault="003D62FB" w:rsidP="003D62FB">
      <w:pPr>
        <w:ind w:left="720" w:hanging="720"/>
        <w:rPr>
          <w:lang w:val="en-HK"/>
        </w:rPr>
      </w:pPr>
      <w:r w:rsidRPr="003F0485">
        <w:rPr>
          <w:lang w:val="en-HK"/>
        </w:rPr>
        <w:t xml:space="preserve">Miles, M. B., Huberman, A. M., </w:t>
      </w:r>
      <w:r w:rsidR="00D16A18" w:rsidRPr="003F0485">
        <w:rPr>
          <w:lang w:val="en-HK"/>
        </w:rPr>
        <w:t>and</w:t>
      </w:r>
      <w:r w:rsidRPr="003F0485">
        <w:rPr>
          <w:lang w:val="en-HK"/>
        </w:rPr>
        <w:t xml:space="preserve"> Saldana, J. 2014. </w:t>
      </w:r>
      <w:r w:rsidRPr="003F0485">
        <w:rPr>
          <w:i/>
          <w:iCs/>
          <w:lang w:val="en-HK"/>
        </w:rPr>
        <w:t xml:space="preserve">Qualitative </w:t>
      </w:r>
      <w:r w:rsidR="00D16A18" w:rsidRPr="003F0485">
        <w:rPr>
          <w:i/>
          <w:iCs/>
          <w:lang w:val="en-HK"/>
        </w:rPr>
        <w:t>D</w:t>
      </w:r>
      <w:r w:rsidRPr="003F0485">
        <w:rPr>
          <w:i/>
          <w:iCs/>
          <w:lang w:val="en-HK"/>
        </w:rPr>
        <w:t xml:space="preserve">ata </w:t>
      </w:r>
      <w:r w:rsidR="00D16A18" w:rsidRPr="003F0485">
        <w:rPr>
          <w:i/>
          <w:iCs/>
          <w:lang w:val="en-HK"/>
        </w:rPr>
        <w:t>A</w:t>
      </w:r>
      <w:r w:rsidRPr="003F0485">
        <w:rPr>
          <w:i/>
          <w:iCs/>
          <w:lang w:val="en-HK"/>
        </w:rPr>
        <w:t xml:space="preserve">nalysis: A </w:t>
      </w:r>
      <w:r w:rsidR="00D16A18" w:rsidRPr="003F0485">
        <w:rPr>
          <w:i/>
          <w:iCs/>
          <w:lang w:val="en-HK"/>
        </w:rPr>
        <w:t>M</w:t>
      </w:r>
      <w:r w:rsidRPr="003F0485">
        <w:rPr>
          <w:i/>
          <w:iCs/>
          <w:lang w:val="en-HK"/>
        </w:rPr>
        <w:t xml:space="preserve">ethods </w:t>
      </w:r>
      <w:r w:rsidR="00D16A18" w:rsidRPr="003F0485">
        <w:rPr>
          <w:i/>
          <w:iCs/>
          <w:lang w:val="en-HK"/>
        </w:rPr>
        <w:t>S</w:t>
      </w:r>
      <w:r w:rsidRPr="003F0485">
        <w:rPr>
          <w:i/>
          <w:iCs/>
          <w:lang w:val="en-HK"/>
        </w:rPr>
        <w:t xml:space="preserve">ourcebook. </w:t>
      </w:r>
      <w:r w:rsidR="00D16A18" w:rsidRPr="003F0485">
        <w:rPr>
          <w:lang w:val="en-HK"/>
        </w:rPr>
        <w:t>London:</w:t>
      </w:r>
      <w:r w:rsidR="00D16A18" w:rsidRPr="003F0485">
        <w:rPr>
          <w:i/>
          <w:iCs/>
          <w:lang w:val="en-HK"/>
        </w:rPr>
        <w:t xml:space="preserve"> </w:t>
      </w:r>
      <w:r w:rsidRPr="003F0485">
        <w:rPr>
          <w:lang w:val="en-HK"/>
        </w:rPr>
        <w:t>Sage.</w:t>
      </w:r>
    </w:p>
    <w:p w14:paraId="16EDEF53" w14:textId="77777777" w:rsidR="00D16A18" w:rsidRPr="003F0485" w:rsidRDefault="00D16A18" w:rsidP="006B1531">
      <w:pPr>
        <w:ind w:left="720" w:hanging="720"/>
        <w:rPr>
          <w:lang w:val="en-HK"/>
        </w:rPr>
      </w:pPr>
      <w:proofErr w:type="spellStart"/>
      <w:r w:rsidRPr="003F0485">
        <w:rPr>
          <w:lang w:val="en-HK"/>
        </w:rPr>
        <w:t>Mockler</w:t>
      </w:r>
      <w:proofErr w:type="spellEnd"/>
      <w:r w:rsidRPr="003F0485">
        <w:rPr>
          <w:lang w:val="en-HK"/>
        </w:rPr>
        <w:t xml:space="preserve">, N. 2005. “Trans/forming Teachers: New Professional Learning and Transformative Teacher Professionalism.” </w:t>
      </w:r>
      <w:r w:rsidRPr="003F0485">
        <w:rPr>
          <w:i/>
          <w:iCs/>
          <w:lang w:val="en-HK"/>
        </w:rPr>
        <w:t>Journal of In-service Education</w:t>
      </w:r>
      <w:r w:rsidRPr="003F0485">
        <w:rPr>
          <w:lang w:val="en-HK"/>
        </w:rPr>
        <w:t xml:space="preserve"> 31 (4): 733–746. doi:10.1080/13674580500200293.10.1080/13674580500200380.</w:t>
      </w:r>
    </w:p>
    <w:p w14:paraId="2A1D3775" w14:textId="69C6765F" w:rsidR="006B1531" w:rsidRPr="003F0485" w:rsidRDefault="00D16A18" w:rsidP="006B1531">
      <w:pPr>
        <w:ind w:left="720" w:hanging="720"/>
        <w:rPr>
          <w:lang w:val="en-HK"/>
        </w:rPr>
      </w:pPr>
      <w:r w:rsidRPr="003F0485">
        <w:rPr>
          <w:lang w:val="en-HK"/>
        </w:rPr>
        <w:t xml:space="preserve">Morris, P., and Vickers, E. 2015. “Schooling, Politics and the Construction of Identity in Hong Kong: The 2012 ‘Moral and National Education’ Crisis in Historical Context.” </w:t>
      </w:r>
      <w:r w:rsidRPr="003F0485">
        <w:rPr>
          <w:i/>
          <w:iCs/>
          <w:lang w:val="en-HK"/>
        </w:rPr>
        <w:t>Comparative Education</w:t>
      </w:r>
      <w:r w:rsidRPr="003F0485">
        <w:rPr>
          <w:lang w:val="en-HK"/>
        </w:rPr>
        <w:t xml:space="preserve"> 51 (30), 305–326. doi:10.1080/03050068.2015</w:t>
      </w:r>
      <w:r w:rsidR="006B1531" w:rsidRPr="003F0485">
        <w:rPr>
          <w:lang w:val="en-HK"/>
        </w:rPr>
        <w:t>.1033169</w:t>
      </w:r>
      <w:r w:rsidRPr="003F0485">
        <w:rPr>
          <w:lang w:val="en-HK"/>
        </w:rPr>
        <w:t>.</w:t>
      </w:r>
    </w:p>
    <w:p w14:paraId="79DFD6C1" w14:textId="5EDFE485" w:rsidR="00D16A18" w:rsidRPr="003F0485" w:rsidRDefault="00D16A18" w:rsidP="006B1531">
      <w:pPr>
        <w:ind w:left="720" w:hanging="720"/>
        <w:rPr>
          <w:lang w:val="en-HK"/>
        </w:rPr>
      </w:pPr>
      <w:r w:rsidRPr="003F0485">
        <w:rPr>
          <w:lang w:val="en-HK"/>
        </w:rPr>
        <w:t xml:space="preserve">Ni, M. Y., Yao, X. I., Leung, K. S. M., </w:t>
      </w:r>
      <w:proofErr w:type="spellStart"/>
      <w:r w:rsidRPr="003F0485">
        <w:rPr>
          <w:lang w:val="en-HK"/>
        </w:rPr>
        <w:t>Yau</w:t>
      </w:r>
      <w:proofErr w:type="spellEnd"/>
      <w:r w:rsidRPr="003F0485">
        <w:rPr>
          <w:lang w:val="en-HK"/>
        </w:rPr>
        <w:t xml:space="preserve">, C., Leung, C. M. C., </w:t>
      </w:r>
      <w:proofErr w:type="spellStart"/>
      <w:r w:rsidRPr="003F0485">
        <w:rPr>
          <w:lang w:val="en-HK"/>
        </w:rPr>
        <w:t>Lun</w:t>
      </w:r>
      <w:proofErr w:type="spellEnd"/>
      <w:r w:rsidRPr="003F0485">
        <w:rPr>
          <w:lang w:val="en-HK"/>
        </w:rPr>
        <w:t xml:space="preserve">, P., Flores, F. P., et al. 2020. “Depression and Post-traumatic Stress during Major Social Unrest in </w:t>
      </w:r>
      <w:r w:rsidRPr="003F0485">
        <w:rPr>
          <w:lang w:val="en-HK"/>
        </w:rPr>
        <w:lastRenderedPageBreak/>
        <w:t xml:space="preserve">Hong Kong: A 10-year Prospective Cohort Study.” </w:t>
      </w:r>
      <w:r w:rsidRPr="003F0485">
        <w:rPr>
          <w:i/>
          <w:iCs/>
          <w:lang w:val="en-HK"/>
        </w:rPr>
        <w:t>The Lancet</w:t>
      </w:r>
      <w:r w:rsidRPr="003F0485">
        <w:rPr>
          <w:lang w:val="en-HK"/>
        </w:rPr>
        <w:t xml:space="preserve"> 395 (10220): 273–284. doi:10.1016/S0140-6736(19)33160-5.</w:t>
      </w:r>
    </w:p>
    <w:p w14:paraId="3B42C41E" w14:textId="0B6A925C" w:rsidR="00D16A18" w:rsidRPr="003F0485" w:rsidRDefault="00D16A18" w:rsidP="006B1531">
      <w:pPr>
        <w:ind w:left="720" w:hanging="720"/>
        <w:rPr>
          <w:lang w:val="en-HK"/>
        </w:rPr>
      </w:pPr>
      <w:proofErr w:type="spellStart"/>
      <w:r w:rsidRPr="003F0485">
        <w:rPr>
          <w:lang w:val="en-HK"/>
        </w:rPr>
        <w:t>Pakpour</w:t>
      </w:r>
      <w:proofErr w:type="spellEnd"/>
      <w:r w:rsidRPr="003F0485">
        <w:rPr>
          <w:lang w:val="en-HK"/>
        </w:rPr>
        <w:t xml:space="preserve">, A. H., Griffiths, M. D., and Lin, C. Y. 2020. “Assessing Psychological Response to the COVID-19: The Fear of COVID-19 Scale and the COVID Stress Scales.” </w:t>
      </w:r>
      <w:r w:rsidRPr="003F0485">
        <w:rPr>
          <w:i/>
          <w:iCs/>
          <w:lang w:val="en-HK"/>
        </w:rPr>
        <w:t>International Journal of Mental Health and Addiction.</w:t>
      </w:r>
      <w:r w:rsidRPr="003F0485">
        <w:rPr>
          <w:lang w:val="en-HK"/>
        </w:rPr>
        <w:t xml:space="preserve"> doi:10.1007/s11469-020-00334-9.</w:t>
      </w:r>
    </w:p>
    <w:p w14:paraId="5E87EDB5" w14:textId="327FD3E4" w:rsidR="00D16A18" w:rsidRPr="003F0485" w:rsidRDefault="00D16A18" w:rsidP="006B1531">
      <w:pPr>
        <w:ind w:left="720" w:hanging="720"/>
        <w:rPr>
          <w:color w:val="333333"/>
          <w:lang w:val="en-HK"/>
        </w:rPr>
      </w:pPr>
      <w:r w:rsidRPr="003F0485">
        <w:rPr>
          <w:color w:val="333333"/>
          <w:lang w:val="en-HK"/>
        </w:rPr>
        <w:t xml:space="preserve">Payne, P. D., Lewis, W., and McCaskill, F. 2020. “Looking within: An Investigation of Music Education Majors and Mental Health.” </w:t>
      </w:r>
      <w:r w:rsidRPr="003F0485">
        <w:rPr>
          <w:i/>
          <w:iCs/>
          <w:color w:val="333333"/>
          <w:lang w:val="en-HK"/>
        </w:rPr>
        <w:t xml:space="preserve">Journal of Music Teacher Education </w:t>
      </w:r>
      <w:r w:rsidRPr="003F0485">
        <w:rPr>
          <w:color w:val="333333"/>
          <w:lang w:val="en-HK"/>
        </w:rPr>
        <w:t>29 (3): 50–61. doi:10.1177/1057083720927748.</w:t>
      </w:r>
    </w:p>
    <w:p w14:paraId="049555B0" w14:textId="3DF55A53" w:rsidR="00D16A18" w:rsidRPr="003F0485" w:rsidRDefault="00D16A18" w:rsidP="006B1531">
      <w:pPr>
        <w:ind w:left="720" w:hanging="720"/>
        <w:rPr>
          <w:color w:val="333333"/>
          <w:lang w:val="en-HK"/>
        </w:rPr>
      </w:pPr>
      <w:proofErr w:type="spellStart"/>
      <w:r w:rsidRPr="003F0485">
        <w:rPr>
          <w:color w:val="333333"/>
          <w:lang w:val="en-HK"/>
        </w:rPr>
        <w:t>Philipsen</w:t>
      </w:r>
      <w:proofErr w:type="spellEnd"/>
      <w:r w:rsidRPr="003F0485">
        <w:rPr>
          <w:color w:val="333333"/>
          <w:lang w:val="en-HK"/>
        </w:rPr>
        <w:t xml:space="preserve">, B., </w:t>
      </w:r>
      <w:proofErr w:type="spellStart"/>
      <w:r w:rsidRPr="003F0485">
        <w:rPr>
          <w:color w:val="333333"/>
          <w:lang w:val="en-HK"/>
        </w:rPr>
        <w:t>Tondeur</w:t>
      </w:r>
      <w:proofErr w:type="spellEnd"/>
      <w:r w:rsidRPr="003F0485">
        <w:rPr>
          <w:color w:val="333333"/>
          <w:lang w:val="en-HK"/>
        </w:rPr>
        <w:t xml:space="preserve">, J., Roblin, N. P., </w:t>
      </w:r>
      <w:proofErr w:type="spellStart"/>
      <w:r w:rsidRPr="003F0485">
        <w:rPr>
          <w:color w:val="333333"/>
          <w:lang w:val="en-HK"/>
        </w:rPr>
        <w:t>Vanslambrouck</w:t>
      </w:r>
      <w:proofErr w:type="spellEnd"/>
      <w:r w:rsidRPr="003F0485">
        <w:rPr>
          <w:color w:val="333333"/>
          <w:lang w:val="en-HK"/>
        </w:rPr>
        <w:t>, S., and Zhu, C. 2019. “Improving Teacher Professional Development for Online and Blended Learning: A Systematic Meta-</w:t>
      </w:r>
      <w:proofErr w:type="gramStart"/>
      <w:r w:rsidRPr="003F0485">
        <w:rPr>
          <w:color w:val="333333"/>
          <w:lang w:val="en-HK"/>
        </w:rPr>
        <w:t>aggregative</w:t>
      </w:r>
      <w:proofErr w:type="gramEnd"/>
      <w:r w:rsidRPr="003F0485">
        <w:rPr>
          <w:color w:val="333333"/>
          <w:lang w:val="en-HK"/>
        </w:rPr>
        <w:t xml:space="preserve"> Review.” </w:t>
      </w:r>
      <w:r w:rsidRPr="003F0485">
        <w:rPr>
          <w:i/>
          <w:iCs/>
          <w:color w:val="333333"/>
          <w:lang w:val="en-HK"/>
        </w:rPr>
        <w:t>Educational Technology Research and Development</w:t>
      </w:r>
      <w:r w:rsidRPr="003F0485">
        <w:rPr>
          <w:color w:val="333333"/>
          <w:lang w:val="en-HK"/>
        </w:rPr>
        <w:t xml:space="preserve"> 67</w:t>
      </w:r>
      <w:r w:rsidR="00B16C6B" w:rsidRPr="003F0485">
        <w:rPr>
          <w:color w:val="333333"/>
          <w:lang w:val="en-HK"/>
        </w:rPr>
        <w:t xml:space="preserve">: </w:t>
      </w:r>
      <w:r w:rsidRPr="003F0485">
        <w:rPr>
          <w:color w:val="333333"/>
          <w:lang w:val="en-HK"/>
        </w:rPr>
        <w:t>1145–1174. doi:10.1007/s11423-019-09645-8.</w:t>
      </w:r>
    </w:p>
    <w:p w14:paraId="3B93DFB6" w14:textId="7B63F611" w:rsidR="00F96119" w:rsidRPr="003F0485" w:rsidRDefault="00F96119" w:rsidP="006B1531">
      <w:pPr>
        <w:ind w:left="720" w:hanging="720"/>
        <w:rPr>
          <w:color w:val="333333"/>
          <w:lang w:val="en-HK"/>
        </w:rPr>
      </w:pPr>
      <w:r w:rsidRPr="003F0485">
        <w:rPr>
          <w:color w:val="333333"/>
          <w:lang w:val="en-HK"/>
        </w:rPr>
        <w:t xml:space="preserve">Plummer, F., </w:t>
      </w:r>
      <w:proofErr w:type="spellStart"/>
      <w:r w:rsidRPr="003F0485">
        <w:rPr>
          <w:color w:val="333333"/>
          <w:lang w:val="en-HK"/>
        </w:rPr>
        <w:t>Manea</w:t>
      </w:r>
      <w:proofErr w:type="spellEnd"/>
      <w:r w:rsidRPr="003F0485">
        <w:rPr>
          <w:color w:val="333333"/>
          <w:lang w:val="en-HK"/>
        </w:rPr>
        <w:t xml:space="preserve">, L., </w:t>
      </w:r>
      <w:proofErr w:type="spellStart"/>
      <w:r w:rsidRPr="003F0485">
        <w:rPr>
          <w:color w:val="333333"/>
          <w:lang w:val="en-HK"/>
        </w:rPr>
        <w:t>Trepel</w:t>
      </w:r>
      <w:proofErr w:type="spellEnd"/>
      <w:r w:rsidRPr="003F0485">
        <w:rPr>
          <w:color w:val="333333"/>
          <w:lang w:val="en-HK"/>
        </w:rPr>
        <w:t xml:space="preserve">, D., and McMillan, D. 2016. "Screening for Anxiety Disorders with the GAD-7 and GAD-2: A Systematic Review and Diagnostic </w:t>
      </w:r>
      <w:proofErr w:type="spellStart"/>
      <w:r w:rsidRPr="003F0485">
        <w:rPr>
          <w:color w:val="333333"/>
          <w:lang w:val="en-HK"/>
        </w:rPr>
        <w:t>Metaanalysis</w:t>
      </w:r>
      <w:proofErr w:type="spellEnd"/>
      <w:r w:rsidRPr="003F0485">
        <w:rPr>
          <w:color w:val="333333"/>
          <w:lang w:val="en-HK"/>
        </w:rPr>
        <w:t xml:space="preserve">". </w:t>
      </w:r>
      <w:r w:rsidRPr="003F0485">
        <w:rPr>
          <w:i/>
          <w:iCs/>
          <w:color w:val="333333"/>
          <w:lang w:val="en-HK"/>
        </w:rPr>
        <w:t>General Hospital Psychiatry</w:t>
      </w:r>
      <w:r w:rsidRPr="003F0485">
        <w:rPr>
          <w:color w:val="333333"/>
          <w:lang w:val="en-HK"/>
        </w:rPr>
        <w:t xml:space="preserve"> 39: 24–31. </w:t>
      </w:r>
      <w:proofErr w:type="gramStart"/>
      <w:r w:rsidRPr="003F0485">
        <w:rPr>
          <w:color w:val="333333"/>
          <w:lang w:val="en-HK"/>
        </w:rPr>
        <w:t>doi:10.1016/j.genhosppsych</w:t>
      </w:r>
      <w:proofErr w:type="gramEnd"/>
      <w:r w:rsidRPr="003F0485">
        <w:rPr>
          <w:color w:val="333333"/>
          <w:lang w:val="en-HK"/>
        </w:rPr>
        <w:t>.2015.11.005.</w:t>
      </w:r>
    </w:p>
    <w:p w14:paraId="0F25A835" w14:textId="2FDFE654" w:rsidR="00D16A18" w:rsidRPr="003F0485" w:rsidRDefault="00D16A18" w:rsidP="006B1531">
      <w:pPr>
        <w:ind w:left="720" w:hanging="720"/>
        <w:rPr>
          <w:color w:val="333333"/>
          <w:lang w:val="en-HK"/>
        </w:rPr>
      </w:pPr>
      <w:r w:rsidRPr="003F0485">
        <w:rPr>
          <w:color w:val="333333"/>
          <w:lang w:val="en-HK"/>
        </w:rPr>
        <w:t xml:space="preserve">Roffey, S. 2012. “Pupil Wellbeing-teacher Wellbeing: Two Sides of the Same Coin?” </w:t>
      </w:r>
      <w:r w:rsidRPr="003F0485">
        <w:rPr>
          <w:i/>
          <w:iCs/>
          <w:color w:val="333333"/>
          <w:lang w:val="en-HK"/>
        </w:rPr>
        <w:t>Educational and Child Psychology</w:t>
      </w:r>
      <w:r w:rsidRPr="003F0485">
        <w:rPr>
          <w:color w:val="333333"/>
          <w:lang w:val="en-HK"/>
        </w:rPr>
        <w:t xml:space="preserve"> 29 (4): 8 –17.</w:t>
      </w:r>
    </w:p>
    <w:p w14:paraId="6CC6D834" w14:textId="5CAB7DA5" w:rsidR="00D16A18" w:rsidRPr="003F0485" w:rsidRDefault="005B2AAF" w:rsidP="006B1531">
      <w:pPr>
        <w:ind w:left="720" w:hanging="720"/>
        <w:rPr>
          <w:color w:val="333333"/>
          <w:lang w:val="en-HK"/>
        </w:rPr>
      </w:pPr>
      <w:proofErr w:type="spellStart"/>
      <w:r w:rsidRPr="003F0485">
        <w:rPr>
          <w:color w:val="333333"/>
          <w:lang w:val="en-HK"/>
        </w:rPr>
        <w:t>Roorda</w:t>
      </w:r>
      <w:proofErr w:type="spellEnd"/>
      <w:r w:rsidR="00D16A18" w:rsidRPr="003F0485">
        <w:rPr>
          <w:color w:val="333333"/>
          <w:lang w:val="en-HK"/>
        </w:rPr>
        <w:t xml:space="preserve">, D. L., </w:t>
      </w:r>
      <w:proofErr w:type="spellStart"/>
      <w:r w:rsidR="00D16A18" w:rsidRPr="003F0485">
        <w:rPr>
          <w:color w:val="333333"/>
          <w:lang w:val="en-HK"/>
        </w:rPr>
        <w:t>Koomen</w:t>
      </w:r>
      <w:proofErr w:type="spellEnd"/>
      <w:r w:rsidR="00D16A18" w:rsidRPr="003F0485">
        <w:rPr>
          <w:color w:val="333333"/>
          <w:lang w:val="en-HK"/>
        </w:rPr>
        <w:t xml:space="preserve">, H. M. Y., Spilt, J. L., and Oort, F. J. 2011. “The Influence of Affective Teacher-student Relationships on Students’ School Engagement and Achievement: A Meta-analytic Approach.” </w:t>
      </w:r>
      <w:r w:rsidR="00D16A18" w:rsidRPr="003F0485">
        <w:rPr>
          <w:i/>
          <w:iCs/>
          <w:color w:val="333333"/>
          <w:lang w:val="en-HK"/>
        </w:rPr>
        <w:t>Review of Education Research</w:t>
      </w:r>
      <w:r w:rsidR="00D16A18" w:rsidRPr="003F0485">
        <w:rPr>
          <w:color w:val="333333"/>
          <w:lang w:val="en-HK"/>
        </w:rPr>
        <w:t xml:space="preserve"> 81 (4): 493 –529. doi:10.3102/0034654311421793.</w:t>
      </w:r>
    </w:p>
    <w:p w14:paraId="433E471B" w14:textId="35A255A1" w:rsidR="00D16A18" w:rsidRPr="003F0485" w:rsidRDefault="00D16A18" w:rsidP="006B1531">
      <w:pPr>
        <w:ind w:left="720" w:hanging="720"/>
        <w:rPr>
          <w:color w:val="333333"/>
          <w:lang w:val="en-HK"/>
        </w:rPr>
      </w:pPr>
      <w:r w:rsidRPr="003F0485">
        <w:rPr>
          <w:color w:val="333333"/>
          <w:lang w:val="en-HK"/>
        </w:rPr>
        <w:lastRenderedPageBreak/>
        <w:t xml:space="preserve">Spitzer, R. L., Kroenke, K., Williams, J. B., and </w:t>
      </w:r>
      <w:proofErr w:type="spellStart"/>
      <w:r w:rsidRPr="003F0485">
        <w:rPr>
          <w:color w:val="333333"/>
          <w:lang w:val="en-HK"/>
        </w:rPr>
        <w:t>Löwe</w:t>
      </w:r>
      <w:proofErr w:type="spellEnd"/>
      <w:r w:rsidRPr="003F0485">
        <w:rPr>
          <w:color w:val="333333"/>
          <w:lang w:val="en-HK"/>
        </w:rPr>
        <w:t xml:space="preserve">, B. 2006. “A Brief Measure for Assessing Generalized Anxiety Disorder: The GAD-7.” </w:t>
      </w:r>
      <w:r w:rsidRPr="003F0485">
        <w:rPr>
          <w:i/>
          <w:iCs/>
          <w:color w:val="333333"/>
          <w:lang w:val="en-HK"/>
        </w:rPr>
        <w:t>Archives of Internal Medicine</w:t>
      </w:r>
      <w:r w:rsidRPr="003F0485">
        <w:rPr>
          <w:color w:val="333333"/>
          <w:lang w:val="en-HK"/>
        </w:rPr>
        <w:t xml:space="preserve"> 166 (10): 1092 –1097. doi:10.1001/archinte.166.10.1092.</w:t>
      </w:r>
    </w:p>
    <w:p w14:paraId="029BCE0B" w14:textId="62C6EE9D" w:rsidR="006B1531" w:rsidRPr="003F0485" w:rsidRDefault="00D16A18" w:rsidP="006B1531">
      <w:pPr>
        <w:ind w:left="720" w:hanging="720"/>
        <w:rPr>
          <w:lang w:val="en-HK"/>
        </w:rPr>
      </w:pPr>
      <w:r w:rsidRPr="003F0485">
        <w:rPr>
          <w:lang w:val="en-HK"/>
        </w:rPr>
        <w:t xml:space="preserve">Tang, S. Y. F. 2011. “Teachers’ Professional Identity, Educational Change and Neoliberal Pressures on Education in Hong Kong.” </w:t>
      </w:r>
      <w:r w:rsidRPr="003F0485">
        <w:rPr>
          <w:i/>
          <w:iCs/>
          <w:lang w:val="en-HK"/>
        </w:rPr>
        <w:t>Teacher Development</w:t>
      </w:r>
      <w:r w:rsidRPr="003F0485">
        <w:rPr>
          <w:lang w:val="en-HK"/>
        </w:rPr>
        <w:t xml:space="preserve"> 15 (3): 363–380. doi:10.1080/13664530.2011</w:t>
      </w:r>
      <w:r w:rsidR="006B1531" w:rsidRPr="003F0485">
        <w:rPr>
          <w:lang w:val="en-HK"/>
        </w:rPr>
        <w:t>.608518</w:t>
      </w:r>
    </w:p>
    <w:p w14:paraId="3965BBEA" w14:textId="0EE6CCF6" w:rsidR="00D16A18" w:rsidRPr="003F0485" w:rsidRDefault="00D16A18" w:rsidP="006B1531">
      <w:pPr>
        <w:ind w:left="720" w:hanging="720"/>
        <w:rPr>
          <w:lang w:val="en-HK"/>
        </w:rPr>
      </w:pPr>
      <w:proofErr w:type="spellStart"/>
      <w:r w:rsidRPr="003F0485">
        <w:rPr>
          <w:lang w:val="en-HK"/>
        </w:rPr>
        <w:t>Varea</w:t>
      </w:r>
      <w:proofErr w:type="spellEnd"/>
      <w:r w:rsidRPr="003F0485">
        <w:rPr>
          <w:lang w:val="en-HK"/>
        </w:rPr>
        <w:t xml:space="preserve">, V., and González-Calvo, G. 2020. “Touchless Classes and Absent Bodies: Teaching Physical Education in Times of Covid-19.” </w:t>
      </w:r>
      <w:r w:rsidRPr="003F0485">
        <w:rPr>
          <w:i/>
          <w:iCs/>
          <w:lang w:val="en-HK"/>
        </w:rPr>
        <w:t>Sport, Education and Society</w:t>
      </w:r>
      <w:r w:rsidRPr="003F0485">
        <w:rPr>
          <w:lang w:val="en-HK"/>
        </w:rPr>
        <w:t xml:space="preserve"> Advanced online publication. doi:10.1080/13573322.2020.1791814.</w:t>
      </w:r>
    </w:p>
    <w:p w14:paraId="607EF84C" w14:textId="77777777" w:rsidR="00D16A18" w:rsidRPr="003F0485" w:rsidRDefault="00D16A18" w:rsidP="006B1531">
      <w:pPr>
        <w:ind w:left="720" w:hanging="720"/>
        <w:rPr>
          <w:color w:val="333333"/>
          <w:lang w:val="en-HK"/>
        </w:rPr>
      </w:pPr>
      <w:r w:rsidRPr="003F0485">
        <w:rPr>
          <w:color w:val="333333"/>
          <w:lang w:val="en-HK"/>
        </w:rPr>
        <w:t xml:space="preserve">Winter, T., Riordan, B. C., </w:t>
      </w:r>
      <w:proofErr w:type="spellStart"/>
      <w:r w:rsidRPr="003F0485">
        <w:rPr>
          <w:color w:val="333333"/>
          <w:lang w:val="en-HK"/>
        </w:rPr>
        <w:t>Pakpour</w:t>
      </w:r>
      <w:proofErr w:type="spellEnd"/>
      <w:r w:rsidRPr="003F0485">
        <w:rPr>
          <w:color w:val="333333"/>
          <w:lang w:val="en-HK"/>
        </w:rPr>
        <w:t xml:space="preserve">, A. H., Griffiths, M. D., Mason, A., </w:t>
      </w:r>
      <w:proofErr w:type="spellStart"/>
      <w:r w:rsidRPr="003F0485">
        <w:rPr>
          <w:color w:val="333333"/>
          <w:lang w:val="en-HK"/>
        </w:rPr>
        <w:t>Poulgrain</w:t>
      </w:r>
      <w:proofErr w:type="spellEnd"/>
      <w:r w:rsidRPr="003F0485">
        <w:rPr>
          <w:color w:val="333333"/>
          <w:lang w:val="en-HK"/>
        </w:rPr>
        <w:t xml:space="preserve">, J. W., and Scarf, D. 2020. “Evaluation of the English Version of the Fear of COVID-19 Scale and Its Relationship with </w:t>
      </w:r>
      <w:proofErr w:type="spellStart"/>
      <w:r w:rsidRPr="003F0485">
        <w:rPr>
          <w:color w:val="333333"/>
          <w:lang w:val="en-HK"/>
        </w:rPr>
        <w:t>Behavior</w:t>
      </w:r>
      <w:proofErr w:type="spellEnd"/>
      <w:r w:rsidRPr="003F0485">
        <w:rPr>
          <w:color w:val="333333"/>
          <w:lang w:val="en-HK"/>
        </w:rPr>
        <w:t xml:space="preserve"> Change and Political Beliefs.” </w:t>
      </w:r>
      <w:r w:rsidRPr="003F0485">
        <w:rPr>
          <w:i/>
          <w:iCs/>
          <w:color w:val="333333"/>
          <w:lang w:val="en-HK"/>
        </w:rPr>
        <w:t>International Journal of Mental Health and Addiction</w:t>
      </w:r>
      <w:r w:rsidRPr="003F0485">
        <w:rPr>
          <w:color w:val="333333"/>
          <w:lang w:val="en-HK"/>
        </w:rPr>
        <w:t xml:space="preserve"> Advanced online publication. doi:10.1007/s11469-020-00342-9.</w:t>
      </w:r>
    </w:p>
    <w:p w14:paraId="7067574B" w14:textId="77777777" w:rsidR="00D16A18" w:rsidRPr="003F0485" w:rsidRDefault="00D16A18" w:rsidP="006B1531">
      <w:pPr>
        <w:ind w:left="720" w:hanging="720"/>
        <w:rPr>
          <w:lang w:val="en-HK"/>
        </w:rPr>
      </w:pPr>
      <w:r w:rsidRPr="003F0485">
        <w:rPr>
          <w:lang w:val="en-HK"/>
        </w:rPr>
        <w:t xml:space="preserve">Wong, G. K. W. 2016. “The Behavioral Intentions of Hong Kong Primary Teachers in Adopting Educational Technology.” </w:t>
      </w:r>
      <w:r w:rsidRPr="003F0485">
        <w:rPr>
          <w:i/>
          <w:iCs/>
          <w:lang w:val="en-HK"/>
        </w:rPr>
        <w:t>Educational Technology Research and Development</w:t>
      </w:r>
      <w:r w:rsidRPr="003F0485">
        <w:rPr>
          <w:lang w:val="en-HK"/>
        </w:rPr>
        <w:t xml:space="preserve"> 64 (2): 313–338. doi:10.1007/s11423-016-9426-9.</w:t>
      </w:r>
    </w:p>
    <w:p w14:paraId="5CBD9974" w14:textId="3290CC0B" w:rsidR="006B1531" w:rsidRPr="003F0485" w:rsidRDefault="00D16A18" w:rsidP="006B1531">
      <w:pPr>
        <w:ind w:left="720" w:hanging="720"/>
        <w:rPr>
          <w:lang w:val="en-HK"/>
        </w:rPr>
      </w:pPr>
      <w:r w:rsidRPr="003F0485">
        <w:rPr>
          <w:lang w:val="en-HK"/>
        </w:rPr>
        <w:t xml:space="preserve">Wong, K. M., and Moorhouse, B. L. 2020. “The Impact of Social Uncertainty, Protest, and COVID-19 on Hong Kong Teachers.” </w:t>
      </w:r>
      <w:r w:rsidRPr="003F0485">
        <w:rPr>
          <w:i/>
          <w:iCs/>
          <w:lang w:val="en-HK"/>
        </w:rPr>
        <w:t>Journal of Loss and Trauma</w:t>
      </w:r>
      <w:r w:rsidR="003D62FB" w:rsidRPr="003F0485">
        <w:rPr>
          <w:i/>
          <w:iCs/>
          <w:lang w:val="en-HK"/>
        </w:rPr>
        <w:t xml:space="preserve"> </w:t>
      </w:r>
      <w:r w:rsidR="003D62FB" w:rsidRPr="003F0485">
        <w:rPr>
          <w:lang w:val="en-HK"/>
        </w:rPr>
        <w:t>25</w:t>
      </w:r>
      <w:r w:rsidRPr="003F0485">
        <w:rPr>
          <w:i/>
          <w:iCs/>
          <w:lang w:val="en-HK"/>
        </w:rPr>
        <w:t xml:space="preserve"> </w:t>
      </w:r>
      <w:r w:rsidR="003D62FB" w:rsidRPr="003F0485">
        <w:rPr>
          <w:lang w:val="en-HK"/>
        </w:rPr>
        <w:t>(8)</w:t>
      </w:r>
      <w:r w:rsidR="00B16C6B" w:rsidRPr="003F0485">
        <w:rPr>
          <w:lang w:val="en-HK"/>
        </w:rPr>
        <w:t>:</w:t>
      </w:r>
      <w:r w:rsidR="003D62FB" w:rsidRPr="003F0485">
        <w:rPr>
          <w:lang w:val="en-HK"/>
        </w:rPr>
        <w:t xml:space="preserve"> 694–655</w:t>
      </w:r>
      <w:r w:rsidR="006B1531" w:rsidRPr="003F0485">
        <w:rPr>
          <w:lang w:val="en-HK"/>
        </w:rPr>
        <w:t xml:space="preserve">. </w:t>
      </w:r>
      <w:r w:rsidR="00B8741B" w:rsidRPr="003F0485">
        <w:rPr>
          <w:lang w:val="en-HK"/>
        </w:rPr>
        <w:t>d</w:t>
      </w:r>
      <w:r w:rsidR="006B1531" w:rsidRPr="003F0485">
        <w:rPr>
          <w:lang w:val="en-HK"/>
        </w:rPr>
        <w:t>oi</w:t>
      </w:r>
      <w:r w:rsidRPr="003F0485">
        <w:rPr>
          <w:lang w:val="en-HK"/>
        </w:rPr>
        <w:t>:</w:t>
      </w:r>
      <w:r w:rsidR="006B1531" w:rsidRPr="003F0485">
        <w:rPr>
          <w:lang w:val="en-HK"/>
        </w:rPr>
        <w:t>10.1080/15325024.2020.1776523</w:t>
      </w:r>
      <w:r w:rsidRPr="003F0485">
        <w:rPr>
          <w:lang w:val="en-HK"/>
        </w:rPr>
        <w:t>.</w:t>
      </w:r>
    </w:p>
    <w:p w14:paraId="1F090347" w14:textId="16811740" w:rsidR="00FE4713" w:rsidRPr="003F0485" w:rsidRDefault="00D16A18" w:rsidP="00D16A18">
      <w:pPr>
        <w:ind w:left="720" w:hanging="720"/>
        <w:rPr>
          <w:lang w:val="en-HK"/>
        </w:rPr>
      </w:pPr>
      <w:r w:rsidRPr="003F0485">
        <w:rPr>
          <w:lang w:val="en-HK"/>
        </w:rPr>
        <w:t xml:space="preserve">Wong, M. W. Y., </w:t>
      </w:r>
      <w:proofErr w:type="spellStart"/>
      <w:r w:rsidRPr="003F0485">
        <w:rPr>
          <w:lang w:val="en-HK"/>
        </w:rPr>
        <w:t>Chik</w:t>
      </w:r>
      <w:proofErr w:type="spellEnd"/>
      <w:r w:rsidRPr="003F0485">
        <w:rPr>
          <w:lang w:val="en-HK"/>
        </w:rPr>
        <w:t xml:space="preserve">, M. P. Y., and Chan E. S. S. 2018. “Stressors and Stressor Response Levels of Hong Kong Primary School Music Teachers.” </w:t>
      </w:r>
      <w:r w:rsidRPr="003F0485">
        <w:rPr>
          <w:i/>
          <w:iCs/>
          <w:lang w:val="en-HK"/>
        </w:rPr>
        <w:t>International Journal of Music Education</w:t>
      </w:r>
      <w:r w:rsidRPr="003F0485">
        <w:rPr>
          <w:lang w:val="en-HK"/>
        </w:rPr>
        <w:t xml:space="preserve"> 36 (1): 4–16. doi:10.1177/0255761417689923.</w:t>
      </w:r>
    </w:p>
    <w:p w14:paraId="7165AD71" w14:textId="50A117C6" w:rsidR="00B8741B" w:rsidRDefault="00B8741B" w:rsidP="00D16A18">
      <w:pPr>
        <w:ind w:left="720" w:hanging="720"/>
        <w:rPr>
          <w:lang w:val="en-HK"/>
        </w:rPr>
      </w:pPr>
      <w:r w:rsidRPr="003F0485">
        <w:rPr>
          <w:lang w:val="en-HK"/>
        </w:rPr>
        <w:lastRenderedPageBreak/>
        <w:t xml:space="preserve">Zolotov, Y., Reznik, A., Bender, S, and </w:t>
      </w:r>
      <w:proofErr w:type="spellStart"/>
      <w:r w:rsidRPr="003F0485">
        <w:rPr>
          <w:lang w:val="en-HK"/>
        </w:rPr>
        <w:t>Isralowitz</w:t>
      </w:r>
      <w:proofErr w:type="spellEnd"/>
      <w:r w:rsidRPr="003F0485">
        <w:rPr>
          <w:lang w:val="en-HK"/>
        </w:rPr>
        <w:t xml:space="preserve">, R. 2020. “COVID-19 Fear, Mental Health, and Substance Use Among Israeli University Students.” </w:t>
      </w:r>
      <w:r w:rsidRPr="003F0485">
        <w:rPr>
          <w:i/>
          <w:iCs/>
          <w:lang w:val="en-HK"/>
        </w:rPr>
        <w:t>International Journal of Mental Health and Addiction</w:t>
      </w:r>
      <w:r w:rsidRPr="003F0485">
        <w:rPr>
          <w:lang w:val="en-HK"/>
        </w:rPr>
        <w:t>. doi:10.1007/s11469-020-00351-8.</w:t>
      </w:r>
    </w:p>
    <w:p w14:paraId="4E4961A0" w14:textId="77777777" w:rsidR="00B8741B" w:rsidRPr="006B1531" w:rsidRDefault="00B8741B" w:rsidP="00D16A18">
      <w:pPr>
        <w:ind w:left="720" w:hanging="720"/>
        <w:rPr>
          <w:b/>
        </w:rPr>
      </w:pPr>
    </w:p>
    <w:sectPr w:rsidR="00B8741B" w:rsidRPr="006B1531" w:rsidSect="00074B81">
      <w:pgSz w:w="11901" w:h="16840"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A7665" w14:textId="77777777" w:rsidR="002A1DB1" w:rsidRDefault="002A1DB1" w:rsidP="00AF2C92">
      <w:r>
        <w:separator/>
      </w:r>
    </w:p>
  </w:endnote>
  <w:endnote w:type="continuationSeparator" w:id="0">
    <w:p w14:paraId="6F73E04F" w14:textId="77777777" w:rsidR="002A1DB1" w:rsidRDefault="002A1DB1"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8A647" w14:textId="77777777" w:rsidR="002A1DB1" w:rsidRDefault="002A1DB1" w:rsidP="00AF2C92">
      <w:r>
        <w:separator/>
      </w:r>
    </w:p>
  </w:footnote>
  <w:footnote w:type="continuationSeparator" w:id="0">
    <w:p w14:paraId="0BFF8CEC" w14:textId="77777777" w:rsidR="002A1DB1" w:rsidRDefault="002A1DB1" w:rsidP="00AF2C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FECA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74E2D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8F228E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274B1E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72E25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7D76765"/>
    <w:multiLevelType w:val="hybridMultilevel"/>
    <w:tmpl w:val="E5FEFBB6"/>
    <w:lvl w:ilvl="0" w:tplc="3C09000F">
      <w:start w:val="1"/>
      <w:numFmt w:val="decimal"/>
      <w:lvlText w:val="%1."/>
      <w:lvlJc w:val="lef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7"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DA92B0E"/>
    <w:multiLevelType w:val="hybridMultilevel"/>
    <w:tmpl w:val="EFB21896"/>
    <w:lvl w:ilvl="0" w:tplc="3C09000F">
      <w:start w:val="1"/>
      <w:numFmt w:val="decimal"/>
      <w:lvlText w:val="%1."/>
      <w:lvlJc w:val="lef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num w:numId="1">
    <w:abstractNumId w:val="15"/>
  </w:num>
  <w:num w:numId="2">
    <w:abstractNumId w:val="20"/>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18"/>
  </w:num>
  <w:num w:numId="14">
    <w:abstractNumId w:val="21"/>
  </w:num>
  <w:num w:numId="15">
    <w:abstractNumId w:val="14"/>
  </w:num>
  <w:num w:numId="16">
    <w:abstractNumId w:val="17"/>
  </w:num>
  <w:num w:numId="17">
    <w:abstractNumId w:val="11"/>
  </w:num>
  <w:num w:numId="18">
    <w:abstractNumId w:val="0"/>
  </w:num>
  <w:num w:numId="19">
    <w:abstractNumId w:val="12"/>
  </w:num>
  <w:num w:numId="20">
    <w:abstractNumId w:val="21"/>
  </w:num>
  <w:num w:numId="21">
    <w:abstractNumId w:val="21"/>
  </w:num>
  <w:num w:numId="22">
    <w:abstractNumId w:val="21"/>
  </w:num>
  <w:num w:numId="23">
    <w:abstractNumId w:val="21"/>
  </w:num>
  <w:num w:numId="24">
    <w:abstractNumId w:val="18"/>
  </w:num>
  <w:num w:numId="25">
    <w:abstractNumId w:val="19"/>
  </w:num>
  <w:num w:numId="26">
    <w:abstractNumId w:val="22"/>
  </w:num>
  <w:num w:numId="27">
    <w:abstractNumId w:val="23"/>
  </w:num>
  <w:num w:numId="28">
    <w:abstractNumId w:val="21"/>
  </w:num>
  <w:num w:numId="29">
    <w:abstractNumId w:val="13"/>
  </w:num>
  <w:num w:numId="30">
    <w:abstractNumId w:val="24"/>
  </w:num>
  <w:num w:numId="31">
    <w:abstractNumId w:val="16"/>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808"/>
    <w:rsid w:val="000007A0"/>
    <w:rsid w:val="00001899"/>
    <w:rsid w:val="000049AD"/>
    <w:rsid w:val="0000681B"/>
    <w:rsid w:val="000133C0"/>
    <w:rsid w:val="00014C4E"/>
    <w:rsid w:val="00017107"/>
    <w:rsid w:val="000202E2"/>
    <w:rsid w:val="00022441"/>
    <w:rsid w:val="00022598"/>
    <w:rsid w:val="0002261E"/>
    <w:rsid w:val="00024839"/>
    <w:rsid w:val="00026871"/>
    <w:rsid w:val="00037A98"/>
    <w:rsid w:val="000427FB"/>
    <w:rsid w:val="0004455E"/>
    <w:rsid w:val="00047CB5"/>
    <w:rsid w:val="00051FAA"/>
    <w:rsid w:val="000572A9"/>
    <w:rsid w:val="00061325"/>
    <w:rsid w:val="000733AC"/>
    <w:rsid w:val="00074B81"/>
    <w:rsid w:val="00074D22"/>
    <w:rsid w:val="00075081"/>
    <w:rsid w:val="0007528A"/>
    <w:rsid w:val="000811AB"/>
    <w:rsid w:val="00083C5F"/>
    <w:rsid w:val="0009172C"/>
    <w:rsid w:val="000930EC"/>
    <w:rsid w:val="00095E61"/>
    <w:rsid w:val="000966C1"/>
    <w:rsid w:val="000970AC"/>
    <w:rsid w:val="000A1167"/>
    <w:rsid w:val="000A3796"/>
    <w:rsid w:val="000A4428"/>
    <w:rsid w:val="000A6D40"/>
    <w:rsid w:val="000A7BC3"/>
    <w:rsid w:val="000B1661"/>
    <w:rsid w:val="000B1F0B"/>
    <w:rsid w:val="000B2E88"/>
    <w:rsid w:val="000B4603"/>
    <w:rsid w:val="000C09BE"/>
    <w:rsid w:val="000C1380"/>
    <w:rsid w:val="000C554F"/>
    <w:rsid w:val="000D0DC5"/>
    <w:rsid w:val="000D15FF"/>
    <w:rsid w:val="000D28DF"/>
    <w:rsid w:val="000D488B"/>
    <w:rsid w:val="000D68DF"/>
    <w:rsid w:val="000E138D"/>
    <w:rsid w:val="000E187A"/>
    <w:rsid w:val="000E2D61"/>
    <w:rsid w:val="000E450E"/>
    <w:rsid w:val="000E6259"/>
    <w:rsid w:val="000F4677"/>
    <w:rsid w:val="000F5BE0"/>
    <w:rsid w:val="00100587"/>
    <w:rsid w:val="0010284E"/>
    <w:rsid w:val="00103122"/>
    <w:rsid w:val="0010336A"/>
    <w:rsid w:val="001050F1"/>
    <w:rsid w:val="00105AEA"/>
    <w:rsid w:val="00106DAF"/>
    <w:rsid w:val="00114ABE"/>
    <w:rsid w:val="00116023"/>
    <w:rsid w:val="00127B2B"/>
    <w:rsid w:val="00134A51"/>
    <w:rsid w:val="00140727"/>
    <w:rsid w:val="00151497"/>
    <w:rsid w:val="00160628"/>
    <w:rsid w:val="00161344"/>
    <w:rsid w:val="00162195"/>
    <w:rsid w:val="0016322A"/>
    <w:rsid w:val="00165A21"/>
    <w:rsid w:val="001705CE"/>
    <w:rsid w:val="0017714B"/>
    <w:rsid w:val="001804DF"/>
    <w:rsid w:val="00181BDC"/>
    <w:rsid w:val="00181DB0"/>
    <w:rsid w:val="001829E3"/>
    <w:rsid w:val="001924C0"/>
    <w:rsid w:val="0019731E"/>
    <w:rsid w:val="001A09FE"/>
    <w:rsid w:val="001A67C9"/>
    <w:rsid w:val="001A69DE"/>
    <w:rsid w:val="001A713C"/>
    <w:rsid w:val="001B1C7C"/>
    <w:rsid w:val="001B398F"/>
    <w:rsid w:val="001B46C6"/>
    <w:rsid w:val="001B4B48"/>
    <w:rsid w:val="001B4D1F"/>
    <w:rsid w:val="001B7681"/>
    <w:rsid w:val="001B7CAE"/>
    <w:rsid w:val="001C0772"/>
    <w:rsid w:val="001C0D4F"/>
    <w:rsid w:val="001C1BA3"/>
    <w:rsid w:val="001C1DEC"/>
    <w:rsid w:val="001C5736"/>
    <w:rsid w:val="001D647F"/>
    <w:rsid w:val="001D6857"/>
    <w:rsid w:val="001E0572"/>
    <w:rsid w:val="001E0A67"/>
    <w:rsid w:val="001E1028"/>
    <w:rsid w:val="001E14E2"/>
    <w:rsid w:val="001E6302"/>
    <w:rsid w:val="001E7DCB"/>
    <w:rsid w:val="001F3411"/>
    <w:rsid w:val="001F4287"/>
    <w:rsid w:val="001F4DBA"/>
    <w:rsid w:val="0020415E"/>
    <w:rsid w:val="00204FF4"/>
    <w:rsid w:val="0021056E"/>
    <w:rsid w:val="0021075D"/>
    <w:rsid w:val="0021165A"/>
    <w:rsid w:val="00211BC9"/>
    <w:rsid w:val="0021620C"/>
    <w:rsid w:val="00216E78"/>
    <w:rsid w:val="00217275"/>
    <w:rsid w:val="002211DD"/>
    <w:rsid w:val="00236F4B"/>
    <w:rsid w:val="00242B0D"/>
    <w:rsid w:val="002467C6"/>
    <w:rsid w:val="0024692A"/>
    <w:rsid w:val="00250CF8"/>
    <w:rsid w:val="00252BBA"/>
    <w:rsid w:val="00253123"/>
    <w:rsid w:val="00264001"/>
    <w:rsid w:val="00266354"/>
    <w:rsid w:val="00267A18"/>
    <w:rsid w:val="00273462"/>
    <w:rsid w:val="0027395B"/>
    <w:rsid w:val="00275854"/>
    <w:rsid w:val="00283B41"/>
    <w:rsid w:val="00285F28"/>
    <w:rsid w:val="00286398"/>
    <w:rsid w:val="002A1DB1"/>
    <w:rsid w:val="002A3C42"/>
    <w:rsid w:val="002A5D75"/>
    <w:rsid w:val="002B1B1A"/>
    <w:rsid w:val="002B7228"/>
    <w:rsid w:val="002C53EE"/>
    <w:rsid w:val="002D24F7"/>
    <w:rsid w:val="002D2799"/>
    <w:rsid w:val="002D2CD7"/>
    <w:rsid w:val="002D4DDC"/>
    <w:rsid w:val="002D4F75"/>
    <w:rsid w:val="002D6493"/>
    <w:rsid w:val="002D7AB6"/>
    <w:rsid w:val="002E06D0"/>
    <w:rsid w:val="002E3C27"/>
    <w:rsid w:val="002E403A"/>
    <w:rsid w:val="002E7F3A"/>
    <w:rsid w:val="002F4EDB"/>
    <w:rsid w:val="002F6054"/>
    <w:rsid w:val="00310E13"/>
    <w:rsid w:val="00315713"/>
    <w:rsid w:val="0031686C"/>
    <w:rsid w:val="00316FE0"/>
    <w:rsid w:val="003204D2"/>
    <w:rsid w:val="0032605E"/>
    <w:rsid w:val="003275D1"/>
    <w:rsid w:val="00330B2A"/>
    <w:rsid w:val="00331E17"/>
    <w:rsid w:val="00333063"/>
    <w:rsid w:val="003408E3"/>
    <w:rsid w:val="00343480"/>
    <w:rsid w:val="00345E89"/>
    <w:rsid w:val="003522A1"/>
    <w:rsid w:val="0035254B"/>
    <w:rsid w:val="00353555"/>
    <w:rsid w:val="003565D4"/>
    <w:rsid w:val="003607FB"/>
    <w:rsid w:val="00360FD5"/>
    <w:rsid w:val="003633CA"/>
    <w:rsid w:val="0036340D"/>
    <w:rsid w:val="003634A5"/>
    <w:rsid w:val="00366868"/>
    <w:rsid w:val="00367506"/>
    <w:rsid w:val="00370085"/>
    <w:rsid w:val="003744A7"/>
    <w:rsid w:val="00376235"/>
    <w:rsid w:val="0038027C"/>
    <w:rsid w:val="00381FB6"/>
    <w:rsid w:val="003836D3"/>
    <w:rsid w:val="00383A52"/>
    <w:rsid w:val="00391652"/>
    <w:rsid w:val="0039507F"/>
    <w:rsid w:val="00397D32"/>
    <w:rsid w:val="003A1260"/>
    <w:rsid w:val="003A295F"/>
    <w:rsid w:val="003A41DD"/>
    <w:rsid w:val="003A7033"/>
    <w:rsid w:val="003B47FE"/>
    <w:rsid w:val="003B5673"/>
    <w:rsid w:val="003B6287"/>
    <w:rsid w:val="003B62C9"/>
    <w:rsid w:val="003C7176"/>
    <w:rsid w:val="003D0929"/>
    <w:rsid w:val="003D4729"/>
    <w:rsid w:val="003D62FB"/>
    <w:rsid w:val="003D7DD6"/>
    <w:rsid w:val="003E2974"/>
    <w:rsid w:val="003E5AAF"/>
    <w:rsid w:val="003E600D"/>
    <w:rsid w:val="003E64DF"/>
    <w:rsid w:val="003E6A5D"/>
    <w:rsid w:val="003F0485"/>
    <w:rsid w:val="003F193A"/>
    <w:rsid w:val="003F4207"/>
    <w:rsid w:val="003F5C46"/>
    <w:rsid w:val="003F7CBB"/>
    <w:rsid w:val="003F7D34"/>
    <w:rsid w:val="00412C8E"/>
    <w:rsid w:val="0041518D"/>
    <w:rsid w:val="0042221D"/>
    <w:rsid w:val="00424DD3"/>
    <w:rsid w:val="004269C5"/>
    <w:rsid w:val="00435939"/>
    <w:rsid w:val="00437CC7"/>
    <w:rsid w:val="00442B9C"/>
    <w:rsid w:val="00445EFA"/>
    <w:rsid w:val="0044738A"/>
    <w:rsid w:val="004473D3"/>
    <w:rsid w:val="00452231"/>
    <w:rsid w:val="00460C13"/>
    <w:rsid w:val="00463228"/>
    <w:rsid w:val="00463782"/>
    <w:rsid w:val="004667E0"/>
    <w:rsid w:val="0046760E"/>
    <w:rsid w:val="00470E10"/>
    <w:rsid w:val="00477A97"/>
    <w:rsid w:val="00481343"/>
    <w:rsid w:val="0048549E"/>
    <w:rsid w:val="004930C6"/>
    <w:rsid w:val="00493347"/>
    <w:rsid w:val="00496092"/>
    <w:rsid w:val="004A08DB"/>
    <w:rsid w:val="004A25D0"/>
    <w:rsid w:val="004A37E8"/>
    <w:rsid w:val="004A7549"/>
    <w:rsid w:val="004B09D4"/>
    <w:rsid w:val="004B309D"/>
    <w:rsid w:val="004B330A"/>
    <w:rsid w:val="004B7C8E"/>
    <w:rsid w:val="004C3D3C"/>
    <w:rsid w:val="004D0EDC"/>
    <w:rsid w:val="004D1220"/>
    <w:rsid w:val="004D14B3"/>
    <w:rsid w:val="004D1529"/>
    <w:rsid w:val="004D2253"/>
    <w:rsid w:val="004D5514"/>
    <w:rsid w:val="004D56C3"/>
    <w:rsid w:val="004E0338"/>
    <w:rsid w:val="004E4FF3"/>
    <w:rsid w:val="004E56A8"/>
    <w:rsid w:val="004F28C4"/>
    <w:rsid w:val="004F3B55"/>
    <w:rsid w:val="004F428E"/>
    <w:rsid w:val="004F4E46"/>
    <w:rsid w:val="004F6B7D"/>
    <w:rsid w:val="005015F6"/>
    <w:rsid w:val="005030C4"/>
    <w:rsid w:val="005031C5"/>
    <w:rsid w:val="00504FDC"/>
    <w:rsid w:val="005120CC"/>
    <w:rsid w:val="00512B7B"/>
    <w:rsid w:val="00514EA1"/>
    <w:rsid w:val="0051627D"/>
    <w:rsid w:val="0051798B"/>
    <w:rsid w:val="00521F5A"/>
    <w:rsid w:val="00525E06"/>
    <w:rsid w:val="00526454"/>
    <w:rsid w:val="00530107"/>
    <w:rsid w:val="00531823"/>
    <w:rsid w:val="00534ECC"/>
    <w:rsid w:val="0053720D"/>
    <w:rsid w:val="00540EF5"/>
    <w:rsid w:val="00541BF3"/>
    <w:rsid w:val="00541CD3"/>
    <w:rsid w:val="005476FA"/>
    <w:rsid w:val="0055595E"/>
    <w:rsid w:val="00557988"/>
    <w:rsid w:val="00562C49"/>
    <w:rsid w:val="00562DEF"/>
    <w:rsid w:val="0056321A"/>
    <w:rsid w:val="00563A35"/>
    <w:rsid w:val="00566596"/>
    <w:rsid w:val="005741E9"/>
    <w:rsid w:val="005748CF"/>
    <w:rsid w:val="00584270"/>
    <w:rsid w:val="00584738"/>
    <w:rsid w:val="005920B0"/>
    <w:rsid w:val="0059380D"/>
    <w:rsid w:val="00595A8F"/>
    <w:rsid w:val="005977C2"/>
    <w:rsid w:val="00597BF2"/>
    <w:rsid w:val="005A1F54"/>
    <w:rsid w:val="005A3020"/>
    <w:rsid w:val="005B134E"/>
    <w:rsid w:val="005B2039"/>
    <w:rsid w:val="005B2AAF"/>
    <w:rsid w:val="005B344F"/>
    <w:rsid w:val="005B3FBA"/>
    <w:rsid w:val="005B4A1D"/>
    <w:rsid w:val="005B674D"/>
    <w:rsid w:val="005C056D"/>
    <w:rsid w:val="005C0CBE"/>
    <w:rsid w:val="005C1FCF"/>
    <w:rsid w:val="005C3F41"/>
    <w:rsid w:val="005D1885"/>
    <w:rsid w:val="005D4A38"/>
    <w:rsid w:val="005E2EEA"/>
    <w:rsid w:val="005E3708"/>
    <w:rsid w:val="005E3CCD"/>
    <w:rsid w:val="005E3D6B"/>
    <w:rsid w:val="005E5B55"/>
    <w:rsid w:val="005E5E4A"/>
    <w:rsid w:val="005E693D"/>
    <w:rsid w:val="005E75BF"/>
    <w:rsid w:val="005F57BA"/>
    <w:rsid w:val="005F61E6"/>
    <w:rsid w:val="005F6C45"/>
    <w:rsid w:val="00605A69"/>
    <w:rsid w:val="00606C54"/>
    <w:rsid w:val="00614375"/>
    <w:rsid w:val="00615B0A"/>
    <w:rsid w:val="006168CF"/>
    <w:rsid w:val="0062011B"/>
    <w:rsid w:val="00626DE0"/>
    <w:rsid w:val="00630901"/>
    <w:rsid w:val="00631F8E"/>
    <w:rsid w:val="00636EE9"/>
    <w:rsid w:val="00640950"/>
    <w:rsid w:val="00641AE7"/>
    <w:rsid w:val="00642629"/>
    <w:rsid w:val="0064782B"/>
    <w:rsid w:val="0065293D"/>
    <w:rsid w:val="00653EFC"/>
    <w:rsid w:val="00654021"/>
    <w:rsid w:val="00661045"/>
    <w:rsid w:val="00666DA8"/>
    <w:rsid w:val="00671057"/>
    <w:rsid w:val="00675AAF"/>
    <w:rsid w:val="0068031A"/>
    <w:rsid w:val="00681B2F"/>
    <w:rsid w:val="0068335F"/>
    <w:rsid w:val="00687217"/>
    <w:rsid w:val="00693302"/>
    <w:rsid w:val="0069640B"/>
    <w:rsid w:val="006A075A"/>
    <w:rsid w:val="006A1B83"/>
    <w:rsid w:val="006A1C58"/>
    <w:rsid w:val="006A21CD"/>
    <w:rsid w:val="006A5918"/>
    <w:rsid w:val="006B1531"/>
    <w:rsid w:val="006B21B2"/>
    <w:rsid w:val="006B4A4A"/>
    <w:rsid w:val="006C19B2"/>
    <w:rsid w:val="006C4409"/>
    <w:rsid w:val="006C5BB8"/>
    <w:rsid w:val="006C6936"/>
    <w:rsid w:val="006C7B01"/>
    <w:rsid w:val="006D0FE8"/>
    <w:rsid w:val="006D4B2B"/>
    <w:rsid w:val="006D4F3C"/>
    <w:rsid w:val="006D5C66"/>
    <w:rsid w:val="006D7002"/>
    <w:rsid w:val="006E1B3C"/>
    <w:rsid w:val="006E23FB"/>
    <w:rsid w:val="006E325A"/>
    <w:rsid w:val="006E33EC"/>
    <w:rsid w:val="006E3802"/>
    <w:rsid w:val="006E6C02"/>
    <w:rsid w:val="006F231A"/>
    <w:rsid w:val="006F6B55"/>
    <w:rsid w:val="006F788D"/>
    <w:rsid w:val="006F78E1"/>
    <w:rsid w:val="00701072"/>
    <w:rsid w:val="00702054"/>
    <w:rsid w:val="007035A4"/>
    <w:rsid w:val="00711799"/>
    <w:rsid w:val="00712B78"/>
    <w:rsid w:val="0071393B"/>
    <w:rsid w:val="00713EE2"/>
    <w:rsid w:val="007177FC"/>
    <w:rsid w:val="00720C5E"/>
    <w:rsid w:val="00721701"/>
    <w:rsid w:val="00731835"/>
    <w:rsid w:val="007341F8"/>
    <w:rsid w:val="00734372"/>
    <w:rsid w:val="00734EB8"/>
    <w:rsid w:val="00735F8B"/>
    <w:rsid w:val="0074090B"/>
    <w:rsid w:val="00742D1F"/>
    <w:rsid w:val="00743EBA"/>
    <w:rsid w:val="00744C8E"/>
    <w:rsid w:val="0074707E"/>
    <w:rsid w:val="007516DC"/>
    <w:rsid w:val="00752E58"/>
    <w:rsid w:val="00754B80"/>
    <w:rsid w:val="00761918"/>
    <w:rsid w:val="00762F03"/>
    <w:rsid w:val="0076413B"/>
    <w:rsid w:val="007648AE"/>
    <w:rsid w:val="00764BF8"/>
    <w:rsid w:val="0076514D"/>
    <w:rsid w:val="00766D9A"/>
    <w:rsid w:val="00773D59"/>
    <w:rsid w:val="0077407C"/>
    <w:rsid w:val="00781003"/>
    <w:rsid w:val="007911FD"/>
    <w:rsid w:val="00793930"/>
    <w:rsid w:val="00793DD1"/>
    <w:rsid w:val="00794FEC"/>
    <w:rsid w:val="007A003E"/>
    <w:rsid w:val="007A1965"/>
    <w:rsid w:val="007A2ED1"/>
    <w:rsid w:val="007A4BE6"/>
    <w:rsid w:val="007B0DC6"/>
    <w:rsid w:val="007B1094"/>
    <w:rsid w:val="007B1762"/>
    <w:rsid w:val="007B3320"/>
    <w:rsid w:val="007C301F"/>
    <w:rsid w:val="007C4540"/>
    <w:rsid w:val="007C65AF"/>
    <w:rsid w:val="007D135D"/>
    <w:rsid w:val="007D730F"/>
    <w:rsid w:val="007D7CD8"/>
    <w:rsid w:val="007E3AA7"/>
    <w:rsid w:val="007F737D"/>
    <w:rsid w:val="0080308E"/>
    <w:rsid w:val="00805303"/>
    <w:rsid w:val="00806705"/>
    <w:rsid w:val="00806738"/>
    <w:rsid w:val="008216D5"/>
    <w:rsid w:val="008249CE"/>
    <w:rsid w:val="00831A50"/>
    <w:rsid w:val="00831B3C"/>
    <w:rsid w:val="00831C89"/>
    <w:rsid w:val="00832114"/>
    <w:rsid w:val="00834C46"/>
    <w:rsid w:val="0084093E"/>
    <w:rsid w:val="00841CE1"/>
    <w:rsid w:val="008473D8"/>
    <w:rsid w:val="008528DC"/>
    <w:rsid w:val="00852B8C"/>
    <w:rsid w:val="00854981"/>
    <w:rsid w:val="00864B2E"/>
    <w:rsid w:val="00865963"/>
    <w:rsid w:val="00871C1D"/>
    <w:rsid w:val="0087450E"/>
    <w:rsid w:val="00875A82"/>
    <w:rsid w:val="00876CA3"/>
    <w:rsid w:val="008772FE"/>
    <w:rsid w:val="008775F1"/>
    <w:rsid w:val="008821AE"/>
    <w:rsid w:val="00883D3A"/>
    <w:rsid w:val="008854F7"/>
    <w:rsid w:val="00885A9D"/>
    <w:rsid w:val="00887859"/>
    <w:rsid w:val="008929D2"/>
    <w:rsid w:val="00893636"/>
    <w:rsid w:val="00893B94"/>
    <w:rsid w:val="00896E9D"/>
    <w:rsid w:val="00896F11"/>
    <w:rsid w:val="008A1049"/>
    <w:rsid w:val="008A1C98"/>
    <w:rsid w:val="008A322D"/>
    <w:rsid w:val="008A4D72"/>
    <w:rsid w:val="008A6285"/>
    <w:rsid w:val="008A63B2"/>
    <w:rsid w:val="008B345D"/>
    <w:rsid w:val="008C1FC2"/>
    <w:rsid w:val="008C2980"/>
    <w:rsid w:val="008C4DD6"/>
    <w:rsid w:val="008C5AFB"/>
    <w:rsid w:val="008D07FB"/>
    <w:rsid w:val="008D0C02"/>
    <w:rsid w:val="008D357D"/>
    <w:rsid w:val="008D435A"/>
    <w:rsid w:val="008E387B"/>
    <w:rsid w:val="008E6087"/>
    <w:rsid w:val="008E758D"/>
    <w:rsid w:val="008F10A7"/>
    <w:rsid w:val="008F755D"/>
    <w:rsid w:val="008F7A39"/>
    <w:rsid w:val="009021E8"/>
    <w:rsid w:val="00904677"/>
    <w:rsid w:val="00905EE2"/>
    <w:rsid w:val="00911440"/>
    <w:rsid w:val="00911712"/>
    <w:rsid w:val="00911B27"/>
    <w:rsid w:val="009170BE"/>
    <w:rsid w:val="00920B55"/>
    <w:rsid w:val="009262C9"/>
    <w:rsid w:val="00930EB9"/>
    <w:rsid w:val="00933DC7"/>
    <w:rsid w:val="009418F4"/>
    <w:rsid w:val="00942BBC"/>
    <w:rsid w:val="00944180"/>
    <w:rsid w:val="00944AA0"/>
    <w:rsid w:val="0094575B"/>
    <w:rsid w:val="00947DA2"/>
    <w:rsid w:val="00951177"/>
    <w:rsid w:val="009673E8"/>
    <w:rsid w:val="0097131B"/>
    <w:rsid w:val="00974DB8"/>
    <w:rsid w:val="00980661"/>
    <w:rsid w:val="0098093B"/>
    <w:rsid w:val="009876D4"/>
    <w:rsid w:val="009914A5"/>
    <w:rsid w:val="0099548E"/>
    <w:rsid w:val="00996456"/>
    <w:rsid w:val="00996A12"/>
    <w:rsid w:val="00997B0F"/>
    <w:rsid w:val="009A0CC3"/>
    <w:rsid w:val="009A1CAD"/>
    <w:rsid w:val="009A3440"/>
    <w:rsid w:val="009A5832"/>
    <w:rsid w:val="009A6838"/>
    <w:rsid w:val="009B24B5"/>
    <w:rsid w:val="009B4EBC"/>
    <w:rsid w:val="009B5ABB"/>
    <w:rsid w:val="009B73CE"/>
    <w:rsid w:val="009C2461"/>
    <w:rsid w:val="009C5A15"/>
    <w:rsid w:val="009C6FE2"/>
    <w:rsid w:val="009C7674"/>
    <w:rsid w:val="009D004A"/>
    <w:rsid w:val="009D5880"/>
    <w:rsid w:val="009E1FD4"/>
    <w:rsid w:val="009E3B07"/>
    <w:rsid w:val="009E51D1"/>
    <w:rsid w:val="009E5531"/>
    <w:rsid w:val="009F171E"/>
    <w:rsid w:val="009F3D2F"/>
    <w:rsid w:val="009F7052"/>
    <w:rsid w:val="00A02668"/>
    <w:rsid w:val="00A02801"/>
    <w:rsid w:val="00A06A39"/>
    <w:rsid w:val="00A07F58"/>
    <w:rsid w:val="00A131CB"/>
    <w:rsid w:val="00A14847"/>
    <w:rsid w:val="00A16D6D"/>
    <w:rsid w:val="00A21383"/>
    <w:rsid w:val="00A2199F"/>
    <w:rsid w:val="00A21B31"/>
    <w:rsid w:val="00A2360E"/>
    <w:rsid w:val="00A26E0C"/>
    <w:rsid w:val="00A32FCB"/>
    <w:rsid w:val="00A34C25"/>
    <w:rsid w:val="00A3507D"/>
    <w:rsid w:val="00A3717A"/>
    <w:rsid w:val="00A4088C"/>
    <w:rsid w:val="00A4456B"/>
    <w:rsid w:val="00A448D4"/>
    <w:rsid w:val="00A452E0"/>
    <w:rsid w:val="00A506DF"/>
    <w:rsid w:val="00A51EA5"/>
    <w:rsid w:val="00A53742"/>
    <w:rsid w:val="00A557A1"/>
    <w:rsid w:val="00A63059"/>
    <w:rsid w:val="00A63AE3"/>
    <w:rsid w:val="00A651A4"/>
    <w:rsid w:val="00A71361"/>
    <w:rsid w:val="00A746E2"/>
    <w:rsid w:val="00A759E4"/>
    <w:rsid w:val="00A81FF2"/>
    <w:rsid w:val="00A83904"/>
    <w:rsid w:val="00A90A79"/>
    <w:rsid w:val="00A96B30"/>
    <w:rsid w:val="00AA442D"/>
    <w:rsid w:val="00AA59B5"/>
    <w:rsid w:val="00AA7777"/>
    <w:rsid w:val="00AA7B84"/>
    <w:rsid w:val="00AC0B4C"/>
    <w:rsid w:val="00AC1164"/>
    <w:rsid w:val="00AC2296"/>
    <w:rsid w:val="00AC2754"/>
    <w:rsid w:val="00AC48B0"/>
    <w:rsid w:val="00AC4ACD"/>
    <w:rsid w:val="00AC5DFB"/>
    <w:rsid w:val="00AD13DC"/>
    <w:rsid w:val="00AD6DE2"/>
    <w:rsid w:val="00AE0A40"/>
    <w:rsid w:val="00AE1ED4"/>
    <w:rsid w:val="00AE21E1"/>
    <w:rsid w:val="00AE2F8D"/>
    <w:rsid w:val="00AE3BAE"/>
    <w:rsid w:val="00AE6A21"/>
    <w:rsid w:val="00AF1C8F"/>
    <w:rsid w:val="00AF2B68"/>
    <w:rsid w:val="00AF2C92"/>
    <w:rsid w:val="00AF3EC1"/>
    <w:rsid w:val="00AF5025"/>
    <w:rsid w:val="00AF519F"/>
    <w:rsid w:val="00AF5387"/>
    <w:rsid w:val="00AF55F5"/>
    <w:rsid w:val="00AF7E86"/>
    <w:rsid w:val="00B024B9"/>
    <w:rsid w:val="00B077FA"/>
    <w:rsid w:val="00B127D7"/>
    <w:rsid w:val="00B13B0C"/>
    <w:rsid w:val="00B14408"/>
    <w:rsid w:val="00B1453A"/>
    <w:rsid w:val="00B16C6B"/>
    <w:rsid w:val="00B20F82"/>
    <w:rsid w:val="00B25BD5"/>
    <w:rsid w:val="00B27554"/>
    <w:rsid w:val="00B34079"/>
    <w:rsid w:val="00B3793A"/>
    <w:rsid w:val="00B401BA"/>
    <w:rsid w:val="00B407E4"/>
    <w:rsid w:val="00B425B6"/>
    <w:rsid w:val="00B42A72"/>
    <w:rsid w:val="00B441AE"/>
    <w:rsid w:val="00B45A65"/>
    <w:rsid w:val="00B45F33"/>
    <w:rsid w:val="00B46D50"/>
    <w:rsid w:val="00B53170"/>
    <w:rsid w:val="00B548B9"/>
    <w:rsid w:val="00B56DBE"/>
    <w:rsid w:val="00B62999"/>
    <w:rsid w:val="00B63BE3"/>
    <w:rsid w:val="00B64885"/>
    <w:rsid w:val="00B64FA3"/>
    <w:rsid w:val="00B66810"/>
    <w:rsid w:val="00B67808"/>
    <w:rsid w:val="00B72BE3"/>
    <w:rsid w:val="00B73B80"/>
    <w:rsid w:val="00B770C7"/>
    <w:rsid w:val="00B80F26"/>
    <w:rsid w:val="00B822BD"/>
    <w:rsid w:val="00B842F4"/>
    <w:rsid w:val="00B8741B"/>
    <w:rsid w:val="00B91A7B"/>
    <w:rsid w:val="00B929DD"/>
    <w:rsid w:val="00B93AF6"/>
    <w:rsid w:val="00B95405"/>
    <w:rsid w:val="00B963F1"/>
    <w:rsid w:val="00BA020A"/>
    <w:rsid w:val="00BB025A"/>
    <w:rsid w:val="00BB02A4"/>
    <w:rsid w:val="00BB1270"/>
    <w:rsid w:val="00BB1E44"/>
    <w:rsid w:val="00BB5267"/>
    <w:rsid w:val="00BB52B8"/>
    <w:rsid w:val="00BB59D8"/>
    <w:rsid w:val="00BB7E69"/>
    <w:rsid w:val="00BC0E51"/>
    <w:rsid w:val="00BC3C1F"/>
    <w:rsid w:val="00BC7CE7"/>
    <w:rsid w:val="00BD295E"/>
    <w:rsid w:val="00BD4664"/>
    <w:rsid w:val="00BE1193"/>
    <w:rsid w:val="00BF4849"/>
    <w:rsid w:val="00BF4EA7"/>
    <w:rsid w:val="00BF6525"/>
    <w:rsid w:val="00C00EDB"/>
    <w:rsid w:val="00C02863"/>
    <w:rsid w:val="00C0383A"/>
    <w:rsid w:val="00C067FF"/>
    <w:rsid w:val="00C12862"/>
    <w:rsid w:val="00C13D28"/>
    <w:rsid w:val="00C14585"/>
    <w:rsid w:val="00C165A0"/>
    <w:rsid w:val="00C216CE"/>
    <w:rsid w:val="00C2184F"/>
    <w:rsid w:val="00C22A78"/>
    <w:rsid w:val="00C23C7E"/>
    <w:rsid w:val="00C246C5"/>
    <w:rsid w:val="00C25A82"/>
    <w:rsid w:val="00C30A2A"/>
    <w:rsid w:val="00C33993"/>
    <w:rsid w:val="00C4069E"/>
    <w:rsid w:val="00C41ADC"/>
    <w:rsid w:val="00C44149"/>
    <w:rsid w:val="00C44410"/>
    <w:rsid w:val="00C44A15"/>
    <w:rsid w:val="00C4630A"/>
    <w:rsid w:val="00C523F0"/>
    <w:rsid w:val="00C526D2"/>
    <w:rsid w:val="00C52E87"/>
    <w:rsid w:val="00C53A91"/>
    <w:rsid w:val="00C5794E"/>
    <w:rsid w:val="00C60968"/>
    <w:rsid w:val="00C63D39"/>
    <w:rsid w:val="00C63EDD"/>
    <w:rsid w:val="00C6574E"/>
    <w:rsid w:val="00C65B36"/>
    <w:rsid w:val="00C7292E"/>
    <w:rsid w:val="00C74E88"/>
    <w:rsid w:val="00C80924"/>
    <w:rsid w:val="00C8286B"/>
    <w:rsid w:val="00C947F8"/>
    <w:rsid w:val="00C9515F"/>
    <w:rsid w:val="00C963C5"/>
    <w:rsid w:val="00CA030C"/>
    <w:rsid w:val="00CA1F41"/>
    <w:rsid w:val="00CA32EE"/>
    <w:rsid w:val="00CA5771"/>
    <w:rsid w:val="00CA6A1A"/>
    <w:rsid w:val="00CC1E75"/>
    <w:rsid w:val="00CC2E0E"/>
    <w:rsid w:val="00CC361C"/>
    <w:rsid w:val="00CC474B"/>
    <w:rsid w:val="00CC658C"/>
    <w:rsid w:val="00CC67BF"/>
    <w:rsid w:val="00CD0843"/>
    <w:rsid w:val="00CD4E31"/>
    <w:rsid w:val="00CD5A78"/>
    <w:rsid w:val="00CD7345"/>
    <w:rsid w:val="00CE372E"/>
    <w:rsid w:val="00CF0A1B"/>
    <w:rsid w:val="00CF19F6"/>
    <w:rsid w:val="00CF2F4F"/>
    <w:rsid w:val="00CF536D"/>
    <w:rsid w:val="00D02E9D"/>
    <w:rsid w:val="00D10CB8"/>
    <w:rsid w:val="00D12806"/>
    <w:rsid w:val="00D12ABA"/>
    <w:rsid w:val="00D12D44"/>
    <w:rsid w:val="00D15018"/>
    <w:rsid w:val="00D158AC"/>
    <w:rsid w:val="00D1694C"/>
    <w:rsid w:val="00D16A18"/>
    <w:rsid w:val="00D20F5E"/>
    <w:rsid w:val="00D23B76"/>
    <w:rsid w:val="00D24B4A"/>
    <w:rsid w:val="00D32135"/>
    <w:rsid w:val="00D379A3"/>
    <w:rsid w:val="00D45FF3"/>
    <w:rsid w:val="00D512CF"/>
    <w:rsid w:val="00D528B9"/>
    <w:rsid w:val="00D53186"/>
    <w:rsid w:val="00D5487D"/>
    <w:rsid w:val="00D60140"/>
    <w:rsid w:val="00D6024A"/>
    <w:rsid w:val="00D608B5"/>
    <w:rsid w:val="00D64739"/>
    <w:rsid w:val="00D71F99"/>
    <w:rsid w:val="00D73CA4"/>
    <w:rsid w:val="00D73D71"/>
    <w:rsid w:val="00D74396"/>
    <w:rsid w:val="00D80284"/>
    <w:rsid w:val="00D81F71"/>
    <w:rsid w:val="00D8642D"/>
    <w:rsid w:val="00D90A5E"/>
    <w:rsid w:val="00D91A68"/>
    <w:rsid w:val="00D95A68"/>
    <w:rsid w:val="00DA17C7"/>
    <w:rsid w:val="00DA6A9A"/>
    <w:rsid w:val="00DB1EFD"/>
    <w:rsid w:val="00DB3EAF"/>
    <w:rsid w:val="00DB46C6"/>
    <w:rsid w:val="00DC3203"/>
    <w:rsid w:val="00DC3C99"/>
    <w:rsid w:val="00DC52F5"/>
    <w:rsid w:val="00DC5FD0"/>
    <w:rsid w:val="00DD0354"/>
    <w:rsid w:val="00DD27D7"/>
    <w:rsid w:val="00DD458C"/>
    <w:rsid w:val="00DD72E9"/>
    <w:rsid w:val="00DD7605"/>
    <w:rsid w:val="00DE2020"/>
    <w:rsid w:val="00DE3476"/>
    <w:rsid w:val="00DE7BEA"/>
    <w:rsid w:val="00DF5B84"/>
    <w:rsid w:val="00DF6D5B"/>
    <w:rsid w:val="00DF771B"/>
    <w:rsid w:val="00DF7EE2"/>
    <w:rsid w:val="00E01BAA"/>
    <w:rsid w:val="00E0282A"/>
    <w:rsid w:val="00E02F9B"/>
    <w:rsid w:val="00E07E14"/>
    <w:rsid w:val="00E14F94"/>
    <w:rsid w:val="00E17336"/>
    <w:rsid w:val="00E17D15"/>
    <w:rsid w:val="00E22B95"/>
    <w:rsid w:val="00E30331"/>
    <w:rsid w:val="00E30BB8"/>
    <w:rsid w:val="00E31F9C"/>
    <w:rsid w:val="00E40488"/>
    <w:rsid w:val="00E50367"/>
    <w:rsid w:val="00E51ABA"/>
    <w:rsid w:val="00E524CB"/>
    <w:rsid w:val="00E65456"/>
    <w:rsid w:val="00E65A91"/>
    <w:rsid w:val="00E66188"/>
    <w:rsid w:val="00E664FB"/>
    <w:rsid w:val="00E6699E"/>
    <w:rsid w:val="00E672F0"/>
    <w:rsid w:val="00E70373"/>
    <w:rsid w:val="00E72E40"/>
    <w:rsid w:val="00E73665"/>
    <w:rsid w:val="00E73999"/>
    <w:rsid w:val="00E73BDC"/>
    <w:rsid w:val="00E73E9E"/>
    <w:rsid w:val="00E81660"/>
    <w:rsid w:val="00E854FE"/>
    <w:rsid w:val="00E906CC"/>
    <w:rsid w:val="00E939A0"/>
    <w:rsid w:val="00E97E4E"/>
    <w:rsid w:val="00EA1CC2"/>
    <w:rsid w:val="00EA2D76"/>
    <w:rsid w:val="00EA4644"/>
    <w:rsid w:val="00EA758A"/>
    <w:rsid w:val="00EB096F"/>
    <w:rsid w:val="00EB199F"/>
    <w:rsid w:val="00EB21A4"/>
    <w:rsid w:val="00EB27C4"/>
    <w:rsid w:val="00EB5387"/>
    <w:rsid w:val="00EB5C10"/>
    <w:rsid w:val="00EB7322"/>
    <w:rsid w:val="00EC0FE9"/>
    <w:rsid w:val="00EC198B"/>
    <w:rsid w:val="00EC426D"/>
    <w:rsid w:val="00EC571B"/>
    <w:rsid w:val="00EC57D7"/>
    <w:rsid w:val="00EC6385"/>
    <w:rsid w:val="00ED1DE9"/>
    <w:rsid w:val="00ED23D4"/>
    <w:rsid w:val="00ED5E0B"/>
    <w:rsid w:val="00EE37B6"/>
    <w:rsid w:val="00EF0F45"/>
    <w:rsid w:val="00EF7463"/>
    <w:rsid w:val="00EF7971"/>
    <w:rsid w:val="00F002EF"/>
    <w:rsid w:val="00F01EE9"/>
    <w:rsid w:val="00F04900"/>
    <w:rsid w:val="00F04BB5"/>
    <w:rsid w:val="00F065A4"/>
    <w:rsid w:val="00F126B9"/>
    <w:rsid w:val="00F12715"/>
    <w:rsid w:val="00F144D5"/>
    <w:rsid w:val="00F146F0"/>
    <w:rsid w:val="00F15039"/>
    <w:rsid w:val="00F20FF3"/>
    <w:rsid w:val="00F2190B"/>
    <w:rsid w:val="00F228B5"/>
    <w:rsid w:val="00F2389C"/>
    <w:rsid w:val="00F25C67"/>
    <w:rsid w:val="00F30DFF"/>
    <w:rsid w:val="00F32B80"/>
    <w:rsid w:val="00F340EB"/>
    <w:rsid w:val="00F35285"/>
    <w:rsid w:val="00F43B9D"/>
    <w:rsid w:val="00F44D5E"/>
    <w:rsid w:val="00F53A35"/>
    <w:rsid w:val="00F55A3D"/>
    <w:rsid w:val="00F5744B"/>
    <w:rsid w:val="00F61209"/>
    <w:rsid w:val="00F6259E"/>
    <w:rsid w:val="00F65DD4"/>
    <w:rsid w:val="00F672B2"/>
    <w:rsid w:val="00F83973"/>
    <w:rsid w:val="00F87FA3"/>
    <w:rsid w:val="00F93D8C"/>
    <w:rsid w:val="00F96119"/>
    <w:rsid w:val="00FA3102"/>
    <w:rsid w:val="00FA48D4"/>
    <w:rsid w:val="00FA54FA"/>
    <w:rsid w:val="00FA6D39"/>
    <w:rsid w:val="00FB227E"/>
    <w:rsid w:val="00FB3D61"/>
    <w:rsid w:val="00FB44CE"/>
    <w:rsid w:val="00FB5009"/>
    <w:rsid w:val="00FB76AB"/>
    <w:rsid w:val="00FD03FE"/>
    <w:rsid w:val="00FD126E"/>
    <w:rsid w:val="00FD3C36"/>
    <w:rsid w:val="00FD4D81"/>
    <w:rsid w:val="00FD7498"/>
    <w:rsid w:val="00FD7FB3"/>
    <w:rsid w:val="00FE4713"/>
    <w:rsid w:val="00FF1F44"/>
    <w:rsid w:val="00FF225E"/>
    <w:rsid w:val="00FF672C"/>
    <w:rsid w:val="00FF6CE8"/>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503D9"/>
  <w14:defaultImageDpi w14:val="330"/>
  <w15:docId w15:val="{7D57F9CD-F647-4AFD-A15E-AE3E2D69E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096F"/>
    <w:pPr>
      <w:spacing w:line="480" w:lineRule="auto"/>
    </w:pPr>
    <w:rPr>
      <w:sz w:val="24"/>
      <w:szCs w:val="24"/>
    </w:rPr>
  </w:style>
  <w:style w:type="paragraph" w:styleId="Heading1">
    <w:name w:val="heading 1"/>
    <w:basedOn w:val="Normal"/>
    <w:next w:val="Paragraph"/>
    <w:link w:val="Heading1Char"/>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F43B9D"/>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310E13"/>
    <w:pPr>
      <w:spacing w:before="360" w:after="300" w:line="360" w:lineRule="auto"/>
      <w:ind w:left="720" w:right="567"/>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Heading2Char">
    <w:name w:val="Heading 2 Char"/>
    <w:basedOn w:val="DefaultParagraphFont"/>
    <w:link w:val="Heading2"/>
    <w:rsid w:val="008D07FB"/>
    <w:rPr>
      <w:rFonts w:cs="Arial"/>
      <w:b/>
      <w:bCs/>
      <w:i/>
      <w:iCs/>
      <w:sz w:val="24"/>
      <w:szCs w:val="28"/>
    </w:rPr>
  </w:style>
  <w:style w:type="character" w:customStyle="1" w:styleId="Heading1Char">
    <w:name w:val="Heading 1 Char"/>
    <w:basedOn w:val="DefaultParagraphFont"/>
    <w:link w:val="Heading1"/>
    <w:rsid w:val="00AE1ED4"/>
    <w:rPr>
      <w:rFonts w:cs="Arial"/>
      <w:b/>
      <w:bCs/>
      <w:kern w:val="32"/>
      <w:sz w:val="24"/>
      <w:szCs w:val="32"/>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rsid w:val="006C19B2"/>
    <w:pPr>
      <w:ind w:left="284" w:hanging="284"/>
    </w:pPr>
    <w:rPr>
      <w:sz w:val="22"/>
      <w:szCs w:val="20"/>
    </w:rPr>
  </w:style>
  <w:style w:type="character" w:customStyle="1" w:styleId="FootnoteTextChar">
    <w:name w:val="Footnote Text Char"/>
    <w:basedOn w:val="DefaultParagraphFont"/>
    <w:link w:val="FootnoteText"/>
    <w:rsid w:val="006C19B2"/>
    <w:rPr>
      <w:sz w:val="22"/>
    </w:rPr>
  </w:style>
  <w:style w:type="character" w:styleId="FootnoteReference">
    <w:name w:val="footnote reference"/>
    <w:basedOn w:val="DefaultParagraphFont"/>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rsid w:val="003F193A"/>
    <w:pPr>
      <w:tabs>
        <w:tab w:val="center" w:pos="4320"/>
        <w:tab w:val="right" w:pos="8640"/>
      </w:tabs>
      <w:spacing w:after="120" w:line="240" w:lineRule="auto"/>
      <w:contextualSpacing/>
    </w:pPr>
  </w:style>
  <w:style w:type="character" w:customStyle="1" w:styleId="HeaderChar">
    <w:name w:val="Header Char"/>
    <w:basedOn w:val="DefaultParagraphFont"/>
    <w:link w:val="Header"/>
    <w:rsid w:val="003F193A"/>
    <w:rPr>
      <w:rFonts w:eastAsia="Times New Roman"/>
      <w:sz w:val="24"/>
      <w:szCs w:val="24"/>
      <w:lang w:eastAsia="en-GB"/>
    </w:rPr>
  </w:style>
  <w:style w:type="paragraph" w:styleId="Footer">
    <w:name w:val="footer"/>
    <w:basedOn w:val="Normal"/>
    <w:link w:val="FooterChar"/>
    <w:rsid w:val="00AE6A21"/>
    <w:pPr>
      <w:tabs>
        <w:tab w:val="center" w:pos="4320"/>
        <w:tab w:val="right" w:pos="8640"/>
      </w:tabs>
      <w:spacing w:before="240" w:line="240" w:lineRule="auto"/>
      <w:contextualSpacing/>
    </w:pPr>
  </w:style>
  <w:style w:type="character" w:customStyle="1" w:styleId="FooterChar">
    <w:name w:val="Footer Char"/>
    <w:basedOn w:val="DefaultParagraphFont"/>
    <w:link w:val="Footer"/>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character" w:styleId="Hyperlink">
    <w:name w:val="Hyperlink"/>
    <w:basedOn w:val="DefaultParagraphFont"/>
    <w:unhideWhenUsed/>
    <w:rsid w:val="00D16A18"/>
    <w:rPr>
      <w:color w:val="0000FF" w:themeColor="hyperlink"/>
      <w:u w:val="single"/>
    </w:rPr>
  </w:style>
  <w:style w:type="character" w:styleId="UnresolvedMention">
    <w:name w:val="Unresolved Mention"/>
    <w:basedOn w:val="DefaultParagraphFont"/>
    <w:uiPriority w:val="99"/>
    <w:semiHidden/>
    <w:unhideWhenUsed/>
    <w:rsid w:val="00D16A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224160">
      <w:bodyDiv w:val="1"/>
      <w:marLeft w:val="0"/>
      <w:marRight w:val="0"/>
      <w:marTop w:val="0"/>
      <w:marBottom w:val="0"/>
      <w:divBdr>
        <w:top w:val="none" w:sz="0" w:space="0" w:color="auto"/>
        <w:left w:val="none" w:sz="0" w:space="0" w:color="auto"/>
        <w:bottom w:val="none" w:sz="0" w:space="0" w:color="auto"/>
        <w:right w:val="none" w:sz="0" w:space="0" w:color="auto"/>
      </w:divBdr>
    </w:div>
    <w:div w:id="891114719">
      <w:bodyDiv w:val="1"/>
      <w:marLeft w:val="0"/>
      <w:marRight w:val="0"/>
      <w:marTop w:val="0"/>
      <w:marBottom w:val="0"/>
      <w:divBdr>
        <w:top w:val="none" w:sz="0" w:space="0" w:color="auto"/>
        <w:left w:val="none" w:sz="0" w:space="0" w:color="auto"/>
        <w:bottom w:val="none" w:sz="0" w:space="0" w:color="auto"/>
        <w:right w:val="none" w:sz="0" w:space="0" w:color="auto"/>
      </w:divBdr>
    </w:div>
    <w:div w:id="909926053">
      <w:bodyDiv w:val="1"/>
      <w:marLeft w:val="0"/>
      <w:marRight w:val="0"/>
      <w:marTop w:val="0"/>
      <w:marBottom w:val="0"/>
      <w:divBdr>
        <w:top w:val="none" w:sz="0" w:space="0" w:color="auto"/>
        <w:left w:val="none" w:sz="0" w:space="0" w:color="auto"/>
        <w:bottom w:val="none" w:sz="0" w:space="0" w:color="auto"/>
        <w:right w:val="none" w:sz="0" w:space="0" w:color="auto"/>
      </w:divBdr>
    </w:div>
    <w:div w:id="1041395976">
      <w:bodyDiv w:val="1"/>
      <w:marLeft w:val="0"/>
      <w:marRight w:val="0"/>
      <w:marTop w:val="0"/>
      <w:marBottom w:val="0"/>
      <w:divBdr>
        <w:top w:val="none" w:sz="0" w:space="0" w:color="auto"/>
        <w:left w:val="none" w:sz="0" w:space="0" w:color="auto"/>
        <w:bottom w:val="none" w:sz="0" w:space="0" w:color="auto"/>
        <w:right w:val="none" w:sz="0" w:space="0" w:color="auto"/>
      </w:divBdr>
    </w:div>
    <w:div w:id="1670328342">
      <w:bodyDiv w:val="1"/>
      <w:marLeft w:val="0"/>
      <w:marRight w:val="0"/>
      <w:marTop w:val="0"/>
      <w:marBottom w:val="0"/>
      <w:divBdr>
        <w:top w:val="none" w:sz="0" w:space="0" w:color="auto"/>
        <w:left w:val="none" w:sz="0" w:space="0" w:color="auto"/>
        <w:bottom w:val="none" w:sz="0" w:space="0" w:color="auto"/>
        <w:right w:val="none" w:sz="0" w:space="0" w:color="auto"/>
      </w:divBdr>
    </w:div>
    <w:div w:id="2084985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e\Desktop\TF_Template_Word_Windows_2016%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02914E-4C3A-4163-A6C9-332A453E9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TF_Template_Word_Windows_2016 (1)</Template>
  <TotalTime>487</TotalTime>
  <Pages>30</Pages>
  <Words>7412</Words>
  <Characters>42254</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TF_Template_Word_Windows_2016</vt:lpstr>
    </vt:vector>
  </TitlesOfParts>
  <Company>Informa Plc</Company>
  <LinksUpToDate>false</LinksUpToDate>
  <CharactersWithSpaces>49567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TF_Template_Word_Windows_2016</dc:title>
  <dc:creator>Lee</dc:creator>
  <cp:lastModifiedBy>Cheng, Lee</cp:lastModifiedBy>
  <cp:revision>10</cp:revision>
  <cp:lastPrinted>2011-07-22T14:54:00Z</cp:lastPrinted>
  <dcterms:created xsi:type="dcterms:W3CDTF">2020-10-18T16:42:00Z</dcterms:created>
  <dcterms:modified xsi:type="dcterms:W3CDTF">2022-02-01T18:38:00Z</dcterms:modified>
</cp:coreProperties>
</file>