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02A7A" w14:textId="00DBD14A" w:rsidR="00EB05A5" w:rsidRPr="00733FBC" w:rsidRDefault="00462B36" w:rsidP="00CD1F9F">
      <w:pPr>
        <w:pStyle w:val="Header"/>
        <w:spacing w:after="160" w:line="259" w:lineRule="auto"/>
        <w:jc w:val="center"/>
        <w:rPr>
          <w:rFonts w:ascii="Times New Roman" w:hAnsi="Times New Roman" w:cs="Times New Roman"/>
          <w:b/>
          <w:bCs/>
          <w:color w:val="000000"/>
          <w:sz w:val="36"/>
          <w:szCs w:val="36"/>
          <w:u w:val="single"/>
        </w:rPr>
      </w:pPr>
      <w:bookmarkStart w:id="0" w:name="_Hlk57484078"/>
      <w:bookmarkStart w:id="1" w:name="_Hlk59567235"/>
      <w:r w:rsidRPr="00733FBC">
        <w:rPr>
          <w:rFonts w:ascii="Times New Roman" w:hAnsi="Times New Roman" w:cs="Times New Roman"/>
          <w:b/>
          <w:bCs/>
          <w:color w:val="000000"/>
          <w:sz w:val="36"/>
          <w:szCs w:val="36"/>
          <w:u w:val="single"/>
        </w:rPr>
        <w:t>Type 2 diabetes r</w:t>
      </w:r>
      <w:r w:rsidR="00EB05A5" w:rsidRPr="00733FBC">
        <w:rPr>
          <w:rFonts w:ascii="Times New Roman" w:hAnsi="Times New Roman" w:cs="Times New Roman"/>
          <w:b/>
          <w:bCs/>
          <w:color w:val="000000"/>
          <w:sz w:val="36"/>
          <w:szCs w:val="36"/>
          <w:u w:val="single"/>
        </w:rPr>
        <w:t>emission</w:t>
      </w:r>
      <w:r w:rsidRPr="00733FBC">
        <w:rPr>
          <w:rFonts w:ascii="Times New Roman" w:hAnsi="Times New Roman" w:cs="Times New Roman"/>
          <w:b/>
          <w:bCs/>
          <w:color w:val="000000"/>
          <w:sz w:val="36"/>
          <w:szCs w:val="36"/>
          <w:u w:val="single"/>
        </w:rPr>
        <w:t xml:space="preserve"> trajectories</w:t>
      </w:r>
      <w:r w:rsidR="00FD42E9" w:rsidRPr="00733FBC">
        <w:rPr>
          <w:rFonts w:ascii="Times New Roman" w:hAnsi="Times New Roman" w:cs="Times New Roman"/>
          <w:b/>
          <w:bCs/>
          <w:color w:val="000000"/>
          <w:sz w:val="36"/>
          <w:szCs w:val="36"/>
          <w:u w:val="single"/>
        </w:rPr>
        <w:t xml:space="preserve"> </w:t>
      </w:r>
      <w:r w:rsidRPr="00733FBC">
        <w:rPr>
          <w:rFonts w:ascii="Times New Roman" w:hAnsi="Times New Roman" w:cs="Times New Roman"/>
          <w:b/>
          <w:bCs/>
          <w:color w:val="000000"/>
          <w:sz w:val="36"/>
          <w:szCs w:val="36"/>
          <w:u w:val="single"/>
        </w:rPr>
        <w:t xml:space="preserve">and </w:t>
      </w:r>
      <w:r w:rsidR="00F86158" w:rsidRPr="00733FBC">
        <w:rPr>
          <w:rFonts w:ascii="Times New Roman" w:hAnsi="Times New Roman" w:cs="Times New Roman"/>
          <w:b/>
          <w:bCs/>
          <w:color w:val="000000"/>
          <w:sz w:val="36"/>
          <w:szCs w:val="36"/>
          <w:u w:val="single"/>
        </w:rPr>
        <w:t xml:space="preserve">variation in </w:t>
      </w:r>
      <w:r w:rsidR="00E53C42" w:rsidRPr="00733FBC">
        <w:rPr>
          <w:rFonts w:ascii="Times New Roman" w:hAnsi="Times New Roman" w:cs="Times New Roman"/>
          <w:b/>
          <w:bCs/>
          <w:color w:val="000000"/>
          <w:sz w:val="36"/>
          <w:szCs w:val="36"/>
          <w:u w:val="single"/>
        </w:rPr>
        <w:t xml:space="preserve">risk of </w:t>
      </w:r>
      <w:r w:rsidR="000A2CC5" w:rsidRPr="00733FBC">
        <w:rPr>
          <w:rFonts w:ascii="Times New Roman" w:hAnsi="Times New Roman" w:cs="Times New Roman"/>
          <w:b/>
          <w:bCs/>
          <w:color w:val="000000"/>
          <w:sz w:val="36"/>
          <w:szCs w:val="36"/>
          <w:u w:val="single"/>
        </w:rPr>
        <w:t xml:space="preserve">diabetes complications: </w:t>
      </w:r>
      <w:r w:rsidR="00EB05A5" w:rsidRPr="00733FBC">
        <w:rPr>
          <w:rFonts w:ascii="Times New Roman" w:hAnsi="Times New Roman" w:cs="Times New Roman"/>
          <w:b/>
          <w:bCs/>
          <w:color w:val="000000"/>
          <w:sz w:val="36"/>
          <w:szCs w:val="36"/>
          <w:u w:val="single"/>
        </w:rPr>
        <w:t>A population</w:t>
      </w:r>
      <w:r w:rsidR="00CA6E1E" w:rsidRPr="00733FBC">
        <w:rPr>
          <w:rFonts w:ascii="Times New Roman" w:hAnsi="Times New Roman" w:cs="Times New Roman"/>
          <w:b/>
          <w:bCs/>
          <w:color w:val="000000"/>
          <w:sz w:val="36"/>
          <w:szCs w:val="36"/>
          <w:u w:val="single"/>
        </w:rPr>
        <w:t>-</w:t>
      </w:r>
      <w:r w:rsidR="00EB05A5" w:rsidRPr="00733FBC">
        <w:rPr>
          <w:rFonts w:ascii="Times New Roman" w:hAnsi="Times New Roman" w:cs="Times New Roman"/>
          <w:b/>
          <w:bCs/>
          <w:color w:val="000000"/>
          <w:sz w:val="36"/>
          <w:szCs w:val="36"/>
          <w:u w:val="single"/>
        </w:rPr>
        <w:t>based cohort study</w:t>
      </w:r>
    </w:p>
    <w:p w14:paraId="6C2A625C" w14:textId="77777777" w:rsidR="00EB05A5" w:rsidRPr="0046155E" w:rsidRDefault="00EB05A5" w:rsidP="008629BE">
      <w:pPr>
        <w:pStyle w:val="Header"/>
        <w:spacing w:after="160" w:line="259" w:lineRule="auto"/>
        <w:rPr>
          <w:rStyle w:val="Strong"/>
          <w:rFonts w:ascii="Times New Roman" w:hAnsi="Times New Roman" w:cs="Times New Roman"/>
          <w:sz w:val="24"/>
          <w:szCs w:val="24"/>
          <w:lang w:val="en-US"/>
        </w:rPr>
      </w:pPr>
    </w:p>
    <w:p w14:paraId="310C4DAC" w14:textId="7AA09AA7" w:rsidR="00EB05A5" w:rsidRPr="00733FBC" w:rsidRDefault="00EB05A5" w:rsidP="008629BE">
      <w:pPr>
        <w:rPr>
          <w:rStyle w:val="Strong"/>
          <w:rFonts w:ascii="Times New Roman" w:hAnsi="Times New Roman" w:cs="Times New Roman"/>
          <w:b w:val="0"/>
          <w:bCs w:val="0"/>
          <w:color w:val="333333"/>
          <w:sz w:val="36"/>
          <w:szCs w:val="36"/>
        </w:rPr>
      </w:pPr>
      <w:r w:rsidRPr="00733FBC">
        <w:rPr>
          <w:rStyle w:val="Strong"/>
          <w:rFonts w:ascii="Times New Roman" w:hAnsi="Times New Roman" w:cs="Times New Roman"/>
          <w:color w:val="333333"/>
          <w:sz w:val="36"/>
          <w:szCs w:val="36"/>
        </w:rPr>
        <w:t xml:space="preserve">Short title: </w:t>
      </w:r>
      <w:r w:rsidR="00F03FD6" w:rsidRPr="00733FBC">
        <w:rPr>
          <w:rStyle w:val="Strong"/>
          <w:rFonts w:ascii="Times New Roman" w:hAnsi="Times New Roman" w:cs="Times New Roman"/>
          <w:color w:val="333333"/>
          <w:sz w:val="36"/>
          <w:szCs w:val="36"/>
        </w:rPr>
        <w:t>T</w:t>
      </w:r>
      <w:r w:rsidRPr="00733FBC">
        <w:rPr>
          <w:rStyle w:val="Strong"/>
          <w:rFonts w:ascii="Times New Roman" w:hAnsi="Times New Roman" w:cs="Times New Roman"/>
          <w:color w:val="333333"/>
          <w:sz w:val="36"/>
          <w:szCs w:val="36"/>
        </w:rPr>
        <w:t>ype 2 diabetes</w:t>
      </w:r>
      <w:r w:rsidR="00462B36" w:rsidRPr="00733FBC">
        <w:rPr>
          <w:rStyle w:val="Strong"/>
          <w:rFonts w:ascii="Times New Roman" w:hAnsi="Times New Roman" w:cs="Times New Roman"/>
          <w:color w:val="333333"/>
          <w:sz w:val="36"/>
          <w:szCs w:val="36"/>
        </w:rPr>
        <w:t xml:space="preserve">, </w:t>
      </w:r>
      <w:r w:rsidRPr="00733FBC">
        <w:rPr>
          <w:rStyle w:val="Strong"/>
          <w:rFonts w:ascii="Times New Roman" w:hAnsi="Times New Roman" w:cs="Times New Roman"/>
          <w:color w:val="333333"/>
          <w:sz w:val="36"/>
          <w:szCs w:val="36"/>
        </w:rPr>
        <w:t>remission</w:t>
      </w:r>
      <w:r w:rsidR="00FD42E9" w:rsidRPr="00733FBC">
        <w:rPr>
          <w:rStyle w:val="Strong"/>
          <w:rFonts w:ascii="Times New Roman" w:hAnsi="Times New Roman" w:cs="Times New Roman"/>
          <w:color w:val="333333"/>
          <w:sz w:val="36"/>
          <w:szCs w:val="36"/>
        </w:rPr>
        <w:t xml:space="preserve"> </w:t>
      </w:r>
      <w:r w:rsidR="00462B36" w:rsidRPr="00733FBC">
        <w:rPr>
          <w:rStyle w:val="Strong"/>
          <w:rFonts w:ascii="Times New Roman" w:hAnsi="Times New Roman" w:cs="Times New Roman"/>
          <w:color w:val="333333"/>
          <w:sz w:val="36"/>
          <w:szCs w:val="36"/>
        </w:rPr>
        <w:t xml:space="preserve">trajectories </w:t>
      </w:r>
      <w:r w:rsidR="00FD42E9" w:rsidRPr="00733FBC">
        <w:rPr>
          <w:rStyle w:val="Strong"/>
          <w:rFonts w:ascii="Times New Roman" w:hAnsi="Times New Roman" w:cs="Times New Roman"/>
          <w:color w:val="333333"/>
          <w:sz w:val="36"/>
          <w:szCs w:val="36"/>
        </w:rPr>
        <w:t>and</w:t>
      </w:r>
      <w:r w:rsidR="000A2CC5" w:rsidRPr="00733FBC">
        <w:rPr>
          <w:rStyle w:val="Strong"/>
          <w:rFonts w:ascii="Times New Roman" w:hAnsi="Times New Roman" w:cs="Times New Roman"/>
          <w:color w:val="333333"/>
          <w:sz w:val="36"/>
          <w:szCs w:val="36"/>
        </w:rPr>
        <w:t xml:space="preserve"> diabetes complications</w:t>
      </w:r>
    </w:p>
    <w:p w14:paraId="400C88D7" w14:textId="4A19E4DA" w:rsidR="00EB05A5" w:rsidRPr="0046155E" w:rsidRDefault="00EB05A5" w:rsidP="008629BE">
      <w:pPr>
        <w:jc w:val="both"/>
        <w:rPr>
          <w:rFonts w:ascii="Times New Roman" w:eastAsia="Microsoft GothicNeo" w:hAnsi="Times New Roman" w:cs="Times New Roman"/>
          <w:color w:val="000000" w:themeColor="text1"/>
          <w:sz w:val="24"/>
          <w:szCs w:val="24"/>
          <w:lang w:val="en-US"/>
        </w:rPr>
      </w:pPr>
      <w:proofErr w:type="spellStart"/>
      <w:r w:rsidRPr="0046155E">
        <w:rPr>
          <w:rFonts w:ascii="Times New Roman" w:eastAsia="Microsoft GothicNeo" w:hAnsi="Times New Roman" w:cs="Times New Roman"/>
          <w:color w:val="000000" w:themeColor="text1"/>
          <w:sz w:val="24"/>
          <w:szCs w:val="24"/>
          <w:lang w:val="en-US"/>
        </w:rPr>
        <w:t>Hajira</w:t>
      </w:r>
      <w:proofErr w:type="spellEnd"/>
      <w:r w:rsidRPr="0046155E">
        <w:rPr>
          <w:rFonts w:ascii="Times New Roman" w:eastAsia="Microsoft GothicNeo" w:hAnsi="Times New Roman" w:cs="Times New Roman"/>
          <w:color w:val="000000" w:themeColor="text1"/>
          <w:sz w:val="24"/>
          <w:szCs w:val="24"/>
          <w:lang w:val="en-US"/>
        </w:rPr>
        <w:t xml:space="preserve"> Dambha-Miller</w:t>
      </w:r>
      <w:r w:rsidRPr="0046155E">
        <w:rPr>
          <w:rFonts w:ascii="Times New Roman" w:eastAsia="Microsoft GothicNeo" w:hAnsi="Times New Roman" w:cs="Times New Roman"/>
          <w:color w:val="000000" w:themeColor="text1"/>
          <w:sz w:val="24"/>
          <w:szCs w:val="24"/>
          <w:vertAlign w:val="superscript"/>
          <w:lang w:val="en-US"/>
        </w:rPr>
        <w:t>1</w:t>
      </w:r>
      <w:r w:rsidR="000A2CC5" w:rsidRPr="0046155E">
        <w:rPr>
          <w:rFonts w:ascii="Times New Roman" w:eastAsia="Microsoft GothicNeo" w:hAnsi="Times New Roman" w:cs="Times New Roman"/>
          <w:i/>
          <w:iCs/>
          <w:color w:val="000000" w:themeColor="text1"/>
          <w:sz w:val="24"/>
          <w:szCs w:val="24"/>
          <w:lang w:val="en-US"/>
        </w:rPr>
        <w:t>PhD</w:t>
      </w:r>
      <w:r w:rsidR="000A2CC5" w:rsidRPr="0046155E">
        <w:rPr>
          <w:rFonts w:ascii="Times New Roman" w:eastAsia="Microsoft GothicNeo" w:hAnsi="Times New Roman" w:cs="Times New Roman"/>
          <w:color w:val="000000" w:themeColor="text1"/>
          <w:sz w:val="24"/>
          <w:szCs w:val="24"/>
          <w:lang w:val="en-US"/>
        </w:rPr>
        <w:t>,</w:t>
      </w:r>
      <w:r w:rsidRPr="0046155E">
        <w:rPr>
          <w:rFonts w:ascii="Times New Roman" w:eastAsia="Microsoft GothicNeo" w:hAnsi="Times New Roman" w:cs="Times New Roman"/>
          <w:color w:val="000000" w:themeColor="text1"/>
          <w:sz w:val="24"/>
          <w:szCs w:val="24"/>
          <w:lang w:val="en-US"/>
        </w:rPr>
        <w:t xml:space="preserve"> </w:t>
      </w:r>
      <w:bookmarkStart w:id="2" w:name="_Hlk57026518"/>
      <w:r w:rsidR="00503E1C" w:rsidRPr="00503E1C">
        <w:rPr>
          <w:rFonts w:ascii="Times New Roman" w:hAnsi="Times New Roman" w:cs="Times New Roman"/>
          <w:color w:val="000000"/>
          <w:sz w:val="24"/>
          <w:szCs w:val="24"/>
        </w:rPr>
        <w:t xml:space="preserve">Hilda O </w:t>
      </w:r>
      <w:proofErr w:type="spellStart"/>
      <w:r w:rsidR="00503E1C" w:rsidRPr="00503E1C">
        <w:rPr>
          <w:rFonts w:ascii="Times New Roman" w:hAnsi="Times New Roman" w:cs="Times New Roman"/>
          <w:color w:val="000000"/>
          <w:sz w:val="24"/>
          <w:szCs w:val="24"/>
        </w:rPr>
        <w:t>Hounkpatin</w:t>
      </w:r>
      <w:proofErr w:type="spellEnd"/>
      <w:r w:rsidR="00503E1C" w:rsidRPr="00503E1C">
        <w:rPr>
          <w:rFonts w:ascii="Times New Roman" w:hAnsi="Times New Roman" w:cs="Times New Roman"/>
          <w:color w:val="000000"/>
          <w:sz w:val="24"/>
          <w:szCs w:val="24"/>
        </w:rPr>
        <w:t xml:space="preserve"> </w:t>
      </w:r>
      <w:r w:rsidR="0000569F">
        <w:rPr>
          <w:rFonts w:ascii="Times New Roman" w:hAnsi="Times New Roman" w:cs="Times New Roman"/>
          <w:color w:val="000000" w:themeColor="text1"/>
          <w:sz w:val="24"/>
          <w:szCs w:val="24"/>
          <w:shd w:val="clear" w:color="auto" w:fill="FFFFFF"/>
          <w:vertAlign w:val="superscript"/>
        </w:rPr>
        <w:t>1</w:t>
      </w:r>
      <w:r w:rsidR="00F615F5">
        <w:rPr>
          <w:rFonts w:ascii="Times New Roman" w:hAnsi="Times New Roman" w:cs="Times New Roman"/>
          <w:color w:val="000000" w:themeColor="text1"/>
          <w:sz w:val="24"/>
          <w:szCs w:val="24"/>
          <w:shd w:val="clear" w:color="auto" w:fill="FFFFFF"/>
          <w:vertAlign w:val="superscript"/>
        </w:rPr>
        <w:t>*</w:t>
      </w:r>
      <w:r w:rsidR="000A2CC5" w:rsidRPr="0046155E">
        <w:rPr>
          <w:rFonts w:ascii="Times New Roman" w:hAnsi="Times New Roman" w:cs="Times New Roman"/>
          <w:sz w:val="24"/>
          <w:szCs w:val="24"/>
          <w:lang w:val="en-US"/>
        </w:rPr>
        <w:t xml:space="preserve"> </w:t>
      </w:r>
      <w:r w:rsidR="000A2CC5" w:rsidRPr="0046155E">
        <w:rPr>
          <w:rFonts w:ascii="Times New Roman" w:hAnsi="Times New Roman" w:cs="Times New Roman"/>
          <w:i/>
          <w:iCs/>
          <w:sz w:val="24"/>
          <w:szCs w:val="24"/>
          <w:lang w:val="en-US"/>
        </w:rPr>
        <w:t>PhD</w:t>
      </w:r>
      <w:r w:rsidR="000A2CC5" w:rsidRPr="0046155E">
        <w:rPr>
          <w:rFonts w:ascii="Times New Roman" w:hAnsi="Times New Roman" w:cs="Times New Roman"/>
          <w:sz w:val="24"/>
          <w:szCs w:val="24"/>
          <w:lang w:val="en-US"/>
        </w:rPr>
        <w:t>,</w:t>
      </w:r>
      <w:r w:rsidRPr="0046155E">
        <w:rPr>
          <w:rFonts w:ascii="Times New Roman" w:hAnsi="Times New Roman" w:cs="Times New Roman"/>
          <w:sz w:val="24"/>
          <w:szCs w:val="24"/>
          <w:lang w:val="en-US"/>
        </w:rPr>
        <w:t xml:space="preserve"> </w:t>
      </w:r>
      <w:r w:rsidRPr="0046155E">
        <w:rPr>
          <w:rFonts w:ascii="Times New Roman" w:hAnsi="Times New Roman" w:cs="Times New Roman"/>
          <w:color w:val="000000"/>
          <w:sz w:val="24"/>
          <w:szCs w:val="24"/>
        </w:rPr>
        <w:t>Beth Stuart</w:t>
      </w:r>
      <w:bookmarkEnd w:id="2"/>
      <w:r w:rsidR="00576792">
        <w:rPr>
          <w:rFonts w:ascii="Times New Roman" w:hAnsi="Times New Roman" w:cs="Times New Roman"/>
          <w:color w:val="000000"/>
          <w:sz w:val="24"/>
          <w:szCs w:val="24"/>
          <w:vertAlign w:val="superscript"/>
        </w:rPr>
        <w:t>1#a</w:t>
      </w:r>
      <w:r w:rsidR="000A2CC5" w:rsidRPr="0046155E">
        <w:rPr>
          <w:rFonts w:ascii="Times New Roman" w:eastAsia="Microsoft GothicNeo" w:hAnsi="Times New Roman" w:cs="Times New Roman"/>
          <w:color w:val="000000" w:themeColor="text1"/>
          <w:sz w:val="24"/>
          <w:szCs w:val="24"/>
          <w:lang w:val="en-US"/>
        </w:rPr>
        <w:t xml:space="preserve"> </w:t>
      </w:r>
      <w:r w:rsidR="000A2CC5" w:rsidRPr="0046155E">
        <w:rPr>
          <w:rFonts w:ascii="Times New Roman" w:eastAsia="Microsoft GothicNeo" w:hAnsi="Times New Roman" w:cs="Times New Roman"/>
          <w:i/>
          <w:iCs/>
          <w:color w:val="000000" w:themeColor="text1"/>
          <w:sz w:val="24"/>
          <w:szCs w:val="24"/>
          <w:lang w:val="en-US"/>
        </w:rPr>
        <w:t>PhD</w:t>
      </w:r>
      <w:r w:rsidR="000A2CC5" w:rsidRPr="0046155E">
        <w:rPr>
          <w:rFonts w:ascii="Times New Roman" w:eastAsia="Microsoft GothicNeo" w:hAnsi="Times New Roman" w:cs="Times New Roman"/>
          <w:color w:val="000000" w:themeColor="text1"/>
          <w:sz w:val="24"/>
          <w:szCs w:val="24"/>
          <w:lang w:val="en-US"/>
        </w:rPr>
        <w:t>,</w:t>
      </w:r>
      <w:r w:rsidRPr="0046155E">
        <w:rPr>
          <w:rFonts w:ascii="Times New Roman" w:hAnsi="Times New Roman" w:cs="Times New Roman"/>
          <w:sz w:val="24"/>
          <w:szCs w:val="24"/>
          <w:lang w:val="en-US"/>
        </w:rPr>
        <w:t xml:space="preserve"> Andrew Farmer</w:t>
      </w:r>
      <w:r w:rsidR="00444653">
        <w:rPr>
          <w:rFonts w:ascii="Times New Roman" w:hAnsi="Times New Roman" w:cs="Times New Roman"/>
          <w:color w:val="000000" w:themeColor="text1"/>
          <w:sz w:val="24"/>
          <w:szCs w:val="24"/>
          <w:shd w:val="clear" w:color="auto" w:fill="FFFFFF"/>
          <w:vertAlign w:val="superscript"/>
        </w:rPr>
        <w:t>2</w:t>
      </w:r>
      <w:r w:rsidRPr="0046155E">
        <w:rPr>
          <w:rFonts w:ascii="Times New Roman" w:hAnsi="Times New Roman" w:cs="Times New Roman"/>
          <w:color w:val="000000" w:themeColor="text1"/>
          <w:sz w:val="24"/>
          <w:szCs w:val="24"/>
          <w:shd w:val="clear" w:color="auto" w:fill="FFFFFF"/>
          <w:vertAlign w:val="superscript"/>
        </w:rPr>
        <w:t xml:space="preserve"> </w:t>
      </w:r>
      <w:r w:rsidR="000A2CC5" w:rsidRPr="0046155E">
        <w:rPr>
          <w:rFonts w:ascii="Times New Roman" w:hAnsi="Times New Roman" w:cs="Times New Roman"/>
          <w:i/>
          <w:iCs/>
          <w:sz w:val="24"/>
          <w:szCs w:val="24"/>
          <w:lang w:val="en-US"/>
        </w:rPr>
        <w:t>DM</w:t>
      </w:r>
      <w:r w:rsidR="000A2CC5" w:rsidRPr="0046155E">
        <w:rPr>
          <w:rFonts w:ascii="Times New Roman" w:hAnsi="Times New Roman" w:cs="Times New Roman"/>
          <w:sz w:val="24"/>
          <w:szCs w:val="24"/>
          <w:lang w:val="en-US"/>
        </w:rPr>
        <w:t>, a</w:t>
      </w:r>
      <w:r w:rsidRPr="0046155E">
        <w:rPr>
          <w:rFonts w:ascii="Times New Roman" w:hAnsi="Times New Roman" w:cs="Times New Roman"/>
          <w:sz w:val="24"/>
          <w:szCs w:val="24"/>
          <w:lang w:val="en-US"/>
        </w:rPr>
        <w:t>nd Simon Griffin</w:t>
      </w:r>
      <w:r w:rsidR="00444653">
        <w:rPr>
          <w:rFonts w:ascii="Times New Roman" w:hAnsi="Times New Roman" w:cs="Times New Roman"/>
          <w:sz w:val="24"/>
          <w:szCs w:val="24"/>
          <w:vertAlign w:val="superscript"/>
          <w:lang w:val="en-US"/>
        </w:rPr>
        <w:t>3</w:t>
      </w:r>
      <w:r w:rsidRPr="0046155E">
        <w:rPr>
          <w:rFonts w:ascii="Times New Roman" w:hAnsi="Times New Roman" w:cs="Times New Roman"/>
          <w:sz w:val="24"/>
          <w:szCs w:val="24"/>
          <w:vertAlign w:val="superscript"/>
          <w:lang w:val="en-US"/>
        </w:rPr>
        <w:t>,</w:t>
      </w:r>
      <w:r w:rsidR="00444653">
        <w:rPr>
          <w:rFonts w:ascii="Times New Roman" w:hAnsi="Times New Roman" w:cs="Times New Roman"/>
          <w:sz w:val="24"/>
          <w:szCs w:val="24"/>
          <w:vertAlign w:val="superscript"/>
          <w:lang w:val="en-US"/>
        </w:rPr>
        <w:t>4</w:t>
      </w:r>
      <w:r w:rsidR="00A91836" w:rsidRPr="0046155E">
        <w:rPr>
          <w:rFonts w:ascii="Times New Roman" w:hAnsi="Times New Roman" w:cs="Times New Roman"/>
          <w:sz w:val="24"/>
          <w:szCs w:val="24"/>
          <w:lang w:val="en-US"/>
        </w:rPr>
        <w:t xml:space="preserve"> </w:t>
      </w:r>
      <w:r w:rsidR="00A91836" w:rsidRPr="0046155E">
        <w:rPr>
          <w:rFonts w:ascii="Times New Roman" w:hAnsi="Times New Roman" w:cs="Times New Roman"/>
          <w:i/>
          <w:iCs/>
          <w:sz w:val="24"/>
          <w:szCs w:val="24"/>
          <w:lang w:val="en-US"/>
        </w:rPr>
        <w:t>DM</w:t>
      </w:r>
    </w:p>
    <w:p w14:paraId="3BEA7347" w14:textId="7AD3190E" w:rsidR="00EB05A5" w:rsidRPr="00CD1F9F" w:rsidRDefault="00122405" w:rsidP="00CD1F9F">
      <w:pPr>
        <w:jc w:val="both"/>
        <w:rPr>
          <w:rFonts w:ascii="Times New Roman" w:eastAsia="Microsoft GothicNeo" w:hAnsi="Times New Roman" w:cs="Times New Roman"/>
          <w:color w:val="000000" w:themeColor="text1"/>
          <w:sz w:val="24"/>
          <w:szCs w:val="24"/>
        </w:rPr>
      </w:pPr>
      <w:r w:rsidRPr="00CD1F9F">
        <w:rPr>
          <w:rFonts w:ascii="Times New Roman" w:eastAsia="Microsoft GothicNeo" w:hAnsi="Times New Roman" w:cs="Times New Roman"/>
          <w:color w:val="000000" w:themeColor="text1"/>
          <w:sz w:val="24"/>
          <w:szCs w:val="24"/>
          <w:vertAlign w:val="superscript"/>
        </w:rPr>
        <w:t>1</w:t>
      </w:r>
      <w:r w:rsidR="00EB05A5" w:rsidRPr="00CD1F9F">
        <w:rPr>
          <w:rFonts w:ascii="Times New Roman" w:eastAsia="Microsoft GothicNeo" w:hAnsi="Times New Roman" w:cs="Times New Roman"/>
          <w:color w:val="000000" w:themeColor="text1"/>
          <w:sz w:val="24"/>
          <w:szCs w:val="24"/>
        </w:rPr>
        <w:t>Primary Care Research Centre,</w:t>
      </w:r>
      <w:r w:rsidR="00F42A8E">
        <w:rPr>
          <w:rFonts w:ascii="Times New Roman" w:eastAsia="Microsoft GothicNeo" w:hAnsi="Times New Roman" w:cs="Times New Roman"/>
          <w:color w:val="000000" w:themeColor="text1"/>
          <w:sz w:val="24"/>
          <w:szCs w:val="24"/>
        </w:rPr>
        <w:t xml:space="preserve"> School of Primary Care</w:t>
      </w:r>
      <w:r w:rsidR="005964FB">
        <w:rPr>
          <w:rFonts w:ascii="Times New Roman" w:eastAsia="Microsoft GothicNeo" w:hAnsi="Times New Roman" w:cs="Times New Roman"/>
          <w:color w:val="000000" w:themeColor="text1"/>
          <w:sz w:val="24"/>
          <w:szCs w:val="24"/>
        </w:rPr>
        <w:t xml:space="preserve"> Population Sciences and Medical Education,</w:t>
      </w:r>
      <w:r w:rsidR="00EB05A5" w:rsidRPr="00CD1F9F">
        <w:rPr>
          <w:rFonts w:ascii="Times New Roman" w:eastAsia="Microsoft GothicNeo" w:hAnsi="Times New Roman" w:cs="Times New Roman"/>
          <w:color w:val="000000" w:themeColor="text1"/>
          <w:sz w:val="24"/>
          <w:szCs w:val="24"/>
        </w:rPr>
        <w:t xml:space="preserve"> University of Southampton</w:t>
      </w:r>
    </w:p>
    <w:p w14:paraId="5C09259C" w14:textId="1826ACFB" w:rsidR="00EB05A5" w:rsidRPr="00CD1F9F" w:rsidRDefault="00BC508D" w:rsidP="00CD1F9F">
      <w:pPr>
        <w:jc w:val="both"/>
        <w:rPr>
          <w:rFonts w:ascii="Times New Roman" w:eastAsia="Microsoft GothicNeo" w:hAnsi="Times New Roman" w:cs="Times New Roman"/>
          <w:color w:val="000000" w:themeColor="text1"/>
          <w:sz w:val="24"/>
          <w:szCs w:val="24"/>
        </w:rPr>
      </w:pPr>
      <w:r>
        <w:rPr>
          <w:rFonts w:ascii="Times New Roman" w:eastAsia="Microsoft GothicNeo" w:hAnsi="Times New Roman" w:cs="Times New Roman"/>
          <w:color w:val="000000" w:themeColor="text1"/>
          <w:sz w:val="24"/>
          <w:szCs w:val="24"/>
          <w:vertAlign w:val="superscript"/>
        </w:rPr>
        <w:t>2</w:t>
      </w:r>
      <w:r w:rsidR="00EB05A5" w:rsidRPr="00CD1F9F">
        <w:rPr>
          <w:rFonts w:ascii="Times New Roman" w:eastAsia="Microsoft GothicNeo" w:hAnsi="Times New Roman" w:cs="Times New Roman"/>
          <w:color w:val="000000" w:themeColor="text1"/>
          <w:sz w:val="24"/>
          <w:szCs w:val="24"/>
        </w:rPr>
        <w:t>Nuffield Department of Primary Care Health Sciences, University of Oxford</w:t>
      </w:r>
    </w:p>
    <w:p w14:paraId="65F4CB47" w14:textId="1F2A881F" w:rsidR="00EB05A5" w:rsidRPr="00CD1F9F" w:rsidRDefault="00BC508D" w:rsidP="00CD1F9F">
      <w:pPr>
        <w:jc w:val="both"/>
        <w:rPr>
          <w:rFonts w:ascii="Times New Roman" w:eastAsia="Microsoft GothicNeo" w:hAnsi="Times New Roman" w:cs="Times New Roman"/>
          <w:color w:val="000000" w:themeColor="text1"/>
          <w:sz w:val="24"/>
          <w:szCs w:val="24"/>
        </w:rPr>
      </w:pPr>
      <w:r>
        <w:rPr>
          <w:rFonts w:ascii="Times New Roman" w:eastAsia="Microsoft GothicNeo" w:hAnsi="Times New Roman" w:cs="Times New Roman"/>
          <w:color w:val="000000" w:themeColor="text1"/>
          <w:sz w:val="24"/>
          <w:szCs w:val="24"/>
          <w:shd w:val="clear" w:color="auto" w:fill="FFFFFF"/>
          <w:vertAlign w:val="superscript"/>
        </w:rPr>
        <w:t>3</w:t>
      </w:r>
      <w:r w:rsidR="00EB05A5" w:rsidRPr="00CD1F9F">
        <w:rPr>
          <w:rFonts w:ascii="Times New Roman" w:eastAsia="Microsoft GothicNeo" w:hAnsi="Times New Roman" w:cs="Times New Roman"/>
          <w:color w:val="000000" w:themeColor="text1"/>
          <w:sz w:val="24"/>
          <w:szCs w:val="24"/>
          <w:shd w:val="clear" w:color="auto" w:fill="FFFFFF"/>
        </w:rPr>
        <w:t xml:space="preserve">Department of Public Health and Primary Care, </w:t>
      </w:r>
      <w:r w:rsidR="00EB05A5" w:rsidRPr="00CD1F9F">
        <w:rPr>
          <w:rFonts w:ascii="Times New Roman" w:eastAsia="Microsoft GothicNeo" w:hAnsi="Times New Roman" w:cs="Times New Roman"/>
          <w:color w:val="000000" w:themeColor="text1"/>
          <w:sz w:val="24"/>
          <w:szCs w:val="24"/>
        </w:rPr>
        <w:t xml:space="preserve">School of Clinical </w:t>
      </w:r>
      <w:proofErr w:type="gramStart"/>
      <w:r w:rsidR="00EB05A5" w:rsidRPr="00CD1F9F">
        <w:rPr>
          <w:rFonts w:ascii="Times New Roman" w:eastAsia="Microsoft GothicNeo" w:hAnsi="Times New Roman" w:cs="Times New Roman"/>
          <w:color w:val="000000" w:themeColor="text1"/>
          <w:sz w:val="24"/>
          <w:szCs w:val="24"/>
        </w:rPr>
        <w:t xml:space="preserve">Medicine, </w:t>
      </w:r>
      <w:r w:rsidR="008412B2">
        <w:rPr>
          <w:rFonts w:ascii="Times New Roman" w:eastAsia="Microsoft GothicNeo" w:hAnsi="Times New Roman" w:cs="Times New Roman"/>
          <w:color w:val="000000" w:themeColor="text1"/>
          <w:sz w:val="24"/>
          <w:szCs w:val="24"/>
        </w:rPr>
        <w:t xml:space="preserve">  </w:t>
      </w:r>
      <w:proofErr w:type="gramEnd"/>
      <w:r w:rsidR="008412B2">
        <w:rPr>
          <w:rFonts w:ascii="Times New Roman" w:eastAsia="Microsoft GothicNeo" w:hAnsi="Times New Roman" w:cs="Times New Roman"/>
          <w:color w:val="000000" w:themeColor="text1"/>
          <w:sz w:val="24"/>
          <w:szCs w:val="24"/>
        </w:rPr>
        <w:t xml:space="preserve">  </w:t>
      </w:r>
      <w:r w:rsidR="00EB05A5" w:rsidRPr="00CD1F9F">
        <w:rPr>
          <w:rFonts w:ascii="Times New Roman" w:eastAsia="Microsoft GothicNeo" w:hAnsi="Times New Roman" w:cs="Times New Roman"/>
          <w:color w:val="000000" w:themeColor="text1"/>
          <w:sz w:val="24"/>
          <w:szCs w:val="24"/>
          <w:shd w:val="clear" w:color="auto" w:fill="FFFFFF"/>
        </w:rPr>
        <w:t>University of Cambridge</w:t>
      </w:r>
    </w:p>
    <w:p w14:paraId="7B275B6D" w14:textId="2AB2C840" w:rsidR="00EB05A5" w:rsidRDefault="00BC508D" w:rsidP="00503E1C">
      <w:pPr>
        <w:jc w:val="both"/>
        <w:rPr>
          <w:rFonts w:ascii="Times New Roman" w:eastAsia="Microsoft GothicNeo" w:hAnsi="Times New Roman" w:cs="Times New Roman"/>
          <w:color w:val="000000" w:themeColor="text1"/>
          <w:sz w:val="24"/>
          <w:szCs w:val="24"/>
        </w:rPr>
      </w:pPr>
      <w:r>
        <w:rPr>
          <w:rFonts w:ascii="Times New Roman" w:eastAsia="Microsoft GothicNeo" w:hAnsi="Times New Roman" w:cs="Times New Roman"/>
          <w:color w:val="000000" w:themeColor="text1"/>
          <w:sz w:val="24"/>
          <w:szCs w:val="24"/>
          <w:vertAlign w:val="superscript"/>
        </w:rPr>
        <w:t>4</w:t>
      </w:r>
      <w:r w:rsidR="00EB05A5" w:rsidRPr="00CD1F9F">
        <w:rPr>
          <w:rFonts w:ascii="Times New Roman" w:eastAsia="Microsoft GothicNeo" w:hAnsi="Times New Roman" w:cs="Times New Roman"/>
          <w:color w:val="000000" w:themeColor="text1"/>
          <w:sz w:val="24"/>
          <w:szCs w:val="24"/>
        </w:rPr>
        <w:t>MRC Epidemiology Unit, School of Clinical Medicine, University of Cambridge</w:t>
      </w:r>
    </w:p>
    <w:p w14:paraId="085042AD" w14:textId="0321C192" w:rsidR="00BC508D" w:rsidRPr="00C516AB" w:rsidRDefault="00BC508D" w:rsidP="00503E1C">
      <w:pPr>
        <w:jc w:val="both"/>
        <w:rPr>
          <w:rFonts w:ascii="Times New Roman" w:eastAsia="Microsoft GothicNeo" w:hAnsi="Times New Roman" w:cs="Times New Roman"/>
          <w:color w:val="000000" w:themeColor="text1"/>
          <w:sz w:val="24"/>
          <w:szCs w:val="24"/>
        </w:rPr>
      </w:pPr>
      <w:r>
        <w:rPr>
          <w:rFonts w:ascii="Times New Roman" w:eastAsia="Microsoft GothicNeo" w:hAnsi="Times New Roman" w:cs="Times New Roman"/>
          <w:color w:val="000000" w:themeColor="text1"/>
          <w:sz w:val="24"/>
          <w:szCs w:val="24"/>
          <w:vertAlign w:val="superscript"/>
        </w:rPr>
        <w:t>#</w:t>
      </w:r>
      <w:proofErr w:type="spellStart"/>
      <w:r>
        <w:rPr>
          <w:rFonts w:ascii="Times New Roman" w:eastAsia="Microsoft GothicNeo" w:hAnsi="Times New Roman" w:cs="Times New Roman"/>
          <w:color w:val="000000" w:themeColor="text1"/>
          <w:sz w:val="24"/>
          <w:szCs w:val="24"/>
          <w:vertAlign w:val="superscript"/>
        </w:rPr>
        <w:t>a</w:t>
      </w:r>
      <w:r w:rsidRPr="00C516AB">
        <w:rPr>
          <w:rFonts w:ascii="Times New Roman" w:eastAsia="Microsoft GothicNeo" w:hAnsi="Times New Roman" w:cs="Times New Roman"/>
          <w:color w:val="000000" w:themeColor="text1"/>
          <w:sz w:val="24"/>
          <w:szCs w:val="24"/>
        </w:rPr>
        <w:t>Wolfson</w:t>
      </w:r>
      <w:proofErr w:type="spellEnd"/>
      <w:r w:rsidRPr="00C516AB">
        <w:rPr>
          <w:rFonts w:ascii="Times New Roman" w:eastAsia="Microsoft GothicNeo" w:hAnsi="Times New Roman" w:cs="Times New Roman"/>
          <w:color w:val="000000" w:themeColor="text1"/>
          <w:sz w:val="24"/>
          <w:szCs w:val="24"/>
        </w:rPr>
        <w:t xml:space="preserve"> Institute of Population Health, Queen Mary University of London</w:t>
      </w:r>
    </w:p>
    <w:p w14:paraId="7E257648" w14:textId="0A1AAC29" w:rsidR="00444653" w:rsidRPr="00CD1F9F" w:rsidRDefault="00444653" w:rsidP="00CD1F9F">
      <w:pPr>
        <w:jc w:val="both"/>
        <w:rPr>
          <w:rFonts w:ascii="Times New Roman" w:eastAsia="Microsoft GothicNeo" w:hAnsi="Times New Roman" w:cs="Times New Roman"/>
          <w:color w:val="000000" w:themeColor="text1"/>
          <w:sz w:val="24"/>
          <w:szCs w:val="24"/>
        </w:rPr>
      </w:pPr>
    </w:p>
    <w:p w14:paraId="489AD94F" w14:textId="77777777" w:rsidR="002868E6" w:rsidRDefault="002868E6" w:rsidP="008629BE">
      <w:pPr>
        <w:pStyle w:val="HTMLAddress"/>
        <w:shd w:val="clear" w:color="auto" w:fill="FFFFFF"/>
        <w:spacing w:after="160" w:line="259" w:lineRule="auto"/>
        <w:rPr>
          <w:rStyle w:val="ja50-ce-correspondence"/>
          <w:rFonts w:eastAsia="Microsoft GothicNeo"/>
          <w:b/>
          <w:bCs/>
          <w:i w:val="0"/>
          <w:color w:val="000000" w:themeColor="text1"/>
        </w:rPr>
      </w:pPr>
    </w:p>
    <w:p w14:paraId="1C9B65AD" w14:textId="77777777" w:rsidR="002868E6" w:rsidRDefault="002868E6" w:rsidP="008629BE">
      <w:pPr>
        <w:pStyle w:val="HTMLAddress"/>
        <w:shd w:val="clear" w:color="auto" w:fill="FFFFFF"/>
        <w:spacing w:after="160" w:line="259" w:lineRule="auto"/>
        <w:rPr>
          <w:rStyle w:val="ja50-ce-correspondence"/>
          <w:rFonts w:eastAsia="Microsoft GothicNeo"/>
          <w:b/>
          <w:bCs/>
          <w:i w:val="0"/>
          <w:color w:val="000000" w:themeColor="text1"/>
        </w:rPr>
      </w:pPr>
      <w:r>
        <w:rPr>
          <w:rStyle w:val="ja50-ce-correspondence"/>
          <w:rFonts w:eastAsia="Microsoft GothicNeo"/>
          <w:b/>
          <w:bCs/>
          <w:i w:val="0"/>
          <w:color w:val="000000" w:themeColor="text1"/>
        </w:rPr>
        <w:t>*Corresponding author</w:t>
      </w:r>
    </w:p>
    <w:p w14:paraId="2FEB4F5F" w14:textId="28A958A3" w:rsidR="00EB05A5" w:rsidRPr="0046155E" w:rsidRDefault="00C472AD" w:rsidP="008629BE">
      <w:pPr>
        <w:pStyle w:val="HTMLAddress"/>
        <w:shd w:val="clear" w:color="auto" w:fill="FFFFFF"/>
        <w:spacing w:after="160" w:line="259" w:lineRule="auto"/>
        <w:rPr>
          <w:rStyle w:val="Hyperlink"/>
          <w:rFonts w:eastAsia="Microsoft GothicNeo"/>
          <w:i w:val="0"/>
          <w:color w:val="000000" w:themeColor="text1"/>
        </w:rPr>
      </w:pPr>
      <w:r w:rsidRPr="0046155E">
        <w:rPr>
          <w:rFonts w:eastAsia="Microsoft GothicNeo"/>
          <w:i w:val="0"/>
          <w:color w:val="000000" w:themeColor="text1"/>
        </w:rPr>
        <w:t xml:space="preserve">Email: </w:t>
      </w:r>
      <w:hyperlink r:id="rId8" w:history="1">
        <w:r w:rsidRPr="004610F3">
          <w:rPr>
            <w:rStyle w:val="Hyperlink"/>
            <w:rFonts w:eastAsia="Microsoft GothicNeo"/>
            <w:i w:val="0"/>
          </w:rPr>
          <w:t>H.O.Hounkpatin@soton.ac.uk</w:t>
        </w:r>
      </w:hyperlink>
      <w:r w:rsidR="00FE44BB">
        <w:rPr>
          <w:rFonts w:eastAsia="Microsoft GothicNeo"/>
          <w:i w:val="0"/>
          <w:color w:val="000000" w:themeColor="text1"/>
        </w:rPr>
        <w:t xml:space="preserve"> (HH)</w:t>
      </w:r>
    </w:p>
    <w:p w14:paraId="2EC96C04" w14:textId="77777777" w:rsidR="00B014D2" w:rsidRDefault="00B014D2" w:rsidP="008629BE">
      <w:pPr>
        <w:pStyle w:val="HTMLAddress"/>
        <w:shd w:val="clear" w:color="auto" w:fill="FFFFFF"/>
        <w:spacing w:after="160" w:line="259" w:lineRule="auto"/>
        <w:rPr>
          <w:rStyle w:val="Hyperlink"/>
          <w:rFonts w:eastAsia="Microsoft GothicNeo"/>
          <w:i w:val="0"/>
          <w:color w:val="000000" w:themeColor="text1"/>
          <w:u w:val="none"/>
        </w:rPr>
      </w:pPr>
    </w:p>
    <w:p w14:paraId="6F7F097D" w14:textId="77777777" w:rsidR="00B014D2" w:rsidRDefault="00B014D2" w:rsidP="008629BE">
      <w:pPr>
        <w:jc w:val="both"/>
        <w:rPr>
          <w:rFonts w:ascii="Times New Roman" w:hAnsi="Times New Roman" w:cs="Times New Roman"/>
          <w:color w:val="000000" w:themeColor="text1"/>
          <w:sz w:val="24"/>
          <w:szCs w:val="24"/>
        </w:rPr>
      </w:pPr>
    </w:p>
    <w:p w14:paraId="3200DBF8" w14:textId="10108FB8" w:rsidR="001126C3" w:rsidRPr="0046155E" w:rsidRDefault="001126C3" w:rsidP="008629BE">
      <w:pPr>
        <w:jc w:val="both"/>
        <w:rPr>
          <w:rStyle w:val="Hyperlink"/>
          <w:rFonts w:ascii="Times New Roman" w:hAnsi="Times New Roman" w:cs="Times New Roman"/>
          <w:b/>
          <w:bCs/>
          <w:color w:val="000000" w:themeColor="text1"/>
          <w:sz w:val="24"/>
          <w:szCs w:val="24"/>
          <w:u w:val="none"/>
        </w:rPr>
      </w:pPr>
    </w:p>
    <w:p w14:paraId="6666472E" w14:textId="7CC59888" w:rsidR="00090C9A" w:rsidRPr="0046155E" w:rsidRDefault="00090C9A" w:rsidP="008629BE">
      <w:pPr>
        <w:jc w:val="both"/>
        <w:rPr>
          <w:rStyle w:val="Hyperlink"/>
          <w:rFonts w:ascii="Times New Roman" w:hAnsi="Times New Roman" w:cs="Times New Roman"/>
          <w:b/>
          <w:bCs/>
          <w:color w:val="000000" w:themeColor="text1"/>
          <w:sz w:val="24"/>
          <w:szCs w:val="24"/>
          <w:u w:val="none"/>
        </w:rPr>
      </w:pPr>
    </w:p>
    <w:p w14:paraId="425D9DF9" w14:textId="77777777" w:rsidR="00EB05A5" w:rsidRPr="00CD1F9F" w:rsidRDefault="00EB05A5" w:rsidP="00E21AD0">
      <w:pPr>
        <w:spacing w:after="0" w:line="480" w:lineRule="auto"/>
        <w:rPr>
          <w:rFonts w:ascii="Times New Roman" w:hAnsi="Times New Roman" w:cs="Times New Roman"/>
          <w:b/>
          <w:bCs/>
          <w:sz w:val="36"/>
          <w:szCs w:val="36"/>
        </w:rPr>
      </w:pPr>
      <w:r w:rsidRPr="00CD1F9F">
        <w:rPr>
          <w:rFonts w:ascii="Times New Roman" w:hAnsi="Times New Roman" w:cs="Times New Roman"/>
          <w:b/>
          <w:bCs/>
          <w:sz w:val="36"/>
          <w:szCs w:val="36"/>
        </w:rPr>
        <w:t>Abstract</w:t>
      </w:r>
    </w:p>
    <w:p w14:paraId="543DA7DA" w14:textId="5F59203A" w:rsidR="00EE60E5" w:rsidRPr="0046155E" w:rsidRDefault="00763E20" w:rsidP="00E21AD0">
      <w:pPr>
        <w:spacing w:after="0" w:line="480" w:lineRule="auto"/>
        <w:jc w:val="both"/>
        <w:rPr>
          <w:rFonts w:ascii="Times New Roman" w:hAnsi="Times New Roman" w:cs="Times New Roman"/>
          <w:color w:val="000000"/>
          <w:sz w:val="24"/>
          <w:szCs w:val="24"/>
          <w:shd w:val="clear" w:color="auto" w:fill="FFFFFF"/>
        </w:rPr>
      </w:pPr>
      <w:bookmarkStart w:id="3" w:name="_Hlk26318385"/>
      <w:r>
        <w:rPr>
          <w:rFonts w:ascii="Times New Roman" w:hAnsi="Times New Roman" w:cs="Times New Roman"/>
          <w:color w:val="000000" w:themeColor="text1"/>
          <w:sz w:val="24"/>
          <w:szCs w:val="24"/>
        </w:rPr>
        <w:t>B</w:t>
      </w:r>
      <w:r w:rsidRPr="0046155E">
        <w:rPr>
          <w:rFonts w:ascii="Times New Roman" w:hAnsi="Times New Roman" w:cs="Times New Roman"/>
          <w:color w:val="000000" w:themeColor="text1"/>
          <w:sz w:val="24"/>
          <w:szCs w:val="24"/>
        </w:rPr>
        <w:t xml:space="preserve">iochemical remission of </w:t>
      </w:r>
      <w:r w:rsidR="00AB3587">
        <w:rPr>
          <w:rFonts w:ascii="Times New Roman" w:hAnsi="Times New Roman" w:cs="Times New Roman"/>
          <w:color w:val="000000" w:themeColor="text1"/>
          <w:sz w:val="24"/>
          <w:szCs w:val="24"/>
        </w:rPr>
        <w:t>t</w:t>
      </w:r>
      <w:r w:rsidR="00D508CB">
        <w:rPr>
          <w:rFonts w:ascii="Times New Roman" w:hAnsi="Times New Roman" w:cs="Times New Roman"/>
          <w:color w:val="000000" w:themeColor="text1"/>
          <w:sz w:val="24"/>
          <w:szCs w:val="24"/>
        </w:rPr>
        <w:t>ype 2 diabetes</w:t>
      </w:r>
      <w:r w:rsidRPr="0046155E">
        <w:rPr>
          <w:rFonts w:ascii="Times New Roman" w:hAnsi="Times New Roman" w:cs="Times New Roman"/>
          <w:color w:val="000000" w:themeColor="text1"/>
          <w:sz w:val="24"/>
          <w:szCs w:val="24"/>
        </w:rPr>
        <w:t xml:space="preserve"> is achievable through dietary changes, physical activity and subsequent weight loss.</w:t>
      </w:r>
      <w:r>
        <w:rPr>
          <w:rFonts w:ascii="Times New Roman" w:hAnsi="Times New Roman" w:cs="Times New Roman"/>
          <w:color w:val="000000" w:themeColor="text1"/>
          <w:sz w:val="24"/>
          <w:szCs w:val="24"/>
        </w:rPr>
        <w:t xml:space="preserve"> We aim</w:t>
      </w:r>
      <w:r w:rsidR="007061AB">
        <w:rPr>
          <w:rFonts w:ascii="Times New Roman" w:hAnsi="Times New Roman" w:cs="Times New Roman"/>
          <w:color w:val="000000" w:themeColor="text1"/>
          <w:sz w:val="24"/>
          <w:szCs w:val="24"/>
        </w:rPr>
        <w:t xml:space="preserve"> t</w:t>
      </w:r>
      <w:r w:rsidR="00A66255" w:rsidRPr="0046155E">
        <w:rPr>
          <w:rFonts w:ascii="Times New Roman" w:hAnsi="Times New Roman" w:cs="Times New Roman"/>
          <w:color w:val="000000" w:themeColor="text1"/>
          <w:sz w:val="24"/>
          <w:szCs w:val="24"/>
        </w:rPr>
        <w:t xml:space="preserve">o </w:t>
      </w:r>
      <w:r w:rsidR="00EE60E5" w:rsidRPr="0046155E">
        <w:rPr>
          <w:rFonts w:ascii="Times New Roman" w:hAnsi="Times New Roman" w:cs="Times New Roman"/>
          <w:color w:val="000000" w:themeColor="text1"/>
          <w:sz w:val="24"/>
          <w:szCs w:val="24"/>
        </w:rPr>
        <w:t xml:space="preserve">identify </w:t>
      </w:r>
      <w:r w:rsidR="00A66255" w:rsidRPr="0046155E">
        <w:rPr>
          <w:rFonts w:ascii="Times New Roman" w:hAnsi="Times New Roman" w:cs="Times New Roman"/>
          <w:color w:val="000000" w:themeColor="text1"/>
          <w:sz w:val="24"/>
          <w:szCs w:val="24"/>
        </w:rPr>
        <w:t xml:space="preserve">distinct </w:t>
      </w:r>
      <w:r w:rsidR="00EE60E5" w:rsidRPr="0046155E">
        <w:rPr>
          <w:rFonts w:ascii="Times New Roman" w:hAnsi="Times New Roman" w:cs="Times New Roman"/>
          <w:color w:val="000000" w:themeColor="text1"/>
          <w:sz w:val="24"/>
          <w:szCs w:val="24"/>
        </w:rPr>
        <w:t>diabetes remission</w:t>
      </w:r>
      <w:r w:rsidR="00CC01D6" w:rsidRPr="0046155E">
        <w:rPr>
          <w:rFonts w:ascii="Times New Roman" w:hAnsi="Times New Roman" w:cs="Times New Roman"/>
          <w:color w:val="000000" w:themeColor="text1"/>
          <w:sz w:val="24"/>
          <w:szCs w:val="24"/>
        </w:rPr>
        <w:t xml:space="preserve"> trajectories</w:t>
      </w:r>
      <w:r w:rsidR="00A66255" w:rsidRPr="0046155E">
        <w:rPr>
          <w:rFonts w:ascii="Times New Roman" w:hAnsi="Times New Roman" w:cs="Times New Roman"/>
          <w:color w:val="000000" w:themeColor="text1"/>
          <w:sz w:val="24"/>
          <w:szCs w:val="24"/>
        </w:rPr>
        <w:t xml:space="preserve"> </w:t>
      </w:r>
      <w:r w:rsidR="00CC01D6" w:rsidRPr="0046155E">
        <w:rPr>
          <w:rFonts w:ascii="Times New Roman" w:hAnsi="Times New Roman" w:cs="Times New Roman"/>
          <w:color w:val="000000" w:themeColor="text1"/>
          <w:sz w:val="24"/>
          <w:szCs w:val="24"/>
        </w:rPr>
        <w:t xml:space="preserve">in a large population-based cohort </w:t>
      </w:r>
      <w:r w:rsidR="00A66255" w:rsidRPr="0046155E">
        <w:rPr>
          <w:rFonts w:ascii="Times New Roman" w:hAnsi="Times New Roman" w:cs="Times New Roman"/>
          <w:color w:val="000000" w:themeColor="text1"/>
          <w:sz w:val="24"/>
          <w:szCs w:val="24"/>
        </w:rPr>
        <w:t>over seven-year</w:t>
      </w:r>
      <w:r w:rsidR="00EE60E5" w:rsidRPr="0046155E">
        <w:rPr>
          <w:rFonts w:ascii="Times New Roman" w:hAnsi="Times New Roman" w:cs="Times New Roman"/>
          <w:color w:val="000000" w:themeColor="text1"/>
          <w:sz w:val="24"/>
          <w:szCs w:val="24"/>
        </w:rPr>
        <w:t>s</w:t>
      </w:r>
      <w:r w:rsidR="00A66255" w:rsidRPr="0046155E">
        <w:rPr>
          <w:rFonts w:ascii="Times New Roman" w:hAnsi="Times New Roman" w:cs="Times New Roman"/>
          <w:color w:val="000000" w:themeColor="text1"/>
          <w:sz w:val="24"/>
          <w:szCs w:val="24"/>
        </w:rPr>
        <w:t xml:space="preserve"> follow-up</w:t>
      </w:r>
      <w:r w:rsidR="00EE60E5" w:rsidRPr="0046155E">
        <w:rPr>
          <w:rFonts w:ascii="Times New Roman" w:hAnsi="Times New Roman" w:cs="Times New Roman"/>
          <w:color w:val="000000" w:themeColor="text1"/>
          <w:sz w:val="24"/>
          <w:szCs w:val="24"/>
        </w:rPr>
        <w:t xml:space="preserve"> and</w:t>
      </w:r>
      <w:r w:rsidR="005B7D1B" w:rsidRPr="0046155E">
        <w:rPr>
          <w:rFonts w:ascii="Times New Roman" w:hAnsi="Times New Roman" w:cs="Times New Roman"/>
          <w:color w:val="000000" w:themeColor="text1"/>
          <w:sz w:val="24"/>
          <w:szCs w:val="24"/>
        </w:rPr>
        <w:t xml:space="preserve"> </w:t>
      </w:r>
      <w:r w:rsidR="00CC01D6" w:rsidRPr="0046155E">
        <w:rPr>
          <w:rFonts w:ascii="Times New Roman" w:hAnsi="Times New Roman" w:cs="Times New Roman"/>
          <w:color w:val="000000" w:themeColor="text1"/>
          <w:sz w:val="24"/>
          <w:szCs w:val="24"/>
        </w:rPr>
        <w:t>to</w:t>
      </w:r>
      <w:r w:rsidR="00A66255" w:rsidRPr="0046155E">
        <w:rPr>
          <w:rFonts w:ascii="Times New Roman" w:hAnsi="Times New Roman" w:cs="Times New Roman"/>
          <w:color w:val="000000" w:themeColor="text1"/>
          <w:sz w:val="24"/>
          <w:szCs w:val="24"/>
        </w:rPr>
        <w:t xml:space="preserve"> examine association</w:t>
      </w:r>
      <w:r w:rsidR="00EE60E5" w:rsidRPr="0046155E">
        <w:rPr>
          <w:rFonts w:ascii="Times New Roman" w:hAnsi="Times New Roman" w:cs="Times New Roman"/>
          <w:color w:val="000000" w:themeColor="text1"/>
          <w:sz w:val="24"/>
          <w:szCs w:val="24"/>
        </w:rPr>
        <w:t>s</w:t>
      </w:r>
      <w:r w:rsidR="00A66255" w:rsidRPr="0046155E">
        <w:rPr>
          <w:rFonts w:ascii="Times New Roman" w:hAnsi="Times New Roman" w:cs="Times New Roman"/>
          <w:color w:val="000000" w:themeColor="text1"/>
          <w:sz w:val="24"/>
          <w:szCs w:val="24"/>
        </w:rPr>
        <w:t xml:space="preserve"> between remission </w:t>
      </w:r>
      <w:r w:rsidR="00CC01D6" w:rsidRPr="0046155E">
        <w:rPr>
          <w:rFonts w:ascii="Times New Roman" w:hAnsi="Times New Roman" w:cs="Times New Roman"/>
          <w:color w:val="000000" w:themeColor="text1"/>
          <w:sz w:val="24"/>
          <w:szCs w:val="24"/>
        </w:rPr>
        <w:t>trajectories</w:t>
      </w:r>
      <w:r w:rsidR="00A66255" w:rsidRPr="0046155E">
        <w:rPr>
          <w:rFonts w:ascii="Times New Roman" w:hAnsi="Times New Roman" w:cs="Times New Roman"/>
          <w:color w:val="000000" w:themeColor="text1"/>
          <w:sz w:val="24"/>
          <w:szCs w:val="24"/>
        </w:rPr>
        <w:t xml:space="preserve"> and </w:t>
      </w:r>
      <w:r w:rsidR="000A2CC5" w:rsidRPr="0046155E">
        <w:rPr>
          <w:rFonts w:ascii="Times New Roman" w:hAnsi="Times New Roman" w:cs="Times New Roman"/>
          <w:color w:val="000000" w:themeColor="text1"/>
          <w:sz w:val="24"/>
          <w:szCs w:val="24"/>
        </w:rPr>
        <w:t>diabetes complications.</w:t>
      </w:r>
      <w:r w:rsidR="00E05855">
        <w:rPr>
          <w:rFonts w:ascii="Times New Roman" w:hAnsi="Times New Roman" w:cs="Times New Roman"/>
          <w:color w:val="000000" w:themeColor="text1"/>
          <w:sz w:val="24"/>
          <w:szCs w:val="24"/>
        </w:rPr>
        <w:t xml:space="preserve"> </w:t>
      </w:r>
      <w:r w:rsidR="00CC01D6" w:rsidRPr="0046155E">
        <w:rPr>
          <w:rFonts w:ascii="Times New Roman" w:hAnsi="Times New Roman" w:cs="Times New Roman"/>
          <w:sz w:val="24"/>
          <w:szCs w:val="24"/>
        </w:rPr>
        <w:t>Group-based trajectory modelling examined l</w:t>
      </w:r>
      <w:r w:rsidR="00EB05A5" w:rsidRPr="0046155E">
        <w:rPr>
          <w:rFonts w:ascii="Times New Roman" w:hAnsi="Times New Roman" w:cs="Times New Roman"/>
          <w:sz w:val="24"/>
          <w:szCs w:val="24"/>
        </w:rPr>
        <w:t>ongitudinal patterns of</w:t>
      </w:r>
      <w:r w:rsidR="00FA6D07" w:rsidRPr="0046155E">
        <w:rPr>
          <w:rFonts w:ascii="Times New Roman" w:hAnsi="Times New Roman" w:cs="Times New Roman"/>
          <w:sz w:val="24"/>
          <w:szCs w:val="24"/>
        </w:rPr>
        <w:t xml:space="preserve"> HbA</w:t>
      </w:r>
      <w:r w:rsidR="00FA6D07" w:rsidRPr="0046155E">
        <w:rPr>
          <w:rFonts w:ascii="Times New Roman" w:hAnsi="Times New Roman" w:cs="Times New Roman"/>
          <w:sz w:val="24"/>
          <w:szCs w:val="24"/>
          <w:vertAlign w:val="subscript"/>
        </w:rPr>
        <w:t>1c</w:t>
      </w:r>
      <w:r w:rsidR="00FA6D07" w:rsidRPr="0046155E">
        <w:rPr>
          <w:rFonts w:ascii="Times New Roman" w:hAnsi="Times New Roman" w:cs="Times New Roman"/>
          <w:sz w:val="24"/>
          <w:szCs w:val="24"/>
        </w:rPr>
        <w:t xml:space="preserve"> </w:t>
      </w:r>
      <w:r w:rsidR="00B47D4A" w:rsidRPr="0046155E">
        <w:rPr>
          <w:rFonts w:ascii="Times New Roman" w:hAnsi="Times New Roman" w:cs="Times New Roman"/>
          <w:sz w:val="24"/>
          <w:szCs w:val="24"/>
        </w:rPr>
        <w:t>level (</w:t>
      </w:r>
      <w:r w:rsidR="00FA6D07" w:rsidRPr="0046155E">
        <w:rPr>
          <w:rFonts w:ascii="Times New Roman" w:hAnsi="Times New Roman" w:cs="Times New Roman"/>
          <w:sz w:val="24"/>
          <w:szCs w:val="24"/>
        </w:rPr>
        <w:t>adjust</w:t>
      </w:r>
      <w:r w:rsidR="00B47D4A" w:rsidRPr="0046155E">
        <w:rPr>
          <w:rFonts w:ascii="Times New Roman" w:hAnsi="Times New Roman" w:cs="Times New Roman"/>
          <w:sz w:val="24"/>
          <w:szCs w:val="24"/>
        </w:rPr>
        <w:t>ing</w:t>
      </w:r>
      <w:r w:rsidR="00FA6D07" w:rsidRPr="0046155E">
        <w:rPr>
          <w:rFonts w:ascii="Times New Roman" w:hAnsi="Times New Roman" w:cs="Times New Roman"/>
          <w:sz w:val="24"/>
          <w:szCs w:val="24"/>
        </w:rPr>
        <w:t xml:space="preserve"> for</w:t>
      </w:r>
      <w:r w:rsidR="00EB05A5" w:rsidRPr="0046155E">
        <w:rPr>
          <w:rFonts w:ascii="Times New Roman" w:hAnsi="Times New Roman" w:cs="Times New Roman"/>
          <w:sz w:val="24"/>
          <w:szCs w:val="24"/>
        </w:rPr>
        <w:t xml:space="preserve"> remission</w:t>
      </w:r>
      <w:r w:rsidR="00FA6D07" w:rsidRPr="0046155E">
        <w:rPr>
          <w:rFonts w:ascii="Times New Roman" w:hAnsi="Times New Roman" w:cs="Times New Roman"/>
          <w:sz w:val="24"/>
          <w:szCs w:val="24"/>
        </w:rPr>
        <w:t xml:space="preserve"> status</w:t>
      </w:r>
      <w:r w:rsidR="00B47D4A" w:rsidRPr="0046155E">
        <w:rPr>
          <w:rFonts w:ascii="Times New Roman" w:hAnsi="Times New Roman" w:cs="Times New Roman"/>
          <w:sz w:val="24"/>
          <w:szCs w:val="24"/>
        </w:rPr>
        <w:t>)</w:t>
      </w:r>
      <w:r w:rsidR="000A2CC5" w:rsidRPr="0046155E">
        <w:rPr>
          <w:rFonts w:ascii="Times New Roman" w:hAnsi="Times New Roman" w:cs="Times New Roman"/>
          <w:sz w:val="24"/>
          <w:szCs w:val="24"/>
        </w:rPr>
        <w:t xml:space="preserve"> over time</w:t>
      </w:r>
      <w:r w:rsidR="00EB05A5" w:rsidRPr="0046155E">
        <w:rPr>
          <w:rFonts w:ascii="Times New Roman" w:hAnsi="Times New Roman" w:cs="Times New Roman"/>
          <w:sz w:val="24"/>
          <w:szCs w:val="24"/>
        </w:rPr>
        <w:t xml:space="preserve">. </w:t>
      </w:r>
      <w:r w:rsidR="00EB05A5" w:rsidRPr="0046155E">
        <w:rPr>
          <w:rFonts w:ascii="Times New Roman" w:hAnsi="Times New Roman" w:cs="Times New Roman"/>
          <w:sz w:val="24"/>
          <w:szCs w:val="24"/>
        </w:rPr>
        <w:lastRenderedPageBreak/>
        <w:t>Multivariable Cox models quantif</w:t>
      </w:r>
      <w:r w:rsidR="00CC01D6" w:rsidRPr="0046155E">
        <w:rPr>
          <w:rFonts w:ascii="Times New Roman" w:hAnsi="Times New Roman" w:cs="Times New Roman"/>
          <w:sz w:val="24"/>
          <w:szCs w:val="24"/>
        </w:rPr>
        <w:t>ied</w:t>
      </w:r>
      <w:r w:rsidR="00EB05A5" w:rsidRPr="0046155E">
        <w:rPr>
          <w:rFonts w:ascii="Times New Roman" w:hAnsi="Times New Roman" w:cs="Times New Roman"/>
          <w:sz w:val="24"/>
          <w:szCs w:val="24"/>
        </w:rPr>
        <w:t xml:space="preserve"> the association between </w:t>
      </w:r>
      <w:r w:rsidR="00096847" w:rsidRPr="0046155E">
        <w:rPr>
          <w:rFonts w:ascii="Times New Roman" w:hAnsi="Times New Roman" w:cs="Times New Roman"/>
          <w:sz w:val="24"/>
          <w:szCs w:val="24"/>
        </w:rPr>
        <w:t>each</w:t>
      </w:r>
      <w:r w:rsidR="00EB05A5" w:rsidRPr="0046155E">
        <w:rPr>
          <w:rFonts w:ascii="Times New Roman" w:hAnsi="Times New Roman" w:cs="Times New Roman"/>
          <w:sz w:val="24"/>
          <w:szCs w:val="24"/>
        </w:rPr>
        <w:t xml:space="preserve"> remission </w:t>
      </w:r>
      <w:r w:rsidR="00CC01D6" w:rsidRPr="0046155E">
        <w:rPr>
          <w:rFonts w:ascii="Times New Roman" w:hAnsi="Times New Roman" w:cs="Times New Roman"/>
          <w:sz w:val="24"/>
          <w:szCs w:val="24"/>
        </w:rPr>
        <w:t>trajectory</w:t>
      </w:r>
      <w:r w:rsidR="00EB05A5" w:rsidRPr="0046155E">
        <w:rPr>
          <w:rFonts w:ascii="Times New Roman" w:hAnsi="Times New Roman" w:cs="Times New Roman"/>
          <w:sz w:val="24"/>
          <w:szCs w:val="24"/>
        </w:rPr>
        <w:t xml:space="preserve"> and</w:t>
      </w:r>
      <w:r w:rsidR="00CC01D6" w:rsidRPr="0046155E">
        <w:rPr>
          <w:rFonts w:ascii="Times New Roman" w:hAnsi="Times New Roman" w:cs="Times New Roman"/>
          <w:sz w:val="24"/>
          <w:szCs w:val="24"/>
        </w:rPr>
        <w:t xml:space="preserve"> </w:t>
      </w:r>
      <w:r w:rsidR="00EB05A5" w:rsidRPr="0046155E">
        <w:rPr>
          <w:rFonts w:ascii="Times New Roman" w:hAnsi="Times New Roman" w:cs="Times New Roman"/>
          <w:sz w:val="24"/>
          <w:szCs w:val="24"/>
        </w:rPr>
        <w:t>microvascular complication</w:t>
      </w:r>
      <w:r w:rsidR="00FD42E9" w:rsidRPr="0046155E">
        <w:rPr>
          <w:rFonts w:ascii="Times New Roman" w:hAnsi="Times New Roman" w:cs="Times New Roman"/>
          <w:sz w:val="24"/>
          <w:szCs w:val="24"/>
        </w:rPr>
        <w:t>s</w:t>
      </w:r>
      <w:r w:rsidR="00EB05A5" w:rsidRPr="0046155E">
        <w:rPr>
          <w:rFonts w:ascii="Times New Roman" w:hAnsi="Times New Roman" w:cs="Times New Roman"/>
          <w:sz w:val="24"/>
          <w:szCs w:val="24"/>
        </w:rPr>
        <w:t>, macrovascular complication</w:t>
      </w:r>
      <w:r w:rsidR="00FD42E9" w:rsidRPr="0046155E">
        <w:rPr>
          <w:rFonts w:ascii="Times New Roman" w:hAnsi="Times New Roman" w:cs="Times New Roman"/>
          <w:sz w:val="24"/>
          <w:szCs w:val="24"/>
        </w:rPr>
        <w:t>s</w:t>
      </w:r>
      <w:r w:rsidR="00CC01D6" w:rsidRPr="0046155E">
        <w:rPr>
          <w:rFonts w:ascii="Times New Roman" w:hAnsi="Times New Roman" w:cs="Times New Roman"/>
          <w:sz w:val="24"/>
          <w:szCs w:val="24"/>
        </w:rPr>
        <w:t xml:space="preserve">, </w:t>
      </w:r>
      <w:r w:rsidR="000A2CC5" w:rsidRPr="0046155E">
        <w:rPr>
          <w:rFonts w:ascii="Times New Roman" w:hAnsi="Times New Roman" w:cs="Times New Roman"/>
          <w:sz w:val="24"/>
          <w:szCs w:val="24"/>
        </w:rPr>
        <w:t>cardiovascular (</w:t>
      </w:r>
      <w:r w:rsidR="00EB05A5" w:rsidRPr="0046155E">
        <w:rPr>
          <w:rFonts w:ascii="Times New Roman" w:hAnsi="Times New Roman" w:cs="Times New Roman"/>
          <w:sz w:val="24"/>
          <w:szCs w:val="24"/>
        </w:rPr>
        <w:t>CVD</w:t>
      </w:r>
      <w:r w:rsidR="000A2CC5" w:rsidRPr="0046155E">
        <w:rPr>
          <w:rFonts w:ascii="Times New Roman" w:hAnsi="Times New Roman" w:cs="Times New Roman"/>
          <w:sz w:val="24"/>
          <w:szCs w:val="24"/>
        </w:rPr>
        <w:t>)</w:t>
      </w:r>
      <w:r w:rsidR="00EB05A5" w:rsidRPr="0046155E">
        <w:rPr>
          <w:rFonts w:ascii="Times New Roman" w:hAnsi="Times New Roman" w:cs="Times New Roman"/>
          <w:sz w:val="24"/>
          <w:szCs w:val="24"/>
        </w:rPr>
        <w:t xml:space="preserve"> event</w:t>
      </w:r>
      <w:r w:rsidR="00CC01D6" w:rsidRPr="0046155E">
        <w:rPr>
          <w:rFonts w:ascii="Times New Roman" w:hAnsi="Times New Roman" w:cs="Times New Roman"/>
          <w:sz w:val="24"/>
          <w:szCs w:val="24"/>
        </w:rPr>
        <w:t>s and</w:t>
      </w:r>
      <w:r w:rsidR="005B7D1B" w:rsidRPr="0046155E">
        <w:rPr>
          <w:rFonts w:ascii="Times New Roman" w:hAnsi="Times New Roman" w:cs="Times New Roman"/>
          <w:sz w:val="24"/>
          <w:szCs w:val="24"/>
        </w:rPr>
        <w:t xml:space="preserve"> </w:t>
      </w:r>
      <w:r w:rsidR="00EB05A5" w:rsidRPr="0046155E">
        <w:rPr>
          <w:rFonts w:ascii="Times New Roman" w:hAnsi="Times New Roman" w:cs="Times New Roman"/>
          <w:sz w:val="24"/>
          <w:szCs w:val="24"/>
        </w:rPr>
        <w:t>all-cause mortality</w:t>
      </w:r>
      <w:r w:rsidR="000A2CC5" w:rsidRPr="0046155E">
        <w:rPr>
          <w:rFonts w:ascii="Times New Roman" w:hAnsi="Times New Roman" w:cs="Times New Roman"/>
          <w:sz w:val="24"/>
          <w:szCs w:val="24"/>
        </w:rPr>
        <w:t>.</w:t>
      </w:r>
      <w:r w:rsidR="005F68BF">
        <w:rPr>
          <w:rFonts w:ascii="Times New Roman" w:hAnsi="Times New Roman" w:cs="Times New Roman"/>
          <w:sz w:val="24"/>
          <w:szCs w:val="24"/>
        </w:rPr>
        <w:t xml:space="preserve"> </w:t>
      </w:r>
      <w:bookmarkEnd w:id="3"/>
      <w:r w:rsidR="0091132A" w:rsidRPr="0046155E">
        <w:rPr>
          <w:rFonts w:ascii="Times New Roman" w:hAnsi="Times New Roman" w:cs="Times New Roman"/>
          <w:sz w:val="24"/>
          <w:szCs w:val="24"/>
        </w:rPr>
        <w:t xml:space="preserve">Four groups were assigned. Group 1 (8,112 [13.5%]; </w:t>
      </w:r>
      <w:r w:rsidR="0091132A" w:rsidRPr="00CD1F9F">
        <w:rPr>
          <w:rFonts w:ascii="Times New Roman" w:hAnsi="Times New Roman" w:cs="Times New Roman"/>
          <w:sz w:val="24"/>
          <w:szCs w:val="24"/>
        </w:rPr>
        <w:t>achieving HbA</w:t>
      </w:r>
      <w:r w:rsidR="0091132A" w:rsidRPr="00CD1F9F">
        <w:rPr>
          <w:rFonts w:ascii="Times New Roman" w:hAnsi="Times New Roman" w:cs="Times New Roman"/>
          <w:sz w:val="24"/>
          <w:szCs w:val="24"/>
          <w:vertAlign w:val="subscript"/>
        </w:rPr>
        <w:t>1c</w:t>
      </w:r>
      <w:r w:rsidR="0091132A" w:rsidRPr="00CD1F9F">
        <w:rPr>
          <w:rFonts w:ascii="Times New Roman" w:hAnsi="Times New Roman" w:cs="Times New Roman"/>
          <w:sz w:val="24"/>
          <w:szCs w:val="24"/>
        </w:rPr>
        <w:t xml:space="preserve"> &lt;48 mmol/mol (6.5%) followed by</w:t>
      </w:r>
      <w:r w:rsidR="0091132A" w:rsidRPr="005F68BF">
        <w:rPr>
          <w:rFonts w:ascii="Times New Roman" w:hAnsi="Times New Roman" w:cs="Times New Roman"/>
          <w:sz w:val="24"/>
          <w:szCs w:val="24"/>
        </w:rPr>
        <w:t xml:space="preserve"> </w:t>
      </w:r>
      <w:r w:rsidR="0091132A" w:rsidRPr="00CD1F9F">
        <w:rPr>
          <w:rFonts w:ascii="Times New Roman" w:hAnsi="Times New Roman" w:cs="Times New Roman"/>
          <w:sz w:val="24"/>
          <w:szCs w:val="24"/>
        </w:rPr>
        <w:t>increasing HbA</w:t>
      </w:r>
      <w:r w:rsidR="0091132A" w:rsidRPr="00CD1F9F">
        <w:rPr>
          <w:rFonts w:ascii="Times New Roman" w:hAnsi="Times New Roman" w:cs="Times New Roman"/>
          <w:sz w:val="24"/>
          <w:szCs w:val="24"/>
          <w:vertAlign w:val="subscript"/>
        </w:rPr>
        <w:t>1c</w:t>
      </w:r>
      <w:r w:rsidR="0091132A" w:rsidRPr="00CD1F9F">
        <w:rPr>
          <w:rFonts w:ascii="Times New Roman" w:hAnsi="Times New Roman" w:cs="Times New Roman"/>
          <w:sz w:val="24"/>
          <w:szCs w:val="24"/>
        </w:rPr>
        <w:t xml:space="preserve"> levels</w:t>
      </w:r>
      <w:r w:rsidR="0091132A" w:rsidRPr="005F68BF">
        <w:rPr>
          <w:rFonts w:ascii="Times New Roman" w:hAnsi="Times New Roman" w:cs="Times New Roman"/>
          <w:sz w:val="24"/>
          <w:szCs w:val="24"/>
        </w:rPr>
        <w:t xml:space="preserve">); Group 2 (6,369 [10.6%]; </w:t>
      </w:r>
      <w:r w:rsidR="0091132A" w:rsidRPr="00CD1F9F">
        <w:rPr>
          <w:rFonts w:ascii="Times New Roman" w:hAnsi="Times New Roman" w:cs="Times New Roman"/>
          <w:sz w:val="24"/>
          <w:szCs w:val="24"/>
        </w:rPr>
        <w:t>decreasing HbA</w:t>
      </w:r>
      <w:r w:rsidR="0091132A" w:rsidRPr="00CD1F9F">
        <w:rPr>
          <w:rFonts w:ascii="Times New Roman" w:hAnsi="Times New Roman" w:cs="Times New Roman"/>
          <w:sz w:val="24"/>
          <w:szCs w:val="24"/>
          <w:vertAlign w:val="subscript"/>
        </w:rPr>
        <w:t>1c</w:t>
      </w:r>
      <w:r w:rsidR="0091132A" w:rsidRPr="00CD1F9F">
        <w:rPr>
          <w:rFonts w:ascii="Times New Roman" w:hAnsi="Times New Roman" w:cs="Times New Roman"/>
          <w:sz w:val="24"/>
          <w:szCs w:val="24"/>
        </w:rPr>
        <w:t xml:space="preserve"> levels &gt;48 mmol/mol (6.5%)</w:t>
      </w:r>
      <w:r w:rsidR="0091132A" w:rsidRPr="005F68BF">
        <w:rPr>
          <w:rFonts w:ascii="Times New Roman" w:hAnsi="Times New Roman" w:cs="Times New Roman"/>
          <w:sz w:val="24"/>
          <w:szCs w:val="24"/>
        </w:rPr>
        <w:t xml:space="preserve">); Group 3 (36,557 [60.6%]; </w:t>
      </w:r>
      <w:r w:rsidR="0091132A" w:rsidRPr="00CD1F9F">
        <w:rPr>
          <w:rFonts w:ascii="Times New Roman" w:hAnsi="Times New Roman" w:cs="Times New Roman"/>
          <w:sz w:val="24"/>
          <w:szCs w:val="24"/>
        </w:rPr>
        <w:t>stable high HbA</w:t>
      </w:r>
      <w:r w:rsidR="0091132A" w:rsidRPr="00CD1F9F">
        <w:rPr>
          <w:rFonts w:ascii="Times New Roman" w:hAnsi="Times New Roman" w:cs="Times New Roman"/>
          <w:sz w:val="24"/>
          <w:szCs w:val="24"/>
          <w:vertAlign w:val="subscript"/>
        </w:rPr>
        <w:t>1c</w:t>
      </w:r>
      <w:r w:rsidR="0091132A" w:rsidRPr="00CD1F9F">
        <w:rPr>
          <w:rFonts w:ascii="Times New Roman" w:hAnsi="Times New Roman" w:cs="Times New Roman"/>
          <w:sz w:val="24"/>
          <w:szCs w:val="24"/>
        </w:rPr>
        <w:t xml:space="preserve"> levels</w:t>
      </w:r>
      <w:r w:rsidR="0091132A" w:rsidRPr="005F68BF">
        <w:rPr>
          <w:rFonts w:ascii="Times New Roman" w:hAnsi="Times New Roman" w:cs="Times New Roman"/>
          <w:sz w:val="24"/>
          <w:szCs w:val="24"/>
        </w:rPr>
        <w:t xml:space="preserve">); Group 4 (9,249 [15.3%]; </w:t>
      </w:r>
      <w:r w:rsidR="0091132A" w:rsidRPr="00CD1F9F">
        <w:rPr>
          <w:rFonts w:ascii="Times New Roman" w:hAnsi="Times New Roman" w:cs="Times New Roman"/>
          <w:sz w:val="24"/>
          <w:szCs w:val="24"/>
        </w:rPr>
        <w:t>stable low HbA</w:t>
      </w:r>
      <w:r w:rsidR="0091132A" w:rsidRPr="00CD1F9F">
        <w:rPr>
          <w:rFonts w:ascii="Times New Roman" w:hAnsi="Times New Roman" w:cs="Times New Roman"/>
          <w:sz w:val="24"/>
          <w:szCs w:val="24"/>
          <w:vertAlign w:val="subscript"/>
        </w:rPr>
        <w:t>1c</w:t>
      </w:r>
      <w:r w:rsidR="0091132A" w:rsidRPr="00CD1F9F">
        <w:rPr>
          <w:rFonts w:ascii="Times New Roman" w:hAnsi="Times New Roman" w:cs="Times New Roman"/>
          <w:sz w:val="24"/>
          <w:szCs w:val="24"/>
        </w:rPr>
        <w:t xml:space="preserve"> levels (&lt;48mmol/mol or &lt;6.5%))</w:t>
      </w:r>
      <w:r w:rsidR="0091132A" w:rsidRPr="005F68BF">
        <w:rPr>
          <w:rFonts w:ascii="Times New Roman" w:hAnsi="Times New Roman" w:cs="Times New Roman"/>
          <w:sz w:val="24"/>
          <w:szCs w:val="24"/>
        </w:rPr>
        <w:t>.</w:t>
      </w:r>
      <w:r w:rsidR="0091132A" w:rsidRPr="0046155E">
        <w:rPr>
          <w:rFonts w:ascii="Times New Roman" w:hAnsi="Times New Roman" w:cs="Times New Roman"/>
          <w:sz w:val="24"/>
          <w:szCs w:val="24"/>
        </w:rPr>
        <w:t xml:space="preserve">Compared to Group 3, </w:t>
      </w:r>
      <w:r w:rsidR="0091132A" w:rsidRPr="0046155E">
        <w:rPr>
          <w:rFonts w:ascii="Times New Roman" w:eastAsia="Times New Roman" w:hAnsi="Times New Roman" w:cs="Times New Roman"/>
          <w:color w:val="000000"/>
          <w:sz w:val="24"/>
          <w:szCs w:val="24"/>
          <w:lang w:eastAsia="en-GB"/>
        </w:rPr>
        <w:t>Groups 1 and 4 had lower risk of microvascular complications (</w:t>
      </w:r>
      <w:proofErr w:type="spellStart"/>
      <w:r w:rsidR="0091132A" w:rsidRPr="0046155E">
        <w:rPr>
          <w:rFonts w:ascii="Times New Roman" w:eastAsia="Times New Roman" w:hAnsi="Times New Roman" w:cs="Times New Roman"/>
          <w:color w:val="000000"/>
          <w:sz w:val="24"/>
          <w:szCs w:val="24"/>
          <w:lang w:eastAsia="en-GB"/>
        </w:rPr>
        <w:t>aHRs</w:t>
      </w:r>
      <w:proofErr w:type="spellEnd"/>
      <w:r w:rsidR="0091132A" w:rsidRPr="0046155E">
        <w:rPr>
          <w:rFonts w:ascii="Times New Roman" w:eastAsia="Times New Roman" w:hAnsi="Times New Roman" w:cs="Times New Roman"/>
          <w:color w:val="000000"/>
          <w:sz w:val="24"/>
          <w:szCs w:val="24"/>
          <w:lang w:eastAsia="en-GB"/>
        </w:rPr>
        <w:t xml:space="preserve"> (95% CI): 0.65 (0.61-0.70)</w:t>
      </w:r>
      <w:r w:rsidR="00DE0677">
        <w:rPr>
          <w:rFonts w:ascii="Times New Roman" w:eastAsia="Times New Roman" w:hAnsi="Times New Roman" w:cs="Times New Roman"/>
          <w:color w:val="000000"/>
          <w:sz w:val="24"/>
          <w:szCs w:val="24"/>
          <w:lang w:eastAsia="en-GB"/>
        </w:rPr>
        <w:t>, p-value</w:t>
      </w:r>
      <w:r w:rsidR="007B6729">
        <w:rPr>
          <w:rFonts w:ascii="Times New Roman" w:eastAsia="Times New Roman" w:hAnsi="Times New Roman" w:cs="Times New Roman"/>
          <w:color w:val="000000"/>
          <w:sz w:val="24"/>
          <w:szCs w:val="24"/>
          <w:lang w:eastAsia="en-GB"/>
        </w:rPr>
        <w:t xml:space="preserve"> &lt;0.001</w:t>
      </w:r>
      <w:r w:rsidR="0091132A" w:rsidRPr="0046155E">
        <w:rPr>
          <w:rFonts w:ascii="Times New Roman" w:eastAsia="Times New Roman" w:hAnsi="Times New Roman" w:cs="Times New Roman"/>
          <w:color w:val="000000"/>
          <w:sz w:val="24"/>
          <w:szCs w:val="24"/>
          <w:lang w:eastAsia="en-GB"/>
        </w:rPr>
        <w:t>;0.59 (0.55-0.64</w:t>
      </w:r>
      <w:r w:rsidR="006546B3" w:rsidRPr="0046155E">
        <w:rPr>
          <w:rFonts w:ascii="Times New Roman" w:eastAsia="Times New Roman" w:hAnsi="Times New Roman" w:cs="Times New Roman"/>
          <w:color w:val="000000"/>
          <w:sz w:val="24"/>
          <w:szCs w:val="24"/>
          <w:lang w:eastAsia="en-GB"/>
        </w:rPr>
        <w:t>)</w:t>
      </w:r>
      <w:r w:rsidR="007B6729">
        <w:rPr>
          <w:rFonts w:ascii="Times New Roman" w:eastAsia="Times New Roman" w:hAnsi="Times New Roman" w:cs="Times New Roman"/>
          <w:color w:val="000000"/>
          <w:sz w:val="24"/>
          <w:szCs w:val="24"/>
          <w:lang w:eastAsia="en-GB"/>
        </w:rPr>
        <w:t xml:space="preserve"> p-value&lt;0.001</w:t>
      </w:r>
      <w:r w:rsidR="0091132A" w:rsidRPr="0046155E">
        <w:rPr>
          <w:rFonts w:ascii="Times New Roman" w:eastAsia="Times New Roman" w:hAnsi="Times New Roman" w:cs="Times New Roman"/>
          <w:color w:val="000000"/>
          <w:sz w:val="24"/>
          <w:szCs w:val="24"/>
          <w:lang w:eastAsia="en-GB"/>
        </w:rPr>
        <w:t>, respectively)) , macrovascular complications (</w:t>
      </w:r>
      <w:proofErr w:type="spellStart"/>
      <w:r w:rsidR="0091132A" w:rsidRPr="0046155E">
        <w:rPr>
          <w:rFonts w:ascii="Times New Roman" w:eastAsia="Times New Roman" w:hAnsi="Times New Roman" w:cs="Times New Roman"/>
          <w:color w:val="000000"/>
          <w:sz w:val="24"/>
          <w:szCs w:val="24"/>
          <w:lang w:eastAsia="en-GB"/>
        </w:rPr>
        <w:t>aHRs</w:t>
      </w:r>
      <w:proofErr w:type="spellEnd"/>
      <w:r w:rsidR="0091132A" w:rsidRPr="0046155E">
        <w:rPr>
          <w:rFonts w:ascii="Times New Roman" w:eastAsia="Times New Roman" w:hAnsi="Times New Roman" w:cs="Times New Roman"/>
          <w:color w:val="000000"/>
          <w:sz w:val="24"/>
          <w:szCs w:val="24"/>
          <w:lang w:eastAsia="en-GB"/>
        </w:rPr>
        <w:t xml:space="preserve"> (95% CI): 0.83</w:t>
      </w:r>
      <w:r w:rsidR="006546B3" w:rsidRPr="0046155E">
        <w:rPr>
          <w:rFonts w:ascii="Times New Roman" w:eastAsia="Times New Roman" w:hAnsi="Times New Roman" w:cs="Times New Roman"/>
          <w:color w:val="000000"/>
          <w:sz w:val="24"/>
          <w:szCs w:val="24"/>
          <w:lang w:eastAsia="en-GB"/>
        </w:rPr>
        <w:t xml:space="preserve"> </w:t>
      </w:r>
      <w:r w:rsidR="0091132A" w:rsidRPr="0046155E">
        <w:rPr>
          <w:rFonts w:ascii="Times New Roman" w:eastAsia="Times New Roman" w:hAnsi="Times New Roman" w:cs="Times New Roman"/>
          <w:color w:val="000000"/>
          <w:sz w:val="24"/>
          <w:szCs w:val="24"/>
          <w:lang w:eastAsia="en-GB"/>
        </w:rPr>
        <w:t>(0.75-0.92)</w:t>
      </w:r>
      <w:r w:rsidR="006C21EA">
        <w:rPr>
          <w:rFonts w:ascii="Times New Roman" w:eastAsia="Times New Roman" w:hAnsi="Times New Roman" w:cs="Times New Roman"/>
          <w:color w:val="000000"/>
          <w:sz w:val="24"/>
          <w:szCs w:val="24"/>
          <w:lang w:eastAsia="en-GB"/>
        </w:rPr>
        <w:t>,</w:t>
      </w:r>
      <w:r w:rsidR="007B6729">
        <w:rPr>
          <w:rFonts w:ascii="Times New Roman" w:eastAsia="Times New Roman" w:hAnsi="Times New Roman" w:cs="Times New Roman"/>
          <w:color w:val="000000"/>
          <w:sz w:val="24"/>
          <w:szCs w:val="24"/>
          <w:lang w:eastAsia="en-GB"/>
        </w:rPr>
        <w:t xml:space="preserve"> p-value&lt;0.001</w:t>
      </w:r>
      <w:r w:rsidR="0091132A" w:rsidRPr="0046155E">
        <w:rPr>
          <w:rFonts w:ascii="Times New Roman" w:eastAsia="Times New Roman" w:hAnsi="Times New Roman" w:cs="Times New Roman"/>
          <w:color w:val="000000"/>
          <w:sz w:val="24"/>
          <w:szCs w:val="24"/>
          <w:lang w:eastAsia="en-GB"/>
        </w:rPr>
        <w:t>; 0.66</w:t>
      </w:r>
      <w:r w:rsidR="006546B3" w:rsidRPr="0046155E">
        <w:rPr>
          <w:rFonts w:ascii="Times New Roman" w:eastAsia="Times New Roman" w:hAnsi="Times New Roman" w:cs="Times New Roman"/>
          <w:color w:val="000000"/>
          <w:sz w:val="24"/>
          <w:szCs w:val="24"/>
          <w:lang w:eastAsia="en-GB"/>
        </w:rPr>
        <w:t xml:space="preserve"> </w:t>
      </w:r>
      <w:r w:rsidR="0091132A" w:rsidRPr="0046155E">
        <w:rPr>
          <w:rFonts w:ascii="Times New Roman" w:eastAsia="Times New Roman" w:hAnsi="Times New Roman" w:cs="Times New Roman"/>
          <w:color w:val="000000"/>
          <w:sz w:val="24"/>
          <w:szCs w:val="24"/>
          <w:lang w:eastAsia="en-GB"/>
        </w:rPr>
        <w:t>(0.61-0.71)</w:t>
      </w:r>
      <w:r w:rsidR="007B6729">
        <w:rPr>
          <w:rFonts w:ascii="Times New Roman" w:eastAsia="Times New Roman" w:hAnsi="Times New Roman" w:cs="Times New Roman"/>
          <w:color w:val="000000"/>
          <w:sz w:val="24"/>
          <w:szCs w:val="24"/>
          <w:lang w:eastAsia="en-GB"/>
        </w:rPr>
        <w:t>, p</w:t>
      </w:r>
      <w:r w:rsidR="006C21EA">
        <w:rPr>
          <w:rFonts w:ascii="Times New Roman" w:eastAsia="Times New Roman" w:hAnsi="Times New Roman" w:cs="Times New Roman"/>
          <w:color w:val="000000"/>
          <w:sz w:val="24"/>
          <w:szCs w:val="24"/>
          <w:lang w:eastAsia="en-GB"/>
        </w:rPr>
        <w:t>-value&lt;0.001</w:t>
      </w:r>
      <w:r w:rsidR="006546B3" w:rsidRPr="0046155E">
        <w:rPr>
          <w:rFonts w:ascii="Times New Roman" w:eastAsia="Times New Roman" w:hAnsi="Times New Roman" w:cs="Times New Roman"/>
          <w:color w:val="000000"/>
          <w:sz w:val="24"/>
          <w:szCs w:val="24"/>
          <w:lang w:eastAsia="en-GB"/>
        </w:rPr>
        <w:t>)</w:t>
      </w:r>
      <w:r w:rsidR="0091132A" w:rsidRPr="0046155E">
        <w:rPr>
          <w:rFonts w:ascii="Times New Roman" w:eastAsia="Times New Roman" w:hAnsi="Times New Roman" w:cs="Times New Roman"/>
          <w:color w:val="000000"/>
          <w:sz w:val="24"/>
          <w:szCs w:val="24"/>
          <w:lang w:eastAsia="en-GB"/>
        </w:rPr>
        <w:t xml:space="preserve"> and CVD events</w:t>
      </w:r>
      <w:r w:rsidR="006546B3" w:rsidRPr="0046155E">
        <w:rPr>
          <w:rFonts w:ascii="Times New Roman" w:eastAsia="Times New Roman" w:hAnsi="Times New Roman" w:cs="Times New Roman"/>
          <w:color w:val="000000"/>
          <w:sz w:val="24"/>
          <w:szCs w:val="24"/>
          <w:lang w:eastAsia="en-GB"/>
        </w:rPr>
        <w:t xml:space="preserve"> (</w:t>
      </w:r>
      <w:proofErr w:type="spellStart"/>
      <w:r w:rsidR="006546B3" w:rsidRPr="0046155E">
        <w:rPr>
          <w:rFonts w:ascii="Times New Roman" w:eastAsia="Times New Roman" w:hAnsi="Times New Roman" w:cs="Times New Roman"/>
          <w:color w:val="000000"/>
          <w:sz w:val="24"/>
          <w:szCs w:val="24"/>
          <w:lang w:eastAsia="en-GB"/>
        </w:rPr>
        <w:t>aHRs</w:t>
      </w:r>
      <w:proofErr w:type="spellEnd"/>
      <w:r w:rsidR="006546B3" w:rsidRPr="0046155E">
        <w:rPr>
          <w:rFonts w:ascii="Times New Roman" w:eastAsia="Times New Roman" w:hAnsi="Times New Roman" w:cs="Times New Roman"/>
          <w:color w:val="000000"/>
          <w:sz w:val="24"/>
          <w:szCs w:val="24"/>
          <w:lang w:eastAsia="en-GB"/>
        </w:rPr>
        <w:t xml:space="preserve"> (95% CI): 0.74(0.67-0.83)</w:t>
      </w:r>
      <w:r w:rsidR="006C21EA">
        <w:rPr>
          <w:rFonts w:ascii="Times New Roman" w:eastAsia="Times New Roman" w:hAnsi="Times New Roman" w:cs="Times New Roman"/>
          <w:color w:val="000000"/>
          <w:sz w:val="24"/>
          <w:szCs w:val="24"/>
          <w:lang w:eastAsia="en-GB"/>
        </w:rPr>
        <w:t>, p-value&lt;0.001</w:t>
      </w:r>
      <w:r w:rsidR="006546B3" w:rsidRPr="0046155E">
        <w:rPr>
          <w:rFonts w:ascii="Times New Roman" w:eastAsia="Times New Roman" w:hAnsi="Times New Roman" w:cs="Times New Roman"/>
          <w:color w:val="000000"/>
          <w:sz w:val="24"/>
          <w:szCs w:val="24"/>
          <w:lang w:eastAsia="en-GB"/>
        </w:rPr>
        <w:t>; 0.67(0.61-0.73)</w:t>
      </w:r>
      <w:r w:rsidR="006C21EA">
        <w:rPr>
          <w:rFonts w:ascii="Times New Roman" w:eastAsia="Times New Roman" w:hAnsi="Times New Roman" w:cs="Times New Roman"/>
          <w:color w:val="000000"/>
          <w:sz w:val="24"/>
          <w:szCs w:val="24"/>
          <w:lang w:eastAsia="en-GB"/>
        </w:rPr>
        <w:t>, p-</w:t>
      </w:r>
      <w:proofErr w:type="spellStart"/>
      <w:r w:rsidR="006C21EA">
        <w:rPr>
          <w:rFonts w:ascii="Times New Roman" w:eastAsia="Times New Roman" w:hAnsi="Times New Roman" w:cs="Times New Roman"/>
          <w:color w:val="000000"/>
          <w:sz w:val="24"/>
          <w:szCs w:val="24"/>
          <w:lang w:eastAsia="en-GB"/>
        </w:rPr>
        <w:t>vlaue</w:t>
      </w:r>
      <w:proofErr w:type="spellEnd"/>
      <w:r w:rsidR="006C21EA">
        <w:rPr>
          <w:rFonts w:ascii="Times New Roman" w:eastAsia="Times New Roman" w:hAnsi="Times New Roman" w:cs="Times New Roman"/>
          <w:color w:val="000000"/>
          <w:sz w:val="24"/>
          <w:szCs w:val="24"/>
          <w:lang w:eastAsia="en-GB"/>
        </w:rPr>
        <w:t>&lt;0.001</w:t>
      </w:r>
      <w:r w:rsidR="00CC01D6" w:rsidRPr="0046155E">
        <w:rPr>
          <w:rFonts w:ascii="Times New Roman" w:eastAsia="Times New Roman" w:hAnsi="Times New Roman" w:cs="Times New Roman"/>
          <w:color w:val="000000"/>
          <w:sz w:val="24"/>
          <w:szCs w:val="24"/>
          <w:lang w:eastAsia="en-GB"/>
        </w:rPr>
        <w:t>)</w:t>
      </w:r>
      <w:r w:rsidR="0091132A" w:rsidRPr="0046155E">
        <w:rPr>
          <w:rFonts w:ascii="Times New Roman" w:hAnsi="Times New Roman" w:cs="Times New Roman"/>
          <w:sz w:val="24"/>
          <w:szCs w:val="24"/>
        </w:rPr>
        <w:t xml:space="preserve">. Risk of CVD outcomes were similar for Groups 2 and 3. Compared to Group 3, </w:t>
      </w:r>
      <w:r w:rsidR="0091132A" w:rsidRPr="00DE2D43">
        <w:rPr>
          <w:rFonts w:ascii="Times New Roman" w:hAnsi="Times New Roman" w:cs="Times New Roman"/>
          <w:sz w:val="24"/>
          <w:szCs w:val="24"/>
        </w:rPr>
        <w:t>Group 1 (</w:t>
      </w:r>
      <w:proofErr w:type="spellStart"/>
      <w:r w:rsidR="0091132A" w:rsidRPr="00DE2D43">
        <w:rPr>
          <w:rFonts w:ascii="Times New Roman" w:hAnsi="Times New Roman" w:cs="Times New Roman"/>
          <w:sz w:val="24"/>
          <w:szCs w:val="24"/>
        </w:rPr>
        <w:t>aHR</w:t>
      </w:r>
      <w:proofErr w:type="spellEnd"/>
      <w:r w:rsidR="0091132A" w:rsidRPr="00DE2D43">
        <w:rPr>
          <w:rFonts w:ascii="Times New Roman" w:hAnsi="Times New Roman" w:cs="Times New Roman"/>
          <w:sz w:val="24"/>
          <w:szCs w:val="24"/>
        </w:rPr>
        <w:t xml:space="preserve">: </w:t>
      </w:r>
      <w:r w:rsidR="0091132A" w:rsidRPr="00CD1F9F">
        <w:rPr>
          <w:rFonts w:ascii="Times New Roman" w:hAnsi="Times New Roman" w:cs="Times New Roman"/>
          <w:sz w:val="24"/>
          <w:szCs w:val="24"/>
        </w:rPr>
        <w:t xml:space="preserve">0.82(95% CI: 0.76-0.89)) </w:t>
      </w:r>
      <w:r w:rsidR="0091132A" w:rsidRPr="00DE2D43">
        <w:rPr>
          <w:rFonts w:ascii="Times New Roman" w:hAnsi="Times New Roman" w:cs="Times New Roman"/>
          <w:sz w:val="24"/>
          <w:szCs w:val="24"/>
        </w:rPr>
        <w:t>had lower risk of mortality, but Group 4 had higher risk of mortality (</w:t>
      </w:r>
      <w:proofErr w:type="spellStart"/>
      <w:r w:rsidR="0091132A" w:rsidRPr="00DE2D43">
        <w:rPr>
          <w:rFonts w:ascii="Times New Roman" w:hAnsi="Times New Roman" w:cs="Times New Roman"/>
          <w:sz w:val="24"/>
          <w:szCs w:val="24"/>
        </w:rPr>
        <w:t>aHR</w:t>
      </w:r>
      <w:proofErr w:type="spellEnd"/>
      <w:r w:rsidR="0091132A" w:rsidRPr="00DE2D43">
        <w:rPr>
          <w:rFonts w:ascii="Times New Roman" w:hAnsi="Times New Roman" w:cs="Times New Roman"/>
          <w:sz w:val="24"/>
          <w:szCs w:val="24"/>
        </w:rPr>
        <w:t xml:space="preserve">: </w:t>
      </w:r>
      <w:r w:rsidR="0091132A" w:rsidRPr="00CD1F9F">
        <w:rPr>
          <w:rFonts w:ascii="Times New Roman" w:hAnsi="Times New Roman" w:cs="Times New Roman"/>
          <w:sz w:val="24"/>
          <w:szCs w:val="24"/>
        </w:rPr>
        <w:t>1.11(95% CI: 1.03-1.19)</w:t>
      </w:r>
      <w:r w:rsidR="0091132A" w:rsidRPr="00DE2D43">
        <w:rPr>
          <w:rFonts w:ascii="Times New Roman" w:hAnsi="Times New Roman" w:cs="Times New Roman"/>
          <w:sz w:val="24"/>
          <w:szCs w:val="24"/>
        </w:rPr>
        <w:t>)</w:t>
      </w:r>
      <w:r w:rsidR="000A2CC5" w:rsidRPr="00DE2D43">
        <w:rPr>
          <w:rFonts w:ascii="Times New Roman" w:hAnsi="Times New Roman" w:cs="Times New Roman"/>
          <w:sz w:val="24"/>
          <w:szCs w:val="24"/>
        </w:rPr>
        <w:t>.</w:t>
      </w:r>
      <w:r w:rsidR="005F68BF" w:rsidRPr="00DE2D43">
        <w:rPr>
          <w:rFonts w:ascii="Times New Roman" w:hAnsi="Times New Roman" w:cs="Times New Roman"/>
          <w:b/>
          <w:bCs/>
          <w:sz w:val="24"/>
          <w:szCs w:val="24"/>
        </w:rPr>
        <w:t xml:space="preserve"> </w:t>
      </w:r>
      <w:r w:rsidR="000E7D0F" w:rsidRPr="0046155E">
        <w:rPr>
          <w:rFonts w:ascii="Times New Roman" w:hAnsi="Times New Roman" w:cs="Times New Roman"/>
          <w:sz w:val="24"/>
          <w:szCs w:val="24"/>
        </w:rPr>
        <w:t>R</w:t>
      </w:r>
      <w:r w:rsidR="00EE60E5" w:rsidRPr="0046155E">
        <w:rPr>
          <w:rFonts w:ascii="Times New Roman" w:hAnsi="Times New Roman" w:cs="Times New Roman"/>
          <w:sz w:val="24"/>
          <w:szCs w:val="24"/>
        </w:rPr>
        <w:t>isk of CVD</w:t>
      </w:r>
      <w:r w:rsidR="0002619A" w:rsidRPr="0046155E">
        <w:rPr>
          <w:rFonts w:ascii="Times New Roman" w:hAnsi="Times New Roman" w:cs="Times New Roman"/>
          <w:sz w:val="24"/>
          <w:szCs w:val="24"/>
        </w:rPr>
        <w:t xml:space="preserve"> outcomes</w:t>
      </w:r>
      <w:r w:rsidR="00EE60E5" w:rsidRPr="0046155E">
        <w:rPr>
          <w:rFonts w:ascii="Times New Roman" w:hAnsi="Times New Roman" w:cs="Times New Roman"/>
          <w:sz w:val="24"/>
          <w:szCs w:val="24"/>
        </w:rPr>
        <w:t xml:space="preserve"> var</w:t>
      </w:r>
      <w:r w:rsidR="0002619A" w:rsidRPr="0046155E">
        <w:rPr>
          <w:rFonts w:ascii="Times New Roman" w:hAnsi="Times New Roman" w:cs="Times New Roman"/>
          <w:sz w:val="24"/>
          <w:szCs w:val="24"/>
        </w:rPr>
        <w:t>y</w:t>
      </w:r>
      <w:r w:rsidR="00EE60E5" w:rsidRPr="0046155E">
        <w:rPr>
          <w:rFonts w:ascii="Times New Roman" w:hAnsi="Times New Roman" w:cs="Times New Roman"/>
          <w:sz w:val="24"/>
          <w:szCs w:val="24"/>
        </w:rPr>
        <w:t xml:space="preserve"> by pattern of remission over time</w:t>
      </w:r>
      <w:r w:rsidR="000445C8">
        <w:rPr>
          <w:rFonts w:ascii="Times New Roman" w:hAnsi="Times New Roman" w:cs="Times New Roman"/>
          <w:sz w:val="24"/>
          <w:szCs w:val="24"/>
        </w:rPr>
        <w:t>, with lowest risk</w:t>
      </w:r>
      <w:r w:rsidR="000F5250">
        <w:rPr>
          <w:rFonts w:ascii="Times New Roman" w:hAnsi="Times New Roman" w:cs="Times New Roman"/>
          <w:sz w:val="24"/>
          <w:szCs w:val="24"/>
        </w:rPr>
        <w:t xml:space="preserve"> for those in remission longer</w:t>
      </w:r>
      <w:r w:rsidR="00EE60E5" w:rsidRPr="00562A48">
        <w:rPr>
          <w:rFonts w:ascii="Times New Roman" w:hAnsi="Times New Roman" w:cs="Times New Roman"/>
          <w:sz w:val="24"/>
          <w:szCs w:val="24"/>
        </w:rPr>
        <w:t xml:space="preserve">. </w:t>
      </w:r>
      <w:r w:rsidR="00D41ECE" w:rsidRPr="00CD1F9F">
        <w:rPr>
          <w:rFonts w:ascii="Times New Roman" w:hAnsi="Times New Roman" w:cs="Times New Roman"/>
          <w:sz w:val="24"/>
          <w:szCs w:val="24"/>
        </w:rPr>
        <w:t>People who achieve remission, even for shorter periods of time, continue to benefit from this lower exposure to hyperglycaemia, which may, in turn, lower the risk of CVD outcomes including mortality</w:t>
      </w:r>
      <w:r w:rsidR="00562A48">
        <w:rPr>
          <w:rFonts w:ascii="Times New Roman" w:hAnsi="Times New Roman" w:cs="Times New Roman"/>
          <w:sz w:val="24"/>
          <w:szCs w:val="24"/>
        </w:rPr>
        <w:t>.</w:t>
      </w:r>
    </w:p>
    <w:p w14:paraId="26B98420" w14:textId="6A972ADF" w:rsidR="008547C0" w:rsidRPr="0046155E" w:rsidRDefault="00EE60E5"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 xml:space="preserve"> </w:t>
      </w:r>
    </w:p>
    <w:p w14:paraId="0F5C3BA0" w14:textId="79011DE9" w:rsidR="00090C9A" w:rsidRPr="0046155E" w:rsidRDefault="00090C9A"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b/>
          <w:bCs/>
          <w:sz w:val="24"/>
          <w:szCs w:val="24"/>
        </w:rPr>
        <w:t xml:space="preserve">Tweet: </w:t>
      </w:r>
      <w:r w:rsidRPr="0046155E">
        <w:rPr>
          <w:rFonts w:ascii="Times New Roman" w:hAnsi="Times New Roman" w:cs="Times New Roman"/>
          <w:sz w:val="24"/>
          <w:szCs w:val="24"/>
        </w:rPr>
        <w:t>@</w:t>
      </w:r>
      <w:proofErr w:type="spellStart"/>
      <w:r w:rsidRPr="0046155E">
        <w:rPr>
          <w:rFonts w:ascii="Times New Roman" w:hAnsi="Times New Roman" w:cs="Times New Roman"/>
          <w:sz w:val="24"/>
          <w:szCs w:val="24"/>
        </w:rPr>
        <w:t>HDambhaMiller</w:t>
      </w:r>
      <w:proofErr w:type="spellEnd"/>
      <w:r w:rsidRPr="0046155E">
        <w:rPr>
          <w:rFonts w:ascii="Times New Roman" w:hAnsi="Times New Roman" w:cs="Times New Roman"/>
          <w:b/>
          <w:bCs/>
          <w:sz w:val="24"/>
          <w:szCs w:val="24"/>
        </w:rPr>
        <w:t xml:space="preserve"> </w:t>
      </w:r>
      <w:r w:rsidRPr="0046155E">
        <w:rPr>
          <w:rFonts w:ascii="Times New Roman" w:hAnsi="Times New Roman" w:cs="Times New Roman"/>
          <w:sz w:val="24"/>
          <w:szCs w:val="24"/>
        </w:rPr>
        <w:t>Remission of type 2 diabetes is associated with a lower risk of diabetes complications</w:t>
      </w:r>
      <w:r w:rsidR="005B7D1B" w:rsidRPr="0046155E">
        <w:rPr>
          <w:rFonts w:ascii="Times New Roman" w:hAnsi="Times New Roman" w:cs="Times New Roman"/>
          <w:sz w:val="24"/>
          <w:szCs w:val="24"/>
        </w:rPr>
        <w:t xml:space="preserve">, </w:t>
      </w:r>
      <w:r w:rsidR="00EB643E" w:rsidRPr="0046155E">
        <w:rPr>
          <w:rFonts w:ascii="Times New Roman" w:hAnsi="Times New Roman" w:cs="Times New Roman"/>
          <w:sz w:val="24"/>
          <w:szCs w:val="24"/>
        </w:rPr>
        <w:t>regardless of duration of remission</w:t>
      </w:r>
    </w:p>
    <w:p w14:paraId="3D1FDBD5" w14:textId="2E6ED036" w:rsidR="00740099" w:rsidRPr="0046155E" w:rsidRDefault="00740099" w:rsidP="00E21AD0">
      <w:pPr>
        <w:spacing w:after="0" w:line="480" w:lineRule="auto"/>
        <w:rPr>
          <w:rFonts w:ascii="Times New Roman" w:hAnsi="Times New Roman" w:cs="Times New Roman"/>
          <w:b/>
          <w:bCs/>
          <w:sz w:val="24"/>
          <w:szCs w:val="24"/>
        </w:rPr>
      </w:pPr>
      <w:r w:rsidRPr="0046155E">
        <w:rPr>
          <w:rFonts w:ascii="Times New Roman" w:hAnsi="Times New Roman" w:cs="Times New Roman"/>
          <w:b/>
          <w:bCs/>
          <w:sz w:val="24"/>
          <w:szCs w:val="24"/>
        </w:rPr>
        <w:t xml:space="preserve">Key words: </w:t>
      </w:r>
      <w:r w:rsidR="0013110C">
        <w:rPr>
          <w:rFonts w:ascii="Times New Roman" w:hAnsi="Times New Roman" w:cs="Times New Roman"/>
          <w:sz w:val="24"/>
          <w:szCs w:val="24"/>
        </w:rPr>
        <w:t>diabetes complications, mortality</w:t>
      </w:r>
      <w:r w:rsidR="00090C9A" w:rsidRPr="0046155E">
        <w:rPr>
          <w:rFonts w:ascii="Times New Roman" w:hAnsi="Times New Roman" w:cs="Times New Roman"/>
          <w:sz w:val="24"/>
          <w:szCs w:val="24"/>
        </w:rPr>
        <w:t xml:space="preserve">, </w:t>
      </w:r>
      <w:r w:rsidRPr="0046155E">
        <w:rPr>
          <w:rFonts w:ascii="Times New Roman" w:hAnsi="Times New Roman" w:cs="Times New Roman"/>
          <w:sz w:val="24"/>
          <w:szCs w:val="24"/>
        </w:rPr>
        <w:t xml:space="preserve">Type 2 diabetes, </w:t>
      </w:r>
    </w:p>
    <w:p w14:paraId="0F1FEB35" w14:textId="568F0E12" w:rsidR="000B312D" w:rsidRPr="0046155E" w:rsidRDefault="000B312D" w:rsidP="00E21AD0">
      <w:pPr>
        <w:spacing w:after="0" w:line="480" w:lineRule="auto"/>
        <w:jc w:val="both"/>
        <w:rPr>
          <w:rFonts w:ascii="Times New Roman" w:hAnsi="Times New Roman" w:cs="Times New Roman"/>
          <w:b/>
          <w:bCs/>
          <w:color w:val="000000" w:themeColor="text1"/>
          <w:sz w:val="24"/>
          <w:szCs w:val="24"/>
        </w:rPr>
      </w:pPr>
    </w:p>
    <w:p w14:paraId="491B9CC2" w14:textId="43599E9C" w:rsidR="000B312D" w:rsidRPr="0046155E" w:rsidRDefault="000B312D" w:rsidP="00E21AD0">
      <w:pPr>
        <w:spacing w:after="0" w:line="480" w:lineRule="auto"/>
        <w:jc w:val="both"/>
        <w:rPr>
          <w:rFonts w:ascii="Times New Roman" w:hAnsi="Times New Roman" w:cs="Times New Roman"/>
          <w:b/>
          <w:bCs/>
          <w:color w:val="000000" w:themeColor="text1"/>
          <w:sz w:val="24"/>
          <w:szCs w:val="24"/>
        </w:rPr>
      </w:pPr>
    </w:p>
    <w:p w14:paraId="6026A23C" w14:textId="452AB04A" w:rsidR="000B312D" w:rsidRPr="0046155E" w:rsidRDefault="000B312D" w:rsidP="00E21AD0">
      <w:pPr>
        <w:spacing w:after="0" w:line="480" w:lineRule="auto"/>
        <w:jc w:val="both"/>
        <w:rPr>
          <w:rFonts w:ascii="Times New Roman" w:hAnsi="Times New Roman" w:cs="Times New Roman"/>
          <w:b/>
          <w:bCs/>
          <w:color w:val="000000" w:themeColor="text1"/>
          <w:sz w:val="24"/>
          <w:szCs w:val="24"/>
        </w:rPr>
      </w:pPr>
    </w:p>
    <w:p w14:paraId="11B9CE38" w14:textId="1716254D" w:rsidR="000B312D" w:rsidRPr="0046155E" w:rsidRDefault="000B312D" w:rsidP="00E21AD0">
      <w:pPr>
        <w:spacing w:after="0" w:line="480" w:lineRule="auto"/>
        <w:jc w:val="both"/>
        <w:rPr>
          <w:rFonts w:ascii="Times New Roman" w:hAnsi="Times New Roman" w:cs="Times New Roman"/>
          <w:b/>
          <w:bCs/>
          <w:color w:val="000000" w:themeColor="text1"/>
          <w:sz w:val="24"/>
          <w:szCs w:val="24"/>
        </w:rPr>
      </w:pPr>
    </w:p>
    <w:bookmarkEnd w:id="0"/>
    <w:p w14:paraId="5D2217D4" w14:textId="77777777" w:rsidR="001945BF" w:rsidRPr="00CD1F9F" w:rsidRDefault="001945BF" w:rsidP="00E21AD0">
      <w:pPr>
        <w:spacing w:after="0" w:line="480" w:lineRule="auto"/>
        <w:jc w:val="both"/>
        <w:rPr>
          <w:rFonts w:ascii="Times New Roman" w:eastAsia="Arial" w:hAnsi="Times New Roman" w:cs="Times New Roman"/>
          <w:b/>
          <w:bCs/>
          <w:color w:val="000000" w:themeColor="text1"/>
          <w:sz w:val="36"/>
          <w:szCs w:val="36"/>
        </w:rPr>
      </w:pPr>
      <w:r w:rsidRPr="00CD1F9F">
        <w:rPr>
          <w:rFonts w:ascii="Times New Roman" w:eastAsia="Arial" w:hAnsi="Times New Roman" w:cs="Times New Roman"/>
          <w:b/>
          <w:bCs/>
          <w:color w:val="000000" w:themeColor="text1"/>
          <w:sz w:val="36"/>
          <w:szCs w:val="36"/>
        </w:rPr>
        <w:t>Introduction</w:t>
      </w:r>
    </w:p>
    <w:p w14:paraId="014B4599" w14:textId="58894EF5" w:rsidR="003559D0" w:rsidRPr="0046155E" w:rsidRDefault="00F00CEC" w:rsidP="00E21AD0">
      <w:pPr>
        <w:spacing w:after="0" w:line="480" w:lineRule="auto"/>
        <w:jc w:val="both"/>
        <w:rPr>
          <w:rFonts w:ascii="Times New Roman" w:hAnsi="Times New Roman" w:cs="Times New Roman"/>
          <w:color w:val="000000" w:themeColor="text1"/>
          <w:sz w:val="24"/>
          <w:szCs w:val="24"/>
          <w:shd w:val="clear" w:color="auto" w:fill="FFFFFF"/>
        </w:rPr>
      </w:pPr>
      <w:r w:rsidRPr="0046155E">
        <w:rPr>
          <w:rFonts w:ascii="Times New Roman" w:eastAsia="Arial" w:hAnsi="Times New Roman" w:cs="Times New Roman"/>
          <w:color w:val="000000" w:themeColor="text1"/>
          <w:sz w:val="24"/>
          <w:szCs w:val="24"/>
        </w:rPr>
        <w:t>Type 2 diabetes affect</w:t>
      </w:r>
      <w:r w:rsidR="001530AF" w:rsidRPr="0046155E">
        <w:rPr>
          <w:rFonts w:ascii="Times New Roman" w:eastAsia="Arial" w:hAnsi="Times New Roman" w:cs="Times New Roman"/>
          <w:color w:val="000000" w:themeColor="text1"/>
          <w:sz w:val="24"/>
          <w:szCs w:val="24"/>
        </w:rPr>
        <w:t>s</w:t>
      </w:r>
      <w:r w:rsidRPr="0046155E">
        <w:rPr>
          <w:rFonts w:ascii="Times New Roman" w:eastAsia="Arial" w:hAnsi="Times New Roman" w:cs="Times New Roman"/>
          <w:color w:val="000000" w:themeColor="text1"/>
          <w:sz w:val="24"/>
          <w:szCs w:val="24"/>
        </w:rPr>
        <w:t xml:space="preserve"> 463 million adults </w:t>
      </w:r>
      <w:r w:rsidR="003C0573" w:rsidRPr="0046155E">
        <w:rPr>
          <w:rFonts w:ascii="Times New Roman" w:eastAsia="Arial" w:hAnsi="Times New Roman" w:cs="Times New Roman"/>
          <w:color w:val="000000" w:themeColor="text1"/>
          <w:sz w:val="24"/>
          <w:szCs w:val="24"/>
        </w:rPr>
        <w:t>globally</w:t>
      </w:r>
      <w:r w:rsidRPr="0046155E">
        <w:rPr>
          <w:rFonts w:ascii="Times New Roman" w:eastAsia="Arial" w:hAnsi="Times New Roman" w:cs="Times New Roman"/>
          <w:color w:val="000000" w:themeColor="text1"/>
          <w:sz w:val="24"/>
          <w:szCs w:val="24"/>
        </w:rPr>
        <w:t xml:space="preserve"> </w:t>
      </w:r>
      <w:r w:rsidRPr="0046155E">
        <w:rPr>
          <w:rFonts w:ascii="Times New Roman" w:hAnsi="Times New Roman" w:cs="Times New Roman"/>
          <w:color w:val="000000" w:themeColor="text1"/>
          <w:sz w:val="24"/>
          <w:szCs w:val="24"/>
          <w:shd w:val="clear" w:color="auto" w:fill="FFFFFF"/>
        </w:rPr>
        <w:t>corresponding to 6.28% of the world’s population</w:t>
      </w:r>
      <w:r w:rsidR="00076C2B">
        <w:rPr>
          <w:rFonts w:ascii="Times New Roman" w:hAnsi="Times New Roman" w:cs="Times New Roman"/>
          <w:color w:val="000000" w:themeColor="text1"/>
          <w:sz w:val="24"/>
          <w:szCs w:val="24"/>
          <w:shd w:val="clear" w:color="auto" w:fill="FFFFFF"/>
        </w:rPr>
        <w:t xml:space="preserve"> and </w:t>
      </w:r>
      <w:r w:rsidR="0079078A">
        <w:rPr>
          <w:rFonts w:ascii="Times New Roman" w:hAnsi="Times New Roman" w:cs="Times New Roman"/>
          <w:color w:val="000000" w:themeColor="text1"/>
          <w:sz w:val="24"/>
          <w:szCs w:val="24"/>
          <w:shd w:val="clear" w:color="auto" w:fill="FFFFFF"/>
        </w:rPr>
        <w:t>t</w:t>
      </w:r>
      <w:r w:rsidR="00261D70" w:rsidRPr="0046155E">
        <w:rPr>
          <w:rFonts w:ascii="Times New Roman" w:hAnsi="Times New Roman" w:cs="Times New Roman"/>
          <w:color w:val="000000" w:themeColor="text1"/>
          <w:sz w:val="24"/>
          <w:szCs w:val="24"/>
        </w:rPr>
        <w:t>otal diabetes-related health expenditure i</w:t>
      </w:r>
      <w:r w:rsidR="001530AF" w:rsidRPr="0046155E">
        <w:rPr>
          <w:rFonts w:ascii="Times New Roman" w:hAnsi="Times New Roman" w:cs="Times New Roman"/>
          <w:color w:val="000000" w:themeColor="text1"/>
          <w:sz w:val="24"/>
          <w:szCs w:val="24"/>
        </w:rPr>
        <w:t xml:space="preserve">s estimated to be </w:t>
      </w:r>
      <w:r w:rsidR="00CA6E1E" w:rsidRPr="0046155E">
        <w:rPr>
          <w:rFonts w:ascii="Times New Roman" w:hAnsi="Times New Roman" w:cs="Times New Roman"/>
          <w:color w:val="000000" w:themeColor="text1"/>
          <w:sz w:val="24"/>
          <w:szCs w:val="24"/>
        </w:rPr>
        <w:t>over</w:t>
      </w:r>
      <w:r w:rsidR="00261D70" w:rsidRPr="0046155E">
        <w:rPr>
          <w:rFonts w:ascii="Times New Roman" w:hAnsi="Times New Roman" w:cs="Times New Roman"/>
          <w:color w:val="000000" w:themeColor="text1"/>
          <w:sz w:val="24"/>
          <w:szCs w:val="24"/>
        </w:rPr>
        <w:t xml:space="preserve"> £570 billion</w:t>
      </w:r>
      <w:r w:rsidR="001530AF" w:rsidRPr="0046155E">
        <w:rPr>
          <w:rFonts w:ascii="Times New Roman" w:hAnsi="Times New Roman" w:cs="Times New Roman"/>
          <w:color w:val="000000" w:themeColor="text1"/>
          <w:sz w:val="24"/>
          <w:szCs w:val="24"/>
        </w:rPr>
        <w:t xml:space="preserve">. </w:t>
      </w:r>
      <w:r w:rsidR="001530AF" w:rsidRPr="0046155E">
        <w:rPr>
          <w:rFonts w:ascii="Times New Roman" w:hAnsi="Times New Roman" w:cs="Times New Roman"/>
          <w:color w:val="000000" w:themeColor="text1"/>
          <w:sz w:val="24"/>
          <w:szCs w:val="24"/>
          <w:shd w:val="clear" w:color="auto" w:fill="FFFFFF"/>
        </w:rPr>
        <w:fldChar w:fldCharType="begin" w:fldLock="1"/>
      </w:r>
      <w:r w:rsidR="00F44B48" w:rsidRPr="0046155E">
        <w:rPr>
          <w:rFonts w:ascii="Times New Roman" w:hAnsi="Times New Roman" w:cs="Times New Roman"/>
          <w:color w:val="000000" w:themeColor="text1"/>
          <w:sz w:val="24"/>
          <w:szCs w:val="24"/>
          <w:shd w:val="clear" w:color="auto" w:fill="FFFFFF"/>
        </w:rPr>
        <w:instrText>ADDIN CSL_CITATION {"citationItems":[{"id":"ITEM-1","itemData":{"abstract":"The latest edition of the IDF Diabetes Atlas shows that 463 million adults are currently living with diabetes","author":[{"dropping-particle":"","family":"International Diabetes Federation","given":"","non-dropping-particle":"","parse-names":false,"suffix":""}],"container-title":"Diabetes Atlas","id":"ITEM-1","issued":{"date-parts":[["2019"]]},"page":"9-11","title":"Worldwide toll of diabetes","type":"article-journal"},"uris":["http://www.mendeley.com/documents/?uuid=7b2f9b26-6be6-3119-bd0f-d3cea3c20653"]}],"mendeley":{"formattedCitation":"[1]","plainTextFormattedCitation":"[1]","previouslyFormattedCitation":"[1]"},"properties":{"noteIndex":0},"schema":"https://github.com/citation-style-language/schema/raw/master/csl-citation.json"}</w:instrText>
      </w:r>
      <w:r w:rsidR="001530AF" w:rsidRPr="0046155E">
        <w:rPr>
          <w:rFonts w:ascii="Times New Roman" w:hAnsi="Times New Roman" w:cs="Times New Roman"/>
          <w:color w:val="000000" w:themeColor="text1"/>
          <w:sz w:val="24"/>
          <w:szCs w:val="24"/>
          <w:shd w:val="clear" w:color="auto" w:fill="FFFFFF"/>
        </w:rPr>
        <w:fldChar w:fldCharType="separate"/>
      </w:r>
      <w:r w:rsidR="001530AF" w:rsidRPr="0046155E">
        <w:rPr>
          <w:rFonts w:ascii="Times New Roman" w:hAnsi="Times New Roman" w:cs="Times New Roman"/>
          <w:noProof/>
          <w:color w:val="000000" w:themeColor="text1"/>
          <w:sz w:val="24"/>
          <w:szCs w:val="24"/>
          <w:shd w:val="clear" w:color="auto" w:fill="FFFFFF"/>
        </w:rPr>
        <w:t>[1]</w:t>
      </w:r>
      <w:r w:rsidR="001530AF" w:rsidRPr="0046155E">
        <w:rPr>
          <w:rFonts w:ascii="Times New Roman" w:hAnsi="Times New Roman" w:cs="Times New Roman"/>
          <w:color w:val="000000" w:themeColor="text1"/>
          <w:sz w:val="24"/>
          <w:szCs w:val="24"/>
          <w:shd w:val="clear" w:color="auto" w:fill="FFFFFF"/>
        </w:rPr>
        <w:fldChar w:fldCharType="end"/>
      </w:r>
      <w:r w:rsidR="00261D70" w:rsidRPr="0046155E">
        <w:rPr>
          <w:rFonts w:ascii="Times New Roman" w:hAnsi="Times New Roman" w:cs="Times New Roman"/>
          <w:color w:val="000000" w:themeColor="text1"/>
          <w:sz w:val="24"/>
          <w:szCs w:val="24"/>
          <w:shd w:val="clear" w:color="auto" w:fill="FFFFFF"/>
        </w:rPr>
        <w:t xml:space="preserve"> Th</w:t>
      </w:r>
      <w:r w:rsidR="001530AF" w:rsidRPr="0046155E">
        <w:rPr>
          <w:rFonts w:ascii="Times New Roman" w:hAnsi="Times New Roman" w:cs="Times New Roman"/>
          <w:color w:val="000000" w:themeColor="text1"/>
          <w:sz w:val="24"/>
          <w:szCs w:val="24"/>
          <w:shd w:val="clear" w:color="auto" w:fill="FFFFFF"/>
        </w:rPr>
        <w:t>is</w:t>
      </w:r>
      <w:r w:rsidR="00261D70" w:rsidRPr="0046155E">
        <w:rPr>
          <w:rFonts w:ascii="Times New Roman" w:hAnsi="Times New Roman" w:cs="Times New Roman"/>
          <w:color w:val="000000" w:themeColor="text1"/>
          <w:sz w:val="24"/>
          <w:szCs w:val="24"/>
          <w:shd w:val="clear" w:color="auto" w:fill="FFFFFF"/>
        </w:rPr>
        <w:t xml:space="preserve"> substantial economic burden is in part </w:t>
      </w:r>
      <w:r w:rsidR="00EB1E93" w:rsidRPr="0046155E">
        <w:rPr>
          <w:rFonts w:ascii="Times New Roman" w:hAnsi="Times New Roman" w:cs="Times New Roman"/>
          <w:color w:val="000000" w:themeColor="text1"/>
          <w:sz w:val="24"/>
          <w:szCs w:val="24"/>
        </w:rPr>
        <w:t xml:space="preserve">related to associated cardiovascular </w:t>
      </w:r>
      <w:r w:rsidR="00322E0F" w:rsidRPr="0046155E">
        <w:rPr>
          <w:rFonts w:ascii="Times New Roman" w:hAnsi="Times New Roman" w:cs="Times New Roman"/>
          <w:color w:val="000000" w:themeColor="text1"/>
          <w:sz w:val="24"/>
          <w:szCs w:val="24"/>
        </w:rPr>
        <w:t xml:space="preserve">disease </w:t>
      </w:r>
      <w:r w:rsidR="00EB1E93" w:rsidRPr="0046155E">
        <w:rPr>
          <w:rFonts w:ascii="Times New Roman" w:hAnsi="Times New Roman" w:cs="Times New Roman"/>
          <w:color w:val="000000" w:themeColor="text1"/>
          <w:sz w:val="24"/>
          <w:szCs w:val="24"/>
        </w:rPr>
        <w:t>(CVD)</w:t>
      </w:r>
      <w:r w:rsidR="00261D70" w:rsidRPr="0046155E">
        <w:rPr>
          <w:rFonts w:ascii="Times New Roman" w:hAnsi="Times New Roman" w:cs="Times New Roman"/>
          <w:color w:val="000000" w:themeColor="text1"/>
          <w:sz w:val="24"/>
          <w:szCs w:val="24"/>
        </w:rPr>
        <w:t>. People with type 2 diabetes</w:t>
      </w:r>
      <w:r w:rsidR="003C0573" w:rsidRPr="0046155E">
        <w:rPr>
          <w:rFonts w:ascii="Times New Roman" w:hAnsi="Times New Roman" w:cs="Times New Roman"/>
          <w:color w:val="000000" w:themeColor="text1"/>
          <w:sz w:val="24"/>
          <w:szCs w:val="24"/>
        </w:rPr>
        <w:t xml:space="preserve"> compared to those without</w:t>
      </w:r>
      <w:r w:rsidR="00261D70" w:rsidRPr="0046155E">
        <w:rPr>
          <w:rFonts w:ascii="Times New Roman" w:hAnsi="Times New Roman" w:cs="Times New Roman"/>
          <w:color w:val="000000" w:themeColor="text1"/>
          <w:sz w:val="24"/>
          <w:szCs w:val="24"/>
        </w:rPr>
        <w:t xml:space="preserve"> are more likely to have </w:t>
      </w:r>
      <w:r w:rsidR="007232DA" w:rsidRPr="0046155E">
        <w:rPr>
          <w:rFonts w:ascii="Times New Roman" w:hAnsi="Times New Roman" w:cs="Times New Roman"/>
          <w:color w:val="000000" w:themeColor="text1"/>
          <w:sz w:val="24"/>
          <w:szCs w:val="24"/>
        </w:rPr>
        <w:t xml:space="preserve">CVD including </w:t>
      </w:r>
      <w:r w:rsidR="00261D70" w:rsidRPr="0046155E">
        <w:rPr>
          <w:rFonts w:ascii="Times New Roman" w:hAnsi="Times New Roman" w:cs="Times New Roman"/>
          <w:color w:val="000000" w:themeColor="text1"/>
          <w:sz w:val="24"/>
          <w:szCs w:val="24"/>
          <w:shd w:val="clear" w:color="auto" w:fill="FFFFFF"/>
        </w:rPr>
        <w:t>peripheral arterial disease</w:t>
      </w:r>
      <w:r w:rsidR="009E1159">
        <w:rPr>
          <w:rFonts w:ascii="Times New Roman" w:hAnsi="Times New Roman" w:cs="Times New Roman"/>
          <w:color w:val="000000" w:themeColor="text1"/>
          <w:sz w:val="24"/>
          <w:szCs w:val="24"/>
          <w:shd w:val="clear" w:color="auto" w:fill="FFFFFF"/>
        </w:rPr>
        <w:t xml:space="preserve">, </w:t>
      </w:r>
      <w:r w:rsidR="00261D70" w:rsidRPr="0046155E">
        <w:rPr>
          <w:rFonts w:ascii="Times New Roman" w:hAnsi="Times New Roman" w:cs="Times New Roman"/>
          <w:color w:val="000000" w:themeColor="text1"/>
          <w:sz w:val="24"/>
          <w:szCs w:val="24"/>
          <w:shd w:val="clear" w:color="auto" w:fill="FFFFFF"/>
        </w:rPr>
        <w:t xml:space="preserve">ischaemic stroke, stable angina, heart failure, and non-fatal myocardial infarction. </w:t>
      </w:r>
      <w:r w:rsidR="0015182B" w:rsidRPr="0046155E">
        <w:rPr>
          <w:rFonts w:ascii="Times New Roman" w:hAnsi="Times New Roman" w:cs="Times New Roman"/>
          <w:color w:val="000000" w:themeColor="text1"/>
          <w:sz w:val="24"/>
          <w:szCs w:val="24"/>
        </w:rPr>
        <w:t>Intensive multifactorial management is effective at reducing these complications, and r</w:t>
      </w:r>
      <w:r w:rsidR="007232DA" w:rsidRPr="0046155E">
        <w:rPr>
          <w:rFonts w:ascii="Times New Roman" w:hAnsi="Times New Roman" w:cs="Times New Roman"/>
          <w:color w:val="000000" w:themeColor="text1"/>
          <w:sz w:val="24"/>
          <w:szCs w:val="24"/>
        </w:rPr>
        <w:t xml:space="preserve">ecent </w:t>
      </w:r>
      <w:r w:rsidR="00EB1E93" w:rsidRPr="0046155E">
        <w:rPr>
          <w:rFonts w:ascii="Times New Roman" w:hAnsi="Times New Roman" w:cs="Times New Roman"/>
          <w:color w:val="000000" w:themeColor="text1"/>
          <w:sz w:val="24"/>
          <w:szCs w:val="24"/>
        </w:rPr>
        <w:t xml:space="preserve">evidence demonstrates that </w:t>
      </w:r>
      <w:r w:rsidR="006F007B" w:rsidRPr="0046155E">
        <w:rPr>
          <w:rFonts w:ascii="Times New Roman" w:hAnsi="Times New Roman" w:cs="Times New Roman"/>
          <w:color w:val="000000" w:themeColor="text1"/>
          <w:sz w:val="24"/>
          <w:szCs w:val="24"/>
        </w:rPr>
        <w:t xml:space="preserve">biochemical </w:t>
      </w:r>
      <w:r w:rsidR="00EB1E93" w:rsidRPr="0046155E">
        <w:rPr>
          <w:rFonts w:ascii="Times New Roman" w:hAnsi="Times New Roman" w:cs="Times New Roman"/>
          <w:color w:val="000000" w:themeColor="text1"/>
          <w:sz w:val="24"/>
          <w:szCs w:val="24"/>
        </w:rPr>
        <w:t>remission</w:t>
      </w:r>
      <w:r w:rsidR="001A72C0" w:rsidRPr="0046155E">
        <w:rPr>
          <w:rFonts w:ascii="Times New Roman" w:hAnsi="Times New Roman" w:cs="Times New Roman"/>
          <w:color w:val="000000" w:themeColor="text1"/>
          <w:sz w:val="24"/>
          <w:szCs w:val="24"/>
        </w:rPr>
        <w:t xml:space="preserve"> of the disease</w:t>
      </w:r>
      <w:r w:rsidR="00EB1E93" w:rsidRPr="0046155E">
        <w:rPr>
          <w:rFonts w:ascii="Times New Roman" w:hAnsi="Times New Roman" w:cs="Times New Roman"/>
          <w:color w:val="000000" w:themeColor="text1"/>
          <w:sz w:val="24"/>
          <w:szCs w:val="24"/>
        </w:rPr>
        <w:t xml:space="preserve"> is achievable</w:t>
      </w:r>
      <w:r w:rsidR="00D348E1" w:rsidRPr="0046155E">
        <w:rPr>
          <w:rFonts w:ascii="Times New Roman" w:hAnsi="Times New Roman" w:cs="Times New Roman"/>
          <w:color w:val="000000" w:themeColor="text1"/>
          <w:sz w:val="24"/>
          <w:szCs w:val="24"/>
        </w:rPr>
        <w:t xml:space="preserve"> through </w:t>
      </w:r>
      <w:r w:rsidR="003559D0" w:rsidRPr="0046155E">
        <w:rPr>
          <w:rFonts w:ascii="Times New Roman" w:hAnsi="Times New Roman" w:cs="Times New Roman"/>
          <w:color w:val="000000" w:themeColor="text1"/>
          <w:sz w:val="24"/>
          <w:szCs w:val="24"/>
        </w:rPr>
        <w:t>dietary changes, physical activity</w:t>
      </w:r>
      <w:r w:rsidR="00D348E1" w:rsidRPr="0046155E">
        <w:rPr>
          <w:rFonts w:ascii="Times New Roman" w:hAnsi="Times New Roman" w:cs="Times New Roman"/>
          <w:color w:val="000000" w:themeColor="text1"/>
          <w:sz w:val="24"/>
          <w:szCs w:val="24"/>
        </w:rPr>
        <w:t xml:space="preserve"> and subsequent weight loss</w:t>
      </w:r>
      <w:r w:rsidR="001A72C0" w:rsidRPr="0046155E">
        <w:rPr>
          <w:rFonts w:ascii="Times New Roman" w:hAnsi="Times New Roman" w:cs="Times New Roman"/>
          <w:color w:val="000000" w:themeColor="text1"/>
          <w:sz w:val="24"/>
          <w:szCs w:val="24"/>
        </w:rPr>
        <w:t>.</w:t>
      </w:r>
      <w:r w:rsidR="001A72C0" w:rsidRPr="0046155E">
        <w:rPr>
          <w:rFonts w:ascii="Times New Roman" w:hAnsi="Times New Roman" w:cs="Times New Roman"/>
          <w:color w:val="000000" w:themeColor="text1"/>
          <w:sz w:val="24"/>
          <w:szCs w:val="24"/>
        </w:rPr>
        <w:fldChar w:fldCharType="begin" w:fldLock="1"/>
      </w:r>
      <w:r w:rsidR="004D4B0A" w:rsidRPr="0046155E">
        <w:rPr>
          <w:rFonts w:ascii="Times New Roman" w:hAnsi="Times New Roman" w:cs="Times New Roman"/>
          <w:color w:val="000000" w:themeColor="text1"/>
          <w:sz w:val="24"/>
          <w:szCs w:val="24"/>
        </w:rPr>
        <w:instrText>ADDIN CSL_CITATION {"citationItems":[{"id":"ITEM-1","itemData":{"DOI":"10.2337/dc15-1942","ISSN":"1935-5548","PMID":"27002059","abstract":"OBJECTIVE Type 2 diabetes mellitus (T2DM) is generally regarded as an irreversible chronic condition. Because a very low-calorie diet (VLCD) can bring about acute return to normal glucose control in some people with T2DM, this study tested the potential durability of this normalization. The underlying mechanisms were defined. RESEARCH DESIGN AND METHODS People with a T2DM duration of 0.5-23 years (n = 30) followed a VLCD for 8 weeks. All oral agents or insulins were stopped at baseline. Following a stepped return to isocaloric diet, a structured, individualized program of weight maintenance was provided. Glucose control, insulin sensitivity, insulin secretion, and hepatic and pancreas fat content were quantified at baseline, after return to isocaloric diet, and after 6 months to permit the primary comparison of change between post-weight loss and 6 months in responders. Responders were defined as achieving fasting blood glucose &lt;7 mmol/L after return to isocaloric diet. RESULTS Weight fell (98.0 ± 2.6 to 83.8 ± 2.4 kg) and remained stable over 6 months (84.7 ± 2.5 kg). Twelve of 30 participants achieved fasting plasma glucose &lt;7 mmol/L after return to isocaloric diet (responders), and 13 of 30 after 6 months. Responders had a shorter duration of diabetes and a higher initial fasting plasma insulin level. HbA1c fell from 7.1 ± 0.3 to 5.8 ± 0.2% (55 ± 4 to 40 ± 2 mmol/mol) in responders (P &lt; 0.001) and from 8.4 ± 0.3 to 8.0 ± 0.5% (68 ± 3 to 64 ± 5 mmol/mol) in nonresponders, remaining constant at 6 months (5.9 ± 0.2 and 7.8 ± 0.3% [41 ± 2 and 62 ± 3 mmol/mol], respectively). The responders were characterized by return of first-phase insulin response. CONCLUSIONS A robust and sustainable weight loss program achieved continuing remission of diabetes for at least 6 months in the 40% who responded to a VLCD by achieving fasting plasma glucose of &lt;7 mmol/L. T2DM is a potentially reversible condition.","author":[{"dropping-particle":"","family":"Steven","given":"Sarah","non-dropping-particle":"","parse-names":false,"suffix":""},{"dropping-particle":"","family":"Hollingsworth","given":"Kieren G.","non-dropping-particle":"","parse-names":false,"suffix":""},{"dropping-particle":"","family":"Al-Mrabeh","given":"Ahmad","non-dropping-particle":"","parse-names":false,"suffix":""},{"dropping-particle":"","family":"Avery","given":"Leah","non-dropping-particle":"","parse-names":false,"suffix":""},{"dropping-particle":"","family":"Aribisala","given":"Benjamin","non-dropping-particle":"","parse-names":false,"suffix":""},{"dropping-particle":"","family":"Caslake","given":"Muriel","non-dropping-particle":"","parse-names":false,"suffix":""},{"dropping-particle":"","family":"Taylor","given":"Roy","non-dropping-particle":"","parse-names":false,"suffix":""}],"container-title":"Diabetes care","id":"ITEM-1","issue":"5","issued":{"date-parts":[["2016","5","1"]]},"page":"808-15","publisher":"American Diabetes Association","title":"Very Low-Calorie Diet and 6 Months of Weight Stability in Type 2 Diabetes: Pathophysiological Changes in Responders and Nonresponders.","type":"article-journal","volume":"39"},"uris":["http://www.mendeley.com/documents/?uuid=975c567e-a322-4325-b066-d4c153f85928"]},{"id":"ITEM-2","itemData":{"DOI":"10.1001/jama.2012.67929","ISSN":"0098-7484","abstract":"&lt;h3&gt;Context&lt;/h3&gt;The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the","non-dropping-particle":"","parse-names":false,"suffix":""}],"container-title":"JAMA","id":"ITEM-2","issue":"23","issued":{"date-parts":[["2012","12","19"]]},"page":"2489","publisher":"American Medical Association","title":"Association of an Intensive Lifestyle Intervention With Remission of Type 2 Diabetes","type":"article-journal","volume":"308"},"uris":["http://www.mendeley.com/documents/?uuid=2399c59f-a3b8-3d28-9508-dd0c63d1d086"]},{"id":"ITEM-3","itemData":{"DOI":"10.1111/dme.12722","ISSN":"07423071","author":[{"dropping-particle":"","family":"Steven","given":"S.","non-dropping-particle":"","parse-names":false,"suffix":""},{"dropping-particle":"","family":"Taylor","given":"R.","non-dropping-particle":"","parse-names":false,"suffix":""}],"container-title":"Diabetic Medicine","id":"ITEM-3","issue":"9","issued":{"date-parts":[["2015","9","1"]]},"page":"1149-1155","title":"Restoring normoglycaemia by use of a very low calorie diet in long- and short-duration Type 2 diabetes","type":"article-journal","volume":"32"},"uris":["http://www.mendeley.com/documents/?uuid=490ef79f-9042-3a78-80a0-6db0c2bddbb3"]}],"mendeley":{"formattedCitation":"[2–4]","plainTextFormattedCitation":"[2–4]","previouslyFormattedCitation":"[2–4]"},"properties":{"noteIndex":0},"schema":"https://github.com/citation-style-language/schema/raw/master/csl-citation.json"}</w:instrText>
      </w:r>
      <w:r w:rsidR="001A72C0" w:rsidRPr="0046155E">
        <w:rPr>
          <w:rFonts w:ascii="Times New Roman" w:hAnsi="Times New Roman" w:cs="Times New Roman"/>
          <w:color w:val="000000" w:themeColor="text1"/>
          <w:sz w:val="24"/>
          <w:szCs w:val="24"/>
        </w:rPr>
        <w:fldChar w:fldCharType="separate"/>
      </w:r>
      <w:r w:rsidR="00F44B48" w:rsidRPr="0046155E">
        <w:rPr>
          <w:rFonts w:ascii="Times New Roman" w:hAnsi="Times New Roman" w:cs="Times New Roman"/>
          <w:noProof/>
          <w:color w:val="000000" w:themeColor="text1"/>
          <w:sz w:val="24"/>
          <w:szCs w:val="24"/>
        </w:rPr>
        <w:t>[2–</w:t>
      </w:r>
      <w:r w:rsidR="00CA7DC0">
        <w:rPr>
          <w:rFonts w:ascii="Times New Roman" w:hAnsi="Times New Roman" w:cs="Times New Roman"/>
          <w:noProof/>
          <w:color w:val="000000" w:themeColor="text1"/>
          <w:sz w:val="24"/>
          <w:szCs w:val="24"/>
        </w:rPr>
        <w:t>3</w:t>
      </w:r>
      <w:r w:rsidR="00F44B48" w:rsidRPr="0046155E">
        <w:rPr>
          <w:rFonts w:ascii="Times New Roman" w:hAnsi="Times New Roman" w:cs="Times New Roman"/>
          <w:noProof/>
          <w:color w:val="000000" w:themeColor="text1"/>
          <w:sz w:val="24"/>
          <w:szCs w:val="24"/>
        </w:rPr>
        <w:t>]</w:t>
      </w:r>
      <w:r w:rsidR="001A72C0" w:rsidRPr="0046155E">
        <w:rPr>
          <w:rFonts w:ascii="Times New Roman" w:hAnsi="Times New Roman" w:cs="Times New Roman"/>
          <w:color w:val="000000" w:themeColor="text1"/>
          <w:sz w:val="24"/>
          <w:szCs w:val="24"/>
        </w:rPr>
        <w:fldChar w:fldCharType="end"/>
      </w:r>
      <w:r w:rsidR="001A72C0" w:rsidRPr="0046155E">
        <w:rPr>
          <w:rFonts w:ascii="Times New Roman" w:eastAsia="Arial" w:hAnsi="Times New Roman" w:cs="Times New Roman"/>
          <w:sz w:val="24"/>
          <w:szCs w:val="24"/>
        </w:rPr>
        <w:t xml:space="preserve"> </w:t>
      </w:r>
      <w:r w:rsidR="005A0DA3" w:rsidRPr="0046155E">
        <w:rPr>
          <w:rFonts w:ascii="Times New Roman" w:eastAsia="Arial" w:hAnsi="Times New Roman" w:cs="Times New Roman"/>
          <w:sz w:val="24"/>
          <w:szCs w:val="24"/>
        </w:rPr>
        <w:t xml:space="preserve">Remission is </w:t>
      </w:r>
      <w:r w:rsidR="005A0DA3" w:rsidRPr="0046155E">
        <w:rPr>
          <w:rFonts w:ascii="Times New Roman" w:hAnsi="Times New Roman" w:cs="Times New Roman"/>
          <w:color w:val="000000" w:themeColor="text1"/>
          <w:sz w:val="24"/>
          <w:szCs w:val="24"/>
        </w:rPr>
        <w:t>defined as a level of glycaemia below the diagnostic threshold (</w:t>
      </w:r>
      <w:r w:rsidR="005A0DA3" w:rsidRPr="0046155E">
        <w:rPr>
          <w:rFonts w:ascii="Times New Roman" w:hAnsi="Times New Roman" w:cs="Times New Roman"/>
          <w:color w:val="000000" w:themeColor="text1"/>
          <w:sz w:val="24"/>
          <w:szCs w:val="24"/>
          <w:shd w:val="clear" w:color="auto" w:fill="FFFFFF"/>
        </w:rPr>
        <w:t>HbA</w:t>
      </w:r>
      <w:r w:rsidR="005A0DA3" w:rsidRPr="0046155E">
        <w:rPr>
          <w:rFonts w:ascii="Times New Roman" w:hAnsi="Times New Roman" w:cs="Times New Roman"/>
          <w:color w:val="000000" w:themeColor="text1"/>
          <w:sz w:val="24"/>
          <w:szCs w:val="24"/>
          <w:shd w:val="clear" w:color="auto" w:fill="FFFFFF"/>
          <w:vertAlign w:val="subscript"/>
        </w:rPr>
        <w:t>1c</w:t>
      </w:r>
      <w:r w:rsidR="005A0DA3" w:rsidRPr="0046155E">
        <w:rPr>
          <w:rFonts w:ascii="Times New Roman" w:hAnsi="Times New Roman" w:cs="Times New Roman"/>
          <w:color w:val="000000" w:themeColor="text1"/>
          <w:sz w:val="24"/>
          <w:szCs w:val="24"/>
          <w:shd w:val="clear" w:color="auto" w:fill="FFFFFF"/>
        </w:rPr>
        <w:t xml:space="preserve"> &lt; 6.5% or 48 mmol/mol</w:t>
      </w:r>
      <w:r w:rsidR="005A0DA3" w:rsidRPr="0046155E">
        <w:rPr>
          <w:rFonts w:ascii="Times New Roman" w:hAnsi="Times New Roman" w:cs="Times New Roman"/>
          <w:color w:val="000000" w:themeColor="text1"/>
          <w:sz w:val="24"/>
          <w:szCs w:val="24"/>
        </w:rPr>
        <w:t xml:space="preserve">) in the absence of medication or bariatric surgery. </w:t>
      </w:r>
      <w:r w:rsidR="009D7B81" w:rsidRPr="0046155E">
        <w:rPr>
          <w:rFonts w:ascii="Times New Roman" w:hAnsi="Times New Roman" w:cs="Times New Roman"/>
          <w:color w:val="000000" w:themeColor="text1"/>
          <w:sz w:val="24"/>
          <w:szCs w:val="24"/>
        </w:rPr>
        <w:t>We have</w:t>
      </w:r>
      <w:r w:rsidR="001A72C0" w:rsidRPr="0046155E">
        <w:rPr>
          <w:rFonts w:ascii="Times New Roman" w:hAnsi="Times New Roman" w:cs="Times New Roman"/>
          <w:color w:val="000000" w:themeColor="text1"/>
          <w:sz w:val="24"/>
          <w:szCs w:val="24"/>
        </w:rPr>
        <w:t xml:space="preserve"> previously demonstrated that </w:t>
      </w:r>
      <w:r w:rsidR="001A72C0" w:rsidRPr="0046155E">
        <w:rPr>
          <w:rFonts w:ascii="Times New Roman" w:hAnsi="Times New Roman" w:cs="Times New Roman"/>
          <w:color w:val="000000" w:themeColor="text1"/>
          <w:sz w:val="24"/>
          <w:szCs w:val="24"/>
          <w:shd w:val="clear" w:color="auto" w:fill="FFFFFF"/>
        </w:rPr>
        <w:t xml:space="preserve">≥ </w:t>
      </w:r>
      <w:r w:rsidR="007232DA" w:rsidRPr="0046155E">
        <w:rPr>
          <w:rFonts w:ascii="Times New Roman" w:hAnsi="Times New Roman" w:cs="Times New Roman"/>
          <w:color w:val="000000" w:themeColor="text1"/>
          <w:sz w:val="24"/>
          <w:szCs w:val="24"/>
          <w:shd w:val="clear" w:color="auto" w:fill="FFFFFF"/>
        </w:rPr>
        <w:t>1</w:t>
      </w:r>
      <w:r w:rsidR="001A72C0" w:rsidRPr="0046155E">
        <w:rPr>
          <w:rFonts w:ascii="Times New Roman" w:hAnsi="Times New Roman" w:cs="Times New Roman"/>
          <w:color w:val="000000" w:themeColor="text1"/>
          <w:sz w:val="24"/>
          <w:szCs w:val="24"/>
          <w:shd w:val="clear" w:color="auto" w:fill="FFFFFF"/>
        </w:rPr>
        <w:t xml:space="preserve">0% weight loss </w:t>
      </w:r>
      <w:r w:rsidR="009D7B81" w:rsidRPr="0046155E">
        <w:rPr>
          <w:rFonts w:ascii="Times New Roman" w:hAnsi="Times New Roman" w:cs="Times New Roman"/>
          <w:color w:val="000000" w:themeColor="text1"/>
          <w:sz w:val="24"/>
          <w:szCs w:val="24"/>
          <w:shd w:val="clear" w:color="auto" w:fill="FFFFFF"/>
        </w:rPr>
        <w:t xml:space="preserve">achieved </w:t>
      </w:r>
      <w:r w:rsidR="001A72C0" w:rsidRPr="0046155E">
        <w:rPr>
          <w:rFonts w:ascii="Times New Roman" w:hAnsi="Times New Roman" w:cs="Times New Roman"/>
          <w:color w:val="000000" w:themeColor="text1"/>
          <w:sz w:val="24"/>
          <w:szCs w:val="24"/>
          <w:shd w:val="clear" w:color="auto" w:fill="FFFFFF"/>
        </w:rPr>
        <w:t>early after diagnosis</w:t>
      </w:r>
      <w:r w:rsidR="005A0DA3" w:rsidRPr="0046155E">
        <w:rPr>
          <w:rFonts w:ascii="Times New Roman" w:hAnsi="Times New Roman" w:cs="Times New Roman"/>
          <w:color w:val="000000" w:themeColor="text1"/>
          <w:sz w:val="24"/>
          <w:szCs w:val="24"/>
          <w:shd w:val="clear" w:color="auto" w:fill="FFFFFF"/>
        </w:rPr>
        <w:t xml:space="preserve"> </w:t>
      </w:r>
      <w:r w:rsidR="001530AF" w:rsidRPr="0046155E">
        <w:rPr>
          <w:rFonts w:ascii="Times New Roman" w:hAnsi="Times New Roman" w:cs="Times New Roman"/>
          <w:color w:val="000000" w:themeColor="text1"/>
          <w:sz w:val="24"/>
          <w:szCs w:val="24"/>
          <w:shd w:val="clear" w:color="auto" w:fill="FFFFFF"/>
        </w:rPr>
        <w:t>is strongly associated with remission</w:t>
      </w:r>
      <w:r w:rsidR="001A72C0" w:rsidRPr="0046155E">
        <w:rPr>
          <w:rFonts w:ascii="Times New Roman" w:hAnsi="Times New Roman" w:cs="Times New Roman"/>
          <w:color w:val="000000" w:themeColor="text1"/>
          <w:sz w:val="24"/>
          <w:szCs w:val="24"/>
          <w:shd w:val="clear" w:color="auto" w:fill="FFFFFF"/>
        </w:rPr>
        <w:t xml:space="preserve"> ((RR 2.43 (95% CI 1.78 to 3.31, p&lt;0.01)).</w:t>
      </w:r>
      <w:r w:rsidR="001A72C0" w:rsidRPr="0046155E">
        <w:rPr>
          <w:rFonts w:ascii="Times New Roman" w:hAnsi="Times New Roman" w:cs="Times New Roman"/>
          <w:sz w:val="24"/>
          <w:szCs w:val="24"/>
        </w:rPr>
        <w:t xml:space="preserve"> </w:t>
      </w:r>
      <w:r w:rsidR="001A72C0" w:rsidRPr="0046155E">
        <w:rPr>
          <w:rFonts w:ascii="Times New Roman" w:hAnsi="Times New Roman" w:cs="Times New Roman"/>
          <w:color w:val="000000" w:themeColor="text1"/>
          <w:sz w:val="24"/>
          <w:szCs w:val="24"/>
        </w:rPr>
        <w:fldChar w:fldCharType="begin" w:fldLock="1"/>
      </w:r>
      <w:r w:rsidR="004D4B0A" w:rsidRPr="0046155E">
        <w:rPr>
          <w:rFonts w:ascii="Times New Roman" w:hAnsi="Times New Roman" w:cs="Times New Roman"/>
          <w:color w:val="000000" w:themeColor="text1"/>
          <w:sz w:val="24"/>
          <w:szCs w:val="24"/>
        </w:rPr>
        <w:instrText>ADDIN CSL_CITATION {"citationItems":[{"id":"ITEM-1","itemData":{"DOI":"10.1111/dme.14122","ISSN":"0742-3071","abstract":"Abstract Aim To quantify the association between behaviour change and weight loss after diagnosis of Type 2 diabetes, and the likelihood of remission of diabetes at 5-year follow-up. Method We conducted a prospective cohort study in 867 people with newly diagnosed diabetes aged 40–69 years from the ADDITION-Cambridge trial. Participants were identified via stepwise screening between 2002 and 2006, and underwent assessment of weight change, physical activity (EPAQ2 questionnaire), diet (plasma vitamin C and self-report), and alcohol consumption (self-report) at baseline and 1 year after diagnosis. Remission was examined at 5 years after diabetes diagnosis via HbA1c level. We constructed log binomial regression models to quantify the association between change in behaviour and weight over both the first year after diagnosis and the subsequent 1–5 years, as well as remission at 5-year follow-up. Results Diabetes remission was achieved in 257 participants (30%) at 5-year follow-up. Compared with people who maintained the same weight, those who achieved ≥ 10% weight loss in the first year after diagnosis had a significantly higher likelihood of remission [risk ratio 1.77 (95% CI 1.32 to 2.38; p&lt;0.01)]. In the subsequent 1–5 years, achieving ≥10% weight loss was also associated with remission [risk ratio 2.43 (95% CI 1.78 to 3.31); p&lt;0.01]. Conclusion In a population-based sample of adults with screen-detected Type 2 diabetes, weight loss of ≥10% early in the disease trajectory was associated with a doubling of the likelihood of remission at 5 years. This was achieved without intensive lifestyle interventions or extreme calorie restrictions. Greater attention should be paid to enabling people to achieve weight loss following diagnosis of Type 2 diabetes.","author":[{"dropping-particle":"","family":"Dambha‐Miller","given":"H.","non-dropping-particle":"","parse-names":false,"suffix":""},{"dropping-particle":"","family":"Day","given":"A. J.","non-dropping-particle":"","parse-names":false,"suffix":""},{"dropping-particle":"","family":"Strelitz","given":"J.","non-dropping-particle":"","parse-names":false,"suffix":""},{"dropping-particle":"","family":"Irving","given":"G.","non-dropping-particle":"","parse-names":false,"suffix":""},{"dropping-particle":"","family":"Griffin","given":"S. J.","non-dropping-particle":"","parse-names":false,"suffix":""}],"container-title":"Diabetic Medicine","id":"ITEM-1","issued":{"date-parts":[["2019","9","26"]]},"publisher":"Wiley","title":"Behaviour change, weight loss and remission of Type 2 diabetes: a community‐based prospective cohort study","type":"article-journal"},"uris":["http://www.mendeley.com/documents/?uuid=ac9d834f-72d6-4ffd-800a-e9ac711b168b"]}],"mendeley":{"formattedCitation":"[5]","plainTextFormattedCitation":"[5]","previouslyFormattedCitation":"[5]"},"properties":{"noteIndex":0},"schema":"https://github.com/citation-style-language/schema/raw/master/csl-citation.json"}</w:instrText>
      </w:r>
      <w:r w:rsidR="001A72C0" w:rsidRPr="0046155E">
        <w:rPr>
          <w:rFonts w:ascii="Times New Roman" w:hAnsi="Times New Roman" w:cs="Times New Roman"/>
          <w:color w:val="000000" w:themeColor="text1"/>
          <w:sz w:val="24"/>
          <w:szCs w:val="24"/>
        </w:rPr>
        <w:fldChar w:fldCharType="separate"/>
      </w:r>
      <w:r w:rsidR="00F44B48" w:rsidRPr="0046155E">
        <w:rPr>
          <w:rFonts w:ascii="Times New Roman" w:hAnsi="Times New Roman" w:cs="Times New Roman"/>
          <w:noProof/>
          <w:color w:val="000000" w:themeColor="text1"/>
          <w:sz w:val="24"/>
          <w:szCs w:val="24"/>
        </w:rPr>
        <w:t>[5]</w:t>
      </w:r>
      <w:r w:rsidR="001A72C0" w:rsidRPr="0046155E">
        <w:rPr>
          <w:rFonts w:ascii="Times New Roman" w:hAnsi="Times New Roman" w:cs="Times New Roman"/>
          <w:color w:val="000000" w:themeColor="text1"/>
          <w:sz w:val="24"/>
          <w:szCs w:val="24"/>
        </w:rPr>
        <w:fldChar w:fldCharType="end"/>
      </w:r>
      <w:r w:rsidR="001A72C0" w:rsidRPr="0046155E">
        <w:rPr>
          <w:rFonts w:ascii="Times New Roman" w:hAnsi="Times New Roman" w:cs="Times New Roman"/>
          <w:color w:val="000000" w:themeColor="text1"/>
          <w:sz w:val="24"/>
          <w:szCs w:val="24"/>
        </w:rPr>
        <w:t xml:space="preserve"> </w:t>
      </w:r>
      <w:r w:rsidR="006F007B" w:rsidRPr="0046155E">
        <w:rPr>
          <w:rFonts w:ascii="Times New Roman" w:hAnsi="Times New Roman" w:cs="Times New Roman"/>
          <w:color w:val="000000" w:themeColor="text1"/>
          <w:sz w:val="24"/>
          <w:szCs w:val="24"/>
        </w:rPr>
        <w:t>R</w:t>
      </w:r>
      <w:r w:rsidR="007232DA" w:rsidRPr="0046155E">
        <w:rPr>
          <w:rFonts w:ascii="Times New Roman" w:hAnsi="Times New Roman" w:cs="Times New Roman"/>
          <w:color w:val="000000" w:themeColor="text1"/>
          <w:sz w:val="24"/>
          <w:szCs w:val="24"/>
        </w:rPr>
        <w:t>emission is</w:t>
      </w:r>
      <w:r w:rsidR="00F44B48" w:rsidRPr="0046155E">
        <w:rPr>
          <w:rFonts w:ascii="Times New Roman" w:hAnsi="Times New Roman" w:cs="Times New Roman"/>
          <w:color w:val="000000" w:themeColor="text1"/>
          <w:sz w:val="24"/>
          <w:szCs w:val="24"/>
        </w:rPr>
        <w:t xml:space="preserve"> </w:t>
      </w:r>
      <w:r w:rsidR="006F007B" w:rsidRPr="0046155E">
        <w:rPr>
          <w:rFonts w:ascii="Times New Roman" w:hAnsi="Times New Roman" w:cs="Times New Roman"/>
          <w:color w:val="000000" w:themeColor="text1"/>
          <w:sz w:val="24"/>
          <w:szCs w:val="24"/>
        </w:rPr>
        <w:t>often</w:t>
      </w:r>
      <w:r w:rsidR="007232DA" w:rsidRPr="0046155E">
        <w:rPr>
          <w:rFonts w:ascii="Times New Roman" w:hAnsi="Times New Roman" w:cs="Times New Roman"/>
          <w:color w:val="000000" w:themeColor="text1"/>
          <w:sz w:val="24"/>
          <w:szCs w:val="24"/>
        </w:rPr>
        <w:t xml:space="preserve"> temporary and o</w:t>
      </w:r>
      <w:r w:rsidR="001530AF" w:rsidRPr="0046155E">
        <w:rPr>
          <w:rFonts w:ascii="Times New Roman" w:hAnsi="Times New Roman" w:cs="Times New Roman"/>
          <w:color w:val="000000" w:themeColor="text1"/>
          <w:sz w:val="24"/>
          <w:szCs w:val="24"/>
        </w:rPr>
        <w:t>ver the course of type 2 diabetes</w:t>
      </w:r>
      <w:r w:rsidR="007232DA" w:rsidRPr="0046155E">
        <w:rPr>
          <w:rFonts w:ascii="Times New Roman" w:hAnsi="Times New Roman" w:cs="Times New Roman"/>
          <w:color w:val="000000" w:themeColor="text1"/>
          <w:sz w:val="24"/>
          <w:szCs w:val="24"/>
        </w:rPr>
        <w:t xml:space="preserve">, </w:t>
      </w:r>
      <w:r w:rsidR="001530AF" w:rsidRPr="0046155E">
        <w:rPr>
          <w:rFonts w:ascii="Times New Roman" w:hAnsi="Times New Roman" w:cs="Times New Roman"/>
          <w:color w:val="000000" w:themeColor="text1"/>
          <w:sz w:val="24"/>
          <w:szCs w:val="24"/>
        </w:rPr>
        <w:t xml:space="preserve">individuals will </w:t>
      </w:r>
      <w:r w:rsidR="009D7B81" w:rsidRPr="0046155E">
        <w:rPr>
          <w:rFonts w:ascii="Times New Roman" w:hAnsi="Times New Roman" w:cs="Times New Roman"/>
          <w:color w:val="000000" w:themeColor="text1"/>
          <w:sz w:val="24"/>
          <w:szCs w:val="24"/>
        </w:rPr>
        <w:t xml:space="preserve">move </w:t>
      </w:r>
      <w:r w:rsidR="001530AF" w:rsidRPr="0046155E">
        <w:rPr>
          <w:rFonts w:ascii="Times New Roman" w:hAnsi="Times New Roman" w:cs="Times New Roman"/>
          <w:color w:val="000000" w:themeColor="text1"/>
          <w:sz w:val="24"/>
          <w:szCs w:val="24"/>
        </w:rPr>
        <w:t>between states of remission and relapse</w:t>
      </w:r>
      <w:r w:rsidR="007232DA" w:rsidRPr="0046155E">
        <w:rPr>
          <w:rFonts w:ascii="Times New Roman" w:hAnsi="Times New Roman" w:cs="Times New Roman"/>
          <w:color w:val="000000" w:themeColor="text1"/>
          <w:sz w:val="24"/>
          <w:szCs w:val="24"/>
        </w:rPr>
        <w:t>. T</w:t>
      </w:r>
      <w:r w:rsidR="001530AF" w:rsidRPr="0046155E">
        <w:rPr>
          <w:rFonts w:ascii="Times New Roman" w:hAnsi="Times New Roman" w:cs="Times New Roman"/>
          <w:color w:val="000000" w:themeColor="text1"/>
          <w:sz w:val="24"/>
          <w:szCs w:val="24"/>
        </w:rPr>
        <w:t>o date</w:t>
      </w:r>
      <w:r w:rsidR="00CA6E1E" w:rsidRPr="0046155E">
        <w:rPr>
          <w:rFonts w:ascii="Times New Roman" w:hAnsi="Times New Roman" w:cs="Times New Roman"/>
          <w:color w:val="000000" w:themeColor="text1"/>
          <w:sz w:val="24"/>
          <w:szCs w:val="24"/>
        </w:rPr>
        <w:t>,</w:t>
      </w:r>
      <w:r w:rsidR="001530AF" w:rsidRPr="0046155E">
        <w:rPr>
          <w:rFonts w:ascii="Times New Roman" w:hAnsi="Times New Roman" w:cs="Times New Roman"/>
          <w:color w:val="000000" w:themeColor="text1"/>
          <w:sz w:val="24"/>
          <w:szCs w:val="24"/>
        </w:rPr>
        <w:t xml:space="preserve"> </w:t>
      </w:r>
      <w:r w:rsidR="00E347F0" w:rsidRPr="0046155E">
        <w:rPr>
          <w:rFonts w:ascii="Times New Roman" w:hAnsi="Times New Roman" w:cs="Times New Roman"/>
          <w:color w:val="000000" w:themeColor="text1"/>
          <w:sz w:val="24"/>
          <w:szCs w:val="24"/>
        </w:rPr>
        <w:t xml:space="preserve">these </w:t>
      </w:r>
      <w:r w:rsidR="001530AF" w:rsidRPr="0046155E">
        <w:rPr>
          <w:rFonts w:ascii="Times New Roman" w:hAnsi="Times New Roman" w:cs="Times New Roman"/>
          <w:color w:val="000000" w:themeColor="text1"/>
          <w:sz w:val="24"/>
          <w:szCs w:val="24"/>
        </w:rPr>
        <w:t>longitudinal patterns</w:t>
      </w:r>
      <w:r w:rsidR="00E347F0" w:rsidRPr="0046155E">
        <w:rPr>
          <w:rFonts w:ascii="Times New Roman" w:hAnsi="Times New Roman" w:cs="Times New Roman"/>
          <w:color w:val="000000" w:themeColor="text1"/>
          <w:sz w:val="24"/>
          <w:szCs w:val="24"/>
        </w:rPr>
        <w:t xml:space="preserve"> of remission have not been described</w:t>
      </w:r>
      <w:r w:rsidR="007232DA" w:rsidRPr="0046155E">
        <w:rPr>
          <w:rFonts w:ascii="Times New Roman" w:hAnsi="Times New Roman" w:cs="Times New Roman"/>
          <w:color w:val="000000" w:themeColor="text1"/>
          <w:sz w:val="24"/>
          <w:szCs w:val="24"/>
        </w:rPr>
        <w:t xml:space="preserve"> in large population-based cohorts</w:t>
      </w:r>
      <w:r w:rsidR="00963F37" w:rsidRPr="0046155E">
        <w:rPr>
          <w:rFonts w:ascii="Times New Roman" w:hAnsi="Times New Roman" w:cs="Times New Roman"/>
          <w:color w:val="000000" w:themeColor="text1"/>
          <w:sz w:val="24"/>
          <w:szCs w:val="24"/>
        </w:rPr>
        <w:t>.</w:t>
      </w:r>
    </w:p>
    <w:p w14:paraId="3DF9F0B6" w14:textId="26A6E50C" w:rsidR="00531663" w:rsidRPr="0046155E" w:rsidRDefault="00E347F0" w:rsidP="00E21AD0">
      <w:pPr>
        <w:spacing w:after="0" w:line="480" w:lineRule="auto"/>
        <w:jc w:val="both"/>
        <w:rPr>
          <w:rFonts w:ascii="Times New Roman" w:hAnsi="Times New Roman" w:cs="Times New Roman"/>
          <w:color w:val="000000" w:themeColor="text1"/>
          <w:sz w:val="24"/>
          <w:szCs w:val="24"/>
        </w:rPr>
      </w:pPr>
      <w:r w:rsidRPr="0046155E">
        <w:rPr>
          <w:rFonts w:ascii="Times New Roman" w:hAnsi="Times New Roman" w:cs="Times New Roman"/>
          <w:color w:val="000000" w:themeColor="text1"/>
          <w:sz w:val="24"/>
          <w:szCs w:val="24"/>
        </w:rPr>
        <w:t xml:space="preserve">It is plausible that since remission is defined by </w:t>
      </w:r>
      <w:r w:rsidRPr="0046155E">
        <w:rPr>
          <w:rFonts w:ascii="Times New Roman" w:hAnsi="Times New Roman" w:cs="Times New Roman"/>
          <w:color w:val="000000" w:themeColor="text1"/>
          <w:sz w:val="24"/>
          <w:szCs w:val="24"/>
          <w:shd w:val="clear" w:color="auto" w:fill="FFFFFF"/>
        </w:rPr>
        <w:t>HbA</w:t>
      </w:r>
      <w:r w:rsidRPr="0046155E">
        <w:rPr>
          <w:rFonts w:ascii="Times New Roman" w:hAnsi="Times New Roman" w:cs="Times New Roman"/>
          <w:color w:val="000000" w:themeColor="text1"/>
          <w:sz w:val="24"/>
          <w:szCs w:val="24"/>
          <w:shd w:val="clear" w:color="auto" w:fill="FFFFFF"/>
          <w:vertAlign w:val="subscript"/>
        </w:rPr>
        <w:t xml:space="preserve">1c </w:t>
      </w:r>
      <w:r w:rsidR="007232DA" w:rsidRPr="0046155E">
        <w:rPr>
          <w:rFonts w:ascii="Times New Roman" w:hAnsi="Times New Roman" w:cs="Times New Roman"/>
          <w:color w:val="000000" w:themeColor="text1"/>
          <w:sz w:val="24"/>
          <w:szCs w:val="24"/>
          <w:shd w:val="clear" w:color="auto" w:fill="FFFFFF"/>
        </w:rPr>
        <w:t xml:space="preserve">level, previous </w:t>
      </w:r>
      <w:r w:rsidR="00963F37" w:rsidRPr="0046155E">
        <w:rPr>
          <w:rFonts w:ascii="Times New Roman" w:hAnsi="Times New Roman" w:cs="Times New Roman"/>
          <w:color w:val="000000" w:themeColor="text1"/>
          <w:sz w:val="24"/>
          <w:szCs w:val="24"/>
          <w:shd w:val="clear" w:color="auto" w:fill="FFFFFF"/>
        </w:rPr>
        <w:t>studies</w:t>
      </w:r>
      <w:r w:rsidR="006F007B" w:rsidRPr="0046155E">
        <w:rPr>
          <w:rFonts w:ascii="Times New Roman" w:hAnsi="Times New Roman" w:cs="Times New Roman"/>
          <w:color w:val="000000" w:themeColor="text1"/>
          <w:sz w:val="24"/>
          <w:szCs w:val="24"/>
          <w:shd w:val="clear" w:color="auto" w:fill="FFFFFF"/>
        </w:rPr>
        <w:t xml:space="preserve"> on the </w:t>
      </w:r>
      <w:r w:rsidR="00963F37" w:rsidRPr="0046155E">
        <w:rPr>
          <w:rFonts w:ascii="Times New Roman" w:hAnsi="Times New Roman" w:cs="Times New Roman"/>
          <w:color w:val="000000" w:themeColor="text1"/>
          <w:sz w:val="24"/>
          <w:szCs w:val="24"/>
          <w:shd w:val="clear" w:color="auto" w:fill="FFFFFF"/>
        </w:rPr>
        <w:t xml:space="preserve">association between </w:t>
      </w:r>
      <w:r w:rsidR="007232DA" w:rsidRPr="0046155E">
        <w:rPr>
          <w:rFonts w:ascii="Times New Roman" w:hAnsi="Times New Roman" w:cs="Times New Roman"/>
          <w:color w:val="000000" w:themeColor="text1"/>
          <w:sz w:val="24"/>
          <w:szCs w:val="24"/>
          <w:shd w:val="clear" w:color="auto" w:fill="FFFFFF"/>
        </w:rPr>
        <w:t xml:space="preserve">glycaemia </w:t>
      </w:r>
      <w:r w:rsidR="00963F37" w:rsidRPr="0046155E">
        <w:rPr>
          <w:rFonts w:ascii="Times New Roman" w:hAnsi="Times New Roman" w:cs="Times New Roman"/>
          <w:color w:val="000000" w:themeColor="text1"/>
          <w:sz w:val="24"/>
          <w:szCs w:val="24"/>
          <w:shd w:val="clear" w:color="auto" w:fill="FFFFFF"/>
        </w:rPr>
        <w:t xml:space="preserve">and </w:t>
      </w:r>
      <w:r w:rsidR="007232DA" w:rsidRPr="0046155E">
        <w:rPr>
          <w:rFonts w:ascii="Times New Roman" w:hAnsi="Times New Roman" w:cs="Times New Roman"/>
          <w:color w:val="000000" w:themeColor="text1"/>
          <w:sz w:val="24"/>
          <w:szCs w:val="24"/>
          <w:shd w:val="clear" w:color="auto" w:fill="FFFFFF"/>
        </w:rPr>
        <w:t xml:space="preserve">CVD </w:t>
      </w:r>
      <w:r w:rsidR="00963F37" w:rsidRPr="0046155E">
        <w:rPr>
          <w:rFonts w:ascii="Times New Roman" w:hAnsi="Times New Roman" w:cs="Times New Roman"/>
          <w:color w:val="000000" w:themeColor="text1"/>
          <w:sz w:val="24"/>
          <w:szCs w:val="24"/>
          <w:shd w:val="clear" w:color="auto" w:fill="FFFFFF"/>
        </w:rPr>
        <w:t>outcomes</w:t>
      </w:r>
      <w:r w:rsidR="007232DA" w:rsidRPr="0046155E">
        <w:rPr>
          <w:rFonts w:ascii="Times New Roman" w:hAnsi="Times New Roman" w:cs="Times New Roman"/>
          <w:color w:val="000000" w:themeColor="text1"/>
          <w:sz w:val="24"/>
          <w:szCs w:val="24"/>
          <w:shd w:val="clear" w:color="auto" w:fill="FFFFFF"/>
        </w:rPr>
        <w:t xml:space="preserve"> might </w:t>
      </w:r>
      <w:r w:rsidR="006F007B" w:rsidRPr="0046155E">
        <w:rPr>
          <w:rFonts w:ascii="Times New Roman" w:hAnsi="Times New Roman" w:cs="Times New Roman"/>
          <w:color w:val="000000" w:themeColor="text1"/>
          <w:sz w:val="24"/>
          <w:szCs w:val="24"/>
          <w:shd w:val="clear" w:color="auto" w:fill="FFFFFF"/>
        </w:rPr>
        <w:t>be comparable</w:t>
      </w:r>
      <w:r w:rsidR="00322E0F" w:rsidRPr="0046155E">
        <w:rPr>
          <w:rFonts w:ascii="Times New Roman" w:hAnsi="Times New Roman" w:cs="Times New Roman"/>
          <w:color w:val="000000" w:themeColor="text1"/>
          <w:sz w:val="24"/>
          <w:szCs w:val="24"/>
          <w:shd w:val="clear" w:color="auto" w:fill="FFFFFF"/>
        </w:rPr>
        <w:t>.</w:t>
      </w:r>
      <w:r w:rsidR="00F0793C" w:rsidRPr="0046155E">
        <w:rPr>
          <w:rFonts w:ascii="Times New Roman" w:hAnsi="Times New Roman" w:cs="Times New Roman"/>
          <w:color w:val="000000" w:themeColor="text1"/>
          <w:sz w:val="24"/>
          <w:szCs w:val="24"/>
          <w:shd w:val="clear" w:color="auto" w:fill="FFFFFF"/>
        </w:rPr>
        <w:t xml:space="preserve"> </w:t>
      </w:r>
      <w:r w:rsidR="00481494" w:rsidRPr="0046155E">
        <w:rPr>
          <w:rFonts w:ascii="Times New Roman" w:hAnsi="Times New Roman" w:cs="Times New Roman"/>
          <w:color w:val="000000" w:themeColor="text1"/>
          <w:sz w:val="24"/>
          <w:szCs w:val="24"/>
        </w:rPr>
        <w:t>Observational studies consistently demonstrate a positive association between glycaemia and CVD</w:t>
      </w:r>
      <w:r w:rsidR="009D70D2" w:rsidRPr="0046155E">
        <w:rPr>
          <w:rFonts w:ascii="Times New Roman" w:hAnsi="Times New Roman" w:cs="Times New Roman"/>
          <w:color w:val="000000"/>
          <w:sz w:val="24"/>
          <w:szCs w:val="24"/>
          <w:shd w:val="clear" w:color="auto" w:fill="FFFFFF"/>
        </w:rPr>
        <w:t xml:space="preserve"> </w:t>
      </w:r>
      <w:r w:rsidR="009D70D2" w:rsidRPr="0046155E">
        <w:rPr>
          <w:rFonts w:ascii="Times New Roman" w:hAnsi="Times New Roman" w:cs="Times New Roman"/>
          <w:color w:val="000000"/>
          <w:sz w:val="24"/>
          <w:szCs w:val="24"/>
          <w:shd w:val="clear" w:color="auto" w:fill="FFFFFF"/>
        </w:rPr>
        <w:fldChar w:fldCharType="begin" w:fldLock="1"/>
      </w:r>
      <w:r w:rsidR="009D70D2" w:rsidRPr="0046155E">
        <w:rPr>
          <w:rFonts w:ascii="Times New Roman" w:hAnsi="Times New Roman" w:cs="Times New Roman"/>
          <w:color w:val="000000"/>
          <w:sz w:val="24"/>
          <w:szCs w:val="24"/>
          <w:shd w:val="clear" w:color="auto" w:fill="FFFFFF"/>
        </w:rPr>
        <w:instrText>ADDIN CSL_CITATION {"citationItems":[{"id":"ITEM-1","itemData":{"DOI":"10.1056/NEJMoa0806470","ISSN":"0028-4793","abstract":"Background During the United Kingdom Prospective Diabetes Study (UKPDS), patients with type 2 diabetes mellitus who received intensive glucose therapy had a lower risk of microvascular complications than did those receiving conventional dietary therapy. We conducted post-trial monitoring to determine whether this improved glucose control persisted and whether such therapy had a long-term effect on macrovascular outcomes. Methods Of 5102 patients with newly diagnosed type 2 diabetes, 4209 were randomly assigned to receive either conventional therapy (dietary restriction) or intensive therapy (either sulfonylurea or insulin or, in overweight patients, metformin) for glucose control. In post-trial monitoring, 3277 patients were asked to attend annual UKPDS clinics for 5 years, but no attempts were made to maintain their previously assigned therapies. Annual questionnaires were used to follow patients who were unable to attend the clinics, and all patients in years 6 to 10 were assessed through questionnaires...","author":[{"dropping-particle":"","family":"Holman","given":"Rury R.","non-dropping-particle":"","parse-names":false,"suffix":""},{"dropping-particle":"","family":"Paul","given":"Sanjoy K.","non-dropping-particle":"","parse-names":false,"suffix":""},{"dropping-particle":"","family":"Bethel","given":"M. Angelyn","non-dropping-particle":"","parse-names":false,"suffix":""},{"dropping-particle":"","family":"Matthews","given":"David R.","non-dropping-particle":"","parse-names":false,"suffix":""},{"dropping-particle":"","family":"Neil","given":"H. Andrew W.","non-dropping-particle":"","parse-names":false,"suffix":""}],"container-title":"New England Journal of Medicine","id":"ITEM-1","issue":"15","issued":{"date-parts":[["2008","10","9"]]},"page":"1577-1589","publisher":" Massachusetts Medical Society ","title":"10-Year Follow-up of Intensive Glucose Control in Type 2 Diabetes","type":"article-journal","volume":"359"},"uris":["http://www.mendeley.com/documents/?uuid=e90347fc-c668-3eb9-a45d-779873ba8da7"]}],"mendeley":{"formattedCitation":"[6]","plainTextFormattedCitation":"[6]","previouslyFormattedCitation":"[6]"},"properties":{"noteIndex":0},"schema":"https://github.com/citation-style-language/schema/raw/master/csl-citation.json"}</w:instrText>
      </w:r>
      <w:r w:rsidR="009D70D2" w:rsidRPr="0046155E">
        <w:rPr>
          <w:rFonts w:ascii="Times New Roman" w:hAnsi="Times New Roman" w:cs="Times New Roman"/>
          <w:color w:val="000000"/>
          <w:sz w:val="24"/>
          <w:szCs w:val="24"/>
          <w:shd w:val="clear" w:color="auto" w:fill="FFFFFF"/>
        </w:rPr>
        <w:fldChar w:fldCharType="separate"/>
      </w:r>
      <w:r w:rsidR="009D70D2" w:rsidRPr="0046155E">
        <w:rPr>
          <w:rFonts w:ascii="Times New Roman" w:hAnsi="Times New Roman" w:cs="Times New Roman"/>
          <w:noProof/>
          <w:color w:val="000000"/>
          <w:sz w:val="24"/>
          <w:szCs w:val="24"/>
          <w:shd w:val="clear" w:color="auto" w:fill="FFFFFF"/>
        </w:rPr>
        <w:t>[6]</w:t>
      </w:r>
      <w:r w:rsidR="009D70D2" w:rsidRPr="0046155E">
        <w:rPr>
          <w:rFonts w:ascii="Times New Roman" w:hAnsi="Times New Roman" w:cs="Times New Roman"/>
          <w:color w:val="000000"/>
          <w:sz w:val="24"/>
          <w:szCs w:val="24"/>
          <w:shd w:val="clear" w:color="auto" w:fill="FFFFFF"/>
        </w:rPr>
        <w:fldChar w:fldCharType="end"/>
      </w:r>
      <w:r w:rsidR="009D70D2" w:rsidRPr="0046155E">
        <w:rPr>
          <w:rFonts w:ascii="Times New Roman" w:hAnsi="Times New Roman" w:cs="Times New Roman"/>
          <w:color w:val="000000"/>
          <w:sz w:val="24"/>
          <w:szCs w:val="24"/>
          <w:shd w:val="clear" w:color="auto" w:fill="FFFFFF"/>
        </w:rPr>
        <w:t>,</w:t>
      </w:r>
      <w:r w:rsidR="00481494" w:rsidRPr="0046155E">
        <w:rPr>
          <w:rFonts w:ascii="Times New Roman" w:hAnsi="Times New Roman" w:cs="Times New Roman"/>
          <w:i/>
          <w:color w:val="000000" w:themeColor="text1"/>
          <w:sz w:val="24"/>
          <w:szCs w:val="24"/>
        </w:rPr>
        <w:t xml:space="preserve"> </w:t>
      </w:r>
      <w:r w:rsidR="00481494" w:rsidRPr="0046155E">
        <w:rPr>
          <w:rFonts w:ascii="Times New Roman" w:hAnsi="Times New Roman" w:cs="Times New Roman"/>
          <w:color w:val="000000" w:themeColor="text1"/>
          <w:sz w:val="24"/>
          <w:szCs w:val="24"/>
        </w:rPr>
        <w:t>whereas evaluations of interventions to lower glucose report heterogeneous findings.</w:t>
      </w:r>
      <w:r w:rsidR="009D70D2" w:rsidRPr="0046155E">
        <w:rPr>
          <w:rFonts w:ascii="Times New Roman" w:hAnsi="Times New Roman" w:cs="Times New Roman"/>
          <w:color w:val="000000"/>
          <w:sz w:val="24"/>
          <w:szCs w:val="24"/>
          <w:shd w:val="clear" w:color="auto" w:fill="FFFFFF"/>
        </w:rPr>
        <w:t xml:space="preserve"> </w:t>
      </w:r>
      <w:r w:rsidR="00F0793C" w:rsidRPr="0046155E">
        <w:rPr>
          <w:rFonts w:ascii="Times New Roman" w:hAnsi="Times New Roman" w:cs="Times New Roman"/>
          <w:color w:val="000000"/>
          <w:sz w:val="24"/>
          <w:szCs w:val="24"/>
          <w:shd w:val="clear" w:color="auto" w:fill="FFFFFF"/>
        </w:rPr>
        <w:fldChar w:fldCharType="begin" w:fldLock="1"/>
      </w:r>
      <w:r w:rsidR="00F0793C" w:rsidRPr="0046155E">
        <w:rPr>
          <w:rFonts w:ascii="Times New Roman" w:hAnsi="Times New Roman" w:cs="Times New Roman"/>
          <w:color w:val="000000"/>
          <w:sz w:val="24"/>
          <w:szCs w:val="24"/>
          <w:shd w:val="clear" w:color="auto" w:fill="FFFFFF"/>
        </w:rPr>
        <w:instrText>ADDIN CSL_CITATION {"citationItems":[{"id":"ITEM-1","itemData":{"DOI":"10.2337/dc18-0548","ISSN":"19355548","abstract":"OBJECTIVE: There is uncertainty about the importance of glycemic variability in cardiovascular complications in patients with type 2 diabetes. Using the Veterans Affairs Diabetes Trial (VADT), we investigated the association between variation in fasting glucose and glycated hemoglobin (HbA1c) over time and the incidence of cardiovascular disease (CVD) and assessed whether this is influenced by intensive or standard glycemic control. RESEARCH DESIGN AND METHODS: During the VADT, fasting glucose and HbA1c were measured every 3 months for up to 84 months in 1,791 individuals. Variability measures included coefficient of variation (CV) and average real variability (ARV) for fasting glucose and HbA1c. Overall mean glucose and HbA1c measures as well as their maximum and the most recent measurement were also examined. RESULTS: Variability measures (CV and ARV) of fasting glucose were significantly associated with CVD even after adjusting for other risk factors, including mean fasting glucose. When considering separately groups receiving intensive and standard glycemic control, this relationship was evident in the intensive treatment group but not in the standard group. Additional adjustment for severe hypoglycemic episodes did not alter the relationship between fasting glucose variability and CVD. Interestingly, no HbA1c measures were associated with CVD after adjusting for multiple baseline risk factors. CONCLUSIONS: Our analysis indicates that in the VADT, variability of fasting glucose plays a role in the development of CVD complications beyond the influence of standard fasting glucose measures. The adverse consequences of fasting glucose variability on CVD appear greatest in those receiving intensive glucose control.","author":[{"dropping-particle":"","family":"Zhou","given":"Jin J.","non-dropping-particle":"","parse-names":false,"suffix":""},{"dropping-particle":"","family":"Schwenke","given":"Dawn C.","non-dropping-particle":"","parse-names":false,"suffix":""},{"dropping-particle":"","family":"Bahn","given":"Gideon","non-dropping-particle":"","parse-names":false,"suffix":""},{"dropping-particle":"","family":"Reaven","given":"Peter","non-dropping-particle":"","parse-names":false,"suffix":""}],"container-title":"Diabetes Care","id":"ITEM-1","issue":"10","issued":{"date-parts":[["2018","10","1"]]},"page":"2187-2194","publisher":"American Diabetes Association Inc.","title":"Glycemic variation and cardiovascular risk in the Veterans Affairs Diabetes trial","type":"paper-conference","volume":"41"},"uris":["http://www.mendeley.com/documents/?uuid=b422aa83-2de3-3695-bf2c-07aa248a580a"]},{"id":"ITEM-2","itemData":{"ISBN":"0735-1097","abstract":"Background: Earlier meta-analysis addressing the effects of intensive glycemic control on cardiovascular events in type 2 diabetes mellitus (DM-2) didn't include 2 large scale randomized control trials (Action to Control Cardiovascular Risk in Diabetes [ACCORD], The Action in Diabetes and Vascular Disease: Preterax and Diamicron Modified Release Controlled Evaluation [ADVANCE]). Methods: A systemic literature search found 10 randomized controlled trials (N = 42,198) comparing the effects of intensive glycemic control versus conventional treatment for DM-2. Heterogeneity was assessed by Cochran's Q test. Mantel-Haenszel fixed-effect model was used to calculate combined relative risks (RR) when studies were homogenous and the random effect model was used when the studies were heterogenic. Results: Myocardial infarction (MI) was significantly decreased in the intensive treatment group, as compared to the control group (RR 0.9; CI: 0.83 - 0.96; P = 0.002). The RR for all cause mortality, heart failure, stroke/transient ischemic attack (TIA), and peripheral vascular events was 0.97 (0.9 - 1.03), 1.03 (0.7 - 1.51), 0.97 (0.87 - 1.1), 0.97 (0.86-1.07); respectively in the intensive treatment group, as compared to the control group (figure 1). Conclusions: Intensive glycemic control of DM-2 was associated with a significant decrease in the risk of MI. A trend towards decrease in all cause mortality and stroke/TIA was observed in the intensive glycemic control group but the results were not significant.","author":[{"dropping-particle":"","family":"Khraisat","given":"A","non-dropping-particle":"","parse-names":false,"suffix":""},{"dropping-particle":"","family":"Bahekar","given":"A.","non-dropping-particle":"","parse-names":false,"suffix":""},{"dropping-particle":"","family":"Artin","given":"B.","non-dropping-particle":"","parse-names":false,"suffix":""},{"dropping-particle":"","family":"Bhuriya","given":"R.","non-dropping-particle":"","parse-names":false,"suffix":""},{"dropping-particle":"","family":"Al-Jaghbeer","given":"E.","non-dropping-particle":"","parse-names":false,"suffix":""},{"dropping-particle":"","family":"Singh","given":"S.","non-dropping-particle":"","parse-names":false,"suffix":""},{"dropping-particle":"","family":"J. Molnar","given":"","non-dropping-particle":"","parse-names":false,"suffix":""},{"dropping-particle":"","family":"S. Khosla","given":"","non-dropping-particle":"","parse-names":false,"suffix":""},{"dropping-particle":"","family":"R.","given":"","non-dropping-particle":"","parse-names":false,"suffix":""},{"dropping-particle":"","family":"Arora","given":"","non-dropping-particle":"","parse-names":false,"suffix":""}],"collection-title":"American College of Cardiology 58th Annual Scientific Session and i2 Summit: Innovation in Intervention Orlando, FL United States. Conference Start: 20090329 Conference End: 20090331","container-title":"Journal of the American College of Cardiology","id":"ITEM-2","issue":"10","issued":{"date-parts":[["2009"]]},"page":"A219","publisher":"Elsevier USA","publisher-place":"A. Khraisat, Mount Sinai Hospital, Chicago, IL, United States","title":"Glycemic control and cardiovascular events in type 2 diabetes mellitus: A meta-analysis of randomized controlled trials","type":"article","volume":"53"},"uris":["http://www.mendeley.com/documents/?uuid=4471de2d-a2e6-4891-bb03-773662e93d9d"]},{"id":"ITEM-3","itemData":{"ISBN":"0002-9149","abstract":"Most patients with type 2 diabetes mellitus develop cardiovascular disease (CVD), with substantial loss of life expectancy. Nonfatal CVD contributes greatly to excess healthcare costs and decreased quality of life in patients with diabetes. The current epidemic of obesity has raised expectations that CVD associated with type 2 diabetes will become an even greater public health challenge. Despite the importance of this health problem, there is a lack of definitive data on the effects of the intensive control of glycemia and other CVD risk factors on CVD event rates in patients with type 2 diabetes. The Action to Control Cardiovascular Risk in Diabetes (ACCORD) trial is a randomized, multicenter, double 2 x 2 factorial design study involving 10,251 middle-aged and older participants with type 2 diabetes who are at high risk for CVD events because of existing CVD or additional risk factors. ACCORD is testing the effects of 3 medical treatment strategies to reduce CVD morbidity and mortality. All participants are in the glycemia trial, which is testing the hypothesis that a therapeutic strategy that targets a glycosylated hemoglobin (HbA1c) level of &lt;6.0% will reduce the rate of CVD events more than a strategy that targets an HbA1c level of 7.0%-7.9%. The lipid trial includes 5,518 of the participants, who receive either fenofibrate or placebo in a double-masked fashion to test the hypothesis of whether, in the context of good glycemic control, a therapeutic strategy that uses a fibrate to increase high-density lipoprotein cholesterol and lower triglyceride levels together with a 3-hydroxy-3-methylglutaryl coenzyme A reductase inhibitor (statin) to lower low-density lipoprotein cholesterol will reduce the rate of CVD events compared with a strategy that uses a statin plus a placebo. The blood pressure trial includes the remaining 4,733 participants and tests the hypothesis that a therapeutic strategy that targets a systolic blood pressure of &lt;120 mm Hg in the context of good glycemic control will reduce the rate of CVD events compared with a strategy that targets a systolic blood pressure of &lt;140 mm Hg. The primary outcome measure for all 3 research questions is the first occurrence of a major CVD event, specifically nonfatal myocardial infarction, nonfatal stroke, or cardiovascular death. Upon the expected completion of participant follow-up in 2009, the ACCORD trial should document for the first time the benefits and risks of intensive glucose control, in…","author":[{"dropping-particle":"","family":"J.B.","given":"Buse","non-dropping-particle":"","parse-names":false,"suffix":""}],"container-title":"American Journal of Cardiology","id":"ITEM-3","issue":"12 SUPPL.","issued":{"date-parts":[["2007"]]},"page":"S21-S33","publisher":"Elsevier Inc. (360 Park Avenue South, New York NY 10010, United States)","publisher-place":"United States","title":"Action to Control Cardiovascular Risk in Diabetes (ACCORD) Trial: Design and Methods","type":"article","volume":"99"},"uris":["http://www.mendeley.com/documents/?uuid=fce812f6-4214-4e22-b036-0abc10a0c7c2"]}],"mendeley":{"formattedCitation":"[7–9]","plainTextFormattedCitation":"[7–9]","previouslyFormattedCitation":"[7–9]"},"properties":{"noteIndex":0},"schema":"https://github.com/citation-style-language/schema/raw/master/csl-citation.json"}</w:instrText>
      </w:r>
      <w:r w:rsidR="00F0793C" w:rsidRPr="0046155E">
        <w:rPr>
          <w:rFonts w:ascii="Times New Roman" w:hAnsi="Times New Roman" w:cs="Times New Roman"/>
          <w:color w:val="000000"/>
          <w:sz w:val="24"/>
          <w:szCs w:val="24"/>
          <w:shd w:val="clear" w:color="auto" w:fill="FFFFFF"/>
        </w:rPr>
        <w:fldChar w:fldCharType="separate"/>
      </w:r>
      <w:r w:rsidR="00F0793C" w:rsidRPr="0046155E">
        <w:rPr>
          <w:rFonts w:ascii="Times New Roman" w:hAnsi="Times New Roman" w:cs="Times New Roman"/>
          <w:noProof/>
          <w:color w:val="000000"/>
          <w:sz w:val="24"/>
          <w:szCs w:val="24"/>
          <w:shd w:val="clear" w:color="auto" w:fill="FFFFFF"/>
        </w:rPr>
        <w:t>[7–9]</w:t>
      </w:r>
      <w:r w:rsidR="00F0793C" w:rsidRPr="0046155E">
        <w:rPr>
          <w:rFonts w:ascii="Times New Roman" w:hAnsi="Times New Roman" w:cs="Times New Roman"/>
          <w:color w:val="000000"/>
          <w:sz w:val="24"/>
          <w:szCs w:val="24"/>
          <w:shd w:val="clear" w:color="auto" w:fill="FFFFFF"/>
        </w:rPr>
        <w:fldChar w:fldCharType="end"/>
      </w:r>
      <w:r w:rsidR="009D70D2" w:rsidRPr="0046155E">
        <w:rPr>
          <w:rFonts w:ascii="Times New Roman" w:hAnsi="Times New Roman" w:cs="Times New Roman"/>
          <w:color w:val="000000"/>
          <w:sz w:val="24"/>
          <w:szCs w:val="24"/>
          <w:shd w:val="clear" w:color="auto" w:fill="FFFFFF"/>
        </w:rPr>
        <w:t xml:space="preserve"> </w:t>
      </w:r>
      <w:r w:rsidR="009D70D2" w:rsidRPr="0046155E">
        <w:rPr>
          <w:rFonts w:ascii="Times New Roman" w:hAnsi="Times New Roman" w:cs="Times New Roman"/>
          <w:i/>
          <w:color w:val="000000" w:themeColor="text1"/>
          <w:sz w:val="24"/>
          <w:szCs w:val="24"/>
        </w:rPr>
        <w:t xml:space="preserve"> </w:t>
      </w:r>
      <w:r w:rsidR="00481494" w:rsidRPr="0046155E">
        <w:rPr>
          <w:rFonts w:ascii="Times New Roman" w:hAnsi="Times New Roman" w:cs="Times New Roman"/>
          <w:color w:val="000000" w:themeColor="text1"/>
          <w:sz w:val="24"/>
          <w:szCs w:val="24"/>
        </w:rPr>
        <w:t>The Look Ahead trial of an intensive behavioural intervention was terminated due to futility in relation to the CVD endpoint.</w:t>
      </w:r>
      <w:r w:rsidR="00F0793C" w:rsidRPr="0046155E">
        <w:rPr>
          <w:rFonts w:ascii="Times New Roman" w:hAnsi="Times New Roman" w:cs="Times New Roman"/>
          <w:color w:val="000000" w:themeColor="text1"/>
          <w:sz w:val="24"/>
          <w:szCs w:val="24"/>
        </w:rPr>
        <w:fldChar w:fldCharType="begin" w:fldLock="1"/>
      </w:r>
      <w:r w:rsidR="00F0793C" w:rsidRPr="0046155E">
        <w:rPr>
          <w:rFonts w:ascii="Times New Roman" w:hAnsi="Times New Roman" w:cs="Times New Roman"/>
          <w:color w:val="000000" w:themeColor="text1"/>
          <w:sz w:val="24"/>
          <w:szCs w:val="24"/>
        </w:rPr>
        <w:instrText>ADDIN CSL_CITATION {"citationItems":[{"id":"ITEM-1","itemData":{"DOI":"10.1001/jama.2012.67929","ISSN":"0098-7484","abstract":"&lt;h3&gt;Context&lt;/h3&gt;The frequency of remission of type 2 diabetes achievable with lifestyle intervention is unclear.&lt;h3&gt;Objective&lt;/h3&gt;To examine the association of a long-term intensive weight-loss intervention with the frequency of remission from type 2 diabetes to prediabetes or normoglycemia.&lt;h3&gt;Design, Setting, and Participants&lt;/h3&gt;Ancillary observational analysis of a 4-year randomized controlled trial (baseline visit, August 2001–April 2004; last follow-up, April 2008) comparing an intensive lifestyle intervention (ILI) with a diabetes support and education control condition (DSE) among 4503 US adults with body mass index of 25 or higher and type 2 diabetes.&lt;h3&gt;Interventions&lt;/h3&gt;Participants were randomly assigned to receive the ILI, which included weekly group and individual counseling in the first 6 months followed by 3 sessions per month for the second 6 months and twice-monthly contact and regular refresher group series and campaigns in years 2 to 4 (n=2241) or the DSE, which was an offer of 3 group sessions per year on diet, physical activity, and social support (n=2262).&lt;h3&gt;Main Outcome Measures&lt;/h3&gt;Partial or complete remission of diabetes, defined as transition from meeting diabetes criteria to a prediabetes or nondiabetic level of glycemia (fasting plasma glucose &amp;lt;126 mg/dL and hemoglobin A&lt;sub&gt;1c&lt;/sub&gt; &amp;lt;6.5% with no antihyperglycemic medication).&lt;h3&gt;Results&lt;/h3&gt;Intensive lifestyle intervention participants lost significantly more weight than DSE participants at year 1 (net difference, −7.9%; 95% CI, −8.3% to −7.6%) and at year 4 (−3.9%; 95% CI, −4.4% to −3.5%) and had greater fitness increases at year 1 (net difference, 15.4%; 95% CI, 13.7%-17.0%) and at year 4 (6.4%; 95% CI, 4.7%-8.1%) (P &amp;lt; .001 for each). The ILI group was significantly more likely to experience any remission (partial or complete), with prevalences of 11.5% (95% CI, 10.1%-12.8%) during the first year and 7.3% (95% CI, 6.2%-8.4%) at year 4, compared with 2.0% for the DSE group at both time points (95% CIs, 1.4%-2.6% at year 1 and 1.5%-2.7% at year 4) (P &amp;lt; .001 for each). Among ILI participants, 9.2% (95% CI, 7.9%-10.4%), 6.4% (95% CI, 5.3%-7.4%), and 3.5% (95% CI, 2.7%-4.3%) had continuous, sustained remission for at least 2, at least 3, and 4 years, respectively, compared with less than 2% of DSE participants (1.7% [95% CI, 1.2%-2.3%] for at least 2 years; 1.3% [95% CI, 0.8%-1.7%] for at least 3 years; and 0.5% [95% CI, 0.2%-0.8%] for 4 years).&lt;h3&gt;Conclusions&lt;/…","author":[{"dropping-particle":"","family":"Gregg","given":"Edward W.","non-dropping-particle":"","parse-names":false,"suffix":""},{"dropping-particle":"","family":"Chen","given":"Haiying","non-dropping-particle":"","parse-names":false,"suffix":""},{"dropping-particle":"","family":"Wagenknecht","given":"Lynne E.","non-dropping-particle":"","parse-names":false,"suffix":""},{"dropping-particle":"","family":"Clark","given":"Jeanne M.","non-dropping-particle":"","parse-names":false,"suffix":""},{"dropping-particle":"","family":"Delahanty","given":"Linda M.","non-dropping-particle":"","parse-names":false,"suffix":""},{"dropping-particle":"","family":"Bantle","given":"John","non-dropping-particle":"","parse-names":false,"suffix":""},{"dropping-particle":"","family":"Pownall","given":"Henry J.","non-dropping-particle":"","parse-names":false,"suffix":""},{"dropping-particle":"","family":"Johnson","given":"Karen C.","non-dropping-particle":"","parse-names":false,"suffix":""},{"dropping-particle":"","family":"Safford","given":"Monika M.","non-dropping-particle":"","parse-names":false,"suffix":""},{"dropping-particle":"","family":"Kitabchi","given":"Abbas E.","non-dropping-particle":"","parse-names":false,"suffix":""},{"dropping-particle":"","family":"Pi-Sunyer","given":"F. Xavier","non-dropping-particle":"","parse-names":false,"suffix":""},{"dropping-particle":"","family":"Wing","given":"Rena R.","non-dropping-particle":"","parse-names":false,"suffix":""},{"dropping-particle":"","family":"Bertoni","given":"Alain G.","non-dropping-particle":"","parse-names":false,"suffix":""},{"dropping-particle":"","family":"Look AHEAD Research Group","given":"for the","non-dropping-particle":"","parse-names":false,"suffix":""}],"container-title":"JAMA","id":"ITEM-1","issue":"23","issued":{"date-parts":[["2012","12","19"]]},"page":"2489","publisher":"American Medical Association","title":"Association of an Intensive Lifestyle Intervention With Remission of Type 2 Diabetes","type":"article-journal","volume":"308"},"uris":["http://www.mendeley.com/documents/?uuid=2399c59f-a3b8-3d28-9508-dd0c63d1d086"]}],"mendeley":{"formattedCitation":"[3]","plainTextFormattedCitation":"[3]","previouslyFormattedCitation":"[3]"},"properties":{"noteIndex":0},"schema":"https://github.com/citation-style-language/schema/raw/master/csl-citation.json"}</w:instrText>
      </w:r>
      <w:r w:rsidR="00F0793C" w:rsidRPr="0046155E">
        <w:rPr>
          <w:rFonts w:ascii="Times New Roman" w:hAnsi="Times New Roman" w:cs="Times New Roman"/>
          <w:color w:val="000000" w:themeColor="text1"/>
          <w:sz w:val="24"/>
          <w:szCs w:val="24"/>
        </w:rPr>
        <w:fldChar w:fldCharType="separate"/>
      </w:r>
      <w:r w:rsidR="00F0793C" w:rsidRPr="0046155E">
        <w:rPr>
          <w:rFonts w:ascii="Times New Roman" w:hAnsi="Times New Roman" w:cs="Times New Roman"/>
          <w:noProof/>
          <w:color w:val="000000" w:themeColor="text1"/>
          <w:sz w:val="24"/>
          <w:szCs w:val="24"/>
        </w:rPr>
        <w:t>[</w:t>
      </w:r>
      <w:r w:rsidR="00CA7DC0">
        <w:rPr>
          <w:rFonts w:ascii="Times New Roman" w:hAnsi="Times New Roman" w:cs="Times New Roman"/>
          <w:noProof/>
          <w:color w:val="000000" w:themeColor="text1"/>
          <w:sz w:val="24"/>
          <w:szCs w:val="24"/>
        </w:rPr>
        <w:t>4</w:t>
      </w:r>
      <w:r w:rsidR="00F0793C" w:rsidRPr="0046155E">
        <w:rPr>
          <w:rFonts w:ascii="Times New Roman" w:hAnsi="Times New Roman" w:cs="Times New Roman"/>
          <w:noProof/>
          <w:color w:val="000000" w:themeColor="text1"/>
          <w:sz w:val="24"/>
          <w:szCs w:val="24"/>
        </w:rPr>
        <w:t>]</w:t>
      </w:r>
      <w:r w:rsidR="00F0793C" w:rsidRPr="0046155E">
        <w:rPr>
          <w:rFonts w:ascii="Times New Roman" w:hAnsi="Times New Roman" w:cs="Times New Roman"/>
          <w:color w:val="000000" w:themeColor="text1"/>
          <w:sz w:val="24"/>
          <w:szCs w:val="24"/>
        </w:rPr>
        <w:fldChar w:fldCharType="end"/>
      </w:r>
      <w:r w:rsidR="00F0793C" w:rsidRPr="0046155E">
        <w:rPr>
          <w:rFonts w:ascii="Times New Roman" w:hAnsi="Times New Roman" w:cs="Times New Roman"/>
          <w:i/>
          <w:color w:val="000000" w:themeColor="text1"/>
          <w:sz w:val="24"/>
          <w:szCs w:val="24"/>
        </w:rPr>
        <w:t xml:space="preserve"> </w:t>
      </w:r>
      <w:r w:rsidR="00481494" w:rsidRPr="0046155E">
        <w:rPr>
          <w:rFonts w:ascii="Times New Roman" w:hAnsi="Times New Roman" w:cs="Times New Roman"/>
          <w:color w:val="000000" w:themeColor="text1"/>
          <w:sz w:val="24"/>
          <w:szCs w:val="24"/>
        </w:rPr>
        <w:t>The results of trials of pharmacological interventions to lower glucose have varied according to the drugs (or combination of drugs) undergoing evaluation, the speed and extent of reduction of glucose levels, participants’ existing CVD risk and their point in the disease trajectory at baseline.</w:t>
      </w:r>
      <w:r w:rsidR="00F0793C" w:rsidRPr="0046155E">
        <w:rPr>
          <w:rFonts w:ascii="Times New Roman" w:hAnsi="Times New Roman" w:cs="Times New Roman"/>
          <w:color w:val="000000" w:themeColor="text1"/>
          <w:sz w:val="24"/>
          <w:szCs w:val="24"/>
        </w:rPr>
        <w:t xml:space="preserve"> </w:t>
      </w:r>
      <w:r w:rsidR="00F0793C" w:rsidRPr="0046155E">
        <w:rPr>
          <w:rFonts w:ascii="Times New Roman" w:hAnsi="Times New Roman" w:cs="Times New Roman"/>
          <w:color w:val="000000"/>
          <w:sz w:val="24"/>
          <w:szCs w:val="24"/>
          <w:shd w:val="clear" w:color="auto" w:fill="FFFFFF"/>
        </w:rPr>
        <w:fldChar w:fldCharType="begin" w:fldLock="1"/>
      </w:r>
      <w:r w:rsidR="003B2F58" w:rsidRPr="0046155E">
        <w:rPr>
          <w:rFonts w:ascii="Times New Roman" w:hAnsi="Times New Roman" w:cs="Times New Roman"/>
          <w:color w:val="000000"/>
          <w:sz w:val="24"/>
          <w:szCs w:val="24"/>
          <w:shd w:val="clear" w:color="auto" w:fill="FFFFFF"/>
        </w:rPr>
        <w:instrText>ADDIN CSL_CITATION {"citationItems":[{"id":"ITEM-1","itemData":{"DOI":"10.2337/dc18-0548","ISSN":"19355548","abstract":"OBJECTIVE: There is uncertainty about the importance of glycemic variability in cardiovascular complications in patients with type 2 diabetes. Using the Veterans Affairs Diabetes Trial (VADT), we investigated the association between variation in fasting glucose and glycated hemoglobin (HbA1c) over time and the incidence of cardiovascular disease (CVD) and assessed whether this is influenced by intensive or standard glycemic control. RESEARCH DESIGN AND METHODS: During the VADT, fasting glucose and HbA1c were measured every 3 months for up to 84 months in 1,791 individuals. Variability measures included coefficient of variation (CV) and average real variability (ARV) for fasting glucose and HbA1c. Overall mean glucose and HbA1c measures as well as their maximum and the most recent measurement were also examined. RESULTS: Variability measures (CV and ARV) of fasting glucose were significantly associated with CVD even after adjusting for other risk factors, including mean fasting glucose. When considering separately groups receiving intensive and standard glycemic control, this relationship was evident in the intensive treatment group but not in the standard group. Additional adjustment for severe hypoglycemic episodes did not alter the relationship between fasting glucose variability and CVD. Interestingly, no HbA1c measures were associated with CVD after adjusting for multiple baseline risk factors. CONCLUSIONS: Our analysis indicates that in the VADT, variability of fasting glucose plays a role in the development of CVD complications beyond the influence of standard fasting glucose measures. The adverse consequences of fasting glucose variability on CVD appear greatest in those receiving intensive glucose control.","author":[{"dropping-particle":"","family":"Zhou","given":"Jin J.","non-dropping-particle":"","parse-names":false,"suffix":""},{"dropping-particle":"","family":"Schwenke","given":"Dawn C.","non-dropping-particle":"","parse-names":false,"suffix":""},{"dropping-particle":"","family":"Bahn","given":"Gideon","non-dropping-particle":"","parse-names":false,"suffix":""},{"dropping-particle":"","family":"Reaven","given":"Peter","non-dropping-particle":"","parse-names":false,"suffix":""}],"container-title":"Diabetes Care","id":"ITEM-1","issue":"10","issued":{"date-parts":[["2018","10","1"]]},"page":"2187-2194","publisher":"American Diabetes Association Inc.","title":"Glycemic variation and cardiovascular risk in the Veterans Affairs Diabetes trial","type":"paper-conference","volume":"41"},"uris":["http://www.mendeley.com/documents/?uuid=b422aa83-2de3-3695-bf2c-07aa248a580a"]},{"id":"ITEM-2","itemData":{"ISBN":"0735-1097","abstract":"Background: Earlier meta-analysis addressing the effects of intensive glycemic control on cardiovascular events in type 2 diabetes mellitus (DM-2) didn't include 2 large scale randomized control trials (Action to Control Cardiovascular Risk in Diabetes [ACCORD], The Action in Diabetes and Vascular Disease: Preterax and Diamicron Modified Release Controlled Evaluation [ADVANCE]). Methods: A systemic literature search found 10 randomized controlled trials (N = 42,198) comparing the effects of intensive glycemic control versus conventional treatment for DM-2. Heterogeneity was assessed by Cochran's Q test. Mantel-Haenszel fixed-effect model was used to calculate combined relative risks (RR) when studies were homogenous and the random effect model was used when the studies were heterogenic. Results: Myocardial infarction (MI) was significantly decreased in the intensive treatment group, as compared to the control group (RR 0.9; CI: 0.83 - 0.96; P = 0.002). The RR for all cause mortality, heart failure, stroke/transient ischemic attack (TIA), and peripheral vascular events was 0.97 (0.9 - 1.03), 1.03 (0.7 - 1.51), 0.97 (0.87 - 1.1), 0.97 (0.86-1.07); respectively in the intensive treatment group, as compared to the control group (figure 1). Conclusions: Intensive glycemic control of DM-2 was associated with a significant decrease in the risk of MI. A trend towards decrease in all cause mortality and stroke/TIA was observed in the intensive glycemic control group but the results were not significant.","author":[{"dropping-particle":"","family":"Khraisat","given":"A","non-dropping-particle":"","parse-names":false,"suffix":""},{"dropping-particle":"","family":"Bahekar","given":"A.","non-dropping-particle":"","parse-names":false,"suffix":""},{"dropping-particle":"","family":"Artin","given":"B.","non-dropping-particle":"","parse-names":false,"suffix":""},{"dropping-particle":"","family":"Bhuriya","given":"R.","non-dropping-particle":"","parse-names":false,"suffix":""},{"dropping-particle":"","family":"Al-Jaghbeer","given":"E.","non-dropping-particle":"","parse-names":false,"suffix":""},{"dropping-particle":"","family":"Singh","given":"S.","non-dropping-particle":"","parse-names":false,"suffix":""},{"dropping-particle":"","family":"J. Molnar","given":"","non-dropping-particle":"","parse-names":false,"suffix":""},{"dropping-particle":"","family":"S. Khosla","given":"","non-dropping-particle":"","parse-names":false,"suffix":""},{"dropping-particle":"","family":"R.","given":"","non-dropping-particle":"","parse-names":false,"suffix":""},{"dropping-particle":"","family":"Arora","given":"","non-dropping-particle":"","parse-names":false,"suffix":""}],"collection-title":"American College of Cardiology 58th Annual Scientific Session and i2 Summit: Innovation in Intervention Orlando, FL United States. Conference Start: 20090329 Conference End: 20090331","container-title":"Journal of the American College of Cardiology","id":"ITEM-2","issue":"10","issued":{"date-parts":[["2009"]]},"page":"A219","publisher":"Elsevier USA","publisher-place":"A. Khraisat, Mount Sinai Hospital, Chicago, IL, United States","title":"Glycemic control and cardiovascular events in type 2 diabetes mellitus: A meta-analysis of randomized controlled trials","type":"article","volume":"53"},"uris":["http://www.mendeley.com/documents/?uuid=4471de2d-a2e6-4891-bb03-773662e93d9d"]},{"id":"ITEM-3","itemData":{"ISBN":"0002-9149","abstract":"Most patients with type 2 diabetes mellitus develop cardiovascular disease (CVD), with substantial loss of life expectancy. Nonfatal CVD contributes greatly to excess healthcare costs and decreased quality of life in patients with diabetes. The current epidemic of obesity has raised expectations that CVD associated with type 2 diabetes will become an even greater public health challenge. Despite the importance of this health problem, there is a lack of definitive data on the effects of the intensive control of glycemia and other CVD risk factors on CVD event rates in patients with type 2 diabetes. The Action to Control Cardiovascular Risk in Diabetes (ACCORD) trial is a randomized, multicenter, double 2 x 2 factorial design study involving 10,251 middle-aged and older participants with type 2 diabetes who are at high risk for CVD events because of existing CVD or additional risk factors. ACCORD is testing the effects of 3 medical treatment strategies to reduce CVD morbidity and mortality. All participants are in the glycemia trial, which is testing the hypothesis that a therapeutic strategy that targets a glycosylated hemoglobin (HbA1c) level of &lt;6.0% will reduce the rate of CVD events more than a strategy that targets an HbA1c level of 7.0%-7.9%. The lipid trial includes 5,518 of the participants, who receive either fenofibrate or placebo in a double-masked fashion to test the hypothesis of whether, in the context of good glycemic control, a therapeutic strategy that uses a fibrate to increase high-density lipoprotein cholesterol and lower triglyceride levels together with a 3-hydroxy-3-methylglutaryl coenzyme A reductase inhibitor (statin) to lower low-density lipoprotein cholesterol will reduce the rate of CVD events compared with a strategy that uses a statin plus a placebo. The blood pressure trial includes the remaining 4,733 participants and tests the hypothesis that a therapeutic strategy that targets a systolic blood pressure of &lt;120 mm Hg in the context of good glycemic control will reduce the rate of CVD events compared with a strategy that targets a systolic blood pressure of &lt;140 mm Hg. The primary outcome measure for all 3 research questions is the first occurrence of a major CVD event, specifically nonfatal myocardial infarction, nonfatal stroke, or cardiovascular death. Upon the expected completion of participant follow-up in 2009, the ACCORD trial should document for the first time the benefits and risks of intensive glucose control, in…","author":[{"dropping-particle":"","family":"J.B.","given":"Buse","non-dropping-particle":"","parse-names":false,"suffix":""}],"container-title":"American Journal of Cardiology","id":"ITEM-3","issue":"12 SUPPL.","issued":{"date-parts":[["2007"]]},"page":"S21-S33","publisher":"Elsevier Inc. (360 Park Avenue South, New York NY 10010, United States)","publisher-place":"United States","title":"Action to Control Cardiovascular Risk in Diabetes (ACCORD) Trial: Design and Methods","type":"article","volume":"99"},"uris":["http://www.mendeley.com/documents/?uuid=fce812f6-4214-4e22-b036-0abc10a0c7c2"]}],"mendeley":{"formattedCitation":"[7–9]","plainTextFormattedCitation":"[7–9]","previouslyFormattedCitation":"[7–9]"},"properties":{"noteIndex":0},"schema":"https://github.com/citation-style-language/schema/raw/master/csl-citation.json"}</w:instrText>
      </w:r>
      <w:r w:rsidR="00F0793C" w:rsidRPr="0046155E">
        <w:rPr>
          <w:rFonts w:ascii="Times New Roman" w:hAnsi="Times New Roman" w:cs="Times New Roman"/>
          <w:color w:val="000000"/>
          <w:sz w:val="24"/>
          <w:szCs w:val="24"/>
          <w:shd w:val="clear" w:color="auto" w:fill="FFFFFF"/>
        </w:rPr>
        <w:fldChar w:fldCharType="separate"/>
      </w:r>
      <w:r w:rsidR="00F0793C" w:rsidRPr="0046155E">
        <w:rPr>
          <w:rFonts w:ascii="Times New Roman" w:hAnsi="Times New Roman" w:cs="Times New Roman"/>
          <w:noProof/>
          <w:color w:val="000000"/>
          <w:sz w:val="24"/>
          <w:szCs w:val="24"/>
          <w:shd w:val="clear" w:color="auto" w:fill="FFFFFF"/>
        </w:rPr>
        <w:t>[7–9]</w:t>
      </w:r>
      <w:r w:rsidR="00F0793C" w:rsidRPr="0046155E">
        <w:rPr>
          <w:rFonts w:ascii="Times New Roman" w:hAnsi="Times New Roman" w:cs="Times New Roman"/>
          <w:color w:val="000000"/>
          <w:sz w:val="24"/>
          <w:szCs w:val="24"/>
          <w:shd w:val="clear" w:color="auto" w:fill="FFFFFF"/>
        </w:rPr>
        <w:fldChar w:fldCharType="end"/>
      </w:r>
      <w:r w:rsidR="00F0793C" w:rsidRPr="0046155E">
        <w:rPr>
          <w:rFonts w:ascii="Times New Roman" w:hAnsi="Times New Roman" w:cs="Times New Roman"/>
          <w:color w:val="000000"/>
          <w:sz w:val="24"/>
          <w:szCs w:val="24"/>
          <w:shd w:val="clear" w:color="auto" w:fill="FFFFFF"/>
        </w:rPr>
        <w:t xml:space="preserve"> </w:t>
      </w:r>
      <w:r w:rsidR="00F0793C" w:rsidRPr="0046155E">
        <w:rPr>
          <w:rFonts w:ascii="Times New Roman" w:hAnsi="Times New Roman" w:cs="Times New Roman"/>
          <w:i/>
          <w:color w:val="000000" w:themeColor="text1"/>
          <w:sz w:val="24"/>
          <w:szCs w:val="24"/>
        </w:rPr>
        <w:t xml:space="preserve"> </w:t>
      </w:r>
      <w:r w:rsidR="00481494" w:rsidRPr="0046155E">
        <w:rPr>
          <w:rFonts w:ascii="Times New Roman" w:hAnsi="Times New Roman" w:cs="Times New Roman"/>
          <w:color w:val="000000" w:themeColor="text1"/>
          <w:sz w:val="24"/>
          <w:szCs w:val="24"/>
        </w:rPr>
        <w:t xml:space="preserve"> </w:t>
      </w:r>
      <w:r w:rsidR="00322E0F" w:rsidRPr="0046155E">
        <w:rPr>
          <w:rFonts w:ascii="Times New Roman" w:hAnsi="Times New Roman" w:cs="Times New Roman"/>
          <w:color w:val="000000"/>
          <w:sz w:val="24"/>
          <w:szCs w:val="24"/>
          <w:shd w:val="clear" w:color="auto" w:fill="FFFFFF"/>
        </w:rPr>
        <w:t xml:space="preserve">Extrapolation of these findings to characterise the impact of remission on </w:t>
      </w:r>
      <w:r w:rsidR="006F007B" w:rsidRPr="0046155E">
        <w:rPr>
          <w:rFonts w:ascii="Times New Roman" w:hAnsi="Times New Roman" w:cs="Times New Roman"/>
          <w:color w:val="000000"/>
          <w:sz w:val="24"/>
          <w:szCs w:val="24"/>
          <w:shd w:val="clear" w:color="auto" w:fill="FFFFFF"/>
        </w:rPr>
        <w:t xml:space="preserve">the development of </w:t>
      </w:r>
      <w:r w:rsidR="00322E0F" w:rsidRPr="0046155E">
        <w:rPr>
          <w:rFonts w:ascii="Times New Roman" w:hAnsi="Times New Roman" w:cs="Times New Roman"/>
          <w:color w:val="000000"/>
          <w:sz w:val="24"/>
          <w:szCs w:val="24"/>
          <w:shd w:val="clear" w:color="auto" w:fill="FFFFFF"/>
        </w:rPr>
        <w:t xml:space="preserve">CVD </w:t>
      </w:r>
      <w:r w:rsidR="00963F37" w:rsidRPr="0046155E">
        <w:rPr>
          <w:rFonts w:ascii="Times New Roman" w:hAnsi="Times New Roman" w:cs="Times New Roman"/>
          <w:color w:val="000000"/>
          <w:sz w:val="24"/>
          <w:szCs w:val="24"/>
          <w:shd w:val="clear" w:color="auto" w:fill="FFFFFF"/>
        </w:rPr>
        <w:t>outcomes</w:t>
      </w:r>
      <w:r w:rsidR="00322E0F" w:rsidRPr="0046155E">
        <w:rPr>
          <w:rFonts w:ascii="Times New Roman" w:hAnsi="Times New Roman" w:cs="Times New Roman"/>
          <w:color w:val="000000"/>
          <w:sz w:val="24"/>
          <w:szCs w:val="24"/>
          <w:shd w:val="clear" w:color="auto" w:fill="FFFFFF"/>
        </w:rPr>
        <w:t xml:space="preserve"> is </w:t>
      </w:r>
      <w:r w:rsidR="00F44B48" w:rsidRPr="0046155E">
        <w:rPr>
          <w:rFonts w:ascii="Times New Roman" w:hAnsi="Times New Roman" w:cs="Times New Roman"/>
          <w:color w:val="000000"/>
          <w:sz w:val="24"/>
          <w:szCs w:val="24"/>
          <w:shd w:val="clear" w:color="auto" w:fill="FFFFFF"/>
        </w:rPr>
        <w:t>therefore challenging</w:t>
      </w:r>
      <w:r w:rsidR="006F007B" w:rsidRPr="0046155E">
        <w:rPr>
          <w:rFonts w:ascii="Times New Roman" w:hAnsi="Times New Roman" w:cs="Times New Roman"/>
          <w:color w:val="000000"/>
          <w:sz w:val="24"/>
          <w:szCs w:val="24"/>
          <w:shd w:val="clear" w:color="auto" w:fill="FFFFFF"/>
        </w:rPr>
        <w:t xml:space="preserve">. </w:t>
      </w:r>
      <w:r w:rsidR="00481494" w:rsidRPr="0046155E">
        <w:rPr>
          <w:rFonts w:ascii="Times New Roman" w:hAnsi="Times New Roman" w:cs="Times New Roman"/>
          <w:sz w:val="24"/>
          <w:szCs w:val="24"/>
        </w:rPr>
        <w:t xml:space="preserve">To our knowledge, </w:t>
      </w:r>
      <w:r w:rsidR="00906287" w:rsidRPr="0046155E">
        <w:rPr>
          <w:rFonts w:ascii="Times New Roman" w:hAnsi="Times New Roman" w:cs="Times New Roman"/>
          <w:sz w:val="24"/>
          <w:szCs w:val="24"/>
        </w:rPr>
        <w:t xml:space="preserve">one study </w:t>
      </w:r>
      <w:r w:rsidR="00F44B48" w:rsidRPr="0046155E">
        <w:rPr>
          <w:rFonts w:ascii="Times New Roman" w:hAnsi="Times New Roman" w:cs="Times New Roman"/>
          <w:color w:val="000000" w:themeColor="text1"/>
          <w:sz w:val="24"/>
          <w:szCs w:val="24"/>
        </w:rPr>
        <w:t xml:space="preserve"> h</w:t>
      </w:r>
      <w:r w:rsidR="00906287" w:rsidRPr="0046155E">
        <w:rPr>
          <w:rFonts w:ascii="Times New Roman" w:hAnsi="Times New Roman" w:cs="Times New Roman"/>
          <w:color w:val="000000" w:themeColor="text1"/>
          <w:sz w:val="24"/>
          <w:szCs w:val="24"/>
        </w:rPr>
        <w:t>as</w:t>
      </w:r>
      <w:r w:rsidR="00F44B48" w:rsidRPr="0046155E">
        <w:rPr>
          <w:rFonts w:ascii="Times New Roman" w:hAnsi="Times New Roman" w:cs="Times New Roman"/>
          <w:color w:val="000000" w:themeColor="text1"/>
          <w:sz w:val="24"/>
          <w:szCs w:val="24"/>
        </w:rPr>
        <w:t xml:space="preserve"> </w:t>
      </w:r>
      <w:r w:rsidR="00963F37" w:rsidRPr="0046155E">
        <w:rPr>
          <w:rFonts w:ascii="Times New Roman" w:hAnsi="Times New Roman" w:cs="Times New Roman"/>
          <w:color w:val="000000" w:themeColor="text1"/>
          <w:sz w:val="24"/>
          <w:szCs w:val="24"/>
        </w:rPr>
        <w:t xml:space="preserve">examined the impact of </w:t>
      </w:r>
      <w:r w:rsidR="005F75FD" w:rsidRPr="0046155E">
        <w:rPr>
          <w:rFonts w:ascii="Times New Roman" w:hAnsi="Times New Roman" w:cs="Times New Roman"/>
          <w:color w:val="000000" w:themeColor="text1"/>
          <w:sz w:val="24"/>
          <w:szCs w:val="24"/>
        </w:rPr>
        <w:t>remis</w:t>
      </w:r>
      <w:r w:rsidR="00F0793C" w:rsidRPr="0046155E">
        <w:rPr>
          <w:rFonts w:ascii="Times New Roman" w:hAnsi="Times New Roman" w:cs="Times New Roman"/>
          <w:color w:val="000000" w:themeColor="text1"/>
          <w:sz w:val="24"/>
          <w:szCs w:val="24"/>
        </w:rPr>
        <w:t>sio</w:t>
      </w:r>
      <w:r w:rsidR="005F75FD" w:rsidRPr="0046155E">
        <w:rPr>
          <w:rFonts w:ascii="Times New Roman" w:hAnsi="Times New Roman" w:cs="Times New Roman"/>
          <w:color w:val="000000" w:themeColor="text1"/>
          <w:sz w:val="24"/>
          <w:szCs w:val="24"/>
        </w:rPr>
        <w:t xml:space="preserve">n </w:t>
      </w:r>
      <w:r w:rsidR="00963F37" w:rsidRPr="0046155E">
        <w:rPr>
          <w:rFonts w:ascii="Times New Roman" w:hAnsi="Times New Roman" w:cs="Times New Roman"/>
          <w:color w:val="000000" w:themeColor="text1"/>
          <w:sz w:val="24"/>
          <w:szCs w:val="24"/>
        </w:rPr>
        <w:t>on</w:t>
      </w:r>
      <w:r w:rsidR="0070733D" w:rsidRPr="0046155E">
        <w:rPr>
          <w:rFonts w:ascii="Times New Roman" w:hAnsi="Times New Roman" w:cs="Times New Roman"/>
          <w:color w:val="000000" w:themeColor="text1"/>
          <w:sz w:val="24"/>
          <w:szCs w:val="24"/>
        </w:rPr>
        <w:t xml:space="preserve"> </w:t>
      </w:r>
      <w:r w:rsidR="004D4B0A" w:rsidRPr="0046155E">
        <w:rPr>
          <w:rFonts w:ascii="Times New Roman" w:hAnsi="Times New Roman" w:cs="Times New Roman"/>
          <w:color w:val="000000" w:themeColor="text1"/>
          <w:sz w:val="24"/>
          <w:szCs w:val="24"/>
        </w:rPr>
        <w:t xml:space="preserve">long-term </w:t>
      </w:r>
      <w:r w:rsidR="0070733D" w:rsidRPr="0046155E">
        <w:rPr>
          <w:rFonts w:ascii="Times New Roman" w:hAnsi="Times New Roman" w:cs="Times New Roman"/>
          <w:color w:val="000000" w:themeColor="text1"/>
          <w:sz w:val="24"/>
          <w:szCs w:val="24"/>
        </w:rPr>
        <w:t xml:space="preserve">CVD </w:t>
      </w:r>
      <w:r w:rsidR="00963F37" w:rsidRPr="0046155E">
        <w:rPr>
          <w:rFonts w:ascii="Times New Roman" w:hAnsi="Times New Roman" w:cs="Times New Roman"/>
          <w:color w:val="000000" w:themeColor="text1"/>
          <w:sz w:val="24"/>
          <w:szCs w:val="24"/>
        </w:rPr>
        <w:t>outcomes</w:t>
      </w:r>
      <w:r w:rsidR="00531663" w:rsidRPr="0046155E">
        <w:rPr>
          <w:rFonts w:ascii="Times New Roman" w:hAnsi="Times New Roman" w:cs="Times New Roman"/>
          <w:color w:val="000000" w:themeColor="text1"/>
          <w:sz w:val="24"/>
          <w:szCs w:val="24"/>
        </w:rPr>
        <w:t>,</w:t>
      </w:r>
      <w:r w:rsidR="00906287" w:rsidRPr="0046155E">
        <w:rPr>
          <w:rFonts w:ascii="Times New Roman" w:hAnsi="Times New Roman" w:cs="Times New Roman"/>
          <w:color w:val="000000" w:themeColor="text1"/>
          <w:sz w:val="24"/>
          <w:szCs w:val="24"/>
        </w:rPr>
        <w:t xml:space="preserve"> with earlier studies focusing on short-term CVD outcomes</w:t>
      </w:r>
      <w:r w:rsidR="004634C0" w:rsidRPr="0046155E">
        <w:rPr>
          <w:rFonts w:ascii="Times New Roman" w:hAnsi="Times New Roman" w:cs="Times New Roman"/>
          <w:color w:val="000000" w:themeColor="text1"/>
          <w:sz w:val="24"/>
          <w:szCs w:val="24"/>
        </w:rPr>
        <w:t>.</w:t>
      </w:r>
      <w:r w:rsidR="0070733D" w:rsidRPr="0046155E">
        <w:rPr>
          <w:rFonts w:ascii="Times New Roman" w:hAnsi="Times New Roman" w:cs="Times New Roman"/>
          <w:color w:val="000000" w:themeColor="text1"/>
          <w:sz w:val="24"/>
          <w:szCs w:val="24"/>
        </w:rPr>
        <w:t xml:space="preserve"> </w:t>
      </w:r>
      <w:r w:rsidR="003D0BF9" w:rsidRPr="0046155E">
        <w:rPr>
          <w:rFonts w:ascii="Times New Roman" w:hAnsi="Times New Roman" w:cs="Times New Roman"/>
          <w:color w:val="000000" w:themeColor="text1"/>
          <w:sz w:val="24"/>
          <w:szCs w:val="24"/>
        </w:rPr>
        <w:fldChar w:fldCharType="begin" w:fldLock="1"/>
      </w:r>
      <w:r w:rsidR="00771E3E" w:rsidRPr="0046155E">
        <w:rPr>
          <w:rFonts w:ascii="Times New Roman" w:hAnsi="Times New Roman" w:cs="Times New Roman"/>
          <w:color w:val="000000" w:themeColor="text1"/>
          <w:sz w:val="24"/>
          <w:szCs w:val="24"/>
        </w:rPr>
        <w:instrText>ADDIN CSL_CITATION {"citationItems":[{"id":"ITEM-1","itemData":{"DOI":"10.1111/dme.14122","ISSN":"0742-3071","abstract":"Abstract Aim To quantify the association between behaviour change and weight loss after diagnosis of Type 2 diabetes, and the likelihood of remission of diabetes at 5-year follow-up. Method We conducted a prospective cohort study in 867 people with newly diagnosed diabetes aged 40–69 years from the ADDITION-Cambridge trial. Participants were identified via stepwise screening between 2002 and 2006, and underwent assessment of weight change, physical activity (EPAQ2 questionnaire), diet (plasma vitamin C and self-report), and alcohol consumption (self-report) at baseline and 1 year after diagnosis. Remission was examined at 5 years after diabetes diagnosis via HbA1c level. We constructed log binomial regression models to quantify the association between change in behaviour and weight over both the first year after diagnosis and the subsequent 1–5 years, as well as remission at 5-year follow-up. Results Diabetes remission was achieved in 257 participants (30%) at 5-year follow-up. Compared with people who maintained the same weight, those who achieved ≥ 10% weight loss in the first year after diagnosis had a significantly higher likelihood of remission [risk ratio 1.77 (95% CI 1.32 to 2.38; p&lt;0.01)]. In the subsequent 1–5 years, achieving ≥10% weight loss was also associated with remission [risk ratio 2.43 (95% CI 1.78 to 3.31); p&lt;0.01]. Conclusion In a population-based sample of adults with screen-detected Type 2 diabetes, weight loss of ≥10% early in the disease trajectory was associated with a doubling of the likelihood of remission at 5 years. This was achieved without intensive lifestyle interventions or extreme calorie restrictions. Greater attention should be paid to enabling people to achieve weight loss following diagnosis of Type 2 diabetes.","author":[{"dropping-particle":"","family":"Dambha‐Miller","given":"H.","non-dropping-particle":"","parse-names":false,"suffix":""},{"dropping-particle":"","family":"Day","given":"A. J.","non-dropping-particle":"","parse-names":false,"suffix":""},{"dropping-particle":"","family":"Strelitz","given":"J.","non-dropping-particle":"","parse-names":false,"suffix":""},{"dropping-particle":"","family":"Irving","given":"G.","non-dropping-particle":"","parse-names":false,"suffix":""},{"dropping-particle":"","family":"Griffin","given":"S. J.","non-dropping-particle":"","parse-names":false,"suffix":""}],"container-title":"Diabetic Medicine","id":"ITEM-1","issued":{"date-parts":[["2019","9","26"]]},"publisher":"Wiley","title":"Behaviour change, weight loss and remission of Type 2 diabetes: a community‐based prospective cohort study","type":"article-journal"},"uris":["http://www.mendeley.com/documents/?uuid=ac9d834f-72d6-4ffd-800a-e9ac711b168b"]},{"id":"ITEM-2","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Lancet","id":"ITEM-2","issue":"0","issued":{"date-parts":[["2017","12"]]},"publisher":"Elsevier","title":"Primary care-led weight management for remission of type 2 diabetes (DiRECT): an open-label, cluster-randomised trial","type":"article-journal","volume":"0"},"uris":["http://www.mendeley.com/documents/?uuid=d327e834-8a80-359e-8e4e-41adbe71c497"]},{"id":"ITEM-3","itemData":{"DOI":"10.1016/S2213-8587(19)30068-3","ISSN":"2213-8595","PMID":"30852132","abstract":"BACKGROUND The DiRECT trial assessed remission of type 2 diabetes during a primary care-led weight-management programme. At 1 year, 68 (46%) of 149 intervention participants were in remission and 36 (24%) had achieved at least 15 kg weight loss. The aim of this 2-year analysis is to assess the durability of the intervention effect. METHODS DiRECT is an open-label, cluster-randomised, controlled trial done at primary care practices in the UK. Practices were randomly assigned (1:1) via a computer-generated list to provide an integrated structured weight-management programme (intervention) or best-practice care in accordance with guidelines (control), with stratification for study site (Tyneside or Scotland) and practice list size (&gt;5700 or ≤5700 people). Allocation was concealed from the study statisticians; participants, carers, and study research assistants were aware of allocation. We recruited individuals aged 20-65 years, with less than 6 years' duration of type 2 diabetes, BMI 27-45 kg/m2, and not receiving insulin between July 25, 2014, and Aug 5, 2016. The intervention consisted of withdrawal of antidiabetes and antihypertensive drugs, total diet replacement (825-853 kcal per day formula diet for 12-20 weeks), stepped food reintroduction (2-8 weeks), and then structured support for weight-loss maintenance. The coprimary outcomes, analysed hierarchically in the intention-to-treat population at 24 months, were weight loss of at least 15 kg, and remission of diabetes, defined as HbA1c less than 6·5% (48 mmol/mol) after withdrawal of antidiabetes drugs at baseline (remission was determined independently at 12 and 24 months). The trial is registered with the ISRCTN registry, number 03267836, and follow-up is ongoing. FINDINGS The intention-to-treat population consisted of 149 participants per group. At 24 months, 17 (11%) intervention participants and three (2%) control participants had weight loss of at least 15 kg (adjusted odds ratio [aOR] 7·49, 95% CI 2·05 to 27·32; p=0·0023) and 53 (36%) intervention participants and five (3%) control participants had remission of diabetes (aOR 25·82, 8·25 to 80·84; p&lt;0·0001). The adjusted mean difference between the control and intervention groups in change in bodyweight was -5·4 kg (95% CI -6·9 to -4·0; p&lt;0·0001) and in HbA1c was -4·8 mmol/mol (-8·3 to -1·4 [-0·44% (-0·76 to -0·13)]; p=0·0063), despite only 51 (40%) of 129 patients in the intervention group using anti-diabetes medication compared with 120 (84%) …","author":[{"dropping-particle":"","family":"Lean","given":"Michael E 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Messow","given":"Claudia-Martina","non-dropping-particle":"","parse-names":false,"suffix":""},{"dropping-particle":"","family":"Sattar","given":"Naveed","non-dropping-particle":"","parse-names":false,"suffix":""},{"dropping-particle":"","family":"Taylor","given":"Roy","non-dropping-particle":"","parse-names":false,"suffix":""}],"container-title":"The lancet. Diabetes &amp; endocrinology","id":"ITEM-3","issue":"5","issued":{"date-parts":[["2019","5","1"]]},"page":"344-355","publisher":"Elsevier","title":"Durability of a primary care-led weight-management intervention for remission of type 2 diabetes: 2-year results of the DiRECT open-label, cluster-randomised trial.","type":"article-journal","volume":"7"},"uris":["http://www.mendeley.com/documents/?uuid=9304f628-068d-3ab4-9a1a-44dab2160114"]}],"mendeley":{"formattedCitation":"[5,10,11]","plainTextFormattedCitation":"[5,10,11]","previouslyFormattedCitation":"[5,10,11]"},"properties":{"noteIndex":0},"schema":"https://github.com/citation-style-language/schema/raw/master/csl-citation.json"}</w:instrText>
      </w:r>
      <w:r w:rsidR="003D0BF9" w:rsidRPr="0046155E">
        <w:rPr>
          <w:rFonts w:ascii="Times New Roman" w:hAnsi="Times New Roman" w:cs="Times New Roman"/>
          <w:color w:val="000000" w:themeColor="text1"/>
          <w:sz w:val="24"/>
          <w:szCs w:val="24"/>
        </w:rPr>
        <w:fldChar w:fldCharType="separate"/>
      </w:r>
      <w:r w:rsidR="003D0BF9" w:rsidRPr="0046155E">
        <w:rPr>
          <w:rFonts w:ascii="Times New Roman" w:hAnsi="Times New Roman" w:cs="Times New Roman"/>
          <w:noProof/>
          <w:color w:val="000000" w:themeColor="text1"/>
          <w:sz w:val="24"/>
          <w:szCs w:val="24"/>
        </w:rPr>
        <w:t>[5,10,11</w:t>
      </w:r>
      <w:r w:rsidR="004634C0" w:rsidRPr="0046155E">
        <w:rPr>
          <w:rFonts w:ascii="Times New Roman" w:hAnsi="Times New Roman" w:cs="Times New Roman"/>
          <w:noProof/>
          <w:color w:val="000000" w:themeColor="text1"/>
          <w:sz w:val="24"/>
          <w:szCs w:val="24"/>
        </w:rPr>
        <w:t>,12</w:t>
      </w:r>
      <w:r w:rsidR="003D0BF9" w:rsidRPr="0046155E">
        <w:rPr>
          <w:rFonts w:ascii="Times New Roman" w:hAnsi="Times New Roman" w:cs="Times New Roman"/>
          <w:noProof/>
          <w:color w:val="000000" w:themeColor="text1"/>
          <w:sz w:val="24"/>
          <w:szCs w:val="24"/>
        </w:rPr>
        <w:t>]</w:t>
      </w:r>
      <w:r w:rsidR="003D0BF9" w:rsidRPr="0046155E">
        <w:rPr>
          <w:rFonts w:ascii="Times New Roman" w:hAnsi="Times New Roman" w:cs="Times New Roman"/>
          <w:color w:val="000000" w:themeColor="text1"/>
          <w:sz w:val="24"/>
          <w:szCs w:val="24"/>
        </w:rPr>
        <w:fldChar w:fldCharType="end"/>
      </w:r>
      <w:r w:rsidR="003D0BF9" w:rsidRPr="0046155E">
        <w:rPr>
          <w:rFonts w:ascii="Times New Roman" w:hAnsi="Times New Roman" w:cs="Times New Roman"/>
          <w:color w:val="000000" w:themeColor="text1"/>
          <w:sz w:val="24"/>
          <w:szCs w:val="24"/>
        </w:rPr>
        <w:t xml:space="preserve"> </w:t>
      </w:r>
      <w:r w:rsidR="004634C0" w:rsidRPr="0046155E">
        <w:rPr>
          <w:rFonts w:ascii="Times New Roman" w:hAnsi="Times New Roman" w:cs="Times New Roman"/>
          <w:color w:val="000000" w:themeColor="text1"/>
          <w:sz w:val="24"/>
          <w:szCs w:val="24"/>
        </w:rPr>
        <w:t>This study reported that remission was associated with lower risk of microvascular complications, macrovascular complications, and CVD events. [12]</w:t>
      </w:r>
      <w:r w:rsidR="00531663" w:rsidRPr="0046155E">
        <w:rPr>
          <w:rFonts w:ascii="Times New Roman" w:hAnsi="Times New Roman" w:cs="Times New Roman"/>
          <w:color w:val="000000" w:themeColor="text1"/>
          <w:sz w:val="24"/>
          <w:szCs w:val="24"/>
        </w:rPr>
        <w:t xml:space="preserve"> </w:t>
      </w:r>
      <w:r w:rsidR="004634C0" w:rsidRPr="0046155E">
        <w:rPr>
          <w:rFonts w:ascii="Times New Roman" w:hAnsi="Times New Roman" w:cs="Times New Roman"/>
          <w:color w:val="000000" w:themeColor="text1"/>
          <w:sz w:val="24"/>
          <w:szCs w:val="24"/>
        </w:rPr>
        <w:t xml:space="preserve">However, it is unclear whether this risk varies by </w:t>
      </w:r>
      <w:r w:rsidR="00531663" w:rsidRPr="0046155E">
        <w:rPr>
          <w:rFonts w:ascii="Times New Roman" w:hAnsi="Times New Roman" w:cs="Times New Roman"/>
          <w:color w:val="000000" w:themeColor="text1"/>
          <w:sz w:val="24"/>
          <w:szCs w:val="24"/>
        </w:rPr>
        <w:t>different patterns of remission over time</w:t>
      </w:r>
      <w:r w:rsidR="00F0793C" w:rsidRPr="0046155E">
        <w:rPr>
          <w:rFonts w:ascii="Times New Roman" w:hAnsi="Times New Roman" w:cs="Times New Roman"/>
          <w:color w:val="000000" w:themeColor="text1"/>
          <w:sz w:val="24"/>
          <w:szCs w:val="24"/>
        </w:rPr>
        <w:t xml:space="preserve">. </w:t>
      </w:r>
      <w:r w:rsidR="0070733D" w:rsidRPr="0046155E">
        <w:rPr>
          <w:rFonts w:ascii="Times New Roman" w:hAnsi="Times New Roman" w:cs="Times New Roman"/>
          <w:color w:val="000000" w:themeColor="text1"/>
          <w:sz w:val="24"/>
          <w:szCs w:val="24"/>
        </w:rPr>
        <w:t xml:space="preserve">This knowledge could inform clinical </w:t>
      </w:r>
      <w:r w:rsidR="00531663" w:rsidRPr="0046155E">
        <w:rPr>
          <w:rFonts w:ascii="Times New Roman" w:hAnsi="Times New Roman" w:cs="Times New Roman"/>
          <w:color w:val="000000" w:themeColor="text1"/>
          <w:sz w:val="24"/>
          <w:szCs w:val="24"/>
        </w:rPr>
        <w:t xml:space="preserve">and policy initiatives </w:t>
      </w:r>
      <w:r w:rsidR="0070733D" w:rsidRPr="0046155E">
        <w:rPr>
          <w:rFonts w:ascii="Times New Roman" w:hAnsi="Times New Roman" w:cs="Times New Roman"/>
          <w:color w:val="000000" w:themeColor="text1"/>
          <w:sz w:val="24"/>
          <w:szCs w:val="24"/>
        </w:rPr>
        <w:t>which</w:t>
      </w:r>
      <w:r w:rsidR="004D4B0A" w:rsidRPr="0046155E">
        <w:rPr>
          <w:rFonts w:ascii="Times New Roman" w:hAnsi="Times New Roman" w:cs="Times New Roman"/>
          <w:color w:val="000000" w:themeColor="text1"/>
          <w:sz w:val="24"/>
          <w:szCs w:val="24"/>
        </w:rPr>
        <w:t xml:space="preserve"> </w:t>
      </w:r>
      <w:r w:rsidR="0070733D" w:rsidRPr="0046155E">
        <w:rPr>
          <w:rFonts w:ascii="Times New Roman" w:hAnsi="Times New Roman" w:cs="Times New Roman"/>
          <w:color w:val="000000" w:themeColor="text1"/>
          <w:sz w:val="24"/>
          <w:szCs w:val="24"/>
        </w:rPr>
        <w:t>have recently been promoting biochemical remission as a target</w:t>
      </w:r>
      <w:r w:rsidR="003D0BF9" w:rsidRPr="0046155E">
        <w:rPr>
          <w:rFonts w:ascii="Times New Roman" w:hAnsi="Times New Roman" w:cs="Times New Roman"/>
          <w:color w:val="000000" w:themeColor="text1"/>
          <w:sz w:val="24"/>
          <w:szCs w:val="24"/>
        </w:rPr>
        <w:t xml:space="preserve"> </w:t>
      </w:r>
      <w:r w:rsidR="00531663" w:rsidRPr="0046155E">
        <w:rPr>
          <w:rFonts w:ascii="Times New Roman" w:hAnsi="Times New Roman" w:cs="Times New Roman"/>
          <w:color w:val="000000" w:themeColor="text1"/>
          <w:sz w:val="24"/>
          <w:szCs w:val="24"/>
        </w:rPr>
        <w:t>for management of</w:t>
      </w:r>
      <w:r w:rsidR="003D0BF9" w:rsidRPr="0046155E">
        <w:rPr>
          <w:rFonts w:ascii="Times New Roman" w:hAnsi="Times New Roman" w:cs="Times New Roman"/>
          <w:color w:val="000000" w:themeColor="text1"/>
          <w:sz w:val="24"/>
          <w:szCs w:val="24"/>
        </w:rPr>
        <w:t xml:space="preserve"> type 2 diabetes</w:t>
      </w:r>
      <w:r w:rsidR="0070733D" w:rsidRPr="0046155E">
        <w:rPr>
          <w:rFonts w:ascii="Times New Roman" w:hAnsi="Times New Roman" w:cs="Times New Roman"/>
          <w:color w:val="000000" w:themeColor="text1"/>
          <w:sz w:val="24"/>
          <w:szCs w:val="24"/>
        </w:rPr>
        <w:t>. Accordingly, i</w:t>
      </w:r>
      <w:r w:rsidR="004D4B0A" w:rsidRPr="0046155E">
        <w:rPr>
          <w:rFonts w:ascii="Times New Roman" w:hAnsi="Times New Roman" w:cs="Times New Roman"/>
          <w:color w:val="000000" w:themeColor="text1"/>
          <w:sz w:val="24"/>
          <w:szCs w:val="24"/>
        </w:rPr>
        <w:t>n this study</w:t>
      </w:r>
      <w:r w:rsidR="0070733D" w:rsidRPr="0046155E">
        <w:rPr>
          <w:rFonts w:ascii="Times New Roman" w:hAnsi="Times New Roman" w:cs="Times New Roman"/>
          <w:color w:val="000000" w:themeColor="text1"/>
          <w:sz w:val="24"/>
          <w:szCs w:val="24"/>
        </w:rPr>
        <w:t xml:space="preserve"> </w:t>
      </w:r>
      <w:r w:rsidR="004D4B0A" w:rsidRPr="0046155E">
        <w:rPr>
          <w:rFonts w:ascii="Times New Roman" w:hAnsi="Times New Roman" w:cs="Times New Roman"/>
          <w:color w:val="000000" w:themeColor="text1"/>
          <w:sz w:val="24"/>
          <w:szCs w:val="24"/>
        </w:rPr>
        <w:t xml:space="preserve">we </w:t>
      </w:r>
      <w:r w:rsidR="0070733D" w:rsidRPr="0046155E">
        <w:rPr>
          <w:rFonts w:ascii="Times New Roman" w:hAnsi="Times New Roman" w:cs="Times New Roman"/>
          <w:color w:val="000000" w:themeColor="text1"/>
          <w:sz w:val="24"/>
          <w:szCs w:val="24"/>
        </w:rPr>
        <w:t xml:space="preserve">describe longitudinal </w:t>
      </w:r>
      <w:r w:rsidR="00963F37" w:rsidRPr="0046155E">
        <w:rPr>
          <w:rFonts w:ascii="Times New Roman" w:hAnsi="Times New Roman" w:cs="Times New Roman"/>
          <w:color w:val="000000" w:themeColor="text1"/>
          <w:sz w:val="24"/>
          <w:szCs w:val="24"/>
        </w:rPr>
        <w:t>patterns of remission</w:t>
      </w:r>
      <w:r w:rsidR="002B657D" w:rsidRPr="0046155E">
        <w:rPr>
          <w:rFonts w:ascii="Times New Roman" w:hAnsi="Times New Roman" w:cs="Times New Roman"/>
          <w:color w:val="000000" w:themeColor="text1"/>
          <w:sz w:val="24"/>
          <w:szCs w:val="24"/>
        </w:rPr>
        <w:t xml:space="preserve"> </w:t>
      </w:r>
      <w:r w:rsidR="00963F37" w:rsidRPr="0046155E">
        <w:rPr>
          <w:rFonts w:ascii="Times New Roman" w:hAnsi="Times New Roman" w:cs="Times New Roman"/>
          <w:color w:val="000000" w:themeColor="text1"/>
          <w:sz w:val="24"/>
          <w:szCs w:val="24"/>
        </w:rPr>
        <w:t>in a large population-based cohort and</w:t>
      </w:r>
      <w:r w:rsidR="003D0BF9" w:rsidRPr="0046155E">
        <w:rPr>
          <w:rFonts w:ascii="Times New Roman" w:hAnsi="Times New Roman" w:cs="Times New Roman"/>
          <w:color w:val="000000" w:themeColor="text1"/>
          <w:sz w:val="24"/>
          <w:szCs w:val="24"/>
        </w:rPr>
        <w:t xml:space="preserve"> model</w:t>
      </w:r>
      <w:r w:rsidR="0070733D" w:rsidRPr="0046155E">
        <w:rPr>
          <w:rFonts w:ascii="Times New Roman" w:hAnsi="Times New Roman" w:cs="Times New Roman"/>
          <w:color w:val="000000" w:themeColor="text1"/>
          <w:sz w:val="24"/>
          <w:szCs w:val="24"/>
        </w:rPr>
        <w:t xml:space="preserve"> </w:t>
      </w:r>
      <w:r w:rsidR="003D0BF9" w:rsidRPr="0046155E">
        <w:rPr>
          <w:rFonts w:ascii="Times New Roman" w:hAnsi="Times New Roman" w:cs="Times New Roman"/>
          <w:color w:val="000000" w:themeColor="text1"/>
          <w:sz w:val="24"/>
          <w:szCs w:val="24"/>
        </w:rPr>
        <w:t>these into distinct</w:t>
      </w:r>
      <w:r w:rsidR="0070733D" w:rsidRPr="0046155E">
        <w:rPr>
          <w:rFonts w:ascii="Times New Roman" w:hAnsi="Times New Roman" w:cs="Times New Roman"/>
          <w:color w:val="000000" w:themeColor="text1"/>
          <w:sz w:val="24"/>
          <w:szCs w:val="24"/>
        </w:rPr>
        <w:t xml:space="preserve"> groups</w:t>
      </w:r>
      <w:r w:rsidR="003D0BF9" w:rsidRPr="0046155E">
        <w:rPr>
          <w:rFonts w:ascii="Times New Roman" w:hAnsi="Times New Roman" w:cs="Times New Roman"/>
          <w:color w:val="000000" w:themeColor="text1"/>
          <w:sz w:val="24"/>
          <w:szCs w:val="24"/>
        </w:rPr>
        <w:t xml:space="preserve"> over seven-year</w:t>
      </w:r>
      <w:r w:rsidR="002B657D" w:rsidRPr="0046155E">
        <w:rPr>
          <w:rFonts w:ascii="Times New Roman" w:hAnsi="Times New Roman" w:cs="Times New Roman"/>
          <w:color w:val="000000" w:themeColor="text1"/>
          <w:sz w:val="24"/>
          <w:szCs w:val="24"/>
        </w:rPr>
        <w:t xml:space="preserve"> follow-up</w:t>
      </w:r>
      <w:r w:rsidR="00963F37" w:rsidRPr="0046155E">
        <w:rPr>
          <w:rFonts w:ascii="Times New Roman" w:hAnsi="Times New Roman" w:cs="Times New Roman"/>
          <w:color w:val="000000" w:themeColor="text1"/>
          <w:sz w:val="24"/>
          <w:szCs w:val="24"/>
        </w:rPr>
        <w:t>.</w:t>
      </w:r>
      <w:r w:rsidR="0070733D" w:rsidRPr="0046155E">
        <w:rPr>
          <w:rFonts w:ascii="Times New Roman" w:hAnsi="Times New Roman" w:cs="Times New Roman"/>
          <w:color w:val="000000" w:themeColor="text1"/>
          <w:sz w:val="24"/>
          <w:szCs w:val="24"/>
        </w:rPr>
        <w:t xml:space="preserve"> We then </w:t>
      </w:r>
      <w:r w:rsidR="00B95838" w:rsidRPr="0046155E">
        <w:rPr>
          <w:rFonts w:ascii="Times New Roman" w:hAnsi="Times New Roman" w:cs="Times New Roman"/>
          <w:color w:val="000000" w:themeColor="text1"/>
          <w:sz w:val="24"/>
          <w:szCs w:val="24"/>
        </w:rPr>
        <w:t xml:space="preserve">examine </w:t>
      </w:r>
      <w:r w:rsidR="005F75FD" w:rsidRPr="0046155E">
        <w:rPr>
          <w:rFonts w:ascii="Times New Roman" w:hAnsi="Times New Roman" w:cs="Times New Roman"/>
          <w:color w:val="000000" w:themeColor="text1"/>
          <w:sz w:val="24"/>
          <w:szCs w:val="24"/>
        </w:rPr>
        <w:t>risk</w:t>
      </w:r>
      <w:r w:rsidR="00B95838" w:rsidRPr="0046155E">
        <w:rPr>
          <w:rFonts w:ascii="Times New Roman" w:hAnsi="Times New Roman" w:cs="Times New Roman"/>
          <w:color w:val="000000" w:themeColor="text1"/>
          <w:sz w:val="24"/>
          <w:szCs w:val="24"/>
        </w:rPr>
        <w:t xml:space="preserve"> of CVD outcomes, and all-cause mortality</w:t>
      </w:r>
      <w:r w:rsidR="005F75FD" w:rsidRPr="0046155E">
        <w:rPr>
          <w:rFonts w:ascii="Times New Roman" w:hAnsi="Times New Roman" w:cs="Times New Roman"/>
          <w:color w:val="000000" w:themeColor="text1"/>
          <w:sz w:val="24"/>
          <w:szCs w:val="24"/>
        </w:rPr>
        <w:t xml:space="preserve"> overall and by pattern of remission</w:t>
      </w:r>
      <w:r w:rsidR="00B95838" w:rsidRPr="0046155E">
        <w:rPr>
          <w:rFonts w:ascii="Times New Roman" w:hAnsi="Times New Roman" w:cs="Times New Roman"/>
          <w:color w:val="000000" w:themeColor="text1"/>
          <w:sz w:val="24"/>
          <w:szCs w:val="24"/>
        </w:rPr>
        <w:t xml:space="preserve">. </w:t>
      </w:r>
    </w:p>
    <w:p w14:paraId="26EC7563" w14:textId="15415FD7" w:rsidR="00413571" w:rsidRPr="00CD1F9F" w:rsidRDefault="00092B21" w:rsidP="00E21AD0">
      <w:pPr>
        <w:spacing w:after="0" w:line="480" w:lineRule="auto"/>
        <w:rPr>
          <w:rFonts w:ascii="Times New Roman" w:hAnsi="Times New Roman" w:cs="Times New Roman"/>
          <w:b/>
          <w:bCs/>
          <w:sz w:val="36"/>
          <w:szCs w:val="36"/>
        </w:rPr>
      </w:pPr>
      <w:bookmarkStart w:id="4" w:name="_Hlk57484132"/>
      <w:r w:rsidRPr="00CD1F9F">
        <w:rPr>
          <w:rFonts w:ascii="Times New Roman" w:hAnsi="Times New Roman" w:cs="Times New Roman"/>
          <w:b/>
          <w:bCs/>
          <w:sz w:val="36"/>
          <w:szCs w:val="36"/>
        </w:rPr>
        <w:t>Materials and methods</w:t>
      </w:r>
    </w:p>
    <w:p w14:paraId="095F7BCC" w14:textId="77777777" w:rsidR="00413571" w:rsidRPr="00CD1F9F" w:rsidRDefault="00413571" w:rsidP="00E21AD0">
      <w:pPr>
        <w:spacing w:after="0" w:line="480" w:lineRule="auto"/>
        <w:rPr>
          <w:rFonts w:ascii="Times New Roman" w:hAnsi="Times New Roman" w:cs="Times New Roman"/>
          <w:b/>
          <w:bCs/>
          <w:sz w:val="32"/>
          <w:szCs w:val="32"/>
        </w:rPr>
      </w:pPr>
      <w:r w:rsidRPr="00CD1F9F">
        <w:rPr>
          <w:rFonts w:ascii="Times New Roman" w:hAnsi="Times New Roman" w:cs="Times New Roman"/>
          <w:b/>
          <w:bCs/>
          <w:sz w:val="32"/>
          <w:szCs w:val="32"/>
        </w:rPr>
        <w:t>Design</w:t>
      </w:r>
    </w:p>
    <w:p w14:paraId="358E5228" w14:textId="3C5960AE" w:rsidR="00413571" w:rsidRPr="0046155E" w:rsidRDefault="00413571" w:rsidP="00E21AD0">
      <w:p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 xml:space="preserve">A retrospective cohort </w:t>
      </w:r>
      <w:proofErr w:type="gramStart"/>
      <w:r w:rsidRPr="0046155E">
        <w:rPr>
          <w:rFonts w:ascii="Times New Roman" w:hAnsi="Times New Roman" w:cs="Times New Roman"/>
          <w:sz w:val="24"/>
          <w:szCs w:val="24"/>
        </w:rPr>
        <w:t>stud</w:t>
      </w:r>
      <w:r w:rsidR="00954C97" w:rsidRPr="0046155E">
        <w:rPr>
          <w:rFonts w:ascii="Times New Roman" w:hAnsi="Times New Roman" w:cs="Times New Roman"/>
          <w:sz w:val="24"/>
          <w:szCs w:val="24"/>
        </w:rPr>
        <w:t>y</w:t>
      </w:r>
      <w:proofErr w:type="gramEnd"/>
      <w:r w:rsidR="000A2CC5" w:rsidRPr="0046155E">
        <w:rPr>
          <w:rFonts w:ascii="Times New Roman" w:hAnsi="Times New Roman" w:cs="Times New Roman"/>
          <w:sz w:val="24"/>
          <w:szCs w:val="24"/>
        </w:rPr>
        <w:t>.</w:t>
      </w:r>
    </w:p>
    <w:p w14:paraId="6389784E" w14:textId="7C5853FA" w:rsidR="00413571" w:rsidRPr="00CD1F9F" w:rsidRDefault="00413571" w:rsidP="00E21AD0">
      <w:pPr>
        <w:spacing w:after="0" w:line="480" w:lineRule="auto"/>
        <w:rPr>
          <w:rFonts w:ascii="Times New Roman" w:hAnsi="Times New Roman" w:cs="Times New Roman"/>
          <w:b/>
          <w:bCs/>
          <w:sz w:val="32"/>
          <w:szCs w:val="32"/>
        </w:rPr>
      </w:pPr>
      <w:r w:rsidRPr="00CD1F9F">
        <w:rPr>
          <w:rFonts w:ascii="Times New Roman" w:hAnsi="Times New Roman" w:cs="Times New Roman"/>
          <w:b/>
          <w:bCs/>
          <w:sz w:val="32"/>
          <w:szCs w:val="32"/>
        </w:rPr>
        <w:t>Data</w:t>
      </w:r>
      <w:r w:rsidR="0010632D" w:rsidRPr="00CD1F9F">
        <w:rPr>
          <w:rFonts w:ascii="Times New Roman" w:hAnsi="Times New Roman" w:cs="Times New Roman"/>
          <w:b/>
          <w:bCs/>
          <w:sz w:val="32"/>
          <w:szCs w:val="32"/>
        </w:rPr>
        <w:t xml:space="preserve"> </w:t>
      </w:r>
      <w:r w:rsidRPr="00CD1F9F">
        <w:rPr>
          <w:rFonts w:ascii="Times New Roman" w:hAnsi="Times New Roman" w:cs="Times New Roman"/>
          <w:b/>
          <w:bCs/>
          <w:sz w:val="32"/>
          <w:szCs w:val="32"/>
        </w:rPr>
        <w:t>source</w:t>
      </w:r>
    </w:p>
    <w:p w14:paraId="62AC3238" w14:textId="5067E616" w:rsidR="00582168" w:rsidRPr="0046155E" w:rsidRDefault="00413571"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color w:val="000000"/>
          <w:spacing w:val="-2"/>
          <w:sz w:val="24"/>
          <w:szCs w:val="24"/>
          <w:shd w:val="clear" w:color="auto" w:fill="FFFFFF"/>
        </w:rPr>
        <w:t xml:space="preserve">The Electronic </w:t>
      </w:r>
      <w:r w:rsidRPr="0046155E">
        <w:rPr>
          <w:rFonts w:ascii="Times New Roman" w:hAnsi="Times New Roman" w:cs="Times New Roman"/>
          <w:color w:val="000000" w:themeColor="text1"/>
          <w:sz w:val="24"/>
          <w:szCs w:val="24"/>
        </w:rPr>
        <w:t>Care and Health Information Analytics (CHIA) database</w:t>
      </w:r>
      <w:r w:rsidRPr="0046155E">
        <w:rPr>
          <w:rFonts w:ascii="Times New Roman" w:hAnsi="Times New Roman" w:cs="Times New Roman"/>
          <w:i/>
          <w:iCs/>
          <w:sz w:val="24"/>
          <w:szCs w:val="24"/>
        </w:rPr>
        <w:t xml:space="preserve"> </w:t>
      </w:r>
      <w:r w:rsidR="00094E58" w:rsidRPr="0046155E">
        <w:rPr>
          <w:rFonts w:ascii="Times New Roman" w:hAnsi="Times New Roman" w:cs="Times New Roman"/>
          <w:sz w:val="24"/>
          <w:szCs w:val="24"/>
        </w:rPr>
        <w:t>is a</w:t>
      </w:r>
      <w:r w:rsidR="00611DFD" w:rsidRPr="0046155E">
        <w:rPr>
          <w:rFonts w:ascii="Times New Roman" w:hAnsi="Times New Roman" w:cs="Times New Roman"/>
          <w:sz w:val="24"/>
          <w:szCs w:val="24"/>
        </w:rPr>
        <w:t xml:space="preserve"> pseudo-</w:t>
      </w:r>
      <w:r w:rsidR="00094E58" w:rsidRPr="0046155E">
        <w:rPr>
          <w:rFonts w:ascii="Times New Roman" w:hAnsi="Times New Roman" w:cs="Times New Roman"/>
          <w:sz w:val="24"/>
          <w:szCs w:val="24"/>
        </w:rPr>
        <w:t>anonymised</w:t>
      </w:r>
      <w:r w:rsidR="004B70C8" w:rsidRPr="0046155E">
        <w:rPr>
          <w:rFonts w:ascii="Times New Roman" w:hAnsi="Times New Roman" w:cs="Times New Roman"/>
          <w:sz w:val="24"/>
          <w:szCs w:val="24"/>
        </w:rPr>
        <w:t xml:space="preserve"> live</w:t>
      </w:r>
      <w:r w:rsidR="00094E58" w:rsidRPr="0046155E">
        <w:rPr>
          <w:rFonts w:ascii="Times New Roman" w:hAnsi="Times New Roman" w:cs="Times New Roman"/>
          <w:sz w:val="24"/>
          <w:szCs w:val="24"/>
        </w:rPr>
        <w:t xml:space="preserve"> electronic database</w:t>
      </w:r>
      <w:r w:rsidR="00611DFD" w:rsidRPr="0046155E">
        <w:rPr>
          <w:rFonts w:ascii="Times New Roman" w:hAnsi="Times New Roman" w:cs="Times New Roman"/>
          <w:sz w:val="24"/>
          <w:szCs w:val="24"/>
        </w:rPr>
        <w:t xml:space="preserve"> </w:t>
      </w:r>
      <w:r w:rsidR="00C95AAD" w:rsidRPr="0046155E">
        <w:rPr>
          <w:rFonts w:ascii="Times New Roman" w:hAnsi="Times New Roman" w:cs="Times New Roman"/>
          <w:sz w:val="24"/>
          <w:szCs w:val="24"/>
        </w:rPr>
        <w:t>with</w:t>
      </w:r>
      <w:r w:rsidR="00D24D2D" w:rsidRPr="0046155E">
        <w:rPr>
          <w:rFonts w:ascii="Times New Roman" w:hAnsi="Times New Roman" w:cs="Times New Roman"/>
          <w:sz w:val="24"/>
          <w:szCs w:val="24"/>
        </w:rPr>
        <w:t xml:space="preserve"> routinely collected primary care data </w:t>
      </w:r>
      <w:r w:rsidR="004B70C8" w:rsidRPr="0046155E">
        <w:rPr>
          <w:rFonts w:ascii="Times New Roman" w:hAnsi="Times New Roman" w:cs="Times New Roman"/>
          <w:sz w:val="24"/>
          <w:szCs w:val="24"/>
        </w:rPr>
        <w:t>for approximately 1.5 million p</w:t>
      </w:r>
      <w:r w:rsidR="004F2F6F" w:rsidRPr="0046155E">
        <w:rPr>
          <w:rFonts w:ascii="Times New Roman" w:hAnsi="Times New Roman" w:cs="Times New Roman"/>
          <w:sz w:val="24"/>
          <w:szCs w:val="24"/>
        </w:rPr>
        <w:t>eople</w:t>
      </w:r>
      <w:r w:rsidR="004B70C8" w:rsidRPr="0046155E">
        <w:rPr>
          <w:rFonts w:ascii="Times New Roman" w:hAnsi="Times New Roman" w:cs="Times New Roman"/>
          <w:sz w:val="24"/>
          <w:szCs w:val="24"/>
        </w:rPr>
        <w:t xml:space="preserve"> from 150 </w:t>
      </w:r>
      <w:r w:rsidR="00CA6E1E" w:rsidRPr="0046155E">
        <w:rPr>
          <w:rFonts w:ascii="Times New Roman" w:hAnsi="Times New Roman" w:cs="Times New Roman"/>
          <w:sz w:val="24"/>
          <w:szCs w:val="24"/>
        </w:rPr>
        <w:t>primary care</w:t>
      </w:r>
      <w:r w:rsidR="004B70C8" w:rsidRPr="0046155E">
        <w:rPr>
          <w:rFonts w:ascii="Times New Roman" w:hAnsi="Times New Roman" w:cs="Times New Roman"/>
          <w:sz w:val="24"/>
          <w:szCs w:val="24"/>
        </w:rPr>
        <w:t xml:space="preserve"> practices across Hampshire and</w:t>
      </w:r>
      <w:r w:rsidR="00954C97" w:rsidRPr="0046155E">
        <w:rPr>
          <w:rFonts w:ascii="Times New Roman" w:hAnsi="Times New Roman" w:cs="Times New Roman"/>
          <w:sz w:val="24"/>
          <w:szCs w:val="24"/>
        </w:rPr>
        <w:t xml:space="preserve"> the</w:t>
      </w:r>
      <w:r w:rsidR="004B70C8" w:rsidRPr="0046155E">
        <w:rPr>
          <w:rFonts w:ascii="Times New Roman" w:hAnsi="Times New Roman" w:cs="Times New Roman"/>
          <w:sz w:val="24"/>
          <w:szCs w:val="24"/>
        </w:rPr>
        <w:t xml:space="preserve"> Isle of Wight (Southern England, UK) </w:t>
      </w:r>
      <w:r w:rsidR="00D24D2D" w:rsidRPr="0046155E">
        <w:rPr>
          <w:rFonts w:ascii="Times New Roman" w:hAnsi="Times New Roman" w:cs="Times New Roman"/>
          <w:sz w:val="24"/>
          <w:szCs w:val="24"/>
        </w:rPr>
        <w:t>with</w:t>
      </w:r>
      <w:r w:rsidR="00954C97" w:rsidRPr="0046155E">
        <w:rPr>
          <w:rFonts w:ascii="Times New Roman" w:hAnsi="Times New Roman" w:cs="Times New Roman"/>
          <w:sz w:val="24"/>
          <w:szCs w:val="24"/>
        </w:rPr>
        <w:t xml:space="preserve"> linked</w:t>
      </w:r>
      <w:r w:rsidR="00D24D2D" w:rsidRPr="0046155E">
        <w:rPr>
          <w:rFonts w:ascii="Times New Roman" w:hAnsi="Times New Roman" w:cs="Times New Roman"/>
          <w:sz w:val="24"/>
          <w:szCs w:val="24"/>
        </w:rPr>
        <w:t xml:space="preserve"> clinical</w:t>
      </w:r>
      <w:r w:rsidR="00C95AAD" w:rsidRPr="0046155E">
        <w:rPr>
          <w:rFonts w:ascii="Times New Roman" w:hAnsi="Times New Roman" w:cs="Times New Roman"/>
          <w:sz w:val="24"/>
          <w:szCs w:val="24"/>
        </w:rPr>
        <w:t xml:space="preserve"> and</w:t>
      </w:r>
      <w:r w:rsidR="00D24D2D" w:rsidRPr="0046155E">
        <w:rPr>
          <w:rFonts w:ascii="Times New Roman" w:hAnsi="Times New Roman" w:cs="Times New Roman"/>
          <w:sz w:val="24"/>
          <w:szCs w:val="24"/>
        </w:rPr>
        <w:t xml:space="preserve"> biochemistry data from</w:t>
      </w:r>
      <w:r w:rsidR="004B70C8" w:rsidRPr="0046155E">
        <w:rPr>
          <w:rFonts w:ascii="Times New Roman" w:hAnsi="Times New Roman" w:cs="Times New Roman"/>
          <w:sz w:val="24"/>
          <w:szCs w:val="24"/>
        </w:rPr>
        <w:t xml:space="preserve"> </w:t>
      </w:r>
      <w:r w:rsidR="00954C97" w:rsidRPr="0046155E">
        <w:rPr>
          <w:rFonts w:ascii="Times New Roman" w:hAnsi="Times New Roman" w:cs="Times New Roman"/>
          <w:sz w:val="24"/>
          <w:szCs w:val="24"/>
        </w:rPr>
        <w:t xml:space="preserve">local hospitals. </w:t>
      </w:r>
    </w:p>
    <w:p w14:paraId="155C9B23" w14:textId="77777777" w:rsidR="00582168" w:rsidRPr="00CD1F9F" w:rsidRDefault="00582168" w:rsidP="00E21AD0">
      <w:pPr>
        <w:spacing w:after="0" w:line="480" w:lineRule="auto"/>
        <w:rPr>
          <w:rFonts w:ascii="Times New Roman" w:hAnsi="Times New Roman" w:cs="Times New Roman"/>
          <w:b/>
          <w:bCs/>
          <w:sz w:val="32"/>
          <w:szCs w:val="32"/>
        </w:rPr>
      </w:pPr>
      <w:r w:rsidRPr="00CD1F9F">
        <w:rPr>
          <w:rFonts w:ascii="Times New Roman" w:hAnsi="Times New Roman" w:cs="Times New Roman"/>
          <w:b/>
          <w:bCs/>
          <w:sz w:val="32"/>
          <w:szCs w:val="32"/>
        </w:rPr>
        <w:t>Population</w:t>
      </w:r>
    </w:p>
    <w:p w14:paraId="6A482B87" w14:textId="7E53BE00" w:rsidR="00345A0A" w:rsidRPr="0046155E" w:rsidRDefault="00582168"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 xml:space="preserve">We identified a cohort of people </w:t>
      </w:r>
      <w:r w:rsidR="00C95AAD" w:rsidRPr="0046155E">
        <w:rPr>
          <w:rFonts w:ascii="Times New Roman" w:hAnsi="Times New Roman" w:cs="Times New Roman"/>
          <w:sz w:val="24"/>
          <w:szCs w:val="24"/>
        </w:rPr>
        <w:t xml:space="preserve">with type 2 diabetes using the </w:t>
      </w:r>
      <w:r w:rsidR="00954C97" w:rsidRPr="0046155E">
        <w:rPr>
          <w:rFonts w:ascii="Times New Roman" w:hAnsi="Times New Roman" w:cs="Times New Roman"/>
          <w:sz w:val="24"/>
          <w:szCs w:val="24"/>
        </w:rPr>
        <w:t>Quality and Outcomes Framework (QOF) Read code diagnosis</w:t>
      </w:r>
      <w:r w:rsidR="00C95AAD" w:rsidRPr="0046155E">
        <w:rPr>
          <w:rFonts w:ascii="Times New Roman" w:hAnsi="Times New Roman" w:cs="Times New Roman"/>
          <w:sz w:val="24"/>
          <w:szCs w:val="24"/>
        </w:rPr>
        <w:t>. QOF coding is used for NHS administration and financial purposes</w:t>
      </w:r>
      <w:r w:rsidR="00D62715" w:rsidRPr="0046155E">
        <w:rPr>
          <w:rFonts w:ascii="Times New Roman" w:hAnsi="Times New Roman" w:cs="Times New Roman"/>
          <w:sz w:val="24"/>
          <w:szCs w:val="24"/>
        </w:rPr>
        <w:t xml:space="preserve"> with </w:t>
      </w:r>
      <w:r w:rsidR="00C95AAD" w:rsidRPr="0046155E">
        <w:rPr>
          <w:rFonts w:ascii="Times New Roman" w:hAnsi="Times New Roman" w:cs="Times New Roman"/>
          <w:sz w:val="24"/>
          <w:szCs w:val="24"/>
        </w:rPr>
        <w:t>high levels of accuracy/completeness.</w:t>
      </w:r>
      <w:r w:rsidR="003B2F58" w:rsidRPr="0046155E">
        <w:rPr>
          <w:rFonts w:ascii="Times New Roman" w:hAnsi="Times New Roman" w:cs="Times New Roman"/>
          <w:sz w:val="24"/>
          <w:szCs w:val="24"/>
        </w:rPr>
        <w:fldChar w:fldCharType="begin" w:fldLock="1"/>
      </w:r>
      <w:r w:rsidR="00CA3C96" w:rsidRPr="0046155E">
        <w:rPr>
          <w:rFonts w:ascii="Times New Roman" w:hAnsi="Times New Roman" w:cs="Times New Roman"/>
          <w:sz w:val="24"/>
          <w:szCs w:val="24"/>
        </w:rPr>
        <w:instrText>ADDIN CSL_CITATION {"citationItems":[{"id":"ITEM-1","itemData":{"DOI":"10.3399/bjgp10X483562","ISSN":"09601643","abstract":"Background The UK-based General Practice Research Database (GPRD) is a valuable source of longitudinal primary care records and is increasingly used for epidemiological research. Aim To conduct a systematic review of the literature on accuracy and completeness of diagnostic coding in the GPRD. Design of study Systematic review. Method Six electronic databases were searched using search terms relating to the GPRD, in association with terms synonymous with validity, accuracy, concordance, and recording. A positive predictive value was calculated for each diagnosis that considered a comparison with a gold standard. Studies were also considered that compared the GPRD with other databases and national statistics. Results . A total of 49 papers are included in this review. Forty papers conducted validation of a clinical diagnosis in the GPRD. When assessed against a gold standard (validation using GP questionnaire, primary care medical records, or hospital correspondence), most of the diagnoses were accurately recorded in the patient electronic record. Acute conditions were not as well recorded, with positive predictive values lower than 50%. Twelve papers compared prevalence or consultation rates in the GPRD against other primary care databases or national statistics. Generally, there was good agreement between disease prevalence and consultation rates between the GPRD and other datasets; however, rates of diabetes and musculoskeletal conditions were underestimated in the GPRD. Conclusion Most of the diagnoses coded in the GPRD are well recorded. Researchers using the GPRD may want to consider how well the disease of interest is recorded before planning research, and consider how to optimise the identification of clinical events. © British Journal of General Practice.","author":[{"dropping-particle":"","family":"Khan","given":"Nada F.","non-dropping-particle":"","parse-names":false,"suffix":""},{"dropping-particle":"","family":"Harrison","given":"Sian E.","non-dropping-particle":"","parse-names":false,"suffix":""},{"dropping-particle":"","family":"Rose","given":"Peter W.","non-dropping-particle":"","parse-names":false,"suffix":""}],"container-title":"British Journal of General Practice","id":"ITEM-1","issue":"572","issued":{"date-parts":[["2010","3","1"]]},"page":"199-206","publisher":"British Journal of General Practice","title":"Validity of diagnostic coding within the General Practice Research Database: A systematic review","type":"article","volume":"60"},"uris":["http://www.mendeley.com/documents/?uuid=d444ee56-6810-342b-94c2-3662e3cc7e23"]}],"mendeley":{"formattedCitation":"[12]","plainTextFormattedCitation":"[12]","previouslyFormattedCitation":"[12]"},"properties":{"noteIndex":0},"schema":"https://github.com/citation-style-language/schema/raw/master/csl-citation.json"}</w:instrText>
      </w:r>
      <w:r w:rsidR="003B2F58" w:rsidRPr="0046155E">
        <w:rPr>
          <w:rFonts w:ascii="Times New Roman" w:hAnsi="Times New Roman" w:cs="Times New Roman"/>
          <w:sz w:val="24"/>
          <w:szCs w:val="24"/>
        </w:rPr>
        <w:fldChar w:fldCharType="separate"/>
      </w:r>
      <w:r w:rsidR="003B2F58" w:rsidRPr="0046155E">
        <w:rPr>
          <w:rFonts w:ascii="Times New Roman" w:hAnsi="Times New Roman" w:cs="Times New Roman"/>
          <w:noProof/>
          <w:sz w:val="24"/>
          <w:szCs w:val="24"/>
        </w:rPr>
        <w:t>[1</w:t>
      </w:r>
      <w:r w:rsidR="004634C0" w:rsidRPr="0046155E">
        <w:rPr>
          <w:rFonts w:ascii="Times New Roman" w:hAnsi="Times New Roman" w:cs="Times New Roman"/>
          <w:noProof/>
          <w:sz w:val="24"/>
          <w:szCs w:val="24"/>
        </w:rPr>
        <w:t>3</w:t>
      </w:r>
      <w:r w:rsidR="003B2F58" w:rsidRPr="0046155E">
        <w:rPr>
          <w:rFonts w:ascii="Times New Roman" w:hAnsi="Times New Roman" w:cs="Times New Roman"/>
          <w:noProof/>
          <w:sz w:val="24"/>
          <w:szCs w:val="24"/>
        </w:rPr>
        <w:t>]</w:t>
      </w:r>
      <w:r w:rsidR="003B2F58" w:rsidRPr="0046155E">
        <w:rPr>
          <w:rFonts w:ascii="Times New Roman" w:hAnsi="Times New Roman" w:cs="Times New Roman"/>
          <w:sz w:val="24"/>
          <w:szCs w:val="24"/>
        </w:rPr>
        <w:fldChar w:fldCharType="end"/>
      </w:r>
      <w:r w:rsidR="00C95AAD" w:rsidRPr="0046155E">
        <w:rPr>
          <w:rFonts w:ascii="Times New Roman" w:hAnsi="Times New Roman" w:cs="Times New Roman"/>
          <w:sz w:val="24"/>
          <w:szCs w:val="24"/>
        </w:rPr>
        <w:t xml:space="preserve"> </w:t>
      </w:r>
      <w:r w:rsidR="00E7300C" w:rsidRPr="0046155E">
        <w:rPr>
          <w:rFonts w:ascii="Times New Roman" w:hAnsi="Times New Roman" w:cs="Times New Roman"/>
          <w:sz w:val="24"/>
          <w:szCs w:val="24"/>
        </w:rPr>
        <w:t>From 120</w:t>
      </w:r>
      <w:r w:rsidR="00BB2D6E" w:rsidRPr="0046155E">
        <w:rPr>
          <w:rFonts w:ascii="Times New Roman" w:hAnsi="Times New Roman" w:cs="Times New Roman"/>
          <w:sz w:val="24"/>
          <w:szCs w:val="24"/>
        </w:rPr>
        <w:t>,</w:t>
      </w:r>
      <w:r w:rsidR="00E7300C" w:rsidRPr="0046155E">
        <w:rPr>
          <w:rFonts w:ascii="Times New Roman" w:hAnsi="Times New Roman" w:cs="Times New Roman"/>
          <w:sz w:val="24"/>
          <w:szCs w:val="24"/>
        </w:rPr>
        <w:t xml:space="preserve">000 people </w:t>
      </w:r>
      <w:r w:rsidR="00D62715" w:rsidRPr="0046155E">
        <w:rPr>
          <w:rFonts w:ascii="Times New Roman" w:hAnsi="Times New Roman" w:cs="Times New Roman"/>
          <w:sz w:val="24"/>
          <w:szCs w:val="24"/>
        </w:rPr>
        <w:t xml:space="preserve">coded </w:t>
      </w:r>
      <w:r w:rsidR="00C95AAD" w:rsidRPr="0046155E">
        <w:rPr>
          <w:rFonts w:ascii="Times New Roman" w:hAnsi="Times New Roman" w:cs="Times New Roman"/>
          <w:sz w:val="24"/>
          <w:szCs w:val="24"/>
        </w:rPr>
        <w:t>with type 2 diabetes by this criteria on the</w:t>
      </w:r>
      <w:r w:rsidR="004B70C8" w:rsidRPr="0046155E">
        <w:rPr>
          <w:rFonts w:ascii="Times New Roman" w:hAnsi="Times New Roman" w:cs="Times New Roman"/>
          <w:sz w:val="24"/>
          <w:szCs w:val="24"/>
        </w:rPr>
        <w:t xml:space="preserve"> 1</w:t>
      </w:r>
      <w:r w:rsidR="004B70C8" w:rsidRPr="0046155E">
        <w:rPr>
          <w:rFonts w:ascii="Times New Roman" w:hAnsi="Times New Roman" w:cs="Times New Roman"/>
          <w:sz w:val="24"/>
          <w:szCs w:val="24"/>
          <w:vertAlign w:val="superscript"/>
        </w:rPr>
        <w:t>st</w:t>
      </w:r>
      <w:r w:rsidR="004B70C8" w:rsidRPr="0046155E">
        <w:rPr>
          <w:rFonts w:ascii="Times New Roman" w:hAnsi="Times New Roman" w:cs="Times New Roman"/>
          <w:sz w:val="24"/>
          <w:szCs w:val="24"/>
        </w:rPr>
        <w:t xml:space="preserve"> January 2013</w:t>
      </w:r>
      <w:r w:rsidR="00E7300C" w:rsidRPr="0046155E">
        <w:rPr>
          <w:rFonts w:ascii="Times New Roman" w:hAnsi="Times New Roman" w:cs="Times New Roman"/>
          <w:sz w:val="24"/>
          <w:szCs w:val="24"/>
        </w:rPr>
        <w:t>, we included 6</w:t>
      </w:r>
      <w:r w:rsidR="000F210C" w:rsidRPr="0046155E">
        <w:rPr>
          <w:rFonts w:ascii="Times New Roman" w:hAnsi="Times New Roman" w:cs="Times New Roman"/>
          <w:sz w:val="24"/>
          <w:szCs w:val="24"/>
        </w:rPr>
        <w:t>0</w:t>
      </w:r>
      <w:r w:rsidR="00E7300C" w:rsidRPr="0046155E">
        <w:rPr>
          <w:rFonts w:ascii="Times New Roman" w:hAnsi="Times New Roman" w:cs="Times New Roman"/>
          <w:sz w:val="24"/>
          <w:szCs w:val="24"/>
        </w:rPr>
        <w:t>,</w:t>
      </w:r>
      <w:r w:rsidR="000F210C" w:rsidRPr="0046155E">
        <w:rPr>
          <w:rFonts w:ascii="Times New Roman" w:hAnsi="Times New Roman" w:cs="Times New Roman"/>
          <w:sz w:val="24"/>
          <w:szCs w:val="24"/>
        </w:rPr>
        <w:t>28</w:t>
      </w:r>
      <w:r w:rsidR="00E7300C" w:rsidRPr="0046155E">
        <w:rPr>
          <w:rFonts w:ascii="Times New Roman" w:hAnsi="Times New Roman" w:cs="Times New Roman"/>
          <w:sz w:val="24"/>
          <w:szCs w:val="24"/>
        </w:rPr>
        <w:t xml:space="preserve">7 in our cohort who </w:t>
      </w:r>
      <w:r w:rsidR="00C95AAD" w:rsidRPr="0046155E">
        <w:rPr>
          <w:rFonts w:ascii="Times New Roman" w:hAnsi="Times New Roman" w:cs="Times New Roman"/>
          <w:sz w:val="24"/>
          <w:szCs w:val="24"/>
        </w:rPr>
        <w:t xml:space="preserve">also had </w:t>
      </w:r>
      <w:r w:rsidR="00D62715" w:rsidRPr="0046155E">
        <w:rPr>
          <w:rFonts w:ascii="Times New Roman" w:hAnsi="Times New Roman" w:cs="Times New Roman"/>
          <w:sz w:val="24"/>
          <w:szCs w:val="24"/>
        </w:rPr>
        <w:t xml:space="preserve">linked and </w:t>
      </w:r>
      <w:r w:rsidR="00954C97" w:rsidRPr="0046155E">
        <w:rPr>
          <w:rFonts w:ascii="Times New Roman" w:hAnsi="Times New Roman" w:cs="Times New Roman"/>
          <w:sz w:val="24"/>
          <w:szCs w:val="24"/>
        </w:rPr>
        <w:t>continuous</w:t>
      </w:r>
      <w:r w:rsidR="00D62715" w:rsidRPr="0046155E">
        <w:rPr>
          <w:rFonts w:ascii="Times New Roman" w:hAnsi="Times New Roman" w:cs="Times New Roman"/>
          <w:sz w:val="24"/>
          <w:szCs w:val="24"/>
        </w:rPr>
        <w:t xml:space="preserve"> records </w:t>
      </w:r>
      <w:r w:rsidRPr="0046155E">
        <w:rPr>
          <w:rFonts w:ascii="Times New Roman" w:hAnsi="Times New Roman" w:cs="Times New Roman"/>
          <w:sz w:val="24"/>
          <w:szCs w:val="24"/>
        </w:rPr>
        <w:t>for seven</w:t>
      </w:r>
      <w:r w:rsidR="0037518A" w:rsidRPr="0046155E">
        <w:rPr>
          <w:rFonts w:ascii="Times New Roman" w:hAnsi="Times New Roman" w:cs="Times New Roman"/>
          <w:sz w:val="24"/>
          <w:szCs w:val="24"/>
        </w:rPr>
        <w:t xml:space="preserve"> years</w:t>
      </w:r>
      <w:r w:rsidR="008D6996" w:rsidRPr="0046155E">
        <w:rPr>
          <w:rFonts w:ascii="Times New Roman" w:hAnsi="Times New Roman" w:cs="Times New Roman"/>
          <w:sz w:val="24"/>
          <w:szCs w:val="24"/>
        </w:rPr>
        <w:t xml:space="preserve"> </w:t>
      </w:r>
      <w:r w:rsidRPr="0046155E">
        <w:rPr>
          <w:rFonts w:ascii="Times New Roman" w:hAnsi="Times New Roman" w:cs="Times New Roman"/>
          <w:sz w:val="24"/>
          <w:szCs w:val="24"/>
        </w:rPr>
        <w:t>until</w:t>
      </w:r>
      <w:r w:rsidR="008D6996" w:rsidRPr="0046155E">
        <w:rPr>
          <w:rFonts w:ascii="Times New Roman" w:hAnsi="Times New Roman" w:cs="Times New Roman"/>
          <w:sz w:val="24"/>
          <w:szCs w:val="24"/>
        </w:rPr>
        <w:t xml:space="preserve"> 1</w:t>
      </w:r>
      <w:r w:rsidR="008D6996" w:rsidRPr="0046155E">
        <w:rPr>
          <w:rFonts w:ascii="Times New Roman" w:hAnsi="Times New Roman" w:cs="Times New Roman"/>
          <w:sz w:val="24"/>
          <w:szCs w:val="24"/>
          <w:vertAlign w:val="superscript"/>
        </w:rPr>
        <w:t>st</w:t>
      </w:r>
      <w:r w:rsidR="008D6996" w:rsidRPr="0046155E">
        <w:rPr>
          <w:rFonts w:ascii="Times New Roman" w:hAnsi="Times New Roman" w:cs="Times New Roman"/>
          <w:sz w:val="24"/>
          <w:szCs w:val="24"/>
        </w:rPr>
        <w:t xml:space="preserve"> April 2020</w:t>
      </w:r>
      <w:r w:rsidR="00954C97" w:rsidRPr="0046155E">
        <w:rPr>
          <w:rFonts w:ascii="Times New Roman" w:hAnsi="Times New Roman" w:cs="Times New Roman"/>
          <w:sz w:val="24"/>
          <w:szCs w:val="24"/>
        </w:rPr>
        <w:t xml:space="preserve"> (or death)</w:t>
      </w:r>
      <w:r w:rsidR="000F210C" w:rsidRPr="0046155E">
        <w:rPr>
          <w:rFonts w:ascii="Times New Roman" w:hAnsi="Times New Roman" w:cs="Times New Roman"/>
          <w:sz w:val="24"/>
          <w:szCs w:val="24"/>
        </w:rPr>
        <w:t xml:space="preserve"> and for whom remission status could be assessed</w:t>
      </w:r>
      <w:r w:rsidR="00E7300C" w:rsidRPr="0046155E">
        <w:rPr>
          <w:rFonts w:ascii="Times New Roman" w:hAnsi="Times New Roman" w:cs="Times New Roman"/>
          <w:sz w:val="24"/>
          <w:szCs w:val="24"/>
        </w:rPr>
        <w:t>.</w:t>
      </w:r>
    </w:p>
    <w:p w14:paraId="50D190D2" w14:textId="77777777" w:rsidR="00D21C22" w:rsidRPr="00CD1F9F" w:rsidRDefault="00D21C22" w:rsidP="00E21AD0">
      <w:pPr>
        <w:autoSpaceDE w:val="0"/>
        <w:autoSpaceDN w:val="0"/>
        <w:adjustRightInd w:val="0"/>
        <w:spacing w:after="0" w:line="480" w:lineRule="auto"/>
        <w:jc w:val="both"/>
        <w:rPr>
          <w:rFonts w:ascii="Times New Roman" w:hAnsi="Times New Roman" w:cs="Times New Roman"/>
          <w:b/>
          <w:bCs/>
          <w:sz w:val="32"/>
          <w:szCs w:val="32"/>
        </w:rPr>
      </w:pPr>
      <w:r w:rsidRPr="00CD1F9F">
        <w:rPr>
          <w:rFonts w:ascii="Times New Roman" w:hAnsi="Times New Roman" w:cs="Times New Roman"/>
          <w:b/>
          <w:bCs/>
          <w:sz w:val="32"/>
          <w:szCs w:val="32"/>
        </w:rPr>
        <w:t>Exposure</w:t>
      </w:r>
    </w:p>
    <w:p w14:paraId="46EAE813" w14:textId="6DAD065A" w:rsidR="00D21C22" w:rsidRPr="0046155E" w:rsidRDefault="00D21C22" w:rsidP="00E21AD0">
      <w:pPr>
        <w:spacing w:after="0" w:line="480" w:lineRule="auto"/>
        <w:jc w:val="both"/>
        <w:rPr>
          <w:rFonts w:ascii="Times New Roman" w:hAnsi="Times New Roman" w:cs="Times New Roman"/>
          <w:i/>
          <w:iCs/>
          <w:sz w:val="24"/>
          <w:szCs w:val="24"/>
        </w:rPr>
      </w:pPr>
      <w:r w:rsidRPr="0046155E">
        <w:rPr>
          <w:rFonts w:ascii="Times New Roman" w:hAnsi="Times New Roman" w:cs="Times New Roman"/>
          <w:color w:val="000000"/>
          <w:sz w:val="24"/>
          <w:szCs w:val="24"/>
          <w:shd w:val="clear" w:color="auto" w:fill="FFFFFF"/>
        </w:rPr>
        <w:t xml:space="preserve">Remission was defined as </w:t>
      </w:r>
      <w:r w:rsidR="000F210C" w:rsidRPr="0046155E">
        <w:rPr>
          <w:rFonts w:ascii="Times New Roman" w:hAnsi="Times New Roman" w:cs="Times New Roman"/>
          <w:color w:val="000000"/>
          <w:sz w:val="24"/>
          <w:szCs w:val="24"/>
          <w:shd w:val="clear" w:color="auto" w:fill="FFFFFF"/>
        </w:rPr>
        <w:t>having two</w:t>
      </w:r>
      <w:r w:rsidRPr="0046155E">
        <w:rPr>
          <w:rFonts w:ascii="Times New Roman" w:hAnsi="Times New Roman" w:cs="Times New Roman"/>
          <w:color w:val="000000"/>
          <w:sz w:val="24"/>
          <w:szCs w:val="24"/>
          <w:shd w:val="clear" w:color="auto" w:fill="FFFFFF"/>
        </w:rPr>
        <w:t xml:space="preserve"> HbA</w:t>
      </w:r>
      <w:r w:rsidRPr="0046155E">
        <w:rPr>
          <w:rFonts w:ascii="Times New Roman" w:hAnsi="Times New Roman" w:cs="Times New Roman"/>
          <w:color w:val="000000"/>
          <w:sz w:val="24"/>
          <w:szCs w:val="24"/>
          <w:shd w:val="clear" w:color="auto" w:fill="FFFFFF"/>
          <w:vertAlign w:val="subscript"/>
        </w:rPr>
        <w:t>1c</w:t>
      </w:r>
      <w:r w:rsidRPr="0046155E">
        <w:rPr>
          <w:rFonts w:ascii="Times New Roman" w:hAnsi="Times New Roman" w:cs="Times New Roman"/>
          <w:color w:val="000000"/>
          <w:sz w:val="24"/>
          <w:szCs w:val="24"/>
          <w:shd w:val="clear" w:color="auto" w:fill="FFFFFF"/>
        </w:rPr>
        <w:t xml:space="preserve"> level &lt; 48 mmol/mol (6.5%) </w:t>
      </w:r>
      <w:r w:rsidR="000F210C" w:rsidRPr="0046155E">
        <w:rPr>
          <w:rFonts w:ascii="Times New Roman" w:hAnsi="Times New Roman" w:cs="Times New Roman"/>
          <w:color w:val="000000"/>
          <w:sz w:val="24"/>
          <w:szCs w:val="24"/>
          <w:shd w:val="clear" w:color="auto" w:fill="FFFFFF"/>
        </w:rPr>
        <w:t xml:space="preserve">measurements separated over a period of at least six months </w:t>
      </w:r>
      <w:r w:rsidRPr="0046155E">
        <w:rPr>
          <w:rFonts w:ascii="Times New Roman" w:hAnsi="Times New Roman" w:cs="Times New Roman"/>
          <w:color w:val="000000"/>
          <w:sz w:val="24"/>
          <w:szCs w:val="24"/>
          <w:shd w:val="clear" w:color="auto" w:fill="FFFFFF"/>
        </w:rPr>
        <w:t>in the absence of diabetes medication</w:t>
      </w:r>
      <w:r w:rsidR="006306D9" w:rsidRPr="0046155E">
        <w:rPr>
          <w:rFonts w:ascii="Times New Roman" w:hAnsi="Times New Roman" w:cs="Times New Roman"/>
          <w:color w:val="000000"/>
          <w:sz w:val="24"/>
          <w:szCs w:val="24"/>
          <w:shd w:val="clear" w:color="auto" w:fill="FFFFFF"/>
        </w:rPr>
        <w:t>s</w:t>
      </w:r>
      <w:r w:rsidRPr="0046155E">
        <w:rPr>
          <w:rFonts w:ascii="Times New Roman" w:hAnsi="Times New Roman" w:cs="Times New Roman"/>
          <w:color w:val="000000"/>
          <w:sz w:val="24"/>
          <w:szCs w:val="24"/>
          <w:shd w:val="clear" w:color="auto" w:fill="FFFFFF"/>
        </w:rPr>
        <w:t xml:space="preserve"> or bariatric surgery.</w:t>
      </w:r>
      <w:r w:rsidRPr="0046155E">
        <w:rPr>
          <w:rFonts w:ascii="Times New Roman" w:hAnsi="Times New Roman" w:cs="Times New Roman"/>
          <w:sz w:val="24"/>
          <w:szCs w:val="24"/>
        </w:rPr>
        <w:t xml:space="preserve"> </w:t>
      </w:r>
      <w:r w:rsidR="00DE39CA" w:rsidRPr="0046155E">
        <w:rPr>
          <w:rFonts w:ascii="Times New Roman" w:hAnsi="Times New Roman" w:cs="Times New Roman"/>
          <w:sz w:val="24"/>
          <w:szCs w:val="24"/>
        </w:rPr>
        <w:t>[1</w:t>
      </w:r>
      <w:r w:rsidR="004634C0" w:rsidRPr="0046155E">
        <w:rPr>
          <w:rFonts w:ascii="Times New Roman" w:hAnsi="Times New Roman" w:cs="Times New Roman"/>
          <w:sz w:val="24"/>
          <w:szCs w:val="24"/>
        </w:rPr>
        <w:t>4</w:t>
      </w:r>
      <w:r w:rsidR="00DE39CA" w:rsidRPr="0046155E">
        <w:rPr>
          <w:rFonts w:ascii="Times New Roman" w:hAnsi="Times New Roman" w:cs="Times New Roman"/>
          <w:sz w:val="24"/>
          <w:szCs w:val="24"/>
        </w:rPr>
        <w:t xml:space="preserve">] </w:t>
      </w:r>
      <w:r w:rsidRPr="0046155E">
        <w:rPr>
          <w:rFonts w:ascii="Times New Roman" w:hAnsi="Times New Roman" w:cs="Times New Roman"/>
          <w:sz w:val="24"/>
          <w:szCs w:val="24"/>
        </w:rPr>
        <w:t xml:space="preserve">Remission status was </w:t>
      </w:r>
      <w:r w:rsidR="005F75FD" w:rsidRPr="0046155E">
        <w:rPr>
          <w:rFonts w:ascii="Times New Roman" w:hAnsi="Times New Roman" w:cs="Times New Roman"/>
          <w:sz w:val="24"/>
          <w:szCs w:val="24"/>
        </w:rPr>
        <w:t xml:space="preserve">assessed </w:t>
      </w:r>
      <w:r w:rsidR="00DE39CA" w:rsidRPr="0046155E">
        <w:rPr>
          <w:rFonts w:ascii="Times New Roman" w:hAnsi="Times New Roman" w:cs="Times New Roman"/>
          <w:color w:val="000000"/>
          <w:sz w:val="24"/>
          <w:szCs w:val="24"/>
          <w:shd w:val="clear" w:color="auto" w:fill="FFFFFF"/>
        </w:rPr>
        <w:t>for people with HbA</w:t>
      </w:r>
      <w:r w:rsidR="00DE39CA" w:rsidRPr="0046155E">
        <w:rPr>
          <w:rFonts w:ascii="Times New Roman" w:hAnsi="Times New Roman" w:cs="Times New Roman"/>
          <w:color w:val="000000"/>
          <w:sz w:val="24"/>
          <w:szCs w:val="24"/>
          <w:shd w:val="clear" w:color="auto" w:fill="FFFFFF"/>
          <w:vertAlign w:val="subscript"/>
        </w:rPr>
        <w:t>1c</w:t>
      </w:r>
      <w:r w:rsidR="00DE39CA" w:rsidRPr="0046155E">
        <w:rPr>
          <w:rFonts w:ascii="Times New Roman" w:hAnsi="Times New Roman" w:cs="Times New Roman"/>
          <w:sz w:val="24"/>
          <w:szCs w:val="24"/>
        </w:rPr>
        <w:t xml:space="preserve"> data for at least two follow-up measurements (i.e., those surviving for at least the first 12 months of follow up)</w:t>
      </w:r>
      <w:r w:rsidR="006306D9" w:rsidRPr="0046155E">
        <w:rPr>
          <w:rFonts w:ascii="Times New Roman" w:hAnsi="Times New Roman" w:cs="Times New Roman"/>
          <w:sz w:val="24"/>
          <w:szCs w:val="24"/>
        </w:rPr>
        <w:t>.</w:t>
      </w:r>
    </w:p>
    <w:p w14:paraId="2BAFEC76" w14:textId="10FD32F3" w:rsidR="00D21C22" w:rsidRPr="00CD1F9F" w:rsidRDefault="00D21C22" w:rsidP="00E21AD0">
      <w:pPr>
        <w:spacing w:after="0" w:line="480" w:lineRule="auto"/>
        <w:rPr>
          <w:rFonts w:ascii="Times New Roman" w:hAnsi="Times New Roman" w:cs="Times New Roman"/>
          <w:b/>
          <w:bCs/>
          <w:sz w:val="32"/>
          <w:szCs w:val="32"/>
        </w:rPr>
      </w:pPr>
      <w:r w:rsidRPr="00CD1F9F">
        <w:rPr>
          <w:rFonts w:ascii="Times New Roman" w:hAnsi="Times New Roman" w:cs="Times New Roman"/>
          <w:b/>
          <w:bCs/>
          <w:sz w:val="32"/>
          <w:szCs w:val="32"/>
        </w:rPr>
        <w:t>Outcomes</w:t>
      </w:r>
    </w:p>
    <w:p w14:paraId="423553A3" w14:textId="28F18EA8" w:rsidR="00386C2B" w:rsidRPr="0046155E" w:rsidRDefault="00386C2B" w:rsidP="00E21AD0">
      <w:pPr>
        <w:pStyle w:val="ListParagraph"/>
        <w:numPr>
          <w:ilvl w:val="0"/>
          <w:numId w:val="6"/>
        </w:num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 xml:space="preserve">Macrovascular complication </w:t>
      </w:r>
      <w:r w:rsidR="00EB7727" w:rsidRPr="0046155E">
        <w:rPr>
          <w:rFonts w:ascii="Times New Roman" w:hAnsi="Times New Roman" w:cs="Times New Roman"/>
          <w:sz w:val="24"/>
          <w:szCs w:val="24"/>
        </w:rPr>
        <w:t>as a</w:t>
      </w:r>
      <w:r w:rsidRPr="0046155E">
        <w:rPr>
          <w:rFonts w:ascii="Times New Roman" w:hAnsi="Times New Roman" w:cs="Times New Roman"/>
          <w:sz w:val="24"/>
          <w:szCs w:val="24"/>
        </w:rPr>
        <w:t xml:space="preserve"> composite of stroke, </w:t>
      </w:r>
      <w:r w:rsidR="00BB2D6E" w:rsidRPr="0046155E">
        <w:rPr>
          <w:rFonts w:ascii="Times New Roman" w:hAnsi="Times New Roman" w:cs="Times New Roman"/>
          <w:sz w:val="24"/>
          <w:szCs w:val="24"/>
        </w:rPr>
        <w:t>myocardial infarct (MI)</w:t>
      </w:r>
      <w:r w:rsidRPr="0046155E">
        <w:rPr>
          <w:rFonts w:ascii="Times New Roman" w:hAnsi="Times New Roman" w:cs="Times New Roman"/>
          <w:sz w:val="24"/>
          <w:szCs w:val="24"/>
        </w:rPr>
        <w:t xml:space="preserve"> coronary heart disease (CHD), peripheral arterial disease (PAD), or amputation </w:t>
      </w:r>
    </w:p>
    <w:p w14:paraId="6A7221EB" w14:textId="77777777" w:rsidR="00386C2B" w:rsidRPr="0046155E" w:rsidRDefault="006306D9" w:rsidP="00E21AD0">
      <w:pPr>
        <w:pStyle w:val="ListParagraph"/>
        <w:numPr>
          <w:ilvl w:val="0"/>
          <w:numId w:val="6"/>
        </w:num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M</w:t>
      </w:r>
      <w:r w:rsidR="00D21C22" w:rsidRPr="0046155E">
        <w:rPr>
          <w:rFonts w:ascii="Times New Roman" w:hAnsi="Times New Roman" w:cs="Times New Roman"/>
          <w:sz w:val="24"/>
          <w:szCs w:val="24"/>
        </w:rPr>
        <w:t xml:space="preserve">icrovascular complications </w:t>
      </w:r>
      <w:r w:rsidR="00DC174F" w:rsidRPr="0046155E">
        <w:rPr>
          <w:rFonts w:ascii="Times New Roman" w:hAnsi="Times New Roman" w:cs="Times New Roman"/>
          <w:sz w:val="24"/>
          <w:szCs w:val="24"/>
        </w:rPr>
        <w:t xml:space="preserve">as </w:t>
      </w:r>
      <w:r w:rsidRPr="0046155E">
        <w:rPr>
          <w:rFonts w:ascii="Times New Roman" w:hAnsi="Times New Roman" w:cs="Times New Roman"/>
          <w:sz w:val="24"/>
          <w:szCs w:val="24"/>
        </w:rPr>
        <w:t xml:space="preserve">a </w:t>
      </w:r>
      <w:r w:rsidR="00D21C22" w:rsidRPr="0046155E">
        <w:rPr>
          <w:rFonts w:ascii="Times New Roman" w:hAnsi="Times New Roman" w:cs="Times New Roman"/>
          <w:sz w:val="24"/>
          <w:szCs w:val="24"/>
        </w:rPr>
        <w:t>composite of peripheral neuropathy, retinopathy, and nephropathy</w:t>
      </w:r>
    </w:p>
    <w:p w14:paraId="378C1A33" w14:textId="49373E6F" w:rsidR="00386C2B" w:rsidRPr="0046155E" w:rsidRDefault="00386C2B" w:rsidP="00E21AD0">
      <w:pPr>
        <w:pStyle w:val="ListParagraph"/>
        <w:numPr>
          <w:ilvl w:val="0"/>
          <w:numId w:val="6"/>
        </w:num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 xml:space="preserve">CVD events as </w:t>
      </w:r>
      <w:r w:rsidRPr="0046155E">
        <w:rPr>
          <w:rFonts w:ascii="Times New Roman" w:eastAsia="Times New Roman" w:hAnsi="Times New Roman" w:cs="Times New Roman"/>
          <w:sz w:val="24"/>
          <w:szCs w:val="24"/>
        </w:rPr>
        <w:t>a composite of</w:t>
      </w:r>
      <w:r w:rsidR="00BB2D6E" w:rsidRPr="0046155E">
        <w:rPr>
          <w:rFonts w:ascii="Times New Roman" w:eastAsia="Times New Roman" w:hAnsi="Times New Roman" w:cs="Times New Roman"/>
          <w:sz w:val="24"/>
          <w:szCs w:val="24"/>
        </w:rPr>
        <w:t xml:space="preserve"> </w:t>
      </w:r>
      <w:r w:rsidRPr="0046155E">
        <w:rPr>
          <w:rFonts w:ascii="Times New Roman" w:eastAsia="Times New Roman" w:hAnsi="Times New Roman" w:cs="Times New Roman"/>
          <w:sz w:val="24"/>
          <w:szCs w:val="24"/>
        </w:rPr>
        <w:t xml:space="preserve">MI, amputation, and stroke </w:t>
      </w:r>
    </w:p>
    <w:p w14:paraId="5C0D2E27" w14:textId="63FEFEB2" w:rsidR="009C334F" w:rsidRPr="0046155E" w:rsidRDefault="006306D9" w:rsidP="00E21AD0">
      <w:pPr>
        <w:pStyle w:val="ListParagraph"/>
        <w:numPr>
          <w:ilvl w:val="0"/>
          <w:numId w:val="6"/>
        </w:num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A</w:t>
      </w:r>
      <w:r w:rsidR="00D21C22" w:rsidRPr="0046155E">
        <w:rPr>
          <w:rFonts w:ascii="Times New Roman" w:hAnsi="Times New Roman" w:cs="Times New Roman"/>
          <w:sz w:val="24"/>
          <w:szCs w:val="24"/>
        </w:rPr>
        <w:t xml:space="preserve">ll-cause mortality </w:t>
      </w:r>
    </w:p>
    <w:p w14:paraId="2ABA530F" w14:textId="77777777" w:rsidR="00DE39CA" w:rsidRPr="0046155E" w:rsidRDefault="00DE39CA" w:rsidP="00E21AD0">
      <w:pPr>
        <w:spacing w:after="0" w:line="480" w:lineRule="auto"/>
        <w:ind w:left="360"/>
        <w:rPr>
          <w:rFonts w:ascii="Times New Roman" w:hAnsi="Times New Roman" w:cs="Times New Roman"/>
          <w:color w:val="1F3864" w:themeColor="accent1" w:themeShade="80"/>
          <w:sz w:val="24"/>
          <w:szCs w:val="24"/>
        </w:rPr>
      </w:pPr>
    </w:p>
    <w:p w14:paraId="250442CC" w14:textId="046ED3A7" w:rsidR="00DE39CA" w:rsidRPr="0046155E" w:rsidRDefault="00DE39CA" w:rsidP="00E21AD0">
      <w:p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 xml:space="preserve">We used </w:t>
      </w:r>
      <w:proofErr w:type="spellStart"/>
      <w:r w:rsidRPr="0046155E">
        <w:rPr>
          <w:rFonts w:ascii="Times New Roman" w:hAnsi="Times New Roman" w:cs="Times New Roman"/>
          <w:sz w:val="24"/>
          <w:szCs w:val="24"/>
        </w:rPr>
        <w:t>QoF</w:t>
      </w:r>
      <w:proofErr w:type="spellEnd"/>
      <w:r w:rsidRPr="0046155E">
        <w:rPr>
          <w:rFonts w:ascii="Times New Roman" w:hAnsi="Times New Roman" w:cs="Times New Roman"/>
          <w:sz w:val="24"/>
          <w:szCs w:val="24"/>
        </w:rPr>
        <w:t xml:space="preserve"> definitions for peripheral neuropathy, retinopathy, and nephropathy and these were captured using read codes from the primary care record. There was complete data on each outcome measure as a result of the linked data.</w:t>
      </w:r>
    </w:p>
    <w:p w14:paraId="487DE0BC" w14:textId="77777777" w:rsidR="00DE39CA" w:rsidRPr="0046155E" w:rsidRDefault="00DE39CA" w:rsidP="00E21AD0">
      <w:pPr>
        <w:spacing w:after="0" w:line="480" w:lineRule="auto"/>
        <w:rPr>
          <w:rFonts w:ascii="Times New Roman" w:hAnsi="Times New Roman" w:cs="Times New Roman"/>
          <w:sz w:val="24"/>
          <w:szCs w:val="24"/>
        </w:rPr>
      </w:pPr>
    </w:p>
    <w:p w14:paraId="0CCCAC2A" w14:textId="4B7B80E8" w:rsidR="00954C97" w:rsidRPr="00CD1F9F" w:rsidRDefault="00954C97" w:rsidP="00E21AD0">
      <w:pPr>
        <w:spacing w:after="0" w:line="480" w:lineRule="auto"/>
        <w:rPr>
          <w:rFonts w:ascii="Times New Roman" w:hAnsi="Times New Roman" w:cs="Times New Roman"/>
          <w:b/>
          <w:bCs/>
          <w:sz w:val="32"/>
          <w:szCs w:val="32"/>
        </w:rPr>
      </w:pPr>
      <w:r w:rsidRPr="00CD1F9F">
        <w:rPr>
          <w:rFonts w:ascii="Times New Roman" w:hAnsi="Times New Roman" w:cs="Times New Roman"/>
          <w:b/>
          <w:bCs/>
          <w:sz w:val="32"/>
          <w:szCs w:val="32"/>
        </w:rPr>
        <w:t>Covariates</w:t>
      </w:r>
    </w:p>
    <w:p w14:paraId="59B09F9D" w14:textId="48220C40" w:rsidR="00D60E90" w:rsidRPr="0046155E" w:rsidRDefault="00D60E90" w:rsidP="00E21AD0">
      <w:pPr>
        <w:spacing w:after="0" w:line="480" w:lineRule="auto"/>
        <w:rPr>
          <w:rFonts w:ascii="Times New Roman" w:hAnsi="Times New Roman" w:cs="Times New Roman"/>
          <w:i/>
          <w:iCs/>
          <w:sz w:val="24"/>
          <w:szCs w:val="24"/>
        </w:rPr>
      </w:pPr>
      <w:r w:rsidRPr="0046155E">
        <w:rPr>
          <w:rFonts w:ascii="Times New Roman" w:hAnsi="Times New Roman" w:cs="Times New Roman"/>
          <w:sz w:val="24"/>
          <w:szCs w:val="24"/>
        </w:rPr>
        <w:t>Sociodemographic characteristics</w:t>
      </w:r>
      <w:r w:rsidR="00954C97" w:rsidRPr="0046155E">
        <w:rPr>
          <w:rFonts w:ascii="Times New Roman" w:hAnsi="Times New Roman" w:cs="Times New Roman"/>
          <w:sz w:val="24"/>
          <w:szCs w:val="24"/>
        </w:rPr>
        <w:t>:</w:t>
      </w:r>
      <w:r w:rsidR="00954C97" w:rsidRPr="0046155E">
        <w:rPr>
          <w:rFonts w:ascii="Times New Roman" w:hAnsi="Times New Roman" w:cs="Times New Roman"/>
          <w:i/>
          <w:iCs/>
          <w:sz w:val="24"/>
          <w:szCs w:val="24"/>
        </w:rPr>
        <w:t xml:space="preserve"> </w:t>
      </w:r>
      <w:r w:rsidR="0073480D" w:rsidRPr="0046155E">
        <w:rPr>
          <w:rFonts w:ascii="Times New Roman" w:hAnsi="Times New Roman" w:cs="Times New Roman"/>
          <w:sz w:val="24"/>
          <w:szCs w:val="24"/>
        </w:rPr>
        <w:t xml:space="preserve">Baseline data </w:t>
      </w:r>
      <w:r w:rsidR="00954C97" w:rsidRPr="0046155E">
        <w:rPr>
          <w:rFonts w:ascii="Times New Roman" w:hAnsi="Times New Roman" w:cs="Times New Roman"/>
          <w:sz w:val="24"/>
          <w:szCs w:val="24"/>
        </w:rPr>
        <w:t xml:space="preserve">were extracted </w:t>
      </w:r>
      <w:r w:rsidR="0073480D" w:rsidRPr="0046155E">
        <w:rPr>
          <w:rFonts w:ascii="Times New Roman" w:hAnsi="Times New Roman" w:cs="Times New Roman"/>
          <w:sz w:val="24"/>
          <w:szCs w:val="24"/>
        </w:rPr>
        <w:t>on</w:t>
      </w:r>
      <w:r w:rsidR="00C9762F" w:rsidRPr="0046155E">
        <w:rPr>
          <w:rFonts w:ascii="Times New Roman" w:hAnsi="Times New Roman" w:cs="Times New Roman"/>
          <w:sz w:val="24"/>
          <w:szCs w:val="24"/>
        </w:rPr>
        <w:t xml:space="preserve"> age, sex, ethnicity (White, Black, Asian, Mixed and other)</w:t>
      </w:r>
      <w:r w:rsidR="00954C97" w:rsidRPr="0046155E">
        <w:rPr>
          <w:rFonts w:ascii="Times New Roman" w:hAnsi="Times New Roman" w:cs="Times New Roman"/>
          <w:sz w:val="24"/>
          <w:szCs w:val="24"/>
        </w:rPr>
        <w:t xml:space="preserve"> and</w:t>
      </w:r>
      <w:r w:rsidR="0073480D" w:rsidRPr="0046155E">
        <w:rPr>
          <w:rFonts w:ascii="Times New Roman" w:hAnsi="Times New Roman" w:cs="Times New Roman"/>
          <w:sz w:val="24"/>
          <w:szCs w:val="24"/>
        </w:rPr>
        <w:t xml:space="preserve"> s</w:t>
      </w:r>
      <w:r w:rsidR="00C9762F" w:rsidRPr="0046155E">
        <w:rPr>
          <w:rFonts w:ascii="Times New Roman" w:hAnsi="Times New Roman" w:cs="Times New Roman"/>
          <w:sz w:val="24"/>
          <w:szCs w:val="24"/>
        </w:rPr>
        <w:t>ocioeconomic status</w:t>
      </w:r>
      <w:r w:rsidR="00954C97" w:rsidRPr="0046155E">
        <w:rPr>
          <w:rFonts w:ascii="Times New Roman" w:hAnsi="Times New Roman" w:cs="Times New Roman"/>
          <w:sz w:val="24"/>
          <w:szCs w:val="24"/>
        </w:rPr>
        <w:t>. This was</w:t>
      </w:r>
      <w:r w:rsidR="00C9762F" w:rsidRPr="0046155E">
        <w:rPr>
          <w:rFonts w:ascii="Times New Roman" w:hAnsi="Times New Roman" w:cs="Times New Roman"/>
          <w:sz w:val="24"/>
          <w:szCs w:val="24"/>
        </w:rPr>
        <w:t xml:space="preserve"> defined using the 2019 Index of Multiple Deprivation (IMD) quintiles</w:t>
      </w:r>
      <w:r w:rsidR="00954C97" w:rsidRPr="0046155E">
        <w:rPr>
          <w:rFonts w:ascii="Times New Roman" w:hAnsi="Times New Roman" w:cs="Times New Roman"/>
          <w:sz w:val="24"/>
          <w:szCs w:val="24"/>
        </w:rPr>
        <w:t xml:space="preserve"> which is </w:t>
      </w:r>
      <w:r w:rsidR="00C9762F" w:rsidRPr="0046155E">
        <w:rPr>
          <w:rFonts w:ascii="Times New Roman" w:hAnsi="Times New Roman" w:cs="Times New Roman"/>
          <w:sz w:val="24"/>
          <w:szCs w:val="24"/>
        </w:rPr>
        <w:t>a small-area measure of socioeconomic status, ranked nationally and comprises seven domains: income, employment, education/skills/training, health and disability, crime, barriers to housing and services, and living environment</w:t>
      </w:r>
      <w:r w:rsidR="0073480D" w:rsidRPr="0046155E">
        <w:rPr>
          <w:rFonts w:ascii="Times New Roman" w:hAnsi="Times New Roman" w:cs="Times New Roman"/>
          <w:sz w:val="24"/>
          <w:szCs w:val="24"/>
        </w:rPr>
        <w:t>) were available</w:t>
      </w:r>
      <w:r w:rsidR="00C9762F" w:rsidRPr="0046155E">
        <w:rPr>
          <w:rFonts w:ascii="Times New Roman" w:hAnsi="Times New Roman" w:cs="Times New Roman"/>
          <w:sz w:val="24"/>
          <w:szCs w:val="24"/>
        </w:rPr>
        <w:t>.</w:t>
      </w:r>
      <w:r w:rsidR="00A11395" w:rsidRPr="0046155E">
        <w:rPr>
          <w:rFonts w:ascii="Times New Roman" w:hAnsi="Times New Roman" w:cs="Times New Roman"/>
          <w:sz w:val="24"/>
          <w:szCs w:val="24"/>
        </w:rPr>
        <w:t xml:space="preserve"> </w:t>
      </w:r>
      <w:r w:rsidR="00954C97" w:rsidRPr="0046155E">
        <w:rPr>
          <w:rFonts w:ascii="Times New Roman" w:hAnsi="Times New Roman" w:cs="Times New Roman"/>
          <w:sz w:val="24"/>
          <w:szCs w:val="24"/>
        </w:rPr>
        <w:t>IMD 1 represents the most deprived and IMD 5 represents the least deprived groups.</w:t>
      </w:r>
    </w:p>
    <w:p w14:paraId="43AE9F01" w14:textId="5A2691A8" w:rsidR="00D60E90" w:rsidRPr="0046155E" w:rsidRDefault="00D60E90" w:rsidP="00E21AD0">
      <w:pPr>
        <w:pStyle w:val="NormalWeb"/>
        <w:shd w:val="clear" w:color="auto" w:fill="FFFFFF"/>
        <w:spacing w:before="0" w:beforeAutospacing="0" w:after="0" w:afterAutospacing="0" w:line="480" w:lineRule="auto"/>
        <w:contextualSpacing/>
        <w:mirrorIndents/>
        <w:jc w:val="both"/>
        <w:textAlignment w:val="baseline"/>
        <w:rPr>
          <w:i/>
          <w:iCs/>
        </w:rPr>
      </w:pPr>
      <w:r w:rsidRPr="0046155E">
        <w:t>Clinical variables</w:t>
      </w:r>
      <w:r w:rsidR="00954C97" w:rsidRPr="0046155E">
        <w:t>:</w:t>
      </w:r>
      <w:r w:rsidR="00954C97" w:rsidRPr="0046155E">
        <w:rPr>
          <w:i/>
          <w:iCs/>
        </w:rPr>
        <w:t xml:space="preserve"> </w:t>
      </w:r>
      <w:r w:rsidR="00A11395" w:rsidRPr="0046155E">
        <w:t xml:space="preserve">Baseline </w:t>
      </w:r>
      <w:r w:rsidR="009254AE" w:rsidRPr="0046155E">
        <w:t>comorbidities were define</w:t>
      </w:r>
      <w:r w:rsidRPr="0046155E">
        <w:t>d</w:t>
      </w:r>
      <w:r w:rsidRPr="0046155E">
        <w:rPr>
          <w:shd w:val="clear" w:color="auto" w:fill="FFFFFF"/>
        </w:rPr>
        <w:t xml:space="preserve"> from diagnostic codes from existing QOF conditions</w:t>
      </w:r>
      <w:r w:rsidR="00727D0E" w:rsidRPr="0046155E">
        <w:rPr>
          <w:shd w:val="clear" w:color="auto" w:fill="FFFFFF"/>
        </w:rPr>
        <w:t xml:space="preserve"> </w:t>
      </w:r>
      <w:r w:rsidR="0010632D" w:rsidRPr="0046155E">
        <w:rPr>
          <w:shd w:val="clear" w:color="auto" w:fill="FFFFFF"/>
        </w:rPr>
        <w:t xml:space="preserve">including </w:t>
      </w:r>
      <w:r w:rsidRPr="0046155E">
        <w:rPr>
          <w:shd w:val="clear" w:color="auto" w:fill="FFFFFF"/>
        </w:rPr>
        <w:t>coronary heart disease,</w:t>
      </w:r>
      <w:r w:rsidR="00727D0E" w:rsidRPr="0046155E">
        <w:rPr>
          <w:shd w:val="clear" w:color="auto" w:fill="FFFFFF"/>
        </w:rPr>
        <w:t xml:space="preserve"> </w:t>
      </w:r>
      <w:r w:rsidRPr="0046155E">
        <w:rPr>
          <w:shd w:val="clear" w:color="auto" w:fill="FFFFFF"/>
        </w:rPr>
        <w:t xml:space="preserve">chronic kidney disease, </w:t>
      </w:r>
      <w:r w:rsidR="00970B72" w:rsidRPr="0046155E">
        <w:rPr>
          <w:shd w:val="clear" w:color="auto" w:fill="FFFFFF"/>
        </w:rPr>
        <w:t>chronic obstructive pulmonary disease (COPD)</w:t>
      </w:r>
      <w:r w:rsidRPr="0046155E">
        <w:rPr>
          <w:shd w:val="clear" w:color="auto" w:fill="FFFFFF"/>
        </w:rPr>
        <w:t>, asthma, cancer, dementia, atrial fibrillation, epilepsy, heart failure, stroke, peripheral vascular disease,</w:t>
      </w:r>
      <w:r w:rsidR="00970B72" w:rsidRPr="0046155E">
        <w:rPr>
          <w:shd w:val="clear" w:color="auto" w:fill="FFFFFF"/>
        </w:rPr>
        <w:t xml:space="preserve"> </w:t>
      </w:r>
      <w:r w:rsidRPr="0046155E">
        <w:rPr>
          <w:shd w:val="clear" w:color="auto" w:fill="FFFFFF"/>
        </w:rPr>
        <w:t xml:space="preserve">hypertension, osteoporosis, </w:t>
      </w:r>
      <w:r w:rsidR="00970B72" w:rsidRPr="0046155E">
        <w:rPr>
          <w:shd w:val="clear" w:color="auto" w:fill="FFFFFF"/>
        </w:rPr>
        <w:t>osteo</w:t>
      </w:r>
      <w:r w:rsidRPr="0046155E">
        <w:rPr>
          <w:shd w:val="clear" w:color="auto" w:fill="FFFFFF"/>
        </w:rPr>
        <w:t xml:space="preserve">arthritis, </w:t>
      </w:r>
      <w:r w:rsidR="00727D0E" w:rsidRPr="0046155E">
        <w:rPr>
          <w:shd w:val="clear" w:color="auto" w:fill="FFFFFF"/>
        </w:rPr>
        <w:t xml:space="preserve">and </w:t>
      </w:r>
      <w:r w:rsidRPr="0046155E">
        <w:rPr>
          <w:shd w:val="clear" w:color="auto" w:fill="FFFFFF"/>
        </w:rPr>
        <w:t>depression.</w:t>
      </w:r>
      <w:r w:rsidRPr="0046155E">
        <w:t xml:space="preserve"> </w:t>
      </w:r>
      <w:r w:rsidR="002970E0" w:rsidRPr="0046155E">
        <w:t xml:space="preserve">Frailty was defined using the electronic frailty Index score. </w:t>
      </w:r>
      <w:r w:rsidR="00A11395" w:rsidRPr="0046155E">
        <w:t>Lates</w:t>
      </w:r>
      <w:r w:rsidR="0010632D" w:rsidRPr="0046155E">
        <w:t xml:space="preserve">t </w:t>
      </w:r>
      <w:r w:rsidR="00A11395" w:rsidRPr="0046155E">
        <w:t xml:space="preserve">smoking status </w:t>
      </w:r>
      <w:r w:rsidR="0010632D" w:rsidRPr="0046155E">
        <w:t>was extracted</w:t>
      </w:r>
      <w:r w:rsidR="00A11395" w:rsidRPr="0046155E">
        <w:t xml:space="preserve"> </w:t>
      </w:r>
      <w:r w:rsidR="00662D98" w:rsidRPr="0046155E">
        <w:t>at the start of the study (1</w:t>
      </w:r>
      <w:r w:rsidR="00662D98" w:rsidRPr="0046155E">
        <w:rPr>
          <w:vertAlign w:val="superscript"/>
        </w:rPr>
        <w:t>st</w:t>
      </w:r>
      <w:r w:rsidR="00662D98" w:rsidRPr="0046155E">
        <w:t xml:space="preserve"> January 2013)</w:t>
      </w:r>
      <w:r w:rsidR="0010632D" w:rsidRPr="0046155E">
        <w:t>. W</w:t>
      </w:r>
      <w:r w:rsidR="008D6996" w:rsidRPr="0046155E">
        <w:t>eight, body mass index (BMI)</w:t>
      </w:r>
      <w:r w:rsidRPr="0046155E">
        <w:t xml:space="preserve">, </w:t>
      </w:r>
      <w:r w:rsidR="001F0E6C" w:rsidRPr="0046155E">
        <w:t xml:space="preserve">systolic and diastolic </w:t>
      </w:r>
      <w:r w:rsidRPr="0046155E">
        <w:t>blood pressure</w:t>
      </w:r>
      <w:r w:rsidR="008D6996" w:rsidRPr="0046155E">
        <w:t xml:space="preserve"> and biochemistry measures (</w:t>
      </w:r>
      <w:r w:rsidR="00F42560" w:rsidRPr="0046155E">
        <w:t>including</w:t>
      </w:r>
      <w:r w:rsidR="0010632D" w:rsidRPr="0046155E">
        <w:rPr>
          <w:color w:val="000000"/>
          <w:shd w:val="clear" w:color="auto" w:fill="FFFFFF"/>
        </w:rPr>
        <w:t xml:space="preserve"> HbA</w:t>
      </w:r>
      <w:r w:rsidR="0010632D" w:rsidRPr="0046155E">
        <w:rPr>
          <w:color w:val="000000"/>
          <w:shd w:val="clear" w:color="auto" w:fill="FFFFFF"/>
          <w:vertAlign w:val="subscript"/>
        </w:rPr>
        <w:t>1c</w:t>
      </w:r>
      <w:r w:rsidR="0010632D" w:rsidRPr="0046155E">
        <w:t xml:space="preserve"> t</w:t>
      </w:r>
      <w:r w:rsidRPr="0046155E">
        <w:t>otal cholesterol, HDL-cholesterol</w:t>
      </w:r>
      <w:r w:rsidR="00F42560" w:rsidRPr="0046155E">
        <w:t xml:space="preserve"> and</w:t>
      </w:r>
      <w:r w:rsidRPr="0046155E">
        <w:t xml:space="preserve"> eGFR</w:t>
      </w:r>
      <w:r w:rsidR="00F42560" w:rsidRPr="0046155E">
        <w:t xml:space="preserve">) </w:t>
      </w:r>
      <w:r w:rsidR="0010632D" w:rsidRPr="0046155E">
        <w:t xml:space="preserve">were </w:t>
      </w:r>
      <w:r w:rsidR="002970E0" w:rsidRPr="0046155E">
        <w:t>taken between January 2013 and April 202</w:t>
      </w:r>
      <w:r w:rsidR="0010632D" w:rsidRPr="0046155E">
        <w:t>0</w:t>
      </w:r>
      <w:r w:rsidR="00F42560" w:rsidRPr="0046155E">
        <w:t xml:space="preserve"> </w:t>
      </w:r>
      <w:r w:rsidR="0010632D" w:rsidRPr="0046155E">
        <w:t>in six</w:t>
      </w:r>
      <w:r w:rsidR="000B09D3" w:rsidRPr="0046155E">
        <w:t>-</w:t>
      </w:r>
      <w:r w:rsidR="0010632D" w:rsidRPr="0046155E">
        <w:t>month intervals</w:t>
      </w:r>
      <w:r w:rsidR="00E2201B" w:rsidRPr="0046155E">
        <w:t>,</w:t>
      </w:r>
      <w:r w:rsidR="0010632D" w:rsidRPr="0046155E">
        <w:t xml:space="preserve"> </w:t>
      </w:r>
      <w:r w:rsidR="002970E0" w:rsidRPr="0046155E">
        <w:t>w</w:t>
      </w:r>
      <w:r w:rsidR="0010632D" w:rsidRPr="0046155E">
        <w:t>h</w:t>
      </w:r>
      <w:r w:rsidR="002970E0" w:rsidRPr="0046155E">
        <w:t xml:space="preserve">ere available. </w:t>
      </w:r>
      <w:r w:rsidR="0010632D" w:rsidRPr="0046155E">
        <w:t xml:space="preserve">For baseline, we used measures recorded between </w:t>
      </w:r>
      <w:r w:rsidR="00410A8D" w:rsidRPr="0046155E">
        <w:t>1</w:t>
      </w:r>
      <w:r w:rsidR="00410A8D" w:rsidRPr="0046155E">
        <w:rPr>
          <w:vertAlign w:val="superscript"/>
        </w:rPr>
        <w:t>st</w:t>
      </w:r>
      <w:r w:rsidR="00410A8D" w:rsidRPr="0046155E">
        <w:t xml:space="preserve"> January 2013-1</w:t>
      </w:r>
      <w:r w:rsidR="00410A8D" w:rsidRPr="0046155E">
        <w:rPr>
          <w:vertAlign w:val="superscript"/>
        </w:rPr>
        <w:t>st</w:t>
      </w:r>
      <w:r w:rsidR="00410A8D" w:rsidRPr="0046155E">
        <w:t xml:space="preserve"> April 2013</w:t>
      </w:r>
      <w:r w:rsidR="0010632D" w:rsidRPr="0046155E">
        <w:t>.</w:t>
      </w:r>
    </w:p>
    <w:p w14:paraId="0FC3D71D" w14:textId="77777777" w:rsidR="00D60E90" w:rsidRPr="0046155E" w:rsidRDefault="00D60E90" w:rsidP="00E21AD0">
      <w:pPr>
        <w:pStyle w:val="NormalWeb"/>
        <w:shd w:val="clear" w:color="auto" w:fill="FFFFFF"/>
        <w:spacing w:before="0" w:beforeAutospacing="0" w:after="0" w:afterAutospacing="0" w:line="480" w:lineRule="auto"/>
        <w:contextualSpacing/>
        <w:mirrorIndents/>
        <w:jc w:val="both"/>
        <w:textAlignment w:val="baseline"/>
      </w:pPr>
    </w:p>
    <w:p w14:paraId="5399DA71" w14:textId="6606EEB9" w:rsidR="002970E0" w:rsidRDefault="00D60E90" w:rsidP="00E21AD0">
      <w:pPr>
        <w:pStyle w:val="NormalWeb"/>
        <w:shd w:val="clear" w:color="auto" w:fill="FFFFFF"/>
        <w:spacing w:before="0" w:beforeAutospacing="0" w:after="0" w:afterAutospacing="0" w:line="480" w:lineRule="auto"/>
        <w:contextualSpacing/>
        <w:mirrorIndents/>
        <w:jc w:val="both"/>
        <w:textAlignment w:val="baseline"/>
      </w:pPr>
      <w:r w:rsidRPr="0046155E">
        <w:t>Medication</w:t>
      </w:r>
      <w:r w:rsidR="00954C97" w:rsidRPr="0046155E">
        <w:t>:</w:t>
      </w:r>
      <w:r w:rsidR="00954C97" w:rsidRPr="0046155E">
        <w:rPr>
          <w:i/>
          <w:iCs/>
        </w:rPr>
        <w:t xml:space="preserve"> </w:t>
      </w:r>
      <w:r w:rsidR="009254AE" w:rsidRPr="0046155E">
        <w:t xml:space="preserve">Prescribed </w:t>
      </w:r>
      <w:r w:rsidR="0010632D" w:rsidRPr="0046155E">
        <w:t xml:space="preserve">repeat </w:t>
      </w:r>
      <w:r w:rsidR="009254AE" w:rsidRPr="0046155E">
        <w:t xml:space="preserve">medication data were </w:t>
      </w:r>
      <w:r w:rsidR="0010632D" w:rsidRPr="0046155E">
        <w:t>extracted</w:t>
      </w:r>
      <w:r w:rsidR="009254AE" w:rsidRPr="0046155E">
        <w:t xml:space="preserve"> from the </w:t>
      </w:r>
      <w:r w:rsidR="0010632D" w:rsidRPr="0046155E">
        <w:t>electronic record at</w:t>
      </w:r>
      <w:r w:rsidR="009254AE" w:rsidRPr="0046155E">
        <w:t xml:space="preserve"> </w:t>
      </w:r>
      <w:r w:rsidR="00410A8D" w:rsidRPr="0046155E">
        <w:t>6-month</w:t>
      </w:r>
      <w:r w:rsidR="009254AE" w:rsidRPr="0046155E">
        <w:t xml:space="preserve"> </w:t>
      </w:r>
      <w:r w:rsidR="0010632D" w:rsidRPr="0046155E">
        <w:t>intervals</w:t>
      </w:r>
      <w:r w:rsidR="002970E0" w:rsidRPr="0046155E">
        <w:t xml:space="preserve"> for the duration of the study period</w:t>
      </w:r>
      <w:r w:rsidR="009254AE" w:rsidRPr="0046155E">
        <w:t xml:space="preserve">. </w:t>
      </w:r>
      <w:r w:rsidR="00EB7727" w:rsidRPr="0046155E">
        <w:t>We used the prescriptions between 1</w:t>
      </w:r>
      <w:r w:rsidR="00EB7727" w:rsidRPr="0046155E">
        <w:rPr>
          <w:vertAlign w:val="superscript"/>
        </w:rPr>
        <w:t>st</w:t>
      </w:r>
      <w:r w:rsidR="00EB7727" w:rsidRPr="0046155E">
        <w:t xml:space="preserve"> January 2013-1</w:t>
      </w:r>
      <w:r w:rsidR="00EB7727" w:rsidRPr="0046155E">
        <w:rPr>
          <w:vertAlign w:val="superscript"/>
        </w:rPr>
        <w:t>st</w:t>
      </w:r>
      <w:r w:rsidR="00EB7727" w:rsidRPr="0046155E">
        <w:t xml:space="preserve"> April 2013</w:t>
      </w:r>
      <w:r w:rsidR="00BB2D6E" w:rsidRPr="0046155E">
        <w:t xml:space="preserve"> </w:t>
      </w:r>
      <w:r w:rsidR="00EB7727" w:rsidRPr="0046155E">
        <w:t>as the baseline.</w:t>
      </w:r>
    </w:p>
    <w:p w14:paraId="40BC2B66" w14:textId="77777777" w:rsidR="000670AA" w:rsidRPr="00CD1F9F" w:rsidRDefault="000670AA" w:rsidP="000670AA">
      <w:pPr>
        <w:rPr>
          <w:rFonts w:ascii="Times New Roman" w:hAnsi="Times New Roman" w:cs="Times New Roman"/>
          <w:b/>
          <w:bCs/>
          <w:sz w:val="32"/>
          <w:szCs w:val="32"/>
        </w:rPr>
      </w:pPr>
      <w:r w:rsidRPr="00CD1F9F">
        <w:rPr>
          <w:rFonts w:ascii="Times New Roman" w:hAnsi="Times New Roman" w:cs="Times New Roman"/>
          <w:b/>
          <w:bCs/>
          <w:sz w:val="32"/>
          <w:szCs w:val="32"/>
        </w:rPr>
        <w:t>Ethics statement</w:t>
      </w:r>
    </w:p>
    <w:p w14:paraId="33012991" w14:textId="01391099" w:rsidR="000670AA" w:rsidRPr="007F6BA3" w:rsidRDefault="000670AA" w:rsidP="00CD1F9F">
      <w:pPr>
        <w:spacing w:after="0" w:line="480" w:lineRule="auto"/>
      </w:pPr>
      <w:r w:rsidRPr="00605548">
        <w:rPr>
          <w:rFonts w:ascii="Times New Roman" w:eastAsia="Times New Roman" w:hAnsi="Times New Roman" w:cs="Times New Roman"/>
        </w:rPr>
        <w:t>CHIA is an anonymous National Health Service database and all individuals have consented for collection of their medical records for inclusion in the database</w:t>
      </w:r>
      <w:r>
        <w:rPr>
          <w:rFonts w:ascii="Times New Roman" w:eastAsia="Times New Roman" w:hAnsi="Times New Roman" w:cs="Times New Roman"/>
        </w:rPr>
        <w:t xml:space="preserve"> (written consent)</w:t>
      </w:r>
      <w:r w:rsidRPr="00605548">
        <w:rPr>
          <w:rFonts w:ascii="Times New Roman" w:eastAsia="Times New Roman" w:hAnsi="Times New Roman" w:cs="Times New Roman"/>
        </w:rPr>
        <w:t>. Ethical and governance approval for this study was obtained from the University of Southampton (ERGO 56127), and Care and Health Information Exchange Information Governance Group (CHIE IGG). </w:t>
      </w:r>
      <w:r>
        <w:rPr>
          <w:rFonts w:ascii="Times New Roman" w:eastAsia="Times New Roman" w:hAnsi="Times New Roman" w:cs="Times New Roman"/>
        </w:rPr>
        <w:t>All data were fully anonymised prior to the research team gaining access to the data.</w:t>
      </w:r>
    </w:p>
    <w:p w14:paraId="5FE30698" w14:textId="154B8403" w:rsidR="00D21C22" w:rsidRPr="0046155E" w:rsidRDefault="00D21C22" w:rsidP="00E21AD0">
      <w:pPr>
        <w:pStyle w:val="NormalWeb"/>
        <w:shd w:val="clear" w:color="auto" w:fill="FFFFFF"/>
        <w:spacing w:before="0" w:beforeAutospacing="0" w:after="0" w:afterAutospacing="0" w:line="480" w:lineRule="auto"/>
        <w:contextualSpacing/>
        <w:mirrorIndents/>
        <w:jc w:val="both"/>
        <w:textAlignment w:val="baseline"/>
      </w:pPr>
    </w:p>
    <w:p w14:paraId="7A768C3F" w14:textId="08066658" w:rsidR="00662D98" w:rsidRPr="00CD1F9F" w:rsidRDefault="00F02231" w:rsidP="00E21AD0">
      <w:pPr>
        <w:spacing w:after="0" w:line="480" w:lineRule="auto"/>
        <w:jc w:val="both"/>
        <w:rPr>
          <w:rFonts w:ascii="Times New Roman" w:hAnsi="Times New Roman" w:cs="Times New Roman"/>
          <w:b/>
          <w:bCs/>
          <w:color w:val="000000"/>
          <w:sz w:val="32"/>
          <w:szCs w:val="32"/>
          <w:shd w:val="clear" w:color="auto" w:fill="FFFFFF"/>
        </w:rPr>
      </w:pPr>
      <w:r w:rsidRPr="00CD1F9F">
        <w:rPr>
          <w:rFonts w:ascii="Times New Roman" w:hAnsi="Times New Roman" w:cs="Times New Roman"/>
          <w:b/>
          <w:bCs/>
          <w:color w:val="000000"/>
          <w:sz w:val="32"/>
          <w:szCs w:val="32"/>
          <w:shd w:val="clear" w:color="auto" w:fill="FFFFFF"/>
        </w:rPr>
        <w:t xml:space="preserve">Statistical </w:t>
      </w:r>
      <w:r w:rsidR="00574AAE">
        <w:rPr>
          <w:rFonts w:ascii="Times New Roman" w:hAnsi="Times New Roman" w:cs="Times New Roman"/>
          <w:b/>
          <w:bCs/>
          <w:color w:val="000000"/>
          <w:sz w:val="32"/>
          <w:szCs w:val="32"/>
          <w:shd w:val="clear" w:color="auto" w:fill="FFFFFF"/>
        </w:rPr>
        <w:t>a</w:t>
      </w:r>
      <w:r w:rsidR="00F16F6A" w:rsidRPr="00CD1F9F">
        <w:rPr>
          <w:rFonts w:ascii="Times New Roman" w:hAnsi="Times New Roman" w:cs="Times New Roman"/>
          <w:b/>
          <w:bCs/>
          <w:color w:val="000000"/>
          <w:sz w:val="32"/>
          <w:szCs w:val="32"/>
          <w:shd w:val="clear" w:color="auto" w:fill="FFFFFF"/>
        </w:rPr>
        <w:t>nalysis</w:t>
      </w:r>
    </w:p>
    <w:p w14:paraId="0B16AFCE" w14:textId="34660BFA" w:rsidR="002C2768" w:rsidRPr="0046155E" w:rsidRDefault="00DC174F"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We summaris</w:t>
      </w:r>
      <w:r w:rsidR="006306D9" w:rsidRPr="0046155E">
        <w:rPr>
          <w:rFonts w:ascii="Times New Roman" w:hAnsi="Times New Roman" w:cs="Times New Roman"/>
          <w:sz w:val="24"/>
          <w:szCs w:val="24"/>
        </w:rPr>
        <w:t xml:space="preserve">ed </w:t>
      </w:r>
      <w:r w:rsidRPr="0046155E">
        <w:rPr>
          <w:rFonts w:ascii="Times New Roman" w:hAnsi="Times New Roman" w:cs="Times New Roman"/>
          <w:sz w:val="24"/>
          <w:szCs w:val="24"/>
        </w:rPr>
        <w:t>base</w:t>
      </w:r>
      <w:r w:rsidR="006306D9" w:rsidRPr="0046155E">
        <w:rPr>
          <w:rFonts w:ascii="Times New Roman" w:hAnsi="Times New Roman" w:cs="Times New Roman"/>
          <w:sz w:val="24"/>
          <w:szCs w:val="24"/>
        </w:rPr>
        <w:t>line</w:t>
      </w:r>
      <w:r w:rsidRPr="0046155E">
        <w:rPr>
          <w:rFonts w:ascii="Times New Roman" w:hAnsi="Times New Roman" w:cs="Times New Roman"/>
          <w:sz w:val="24"/>
          <w:szCs w:val="24"/>
        </w:rPr>
        <w:t xml:space="preserve"> characteristics</w:t>
      </w:r>
      <w:r w:rsidR="008A2E26" w:rsidRPr="0046155E">
        <w:rPr>
          <w:rFonts w:ascii="Times New Roman" w:hAnsi="Times New Roman" w:cs="Times New Roman"/>
          <w:sz w:val="24"/>
          <w:szCs w:val="24"/>
        </w:rPr>
        <w:t xml:space="preserve"> of the whole cohort</w:t>
      </w:r>
      <w:r w:rsidR="002E4A38" w:rsidRPr="0046155E">
        <w:rPr>
          <w:rFonts w:ascii="Times New Roman" w:hAnsi="Times New Roman" w:cs="Times New Roman"/>
          <w:sz w:val="24"/>
          <w:szCs w:val="24"/>
        </w:rPr>
        <w:t>.</w:t>
      </w:r>
      <w:r w:rsidR="00F25A30" w:rsidRPr="0046155E">
        <w:rPr>
          <w:rFonts w:ascii="Times New Roman" w:hAnsi="Times New Roman" w:cs="Times New Roman"/>
          <w:sz w:val="24"/>
          <w:szCs w:val="24"/>
        </w:rPr>
        <w:t xml:space="preserve"> </w:t>
      </w:r>
      <w:r w:rsidR="0066394E" w:rsidRPr="0046155E">
        <w:rPr>
          <w:rFonts w:ascii="Times New Roman" w:hAnsi="Times New Roman" w:cs="Times New Roman"/>
          <w:sz w:val="24"/>
          <w:szCs w:val="24"/>
        </w:rPr>
        <w:t>There were missing data on ethnicity (49%) and IMD (0.9%). Ethnicity is frequently missing from routinely collected primary care records and w</w:t>
      </w:r>
      <w:r w:rsidR="00B61F6E" w:rsidRPr="0046155E">
        <w:rPr>
          <w:rFonts w:ascii="Times New Roman" w:hAnsi="Times New Roman" w:cs="Times New Roman"/>
          <w:sz w:val="24"/>
          <w:szCs w:val="24"/>
        </w:rPr>
        <w:t>e</w:t>
      </w:r>
      <w:r w:rsidR="0066394E" w:rsidRPr="0046155E">
        <w:rPr>
          <w:rFonts w:ascii="Times New Roman" w:hAnsi="Times New Roman" w:cs="Times New Roman"/>
          <w:sz w:val="24"/>
          <w:szCs w:val="24"/>
        </w:rPr>
        <w:t xml:space="preserve"> assigned</w:t>
      </w:r>
      <w:r w:rsidR="00B61F6E" w:rsidRPr="0046155E">
        <w:rPr>
          <w:rFonts w:ascii="Times New Roman" w:hAnsi="Times New Roman" w:cs="Times New Roman"/>
          <w:sz w:val="24"/>
          <w:szCs w:val="24"/>
        </w:rPr>
        <w:t xml:space="preserve"> missing data</w:t>
      </w:r>
      <w:r w:rsidR="0066394E" w:rsidRPr="0046155E">
        <w:rPr>
          <w:rFonts w:ascii="Times New Roman" w:hAnsi="Times New Roman" w:cs="Times New Roman"/>
          <w:sz w:val="24"/>
          <w:szCs w:val="24"/>
        </w:rPr>
        <w:t xml:space="preserve"> into the white category</w:t>
      </w:r>
      <w:r w:rsidR="00F25A30" w:rsidRPr="0046155E">
        <w:rPr>
          <w:rFonts w:ascii="Times New Roman" w:hAnsi="Times New Roman" w:cs="Times New Roman"/>
          <w:sz w:val="24"/>
          <w:szCs w:val="24"/>
        </w:rPr>
        <w:t xml:space="preserve"> in keeping with the local population and previous studies</w:t>
      </w:r>
      <w:r w:rsidR="0066394E" w:rsidRPr="0046155E">
        <w:rPr>
          <w:rFonts w:ascii="Times New Roman" w:hAnsi="Times New Roman" w:cs="Times New Roman"/>
          <w:sz w:val="24"/>
          <w:szCs w:val="24"/>
        </w:rPr>
        <w:t>.</w:t>
      </w:r>
      <w:r w:rsidR="00BB2D6E" w:rsidRPr="0046155E">
        <w:rPr>
          <w:rFonts w:ascii="Times New Roman" w:hAnsi="Times New Roman" w:cs="Times New Roman"/>
          <w:color w:val="000000" w:themeColor="text1"/>
          <w:sz w:val="24"/>
          <w:szCs w:val="24"/>
          <w:shd w:val="clear" w:color="auto" w:fill="FFFFFF"/>
        </w:rPr>
        <w:t xml:space="preserve"> </w:t>
      </w:r>
      <w:r w:rsidR="00BB2D6E" w:rsidRPr="0046155E">
        <w:rPr>
          <w:rFonts w:ascii="Times New Roman" w:hAnsi="Times New Roman" w:cs="Times New Roman"/>
          <w:color w:val="000000" w:themeColor="text1"/>
          <w:sz w:val="24"/>
          <w:szCs w:val="24"/>
          <w:shd w:val="clear" w:color="auto" w:fill="FFFFFF"/>
        </w:rPr>
        <w:fldChar w:fldCharType="begin" w:fldLock="1"/>
      </w:r>
      <w:r w:rsidR="00CA3C96" w:rsidRPr="0046155E">
        <w:rPr>
          <w:rFonts w:ascii="Times New Roman" w:hAnsi="Times New Roman" w:cs="Times New Roman"/>
          <w:color w:val="000000" w:themeColor="text1"/>
          <w:sz w:val="24"/>
          <w:szCs w:val="24"/>
          <w:shd w:val="clear" w:color="auto" w:fill="FFFFFF"/>
        </w:rPr>
        <w:instrText>ADDIN CSL_CITATION {"citationItems":[{"id":"ITEM-1","itemData":{"DOI":"10.1136/bmj.39609.449676.25","ISSN":"09598146","PMID":"18573856","abstract":"Objective: To develop and validate version two of the QRISK cardiovascular disease risk algorithm (QRISK2) to provide accurate estimates of cardiovascular risk in patients from different ethnic groups in England and Wales and to compare its performance with the modified version of Framingham score recommended by the National Institute for Health and Clinical Excellence (NICE). Design: Prospective open cohort study with routinely collected data from general practice, 1 January 1993 to 31 March 2008. Setting: 531 practices in England and Wales contributing to the national QRESEARCH database. Participants: 2.3 million patients aged 35-74 (over 16 million person years) with 140 000 cardiovascular events. Overall population (derivation and validation cohorts) comprised 2.22 million people who were white or whose ethnic group was not recorded, 22 013 south Asian, 11 595 black African, 10 402 black Caribbean, and 19 792 from Chinese or other Asian or other ethnic groups. Main outcome measures: First (incident) diagnosis of cardiovascular disease (coronary heart disease, stroke, and transient ischaemic attack) recorded in general practice records or linked Office for National Statistics death certificates. Risk factors included self assigned ethnicity, age, sex, smoking status, systolic blood pressure, ratio of total serum cholesterol:high density lipoprotein cholesterol, body mass index, family history of coronary heart disease in first degree relative under 60 years, Townsend deprivation score, treated hypertension, type 2 diabetes, renal disease, atrial fibrillation, and rheumatoid arthritis. Results: The validation statistics indicated that QRISK2 had improved discrimination and calibration compared with the modified Framingham score. The QRISK2 algorithm explained 43% of the variation in women and 38% in men compared with 39% and 35%, respectively, by the modified Framingham score. Of the 112 156 patients classified as high risk (that is, ≥20% risk over 10 years) by the modified Framingham score, 46 094 (41.1%) would be reclassified at low risk with QRISK2. The 10 year observed risk among these reclassified patients was 16.6% (95% confidence interval 16.1% to 17.0%) - that is, below the 20% treatment threshold. Of the 78 024 patients classified at high risk on QRISK2, 11 962 (15.3%) would be reclassified at low risk by the modified Framingham score. The 10 year observed risk among these patients was 23.3% (22.2% to 24.4%) - that is, above the 20% threshold…","author":[{"dropping-particle":"","family":"Hippisley-Cox","given":"Julia","non-dropping-particle":"","parse-names":false,"suffix":""},{"dropping-particle":"","family":"Coupland","given":"Carol","non-dropping-particle":"","parse-names":false,"suffix":""},{"dropping-particle":"","family":"Vinogradova","given":"Yana","non-dropping-particle":"","parse-names":false,"suffix":""},{"dropping-particle":"","family":"Robson","given":"John","non-dropping-particle":"","parse-names":false,"suffix":""},{"dropping-particle":"","family":"Minhas","given":"Rubin","non-dropping-particle":"","parse-names":false,"suffix":""},{"dropping-particle":"","family":"Sheikh","given":"Aziz","non-dropping-particle":"","parse-names":false,"suffix":""},{"dropping-particle":"","family":"Brindle","given":"Peter","non-dropping-particle":"","parse-names":false,"suffix":""}],"container-title":"BMJ","id":"ITEM-1","issue":"7659","issued":{"date-parts":[["2008","6","28"]]},"page":"1475-1482","publisher":"BMJ Publishing Group","title":"Predicting cardiovascular risk in England and Wales: Prospective derivation and validation of QRISK2","type":"article-journal","volume":"336"},"uris":["http://www.mendeley.com/documents/?uuid=52afc653-28d6-3d33-b8f3-d33713b90dbf"]}],"mendeley":{"formattedCitation":"[13]","plainTextFormattedCitation":"[13]","previouslyFormattedCitation":"[13]"},"properties":{"noteIndex":0},"schema":"https://github.com/citation-style-language/schema/raw/master/csl-citation.json"}</w:instrText>
      </w:r>
      <w:r w:rsidR="00BB2D6E" w:rsidRPr="0046155E">
        <w:rPr>
          <w:rFonts w:ascii="Times New Roman" w:hAnsi="Times New Roman" w:cs="Times New Roman"/>
          <w:color w:val="000000" w:themeColor="text1"/>
          <w:sz w:val="24"/>
          <w:szCs w:val="24"/>
          <w:shd w:val="clear" w:color="auto" w:fill="FFFFFF"/>
        </w:rPr>
        <w:fldChar w:fldCharType="separate"/>
      </w:r>
      <w:r w:rsidR="003B2F58" w:rsidRPr="0046155E">
        <w:rPr>
          <w:rFonts w:ascii="Times New Roman" w:hAnsi="Times New Roman" w:cs="Times New Roman"/>
          <w:noProof/>
          <w:color w:val="000000" w:themeColor="text1"/>
          <w:sz w:val="24"/>
          <w:szCs w:val="24"/>
          <w:shd w:val="clear" w:color="auto" w:fill="FFFFFF"/>
        </w:rPr>
        <w:t>[1</w:t>
      </w:r>
      <w:r w:rsidR="008A3989" w:rsidRPr="0046155E">
        <w:rPr>
          <w:rFonts w:ascii="Times New Roman" w:hAnsi="Times New Roman" w:cs="Times New Roman"/>
          <w:noProof/>
          <w:color w:val="000000" w:themeColor="text1"/>
          <w:sz w:val="24"/>
          <w:szCs w:val="24"/>
          <w:shd w:val="clear" w:color="auto" w:fill="FFFFFF"/>
        </w:rPr>
        <w:t>5</w:t>
      </w:r>
      <w:r w:rsidR="003B2F58" w:rsidRPr="0046155E">
        <w:rPr>
          <w:rFonts w:ascii="Times New Roman" w:hAnsi="Times New Roman" w:cs="Times New Roman"/>
          <w:noProof/>
          <w:color w:val="000000" w:themeColor="text1"/>
          <w:sz w:val="24"/>
          <w:szCs w:val="24"/>
          <w:shd w:val="clear" w:color="auto" w:fill="FFFFFF"/>
        </w:rPr>
        <w:t>]</w:t>
      </w:r>
      <w:r w:rsidR="00BB2D6E" w:rsidRPr="0046155E">
        <w:rPr>
          <w:rFonts w:ascii="Times New Roman" w:hAnsi="Times New Roman" w:cs="Times New Roman"/>
          <w:color w:val="000000" w:themeColor="text1"/>
          <w:sz w:val="24"/>
          <w:szCs w:val="24"/>
          <w:shd w:val="clear" w:color="auto" w:fill="FFFFFF"/>
        </w:rPr>
        <w:fldChar w:fldCharType="end"/>
      </w:r>
      <w:r w:rsidR="00BB2D6E" w:rsidRPr="0046155E">
        <w:rPr>
          <w:rFonts w:ascii="Times New Roman" w:hAnsi="Times New Roman" w:cs="Times New Roman"/>
          <w:color w:val="000000" w:themeColor="text1"/>
          <w:sz w:val="24"/>
          <w:szCs w:val="24"/>
          <w:shd w:val="clear" w:color="auto" w:fill="FFFFFF"/>
        </w:rPr>
        <w:t xml:space="preserve"> </w:t>
      </w:r>
      <w:r w:rsidR="00F25A30" w:rsidRPr="0046155E">
        <w:rPr>
          <w:rFonts w:ascii="Times New Roman" w:hAnsi="Times New Roman" w:cs="Times New Roman"/>
          <w:sz w:val="24"/>
          <w:szCs w:val="24"/>
        </w:rPr>
        <w:t xml:space="preserve"> For w</w:t>
      </w:r>
      <w:r w:rsidR="0066394E" w:rsidRPr="0046155E">
        <w:rPr>
          <w:rFonts w:ascii="Times New Roman" w:hAnsi="Times New Roman" w:cs="Times New Roman"/>
          <w:sz w:val="24"/>
          <w:szCs w:val="24"/>
        </w:rPr>
        <w:t xml:space="preserve">eight and </w:t>
      </w:r>
      <w:r w:rsidR="0066394E" w:rsidRPr="0046155E">
        <w:rPr>
          <w:rFonts w:ascii="Times New Roman" w:hAnsi="Times New Roman" w:cs="Times New Roman"/>
          <w:color w:val="000000"/>
          <w:sz w:val="24"/>
          <w:szCs w:val="24"/>
          <w:shd w:val="clear" w:color="auto" w:fill="FFFFFF"/>
        </w:rPr>
        <w:t>HbA</w:t>
      </w:r>
      <w:r w:rsidR="0066394E" w:rsidRPr="0046155E">
        <w:rPr>
          <w:rFonts w:ascii="Times New Roman" w:hAnsi="Times New Roman" w:cs="Times New Roman"/>
          <w:color w:val="000000"/>
          <w:sz w:val="24"/>
          <w:szCs w:val="24"/>
          <w:shd w:val="clear" w:color="auto" w:fill="FFFFFF"/>
          <w:vertAlign w:val="subscript"/>
        </w:rPr>
        <w:t>1c</w:t>
      </w:r>
      <w:r w:rsidR="0066394E" w:rsidRPr="0046155E">
        <w:rPr>
          <w:rFonts w:ascii="Times New Roman" w:hAnsi="Times New Roman" w:cs="Times New Roman"/>
          <w:sz w:val="24"/>
          <w:szCs w:val="24"/>
        </w:rPr>
        <w:t xml:space="preserve"> data </w:t>
      </w:r>
      <w:r w:rsidR="00F25A30" w:rsidRPr="0046155E">
        <w:rPr>
          <w:rFonts w:ascii="Times New Roman" w:hAnsi="Times New Roman" w:cs="Times New Roman"/>
          <w:sz w:val="24"/>
          <w:szCs w:val="24"/>
        </w:rPr>
        <w:t>that were missing</w:t>
      </w:r>
      <w:r w:rsidR="008668D0">
        <w:rPr>
          <w:rFonts w:ascii="Times New Roman" w:hAnsi="Times New Roman" w:cs="Times New Roman"/>
          <w:sz w:val="24"/>
          <w:szCs w:val="24"/>
        </w:rPr>
        <w:t xml:space="preserve"> (n=</w:t>
      </w:r>
      <w:r w:rsidR="00D82490">
        <w:rPr>
          <w:rFonts w:ascii="Times New Roman" w:hAnsi="Times New Roman" w:cs="Times New Roman"/>
          <w:sz w:val="24"/>
          <w:szCs w:val="24"/>
        </w:rPr>
        <w:t>29678</w:t>
      </w:r>
      <w:r w:rsidR="00887849">
        <w:rPr>
          <w:rFonts w:ascii="Times New Roman" w:hAnsi="Times New Roman" w:cs="Times New Roman"/>
          <w:sz w:val="24"/>
          <w:szCs w:val="24"/>
        </w:rPr>
        <w:t xml:space="preserve"> (49.2%) and n=</w:t>
      </w:r>
      <w:r w:rsidR="005A23D6">
        <w:rPr>
          <w:rFonts w:ascii="Times New Roman" w:hAnsi="Times New Roman" w:cs="Times New Roman"/>
          <w:sz w:val="24"/>
          <w:szCs w:val="24"/>
        </w:rPr>
        <w:t>30002 (49.8%)</w:t>
      </w:r>
      <w:r w:rsidR="0026272A">
        <w:rPr>
          <w:rFonts w:ascii="Times New Roman" w:hAnsi="Times New Roman" w:cs="Times New Roman"/>
          <w:sz w:val="24"/>
          <w:szCs w:val="24"/>
        </w:rPr>
        <w:t>)</w:t>
      </w:r>
      <w:r w:rsidR="00F25A30" w:rsidRPr="0046155E">
        <w:rPr>
          <w:rFonts w:ascii="Times New Roman" w:hAnsi="Times New Roman" w:cs="Times New Roman"/>
          <w:sz w:val="24"/>
          <w:szCs w:val="24"/>
        </w:rPr>
        <w:t xml:space="preserve">, we </w:t>
      </w:r>
      <w:r w:rsidR="0066394E" w:rsidRPr="0046155E">
        <w:rPr>
          <w:rFonts w:ascii="Times New Roman" w:hAnsi="Times New Roman" w:cs="Times New Roman"/>
          <w:sz w:val="24"/>
          <w:szCs w:val="24"/>
        </w:rPr>
        <w:t>assum</w:t>
      </w:r>
      <w:r w:rsidR="00F25A30" w:rsidRPr="0046155E">
        <w:rPr>
          <w:rFonts w:ascii="Times New Roman" w:hAnsi="Times New Roman" w:cs="Times New Roman"/>
          <w:sz w:val="24"/>
          <w:szCs w:val="24"/>
        </w:rPr>
        <w:t>ed</w:t>
      </w:r>
      <w:r w:rsidR="006306D9" w:rsidRPr="0046155E">
        <w:rPr>
          <w:rFonts w:ascii="Times New Roman" w:hAnsi="Times New Roman" w:cs="Times New Roman"/>
          <w:sz w:val="24"/>
          <w:szCs w:val="24"/>
        </w:rPr>
        <w:t xml:space="preserve"> missing</w:t>
      </w:r>
      <w:r w:rsidR="00895CAD" w:rsidRPr="0046155E">
        <w:rPr>
          <w:rFonts w:ascii="Times New Roman" w:hAnsi="Times New Roman" w:cs="Times New Roman"/>
          <w:sz w:val="24"/>
          <w:szCs w:val="24"/>
        </w:rPr>
        <w:t xml:space="preserve"> at random</w:t>
      </w:r>
      <w:r w:rsidR="006306D9" w:rsidRPr="0046155E">
        <w:rPr>
          <w:rFonts w:ascii="Times New Roman" w:hAnsi="Times New Roman" w:cs="Times New Roman"/>
          <w:sz w:val="24"/>
          <w:szCs w:val="24"/>
        </w:rPr>
        <w:t xml:space="preserve"> </w:t>
      </w:r>
      <w:r w:rsidR="00F25A30" w:rsidRPr="0046155E">
        <w:rPr>
          <w:rFonts w:ascii="Times New Roman" w:hAnsi="Times New Roman" w:cs="Times New Roman"/>
          <w:sz w:val="24"/>
          <w:szCs w:val="24"/>
        </w:rPr>
        <w:t xml:space="preserve">and imputed these </w:t>
      </w:r>
      <w:r w:rsidR="008241F8" w:rsidRPr="0046155E">
        <w:rPr>
          <w:rFonts w:ascii="Times New Roman" w:hAnsi="Times New Roman" w:cs="Times New Roman"/>
          <w:sz w:val="24"/>
          <w:szCs w:val="24"/>
        </w:rPr>
        <w:t>in a model that in</w:t>
      </w:r>
      <w:r w:rsidR="00F25A30" w:rsidRPr="0046155E">
        <w:rPr>
          <w:rFonts w:ascii="Times New Roman" w:hAnsi="Times New Roman" w:cs="Times New Roman"/>
          <w:sz w:val="24"/>
          <w:szCs w:val="24"/>
        </w:rPr>
        <w:t xml:space="preserve">cluded the following non-missing variables; </w:t>
      </w:r>
      <w:r w:rsidR="00A116B2" w:rsidRPr="0046155E">
        <w:rPr>
          <w:rFonts w:ascii="Times New Roman" w:hAnsi="Times New Roman" w:cs="Times New Roman"/>
          <w:sz w:val="24"/>
          <w:szCs w:val="24"/>
        </w:rPr>
        <w:t>age,</w:t>
      </w:r>
      <w:r w:rsidR="000335D7" w:rsidRPr="0046155E">
        <w:rPr>
          <w:rFonts w:ascii="Times New Roman" w:hAnsi="Times New Roman" w:cs="Times New Roman"/>
          <w:sz w:val="24"/>
          <w:szCs w:val="24"/>
        </w:rPr>
        <w:t xml:space="preserve"> </w:t>
      </w:r>
      <w:r w:rsidR="00E2201B" w:rsidRPr="0046155E">
        <w:rPr>
          <w:rFonts w:ascii="Times New Roman" w:hAnsi="Times New Roman" w:cs="Times New Roman"/>
          <w:sz w:val="24"/>
          <w:szCs w:val="24"/>
        </w:rPr>
        <w:t>sex</w:t>
      </w:r>
      <w:r w:rsidR="000335D7" w:rsidRPr="0046155E">
        <w:rPr>
          <w:rFonts w:ascii="Times New Roman" w:hAnsi="Times New Roman" w:cs="Times New Roman"/>
          <w:sz w:val="24"/>
          <w:szCs w:val="24"/>
        </w:rPr>
        <w:t xml:space="preserve">, diabetes duration, total number of comorbidities at baseline, practice ID, and outcome variables. </w:t>
      </w:r>
      <w:r w:rsidR="00A116B2" w:rsidRPr="0046155E">
        <w:rPr>
          <w:rFonts w:ascii="Times New Roman" w:hAnsi="Times New Roman" w:cs="Times New Roman"/>
          <w:sz w:val="24"/>
          <w:szCs w:val="24"/>
        </w:rPr>
        <w:t>Data were multiply imputed using Markov Chain Monte Carlo using STATA SE 16.0</w:t>
      </w:r>
      <w:r w:rsidR="00B57BB2" w:rsidRPr="0046155E">
        <w:rPr>
          <w:rFonts w:ascii="Times New Roman" w:hAnsi="Times New Roman" w:cs="Times New Roman"/>
          <w:sz w:val="24"/>
          <w:szCs w:val="24"/>
        </w:rPr>
        <w:t xml:space="preserve">. </w:t>
      </w:r>
      <w:r w:rsidR="007A6DD0" w:rsidRPr="0046155E">
        <w:rPr>
          <w:rFonts w:ascii="Times New Roman" w:hAnsi="Times New Roman" w:cs="Times New Roman"/>
          <w:color w:val="000000"/>
          <w:sz w:val="24"/>
          <w:szCs w:val="24"/>
          <w:shd w:val="clear" w:color="auto" w:fill="FFFFFF"/>
        </w:rPr>
        <w:t xml:space="preserve">We used 10 cycles of imputation. </w:t>
      </w:r>
      <w:r w:rsidR="000335D7" w:rsidRPr="0046155E">
        <w:rPr>
          <w:rFonts w:ascii="Times New Roman" w:hAnsi="Times New Roman" w:cs="Times New Roman"/>
          <w:sz w:val="24"/>
          <w:szCs w:val="24"/>
        </w:rPr>
        <w:t>Separate similar imputation models were applied for the remaining biochemistry data.</w:t>
      </w:r>
      <w:r w:rsidR="00FC5FF3" w:rsidRPr="0046155E">
        <w:rPr>
          <w:rFonts w:ascii="Times New Roman" w:hAnsi="Times New Roman" w:cs="Times New Roman"/>
          <w:sz w:val="24"/>
          <w:szCs w:val="24"/>
        </w:rPr>
        <w:t xml:space="preserve"> All imputed </w:t>
      </w:r>
      <w:r w:rsidR="00F80377" w:rsidRPr="0046155E">
        <w:rPr>
          <w:rFonts w:ascii="Times New Roman" w:hAnsi="Times New Roman" w:cs="Times New Roman"/>
          <w:sz w:val="24"/>
          <w:szCs w:val="24"/>
        </w:rPr>
        <w:t>data</w:t>
      </w:r>
      <w:r w:rsidR="00FC5FF3" w:rsidRPr="0046155E">
        <w:rPr>
          <w:rFonts w:ascii="Times New Roman" w:hAnsi="Times New Roman" w:cs="Times New Roman"/>
          <w:sz w:val="24"/>
          <w:szCs w:val="24"/>
        </w:rPr>
        <w:t xml:space="preserve"> after patient death were recoded as missing.</w:t>
      </w:r>
      <w:r w:rsidR="004D2DF0" w:rsidRPr="0046155E">
        <w:rPr>
          <w:rFonts w:ascii="Times New Roman" w:hAnsi="Times New Roman" w:cs="Times New Roman"/>
          <w:sz w:val="24"/>
          <w:szCs w:val="24"/>
        </w:rPr>
        <w:t xml:space="preserve"> With a complete dataset, we summarised participant characteristics stratified by remission status</w:t>
      </w:r>
      <w:r w:rsidR="00B97F66" w:rsidRPr="0046155E">
        <w:rPr>
          <w:rFonts w:ascii="Times New Roman" w:hAnsi="Times New Roman" w:cs="Times New Roman"/>
          <w:sz w:val="24"/>
          <w:szCs w:val="24"/>
        </w:rPr>
        <w:t>.</w:t>
      </w:r>
    </w:p>
    <w:p w14:paraId="06C443DB" w14:textId="7890EA06" w:rsidR="00F81F73" w:rsidRPr="00CD1F9F" w:rsidRDefault="002C2768" w:rsidP="00E21AD0">
      <w:pPr>
        <w:spacing w:after="0" w:line="480" w:lineRule="auto"/>
        <w:jc w:val="both"/>
        <w:rPr>
          <w:rFonts w:ascii="Times New Roman" w:hAnsi="Times New Roman" w:cs="Times New Roman"/>
          <w:color w:val="000000"/>
          <w:sz w:val="24"/>
          <w:szCs w:val="24"/>
          <w:shd w:val="clear" w:color="auto" w:fill="FFFFFF"/>
        </w:rPr>
      </w:pPr>
      <w:r w:rsidRPr="0046155E">
        <w:rPr>
          <w:rFonts w:ascii="Times New Roman" w:hAnsi="Times New Roman" w:cs="Times New Roman"/>
          <w:sz w:val="24"/>
          <w:szCs w:val="24"/>
        </w:rPr>
        <w:t xml:space="preserve">We then modelled </w:t>
      </w:r>
      <w:r w:rsidR="002B657D" w:rsidRPr="0046155E">
        <w:rPr>
          <w:rFonts w:ascii="Times New Roman" w:hAnsi="Times New Roman" w:cs="Times New Roman"/>
          <w:sz w:val="24"/>
          <w:szCs w:val="24"/>
        </w:rPr>
        <w:t xml:space="preserve">trajectories </w:t>
      </w:r>
      <w:r w:rsidR="00531663" w:rsidRPr="0046155E">
        <w:rPr>
          <w:rFonts w:ascii="Times New Roman" w:hAnsi="Times New Roman" w:cs="Times New Roman"/>
          <w:sz w:val="24"/>
          <w:szCs w:val="24"/>
        </w:rPr>
        <w:t xml:space="preserve">of </w:t>
      </w:r>
      <w:r w:rsidR="00962F4E" w:rsidRPr="0046155E">
        <w:rPr>
          <w:rFonts w:ascii="Times New Roman" w:hAnsi="Times New Roman" w:cs="Times New Roman"/>
          <w:sz w:val="24"/>
          <w:szCs w:val="24"/>
        </w:rPr>
        <w:t>HbA</w:t>
      </w:r>
      <w:r w:rsidR="00962F4E" w:rsidRPr="0046155E">
        <w:rPr>
          <w:rFonts w:ascii="Times New Roman" w:hAnsi="Times New Roman" w:cs="Times New Roman"/>
          <w:sz w:val="24"/>
          <w:szCs w:val="24"/>
          <w:vertAlign w:val="subscript"/>
        </w:rPr>
        <w:t>1c</w:t>
      </w:r>
      <w:r w:rsidR="00962F4E" w:rsidRPr="0046155E">
        <w:rPr>
          <w:rFonts w:ascii="Times New Roman" w:hAnsi="Times New Roman" w:cs="Times New Roman"/>
          <w:sz w:val="24"/>
          <w:szCs w:val="24"/>
        </w:rPr>
        <w:t xml:space="preserve"> </w:t>
      </w:r>
      <w:r w:rsidR="00B47D4A" w:rsidRPr="0046155E">
        <w:rPr>
          <w:rFonts w:ascii="Times New Roman" w:hAnsi="Times New Roman" w:cs="Times New Roman"/>
          <w:sz w:val="24"/>
          <w:szCs w:val="24"/>
        </w:rPr>
        <w:t>level</w:t>
      </w:r>
      <w:r w:rsidR="00962F4E" w:rsidRPr="0046155E">
        <w:rPr>
          <w:rFonts w:ascii="Times New Roman" w:hAnsi="Times New Roman" w:cs="Times New Roman"/>
          <w:sz w:val="24"/>
          <w:szCs w:val="24"/>
        </w:rPr>
        <w:t xml:space="preserve"> (as a binary measure indicating </w:t>
      </w:r>
      <w:r w:rsidR="00F754D0" w:rsidRPr="0046155E">
        <w:rPr>
          <w:rFonts w:ascii="Times New Roman" w:hAnsi="Times New Roman" w:cs="Times New Roman"/>
          <w:sz w:val="24"/>
          <w:szCs w:val="24"/>
        </w:rPr>
        <w:t xml:space="preserve">48 mmol/mol </w:t>
      </w:r>
      <w:r w:rsidR="00B47D4A" w:rsidRPr="0046155E">
        <w:rPr>
          <w:rFonts w:ascii="Times New Roman" w:hAnsi="Times New Roman" w:cs="Times New Roman"/>
          <w:sz w:val="24"/>
          <w:szCs w:val="24"/>
        </w:rPr>
        <w:t xml:space="preserve">(6.5%) </w:t>
      </w:r>
      <w:r w:rsidR="00F754D0" w:rsidRPr="0046155E">
        <w:rPr>
          <w:rFonts w:ascii="Times New Roman" w:hAnsi="Times New Roman" w:cs="Times New Roman"/>
          <w:sz w:val="24"/>
          <w:szCs w:val="24"/>
        </w:rPr>
        <w:t>and above or below 48 mmol/mol)</w:t>
      </w:r>
      <w:r w:rsidR="00962F4E" w:rsidRPr="0046155E">
        <w:rPr>
          <w:rFonts w:ascii="Times New Roman" w:hAnsi="Times New Roman" w:cs="Times New Roman"/>
          <w:sz w:val="24"/>
          <w:szCs w:val="24"/>
        </w:rPr>
        <w:t xml:space="preserve"> </w:t>
      </w:r>
      <w:r w:rsidR="00433894" w:rsidRPr="0046155E">
        <w:rPr>
          <w:rFonts w:ascii="Times New Roman" w:hAnsi="Times New Roman" w:cs="Times New Roman"/>
          <w:sz w:val="24"/>
          <w:szCs w:val="24"/>
        </w:rPr>
        <w:t xml:space="preserve"> over ti</w:t>
      </w:r>
      <w:r w:rsidRPr="0046155E">
        <w:rPr>
          <w:rFonts w:ascii="Times New Roman" w:hAnsi="Times New Roman" w:cs="Times New Roman"/>
          <w:sz w:val="24"/>
          <w:szCs w:val="24"/>
        </w:rPr>
        <w:t>me</w:t>
      </w:r>
      <w:r w:rsidR="00F754D0" w:rsidRPr="0046155E">
        <w:rPr>
          <w:rFonts w:ascii="Times New Roman" w:hAnsi="Times New Roman" w:cs="Times New Roman"/>
          <w:sz w:val="24"/>
          <w:szCs w:val="24"/>
        </w:rPr>
        <w:t xml:space="preserve"> and adjusting for remission status at each time point</w:t>
      </w:r>
      <w:r w:rsidRPr="0046155E">
        <w:rPr>
          <w:rFonts w:ascii="Times New Roman" w:hAnsi="Times New Roman" w:cs="Times New Roman"/>
          <w:sz w:val="24"/>
          <w:szCs w:val="24"/>
        </w:rPr>
        <w:t xml:space="preserve"> </w:t>
      </w:r>
      <w:r w:rsidR="00433894" w:rsidRPr="0046155E">
        <w:rPr>
          <w:rFonts w:ascii="Times New Roman" w:hAnsi="Times New Roman" w:cs="Times New Roman"/>
          <w:sz w:val="24"/>
          <w:szCs w:val="24"/>
        </w:rPr>
        <w:t>us</w:t>
      </w:r>
      <w:r w:rsidRPr="0046155E">
        <w:rPr>
          <w:rFonts w:ascii="Times New Roman" w:hAnsi="Times New Roman" w:cs="Times New Roman"/>
          <w:sz w:val="24"/>
          <w:szCs w:val="24"/>
        </w:rPr>
        <w:t>ing</w:t>
      </w:r>
      <w:r w:rsidR="00433894" w:rsidRPr="0046155E">
        <w:rPr>
          <w:rFonts w:ascii="Times New Roman" w:hAnsi="Times New Roman" w:cs="Times New Roman"/>
          <w:sz w:val="24"/>
          <w:szCs w:val="24"/>
        </w:rPr>
        <w:t xml:space="preserve"> g</w:t>
      </w:r>
      <w:r w:rsidR="008241F8" w:rsidRPr="0046155E">
        <w:rPr>
          <w:rFonts w:ascii="Times New Roman" w:hAnsi="Times New Roman" w:cs="Times New Roman"/>
          <w:sz w:val="24"/>
          <w:szCs w:val="24"/>
        </w:rPr>
        <w:t xml:space="preserve">roup-based trajectory modelling </w:t>
      </w:r>
      <w:r w:rsidR="00433894" w:rsidRPr="0046155E">
        <w:rPr>
          <w:rFonts w:ascii="Times New Roman" w:hAnsi="Times New Roman" w:cs="Times New Roman"/>
          <w:sz w:val="24"/>
          <w:szCs w:val="24"/>
        </w:rPr>
        <w:t xml:space="preserve">in </w:t>
      </w:r>
      <w:r w:rsidR="008241F8" w:rsidRPr="0046155E">
        <w:rPr>
          <w:rFonts w:ascii="Times New Roman" w:hAnsi="Times New Roman" w:cs="Times New Roman"/>
          <w:sz w:val="24"/>
          <w:szCs w:val="24"/>
        </w:rPr>
        <w:t xml:space="preserve">STATA </w:t>
      </w:r>
      <w:r w:rsidR="00433894" w:rsidRPr="0046155E">
        <w:rPr>
          <w:rFonts w:ascii="Times New Roman" w:hAnsi="Times New Roman" w:cs="Times New Roman"/>
          <w:sz w:val="24"/>
          <w:szCs w:val="24"/>
        </w:rPr>
        <w:t>(</w:t>
      </w:r>
      <w:r w:rsidR="008241F8" w:rsidRPr="0046155E">
        <w:rPr>
          <w:rFonts w:ascii="Times New Roman" w:hAnsi="Times New Roman" w:cs="Times New Roman"/>
          <w:sz w:val="24"/>
          <w:szCs w:val="24"/>
        </w:rPr>
        <w:t xml:space="preserve">program developed by Jones and Nagin </w:t>
      </w:r>
      <w:r w:rsidR="00433894" w:rsidRPr="0046155E">
        <w:rPr>
          <w:rFonts w:ascii="Times New Roman" w:hAnsi="Times New Roman" w:cs="Times New Roman"/>
          <w:sz w:val="24"/>
          <w:szCs w:val="24"/>
        </w:rPr>
        <w:t xml:space="preserve">and </w:t>
      </w:r>
      <w:r w:rsidR="008241F8" w:rsidRPr="0046155E">
        <w:rPr>
          <w:rFonts w:ascii="Times New Roman" w:hAnsi="Times New Roman" w:cs="Times New Roman"/>
          <w:sz w:val="24"/>
          <w:szCs w:val="24"/>
        </w:rPr>
        <w:t xml:space="preserve">based on imputed </w:t>
      </w:r>
      <w:r w:rsidR="000335D7" w:rsidRPr="0046155E">
        <w:rPr>
          <w:rFonts w:ascii="Times New Roman" w:hAnsi="Times New Roman" w:cs="Times New Roman"/>
          <w:sz w:val="24"/>
          <w:szCs w:val="24"/>
        </w:rPr>
        <w:t>HbA</w:t>
      </w:r>
      <w:r w:rsidR="000335D7" w:rsidRPr="0046155E">
        <w:rPr>
          <w:rFonts w:ascii="Times New Roman" w:hAnsi="Times New Roman" w:cs="Times New Roman"/>
          <w:sz w:val="24"/>
          <w:szCs w:val="24"/>
          <w:vertAlign w:val="subscript"/>
        </w:rPr>
        <w:t xml:space="preserve">1c </w:t>
      </w:r>
      <w:r w:rsidR="000335D7" w:rsidRPr="0046155E">
        <w:rPr>
          <w:rFonts w:ascii="Times New Roman" w:hAnsi="Times New Roman" w:cs="Times New Roman"/>
          <w:sz w:val="24"/>
          <w:szCs w:val="24"/>
        </w:rPr>
        <w:t>data</w:t>
      </w:r>
      <w:r w:rsidR="008241F8" w:rsidRPr="0046155E">
        <w:rPr>
          <w:rFonts w:ascii="Times New Roman" w:hAnsi="Times New Roman" w:cs="Times New Roman"/>
          <w:sz w:val="24"/>
          <w:szCs w:val="24"/>
        </w:rPr>
        <w:t>)</w:t>
      </w:r>
      <w:r w:rsidR="000335D7" w:rsidRPr="0046155E">
        <w:rPr>
          <w:rFonts w:ascii="Times New Roman" w:hAnsi="Times New Roman" w:cs="Times New Roman"/>
          <w:sz w:val="24"/>
          <w:szCs w:val="24"/>
        </w:rPr>
        <w:t>.</w:t>
      </w:r>
      <w:r w:rsidR="00B57BB2" w:rsidRPr="0046155E">
        <w:rPr>
          <w:rFonts w:ascii="Times New Roman" w:hAnsi="Times New Roman" w:cs="Times New Roman"/>
          <w:sz w:val="24"/>
          <w:szCs w:val="24"/>
        </w:rPr>
        <w:fldChar w:fldCharType="begin" w:fldLock="1"/>
      </w:r>
      <w:r w:rsidR="00CA3C96" w:rsidRPr="0046155E">
        <w:rPr>
          <w:rFonts w:ascii="Times New Roman" w:hAnsi="Times New Roman" w:cs="Times New Roman"/>
          <w:sz w:val="24"/>
          <w:szCs w:val="24"/>
        </w:rPr>
        <w:instrText>ADDIN CSL_CITATION {"citationItems":[{"id":"ITEM-1","itemData":{"DOI":"10.1146/annurev.clinpsy.121208.131413","ISSN":"15485943","PMID":"20192788","abstract":"Group-based trajectory models are increasingly being applied in clinical research to map the developmental course of symptoms and assess heterogeneity in response to clinical interventions. In this review, we provide a nontechnical overview of group-based trajectory and growth mixture modeling alongside a sampling of how these models have been applied in clinical research. We discuss the challenges associated with the application of both types of group-based models and propose a set of preliminary guidelines for applied researchers to follow when reporting model results. Future directions in group-based modeling applications are discussed, including the use of trajectory models to facilitate causal inference when random assignment to treatment condition is not possible. Copyright © 2010 by Annual Reviews. All rights reserved.","author":[{"dropping-particle":"","family":"Nagin","given":"Daniel S.","non-dropping-particle":"","parse-names":false,"suffix":""},{"dropping-particle":"","family":"Odgers","given":"Candice L.","non-dropping-particle":"","parse-names":false,"suffix":""}],"container-title":"Annual Review of Clinical Psychology","id":"ITEM-1","issued":{"date-parts":[["2010","4","27"]]},"page":"109-138","publisher":"Annu Rev Clin Psychol","title":"Group-based trajectory modeling in clinical research","type":"article","volume":"6"},"uris":["http://www.mendeley.com/documents/?uuid=a2beb14d-3f47-35f8-af10-3864cb393a4c"]}],"mendeley":{"formattedCitation":"[14]","plainTextFormattedCitation":"[14]","previouslyFormattedCitation":"[14]"},"properties":{"noteIndex":0},"schema":"https://github.com/citation-style-language/schema/raw/master/csl-citation.json"}</w:instrText>
      </w:r>
      <w:r w:rsidR="00B57BB2" w:rsidRPr="0046155E">
        <w:rPr>
          <w:rFonts w:ascii="Times New Roman" w:hAnsi="Times New Roman" w:cs="Times New Roman"/>
          <w:sz w:val="24"/>
          <w:szCs w:val="24"/>
        </w:rPr>
        <w:fldChar w:fldCharType="separate"/>
      </w:r>
      <w:r w:rsidR="003B2F58" w:rsidRPr="0046155E">
        <w:rPr>
          <w:rFonts w:ascii="Times New Roman" w:hAnsi="Times New Roman" w:cs="Times New Roman"/>
          <w:noProof/>
          <w:sz w:val="24"/>
          <w:szCs w:val="24"/>
        </w:rPr>
        <w:t>[1</w:t>
      </w:r>
      <w:r w:rsidR="008A3989" w:rsidRPr="0046155E">
        <w:rPr>
          <w:rFonts w:ascii="Times New Roman" w:hAnsi="Times New Roman" w:cs="Times New Roman"/>
          <w:noProof/>
          <w:sz w:val="24"/>
          <w:szCs w:val="24"/>
        </w:rPr>
        <w:t>6</w:t>
      </w:r>
      <w:r w:rsidR="003B2F58" w:rsidRPr="0046155E">
        <w:rPr>
          <w:rFonts w:ascii="Times New Roman" w:hAnsi="Times New Roman" w:cs="Times New Roman"/>
          <w:noProof/>
          <w:sz w:val="24"/>
          <w:szCs w:val="24"/>
        </w:rPr>
        <w:t>]</w:t>
      </w:r>
      <w:r w:rsidR="00B57BB2" w:rsidRPr="0046155E">
        <w:rPr>
          <w:rFonts w:ascii="Times New Roman" w:hAnsi="Times New Roman" w:cs="Times New Roman"/>
          <w:sz w:val="24"/>
          <w:szCs w:val="24"/>
        </w:rPr>
        <w:fldChar w:fldCharType="end"/>
      </w:r>
      <w:r w:rsidR="000335D7" w:rsidRPr="0046155E">
        <w:rPr>
          <w:rFonts w:ascii="Times New Roman" w:hAnsi="Times New Roman" w:cs="Times New Roman"/>
          <w:sz w:val="24"/>
          <w:szCs w:val="24"/>
        </w:rPr>
        <w:t xml:space="preserve"> </w:t>
      </w:r>
      <w:r w:rsidR="00CA0552" w:rsidRPr="0046155E">
        <w:rPr>
          <w:rFonts w:ascii="Times New Roman" w:hAnsi="Times New Roman" w:cs="Times New Roman"/>
          <w:sz w:val="24"/>
          <w:szCs w:val="24"/>
        </w:rPr>
        <w:t>Group-based trajectory models</w:t>
      </w:r>
      <w:r w:rsidR="00B44B82" w:rsidRPr="0046155E">
        <w:rPr>
          <w:rFonts w:ascii="Times New Roman" w:hAnsi="Times New Roman" w:cs="Times New Roman"/>
          <w:sz w:val="24"/>
          <w:szCs w:val="24"/>
        </w:rPr>
        <w:t xml:space="preserve"> (GBTMs)</w:t>
      </w:r>
      <w:r w:rsidR="00CA0552" w:rsidRPr="0046155E">
        <w:rPr>
          <w:rFonts w:ascii="Times New Roman" w:hAnsi="Times New Roman" w:cs="Times New Roman"/>
          <w:sz w:val="24"/>
          <w:szCs w:val="24"/>
        </w:rPr>
        <w:t xml:space="preserve"> are mixture models that assume </w:t>
      </w:r>
      <w:r w:rsidR="00CA0552" w:rsidRPr="0046155E">
        <w:rPr>
          <w:rFonts w:ascii="Times New Roman" w:hAnsi="Times New Roman" w:cs="Times New Roman"/>
          <w:sz w:val="24"/>
          <w:szCs w:val="24"/>
          <w:shd w:val="clear" w:color="auto" w:fill="FFFFFF"/>
        </w:rPr>
        <w:t xml:space="preserve">a population is composed </w:t>
      </w:r>
      <w:r w:rsidR="00CA0552" w:rsidRPr="0046155E">
        <w:rPr>
          <w:rFonts w:ascii="Times New Roman" w:hAnsi="Times New Roman" w:cs="Times New Roman"/>
          <w:color w:val="000000"/>
          <w:sz w:val="24"/>
          <w:szCs w:val="24"/>
          <w:shd w:val="clear" w:color="auto" w:fill="FFFFFF"/>
        </w:rPr>
        <w:t>of a mixture of distinct sub</w:t>
      </w:r>
      <w:r w:rsidR="00B44B82" w:rsidRPr="0046155E">
        <w:rPr>
          <w:rFonts w:ascii="Times New Roman" w:hAnsi="Times New Roman" w:cs="Times New Roman"/>
          <w:color w:val="000000"/>
          <w:sz w:val="24"/>
          <w:szCs w:val="24"/>
          <w:shd w:val="clear" w:color="auto" w:fill="FFFFFF"/>
        </w:rPr>
        <w:t xml:space="preserve">groups of people who have similar developmental trajectories. </w:t>
      </w:r>
      <w:r w:rsidR="00621371" w:rsidRPr="0046155E">
        <w:rPr>
          <w:rFonts w:ascii="Times New Roman" w:hAnsi="Times New Roman" w:cs="Times New Roman"/>
          <w:color w:val="000000"/>
          <w:sz w:val="24"/>
          <w:szCs w:val="24"/>
          <w:shd w:val="clear" w:color="auto" w:fill="FFFFFF"/>
        </w:rPr>
        <w:t>A series of u</w:t>
      </w:r>
      <w:r w:rsidR="00B44B82" w:rsidRPr="0046155E">
        <w:rPr>
          <w:rFonts w:ascii="Times New Roman" w:hAnsi="Times New Roman" w:cs="Times New Roman"/>
          <w:color w:val="000000"/>
          <w:sz w:val="24"/>
          <w:szCs w:val="24"/>
          <w:shd w:val="clear" w:color="auto" w:fill="FFFFFF"/>
        </w:rPr>
        <w:t xml:space="preserve">nadjusted GBTMs were applied </w:t>
      </w:r>
      <w:r w:rsidR="00621371" w:rsidRPr="0046155E">
        <w:rPr>
          <w:rFonts w:ascii="Times New Roman" w:hAnsi="Times New Roman" w:cs="Times New Roman"/>
          <w:color w:val="000000"/>
          <w:sz w:val="24"/>
          <w:szCs w:val="24"/>
          <w:shd w:val="clear" w:color="auto" w:fill="FFFFFF"/>
        </w:rPr>
        <w:t xml:space="preserve">to fit </w:t>
      </w:r>
      <w:r w:rsidR="00F55556" w:rsidRPr="0046155E">
        <w:rPr>
          <w:rFonts w:ascii="Times New Roman" w:hAnsi="Times New Roman" w:cs="Times New Roman"/>
          <w:color w:val="000000"/>
          <w:sz w:val="24"/>
          <w:szCs w:val="24"/>
          <w:shd w:val="clear" w:color="auto" w:fill="FFFFFF"/>
        </w:rPr>
        <w:t>1</w:t>
      </w:r>
      <w:r w:rsidR="00621371" w:rsidRPr="0046155E">
        <w:rPr>
          <w:rFonts w:ascii="Times New Roman" w:hAnsi="Times New Roman" w:cs="Times New Roman"/>
          <w:color w:val="000000"/>
          <w:sz w:val="24"/>
          <w:szCs w:val="24"/>
          <w:shd w:val="clear" w:color="auto" w:fill="FFFFFF"/>
        </w:rPr>
        <w:t xml:space="preserve"> through to </w:t>
      </w:r>
      <w:r w:rsidR="00525888" w:rsidRPr="0046155E">
        <w:rPr>
          <w:rFonts w:ascii="Times New Roman" w:hAnsi="Times New Roman" w:cs="Times New Roman"/>
          <w:color w:val="000000"/>
          <w:sz w:val="24"/>
          <w:szCs w:val="24"/>
          <w:shd w:val="clear" w:color="auto" w:fill="FFFFFF"/>
        </w:rPr>
        <w:t>6</w:t>
      </w:r>
      <w:r w:rsidR="00621371" w:rsidRPr="0046155E">
        <w:rPr>
          <w:rFonts w:ascii="Times New Roman" w:hAnsi="Times New Roman" w:cs="Times New Roman"/>
          <w:color w:val="000000"/>
          <w:sz w:val="24"/>
          <w:szCs w:val="24"/>
          <w:shd w:val="clear" w:color="auto" w:fill="FFFFFF"/>
        </w:rPr>
        <w:t xml:space="preserve"> </w:t>
      </w:r>
      <w:r w:rsidR="00F81F73" w:rsidRPr="0046155E">
        <w:rPr>
          <w:rFonts w:ascii="Times New Roman" w:hAnsi="Times New Roman" w:cs="Times New Roman"/>
          <w:color w:val="000000"/>
          <w:sz w:val="24"/>
          <w:szCs w:val="24"/>
          <w:shd w:val="clear" w:color="auto" w:fill="FFFFFF"/>
        </w:rPr>
        <w:t>group</w:t>
      </w:r>
      <w:r w:rsidR="00621371" w:rsidRPr="0046155E">
        <w:rPr>
          <w:rFonts w:ascii="Times New Roman" w:hAnsi="Times New Roman" w:cs="Times New Roman"/>
          <w:color w:val="000000"/>
          <w:sz w:val="24"/>
          <w:szCs w:val="24"/>
          <w:shd w:val="clear" w:color="auto" w:fill="FFFFFF"/>
        </w:rPr>
        <w:t xml:space="preserve"> models. </w:t>
      </w:r>
      <w:r w:rsidR="00F55556" w:rsidRPr="0046155E">
        <w:rPr>
          <w:rFonts w:ascii="Times New Roman" w:hAnsi="Times New Roman" w:cs="Times New Roman"/>
          <w:color w:val="000000"/>
          <w:sz w:val="24"/>
          <w:szCs w:val="24"/>
          <w:shd w:val="clear" w:color="auto" w:fill="FFFFFF"/>
        </w:rPr>
        <w:t xml:space="preserve">The shape of the trajectory was determined by first fitting the trajectory as a </w:t>
      </w:r>
      <w:r w:rsidR="00D66E6B" w:rsidRPr="0046155E">
        <w:rPr>
          <w:rFonts w:ascii="Times New Roman" w:hAnsi="Times New Roman" w:cs="Times New Roman"/>
          <w:color w:val="000000"/>
          <w:sz w:val="24"/>
          <w:szCs w:val="24"/>
          <w:shd w:val="clear" w:color="auto" w:fill="FFFFFF"/>
        </w:rPr>
        <w:t>cubi</w:t>
      </w:r>
      <w:r w:rsidR="00F55556" w:rsidRPr="0046155E">
        <w:rPr>
          <w:rFonts w:ascii="Times New Roman" w:hAnsi="Times New Roman" w:cs="Times New Roman"/>
          <w:color w:val="000000"/>
          <w:sz w:val="24"/>
          <w:szCs w:val="24"/>
          <w:shd w:val="clear" w:color="auto" w:fill="FFFFFF"/>
        </w:rPr>
        <w:t xml:space="preserve">c function and then reducing the function (to quadratic, slope, or intercept only) if </w:t>
      </w:r>
      <w:r w:rsidR="00B97F66" w:rsidRPr="0046155E">
        <w:rPr>
          <w:rFonts w:ascii="Times New Roman" w:hAnsi="Times New Roman" w:cs="Times New Roman"/>
          <w:color w:val="000000"/>
          <w:sz w:val="24"/>
          <w:szCs w:val="24"/>
          <w:shd w:val="clear" w:color="auto" w:fill="FFFFFF"/>
        </w:rPr>
        <w:t>higher polynomials were not statistically significant</w:t>
      </w:r>
      <w:r w:rsidR="00F55556" w:rsidRPr="0046155E">
        <w:rPr>
          <w:rFonts w:ascii="Times New Roman" w:hAnsi="Times New Roman" w:cs="Times New Roman"/>
          <w:color w:val="000000"/>
          <w:sz w:val="24"/>
          <w:szCs w:val="24"/>
          <w:shd w:val="clear" w:color="auto" w:fill="FFFFFF"/>
        </w:rPr>
        <w:t>. The number of trajectories in the model was increased by one and the steps were repeated</w:t>
      </w:r>
      <w:r w:rsidR="00F55556" w:rsidRPr="00CD1F9F">
        <w:rPr>
          <w:rFonts w:ascii="Times New Roman" w:hAnsi="Times New Roman" w:cs="Times New Roman"/>
          <w:color w:val="000000"/>
          <w:shd w:val="clear" w:color="auto" w:fill="FFFFFF"/>
        </w:rPr>
        <w:t xml:space="preserve">. </w:t>
      </w:r>
      <w:r w:rsidR="00962AB8" w:rsidRPr="00CD1F9F">
        <w:rPr>
          <w:rFonts w:ascii="Times New Roman" w:hAnsi="Times New Roman" w:cs="Times New Roman"/>
        </w:rPr>
        <w:t>Participants are assigned to the group they have highest probability of belonging. We considered participants as belonging to a group if the classification probability was &gt;0.80.</w:t>
      </w:r>
      <w:r w:rsidR="00962AB8">
        <w:t xml:space="preserve"> </w:t>
      </w:r>
      <w:r w:rsidR="00621371" w:rsidRPr="0046155E">
        <w:rPr>
          <w:rFonts w:ascii="Times New Roman" w:hAnsi="Times New Roman" w:cs="Times New Roman"/>
          <w:color w:val="000000"/>
          <w:sz w:val="24"/>
          <w:szCs w:val="24"/>
          <w:shd w:val="clear" w:color="auto" w:fill="FFFFFF"/>
        </w:rPr>
        <w:t>The best</w:t>
      </w:r>
      <w:r w:rsidR="00CA6E1E" w:rsidRPr="0046155E">
        <w:rPr>
          <w:rFonts w:ascii="Times New Roman" w:hAnsi="Times New Roman" w:cs="Times New Roman"/>
          <w:color w:val="000000"/>
          <w:sz w:val="24"/>
          <w:szCs w:val="24"/>
          <w:shd w:val="clear" w:color="auto" w:fill="FFFFFF"/>
        </w:rPr>
        <w:t>-</w:t>
      </w:r>
      <w:r w:rsidR="00621371" w:rsidRPr="0046155E">
        <w:rPr>
          <w:rFonts w:ascii="Times New Roman" w:hAnsi="Times New Roman" w:cs="Times New Roman"/>
          <w:color w:val="000000"/>
          <w:sz w:val="24"/>
          <w:szCs w:val="24"/>
          <w:shd w:val="clear" w:color="auto" w:fill="FFFFFF"/>
        </w:rPr>
        <w:t xml:space="preserve">fitting model was selected based on </w:t>
      </w:r>
      <w:r w:rsidR="007A6DD0" w:rsidRPr="0046155E">
        <w:rPr>
          <w:rFonts w:ascii="Times New Roman" w:hAnsi="Times New Roman" w:cs="Times New Roman"/>
          <w:color w:val="000000"/>
          <w:sz w:val="24"/>
          <w:szCs w:val="24"/>
          <w:shd w:val="clear" w:color="auto" w:fill="FFFFFF"/>
        </w:rPr>
        <w:t>3</w:t>
      </w:r>
      <w:r w:rsidR="00F42B77" w:rsidRPr="0046155E">
        <w:rPr>
          <w:rFonts w:ascii="Times New Roman" w:hAnsi="Times New Roman" w:cs="Times New Roman"/>
          <w:color w:val="000000"/>
          <w:sz w:val="24"/>
          <w:szCs w:val="24"/>
          <w:shd w:val="clear" w:color="auto" w:fill="FFFFFF"/>
        </w:rPr>
        <w:t xml:space="preserve"> </w:t>
      </w:r>
      <w:r w:rsidR="00621371" w:rsidRPr="0046155E">
        <w:rPr>
          <w:rFonts w:ascii="Times New Roman" w:hAnsi="Times New Roman" w:cs="Times New Roman"/>
          <w:color w:val="000000"/>
          <w:sz w:val="24"/>
          <w:szCs w:val="24"/>
          <w:shd w:val="clear" w:color="auto" w:fill="FFFFFF"/>
        </w:rPr>
        <w:t>criteria: (1) the Bayesian Information Criterion (BIC)</w:t>
      </w:r>
      <w:r w:rsidR="001F0E6C" w:rsidRPr="0046155E">
        <w:rPr>
          <w:rFonts w:ascii="Times New Roman" w:hAnsi="Times New Roman" w:cs="Times New Roman"/>
          <w:color w:val="000000"/>
          <w:sz w:val="24"/>
          <w:szCs w:val="24"/>
          <w:shd w:val="clear" w:color="auto" w:fill="FFFFFF"/>
        </w:rPr>
        <w:t xml:space="preserve"> (where a lower BIC indicates better fit)</w:t>
      </w:r>
      <w:r w:rsidR="00621371" w:rsidRPr="0046155E">
        <w:rPr>
          <w:rFonts w:ascii="Times New Roman" w:hAnsi="Times New Roman" w:cs="Times New Roman"/>
          <w:color w:val="000000"/>
          <w:sz w:val="24"/>
          <w:szCs w:val="24"/>
          <w:shd w:val="clear" w:color="auto" w:fill="FFFFFF"/>
        </w:rPr>
        <w:t xml:space="preserve"> </w:t>
      </w:r>
      <w:r w:rsidR="007A6DD0" w:rsidRPr="0046155E">
        <w:rPr>
          <w:rFonts w:ascii="Times New Roman" w:hAnsi="Times New Roman" w:cs="Times New Roman"/>
          <w:color w:val="000000"/>
          <w:sz w:val="24"/>
          <w:szCs w:val="24"/>
          <w:shd w:val="clear" w:color="auto" w:fill="FFFFFF"/>
        </w:rPr>
        <w:t xml:space="preserve">(2) the odds of correct classification into each group </w:t>
      </w:r>
      <w:r w:rsidR="00621371" w:rsidRPr="0046155E">
        <w:rPr>
          <w:rFonts w:ascii="Times New Roman" w:hAnsi="Times New Roman" w:cs="Times New Roman"/>
          <w:color w:val="000000"/>
          <w:sz w:val="24"/>
          <w:szCs w:val="24"/>
          <w:shd w:val="clear" w:color="auto" w:fill="FFFFFF"/>
        </w:rPr>
        <w:t>and (</w:t>
      </w:r>
      <w:r w:rsidR="007A6DD0" w:rsidRPr="0046155E">
        <w:rPr>
          <w:rFonts w:ascii="Times New Roman" w:hAnsi="Times New Roman" w:cs="Times New Roman"/>
          <w:color w:val="000000"/>
          <w:sz w:val="24"/>
          <w:szCs w:val="24"/>
          <w:shd w:val="clear" w:color="auto" w:fill="FFFFFF"/>
        </w:rPr>
        <w:t>3</w:t>
      </w:r>
      <w:r w:rsidR="00621371" w:rsidRPr="0046155E">
        <w:rPr>
          <w:rFonts w:ascii="Times New Roman" w:hAnsi="Times New Roman" w:cs="Times New Roman"/>
          <w:color w:val="000000"/>
          <w:sz w:val="24"/>
          <w:szCs w:val="24"/>
          <w:shd w:val="clear" w:color="auto" w:fill="FFFFFF"/>
        </w:rPr>
        <w:t>) the average posterior probabilities of group membership, as a measure of classification quality (</w:t>
      </w:r>
      <w:r w:rsidR="001F0E6C" w:rsidRPr="0046155E">
        <w:rPr>
          <w:rFonts w:ascii="Times New Roman" w:hAnsi="Times New Roman" w:cs="Times New Roman"/>
          <w:color w:val="000000"/>
          <w:sz w:val="24"/>
          <w:szCs w:val="24"/>
          <w:shd w:val="clear" w:color="auto" w:fill="FFFFFF"/>
        </w:rPr>
        <w:t>&gt;</w:t>
      </w:r>
      <w:r w:rsidR="00621371" w:rsidRPr="0046155E">
        <w:rPr>
          <w:rFonts w:ascii="Times New Roman" w:hAnsi="Times New Roman" w:cs="Times New Roman"/>
          <w:color w:val="000000"/>
          <w:sz w:val="24"/>
          <w:szCs w:val="24"/>
          <w:shd w:val="clear" w:color="auto" w:fill="FFFFFF"/>
        </w:rPr>
        <w:t>0.</w:t>
      </w:r>
      <w:r w:rsidR="001F0E6C" w:rsidRPr="0046155E">
        <w:rPr>
          <w:rFonts w:ascii="Times New Roman" w:hAnsi="Times New Roman" w:cs="Times New Roman"/>
          <w:color w:val="000000"/>
          <w:sz w:val="24"/>
          <w:szCs w:val="24"/>
          <w:shd w:val="clear" w:color="auto" w:fill="FFFFFF"/>
        </w:rPr>
        <w:t>8</w:t>
      </w:r>
      <w:r w:rsidR="00621371" w:rsidRPr="0046155E">
        <w:rPr>
          <w:rFonts w:ascii="Times New Roman" w:hAnsi="Times New Roman" w:cs="Times New Roman"/>
          <w:color w:val="000000"/>
          <w:sz w:val="24"/>
          <w:szCs w:val="24"/>
          <w:shd w:val="clear" w:color="auto" w:fill="FFFFFF"/>
        </w:rPr>
        <w:t>0 or greater in all group)</w:t>
      </w:r>
      <w:r w:rsidR="00B57BB2" w:rsidRPr="0046155E">
        <w:rPr>
          <w:rFonts w:ascii="Times New Roman" w:hAnsi="Times New Roman" w:cs="Times New Roman"/>
          <w:color w:val="000000"/>
          <w:sz w:val="24"/>
          <w:szCs w:val="24"/>
          <w:shd w:val="clear" w:color="auto" w:fill="FFFFFF"/>
        </w:rPr>
        <w:t>.</w:t>
      </w:r>
      <w:r w:rsidR="00B57BB2" w:rsidRPr="0046155E">
        <w:rPr>
          <w:rFonts w:ascii="Times New Roman" w:hAnsi="Times New Roman" w:cs="Times New Roman"/>
          <w:color w:val="000000"/>
          <w:sz w:val="24"/>
          <w:szCs w:val="24"/>
          <w:shd w:val="clear" w:color="auto" w:fill="FFFFFF"/>
        </w:rPr>
        <w:fldChar w:fldCharType="begin" w:fldLock="1"/>
      </w:r>
      <w:r w:rsidR="00CA3C96" w:rsidRPr="0046155E">
        <w:rPr>
          <w:rFonts w:ascii="Times New Roman" w:hAnsi="Times New Roman" w:cs="Times New Roman"/>
          <w:color w:val="000000"/>
          <w:sz w:val="24"/>
          <w:szCs w:val="24"/>
          <w:shd w:val="clear" w:color="auto" w:fill="FFFFFF"/>
        </w:rPr>
        <w:instrText>ADDIN CSL_CITATION {"citationItems":[{"id":"ITEM-1","itemData":{"URL":"https://www.jstor.org/stable/183740?seq=1","accessed":{"date-parts":[["2020","12","3"]]},"id":"ITEM-1","issued":{"date-parts":[["0"]]},"title":"An Empirical Pooling Approach for Estimating Marketing Mix Elasticities with PIMS Data on JSTOR","type":"webpage"},"uris":["http://www.mendeley.com/documents/?uuid=4b800b92-8f74-3429-bf9a-bbea64825388"]}],"mendeley":{"formattedCitation":"[15]","plainTextFormattedCitation":"[15]","previouslyFormattedCitation":"[15]"},"properties":{"noteIndex":0},"schema":"https://github.com/citation-style-language/schema/raw/master/csl-citation.json"}</w:instrText>
      </w:r>
      <w:r w:rsidR="00B57BB2" w:rsidRPr="0046155E">
        <w:rPr>
          <w:rFonts w:ascii="Times New Roman" w:hAnsi="Times New Roman" w:cs="Times New Roman"/>
          <w:color w:val="000000"/>
          <w:sz w:val="24"/>
          <w:szCs w:val="24"/>
          <w:shd w:val="clear" w:color="auto" w:fill="FFFFFF"/>
        </w:rPr>
        <w:fldChar w:fldCharType="separate"/>
      </w:r>
      <w:r w:rsidR="003B2F58" w:rsidRPr="0046155E">
        <w:rPr>
          <w:rFonts w:ascii="Times New Roman" w:hAnsi="Times New Roman" w:cs="Times New Roman"/>
          <w:noProof/>
          <w:color w:val="000000"/>
          <w:sz w:val="24"/>
          <w:szCs w:val="24"/>
          <w:shd w:val="clear" w:color="auto" w:fill="FFFFFF"/>
        </w:rPr>
        <w:t>[1</w:t>
      </w:r>
      <w:r w:rsidR="00082650">
        <w:rPr>
          <w:rFonts w:ascii="Times New Roman" w:hAnsi="Times New Roman" w:cs="Times New Roman"/>
          <w:noProof/>
          <w:color w:val="000000"/>
          <w:sz w:val="24"/>
          <w:szCs w:val="24"/>
          <w:shd w:val="clear" w:color="auto" w:fill="FFFFFF"/>
        </w:rPr>
        <w:t>6</w:t>
      </w:r>
      <w:r w:rsidR="003B2F58" w:rsidRPr="0046155E">
        <w:rPr>
          <w:rFonts w:ascii="Times New Roman" w:hAnsi="Times New Roman" w:cs="Times New Roman"/>
          <w:noProof/>
          <w:color w:val="000000"/>
          <w:sz w:val="24"/>
          <w:szCs w:val="24"/>
          <w:shd w:val="clear" w:color="auto" w:fill="FFFFFF"/>
        </w:rPr>
        <w:t>]</w:t>
      </w:r>
      <w:r w:rsidR="00B57BB2" w:rsidRPr="0046155E">
        <w:rPr>
          <w:rFonts w:ascii="Times New Roman" w:hAnsi="Times New Roman" w:cs="Times New Roman"/>
          <w:color w:val="000000"/>
          <w:sz w:val="24"/>
          <w:szCs w:val="24"/>
          <w:shd w:val="clear" w:color="auto" w:fill="FFFFFF"/>
        </w:rPr>
        <w:fldChar w:fldCharType="end"/>
      </w:r>
      <w:r w:rsidR="00621371" w:rsidRPr="0046155E">
        <w:rPr>
          <w:rFonts w:ascii="Times New Roman" w:hAnsi="Times New Roman" w:cs="Times New Roman"/>
          <w:color w:val="000000"/>
          <w:sz w:val="24"/>
          <w:szCs w:val="24"/>
          <w:shd w:val="clear" w:color="auto" w:fill="FFFFFF"/>
        </w:rPr>
        <w:t xml:space="preserve"> </w:t>
      </w:r>
      <w:r w:rsidR="00F81F73" w:rsidRPr="0046155E">
        <w:rPr>
          <w:rFonts w:ascii="Times New Roman" w:hAnsi="Times New Roman" w:cs="Times New Roman"/>
          <w:color w:val="000000"/>
          <w:sz w:val="24"/>
          <w:szCs w:val="24"/>
          <w:shd w:val="clear" w:color="auto" w:fill="FFFFFF"/>
        </w:rPr>
        <w:t>The best</w:t>
      </w:r>
      <w:r w:rsidR="00CA6E1E" w:rsidRPr="0046155E">
        <w:rPr>
          <w:rFonts w:ascii="Times New Roman" w:hAnsi="Times New Roman" w:cs="Times New Roman"/>
          <w:color w:val="000000"/>
          <w:sz w:val="24"/>
          <w:szCs w:val="24"/>
          <w:shd w:val="clear" w:color="auto" w:fill="FFFFFF"/>
        </w:rPr>
        <w:t>-</w:t>
      </w:r>
      <w:r w:rsidR="00F81F73" w:rsidRPr="0046155E">
        <w:rPr>
          <w:rFonts w:ascii="Times New Roman" w:hAnsi="Times New Roman" w:cs="Times New Roman"/>
          <w:color w:val="000000"/>
          <w:sz w:val="24"/>
          <w:szCs w:val="24"/>
          <w:shd w:val="clear" w:color="auto" w:fill="FFFFFF"/>
        </w:rPr>
        <w:t>fitting model was fitted to each imputed dataset and the c</w:t>
      </w:r>
      <w:r w:rsidR="00FE135E" w:rsidRPr="0046155E">
        <w:rPr>
          <w:rFonts w:ascii="Times New Roman" w:hAnsi="Times New Roman" w:cs="Times New Roman"/>
          <w:color w:val="000000"/>
          <w:sz w:val="24"/>
          <w:szCs w:val="24"/>
          <w:shd w:val="clear" w:color="auto" w:fill="FFFFFF"/>
        </w:rPr>
        <w:t xml:space="preserve">lassification probabilities </w:t>
      </w:r>
      <w:r w:rsidR="00F81F73" w:rsidRPr="0046155E">
        <w:rPr>
          <w:rFonts w:ascii="Times New Roman" w:hAnsi="Times New Roman" w:cs="Times New Roman"/>
          <w:color w:val="000000"/>
          <w:sz w:val="24"/>
          <w:szCs w:val="24"/>
          <w:shd w:val="clear" w:color="auto" w:fill="FFFFFF"/>
        </w:rPr>
        <w:t>from each dataset were saved and averaged to determine group membership.</w:t>
      </w:r>
      <w:r w:rsidR="00E2201B" w:rsidRPr="0046155E">
        <w:rPr>
          <w:rFonts w:ascii="Times New Roman" w:hAnsi="Times New Roman" w:cs="Times New Roman"/>
          <w:sz w:val="24"/>
          <w:szCs w:val="24"/>
        </w:rPr>
        <w:t xml:space="preserve"> </w:t>
      </w:r>
      <w:r w:rsidR="00433894" w:rsidRPr="0046155E">
        <w:rPr>
          <w:rFonts w:ascii="Times New Roman" w:hAnsi="Times New Roman" w:cs="Times New Roman"/>
          <w:sz w:val="24"/>
          <w:szCs w:val="24"/>
        </w:rPr>
        <w:t>We then used d</w:t>
      </w:r>
      <w:r w:rsidR="00B83F3B" w:rsidRPr="0046155E">
        <w:rPr>
          <w:rFonts w:ascii="Times New Roman" w:hAnsi="Times New Roman" w:cs="Times New Roman"/>
          <w:sz w:val="24"/>
          <w:szCs w:val="24"/>
        </w:rPr>
        <w:t>escriptive statistics to compare baseline sociodemographic and clinical characteristics for</w:t>
      </w:r>
      <w:r w:rsidR="00433894" w:rsidRPr="0046155E">
        <w:rPr>
          <w:rFonts w:ascii="Times New Roman" w:hAnsi="Times New Roman" w:cs="Times New Roman"/>
          <w:sz w:val="24"/>
          <w:szCs w:val="24"/>
        </w:rPr>
        <w:t xml:space="preserve"> each remission </w:t>
      </w:r>
      <w:r w:rsidR="00E2201B" w:rsidRPr="0046155E">
        <w:rPr>
          <w:rFonts w:ascii="Times New Roman" w:hAnsi="Times New Roman" w:cs="Times New Roman"/>
          <w:sz w:val="24"/>
          <w:szCs w:val="24"/>
        </w:rPr>
        <w:t xml:space="preserve">group. </w:t>
      </w:r>
      <w:r w:rsidR="00F81F73" w:rsidRPr="0046155E">
        <w:rPr>
          <w:rFonts w:ascii="Times New Roman" w:hAnsi="Times New Roman" w:cs="Times New Roman"/>
          <w:sz w:val="24"/>
          <w:szCs w:val="24"/>
        </w:rPr>
        <w:t>Model F statistics were used to test differences in variables across the groups.</w:t>
      </w:r>
      <w:r w:rsidR="00B97F66" w:rsidRPr="0046155E">
        <w:rPr>
          <w:rFonts w:ascii="Times New Roman" w:hAnsi="Times New Roman" w:cs="Times New Roman"/>
          <w:sz w:val="24"/>
          <w:szCs w:val="24"/>
        </w:rPr>
        <w:t xml:space="preserve"> </w:t>
      </w:r>
      <w:r w:rsidR="0021442B" w:rsidRPr="0046155E">
        <w:rPr>
          <w:rFonts w:ascii="Times New Roman" w:eastAsia="Times New Roman" w:hAnsi="Times New Roman" w:cs="Times New Roman"/>
          <w:sz w:val="24"/>
          <w:szCs w:val="24"/>
        </w:rPr>
        <w:t xml:space="preserve">Multinomial models (unadjusted and adjusted for age, sex, ethnicity, IMD, baseline weight, diabetes duration, number of comorbidities and clustering within practices) were used to examine the association between weight change categories (no change or weight gain, weight loss </w:t>
      </w:r>
      <w:r w:rsidR="0021442B" w:rsidRPr="0046155E">
        <w:rPr>
          <w:rFonts w:ascii="Times New Roman" w:hAnsi="Times New Roman" w:cs="Times New Roman"/>
          <w:color w:val="000000"/>
          <w:sz w:val="24"/>
          <w:szCs w:val="24"/>
          <w:shd w:val="clear" w:color="auto" w:fill="FFFFFF"/>
        </w:rPr>
        <w:t>(≤ 2.5–5%), (≤5–10%) and (≥10%)</w:t>
      </w:r>
      <w:r w:rsidR="00CC6B61" w:rsidRPr="0046155E">
        <w:rPr>
          <w:rFonts w:ascii="Times New Roman" w:hAnsi="Times New Roman" w:cs="Times New Roman"/>
          <w:color w:val="000000"/>
          <w:sz w:val="24"/>
          <w:szCs w:val="24"/>
          <w:shd w:val="clear" w:color="auto" w:fill="FFFFFF"/>
        </w:rPr>
        <w:t xml:space="preserve"> from baseline weight</w:t>
      </w:r>
      <w:r w:rsidR="0021442B" w:rsidRPr="0046155E">
        <w:rPr>
          <w:rFonts w:ascii="Times New Roman" w:hAnsi="Times New Roman" w:cs="Times New Roman"/>
          <w:color w:val="000000"/>
          <w:sz w:val="24"/>
          <w:szCs w:val="24"/>
          <w:shd w:val="clear" w:color="auto" w:fill="FFFFFF"/>
        </w:rPr>
        <w:t>) and group membership.</w:t>
      </w:r>
      <w:r w:rsidR="00D47D62">
        <w:rPr>
          <w:rFonts w:ascii="Times New Roman" w:hAnsi="Times New Roman" w:cs="Times New Roman"/>
          <w:color w:val="000000"/>
          <w:sz w:val="24"/>
          <w:szCs w:val="24"/>
          <w:shd w:val="clear" w:color="auto" w:fill="FFFFFF"/>
        </w:rPr>
        <w:t xml:space="preserve"> We examine associations </w:t>
      </w:r>
      <w:r w:rsidR="00551CB2">
        <w:rPr>
          <w:rFonts w:ascii="Times New Roman" w:hAnsi="Times New Roman" w:cs="Times New Roman"/>
          <w:color w:val="000000"/>
          <w:sz w:val="24"/>
          <w:szCs w:val="24"/>
          <w:shd w:val="clear" w:color="auto" w:fill="FFFFFF"/>
        </w:rPr>
        <w:t>between</w:t>
      </w:r>
      <w:r w:rsidR="002F24B1">
        <w:rPr>
          <w:rFonts w:ascii="Times New Roman" w:hAnsi="Times New Roman" w:cs="Times New Roman"/>
          <w:color w:val="000000"/>
          <w:sz w:val="24"/>
          <w:szCs w:val="24"/>
          <w:shd w:val="clear" w:color="auto" w:fill="FFFFFF"/>
        </w:rPr>
        <w:t xml:space="preserve"> </w:t>
      </w:r>
      <w:r w:rsidR="00551CB2">
        <w:rPr>
          <w:rFonts w:ascii="Times New Roman" w:hAnsi="Times New Roman" w:cs="Times New Roman"/>
          <w:color w:val="000000"/>
          <w:sz w:val="24"/>
          <w:szCs w:val="24"/>
          <w:shd w:val="clear" w:color="auto" w:fill="FFFFFF"/>
        </w:rPr>
        <w:t>weight change categories</w:t>
      </w:r>
      <w:r w:rsidR="002F24B1">
        <w:rPr>
          <w:rFonts w:ascii="Times New Roman" w:hAnsi="Times New Roman" w:cs="Times New Roman"/>
          <w:color w:val="000000"/>
          <w:sz w:val="24"/>
          <w:szCs w:val="24"/>
          <w:shd w:val="clear" w:color="auto" w:fill="FFFFFF"/>
        </w:rPr>
        <w:t xml:space="preserve"> and remission groups</w:t>
      </w:r>
      <w:r w:rsidR="00551CB2">
        <w:rPr>
          <w:rFonts w:ascii="Times New Roman" w:hAnsi="Times New Roman" w:cs="Times New Roman"/>
          <w:color w:val="000000"/>
          <w:sz w:val="24"/>
          <w:szCs w:val="24"/>
          <w:shd w:val="clear" w:color="auto" w:fill="FFFFFF"/>
        </w:rPr>
        <w:t xml:space="preserve"> as </w:t>
      </w:r>
      <w:r w:rsidR="00A364F4">
        <w:rPr>
          <w:rFonts w:ascii="Times New Roman" w:hAnsi="Times New Roman" w:cs="Times New Roman"/>
          <w:color w:val="000000"/>
          <w:sz w:val="24"/>
          <w:szCs w:val="24"/>
          <w:shd w:val="clear" w:color="auto" w:fill="FFFFFF"/>
        </w:rPr>
        <w:t>previous studies have found an association with overall remission</w:t>
      </w:r>
      <w:r w:rsidR="002F24B1">
        <w:rPr>
          <w:rFonts w:ascii="Times New Roman" w:hAnsi="Times New Roman" w:cs="Times New Roman"/>
          <w:color w:val="000000"/>
          <w:sz w:val="24"/>
          <w:szCs w:val="24"/>
          <w:shd w:val="clear" w:color="auto" w:fill="FFFFFF"/>
        </w:rPr>
        <w:t>.</w:t>
      </w:r>
      <w:r w:rsidR="00C054F7">
        <w:rPr>
          <w:rFonts w:ascii="Times New Roman" w:hAnsi="Times New Roman" w:cs="Times New Roman"/>
          <w:color w:val="000000"/>
          <w:sz w:val="24"/>
          <w:szCs w:val="24"/>
          <w:shd w:val="clear" w:color="auto" w:fill="FFFFFF"/>
        </w:rPr>
        <w:t xml:space="preserve"> [6,1</w:t>
      </w:r>
      <w:r w:rsidR="00082650">
        <w:rPr>
          <w:rFonts w:ascii="Times New Roman" w:hAnsi="Times New Roman" w:cs="Times New Roman"/>
          <w:color w:val="000000"/>
          <w:sz w:val="24"/>
          <w:szCs w:val="24"/>
          <w:shd w:val="clear" w:color="auto" w:fill="FFFFFF"/>
        </w:rPr>
        <w:t>7</w:t>
      </w:r>
      <w:r w:rsidR="00C054F7">
        <w:rPr>
          <w:rFonts w:ascii="Times New Roman" w:hAnsi="Times New Roman" w:cs="Times New Roman"/>
          <w:color w:val="000000"/>
          <w:sz w:val="24"/>
          <w:szCs w:val="24"/>
          <w:shd w:val="clear" w:color="auto" w:fill="FFFFFF"/>
        </w:rPr>
        <w:t>]</w:t>
      </w:r>
    </w:p>
    <w:p w14:paraId="71D8B38D" w14:textId="3AB65648" w:rsidR="00614976" w:rsidRPr="0046155E" w:rsidRDefault="00314060" w:rsidP="00E21AD0">
      <w:pPr>
        <w:spacing w:after="0" w:line="480" w:lineRule="auto"/>
        <w:jc w:val="both"/>
        <w:rPr>
          <w:rFonts w:ascii="Times New Roman" w:eastAsia="Times New Roman" w:hAnsi="Times New Roman" w:cs="Times New Roman"/>
          <w:sz w:val="24"/>
          <w:szCs w:val="24"/>
        </w:rPr>
      </w:pPr>
      <w:r w:rsidRPr="0046155E">
        <w:rPr>
          <w:rFonts w:ascii="Times New Roman" w:hAnsi="Times New Roman" w:cs="Times New Roman"/>
          <w:sz w:val="24"/>
          <w:szCs w:val="24"/>
        </w:rPr>
        <w:t>W</w:t>
      </w:r>
      <w:r w:rsidR="008A2E26" w:rsidRPr="0046155E">
        <w:rPr>
          <w:rFonts w:ascii="Times New Roman" w:hAnsi="Times New Roman" w:cs="Times New Roman"/>
          <w:sz w:val="24"/>
          <w:szCs w:val="24"/>
        </w:rPr>
        <w:t>e fitted</w:t>
      </w:r>
      <w:r w:rsidR="005A5691" w:rsidRPr="0046155E">
        <w:rPr>
          <w:rFonts w:ascii="Times New Roman" w:hAnsi="Times New Roman" w:cs="Times New Roman"/>
          <w:sz w:val="24"/>
          <w:szCs w:val="24"/>
        </w:rPr>
        <w:t xml:space="preserve"> m</w:t>
      </w:r>
      <w:r w:rsidR="00B83F3B" w:rsidRPr="0046155E">
        <w:rPr>
          <w:rFonts w:ascii="Times New Roman" w:hAnsi="Times New Roman" w:cs="Times New Roman"/>
          <w:sz w:val="24"/>
          <w:szCs w:val="24"/>
        </w:rPr>
        <w:t>ultivariable-adjusted</w:t>
      </w:r>
      <w:r w:rsidR="00E2201B" w:rsidRPr="0046155E">
        <w:rPr>
          <w:rFonts w:ascii="Times New Roman" w:hAnsi="Times New Roman" w:cs="Times New Roman"/>
          <w:sz w:val="24"/>
          <w:szCs w:val="24"/>
        </w:rPr>
        <w:t xml:space="preserve"> </w:t>
      </w:r>
      <w:r w:rsidR="00B83F3B" w:rsidRPr="0046155E">
        <w:rPr>
          <w:rFonts w:ascii="Times New Roman" w:hAnsi="Times New Roman" w:cs="Times New Roman"/>
          <w:sz w:val="24"/>
          <w:szCs w:val="24"/>
        </w:rPr>
        <w:t>Cox proportional hazards models to</w:t>
      </w:r>
      <w:r w:rsidR="008A2E26" w:rsidRPr="0046155E">
        <w:rPr>
          <w:rFonts w:ascii="Times New Roman" w:hAnsi="Times New Roman" w:cs="Times New Roman"/>
          <w:sz w:val="24"/>
          <w:szCs w:val="24"/>
        </w:rPr>
        <w:t xml:space="preserve"> quantify</w:t>
      </w:r>
      <w:r w:rsidR="00B83F3B" w:rsidRPr="0046155E">
        <w:rPr>
          <w:rFonts w:ascii="Times New Roman" w:hAnsi="Times New Roman" w:cs="Times New Roman"/>
          <w:sz w:val="24"/>
          <w:szCs w:val="24"/>
        </w:rPr>
        <w:t xml:space="preserve"> </w:t>
      </w:r>
      <w:r w:rsidR="00E2201B" w:rsidRPr="0046155E">
        <w:rPr>
          <w:rFonts w:ascii="Times New Roman" w:hAnsi="Times New Roman" w:cs="Times New Roman"/>
          <w:sz w:val="24"/>
          <w:szCs w:val="24"/>
        </w:rPr>
        <w:t xml:space="preserve">the </w:t>
      </w:r>
      <w:r w:rsidR="00B83F3B" w:rsidRPr="0046155E">
        <w:rPr>
          <w:rFonts w:ascii="Times New Roman" w:hAnsi="Times New Roman" w:cs="Times New Roman"/>
          <w:sz w:val="24"/>
          <w:szCs w:val="24"/>
        </w:rPr>
        <w:t>association between</w:t>
      </w:r>
      <w:r w:rsidR="00E2201B" w:rsidRPr="0046155E">
        <w:rPr>
          <w:rFonts w:ascii="Times New Roman" w:hAnsi="Times New Roman" w:cs="Times New Roman"/>
          <w:sz w:val="24"/>
          <w:szCs w:val="24"/>
        </w:rPr>
        <w:t xml:space="preserve"> </w:t>
      </w:r>
      <w:r w:rsidR="008A2E26" w:rsidRPr="0046155E">
        <w:rPr>
          <w:rFonts w:ascii="Times New Roman" w:hAnsi="Times New Roman" w:cs="Times New Roman"/>
          <w:sz w:val="24"/>
          <w:szCs w:val="24"/>
        </w:rPr>
        <w:t>remissio</w:t>
      </w:r>
      <w:r w:rsidRPr="0046155E">
        <w:rPr>
          <w:rFonts w:ascii="Times New Roman" w:hAnsi="Times New Roman" w:cs="Times New Roman"/>
          <w:sz w:val="24"/>
          <w:szCs w:val="24"/>
        </w:rPr>
        <w:t>n at any point during the follow-up</w:t>
      </w:r>
      <w:r w:rsidR="00E2201B" w:rsidRPr="0046155E">
        <w:rPr>
          <w:rFonts w:ascii="Times New Roman" w:hAnsi="Times New Roman" w:cs="Times New Roman"/>
          <w:sz w:val="24"/>
          <w:szCs w:val="24"/>
        </w:rPr>
        <w:t xml:space="preserve"> </w:t>
      </w:r>
      <w:r w:rsidRPr="0046155E">
        <w:rPr>
          <w:rFonts w:ascii="Times New Roman" w:hAnsi="Times New Roman" w:cs="Times New Roman"/>
          <w:sz w:val="24"/>
          <w:szCs w:val="24"/>
        </w:rPr>
        <w:t xml:space="preserve">for the whole cohort </w:t>
      </w:r>
      <w:r w:rsidR="00E2201B" w:rsidRPr="0046155E">
        <w:rPr>
          <w:rFonts w:ascii="Times New Roman" w:hAnsi="Times New Roman" w:cs="Times New Roman"/>
          <w:sz w:val="24"/>
          <w:szCs w:val="24"/>
        </w:rPr>
        <w:t>and</w:t>
      </w:r>
      <w:r w:rsidRPr="0046155E">
        <w:rPr>
          <w:rFonts w:ascii="Times New Roman" w:hAnsi="Times New Roman" w:cs="Times New Roman"/>
          <w:sz w:val="24"/>
          <w:szCs w:val="24"/>
        </w:rPr>
        <w:t xml:space="preserve"> the incidence of</w:t>
      </w:r>
      <w:r w:rsidR="00E2201B" w:rsidRPr="0046155E">
        <w:rPr>
          <w:rFonts w:ascii="Times New Roman" w:hAnsi="Times New Roman" w:cs="Times New Roman"/>
          <w:sz w:val="24"/>
          <w:szCs w:val="24"/>
        </w:rPr>
        <w:t xml:space="preserve"> </w:t>
      </w:r>
      <w:proofErr w:type="spellStart"/>
      <w:r w:rsidR="00386C2B" w:rsidRPr="0046155E">
        <w:rPr>
          <w:rFonts w:ascii="Times New Roman" w:hAnsi="Times New Roman" w:cs="Times New Roman"/>
          <w:sz w:val="24"/>
          <w:szCs w:val="24"/>
        </w:rPr>
        <w:t>i</w:t>
      </w:r>
      <w:proofErr w:type="spellEnd"/>
      <w:r w:rsidR="008A2E26" w:rsidRPr="0046155E">
        <w:rPr>
          <w:rFonts w:ascii="Times New Roman" w:hAnsi="Times New Roman" w:cs="Times New Roman"/>
          <w:sz w:val="24"/>
          <w:szCs w:val="24"/>
        </w:rPr>
        <w:t xml:space="preserve">) </w:t>
      </w:r>
      <w:r w:rsidR="00B83F3B" w:rsidRPr="0046155E">
        <w:rPr>
          <w:rFonts w:ascii="Times New Roman" w:hAnsi="Times New Roman" w:cs="Times New Roman"/>
          <w:sz w:val="24"/>
          <w:szCs w:val="24"/>
        </w:rPr>
        <w:t>macrovascular</w:t>
      </w:r>
      <w:r w:rsidRPr="0046155E">
        <w:rPr>
          <w:rFonts w:ascii="Times New Roman" w:hAnsi="Times New Roman" w:cs="Times New Roman"/>
          <w:sz w:val="24"/>
          <w:szCs w:val="24"/>
        </w:rPr>
        <w:t xml:space="preserve"> complications</w:t>
      </w:r>
      <w:r w:rsidR="00386C2B" w:rsidRPr="0046155E">
        <w:rPr>
          <w:rFonts w:ascii="Times New Roman" w:hAnsi="Times New Roman" w:cs="Times New Roman"/>
          <w:sz w:val="24"/>
          <w:szCs w:val="24"/>
        </w:rPr>
        <w:t xml:space="preserve"> ii) microvascular complications, iii) CVD events,</w:t>
      </w:r>
      <w:r w:rsidR="00F81F73" w:rsidRPr="0046155E">
        <w:rPr>
          <w:rFonts w:ascii="Times New Roman" w:hAnsi="Times New Roman" w:cs="Times New Roman"/>
          <w:sz w:val="24"/>
          <w:szCs w:val="24"/>
        </w:rPr>
        <w:t xml:space="preserve"> and </w:t>
      </w:r>
      <w:r w:rsidR="008A2E26" w:rsidRPr="0046155E">
        <w:rPr>
          <w:rFonts w:ascii="Times New Roman" w:hAnsi="Times New Roman" w:cs="Times New Roman"/>
          <w:sz w:val="24"/>
          <w:szCs w:val="24"/>
        </w:rPr>
        <w:t xml:space="preserve">iv) </w:t>
      </w:r>
      <w:r w:rsidR="00F81F73" w:rsidRPr="0046155E">
        <w:rPr>
          <w:rFonts w:ascii="Times New Roman" w:hAnsi="Times New Roman" w:cs="Times New Roman"/>
          <w:sz w:val="24"/>
          <w:szCs w:val="24"/>
        </w:rPr>
        <w:t>all-cause mortality</w:t>
      </w:r>
      <w:r w:rsidR="00B83F3B" w:rsidRPr="0046155E">
        <w:rPr>
          <w:rFonts w:ascii="Times New Roman" w:hAnsi="Times New Roman" w:cs="Times New Roman"/>
          <w:sz w:val="24"/>
          <w:szCs w:val="24"/>
        </w:rPr>
        <w:t>)</w:t>
      </w:r>
      <w:r w:rsidR="00A116B2" w:rsidRPr="0046155E">
        <w:rPr>
          <w:rFonts w:ascii="Times New Roman" w:hAnsi="Times New Roman" w:cs="Times New Roman"/>
          <w:sz w:val="24"/>
          <w:szCs w:val="24"/>
        </w:rPr>
        <w:t>.</w:t>
      </w:r>
      <w:r w:rsidR="00F02231" w:rsidRPr="0046155E">
        <w:rPr>
          <w:rFonts w:ascii="Times New Roman" w:eastAsia="Times New Roman" w:hAnsi="Times New Roman" w:cs="Times New Roman"/>
          <w:sz w:val="24"/>
          <w:szCs w:val="24"/>
        </w:rPr>
        <w:t xml:space="preserve"> </w:t>
      </w:r>
      <w:r w:rsidRPr="0046155E">
        <w:rPr>
          <w:rFonts w:ascii="Times New Roman" w:eastAsia="Times New Roman" w:hAnsi="Times New Roman" w:cs="Times New Roman"/>
          <w:sz w:val="24"/>
          <w:szCs w:val="24"/>
        </w:rPr>
        <w:t xml:space="preserve">We then constructed the same models with each </w:t>
      </w:r>
      <w:r w:rsidR="002E4A38" w:rsidRPr="0046155E">
        <w:rPr>
          <w:rFonts w:ascii="Times New Roman" w:eastAsia="Times New Roman" w:hAnsi="Times New Roman" w:cs="Times New Roman"/>
          <w:sz w:val="24"/>
          <w:szCs w:val="24"/>
        </w:rPr>
        <w:t xml:space="preserve">distinct </w:t>
      </w:r>
      <w:r w:rsidRPr="0046155E">
        <w:rPr>
          <w:rFonts w:ascii="Times New Roman" w:eastAsia="Times New Roman" w:hAnsi="Times New Roman" w:cs="Times New Roman"/>
          <w:sz w:val="24"/>
          <w:szCs w:val="24"/>
        </w:rPr>
        <w:t xml:space="preserve">remission group. </w:t>
      </w:r>
      <w:r w:rsidR="004F2F6F" w:rsidRPr="0046155E">
        <w:rPr>
          <w:rFonts w:ascii="Times New Roman" w:eastAsia="Times New Roman" w:hAnsi="Times New Roman" w:cs="Times New Roman"/>
          <w:sz w:val="24"/>
          <w:szCs w:val="24"/>
        </w:rPr>
        <w:t xml:space="preserve">People with </w:t>
      </w:r>
      <w:r w:rsidRPr="0046155E">
        <w:rPr>
          <w:rFonts w:ascii="Times New Roman" w:eastAsia="Times New Roman" w:hAnsi="Times New Roman" w:cs="Times New Roman"/>
          <w:sz w:val="24"/>
          <w:szCs w:val="24"/>
        </w:rPr>
        <w:t xml:space="preserve">the </w:t>
      </w:r>
      <w:r w:rsidR="004F2F6F" w:rsidRPr="0046155E">
        <w:rPr>
          <w:rFonts w:ascii="Times New Roman" w:eastAsia="Times New Roman" w:hAnsi="Times New Roman" w:cs="Times New Roman"/>
          <w:sz w:val="24"/>
          <w:szCs w:val="24"/>
        </w:rPr>
        <w:t xml:space="preserve">event of interest </w:t>
      </w:r>
      <w:r w:rsidR="00CA6E1E" w:rsidRPr="0046155E">
        <w:rPr>
          <w:rFonts w:ascii="Times New Roman" w:eastAsia="Times New Roman" w:hAnsi="Times New Roman" w:cs="Times New Roman"/>
          <w:sz w:val="24"/>
          <w:szCs w:val="24"/>
        </w:rPr>
        <w:t>before</w:t>
      </w:r>
      <w:r w:rsidR="004F2F6F" w:rsidRPr="0046155E">
        <w:rPr>
          <w:rFonts w:ascii="Times New Roman" w:eastAsia="Times New Roman" w:hAnsi="Times New Roman" w:cs="Times New Roman"/>
          <w:sz w:val="24"/>
          <w:szCs w:val="24"/>
        </w:rPr>
        <w:t xml:space="preserve"> the start of study were excluded from the respective analysis. Quarter of death rather than exact date of death</w:t>
      </w:r>
      <w:r w:rsidRPr="0046155E">
        <w:rPr>
          <w:rFonts w:ascii="Times New Roman" w:eastAsia="Times New Roman" w:hAnsi="Times New Roman" w:cs="Times New Roman"/>
          <w:sz w:val="24"/>
          <w:szCs w:val="24"/>
        </w:rPr>
        <w:t xml:space="preserve"> was available in the database t</w:t>
      </w:r>
      <w:r w:rsidR="004F2F6F" w:rsidRPr="0046155E">
        <w:rPr>
          <w:rFonts w:ascii="Times New Roman" w:eastAsia="Times New Roman" w:hAnsi="Times New Roman" w:cs="Times New Roman"/>
          <w:sz w:val="24"/>
          <w:szCs w:val="24"/>
        </w:rPr>
        <w:t xml:space="preserve">herefore, the mid-point of the quarter of death was used as </w:t>
      </w:r>
      <w:r w:rsidR="00CA6E1E" w:rsidRPr="0046155E">
        <w:rPr>
          <w:rFonts w:ascii="Times New Roman" w:eastAsia="Times New Roman" w:hAnsi="Times New Roman" w:cs="Times New Roman"/>
          <w:sz w:val="24"/>
          <w:szCs w:val="24"/>
        </w:rPr>
        <w:t xml:space="preserve">the </w:t>
      </w:r>
      <w:r w:rsidR="004F2F6F" w:rsidRPr="0046155E">
        <w:rPr>
          <w:rFonts w:ascii="Times New Roman" w:eastAsia="Times New Roman" w:hAnsi="Times New Roman" w:cs="Times New Roman"/>
          <w:sz w:val="24"/>
          <w:szCs w:val="24"/>
        </w:rPr>
        <w:t>date of death in the time to event analyses.</w:t>
      </w:r>
      <w:r w:rsidRPr="0046155E">
        <w:rPr>
          <w:rFonts w:ascii="Times New Roman" w:eastAsia="Times New Roman" w:hAnsi="Times New Roman" w:cs="Times New Roman"/>
          <w:sz w:val="24"/>
          <w:szCs w:val="24"/>
        </w:rPr>
        <w:t xml:space="preserve"> </w:t>
      </w:r>
      <w:r w:rsidR="00B232A3">
        <w:rPr>
          <w:rFonts w:ascii="Times New Roman" w:eastAsia="Times New Roman" w:hAnsi="Times New Roman" w:cs="Times New Roman"/>
          <w:sz w:val="24"/>
          <w:szCs w:val="24"/>
        </w:rPr>
        <w:t xml:space="preserve">For </w:t>
      </w:r>
      <w:r w:rsidR="00CC7D8B">
        <w:rPr>
          <w:rFonts w:ascii="Times New Roman" w:eastAsia="Times New Roman" w:hAnsi="Times New Roman" w:cs="Times New Roman"/>
          <w:sz w:val="24"/>
          <w:szCs w:val="24"/>
        </w:rPr>
        <w:t xml:space="preserve">participants with multiple outcome events, we used the time the first event occurred in </w:t>
      </w:r>
      <w:r w:rsidR="00142CD2">
        <w:rPr>
          <w:rFonts w:ascii="Times New Roman" w:eastAsia="Times New Roman" w:hAnsi="Times New Roman" w:cs="Times New Roman"/>
          <w:sz w:val="24"/>
          <w:szCs w:val="24"/>
        </w:rPr>
        <w:t xml:space="preserve">our time to event analyses. </w:t>
      </w:r>
      <w:r w:rsidRPr="0046155E">
        <w:rPr>
          <w:rFonts w:ascii="Times New Roman" w:hAnsi="Times New Roman" w:cs="Times New Roman"/>
          <w:color w:val="000000"/>
          <w:sz w:val="24"/>
          <w:szCs w:val="24"/>
          <w:shd w:val="clear" w:color="auto" w:fill="FFFFFF"/>
        </w:rPr>
        <w:t xml:space="preserve">Multivariable models were adjusted </w:t>
      </w:r>
      <w:r w:rsidR="00CD3200" w:rsidRPr="0046155E">
        <w:rPr>
          <w:rFonts w:ascii="Times New Roman" w:hAnsi="Times New Roman" w:cs="Times New Roman"/>
          <w:color w:val="000000"/>
          <w:sz w:val="24"/>
          <w:szCs w:val="24"/>
          <w:shd w:val="clear" w:color="auto" w:fill="FFFFFF"/>
        </w:rPr>
        <w:t xml:space="preserve">based </w:t>
      </w:r>
      <w:r w:rsidRPr="0046155E">
        <w:rPr>
          <w:rFonts w:ascii="Times New Roman" w:hAnsi="Times New Roman" w:cs="Times New Roman"/>
          <w:color w:val="000000"/>
          <w:sz w:val="24"/>
          <w:szCs w:val="24"/>
          <w:shd w:val="clear" w:color="auto" w:fill="FFFFFF"/>
        </w:rPr>
        <w:t>on </w:t>
      </w:r>
      <w:r w:rsidRPr="00CD1F9F">
        <w:rPr>
          <w:rStyle w:val="Emphasis"/>
          <w:rFonts w:ascii="Times New Roman" w:hAnsi="Times New Roman" w:cs="Times New Roman"/>
          <w:i w:val="0"/>
          <w:iCs w:val="0"/>
          <w:color w:val="000000"/>
          <w:sz w:val="24"/>
          <w:szCs w:val="24"/>
          <w:shd w:val="clear" w:color="auto" w:fill="FFFFFF"/>
        </w:rPr>
        <w:t>a prio</w:t>
      </w:r>
      <w:r w:rsidR="00E41F2D" w:rsidRPr="00CD1F9F">
        <w:rPr>
          <w:rStyle w:val="Emphasis"/>
          <w:rFonts w:ascii="Times New Roman" w:hAnsi="Times New Roman" w:cs="Times New Roman"/>
          <w:i w:val="0"/>
          <w:iCs w:val="0"/>
          <w:color w:val="000000"/>
          <w:sz w:val="24"/>
          <w:szCs w:val="24"/>
          <w:shd w:val="clear" w:color="auto" w:fill="FFFFFF"/>
        </w:rPr>
        <w:t>ri</w:t>
      </w:r>
      <w:r w:rsidRPr="0046155E">
        <w:rPr>
          <w:rFonts w:ascii="Times New Roman" w:hAnsi="Times New Roman" w:cs="Times New Roman"/>
          <w:color w:val="000000"/>
          <w:sz w:val="24"/>
          <w:szCs w:val="24"/>
          <w:shd w:val="clear" w:color="auto" w:fill="FFFFFF"/>
        </w:rPr>
        <w:t xml:space="preserve"> reasoning for </w:t>
      </w:r>
      <w:r w:rsidRPr="0046155E">
        <w:rPr>
          <w:rFonts w:ascii="Times New Roman" w:eastAsia="Times New Roman" w:hAnsi="Times New Roman" w:cs="Times New Roman"/>
          <w:sz w:val="24"/>
          <w:szCs w:val="24"/>
        </w:rPr>
        <w:t>age, sex, ethnicity, IMD, baseline weight, diabetes duration, number of co-morbidities and clustering within practic</w:t>
      </w:r>
      <w:bookmarkEnd w:id="1"/>
      <w:bookmarkEnd w:id="4"/>
      <w:r w:rsidR="003B0333" w:rsidRPr="0046155E">
        <w:rPr>
          <w:rFonts w:ascii="Times New Roman" w:eastAsia="Times New Roman" w:hAnsi="Times New Roman" w:cs="Times New Roman"/>
          <w:sz w:val="24"/>
          <w:szCs w:val="24"/>
        </w:rPr>
        <w:t xml:space="preserve">es. Finally, we </w:t>
      </w:r>
      <w:r w:rsidR="00614976" w:rsidRPr="0046155E">
        <w:rPr>
          <w:rFonts w:ascii="Times New Roman" w:eastAsia="Times New Roman" w:hAnsi="Times New Roman" w:cs="Times New Roman"/>
          <w:sz w:val="24"/>
          <w:szCs w:val="24"/>
        </w:rPr>
        <w:t xml:space="preserve">ran </w:t>
      </w:r>
      <w:r w:rsidR="003B0333" w:rsidRPr="0046155E">
        <w:rPr>
          <w:rFonts w:ascii="Times New Roman" w:eastAsia="Times New Roman" w:hAnsi="Times New Roman" w:cs="Times New Roman"/>
          <w:sz w:val="24"/>
          <w:szCs w:val="24"/>
        </w:rPr>
        <w:t xml:space="preserve">a sensitivity analysis to test the robustness of our imputation methods </w:t>
      </w:r>
      <w:r w:rsidR="00D70E2C" w:rsidRPr="0046155E">
        <w:rPr>
          <w:rFonts w:ascii="Times New Roman" w:eastAsia="Times New Roman" w:hAnsi="Times New Roman" w:cs="Times New Roman"/>
          <w:sz w:val="24"/>
          <w:szCs w:val="24"/>
        </w:rPr>
        <w:t>by re-running the cox models and</w:t>
      </w:r>
      <w:r w:rsidR="003B0333" w:rsidRPr="0046155E">
        <w:rPr>
          <w:rFonts w:ascii="Times New Roman" w:eastAsia="Times New Roman" w:hAnsi="Times New Roman" w:cs="Times New Roman"/>
          <w:sz w:val="24"/>
          <w:szCs w:val="24"/>
        </w:rPr>
        <w:t xml:space="preserve"> includ</w:t>
      </w:r>
      <w:r w:rsidR="00D70E2C" w:rsidRPr="0046155E">
        <w:rPr>
          <w:rFonts w:ascii="Times New Roman" w:eastAsia="Times New Roman" w:hAnsi="Times New Roman" w:cs="Times New Roman"/>
          <w:sz w:val="24"/>
          <w:szCs w:val="24"/>
        </w:rPr>
        <w:t>ing</w:t>
      </w:r>
      <w:r w:rsidR="003B0333" w:rsidRPr="0046155E">
        <w:rPr>
          <w:rFonts w:ascii="Times New Roman" w:eastAsia="Times New Roman" w:hAnsi="Times New Roman" w:cs="Times New Roman"/>
          <w:sz w:val="24"/>
          <w:szCs w:val="24"/>
        </w:rPr>
        <w:t xml:space="preserve"> only </w:t>
      </w:r>
      <w:r w:rsidR="00D70E2C" w:rsidRPr="0046155E">
        <w:rPr>
          <w:rFonts w:ascii="Times New Roman" w:eastAsia="Times New Roman" w:hAnsi="Times New Roman" w:cs="Times New Roman"/>
          <w:sz w:val="24"/>
          <w:szCs w:val="24"/>
        </w:rPr>
        <w:t>those</w:t>
      </w:r>
      <w:r w:rsidR="003B0333" w:rsidRPr="0046155E">
        <w:rPr>
          <w:rFonts w:ascii="Times New Roman" w:eastAsia="Times New Roman" w:hAnsi="Times New Roman" w:cs="Times New Roman"/>
          <w:sz w:val="24"/>
          <w:szCs w:val="24"/>
        </w:rPr>
        <w:t xml:space="preserve"> with non-missing </w:t>
      </w:r>
      <w:r w:rsidR="00D70E2C" w:rsidRPr="0046155E">
        <w:rPr>
          <w:rFonts w:ascii="Times New Roman" w:eastAsia="Times New Roman" w:hAnsi="Times New Roman" w:cs="Times New Roman"/>
          <w:sz w:val="24"/>
          <w:szCs w:val="24"/>
        </w:rPr>
        <w:t>(non-imputed) data</w:t>
      </w:r>
      <w:r w:rsidR="00614976" w:rsidRPr="0046155E">
        <w:rPr>
          <w:rFonts w:ascii="Times New Roman" w:eastAsia="Times New Roman" w:hAnsi="Times New Roman" w:cs="Times New Roman"/>
          <w:sz w:val="24"/>
          <w:szCs w:val="24"/>
        </w:rPr>
        <w:t>.</w:t>
      </w:r>
      <w:r w:rsidR="0021442B" w:rsidRPr="0046155E">
        <w:rPr>
          <w:rFonts w:ascii="Times New Roman" w:eastAsia="Times New Roman" w:hAnsi="Times New Roman" w:cs="Times New Roman"/>
          <w:sz w:val="24"/>
          <w:szCs w:val="24"/>
        </w:rPr>
        <w:t xml:space="preserve"> </w:t>
      </w:r>
      <w:r w:rsidR="008A7B0B">
        <w:rPr>
          <w:rFonts w:ascii="Times New Roman" w:eastAsia="Times New Roman" w:hAnsi="Times New Roman" w:cs="Times New Roman"/>
          <w:sz w:val="24"/>
          <w:szCs w:val="24"/>
        </w:rPr>
        <w:t>A p-value of &lt;0.05 was considered as statistical significance in all analyses.</w:t>
      </w:r>
    </w:p>
    <w:p w14:paraId="212D413B" w14:textId="10773401" w:rsidR="00B83F3B" w:rsidRPr="00CD1F9F" w:rsidRDefault="00F02231" w:rsidP="00E21AD0">
      <w:pPr>
        <w:spacing w:after="0" w:line="480" w:lineRule="auto"/>
        <w:rPr>
          <w:rFonts w:ascii="Times New Roman" w:hAnsi="Times New Roman" w:cs="Times New Roman"/>
          <w:b/>
          <w:bCs/>
          <w:sz w:val="36"/>
          <w:szCs w:val="36"/>
        </w:rPr>
      </w:pPr>
      <w:r w:rsidRPr="00CD1F9F">
        <w:rPr>
          <w:rFonts w:ascii="Times New Roman" w:hAnsi="Times New Roman" w:cs="Times New Roman"/>
          <w:b/>
          <w:bCs/>
          <w:sz w:val="36"/>
          <w:szCs w:val="36"/>
        </w:rPr>
        <w:t>Results</w:t>
      </w:r>
    </w:p>
    <w:p w14:paraId="5F31E792" w14:textId="1CD29E3C" w:rsidR="00F02231" w:rsidRPr="00CD1F9F" w:rsidRDefault="00831812" w:rsidP="00E21AD0">
      <w:pPr>
        <w:spacing w:after="0" w:line="480" w:lineRule="auto"/>
        <w:jc w:val="both"/>
        <w:rPr>
          <w:rFonts w:ascii="Times New Roman" w:hAnsi="Times New Roman" w:cs="Times New Roman"/>
          <w:b/>
          <w:bCs/>
          <w:sz w:val="32"/>
          <w:szCs w:val="32"/>
        </w:rPr>
      </w:pPr>
      <w:r w:rsidRPr="00CD1F9F">
        <w:rPr>
          <w:rFonts w:ascii="Times New Roman" w:hAnsi="Times New Roman" w:cs="Times New Roman"/>
          <w:b/>
          <w:bCs/>
          <w:sz w:val="32"/>
          <w:szCs w:val="32"/>
        </w:rPr>
        <w:t>Baseline</w:t>
      </w:r>
      <w:r w:rsidR="005770CE" w:rsidRPr="00CD1F9F">
        <w:rPr>
          <w:rFonts w:ascii="Times New Roman" w:hAnsi="Times New Roman" w:cs="Times New Roman"/>
          <w:b/>
          <w:bCs/>
          <w:sz w:val="32"/>
          <w:szCs w:val="32"/>
        </w:rPr>
        <w:t xml:space="preserve"> population</w:t>
      </w:r>
      <w:r w:rsidRPr="00CD1F9F">
        <w:rPr>
          <w:rFonts w:ascii="Times New Roman" w:hAnsi="Times New Roman" w:cs="Times New Roman"/>
          <w:b/>
          <w:bCs/>
          <w:sz w:val="32"/>
          <w:szCs w:val="32"/>
        </w:rPr>
        <w:t xml:space="preserve"> characteristics</w:t>
      </w:r>
    </w:p>
    <w:p w14:paraId="1251CB24" w14:textId="4FC7F15E" w:rsidR="00BE70AC" w:rsidRDefault="00831812" w:rsidP="00E21AD0">
      <w:pPr>
        <w:spacing w:after="0" w:line="480" w:lineRule="auto"/>
        <w:jc w:val="both"/>
        <w:rPr>
          <w:rFonts w:ascii="Times New Roman" w:hAnsi="Times New Roman" w:cs="Times New Roman"/>
          <w:sz w:val="24"/>
          <w:szCs w:val="24"/>
        </w:rPr>
      </w:pPr>
      <w:bookmarkStart w:id="5" w:name="_Hlk57485859"/>
      <w:r w:rsidRPr="0046155E">
        <w:rPr>
          <w:rFonts w:ascii="Times New Roman" w:hAnsi="Times New Roman" w:cs="Times New Roman"/>
          <w:sz w:val="24"/>
          <w:szCs w:val="24"/>
        </w:rPr>
        <w:t>The cohort included 6</w:t>
      </w:r>
      <w:r w:rsidR="00DE39CA" w:rsidRPr="0046155E">
        <w:rPr>
          <w:rFonts w:ascii="Times New Roman" w:hAnsi="Times New Roman" w:cs="Times New Roman"/>
          <w:sz w:val="24"/>
          <w:szCs w:val="24"/>
        </w:rPr>
        <w:t>0,28</w:t>
      </w:r>
      <w:r w:rsidRPr="0046155E">
        <w:rPr>
          <w:rFonts w:ascii="Times New Roman" w:hAnsi="Times New Roman" w:cs="Times New Roman"/>
          <w:sz w:val="24"/>
          <w:szCs w:val="24"/>
        </w:rPr>
        <w:t>7 people with</w:t>
      </w:r>
      <w:r w:rsidR="006F5464" w:rsidRPr="0046155E">
        <w:rPr>
          <w:rFonts w:ascii="Times New Roman" w:hAnsi="Times New Roman" w:cs="Times New Roman"/>
          <w:sz w:val="24"/>
          <w:szCs w:val="24"/>
        </w:rPr>
        <w:t xml:space="preserve"> type 2 diabetes</w:t>
      </w:r>
      <w:r w:rsidR="008E1A13" w:rsidRPr="0046155E">
        <w:rPr>
          <w:rFonts w:ascii="Times New Roman" w:hAnsi="Times New Roman" w:cs="Times New Roman"/>
          <w:sz w:val="24"/>
          <w:szCs w:val="24"/>
        </w:rPr>
        <w:t xml:space="preserve"> with a mean duration of follow-up of 6.</w:t>
      </w:r>
      <w:r w:rsidR="00DE39CA" w:rsidRPr="0046155E">
        <w:rPr>
          <w:rFonts w:ascii="Times New Roman" w:hAnsi="Times New Roman" w:cs="Times New Roman"/>
          <w:sz w:val="24"/>
          <w:szCs w:val="24"/>
        </w:rPr>
        <w:t>9</w:t>
      </w:r>
      <w:r w:rsidR="008E1A13" w:rsidRPr="0046155E">
        <w:rPr>
          <w:rFonts w:ascii="Times New Roman" w:hAnsi="Times New Roman" w:cs="Times New Roman"/>
          <w:sz w:val="24"/>
          <w:szCs w:val="24"/>
        </w:rPr>
        <w:t xml:space="preserve"> years</w:t>
      </w:r>
      <w:r w:rsidR="006F5464" w:rsidRPr="0046155E">
        <w:rPr>
          <w:rFonts w:ascii="Times New Roman" w:hAnsi="Times New Roman" w:cs="Times New Roman"/>
          <w:sz w:val="24"/>
          <w:szCs w:val="24"/>
        </w:rPr>
        <w:t>.</w:t>
      </w:r>
      <w:r w:rsidR="008E1A13" w:rsidRPr="0046155E">
        <w:rPr>
          <w:rFonts w:ascii="Times New Roman" w:hAnsi="Times New Roman" w:cs="Times New Roman"/>
          <w:sz w:val="24"/>
          <w:szCs w:val="24"/>
        </w:rPr>
        <w:t xml:space="preserve"> </w:t>
      </w:r>
      <w:r w:rsidR="00BE70AC" w:rsidRPr="0046155E">
        <w:rPr>
          <w:rFonts w:ascii="Times New Roman" w:hAnsi="Times New Roman" w:cs="Times New Roman"/>
          <w:sz w:val="24"/>
          <w:szCs w:val="24"/>
        </w:rPr>
        <w:t>7,312</w:t>
      </w:r>
      <w:r w:rsidR="008E1A13" w:rsidRPr="0046155E">
        <w:rPr>
          <w:rFonts w:ascii="Times New Roman" w:hAnsi="Times New Roman" w:cs="Times New Roman"/>
          <w:sz w:val="24"/>
          <w:szCs w:val="24"/>
        </w:rPr>
        <w:t xml:space="preserve"> (1</w:t>
      </w:r>
      <w:r w:rsidR="00BE70AC" w:rsidRPr="0046155E">
        <w:rPr>
          <w:rFonts w:ascii="Times New Roman" w:hAnsi="Times New Roman" w:cs="Times New Roman"/>
          <w:sz w:val="24"/>
          <w:szCs w:val="24"/>
        </w:rPr>
        <w:t>2.1</w:t>
      </w:r>
      <w:r w:rsidR="008E1A13" w:rsidRPr="0046155E">
        <w:rPr>
          <w:rFonts w:ascii="Times New Roman" w:hAnsi="Times New Roman" w:cs="Times New Roman"/>
          <w:sz w:val="24"/>
          <w:szCs w:val="24"/>
        </w:rPr>
        <w:t>%) people died during follow up.</w:t>
      </w:r>
      <w:r w:rsidR="006F5464" w:rsidRPr="0046155E">
        <w:rPr>
          <w:rFonts w:ascii="Times New Roman" w:hAnsi="Times New Roman" w:cs="Times New Roman"/>
          <w:sz w:val="24"/>
          <w:szCs w:val="24"/>
        </w:rPr>
        <w:t xml:space="preserve"> </w:t>
      </w:r>
      <w:r w:rsidR="008E1A13" w:rsidRPr="0046155E">
        <w:rPr>
          <w:rFonts w:ascii="Times New Roman" w:hAnsi="Times New Roman" w:cs="Times New Roman"/>
          <w:sz w:val="24"/>
          <w:szCs w:val="24"/>
        </w:rPr>
        <w:t>The</w:t>
      </w:r>
      <w:r w:rsidRPr="0046155E">
        <w:rPr>
          <w:rFonts w:ascii="Times New Roman" w:hAnsi="Times New Roman" w:cs="Times New Roman"/>
          <w:sz w:val="24"/>
          <w:szCs w:val="24"/>
        </w:rPr>
        <w:t xml:space="preserve"> </w:t>
      </w:r>
      <w:r w:rsidR="005770CE" w:rsidRPr="0046155E">
        <w:rPr>
          <w:rFonts w:ascii="Times New Roman" w:hAnsi="Times New Roman" w:cs="Times New Roman"/>
          <w:sz w:val="24"/>
          <w:szCs w:val="24"/>
        </w:rPr>
        <w:t xml:space="preserve">mean age of </w:t>
      </w:r>
      <w:r w:rsidR="008E1A13" w:rsidRPr="0046155E">
        <w:rPr>
          <w:rFonts w:ascii="Times New Roman" w:hAnsi="Times New Roman" w:cs="Times New Roman"/>
          <w:sz w:val="24"/>
          <w:szCs w:val="24"/>
        </w:rPr>
        <w:t xml:space="preserve">the cohort was </w:t>
      </w:r>
      <w:r w:rsidR="005770CE" w:rsidRPr="0046155E">
        <w:rPr>
          <w:rFonts w:ascii="Times New Roman" w:hAnsi="Times New Roman" w:cs="Times New Roman"/>
          <w:sz w:val="24"/>
          <w:szCs w:val="24"/>
        </w:rPr>
        <w:t>6</w:t>
      </w:r>
      <w:r w:rsidR="00BE70AC" w:rsidRPr="0046155E">
        <w:rPr>
          <w:rFonts w:ascii="Times New Roman" w:hAnsi="Times New Roman" w:cs="Times New Roman"/>
          <w:sz w:val="24"/>
          <w:szCs w:val="24"/>
        </w:rPr>
        <w:t>4</w:t>
      </w:r>
      <w:r w:rsidR="005770CE" w:rsidRPr="0046155E">
        <w:rPr>
          <w:rFonts w:ascii="Times New Roman" w:hAnsi="Times New Roman" w:cs="Times New Roman"/>
          <w:sz w:val="24"/>
          <w:szCs w:val="24"/>
        </w:rPr>
        <w:t>.</w:t>
      </w:r>
      <w:r w:rsidR="00BE70AC" w:rsidRPr="0046155E">
        <w:rPr>
          <w:rFonts w:ascii="Times New Roman" w:hAnsi="Times New Roman" w:cs="Times New Roman"/>
          <w:sz w:val="24"/>
          <w:szCs w:val="24"/>
        </w:rPr>
        <w:t>6</w:t>
      </w:r>
      <w:r w:rsidR="005770CE" w:rsidRPr="0046155E">
        <w:rPr>
          <w:rFonts w:ascii="Times New Roman" w:hAnsi="Times New Roman" w:cs="Times New Roman"/>
          <w:sz w:val="24"/>
          <w:szCs w:val="24"/>
        </w:rPr>
        <w:t xml:space="preserve"> years</w:t>
      </w:r>
      <w:r w:rsidR="006F5464" w:rsidRPr="0046155E">
        <w:rPr>
          <w:rFonts w:ascii="Times New Roman" w:hAnsi="Times New Roman" w:cs="Times New Roman"/>
          <w:sz w:val="24"/>
          <w:szCs w:val="24"/>
        </w:rPr>
        <w:t>, m</w:t>
      </w:r>
      <w:r w:rsidR="005770CE" w:rsidRPr="0046155E">
        <w:rPr>
          <w:rFonts w:ascii="Times New Roman" w:hAnsi="Times New Roman" w:cs="Times New Roman"/>
          <w:sz w:val="24"/>
          <w:szCs w:val="24"/>
        </w:rPr>
        <w:t>ost were male (</w:t>
      </w:r>
      <w:r w:rsidR="004D4987" w:rsidRPr="0046155E">
        <w:rPr>
          <w:rFonts w:ascii="Times New Roman" w:hAnsi="Times New Roman" w:cs="Times New Roman"/>
          <w:sz w:val="24"/>
          <w:szCs w:val="24"/>
        </w:rPr>
        <w:t>n=3</w:t>
      </w:r>
      <w:r w:rsidR="00BE70AC" w:rsidRPr="0046155E">
        <w:rPr>
          <w:rFonts w:ascii="Times New Roman" w:hAnsi="Times New Roman" w:cs="Times New Roman"/>
          <w:sz w:val="24"/>
          <w:szCs w:val="24"/>
        </w:rPr>
        <w:t>4,408</w:t>
      </w:r>
      <w:r w:rsidR="004D4987" w:rsidRPr="0046155E">
        <w:rPr>
          <w:rFonts w:ascii="Times New Roman" w:hAnsi="Times New Roman" w:cs="Times New Roman"/>
          <w:sz w:val="24"/>
          <w:szCs w:val="24"/>
        </w:rPr>
        <w:t xml:space="preserve">, </w:t>
      </w:r>
      <w:r w:rsidR="005770CE" w:rsidRPr="0046155E">
        <w:rPr>
          <w:rFonts w:ascii="Times New Roman" w:hAnsi="Times New Roman" w:cs="Times New Roman"/>
          <w:sz w:val="24"/>
          <w:szCs w:val="24"/>
        </w:rPr>
        <w:t>5</w:t>
      </w:r>
      <w:r w:rsidR="00BE70AC" w:rsidRPr="0046155E">
        <w:rPr>
          <w:rFonts w:ascii="Times New Roman" w:hAnsi="Times New Roman" w:cs="Times New Roman"/>
          <w:sz w:val="24"/>
          <w:szCs w:val="24"/>
        </w:rPr>
        <w:t>7.1</w:t>
      </w:r>
      <w:r w:rsidR="005770CE" w:rsidRPr="0046155E">
        <w:rPr>
          <w:rFonts w:ascii="Times New Roman" w:hAnsi="Times New Roman" w:cs="Times New Roman"/>
          <w:sz w:val="24"/>
          <w:szCs w:val="24"/>
        </w:rPr>
        <w:t>%)</w:t>
      </w:r>
      <w:r w:rsidRPr="0046155E">
        <w:rPr>
          <w:rFonts w:ascii="Times New Roman" w:hAnsi="Times New Roman" w:cs="Times New Roman"/>
          <w:sz w:val="24"/>
          <w:szCs w:val="24"/>
        </w:rPr>
        <w:t>,</w:t>
      </w:r>
      <w:r w:rsidR="005770CE" w:rsidRPr="0046155E">
        <w:rPr>
          <w:rFonts w:ascii="Times New Roman" w:hAnsi="Times New Roman" w:cs="Times New Roman"/>
          <w:sz w:val="24"/>
          <w:szCs w:val="24"/>
        </w:rPr>
        <w:t xml:space="preserve"> white (</w:t>
      </w:r>
      <w:r w:rsidR="004D4987" w:rsidRPr="0046155E">
        <w:rPr>
          <w:rFonts w:ascii="Times New Roman" w:hAnsi="Times New Roman" w:cs="Times New Roman"/>
          <w:sz w:val="24"/>
          <w:szCs w:val="24"/>
        </w:rPr>
        <w:t>n=</w:t>
      </w:r>
      <w:r w:rsidR="00BE70AC" w:rsidRPr="0046155E">
        <w:rPr>
          <w:rFonts w:ascii="Times New Roman" w:hAnsi="Times New Roman" w:cs="Times New Roman"/>
          <w:sz w:val="24"/>
          <w:szCs w:val="24"/>
        </w:rPr>
        <w:t>58,148</w:t>
      </w:r>
      <w:r w:rsidR="004D4987" w:rsidRPr="0046155E">
        <w:rPr>
          <w:rFonts w:ascii="Times New Roman" w:hAnsi="Times New Roman" w:cs="Times New Roman"/>
          <w:sz w:val="24"/>
          <w:szCs w:val="24"/>
        </w:rPr>
        <w:t xml:space="preserve">, </w:t>
      </w:r>
      <w:r w:rsidR="005770CE" w:rsidRPr="0046155E">
        <w:rPr>
          <w:rFonts w:ascii="Times New Roman" w:hAnsi="Times New Roman" w:cs="Times New Roman"/>
          <w:sz w:val="24"/>
          <w:szCs w:val="24"/>
        </w:rPr>
        <w:t>96.</w:t>
      </w:r>
      <w:r w:rsidR="00BE70AC" w:rsidRPr="0046155E">
        <w:rPr>
          <w:rFonts w:ascii="Times New Roman" w:hAnsi="Times New Roman" w:cs="Times New Roman"/>
          <w:sz w:val="24"/>
          <w:szCs w:val="24"/>
        </w:rPr>
        <w:t>5</w:t>
      </w:r>
      <w:r w:rsidR="005770CE" w:rsidRPr="0046155E">
        <w:rPr>
          <w:rFonts w:ascii="Times New Roman" w:hAnsi="Times New Roman" w:cs="Times New Roman"/>
          <w:sz w:val="24"/>
          <w:szCs w:val="24"/>
        </w:rPr>
        <w:t>%)</w:t>
      </w:r>
      <w:r w:rsidRPr="0046155E">
        <w:rPr>
          <w:rFonts w:ascii="Times New Roman" w:hAnsi="Times New Roman" w:cs="Times New Roman"/>
          <w:sz w:val="24"/>
          <w:szCs w:val="24"/>
        </w:rPr>
        <w:t xml:space="preserve"> and with a m</w:t>
      </w:r>
      <w:r w:rsidR="002E697F" w:rsidRPr="0046155E">
        <w:rPr>
          <w:rFonts w:ascii="Times New Roman" w:hAnsi="Times New Roman" w:cs="Times New Roman"/>
          <w:sz w:val="24"/>
          <w:szCs w:val="24"/>
        </w:rPr>
        <w:t>ean</w:t>
      </w:r>
      <w:r w:rsidR="004D4987" w:rsidRPr="0046155E">
        <w:rPr>
          <w:rFonts w:ascii="Times New Roman" w:hAnsi="Times New Roman" w:cs="Times New Roman"/>
          <w:sz w:val="24"/>
          <w:szCs w:val="24"/>
        </w:rPr>
        <w:t xml:space="preserve"> (SD)</w:t>
      </w:r>
      <w:r w:rsidR="002E697F" w:rsidRPr="0046155E">
        <w:rPr>
          <w:rFonts w:ascii="Times New Roman" w:hAnsi="Times New Roman" w:cs="Times New Roman"/>
          <w:sz w:val="24"/>
          <w:szCs w:val="24"/>
        </w:rPr>
        <w:t xml:space="preserve"> duration of diabetes</w:t>
      </w:r>
      <w:r w:rsidRPr="0046155E">
        <w:rPr>
          <w:rFonts w:ascii="Times New Roman" w:hAnsi="Times New Roman" w:cs="Times New Roman"/>
          <w:sz w:val="24"/>
          <w:szCs w:val="24"/>
        </w:rPr>
        <w:t xml:space="preserve"> of</w:t>
      </w:r>
      <w:r w:rsidR="002E697F" w:rsidRPr="0046155E">
        <w:rPr>
          <w:rFonts w:ascii="Times New Roman" w:hAnsi="Times New Roman" w:cs="Times New Roman"/>
          <w:sz w:val="24"/>
          <w:szCs w:val="24"/>
        </w:rPr>
        <w:t xml:space="preserve"> 8.</w:t>
      </w:r>
      <w:r w:rsidR="00BE70AC" w:rsidRPr="0046155E">
        <w:rPr>
          <w:rFonts w:ascii="Times New Roman" w:hAnsi="Times New Roman" w:cs="Times New Roman"/>
          <w:sz w:val="24"/>
          <w:szCs w:val="24"/>
        </w:rPr>
        <w:t>1</w:t>
      </w:r>
      <w:r w:rsidR="002E697F" w:rsidRPr="0046155E">
        <w:rPr>
          <w:rFonts w:ascii="Times New Roman" w:hAnsi="Times New Roman" w:cs="Times New Roman"/>
          <w:sz w:val="24"/>
          <w:szCs w:val="24"/>
        </w:rPr>
        <w:t xml:space="preserve"> </w:t>
      </w:r>
      <w:r w:rsidR="004D4987" w:rsidRPr="0046155E">
        <w:rPr>
          <w:rFonts w:ascii="Times New Roman" w:hAnsi="Times New Roman" w:cs="Times New Roman"/>
          <w:sz w:val="24"/>
          <w:szCs w:val="24"/>
        </w:rPr>
        <w:t>(6.</w:t>
      </w:r>
      <w:r w:rsidR="00BE70AC" w:rsidRPr="0046155E">
        <w:rPr>
          <w:rFonts w:ascii="Times New Roman" w:hAnsi="Times New Roman" w:cs="Times New Roman"/>
          <w:sz w:val="24"/>
          <w:szCs w:val="24"/>
        </w:rPr>
        <w:t>8</w:t>
      </w:r>
      <w:r w:rsidR="004D4987" w:rsidRPr="0046155E">
        <w:rPr>
          <w:rFonts w:ascii="Times New Roman" w:hAnsi="Times New Roman" w:cs="Times New Roman"/>
          <w:sz w:val="24"/>
          <w:szCs w:val="24"/>
        </w:rPr>
        <w:t xml:space="preserve">) </w:t>
      </w:r>
      <w:r w:rsidR="002E697F" w:rsidRPr="0046155E">
        <w:rPr>
          <w:rFonts w:ascii="Times New Roman" w:hAnsi="Times New Roman" w:cs="Times New Roman"/>
          <w:sz w:val="24"/>
          <w:szCs w:val="24"/>
        </w:rPr>
        <w:t>years</w:t>
      </w:r>
      <w:r w:rsidRPr="0046155E">
        <w:rPr>
          <w:rFonts w:ascii="Times New Roman" w:hAnsi="Times New Roman" w:cs="Times New Roman"/>
          <w:sz w:val="24"/>
          <w:szCs w:val="24"/>
        </w:rPr>
        <w:t>.</w:t>
      </w:r>
      <w:r w:rsidR="006F5464" w:rsidRPr="0046155E">
        <w:rPr>
          <w:rFonts w:ascii="Times New Roman" w:hAnsi="Times New Roman" w:cs="Times New Roman"/>
          <w:sz w:val="24"/>
          <w:szCs w:val="24"/>
        </w:rPr>
        <w:t xml:space="preserve"> Baseline characteristics are summarised in Table 1. During the </w:t>
      </w:r>
      <w:r w:rsidR="002E4A38" w:rsidRPr="0046155E">
        <w:rPr>
          <w:rFonts w:ascii="Times New Roman" w:hAnsi="Times New Roman" w:cs="Times New Roman"/>
          <w:sz w:val="24"/>
          <w:szCs w:val="24"/>
        </w:rPr>
        <w:t>7</w:t>
      </w:r>
      <w:r w:rsidR="00CB0748" w:rsidRPr="0046155E">
        <w:rPr>
          <w:rFonts w:ascii="Times New Roman" w:hAnsi="Times New Roman" w:cs="Times New Roman"/>
          <w:sz w:val="24"/>
          <w:szCs w:val="24"/>
        </w:rPr>
        <w:t>-</w:t>
      </w:r>
      <w:r w:rsidR="006F5464" w:rsidRPr="0046155E">
        <w:rPr>
          <w:rFonts w:ascii="Times New Roman" w:hAnsi="Times New Roman" w:cs="Times New Roman"/>
          <w:sz w:val="24"/>
          <w:szCs w:val="24"/>
        </w:rPr>
        <w:t xml:space="preserve">year follow-up period, </w:t>
      </w:r>
      <w:r w:rsidR="00BE70AC" w:rsidRPr="0046155E">
        <w:rPr>
          <w:rFonts w:ascii="Times New Roman" w:hAnsi="Times New Roman" w:cs="Times New Roman"/>
          <w:sz w:val="24"/>
          <w:szCs w:val="24"/>
        </w:rPr>
        <w:t xml:space="preserve">11,491 (19.1%) </w:t>
      </w:r>
      <w:r w:rsidR="006F5464" w:rsidRPr="0046155E">
        <w:rPr>
          <w:rFonts w:ascii="Times New Roman" w:hAnsi="Times New Roman" w:cs="Times New Roman"/>
          <w:sz w:val="24"/>
          <w:szCs w:val="24"/>
        </w:rPr>
        <w:t xml:space="preserve">people achieved remission </w:t>
      </w:r>
      <w:r w:rsidR="006851D5" w:rsidRPr="0046155E">
        <w:rPr>
          <w:rFonts w:ascii="Times New Roman" w:hAnsi="Times New Roman" w:cs="Times New Roman"/>
          <w:sz w:val="24"/>
          <w:szCs w:val="24"/>
        </w:rPr>
        <w:t xml:space="preserve">at </w:t>
      </w:r>
      <w:r w:rsidR="00CD3200" w:rsidRPr="0046155E">
        <w:rPr>
          <w:rFonts w:ascii="Times New Roman" w:hAnsi="Times New Roman" w:cs="Times New Roman"/>
          <w:sz w:val="24"/>
          <w:szCs w:val="24"/>
        </w:rPr>
        <w:t xml:space="preserve">some </w:t>
      </w:r>
      <w:r w:rsidR="006851D5" w:rsidRPr="0046155E">
        <w:rPr>
          <w:rFonts w:ascii="Times New Roman" w:hAnsi="Times New Roman" w:cs="Times New Roman"/>
          <w:sz w:val="24"/>
          <w:szCs w:val="24"/>
        </w:rPr>
        <w:t>point</w:t>
      </w:r>
      <w:r w:rsidR="003B0333" w:rsidRPr="0046155E">
        <w:rPr>
          <w:rFonts w:ascii="Times New Roman" w:hAnsi="Times New Roman" w:cs="Times New Roman"/>
          <w:sz w:val="24"/>
          <w:szCs w:val="24"/>
        </w:rPr>
        <w:t xml:space="preserve"> for at least a 6</w:t>
      </w:r>
      <w:r w:rsidR="00D70E2C" w:rsidRPr="0046155E">
        <w:rPr>
          <w:rFonts w:ascii="Times New Roman" w:hAnsi="Times New Roman" w:cs="Times New Roman"/>
          <w:sz w:val="24"/>
          <w:szCs w:val="24"/>
        </w:rPr>
        <w:t>-</w:t>
      </w:r>
      <w:r w:rsidR="003B0333" w:rsidRPr="0046155E">
        <w:rPr>
          <w:rFonts w:ascii="Times New Roman" w:hAnsi="Times New Roman" w:cs="Times New Roman"/>
          <w:sz w:val="24"/>
          <w:szCs w:val="24"/>
        </w:rPr>
        <w:t>month period</w:t>
      </w:r>
      <w:r w:rsidR="006851D5" w:rsidRPr="0046155E">
        <w:rPr>
          <w:rFonts w:ascii="Times New Roman" w:hAnsi="Times New Roman" w:cs="Times New Roman"/>
          <w:sz w:val="24"/>
          <w:szCs w:val="24"/>
        </w:rPr>
        <w:t xml:space="preserve">. </w:t>
      </w:r>
      <w:r w:rsidR="006F5464" w:rsidRPr="0046155E">
        <w:rPr>
          <w:rFonts w:ascii="Times New Roman" w:hAnsi="Times New Roman" w:cs="Times New Roman"/>
          <w:sz w:val="24"/>
          <w:szCs w:val="24"/>
        </w:rPr>
        <w:t xml:space="preserve">People who achieved remission compared to those who did not were </w:t>
      </w:r>
      <w:r w:rsidR="001D2259" w:rsidRPr="0046155E">
        <w:rPr>
          <w:rFonts w:ascii="Times New Roman" w:hAnsi="Times New Roman" w:cs="Times New Roman"/>
          <w:sz w:val="24"/>
          <w:szCs w:val="24"/>
        </w:rPr>
        <w:t>older</w:t>
      </w:r>
      <w:r w:rsidR="00F5420D">
        <w:rPr>
          <w:rFonts w:ascii="Times New Roman" w:hAnsi="Times New Roman" w:cs="Times New Roman"/>
          <w:sz w:val="24"/>
          <w:szCs w:val="24"/>
        </w:rPr>
        <w:t xml:space="preserve"> (p&lt;0.001)</w:t>
      </w:r>
      <w:r w:rsidR="001D2259" w:rsidRPr="0046155E">
        <w:rPr>
          <w:rFonts w:ascii="Times New Roman" w:hAnsi="Times New Roman" w:cs="Times New Roman"/>
          <w:sz w:val="24"/>
          <w:szCs w:val="24"/>
        </w:rPr>
        <w:t>, more like</w:t>
      </w:r>
      <w:r w:rsidR="00CB0748" w:rsidRPr="0046155E">
        <w:rPr>
          <w:rFonts w:ascii="Times New Roman" w:hAnsi="Times New Roman" w:cs="Times New Roman"/>
          <w:sz w:val="24"/>
          <w:szCs w:val="24"/>
        </w:rPr>
        <w:t>ly to be</w:t>
      </w:r>
      <w:r w:rsidR="001D2259" w:rsidRPr="0046155E">
        <w:rPr>
          <w:rFonts w:ascii="Times New Roman" w:hAnsi="Times New Roman" w:cs="Times New Roman"/>
          <w:sz w:val="24"/>
          <w:szCs w:val="24"/>
        </w:rPr>
        <w:t xml:space="preserve"> femal</w:t>
      </w:r>
      <w:r w:rsidR="00CB0748" w:rsidRPr="0046155E">
        <w:rPr>
          <w:rFonts w:ascii="Times New Roman" w:hAnsi="Times New Roman" w:cs="Times New Roman"/>
          <w:sz w:val="24"/>
          <w:szCs w:val="24"/>
        </w:rPr>
        <w:t>e</w:t>
      </w:r>
      <w:r w:rsidR="00F5420D">
        <w:rPr>
          <w:rFonts w:ascii="Times New Roman" w:hAnsi="Times New Roman" w:cs="Times New Roman"/>
          <w:sz w:val="24"/>
          <w:szCs w:val="24"/>
        </w:rPr>
        <w:t xml:space="preserve"> (p&lt;0.001)</w:t>
      </w:r>
      <w:r w:rsidR="00CB0748" w:rsidRPr="0046155E">
        <w:rPr>
          <w:rFonts w:ascii="Times New Roman" w:hAnsi="Times New Roman" w:cs="Times New Roman"/>
          <w:sz w:val="24"/>
          <w:szCs w:val="24"/>
        </w:rPr>
        <w:t>, non-smokers</w:t>
      </w:r>
      <w:r w:rsidR="00F5420D">
        <w:rPr>
          <w:rFonts w:ascii="Times New Roman" w:hAnsi="Times New Roman" w:cs="Times New Roman"/>
          <w:sz w:val="24"/>
          <w:szCs w:val="24"/>
        </w:rPr>
        <w:t xml:space="preserve"> (p&lt;0.001)</w:t>
      </w:r>
      <w:r w:rsidR="00EB7727" w:rsidRPr="0046155E">
        <w:rPr>
          <w:rFonts w:ascii="Times New Roman" w:hAnsi="Times New Roman" w:cs="Times New Roman"/>
          <w:sz w:val="24"/>
          <w:szCs w:val="24"/>
        </w:rPr>
        <w:t xml:space="preserve">, </w:t>
      </w:r>
      <w:r w:rsidR="00CB0748" w:rsidRPr="0046155E">
        <w:rPr>
          <w:rFonts w:ascii="Times New Roman" w:hAnsi="Times New Roman" w:cs="Times New Roman"/>
          <w:sz w:val="24"/>
          <w:szCs w:val="24"/>
        </w:rPr>
        <w:t>from</w:t>
      </w:r>
      <w:r w:rsidR="001D2259" w:rsidRPr="0046155E">
        <w:rPr>
          <w:rFonts w:ascii="Times New Roman" w:hAnsi="Times New Roman" w:cs="Times New Roman"/>
          <w:sz w:val="24"/>
          <w:szCs w:val="24"/>
        </w:rPr>
        <w:t xml:space="preserve"> </w:t>
      </w:r>
      <w:r w:rsidR="00CA6E1E" w:rsidRPr="0046155E">
        <w:rPr>
          <w:rFonts w:ascii="Times New Roman" w:hAnsi="Times New Roman" w:cs="Times New Roman"/>
          <w:sz w:val="24"/>
          <w:szCs w:val="24"/>
        </w:rPr>
        <w:t xml:space="preserve">a </w:t>
      </w:r>
      <w:r w:rsidR="001D2259" w:rsidRPr="0046155E">
        <w:rPr>
          <w:rFonts w:ascii="Times New Roman" w:hAnsi="Times New Roman" w:cs="Times New Roman"/>
          <w:sz w:val="24"/>
          <w:szCs w:val="24"/>
        </w:rPr>
        <w:t>less deprived area</w:t>
      </w:r>
      <w:r w:rsidR="002E4A38" w:rsidRPr="0046155E">
        <w:rPr>
          <w:rFonts w:ascii="Times New Roman" w:hAnsi="Times New Roman" w:cs="Times New Roman"/>
          <w:sz w:val="24"/>
          <w:szCs w:val="24"/>
        </w:rPr>
        <w:t xml:space="preserve"> </w:t>
      </w:r>
      <w:r w:rsidR="00F5420D">
        <w:rPr>
          <w:rFonts w:ascii="Times New Roman" w:hAnsi="Times New Roman" w:cs="Times New Roman"/>
          <w:sz w:val="24"/>
          <w:szCs w:val="24"/>
        </w:rPr>
        <w:t xml:space="preserve">(p&lt;0.001) </w:t>
      </w:r>
      <w:r w:rsidR="002E4A38" w:rsidRPr="0046155E">
        <w:rPr>
          <w:rFonts w:ascii="Times New Roman" w:hAnsi="Times New Roman" w:cs="Times New Roman"/>
          <w:sz w:val="24"/>
          <w:szCs w:val="24"/>
        </w:rPr>
        <w:t xml:space="preserve">and with a </w:t>
      </w:r>
      <w:r w:rsidR="001D2259" w:rsidRPr="0046155E">
        <w:rPr>
          <w:rFonts w:ascii="Times New Roman" w:hAnsi="Times New Roman" w:cs="Times New Roman"/>
          <w:sz w:val="24"/>
          <w:szCs w:val="24"/>
        </w:rPr>
        <w:t>lower baseline weight</w:t>
      </w:r>
      <w:r w:rsidR="00F5420D">
        <w:rPr>
          <w:rFonts w:ascii="Times New Roman" w:hAnsi="Times New Roman" w:cs="Times New Roman"/>
          <w:sz w:val="24"/>
          <w:szCs w:val="24"/>
        </w:rPr>
        <w:t xml:space="preserve"> (p&lt;0.001)</w:t>
      </w:r>
      <w:r w:rsidR="00CB0748" w:rsidRPr="0046155E">
        <w:rPr>
          <w:rFonts w:ascii="Times New Roman" w:hAnsi="Times New Roman" w:cs="Times New Roman"/>
          <w:sz w:val="24"/>
          <w:szCs w:val="24"/>
        </w:rPr>
        <w:t>.</w:t>
      </w:r>
      <w:r w:rsidR="00BE70AC" w:rsidRPr="0046155E">
        <w:rPr>
          <w:rFonts w:ascii="Times New Roman" w:hAnsi="Times New Roman" w:cs="Times New Roman"/>
          <w:sz w:val="24"/>
          <w:szCs w:val="24"/>
        </w:rPr>
        <w:t xml:space="preserve"> Those not included in our study cohort (i.e., those diagnosed with diabetes after 1</w:t>
      </w:r>
      <w:r w:rsidR="00BE70AC" w:rsidRPr="0046155E">
        <w:rPr>
          <w:rFonts w:ascii="Times New Roman" w:hAnsi="Times New Roman" w:cs="Times New Roman"/>
          <w:sz w:val="24"/>
          <w:szCs w:val="24"/>
          <w:vertAlign w:val="superscript"/>
        </w:rPr>
        <w:t>st</w:t>
      </w:r>
      <w:r w:rsidR="00BE70AC" w:rsidRPr="0046155E">
        <w:rPr>
          <w:rFonts w:ascii="Times New Roman" w:hAnsi="Times New Roman" w:cs="Times New Roman"/>
          <w:sz w:val="24"/>
          <w:szCs w:val="24"/>
        </w:rPr>
        <w:t xml:space="preserve"> January 2013 or with less than seven years continuous data) were younger [mean (SD) 58.1 (14.2)], had shorter diabetes duratio</w:t>
      </w:r>
      <w:r w:rsidR="00C11268">
        <w:rPr>
          <w:rFonts w:ascii="Times New Roman" w:hAnsi="Times New Roman" w:cs="Times New Roman"/>
          <w:sz w:val="24"/>
          <w:szCs w:val="24"/>
        </w:rPr>
        <w:t>n</w:t>
      </w:r>
      <w:r w:rsidR="00BE70AC" w:rsidRPr="0046155E">
        <w:rPr>
          <w:rFonts w:ascii="Times New Roman" w:hAnsi="Times New Roman" w:cs="Times New Roman"/>
          <w:sz w:val="24"/>
          <w:szCs w:val="24"/>
        </w:rPr>
        <w:t xml:space="preserve"> [mean (SD)= 5.0 (6.7)] and fewer comorbidities at baseline [mean (SD) 0.9 (1.1)], and slightly higher weight at baseline ([mean (SD) 94.2 (0.2)].</w:t>
      </w:r>
    </w:p>
    <w:p w14:paraId="5B5601B6" w14:textId="77777777" w:rsidR="00585C6C" w:rsidRPr="0046155E" w:rsidRDefault="00585C6C" w:rsidP="00E21AD0">
      <w:pPr>
        <w:spacing w:after="0" w:line="480" w:lineRule="auto"/>
        <w:jc w:val="both"/>
        <w:rPr>
          <w:rFonts w:ascii="Times New Roman" w:hAnsi="Times New Roman" w:cs="Times New Roman"/>
          <w:sz w:val="24"/>
          <w:szCs w:val="24"/>
        </w:rPr>
      </w:pPr>
    </w:p>
    <w:p w14:paraId="14AC0059" w14:textId="77777777" w:rsidR="00585C6C" w:rsidRPr="0046155E" w:rsidRDefault="00585C6C" w:rsidP="00585C6C">
      <w:pPr>
        <w:rPr>
          <w:rFonts w:ascii="Times New Roman" w:hAnsi="Times New Roman" w:cs="Times New Roman"/>
          <w:b/>
          <w:bCs/>
          <w:sz w:val="24"/>
          <w:szCs w:val="24"/>
        </w:rPr>
      </w:pPr>
      <w:r w:rsidRPr="0046155E">
        <w:rPr>
          <w:rFonts w:ascii="Times New Roman" w:hAnsi="Times New Roman" w:cs="Times New Roman"/>
          <w:b/>
          <w:bCs/>
          <w:sz w:val="24"/>
          <w:szCs w:val="24"/>
        </w:rPr>
        <w:t>Table 1. Baseline characteristics of the type 2 diabetes cohort within the CHIA database stratified by remission status</w:t>
      </w:r>
      <w:r w:rsidRPr="0046155E">
        <w:rPr>
          <w:rFonts w:ascii="Times New Roman" w:hAnsi="Times New Roman" w:cs="Times New Roman"/>
          <w:sz w:val="24"/>
          <w:szCs w:val="24"/>
          <w:vertAlign w:val="superscript"/>
        </w:rPr>
        <w:t>¥</w:t>
      </w:r>
    </w:p>
    <w:tbl>
      <w:tblPr>
        <w:tblW w:w="5111" w:type="pct"/>
        <w:tblInd w:w="-10" w:type="dxa"/>
        <w:tblLayout w:type="fixed"/>
        <w:tblLook w:val="04A0" w:firstRow="1" w:lastRow="0" w:firstColumn="1" w:lastColumn="0" w:noHBand="0" w:noVBand="1"/>
      </w:tblPr>
      <w:tblGrid>
        <w:gridCol w:w="1847"/>
        <w:gridCol w:w="823"/>
        <w:gridCol w:w="1248"/>
        <w:gridCol w:w="460"/>
        <w:gridCol w:w="287"/>
        <w:gridCol w:w="849"/>
        <w:gridCol w:w="1276"/>
        <w:gridCol w:w="996"/>
        <w:gridCol w:w="1420"/>
      </w:tblGrid>
      <w:tr w:rsidR="00585C6C" w:rsidRPr="0046155E" w14:paraId="0825FB63" w14:textId="77777777" w:rsidTr="00CD1F9F">
        <w:trPr>
          <w:trHeight w:val="315"/>
        </w:trPr>
        <w:tc>
          <w:tcPr>
            <w:tcW w:w="1003" w:type="pct"/>
            <w:tcBorders>
              <w:top w:val="single" w:sz="8" w:space="0" w:color="auto"/>
              <w:left w:val="single" w:sz="8" w:space="0" w:color="auto"/>
              <w:bottom w:val="single" w:sz="8" w:space="0" w:color="auto"/>
              <w:right w:val="single" w:sz="8" w:space="0" w:color="auto"/>
            </w:tcBorders>
            <w:noWrap/>
            <w:vAlign w:val="center"/>
            <w:hideMark/>
          </w:tcPr>
          <w:p w14:paraId="25961DE4"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w:t>
            </w:r>
          </w:p>
          <w:p w14:paraId="0B057937" w14:textId="77777777" w:rsidR="00585C6C" w:rsidRPr="0046155E" w:rsidRDefault="00585C6C" w:rsidP="00C516AB">
            <w:pPr>
              <w:rPr>
                <w:rFonts w:ascii="Times New Roman" w:eastAsia="Times New Roman" w:hAnsi="Times New Roman" w:cs="Times New Roman"/>
                <w:color w:val="000000"/>
                <w:sz w:val="20"/>
                <w:szCs w:val="20"/>
                <w:lang w:eastAsia="en-GB"/>
              </w:rPr>
            </w:pPr>
          </w:p>
        </w:tc>
        <w:tc>
          <w:tcPr>
            <w:tcW w:w="447" w:type="pct"/>
            <w:tcBorders>
              <w:top w:val="single" w:sz="8" w:space="0" w:color="auto"/>
              <w:left w:val="nil"/>
              <w:bottom w:val="single" w:sz="8" w:space="0" w:color="auto"/>
              <w:right w:val="nil"/>
            </w:tcBorders>
            <w:noWrap/>
            <w:vAlign w:val="center"/>
          </w:tcPr>
          <w:p w14:paraId="6C07EE1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single" w:sz="8" w:space="0" w:color="auto"/>
              <w:left w:val="single" w:sz="8" w:space="0" w:color="auto"/>
              <w:bottom w:val="single" w:sz="8" w:space="0" w:color="auto"/>
              <w:right w:val="single" w:sz="8" w:space="0" w:color="000000"/>
            </w:tcBorders>
            <w:noWrap/>
            <w:vAlign w:val="center"/>
            <w:hideMark/>
          </w:tcPr>
          <w:p w14:paraId="07461AF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All</w:t>
            </w:r>
          </w:p>
          <w:p w14:paraId="2786109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(n=60287)</w:t>
            </w:r>
          </w:p>
        </w:tc>
        <w:tc>
          <w:tcPr>
            <w:tcW w:w="156" w:type="pct"/>
            <w:tcBorders>
              <w:top w:val="single" w:sz="8" w:space="0" w:color="auto"/>
              <w:left w:val="nil"/>
              <w:bottom w:val="single" w:sz="8" w:space="0" w:color="auto"/>
              <w:right w:val="nil"/>
            </w:tcBorders>
          </w:tcPr>
          <w:p w14:paraId="5D37189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single" w:sz="8" w:space="0" w:color="auto"/>
              <w:left w:val="nil"/>
              <w:bottom w:val="single" w:sz="8" w:space="0" w:color="auto"/>
              <w:right w:val="nil"/>
            </w:tcBorders>
            <w:noWrap/>
            <w:vAlign w:val="center"/>
          </w:tcPr>
          <w:p w14:paraId="25B656D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single" w:sz="8" w:space="0" w:color="auto"/>
              <w:left w:val="single" w:sz="8" w:space="0" w:color="auto"/>
              <w:bottom w:val="single" w:sz="8" w:space="0" w:color="auto"/>
              <w:right w:val="single" w:sz="8" w:space="0" w:color="000000"/>
            </w:tcBorders>
            <w:noWrap/>
            <w:vAlign w:val="center"/>
            <w:hideMark/>
          </w:tcPr>
          <w:p w14:paraId="5F2EE3C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Remission</w:t>
            </w:r>
            <w:r w:rsidRPr="0046155E">
              <w:rPr>
                <w:rFonts w:ascii="Times New Roman" w:hAnsi="Times New Roman" w:cs="Times New Roman"/>
                <w:sz w:val="20"/>
                <w:szCs w:val="20"/>
                <w:vertAlign w:val="superscript"/>
              </w:rPr>
              <w:t>¥</w:t>
            </w:r>
            <w:r w:rsidRPr="0046155E">
              <w:rPr>
                <w:rFonts w:ascii="Times New Roman" w:eastAsia="Times New Roman" w:hAnsi="Times New Roman" w:cs="Times New Roman"/>
                <w:color w:val="000000"/>
                <w:sz w:val="20"/>
                <w:szCs w:val="20"/>
                <w:lang w:eastAsia="en-GB"/>
              </w:rPr>
              <w:t xml:space="preserve"> (n=11335)</w:t>
            </w:r>
          </w:p>
        </w:tc>
        <w:tc>
          <w:tcPr>
            <w:tcW w:w="541" w:type="pct"/>
            <w:tcBorders>
              <w:top w:val="single" w:sz="8" w:space="0" w:color="auto"/>
              <w:left w:val="nil"/>
              <w:bottom w:val="single" w:sz="8" w:space="0" w:color="auto"/>
              <w:right w:val="nil"/>
            </w:tcBorders>
            <w:noWrap/>
            <w:vAlign w:val="center"/>
          </w:tcPr>
          <w:p w14:paraId="24E5296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single" w:sz="8" w:space="0" w:color="auto"/>
              <w:left w:val="single" w:sz="8" w:space="0" w:color="auto"/>
              <w:bottom w:val="single" w:sz="8" w:space="0" w:color="auto"/>
              <w:right w:val="single" w:sz="8" w:space="0" w:color="000000"/>
            </w:tcBorders>
            <w:noWrap/>
            <w:vAlign w:val="center"/>
            <w:hideMark/>
          </w:tcPr>
          <w:p w14:paraId="0673162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Non-remission</w:t>
            </w:r>
            <w:r w:rsidRPr="0046155E">
              <w:rPr>
                <w:rFonts w:ascii="Times New Roman" w:hAnsi="Times New Roman" w:cs="Times New Roman"/>
                <w:sz w:val="20"/>
                <w:szCs w:val="20"/>
                <w:vertAlign w:val="superscript"/>
              </w:rPr>
              <w:t>¥</w:t>
            </w:r>
            <w:r w:rsidRPr="0046155E">
              <w:rPr>
                <w:rFonts w:ascii="Times New Roman" w:eastAsia="Times New Roman" w:hAnsi="Times New Roman" w:cs="Times New Roman"/>
                <w:color w:val="000000"/>
                <w:sz w:val="20"/>
                <w:szCs w:val="20"/>
                <w:lang w:eastAsia="en-GB"/>
              </w:rPr>
              <w:t xml:space="preserve"> (n=48,607)</w:t>
            </w:r>
          </w:p>
        </w:tc>
      </w:tr>
      <w:tr w:rsidR="00585C6C" w:rsidRPr="0046155E" w14:paraId="41B7E007" w14:textId="77777777" w:rsidTr="00CD1F9F">
        <w:trPr>
          <w:trHeight w:val="315"/>
        </w:trPr>
        <w:tc>
          <w:tcPr>
            <w:tcW w:w="1003" w:type="pct"/>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6FE58C09" w14:textId="77777777" w:rsidR="00585C6C" w:rsidRPr="0046155E" w:rsidRDefault="00585C6C"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 xml:space="preserve">Sociodemographic </w:t>
            </w:r>
          </w:p>
        </w:tc>
        <w:tc>
          <w:tcPr>
            <w:tcW w:w="447" w:type="pct"/>
            <w:tcBorders>
              <w:top w:val="nil"/>
              <w:left w:val="nil"/>
              <w:bottom w:val="single" w:sz="8" w:space="0" w:color="auto"/>
              <w:right w:val="nil"/>
            </w:tcBorders>
            <w:shd w:val="clear" w:color="auto" w:fill="F2F2F2" w:themeFill="background1" w:themeFillShade="F2"/>
            <w:noWrap/>
            <w:vAlign w:val="center"/>
          </w:tcPr>
          <w:p w14:paraId="543A1C85" w14:textId="77777777" w:rsidR="00585C6C" w:rsidRPr="0046155E" w:rsidRDefault="00585C6C" w:rsidP="00C516AB">
            <w:pPr>
              <w:jc w:val="center"/>
              <w:rPr>
                <w:rFonts w:ascii="Times New Roman" w:eastAsia="Times New Roman" w:hAnsi="Times New Roman" w:cs="Times New Roman"/>
                <w:b/>
                <w:bCs/>
                <w:color w:val="000000"/>
                <w:sz w:val="20"/>
                <w:szCs w:val="20"/>
                <w:lang w:eastAsia="en-GB"/>
              </w:rPr>
            </w:pPr>
          </w:p>
        </w:tc>
        <w:tc>
          <w:tcPr>
            <w:tcW w:w="3550" w:type="pct"/>
            <w:gridSpan w:val="7"/>
            <w:tcBorders>
              <w:top w:val="single" w:sz="8" w:space="0" w:color="auto"/>
              <w:left w:val="single" w:sz="8" w:space="0" w:color="auto"/>
              <w:bottom w:val="single" w:sz="8" w:space="0" w:color="auto"/>
              <w:right w:val="single" w:sz="8" w:space="0" w:color="000000"/>
            </w:tcBorders>
            <w:shd w:val="clear" w:color="auto" w:fill="F2F2F2" w:themeFill="background1" w:themeFillShade="F2"/>
          </w:tcPr>
          <w:p w14:paraId="5464FFD8" w14:textId="77777777" w:rsidR="00585C6C" w:rsidRPr="0046155E" w:rsidRDefault="00585C6C" w:rsidP="00C516AB">
            <w:pPr>
              <w:jc w:val="center"/>
              <w:rPr>
                <w:rFonts w:ascii="Times New Roman" w:eastAsia="Times New Roman" w:hAnsi="Times New Roman" w:cs="Times New Roman"/>
                <w:b/>
                <w:bCs/>
                <w:color w:val="000000"/>
                <w:sz w:val="20"/>
                <w:szCs w:val="20"/>
                <w:lang w:eastAsia="en-GB"/>
              </w:rPr>
            </w:pPr>
          </w:p>
        </w:tc>
      </w:tr>
      <w:tr w:rsidR="00585C6C" w:rsidRPr="0046155E" w14:paraId="093DE71C"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461A4F39"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Age, years*</w:t>
            </w:r>
          </w:p>
        </w:tc>
        <w:tc>
          <w:tcPr>
            <w:tcW w:w="447" w:type="pct"/>
            <w:tcBorders>
              <w:top w:val="nil"/>
              <w:left w:val="nil"/>
              <w:bottom w:val="single" w:sz="8" w:space="0" w:color="auto"/>
              <w:right w:val="single" w:sz="8" w:space="0" w:color="auto"/>
            </w:tcBorders>
            <w:noWrap/>
            <w:vAlign w:val="center"/>
          </w:tcPr>
          <w:p w14:paraId="7A5E200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07FEF8E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64.6 (12.0)</w:t>
            </w:r>
          </w:p>
        </w:tc>
        <w:tc>
          <w:tcPr>
            <w:tcW w:w="156" w:type="pct"/>
            <w:tcBorders>
              <w:top w:val="nil"/>
              <w:left w:val="nil"/>
              <w:bottom w:val="single" w:sz="8" w:space="0" w:color="auto"/>
              <w:right w:val="nil"/>
            </w:tcBorders>
          </w:tcPr>
          <w:p w14:paraId="5BA0238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297F581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1564569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66.3 (11.9)</w:t>
            </w:r>
          </w:p>
        </w:tc>
        <w:tc>
          <w:tcPr>
            <w:tcW w:w="541" w:type="pct"/>
            <w:tcBorders>
              <w:top w:val="nil"/>
              <w:left w:val="nil"/>
              <w:bottom w:val="single" w:sz="8" w:space="0" w:color="auto"/>
              <w:right w:val="single" w:sz="8" w:space="0" w:color="auto"/>
            </w:tcBorders>
            <w:noWrap/>
            <w:vAlign w:val="bottom"/>
          </w:tcPr>
          <w:p w14:paraId="455A6A3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38AABDB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64.1 (12.0)</w:t>
            </w:r>
          </w:p>
        </w:tc>
      </w:tr>
      <w:tr w:rsidR="00585C6C" w:rsidRPr="0046155E" w14:paraId="1F5847E6"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6D7E2C8"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Male gender, n (%) </w:t>
            </w:r>
          </w:p>
        </w:tc>
        <w:tc>
          <w:tcPr>
            <w:tcW w:w="447" w:type="pct"/>
            <w:tcBorders>
              <w:top w:val="nil"/>
              <w:left w:val="nil"/>
              <w:bottom w:val="single" w:sz="8" w:space="0" w:color="auto"/>
              <w:right w:val="single" w:sz="8" w:space="0" w:color="auto"/>
            </w:tcBorders>
            <w:noWrap/>
            <w:vAlign w:val="center"/>
          </w:tcPr>
          <w:p w14:paraId="4323E2A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52BC06C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34408 (57.1)</w:t>
            </w:r>
          </w:p>
        </w:tc>
        <w:tc>
          <w:tcPr>
            <w:tcW w:w="156" w:type="pct"/>
            <w:tcBorders>
              <w:top w:val="nil"/>
              <w:left w:val="nil"/>
              <w:bottom w:val="single" w:sz="8" w:space="0" w:color="auto"/>
              <w:right w:val="nil"/>
            </w:tcBorders>
          </w:tcPr>
          <w:p w14:paraId="125BCFE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6744078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37E1460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5992 (52.9)</w:t>
            </w:r>
          </w:p>
        </w:tc>
        <w:tc>
          <w:tcPr>
            <w:tcW w:w="541" w:type="pct"/>
            <w:tcBorders>
              <w:top w:val="nil"/>
              <w:left w:val="nil"/>
              <w:bottom w:val="single" w:sz="8" w:space="0" w:color="auto"/>
              <w:right w:val="single" w:sz="8" w:space="0" w:color="auto"/>
            </w:tcBorders>
            <w:noWrap/>
            <w:vAlign w:val="bottom"/>
          </w:tcPr>
          <w:p w14:paraId="5848EDD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00D8FC6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28224 (58.1)</w:t>
            </w:r>
          </w:p>
        </w:tc>
      </w:tr>
      <w:tr w:rsidR="00585C6C" w:rsidRPr="0046155E" w14:paraId="5E17039B"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8CB10C9"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Ethnicity, n (%) </w:t>
            </w:r>
          </w:p>
        </w:tc>
        <w:tc>
          <w:tcPr>
            <w:tcW w:w="447" w:type="pct"/>
            <w:tcBorders>
              <w:top w:val="nil"/>
              <w:left w:val="nil"/>
              <w:bottom w:val="single" w:sz="8" w:space="0" w:color="auto"/>
              <w:right w:val="single" w:sz="8" w:space="0" w:color="auto"/>
            </w:tcBorders>
            <w:noWrap/>
            <w:vAlign w:val="center"/>
          </w:tcPr>
          <w:p w14:paraId="414F9FE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26B6884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p w14:paraId="4396A05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156" w:type="pct"/>
            <w:tcBorders>
              <w:top w:val="nil"/>
              <w:left w:val="nil"/>
              <w:bottom w:val="single" w:sz="8" w:space="0" w:color="auto"/>
              <w:right w:val="nil"/>
            </w:tcBorders>
          </w:tcPr>
          <w:p w14:paraId="0491612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5848D63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7D4E7C3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541" w:type="pct"/>
            <w:tcBorders>
              <w:top w:val="nil"/>
              <w:left w:val="nil"/>
              <w:bottom w:val="single" w:sz="8" w:space="0" w:color="auto"/>
              <w:right w:val="single" w:sz="8" w:space="0" w:color="auto"/>
            </w:tcBorders>
            <w:noWrap/>
            <w:vAlign w:val="bottom"/>
          </w:tcPr>
          <w:p w14:paraId="46FFC5A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5D4DC3A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p w14:paraId="0B5885F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r>
      <w:tr w:rsidR="00585C6C" w:rsidRPr="0046155E" w14:paraId="186156E5"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33F22CB9"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White</w:t>
            </w:r>
          </w:p>
        </w:tc>
        <w:tc>
          <w:tcPr>
            <w:tcW w:w="447" w:type="pct"/>
            <w:tcBorders>
              <w:top w:val="nil"/>
              <w:left w:val="nil"/>
              <w:bottom w:val="single" w:sz="8" w:space="0" w:color="auto"/>
              <w:right w:val="single" w:sz="8" w:space="0" w:color="auto"/>
            </w:tcBorders>
            <w:noWrap/>
            <w:vAlign w:val="center"/>
          </w:tcPr>
          <w:p w14:paraId="6CAA7FC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63F42B6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58148 (96.5)</w:t>
            </w:r>
          </w:p>
        </w:tc>
        <w:tc>
          <w:tcPr>
            <w:tcW w:w="156" w:type="pct"/>
            <w:tcBorders>
              <w:top w:val="nil"/>
              <w:left w:val="nil"/>
              <w:bottom w:val="single" w:sz="8" w:space="0" w:color="auto"/>
              <w:right w:val="nil"/>
            </w:tcBorders>
          </w:tcPr>
          <w:p w14:paraId="293257C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0B5D3D3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hideMark/>
          </w:tcPr>
          <w:p w14:paraId="13022001"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11047 (97.5)</w:t>
            </w:r>
          </w:p>
        </w:tc>
        <w:tc>
          <w:tcPr>
            <w:tcW w:w="541" w:type="pct"/>
            <w:tcBorders>
              <w:top w:val="nil"/>
              <w:left w:val="nil"/>
              <w:bottom w:val="single" w:sz="8" w:space="0" w:color="auto"/>
              <w:right w:val="single" w:sz="8" w:space="0" w:color="auto"/>
            </w:tcBorders>
            <w:noWrap/>
            <w:vAlign w:val="center"/>
          </w:tcPr>
          <w:p w14:paraId="5392829B" w14:textId="77777777" w:rsidR="00585C6C" w:rsidRPr="0046155E" w:rsidRDefault="00585C6C" w:rsidP="00C516AB">
            <w:pPr>
              <w:jc w:val="center"/>
              <w:rPr>
                <w:rFonts w:ascii="Times New Roman" w:eastAsia="Times New Roman" w:hAnsi="Times New Roman" w:cs="Times New Roman"/>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36A94FA6"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46767 (96.2)</w:t>
            </w:r>
          </w:p>
        </w:tc>
      </w:tr>
      <w:tr w:rsidR="00585C6C" w:rsidRPr="0046155E" w14:paraId="1DD55E8C"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694F3C85"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Black</w:t>
            </w:r>
          </w:p>
        </w:tc>
        <w:tc>
          <w:tcPr>
            <w:tcW w:w="447" w:type="pct"/>
            <w:tcBorders>
              <w:top w:val="nil"/>
              <w:left w:val="nil"/>
              <w:bottom w:val="single" w:sz="8" w:space="0" w:color="auto"/>
              <w:right w:val="single" w:sz="8" w:space="0" w:color="auto"/>
            </w:tcBorders>
            <w:noWrap/>
            <w:vAlign w:val="center"/>
          </w:tcPr>
          <w:p w14:paraId="1FD1B66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4B4F391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217 (0.4)</w:t>
            </w:r>
          </w:p>
        </w:tc>
        <w:tc>
          <w:tcPr>
            <w:tcW w:w="156" w:type="pct"/>
            <w:tcBorders>
              <w:top w:val="nil"/>
              <w:left w:val="nil"/>
              <w:bottom w:val="single" w:sz="8" w:space="0" w:color="auto"/>
              <w:right w:val="nil"/>
            </w:tcBorders>
          </w:tcPr>
          <w:p w14:paraId="394E705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11378D0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hideMark/>
          </w:tcPr>
          <w:p w14:paraId="1B2AD2FD"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35 (0.3)</w:t>
            </w:r>
          </w:p>
        </w:tc>
        <w:tc>
          <w:tcPr>
            <w:tcW w:w="541" w:type="pct"/>
            <w:tcBorders>
              <w:top w:val="nil"/>
              <w:left w:val="nil"/>
              <w:bottom w:val="single" w:sz="8" w:space="0" w:color="auto"/>
              <w:right w:val="single" w:sz="8" w:space="0" w:color="auto"/>
            </w:tcBorders>
            <w:noWrap/>
            <w:vAlign w:val="center"/>
          </w:tcPr>
          <w:p w14:paraId="54ECEE47" w14:textId="77777777" w:rsidR="00585C6C" w:rsidRPr="0046155E" w:rsidRDefault="00585C6C" w:rsidP="00C516AB">
            <w:pPr>
              <w:jc w:val="center"/>
              <w:rPr>
                <w:rFonts w:ascii="Times New Roman" w:eastAsia="Times New Roman" w:hAnsi="Times New Roman" w:cs="Times New Roman"/>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207E06BE"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181 (0.4)</w:t>
            </w:r>
          </w:p>
        </w:tc>
      </w:tr>
      <w:tr w:rsidR="00585C6C" w:rsidRPr="0046155E" w14:paraId="2F2B10BD"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D98EB31"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Asian</w:t>
            </w:r>
          </w:p>
        </w:tc>
        <w:tc>
          <w:tcPr>
            <w:tcW w:w="447" w:type="pct"/>
            <w:tcBorders>
              <w:top w:val="nil"/>
              <w:left w:val="nil"/>
              <w:bottom w:val="single" w:sz="8" w:space="0" w:color="auto"/>
              <w:right w:val="single" w:sz="8" w:space="0" w:color="auto"/>
            </w:tcBorders>
            <w:noWrap/>
            <w:vAlign w:val="center"/>
          </w:tcPr>
          <w:p w14:paraId="0E83717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63A4EB0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1514 (2.5)</w:t>
            </w:r>
          </w:p>
        </w:tc>
        <w:tc>
          <w:tcPr>
            <w:tcW w:w="156" w:type="pct"/>
            <w:tcBorders>
              <w:top w:val="nil"/>
              <w:left w:val="nil"/>
              <w:bottom w:val="single" w:sz="8" w:space="0" w:color="auto"/>
              <w:right w:val="nil"/>
            </w:tcBorders>
          </w:tcPr>
          <w:p w14:paraId="48DA1F2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72E8DA7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hideMark/>
          </w:tcPr>
          <w:p w14:paraId="6A116716"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190 (1.7)</w:t>
            </w:r>
          </w:p>
        </w:tc>
        <w:tc>
          <w:tcPr>
            <w:tcW w:w="541" w:type="pct"/>
            <w:tcBorders>
              <w:top w:val="nil"/>
              <w:left w:val="nil"/>
              <w:bottom w:val="single" w:sz="8" w:space="0" w:color="auto"/>
              <w:right w:val="single" w:sz="8" w:space="0" w:color="auto"/>
            </w:tcBorders>
            <w:noWrap/>
            <w:vAlign w:val="center"/>
          </w:tcPr>
          <w:p w14:paraId="38AC93D4" w14:textId="77777777" w:rsidR="00585C6C" w:rsidRPr="0046155E" w:rsidRDefault="00585C6C" w:rsidP="00C516AB">
            <w:pPr>
              <w:jc w:val="center"/>
              <w:rPr>
                <w:rFonts w:ascii="Times New Roman" w:eastAsia="Times New Roman" w:hAnsi="Times New Roman" w:cs="Times New Roman"/>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FB007E1"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1317 (2.7)</w:t>
            </w:r>
          </w:p>
        </w:tc>
      </w:tr>
      <w:tr w:rsidR="00585C6C" w:rsidRPr="0046155E" w14:paraId="4E496E1F"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22DFFE0"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Mixed/Other</w:t>
            </w:r>
          </w:p>
        </w:tc>
        <w:tc>
          <w:tcPr>
            <w:tcW w:w="447" w:type="pct"/>
            <w:tcBorders>
              <w:top w:val="nil"/>
              <w:left w:val="nil"/>
              <w:bottom w:val="single" w:sz="8" w:space="0" w:color="auto"/>
              <w:right w:val="single" w:sz="8" w:space="0" w:color="auto"/>
            </w:tcBorders>
            <w:noWrap/>
            <w:vAlign w:val="center"/>
          </w:tcPr>
          <w:p w14:paraId="59BDE65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653AEA7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408 (0.7)</w:t>
            </w:r>
          </w:p>
        </w:tc>
        <w:tc>
          <w:tcPr>
            <w:tcW w:w="156" w:type="pct"/>
            <w:tcBorders>
              <w:top w:val="nil"/>
              <w:left w:val="nil"/>
              <w:bottom w:val="single" w:sz="8" w:space="0" w:color="auto"/>
              <w:right w:val="nil"/>
            </w:tcBorders>
          </w:tcPr>
          <w:p w14:paraId="2041433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02BCCEC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hideMark/>
          </w:tcPr>
          <w:p w14:paraId="20567A4C"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63 (0.6)</w:t>
            </w:r>
          </w:p>
        </w:tc>
        <w:tc>
          <w:tcPr>
            <w:tcW w:w="541" w:type="pct"/>
            <w:tcBorders>
              <w:top w:val="nil"/>
              <w:left w:val="nil"/>
              <w:bottom w:val="single" w:sz="8" w:space="0" w:color="auto"/>
              <w:right w:val="single" w:sz="8" w:space="0" w:color="auto"/>
            </w:tcBorders>
            <w:noWrap/>
            <w:vAlign w:val="center"/>
          </w:tcPr>
          <w:p w14:paraId="309E77B3" w14:textId="77777777" w:rsidR="00585C6C" w:rsidRPr="0046155E" w:rsidRDefault="00585C6C" w:rsidP="00C516AB">
            <w:pPr>
              <w:jc w:val="center"/>
              <w:rPr>
                <w:rFonts w:ascii="Times New Roman" w:eastAsia="Times New Roman" w:hAnsi="Times New Roman" w:cs="Times New Roman"/>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A62E073" w14:textId="77777777" w:rsidR="00585C6C" w:rsidRPr="0046155E" w:rsidRDefault="00585C6C" w:rsidP="00C516AB">
            <w:pPr>
              <w:jc w:val="center"/>
              <w:rPr>
                <w:rFonts w:ascii="Times New Roman" w:eastAsia="Times New Roman" w:hAnsi="Times New Roman" w:cs="Times New Roman"/>
                <w:sz w:val="20"/>
                <w:szCs w:val="20"/>
                <w:lang w:eastAsia="en-GB"/>
              </w:rPr>
            </w:pPr>
            <w:r w:rsidRPr="0046155E">
              <w:rPr>
                <w:rFonts w:ascii="Times New Roman" w:eastAsia="Times New Roman" w:hAnsi="Times New Roman" w:cs="Times New Roman"/>
                <w:sz w:val="20"/>
                <w:szCs w:val="20"/>
                <w:lang w:eastAsia="en-GB"/>
              </w:rPr>
              <w:t>342 (0.7)</w:t>
            </w:r>
          </w:p>
        </w:tc>
      </w:tr>
      <w:tr w:rsidR="00585C6C" w:rsidRPr="0046155E" w14:paraId="4AB98DF0"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2128D00"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Socioeconomic Status, n (%)</w:t>
            </w:r>
          </w:p>
        </w:tc>
        <w:tc>
          <w:tcPr>
            <w:tcW w:w="447" w:type="pct"/>
            <w:tcBorders>
              <w:top w:val="nil"/>
              <w:left w:val="nil"/>
              <w:bottom w:val="single" w:sz="8" w:space="0" w:color="auto"/>
              <w:right w:val="single" w:sz="8" w:space="0" w:color="auto"/>
            </w:tcBorders>
            <w:noWrap/>
            <w:vAlign w:val="center"/>
          </w:tcPr>
          <w:p w14:paraId="4CB82ED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50EAA37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p w14:paraId="548EA5A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156" w:type="pct"/>
            <w:tcBorders>
              <w:top w:val="nil"/>
              <w:left w:val="nil"/>
              <w:bottom w:val="single" w:sz="8" w:space="0" w:color="auto"/>
              <w:right w:val="nil"/>
            </w:tcBorders>
          </w:tcPr>
          <w:p w14:paraId="7F76278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72D7256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42C3E09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541" w:type="pct"/>
            <w:tcBorders>
              <w:top w:val="nil"/>
              <w:left w:val="nil"/>
              <w:bottom w:val="single" w:sz="8" w:space="0" w:color="auto"/>
              <w:right w:val="single" w:sz="8" w:space="0" w:color="auto"/>
            </w:tcBorders>
            <w:noWrap/>
            <w:vAlign w:val="bottom"/>
          </w:tcPr>
          <w:p w14:paraId="6F8B4BB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4DE5271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p w14:paraId="6B19756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r>
      <w:tr w:rsidR="00CD1F9F" w:rsidRPr="0046155E" w14:paraId="7DD317CA" w14:textId="77777777" w:rsidTr="00CD1F9F">
        <w:trPr>
          <w:trHeight w:val="300"/>
        </w:trPr>
        <w:tc>
          <w:tcPr>
            <w:tcW w:w="1003" w:type="pct"/>
            <w:tcBorders>
              <w:top w:val="nil"/>
              <w:left w:val="single" w:sz="8" w:space="0" w:color="auto"/>
              <w:bottom w:val="nil"/>
              <w:right w:val="single" w:sz="8" w:space="0" w:color="auto"/>
            </w:tcBorders>
            <w:noWrap/>
            <w:vAlign w:val="center"/>
            <w:hideMark/>
          </w:tcPr>
          <w:p w14:paraId="4B871FE8"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Index of Multiple Deprivation quintile 1  </w:t>
            </w:r>
          </w:p>
        </w:tc>
        <w:tc>
          <w:tcPr>
            <w:tcW w:w="447" w:type="pct"/>
            <w:tcBorders>
              <w:top w:val="nil"/>
              <w:left w:val="nil"/>
              <w:bottom w:val="nil"/>
              <w:right w:val="single" w:sz="8" w:space="0" w:color="auto"/>
            </w:tcBorders>
            <w:noWrap/>
            <w:vAlign w:val="center"/>
          </w:tcPr>
          <w:p w14:paraId="19DFDA7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vMerge w:val="restart"/>
            <w:tcBorders>
              <w:top w:val="nil"/>
              <w:left w:val="single" w:sz="8" w:space="0" w:color="auto"/>
              <w:bottom w:val="single" w:sz="8" w:space="0" w:color="000000"/>
              <w:right w:val="single" w:sz="8" w:space="0" w:color="auto"/>
            </w:tcBorders>
            <w:noWrap/>
            <w:vAlign w:val="bottom"/>
            <w:hideMark/>
          </w:tcPr>
          <w:p w14:paraId="3BCC5F7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7576 (12.6)</w:t>
            </w:r>
          </w:p>
        </w:tc>
        <w:tc>
          <w:tcPr>
            <w:tcW w:w="156" w:type="pct"/>
            <w:tcBorders>
              <w:top w:val="nil"/>
              <w:left w:val="nil"/>
              <w:bottom w:val="nil"/>
              <w:right w:val="nil"/>
            </w:tcBorders>
          </w:tcPr>
          <w:p w14:paraId="2A7660F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nil"/>
              <w:right w:val="single" w:sz="8" w:space="0" w:color="auto"/>
            </w:tcBorders>
            <w:noWrap/>
            <w:vAlign w:val="bottom"/>
          </w:tcPr>
          <w:p w14:paraId="1A71F72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vMerge w:val="restart"/>
            <w:tcBorders>
              <w:top w:val="nil"/>
              <w:left w:val="single" w:sz="8" w:space="0" w:color="auto"/>
              <w:bottom w:val="single" w:sz="8" w:space="0" w:color="000000"/>
              <w:right w:val="single" w:sz="8" w:space="0" w:color="auto"/>
            </w:tcBorders>
            <w:noWrap/>
            <w:vAlign w:val="bottom"/>
            <w:hideMark/>
          </w:tcPr>
          <w:p w14:paraId="2123B22B" w14:textId="63914FD4"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1173 (10.3</w:t>
            </w:r>
            <w:r w:rsidR="007F6BA3">
              <w:rPr>
                <w:rFonts w:ascii="Times New Roman" w:eastAsia="Times New Roman" w:hAnsi="Times New Roman" w:cs="Times New Roman"/>
                <w:color w:val="000000"/>
                <w:sz w:val="20"/>
                <w:szCs w:val="20"/>
                <w:lang w:eastAsia="en-GB"/>
              </w:rPr>
              <w:t>)</w:t>
            </w:r>
          </w:p>
        </w:tc>
        <w:tc>
          <w:tcPr>
            <w:tcW w:w="541" w:type="pct"/>
            <w:tcBorders>
              <w:top w:val="nil"/>
              <w:left w:val="nil"/>
              <w:bottom w:val="nil"/>
              <w:right w:val="single" w:sz="8" w:space="0" w:color="auto"/>
            </w:tcBorders>
            <w:noWrap/>
            <w:vAlign w:val="bottom"/>
          </w:tcPr>
          <w:p w14:paraId="7176E00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vMerge w:val="restart"/>
            <w:tcBorders>
              <w:top w:val="nil"/>
              <w:left w:val="single" w:sz="8" w:space="0" w:color="auto"/>
              <w:bottom w:val="single" w:sz="8" w:space="0" w:color="000000"/>
              <w:right w:val="single" w:sz="8" w:space="0" w:color="auto"/>
            </w:tcBorders>
            <w:noWrap/>
            <w:vAlign w:val="bottom"/>
            <w:hideMark/>
          </w:tcPr>
          <w:p w14:paraId="787D668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6363 (13.1)</w:t>
            </w:r>
          </w:p>
        </w:tc>
      </w:tr>
      <w:tr w:rsidR="00CD1F9F" w:rsidRPr="0046155E" w14:paraId="1E7CE964"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6449CFE"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(most deprived)</w:t>
            </w:r>
          </w:p>
        </w:tc>
        <w:tc>
          <w:tcPr>
            <w:tcW w:w="447" w:type="pct"/>
            <w:tcBorders>
              <w:top w:val="nil"/>
              <w:left w:val="nil"/>
              <w:bottom w:val="single" w:sz="8" w:space="0" w:color="auto"/>
              <w:right w:val="single" w:sz="8" w:space="0" w:color="auto"/>
            </w:tcBorders>
            <w:noWrap/>
            <w:vAlign w:val="center"/>
          </w:tcPr>
          <w:p w14:paraId="3147727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vMerge/>
            <w:tcBorders>
              <w:top w:val="nil"/>
              <w:left w:val="single" w:sz="8" w:space="0" w:color="auto"/>
              <w:bottom w:val="single" w:sz="8" w:space="0" w:color="000000"/>
              <w:right w:val="single" w:sz="8" w:space="0" w:color="auto"/>
            </w:tcBorders>
            <w:vAlign w:val="center"/>
            <w:hideMark/>
          </w:tcPr>
          <w:p w14:paraId="1CFE65C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156" w:type="pct"/>
            <w:tcBorders>
              <w:top w:val="nil"/>
              <w:left w:val="nil"/>
              <w:bottom w:val="single" w:sz="8" w:space="0" w:color="auto"/>
              <w:right w:val="nil"/>
            </w:tcBorders>
          </w:tcPr>
          <w:p w14:paraId="6692EEB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2DDBB1A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vMerge/>
            <w:tcBorders>
              <w:top w:val="nil"/>
              <w:left w:val="single" w:sz="8" w:space="0" w:color="auto"/>
              <w:bottom w:val="single" w:sz="8" w:space="0" w:color="000000"/>
              <w:right w:val="single" w:sz="8" w:space="0" w:color="auto"/>
            </w:tcBorders>
            <w:vAlign w:val="center"/>
            <w:hideMark/>
          </w:tcPr>
          <w:p w14:paraId="603B13B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541" w:type="pct"/>
            <w:tcBorders>
              <w:top w:val="nil"/>
              <w:left w:val="nil"/>
              <w:bottom w:val="single" w:sz="8" w:space="0" w:color="auto"/>
              <w:right w:val="single" w:sz="8" w:space="0" w:color="auto"/>
            </w:tcBorders>
            <w:noWrap/>
            <w:vAlign w:val="bottom"/>
          </w:tcPr>
          <w:p w14:paraId="5570D26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vMerge/>
            <w:tcBorders>
              <w:top w:val="nil"/>
              <w:left w:val="single" w:sz="8" w:space="0" w:color="auto"/>
              <w:bottom w:val="single" w:sz="8" w:space="0" w:color="000000"/>
              <w:right w:val="single" w:sz="8" w:space="0" w:color="auto"/>
            </w:tcBorders>
            <w:vAlign w:val="center"/>
            <w:hideMark/>
          </w:tcPr>
          <w:p w14:paraId="6443F78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r>
      <w:tr w:rsidR="00585C6C" w:rsidRPr="0046155E" w14:paraId="7EEEDC24"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39125CE6"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Index of Multiple Deprivation quintile 2</w:t>
            </w:r>
          </w:p>
        </w:tc>
        <w:tc>
          <w:tcPr>
            <w:tcW w:w="447" w:type="pct"/>
            <w:tcBorders>
              <w:top w:val="nil"/>
              <w:left w:val="nil"/>
              <w:bottom w:val="single" w:sz="8" w:space="0" w:color="auto"/>
              <w:right w:val="single" w:sz="8" w:space="0" w:color="auto"/>
            </w:tcBorders>
            <w:noWrap/>
            <w:vAlign w:val="center"/>
          </w:tcPr>
          <w:p w14:paraId="1082A68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7F3BE4C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12137 (20.1)</w:t>
            </w:r>
          </w:p>
        </w:tc>
        <w:tc>
          <w:tcPr>
            <w:tcW w:w="156" w:type="pct"/>
            <w:tcBorders>
              <w:top w:val="nil"/>
              <w:left w:val="nil"/>
              <w:bottom w:val="single" w:sz="8" w:space="0" w:color="auto"/>
              <w:right w:val="nil"/>
            </w:tcBorders>
          </w:tcPr>
          <w:p w14:paraId="37C5A98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350548B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26C3F99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2280 (20.1)</w:t>
            </w:r>
          </w:p>
        </w:tc>
        <w:tc>
          <w:tcPr>
            <w:tcW w:w="541" w:type="pct"/>
            <w:tcBorders>
              <w:top w:val="nil"/>
              <w:left w:val="nil"/>
              <w:bottom w:val="single" w:sz="8" w:space="0" w:color="auto"/>
              <w:right w:val="single" w:sz="8" w:space="0" w:color="auto"/>
            </w:tcBorders>
            <w:noWrap/>
            <w:vAlign w:val="bottom"/>
          </w:tcPr>
          <w:p w14:paraId="474BC10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4039A80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9788 (20.1)</w:t>
            </w:r>
          </w:p>
        </w:tc>
      </w:tr>
      <w:tr w:rsidR="00585C6C" w:rsidRPr="0046155E" w14:paraId="527C5243"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C80509C"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Index of Multiple Deprivation quintile 3</w:t>
            </w:r>
          </w:p>
        </w:tc>
        <w:tc>
          <w:tcPr>
            <w:tcW w:w="447" w:type="pct"/>
            <w:tcBorders>
              <w:top w:val="nil"/>
              <w:left w:val="nil"/>
              <w:bottom w:val="single" w:sz="8" w:space="0" w:color="auto"/>
              <w:right w:val="single" w:sz="8" w:space="0" w:color="auto"/>
            </w:tcBorders>
            <w:noWrap/>
            <w:vAlign w:val="center"/>
          </w:tcPr>
          <w:p w14:paraId="51A12A2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2EDA8D2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11457 (19.0)</w:t>
            </w:r>
          </w:p>
        </w:tc>
        <w:tc>
          <w:tcPr>
            <w:tcW w:w="156" w:type="pct"/>
            <w:tcBorders>
              <w:top w:val="nil"/>
              <w:left w:val="nil"/>
              <w:bottom w:val="single" w:sz="8" w:space="0" w:color="auto"/>
              <w:right w:val="nil"/>
            </w:tcBorders>
          </w:tcPr>
          <w:p w14:paraId="116513F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6DBBB09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5471693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2018 (17.8)</w:t>
            </w:r>
          </w:p>
        </w:tc>
        <w:tc>
          <w:tcPr>
            <w:tcW w:w="541" w:type="pct"/>
            <w:tcBorders>
              <w:top w:val="nil"/>
              <w:left w:val="nil"/>
              <w:bottom w:val="single" w:sz="8" w:space="0" w:color="auto"/>
              <w:right w:val="single" w:sz="8" w:space="0" w:color="auto"/>
            </w:tcBorders>
            <w:noWrap/>
            <w:vAlign w:val="bottom"/>
          </w:tcPr>
          <w:p w14:paraId="1DDF3CC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182B5C3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9375 (19.3)</w:t>
            </w:r>
          </w:p>
        </w:tc>
      </w:tr>
      <w:tr w:rsidR="00585C6C" w:rsidRPr="0046155E" w14:paraId="17CC4F11"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066CB05B"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Index of Multiple Deprivation quintile 4</w:t>
            </w:r>
          </w:p>
        </w:tc>
        <w:tc>
          <w:tcPr>
            <w:tcW w:w="447" w:type="pct"/>
            <w:tcBorders>
              <w:top w:val="nil"/>
              <w:left w:val="nil"/>
              <w:bottom w:val="single" w:sz="8" w:space="0" w:color="auto"/>
              <w:right w:val="single" w:sz="8" w:space="0" w:color="auto"/>
            </w:tcBorders>
            <w:noWrap/>
            <w:vAlign w:val="center"/>
          </w:tcPr>
          <w:p w14:paraId="12B648A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760D43D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13028 (21.6)</w:t>
            </w:r>
          </w:p>
        </w:tc>
        <w:tc>
          <w:tcPr>
            <w:tcW w:w="156" w:type="pct"/>
            <w:tcBorders>
              <w:top w:val="nil"/>
              <w:left w:val="nil"/>
              <w:bottom w:val="single" w:sz="8" w:space="0" w:color="auto"/>
              <w:right w:val="nil"/>
            </w:tcBorders>
          </w:tcPr>
          <w:p w14:paraId="75EFA86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061B6A0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64BF71D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2554 (22.5)</w:t>
            </w:r>
          </w:p>
        </w:tc>
        <w:tc>
          <w:tcPr>
            <w:tcW w:w="541" w:type="pct"/>
            <w:tcBorders>
              <w:top w:val="nil"/>
              <w:left w:val="nil"/>
              <w:bottom w:val="single" w:sz="8" w:space="0" w:color="auto"/>
              <w:right w:val="single" w:sz="8" w:space="0" w:color="auto"/>
            </w:tcBorders>
            <w:noWrap/>
            <w:vAlign w:val="bottom"/>
          </w:tcPr>
          <w:p w14:paraId="1F7E78F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51F3FA0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10398 (21.4)</w:t>
            </w:r>
          </w:p>
        </w:tc>
      </w:tr>
      <w:tr w:rsidR="00585C6C" w:rsidRPr="0046155E" w14:paraId="63354F18"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401F534"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Index of Multiple Deprivation quintile </w:t>
            </w:r>
            <w:proofErr w:type="gramStart"/>
            <w:r w:rsidRPr="0046155E">
              <w:rPr>
                <w:rFonts w:ascii="Times New Roman" w:eastAsia="Times New Roman" w:hAnsi="Times New Roman" w:cs="Times New Roman"/>
                <w:color w:val="000000"/>
                <w:sz w:val="20"/>
                <w:szCs w:val="20"/>
                <w:lang w:eastAsia="en-GB"/>
              </w:rPr>
              <w:t>5  (</w:t>
            </w:r>
            <w:proofErr w:type="gramEnd"/>
            <w:r w:rsidRPr="0046155E">
              <w:rPr>
                <w:rFonts w:ascii="Times New Roman" w:eastAsia="Times New Roman" w:hAnsi="Times New Roman" w:cs="Times New Roman"/>
                <w:color w:val="000000"/>
                <w:sz w:val="20"/>
                <w:szCs w:val="20"/>
                <w:lang w:eastAsia="en-GB"/>
              </w:rPr>
              <w:t>least deprived)</w:t>
            </w:r>
          </w:p>
        </w:tc>
        <w:tc>
          <w:tcPr>
            <w:tcW w:w="447" w:type="pct"/>
            <w:tcBorders>
              <w:top w:val="nil"/>
              <w:left w:val="nil"/>
              <w:bottom w:val="single" w:sz="8" w:space="0" w:color="auto"/>
              <w:right w:val="single" w:sz="8" w:space="0" w:color="auto"/>
            </w:tcBorders>
            <w:noWrap/>
            <w:vAlign w:val="center"/>
          </w:tcPr>
          <w:p w14:paraId="2A287DF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6E746D46" w14:textId="0398F30F"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160</w:t>
            </w:r>
            <w:r w:rsidR="00DD3E22">
              <w:rPr>
                <w:rFonts w:ascii="Times New Roman" w:eastAsia="Times New Roman" w:hAnsi="Times New Roman" w:cs="Times New Roman"/>
                <w:color w:val="000000"/>
                <w:sz w:val="20"/>
                <w:szCs w:val="20"/>
                <w:lang w:eastAsia="en-GB"/>
              </w:rPr>
              <w:t>89</w:t>
            </w:r>
            <w:r w:rsidRPr="0046155E">
              <w:rPr>
                <w:rFonts w:ascii="Times New Roman" w:eastAsia="Times New Roman" w:hAnsi="Times New Roman" w:cs="Times New Roman"/>
                <w:color w:val="000000"/>
                <w:sz w:val="20"/>
                <w:szCs w:val="20"/>
                <w:lang w:eastAsia="en-GB"/>
              </w:rPr>
              <w:t xml:space="preserve"> (26.7)</w:t>
            </w:r>
          </w:p>
        </w:tc>
        <w:tc>
          <w:tcPr>
            <w:tcW w:w="156" w:type="pct"/>
            <w:tcBorders>
              <w:top w:val="nil"/>
              <w:left w:val="nil"/>
              <w:bottom w:val="single" w:sz="8" w:space="0" w:color="auto"/>
              <w:right w:val="nil"/>
            </w:tcBorders>
          </w:tcPr>
          <w:p w14:paraId="039117C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704934B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hideMark/>
          </w:tcPr>
          <w:p w14:paraId="4378E02C" w14:textId="2869A76A"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331</w:t>
            </w:r>
            <w:r w:rsidR="00370849">
              <w:rPr>
                <w:rFonts w:ascii="Times New Roman" w:eastAsia="Times New Roman" w:hAnsi="Times New Roman" w:cs="Times New Roman"/>
                <w:color w:val="000000"/>
                <w:sz w:val="20"/>
                <w:szCs w:val="20"/>
                <w:lang w:eastAsia="en-GB"/>
              </w:rPr>
              <w:t>0</w:t>
            </w:r>
            <w:r w:rsidRPr="0046155E">
              <w:rPr>
                <w:rFonts w:ascii="Times New Roman" w:eastAsia="Times New Roman" w:hAnsi="Times New Roman" w:cs="Times New Roman"/>
                <w:color w:val="000000"/>
                <w:sz w:val="20"/>
                <w:szCs w:val="20"/>
                <w:lang w:eastAsia="en-GB"/>
              </w:rPr>
              <w:t xml:space="preserve"> (29.2)</w:t>
            </w:r>
          </w:p>
        </w:tc>
        <w:tc>
          <w:tcPr>
            <w:tcW w:w="541" w:type="pct"/>
            <w:tcBorders>
              <w:top w:val="nil"/>
              <w:left w:val="nil"/>
              <w:bottom w:val="single" w:sz="8" w:space="0" w:color="auto"/>
              <w:right w:val="single" w:sz="8" w:space="0" w:color="auto"/>
            </w:tcBorders>
            <w:noWrap/>
            <w:vAlign w:val="bottom"/>
          </w:tcPr>
          <w:p w14:paraId="0F3CC3B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292DF5A4" w14:textId="6C8897A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1268</w:t>
            </w:r>
            <w:r w:rsidR="00C11268">
              <w:rPr>
                <w:rFonts w:ascii="Times New Roman" w:eastAsia="Times New Roman" w:hAnsi="Times New Roman" w:cs="Times New Roman"/>
                <w:color w:val="000000"/>
                <w:sz w:val="20"/>
                <w:szCs w:val="20"/>
                <w:lang w:eastAsia="en-GB"/>
              </w:rPr>
              <w:t>3</w:t>
            </w:r>
            <w:r w:rsidRPr="0046155E">
              <w:rPr>
                <w:rFonts w:ascii="Times New Roman" w:eastAsia="Times New Roman" w:hAnsi="Times New Roman" w:cs="Times New Roman"/>
                <w:color w:val="000000"/>
                <w:sz w:val="20"/>
                <w:szCs w:val="20"/>
                <w:lang w:eastAsia="en-GB"/>
              </w:rPr>
              <w:t xml:space="preserve"> (26.1)</w:t>
            </w:r>
          </w:p>
        </w:tc>
      </w:tr>
      <w:tr w:rsidR="00585C6C" w:rsidRPr="0046155E" w14:paraId="56A0D8D0" w14:textId="77777777" w:rsidTr="00CD1F9F">
        <w:trPr>
          <w:trHeight w:val="315"/>
        </w:trPr>
        <w:tc>
          <w:tcPr>
            <w:tcW w:w="1003" w:type="pct"/>
            <w:tcBorders>
              <w:top w:val="nil"/>
              <w:left w:val="single" w:sz="8" w:space="0" w:color="auto"/>
              <w:bottom w:val="single" w:sz="8" w:space="0" w:color="auto"/>
              <w:right w:val="single" w:sz="8" w:space="0" w:color="auto"/>
            </w:tcBorders>
            <w:shd w:val="clear" w:color="auto" w:fill="F2F2F2" w:themeFill="background1" w:themeFillShade="F2"/>
            <w:noWrap/>
            <w:vAlign w:val="center"/>
            <w:hideMark/>
          </w:tcPr>
          <w:p w14:paraId="0F28469B"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Clinical</w:t>
            </w:r>
          </w:p>
        </w:tc>
        <w:tc>
          <w:tcPr>
            <w:tcW w:w="1125" w:type="pct"/>
            <w:gridSpan w:val="2"/>
            <w:tcBorders>
              <w:top w:val="nil"/>
              <w:left w:val="nil"/>
              <w:bottom w:val="single" w:sz="8" w:space="0" w:color="auto"/>
              <w:right w:val="nil"/>
            </w:tcBorders>
            <w:shd w:val="clear" w:color="auto" w:fill="F2F2F2" w:themeFill="background1" w:themeFillShade="F2"/>
          </w:tcPr>
          <w:p w14:paraId="1729579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2872" w:type="pct"/>
            <w:gridSpan w:val="6"/>
            <w:tcBorders>
              <w:top w:val="nil"/>
              <w:left w:val="nil"/>
              <w:bottom w:val="single" w:sz="8" w:space="0" w:color="auto"/>
              <w:right w:val="single" w:sz="8" w:space="0" w:color="auto"/>
            </w:tcBorders>
            <w:shd w:val="clear" w:color="auto" w:fill="F2F2F2" w:themeFill="background1" w:themeFillShade="F2"/>
            <w:noWrap/>
            <w:vAlign w:val="center"/>
          </w:tcPr>
          <w:p w14:paraId="281206E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r>
      <w:tr w:rsidR="00585C6C" w:rsidRPr="0046155E" w14:paraId="35E64C1A"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3AA832B"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Diabetes duration, years (n=60138)</w:t>
            </w:r>
          </w:p>
        </w:tc>
        <w:tc>
          <w:tcPr>
            <w:tcW w:w="447" w:type="pct"/>
            <w:tcBorders>
              <w:top w:val="nil"/>
              <w:left w:val="nil"/>
              <w:bottom w:val="single" w:sz="8" w:space="0" w:color="auto"/>
              <w:right w:val="single" w:sz="8" w:space="0" w:color="auto"/>
            </w:tcBorders>
            <w:noWrap/>
            <w:vAlign w:val="center"/>
          </w:tcPr>
          <w:p w14:paraId="6F77002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60138</w:t>
            </w:r>
          </w:p>
        </w:tc>
        <w:tc>
          <w:tcPr>
            <w:tcW w:w="928" w:type="pct"/>
            <w:gridSpan w:val="2"/>
            <w:tcBorders>
              <w:top w:val="nil"/>
              <w:left w:val="nil"/>
              <w:bottom w:val="single" w:sz="8" w:space="0" w:color="auto"/>
              <w:right w:val="single" w:sz="8" w:space="0" w:color="auto"/>
            </w:tcBorders>
            <w:noWrap/>
            <w:vAlign w:val="center"/>
            <w:hideMark/>
          </w:tcPr>
          <w:p w14:paraId="434CE76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8.1 (6.8)</w:t>
            </w:r>
          </w:p>
        </w:tc>
        <w:tc>
          <w:tcPr>
            <w:tcW w:w="156" w:type="pct"/>
            <w:tcBorders>
              <w:top w:val="nil"/>
              <w:left w:val="nil"/>
              <w:bottom w:val="single" w:sz="8" w:space="0" w:color="auto"/>
              <w:right w:val="nil"/>
            </w:tcBorders>
          </w:tcPr>
          <w:p w14:paraId="7856262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1C0331F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11324</w:t>
            </w:r>
          </w:p>
        </w:tc>
        <w:tc>
          <w:tcPr>
            <w:tcW w:w="693" w:type="pct"/>
            <w:tcBorders>
              <w:top w:val="nil"/>
              <w:left w:val="nil"/>
              <w:bottom w:val="single" w:sz="8" w:space="0" w:color="auto"/>
              <w:right w:val="single" w:sz="8" w:space="0" w:color="auto"/>
            </w:tcBorders>
            <w:noWrap/>
            <w:vAlign w:val="center"/>
            <w:hideMark/>
          </w:tcPr>
          <w:p w14:paraId="41A08B6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 (5.3)</w:t>
            </w:r>
          </w:p>
        </w:tc>
        <w:tc>
          <w:tcPr>
            <w:tcW w:w="541" w:type="pct"/>
            <w:tcBorders>
              <w:top w:val="nil"/>
              <w:left w:val="nil"/>
              <w:bottom w:val="single" w:sz="8" w:space="0" w:color="auto"/>
              <w:right w:val="single" w:sz="8" w:space="0" w:color="auto"/>
            </w:tcBorders>
            <w:noWrap/>
            <w:vAlign w:val="center"/>
          </w:tcPr>
          <w:p w14:paraId="4710AA8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48469</w:t>
            </w:r>
          </w:p>
        </w:tc>
        <w:tc>
          <w:tcPr>
            <w:tcW w:w="771" w:type="pct"/>
            <w:tcBorders>
              <w:top w:val="nil"/>
              <w:left w:val="nil"/>
              <w:bottom w:val="single" w:sz="8" w:space="0" w:color="auto"/>
              <w:right w:val="single" w:sz="8" w:space="0" w:color="auto"/>
            </w:tcBorders>
            <w:noWrap/>
            <w:vAlign w:val="center"/>
            <w:hideMark/>
          </w:tcPr>
          <w:p w14:paraId="656A30F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8.7 (7.0)</w:t>
            </w:r>
          </w:p>
        </w:tc>
      </w:tr>
      <w:tr w:rsidR="00585C6C" w:rsidRPr="0046155E" w14:paraId="04616F47"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5F025464"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Frailty </w:t>
            </w:r>
            <w:proofErr w:type="gramStart"/>
            <w:r w:rsidRPr="0046155E">
              <w:rPr>
                <w:rFonts w:ascii="Times New Roman" w:eastAsia="Times New Roman" w:hAnsi="Times New Roman" w:cs="Times New Roman"/>
                <w:color w:val="000000"/>
                <w:sz w:val="20"/>
                <w:szCs w:val="20"/>
                <w:lang w:eastAsia="en-GB"/>
              </w:rPr>
              <w:t>Index  (</w:t>
            </w:r>
            <w:proofErr w:type="gramEnd"/>
            <w:r w:rsidRPr="0046155E">
              <w:rPr>
                <w:rFonts w:ascii="Times New Roman" w:eastAsia="Times New Roman" w:hAnsi="Times New Roman" w:cs="Times New Roman"/>
                <w:color w:val="000000"/>
                <w:sz w:val="20"/>
                <w:szCs w:val="20"/>
                <w:lang w:eastAsia="en-GB"/>
              </w:rPr>
              <w:t>n=60244)</w:t>
            </w:r>
          </w:p>
        </w:tc>
        <w:tc>
          <w:tcPr>
            <w:tcW w:w="447" w:type="pct"/>
            <w:tcBorders>
              <w:top w:val="nil"/>
              <w:left w:val="nil"/>
              <w:bottom w:val="single" w:sz="8" w:space="0" w:color="auto"/>
              <w:right w:val="single" w:sz="8" w:space="0" w:color="auto"/>
            </w:tcBorders>
            <w:noWrap/>
            <w:vAlign w:val="center"/>
          </w:tcPr>
          <w:p w14:paraId="776C5D1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133C104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156" w:type="pct"/>
            <w:tcBorders>
              <w:top w:val="nil"/>
              <w:left w:val="nil"/>
              <w:bottom w:val="single" w:sz="8" w:space="0" w:color="auto"/>
              <w:right w:val="nil"/>
            </w:tcBorders>
          </w:tcPr>
          <w:p w14:paraId="0248397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27D0AE3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11316</w:t>
            </w:r>
          </w:p>
        </w:tc>
        <w:tc>
          <w:tcPr>
            <w:tcW w:w="693" w:type="pct"/>
            <w:tcBorders>
              <w:top w:val="nil"/>
              <w:left w:val="nil"/>
              <w:bottom w:val="single" w:sz="8" w:space="0" w:color="auto"/>
              <w:right w:val="single" w:sz="8" w:space="0" w:color="auto"/>
            </w:tcBorders>
            <w:noWrap/>
            <w:vAlign w:val="center"/>
            <w:hideMark/>
          </w:tcPr>
          <w:p w14:paraId="0BB8721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541" w:type="pct"/>
            <w:tcBorders>
              <w:top w:val="nil"/>
              <w:left w:val="nil"/>
              <w:bottom w:val="single" w:sz="8" w:space="0" w:color="auto"/>
              <w:right w:val="single" w:sz="8" w:space="0" w:color="auto"/>
            </w:tcBorders>
            <w:noWrap/>
            <w:vAlign w:val="center"/>
          </w:tcPr>
          <w:p w14:paraId="3DFD9B5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48583</w:t>
            </w:r>
          </w:p>
        </w:tc>
        <w:tc>
          <w:tcPr>
            <w:tcW w:w="771" w:type="pct"/>
            <w:tcBorders>
              <w:top w:val="nil"/>
              <w:left w:val="nil"/>
              <w:bottom w:val="single" w:sz="8" w:space="0" w:color="auto"/>
              <w:right w:val="single" w:sz="8" w:space="0" w:color="auto"/>
            </w:tcBorders>
            <w:noWrap/>
            <w:vAlign w:val="center"/>
            <w:hideMark/>
          </w:tcPr>
          <w:p w14:paraId="453E5C2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r>
      <w:tr w:rsidR="00585C6C" w:rsidRPr="0046155E" w14:paraId="2B3386FF"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tcPr>
          <w:p w14:paraId="28F6B1FD"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Total number baseline comorbidities </w:t>
            </w:r>
            <w:proofErr w:type="gramStart"/>
            <w:r w:rsidRPr="0046155E">
              <w:rPr>
                <w:rFonts w:ascii="Times New Roman" w:eastAsia="Times New Roman" w:hAnsi="Times New Roman" w:cs="Times New Roman"/>
                <w:color w:val="000000"/>
                <w:sz w:val="20"/>
                <w:szCs w:val="20"/>
                <w:lang w:eastAsia="en-GB"/>
              </w:rPr>
              <w:t>n(</w:t>
            </w:r>
            <w:proofErr w:type="gramEnd"/>
            <w:r w:rsidRPr="0046155E">
              <w:rPr>
                <w:rFonts w:ascii="Times New Roman" w:eastAsia="Times New Roman" w:hAnsi="Times New Roman" w:cs="Times New Roman"/>
                <w:color w:val="000000"/>
                <w:sz w:val="20"/>
                <w:szCs w:val="20"/>
                <w:lang w:eastAsia="en-GB"/>
              </w:rPr>
              <w:t>%)</w:t>
            </w:r>
          </w:p>
        </w:tc>
        <w:tc>
          <w:tcPr>
            <w:tcW w:w="447" w:type="pct"/>
            <w:tcBorders>
              <w:top w:val="nil"/>
              <w:left w:val="nil"/>
              <w:bottom w:val="single" w:sz="8" w:space="0" w:color="auto"/>
              <w:right w:val="single" w:sz="8" w:space="0" w:color="auto"/>
            </w:tcBorders>
            <w:noWrap/>
            <w:vAlign w:val="center"/>
          </w:tcPr>
          <w:p w14:paraId="1B16FD6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tcPr>
          <w:p w14:paraId="5C04C8C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 (1.2)</w:t>
            </w:r>
          </w:p>
        </w:tc>
        <w:tc>
          <w:tcPr>
            <w:tcW w:w="156" w:type="pct"/>
            <w:tcBorders>
              <w:top w:val="nil"/>
              <w:left w:val="nil"/>
              <w:bottom w:val="single" w:sz="8" w:space="0" w:color="auto"/>
              <w:right w:val="nil"/>
            </w:tcBorders>
          </w:tcPr>
          <w:p w14:paraId="3E97BBD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5E0DBB0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4FCD2E3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 (1.2)</w:t>
            </w:r>
          </w:p>
        </w:tc>
        <w:tc>
          <w:tcPr>
            <w:tcW w:w="541" w:type="pct"/>
            <w:tcBorders>
              <w:top w:val="nil"/>
              <w:left w:val="nil"/>
              <w:bottom w:val="single" w:sz="8" w:space="0" w:color="auto"/>
              <w:right w:val="single" w:sz="8" w:space="0" w:color="auto"/>
            </w:tcBorders>
            <w:noWrap/>
            <w:vAlign w:val="center"/>
          </w:tcPr>
          <w:p w14:paraId="0D7408E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tcPr>
          <w:p w14:paraId="3786032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 (1.2)</w:t>
            </w:r>
          </w:p>
        </w:tc>
      </w:tr>
      <w:tr w:rsidR="00585C6C" w:rsidRPr="0046155E" w14:paraId="3D523EB9"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2CEB555"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Hypertension, n (%) </w:t>
            </w:r>
          </w:p>
        </w:tc>
        <w:tc>
          <w:tcPr>
            <w:tcW w:w="447" w:type="pct"/>
            <w:tcBorders>
              <w:top w:val="nil"/>
              <w:left w:val="nil"/>
              <w:bottom w:val="single" w:sz="8" w:space="0" w:color="auto"/>
              <w:right w:val="single" w:sz="8" w:space="0" w:color="auto"/>
            </w:tcBorders>
            <w:noWrap/>
            <w:vAlign w:val="center"/>
          </w:tcPr>
          <w:p w14:paraId="7F0F6FC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0E3FB60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30868 (51.2)</w:t>
            </w:r>
          </w:p>
        </w:tc>
        <w:tc>
          <w:tcPr>
            <w:tcW w:w="156" w:type="pct"/>
            <w:tcBorders>
              <w:top w:val="nil"/>
              <w:left w:val="nil"/>
              <w:bottom w:val="single" w:sz="8" w:space="0" w:color="auto"/>
              <w:right w:val="nil"/>
            </w:tcBorders>
          </w:tcPr>
          <w:p w14:paraId="3D360B5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5D5D232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591A6B4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5968 (52.7)</w:t>
            </w:r>
          </w:p>
        </w:tc>
        <w:tc>
          <w:tcPr>
            <w:tcW w:w="541" w:type="pct"/>
            <w:tcBorders>
              <w:top w:val="nil"/>
              <w:left w:val="nil"/>
              <w:bottom w:val="single" w:sz="8" w:space="0" w:color="auto"/>
              <w:right w:val="single" w:sz="8" w:space="0" w:color="auto"/>
            </w:tcBorders>
            <w:noWrap/>
            <w:vAlign w:val="center"/>
          </w:tcPr>
          <w:p w14:paraId="65917F8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19D5E22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24721 (50.9)</w:t>
            </w:r>
          </w:p>
        </w:tc>
      </w:tr>
      <w:tr w:rsidR="00585C6C" w:rsidRPr="0046155E" w14:paraId="5E924DB5"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73D1467"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Stroke n (%)</w:t>
            </w:r>
          </w:p>
        </w:tc>
        <w:tc>
          <w:tcPr>
            <w:tcW w:w="447" w:type="pct"/>
            <w:tcBorders>
              <w:top w:val="nil"/>
              <w:left w:val="nil"/>
              <w:bottom w:val="single" w:sz="8" w:space="0" w:color="auto"/>
              <w:right w:val="single" w:sz="8" w:space="0" w:color="auto"/>
            </w:tcBorders>
            <w:noWrap/>
            <w:vAlign w:val="center"/>
          </w:tcPr>
          <w:p w14:paraId="1D447B0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67316E1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2584 (4.3)</w:t>
            </w:r>
          </w:p>
        </w:tc>
        <w:tc>
          <w:tcPr>
            <w:tcW w:w="156" w:type="pct"/>
            <w:tcBorders>
              <w:top w:val="nil"/>
              <w:left w:val="nil"/>
              <w:bottom w:val="single" w:sz="8" w:space="0" w:color="auto"/>
              <w:right w:val="nil"/>
            </w:tcBorders>
          </w:tcPr>
          <w:p w14:paraId="6E58AC4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5AD56C9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48B4C0F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541 (4.8)</w:t>
            </w:r>
          </w:p>
        </w:tc>
        <w:tc>
          <w:tcPr>
            <w:tcW w:w="541" w:type="pct"/>
            <w:tcBorders>
              <w:top w:val="nil"/>
              <w:left w:val="nil"/>
              <w:bottom w:val="single" w:sz="8" w:space="0" w:color="auto"/>
              <w:right w:val="single" w:sz="8" w:space="0" w:color="auto"/>
            </w:tcBorders>
            <w:noWrap/>
            <w:vAlign w:val="center"/>
          </w:tcPr>
          <w:p w14:paraId="595C90B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F28780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2027 (4.2)</w:t>
            </w:r>
          </w:p>
        </w:tc>
      </w:tr>
      <w:tr w:rsidR="00585C6C" w:rsidRPr="0046155E" w14:paraId="5CA051FD"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DBC016E"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Myocardial Infarction n (%)</w:t>
            </w:r>
          </w:p>
        </w:tc>
        <w:tc>
          <w:tcPr>
            <w:tcW w:w="447" w:type="pct"/>
            <w:tcBorders>
              <w:top w:val="nil"/>
              <w:left w:val="nil"/>
              <w:bottom w:val="single" w:sz="8" w:space="0" w:color="auto"/>
              <w:right w:val="single" w:sz="8" w:space="0" w:color="auto"/>
            </w:tcBorders>
            <w:noWrap/>
            <w:vAlign w:val="center"/>
          </w:tcPr>
          <w:p w14:paraId="208FA94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425E249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4208 (7.0)</w:t>
            </w:r>
          </w:p>
        </w:tc>
        <w:tc>
          <w:tcPr>
            <w:tcW w:w="156" w:type="pct"/>
            <w:tcBorders>
              <w:top w:val="nil"/>
              <w:left w:val="nil"/>
              <w:bottom w:val="single" w:sz="8" w:space="0" w:color="auto"/>
              <w:right w:val="nil"/>
            </w:tcBorders>
          </w:tcPr>
          <w:p w14:paraId="30ADC0B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14C717D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34EAEB3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702 (6.2)</w:t>
            </w:r>
          </w:p>
        </w:tc>
        <w:tc>
          <w:tcPr>
            <w:tcW w:w="541" w:type="pct"/>
            <w:tcBorders>
              <w:top w:val="nil"/>
              <w:left w:val="nil"/>
              <w:bottom w:val="single" w:sz="8" w:space="0" w:color="auto"/>
              <w:right w:val="single" w:sz="8" w:space="0" w:color="auto"/>
            </w:tcBorders>
            <w:noWrap/>
            <w:vAlign w:val="center"/>
          </w:tcPr>
          <w:p w14:paraId="334DD7A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C57BAA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3483 (7.2)</w:t>
            </w:r>
          </w:p>
        </w:tc>
      </w:tr>
      <w:tr w:rsidR="00585C6C" w:rsidRPr="0046155E" w14:paraId="20E8D34A"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0D762F07"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Amputation n</w:t>
            </w:r>
            <w:proofErr w:type="gramStart"/>
            <w:r w:rsidRPr="0046155E">
              <w:rPr>
                <w:rFonts w:ascii="Times New Roman" w:eastAsia="Times New Roman" w:hAnsi="Times New Roman" w:cs="Times New Roman"/>
                <w:color w:val="000000"/>
                <w:sz w:val="20"/>
                <w:szCs w:val="20"/>
                <w:lang w:eastAsia="en-GB"/>
              </w:rPr>
              <w:t>   (</w:t>
            </w:r>
            <w:proofErr w:type="gramEnd"/>
            <w:r w:rsidRPr="0046155E">
              <w:rPr>
                <w:rFonts w:ascii="Times New Roman" w:eastAsia="Times New Roman" w:hAnsi="Times New Roman" w:cs="Times New Roman"/>
                <w:color w:val="000000"/>
                <w:sz w:val="20"/>
                <w:szCs w:val="20"/>
                <w:lang w:eastAsia="en-GB"/>
              </w:rPr>
              <w:t>%)</w:t>
            </w:r>
          </w:p>
        </w:tc>
        <w:tc>
          <w:tcPr>
            <w:tcW w:w="447" w:type="pct"/>
            <w:tcBorders>
              <w:top w:val="nil"/>
              <w:left w:val="nil"/>
              <w:bottom w:val="single" w:sz="8" w:space="0" w:color="auto"/>
              <w:right w:val="single" w:sz="8" w:space="0" w:color="auto"/>
            </w:tcBorders>
            <w:noWrap/>
            <w:vAlign w:val="center"/>
          </w:tcPr>
          <w:p w14:paraId="09F6EA6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608B102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648 (1.1)</w:t>
            </w:r>
          </w:p>
        </w:tc>
        <w:tc>
          <w:tcPr>
            <w:tcW w:w="156" w:type="pct"/>
            <w:tcBorders>
              <w:top w:val="nil"/>
              <w:left w:val="nil"/>
              <w:bottom w:val="single" w:sz="8" w:space="0" w:color="auto"/>
              <w:right w:val="nil"/>
            </w:tcBorders>
          </w:tcPr>
          <w:p w14:paraId="51F6FAB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0AFC01F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00E413E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85 (0.7)</w:t>
            </w:r>
          </w:p>
        </w:tc>
        <w:tc>
          <w:tcPr>
            <w:tcW w:w="541" w:type="pct"/>
            <w:tcBorders>
              <w:top w:val="nil"/>
              <w:left w:val="nil"/>
              <w:bottom w:val="single" w:sz="8" w:space="0" w:color="auto"/>
              <w:right w:val="single" w:sz="8" w:space="0" w:color="auto"/>
            </w:tcBorders>
            <w:noWrap/>
            <w:vAlign w:val="center"/>
          </w:tcPr>
          <w:p w14:paraId="48DC877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F44E3E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560 (1.2)</w:t>
            </w:r>
          </w:p>
        </w:tc>
      </w:tr>
      <w:tr w:rsidR="00585C6C" w:rsidRPr="0046155E" w14:paraId="33A93B68"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EFE8FB5"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Current smoker, n (%)</w:t>
            </w:r>
          </w:p>
        </w:tc>
        <w:tc>
          <w:tcPr>
            <w:tcW w:w="447" w:type="pct"/>
            <w:tcBorders>
              <w:top w:val="nil"/>
              <w:left w:val="nil"/>
              <w:bottom w:val="single" w:sz="8" w:space="0" w:color="auto"/>
              <w:right w:val="single" w:sz="8" w:space="0" w:color="auto"/>
            </w:tcBorders>
            <w:noWrap/>
            <w:vAlign w:val="center"/>
          </w:tcPr>
          <w:p w14:paraId="26DBD3B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5A55FFD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6559 (10.9)</w:t>
            </w:r>
          </w:p>
        </w:tc>
        <w:tc>
          <w:tcPr>
            <w:tcW w:w="156" w:type="pct"/>
            <w:tcBorders>
              <w:top w:val="nil"/>
              <w:left w:val="nil"/>
              <w:bottom w:val="single" w:sz="8" w:space="0" w:color="auto"/>
              <w:right w:val="nil"/>
            </w:tcBorders>
          </w:tcPr>
          <w:p w14:paraId="3044348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439F974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5C7A504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1177 (10.4)</w:t>
            </w:r>
          </w:p>
        </w:tc>
        <w:tc>
          <w:tcPr>
            <w:tcW w:w="541" w:type="pct"/>
            <w:tcBorders>
              <w:top w:val="nil"/>
              <w:left w:val="nil"/>
              <w:bottom w:val="single" w:sz="8" w:space="0" w:color="auto"/>
              <w:right w:val="single" w:sz="8" w:space="0" w:color="auto"/>
            </w:tcBorders>
            <w:noWrap/>
            <w:vAlign w:val="center"/>
          </w:tcPr>
          <w:p w14:paraId="5B66D8C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13976FD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5345 (11.0)</w:t>
            </w:r>
          </w:p>
        </w:tc>
      </w:tr>
      <w:tr w:rsidR="00585C6C" w:rsidRPr="0046155E" w14:paraId="3DDC0B4B"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E58CB23"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kg*</w:t>
            </w:r>
          </w:p>
        </w:tc>
        <w:tc>
          <w:tcPr>
            <w:tcW w:w="447" w:type="pct"/>
            <w:tcBorders>
              <w:top w:val="nil"/>
              <w:left w:val="nil"/>
              <w:bottom w:val="single" w:sz="8" w:space="0" w:color="auto"/>
              <w:right w:val="single" w:sz="8" w:space="0" w:color="auto"/>
            </w:tcBorders>
            <w:noWrap/>
            <w:vAlign w:val="center"/>
          </w:tcPr>
          <w:p w14:paraId="2F75ED0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5A142F4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90.8 (20.7)</w:t>
            </w:r>
          </w:p>
        </w:tc>
        <w:tc>
          <w:tcPr>
            <w:tcW w:w="156" w:type="pct"/>
            <w:tcBorders>
              <w:top w:val="nil"/>
              <w:left w:val="nil"/>
              <w:bottom w:val="single" w:sz="8" w:space="0" w:color="auto"/>
              <w:right w:val="nil"/>
            </w:tcBorders>
          </w:tcPr>
          <w:p w14:paraId="536717B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35061F5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46ED7EE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88.7 (20.4)</w:t>
            </w:r>
          </w:p>
        </w:tc>
        <w:tc>
          <w:tcPr>
            <w:tcW w:w="541" w:type="pct"/>
            <w:tcBorders>
              <w:top w:val="nil"/>
              <w:left w:val="nil"/>
              <w:bottom w:val="single" w:sz="8" w:space="0" w:color="auto"/>
              <w:right w:val="single" w:sz="8" w:space="0" w:color="auto"/>
            </w:tcBorders>
            <w:noWrap/>
            <w:vAlign w:val="center"/>
          </w:tcPr>
          <w:p w14:paraId="202B7C5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3F4E674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91.4 (20.7)</w:t>
            </w:r>
          </w:p>
        </w:tc>
      </w:tr>
      <w:tr w:rsidR="00585C6C" w:rsidRPr="0046155E" w14:paraId="514CA76A"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3DAA1E8D"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BMI, kg/m</w:t>
            </w:r>
            <w:r w:rsidRPr="0046155E">
              <w:rPr>
                <w:rFonts w:ascii="Times New Roman" w:eastAsia="Times New Roman" w:hAnsi="Times New Roman" w:cs="Times New Roman"/>
                <w:color w:val="000000"/>
                <w:sz w:val="20"/>
                <w:szCs w:val="20"/>
                <w:vertAlign w:val="superscript"/>
                <w:lang w:eastAsia="en-GB"/>
              </w:rPr>
              <w:t>2</w:t>
            </w:r>
            <w:r w:rsidRPr="0046155E">
              <w:rPr>
                <w:rFonts w:ascii="Times New Roman" w:eastAsia="Times New Roman" w:hAnsi="Times New Roman" w:cs="Times New Roman"/>
                <w:color w:val="000000"/>
                <w:sz w:val="20"/>
                <w:szCs w:val="20"/>
                <w:lang w:eastAsia="en-GB"/>
              </w:rPr>
              <w:t>*</w:t>
            </w:r>
          </w:p>
        </w:tc>
        <w:tc>
          <w:tcPr>
            <w:tcW w:w="447" w:type="pct"/>
            <w:tcBorders>
              <w:top w:val="nil"/>
              <w:left w:val="nil"/>
              <w:bottom w:val="single" w:sz="8" w:space="0" w:color="auto"/>
              <w:right w:val="single" w:sz="8" w:space="0" w:color="auto"/>
            </w:tcBorders>
            <w:noWrap/>
            <w:vAlign w:val="center"/>
          </w:tcPr>
          <w:p w14:paraId="4262ED0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682CDFC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31.5 (6.3)</w:t>
            </w:r>
          </w:p>
        </w:tc>
        <w:tc>
          <w:tcPr>
            <w:tcW w:w="156" w:type="pct"/>
            <w:tcBorders>
              <w:top w:val="nil"/>
              <w:left w:val="nil"/>
              <w:bottom w:val="single" w:sz="8" w:space="0" w:color="auto"/>
              <w:right w:val="nil"/>
            </w:tcBorders>
          </w:tcPr>
          <w:p w14:paraId="1C9240F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31D2415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6A2217C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30.9 (6.3)</w:t>
            </w:r>
          </w:p>
        </w:tc>
        <w:tc>
          <w:tcPr>
            <w:tcW w:w="541" w:type="pct"/>
            <w:tcBorders>
              <w:top w:val="nil"/>
              <w:left w:val="nil"/>
              <w:bottom w:val="single" w:sz="8" w:space="0" w:color="auto"/>
              <w:right w:val="single" w:sz="8" w:space="0" w:color="auto"/>
            </w:tcBorders>
            <w:noWrap/>
            <w:vAlign w:val="bottom"/>
          </w:tcPr>
          <w:p w14:paraId="38F7E1D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18A01B8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31.7 (6.3)</w:t>
            </w:r>
          </w:p>
        </w:tc>
      </w:tr>
      <w:tr w:rsidR="00585C6C" w:rsidRPr="0046155E" w14:paraId="044C3660"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04BF6F25"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Systolic blood pressure, mmHg* </w:t>
            </w:r>
          </w:p>
        </w:tc>
        <w:tc>
          <w:tcPr>
            <w:tcW w:w="447" w:type="pct"/>
            <w:tcBorders>
              <w:top w:val="nil"/>
              <w:left w:val="nil"/>
              <w:bottom w:val="single" w:sz="8" w:space="0" w:color="auto"/>
              <w:right w:val="single" w:sz="8" w:space="0" w:color="auto"/>
            </w:tcBorders>
            <w:noWrap/>
            <w:vAlign w:val="center"/>
          </w:tcPr>
          <w:p w14:paraId="3F17858E" w14:textId="77777777" w:rsidR="00585C6C" w:rsidRPr="0046155E" w:rsidRDefault="00585C6C" w:rsidP="00C516AB">
            <w:pPr>
              <w:jc w:val="center"/>
              <w:rPr>
                <w:rFonts w:ascii="Times New Roman" w:eastAsia="Times New Roman" w:hAnsi="Times New Roman" w:cs="Times New Roman"/>
                <w:color w:val="231F2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046B6B6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136.1 (15.4)</w:t>
            </w:r>
          </w:p>
        </w:tc>
        <w:tc>
          <w:tcPr>
            <w:tcW w:w="156" w:type="pct"/>
            <w:tcBorders>
              <w:top w:val="nil"/>
              <w:left w:val="nil"/>
              <w:bottom w:val="single" w:sz="8" w:space="0" w:color="auto"/>
              <w:right w:val="nil"/>
            </w:tcBorders>
          </w:tcPr>
          <w:p w14:paraId="28035D6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2423FBB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137D2CA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136.2 (15.5)</w:t>
            </w:r>
          </w:p>
        </w:tc>
        <w:tc>
          <w:tcPr>
            <w:tcW w:w="541" w:type="pct"/>
            <w:tcBorders>
              <w:top w:val="nil"/>
              <w:left w:val="nil"/>
              <w:bottom w:val="single" w:sz="8" w:space="0" w:color="auto"/>
              <w:right w:val="single" w:sz="8" w:space="0" w:color="auto"/>
            </w:tcBorders>
            <w:noWrap/>
            <w:vAlign w:val="bottom"/>
          </w:tcPr>
          <w:p w14:paraId="4427800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3A665EB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136.1 (15.4)</w:t>
            </w:r>
          </w:p>
        </w:tc>
      </w:tr>
      <w:tr w:rsidR="00585C6C" w:rsidRPr="0046155E" w14:paraId="6FAB9292"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ACEB492"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Diastolic blood pressure, mmHg*</w:t>
            </w:r>
          </w:p>
        </w:tc>
        <w:tc>
          <w:tcPr>
            <w:tcW w:w="447" w:type="pct"/>
            <w:tcBorders>
              <w:top w:val="nil"/>
              <w:left w:val="nil"/>
              <w:bottom w:val="single" w:sz="8" w:space="0" w:color="auto"/>
              <w:right w:val="single" w:sz="8" w:space="0" w:color="auto"/>
            </w:tcBorders>
            <w:noWrap/>
            <w:vAlign w:val="center"/>
          </w:tcPr>
          <w:p w14:paraId="66F251F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793FD74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77.2 (9.4)</w:t>
            </w:r>
          </w:p>
        </w:tc>
        <w:tc>
          <w:tcPr>
            <w:tcW w:w="156" w:type="pct"/>
            <w:tcBorders>
              <w:top w:val="nil"/>
              <w:left w:val="nil"/>
              <w:bottom w:val="single" w:sz="8" w:space="0" w:color="auto"/>
              <w:right w:val="nil"/>
            </w:tcBorders>
          </w:tcPr>
          <w:p w14:paraId="2132E1D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380EB22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26D61D4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77.2 (9.4)</w:t>
            </w:r>
          </w:p>
        </w:tc>
        <w:tc>
          <w:tcPr>
            <w:tcW w:w="541" w:type="pct"/>
            <w:tcBorders>
              <w:top w:val="nil"/>
              <w:left w:val="nil"/>
              <w:bottom w:val="single" w:sz="8" w:space="0" w:color="auto"/>
              <w:right w:val="single" w:sz="8" w:space="0" w:color="auto"/>
            </w:tcBorders>
            <w:noWrap/>
            <w:vAlign w:val="bottom"/>
          </w:tcPr>
          <w:p w14:paraId="7F2CDCD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7722087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77.2 (9.4)</w:t>
            </w:r>
          </w:p>
        </w:tc>
      </w:tr>
      <w:tr w:rsidR="00585C6C" w:rsidRPr="0046155E" w14:paraId="5FC86EA9"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422E70C" w14:textId="77777777" w:rsidR="00585C6C" w:rsidRPr="0046155E" w:rsidRDefault="00585C6C" w:rsidP="00C516AB">
            <w:pP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Total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cholesterol,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mmol/l*</w:t>
            </w:r>
          </w:p>
        </w:tc>
        <w:tc>
          <w:tcPr>
            <w:tcW w:w="447" w:type="pct"/>
            <w:tcBorders>
              <w:top w:val="nil"/>
              <w:left w:val="nil"/>
              <w:bottom w:val="single" w:sz="8" w:space="0" w:color="auto"/>
              <w:right w:val="single" w:sz="8" w:space="0" w:color="auto"/>
            </w:tcBorders>
            <w:noWrap/>
            <w:vAlign w:val="center"/>
          </w:tcPr>
          <w:p w14:paraId="6A068283" w14:textId="77777777" w:rsidR="00585C6C" w:rsidRPr="0046155E" w:rsidRDefault="00585C6C" w:rsidP="00C516AB">
            <w:pPr>
              <w:jc w:val="center"/>
              <w:rPr>
                <w:rFonts w:ascii="Times New Roman" w:eastAsia="Times New Roman" w:hAnsi="Times New Roman" w:cs="Times New Roman"/>
                <w:color w:val="231F2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16C9BC8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4.6 (1.2)</w:t>
            </w:r>
          </w:p>
        </w:tc>
        <w:tc>
          <w:tcPr>
            <w:tcW w:w="156" w:type="pct"/>
            <w:tcBorders>
              <w:top w:val="nil"/>
              <w:left w:val="nil"/>
              <w:bottom w:val="single" w:sz="8" w:space="0" w:color="auto"/>
              <w:right w:val="nil"/>
            </w:tcBorders>
          </w:tcPr>
          <w:p w14:paraId="5453225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145981D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48D77A03"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4.7 (1.2)</w:t>
            </w:r>
          </w:p>
        </w:tc>
        <w:tc>
          <w:tcPr>
            <w:tcW w:w="541" w:type="pct"/>
            <w:tcBorders>
              <w:top w:val="nil"/>
              <w:left w:val="nil"/>
              <w:bottom w:val="single" w:sz="8" w:space="0" w:color="auto"/>
              <w:right w:val="single" w:sz="8" w:space="0" w:color="auto"/>
            </w:tcBorders>
            <w:noWrap/>
            <w:vAlign w:val="bottom"/>
          </w:tcPr>
          <w:p w14:paraId="0D709B8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340C87F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4.5 (1.2)</w:t>
            </w:r>
          </w:p>
        </w:tc>
      </w:tr>
      <w:tr w:rsidR="00585C6C" w:rsidRPr="0046155E" w14:paraId="45280A79"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74A2D20" w14:textId="77777777" w:rsidR="00585C6C" w:rsidRPr="0046155E" w:rsidRDefault="00585C6C" w:rsidP="00C516AB">
            <w:pP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HDL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cholesterol,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mmol/l*</w:t>
            </w:r>
          </w:p>
        </w:tc>
        <w:tc>
          <w:tcPr>
            <w:tcW w:w="447" w:type="pct"/>
            <w:tcBorders>
              <w:top w:val="nil"/>
              <w:left w:val="nil"/>
              <w:bottom w:val="single" w:sz="8" w:space="0" w:color="auto"/>
              <w:right w:val="single" w:sz="8" w:space="0" w:color="auto"/>
            </w:tcBorders>
            <w:noWrap/>
            <w:vAlign w:val="center"/>
          </w:tcPr>
          <w:p w14:paraId="63B1F565" w14:textId="77777777" w:rsidR="00585C6C" w:rsidRPr="0046155E" w:rsidRDefault="00585C6C" w:rsidP="00C516AB">
            <w:pPr>
              <w:jc w:val="center"/>
              <w:rPr>
                <w:rFonts w:ascii="Times New Roman" w:eastAsia="Times New Roman" w:hAnsi="Times New Roman" w:cs="Times New Roman"/>
                <w:color w:val="231F2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3D201C8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 (0.4)</w:t>
            </w:r>
          </w:p>
        </w:tc>
        <w:tc>
          <w:tcPr>
            <w:tcW w:w="156" w:type="pct"/>
            <w:tcBorders>
              <w:top w:val="nil"/>
              <w:left w:val="nil"/>
              <w:bottom w:val="single" w:sz="8" w:space="0" w:color="auto"/>
              <w:right w:val="nil"/>
            </w:tcBorders>
          </w:tcPr>
          <w:p w14:paraId="13F4268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1877436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3261233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 (0.4)</w:t>
            </w:r>
          </w:p>
        </w:tc>
        <w:tc>
          <w:tcPr>
            <w:tcW w:w="541" w:type="pct"/>
            <w:tcBorders>
              <w:top w:val="nil"/>
              <w:left w:val="nil"/>
              <w:bottom w:val="single" w:sz="8" w:space="0" w:color="auto"/>
              <w:right w:val="single" w:sz="8" w:space="0" w:color="auto"/>
            </w:tcBorders>
            <w:noWrap/>
            <w:vAlign w:val="bottom"/>
          </w:tcPr>
          <w:p w14:paraId="53904D7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61F9BF2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 (0.3)</w:t>
            </w:r>
          </w:p>
        </w:tc>
      </w:tr>
      <w:tr w:rsidR="00585C6C" w:rsidRPr="0046155E" w14:paraId="28980C94"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C2697BA"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 mmol/mol* </w:t>
            </w:r>
          </w:p>
        </w:tc>
        <w:tc>
          <w:tcPr>
            <w:tcW w:w="447" w:type="pct"/>
            <w:tcBorders>
              <w:top w:val="nil"/>
              <w:left w:val="nil"/>
              <w:bottom w:val="single" w:sz="8" w:space="0" w:color="auto"/>
              <w:right w:val="single" w:sz="8" w:space="0" w:color="auto"/>
            </w:tcBorders>
            <w:noWrap/>
            <w:vAlign w:val="center"/>
          </w:tcPr>
          <w:p w14:paraId="5F97974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tcPr>
          <w:p w14:paraId="55928CE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60.1 (20.4)</w:t>
            </w:r>
          </w:p>
        </w:tc>
        <w:tc>
          <w:tcPr>
            <w:tcW w:w="156" w:type="pct"/>
            <w:tcBorders>
              <w:top w:val="nil"/>
              <w:left w:val="nil"/>
              <w:bottom w:val="single" w:sz="8" w:space="0" w:color="auto"/>
              <w:right w:val="nil"/>
            </w:tcBorders>
          </w:tcPr>
          <w:p w14:paraId="7234502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5BF4115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3D4AAF9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59.3 (19.7)</w:t>
            </w:r>
          </w:p>
        </w:tc>
        <w:tc>
          <w:tcPr>
            <w:tcW w:w="541" w:type="pct"/>
            <w:tcBorders>
              <w:top w:val="nil"/>
              <w:left w:val="nil"/>
              <w:bottom w:val="single" w:sz="8" w:space="0" w:color="auto"/>
              <w:right w:val="single" w:sz="8" w:space="0" w:color="auto"/>
            </w:tcBorders>
            <w:noWrap/>
            <w:vAlign w:val="bottom"/>
          </w:tcPr>
          <w:p w14:paraId="753F2465"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tcPr>
          <w:p w14:paraId="1264302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60.2 (20.6)</w:t>
            </w:r>
          </w:p>
        </w:tc>
      </w:tr>
      <w:tr w:rsidR="00585C6C" w:rsidRPr="0046155E" w14:paraId="36F61E94"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6C275D62"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eGFR</w:t>
            </w:r>
          </w:p>
        </w:tc>
        <w:tc>
          <w:tcPr>
            <w:tcW w:w="447" w:type="pct"/>
            <w:tcBorders>
              <w:top w:val="nil"/>
              <w:left w:val="nil"/>
              <w:bottom w:val="single" w:sz="8" w:space="0" w:color="auto"/>
              <w:right w:val="single" w:sz="8" w:space="0" w:color="auto"/>
            </w:tcBorders>
            <w:noWrap/>
            <w:vAlign w:val="center"/>
          </w:tcPr>
          <w:p w14:paraId="3D366DB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tcPr>
          <w:p w14:paraId="6C1BDBB8"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73.1 (17.1)</w:t>
            </w:r>
          </w:p>
        </w:tc>
        <w:tc>
          <w:tcPr>
            <w:tcW w:w="156" w:type="pct"/>
            <w:tcBorders>
              <w:top w:val="nil"/>
              <w:left w:val="nil"/>
              <w:bottom w:val="single" w:sz="8" w:space="0" w:color="auto"/>
              <w:right w:val="nil"/>
            </w:tcBorders>
          </w:tcPr>
          <w:p w14:paraId="03C924A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center"/>
          </w:tcPr>
          <w:p w14:paraId="569093A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tcPr>
          <w:p w14:paraId="037D5E3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72.6 (17.2)</w:t>
            </w:r>
          </w:p>
        </w:tc>
        <w:tc>
          <w:tcPr>
            <w:tcW w:w="541" w:type="pct"/>
            <w:tcBorders>
              <w:top w:val="nil"/>
              <w:left w:val="nil"/>
              <w:bottom w:val="single" w:sz="8" w:space="0" w:color="auto"/>
              <w:right w:val="single" w:sz="8" w:space="0" w:color="auto"/>
            </w:tcBorders>
            <w:noWrap/>
            <w:vAlign w:val="center"/>
          </w:tcPr>
          <w:p w14:paraId="7B9410B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tcPr>
          <w:p w14:paraId="7A5200D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73.2 (17.0)</w:t>
            </w:r>
          </w:p>
        </w:tc>
      </w:tr>
      <w:tr w:rsidR="00585C6C" w:rsidRPr="0046155E" w14:paraId="28B9E3FF"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27887CA2"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Total number of medications prescribed</w:t>
            </w:r>
            <w:r w:rsidRPr="0046155E">
              <w:rPr>
                <w:rFonts w:ascii="Times New Roman" w:eastAsia="Times New Roman" w:hAnsi="Times New Roman" w:cs="Times New Roman"/>
                <w:color w:val="000000"/>
                <w:sz w:val="20"/>
                <w:szCs w:val="20"/>
                <w:vertAlign w:val="superscript"/>
                <w:lang w:eastAsia="en-GB"/>
              </w:rPr>
              <w:t>#</w:t>
            </w:r>
          </w:p>
        </w:tc>
        <w:tc>
          <w:tcPr>
            <w:tcW w:w="447" w:type="pct"/>
            <w:tcBorders>
              <w:top w:val="nil"/>
              <w:left w:val="nil"/>
              <w:bottom w:val="single" w:sz="8" w:space="0" w:color="auto"/>
              <w:right w:val="single" w:sz="8" w:space="0" w:color="auto"/>
            </w:tcBorders>
            <w:noWrap/>
            <w:vAlign w:val="center"/>
          </w:tcPr>
          <w:p w14:paraId="3A2224F9"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4AF1414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3.9 (2.4)</w:t>
            </w:r>
          </w:p>
        </w:tc>
        <w:tc>
          <w:tcPr>
            <w:tcW w:w="156" w:type="pct"/>
            <w:tcBorders>
              <w:top w:val="nil"/>
              <w:left w:val="nil"/>
              <w:bottom w:val="single" w:sz="8" w:space="0" w:color="auto"/>
              <w:right w:val="nil"/>
            </w:tcBorders>
          </w:tcPr>
          <w:p w14:paraId="2462B61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79F11E2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321F5B32"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3.3 (2.4)</w:t>
            </w:r>
          </w:p>
        </w:tc>
        <w:tc>
          <w:tcPr>
            <w:tcW w:w="541" w:type="pct"/>
            <w:tcBorders>
              <w:top w:val="nil"/>
              <w:left w:val="nil"/>
              <w:bottom w:val="single" w:sz="8" w:space="0" w:color="auto"/>
              <w:right w:val="single" w:sz="8" w:space="0" w:color="auto"/>
            </w:tcBorders>
            <w:noWrap/>
            <w:vAlign w:val="bottom"/>
          </w:tcPr>
          <w:p w14:paraId="77FA658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5C14E59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4.1 (2.4)</w:t>
            </w:r>
          </w:p>
        </w:tc>
      </w:tr>
      <w:tr w:rsidR="00585C6C" w:rsidRPr="0046155E" w14:paraId="4C0FB841"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7E6C824D"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Anti-hypertensive medication, n (%) </w:t>
            </w:r>
          </w:p>
        </w:tc>
        <w:tc>
          <w:tcPr>
            <w:tcW w:w="447" w:type="pct"/>
            <w:tcBorders>
              <w:top w:val="nil"/>
              <w:left w:val="nil"/>
              <w:bottom w:val="single" w:sz="8" w:space="0" w:color="auto"/>
              <w:right w:val="single" w:sz="8" w:space="0" w:color="auto"/>
            </w:tcBorders>
            <w:noWrap/>
            <w:vAlign w:val="center"/>
          </w:tcPr>
          <w:p w14:paraId="23CFCDE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761B734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32509 (53.9)</w:t>
            </w:r>
          </w:p>
        </w:tc>
        <w:tc>
          <w:tcPr>
            <w:tcW w:w="156" w:type="pct"/>
            <w:tcBorders>
              <w:top w:val="nil"/>
              <w:left w:val="nil"/>
              <w:bottom w:val="single" w:sz="8" w:space="0" w:color="auto"/>
              <w:right w:val="nil"/>
            </w:tcBorders>
          </w:tcPr>
          <w:p w14:paraId="162272DE"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429D5CB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29FB409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6071 (53.6)</w:t>
            </w:r>
          </w:p>
        </w:tc>
        <w:tc>
          <w:tcPr>
            <w:tcW w:w="541" w:type="pct"/>
            <w:tcBorders>
              <w:top w:val="nil"/>
              <w:left w:val="nil"/>
              <w:bottom w:val="single" w:sz="8" w:space="0" w:color="auto"/>
              <w:right w:val="single" w:sz="8" w:space="0" w:color="auto"/>
            </w:tcBorders>
            <w:noWrap/>
            <w:vAlign w:val="bottom"/>
          </w:tcPr>
          <w:p w14:paraId="26EA6FD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0AD297A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26253 (54.0)</w:t>
            </w:r>
          </w:p>
        </w:tc>
      </w:tr>
      <w:tr w:rsidR="00585C6C" w:rsidRPr="0046155E" w14:paraId="455789B6"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121C7B5E"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Lipid-lowering medication, n (%)</w:t>
            </w:r>
          </w:p>
        </w:tc>
        <w:tc>
          <w:tcPr>
            <w:tcW w:w="447" w:type="pct"/>
            <w:tcBorders>
              <w:top w:val="nil"/>
              <w:left w:val="nil"/>
              <w:bottom w:val="single" w:sz="8" w:space="0" w:color="auto"/>
              <w:right w:val="single" w:sz="8" w:space="0" w:color="auto"/>
            </w:tcBorders>
            <w:noWrap/>
            <w:vAlign w:val="center"/>
          </w:tcPr>
          <w:p w14:paraId="69B5923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bottom"/>
            <w:hideMark/>
          </w:tcPr>
          <w:p w14:paraId="75B87790"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40992 (68.0)</w:t>
            </w:r>
          </w:p>
        </w:tc>
        <w:tc>
          <w:tcPr>
            <w:tcW w:w="156" w:type="pct"/>
            <w:tcBorders>
              <w:top w:val="nil"/>
              <w:left w:val="nil"/>
              <w:bottom w:val="single" w:sz="8" w:space="0" w:color="auto"/>
              <w:right w:val="nil"/>
            </w:tcBorders>
          </w:tcPr>
          <w:p w14:paraId="40CFD91B"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00C8BC2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bottom"/>
          </w:tcPr>
          <w:p w14:paraId="2FE6C164"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6903 (60.9)</w:t>
            </w:r>
          </w:p>
        </w:tc>
        <w:tc>
          <w:tcPr>
            <w:tcW w:w="541" w:type="pct"/>
            <w:tcBorders>
              <w:top w:val="nil"/>
              <w:left w:val="nil"/>
              <w:bottom w:val="single" w:sz="8" w:space="0" w:color="auto"/>
              <w:right w:val="single" w:sz="8" w:space="0" w:color="auto"/>
            </w:tcBorders>
            <w:noWrap/>
            <w:vAlign w:val="bottom"/>
          </w:tcPr>
          <w:p w14:paraId="4295ED0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bottom"/>
            <w:hideMark/>
          </w:tcPr>
          <w:p w14:paraId="0CB2E067"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33862 (69.7)</w:t>
            </w:r>
          </w:p>
        </w:tc>
      </w:tr>
      <w:tr w:rsidR="00585C6C" w:rsidRPr="0046155E" w14:paraId="0749E5C2" w14:textId="77777777" w:rsidTr="00CD1F9F">
        <w:trPr>
          <w:trHeight w:val="315"/>
        </w:trPr>
        <w:tc>
          <w:tcPr>
            <w:tcW w:w="1003" w:type="pct"/>
            <w:tcBorders>
              <w:top w:val="nil"/>
              <w:left w:val="single" w:sz="8" w:space="0" w:color="auto"/>
              <w:bottom w:val="single" w:sz="8" w:space="0" w:color="auto"/>
              <w:right w:val="single" w:sz="8" w:space="0" w:color="auto"/>
            </w:tcBorders>
            <w:noWrap/>
            <w:vAlign w:val="center"/>
            <w:hideMark/>
          </w:tcPr>
          <w:p w14:paraId="4A4AF118" w14:textId="77777777" w:rsidR="00585C6C" w:rsidRPr="0046155E" w:rsidRDefault="00585C6C"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Hypoglycaemic medication, </w:t>
            </w:r>
            <w:proofErr w:type="gramStart"/>
            <w:r w:rsidRPr="0046155E">
              <w:rPr>
                <w:rFonts w:ascii="Times New Roman" w:eastAsia="Times New Roman" w:hAnsi="Times New Roman" w:cs="Times New Roman"/>
                <w:color w:val="000000"/>
                <w:sz w:val="20"/>
                <w:szCs w:val="20"/>
                <w:lang w:eastAsia="en-GB"/>
              </w:rPr>
              <w:t>n(</w:t>
            </w:r>
            <w:proofErr w:type="gramEnd"/>
            <w:r w:rsidRPr="0046155E">
              <w:rPr>
                <w:rFonts w:ascii="Times New Roman" w:eastAsia="Times New Roman" w:hAnsi="Times New Roman" w:cs="Times New Roman"/>
                <w:color w:val="000000"/>
                <w:sz w:val="20"/>
                <w:szCs w:val="20"/>
                <w:lang w:eastAsia="en-GB"/>
              </w:rPr>
              <w:t>%)</w:t>
            </w:r>
          </w:p>
        </w:tc>
        <w:tc>
          <w:tcPr>
            <w:tcW w:w="447" w:type="pct"/>
            <w:tcBorders>
              <w:top w:val="nil"/>
              <w:left w:val="nil"/>
              <w:bottom w:val="single" w:sz="8" w:space="0" w:color="auto"/>
              <w:right w:val="single" w:sz="8" w:space="0" w:color="auto"/>
            </w:tcBorders>
            <w:noWrap/>
            <w:vAlign w:val="center"/>
          </w:tcPr>
          <w:p w14:paraId="381007B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928" w:type="pct"/>
            <w:gridSpan w:val="2"/>
            <w:tcBorders>
              <w:top w:val="nil"/>
              <w:left w:val="nil"/>
              <w:bottom w:val="single" w:sz="8" w:space="0" w:color="auto"/>
              <w:right w:val="single" w:sz="8" w:space="0" w:color="auto"/>
            </w:tcBorders>
            <w:noWrap/>
            <w:vAlign w:val="center"/>
            <w:hideMark/>
          </w:tcPr>
          <w:p w14:paraId="5A053486"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41085 (68.1)</w:t>
            </w:r>
          </w:p>
        </w:tc>
        <w:tc>
          <w:tcPr>
            <w:tcW w:w="156" w:type="pct"/>
            <w:tcBorders>
              <w:top w:val="nil"/>
              <w:left w:val="nil"/>
              <w:bottom w:val="single" w:sz="8" w:space="0" w:color="auto"/>
              <w:right w:val="nil"/>
            </w:tcBorders>
          </w:tcPr>
          <w:p w14:paraId="14BCDD3D"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461" w:type="pct"/>
            <w:tcBorders>
              <w:top w:val="nil"/>
              <w:left w:val="nil"/>
              <w:bottom w:val="single" w:sz="8" w:space="0" w:color="auto"/>
              <w:right w:val="single" w:sz="8" w:space="0" w:color="auto"/>
            </w:tcBorders>
            <w:noWrap/>
            <w:vAlign w:val="bottom"/>
          </w:tcPr>
          <w:p w14:paraId="2C80177F"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693" w:type="pct"/>
            <w:tcBorders>
              <w:top w:val="nil"/>
              <w:left w:val="nil"/>
              <w:bottom w:val="single" w:sz="8" w:space="0" w:color="auto"/>
              <w:right w:val="single" w:sz="8" w:space="0" w:color="auto"/>
            </w:tcBorders>
            <w:noWrap/>
            <w:vAlign w:val="center"/>
            <w:hideMark/>
          </w:tcPr>
          <w:p w14:paraId="49122EAA"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4087(36.1)</w:t>
            </w:r>
          </w:p>
        </w:tc>
        <w:tc>
          <w:tcPr>
            <w:tcW w:w="541" w:type="pct"/>
            <w:tcBorders>
              <w:top w:val="nil"/>
              <w:left w:val="nil"/>
              <w:bottom w:val="single" w:sz="8" w:space="0" w:color="auto"/>
              <w:right w:val="single" w:sz="8" w:space="0" w:color="auto"/>
            </w:tcBorders>
            <w:noWrap/>
            <w:vAlign w:val="bottom"/>
          </w:tcPr>
          <w:p w14:paraId="59950D31"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p>
        </w:tc>
        <w:tc>
          <w:tcPr>
            <w:tcW w:w="771" w:type="pct"/>
            <w:tcBorders>
              <w:top w:val="nil"/>
              <w:left w:val="nil"/>
              <w:bottom w:val="single" w:sz="8" w:space="0" w:color="auto"/>
              <w:right w:val="single" w:sz="8" w:space="0" w:color="auto"/>
            </w:tcBorders>
            <w:noWrap/>
            <w:vAlign w:val="center"/>
            <w:hideMark/>
          </w:tcPr>
          <w:p w14:paraId="4627FE0C" w14:textId="77777777" w:rsidR="00585C6C" w:rsidRPr="0046155E" w:rsidRDefault="00585C6C"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36799 (75.7)</w:t>
            </w:r>
          </w:p>
        </w:tc>
      </w:tr>
    </w:tbl>
    <w:p w14:paraId="38FFFD52" w14:textId="77777777" w:rsidR="00585C6C" w:rsidRPr="0046155E" w:rsidRDefault="00585C6C" w:rsidP="00585C6C">
      <w:pPr>
        <w:rPr>
          <w:rFonts w:ascii="Times New Roman" w:hAnsi="Times New Roman" w:cs="Times New Roman"/>
          <w:sz w:val="20"/>
          <w:szCs w:val="20"/>
        </w:rPr>
      </w:pPr>
      <w:r w:rsidRPr="0046155E">
        <w:rPr>
          <w:rFonts w:ascii="Times New Roman" w:hAnsi="Times New Roman" w:cs="Times New Roman"/>
          <w:sz w:val="20"/>
          <w:szCs w:val="20"/>
        </w:rPr>
        <w:t>*Mean (SD).</w:t>
      </w:r>
      <w:r w:rsidRPr="0046155E">
        <w:rPr>
          <w:rFonts w:ascii="Times New Roman" w:hAnsi="Times New Roman" w:cs="Times New Roman"/>
          <w:sz w:val="20"/>
          <w:szCs w:val="20"/>
          <w:vertAlign w:val="superscript"/>
        </w:rPr>
        <w:t xml:space="preserve"> </w:t>
      </w:r>
      <w:r w:rsidRPr="0046155E">
        <w:rPr>
          <w:rFonts w:ascii="Times New Roman" w:hAnsi="Times New Roman" w:cs="Times New Roman"/>
          <w:sz w:val="20"/>
          <w:szCs w:val="20"/>
        </w:rPr>
        <w:t>Remission was defined as having two HbA</w:t>
      </w:r>
      <w:r w:rsidRPr="0046155E">
        <w:rPr>
          <w:rFonts w:ascii="Times New Roman" w:hAnsi="Times New Roman" w:cs="Times New Roman"/>
          <w:sz w:val="20"/>
          <w:szCs w:val="20"/>
          <w:vertAlign w:val="subscript"/>
        </w:rPr>
        <w:t>1c</w:t>
      </w:r>
      <w:r w:rsidRPr="0046155E">
        <w:rPr>
          <w:rFonts w:ascii="Times New Roman" w:hAnsi="Times New Roman" w:cs="Times New Roman"/>
          <w:sz w:val="20"/>
          <w:szCs w:val="20"/>
        </w:rPr>
        <w:t xml:space="preserve"> &lt; 6.5% (48mmol/mol) readings separated by at least a period of 6 months and no oral hypoglycaemic medication and no history of bariatric surgery. </w:t>
      </w:r>
      <w:r w:rsidRPr="0046155E">
        <w:rPr>
          <w:rFonts w:ascii="Times New Roman" w:hAnsi="Times New Roman" w:cs="Times New Roman"/>
          <w:sz w:val="20"/>
          <w:szCs w:val="20"/>
          <w:vertAlign w:val="superscript"/>
        </w:rPr>
        <w:t>¥</w:t>
      </w:r>
      <w:r w:rsidRPr="0046155E">
        <w:rPr>
          <w:rFonts w:ascii="Times New Roman" w:hAnsi="Times New Roman" w:cs="Times New Roman"/>
          <w:sz w:val="20"/>
          <w:szCs w:val="20"/>
        </w:rPr>
        <w:t>Estimation sample varies across imputations; minimum number of observations reported. Baseline biochemistry data was defined as the mean of any measurements taken between 1</w:t>
      </w:r>
      <w:r w:rsidRPr="0046155E">
        <w:rPr>
          <w:rFonts w:ascii="Times New Roman" w:hAnsi="Times New Roman" w:cs="Times New Roman"/>
          <w:sz w:val="20"/>
          <w:szCs w:val="20"/>
          <w:vertAlign w:val="superscript"/>
        </w:rPr>
        <w:t>st</w:t>
      </w:r>
      <w:r w:rsidRPr="0046155E">
        <w:rPr>
          <w:rFonts w:ascii="Times New Roman" w:hAnsi="Times New Roman" w:cs="Times New Roman"/>
          <w:sz w:val="20"/>
          <w:szCs w:val="20"/>
        </w:rPr>
        <w:t xml:space="preserve"> January 2013 and 31</w:t>
      </w:r>
      <w:r w:rsidRPr="0046155E">
        <w:rPr>
          <w:rFonts w:ascii="Times New Roman" w:hAnsi="Times New Roman" w:cs="Times New Roman"/>
          <w:sz w:val="20"/>
          <w:szCs w:val="20"/>
          <w:vertAlign w:val="superscript"/>
        </w:rPr>
        <w:t>st</w:t>
      </w:r>
      <w:r w:rsidRPr="0046155E">
        <w:rPr>
          <w:rFonts w:ascii="Times New Roman" w:hAnsi="Times New Roman" w:cs="Times New Roman"/>
          <w:sz w:val="20"/>
          <w:szCs w:val="20"/>
        </w:rPr>
        <w:t xml:space="preserve"> March 2013) </w:t>
      </w:r>
      <w:r w:rsidRPr="0046155E">
        <w:rPr>
          <w:rFonts w:ascii="Times New Roman" w:hAnsi="Times New Roman" w:cs="Times New Roman"/>
          <w:sz w:val="20"/>
          <w:szCs w:val="20"/>
          <w:vertAlign w:val="superscript"/>
        </w:rPr>
        <w:t>#</w:t>
      </w:r>
      <w:r w:rsidRPr="0046155E">
        <w:rPr>
          <w:rFonts w:ascii="Times New Roman" w:hAnsi="Times New Roman" w:cs="Times New Roman"/>
          <w:sz w:val="20"/>
          <w:szCs w:val="20"/>
        </w:rPr>
        <w:t>Medication was defined as being prescribed during the first 6 months of the follow-up year (i.e., Jan-Jul 2013)</w:t>
      </w:r>
    </w:p>
    <w:p w14:paraId="3C8868E1" w14:textId="66EAD514" w:rsidR="00BB3CC6" w:rsidRPr="0046155E" w:rsidRDefault="00BB3CC6" w:rsidP="00E21AD0">
      <w:pPr>
        <w:spacing w:after="0" w:line="480" w:lineRule="auto"/>
        <w:jc w:val="both"/>
        <w:rPr>
          <w:rFonts w:ascii="Times New Roman" w:hAnsi="Times New Roman" w:cs="Times New Roman"/>
          <w:sz w:val="24"/>
          <w:szCs w:val="24"/>
        </w:rPr>
      </w:pPr>
    </w:p>
    <w:bookmarkEnd w:id="5"/>
    <w:p w14:paraId="264E5950" w14:textId="107C12DB" w:rsidR="00B83F3B" w:rsidRPr="00CD1F9F" w:rsidRDefault="00B35B6D" w:rsidP="00E21AD0">
      <w:pPr>
        <w:spacing w:after="0" w:line="480" w:lineRule="auto"/>
        <w:rPr>
          <w:rFonts w:ascii="Times New Roman" w:hAnsi="Times New Roman" w:cs="Times New Roman"/>
          <w:b/>
          <w:bCs/>
          <w:color w:val="000000"/>
          <w:sz w:val="32"/>
          <w:szCs w:val="32"/>
          <w:shd w:val="clear" w:color="auto" w:fill="FFFFFF"/>
        </w:rPr>
      </w:pPr>
      <w:r w:rsidRPr="00CD1F9F">
        <w:rPr>
          <w:rFonts w:ascii="Times New Roman" w:hAnsi="Times New Roman" w:cs="Times New Roman"/>
          <w:b/>
          <w:bCs/>
          <w:sz w:val="32"/>
          <w:szCs w:val="32"/>
        </w:rPr>
        <w:t>C</w:t>
      </w:r>
      <w:r w:rsidR="005B26E4" w:rsidRPr="00CD1F9F">
        <w:rPr>
          <w:rFonts w:ascii="Times New Roman" w:hAnsi="Times New Roman" w:cs="Times New Roman"/>
          <w:b/>
          <w:bCs/>
          <w:color w:val="000000"/>
          <w:sz w:val="32"/>
          <w:szCs w:val="32"/>
          <w:shd w:val="clear" w:color="auto" w:fill="FFFFFF"/>
        </w:rPr>
        <w:t>haracteristic</w:t>
      </w:r>
      <w:r w:rsidRPr="00CD1F9F">
        <w:rPr>
          <w:rFonts w:ascii="Times New Roman" w:hAnsi="Times New Roman" w:cs="Times New Roman"/>
          <w:b/>
          <w:bCs/>
          <w:color w:val="000000"/>
          <w:sz w:val="32"/>
          <w:szCs w:val="32"/>
          <w:shd w:val="clear" w:color="auto" w:fill="FFFFFF"/>
        </w:rPr>
        <w:t>s</w:t>
      </w:r>
      <w:r w:rsidR="005B26E4" w:rsidRPr="00CD1F9F">
        <w:rPr>
          <w:rFonts w:ascii="Times New Roman" w:hAnsi="Times New Roman" w:cs="Times New Roman"/>
          <w:b/>
          <w:bCs/>
          <w:color w:val="000000"/>
          <w:sz w:val="32"/>
          <w:szCs w:val="32"/>
          <w:shd w:val="clear" w:color="auto" w:fill="FFFFFF"/>
        </w:rPr>
        <w:t xml:space="preserve"> </w:t>
      </w:r>
      <w:r w:rsidR="00F42560" w:rsidRPr="00CD1F9F">
        <w:rPr>
          <w:rFonts w:ascii="Times New Roman" w:hAnsi="Times New Roman" w:cs="Times New Roman"/>
          <w:b/>
          <w:bCs/>
          <w:color w:val="000000"/>
          <w:sz w:val="32"/>
          <w:szCs w:val="32"/>
          <w:shd w:val="clear" w:color="auto" w:fill="FFFFFF"/>
        </w:rPr>
        <w:t>of groups by</w:t>
      </w:r>
      <w:r w:rsidRPr="00CD1F9F">
        <w:rPr>
          <w:rFonts w:ascii="Times New Roman" w:hAnsi="Times New Roman" w:cs="Times New Roman"/>
          <w:b/>
          <w:bCs/>
          <w:color w:val="000000"/>
          <w:sz w:val="32"/>
          <w:szCs w:val="32"/>
          <w:shd w:val="clear" w:color="auto" w:fill="FFFFFF"/>
        </w:rPr>
        <w:t xml:space="preserve"> remission</w:t>
      </w:r>
      <w:r w:rsidR="00F42560" w:rsidRPr="00CD1F9F">
        <w:rPr>
          <w:rFonts w:ascii="Times New Roman" w:hAnsi="Times New Roman" w:cs="Times New Roman"/>
          <w:b/>
          <w:bCs/>
          <w:color w:val="000000"/>
          <w:sz w:val="32"/>
          <w:szCs w:val="32"/>
          <w:shd w:val="clear" w:color="auto" w:fill="FFFFFF"/>
        </w:rPr>
        <w:t xml:space="preserve"> trajectory</w:t>
      </w:r>
      <w:r w:rsidR="00F42560" w:rsidRPr="00CD1F9F" w:rsidDel="00B35B6D">
        <w:rPr>
          <w:rFonts w:ascii="Times New Roman" w:hAnsi="Times New Roman" w:cs="Times New Roman"/>
          <w:b/>
          <w:bCs/>
          <w:color w:val="000000"/>
          <w:sz w:val="32"/>
          <w:szCs w:val="32"/>
          <w:shd w:val="clear" w:color="auto" w:fill="FFFFFF"/>
        </w:rPr>
        <w:t xml:space="preserve"> </w:t>
      </w:r>
    </w:p>
    <w:p w14:paraId="42A991F5" w14:textId="72BE6A9D" w:rsidR="006851D5" w:rsidRDefault="00ED4629" w:rsidP="00E21AD0">
      <w:pPr>
        <w:spacing w:after="0" w:line="480" w:lineRule="auto"/>
        <w:rPr>
          <w:rFonts w:ascii="Times New Roman" w:hAnsi="Times New Roman" w:cs="Times New Roman"/>
          <w:sz w:val="24"/>
          <w:szCs w:val="24"/>
        </w:rPr>
      </w:pPr>
      <w:r w:rsidRPr="0046155E">
        <w:rPr>
          <w:rFonts w:ascii="Times New Roman" w:hAnsi="Times New Roman" w:cs="Times New Roman"/>
          <w:sz w:val="24"/>
          <w:szCs w:val="24"/>
        </w:rPr>
        <w:t xml:space="preserve">The best fitting model identified </w:t>
      </w:r>
      <w:r w:rsidR="00A55387" w:rsidRPr="0046155E">
        <w:rPr>
          <w:rFonts w:ascii="Times New Roman" w:hAnsi="Times New Roman" w:cs="Times New Roman"/>
          <w:sz w:val="24"/>
          <w:szCs w:val="24"/>
        </w:rPr>
        <w:t>4</w:t>
      </w:r>
      <w:r w:rsidR="00CB0748" w:rsidRPr="0046155E">
        <w:rPr>
          <w:rFonts w:ascii="Times New Roman" w:hAnsi="Times New Roman" w:cs="Times New Roman"/>
          <w:sz w:val="24"/>
          <w:szCs w:val="24"/>
        </w:rPr>
        <w:t xml:space="preserve"> </w:t>
      </w:r>
      <w:r w:rsidR="002B657D" w:rsidRPr="0046155E">
        <w:rPr>
          <w:rFonts w:ascii="Times New Roman" w:hAnsi="Times New Roman" w:cs="Times New Roman"/>
          <w:sz w:val="24"/>
          <w:szCs w:val="24"/>
        </w:rPr>
        <w:t>groups</w:t>
      </w:r>
      <w:r w:rsidRPr="0046155E">
        <w:rPr>
          <w:rFonts w:ascii="Times New Roman" w:hAnsi="Times New Roman" w:cs="Times New Roman"/>
          <w:sz w:val="24"/>
          <w:szCs w:val="24"/>
        </w:rPr>
        <w:t xml:space="preserve"> with varying p</w:t>
      </w:r>
      <w:r w:rsidR="00A55387" w:rsidRPr="0046155E">
        <w:rPr>
          <w:rFonts w:ascii="Times New Roman" w:hAnsi="Times New Roman" w:cs="Times New Roman"/>
          <w:sz w:val="24"/>
          <w:szCs w:val="24"/>
        </w:rPr>
        <w:t>atterns</w:t>
      </w:r>
      <w:r w:rsidRPr="0046155E">
        <w:rPr>
          <w:rFonts w:ascii="Times New Roman" w:hAnsi="Times New Roman" w:cs="Times New Roman"/>
          <w:sz w:val="24"/>
          <w:szCs w:val="24"/>
        </w:rPr>
        <w:t xml:space="preserve"> of </w:t>
      </w:r>
      <w:r w:rsidR="00F754D0" w:rsidRPr="0046155E">
        <w:rPr>
          <w:rFonts w:ascii="Times New Roman" w:hAnsi="Times New Roman" w:cs="Times New Roman"/>
          <w:sz w:val="24"/>
          <w:szCs w:val="24"/>
        </w:rPr>
        <w:t>HbA</w:t>
      </w:r>
      <w:r w:rsidR="00F754D0" w:rsidRPr="0046155E">
        <w:rPr>
          <w:rFonts w:ascii="Times New Roman" w:hAnsi="Times New Roman" w:cs="Times New Roman"/>
          <w:sz w:val="24"/>
          <w:szCs w:val="24"/>
          <w:vertAlign w:val="subscript"/>
        </w:rPr>
        <w:t>1c</w:t>
      </w:r>
      <w:r w:rsidR="00F754D0" w:rsidRPr="0046155E">
        <w:rPr>
          <w:rFonts w:ascii="Times New Roman" w:hAnsi="Times New Roman" w:cs="Times New Roman"/>
          <w:sz w:val="24"/>
          <w:szCs w:val="24"/>
        </w:rPr>
        <w:t xml:space="preserve"> </w:t>
      </w:r>
      <w:r w:rsidR="00875C2A" w:rsidRPr="0046155E">
        <w:rPr>
          <w:rFonts w:ascii="Times New Roman" w:hAnsi="Times New Roman" w:cs="Times New Roman"/>
          <w:sz w:val="24"/>
          <w:szCs w:val="24"/>
        </w:rPr>
        <w:t>level</w:t>
      </w:r>
      <w:r w:rsidR="00F754D0" w:rsidRPr="0046155E">
        <w:rPr>
          <w:rFonts w:ascii="Times New Roman" w:hAnsi="Times New Roman" w:cs="Times New Roman"/>
          <w:sz w:val="24"/>
          <w:szCs w:val="24"/>
        </w:rPr>
        <w:t xml:space="preserve"> and remission</w:t>
      </w:r>
      <w:r w:rsidR="005B26E4" w:rsidRPr="0046155E">
        <w:rPr>
          <w:rFonts w:ascii="Times New Roman" w:hAnsi="Times New Roman" w:cs="Times New Roman"/>
          <w:sz w:val="24"/>
          <w:szCs w:val="24"/>
        </w:rPr>
        <w:t xml:space="preserve">: </w:t>
      </w:r>
      <w:r w:rsidRPr="0046155E">
        <w:rPr>
          <w:rFonts w:ascii="Times New Roman" w:hAnsi="Times New Roman" w:cs="Times New Roman"/>
          <w:sz w:val="24"/>
          <w:szCs w:val="24"/>
        </w:rPr>
        <w:t>Group 1 (</w:t>
      </w:r>
      <w:r w:rsidR="00525888" w:rsidRPr="0046155E">
        <w:rPr>
          <w:rFonts w:ascii="Times New Roman" w:hAnsi="Times New Roman" w:cs="Times New Roman"/>
          <w:sz w:val="24"/>
          <w:szCs w:val="24"/>
        </w:rPr>
        <w:t>8</w:t>
      </w:r>
      <w:r w:rsidR="004650C7" w:rsidRPr="0046155E">
        <w:rPr>
          <w:rFonts w:ascii="Times New Roman" w:hAnsi="Times New Roman" w:cs="Times New Roman"/>
          <w:sz w:val="24"/>
          <w:szCs w:val="24"/>
        </w:rPr>
        <w:t>,</w:t>
      </w:r>
      <w:r w:rsidR="00525888" w:rsidRPr="0046155E">
        <w:rPr>
          <w:rFonts w:ascii="Times New Roman" w:hAnsi="Times New Roman" w:cs="Times New Roman"/>
          <w:sz w:val="24"/>
          <w:szCs w:val="24"/>
        </w:rPr>
        <w:t>112</w:t>
      </w:r>
      <w:r w:rsidRPr="0046155E">
        <w:rPr>
          <w:rFonts w:ascii="Times New Roman" w:hAnsi="Times New Roman" w:cs="Times New Roman"/>
          <w:sz w:val="24"/>
          <w:szCs w:val="24"/>
        </w:rPr>
        <w:t xml:space="preserve"> [1</w:t>
      </w:r>
      <w:r w:rsidR="00525888" w:rsidRPr="0046155E">
        <w:rPr>
          <w:rFonts w:ascii="Times New Roman" w:hAnsi="Times New Roman" w:cs="Times New Roman"/>
          <w:sz w:val="24"/>
          <w:szCs w:val="24"/>
        </w:rPr>
        <w:t>3.5</w:t>
      </w:r>
      <w:r w:rsidRPr="0046155E">
        <w:rPr>
          <w:rFonts w:ascii="Times New Roman" w:hAnsi="Times New Roman" w:cs="Times New Roman"/>
          <w:sz w:val="24"/>
          <w:szCs w:val="24"/>
        </w:rPr>
        <w:t>%]</w:t>
      </w:r>
      <w:r w:rsidR="005B26E4" w:rsidRPr="0046155E">
        <w:rPr>
          <w:rFonts w:ascii="Times New Roman" w:hAnsi="Times New Roman" w:cs="Times New Roman"/>
          <w:sz w:val="24"/>
          <w:szCs w:val="24"/>
        </w:rPr>
        <w:t xml:space="preserve">; </w:t>
      </w:r>
      <w:r w:rsidR="00F25A84" w:rsidRPr="00CD1F9F">
        <w:rPr>
          <w:rFonts w:ascii="Times New Roman" w:hAnsi="Times New Roman" w:cs="Times New Roman"/>
          <w:sz w:val="24"/>
          <w:szCs w:val="24"/>
        </w:rPr>
        <w:t>achieving HbA</w:t>
      </w:r>
      <w:r w:rsidR="00F25A84" w:rsidRPr="00CD1F9F">
        <w:rPr>
          <w:rFonts w:ascii="Times New Roman" w:hAnsi="Times New Roman" w:cs="Times New Roman"/>
          <w:sz w:val="24"/>
          <w:szCs w:val="24"/>
          <w:vertAlign w:val="subscript"/>
        </w:rPr>
        <w:t>1c</w:t>
      </w:r>
      <w:r w:rsidR="00F25A84" w:rsidRPr="00CD1F9F">
        <w:rPr>
          <w:rFonts w:ascii="Times New Roman" w:hAnsi="Times New Roman" w:cs="Times New Roman"/>
          <w:sz w:val="24"/>
          <w:szCs w:val="24"/>
        </w:rPr>
        <w:t xml:space="preserve"> &lt;48 mmol/mol (6.5%) followed by</w:t>
      </w:r>
      <w:r w:rsidR="00F25A84" w:rsidRPr="00E41F2D">
        <w:rPr>
          <w:rFonts w:ascii="Times New Roman" w:hAnsi="Times New Roman" w:cs="Times New Roman"/>
          <w:sz w:val="24"/>
          <w:szCs w:val="24"/>
        </w:rPr>
        <w:t xml:space="preserve"> </w:t>
      </w:r>
      <w:r w:rsidR="00F40A6D" w:rsidRPr="00CD1F9F">
        <w:rPr>
          <w:rFonts w:ascii="Times New Roman" w:hAnsi="Times New Roman" w:cs="Times New Roman"/>
          <w:sz w:val="24"/>
          <w:szCs w:val="24"/>
        </w:rPr>
        <w:t>increasing HbA</w:t>
      </w:r>
      <w:r w:rsidR="00F40A6D" w:rsidRPr="00CD1F9F">
        <w:rPr>
          <w:rFonts w:ascii="Times New Roman" w:hAnsi="Times New Roman" w:cs="Times New Roman"/>
          <w:sz w:val="24"/>
          <w:szCs w:val="24"/>
          <w:vertAlign w:val="subscript"/>
        </w:rPr>
        <w:t>1c</w:t>
      </w:r>
      <w:r w:rsidR="00F40A6D" w:rsidRPr="00CD1F9F">
        <w:rPr>
          <w:rFonts w:ascii="Times New Roman" w:hAnsi="Times New Roman" w:cs="Times New Roman"/>
          <w:sz w:val="24"/>
          <w:szCs w:val="24"/>
        </w:rPr>
        <w:t xml:space="preserve"> levels</w:t>
      </w:r>
      <w:r w:rsidRPr="00E41F2D">
        <w:rPr>
          <w:rFonts w:ascii="Times New Roman" w:hAnsi="Times New Roman" w:cs="Times New Roman"/>
          <w:sz w:val="24"/>
          <w:szCs w:val="24"/>
        </w:rPr>
        <w:t>)</w:t>
      </w:r>
      <w:r w:rsidR="005B26E4" w:rsidRPr="00E41F2D">
        <w:rPr>
          <w:rFonts w:ascii="Times New Roman" w:hAnsi="Times New Roman" w:cs="Times New Roman"/>
          <w:sz w:val="24"/>
          <w:szCs w:val="24"/>
        </w:rPr>
        <w:t>; Group 2 (</w:t>
      </w:r>
      <w:r w:rsidR="00525888" w:rsidRPr="00E41F2D">
        <w:rPr>
          <w:rFonts w:ascii="Times New Roman" w:hAnsi="Times New Roman" w:cs="Times New Roman"/>
          <w:sz w:val="24"/>
          <w:szCs w:val="24"/>
        </w:rPr>
        <w:t>6</w:t>
      </w:r>
      <w:r w:rsidR="004650C7" w:rsidRPr="00E41F2D">
        <w:rPr>
          <w:rFonts w:ascii="Times New Roman" w:hAnsi="Times New Roman" w:cs="Times New Roman"/>
          <w:sz w:val="24"/>
          <w:szCs w:val="24"/>
        </w:rPr>
        <w:t>,</w:t>
      </w:r>
      <w:r w:rsidR="00525888" w:rsidRPr="00E41F2D">
        <w:rPr>
          <w:rFonts w:ascii="Times New Roman" w:hAnsi="Times New Roman" w:cs="Times New Roman"/>
          <w:sz w:val="24"/>
          <w:szCs w:val="24"/>
        </w:rPr>
        <w:t>369</w:t>
      </w:r>
      <w:r w:rsidR="005B26E4" w:rsidRPr="00E41F2D">
        <w:rPr>
          <w:rFonts w:ascii="Times New Roman" w:hAnsi="Times New Roman" w:cs="Times New Roman"/>
          <w:sz w:val="24"/>
          <w:szCs w:val="24"/>
        </w:rPr>
        <w:t xml:space="preserve"> [</w:t>
      </w:r>
      <w:r w:rsidR="00525888" w:rsidRPr="00E41F2D">
        <w:rPr>
          <w:rFonts w:ascii="Times New Roman" w:hAnsi="Times New Roman" w:cs="Times New Roman"/>
          <w:sz w:val="24"/>
          <w:szCs w:val="24"/>
        </w:rPr>
        <w:t>10.6</w:t>
      </w:r>
      <w:r w:rsidR="005B26E4" w:rsidRPr="00E41F2D">
        <w:rPr>
          <w:rFonts w:ascii="Times New Roman" w:hAnsi="Times New Roman" w:cs="Times New Roman"/>
          <w:sz w:val="24"/>
          <w:szCs w:val="24"/>
        </w:rPr>
        <w:t xml:space="preserve">%]; </w:t>
      </w:r>
      <w:r w:rsidR="00F40A6D" w:rsidRPr="00CD1F9F">
        <w:rPr>
          <w:rFonts w:ascii="Times New Roman" w:hAnsi="Times New Roman" w:cs="Times New Roman"/>
          <w:sz w:val="24"/>
          <w:szCs w:val="24"/>
        </w:rPr>
        <w:t>decreasing HbA</w:t>
      </w:r>
      <w:r w:rsidR="00F40A6D" w:rsidRPr="00CD1F9F">
        <w:rPr>
          <w:rFonts w:ascii="Times New Roman" w:hAnsi="Times New Roman" w:cs="Times New Roman"/>
          <w:sz w:val="24"/>
          <w:szCs w:val="24"/>
          <w:vertAlign w:val="subscript"/>
        </w:rPr>
        <w:t>1c</w:t>
      </w:r>
      <w:r w:rsidR="00F40A6D" w:rsidRPr="00CD1F9F">
        <w:rPr>
          <w:rFonts w:ascii="Times New Roman" w:hAnsi="Times New Roman" w:cs="Times New Roman"/>
          <w:sz w:val="24"/>
          <w:szCs w:val="24"/>
        </w:rPr>
        <w:t xml:space="preserve"> levels</w:t>
      </w:r>
      <w:r w:rsidR="005B26E4" w:rsidRPr="00E41F2D">
        <w:rPr>
          <w:rFonts w:ascii="Times New Roman" w:hAnsi="Times New Roman" w:cs="Times New Roman"/>
          <w:sz w:val="24"/>
          <w:szCs w:val="24"/>
        </w:rPr>
        <w:t>); Group 3 (</w:t>
      </w:r>
      <w:r w:rsidR="00525888" w:rsidRPr="00E41F2D">
        <w:rPr>
          <w:rFonts w:ascii="Times New Roman" w:hAnsi="Times New Roman" w:cs="Times New Roman"/>
          <w:sz w:val="24"/>
          <w:szCs w:val="24"/>
        </w:rPr>
        <w:t>36</w:t>
      </w:r>
      <w:r w:rsidR="004650C7" w:rsidRPr="00E41F2D">
        <w:rPr>
          <w:rFonts w:ascii="Times New Roman" w:hAnsi="Times New Roman" w:cs="Times New Roman"/>
          <w:sz w:val="24"/>
          <w:szCs w:val="24"/>
        </w:rPr>
        <w:t>,</w:t>
      </w:r>
      <w:r w:rsidR="00525888" w:rsidRPr="00E41F2D">
        <w:rPr>
          <w:rFonts w:ascii="Times New Roman" w:hAnsi="Times New Roman" w:cs="Times New Roman"/>
          <w:sz w:val="24"/>
          <w:szCs w:val="24"/>
        </w:rPr>
        <w:t>557</w:t>
      </w:r>
      <w:r w:rsidR="005B26E4" w:rsidRPr="00E41F2D">
        <w:rPr>
          <w:rFonts w:ascii="Times New Roman" w:hAnsi="Times New Roman" w:cs="Times New Roman"/>
          <w:sz w:val="24"/>
          <w:szCs w:val="24"/>
        </w:rPr>
        <w:t xml:space="preserve"> [6</w:t>
      </w:r>
      <w:r w:rsidR="00525888" w:rsidRPr="00E41F2D">
        <w:rPr>
          <w:rFonts w:ascii="Times New Roman" w:hAnsi="Times New Roman" w:cs="Times New Roman"/>
          <w:sz w:val="24"/>
          <w:szCs w:val="24"/>
        </w:rPr>
        <w:t>0.6</w:t>
      </w:r>
      <w:r w:rsidR="005B26E4" w:rsidRPr="00E41F2D">
        <w:rPr>
          <w:rFonts w:ascii="Times New Roman" w:hAnsi="Times New Roman" w:cs="Times New Roman"/>
          <w:sz w:val="24"/>
          <w:szCs w:val="24"/>
        </w:rPr>
        <w:t xml:space="preserve">%]; </w:t>
      </w:r>
      <w:r w:rsidR="00F40A6D" w:rsidRPr="00CD1F9F">
        <w:rPr>
          <w:rFonts w:ascii="Times New Roman" w:hAnsi="Times New Roman" w:cs="Times New Roman"/>
          <w:sz w:val="24"/>
          <w:szCs w:val="24"/>
        </w:rPr>
        <w:t>stable high HbA</w:t>
      </w:r>
      <w:r w:rsidR="00F40A6D" w:rsidRPr="00CD1F9F">
        <w:rPr>
          <w:rFonts w:ascii="Times New Roman" w:hAnsi="Times New Roman" w:cs="Times New Roman"/>
          <w:sz w:val="24"/>
          <w:szCs w:val="24"/>
          <w:vertAlign w:val="subscript"/>
        </w:rPr>
        <w:t>1c</w:t>
      </w:r>
      <w:r w:rsidR="00F40A6D" w:rsidRPr="00CD1F9F">
        <w:rPr>
          <w:rFonts w:ascii="Times New Roman" w:hAnsi="Times New Roman" w:cs="Times New Roman"/>
          <w:sz w:val="24"/>
          <w:szCs w:val="24"/>
        </w:rPr>
        <w:t xml:space="preserve"> levels</w:t>
      </w:r>
      <w:r w:rsidR="005B26E4" w:rsidRPr="00E41F2D">
        <w:rPr>
          <w:rFonts w:ascii="Times New Roman" w:hAnsi="Times New Roman" w:cs="Times New Roman"/>
          <w:sz w:val="24"/>
          <w:szCs w:val="24"/>
        </w:rPr>
        <w:t>); Group 4 (</w:t>
      </w:r>
      <w:r w:rsidR="00962F4E" w:rsidRPr="00E41F2D">
        <w:rPr>
          <w:rFonts w:ascii="Times New Roman" w:hAnsi="Times New Roman" w:cs="Times New Roman"/>
          <w:sz w:val="24"/>
          <w:szCs w:val="24"/>
        </w:rPr>
        <w:t>9</w:t>
      </w:r>
      <w:r w:rsidR="004650C7" w:rsidRPr="00E41F2D">
        <w:rPr>
          <w:rFonts w:ascii="Times New Roman" w:hAnsi="Times New Roman" w:cs="Times New Roman"/>
          <w:sz w:val="24"/>
          <w:szCs w:val="24"/>
        </w:rPr>
        <w:t>,</w:t>
      </w:r>
      <w:r w:rsidR="00962F4E" w:rsidRPr="00E41F2D">
        <w:rPr>
          <w:rFonts w:ascii="Times New Roman" w:hAnsi="Times New Roman" w:cs="Times New Roman"/>
          <w:sz w:val="24"/>
          <w:szCs w:val="24"/>
        </w:rPr>
        <w:t>249</w:t>
      </w:r>
      <w:r w:rsidR="005B26E4" w:rsidRPr="00E41F2D">
        <w:rPr>
          <w:rFonts w:ascii="Times New Roman" w:hAnsi="Times New Roman" w:cs="Times New Roman"/>
          <w:sz w:val="24"/>
          <w:szCs w:val="24"/>
        </w:rPr>
        <w:t xml:space="preserve"> [1</w:t>
      </w:r>
      <w:r w:rsidR="00962F4E" w:rsidRPr="00E41F2D">
        <w:rPr>
          <w:rFonts w:ascii="Times New Roman" w:hAnsi="Times New Roman" w:cs="Times New Roman"/>
          <w:sz w:val="24"/>
          <w:szCs w:val="24"/>
        </w:rPr>
        <w:t>5.3</w:t>
      </w:r>
      <w:r w:rsidR="005B26E4" w:rsidRPr="00E41F2D">
        <w:rPr>
          <w:rFonts w:ascii="Times New Roman" w:hAnsi="Times New Roman" w:cs="Times New Roman"/>
          <w:sz w:val="24"/>
          <w:szCs w:val="24"/>
        </w:rPr>
        <w:t xml:space="preserve">%]; </w:t>
      </w:r>
      <w:r w:rsidR="00F40A6D" w:rsidRPr="00CD1F9F">
        <w:rPr>
          <w:rFonts w:ascii="Times New Roman" w:hAnsi="Times New Roman" w:cs="Times New Roman"/>
          <w:sz w:val="24"/>
          <w:szCs w:val="24"/>
        </w:rPr>
        <w:t>stable low HbA</w:t>
      </w:r>
      <w:r w:rsidR="00F40A6D" w:rsidRPr="00CD1F9F">
        <w:rPr>
          <w:rFonts w:ascii="Times New Roman" w:hAnsi="Times New Roman" w:cs="Times New Roman"/>
          <w:sz w:val="24"/>
          <w:szCs w:val="24"/>
          <w:vertAlign w:val="subscript"/>
        </w:rPr>
        <w:t>1c</w:t>
      </w:r>
      <w:r w:rsidR="00F40A6D" w:rsidRPr="00CD1F9F">
        <w:rPr>
          <w:rFonts w:ascii="Times New Roman" w:hAnsi="Times New Roman" w:cs="Times New Roman"/>
          <w:sz w:val="24"/>
          <w:szCs w:val="24"/>
        </w:rPr>
        <w:t xml:space="preserve"> levels</w:t>
      </w:r>
      <w:r w:rsidR="002F2B66" w:rsidRPr="00CD1F9F">
        <w:rPr>
          <w:rFonts w:ascii="Times New Roman" w:hAnsi="Times New Roman" w:cs="Times New Roman"/>
          <w:sz w:val="24"/>
          <w:szCs w:val="24"/>
        </w:rPr>
        <w:t xml:space="preserve"> (&lt;48mmol/mol or &lt;6.5%)</w:t>
      </w:r>
      <w:r w:rsidR="00525888" w:rsidRPr="00CD1F9F">
        <w:rPr>
          <w:rFonts w:ascii="Times New Roman" w:hAnsi="Times New Roman" w:cs="Times New Roman"/>
          <w:sz w:val="24"/>
          <w:szCs w:val="24"/>
        </w:rPr>
        <w:t>)</w:t>
      </w:r>
      <w:r w:rsidR="005B26E4" w:rsidRPr="00E41F2D">
        <w:rPr>
          <w:rFonts w:ascii="Times New Roman" w:hAnsi="Times New Roman" w:cs="Times New Roman"/>
          <w:sz w:val="24"/>
          <w:szCs w:val="24"/>
        </w:rPr>
        <w:t>.</w:t>
      </w:r>
      <w:r w:rsidR="006C49E8" w:rsidRPr="00E41F2D">
        <w:rPr>
          <w:rFonts w:ascii="Times New Roman" w:hAnsi="Times New Roman" w:cs="Times New Roman"/>
          <w:sz w:val="24"/>
          <w:szCs w:val="24"/>
        </w:rPr>
        <w:t xml:space="preserve"> Fig</w:t>
      </w:r>
      <w:r w:rsidR="006C49E8" w:rsidRPr="0046155E">
        <w:rPr>
          <w:rFonts w:ascii="Times New Roman" w:hAnsi="Times New Roman" w:cs="Times New Roman"/>
          <w:sz w:val="24"/>
          <w:szCs w:val="24"/>
        </w:rPr>
        <w:t xml:space="preserve"> 1 presents the mean </w:t>
      </w:r>
      <w:r w:rsidR="002B657D" w:rsidRPr="0046155E">
        <w:rPr>
          <w:rFonts w:ascii="Times New Roman" w:hAnsi="Times New Roman" w:cs="Times New Roman"/>
          <w:color w:val="000000"/>
          <w:sz w:val="24"/>
          <w:szCs w:val="24"/>
          <w:shd w:val="clear" w:color="auto" w:fill="FFFFFF"/>
        </w:rPr>
        <w:t>HbA</w:t>
      </w:r>
      <w:r w:rsidR="002B657D" w:rsidRPr="0046155E">
        <w:rPr>
          <w:rFonts w:ascii="Times New Roman" w:hAnsi="Times New Roman" w:cs="Times New Roman"/>
          <w:color w:val="000000"/>
          <w:sz w:val="24"/>
          <w:szCs w:val="24"/>
          <w:shd w:val="clear" w:color="auto" w:fill="FFFFFF"/>
          <w:vertAlign w:val="subscript"/>
        </w:rPr>
        <w:t>1c</w:t>
      </w:r>
      <w:r w:rsidR="002B657D" w:rsidRPr="0046155E">
        <w:rPr>
          <w:rFonts w:ascii="Times New Roman" w:hAnsi="Times New Roman" w:cs="Times New Roman"/>
          <w:sz w:val="24"/>
          <w:szCs w:val="24"/>
        </w:rPr>
        <w:t xml:space="preserve"> </w:t>
      </w:r>
      <w:r w:rsidR="006C49E8" w:rsidRPr="0046155E">
        <w:rPr>
          <w:rFonts w:ascii="Times New Roman" w:hAnsi="Times New Roman" w:cs="Times New Roman"/>
          <w:sz w:val="24"/>
          <w:szCs w:val="24"/>
        </w:rPr>
        <w:t xml:space="preserve">levels overtime for each </w:t>
      </w:r>
      <w:r w:rsidR="002B657D" w:rsidRPr="0046155E">
        <w:rPr>
          <w:rFonts w:ascii="Times New Roman" w:hAnsi="Times New Roman" w:cs="Times New Roman"/>
          <w:sz w:val="24"/>
          <w:szCs w:val="24"/>
        </w:rPr>
        <w:t>group</w:t>
      </w:r>
      <w:r w:rsidR="006C49E8" w:rsidRPr="0046155E">
        <w:rPr>
          <w:rFonts w:ascii="Times New Roman" w:hAnsi="Times New Roman" w:cs="Times New Roman"/>
          <w:sz w:val="24"/>
          <w:szCs w:val="24"/>
        </w:rPr>
        <w:t>.</w:t>
      </w:r>
      <w:r w:rsidR="006851D5" w:rsidRPr="0046155E">
        <w:rPr>
          <w:rFonts w:ascii="Times New Roman" w:hAnsi="Times New Roman" w:cs="Times New Roman"/>
          <w:sz w:val="24"/>
          <w:szCs w:val="24"/>
        </w:rPr>
        <w:t xml:space="preserve"> </w:t>
      </w:r>
    </w:p>
    <w:p w14:paraId="2A64C660" w14:textId="77777777" w:rsidR="00EC093B" w:rsidRDefault="00EC093B" w:rsidP="00E21AD0">
      <w:pPr>
        <w:spacing w:after="0" w:line="480" w:lineRule="auto"/>
        <w:rPr>
          <w:rFonts w:ascii="Times New Roman" w:hAnsi="Times New Roman" w:cs="Times New Roman"/>
          <w:sz w:val="24"/>
          <w:szCs w:val="24"/>
        </w:rPr>
      </w:pPr>
    </w:p>
    <w:p w14:paraId="65E8E6FB" w14:textId="3AA99AA0" w:rsidR="00EC093B" w:rsidRDefault="00EC093B" w:rsidP="00E21AD0">
      <w:pPr>
        <w:spacing w:after="0" w:line="480" w:lineRule="auto"/>
        <w:rPr>
          <w:rFonts w:ascii="Times New Roman" w:hAnsi="Times New Roman" w:cs="Times New Roman"/>
          <w:b/>
          <w:bCs/>
          <w:sz w:val="24"/>
          <w:szCs w:val="24"/>
        </w:rPr>
      </w:pPr>
      <w:r w:rsidRPr="0046155E">
        <w:rPr>
          <w:rFonts w:ascii="Times New Roman" w:hAnsi="Times New Roman" w:cs="Times New Roman"/>
          <w:b/>
          <w:bCs/>
          <w:sz w:val="24"/>
          <w:szCs w:val="24"/>
        </w:rPr>
        <w:t>Fig 1</w:t>
      </w:r>
      <w:r w:rsidR="00034D9C">
        <w:rPr>
          <w:rFonts w:ascii="Times New Roman" w:hAnsi="Times New Roman" w:cs="Times New Roman"/>
          <w:b/>
          <w:bCs/>
          <w:sz w:val="24"/>
          <w:szCs w:val="24"/>
        </w:rPr>
        <w:t>.</w:t>
      </w:r>
      <w:r w:rsidRPr="0046155E">
        <w:rPr>
          <w:rFonts w:ascii="Times New Roman" w:hAnsi="Times New Roman" w:cs="Times New Roman"/>
          <w:b/>
          <w:bCs/>
          <w:sz w:val="24"/>
          <w:szCs w:val="24"/>
        </w:rPr>
        <w:t xml:space="preserve">  Mean </w:t>
      </w:r>
      <w:r w:rsidRPr="0046155E">
        <w:rPr>
          <w:rFonts w:ascii="Times New Roman" w:hAnsi="Times New Roman" w:cs="Times New Roman"/>
          <w:b/>
          <w:bCs/>
          <w:color w:val="000000"/>
          <w:sz w:val="24"/>
          <w:szCs w:val="24"/>
          <w:shd w:val="clear" w:color="auto" w:fill="FFFFFF"/>
        </w:rPr>
        <w:t>HbA</w:t>
      </w:r>
      <w:r w:rsidRPr="0046155E">
        <w:rPr>
          <w:rFonts w:ascii="Times New Roman" w:hAnsi="Times New Roman" w:cs="Times New Roman"/>
          <w:b/>
          <w:bCs/>
          <w:color w:val="000000"/>
          <w:sz w:val="24"/>
          <w:szCs w:val="24"/>
          <w:shd w:val="clear" w:color="auto" w:fill="FFFFFF"/>
          <w:vertAlign w:val="subscript"/>
        </w:rPr>
        <w:t>1c</w:t>
      </w:r>
      <w:r w:rsidRPr="0046155E">
        <w:rPr>
          <w:rFonts w:ascii="Times New Roman" w:hAnsi="Times New Roman" w:cs="Times New Roman"/>
          <w:b/>
          <w:bCs/>
          <w:sz w:val="24"/>
          <w:szCs w:val="24"/>
        </w:rPr>
        <w:t xml:space="preserve"> level for each remission group over seven-year follow-up within the CHIA type 2 diabetes cohort (n= 60,287)</w:t>
      </w:r>
    </w:p>
    <w:p w14:paraId="07DB5110" w14:textId="77777777" w:rsidR="00EC093B" w:rsidRPr="0046155E" w:rsidRDefault="00EC093B" w:rsidP="00E21AD0">
      <w:pPr>
        <w:spacing w:after="0" w:line="480" w:lineRule="auto"/>
        <w:rPr>
          <w:rFonts w:ascii="Times New Roman" w:hAnsi="Times New Roman" w:cs="Times New Roman"/>
          <w:sz w:val="24"/>
          <w:szCs w:val="24"/>
        </w:rPr>
      </w:pPr>
    </w:p>
    <w:p w14:paraId="35ADA069" w14:textId="179DC332" w:rsidR="00D70E2C" w:rsidRPr="0046155E" w:rsidRDefault="006851D5" w:rsidP="00E21AD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 xml:space="preserve">The sociodemographic and clinical characteristics for each remission group </w:t>
      </w:r>
      <w:r w:rsidR="007874A8" w:rsidRPr="0046155E">
        <w:rPr>
          <w:rFonts w:ascii="Times New Roman" w:hAnsi="Times New Roman" w:cs="Times New Roman"/>
          <w:sz w:val="24"/>
          <w:szCs w:val="24"/>
        </w:rPr>
        <w:t>are</w:t>
      </w:r>
      <w:r w:rsidRPr="0046155E">
        <w:rPr>
          <w:rFonts w:ascii="Times New Roman" w:hAnsi="Times New Roman" w:cs="Times New Roman"/>
          <w:sz w:val="24"/>
          <w:szCs w:val="24"/>
        </w:rPr>
        <w:t xml:space="preserve"> summarised in </w:t>
      </w:r>
      <w:r w:rsidR="002D46E3" w:rsidRPr="0046155E">
        <w:rPr>
          <w:rFonts w:ascii="Times New Roman" w:hAnsi="Times New Roman" w:cs="Times New Roman"/>
          <w:sz w:val="24"/>
          <w:szCs w:val="24"/>
        </w:rPr>
        <w:t>T</w:t>
      </w:r>
      <w:r w:rsidRPr="0046155E">
        <w:rPr>
          <w:rFonts w:ascii="Times New Roman" w:hAnsi="Times New Roman" w:cs="Times New Roman"/>
          <w:sz w:val="24"/>
          <w:szCs w:val="24"/>
        </w:rPr>
        <w:t xml:space="preserve">able 2 below. There were statistically significant differences in characteristics across the </w:t>
      </w:r>
      <w:r w:rsidR="00962F4E" w:rsidRPr="0046155E">
        <w:rPr>
          <w:rFonts w:ascii="Times New Roman" w:hAnsi="Times New Roman" w:cs="Times New Roman"/>
          <w:sz w:val="24"/>
          <w:szCs w:val="24"/>
        </w:rPr>
        <w:t>four</w:t>
      </w:r>
      <w:r w:rsidRPr="0046155E">
        <w:rPr>
          <w:rFonts w:ascii="Times New Roman" w:hAnsi="Times New Roman" w:cs="Times New Roman"/>
          <w:sz w:val="24"/>
          <w:szCs w:val="24"/>
        </w:rPr>
        <w:t xml:space="preserve"> groups</w:t>
      </w:r>
      <w:r w:rsidR="00CB0748" w:rsidRPr="0046155E">
        <w:rPr>
          <w:rFonts w:ascii="Times New Roman" w:hAnsi="Times New Roman" w:cs="Times New Roman"/>
          <w:sz w:val="24"/>
          <w:szCs w:val="24"/>
        </w:rPr>
        <w:t xml:space="preserve">. </w:t>
      </w:r>
      <w:r w:rsidR="00F76B60" w:rsidRPr="0046155E">
        <w:rPr>
          <w:rFonts w:ascii="Times New Roman" w:hAnsi="Times New Roman" w:cs="Times New Roman"/>
          <w:sz w:val="24"/>
          <w:szCs w:val="24"/>
        </w:rPr>
        <w:t xml:space="preserve">Individuals in </w:t>
      </w:r>
      <w:r w:rsidR="002D46E3" w:rsidRPr="0046155E">
        <w:rPr>
          <w:rFonts w:ascii="Times New Roman" w:hAnsi="Times New Roman" w:cs="Times New Roman"/>
          <w:sz w:val="24"/>
          <w:szCs w:val="24"/>
        </w:rPr>
        <w:t>G</w:t>
      </w:r>
      <w:r w:rsidR="00F40A6D" w:rsidRPr="0046155E">
        <w:rPr>
          <w:rFonts w:ascii="Times New Roman" w:hAnsi="Times New Roman" w:cs="Times New Roman"/>
          <w:sz w:val="24"/>
          <w:szCs w:val="24"/>
        </w:rPr>
        <w:t>roup</w:t>
      </w:r>
      <w:r w:rsidR="00813997" w:rsidRPr="0046155E">
        <w:rPr>
          <w:rFonts w:ascii="Times New Roman" w:hAnsi="Times New Roman" w:cs="Times New Roman"/>
          <w:sz w:val="24"/>
          <w:szCs w:val="24"/>
        </w:rPr>
        <w:t xml:space="preserve"> </w:t>
      </w:r>
      <w:r w:rsidR="00F40A6D" w:rsidRPr="0046155E">
        <w:rPr>
          <w:rFonts w:ascii="Times New Roman" w:hAnsi="Times New Roman" w:cs="Times New Roman"/>
          <w:sz w:val="24"/>
          <w:szCs w:val="24"/>
        </w:rPr>
        <w:t>2</w:t>
      </w:r>
      <w:r w:rsidR="00F76B60" w:rsidRPr="0046155E">
        <w:rPr>
          <w:rFonts w:ascii="Times New Roman" w:hAnsi="Times New Roman" w:cs="Times New Roman"/>
          <w:sz w:val="24"/>
          <w:szCs w:val="24"/>
        </w:rPr>
        <w:t>,</w:t>
      </w:r>
      <w:r w:rsidRPr="0046155E">
        <w:rPr>
          <w:rFonts w:ascii="Times New Roman" w:hAnsi="Times New Roman" w:cs="Times New Roman"/>
          <w:sz w:val="24"/>
          <w:szCs w:val="24"/>
        </w:rPr>
        <w:t xml:space="preserve"> wh</w:t>
      </w:r>
      <w:r w:rsidR="00F76B60" w:rsidRPr="0046155E">
        <w:rPr>
          <w:rFonts w:ascii="Times New Roman" w:hAnsi="Times New Roman" w:cs="Times New Roman"/>
          <w:sz w:val="24"/>
          <w:szCs w:val="24"/>
        </w:rPr>
        <w:t>o</w:t>
      </w:r>
      <w:r w:rsidRPr="0046155E">
        <w:rPr>
          <w:rFonts w:ascii="Times New Roman" w:hAnsi="Times New Roman" w:cs="Times New Roman"/>
          <w:sz w:val="24"/>
          <w:szCs w:val="24"/>
        </w:rPr>
        <w:t xml:space="preserve"> had </w:t>
      </w:r>
      <w:r w:rsidR="00F40A6D" w:rsidRPr="0046155E">
        <w:rPr>
          <w:rFonts w:ascii="Times New Roman" w:hAnsi="Times New Roman" w:cs="Times New Roman"/>
          <w:sz w:val="24"/>
          <w:szCs w:val="24"/>
        </w:rPr>
        <w:t>decreasing HbA</w:t>
      </w:r>
      <w:r w:rsidR="00F40A6D" w:rsidRPr="0046155E">
        <w:rPr>
          <w:rFonts w:ascii="Times New Roman" w:hAnsi="Times New Roman" w:cs="Times New Roman"/>
          <w:sz w:val="24"/>
          <w:szCs w:val="24"/>
          <w:vertAlign w:val="subscript"/>
        </w:rPr>
        <w:t>1c</w:t>
      </w:r>
      <w:r w:rsidR="00F40A6D" w:rsidRPr="0046155E">
        <w:rPr>
          <w:rFonts w:ascii="Times New Roman" w:hAnsi="Times New Roman" w:cs="Times New Roman"/>
          <w:sz w:val="24"/>
          <w:szCs w:val="24"/>
        </w:rPr>
        <w:t xml:space="preserve"> levels</w:t>
      </w:r>
      <w:r w:rsidR="00F76B60" w:rsidRPr="0046155E">
        <w:rPr>
          <w:rFonts w:ascii="Times New Roman" w:hAnsi="Times New Roman" w:cs="Times New Roman"/>
          <w:sz w:val="24"/>
          <w:szCs w:val="24"/>
        </w:rPr>
        <w:t>,</w:t>
      </w:r>
      <w:r w:rsidRPr="0046155E">
        <w:rPr>
          <w:rFonts w:ascii="Times New Roman" w:hAnsi="Times New Roman" w:cs="Times New Roman"/>
          <w:sz w:val="24"/>
          <w:szCs w:val="24"/>
        </w:rPr>
        <w:t xml:space="preserve"> were mainly</w:t>
      </w:r>
      <w:r w:rsidR="00B11C31" w:rsidRPr="0046155E">
        <w:rPr>
          <w:rFonts w:ascii="Times New Roman" w:hAnsi="Times New Roman" w:cs="Times New Roman"/>
          <w:sz w:val="24"/>
          <w:szCs w:val="24"/>
        </w:rPr>
        <w:t xml:space="preserve"> older</w:t>
      </w:r>
      <w:r w:rsidR="00B26DAC" w:rsidRPr="0046155E">
        <w:rPr>
          <w:rFonts w:ascii="Times New Roman" w:hAnsi="Times New Roman" w:cs="Times New Roman"/>
          <w:sz w:val="24"/>
          <w:szCs w:val="24"/>
        </w:rPr>
        <w:t xml:space="preserve"> and</w:t>
      </w:r>
      <w:r w:rsidRPr="0046155E">
        <w:rPr>
          <w:rFonts w:ascii="Times New Roman" w:hAnsi="Times New Roman" w:cs="Times New Roman"/>
          <w:sz w:val="24"/>
          <w:szCs w:val="24"/>
        </w:rPr>
        <w:t xml:space="preserve"> </w:t>
      </w:r>
      <w:r w:rsidR="00B11C31" w:rsidRPr="0046155E">
        <w:rPr>
          <w:rFonts w:ascii="Times New Roman" w:hAnsi="Times New Roman" w:cs="Times New Roman"/>
          <w:sz w:val="24"/>
          <w:szCs w:val="24"/>
        </w:rPr>
        <w:t>living in less deprived areas.</w:t>
      </w:r>
      <w:r w:rsidRPr="0046155E">
        <w:rPr>
          <w:rFonts w:ascii="Times New Roman" w:hAnsi="Times New Roman" w:cs="Times New Roman"/>
          <w:sz w:val="24"/>
          <w:szCs w:val="24"/>
        </w:rPr>
        <w:t xml:space="preserve"> </w:t>
      </w:r>
      <w:r w:rsidR="00F76B60" w:rsidRPr="0046155E">
        <w:rPr>
          <w:rFonts w:ascii="Times New Roman" w:hAnsi="Times New Roman" w:cs="Times New Roman"/>
          <w:sz w:val="24"/>
          <w:szCs w:val="24"/>
        </w:rPr>
        <w:t>Those in g</w:t>
      </w:r>
      <w:r w:rsidRPr="0046155E">
        <w:rPr>
          <w:rFonts w:ascii="Times New Roman" w:hAnsi="Times New Roman" w:cs="Times New Roman"/>
          <w:sz w:val="24"/>
          <w:szCs w:val="24"/>
        </w:rPr>
        <w:t xml:space="preserve">roup </w:t>
      </w:r>
      <w:r w:rsidR="00F40A6D" w:rsidRPr="0046155E">
        <w:rPr>
          <w:rFonts w:ascii="Times New Roman" w:hAnsi="Times New Roman" w:cs="Times New Roman"/>
          <w:sz w:val="24"/>
          <w:szCs w:val="24"/>
        </w:rPr>
        <w:t>3</w:t>
      </w:r>
      <w:r w:rsidRPr="0046155E">
        <w:rPr>
          <w:rFonts w:ascii="Times New Roman" w:hAnsi="Times New Roman" w:cs="Times New Roman"/>
          <w:sz w:val="24"/>
          <w:szCs w:val="24"/>
        </w:rPr>
        <w:t xml:space="preserve"> who had </w:t>
      </w:r>
      <w:r w:rsidR="00F40A6D" w:rsidRPr="0046155E">
        <w:rPr>
          <w:rFonts w:ascii="Times New Roman" w:hAnsi="Times New Roman" w:cs="Times New Roman"/>
          <w:sz w:val="24"/>
          <w:szCs w:val="24"/>
        </w:rPr>
        <w:t>increasing HbA</w:t>
      </w:r>
      <w:r w:rsidR="00F40A6D" w:rsidRPr="0046155E">
        <w:rPr>
          <w:rFonts w:ascii="Times New Roman" w:hAnsi="Times New Roman" w:cs="Times New Roman"/>
          <w:sz w:val="24"/>
          <w:szCs w:val="24"/>
          <w:vertAlign w:val="subscript"/>
        </w:rPr>
        <w:t>1c</w:t>
      </w:r>
      <w:r w:rsidR="00F40A6D" w:rsidRPr="0046155E">
        <w:rPr>
          <w:rFonts w:ascii="Times New Roman" w:hAnsi="Times New Roman" w:cs="Times New Roman"/>
          <w:sz w:val="24"/>
          <w:szCs w:val="24"/>
        </w:rPr>
        <w:t xml:space="preserve"> levels</w:t>
      </w:r>
      <w:r w:rsidRPr="0046155E">
        <w:rPr>
          <w:rFonts w:ascii="Times New Roman" w:hAnsi="Times New Roman" w:cs="Times New Roman"/>
          <w:sz w:val="24"/>
          <w:szCs w:val="24"/>
        </w:rPr>
        <w:t xml:space="preserve"> were </w:t>
      </w:r>
      <w:r w:rsidR="001D2259" w:rsidRPr="0046155E">
        <w:rPr>
          <w:rFonts w:ascii="Times New Roman" w:hAnsi="Times New Roman" w:cs="Times New Roman"/>
          <w:sz w:val="24"/>
          <w:szCs w:val="24"/>
        </w:rPr>
        <w:t>younger, more likely</w:t>
      </w:r>
      <w:r w:rsidR="00EB7727" w:rsidRPr="0046155E">
        <w:rPr>
          <w:rFonts w:ascii="Times New Roman" w:hAnsi="Times New Roman" w:cs="Times New Roman"/>
          <w:sz w:val="24"/>
          <w:szCs w:val="24"/>
        </w:rPr>
        <w:t xml:space="preserve"> to be</w:t>
      </w:r>
      <w:r w:rsidR="001D2259" w:rsidRPr="0046155E">
        <w:rPr>
          <w:rFonts w:ascii="Times New Roman" w:hAnsi="Times New Roman" w:cs="Times New Roman"/>
          <w:sz w:val="24"/>
          <w:szCs w:val="24"/>
        </w:rPr>
        <w:t xml:space="preserve"> male,</w:t>
      </w:r>
      <w:r w:rsidR="00864DE9" w:rsidRPr="0046155E">
        <w:rPr>
          <w:rFonts w:ascii="Times New Roman" w:hAnsi="Times New Roman" w:cs="Times New Roman"/>
          <w:sz w:val="24"/>
          <w:szCs w:val="24"/>
        </w:rPr>
        <w:t xml:space="preserve"> current smokers, </w:t>
      </w:r>
      <w:r w:rsidR="00B11C31" w:rsidRPr="0046155E">
        <w:rPr>
          <w:rFonts w:ascii="Times New Roman" w:hAnsi="Times New Roman" w:cs="Times New Roman"/>
          <w:sz w:val="24"/>
          <w:szCs w:val="24"/>
        </w:rPr>
        <w:t xml:space="preserve">and had </w:t>
      </w:r>
      <w:r w:rsidR="00DC1167" w:rsidRPr="0046155E">
        <w:rPr>
          <w:rFonts w:ascii="Times New Roman" w:hAnsi="Times New Roman" w:cs="Times New Roman"/>
          <w:sz w:val="24"/>
          <w:szCs w:val="24"/>
        </w:rPr>
        <w:t xml:space="preserve">a </w:t>
      </w:r>
      <w:r w:rsidR="00B11C31" w:rsidRPr="0046155E">
        <w:rPr>
          <w:rFonts w:ascii="Times New Roman" w:hAnsi="Times New Roman" w:cs="Times New Roman"/>
          <w:sz w:val="24"/>
          <w:szCs w:val="24"/>
        </w:rPr>
        <w:t>longer duration of diabetes</w:t>
      </w:r>
      <w:r w:rsidRPr="0046155E">
        <w:rPr>
          <w:rFonts w:ascii="Times New Roman" w:hAnsi="Times New Roman" w:cs="Times New Roman"/>
          <w:sz w:val="24"/>
          <w:szCs w:val="24"/>
        </w:rPr>
        <w:t>.</w:t>
      </w:r>
      <w:r w:rsidR="00CF334A" w:rsidRPr="0046155E">
        <w:rPr>
          <w:rFonts w:ascii="Times New Roman" w:hAnsi="Times New Roman" w:cs="Times New Roman"/>
          <w:sz w:val="24"/>
          <w:szCs w:val="24"/>
        </w:rPr>
        <w:t xml:space="preserve"> Those in Group 1 (who achieved HbA</w:t>
      </w:r>
      <w:r w:rsidR="00CF334A" w:rsidRPr="0046155E">
        <w:rPr>
          <w:rFonts w:ascii="Times New Roman" w:hAnsi="Times New Roman" w:cs="Times New Roman"/>
          <w:sz w:val="24"/>
          <w:szCs w:val="24"/>
          <w:vertAlign w:val="subscript"/>
        </w:rPr>
        <w:t>1c</w:t>
      </w:r>
      <w:r w:rsidR="00CF334A" w:rsidRPr="0046155E">
        <w:rPr>
          <w:rFonts w:ascii="Times New Roman" w:hAnsi="Times New Roman" w:cs="Times New Roman"/>
          <w:sz w:val="24"/>
          <w:szCs w:val="24"/>
        </w:rPr>
        <w:t xml:space="preserve"> levels &lt;48mmol/mol (6.5%) but then had increased HbA</w:t>
      </w:r>
      <w:r w:rsidR="00CF334A" w:rsidRPr="0046155E">
        <w:rPr>
          <w:rFonts w:ascii="Times New Roman" w:hAnsi="Times New Roman" w:cs="Times New Roman"/>
          <w:sz w:val="24"/>
          <w:szCs w:val="24"/>
          <w:vertAlign w:val="subscript"/>
        </w:rPr>
        <w:t>1c</w:t>
      </w:r>
      <w:r w:rsidR="00CF334A" w:rsidRPr="0046155E">
        <w:rPr>
          <w:rFonts w:ascii="Times New Roman" w:hAnsi="Times New Roman" w:cs="Times New Roman"/>
          <w:sz w:val="24"/>
          <w:szCs w:val="24"/>
        </w:rPr>
        <w:t xml:space="preserve"> levels) were also younger but had shorter diabetes duration and fewer medications prescribed.</w:t>
      </w:r>
      <w:r w:rsidRPr="0046155E">
        <w:rPr>
          <w:rFonts w:ascii="Times New Roman" w:hAnsi="Times New Roman" w:cs="Times New Roman"/>
          <w:sz w:val="24"/>
          <w:szCs w:val="24"/>
        </w:rPr>
        <w:t xml:space="preserve"> Those who </w:t>
      </w:r>
      <w:r w:rsidR="00F40A6D" w:rsidRPr="0046155E">
        <w:rPr>
          <w:rFonts w:ascii="Times New Roman" w:hAnsi="Times New Roman" w:cs="Times New Roman"/>
          <w:sz w:val="24"/>
          <w:szCs w:val="24"/>
        </w:rPr>
        <w:t>ha</w:t>
      </w:r>
      <w:r w:rsidR="00B26DAC" w:rsidRPr="0046155E">
        <w:rPr>
          <w:rFonts w:ascii="Times New Roman" w:hAnsi="Times New Roman" w:cs="Times New Roman"/>
          <w:sz w:val="24"/>
          <w:szCs w:val="24"/>
        </w:rPr>
        <w:t>d low (&lt;48 mmol/mol</w:t>
      </w:r>
      <w:r w:rsidR="007159DC" w:rsidRPr="0046155E">
        <w:rPr>
          <w:rFonts w:ascii="Times New Roman" w:hAnsi="Times New Roman" w:cs="Times New Roman"/>
          <w:sz w:val="24"/>
          <w:szCs w:val="24"/>
        </w:rPr>
        <w:t xml:space="preserve"> </w:t>
      </w:r>
      <w:r w:rsidR="002F2B66" w:rsidRPr="0046155E">
        <w:rPr>
          <w:rFonts w:ascii="Times New Roman" w:hAnsi="Times New Roman" w:cs="Times New Roman"/>
          <w:sz w:val="24"/>
          <w:szCs w:val="24"/>
        </w:rPr>
        <w:t>(6</w:t>
      </w:r>
      <w:r w:rsidR="007159DC" w:rsidRPr="0046155E">
        <w:rPr>
          <w:rFonts w:ascii="Times New Roman" w:hAnsi="Times New Roman" w:cs="Times New Roman"/>
          <w:sz w:val="24"/>
          <w:szCs w:val="24"/>
        </w:rPr>
        <w:t>.5%</w:t>
      </w:r>
      <w:r w:rsidR="00B26DAC" w:rsidRPr="0046155E">
        <w:rPr>
          <w:rFonts w:ascii="Times New Roman" w:hAnsi="Times New Roman" w:cs="Times New Roman"/>
          <w:sz w:val="24"/>
          <w:szCs w:val="24"/>
        </w:rPr>
        <w:t>)</w:t>
      </w:r>
      <w:r w:rsidR="002F2B66" w:rsidRPr="0046155E">
        <w:rPr>
          <w:rFonts w:ascii="Times New Roman" w:hAnsi="Times New Roman" w:cs="Times New Roman"/>
          <w:sz w:val="24"/>
          <w:szCs w:val="24"/>
        </w:rPr>
        <w:t>)</w:t>
      </w:r>
      <w:r w:rsidR="00B26DAC" w:rsidRPr="0046155E">
        <w:rPr>
          <w:rFonts w:ascii="Times New Roman" w:hAnsi="Times New Roman" w:cs="Times New Roman"/>
          <w:sz w:val="24"/>
          <w:szCs w:val="24"/>
        </w:rPr>
        <w:t xml:space="preserve"> HbA</w:t>
      </w:r>
      <w:r w:rsidR="00B26DAC" w:rsidRPr="0046155E">
        <w:rPr>
          <w:rFonts w:ascii="Times New Roman" w:hAnsi="Times New Roman" w:cs="Times New Roman"/>
          <w:sz w:val="24"/>
          <w:szCs w:val="24"/>
          <w:vertAlign w:val="subscript"/>
        </w:rPr>
        <w:t>1c</w:t>
      </w:r>
      <w:r w:rsidR="00B26DAC" w:rsidRPr="0046155E">
        <w:rPr>
          <w:rFonts w:ascii="Times New Roman" w:hAnsi="Times New Roman" w:cs="Times New Roman"/>
          <w:sz w:val="24"/>
          <w:szCs w:val="24"/>
        </w:rPr>
        <w:t xml:space="preserve"> levels</w:t>
      </w:r>
      <w:r w:rsidR="00CF3416" w:rsidRPr="0046155E">
        <w:rPr>
          <w:rFonts w:ascii="Times New Roman" w:hAnsi="Times New Roman" w:cs="Times New Roman"/>
          <w:sz w:val="24"/>
          <w:szCs w:val="24"/>
        </w:rPr>
        <w:t xml:space="preserve"> throughout follow-up</w:t>
      </w:r>
      <w:r w:rsidRPr="0046155E">
        <w:rPr>
          <w:rFonts w:ascii="Times New Roman" w:hAnsi="Times New Roman" w:cs="Times New Roman"/>
          <w:sz w:val="24"/>
          <w:szCs w:val="24"/>
        </w:rPr>
        <w:t xml:space="preserve"> (Group </w:t>
      </w:r>
      <w:r w:rsidR="00B26DAC" w:rsidRPr="0046155E">
        <w:rPr>
          <w:rFonts w:ascii="Times New Roman" w:hAnsi="Times New Roman" w:cs="Times New Roman"/>
          <w:sz w:val="24"/>
          <w:szCs w:val="24"/>
        </w:rPr>
        <w:t>4</w:t>
      </w:r>
      <w:r w:rsidRPr="0046155E">
        <w:rPr>
          <w:rFonts w:ascii="Times New Roman" w:hAnsi="Times New Roman" w:cs="Times New Roman"/>
          <w:sz w:val="24"/>
          <w:szCs w:val="24"/>
        </w:rPr>
        <w:t>) were likely to be</w:t>
      </w:r>
      <w:r w:rsidR="00B11C31" w:rsidRPr="0046155E">
        <w:rPr>
          <w:rFonts w:ascii="Times New Roman" w:hAnsi="Times New Roman" w:cs="Times New Roman"/>
          <w:sz w:val="24"/>
          <w:szCs w:val="24"/>
        </w:rPr>
        <w:t xml:space="preserve"> older, living in less deprived areas, </w:t>
      </w:r>
      <w:r w:rsidR="00CB0748" w:rsidRPr="0046155E">
        <w:rPr>
          <w:rFonts w:ascii="Times New Roman" w:hAnsi="Times New Roman" w:cs="Times New Roman"/>
          <w:sz w:val="24"/>
          <w:szCs w:val="24"/>
        </w:rPr>
        <w:t xml:space="preserve">with the </w:t>
      </w:r>
      <w:r w:rsidR="00B11C31" w:rsidRPr="0046155E">
        <w:rPr>
          <w:rFonts w:ascii="Times New Roman" w:hAnsi="Times New Roman" w:cs="Times New Roman"/>
          <w:sz w:val="24"/>
          <w:szCs w:val="24"/>
        </w:rPr>
        <w:t>shortest duration of diabetes</w:t>
      </w:r>
      <w:r w:rsidR="00CB0748" w:rsidRPr="0046155E">
        <w:rPr>
          <w:rFonts w:ascii="Times New Roman" w:hAnsi="Times New Roman" w:cs="Times New Roman"/>
          <w:sz w:val="24"/>
          <w:szCs w:val="24"/>
        </w:rPr>
        <w:t xml:space="preserve"> and a low</w:t>
      </w:r>
      <w:r w:rsidR="00B26DAC" w:rsidRPr="0046155E">
        <w:rPr>
          <w:rFonts w:ascii="Times New Roman" w:hAnsi="Times New Roman" w:cs="Times New Roman"/>
          <w:sz w:val="24"/>
          <w:szCs w:val="24"/>
        </w:rPr>
        <w:t>er</w:t>
      </w:r>
      <w:r w:rsidR="00B11C31" w:rsidRPr="0046155E">
        <w:rPr>
          <w:rFonts w:ascii="Times New Roman" w:hAnsi="Times New Roman" w:cs="Times New Roman"/>
          <w:sz w:val="24"/>
          <w:szCs w:val="24"/>
        </w:rPr>
        <w:t xml:space="preserve"> baseline weight</w:t>
      </w:r>
      <w:r w:rsidR="00D70E2C" w:rsidRPr="0046155E">
        <w:rPr>
          <w:rFonts w:ascii="Times New Roman" w:hAnsi="Times New Roman" w:cs="Times New Roman"/>
          <w:sz w:val="24"/>
          <w:szCs w:val="24"/>
        </w:rPr>
        <w:t xml:space="preserve"> (</w:t>
      </w:r>
      <w:r w:rsidR="002D46E3" w:rsidRPr="0046155E">
        <w:rPr>
          <w:rFonts w:ascii="Times New Roman" w:hAnsi="Times New Roman" w:cs="Times New Roman"/>
          <w:sz w:val="24"/>
          <w:szCs w:val="24"/>
        </w:rPr>
        <w:t>T</w:t>
      </w:r>
      <w:r w:rsidR="00D70E2C" w:rsidRPr="0046155E">
        <w:rPr>
          <w:rFonts w:ascii="Times New Roman" w:hAnsi="Times New Roman" w:cs="Times New Roman"/>
          <w:sz w:val="24"/>
          <w:szCs w:val="24"/>
        </w:rPr>
        <w:t>able 2).</w:t>
      </w:r>
      <w:r w:rsidR="0021442B" w:rsidRPr="0046155E">
        <w:rPr>
          <w:rFonts w:ascii="Times New Roman" w:hAnsi="Times New Roman" w:cs="Times New Roman"/>
          <w:sz w:val="24"/>
          <w:szCs w:val="24"/>
        </w:rPr>
        <w:t xml:space="preserve"> </w:t>
      </w:r>
      <w:r w:rsidR="00465740">
        <w:rPr>
          <w:rFonts w:ascii="Times New Roman" w:hAnsi="Times New Roman" w:cs="Times New Roman"/>
          <w:sz w:val="24"/>
          <w:szCs w:val="24"/>
        </w:rPr>
        <w:t xml:space="preserve">Group 3 was </w:t>
      </w:r>
      <w:r w:rsidR="00533245">
        <w:rPr>
          <w:rFonts w:ascii="Times New Roman" w:hAnsi="Times New Roman" w:cs="Times New Roman"/>
          <w:sz w:val="24"/>
          <w:szCs w:val="24"/>
        </w:rPr>
        <w:t xml:space="preserve">selected as </w:t>
      </w:r>
      <w:r w:rsidR="004956DA">
        <w:rPr>
          <w:rFonts w:ascii="Times New Roman" w:hAnsi="Times New Roman" w:cs="Times New Roman"/>
          <w:sz w:val="24"/>
          <w:szCs w:val="24"/>
        </w:rPr>
        <w:t xml:space="preserve">the reference group in regression models as this was the group with </w:t>
      </w:r>
      <w:r w:rsidR="002B62FD">
        <w:rPr>
          <w:rFonts w:ascii="Times New Roman" w:hAnsi="Times New Roman" w:cs="Times New Roman"/>
          <w:sz w:val="24"/>
          <w:szCs w:val="24"/>
        </w:rPr>
        <w:t>high HbA</w:t>
      </w:r>
      <w:r w:rsidR="002B62FD" w:rsidRPr="00CD1F9F">
        <w:rPr>
          <w:rFonts w:ascii="Times New Roman" w:hAnsi="Times New Roman" w:cs="Times New Roman"/>
          <w:sz w:val="24"/>
          <w:szCs w:val="24"/>
          <w:vertAlign w:val="subscript"/>
        </w:rPr>
        <w:t>1c</w:t>
      </w:r>
      <w:r w:rsidR="002B62FD">
        <w:rPr>
          <w:rFonts w:ascii="Times New Roman" w:hAnsi="Times New Roman" w:cs="Times New Roman"/>
          <w:sz w:val="24"/>
          <w:szCs w:val="24"/>
        </w:rPr>
        <w:t xml:space="preserve"> levels throughout the study and therefore a useful comparator</w:t>
      </w:r>
      <w:r w:rsidR="00686622">
        <w:rPr>
          <w:rFonts w:ascii="Times New Roman" w:hAnsi="Times New Roman" w:cs="Times New Roman"/>
          <w:sz w:val="24"/>
          <w:szCs w:val="24"/>
        </w:rPr>
        <w:t xml:space="preserve"> to e</w:t>
      </w:r>
      <w:r w:rsidR="00B53EA8">
        <w:rPr>
          <w:rFonts w:ascii="Times New Roman" w:hAnsi="Times New Roman" w:cs="Times New Roman"/>
          <w:sz w:val="24"/>
          <w:szCs w:val="24"/>
        </w:rPr>
        <w:t>stimate associations with</w:t>
      </w:r>
      <w:r w:rsidR="008D135A">
        <w:rPr>
          <w:rFonts w:ascii="Times New Roman" w:hAnsi="Times New Roman" w:cs="Times New Roman"/>
          <w:sz w:val="24"/>
          <w:szCs w:val="24"/>
        </w:rPr>
        <w:t xml:space="preserve"> the different</w:t>
      </w:r>
      <w:r w:rsidR="00B53EA8">
        <w:rPr>
          <w:rFonts w:ascii="Times New Roman" w:hAnsi="Times New Roman" w:cs="Times New Roman"/>
          <w:sz w:val="24"/>
          <w:szCs w:val="24"/>
        </w:rPr>
        <w:t xml:space="preserve"> remission trajectories.</w:t>
      </w:r>
      <w:r w:rsidR="002B62FD">
        <w:rPr>
          <w:rFonts w:ascii="Times New Roman" w:hAnsi="Times New Roman" w:cs="Times New Roman"/>
          <w:sz w:val="24"/>
          <w:szCs w:val="24"/>
        </w:rPr>
        <w:t xml:space="preserve"> </w:t>
      </w:r>
      <w:r w:rsidR="0021442B" w:rsidRPr="0046155E">
        <w:rPr>
          <w:rFonts w:ascii="Times New Roman" w:hAnsi="Times New Roman" w:cs="Times New Roman"/>
          <w:sz w:val="24"/>
          <w:szCs w:val="24"/>
        </w:rPr>
        <w:t xml:space="preserve">Multinomial regression models indicated that, compared to those who did not change </w:t>
      </w:r>
      <w:r w:rsidR="00CC6B61" w:rsidRPr="0046155E">
        <w:rPr>
          <w:rFonts w:ascii="Times New Roman" w:hAnsi="Times New Roman" w:cs="Times New Roman"/>
          <w:sz w:val="24"/>
          <w:szCs w:val="24"/>
        </w:rPr>
        <w:t xml:space="preserve">weight </w:t>
      </w:r>
      <w:r w:rsidR="0021442B" w:rsidRPr="0046155E">
        <w:rPr>
          <w:rFonts w:ascii="Times New Roman" w:hAnsi="Times New Roman" w:cs="Times New Roman"/>
          <w:sz w:val="24"/>
          <w:szCs w:val="24"/>
        </w:rPr>
        <w:t xml:space="preserve">or those that gained weight, patients who achieved weight loss of </w:t>
      </w:r>
      <w:r w:rsidR="00CC6B61" w:rsidRPr="0046155E">
        <w:rPr>
          <w:rFonts w:ascii="Times New Roman" w:hAnsi="Times New Roman" w:cs="Times New Roman"/>
          <w:color w:val="000000"/>
          <w:sz w:val="24"/>
          <w:szCs w:val="24"/>
          <w:shd w:val="clear" w:color="auto" w:fill="FFFFFF"/>
        </w:rPr>
        <w:t>≥</w:t>
      </w:r>
      <w:r w:rsidR="0021442B" w:rsidRPr="0046155E">
        <w:rPr>
          <w:rFonts w:ascii="Times New Roman" w:hAnsi="Times New Roman" w:cs="Times New Roman"/>
          <w:sz w:val="24"/>
          <w:szCs w:val="24"/>
        </w:rPr>
        <w:t>10%</w:t>
      </w:r>
      <w:r w:rsidR="0023420C" w:rsidRPr="0046155E">
        <w:rPr>
          <w:rFonts w:ascii="Times New Roman" w:hAnsi="Times New Roman" w:cs="Times New Roman"/>
          <w:sz w:val="24"/>
          <w:szCs w:val="24"/>
        </w:rPr>
        <w:t xml:space="preserve"> at 18 months follow-up </w:t>
      </w:r>
      <w:r w:rsidR="0021442B" w:rsidRPr="0046155E">
        <w:rPr>
          <w:rFonts w:ascii="Times New Roman" w:hAnsi="Times New Roman" w:cs="Times New Roman"/>
          <w:sz w:val="24"/>
          <w:szCs w:val="24"/>
        </w:rPr>
        <w:t>w</w:t>
      </w:r>
      <w:r w:rsidR="0023420C" w:rsidRPr="0046155E">
        <w:rPr>
          <w:rFonts w:ascii="Times New Roman" w:hAnsi="Times New Roman" w:cs="Times New Roman"/>
          <w:sz w:val="24"/>
          <w:szCs w:val="24"/>
        </w:rPr>
        <w:t xml:space="preserve">ere more likely to be in group 4 compared to group 3 (unadjusted </w:t>
      </w:r>
      <w:r w:rsidR="00955FF9">
        <w:rPr>
          <w:rFonts w:ascii="Times New Roman" w:hAnsi="Times New Roman" w:cs="Times New Roman"/>
          <w:sz w:val="24"/>
          <w:szCs w:val="24"/>
        </w:rPr>
        <w:t xml:space="preserve">relative risk ratio </w:t>
      </w:r>
      <w:r w:rsidR="00B36BEA">
        <w:rPr>
          <w:rFonts w:ascii="Times New Roman" w:hAnsi="Times New Roman" w:cs="Times New Roman"/>
          <w:sz w:val="24"/>
          <w:szCs w:val="24"/>
        </w:rPr>
        <w:t>[</w:t>
      </w:r>
      <w:r w:rsidR="0023420C" w:rsidRPr="0046155E">
        <w:rPr>
          <w:rFonts w:ascii="Times New Roman" w:hAnsi="Times New Roman" w:cs="Times New Roman"/>
          <w:sz w:val="24"/>
          <w:szCs w:val="24"/>
        </w:rPr>
        <w:t>RRR</w:t>
      </w:r>
      <w:r w:rsidR="00B36BEA">
        <w:rPr>
          <w:rFonts w:ascii="Times New Roman" w:hAnsi="Times New Roman" w:cs="Times New Roman"/>
          <w:sz w:val="24"/>
          <w:szCs w:val="24"/>
        </w:rPr>
        <w:t>]</w:t>
      </w:r>
      <w:r w:rsidR="0023420C" w:rsidRPr="0046155E">
        <w:rPr>
          <w:rFonts w:ascii="Times New Roman" w:hAnsi="Times New Roman" w:cs="Times New Roman"/>
          <w:sz w:val="24"/>
          <w:szCs w:val="24"/>
        </w:rPr>
        <w:t xml:space="preserve"> (95% CI): 1.13 (1.06-1.21); adjusted RRR (95% CI): 1.42 (1.31-1.54)) (</w:t>
      </w:r>
      <w:r w:rsidR="002D46E3" w:rsidRPr="0046155E">
        <w:rPr>
          <w:rFonts w:ascii="Times New Roman" w:hAnsi="Times New Roman" w:cs="Times New Roman"/>
          <w:sz w:val="24"/>
          <w:szCs w:val="24"/>
        </w:rPr>
        <w:t>T</w:t>
      </w:r>
      <w:r w:rsidR="0023420C" w:rsidRPr="0046155E">
        <w:rPr>
          <w:rFonts w:ascii="Times New Roman" w:hAnsi="Times New Roman" w:cs="Times New Roman"/>
          <w:sz w:val="24"/>
          <w:szCs w:val="24"/>
        </w:rPr>
        <w:t xml:space="preserve">able </w:t>
      </w:r>
      <w:r w:rsidR="002D46E3" w:rsidRPr="0046155E">
        <w:rPr>
          <w:rFonts w:ascii="Times New Roman" w:hAnsi="Times New Roman" w:cs="Times New Roman"/>
          <w:sz w:val="24"/>
          <w:szCs w:val="24"/>
        </w:rPr>
        <w:t>3</w:t>
      </w:r>
      <w:r w:rsidR="0023420C" w:rsidRPr="0046155E">
        <w:rPr>
          <w:rFonts w:ascii="Times New Roman" w:hAnsi="Times New Roman" w:cs="Times New Roman"/>
          <w:sz w:val="24"/>
          <w:szCs w:val="24"/>
        </w:rPr>
        <w:t xml:space="preserve">). Patients who achieved </w:t>
      </w:r>
      <w:r w:rsidR="00CC6B61" w:rsidRPr="0046155E">
        <w:rPr>
          <w:rFonts w:ascii="Times New Roman" w:hAnsi="Times New Roman" w:cs="Times New Roman"/>
          <w:sz w:val="24"/>
          <w:szCs w:val="24"/>
        </w:rPr>
        <w:t>w</w:t>
      </w:r>
      <w:r w:rsidR="0023420C" w:rsidRPr="0046155E">
        <w:rPr>
          <w:rFonts w:ascii="Times New Roman" w:hAnsi="Times New Roman" w:cs="Times New Roman"/>
          <w:sz w:val="24"/>
          <w:szCs w:val="24"/>
        </w:rPr>
        <w:t xml:space="preserve">eight loss of </w:t>
      </w:r>
      <w:r w:rsidR="00CC6B61" w:rsidRPr="0046155E">
        <w:rPr>
          <w:rFonts w:ascii="Times New Roman" w:hAnsi="Times New Roman" w:cs="Times New Roman"/>
          <w:color w:val="000000"/>
          <w:sz w:val="24"/>
          <w:szCs w:val="24"/>
          <w:shd w:val="clear" w:color="auto" w:fill="FFFFFF"/>
        </w:rPr>
        <w:t>≥</w:t>
      </w:r>
      <w:r w:rsidR="0023420C" w:rsidRPr="0046155E">
        <w:rPr>
          <w:rFonts w:ascii="Times New Roman" w:hAnsi="Times New Roman" w:cs="Times New Roman"/>
          <w:sz w:val="24"/>
          <w:szCs w:val="24"/>
        </w:rPr>
        <w:t>10% at 18 months follow-up w</w:t>
      </w:r>
      <w:r w:rsidR="00CC6B61" w:rsidRPr="0046155E">
        <w:rPr>
          <w:rFonts w:ascii="Times New Roman" w:hAnsi="Times New Roman" w:cs="Times New Roman"/>
          <w:sz w:val="24"/>
          <w:szCs w:val="24"/>
        </w:rPr>
        <w:t>ere less likely to be in</w:t>
      </w:r>
      <w:r w:rsidR="0023420C" w:rsidRPr="0046155E">
        <w:rPr>
          <w:rFonts w:ascii="Times New Roman" w:hAnsi="Times New Roman" w:cs="Times New Roman"/>
          <w:sz w:val="24"/>
          <w:szCs w:val="24"/>
        </w:rPr>
        <w:t xml:space="preserve"> </w:t>
      </w:r>
      <w:r w:rsidR="002D46E3" w:rsidRPr="0046155E">
        <w:rPr>
          <w:rFonts w:ascii="Times New Roman" w:hAnsi="Times New Roman" w:cs="Times New Roman"/>
          <w:sz w:val="24"/>
          <w:szCs w:val="24"/>
        </w:rPr>
        <w:t>G</w:t>
      </w:r>
      <w:r w:rsidR="0023420C" w:rsidRPr="0046155E">
        <w:rPr>
          <w:rFonts w:ascii="Times New Roman" w:hAnsi="Times New Roman" w:cs="Times New Roman"/>
          <w:sz w:val="24"/>
          <w:szCs w:val="24"/>
        </w:rPr>
        <w:t xml:space="preserve">roup </w:t>
      </w:r>
      <w:r w:rsidR="00D66E6B" w:rsidRPr="0046155E">
        <w:rPr>
          <w:rFonts w:ascii="Times New Roman" w:hAnsi="Times New Roman" w:cs="Times New Roman"/>
          <w:sz w:val="24"/>
          <w:szCs w:val="24"/>
        </w:rPr>
        <w:t>2</w:t>
      </w:r>
      <w:r w:rsidR="0023420C" w:rsidRPr="0046155E">
        <w:rPr>
          <w:rFonts w:ascii="Times New Roman" w:hAnsi="Times New Roman" w:cs="Times New Roman"/>
          <w:sz w:val="24"/>
          <w:szCs w:val="24"/>
        </w:rPr>
        <w:t xml:space="preserve"> compared to </w:t>
      </w:r>
      <w:r w:rsidR="002D46E3" w:rsidRPr="0046155E">
        <w:rPr>
          <w:rFonts w:ascii="Times New Roman" w:hAnsi="Times New Roman" w:cs="Times New Roman"/>
          <w:sz w:val="24"/>
          <w:szCs w:val="24"/>
        </w:rPr>
        <w:t>G</w:t>
      </w:r>
      <w:r w:rsidR="0023420C" w:rsidRPr="0046155E">
        <w:rPr>
          <w:rFonts w:ascii="Times New Roman" w:hAnsi="Times New Roman" w:cs="Times New Roman"/>
          <w:sz w:val="24"/>
          <w:szCs w:val="24"/>
        </w:rPr>
        <w:t>roup 3 (unadjusted RRR (95% CI):</w:t>
      </w:r>
      <w:r w:rsidR="00CC6B61" w:rsidRPr="0046155E">
        <w:rPr>
          <w:rFonts w:ascii="Times New Roman" w:hAnsi="Times New Roman" w:cs="Times New Roman"/>
          <w:sz w:val="24"/>
          <w:szCs w:val="24"/>
        </w:rPr>
        <w:t xml:space="preserve"> 0.89 (0.81-0.98)</w:t>
      </w:r>
      <w:r w:rsidR="0023420C" w:rsidRPr="0046155E">
        <w:rPr>
          <w:rFonts w:ascii="Times New Roman" w:hAnsi="Times New Roman" w:cs="Times New Roman"/>
          <w:sz w:val="24"/>
          <w:szCs w:val="24"/>
        </w:rPr>
        <w:t xml:space="preserve">; adjusted RRR (95% CI): </w:t>
      </w:r>
      <w:r w:rsidR="00CC6B61" w:rsidRPr="0046155E">
        <w:rPr>
          <w:rFonts w:ascii="Times New Roman" w:hAnsi="Times New Roman" w:cs="Times New Roman"/>
          <w:sz w:val="24"/>
          <w:szCs w:val="24"/>
        </w:rPr>
        <w:t>0.89</w:t>
      </w:r>
      <w:r w:rsidR="0023420C" w:rsidRPr="0046155E">
        <w:rPr>
          <w:rFonts w:ascii="Times New Roman" w:hAnsi="Times New Roman" w:cs="Times New Roman"/>
          <w:sz w:val="24"/>
          <w:szCs w:val="24"/>
        </w:rPr>
        <w:t xml:space="preserve"> (</w:t>
      </w:r>
      <w:r w:rsidR="00CC6B61" w:rsidRPr="0046155E">
        <w:rPr>
          <w:rFonts w:ascii="Times New Roman" w:hAnsi="Times New Roman" w:cs="Times New Roman"/>
          <w:sz w:val="24"/>
          <w:szCs w:val="24"/>
        </w:rPr>
        <w:t>0.</w:t>
      </w:r>
      <w:r w:rsidR="0023420C" w:rsidRPr="0046155E">
        <w:rPr>
          <w:rFonts w:ascii="Times New Roman" w:hAnsi="Times New Roman" w:cs="Times New Roman"/>
          <w:sz w:val="24"/>
          <w:szCs w:val="24"/>
        </w:rPr>
        <w:t>8</w:t>
      </w:r>
      <w:r w:rsidR="00CC6B61" w:rsidRPr="0046155E">
        <w:rPr>
          <w:rFonts w:ascii="Times New Roman" w:hAnsi="Times New Roman" w:cs="Times New Roman"/>
          <w:sz w:val="24"/>
          <w:szCs w:val="24"/>
        </w:rPr>
        <w:t>1</w:t>
      </w:r>
      <w:r w:rsidR="0023420C" w:rsidRPr="0046155E">
        <w:rPr>
          <w:rFonts w:ascii="Times New Roman" w:hAnsi="Times New Roman" w:cs="Times New Roman"/>
          <w:sz w:val="24"/>
          <w:szCs w:val="24"/>
        </w:rPr>
        <w:t>-</w:t>
      </w:r>
      <w:r w:rsidR="00CC6B61" w:rsidRPr="0046155E">
        <w:rPr>
          <w:rFonts w:ascii="Times New Roman" w:hAnsi="Times New Roman" w:cs="Times New Roman"/>
          <w:sz w:val="24"/>
          <w:szCs w:val="24"/>
        </w:rPr>
        <w:t>0.98</w:t>
      </w:r>
      <w:r w:rsidR="0023420C" w:rsidRPr="0046155E">
        <w:rPr>
          <w:rFonts w:ascii="Times New Roman" w:hAnsi="Times New Roman" w:cs="Times New Roman"/>
          <w:sz w:val="24"/>
          <w:szCs w:val="24"/>
        </w:rPr>
        <w:t xml:space="preserve">). </w:t>
      </w:r>
      <w:r w:rsidR="00CC6B61" w:rsidRPr="0046155E">
        <w:rPr>
          <w:rFonts w:ascii="Times New Roman" w:hAnsi="Times New Roman" w:cs="Times New Roman"/>
          <w:sz w:val="24"/>
          <w:szCs w:val="24"/>
        </w:rPr>
        <w:t xml:space="preserve">Weight loss of </w:t>
      </w:r>
      <w:r w:rsidR="00CC6B61" w:rsidRPr="0046155E">
        <w:rPr>
          <w:rFonts w:ascii="Times New Roman" w:hAnsi="Times New Roman" w:cs="Times New Roman"/>
          <w:color w:val="000000"/>
          <w:sz w:val="24"/>
          <w:szCs w:val="24"/>
          <w:shd w:val="clear" w:color="auto" w:fill="FFFFFF"/>
        </w:rPr>
        <w:t>≥</w:t>
      </w:r>
      <w:r w:rsidR="00CC6B61" w:rsidRPr="0046155E">
        <w:rPr>
          <w:rFonts w:ascii="Times New Roman" w:hAnsi="Times New Roman" w:cs="Times New Roman"/>
          <w:sz w:val="24"/>
          <w:szCs w:val="24"/>
        </w:rPr>
        <w:t xml:space="preserve">10% at 18 months follow-up was associated with </w:t>
      </w:r>
      <w:r w:rsidR="002D46E3" w:rsidRPr="0046155E">
        <w:rPr>
          <w:rFonts w:ascii="Times New Roman" w:hAnsi="Times New Roman" w:cs="Times New Roman"/>
          <w:sz w:val="24"/>
          <w:szCs w:val="24"/>
        </w:rPr>
        <w:t>G</w:t>
      </w:r>
      <w:r w:rsidR="00CC6B61" w:rsidRPr="0046155E">
        <w:rPr>
          <w:rFonts w:ascii="Times New Roman" w:hAnsi="Times New Roman" w:cs="Times New Roman"/>
          <w:sz w:val="24"/>
          <w:szCs w:val="24"/>
        </w:rPr>
        <w:t xml:space="preserve">roup 1 (compared to </w:t>
      </w:r>
      <w:r w:rsidR="002D46E3" w:rsidRPr="0046155E">
        <w:rPr>
          <w:rFonts w:ascii="Times New Roman" w:hAnsi="Times New Roman" w:cs="Times New Roman"/>
          <w:sz w:val="24"/>
          <w:szCs w:val="24"/>
        </w:rPr>
        <w:t>G</w:t>
      </w:r>
      <w:r w:rsidR="00CC6B61" w:rsidRPr="0046155E">
        <w:rPr>
          <w:rFonts w:ascii="Times New Roman" w:hAnsi="Times New Roman" w:cs="Times New Roman"/>
          <w:sz w:val="24"/>
          <w:szCs w:val="24"/>
        </w:rPr>
        <w:t>roup 3) in adjusted models but not unadjusted models (</w:t>
      </w:r>
      <w:r w:rsidR="002D46E3" w:rsidRPr="0046155E">
        <w:rPr>
          <w:rFonts w:ascii="Times New Roman" w:hAnsi="Times New Roman" w:cs="Times New Roman"/>
          <w:sz w:val="24"/>
          <w:szCs w:val="24"/>
        </w:rPr>
        <w:t>T</w:t>
      </w:r>
      <w:r w:rsidR="00CC6B61" w:rsidRPr="0046155E">
        <w:rPr>
          <w:rFonts w:ascii="Times New Roman" w:hAnsi="Times New Roman" w:cs="Times New Roman"/>
          <w:sz w:val="24"/>
          <w:szCs w:val="24"/>
        </w:rPr>
        <w:t xml:space="preserve">able </w:t>
      </w:r>
      <w:r w:rsidR="002D46E3" w:rsidRPr="0046155E">
        <w:rPr>
          <w:rFonts w:ascii="Times New Roman" w:hAnsi="Times New Roman" w:cs="Times New Roman"/>
          <w:sz w:val="24"/>
          <w:szCs w:val="24"/>
        </w:rPr>
        <w:t>3</w:t>
      </w:r>
      <w:r w:rsidR="00CC6B61" w:rsidRPr="0046155E">
        <w:rPr>
          <w:rFonts w:ascii="Times New Roman" w:hAnsi="Times New Roman" w:cs="Times New Roman"/>
          <w:sz w:val="24"/>
          <w:szCs w:val="24"/>
        </w:rPr>
        <w:t>). Weight change at 18 months follow-up was examined as this was the time point at which key differences in HbA</w:t>
      </w:r>
      <w:r w:rsidR="00CC6B61" w:rsidRPr="0046155E">
        <w:rPr>
          <w:rFonts w:ascii="Times New Roman" w:hAnsi="Times New Roman" w:cs="Times New Roman"/>
          <w:sz w:val="24"/>
          <w:szCs w:val="24"/>
          <w:vertAlign w:val="subscript"/>
        </w:rPr>
        <w:t>1c</w:t>
      </w:r>
      <w:r w:rsidR="00CC6B61" w:rsidRPr="0046155E">
        <w:rPr>
          <w:rFonts w:ascii="Times New Roman" w:hAnsi="Times New Roman" w:cs="Times New Roman"/>
          <w:sz w:val="24"/>
          <w:szCs w:val="24"/>
        </w:rPr>
        <w:t xml:space="preserve"> were noted in Fig 1.</w:t>
      </w:r>
    </w:p>
    <w:p w14:paraId="38C083A8" w14:textId="1ED087E7" w:rsidR="00F97B2B" w:rsidRDefault="00F97B2B" w:rsidP="00E21AD0">
      <w:pPr>
        <w:spacing w:after="0" w:line="480" w:lineRule="auto"/>
        <w:jc w:val="both"/>
        <w:rPr>
          <w:rFonts w:ascii="Times New Roman" w:hAnsi="Times New Roman" w:cs="Times New Roman"/>
          <w:sz w:val="24"/>
          <w:szCs w:val="24"/>
        </w:rPr>
      </w:pPr>
    </w:p>
    <w:p w14:paraId="65FA7E22" w14:textId="77777777" w:rsidR="000F14C6" w:rsidRPr="0046155E" w:rsidRDefault="000F14C6" w:rsidP="000F14C6">
      <w:pPr>
        <w:rPr>
          <w:rFonts w:ascii="Times New Roman" w:hAnsi="Times New Roman" w:cs="Times New Roman"/>
          <w:b/>
          <w:bCs/>
          <w:sz w:val="24"/>
          <w:szCs w:val="24"/>
        </w:rPr>
      </w:pPr>
      <w:r w:rsidRPr="0046155E">
        <w:rPr>
          <w:rFonts w:ascii="Times New Roman" w:hAnsi="Times New Roman" w:cs="Times New Roman"/>
          <w:b/>
          <w:bCs/>
          <w:sz w:val="24"/>
          <w:szCs w:val="24"/>
        </w:rPr>
        <w:t>Table 2: Baseline characteristics by remission group in the CHIA type 2 diabetes cohort (n=60,287)</w:t>
      </w:r>
    </w:p>
    <w:tbl>
      <w:tblPr>
        <w:tblW w:w="4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221"/>
        <w:gridCol w:w="1269"/>
        <w:gridCol w:w="1409"/>
        <w:gridCol w:w="1351"/>
        <w:gridCol w:w="1274"/>
      </w:tblGrid>
      <w:tr w:rsidR="000F14C6" w:rsidRPr="00D21C22" w14:paraId="721EEA8F" w14:textId="77777777" w:rsidTr="00C516AB">
        <w:trPr>
          <w:cantSplit/>
          <w:trHeight w:val="315"/>
        </w:trPr>
        <w:tc>
          <w:tcPr>
            <w:tcW w:w="1098" w:type="pct"/>
            <w:noWrap/>
            <w:vAlign w:val="center"/>
            <w:hideMark/>
          </w:tcPr>
          <w:p w14:paraId="55C5BF4F"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w:t>
            </w:r>
          </w:p>
        </w:tc>
        <w:tc>
          <w:tcPr>
            <w:tcW w:w="730" w:type="pct"/>
            <w:noWrap/>
            <w:vAlign w:val="center"/>
            <w:hideMark/>
          </w:tcPr>
          <w:p w14:paraId="1E491530" w14:textId="77777777" w:rsidR="000F14C6" w:rsidRPr="0046155E" w:rsidRDefault="000F14C6" w:rsidP="00C516AB">
            <w:pPr>
              <w:jc w:val="cente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1</w:t>
            </w:r>
          </w:p>
          <w:p w14:paraId="74BEA3F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Achieving 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&lt;48mmol/mol (6.5%) followed by increasing 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levels</w:t>
            </w:r>
          </w:p>
        </w:tc>
        <w:tc>
          <w:tcPr>
            <w:tcW w:w="759" w:type="pct"/>
            <w:noWrap/>
            <w:vAlign w:val="center"/>
            <w:hideMark/>
          </w:tcPr>
          <w:p w14:paraId="50A4DFD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b/>
                <w:bCs/>
                <w:color w:val="000000"/>
                <w:sz w:val="20"/>
                <w:szCs w:val="20"/>
                <w:lang w:eastAsia="en-GB"/>
              </w:rPr>
              <w:t>Group 2</w:t>
            </w:r>
            <w:r w:rsidRPr="0046155E">
              <w:rPr>
                <w:rFonts w:ascii="Times New Roman" w:eastAsia="Times New Roman" w:hAnsi="Times New Roman" w:cs="Times New Roman"/>
                <w:color w:val="000000"/>
                <w:sz w:val="20"/>
                <w:szCs w:val="20"/>
                <w:lang w:eastAsia="en-GB"/>
              </w:rPr>
              <w:t xml:space="preserve"> Decreasing 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levels (&gt;48mmol/mol)  </w:t>
            </w:r>
          </w:p>
        </w:tc>
        <w:tc>
          <w:tcPr>
            <w:tcW w:w="843" w:type="pct"/>
            <w:noWrap/>
            <w:vAlign w:val="center"/>
            <w:hideMark/>
          </w:tcPr>
          <w:p w14:paraId="602B51D4" w14:textId="77777777" w:rsidR="000F14C6" w:rsidRPr="0046155E" w:rsidRDefault="000F14C6" w:rsidP="00C516AB">
            <w:pPr>
              <w:jc w:val="cente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3</w:t>
            </w:r>
          </w:p>
          <w:p w14:paraId="78EF2A5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Stable high 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levels</w:t>
            </w:r>
          </w:p>
        </w:tc>
        <w:tc>
          <w:tcPr>
            <w:tcW w:w="808" w:type="pct"/>
            <w:noWrap/>
            <w:vAlign w:val="center"/>
            <w:hideMark/>
          </w:tcPr>
          <w:p w14:paraId="0A388D99" w14:textId="77777777" w:rsidR="000F14C6" w:rsidRPr="0046155E" w:rsidRDefault="000F14C6" w:rsidP="00C516AB">
            <w:pPr>
              <w:jc w:val="cente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4</w:t>
            </w:r>
          </w:p>
          <w:p w14:paraId="369CE46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Stable low 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levels</w:t>
            </w:r>
          </w:p>
        </w:tc>
        <w:tc>
          <w:tcPr>
            <w:tcW w:w="763" w:type="pct"/>
            <w:vAlign w:val="center"/>
          </w:tcPr>
          <w:p w14:paraId="3BF2F146" w14:textId="6D757205"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P-value</w:t>
            </w:r>
            <w:r w:rsidR="00C46A22" w:rsidRPr="00CD1F9F">
              <w:rPr>
                <w:rFonts w:ascii="Times New Roman" w:eastAsia="Times New Roman" w:hAnsi="Times New Roman" w:cs="Times New Roman"/>
                <w:color w:val="000000"/>
                <w:sz w:val="20"/>
                <w:szCs w:val="20"/>
                <w:vertAlign w:val="superscript"/>
                <w:lang w:eastAsia="en-GB"/>
              </w:rPr>
              <w:t>#</w:t>
            </w:r>
          </w:p>
        </w:tc>
      </w:tr>
      <w:tr w:rsidR="000F14C6" w:rsidRPr="00AE4FEF" w14:paraId="6FB4734B" w14:textId="77777777" w:rsidTr="00C516AB">
        <w:trPr>
          <w:cantSplit/>
          <w:trHeight w:val="315"/>
        </w:trPr>
        <w:tc>
          <w:tcPr>
            <w:tcW w:w="1098" w:type="pct"/>
            <w:noWrap/>
            <w:vAlign w:val="center"/>
            <w:hideMark/>
          </w:tcPr>
          <w:p w14:paraId="271971E0" w14:textId="77777777" w:rsidR="000F14C6" w:rsidRPr="00AE4FEF" w:rsidRDefault="000F14C6" w:rsidP="00C516AB">
            <w:pPr>
              <w:rPr>
                <w:rFonts w:ascii="Times New Roman" w:eastAsia="Times New Roman" w:hAnsi="Times New Roman" w:cs="Times New Roman"/>
                <w:color w:val="000000"/>
                <w:sz w:val="20"/>
                <w:szCs w:val="20"/>
                <w:lang w:eastAsia="en-GB"/>
              </w:rPr>
            </w:pPr>
            <w:r w:rsidRPr="00AE4FEF">
              <w:rPr>
                <w:rFonts w:ascii="Times New Roman" w:eastAsia="Times New Roman" w:hAnsi="Times New Roman" w:cs="Times New Roman"/>
                <w:color w:val="000000"/>
                <w:sz w:val="20"/>
                <w:szCs w:val="20"/>
                <w:lang w:eastAsia="en-GB"/>
              </w:rPr>
              <w:t>N (%)</w:t>
            </w:r>
          </w:p>
        </w:tc>
        <w:tc>
          <w:tcPr>
            <w:tcW w:w="730" w:type="pct"/>
            <w:noWrap/>
            <w:vAlign w:val="center"/>
            <w:hideMark/>
          </w:tcPr>
          <w:p w14:paraId="16327705" w14:textId="77777777" w:rsidR="000F14C6" w:rsidRPr="00CD1F9F" w:rsidRDefault="000F14C6" w:rsidP="00C516AB">
            <w:pPr>
              <w:jc w:val="center"/>
              <w:rPr>
                <w:rFonts w:ascii="Times New Roman" w:eastAsia="Times New Roman" w:hAnsi="Times New Roman" w:cs="Times New Roman"/>
                <w:color w:val="000000"/>
                <w:sz w:val="20"/>
                <w:szCs w:val="20"/>
                <w:lang w:eastAsia="en-GB"/>
              </w:rPr>
            </w:pPr>
            <w:r w:rsidRPr="00CD1F9F">
              <w:rPr>
                <w:rFonts w:ascii="Times New Roman" w:eastAsia="Times New Roman" w:hAnsi="Times New Roman" w:cs="Times New Roman"/>
                <w:color w:val="000000"/>
                <w:sz w:val="20"/>
                <w:szCs w:val="20"/>
                <w:lang w:eastAsia="en-GB"/>
              </w:rPr>
              <w:t>8112 (13.8)</w:t>
            </w:r>
          </w:p>
        </w:tc>
        <w:tc>
          <w:tcPr>
            <w:tcW w:w="759" w:type="pct"/>
            <w:noWrap/>
            <w:vAlign w:val="center"/>
            <w:hideMark/>
          </w:tcPr>
          <w:p w14:paraId="290CA9B9" w14:textId="77777777" w:rsidR="000F14C6" w:rsidRPr="00CD1F9F" w:rsidRDefault="000F14C6" w:rsidP="00C516AB">
            <w:pPr>
              <w:jc w:val="center"/>
              <w:rPr>
                <w:rFonts w:ascii="Times New Roman" w:eastAsia="Times New Roman" w:hAnsi="Times New Roman" w:cs="Times New Roman"/>
                <w:color w:val="000000"/>
                <w:sz w:val="20"/>
                <w:szCs w:val="20"/>
                <w:lang w:eastAsia="en-GB"/>
              </w:rPr>
            </w:pPr>
            <w:r w:rsidRPr="00CD1F9F">
              <w:rPr>
                <w:rFonts w:ascii="Times New Roman" w:eastAsia="Times New Roman" w:hAnsi="Times New Roman" w:cs="Times New Roman"/>
                <w:color w:val="000000"/>
                <w:sz w:val="20"/>
                <w:szCs w:val="20"/>
                <w:lang w:eastAsia="en-GB"/>
              </w:rPr>
              <w:t>6369 (10.7)</w:t>
            </w:r>
          </w:p>
          <w:p w14:paraId="65D7ECCE" w14:textId="77777777" w:rsidR="000F14C6" w:rsidRPr="00AE4FEF" w:rsidRDefault="000F14C6" w:rsidP="00C516AB">
            <w:pPr>
              <w:jc w:val="center"/>
              <w:rPr>
                <w:rFonts w:ascii="Times New Roman" w:eastAsia="Times New Roman" w:hAnsi="Times New Roman" w:cs="Times New Roman"/>
                <w:color w:val="000000"/>
                <w:sz w:val="20"/>
                <w:szCs w:val="20"/>
                <w:lang w:eastAsia="en-GB"/>
              </w:rPr>
            </w:pPr>
          </w:p>
        </w:tc>
        <w:tc>
          <w:tcPr>
            <w:tcW w:w="843" w:type="pct"/>
            <w:noWrap/>
            <w:vAlign w:val="center"/>
            <w:hideMark/>
          </w:tcPr>
          <w:p w14:paraId="27A4896F" w14:textId="77777777" w:rsidR="000F14C6" w:rsidRPr="00CD1F9F" w:rsidRDefault="000F14C6" w:rsidP="00C516AB">
            <w:pPr>
              <w:jc w:val="center"/>
              <w:rPr>
                <w:rFonts w:ascii="Times New Roman" w:eastAsia="Times New Roman" w:hAnsi="Times New Roman" w:cs="Times New Roman"/>
                <w:color w:val="000000"/>
                <w:sz w:val="20"/>
                <w:szCs w:val="20"/>
                <w:lang w:eastAsia="en-GB"/>
              </w:rPr>
            </w:pPr>
            <w:r w:rsidRPr="00CD1F9F">
              <w:rPr>
                <w:rFonts w:ascii="Times New Roman" w:eastAsia="Times New Roman" w:hAnsi="Times New Roman" w:cs="Times New Roman"/>
                <w:color w:val="000000"/>
                <w:sz w:val="20"/>
                <w:szCs w:val="20"/>
                <w:lang w:eastAsia="en-GB"/>
              </w:rPr>
              <w:t>36557 (60.0)</w:t>
            </w:r>
          </w:p>
        </w:tc>
        <w:tc>
          <w:tcPr>
            <w:tcW w:w="808" w:type="pct"/>
            <w:noWrap/>
            <w:vAlign w:val="center"/>
          </w:tcPr>
          <w:p w14:paraId="6E391EB2" w14:textId="77777777" w:rsidR="000F14C6" w:rsidRPr="00CD1F9F" w:rsidRDefault="000F14C6" w:rsidP="00C516AB">
            <w:pPr>
              <w:jc w:val="center"/>
              <w:rPr>
                <w:rFonts w:ascii="Times New Roman" w:eastAsia="Times New Roman" w:hAnsi="Times New Roman" w:cs="Times New Roman"/>
                <w:color w:val="000000"/>
                <w:sz w:val="20"/>
                <w:szCs w:val="20"/>
                <w:lang w:eastAsia="en-GB"/>
              </w:rPr>
            </w:pPr>
            <w:r w:rsidRPr="00CD1F9F">
              <w:rPr>
                <w:rFonts w:ascii="Times New Roman" w:eastAsia="Times New Roman" w:hAnsi="Times New Roman" w:cs="Times New Roman"/>
                <w:color w:val="000000"/>
                <w:sz w:val="20"/>
                <w:szCs w:val="20"/>
                <w:lang w:eastAsia="en-GB"/>
              </w:rPr>
              <w:t>9249 (15.5)</w:t>
            </w:r>
          </w:p>
        </w:tc>
        <w:tc>
          <w:tcPr>
            <w:tcW w:w="763" w:type="pct"/>
            <w:vAlign w:val="center"/>
          </w:tcPr>
          <w:p w14:paraId="205B756C" w14:textId="77777777" w:rsidR="000F14C6" w:rsidRPr="00CD1F9F"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57A24825" w14:textId="77777777" w:rsidTr="00C516AB">
        <w:trPr>
          <w:cantSplit/>
          <w:trHeight w:val="315"/>
        </w:trPr>
        <w:tc>
          <w:tcPr>
            <w:tcW w:w="1098" w:type="pct"/>
            <w:shd w:val="clear" w:color="auto" w:fill="F2F2F2" w:themeFill="background1" w:themeFillShade="F2"/>
            <w:noWrap/>
            <w:vAlign w:val="center"/>
            <w:hideMark/>
          </w:tcPr>
          <w:p w14:paraId="78B7F3E3" w14:textId="77777777" w:rsidR="000F14C6" w:rsidRPr="0046155E" w:rsidRDefault="000F14C6"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 xml:space="preserve">Sociodemographic </w:t>
            </w:r>
          </w:p>
        </w:tc>
        <w:tc>
          <w:tcPr>
            <w:tcW w:w="3902" w:type="pct"/>
            <w:gridSpan w:val="5"/>
            <w:shd w:val="clear" w:color="auto" w:fill="F2F2F2" w:themeFill="background1" w:themeFillShade="F2"/>
            <w:vAlign w:val="center"/>
          </w:tcPr>
          <w:p w14:paraId="44143E2E" w14:textId="77777777" w:rsidR="000F14C6" w:rsidRPr="0046155E" w:rsidRDefault="000F14C6" w:rsidP="00C516AB">
            <w:pPr>
              <w:jc w:val="center"/>
              <w:rPr>
                <w:rFonts w:ascii="Times New Roman" w:eastAsia="Times New Roman" w:hAnsi="Times New Roman" w:cs="Times New Roman"/>
                <w:b/>
                <w:bCs/>
                <w:color w:val="000000"/>
                <w:sz w:val="20"/>
                <w:szCs w:val="20"/>
                <w:lang w:eastAsia="en-GB"/>
              </w:rPr>
            </w:pPr>
          </w:p>
        </w:tc>
      </w:tr>
      <w:tr w:rsidR="000F14C6" w:rsidRPr="00D21C22" w14:paraId="0BD7BC49" w14:textId="77777777" w:rsidTr="00C516AB">
        <w:trPr>
          <w:cantSplit/>
          <w:trHeight w:val="315"/>
        </w:trPr>
        <w:tc>
          <w:tcPr>
            <w:tcW w:w="1098" w:type="pct"/>
            <w:noWrap/>
            <w:vAlign w:val="center"/>
            <w:hideMark/>
          </w:tcPr>
          <w:p w14:paraId="07B6A0B1"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Age, years*</w:t>
            </w:r>
          </w:p>
        </w:tc>
        <w:tc>
          <w:tcPr>
            <w:tcW w:w="730" w:type="pct"/>
            <w:noWrap/>
            <w:vAlign w:val="center"/>
          </w:tcPr>
          <w:p w14:paraId="043F535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65.4 (11.6)</w:t>
            </w:r>
          </w:p>
        </w:tc>
        <w:tc>
          <w:tcPr>
            <w:tcW w:w="759" w:type="pct"/>
            <w:noWrap/>
            <w:vAlign w:val="center"/>
          </w:tcPr>
          <w:p w14:paraId="0C6CC41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66.8 (11.1)</w:t>
            </w:r>
          </w:p>
        </w:tc>
        <w:tc>
          <w:tcPr>
            <w:tcW w:w="843" w:type="pct"/>
            <w:noWrap/>
            <w:vAlign w:val="center"/>
          </w:tcPr>
          <w:p w14:paraId="43AB628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63.1 (12.1)</w:t>
            </w:r>
          </w:p>
        </w:tc>
        <w:tc>
          <w:tcPr>
            <w:tcW w:w="808" w:type="pct"/>
            <w:noWrap/>
            <w:vAlign w:val="center"/>
          </w:tcPr>
          <w:p w14:paraId="20EF830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67.8 (11.3)</w:t>
            </w:r>
          </w:p>
        </w:tc>
        <w:tc>
          <w:tcPr>
            <w:tcW w:w="763" w:type="pct"/>
            <w:vAlign w:val="center"/>
          </w:tcPr>
          <w:p w14:paraId="1F83516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0.419</w:t>
            </w:r>
          </w:p>
        </w:tc>
      </w:tr>
      <w:tr w:rsidR="000F14C6" w:rsidRPr="00D21C22" w14:paraId="2E2E55A7" w14:textId="77777777" w:rsidTr="00C516AB">
        <w:trPr>
          <w:cantSplit/>
          <w:trHeight w:val="315"/>
        </w:trPr>
        <w:tc>
          <w:tcPr>
            <w:tcW w:w="1098" w:type="pct"/>
            <w:noWrap/>
            <w:vAlign w:val="center"/>
            <w:hideMark/>
          </w:tcPr>
          <w:p w14:paraId="6E5EEF65"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Male gender, n (%) </w:t>
            </w:r>
          </w:p>
        </w:tc>
        <w:tc>
          <w:tcPr>
            <w:tcW w:w="730" w:type="pct"/>
            <w:noWrap/>
            <w:vAlign w:val="center"/>
          </w:tcPr>
          <w:p w14:paraId="4B12DC58"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4598 (56.7)</w:t>
            </w:r>
          </w:p>
        </w:tc>
        <w:tc>
          <w:tcPr>
            <w:tcW w:w="759" w:type="pct"/>
            <w:noWrap/>
            <w:vAlign w:val="center"/>
          </w:tcPr>
          <w:p w14:paraId="2D9BF01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3609 (56.7)</w:t>
            </w:r>
          </w:p>
        </w:tc>
        <w:tc>
          <w:tcPr>
            <w:tcW w:w="843" w:type="pct"/>
            <w:noWrap/>
            <w:vAlign w:val="center"/>
          </w:tcPr>
          <w:p w14:paraId="525761B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21302 (58.3)</w:t>
            </w:r>
          </w:p>
        </w:tc>
        <w:tc>
          <w:tcPr>
            <w:tcW w:w="808" w:type="pct"/>
            <w:noWrap/>
            <w:vAlign w:val="center"/>
          </w:tcPr>
          <w:p w14:paraId="7D4BEFB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4899 (53.0)</w:t>
            </w:r>
          </w:p>
        </w:tc>
        <w:tc>
          <w:tcPr>
            <w:tcW w:w="763" w:type="pct"/>
            <w:vAlign w:val="center"/>
          </w:tcPr>
          <w:p w14:paraId="6537F13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0.006</w:t>
            </w:r>
          </w:p>
        </w:tc>
      </w:tr>
      <w:tr w:rsidR="000F14C6" w:rsidRPr="0046155E" w14:paraId="76282DB8" w14:textId="77777777" w:rsidTr="00C516AB">
        <w:trPr>
          <w:gridAfter w:val="5"/>
          <w:wAfter w:w="3902" w:type="pct"/>
          <w:cantSplit/>
          <w:trHeight w:val="315"/>
        </w:trPr>
        <w:tc>
          <w:tcPr>
            <w:tcW w:w="1098" w:type="pct"/>
            <w:noWrap/>
            <w:vAlign w:val="center"/>
            <w:hideMark/>
          </w:tcPr>
          <w:p w14:paraId="4298ACC1"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Ethnicity, n (%) </w:t>
            </w:r>
          </w:p>
        </w:tc>
      </w:tr>
      <w:tr w:rsidR="000F14C6" w:rsidRPr="00D21C22" w14:paraId="64FCA8C1" w14:textId="77777777" w:rsidTr="00C516AB">
        <w:trPr>
          <w:cantSplit/>
          <w:trHeight w:val="315"/>
        </w:trPr>
        <w:tc>
          <w:tcPr>
            <w:tcW w:w="1098" w:type="pct"/>
            <w:noWrap/>
            <w:vAlign w:val="center"/>
            <w:hideMark/>
          </w:tcPr>
          <w:p w14:paraId="7E6EE23A"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White</w:t>
            </w:r>
          </w:p>
        </w:tc>
        <w:tc>
          <w:tcPr>
            <w:tcW w:w="730" w:type="pct"/>
            <w:noWrap/>
            <w:vAlign w:val="center"/>
          </w:tcPr>
          <w:p w14:paraId="7EE9CAF8"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7772 (95.8)</w:t>
            </w:r>
          </w:p>
        </w:tc>
        <w:tc>
          <w:tcPr>
            <w:tcW w:w="759" w:type="pct"/>
            <w:noWrap/>
            <w:vAlign w:val="center"/>
          </w:tcPr>
          <w:p w14:paraId="6A1C8EB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6132 (96.3)</w:t>
            </w:r>
          </w:p>
        </w:tc>
        <w:tc>
          <w:tcPr>
            <w:tcW w:w="843" w:type="pct"/>
            <w:noWrap/>
            <w:vAlign w:val="center"/>
          </w:tcPr>
          <w:p w14:paraId="649B0D3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35239 (96.4)</w:t>
            </w:r>
          </w:p>
        </w:tc>
        <w:tc>
          <w:tcPr>
            <w:tcW w:w="808" w:type="pct"/>
            <w:noWrap/>
            <w:vAlign w:val="center"/>
          </w:tcPr>
          <w:p w14:paraId="2B56ECE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9005 (97.4)</w:t>
            </w:r>
          </w:p>
        </w:tc>
        <w:tc>
          <w:tcPr>
            <w:tcW w:w="763" w:type="pct"/>
            <w:vAlign w:val="center"/>
          </w:tcPr>
          <w:p w14:paraId="40CBC97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42FD817E" w14:textId="77777777" w:rsidTr="00C516AB">
        <w:trPr>
          <w:cantSplit/>
          <w:trHeight w:val="315"/>
        </w:trPr>
        <w:tc>
          <w:tcPr>
            <w:tcW w:w="1098" w:type="pct"/>
            <w:noWrap/>
            <w:vAlign w:val="center"/>
            <w:hideMark/>
          </w:tcPr>
          <w:p w14:paraId="4BE2DBBD"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Black</w:t>
            </w:r>
          </w:p>
        </w:tc>
        <w:tc>
          <w:tcPr>
            <w:tcW w:w="730" w:type="pct"/>
            <w:noWrap/>
            <w:vAlign w:val="center"/>
          </w:tcPr>
          <w:p w14:paraId="5914C38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25 (0.3)</w:t>
            </w:r>
          </w:p>
        </w:tc>
        <w:tc>
          <w:tcPr>
            <w:tcW w:w="759" w:type="pct"/>
            <w:noWrap/>
            <w:vAlign w:val="center"/>
          </w:tcPr>
          <w:p w14:paraId="0C9D815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25 (0.4)</w:t>
            </w:r>
          </w:p>
        </w:tc>
        <w:tc>
          <w:tcPr>
            <w:tcW w:w="843" w:type="pct"/>
            <w:noWrap/>
            <w:vAlign w:val="center"/>
          </w:tcPr>
          <w:p w14:paraId="117786A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137 (0.4)</w:t>
            </w:r>
          </w:p>
        </w:tc>
        <w:tc>
          <w:tcPr>
            <w:tcW w:w="808" w:type="pct"/>
            <w:noWrap/>
            <w:vAlign w:val="center"/>
          </w:tcPr>
          <w:p w14:paraId="31766AC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30 (0.3)</w:t>
            </w:r>
          </w:p>
        </w:tc>
        <w:tc>
          <w:tcPr>
            <w:tcW w:w="763" w:type="pct"/>
            <w:vAlign w:val="center"/>
          </w:tcPr>
          <w:p w14:paraId="26EBE6AF"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0.858</w:t>
            </w:r>
          </w:p>
        </w:tc>
      </w:tr>
      <w:tr w:rsidR="000F14C6" w:rsidRPr="00D21C22" w14:paraId="64785FDB" w14:textId="77777777" w:rsidTr="00C516AB">
        <w:trPr>
          <w:cantSplit/>
          <w:trHeight w:val="315"/>
        </w:trPr>
        <w:tc>
          <w:tcPr>
            <w:tcW w:w="1098" w:type="pct"/>
            <w:noWrap/>
            <w:vAlign w:val="center"/>
            <w:hideMark/>
          </w:tcPr>
          <w:p w14:paraId="125DA847"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Asian</w:t>
            </w:r>
          </w:p>
        </w:tc>
        <w:tc>
          <w:tcPr>
            <w:tcW w:w="730" w:type="pct"/>
            <w:noWrap/>
            <w:vAlign w:val="center"/>
          </w:tcPr>
          <w:p w14:paraId="2E0D55A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247 (3.0)</w:t>
            </w:r>
          </w:p>
        </w:tc>
        <w:tc>
          <w:tcPr>
            <w:tcW w:w="759" w:type="pct"/>
            <w:noWrap/>
            <w:vAlign w:val="center"/>
          </w:tcPr>
          <w:p w14:paraId="509CBC4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162 (2.5)</w:t>
            </w:r>
          </w:p>
        </w:tc>
        <w:tc>
          <w:tcPr>
            <w:tcW w:w="843" w:type="pct"/>
            <w:noWrap/>
            <w:vAlign w:val="center"/>
          </w:tcPr>
          <w:p w14:paraId="27F0590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944 (2.6)</w:t>
            </w:r>
          </w:p>
        </w:tc>
        <w:tc>
          <w:tcPr>
            <w:tcW w:w="808" w:type="pct"/>
            <w:noWrap/>
            <w:vAlign w:val="center"/>
          </w:tcPr>
          <w:p w14:paraId="4A94E5F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161 (1.7)</w:t>
            </w:r>
          </w:p>
        </w:tc>
        <w:tc>
          <w:tcPr>
            <w:tcW w:w="763" w:type="pct"/>
            <w:vAlign w:val="center"/>
          </w:tcPr>
          <w:p w14:paraId="4D4829C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r w:rsidR="000F14C6" w:rsidRPr="00D21C22" w14:paraId="53060DD1" w14:textId="77777777" w:rsidTr="00C516AB">
        <w:trPr>
          <w:cantSplit/>
          <w:trHeight w:val="315"/>
        </w:trPr>
        <w:tc>
          <w:tcPr>
            <w:tcW w:w="1098" w:type="pct"/>
            <w:noWrap/>
            <w:vAlign w:val="center"/>
            <w:hideMark/>
          </w:tcPr>
          <w:p w14:paraId="79025236"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Mixed/Other</w:t>
            </w:r>
          </w:p>
        </w:tc>
        <w:tc>
          <w:tcPr>
            <w:tcW w:w="730" w:type="pct"/>
            <w:noWrap/>
            <w:vAlign w:val="center"/>
          </w:tcPr>
          <w:p w14:paraId="6918D2E8"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68 (0.8)</w:t>
            </w:r>
          </w:p>
        </w:tc>
        <w:tc>
          <w:tcPr>
            <w:tcW w:w="759" w:type="pct"/>
            <w:noWrap/>
            <w:vAlign w:val="center"/>
          </w:tcPr>
          <w:p w14:paraId="786000B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50 (0.8)</w:t>
            </w:r>
          </w:p>
        </w:tc>
        <w:tc>
          <w:tcPr>
            <w:tcW w:w="843" w:type="pct"/>
            <w:noWrap/>
            <w:vAlign w:val="center"/>
          </w:tcPr>
          <w:p w14:paraId="1607948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237 (0.6)</w:t>
            </w:r>
          </w:p>
        </w:tc>
        <w:tc>
          <w:tcPr>
            <w:tcW w:w="808" w:type="pct"/>
            <w:noWrap/>
            <w:vAlign w:val="center"/>
          </w:tcPr>
          <w:p w14:paraId="3BD95C8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53 (0.6)</w:t>
            </w:r>
          </w:p>
        </w:tc>
        <w:tc>
          <w:tcPr>
            <w:tcW w:w="763" w:type="pct"/>
            <w:vAlign w:val="center"/>
          </w:tcPr>
          <w:p w14:paraId="1CBE7E7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0.012</w:t>
            </w:r>
          </w:p>
        </w:tc>
      </w:tr>
      <w:tr w:rsidR="000F14C6" w:rsidRPr="0046155E" w14:paraId="65BCC4AC" w14:textId="77777777" w:rsidTr="00C516AB">
        <w:trPr>
          <w:gridAfter w:val="5"/>
          <w:wAfter w:w="3902" w:type="pct"/>
          <w:cantSplit/>
          <w:trHeight w:val="315"/>
        </w:trPr>
        <w:tc>
          <w:tcPr>
            <w:tcW w:w="1098" w:type="pct"/>
            <w:shd w:val="clear" w:color="auto" w:fill="auto"/>
            <w:noWrap/>
            <w:vAlign w:val="center"/>
          </w:tcPr>
          <w:p w14:paraId="2A4CF76C"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Index of Multiple Deprivation, n (%)</w:t>
            </w:r>
          </w:p>
        </w:tc>
      </w:tr>
      <w:tr w:rsidR="000F14C6" w:rsidRPr="00D21C22" w14:paraId="5FEB8759" w14:textId="77777777" w:rsidTr="00C516AB">
        <w:trPr>
          <w:cantSplit/>
          <w:trHeight w:val="315"/>
        </w:trPr>
        <w:tc>
          <w:tcPr>
            <w:tcW w:w="1098" w:type="pct"/>
            <w:noWrap/>
            <w:vAlign w:val="center"/>
            <w:hideMark/>
          </w:tcPr>
          <w:p w14:paraId="15D1DD8B"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quintile 1 (most deprived)</w:t>
            </w:r>
          </w:p>
        </w:tc>
        <w:tc>
          <w:tcPr>
            <w:tcW w:w="730" w:type="pct"/>
            <w:noWrap/>
            <w:vAlign w:val="center"/>
          </w:tcPr>
          <w:p w14:paraId="2F2CD5E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871 (10.8)</w:t>
            </w:r>
          </w:p>
        </w:tc>
        <w:tc>
          <w:tcPr>
            <w:tcW w:w="759" w:type="pct"/>
            <w:noWrap/>
            <w:vAlign w:val="center"/>
          </w:tcPr>
          <w:p w14:paraId="6617699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750 (11.8)</w:t>
            </w:r>
          </w:p>
        </w:tc>
        <w:tc>
          <w:tcPr>
            <w:tcW w:w="843" w:type="pct"/>
            <w:noWrap/>
            <w:vAlign w:val="center"/>
          </w:tcPr>
          <w:p w14:paraId="2B3AC22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4979 (13.6)</w:t>
            </w:r>
          </w:p>
        </w:tc>
        <w:tc>
          <w:tcPr>
            <w:tcW w:w="808" w:type="pct"/>
            <w:noWrap/>
            <w:vAlign w:val="center"/>
          </w:tcPr>
          <w:p w14:paraId="083785D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976 (10.5)</w:t>
            </w:r>
          </w:p>
        </w:tc>
        <w:tc>
          <w:tcPr>
            <w:tcW w:w="763" w:type="pct"/>
            <w:vMerge w:val="restart"/>
            <w:vAlign w:val="center"/>
          </w:tcPr>
          <w:p w14:paraId="55169F5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0.003</w:t>
            </w:r>
          </w:p>
        </w:tc>
      </w:tr>
      <w:tr w:rsidR="000F14C6" w:rsidRPr="00D21C22" w14:paraId="3D38AFD2" w14:textId="77777777" w:rsidTr="00C516AB">
        <w:trPr>
          <w:cantSplit/>
          <w:trHeight w:val="315"/>
        </w:trPr>
        <w:tc>
          <w:tcPr>
            <w:tcW w:w="1098" w:type="pct"/>
            <w:noWrap/>
            <w:vAlign w:val="center"/>
            <w:hideMark/>
          </w:tcPr>
          <w:p w14:paraId="69B44AC1"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quintile 2</w:t>
            </w:r>
          </w:p>
        </w:tc>
        <w:tc>
          <w:tcPr>
            <w:tcW w:w="730" w:type="pct"/>
            <w:noWrap/>
            <w:vAlign w:val="center"/>
          </w:tcPr>
          <w:p w14:paraId="44A4BDC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1575 (19.4)</w:t>
            </w:r>
          </w:p>
        </w:tc>
        <w:tc>
          <w:tcPr>
            <w:tcW w:w="759" w:type="pct"/>
            <w:noWrap/>
            <w:vAlign w:val="center"/>
          </w:tcPr>
          <w:p w14:paraId="7F1087A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1203 (18.9)</w:t>
            </w:r>
          </w:p>
        </w:tc>
        <w:tc>
          <w:tcPr>
            <w:tcW w:w="843" w:type="pct"/>
            <w:noWrap/>
            <w:vAlign w:val="center"/>
          </w:tcPr>
          <w:p w14:paraId="3831EDA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7631 (20.9)</w:t>
            </w:r>
          </w:p>
        </w:tc>
        <w:tc>
          <w:tcPr>
            <w:tcW w:w="808" w:type="pct"/>
            <w:noWrap/>
            <w:vAlign w:val="center"/>
          </w:tcPr>
          <w:p w14:paraId="6E764E5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1727 (18.7)</w:t>
            </w:r>
          </w:p>
        </w:tc>
        <w:tc>
          <w:tcPr>
            <w:tcW w:w="763" w:type="pct"/>
            <w:vMerge/>
            <w:vAlign w:val="center"/>
          </w:tcPr>
          <w:p w14:paraId="4BA9694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378C6529" w14:textId="77777777" w:rsidTr="00C516AB">
        <w:trPr>
          <w:cantSplit/>
          <w:trHeight w:val="315"/>
        </w:trPr>
        <w:tc>
          <w:tcPr>
            <w:tcW w:w="1098" w:type="pct"/>
            <w:noWrap/>
            <w:vAlign w:val="center"/>
            <w:hideMark/>
          </w:tcPr>
          <w:p w14:paraId="42BDDBC3"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quintile 3</w:t>
            </w:r>
          </w:p>
        </w:tc>
        <w:tc>
          <w:tcPr>
            <w:tcW w:w="730" w:type="pct"/>
            <w:noWrap/>
            <w:vAlign w:val="center"/>
          </w:tcPr>
          <w:p w14:paraId="08A4A4D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1487 (18.3)</w:t>
            </w:r>
          </w:p>
        </w:tc>
        <w:tc>
          <w:tcPr>
            <w:tcW w:w="759" w:type="pct"/>
            <w:noWrap/>
            <w:vAlign w:val="center"/>
          </w:tcPr>
          <w:p w14:paraId="2F541C7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1151 (18.1)</w:t>
            </w:r>
          </w:p>
        </w:tc>
        <w:tc>
          <w:tcPr>
            <w:tcW w:w="843" w:type="pct"/>
            <w:noWrap/>
            <w:vAlign w:val="center"/>
          </w:tcPr>
          <w:p w14:paraId="48D453E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7146 (19.5)</w:t>
            </w:r>
          </w:p>
        </w:tc>
        <w:tc>
          <w:tcPr>
            <w:tcW w:w="808" w:type="pct"/>
            <w:noWrap/>
            <w:vAlign w:val="center"/>
          </w:tcPr>
          <w:p w14:paraId="14A37C8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1672 (18.1)</w:t>
            </w:r>
          </w:p>
        </w:tc>
        <w:tc>
          <w:tcPr>
            <w:tcW w:w="763" w:type="pct"/>
            <w:vMerge/>
            <w:vAlign w:val="center"/>
          </w:tcPr>
          <w:p w14:paraId="5EECA54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7ABEE415" w14:textId="77777777" w:rsidTr="00C516AB">
        <w:trPr>
          <w:cantSplit/>
          <w:trHeight w:val="315"/>
        </w:trPr>
        <w:tc>
          <w:tcPr>
            <w:tcW w:w="1098" w:type="pct"/>
            <w:noWrap/>
            <w:vAlign w:val="center"/>
            <w:hideMark/>
          </w:tcPr>
          <w:p w14:paraId="2011B8BA"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quintile 4</w:t>
            </w:r>
          </w:p>
        </w:tc>
        <w:tc>
          <w:tcPr>
            <w:tcW w:w="730" w:type="pct"/>
            <w:noWrap/>
            <w:vAlign w:val="center"/>
          </w:tcPr>
          <w:p w14:paraId="62E8817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1828 (22.5)</w:t>
            </w:r>
          </w:p>
        </w:tc>
        <w:tc>
          <w:tcPr>
            <w:tcW w:w="759" w:type="pct"/>
            <w:noWrap/>
            <w:vAlign w:val="center"/>
          </w:tcPr>
          <w:p w14:paraId="0CBAF65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1413 (22.2)</w:t>
            </w:r>
          </w:p>
        </w:tc>
        <w:tc>
          <w:tcPr>
            <w:tcW w:w="843" w:type="pct"/>
            <w:noWrap/>
            <w:vAlign w:val="center"/>
          </w:tcPr>
          <w:p w14:paraId="7B8A229A" w14:textId="464120A4"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770</w:t>
            </w:r>
            <w:r w:rsidR="00D23EC7">
              <w:rPr>
                <w:rFonts w:ascii="Times New Roman" w:eastAsia="Times New Roman" w:hAnsi="Times New Roman" w:cs="Times New Roman"/>
                <w:color w:val="000000"/>
                <w:sz w:val="20"/>
                <w:szCs w:val="20"/>
                <w:lang w:eastAsia="en-GB"/>
              </w:rPr>
              <w:t>2</w:t>
            </w:r>
            <w:r w:rsidRPr="0046155E">
              <w:rPr>
                <w:rFonts w:ascii="Times New Roman" w:eastAsia="Times New Roman" w:hAnsi="Times New Roman" w:cs="Times New Roman"/>
                <w:color w:val="000000"/>
                <w:sz w:val="20"/>
                <w:szCs w:val="20"/>
                <w:lang w:eastAsia="en-GB"/>
              </w:rPr>
              <w:t xml:space="preserve"> (21.1)</w:t>
            </w:r>
          </w:p>
        </w:tc>
        <w:tc>
          <w:tcPr>
            <w:tcW w:w="808" w:type="pct"/>
            <w:noWrap/>
            <w:vAlign w:val="center"/>
          </w:tcPr>
          <w:p w14:paraId="7D5E5F7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2086 (22.5)</w:t>
            </w:r>
          </w:p>
        </w:tc>
        <w:tc>
          <w:tcPr>
            <w:tcW w:w="763" w:type="pct"/>
            <w:vMerge/>
            <w:vAlign w:val="center"/>
          </w:tcPr>
          <w:p w14:paraId="288112E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44B33895" w14:textId="77777777" w:rsidTr="00C516AB">
        <w:trPr>
          <w:cantSplit/>
          <w:trHeight w:val="315"/>
        </w:trPr>
        <w:tc>
          <w:tcPr>
            <w:tcW w:w="1098" w:type="pct"/>
            <w:noWrap/>
            <w:vAlign w:val="center"/>
            <w:hideMark/>
          </w:tcPr>
          <w:p w14:paraId="0840F45D"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quintile 5 (least deprived)</w:t>
            </w:r>
          </w:p>
        </w:tc>
        <w:tc>
          <w:tcPr>
            <w:tcW w:w="730" w:type="pct"/>
            <w:noWrap/>
            <w:vAlign w:val="center"/>
          </w:tcPr>
          <w:p w14:paraId="3EEB5BA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2351 (29.0)</w:t>
            </w:r>
          </w:p>
        </w:tc>
        <w:tc>
          <w:tcPr>
            <w:tcW w:w="759" w:type="pct"/>
            <w:noWrap/>
            <w:vAlign w:val="center"/>
          </w:tcPr>
          <w:p w14:paraId="662783D5" w14:textId="472332E1"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185</w:t>
            </w:r>
            <w:r w:rsidR="005D5394">
              <w:rPr>
                <w:rFonts w:ascii="Times New Roman" w:eastAsia="Times New Roman" w:hAnsi="Times New Roman" w:cs="Times New Roman"/>
                <w:color w:val="000000"/>
                <w:sz w:val="20"/>
                <w:szCs w:val="20"/>
                <w:lang w:eastAsia="en-GB"/>
              </w:rPr>
              <w:t>2</w:t>
            </w:r>
            <w:r w:rsidRPr="0046155E">
              <w:rPr>
                <w:rFonts w:ascii="Times New Roman" w:eastAsia="Times New Roman" w:hAnsi="Times New Roman" w:cs="Times New Roman"/>
                <w:color w:val="000000"/>
                <w:sz w:val="20"/>
                <w:szCs w:val="20"/>
                <w:lang w:eastAsia="en-GB"/>
              </w:rPr>
              <w:t xml:space="preserve"> (29.1)</w:t>
            </w:r>
          </w:p>
        </w:tc>
        <w:tc>
          <w:tcPr>
            <w:tcW w:w="843" w:type="pct"/>
            <w:noWrap/>
            <w:vAlign w:val="center"/>
          </w:tcPr>
          <w:p w14:paraId="14F979BE" w14:textId="285A4CBD"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w:t>
            </w:r>
            <w:r w:rsidR="007B5ED8">
              <w:rPr>
                <w:rFonts w:ascii="Times New Roman" w:eastAsia="Times New Roman" w:hAnsi="Times New Roman" w:cs="Times New Roman"/>
                <w:color w:val="000000"/>
                <w:sz w:val="20"/>
                <w:szCs w:val="20"/>
                <w:lang w:eastAsia="en-GB"/>
              </w:rPr>
              <w:t>099</w:t>
            </w:r>
            <w:r w:rsidRPr="0046155E">
              <w:rPr>
                <w:rFonts w:ascii="Times New Roman" w:eastAsia="Times New Roman" w:hAnsi="Times New Roman" w:cs="Times New Roman"/>
                <w:color w:val="000000"/>
                <w:sz w:val="20"/>
                <w:szCs w:val="20"/>
                <w:lang w:eastAsia="en-GB"/>
              </w:rPr>
              <w:t xml:space="preserve"> (24.9)</w:t>
            </w:r>
          </w:p>
        </w:tc>
        <w:tc>
          <w:tcPr>
            <w:tcW w:w="808" w:type="pct"/>
            <w:noWrap/>
            <w:vAlign w:val="center"/>
          </w:tcPr>
          <w:p w14:paraId="41C02F10" w14:textId="5465AA66"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278</w:t>
            </w:r>
            <w:r w:rsidR="00103DB0">
              <w:rPr>
                <w:rFonts w:ascii="Times New Roman" w:eastAsia="Times New Roman" w:hAnsi="Times New Roman" w:cs="Times New Roman"/>
                <w:color w:val="000000"/>
                <w:sz w:val="20"/>
                <w:szCs w:val="20"/>
                <w:lang w:eastAsia="en-GB"/>
              </w:rPr>
              <w:t>8</w:t>
            </w:r>
            <w:r w:rsidRPr="0046155E">
              <w:rPr>
                <w:rFonts w:ascii="Times New Roman" w:eastAsia="Times New Roman" w:hAnsi="Times New Roman" w:cs="Times New Roman"/>
                <w:color w:val="000000"/>
                <w:sz w:val="20"/>
                <w:szCs w:val="20"/>
                <w:lang w:eastAsia="en-GB"/>
              </w:rPr>
              <w:t xml:space="preserve"> (30.2)</w:t>
            </w:r>
          </w:p>
        </w:tc>
        <w:tc>
          <w:tcPr>
            <w:tcW w:w="763" w:type="pct"/>
            <w:vMerge/>
            <w:vAlign w:val="center"/>
          </w:tcPr>
          <w:p w14:paraId="04DA45C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1FFA29B4" w14:textId="77777777" w:rsidTr="00C516AB">
        <w:trPr>
          <w:cantSplit/>
          <w:trHeight w:val="315"/>
        </w:trPr>
        <w:tc>
          <w:tcPr>
            <w:tcW w:w="1098" w:type="pct"/>
            <w:shd w:val="clear" w:color="auto" w:fill="F2F2F2" w:themeFill="background1" w:themeFillShade="F2"/>
            <w:noWrap/>
            <w:vAlign w:val="center"/>
            <w:hideMark/>
          </w:tcPr>
          <w:p w14:paraId="2A8E97CD" w14:textId="77777777" w:rsidR="000F14C6" w:rsidRPr="0046155E" w:rsidRDefault="000F14C6"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Clinical</w:t>
            </w:r>
          </w:p>
        </w:tc>
        <w:tc>
          <w:tcPr>
            <w:tcW w:w="2332" w:type="pct"/>
            <w:gridSpan w:val="3"/>
            <w:shd w:val="clear" w:color="auto" w:fill="F2F2F2" w:themeFill="background1" w:themeFillShade="F2"/>
            <w:vAlign w:val="center"/>
          </w:tcPr>
          <w:p w14:paraId="3B626DF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c>
          <w:tcPr>
            <w:tcW w:w="1571" w:type="pct"/>
            <w:gridSpan w:val="2"/>
            <w:shd w:val="clear" w:color="auto" w:fill="F2F2F2" w:themeFill="background1" w:themeFillShade="F2"/>
            <w:vAlign w:val="center"/>
          </w:tcPr>
          <w:p w14:paraId="4A22469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p>
        </w:tc>
      </w:tr>
      <w:tr w:rsidR="000F14C6" w:rsidRPr="00D21C22" w14:paraId="5F3F6504" w14:textId="77777777" w:rsidTr="00C516AB">
        <w:trPr>
          <w:cantSplit/>
          <w:trHeight w:val="315"/>
        </w:trPr>
        <w:tc>
          <w:tcPr>
            <w:tcW w:w="1098" w:type="pct"/>
            <w:noWrap/>
            <w:vAlign w:val="center"/>
            <w:hideMark/>
          </w:tcPr>
          <w:p w14:paraId="5B1EAFFC"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Diabetes duration, years </w:t>
            </w:r>
          </w:p>
        </w:tc>
        <w:tc>
          <w:tcPr>
            <w:tcW w:w="730" w:type="pct"/>
            <w:noWrap/>
            <w:vAlign w:val="center"/>
          </w:tcPr>
          <w:p w14:paraId="43524F5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6.7 (6.2)</w:t>
            </w:r>
          </w:p>
        </w:tc>
        <w:tc>
          <w:tcPr>
            <w:tcW w:w="759" w:type="pct"/>
            <w:noWrap/>
            <w:vAlign w:val="center"/>
          </w:tcPr>
          <w:p w14:paraId="47BA423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7.5 (6.1)</w:t>
            </w:r>
          </w:p>
        </w:tc>
        <w:tc>
          <w:tcPr>
            <w:tcW w:w="843" w:type="pct"/>
            <w:noWrap/>
            <w:vAlign w:val="center"/>
          </w:tcPr>
          <w:p w14:paraId="4F8B767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9.1 (7.2)</w:t>
            </w:r>
          </w:p>
        </w:tc>
        <w:tc>
          <w:tcPr>
            <w:tcW w:w="808" w:type="pct"/>
            <w:noWrap/>
            <w:vAlign w:val="center"/>
          </w:tcPr>
          <w:p w14:paraId="344BE94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6.3 (5.6)</w:t>
            </w:r>
          </w:p>
        </w:tc>
        <w:tc>
          <w:tcPr>
            <w:tcW w:w="763" w:type="pct"/>
            <w:vAlign w:val="center"/>
          </w:tcPr>
          <w:p w14:paraId="5F4117E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r w:rsidR="000F14C6" w:rsidRPr="00D21C22" w14:paraId="57A7DF37" w14:textId="77777777" w:rsidTr="00C516AB">
        <w:trPr>
          <w:cantSplit/>
          <w:trHeight w:val="315"/>
        </w:trPr>
        <w:tc>
          <w:tcPr>
            <w:tcW w:w="1098" w:type="pct"/>
            <w:noWrap/>
            <w:vAlign w:val="center"/>
            <w:hideMark/>
          </w:tcPr>
          <w:p w14:paraId="1E1331B5"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Frailty Index  </w:t>
            </w:r>
          </w:p>
        </w:tc>
        <w:tc>
          <w:tcPr>
            <w:tcW w:w="730" w:type="pct"/>
            <w:noWrap/>
            <w:vAlign w:val="center"/>
          </w:tcPr>
          <w:p w14:paraId="6166ABC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759" w:type="pct"/>
            <w:noWrap/>
            <w:vAlign w:val="center"/>
          </w:tcPr>
          <w:p w14:paraId="3AD8753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843" w:type="pct"/>
            <w:noWrap/>
            <w:vAlign w:val="center"/>
          </w:tcPr>
          <w:p w14:paraId="1D149D5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808" w:type="pct"/>
            <w:noWrap/>
            <w:vAlign w:val="center"/>
          </w:tcPr>
          <w:p w14:paraId="3AE5B3F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 (0.1)</w:t>
            </w:r>
          </w:p>
        </w:tc>
        <w:tc>
          <w:tcPr>
            <w:tcW w:w="763" w:type="pct"/>
            <w:vAlign w:val="center"/>
          </w:tcPr>
          <w:p w14:paraId="19366AB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0.043</w:t>
            </w:r>
          </w:p>
        </w:tc>
      </w:tr>
      <w:tr w:rsidR="000F14C6" w:rsidRPr="00D21C22" w14:paraId="401E5E3B" w14:textId="77777777" w:rsidTr="00C516AB">
        <w:trPr>
          <w:cantSplit/>
          <w:trHeight w:val="315"/>
        </w:trPr>
        <w:tc>
          <w:tcPr>
            <w:tcW w:w="1098" w:type="pct"/>
            <w:noWrap/>
            <w:vAlign w:val="center"/>
          </w:tcPr>
          <w:p w14:paraId="5E2B35CB"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Total number baseline comorbidities </w:t>
            </w:r>
            <w:proofErr w:type="gramStart"/>
            <w:r w:rsidRPr="0046155E">
              <w:rPr>
                <w:rFonts w:ascii="Times New Roman" w:eastAsia="Times New Roman" w:hAnsi="Times New Roman" w:cs="Times New Roman"/>
                <w:color w:val="000000"/>
                <w:sz w:val="20"/>
                <w:szCs w:val="20"/>
                <w:lang w:eastAsia="en-GB"/>
              </w:rPr>
              <w:t>n(</w:t>
            </w:r>
            <w:proofErr w:type="gramEnd"/>
            <w:r w:rsidRPr="0046155E">
              <w:rPr>
                <w:rFonts w:ascii="Times New Roman" w:eastAsia="Times New Roman" w:hAnsi="Times New Roman" w:cs="Times New Roman"/>
                <w:color w:val="000000"/>
                <w:sz w:val="20"/>
                <w:szCs w:val="20"/>
                <w:lang w:eastAsia="en-GB"/>
              </w:rPr>
              <w:t>%)</w:t>
            </w:r>
          </w:p>
        </w:tc>
        <w:tc>
          <w:tcPr>
            <w:tcW w:w="730" w:type="pct"/>
            <w:noWrap/>
            <w:vAlign w:val="center"/>
          </w:tcPr>
          <w:p w14:paraId="3ABB8D6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 (1.2)</w:t>
            </w:r>
          </w:p>
        </w:tc>
        <w:tc>
          <w:tcPr>
            <w:tcW w:w="759" w:type="pct"/>
            <w:noWrap/>
            <w:vAlign w:val="center"/>
          </w:tcPr>
          <w:p w14:paraId="482C8E6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 (1.2)</w:t>
            </w:r>
          </w:p>
        </w:tc>
        <w:tc>
          <w:tcPr>
            <w:tcW w:w="843" w:type="pct"/>
            <w:noWrap/>
            <w:vAlign w:val="center"/>
          </w:tcPr>
          <w:p w14:paraId="705F9AB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 (1.2)</w:t>
            </w:r>
          </w:p>
        </w:tc>
        <w:tc>
          <w:tcPr>
            <w:tcW w:w="808" w:type="pct"/>
            <w:noWrap/>
            <w:vAlign w:val="center"/>
          </w:tcPr>
          <w:p w14:paraId="1EBE8EF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 (1.3)</w:t>
            </w:r>
          </w:p>
        </w:tc>
        <w:tc>
          <w:tcPr>
            <w:tcW w:w="763" w:type="pct"/>
            <w:vAlign w:val="center"/>
          </w:tcPr>
          <w:p w14:paraId="0F8017D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0.038</w:t>
            </w:r>
          </w:p>
        </w:tc>
      </w:tr>
      <w:tr w:rsidR="000F14C6" w:rsidRPr="00D21C22" w14:paraId="2DE74817" w14:textId="77777777" w:rsidTr="00C516AB">
        <w:trPr>
          <w:cantSplit/>
          <w:trHeight w:val="315"/>
        </w:trPr>
        <w:tc>
          <w:tcPr>
            <w:tcW w:w="1098" w:type="pct"/>
            <w:noWrap/>
            <w:vAlign w:val="center"/>
            <w:hideMark/>
          </w:tcPr>
          <w:p w14:paraId="6811C4D7"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Hypertension, n (%) </w:t>
            </w:r>
          </w:p>
        </w:tc>
        <w:tc>
          <w:tcPr>
            <w:tcW w:w="730" w:type="pct"/>
            <w:noWrap/>
            <w:vAlign w:val="center"/>
          </w:tcPr>
          <w:p w14:paraId="0CB949EB" w14:textId="587FE4E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4434 (54.</w:t>
            </w:r>
            <w:r w:rsidR="003A41AE">
              <w:rPr>
                <w:rFonts w:ascii="Times New Roman" w:eastAsia="Times New Roman" w:hAnsi="Times New Roman" w:cs="Times New Roman"/>
                <w:color w:val="000000"/>
                <w:sz w:val="20"/>
                <w:szCs w:val="20"/>
                <w:lang w:eastAsia="en-GB"/>
              </w:rPr>
              <w:t>7</w:t>
            </w:r>
            <w:r w:rsidRPr="0046155E">
              <w:rPr>
                <w:rFonts w:ascii="Times New Roman" w:eastAsia="Times New Roman" w:hAnsi="Times New Roman" w:cs="Times New Roman"/>
                <w:color w:val="000000"/>
                <w:sz w:val="20"/>
                <w:szCs w:val="20"/>
                <w:lang w:eastAsia="en-GB"/>
              </w:rPr>
              <w:t>)</w:t>
            </w:r>
          </w:p>
        </w:tc>
        <w:tc>
          <w:tcPr>
            <w:tcW w:w="759" w:type="pct"/>
            <w:noWrap/>
            <w:vAlign w:val="center"/>
          </w:tcPr>
          <w:p w14:paraId="3B557FB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3573 (56.1)</w:t>
            </w:r>
          </w:p>
        </w:tc>
        <w:tc>
          <w:tcPr>
            <w:tcW w:w="843" w:type="pct"/>
            <w:noWrap/>
            <w:vAlign w:val="center"/>
          </w:tcPr>
          <w:p w14:paraId="5A120E1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177726 (48.6)</w:t>
            </w:r>
          </w:p>
        </w:tc>
        <w:tc>
          <w:tcPr>
            <w:tcW w:w="808" w:type="pct"/>
            <w:noWrap/>
            <w:vAlign w:val="center"/>
          </w:tcPr>
          <w:p w14:paraId="01B3441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5089 (55.0)</w:t>
            </w:r>
          </w:p>
        </w:tc>
        <w:tc>
          <w:tcPr>
            <w:tcW w:w="763" w:type="pct"/>
            <w:vAlign w:val="center"/>
          </w:tcPr>
          <w:p w14:paraId="55475DD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r w:rsidR="000F14C6" w:rsidRPr="00D21C22" w14:paraId="4F644F64" w14:textId="77777777" w:rsidTr="00C516AB">
        <w:trPr>
          <w:cantSplit/>
          <w:trHeight w:val="315"/>
        </w:trPr>
        <w:tc>
          <w:tcPr>
            <w:tcW w:w="1098" w:type="pct"/>
            <w:noWrap/>
            <w:vAlign w:val="center"/>
            <w:hideMark/>
          </w:tcPr>
          <w:p w14:paraId="1CC55C12"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Stroke n (%)</w:t>
            </w:r>
          </w:p>
        </w:tc>
        <w:tc>
          <w:tcPr>
            <w:tcW w:w="730" w:type="pct"/>
            <w:noWrap/>
            <w:vAlign w:val="center"/>
          </w:tcPr>
          <w:p w14:paraId="5A69DD7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358 (4.4)</w:t>
            </w:r>
          </w:p>
        </w:tc>
        <w:tc>
          <w:tcPr>
            <w:tcW w:w="759" w:type="pct"/>
            <w:noWrap/>
            <w:vAlign w:val="center"/>
          </w:tcPr>
          <w:p w14:paraId="2A62815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297 (4.7)</w:t>
            </w:r>
          </w:p>
        </w:tc>
        <w:tc>
          <w:tcPr>
            <w:tcW w:w="843" w:type="pct"/>
            <w:noWrap/>
            <w:vAlign w:val="center"/>
          </w:tcPr>
          <w:p w14:paraId="2008AF4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1448 (4.0)</w:t>
            </w:r>
          </w:p>
        </w:tc>
        <w:tc>
          <w:tcPr>
            <w:tcW w:w="808" w:type="pct"/>
            <w:noWrap/>
            <w:vAlign w:val="center"/>
          </w:tcPr>
          <w:p w14:paraId="083964B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481 (5.2)</w:t>
            </w:r>
          </w:p>
        </w:tc>
        <w:tc>
          <w:tcPr>
            <w:tcW w:w="763" w:type="pct"/>
            <w:vAlign w:val="center"/>
          </w:tcPr>
          <w:p w14:paraId="1CD9176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0.353</w:t>
            </w:r>
          </w:p>
        </w:tc>
      </w:tr>
      <w:tr w:rsidR="000F14C6" w:rsidRPr="00D21C22" w14:paraId="7FA7D12F" w14:textId="77777777" w:rsidTr="00C516AB">
        <w:trPr>
          <w:cantSplit/>
          <w:trHeight w:val="315"/>
        </w:trPr>
        <w:tc>
          <w:tcPr>
            <w:tcW w:w="1098" w:type="pct"/>
            <w:noWrap/>
            <w:vAlign w:val="center"/>
            <w:hideMark/>
          </w:tcPr>
          <w:p w14:paraId="5646A244"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Myocardial Infarction n (%)</w:t>
            </w:r>
          </w:p>
        </w:tc>
        <w:tc>
          <w:tcPr>
            <w:tcW w:w="730" w:type="pct"/>
            <w:noWrap/>
            <w:vAlign w:val="center"/>
          </w:tcPr>
          <w:p w14:paraId="6ECBFCF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518 (6.4)</w:t>
            </w:r>
          </w:p>
        </w:tc>
        <w:tc>
          <w:tcPr>
            <w:tcW w:w="759" w:type="pct"/>
            <w:noWrap/>
            <w:vAlign w:val="center"/>
          </w:tcPr>
          <w:p w14:paraId="22B4900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457 (7.2)</w:t>
            </w:r>
          </w:p>
        </w:tc>
        <w:tc>
          <w:tcPr>
            <w:tcW w:w="843" w:type="pct"/>
            <w:noWrap/>
            <w:vAlign w:val="center"/>
          </w:tcPr>
          <w:p w14:paraId="0405755F"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2638 (7.2)</w:t>
            </w:r>
          </w:p>
        </w:tc>
        <w:tc>
          <w:tcPr>
            <w:tcW w:w="808" w:type="pct"/>
            <w:noWrap/>
            <w:vAlign w:val="center"/>
          </w:tcPr>
          <w:p w14:paraId="60746C6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595 (6.4)</w:t>
            </w:r>
          </w:p>
        </w:tc>
        <w:tc>
          <w:tcPr>
            <w:tcW w:w="763" w:type="pct"/>
            <w:vAlign w:val="center"/>
          </w:tcPr>
          <w:p w14:paraId="6D701378"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0.537</w:t>
            </w:r>
          </w:p>
        </w:tc>
      </w:tr>
      <w:tr w:rsidR="000F14C6" w:rsidRPr="00D21C22" w14:paraId="09944C6B" w14:textId="77777777" w:rsidTr="00C516AB">
        <w:trPr>
          <w:cantSplit/>
          <w:trHeight w:val="315"/>
        </w:trPr>
        <w:tc>
          <w:tcPr>
            <w:tcW w:w="1098" w:type="pct"/>
            <w:noWrap/>
            <w:vAlign w:val="center"/>
            <w:hideMark/>
          </w:tcPr>
          <w:p w14:paraId="6410FC2C"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Amputation n (%)</w:t>
            </w:r>
          </w:p>
        </w:tc>
        <w:tc>
          <w:tcPr>
            <w:tcW w:w="730" w:type="pct"/>
            <w:noWrap/>
            <w:vAlign w:val="center"/>
          </w:tcPr>
          <w:p w14:paraId="7AA706D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67 (0.8)</w:t>
            </w:r>
          </w:p>
        </w:tc>
        <w:tc>
          <w:tcPr>
            <w:tcW w:w="759" w:type="pct"/>
            <w:noWrap/>
            <w:vAlign w:val="center"/>
          </w:tcPr>
          <w:p w14:paraId="74BD49C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79 (1.2)</w:t>
            </w:r>
          </w:p>
        </w:tc>
        <w:tc>
          <w:tcPr>
            <w:tcW w:w="843" w:type="pct"/>
            <w:noWrap/>
            <w:vAlign w:val="center"/>
          </w:tcPr>
          <w:p w14:paraId="1CC5419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428 (1.2)</w:t>
            </w:r>
          </w:p>
        </w:tc>
        <w:tc>
          <w:tcPr>
            <w:tcW w:w="808" w:type="pct"/>
            <w:noWrap/>
            <w:vAlign w:val="center"/>
          </w:tcPr>
          <w:p w14:paraId="567160D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74 (0.8)</w:t>
            </w:r>
          </w:p>
        </w:tc>
        <w:tc>
          <w:tcPr>
            <w:tcW w:w="763" w:type="pct"/>
            <w:vAlign w:val="center"/>
          </w:tcPr>
          <w:p w14:paraId="569E14E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0.840</w:t>
            </w:r>
          </w:p>
        </w:tc>
      </w:tr>
      <w:tr w:rsidR="000F14C6" w:rsidRPr="00D21C22" w14:paraId="3BF5B8E3" w14:textId="77777777" w:rsidTr="00C516AB">
        <w:trPr>
          <w:cantSplit/>
          <w:trHeight w:val="315"/>
        </w:trPr>
        <w:tc>
          <w:tcPr>
            <w:tcW w:w="1098" w:type="pct"/>
            <w:noWrap/>
            <w:vAlign w:val="center"/>
            <w:hideMark/>
          </w:tcPr>
          <w:p w14:paraId="19445354"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Current smoker, n (%)</w:t>
            </w:r>
          </w:p>
        </w:tc>
        <w:tc>
          <w:tcPr>
            <w:tcW w:w="730" w:type="pct"/>
            <w:noWrap/>
            <w:vAlign w:val="center"/>
          </w:tcPr>
          <w:p w14:paraId="6D3D88A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832 (10.3)</w:t>
            </w:r>
          </w:p>
        </w:tc>
        <w:tc>
          <w:tcPr>
            <w:tcW w:w="759" w:type="pct"/>
            <w:noWrap/>
            <w:vAlign w:val="center"/>
          </w:tcPr>
          <w:p w14:paraId="6CB0E91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672 (10.6)</w:t>
            </w:r>
          </w:p>
        </w:tc>
        <w:tc>
          <w:tcPr>
            <w:tcW w:w="843" w:type="pct"/>
            <w:noWrap/>
            <w:vAlign w:val="center"/>
          </w:tcPr>
          <w:p w14:paraId="59EA7FE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4117 (11.3)</w:t>
            </w:r>
          </w:p>
        </w:tc>
        <w:tc>
          <w:tcPr>
            <w:tcW w:w="808" w:type="pct"/>
            <w:noWrap/>
            <w:vAlign w:val="center"/>
          </w:tcPr>
          <w:p w14:paraId="1439A07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938 (10.1)</w:t>
            </w:r>
          </w:p>
        </w:tc>
        <w:tc>
          <w:tcPr>
            <w:tcW w:w="763" w:type="pct"/>
            <w:vAlign w:val="center"/>
          </w:tcPr>
          <w:p w14:paraId="01CD4C5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0.416</w:t>
            </w:r>
          </w:p>
        </w:tc>
      </w:tr>
      <w:tr w:rsidR="000F14C6" w:rsidRPr="00D21C22" w14:paraId="23DB05F6" w14:textId="77777777" w:rsidTr="00C516AB">
        <w:trPr>
          <w:cantSplit/>
          <w:trHeight w:val="315"/>
        </w:trPr>
        <w:tc>
          <w:tcPr>
            <w:tcW w:w="1098" w:type="pct"/>
            <w:noWrap/>
            <w:vAlign w:val="center"/>
            <w:hideMark/>
          </w:tcPr>
          <w:p w14:paraId="5CC2A0CD"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kg*</w:t>
            </w:r>
          </w:p>
        </w:tc>
        <w:tc>
          <w:tcPr>
            <w:tcW w:w="730" w:type="pct"/>
            <w:noWrap/>
            <w:vAlign w:val="center"/>
          </w:tcPr>
          <w:p w14:paraId="319FBC2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89.2 (20.3)</w:t>
            </w:r>
          </w:p>
        </w:tc>
        <w:tc>
          <w:tcPr>
            <w:tcW w:w="759" w:type="pct"/>
            <w:noWrap/>
            <w:vAlign w:val="center"/>
          </w:tcPr>
          <w:p w14:paraId="580107C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90.5 (20.7)</w:t>
            </w:r>
          </w:p>
        </w:tc>
        <w:tc>
          <w:tcPr>
            <w:tcW w:w="843" w:type="pct"/>
            <w:noWrap/>
            <w:vAlign w:val="center"/>
          </w:tcPr>
          <w:p w14:paraId="3A94CD5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92.1 (20.7)</w:t>
            </w:r>
          </w:p>
        </w:tc>
        <w:tc>
          <w:tcPr>
            <w:tcW w:w="808" w:type="pct"/>
            <w:noWrap/>
            <w:vAlign w:val="center"/>
          </w:tcPr>
          <w:p w14:paraId="799741B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87.8 (20.3)</w:t>
            </w:r>
          </w:p>
        </w:tc>
        <w:tc>
          <w:tcPr>
            <w:tcW w:w="763" w:type="pct"/>
            <w:vAlign w:val="center"/>
          </w:tcPr>
          <w:p w14:paraId="3AC1475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0.954</w:t>
            </w:r>
          </w:p>
        </w:tc>
      </w:tr>
      <w:tr w:rsidR="000F14C6" w:rsidRPr="00D21C22" w14:paraId="393AA105" w14:textId="77777777" w:rsidTr="00C516AB">
        <w:trPr>
          <w:cantSplit/>
          <w:trHeight w:val="315"/>
        </w:trPr>
        <w:tc>
          <w:tcPr>
            <w:tcW w:w="1098" w:type="pct"/>
            <w:noWrap/>
            <w:vAlign w:val="center"/>
            <w:hideMark/>
          </w:tcPr>
          <w:p w14:paraId="24808609"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BMI, kg/m</w:t>
            </w:r>
            <w:r w:rsidRPr="0046155E">
              <w:rPr>
                <w:rFonts w:ascii="Times New Roman" w:eastAsia="Times New Roman" w:hAnsi="Times New Roman" w:cs="Times New Roman"/>
                <w:color w:val="000000"/>
                <w:sz w:val="20"/>
                <w:szCs w:val="20"/>
                <w:vertAlign w:val="superscript"/>
                <w:lang w:eastAsia="en-GB"/>
              </w:rPr>
              <w:t>2</w:t>
            </w:r>
            <w:r w:rsidRPr="0046155E">
              <w:rPr>
                <w:rFonts w:ascii="Times New Roman" w:eastAsia="Times New Roman" w:hAnsi="Times New Roman" w:cs="Times New Roman"/>
                <w:color w:val="000000"/>
                <w:sz w:val="20"/>
                <w:szCs w:val="20"/>
                <w:lang w:eastAsia="en-GB"/>
              </w:rPr>
              <w:t>*</w:t>
            </w:r>
          </w:p>
        </w:tc>
        <w:tc>
          <w:tcPr>
            <w:tcW w:w="730" w:type="pct"/>
            <w:noWrap/>
            <w:vAlign w:val="center"/>
          </w:tcPr>
          <w:p w14:paraId="71A2CEA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31.3 (6.3)</w:t>
            </w:r>
          </w:p>
        </w:tc>
        <w:tc>
          <w:tcPr>
            <w:tcW w:w="759" w:type="pct"/>
            <w:noWrap/>
            <w:vAlign w:val="center"/>
          </w:tcPr>
          <w:p w14:paraId="0DDFA0A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32.0 (6.4)</w:t>
            </w:r>
          </w:p>
        </w:tc>
        <w:tc>
          <w:tcPr>
            <w:tcW w:w="843" w:type="pct"/>
            <w:noWrap/>
            <w:vAlign w:val="center"/>
          </w:tcPr>
          <w:p w14:paraId="572336C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31.7 (6.3)</w:t>
            </w:r>
          </w:p>
        </w:tc>
        <w:tc>
          <w:tcPr>
            <w:tcW w:w="808" w:type="pct"/>
            <w:noWrap/>
            <w:vAlign w:val="center"/>
          </w:tcPr>
          <w:p w14:paraId="7CF86F4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30.7 (6.3)</w:t>
            </w:r>
          </w:p>
        </w:tc>
        <w:tc>
          <w:tcPr>
            <w:tcW w:w="763" w:type="pct"/>
            <w:vAlign w:val="center"/>
          </w:tcPr>
          <w:p w14:paraId="61D165C8"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r w:rsidR="000F14C6" w:rsidRPr="00D21C22" w14:paraId="36F14B87" w14:textId="77777777" w:rsidTr="00C516AB">
        <w:trPr>
          <w:cantSplit/>
          <w:trHeight w:val="315"/>
        </w:trPr>
        <w:tc>
          <w:tcPr>
            <w:tcW w:w="1098" w:type="pct"/>
            <w:noWrap/>
            <w:vAlign w:val="center"/>
            <w:hideMark/>
          </w:tcPr>
          <w:p w14:paraId="193FFDDB"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Systolic blood pressure, mmHg* </w:t>
            </w:r>
          </w:p>
        </w:tc>
        <w:tc>
          <w:tcPr>
            <w:tcW w:w="730" w:type="pct"/>
            <w:noWrap/>
            <w:vAlign w:val="center"/>
          </w:tcPr>
          <w:p w14:paraId="46FA8783" w14:textId="77777777" w:rsidR="000F14C6" w:rsidRPr="0046155E" w:rsidRDefault="000F14C6" w:rsidP="00C516AB">
            <w:pPr>
              <w:jc w:val="cente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136.0 (15.2)</w:t>
            </w:r>
          </w:p>
        </w:tc>
        <w:tc>
          <w:tcPr>
            <w:tcW w:w="759" w:type="pct"/>
            <w:noWrap/>
            <w:vAlign w:val="center"/>
          </w:tcPr>
          <w:p w14:paraId="142D74F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136.9 (15.4)</w:t>
            </w:r>
          </w:p>
        </w:tc>
        <w:tc>
          <w:tcPr>
            <w:tcW w:w="843" w:type="pct"/>
            <w:noWrap/>
            <w:vAlign w:val="center"/>
          </w:tcPr>
          <w:p w14:paraId="2EED39C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136.1 (15.4)</w:t>
            </w:r>
          </w:p>
        </w:tc>
        <w:tc>
          <w:tcPr>
            <w:tcW w:w="808" w:type="pct"/>
            <w:noWrap/>
            <w:vAlign w:val="center"/>
          </w:tcPr>
          <w:p w14:paraId="5DCDEEB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135.7 (15.5)</w:t>
            </w:r>
          </w:p>
        </w:tc>
        <w:tc>
          <w:tcPr>
            <w:tcW w:w="763" w:type="pct"/>
            <w:vAlign w:val="center"/>
          </w:tcPr>
          <w:p w14:paraId="404BCC8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0.128</w:t>
            </w:r>
          </w:p>
        </w:tc>
      </w:tr>
      <w:tr w:rsidR="000F14C6" w:rsidRPr="00D21C22" w14:paraId="39754854" w14:textId="77777777" w:rsidTr="00C516AB">
        <w:trPr>
          <w:cantSplit/>
          <w:trHeight w:val="315"/>
        </w:trPr>
        <w:tc>
          <w:tcPr>
            <w:tcW w:w="1098" w:type="pct"/>
            <w:noWrap/>
            <w:vAlign w:val="center"/>
            <w:hideMark/>
          </w:tcPr>
          <w:p w14:paraId="61EB4BA3"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Diastolic blood pressure, mmHg*</w:t>
            </w:r>
          </w:p>
        </w:tc>
        <w:tc>
          <w:tcPr>
            <w:tcW w:w="730" w:type="pct"/>
            <w:noWrap/>
            <w:vAlign w:val="center"/>
          </w:tcPr>
          <w:p w14:paraId="1AC1A50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77.1 (9.4)</w:t>
            </w:r>
          </w:p>
        </w:tc>
        <w:tc>
          <w:tcPr>
            <w:tcW w:w="759" w:type="pct"/>
            <w:noWrap/>
            <w:vAlign w:val="center"/>
          </w:tcPr>
          <w:p w14:paraId="11E3C35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77.0 (9.4)</w:t>
            </w:r>
          </w:p>
        </w:tc>
        <w:tc>
          <w:tcPr>
            <w:tcW w:w="843" w:type="pct"/>
            <w:noWrap/>
            <w:vAlign w:val="center"/>
          </w:tcPr>
          <w:p w14:paraId="69C9F8B5"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77.5 (9.4)</w:t>
            </w:r>
          </w:p>
        </w:tc>
        <w:tc>
          <w:tcPr>
            <w:tcW w:w="808" w:type="pct"/>
            <w:noWrap/>
            <w:vAlign w:val="center"/>
          </w:tcPr>
          <w:p w14:paraId="04572D9F"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76.4 (9.3)</w:t>
            </w:r>
          </w:p>
        </w:tc>
        <w:tc>
          <w:tcPr>
            <w:tcW w:w="763" w:type="pct"/>
            <w:vAlign w:val="center"/>
          </w:tcPr>
          <w:p w14:paraId="1F7DD58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0.044</w:t>
            </w:r>
          </w:p>
        </w:tc>
      </w:tr>
      <w:tr w:rsidR="000F14C6" w:rsidRPr="00D21C22" w14:paraId="2DBEA571" w14:textId="77777777" w:rsidTr="00C516AB">
        <w:trPr>
          <w:cantSplit/>
          <w:trHeight w:val="315"/>
        </w:trPr>
        <w:tc>
          <w:tcPr>
            <w:tcW w:w="1098" w:type="pct"/>
            <w:noWrap/>
            <w:vAlign w:val="center"/>
            <w:hideMark/>
          </w:tcPr>
          <w:p w14:paraId="63647F67" w14:textId="77777777" w:rsidR="000F14C6" w:rsidRPr="0046155E" w:rsidRDefault="000F14C6" w:rsidP="00C516AB">
            <w:pP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Total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cholesterol,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mmol/l*</w:t>
            </w:r>
          </w:p>
        </w:tc>
        <w:tc>
          <w:tcPr>
            <w:tcW w:w="730" w:type="pct"/>
            <w:noWrap/>
            <w:vAlign w:val="center"/>
          </w:tcPr>
          <w:p w14:paraId="217877CC" w14:textId="77777777" w:rsidR="000F14C6" w:rsidRPr="0046155E" w:rsidRDefault="000F14C6" w:rsidP="00C516AB">
            <w:pPr>
              <w:jc w:val="cente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4.6 (1.2)</w:t>
            </w:r>
          </w:p>
        </w:tc>
        <w:tc>
          <w:tcPr>
            <w:tcW w:w="759" w:type="pct"/>
            <w:noWrap/>
            <w:vAlign w:val="center"/>
          </w:tcPr>
          <w:p w14:paraId="25989DB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4.5 (1.2)</w:t>
            </w:r>
          </w:p>
        </w:tc>
        <w:tc>
          <w:tcPr>
            <w:tcW w:w="843" w:type="pct"/>
            <w:noWrap/>
            <w:vAlign w:val="center"/>
          </w:tcPr>
          <w:p w14:paraId="6AE7F9D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4.6 (1.2)</w:t>
            </w:r>
          </w:p>
        </w:tc>
        <w:tc>
          <w:tcPr>
            <w:tcW w:w="808" w:type="pct"/>
            <w:noWrap/>
            <w:vAlign w:val="center"/>
          </w:tcPr>
          <w:p w14:paraId="6069281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4.6 (1.2)</w:t>
            </w:r>
          </w:p>
        </w:tc>
        <w:tc>
          <w:tcPr>
            <w:tcW w:w="763" w:type="pct"/>
            <w:vAlign w:val="center"/>
          </w:tcPr>
          <w:p w14:paraId="3D34CD8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0.076</w:t>
            </w:r>
          </w:p>
        </w:tc>
      </w:tr>
      <w:tr w:rsidR="000F14C6" w:rsidRPr="00D21C22" w14:paraId="0E479AD4" w14:textId="77777777" w:rsidTr="00C516AB">
        <w:trPr>
          <w:cantSplit/>
          <w:trHeight w:val="315"/>
        </w:trPr>
        <w:tc>
          <w:tcPr>
            <w:tcW w:w="1098" w:type="pct"/>
            <w:noWrap/>
            <w:vAlign w:val="center"/>
            <w:hideMark/>
          </w:tcPr>
          <w:p w14:paraId="05DDA643" w14:textId="77777777" w:rsidR="000F14C6" w:rsidRPr="0046155E" w:rsidRDefault="000F14C6" w:rsidP="00C516AB">
            <w:pP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HDL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cholesterol,</w:t>
            </w:r>
            <w:r w:rsidRPr="0046155E">
              <w:rPr>
                <w:rFonts w:ascii="Times New Roman" w:eastAsia="Times New Roman" w:hAnsi="Times New Roman" w:cs="Times New Roman"/>
                <w:color w:val="000000"/>
                <w:sz w:val="20"/>
                <w:szCs w:val="20"/>
                <w:lang w:eastAsia="en-GB"/>
              </w:rPr>
              <w:t xml:space="preserve"> </w:t>
            </w:r>
            <w:r w:rsidRPr="0046155E">
              <w:rPr>
                <w:rFonts w:ascii="Times New Roman" w:eastAsia="Times New Roman" w:hAnsi="Times New Roman" w:cs="Times New Roman"/>
                <w:color w:val="231F20"/>
                <w:sz w:val="20"/>
                <w:szCs w:val="20"/>
                <w:lang w:eastAsia="en-GB"/>
              </w:rPr>
              <w:t>mmol/l*</w:t>
            </w:r>
          </w:p>
        </w:tc>
        <w:tc>
          <w:tcPr>
            <w:tcW w:w="730" w:type="pct"/>
            <w:noWrap/>
            <w:vAlign w:val="center"/>
          </w:tcPr>
          <w:p w14:paraId="23401363" w14:textId="77777777" w:rsidR="000F14C6" w:rsidRPr="0046155E" w:rsidRDefault="000F14C6" w:rsidP="00C516AB">
            <w:pPr>
              <w:jc w:val="center"/>
              <w:rPr>
                <w:rFonts w:ascii="Times New Roman" w:eastAsia="Times New Roman" w:hAnsi="Times New Roman" w:cs="Times New Roman"/>
                <w:color w:val="231F20"/>
                <w:sz w:val="20"/>
                <w:szCs w:val="20"/>
                <w:lang w:eastAsia="en-GB"/>
              </w:rPr>
            </w:pPr>
            <w:r w:rsidRPr="0046155E">
              <w:rPr>
                <w:rFonts w:ascii="Times New Roman" w:eastAsia="Times New Roman" w:hAnsi="Times New Roman" w:cs="Times New Roman"/>
                <w:color w:val="231F20"/>
                <w:sz w:val="20"/>
                <w:szCs w:val="20"/>
                <w:lang w:eastAsia="en-GB"/>
              </w:rPr>
              <w:t>1.2 (0.4)</w:t>
            </w:r>
          </w:p>
        </w:tc>
        <w:tc>
          <w:tcPr>
            <w:tcW w:w="759" w:type="pct"/>
            <w:noWrap/>
            <w:vAlign w:val="center"/>
          </w:tcPr>
          <w:p w14:paraId="6C34758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 (0.3)</w:t>
            </w:r>
          </w:p>
        </w:tc>
        <w:tc>
          <w:tcPr>
            <w:tcW w:w="843" w:type="pct"/>
            <w:noWrap/>
            <w:vAlign w:val="center"/>
          </w:tcPr>
          <w:p w14:paraId="338DE7E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 (0.3)</w:t>
            </w:r>
          </w:p>
        </w:tc>
        <w:tc>
          <w:tcPr>
            <w:tcW w:w="808" w:type="pct"/>
            <w:noWrap/>
            <w:vAlign w:val="center"/>
          </w:tcPr>
          <w:p w14:paraId="6607634F"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 (0.4)</w:t>
            </w:r>
          </w:p>
        </w:tc>
        <w:tc>
          <w:tcPr>
            <w:tcW w:w="763" w:type="pct"/>
            <w:vAlign w:val="center"/>
          </w:tcPr>
          <w:p w14:paraId="4479C356"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r w:rsidR="000F14C6" w:rsidRPr="00D21C22" w14:paraId="6E285072" w14:textId="77777777" w:rsidTr="00C516AB">
        <w:trPr>
          <w:cantSplit/>
          <w:trHeight w:val="315"/>
        </w:trPr>
        <w:tc>
          <w:tcPr>
            <w:tcW w:w="1098" w:type="pct"/>
            <w:noWrap/>
            <w:vAlign w:val="center"/>
            <w:hideMark/>
          </w:tcPr>
          <w:p w14:paraId="6C0B6FA9"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HbA</w:t>
            </w:r>
            <w:r w:rsidRPr="0046155E">
              <w:rPr>
                <w:rFonts w:ascii="Times New Roman" w:eastAsia="Times New Roman" w:hAnsi="Times New Roman" w:cs="Times New Roman"/>
                <w:color w:val="000000"/>
                <w:sz w:val="20"/>
                <w:szCs w:val="20"/>
                <w:vertAlign w:val="subscript"/>
                <w:lang w:eastAsia="en-GB"/>
              </w:rPr>
              <w:t>1c</w:t>
            </w:r>
            <w:r w:rsidRPr="0046155E">
              <w:rPr>
                <w:rFonts w:ascii="Times New Roman" w:eastAsia="Times New Roman" w:hAnsi="Times New Roman" w:cs="Times New Roman"/>
                <w:color w:val="000000"/>
                <w:sz w:val="20"/>
                <w:szCs w:val="20"/>
                <w:lang w:eastAsia="en-GB"/>
              </w:rPr>
              <w:t xml:space="preserve"> level, mmol/mol* </w:t>
            </w:r>
          </w:p>
        </w:tc>
        <w:tc>
          <w:tcPr>
            <w:tcW w:w="730" w:type="pct"/>
            <w:noWrap/>
            <w:vAlign w:val="center"/>
          </w:tcPr>
          <w:p w14:paraId="0DC78C8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59.2 (19.9)</w:t>
            </w:r>
          </w:p>
        </w:tc>
        <w:tc>
          <w:tcPr>
            <w:tcW w:w="759" w:type="pct"/>
            <w:noWrap/>
            <w:vAlign w:val="center"/>
          </w:tcPr>
          <w:p w14:paraId="3B66BA5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59.8 (20.1)</w:t>
            </w:r>
          </w:p>
        </w:tc>
        <w:tc>
          <w:tcPr>
            <w:tcW w:w="843" w:type="pct"/>
            <w:noWrap/>
            <w:vAlign w:val="center"/>
          </w:tcPr>
          <w:p w14:paraId="6F073DE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60.5 (20.8)</w:t>
            </w:r>
          </w:p>
        </w:tc>
        <w:tc>
          <w:tcPr>
            <w:tcW w:w="808" w:type="pct"/>
            <w:noWrap/>
            <w:vAlign w:val="center"/>
          </w:tcPr>
          <w:p w14:paraId="03DF67EC"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59.2 (18.9)</w:t>
            </w:r>
          </w:p>
        </w:tc>
        <w:tc>
          <w:tcPr>
            <w:tcW w:w="763" w:type="pct"/>
            <w:vAlign w:val="center"/>
          </w:tcPr>
          <w:p w14:paraId="2CA26C7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0.764</w:t>
            </w:r>
          </w:p>
        </w:tc>
      </w:tr>
      <w:tr w:rsidR="000F14C6" w:rsidRPr="00D21C22" w14:paraId="1E0033C0" w14:textId="77777777" w:rsidTr="00C516AB">
        <w:trPr>
          <w:cantSplit/>
          <w:trHeight w:val="315"/>
        </w:trPr>
        <w:tc>
          <w:tcPr>
            <w:tcW w:w="1098" w:type="pct"/>
            <w:noWrap/>
            <w:vAlign w:val="center"/>
            <w:hideMark/>
          </w:tcPr>
          <w:p w14:paraId="1BA3143C"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eGFR</w:t>
            </w:r>
          </w:p>
        </w:tc>
        <w:tc>
          <w:tcPr>
            <w:tcW w:w="730" w:type="pct"/>
            <w:noWrap/>
            <w:vAlign w:val="center"/>
          </w:tcPr>
          <w:p w14:paraId="5A4C0E2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72.4 (16.7)</w:t>
            </w:r>
          </w:p>
        </w:tc>
        <w:tc>
          <w:tcPr>
            <w:tcW w:w="759" w:type="pct"/>
            <w:noWrap/>
            <w:vAlign w:val="center"/>
          </w:tcPr>
          <w:p w14:paraId="32C7A52B"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71.9 (16.9)</w:t>
            </w:r>
          </w:p>
        </w:tc>
        <w:tc>
          <w:tcPr>
            <w:tcW w:w="843" w:type="pct"/>
            <w:noWrap/>
            <w:vAlign w:val="center"/>
          </w:tcPr>
          <w:p w14:paraId="3018228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73.8 (17.1)</w:t>
            </w:r>
          </w:p>
        </w:tc>
        <w:tc>
          <w:tcPr>
            <w:tcW w:w="808" w:type="pct"/>
            <w:noWrap/>
            <w:vAlign w:val="center"/>
          </w:tcPr>
          <w:p w14:paraId="28F1B94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71.5 (17.1)</w:t>
            </w:r>
          </w:p>
        </w:tc>
        <w:tc>
          <w:tcPr>
            <w:tcW w:w="763" w:type="pct"/>
            <w:vAlign w:val="center"/>
          </w:tcPr>
          <w:p w14:paraId="5C5E055A"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0.237</w:t>
            </w:r>
          </w:p>
        </w:tc>
      </w:tr>
      <w:tr w:rsidR="000F14C6" w:rsidRPr="00D21C22" w14:paraId="5CA4ACFB" w14:textId="77777777" w:rsidTr="00C516AB">
        <w:trPr>
          <w:cantSplit/>
          <w:trHeight w:val="315"/>
        </w:trPr>
        <w:tc>
          <w:tcPr>
            <w:tcW w:w="1098" w:type="pct"/>
            <w:noWrap/>
            <w:vAlign w:val="center"/>
            <w:hideMark/>
          </w:tcPr>
          <w:p w14:paraId="08CE0F5D"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Total number of medications prescribed</w:t>
            </w:r>
            <w:r w:rsidRPr="0046155E">
              <w:rPr>
                <w:rFonts w:ascii="Times New Roman" w:eastAsia="Times New Roman" w:hAnsi="Times New Roman" w:cs="Times New Roman"/>
                <w:color w:val="000000"/>
                <w:sz w:val="20"/>
                <w:szCs w:val="20"/>
                <w:vertAlign w:val="superscript"/>
                <w:lang w:eastAsia="en-GB"/>
              </w:rPr>
              <w:t>#</w:t>
            </w:r>
          </w:p>
        </w:tc>
        <w:tc>
          <w:tcPr>
            <w:tcW w:w="730" w:type="pct"/>
            <w:noWrap/>
            <w:vAlign w:val="center"/>
          </w:tcPr>
          <w:p w14:paraId="6430289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3.8 (2.4)</w:t>
            </w:r>
          </w:p>
        </w:tc>
        <w:tc>
          <w:tcPr>
            <w:tcW w:w="759" w:type="pct"/>
            <w:noWrap/>
            <w:vAlign w:val="center"/>
          </w:tcPr>
          <w:p w14:paraId="26931A5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4.0 (2.4)</w:t>
            </w:r>
          </w:p>
        </w:tc>
        <w:tc>
          <w:tcPr>
            <w:tcW w:w="843" w:type="pct"/>
            <w:noWrap/>
            <w:vAlign w:val="center"/>
          </w:tcPr>
          <w:p w14:paraId="7465D5B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4.0 (2.4)</w:t>
            </w:r>
          </w:p>
        </w:tc>
        <w:tc>
          <w:tcPr>
            <w:tcW w:w="808" w:type="pct"/>
            <w:noWrap/>
            <w:vAlign w:val="center"/>
          </w:tcPr>
          <w:p w14:paraId="01C3C49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3.8 (2.4)</w:t>
            </w:r>
          </w:p>
        </w:tc>
        <w:tc>
          <w:tcPr>
            <w:tcW w:w="763" w:type="pct"/>
            <w:vAlign w:val="center"/>
          </w:tcPr>
          <w:p w14:paraId="4E598DE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0.088</w:t>
            </w:r>
          </w:p>
        </w:tc>
      </w:tr>
      <w:tr w:rsidR="000F14C6" w:rsidRPr="00D21C22" w14:paraId="02F1803C" w14:textId="77777777" w:rsidTr="00C516AB">
        <w:trPr>
          <w:cantSplit/>
          <w:trHeight w:val="315"/>
        </w:trPr>
        <w:tc>
          <w:tcPr>
            <w:tcW w:w="1098" w:type="pct"/>
            <w:noWrap/>
            <w:vAlign w:val="center"/>
            <w:hideMark/>
          </w:tcPr>
          <w:p w14:paraId="348D0B86"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Anti-hypertensive medication, n (%) </w:t>
            </w:r>
          </w:p>
        </w:tc>
        <w:tc>
          <w:tcPr>
            <w:tcW w:w="730" w:type="pct"/>
            <w:noWrap/>
            <w:vAlign w:val="center"/>
          </w:tcPr>
          <w:p w14:paraId="21FFF490"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4497 (55.4)</w:t>
            </w:r>
          </w:p>
        </w:tc>
        <w:tc>
          <w:tcPr>
            <w:tcW w:w="759" w:type="pct"/>
            <w:noWrap/>
            <w:vAlign w:val="center"/>
          </w:tcPr>
          <w:p w14:paraId="73560CD4"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3717 (58.4)</w:t>
            </w:r>
          </w:p>
        </w:tc>
        <w:tc>
          <w:tcPr>
            <w:tcW w:w="843" w:type="pct"/>
            <w:noWrap/>
            <w:vAlign w:val="center"/>
          </w:tcPr>
          <w:p w14:paraId="47371D0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18773 (51.4)</w:t>
            </w:r>
          </w:p>
        </w:tc>
        <w:tc>
          <w:tcPr>
            <w:tcW w:w="808" w:type="pct"/>
            <w:noWrap/>
            <w:vAlign w:val="center"/>
          </w:tcPr>
          <w:p w14:paraId="28613A5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5522 (59.7)</w:t>
            </w:r>
          </w:p>
        </w:tc>
        <w:tc>
          <w:tcPr>
            <w:tcW w:w="763" w:type="pct"/>
            <w:vAlign w:val="center"/>
          </w:tcPr>
          <w:p w14:paraId="3507AFD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0.950</w:t>
            </w:r>
          </w:p>
        </w:tc>
      </w:tr>
      <w:tr w:rsidR="000F14C6" w:rsidRPr="00D21C22" w14:paraId="5979F438" w14:textId="77777777" w:rsidTr="00C516AB">
        <w:trPr>
          <w:cantSplit/>
          <w:trHeight w:val="315"/>
        </w:trPr>
        <w:tc>
          <w:tcPr>
            <w:tcW w:w="1098" w:type="pct"/>
            <w:noWrap/>
            <w:vAlign w:val="center"/>
            <w:hideMark/>
          </w:tcPr>
          <w:p w14:paraId="05D128F6"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Lipid-lowering medication, n (%)</w:t>
            </w:r>
          </w:p>
        </w:tc>
        <w:tc>
          <w:tcPr>
            <w:tcW w:w="730" w:type="pct"/>
            <w:noWrap/>
            <w:vAlign w:val="center"/>
          </w:tcPr>
          <w:p w14:paraId="441D0A7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5512 (67.9)</w:t>
            </w:r>
          </w:p>
        </w:tc>
        <w:tc>
          <w:tcPr>
            <w:tcW w:w="759" w:type="pct"/>
            <w:noWrap/>
            <w:vAlign w:val="center"/>
          </w:tcPr>
          <w:p w14:paraId="292717F7"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4458 (70.0)</w:t>
            </w:r>
          </w:p>
        </w:tc>
        <w:tc>
          <w:tcPr>
            <w:tcW w:w="843" w:type="pct"/>
            <w:noWrap/>
            <w:vAlign w:val="center"/>
          </w:tcPr>
          <w:p w14:paraId="5BCF37BE"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24918 (68.2)</w:t>
            </w:r>
          </w:p>
        </w:tc>
        <w:tc>
          <w:tcPr>
            <w:tcW w:w="808" w:type="pct"/>
            <w:noWrap/>
            <w:vAlign w:val="center"/>
          </w:tcPr>
          <w:p w14:paraId="379A6C2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6104 (66.0)</w:t>
            </w:r>
          </w:p>
        </w:tc>
        <w:tc>
          <w:tcPr>
            <w:tcW w:w="763" w:type="pct"/>
            <w:vAlign w:val="center"/>
          </w:tcPr>
          <w:p w14:paraId="3A3334B6"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0.002</w:t>
            </w:r>
          </w:p>
        </w:tc>
      </w:tr>
      <w:tr w:rsidR="000F14C6" w:rsidRPr="00D21C22" w14:paraId="71AE4BF2" w14:textId="77777777" w:rsidTr="00C516AB">
        <w:trPr>
          <w:cantSplit/>
          <w:trHeight w:val="315"/>
        </w:trPr>
        <w:tc>
          <w:tcPr>
            <w:tcW w:w="1098" w:type="pct"/>
            <w:noWrap/>
            <w:vAlign w:val="center"/>
            <w:hideMark/>
          </w:tcPr>
          <w:p w14:paraId="369AFAD6" w14:textId="77777777" w:rsidR="000F14C6" w:rsidRPr="0046155E" w:rsidRDefault="000F14C6"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Hypoglycaemic medication, </w:t>
            </w:r>
            <w:proofErr w:type="gramStart"/>
            <w:r w:rsidRPr="0046155E">
              <w:rPr>
                <w:rFonts w:ascii="Times New Roman" w:eastAsia="Times New Roman" w:hAnsi="Times New Roman" w:cs="Times New Roman"/>
                <w:color w:val="000000"/>
                <w:sz w:val="20"/>
                <w:szCs w:val="20"/>
                <w:lang w:eastAsia="en-GB"/>
              </w:rPr>
              <w:t>n(</w:t>
            </w:r>
            <w:proofErr w:type="gramEnd"/>
            <w:r w:rsidRPr="0046155E">
              <w:rPr>
                <w:rFonts w:ascii="Times New Roman" w:eastAsia="Times New Roman" w:hAnsi="Times New Roman" w:cs="Times New Roman"/>
                <w:color w:val="000000"/>
                <w:sz w:val="20"/>
                <w:szCs w:val="20"/>
                <w:lang w:eastAsia="en-GB"/>
              </w:rPr>
              <w:t>%)</w:t>
            </w:r>
          </w:p>
        </w:tc>
        <w:tc>
          <w:tcPr>
            <w:tcW w:w="730" w:type="pct"/>
            <w:noWrap/>
            <w:vAlign w:val="center"/>
          </w:tcPr>
          <w:p w14:paraId="7295AC32"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5272 (65.0)</w:t>
            </w:r>
          </w:p>
        </w:tc>
        <w:tc>
          <w:tcPr>
            <w:tcW w:w="759" w:type="pct"/>
            <w:noWrap/>
            <w:vAlign w:val="center"/>
          </w:tcPr>
          <w:p w14:paraId="72FBECCD"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4337 (68.1)</w:t>
            </w:r>
          </w:p>
        </w:tc>
        <w:tc>
          <w:tcPr>
            <w:tcW w:w="843" w:type="pct"/>
            <w:noWrap/>
            <w:vAlign w:val="center"/>
          </w:tcPr>
          <w:p w14:paraId="45B87161"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26913 (73.6)</w:t>
            </w:r>
          </w:p>
        </w:tc>
        <w:tc>
          <w:tcPr>
            <w:tcW w:w="808" w:type="pct"/>
            <w:noWrap/>
            <w:vAlign w:val="center"/>
          </w:tcPr>
          <w:p w14:paraId="4FE26849"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4563 (49.3)</w:t>
            </w:r>
          </w:p>
        </w:tc>
        <w:tc>
          <w:tcPr>
            <w:tcW w:w="763" w:type="pct"/>
            <w:vAlign w:val="center"/>
          </w:tcPr>
          <w:p w14:paraId="3BC78E63" w14:textId="77777777" w:rsidR="000F14C6" w:rsidRPr="0046155E" w:rsidRDefault="000F14C6"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&lt;0.001</w:t>
            </w:r>
          </w:p>
        </w:tc>
      </w:tr>
    </w:tbl>
    <w:p w14:paraId="2E725CA7" w14:textId="537879EC" w:rsidR="000F14C6" w:rsidRDefault="000F14C6" w:rsidP="000F14C6">
      <w:pPr>
        <w:rPr>
          <w:rFonts w:ascii="Arial" w:eastAsia="Times New Roman" w:hAnsi="Arial" w:cs="Arial"/>
          <w:color w:val="000000"/>
          <w:sz w:val="20"/>
          <w:szCs w:val="20"/>
          <w:lang w:eastAsia="en-GB"/>
        </w:rPr>
      </w:pPr>
      <w:r w:rsidRPr="0046155E">
        <w:rPr>
          <w:rFonts w:ascii="Times New Roman" w:hAnsi="Times New Roman" w:cs="Times New Roman"/>
          <w:sz w:val="20"/>
          <w:szCs w:val="20"/>
        </w:rPr>
        <w:t xml:space="preserve">*Remission group determined for the 60,287 people who were </w:t>
      </w:r>
      <w:r w:rsidRPr="00E3424C">
        <w:rPr>
          <w:rFonts w:ascii="Times New Roman" w:hAnsi="Times New Roman" w:cs="Times New Roman"/>
          <w:sz w:val="20"/>
          <w:szCs w:val="20"/>
        </w:rPr>
        <w:t>alive at the first follow period (i.e. at 6 months following the start of the study) and therefore had follow-up data.</w:t>
      </w:r>
      <w:r w:rsidR="00340E36" w:rsidRPr="00E3424C">
        <w:rPr>
          <w:rFonts w:ascii="Times New Roman" w:hAnsi="Times New Roman" w:cs="Times New Roman"/>
          <w:sz w:val="20"/>
          <w:szCs w:val="20"/>
        </w:rPr>
        <w:t xml:space="preserve"> </w:t>
      </w:r>
      <w:r w:rsidR="00C46A22" w:rsidRPr="00E3424C">
        <w:rPr>
          <w:rFonts w:ascii="Times New Roman" w:hAnsi="Times New Roman" w:cs="Times New Roman"/>
          <w:sz w:val="20"/>
          <w:szCs w:val="20"/>
        </w:rPr>
        <w:t>Model F statistics from regression models reported</w:t>
      </w:r>
      <w:r w:rsidR="001C21AA" w:rsidRPr="00E3424C">
        <w:rPr>
          <w:rFonts w:ascii="Times New Roman" w:hAnsi="Times New Roman" w:cs="Times New Roman"/>
          <w:sz w:val="20"/>
          <w:szCs w:val="20"/>
        </w:rPr>
        <w:t xml:space="preserve"> here. Models used on imputed data were linear regression models for </w:t>
      </w:r>
      <w:r w:rsidR="00E3424C" w:rsidRPr="00CD1F9F">
        <w:rPr>
          <w:rFonts w:ascii="Times New Roman" w:hAnsi="Times New Roman" w:cs="Times New Roman"/>
          <w:sz w:val="20"/>
          <w:szCs w:val="20"/>
        </w:rPr>
        <w:t>continuous variables, logistic regression models for binary variables, and ordered logistic regression models for ordered categorical variables (like IMD).</w:t>
      </w:r>
      <w:r w:rsidR="00C46A22" w:rsidRPr="00E3424C">
        <w:rPr>
          <w:rFonts w:ascii="Times New Roman" w:hAnsi="Times New Roman" w:cs="Times New Roman"/>
          <w:sz w:val="20"/>
          <w:szCs w:val="20"/>
        </w:rPr>
        <w:t xml:space="preserve"> </w:t>
      </w:r>
    </w:p>
    <w:p w14:paraId="1DF62A23" w14:textId="63A28A10" w:rsidR="000F14C6" w:rsidRDefault="000F14C6" w:rsidP="000F14C6">
      <w:pPr>
        <w:rPr>
          <w:rFonts w:ascii="Times New Roman" w:hAnsi="Times New Roman" w:cs="Times New Roman"/>
          <w:b/>
          <w:bCs/>
          <w:sz w:val="24"/>
          <w:szCs w:val="24"/>
        </w:rPr>
      </w:pPr>
      <w:r w:rsidRPr="0046155E">
        <w:rPr>
          <w:rFonts w:ascii="Times New Roman" w:eastAsia="Times New Roman" w:hAnsi="Times New Roman" w:cs="Times New Roman"/>
          <w:b/>
          <w:bCs/>
          <w:color w:val="000000"/>
          <w:sz w:val="24"/>
          <w:szCs w:val="24"/>
          <w:lang w:eastAsia="en-GB"/>
        </w:rPr>
        <w:t>Table 3:</w:t>
      </w:r>
      <w:r w:rsidRPr="0046155E">
        <w:rPr>
          <w:rFonts w:ascii="Times New Roman" w:hAnsi="Times New Roman" w:cs="Times New Roman"/>
          <w:b/>
          <w:bCs/>
          <w:sz w:val="24"/>
          <w:szCs w:val="24"/>
        </w:rPr>
        <w:t xml:space="preserve"> Multinomial regression showing associations between weight change categories and group membership (compared to group 3)</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992"/>
        <w:gridCol w:w="606"/>
        <w:gridCol w:w="606"/>
        <w:gridCol w:w="908"/>
        <w:gridCol w:w="993"/>
        <w:gridCol w:w="606"/>
        <w:gridCol w:w="606"/>
        <w:gridCol w:w="908"/>
      </w:tblGrid>
      <w:tr w:rsidR="004E6697" w:rsidRPr="00CF7F98" w14:paraId="3AB61F62" w14:textId="77777777" w:rsidTr="00C516AB">
        <w:trPr>
          <w:trHeight w:val="315"/>
        </w:trPr>
        <w:tc>
          <w:tcPr>
            <w:tcW w:w="2591" w:type="dxa"/>
            <w:shd w:val="clear" w:color="auto" w:fill="auto"/>
            <w:noWrap/>
            <w:vAlign w:val="center"/>
            <w:hideMark/>
          </w:tcPr>
          <w:p w14:paraId="32ACA15D" w14:textId="77777777" w:rsidR="004E6697" w:rsidRPr="00CF7F98" w:rsidRDefault="004E6697"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3112" w:type="dxa"/>
            <w:gridSpan w:val="4"/>
            <w:shd w:val="clear" w:color="auto" w:fill="auto"/>
            <w:vAlign w:val="center"/>
            <w:hideMark/>
          </w:tcPr>
          <w:p w14:paraId="23B73851" w14:textId="77777777" w:rsidR="004E6697" w:rsidRPr="00CF7F98" w:rsidRDefault="004E6697"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Unadjusted (n= 59743)</w:t>
            </w:r>
          </w:p>
        </w:tc>
        <w:tc>
          <w:tcPr>
            <w:tcW w:w="3113" w:type="dxa"/>
            <w:gridSpan w:val="4"/>
            <w:shd w:val="clear" w:color="auto" w:fill="auto"/>
            <w:vAlign w:val="center"/>
            <w:hideMark/>
          </w:tcPr>
          <w:p w14:paraId="46F8327F" w14:textId="77777777" w:rsidR="004E6697" w:rsidRPr="00CF7F98" w:rsidRDefault="004E6697"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Adjusted</w:t>
            </w:r>
            <w:r w:rsidRPr="00CF7F98">
              <w:rPr>
                <w:rFonts w:ascii="Times New Roman" w:eastAsia="Times New Roman" w:hAnsi="Times New Roman" w:cs="Times New Roman"/>
                <w:sz w:val="20"/>
                <w:szCs w:val="20"/>
                <w:vertAlign w:val="superscript"/>
              </w:rPr>
              <w:t>#</w:t>
            </w:r>
            <w:r w:rsidRPr="00CF7F98">
              <w:rPr>
                <w:rFonts w:ascii="Times New Roman" w:eastAsia="Times New Roman" w:hAnsi="Times New Roman" w:cs="Times New Roman"/>
                <w:color w:val="000000"/>
                <w:sz w:val="20"/>
                <w:szCs w:val="20"/>
                <w:lang w:eastAsia="en-GB"/>
              </w:rPr>
              <w:t xml:space="preserve"> (n= 59598)</w:t>
            </w:r>
          </w:p>
        </w:tc>
      </w:tr>
      <w:tr w:rsidR="004E6697" w:rsidRPr="0046155E" w14:paraId="78D0242D" w14:textId="77777777" w:rsidTr="00C516AB">
        <w:trPr>
          <w:trHeight w:val="300"/>
        </w:trPr>
        <w:tc>
          <w:tcPr>
            <w:tcW w:w="2591" w:type="dxa"/>
            <w:vMerge w:val="restart"/>
            <w:shd w:val="clear" w:color="auto" w:fill="auto"/>
            <w:noWrap/>
            <w:vAlign w:val="center"/>
            <w:hideMark/>
          </w:tcPr>
          <w:p w14:paraId="77DEC5FE"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w:t>
            </w:r>
          </w:p>
        </w:tc>
        <w:tc>
          <w:tcPr>
            <w:tcW w:w="992" w:type="dxa"/>
            <w:shd w:val="clear" w:color="auto" w:fill="auto"/>
            <w:noWrap/>
            <w:vAlign w:val="center"/>
            <w:hideMark/>
          </w:tcPr>
          <w:p w14:paraId="385EA7D8"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Risk            </w:t>
            </w:r>
          </w:p>
        </w:tc>
        <w:tc>
          <w:tcPr>
            <w:tcW w:w="1212" w:type="dxa"/>
            <w:gridSpan w:val="2"/>
            <w:vMerge w:val="restart"/>
            <w:shd w:val="clear" w:color="auto" w:fill="auto"/>
            <w:noWrap/>
            <w:vAlign w:val="center"/>
            <w:hideMark/>
          </w:tcPr>
          <w:p w14:paraId="2259EC00" w14:textId="77777777" w:rsidR="004E6697" w:rsidRPr="0046155E" w:rsidRDefault="004E6697"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95% CI</w:t>
            </w:r>
          </w:p>
        </w:tc>
        <w:tc>
          <w:tcPr>
            <w:tcW w:w="908" w:type="dxa"/>
            <w:vMerge w:val="restart"/>
            <w:shd w:val="clear" w:color="auto" w:fill="auto"/>
            <w:noWrap/>
            <w:vAlign w:val="center"/>
            <w:hideMark/>
          </w:tcPr>
          <w:p w14:paraId="6EBF905E"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p-value</w:t>
            </w:r>
          </w:p>
        </w:tc>
        <w:tc>
          <w:tcPr>
            <w:tcW w:w="993" w:type="dxa"/>
            <w:shd w:val="clear" w:color="auto" w:fill="auto"/>
            <w:noWrap/>
            <w:vAlign w:val="center"/>
            <w:hideMark/>
          </w:tcPr>
          <w:p w14:paraId="46125438"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Risk            </w:t>
            </w:r>
          </w:p>
        </w:tc>
        <w:tc>
          <w:tcPr>
            <w:tcW w:w="1212" w:type="dxa"/>
            <w:gridSpan w:val="2"/>
            <w:vMerge w:val="restart"/>
            <w:shd w:val="clear" w:color="auto" w:fill="auto"/>
            <w:noWrap/>
            <w:vAlign w:val="center"/>
            <w:hideMark/>
          </w:tcPr>
          <w:p w14:paraId="4835BBBD" w14:textId="77777777" w:rsidR="004E6697" w:rsidRPr="0046155E" w:rsidRDefault="004E6697" w:rsidP="00C516AB">
            <w:pPr>
              <w:jc w:val="cente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95% CI</w:t>
            </w:r>
          </w:p>
        </w:tc>
        <w:tc>
          <w:tcPr>
            <w:tcW w:w="908" w:type="dxa"/>
            <w:vMerge w:val="restart"/>
            <w:shd w:val="clear" w:color="auto" w:fill="auto"/>
            <w:noWrap/>
            <w:vAlign w:val="center"/>
            <w:hideMark/>
          </w:tcPr>
          <w:p w14:paraId="507021DE"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p-value</w:t>
            </w:r>
          </w:p>
        </w:tc>
      </w:tr>
      <w:tr w:rsidR="004E6697" w:rsidRPr="0046155E" w14:paraId="31D426E5" w14:textId="77777777" w:rsidTr="00C516AB">
        <w:trPr>
          <w:trHeight w:val="315"/>
        </w:trPr>
        <w:tc>
          <w:tcPr>
            <w:tcW w:w="2591" w:type="dxa"/>
            <w:vMerge/>
            <w:vAlign w:val="center"/>
            <w:hideMark/>
          </w:tcPr>
          <w:p w14:paraId="6408CD14" w14:textId="77777777" w:rsidR="004E6697" w:rsidRPr="0046155E" w:rsidRDefault="004E6697" w:rsidP="00C516AB">
            <w:pPr>
              <w:rPr>
                <w:rFonts w:ascii="Times New Roman" w:eastAsia="Times New Roman" w:hAnsi="Times New Roman" w:cs="Times New Roman"/>
                <w:color w:val="000000"/>
                <w:sz w:val="20"/>
                <w:szCs w:val="20"/>
                <w:lang w:eastAsia="en-GB"/>
              </w:rPr>
            </w:pPr>
          </w:p>
        </w:tc>
        <w:tc>
          <w:tcPr>
            <w:tcW w:w="992" w:type="dxa"/>
            <w:shd w:val="clear" w:color="auto" w:fill="auto"/>
            <w:noWrap/>
            <w:vAlign w:val="center"/>
            <w:hideMark/>
          </w:tcPr>
          <w:p w14:paraId="40B0667C"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ratio</w:t>
            </w:r>
          </w:p>
        </w:tc>
        <w:tc>
          <w:tcPr>
            <w:tcW w:w="1212" w:type="dxa"/>
            <w:gridSpan w:val="2"/>
            <w:vMerge/>
            <w:vAlign w:val="center"/>
            <w:hideMark/>
          </w:tcPr>
          <w:p w14:paraId="4A58844E" w14:textId="77777777" w:rsidR="004E6697" w:rsidRPr="0046155E" w:rsidRDefault="004E6697" w:rsidP="00C516AB">
            <w:pPr>
              <w:rPr>
                <w:rFonts w:ascii="Times New Roman" w:eastAsia="Times New Roman" w:hAnsi="Times New Roman" w:cs="Times New Roman"/>
                <w:color w:val="000000"/>
                <w:sz w:val="20"/>
                <w:szCs w:val="20"/>
                <w:lang w:eastAsia="en-GB"/>
              </w:rPr>
            </w:pPr>
          </w:p>
        </w:tc>
        <w:tc>
          <w:tcPr>
            <w:tcW w:w="908" w:type="dxa"/>
            <w:vMerge/>
            <w:vAlign w:val="center"/>
            <w:hideMark/>
          </w:tcPr>
          <w:p w14:paraId="40D87555" w14:textId="77777777" w:rsidR="004E6697" w:rsidRPr="0046155E" w:rsidRDefault="004E6697" w:rsidP="00C516AB">
            <w:pPr>
              <w:rPr>
                <w:rFonts w:ascii="Times New Roman" w:eastAsia="Times New Roman" w:hAnsi="Times New Roman" w:cs="Times New Roman"/>
                <w:color w:val="000000"/>
                <w:sz w:val="20"/>
                <w:szCs w:val="20"/>
                <w:lang w:eastAsia="en-GB"/>
              </w:rPr>
            </w:pPr>
          </w:p>
        </w:tc>
        <w:tc>
          <w:tcPr>
            <w:tcW w:w="993" w:type="dxa"/>
            <w:shd w:val="clear" w:color="auto" w:fill="auto"/>
            <w:noWrap/>
            <w:vAlign w:val="center"/>
            <w:hideMark/>
          </w:tcPr>
          <w:p w14:paraId="4B1A2548" w14:textId="7777777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 xml:space="preserve">      ratio</w:t>
            </w:r>
          </w:p>
        </w:tc>
        <w:tc>
          <w:tcPr>
            <w:tcW w:w="1212" w:type="dxa"/>
            <w:gridSpan w:val="2"/>
            <w:vMerge/>
            <w:vAlign w:val="center"/>
            <w:hideMark/>
          </w:tcPr>
          <w:p w14:paraId="4515081C" w14:textId="77777777" w:rsidR="004E6697" w:rsidRPr="0046155E" w:rsidRDefault="004E6697" w:rsidP="00C516AB">
            <w:pPr>
              <w:rPr>
                <w:rFonts w:ascii="Times New Roman" w:eastAsia="Times New Roman" w:hAnsi="Times New Roman" w:cs="Times New Roman"/>
                <w:color w:val="000000"/>
                <w:sz w:val="20"/>
                <w:szCs w:val="20"/>
                <w:lang w:eastAsia="en-GB"/>
              </w:rPr>
            </w:pPr>
          </w:p>
        </w:tc>
        <w:tc>
          <w:tcPr>
            <w:tcW w:w="908" w:type="dxa"/>
            <w:vMerge/>
            <w:vAlign w:val="center"/>
            <w:hideMark/>
          </w:tcPr>
          <w:p w14:paraId="52E4E28D" w14:textId="77777777" w:rsidR="004E6697" w:rsidRPr="0046155E" w:rsidRDefault="004E6697" w:rsidP="00C516AB">
            <w:pPr>
              <w:rPr>
                <w:rFonts w:ascii="Times New Roman" w:eastAsia="Times New Roman" w:hAnsi="Times New Roman" w:cs="Times New Roman"/>
                <w:color w:val="000000"/>
                <w:sz w:val="20"/>
                <w:szCs w:val="20"/>
                <w:lang w:eastAsia="en-GB"/>
              </w:rPr>
            </w:pPr>
          </w:p>
        </w:tc>
      </w:tr>
      <w:tr w:rsidR="004E6697" w:rsidRPr="0046155E" w14:paraId="777F8065" w14:textId="77777777" w:rsidTr="00C516AB">
        <w:trPr>
          <w:trHeight w:val="300"/>
        </w:trPr>
        <w:tc>
          <w:tcPr>
            <w:tcW w:w="3583" w:type="dxa"/>
            <w:gridSpan w:val="2"/>
            <w:shd w:val="clear" w:color="auto" w:fill="auto"/>
            <w:noWrap/>
            <w:vAlign w:val="center"/>
            <w:hideMark/>
          </w:tcPr>
          <w:p w14:paraId="32E4F9B5" w14:textId="77777777" w:rsidR="004E6697" w:rsidRPr="00CF7F98" w:rsidRDefault="004E6697"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xml:space="preserve"> % Weight change category</w:t>
            </w:r>
          </w:p>
        </w:tc>
        <w:tc>
          <w:tcPr>
            <w:tcW w:w="606" w:type="dxa"/>
            <w:shd w:val="clear" w:color="auto" w:fill="auto"/>
            <w:noWrap/>
            <w:vAlign w:val="bottom"/>
            <w:hideMark/>
          </w:tcPr>
          <w:p w14:paraId="154C586B" w14:textId="77777777" w:rsidR="004E6697" w:rsidRPr="0046155E" w:rsidRDefault="004E6697" w:rsidP="00C516AB">
            <w:pPr>
              <w:rPr>
                <w:rFonts w:ascii="Times New Roman" w:eastAsia="Times New Roman" w:hAnsi="Times New Roman" w:cs="Times New Roman"/>
                <w:i/>
                <w:iCs/>
                <w:color w:val="000000"/>
                <w:sz w:val="20"/>
                <w:szCs w:val="20"/>
                <w:lang w:eastAsia="en-GB"/>
              </w:rPr>
            </w:pPr>
          </w:p>
        </w:tc>
        <w:tc>
          <w:tcPr>
            <w:tcW w:w="606" w:type="dxa"/>
            <w:shd w:val="clear" w:color="auto" w:fill="auto"/>
            <w:noWrap/>
            <w:vAlign w:val="bottom"/>
            <w:hideMark/>
          </w:tcPr>
          <w:p w14:paraId="2CE8B52C" w14:textId="77777777" w:rsidR="004E6697" w:rsidRPr="0046155E" w:rsidRDefault="004E6697" w:rsidP="00C516AB">
            <w:pPr>
              <w:rPr>
                <w:rFonts w:ascii="Times New Roman" w:eastAsia="Times New Roman" w:hAnsi="Times New Roman" w:cs="Times New Roman"/>
                <w:i/>
                <w:iCs/>
                <w:sz w:val="20"/>
                <w:szCs w:val="20"/>
                <w:lang w:eastAsia="en-GB"/>
              </w:rPr>
            </w:pPr>
          </w:p>
        </w:tc>
        <w:tc>
          <w:tcPr>
            <w:tcW w:w="908" w:type="dxa"/>
            <w:shd w:val="clear" w:color="auto" w:fill="auto"/>
            <w:noWrap/>
            <w:vAlign w:val="bottom"/>
            <w:hideMark/>
          </w:tcPr>
          <w:p w14:paraId="767B2A94" w14:textId="77777777" w:rsidR="004E6697" w:rsidRPr="0046155E" w:rsidRDefault="004E6697" w:rsidP="00C516AB">
            <w:pPr>
              <w:rPr>
                <w:rFonts w:ascii="Times New Roman" w:eastAsia="Times New Roman" w:hAnsi="Times New Roman" w:cs="Times New Roman"/>
                <w:i/>
                <w:iCs/>
                <w:sz w:val="20"/>
                <w:szCs w:val="20"/>
                <w:lang w:eastAsia="en-GB"/>
              </w:rPr>
            </w:pPr>
          </w:p>
        </w:tc>
        <w:tc>
          <w:tcPr>
            <w:tcW w:w="993" w:type="dxa"/>
            <w:shd w:val="clear" w:color="auto" w:fill="auto"/>
            <w:noWrap/>
            <w:vAlign w:val="bottom"/>
            <w:hideMark/>
          </w:tcPr>
          <w:p w14:paraId="6E1D688C" w14:textId="77777777" w:rsidR="004E6697" w:rsidRPr="0046155E" w:rsidRDefault="004E6697" w:rsidP="00C516AB">
            <w:pPr>
              <w:rPr>
                <w:rFonts w:ascii="Times New Roman" w:eastAsia="Times New Roman" w:hAnsi="Times New Roman" w:cs="Times New Roman"/>
                <w:i/>
                <w:iCs/>
                <w:sz w:val="20"/>
                <w:szCs w:val="20"/>
                <w:lang w:eastAsia="en-GB"/>
              </w:rPr>
            </w:pPr>
          </w:p>
        </w:tc>
        <w:tc>
          <w:tcPr>
            <w:tcW w:w="606" w:type="dxa"/>
            <w:shd w:val="clear" w:color="auto" w:fill="auto"/>
            <w:noWrap/>
            <w:vAlign w:val="bottom"/>
            <w:hideMark/>
          </w:tcPr>
          <w:p w14:paraId="7940BB91" w14:textId="77777777" w:rsidR="004E6697" w:rsidRPr="0046155E" w:rsidRDefault="004E6697" w:rsidP="00C516AB">
            <w:pPr>
              <w:rPr>
                <w:rFonts w:ascii="Times New Roman" w:eastAsia="Times New Roman" w:hAnsi="Times New Roman" w:cs="Times New Roman"/>
                <w:i/>
                <w:iCs/>
                <w:sz w:val="20"/>
                <w:szCs w:val="20"/>
                <w:lang w:eastAsia="en-GB"/>
              </w:rPr>
            </w:pPr>
          </w:p>
        </w:tc>
        <w:tc>
          <w:tcPr>
            <w:tcW w:w="606" w:type="dxa"/>
            <w:shd w:val="clear" w:color="auto" w:fill="auto"/>
            <w:noWrap/>
            <w:vAlign w:val="bottom"/>
            <w:hideMark/>
          </w:tcPr>
          <w:p w14:paraId="43689B7E" w14:textId="77777777" w:rsidR="004E6697" w:rsidRPr="0046155E" w:rsidRDefault="004E6697" w:rsidP="00C516AB">
            <w:pPr>
              <w:rPr>
                <w:rFonts w:ascii="Times New Roman" w:eastAsia="Times New Roman" w:hAnsi="Times New Roman" w:cs="Times New Roman"/>
                <w:i/>
                <w:iCs/>
                <w:sz w:val="20"/>
                <w:szCs w:val="20"/>
                <w:lang w:eastAsia="en-GB"/>
              </w:rPr>
            </w:pPr>
          </w:p>
        </w:tc>
        <w:tc>
          <w:tcPr>
            <w:tcW w:w="908" w:type="dxa"/>
            <w:shd w:val="clear" w:color="auto" w:fill="auto"/>
            <w:noWrap/>
            <w:vAlign w:val="bottom"/>
            <w:hideMark/>
          </w:tcPr>
          <w:p w14:paraId="1F220751" w14:textId="77777777" w:rsidR="004E6697" w:rsidRPr="0046155E" w:rsidRDefault="004E6697" w:rsidP="00C516AB">
            <w:pPr>
              <w:rPr>
                <w:rFonts w:ascii="Times New Roman" w:eastAsia="Times New Roman" w:hAnsi="Times New Roman" w:cs="Times New Roman"/>
                <w:i/>
                <w:iCs/>
                <w:sz w:val="20"/>
                <w:szCs w:val="20"/>
                <w:lang w:eastAsia="en-GB"/>
              </w:rPr>
            </w:pPr>
          </w:p>
        </w:tc>
      </w:tr>
      <w:tr w:rsidR="004E6697" w:rsidRPr="0046155E" w14:paraId="0338ACEA" w14:textId="77777777" w:rsidTr="00C516AB">
        <w:trPr>
          <w:trHeight w:val="300"/>
        </w:trPr>
        <w:tc>
          <w:tcPr>
            <w:tcW w:w="3583" w:type="dxa"/>
            <w:gridSpan w:val="2"/>
            <w:shd w:val="clear" w:color="auto" w:fill="auto"/>
            <w:noWrap/>
            <w:vAlign w:val="center"/>
          </w:tcPr>
          <w:p w14:paraId="716D97F4" w14:textId="77777777" w:rsidR="004E6697" w:rsidRPr="0046155E" w:rsidRDefault="004E6697"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1</w:t>
            </w:r>
          </w:p>
        </w:tc>
        <w:tc>
          <w:tcPr>
            <w:tcW w:w="606" w:type="dxa"/>
            <w:shd w:val="clear" w:color="auto" w:fill="auto"/>
            <w:noWrap/>
            <w:vAlign w:val="bottom"/>
          </w:tcPr>
          <w:p w14:paraId="146B4FD3" w14:textId="77777777" w:rsidR="004E6697" w:rsidRPr="0046155E" w:rsidRDefault="004E6697" w:rsidP="00C516AB">
            <w:pPr>
              <w:rPr>
                <w:rFonts w:ascii="Times New Roman" w:eastAsia="Times New Roman" w:hAnsi="Times New Roman" w:cs="Times New Roman"/>
                <w:b/>
                <w:bCs/>
                <w:color w:val="000000"/>
                <w:sz w:val="20"/>
                <w:szCs w:val="20"/>
                <w:lang w:eastAsia="en-GB"/>
              </w:rPr>
            </w:pPr>
          </w:p>
        </w:tc>
        <w:tc>
          <w:tcPr>
            <w:tcW w:w="606" w:type="dxa"/>
            <w:shd w:val="clear" w:color="auto" w:fill="auto"/>
            <w:noWrap/>
            <w:vAlign w:val="bottom"/>
          </w:tcPr>
          <w:p w14:paraId="73E1FF95"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bottom"/>
          </w:tcPr>
          <w:p w14:paraId="4016DE3B"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93" w:type="dxa"/>
            <w:shd w:val="clear" w:color="auto" w:fill="auto"/>
            <w:noWrap/>
            <w:vAlign w:val="bottom"/>
          </w:tcPr>
          <w:p w14:paraId="485854E0"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bottom"/>
          </w:tcPr>
          <w:p w14:paraId="7FBCEE3D"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bottom"/>
          </w:tcPr>
          <w:p w14:paraId="0E0C8456"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bottom"/>
          </w:tcPr>
          <w:p w14:paraId="113D998F" w14:textId="77777777" w:rsidR="004E6697" w:rsidRPr="0046155E" w:rsidRDefault="004E6697" w:rsidP="00C516AB">
            <w:pPr>
              <w:rPr>
                <w:rFonts w:ascii="Times New Roman" w:eastAsia="Times New Roman" w:hAnsi="Times New Roman" w:cs="Times New Roman"/>
                <w:b/>
                <w:bCs/>
                <w:sz w:val="20"/>
                <w:szCs w:val="20"/>
                <w:lang w:eastAsia="en-GB"/>
              </w:rPr>
            </w:pPr>
          </w:p>
        </w:tc>
      </w:tr>
      <w:tr w:rsidR="004E6697" w:rsidRPr="0046155E" w14:paraId="54671C5C" w14:textId="77777777" w:rsidTr="00C516AB">
        <w:trPr>
          <w:trHeight w:val="300"/>
        </w:trPr>
        <w:tc>
          <w:tcPr>
            <w:tcW w:w="2591" w:type="dxa"/>
            <w:shd w:val="clear" w:color="auto" w:fill="auto"/>
            <w:noWrap/>
            <w:vAlign w:val="center"/>
            <w:hideMark/>
          </w:tcPr>
          <w:p w14:paraId="304E35B2" w14:textId="7E9AF1C0"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No change or weight gain (from baseline)</w:t>
            </w:r>
            <w:r w:rsidR="00234CC3">
              <w:rPr>
                <w:rFonts w:ascii="Times New Roman" w:eastAsia="Times New Roman" w:hAnsi="Times New Roman" w:cs="Times New Roman"/>
                <w:color w:val="000000"/>
                <w:sz w:val="20"/>
                <w:szCs w:val="20"/>
                <w:lang w:eastAsia="en-GB"/>
              </w:rPr>
              <w:t xml:space="preserve"> (n=</w:t>
            </w:r>
            <w:r w:rsidR="000F4B99">
              <w:rPr>
                <w:rFonts w:ascii="Times New Roman" w:eastAsia="Times New Roman" w:hAnsi="Times New Roman" w:cs="Times New Roman"/>
                <w:color w:val="000000"/>
                <w:sz w:val="20"/>
                <w:szCs w:val="20"/>
                <w:lang w:eastAsia="en-GB"/>
              </w:rPr>
              <w:t xml:space="preserve"> </w:t>
            </w:r>
            <w:r w:rsidR="00313179">
              <w:rPr>
                <w:rFonts w:ascii="Times New Roman" w:eastAsia="Times New Roman" w:hAnsi="Times New Roman" w:cs="Times New Roman"/>
                <w:color w:val="000000"/>
                <w:sz w:val="20"/>
                <w:szCs w:val="20"/>
                <w:lang w:eastAsia="en-GB"/>
              </w:rPr>
              <w:t>4360</w:t>
            </w:r>
            <w:r w:rsidR="004A5874">
              <w:rPr>
                <w:rFonts w:ascii="Times New Roman" w:eastAsia="Times New Roman" w:hAnsi="Times New Roman" w:cs="Times New Roman"/>
                <w:color w:val="000000"/>
                <w:sz w:val="20"/>
                <w:szCs w:val="20"/>
                <w:lang w:eastAsia="en-GB"/>
              </w:rPr>
              <w:t xml:space="preserve"> </w:t>
            </w:r>
            <w:r w:rsidR="000F4B99">
              <w:rPr>
                <w:rFonts w:ascii="Times New Roman" w:eastAsia="Times New Roman" w:hAnsi="Times New Roman" w:cs="Times New Roman"/>
                <w:color w:val="000000"/>
                <w:sz w:val="20"/>
                <w:szCs w:val="20"/>
                <w:lang w:eastAsia="en-GB"/>
              </w:rPr>
              <w:t>(53.</w:t>
            </w:r>
            <w:r w:rsidR="00314745">
              <w:rPr>
                <w:rFonts w:ascii="Times New Roman" w:eastAsia="Times New Roman" w:hAnsi="Times New Roman" w:cs="Times New Roman"/>
                <w:color w:val="000000"/>
                <w:sz w:val="20"/>
                <w:szCs w:val="20"/>
                <w:lang w:eastAsia="en-GB"/>
              </w:rPr>
              <w:t>8</w:t>
            </w:r>
            <w:r w:rsidR="000F4B99">
              <w:rPr>
                <w:rFonts w:ascii="Times New Roman" w:eastAsia="Times New Roman" w:hAnsi="Times New Roman" w:cs="Times New Roman"/>
                <w:color w:val="000000"/>
                <w:sz w:val="20"/>
                <w:szCs w:val="20"/>
                <w:lang w:eastAsia="en-GB"/>
              </w:rPr>
              <w:t>%)</w:t>
            </w:r>
            <w:r w:rsidR="004A5874">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436EB95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bottom"/>
            <w:hideMark/>
          </w:tcPr>
          <w:p w14:paraId="09C940F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bottom"/>
            <w:hideMark/>
          </w:tcPr>
          <w:p w14:paraId="08CEB920"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bottom"/>
            <w:hideMark/>
          </w:tcPr>
          <w:p w14:paraId="7DA0AF3A" w14:textId="77777777" w:rsidR="004E6697" w:rsidRPr="0046155E" w:rsidRDefault="004E6697" w:rsidP="00C516AB">
            <w:pPr>
              <w:rPr>
                <w:rFonts w:ascii="Times New Roman" w:eastAsia="Times New Roman" w:hAnsi="Times New Roman" w:cs="Times New Roman"/>
                <w:sz w:val="20"/>
                <w:szCs w:val="20"/>
                <w:lang w:eastAsia="en-GB"/>
              </w:rPr>
            </w:pPr>
          </w:p>
        </w:tc>
        <w:tc>
          <w:tcPr>
            <w:tcW w:w="993" w:type="dxa"/>
            <w:shd w:val="clear" w:color="auto" w:fill="auto"/>
            <w:noWrap/>
            <w:vAlign w:val="center"/>
            <w:hideMark/>
          </w:tcPr>
          <w:p w14:paraId="186F4387"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center"/>
            <w:hideMark/>
          </w:tcPr>
          <w:p w14:paraId="7F7E4477"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bottom"/>
            <w:hideMark/>
          </w:tcPr>
          <w:p w14:paraId="2A1592CD"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bottom"/>
            <w:hideMark/>
          </w:tcPr>
          <w:p w14:paraId="18AD88D5" w14:textId="77777777" w:rsidR="004E6697" w:rsidRPr="0046155E" w:rsidRDefault="004E6697" w:rsidP="00C516AB">
            <w:pPr>
              <w:rPr>
                <w:rFonts w:ascii="Times New Roman" w:eastAsia="Times New Roman" w:hAnsi="Times New Roman" w:cs="Times New Roman"/>
                <w:sz w:val="20"/>
                <w:szCs w:val="20"/>
                <w:lang w:eastAsia="en-GB"/>
              </w:rPr>
            </w:pPr>
          </w:p>
        </w:tc>
      </w:tr>
      <w:tr w:rsidR="004E6697" w:rsidRPr="0046155E" w14:paraId="6DB5B9B5" w14:textId="77777777" w:rsidTr="00C516AB">
        <w:trPr>
          <w:trHeight w:val="300"/>
        </w:trPr>
        <w:tc>
          <w:tcPr>
            <w:tcW w:w="2591" w:type="dxa"/>
            <w:shd w:val="clear" w:color="auto" w:fill="auto"/>
            <w:noWrap/>
            <w:vAlign w:val="center"/>
            <w:hideMark/>
          </w:tcPr>
          <w:p w14:paraId="12B7CC1E" w14:textId="78DA9B66"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(≥2.5% to &lt; 5%)</w:t>
            </w:r>
            <w:r w:rsidR="00C4310C">
              <w:rPr>
                <w:rFonts w:ascii="Times New Roman" w:eastAsia="Times New Roman" w:hAnsi="Times New Roman" w:cs="Times New Roman"/>
                <w:color w:val="000000"/>
                <w:sz w:val="20"/>
                <w:szCs w:val="20"/>
                <w:lang w:eastAsia="en-GB"/>
              </w:rPr>
              <w:t xml:space="preserve"> (n=</w:t>
            </w:r>
            <w:r w:rsidR="007950F7">
              <w:rPr>
                <w:rFonts w:ascii="Times New Roman" w:eastAsia="Times New Roman" w:hAnsi="Times New Roman" w:cs="Times New Roman"/>
                <w:color w:val="000000"/>
                <w:sz w:val="20"/>
                <w:szCs w:val="20"/>
                <w:lang w:eastAsia="en-GB"/>
              </w:rPr>
              <w:t>610</w:t>
            </w:r>
            <w:r w:rsidR="00C4310C">
              <w:rPr>
                <w:rFonts w:ascii="Times New Roman" w:eastAsia="Times New Roman" w:hAnsi="Times New Roman" w:cs="Times New Roman"/>
                <w:color w:val="000000"/>
                <w:sz w:val="20"/>
                <w:szCs w:val="20"/>
                <w:lang w:eastAsia="en-GB"/>
              </w:rPr>
              <w:t xml:space="preserve"> (</w:t>
            </w:r>
            <w:r w:rsidR="009E2510">
              <w:rPr>
                <w:rFonts w:ascii="Times New Roman" w:eastAsia="Times New Roman" w:hAnsi="Times New Roman" w:cs="Times New Roman"/>
                <w:color w:val="000000"/>
                <w:sz w:val="20"/>
                <w:szCs w:val="20"/>
                <w:lang w:eastAsia="en-GB"/>
              </w:rPr>
              <w:t>7.</w:t>
            </w:r>
            <w:r w:rsidR="00314745">
              <w:rPr>
                <w:rFonts w:ascii="Times New Roman" w:eastAsia="Times New Roman" w:hAnsi="Times New Roman" w:cs="Times New Roman"/>
                <w:color w:val="000000"/>
                <w:sz w:val="20"/>
                <w:szCs w:val="20"/>
                <w:lang w:eastAsia="en-GB"/>
              </w:rPr>
              <w:t>5</w:t>
            </w:r>
            <w:r w:rsidR="009E2510">
              <w:rPr>
                <w:rFonts w:ascii="Times New Roman" w:eastAsia="Times New Roman" w:hAnsi="Times New Roman" w:cs="Times New Roman"/>
                <w:color w:val="000000"/>
                <w:sz w:val="20"/>
                <w:szCs w:val="20"/>
                <w:lang w:eastAsia="en-GB"/>
              </w:rPr>
              <w:t>%)</w:t>
            </w:r>
            <w:r w:rsidR="00640A52">
              <w:rPr>
                <w:rFonts w:ascii="Times New Roman" w:eastAsia="Times New Roman" w:hAnsi="Times New Roman" w:cs="Times New Roman"/>
                <w:color w:val="000000"/>
                <w:sz w:val="20"/>
                <w:szCs w:val="20"/>
                <w:lang w:eastAsia="en-GB"/>
              </w:rPr>
              <w:t>)</w:t>
            </w:r>
          </w:p>
        </w:tc>
        <w:tc>
          <w:tcPr>
            <w:tcW w:w="992" w:type="dxa"/>
            <w:shd w:val="clear" w:color="auto" w:fill="auto"/>
            <w:noWrap/>
            <w:vAlign w:val="bottom"/>
            <w:hideMark/>
          </w:tcPr>
          <w:p w14:paraId="301E547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1.02</w:t>
            </w:r>
          </w:p>
        </w:tc>
        <w:tc>
          <w:tcPr>
            <w:tcW w:w="606" w:type="dxa"/>
            <w:shd w:val="clear" w:color="auto" w:fill="auto"/>
            <w:noWrap/>
            <w:vAlign w:val="bottom"/>
            <w:hideMark/>
          </w:tcPr>
          <w:p w14:paraId="169A6013"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0.91</w:t>
            </w:r>
          </w:p>
        </w:tc>
        <w:tc>
          <w:tcPr>
            <w:tcW w:w="606" w:type="dxa"/>
            <w:shd w:val="clear" w:color="auto" w:fill="auto"/>
            <w:noWrap/>
            <w:vAlign w:val="center"/>
            <w:hideMark/>
          </w:tcPr>
          <w:p w14:paraId="3B647765"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p w14:paraId="184523E7"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1.15</w:t>
            </w:r>
          </w:p>
        </w:tc>
        <w:tc>
          <w:tcPr>
            <w:tcW w:w="908" w:type="dxa"/>
            <w:shd w:val="clear" w:color="auto" w:fill="auto"/>
            <w:noWrap/>
            <w:vAlign w:val="bottom"/>
            <w:hideMark/>
          </w:tcPr>
          <w:p w14:paraId="2F7F0FF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0.730</w:t>
            </w:r>
          </w:p>
        </w:tc>
        <w:tc>
          <w:tcPr>
            <w:tcW w:w="993" w:type="dxa"/>
            <w:shd w:val="clear" w:color="auto" w:fill="auto"/>
            <w:noWrap/>
            <w:vAlign w:val="bottom"/>
            <w:hideMark/>
          </w:tcPr>
          <w:p w14:paraId="38942F4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1.06</w:t>
            </w:r>
          </w:p>
        </w:tc>
        <w:tc>
          <w:tcPr>
            <w:tcW w:w="606" w:type="dxa"/>
            <w:shd w:val="clear" w:color="auto" w:fill="auto"/>
            <w:noWrap/>
            <w:vAlign w:val="bottom"/>
            <w:hideMark/>
          </w:tcPr>
          <w:p w14:paraId="27E77C2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0.93</w:t>
            </w:r>
          </w:p>
        </w:tc>
        <w:tc>
          <w:tcPr>
            <w:tcW w:w="606" w:type="dxa"/>
            <w:shd w:val="clear" w:color="auto" w:fill="auto"/>
            <w:noWrap/>
            <w:vAlign w:val="center"/>
            <w:hideMark/>
          </w:tcPr>
          <w:p w14:paraId="7691F20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p w14:paraId="57FFC46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1.21</w:t>
            </w:r>
          </w:p>
        </w:tc>
        <w:tc>
          <w:tcPr>
            <w:tcW w:w="908" w:type="dxa"/>
            <w:shd w:val="clear" w:color="auto" w:fill="auto"/>
            <w:noWrap/>
            <w:vAlign w:val="bottom"/>
            <w:hideMark/>
          </w:tcPr>
          <w:p w14:paraId="0A1F4C1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0.350</w:t>
            </w:r>
          </w:p>
        </w:tc>
      </w:tr>
      <w:tr w:rsidR="004E6697" w:rsidRPr="0046155E" w14:paraId="494314F6" w14:textId="77777777" w:rsidTr="00C516AB">
        <w:trPr>
          <w:trHeight w:val="300"/>
        </w:trPr>
        <w:tc>
          <w:tcPr>
            <w:tcW w:w="2591" w:type="dxa"/>
            <w:shd w:val="clear" w:color="auto" w:fill="auto"/>
            <w:noWrap/>
            <w:vAlign w:val="center"/>
            <w:hideMark/>
          </w:tcPr>
          <w:p w14:paraId="6FA241EC" w14:textId="77798FAA"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(≥5 to &lt;10%)</w:t>
            </w:r>
            <w:r w:rsidR="009E2510">
              <w:rPr>
                <w:rFonts w:ascii="Times New Roman" w:eastAsia="Times New Roman" w:hAnsi="Times New Roman" w:cs="Times New Roman"/>
                <w:color w:val="000000"/>
                <w:sz w:val="20"/>
                <w:szCs w:val="20"/>
                <w:lang w:eastAsia="en-GB"/>
              </w:rPr>
              <w:t xml:space="preserve"> (n=</w:t>
            </w:r>
            <w:r w:rsidR="003448AC">
              <w:rPr>
                <w:rFonts w:ascii="Times New Roman" w:eastAsia="Times New Roman" w:hAnsi="Times New Roman" w:cs="Times New Roman"/>
                <w:color w:val="000000"/>
                <w:sz w:val="20"/>
                <w:szCs w:val="20"/>
                <w:lang w:eastAsia="en-GB"/>
              </w:rPr>
              <w:t>815</w:t>
            </w:r>
            <w:r w:rsidR="002A3179">
              <w:rPr>
                <w:rFonts w:ascii="Times New Roman" w:eastAsia="Times New Roman" w:hAnsi="Times New Roman" w:cs="Times New Roman"/>
                <w:color w:val="000000"/>
                <w:sz w:val="20"/>
                <w:szCs w:val="20"/>
                <w:lang w:eastAsia="en-GB"/>
              </w:rPr>
              <w:t xml:space="preserve"> (</w:t>
            </w:r>
            <w:r w:rsidR="008E2E58">
              <w:rPr>
                <w:rFonts w:ascii="Times New Roman" w:eastAsia="Times New Roman" w:hAnsi="Times New Roman" w:cs="Times New Roman"/>
                <w:color w:val="000000"/>
                <w:sz w:val="20"/>
                <w:szCs w:val="20"/>
                <w:lang w:eastAsia="en-GB"/>
              </w:rPr>
              <w:t>10.1</w:t>
            </w:r>
            <w:r w:rsidR="002A3179">
              <w:rPr>
                <w:rFonts w:ascii="Times New Roman" w:eastAsia="Times New Roman" w:hAnsi="Times New Roman" w:cs="Times New Roman"/>
                <w:color w:val="000000"/>
                <w:sz w:val="20"/>
                <w:szCs w:val="20"/>
                <w:lang w:eastAsia="en-GB"/>
              </w:rPr>
              <w:t>%)</w:t>
            </w:r>
            <w:r w:rsidR="00397504">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3EC7ED9A"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1.04</w:t>
            </w:r>
          </w:p>
        </w:tc>
        <w:tc>
          <w:tcPr>
            <w:tcW w:w="606" w:type="dxa"/>
            <w:shd w:val="clear" w:color="auto" w:fill="auto"/>
            <w:noWrap/>
            <w:vAlign w:val="center"/>
            <w:hideMark/>
          </w:tcPr>
          <w:p w14:paraId="16F2F1F5"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0.92</w:t>
            </w:r>
          </w:p>
        </w:tc>
        <w:tc>
          <w:tcPr>
            <w:tcW w:w="606" w:type="dxa"/>
            <w:shd w:val="clear" w:color="auto" w:fill="auto"/>
            <w:noWrap/>
            <w:vAlign w:val="center"/>
            <w:hideMark/>
          </w:tcPr>
          <w:p w14:paraId="013902A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1.17</w:t>
            </w:r>
          </w:p>
        </w:tc>
        <w:tc>
          <w:tcPr>
            <w:tcW w:w="908" w:type="dxa"/>
            <w:shd w:val="clear" w:color="auto" w:fill="auto"/>
            <w:noWrap/>
            <w:vAlign w:val="center"/>
            <w:hideMark/>
          </w:tcPr>
          <w:p w14:paraId="03274817"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0.531</w:t>
            </w:r>
          </w:p>
        </w:tc>
        <w:tc>
          <w:tcPr>
            <w:tcW w:w="993" w:type="dxa"/>
            <w:shd w:val="clear" w:color="auto" w:fill="auto"/>
            <w:noWrap/>
            <w:vAlign w:val="center"/>
            <w:hideMark/>
          </w:tcPr>
          <w:p w14:paraId="15054D29"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1.11</w:t>
            </w:r>
          </w:p>
        </w:tc>
        <w:tc>
          <w:tcPr>
            <w:tcW w:w="606" w:type="dxa"/>
            <w:shd w:val="clear" w:color="auto" w:fill="auto"/>
            <w:noWrap/>
            <w:vAlign w:val="center"/>
            <w:hideMark/>
          </w:tcPr>
          <w:p w14:paraId="076DE2B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center"/>
            <w:hideMark/>
          </w:tcPr>
          <w:p w14:paraId="1D9F563E"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1.24</w:t>
            </w:r>
          </w:p>
        </w:tc>
        <w:tc>
          <w:tcPr>
            <w:tcW w:w="908" w:type="dxa"/>
            <w:shd w:val="clear" w:color="auto" w:fill="auto"/>
            <w:noWrap/>
            <w:vAlign w:val="center"/>
            <w:hideMark/>
          </w:tcPr>
          <w:p w14:paraId="04BC5CD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0.047</w:t>
            </w:r>
          </w:p>
        </w:tc>
      </w:tr>
      <w:tr w:rsidR="004E6697" w:rsidRPr="0046155E" w14:paraId="60BA7613" w14:textId="77777777" w:rsidTr="00C516AB">
        <w:trPr>
          <w:trHeight w:val="300"/>
        </w:trPr>
        <w:tc>
          <w:tcPr>
            <w:tcW w:w="2591" w:type="dxa"/>
            <w:shd w:val="clear" w:color="auto" w:fill="auto"/>
            <w:noWrap/>
            <w:vAlign w:val="center"/>
            <w:hideMark/>
          </w:tcPr>
          <w:p w14:paraId="2D8809EE" w14:textId="3809E1BA"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(≥10%)</w:t>
            </w:r>
            <w:r w:rsidR="002A3179">
              <w:rPr>
                <w:rFonts w:ascii="Times New Roman" w:eastAsia="Times New Roman" w:hAnsi="Times New Roman" w:cs="Times New Roman"/>
                <w:color w:val="000000"/>
                <w:sz w:val="20"/>
                <w:szCs w:val="20"/>
                <w:lang w:eastAsia="en-GB"/>
              </w:rPr>
              <w:t xml:space="preserve"> (n=</w:t>
            </w:r>
            <w:r w:rsidR="003448AC">
              <w:rPr>
                <w:rFonts w:ascii="Times New Roman" w:eastAsia="Times New Roman" w:hAnsi="Times New Roman" w:cs="Times New Roman"/>
                <w:color w:val="000000"/>
                <w:sz w:val="20"/>
                <w:szCs w:val="20"/>
                <w:lang w:eastAsia="en-GB"/>
              </w:rPr>
              <w:t>2322</w:t>
            </w:r>
            <w:r w:rsidR="002B0BFB">
              <w:rPr>
                <w:rFonts w:ascii="Times New Roman" w:eastAsia="Times New Roman" w:hAnsi="Times New Roman" w:cs="Times New Roman"/>
                <w:color w:val="000000"/>
                <w:sz w:val="20"/>
                <w:szCs w:val="20"/>
                <w:lang w:eastAsia="en-GB"/>
              </w:rPr>
              <w:t xml:space="preserve"> (</w:t>
            </w:r>
            <w:r w:rsidR="002A3179">
              <w:rPr>
                <w:rFonts w:ascii="Times New Roman" w:eastAsia="Times New Roman" w:hAnsi="Times New Roman" w:cs="Times New Roman"/>
                <w:color w:val="000000"/>
                <w:sz w:val="20"/>
                <w:szCs w:val="20"/>
                <w:lang w:eastAsia="en-GB"/>
              </w:rPr>
              <w:t>2</w:t>
            </w:r>
            <w:r w:rsidR="008E2E58">
              <w:rPr>
                <w:rFonts w:ascii="Times New Roman" w:eastAsia="Times New Roman" w:hAnsi="Times New Roman" w:cs="Times New Roman"/>
                <w:color w:val="000000"/>
                <w:sz w:val="20"/>
                <w:szCs w:val="20"/>
                <w:lang w:eastAsia="en-GB"/>
              </w:rPr>
              <w:t>8.7</w:t>
            </w:r>
            <w:r w:rsidR="002A3179">
              <w:rPr>
                <w:rFonts w:ascii="Times New Roman" w:eastAsia="Times New Roman" w:hAnsi="Times New Roman" w:cs="Times New Roman"/>
                <w:color w:val="000000"/>
                <w:sz w:val="20"/>
                <w:szCs w:val="20"/>
                <w:lang w:eastAsia="en-GB"/>
              </w:rPr>
              <w:t>%)</w:t>
            </w:r>
            <w:r w:rsidR="002B0BFB">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56F1C87A"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0.99</w:t>
            </w:r>
          </w:p>
        </w:tc>
        <w:tc>
          <w:tcPr>
            <w:tcW w:w="606" w:type="dxa"/>
            <w:shd w:val="clear" w:color="auto" w:fill="auto"/>
            <w:noWrap/>
            <w:vAlign w:val="center"/>
            <w:hideMark/>
          </w:tcPr>
          <w:p w14:paraId="14A4C21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0.92</w:t>
            </w:r>
          </w:p>
        </w:tc>
        <w:tc>
          <w:tcPr>
            <w:tcW w:w="606" w:type="dxa"/>
            <w:shd w:val="clear" w:color="auto" w:fill="auto"/>
            <w:noWrap/>
            <w:vAlign w:val="center"/>
            <w:hideMark/>
          </w:tcPr>
          <w:p w14:paraId="0FB5E689"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1.07</w:t>
            </w:r>
          </w:p>
        </w:tc>
        <w:tc>
          <w:tcPr>
            <w:tcW w:w="908" w:type="dxa"/>
            <w:shd w:val="clear" w:color="auto" w:fill="auto"/>
            <w:noWrap/>
            <w:vAlign w:val="center"/>
            <w:hideMark/>
          </w:tcPr>
          <w:p w14:paraId="5059DFDF"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0.769</w:t>
            </w:r>
          </w:p>
        </w:tc>
        <w:tc>
          <w:tcPr>
            <w:tcW w:w="993" w:type="dxa"/>
            <w:shd w:val="clear" w:color="auto" w:fill="auto"/>
            <w:noWrap/>
            <w:vAlign w:val="center"/>
            <w:hideMark/>
          </w:tcPr>
          <w:p w14:paraId="22EE608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1.17</w:t>
            </w:r>
          </w:p>
        </w:tc>
        <w:tc>
          <w:tcPr>
            <w:tcW w:w="606" w:type="dxa"/>
            <w:shd w:val="clear" w:color="auto" w:fill="auto"/>
            <w:noWrap/>
            <w:vAlign w:val="center"/>
            <w:hideMark/>
          </w:tcPr>
          <w:p w14:paraId="2DF8FD5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1.08</w:t>
            </w:r>
          </w:p>
        </w:tc>
        <w:tc>
          <w:tcPr>
            <w:tcW w:w="606" w:type="dxa"/>
            <w:shd w:val="clear" w:color="auto" w:fill="auto"/>
            <w:noWrap/>
            <w:vAlign w:val="center"/>
            <w:hideMark/>
          </w:tcPr>
          <w:p w14:paraId="441AFF1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1.26</w:t>
            </w:r>
          </w:p>
        </w:tc>
        <w:tc>
          <w:tcPr>
            <w:tcW w:w="908" w:type="dxa"/>
            <w:shd w:val="clear" w:color="auto" w:fill="auto"/>
            <w:noWrap/>
            <w:vAlign w:val="center"/>
            <w:hideMark/>
          </w:tcPr>
          <w:p w14:paraId="5AB8059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0.000</w:t>
            </w:r>
          </w:p>
        </w:tc>
      </w:tr>
      <w:tr w:rsidR="004E6697" w:rsidRPr="0046155E" w14:paraId="07466A2F" w14:textId="77777777" w:rsidTr="00C516AB">
        <w:trPr>
          <w:trHeight w:val="300"/>
        </w:trPr>
        <w:tc>
          <w:tcPr>
            <w:tcW w:w="2591" w:type="dxa"/>
            <w:shd w:val="clear" w:color="auto" w:fill="auto"/>
            <w:noWrap/>
            <w:vAlign w:val="center"/>
            <w:hideMark/>
          </w:tcPr>
          <w:p w14:paraId="6C508E0B" w14:textId="77777777" w:rsidR="004E6697" w:rsidRPr="0046155E" w:rsidRDefault="004E6697"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2</w:t>
            </w:r>
          </w:p>
        </w:tc>
        <w:tc>
          <w:tcPr>
            <w:tcW w:w="992" w:type="dxa"/>
            <w:shd w:val="clear" w:color="auto" w:fill="auto"/>
            <w:noWrap/>
            <w:vAlign w:val="center"/>
            <w:hideMark/>
          </w:tcPr>
          <w:p w14:paraId="69661F59" w14:textId="77777777" w:rsidR="004E6697" w:rsidRPr="0046155E" w:rsidRDefault="004E6697" w:rsidP="00C516AB">
            <w:pPr>
              <w:rPr>
                <w:rFonts w:ascii="Times New Roman" w:eastAsia="Times New Roman" w:hAnsi="Times New Roman" w:cs="Times New Roman"/>
                <w:b/>
                <w:bCs/>
                <w:color w:val="000000"/>
                <w:sz w:val="20"/>
                <w:szCs w:val="20"/>
                <w:lang w:eastAsia="en-GB"/>
              </w:rPr>
            </w:pPr>
          </w:p>
        </w:tc>
        <w:tc>
          <w:tcPr>
            <w:tcW w:w="606" w:type="dxa"/>
            <w:shd w:val="clear" w:color="auto" w:fill="auto"/>
            <w:noWrap/>
            <w:vAlign w:val="center"/>
            <w:hideMark/>
          </w:tcPr>
          <w:p w14:paraId="0DCD9425"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center"/>
            <w:hideMark/>
          </w:tcPr>
          <w:p w14:paraId="22B8F7C1"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center"/>
            <w:hideMark/>
          </w:tcPr>
          <w:p w14:paraId="2D057650"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93" w:type="dxa"/>
            <w:shd w:val="clear" w:color="auto" w:fill="auto"/>
            <w:noWrap/>
            <w:vAlign w:val="center"/>
            <w:hideMark/>
          </w:tcPr>
          <w:p w14:paraId="4598B4AD"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center"/>
            <w:hideMark/>
          </w:tcPr>
          <w:p w14:paraId="0E5833FB"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center"/>
            <w:hideMark/>
          </w:tcPr>
          <w:p w14:paraId="68CEE392"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center"/>
            <w:hideMark/>
          </w:tcPr>
          <w:p w14:paraId="63FD4B80" w14:textId="77777777" w:rsidR="004E6697" w:rsidRPr="0046155E" w:rsidRDefault="004E6697" w:rsidP="00C516AB">
            <w:pPr>
              <w:rPr>
                <w:rFonts w:ascii="Times New Roman" w:eastAsia="Times New Roman" w:hAnsi="Times New Roman" w:cs="Times New Roman"/>
                <w:b/>
                <w:bCs/>
                <w:sz w:val="20"/>
                <w:szCs w:val="20"/>
                <w:lang w:eastAsia="en-GB"/>
              </w:rPr>
            </w:pPr>
          </w:p>
        </w:tc>
      </w:tr>
      <w:tr w:rsidR="004E6697" w:rsidRPr="0046155E" w14:paraId="3D613844" w14:textId="77777777" w:rsidTr="00C516AB">
        <w:trPr>
          <w:trHeight w:val="300"/>
        </w:trPr>
        <w:tc>
          <w:tcPr>
            <w:tcW w:w="2591" w:type="dxa"/>
            <w:shd w:val="clear" w:color="auto" w:fill="auto"/>
            <w:noWrap/>
            <w:vAlign w:val="center"/>
            <w:hideMark/>
          </w:tcPr>
          <w:p w14:paraId="33644A24" w14:textId="772B9C7A"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No change or weight gain (from baseline)</w:t>
            </w:r>
            <w:r w:rsidR="00640A52">
              <w:rPr>
                <w:rFonts w:ascii="Times New Roman" w:eastAsia="Times New Roman" w:hAnsi="Times New Roman" w:cs="Times New Roman"/>
                <w:color w:val="000000"/>
                <w:sz w:val="20"/>
                <w:szCs w:val="20"/>
                <w:lang w:eastAsia="en-GB"/>
              </w:rPr>
              <w:t xml:space="preserve"> (n= </w:t>
            </w:r>
            <w:r w:rsidR="00381541">
              <w:rPr>
                <w:rFonts w:ascii="Times New Roman" w:eastAsia="Times New Roman" w:hAnsi="Times New Roman" w:cs="Times New Roman"/>
                <w:color w:val="000000"/>
                <w:sz w:val="20"/>
                <w:szCs w:val="20"/>
                <w:lang w:eastAsia="en-GB"/>
              </w:rPr>
              <w:t>3573</w:t>
            </w:r>
            <w:r w:rsidR="00640A52">
              <w:rPr>
                <w:rFonts w:ascii="Times New Roman" w:eastAsia="Times New Roman" w:hAnsi="Times New Roman" w:cs="Times New Roman"/>
                <w:color w:val="000000"/>
                <w:sz w:val="20"/>
                <w:szCs w:val="20"/>
                <w:lang w:eastAsia="en-GB"/>
              </w:rPr>
              <w:t xml:space="preserve"> (56.1%))</w:t>
            </w:r>
          </w:p>
        </w:tc>
        <w:tc>
          <w:tcPr>
            <w:tcW w:w="992" w:type="dxa"/>
            <w:shd w:val="clear" w:color="auto" w:fill="auto"/>
            <w:noWrap/>
            <w:vAlign w:val="center"/>
            <w:hideMark/>
          </w:tcPr>
          <w:p w14:paraId="297D225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bottom"/>
            <w:hideMark/>
          </w:tcPr>
          <w:p w14:paraId="409B469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bottom"/>
            <w:hideMark/>
          </w:tcPr>
          <w:p w14:paraId="1FEFC04F"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bottom"/>
            <w:hideMark/>
          </w:tcPr>
          <w:p w14:paraId="4BB16C0B" w14:textId="77777777" w:rsidR="004E6697" w:rsidRPr="0046155E" w:rsidRDefault="004E6697" w:rsidP="00C516AB">
            <w:pPr>
              <w:rPr>
                <w:rFonts w:ascii="Times New Roman" w:eastAsia="Times New Roman" w:hAnsi="Times New Roman" w:cs="Times New Roman"/>
                <w:sz w:val="20"/>
                <w:szCs w:val="20"/>
                <w:lang w:eastAsia="en-GB"/>
              </w:rPr>
            </w:pPr>
          </w:p>
        </w:tc>
        <w:tc>
          <w:tcPr>
            <w:tcW w:w="993" w:type="dxa"/>
            <w:shd w:val="clear" w:color="auto" w:fill="auto"/>
            <w:noWrap/>
            <w:vAlign w:val="center"/>
            <w:hideMark/>
          </w:tcPr>
          <w:p w14:paraId="708AB79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center"/>
            <w:hideMark/>
          </w:tcPr>
          <w:p w14:paraId="14B0F9CA"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center"/>
            <w:hideMark/>
          </w:tcPr>
          <w:p w14:paraId="646B7234"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center"/>
            <w:hideMark/>
          </w:tcPr>
          <w:p w14:paraId="09091B19" w14:textId="77777777" w:rsidR="004E6697" w:rsidRPr="0046155E" w:rsidRDefault="004E6697" w:rsidP="00C516AB">
            <w:pPr>
              <w:rPr>
                <w:rFonts w:ascii="Times New Roman" w:eastAsia="Times New Roman" w:hAnsi="Times New Roman" w:cs="Times New Roman"/>
                <w:sz w:val="20"/>
                <w:szCs w:val="20"/>
                <w:lang w:eastAsia="en-GB"/>
              </w:rPr>
            </w:pPr>
          </w:p>
        </w:tc>
      </w:tr>
      <w:tr w:rsidR="004E6697" w:rsidRPr="0046155E" w14:paraId="166996AE" w14:textId="77777777" w:rsidTr="00C516AB">
        <w:trPr>
          <w:trHeight w:val="300"/>
        </w:trPr>
        <w:tc>
          <w:tcPr>
            <w:tcW w:w="2591" w:type="dxa"/>
            <w:shd w:val="clear" w:color="auto" w:fill="auto"/>
            <w:noWrap/>
            <w:vAlign w:val="center"/>
            <w:hideMark/>
          </w:tcPr>
          <w:p w14:paraId="55B86CA8" w14:textId="7013A9F7"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(≥2.5% to &lt; 5</w:t>
            </w:r>
            <w:proofErr w:type="gramStart"/>
            <w:r w:rsidRPr="0046155E">
              <w:rPr>
                <w:rFonts w:ascii="Times New Roman" w:eastAsia="Times New Roman" w:hAnsi="Times New Roman" w:cs="Times New Roman"/>
                <w:color w:val="000000"/>
                <w:sz w:val="20"/>
                <w:szCs w:val="20"/>
                <w:lang w:eastAsia="en-GB"/>
              </w:rPr>
              <w:t>%)</w:t>
            </w:r>
            <w:r w:rsidR="00640A52">
              <w:rPr>
                <w:rFonts w:ascii="Times New Roman" w:eastAsia="Times New Roman" w:hAnsi="Times New Roman" w:cs="Times New Roman"/>
                <w:color w:val="000000"/>
                <w:sz w:val="20"/>
                <w:szCs w:val="20"/>
                <w:lang w:eastAsia="en-GB"/>
              </w:rPr>
              <w:t>(</w:t>
            </w:r>
            <w:proofErr w:type="gramEnd"/>
            <w:r w:rsidR="00640A52">
              <w:rPr>
                <w:rFonts w:ascii="Times New Roman" w:eastAsia="Times New Roman" w:hAnsi="Times New Roman" w:cs="Times New Roman"/>
                <w:color w:val="000000"/>
                <w:sz w:val="20"/>
                <w:szCs w:val="20"/>
                <w:lang w:eastAsia="en-GB"/>
              </w:rPr>
              <w:t>n=</w:t>
            </w:r>
            <w:r w:rsidR="003006AF">
              <w:rPr>
                <w:rFonts w:ascii="Times New Roman" w:eastAsia="Times New Roman" w:hAnsi="Times New Roman" w:cs="Times New Roman"/>
                <w:color w:val="000000"/>
                <w:sz w:val="20"/>
                <w:szCs w:val="20"/>
                <w:lang w:eastAsia="en-GB"/>
              </w:rPr>
              <w:t>47</w:t>
            </w:r>
            <w:r w:rsidR="00640A52">
              <w:rPr>
                <w:rFonts w:ascii="Times New Roman" w:eastAsia="Times New Roman" w:hAnsi="Times New Roman" w:cs="Times New Roman"/>
                <w:color w:val="000000"/>
                <w:sz w:val="20"/>
                <w:szCs w:val="20"/>
                <w:lang w:eastAsia="en-GB"/>
              </w:rPr>
              <w:t>0 (7.</w:t>
            </w:r>
            <w:r w:rsidR="00381541">
              <w:rPr>
                <w:rFonts w:ascii="Times New Roman" w:eastAsia="Times New Roman" w:hAnsi="Times New Roman" w:cs="Times New Roman"/>
                <w:color w:val="000000"/>
                <w:sz w:val="20"/>
                <w:szCs w:val="20"/>
                <w:lang w:eastAsia="en-GB"/>
              </w:rPr>
              <w:t>4</w:t>
            </w:r>
            <w:r w:rsidR="00640A52">
              <w:rPr>
                <w:rFonts w:ascii="Times New Roman" w:eastAsia="Times New Roman" w:hAnsi="Times New Roman" w:cs="Times New Roman"/>
                <w:color w:val="000000"/>
                <w:sz w:val="20"/>
                <w:szCs w:val="20"/>
                <w:lang w:eastAsia="en-GB"/>
              </w:rPr>
              <w:t>%))</w:t>
            </w:r>
          </w:p>
        </w:tc>
        <w:tc>
          <w:tcPr>
            <w:tcW w:w="992" w:type="dxa"/>
            <w:shd w:val="clear" w:color="auto" w:fill="auto"/>
            <w:noWrap/>
            <w:vAlign w:val="bottom"/>
            <w:hideMark/>
          </w:tcPr>
          <w:p w14:paraId="1F2D4EB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0.96</w:t>
            </w:r>
          </w:p>
        </w:tc>
        <w:tc>
          <w:tcPr>
            <w:tcW w:w="606" w:type="dxa"/>
            <w:shd w:val="clear" w:color="auto" w:fill="auto"/>
            <w:noWrap/>
            <w:vAlign w:val="bottom"/>
            <w:hideMark/>
          </w:tcPr>
          <w:p w14:paraId="2831624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0.83</w:t>
            </w:r>
          </w:p>
        </w:tc>
        <w:tc>
          <w:tcPr>
            <w:tcW w:w="606" w:type="dxa"/>
            <w:shd w:val="clear" w:color="auto" w:fill="auto"/>
            <w:noWrap/>
            <w:vAlign w:val="center"/>
            <w:hideMark/>
          </w:tcPr>
          <w:p w14:paraId="09930BB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p w14:paraId="693441FE"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1.11</w:t>
            </w:r>
          </w:p>
        </w:tc>
        <w:tc>
          <w:tcPr>
            <w:tcW w:w="908" w:type="dxa"/>
            <w:shd w:val="clear" w:color="auto" w:fill="auto"/>
            <w:noWrap/>
            <w:vAlign w:val="bottom"/>
            <w:hideMark/>
          </w:tcPr>
          <w:p w14:paraId="14D48C1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0.564</w:t>
            </w:r>
          </w:p>
        </w:tc>
        <w:tc>
          <w:tcPr>
            <w:tcW w:w="993" w:type="dxa"/>
            <w:shd w:val="clear" w:color="auto" w:fill="auto"/>
            <w:noWrap/>
            <w:vAlign w:val="center"/>
            <w:hideMark/>
          </w:tcPr>
          <w:p w14:paraId="390DECA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0.93</w:t>
            </w:r>
          </w:p>
        </w:tc>
        <w:tc>
          <w:tcPr>
            <w:tcW w:w="606" w:type="dxa"/>
            <w:shd w:val="clear" w:color="auto" w:fill="auto"/>
            <w:noWrap/>
            <w:vAlign w:val="center"/>
            <w:hideMark/>
          </w:tcPr>
          <w:p w14:paraId="663D586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0.80</w:t>
            </w:r>
          </w:p>
        </w:tc>
        <w:tc>
          <w:tcPr>
            <w:tcW w:w="606" w:type="dxa"/>
            <w:shd w:val="clear" w:color="auto" w:fill="auto"/>
            <w:noWrap/>
            <w:vAlign w:val="center"/>
            <w:hideMark/>
          </w:tcPr>
          <w:p w14:paraId="5A76348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1.09</w:t>
            </w:r>
          </w:p>
        </w:tc>
        <w:tc>
          <w:tcPr>
            <w:tcW w:w="908" w:type="dxa"/>
            <w:shd w:val="clear" w:color="auto" w:fill="auto"/>
            <w:noWrap/>
            <w:vAlign w:val="center"/>
            <w:hideMark/>
          </w:tcPr>
          <w:p w14:paraId="03CACEBB"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0.352</w:t>
            </w:r>
          </w:p>
        </w:tc>
      </w:tr>
      <w:tr w:rsidR="004E6697" w:rsidRPr="0046155E" w14:paraId="55424562" w14:textId="77777777" w:rsidTr="00C516AB">
        <w:trPr>
          <w:trHeight w:val="300"/>
        </w:trPr>
        <w:tc>
          <w:tcPr>
            <w:tcW w:w="2591" w:type="dxa"/>
            <w:shd w:val="clear" w:color="auto" w:fill="auto"/>
            <w:noWrap/>
            <w:vAlign w:val="center"/>
            <w:hideMark/>
          </w:tcPr>
          <w:p w14:paraId="6BC65445" w14:textId="4CA1E05A"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(≥5 to &lt;10</w:t>
            </w:r>
            <w:proofErr w:type="gramStart"/>
            <w:r w:rsidRPr="0046155E">
              <w:rPr>
                <w:rFonts w:ascii="Times New Roman" w:eastAsia="Times New Roman" w:hAnsi="Times New Roman" w:cs="Times New Roman"/>
                <w:color w:val="000000"/>
                <w:sz w:val="20"/>
                <w:szCs w:val="20"/>
                <w:lang w:eastAsia="en-GB"/>
              </w:rPr>
              <w:t>%)</w:t>
            </w:r>
            <w:r w:rsidR="00640A52">
              <w:rPr>
                <w:rFonts w:ascii="Times New Roman" w:eastAsia="Times New Roman" w:hAnsi="Times New Roman" w:cs="Times New Roman"/>
                <w:color w:val="000000"/>
                <w:sz w:val="20"/>
                <w:szCs w:val="20"/>
                <w:lang w:eastAsia="en-GB"/>
              </w:rPr>
              <w:t>(</w:t>
            </w:r>
            <w:proofErr w:type="gramEnd"/>
            <w:r w:rsidR="00640A52">
              <w:rPr>
                <w:rFonts w:ascii="Times New Roman" w:eastAsia="Times New Roman" w:hAnsi="Times New Roman" w:cs="Times New Roman"/>
                <w:color w:val="000000"/>
                <w:sz w:val="20"/>
                <w:szCs w:val="20"/>
                <w:lang w:eastAsia="en-GB"/>
              </w:rPr>
              <w:t>n=</w:t>
            </w:r>
            <w:r w:rsidR="00397504">
              <w:rPr>
                <w:rFonts w:ascii="Times New Roman" w:eastAsia="Times New Roman" w:hAnsi="Times New Roman" w:cs="Times New Roman"/>
                <w:color w:val="000000"/>
                <w:sz w:val="20"/>
                <w:szCs w:val="20"/>
                <w:lang w:eastAsia="en-GB"/>
              </w:rPr>
              <w:t>608</w:t>
            </w:r>
            <w:r w:rsidR="00640A52">
              <w:rPr>
                <w:rFonts w:ascii="Times New Roman" w:eastAsia="Times New Roman" w:hAnsi="Times New Roman" w:cs="Times New Roman"/>
                <w:color w:val="000000"/>
                <w:sz w:val="20"/>
                <w:szCs w:val="20"/>
                <w:lang w:eastAsia="en-GB"/>
              </w:rPr>
              <w:t xml:space="preserve"> (</w:t>
            </w:r>
            <w:r w:rsidR="003006AF">
              <w:rPr>
                <w:rFonts w:ascii="Times New Roman" w:eastAsia="Times New Roman" w:hAnsi="Times New Roman" w:cs="Times New Roman"/>
                <w:color w:val="000000"/>
                <w:sz w:val="20"/>
                <w:szCs w:val="20"/>
                <w:lang w:eastAsia="en-GB"/>
              </w:rPr>
              <w:t>9.6</w:t>
            </w:r>
            <w:r w:rsidR="00640A52">
              <w:rPr>
                <w:rFonts w:ascii="Times New Roman" w:eastAsia="Times New Roman" w:hAnsi="Times New Roman" w:cs="Times New Roman"/>
                <w:color w:val="000000"/>
                <w:sz w:val="20"/>
                <w:szCs w:val="20"/>
                <w:lang w:eastAsia="en-GB"/>
              </w:rPr>
              <w:t>%)</w:t>
            </w:r>
            <w:r w:rsidR="00397504">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329BCAB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0.94</w:t>
            </w:r>
          </w:p>
        </w:tc>
        <w:tc>
          <w:tcPr>
            <w:tcW w:w="606" w:type="dxa"/>
            <w:shd w:val="clear" w:color="auto" w:fill="auto"/>
            <w:noWrap/>
            <w:vAlign w:val="center"/>
            <w:hideMark/>
          </w:tcPr>
          <w:p w14:paraId="1DBC7479"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0.82</w:t>
            </w:r>
          </w:p>
        </w:tc>
        <w:tc>
          <w:tcPr>
            <w:tcW w:w="606" w:type="dxa"/>
            <w:shd w:val="clear" w:color="auto" w:fill="auto"/>
            <w:noWrap/>
            <w:vAlign w:val="center"/>
            <w:hideMark/>
          </w:tcPr>
          <w:p w14:paraId="61CCFCF4"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1.08</w:t>
            </w:r>
          </w:p>
        </w:tc>
        <w:tc>
          <w:tcPr>
            <w:tcW w:w="908" w:type="dxa"/>
            <w:shd w:val="clear" w:color="auto" w:fill="auto"/>
            <w:noWrap/>
            <w:vAlign w:val="center"/>
            <w:hideMark/>
          </w:tcPr>
          <w:p w14:paraId="101102E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0.395</w:t>
            </w:r>
          </w:p>
        </w:tc>
        <w:tc>
          <w:tcPr>
            <w:tcW w:w="993" w:type="dxa"/>
            <w:shd w:val="clear" w:color="auto" w:fill="auto"/>
            <w:noWrap/>
            <w:vAlign w:val="center"/>
            <w:hideMark/>
          </w:tcPr>
          <w:p w14:paraId="77A9C8E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0.93</w:t>
            </w:r>
          </w:p>
        </w:tc>
        <w:tc>
          <w:tcPr>
            <w:tcW w:w="606" w:type="dxa"/>
            <w:shd w:val="clear" w:color="auto" w:fill="auto"/>
            <w:noWrap/>
            <w:vAlign w:val="center"/>
            <w:hideMark/>
          </w:tcPr>
          <w:p w14:paraId="478C8C4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0.81</w:t>
            </w:r>
          </w:p>
        </w:tc>
        <w:tc>
          <w:tcPr>
            <w:tcW w:w="606" w:type="dxa"/>
            <w:shd w:val="clear" w:color="auto" w:fill="auto"/>
            <w:noWrap/>
            <w:vAlign w:val="center"/>
            <w:hideMark/>
          </w:tcPr>
          <w:p w14:paraId="75EF25B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1.06</w:t>
            </w:r>
          </w:p>
        </w:tc>
        <w:tc>
          <w:tcPr>
            <w:tcW w:w="908" w:type="dxa"/>
            <w:shd w:val="clear" w:color="auto" w:fill="auto"/>
            <w:noWrap/>
            <w:vAlign w:val="center"/>
            <w:hideMark/>
          </w:tcPr>
          <w:p w14:paraId="72878D3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0.265</w:t>
            </w:r>
          </w:p>
        </w:tc>
      </w:tr>
      <w:tr w:rsidR="004E6697" w:rsidRPr="0046155E" w14:paraId="4FA5D162" w14:textId="77777777" w:rsidTr="00C516AB">
        <w:trPr>
          <w:trHeight w:val="300"/>
        </w:trPr>
        <w:tc>
          <w:tcPr>
            <w:tcW w:w="2591" w:type="dxa"/>
            <w:shd w:val="clear" w:color="auto" w:fill="auto"/>
            <w:noWrap/>
            <w:vAlign w:val="center"/>
            <w:hideMark/>
          </w:tcPr>
          <w:p w14:paraId="6A6CB3EA" w14:textId="164F6495"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(≥10%)</w:t>
            </w:r>
            <w:r w:rsidR="00640A52">
              <w:rPr>
                <w:rFonts w:ascii="Times New Roman" w:eastAsia="Times New Roman" w:hAnsi="Times New Roman" w:cs="Times New Roman"/>
                <w:color w:val="000000"/>
                <w:sz w:val="20"/>
                <w:szCs w:val="20"/>
                <w:lang w:eastAsia="en-GB"/>
              </w:rPr>
              <w:t xml:space="preserve"> (n=</w:t>
            </w:r>
            <w:r w:rsidR="000D293B">
              <w:rPr>
                <w:rFonts w:ascii="Times New Roman" w:eastAsia="Times New Roman" w:hAnsi="Times New Roman" w:cs="Times New Roman"/>
                <w:color w:val="000000"/>
                <w:sz w:val="20"/>
                <w:szCs w:val="20"/>
                <w:lang w:eastAsia="en-GB"/>
              </w:rPr>
              <w:t>1718</w:t>
            </w:r>
            <w:r w:rsidR="00640A52">
              <w:rPr>
                <w:rFonts w:ascii="Times New Roman" w:eastAsia="Times New Roman" w:hAnsi="Times New Roman" w:cs="Times New Roman"/>
                <w:color w:val="000000"/>
                <w:sz w:val="20"/>
                <w:szCs w:val="20"/>
                <w:lang w:eastAsia="en-GB"/>
              </w:rPr>
              <w:t xml:space="preserve"> (27</w:t>
            </w:r>
            <w:r w:rsidR="00185334">
              <w:rPr>
                <w:rFonts w:ascii="Times New Roman" w:eastAsia="Times New Roman" w:hAnsi="Times New Roman" w:cs="Times New Roman"/>
                <w:color w:val="000000"/>
                <w:sz w:val="20"/>
                <w:szCs w:val="20"/>
                <w:lang w:eastAsia="en-GB"/>
              </w:rPr>
              <w:t>.0</w:t>
            </w:r>
            <w:r w:rsidR="00640A52">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673F06C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0.89</w:t>
            </w:r>
          </w:p>
        </w:tc>
        <w:tc>
          <w:tcPr>
            <w:tcW w:w="606" w:type="dxa"/>
            <w:shd w:val="clear" w:color="auto" w:fill="auto"/>
            <w:noWrap/>
            <w:vAlign w:val="center"/>
            <w:hideMark/>
          </w:tcPr>
          <w:p w14:paraId="77F2DF6B"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0.81</w:t>
            </w:r>
          </w:p>
        </w:tc>
        <w:tc>
          <w:tcPr>
            <w:tcW w:w="606" w:type="dxa"/>
            <w:shd w:val="clear" w:color="auto" w:fill="auto"/>
            <w:noWrap/>
            <w:vAlign w:val="center"/>
            <w:hideMark/>
          </w:tcPr>
          <w:p w14:paraId="3B720CC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0.98</w:t>
            </w:r>
          </w:p>
        </w:tc>
        <w:tc>
          <w:tcPr>
            <w:tcW w:w="908" w:type="dxa"/>
            <w:shd w:val="clear" w:color="auto" w:fill="auto"/>
            <w:noWrap/>
            <w:vAlign w:val="center"/>
            <w:hideMark/>
          </w:tcPr>
          <w:p w14:paraId="215FE56A"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0.017</w:t>
            </w:r>
          </w:p>
        </w:tc>
        <w:tc>
          <w:tcPr>
            <w:tcW w:w="993" w:type="dxa"/>
            <w:shd w:val="clear" w:color="auto" w:fill="auto"/>
            <w:noWrap/>
            <w:vAlign w:val="center"/>
            <w:hideMark/>
          </w:tcPr>
          <w:p w14:paraId="76F0C7CE"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0.89</w:t>
            </w:r>
          </w:p>
        </w:tc>
        <w:tc>
          <w:tcPr>
            <w:tcW w:w="606" w:type="dxa"/>
            <w:shd w:val="clear" w:color="auto" w:fill="auto"/>
            <w:noWrap/>
            <w:vAlign w:val="center"/>
            <w:hideMark/>
          </w:tcPr>
          <w:p w14:paraId="0E2E21C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0.81</w:t>
            </w:r>
          </w:p>
        </w:tc>
        <w:tc>
          <w:tcPr>
            <w:tcW w:w="606" w:type="dxa"/>
            <w:shd w:val="clear" w:color="auto" w:fill="auto"/>
            <w:noWrap/>
            <w:vAlign w:val="center"/>
            <w:hideMark/>
          </w:tcPr>
          <w:p w14:paraId="1AD3619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0.98</w:t>
            </w:r>
          </w:p>
        </w:tc>
        <w:tc>
          <w:tcPr>
            <w:tcW w:w="908" w:type="dxa"/>
            <w:shd w:val="clear" w:color="auto" w:fill="auto"/>
            <w:noWrap/>
            <w:vAlign w:val="center"/>
            <w:hideMark/>
          </w:tcPr>
          <w:p w14:paraId="3A5450A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0.017</w:t>
            </w:r>
          </w:p>
        </w:tc>
      </w:tr>
      <w:tr w:rsidR="004E6697" w:rsidRPr="0046155E" w14:paraId="744756D2" w14:textId="77777777" w:rsidTr="00C516AB">
        <w:trPr>
          <w:trHeight w:val="300"/>
        </w:trPr>
        <w:tc>
          <w:tcPr>
            <w:tcW w:w="2591" w:type="dxa"/>
            <w:shd w:val="clear" w:color="auto" w:fill="auto"/>
            <w:noWrap/>
            <w:vAlign w:val="center"/>
            <w:hideMark/>
          </w:tcPr>
          <w:p w14:paraId="275E6C7A" w14:textId="77777777" w:rsidR="004E6697" w:rsidRPr="0046155E" w:rsidRDefault="004E6697" w:rsidP="00C516AB">
            <w:pPr>
              <w:rPr>
                <w:rFonts w:ascii="Times New Roman" w:eastAsia="Times New Roman" w:hAnsi="Times New Roman" w:cs="Times New Roman"/>
                <w:b/>
                <w:bCs/>
                <w:color w:val="000000"/>
                <w:sz w:val="20"/>
                <w:szCs w:val="20"/>
                <w:lang w:eastAsia="en-GB"/>
              </w:rPr>
            </w:pPr>
            <w:r w:rsidRPr="0046155E">
              <w:rPr>
                <w:rFonts w:ascii="Times New Roman" w:eastAsia="Times New Roman" w:hAnsi="Times New Roman" w:cs="Times New Roman"/>
                <w:b/>
                <w:bCs/>
                <w:color w:val="000000"/>
                <w:sz w:val="20"/>
                <w:szCs w:val="20"/>
                <w:lang w:eastAsia="en-GB"/>
              </w:rPr>
              <w:t>Group 4</w:t>
            </w:r>
          </w:p>
        </w:tc>
        <w:tc>
          <w:tcPr>
            <w:tcW w:w="992" w:type="dxa"/>
            <w:shd w:val="clear" w:color="auto" w:fill="auto"/>
            <w:noWrap/>
            <w:vAlign w:val="bottom"/>
            <w:hideMark/>
          </w:tcPr>
          <w:p w14:paraId="6C744FEC" w14:textId="77777777" w:rsidR="004E6697" w:rsidRPr="0046155E" w:rsidRDefault="004E6697" w:rsidP="00C516AB">
            <w:pPr>
              <w:rPr>
                <w:rFonts w:ascii="Times New Roman" w:eastAsia="Times New Roman" w:hAnsi="Times New Roman" w:cs="Times New Roman"/>
                <w:b/>
                <w:bCs/>
                <w:color w:val="000000"/>
                <w:sz w:val="20"/>
                <w:szCs w:val="20"/>
                <w:lang w:eastAsia="en-GB"/>
              </w:rPr>
            </w:pPr>
          </w:p>
        </w:tc>
        <w:tc>
          <w:tcPr>
            <w:tcW w:w="606" w:type="dxa"/>
            <w:shd w:val="clear" w:color="auto" w:fill="auto"/>
            <w:noWrap/>
            <w:vAlign w:val="bottom"/>
            <w:hideMark/>
          </w:tcPr>
          <w:p w14:paraId="452AF523"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bottom"/>
            <w:hideMark/>
          </w:tcPr>
          <w:p w14:paraId="1C0B28D7"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bottom"/>
            <w:hideMark/>
          </w:tcPr>
          <w:p w14:paraId="732A93DF"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93" w:type="dxa"/>
            <w:shd w:val="clear" w:color="auto" w:fill="auto"/>
            <w:noWrap/>
            <w:vAlign w:val="center"/>
            <w:hideMark/>
          </w:tcPr>
          <w:p w14:paraId="4377D510"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center"/>
            <w:hideMark/>
          </w:tcPr>
          <w:p w14:paraId="673594D0"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606" w:type="dxa"/>
            <w:shd w:val="clear" w:color="auto" w:fill="auto"/>
            <w:noWrap/>
            <w:vAlign w:val="center"/>
            <w:hideMark/>
          </w:tcPr>
          <w:p w14:paraId="0D9ACCC7" w14:textId="77777777" w:rsidR="004E6697" w:rsidRPr="0046155E" w:rsidRDefault="004E6697" w:rsidP="00C516AB">
            <w:pPr>
              <w:rPr>
                <w:rFonts w:ascii="Times New Roman" w:eastAsia="Times New Roman" w:hAnsi="Times New Roman" w:cs="Times New Roman"/>
                <w:b/>
                <w:bCs/>
                <w:sz w:val="20"/>
                <w:szCs w:val="20"/>
                <w:lang w:eastAsia="en-GB"/>
              </w:rPr>
            </w:pPr>
          </w:p>
        </w:tc>
        <w:tc>
          <w:tcPr>
            <w:tcW w:w="908" w:type="dxa"/>
            <w:shd w:val="clear" w:color="auto" w:fill="auto"/>
            <w:noWrap/>
            <w:vAlign w:val="center"/>
            <w:hideMark/>
          </w:tcPr>
          <w:p w14:paraId="06AEA046" w14:textId="77777777" w:rsidR="004E6697" w:rsidRPr="0046155E" w:rsidRDefault="004E6697" w:rsidP="00C516AB">
            <w:pPr>
              <w:rPr>
                <w:rFonts w:ascii="Times New Roman" w:eastAsia="Times New Roman" w:hAnsi="Times New Roman" w:cs="Times New Roman"/>
                <w:b/>
                <w:bCs/>
                <w:sz w:val="20"/>
                <w:szCs w:val="20"/>
                <w:lang w:eastAsia="en-GB"/>
              </w:rPr>
            </w:pPr>
          </w:p>
        </w:tc>
      </w:tr>
      <w:tr w:rsidR="004E6697" w:rsidRPr="0046155E" w14:paraId="1DB4BC34" w14:textId="77777777" w:rsidTr="00C516AB">
        <w:trPr>
          <w:trHeight w:val="300"/>
        </w:trPr>
        <w:tc>
          <w:tcPr>
            <w:tcW w:w="2591" w:type="dxa"/>
            <w:shd w:val="clear" w:color="auto" w:fill="auto"/>
            <w:noWrap/>
            <w:vAlign w:val="center"/>
            <w:hideMark/>
          </w:tcPr>
          <w:p w14:paraId="6FDABBBC" w14:textId="06989586"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No change or weight gain (from baseline)</w:t>
            </w:r>
            <w:r w:rsidR="00CC5C53">
              <w:rPr>
                <w:rFonts w:ascii="Times New Roman" w:eastAsia="Times New Roman" w:hAnsi="Times New Roman" w:cs="Times New Roman"/>
                <w:color w:val="000000"/>
                <w:sz w:val="20"/>
                <w:szCs w:val="20"/>
                <w:lang w:eastAsia="en-GB"/>
              </w:rPr>
              <w:t xml:space="preserve"> (n= </w:t>
            </w:r>
            <w:r w:rsidR="00485E17">
              <w:rPr>
                <w:rFonts w:ascii="Times New Roman" w:eastAsia="Times New Roman" w:hAnsi="Times New Roman" w:cs="Times New Roman"/>
                <w:color w:val="000000"/>
                <w:sz w:val="20"/>
                <w:szCs w:val="20"/>
                <w:lang w:eastAsia="en-GB"/>
              </w:rPr>
              <w:t>4700</w:t>
            </w:r>
            <w:r w:rsidR="00CC5C53">
              <w:rPr>
                <w:rFonts w:ascii="Times New Roman" w:eastAsia="Times New Roman" w:hAnsi="Times New Roman" w:cs="Times New Roman"/>
                <w:color w:val="000000"/>
                <w:sz w:val="20"/>
                <w:szCs w:val="20"/>
                <w:lang w:eastAsia="en-GB"/>
              </w:rPr>
              <w:t xml:space="preserve"> (51.2%))</w:t>
            </w:r>
          </w:p>
        </w:tc>
        <w:tc>
          <w:tcPr>
            <w:tcW w:w="992" w:type="dxa"/>
            <w:shd w:val="clear" w:color="auto" w:fill="auto"/>
            <w:noWrap/>
            <w:vAlign w:val="center"/>
            <w:hideMark/>
          </w:tcPr>
          <w:p w14:paraId="3561087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bottom"/>
            <w:hideMark/>
          </w:tcPr>
          <w:p w14:paraId="668EB01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bottom"/>
            <w:hideMark/>
          </w:tcPr>
          <w:p w14:paraId="0B067405"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bottom"/>
            <w:hideMark/>
          </w:tcPr>
          <w:p w14:paraId="119D9B7E" w14:textId="77777777" w:rsidR="004E6697" w:rsidRPr="0046155E" w:rsidRDefault="004E6697" w:rsidP="00C516AB">
            <w:pPr>
              <w:rPr>
                <w:rFonts w:ascii="Times New Roman" w:eastAsia="Times New Roman" w:hAnsi="Times New Roman" w:cs="Times New Roman"/>
                <w:sz w:val="20"/>
                <w:szCs w:val="20"/>
                <w:lang w:eastAsia="en-GB"/>
              </w:rPr>
            </w:pPr>
          </w:p>
        </w:tc>
        <w:tc>
          <w:tcPr>
            <w:tcW w:w="993" w:type="dxa"/>
            <w:shd w:val="clear" w:color="auto" w:fill="auto"/>
            <w:noWrap/>
            <w:vAlign w:val="center"/>
            <w:hideMark/>
          </w:tcPr>
          <w:p w14:paraId="6662E2A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center"/>
            <w:hideMark/>
          </w:tcPr>
          <w:p w14:paraId="7A9EDFA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tc>
        <w:tc>
          <w:tcPr>
            <w:tcW w:w="606" w:type="dxa"/>
            <w:shd w:val="clear" w:color="auto" w:fill="auto"/>
            <w:noWrap/>
            <w:vAlign w:val="center"/>
            <w:hideMark/>
          </w:tcPr>
          <w:p w14:paraId="3BF6536C" w14:textId="77777777" w:rsidR="004E6697" w:rsidRPr="0046155E" w:rsidRDefault="004E6697" w:rsidP="00C516AB">
            <w:pPr>
              <w:rPr>
                <w:rFonts w:ascii="Times New Roman" w:eastAsia="Times New Roman" w:hAnsi="Times New Roman" w:cs="Times New Roman"/>
                <w:sz w:val="20"/>
                <w:szCs w:val="20"/>
                <w:lang w:eastAsia="en-GB"/>
              </w:rPr>
            </w:pPr>
          </w:p>
        </w:tc>
        <w:tc>
          <w:tcPr>
            <w:tcW w:w="908" w:type="dxa"/>
            <w:shd w:val="clear" w:color="auto" w:fill="auto"/>
            <w:noWrap/>
            <w:vAlign w:val="center"/>
            <w:hideMark/>
          </w:tcPr>
          <w:p w14:paraId="73EB1C97" w14:textId="77777777" w:rsidR="004E6697" w:rsidRPr="0046155E" w:rsidRDefault="004E6697" w:rsidP="00C516AB">
            <w:pPr>
              <w:rPr>
                <w:rFonts w:ascii="Times New Roman" w:eastAsia="Times New Roman" w:hAnsi="Times New Roman" w:cs="Times New Roman"/>
                <w:sz w:val="20"/>
                <w:szCs w:val="20"/>
                <w:lang w:eastAsia="en-GB"/>
              </w:rPr>
            </w:pPr>
          </w:p>
        </w:tc>
      </w:tr>
      <w:tr w:rsidR="004E6697" w:rsidRPr="0046155E" w14:paraId="368274C7" w14:textId="77777777" w:rsidTr="00C516AB">
        <w:trPr>
          <w:trHeight w:val="300"/>
        </w:trPr>
        <w:tc>
          <w:tcPr>
            <w:tcW w:w="2591" w:type="dxa"/>
            <w:shd w:val="clear" w:color="auto" w:fill="auto"/>
            <w:noWrap/>
            <w:vAlign w:val="center"/>
            <w:hideMark/>
          </w:tcPr>
          <w:p w14:paraId="39A4C75F" w14:textId="4A095630"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(≥2.5% to &lt; 5</w:t>
            </w:r>
            <w:proofErr w:type="gramStart"/>
            <w:r w:rsidRPr="0046155E">
              <w:rPr>
                <w:rFonts w:ascii="Times New Roman" w:eastAsia="Times New Roman" w:hAnsi="Times New Roman" w:cs="Times New Roman"/>
                <w:color w:val="000000"/>
                <w:sz w:val="20"/>
                <w:szCs w:val="20"/>
                <w:lang w:eastAsia="en-GB"/>
              </w:rPr>
              <w:t>%)</w:t>
            </w:r>
            <w:r w:rsidR="00CC5C53">
              <w:rPr>
                <w:rFonts w:ascii="Times New Roman" w:eastAsia="Times New Roman" w:hAnsi="Times New Roman" w:cs="Times New Roman"/>
                <w:color w:val="000000"/>
                <w:sz w:val="20"/>
                <w:szCs w:val="20"/>
                <w:lang w:eastAsia="en-GB"/>
              </w:rPr>
              <w:t>(</w:t>
            </w:r>
            <w:proofErr w:type="gramEnd"/>
            <w:r w:rsidR="00CC5C53">
              <w:rPr>
                <w:rFonts w:ascii="Times New Roman" w:eastAsia="Times New Roman" w:hAnsi="Times New Roman" w:cs="Times New Roman"/>
                <w:color w:val="000000"/>
                <w:sz w:val="20"/>
                <w:szCs w:val="20"/>
                <w:lang w:eastAsia="en-GB"/>
              </w:rPr>
              <w:t>n=</w:t>
            </w:r>
            <w:r w:rsidR="0031694E">
              <w:rPr>
                <w:rFonts w:ascii="Times New Roman" w:eastAsia="Times New Roman" w:hAnsi="Times New Roman" w:cs="Times New Roman"/>
                <w:color w:val="000000"/>
                <w:sz w:val="20"/>
                <w:szCs w:val="20"/>
                <w:lang w:eastAsia="en-GB"/>
              </w:rPr>
              <w:t>658</w:t>
            </w:r>
            <w:r w:rsidR="00CC5C53">
              <w:rPr>
                <w:rFonts w:ascii="Times New Roman" w:eastAsia="Times New Roman" w:hAnsi="Times New Roman" w:cs="Times New Roman"/>
                <w:color w:val="000000"/>
                <w:sz w:val="20"/>
                <w:szCs w:val="20"/>
                <w:lang w:eastAsia="en-GB"/>
              </w:rPr>
              <w:t xml:space="preserve"> (7.</w:t>
            </w:r>
            <w:r w:rsidR="00587DF6">
              <w:rPr>
                <w:rFonts w:ascii="Times New Roman" w:eastAsia="Times New Roman" w:hAnsi="Times New Roman" w:cs="Times New Roman"/>
                <w:color w:val="000000"/>
                <w:sz w:val="20"/>
                <w:szCs w:val="20"/>
                <w:lang w:eastAsia="en-GB"/>
              </w:rPr>
              <w:t>2</w:t>
            </w:r>
            <w:r w:rsidR="00CC5C53">
              <w:rPr>
                <w:rFonts w:ascii="Times New Roman" w:eastAsia="Times New Roman" w:hAnsi="Times New Roman" w:cs="Times New Roman"/>
                <w:color w:val="000000"/>
                <w:sz w:val="20"/>
                <w:szCs w:val="20"/>
                <w:lang w:eastAsia="en-GB"/>
              </w:rPr>
              <w:t>%))</w:t>
            </w:r>
          </w:p>
        </w:tc>
        <w:tc>
          <w:tcPr>
            <w:tcW w:w="992" w:type="dxa"/>
            <w:shd w:val="clear" w:color="auto" w:fill="auto"/>
            <w:noWrap/>
            <w:vAlign w:val="bottom"/>
            <w:hideMark/>
          </w:tcPr>
          <w:p w14:paraId="01814EFF"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1.02</w:t>
            </w:r>
          </w:p>
        </w:tc>
        <w:tc>
          <w:tcPr>
            <w:tcW w:w="606" w:type="dxa"/>
            <w:shd w:val="clear" w:color="auto" w:fill="auto"/>
            <w:noWrap/>
            <w:vAlign w:val="bottom"/>
            <w:hideMark/>
          </w:tcPr>
          <w:p w14:paraId="58C04B0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0.90</w:t>
            </w:r>
          </w:p>
        </w:tc>
        <w:tc>
          <w:tcPr>
            <w:tcW w:w="606" w:type="dxa"/>
            <w:shd w:val="clear" w:color="auto" w:fill="auto"/>
            <w:noWrap/>
            <w:vAlign w:val="center"/>
            <w:hideMark/>
          </w:tcPr>
          <w:p w14:paraId="640C1753"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p>
          <w:p w14:paraId="3EE7BC25"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1.16</w:t>
            </w:r>
          </w:p>
        </w:tc>
        <w:tc>
          <w:tcPr>
            <w:tcW w:w="908" w:type="dxa"/>
            <w:shd w:val="clear" w:color="auto" w:fill="auto"/>
            <w:noWrap/>
            <w:vAlign w:val="bottom"/>
            <w:hideMark/>
          </w:tcPr>
          <w:p w14:paraId="5B29ADFB"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0.733</w:t>
            </w:r>
          </w:p>
        </w:tc>
        <w:tc>
          <w:tcPr>
            <w:tcW w:w="993" w:type="dxa"/>
            <w:shd w:val="clear" w:color="auto" w:fill="auto"/>
            <w:noWrap/>
            <w:vAlign w:val="center"/>
            <w:hideMark/>
          </w:tcPr>
          <w:p w14:paraId="69046E84"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1.08</w:t>
            </w:r>
          </w:p>
        </w:tc>
        <w:tc>
          <w:tcPr>
            <w:tcW w:w="606" w:type="dxa"/>
            <w:shd w:val="clear" w:color="auto" w:fill="auto"/>
            <w:noWrap/>
            <w:vAlign w:val="center"/>
            <w:hideMark/>
          </w:tcPr>
          <w:p w14:paraId="6A10B337"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0.94</w:t>
            </w:r>
          </w:p>
        </w:tc>
        <w:tc>
          <w:tcPr>
            <w:tcW w:w="606" w:type="dxa"/>
            <w:shd w:val="clear" w:color="auto" w:fill="auto"/>
            <w:noWrap/>
            <w:vAlign w:val="center"/>
            <w:hideMark/>
          </w:tcPr>
          <w:p w14:paraId="1DB8291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1.25</w:t>
            </w:r>
          </w:p>
        </w:tc>
        <w:tc>
          <w:tcPr>
            <w:tcW w:w="908" w:type="dxa"/>
            <w:shd w:val="clear" w:color="auto" w:fill="auto"/>
            <w:noWrap/>
            <w:vAlign w:val="center"/>
            <w:hideMark/>
          </w:tcPr>
          <w:p w14:paraId="3D0CFE3E"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0.254</w:t>
            </w:r>
          </w:p>
        </w:tc>
      </w:tr>
      <w:tr w:rsidR="004E6697" w:rsidRPr="0046155E" w14:paraId="694545FD" w14:textId="77777777" w:rsidTr="00C516AB">
        <w:trPr>
          <w:trHeight w:val="300"/>
        </w:trPr>
        <w:tc>
          <w:tcPr>
            <w:tcW w:w="2591" w:type="dxa"/>
            <w:shd w:val="clear" w:color="auto" w:fill="auto"/>
            <w:noWrap/>
            <w:vAlign w:val="center"/>
            <w:hideMark/>
          </w:tcPr>
          <w:p w14:paraId="45C6D17B" w14:textId="18459892"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(≥5 to &lt;10</w:t>
            </w:r>
            <w:proofErr w:type="gramStart"/>
            <w:r w:rsidRPr="0046155E">
              <w:rPr>
                <w:rFonts w:ascii="Times New Roman" w:eastAsia="Times New Roman" w:hAnsi="Times New Roman" w:cs="Times New Roman"/>
                <w:color w:val="000000"/>
                <w:sz w:val="20"/>
                <w:szCs w:val="20"/>
                <w:lang w:eastAsia="en-GB"/>
              </w:rPr>
              <w:t>%)</w:t>
            </w:r>
            <w:r w:rsidR="00CC5C53">
              <w:rPr>
                <w:rFonts w:ascii="Times New Roman" w:eastAsia="Times New Roman" w:hAnsi="Times New Roman" w:cs="Times New Roman"/>
                <w:color w:val="000000"/>
                <w:sz w:val="20"/>
                <w:szCs w:val="20"/>
                <w:lang w:eastAsia="en-GB"/>
              </w:rPr>
              <w:t>(</w:t>
            </w:r>
            <w:proofErr w:type="gramEnd"/>
            <w:r w:rsidR="00CC5C53">
              <w:rPr>
                <w:rFonts w:ascii="Times New Roman" w:eastAsia="Times New Roman" w:hAnsi="Times New Roman" w:cs="Times New Roman"/>
                <w:color w:val="000000"/>
                <w:sz w:val="20"/>
                <w:szCs w:val="20"/>
                <w:lang w:eastAsia="en-GB"/>
              </w:rPr>
              <w:t>n=</w:t>
            </w:r>
            <w:r w:rsidR="0017784A">
              <w:rPr>
                <w:rFonts w:ascii="Times New Roman" w:eastAsia="Times New Roman" w:hAnsi="Times New Roman" w:cs="Times New Roman"/>
                <w:color w:val="000000"/>
                <w:sz w:val="20"/>
                <w:szCs w:val="20"/>
                <w:lang w:eastAsia="en-GB"/>
              </w:rPr>
              <w:t>954</w:t>
            </w:r>
            <w:r w:rsidR="00CC5C53">
              <w:rPr>
                <w:rFonts w:ascii="Times New Roman" w:eastAsia="Times New Roman" w:hAnsi="Times New Roman" w:cs="Times New Roman"/>
                <w:color w:val="000000"/>
                <w:sz w:val="20"/>
                <w:szCs w:val="20"/>
                <w:lang w:eastAsia="en-GB"/>
              </w:rPr>
              <w:t xml:space="preserve"> (</w:t>
            </w:r>
            <w:r w:rsidR="00587DF6">
              <w:rPr>
                <w:rFonts w:ascii="Times New Roman" w:eastAsia="Times New Roman" w:hAnsi="Times New Roman" w:cs="Times New Roman"/>
                <w:color w:val="000000"/>
                <w:sz w:val="20"/>
                <w:szCs w:val="20"/>
                <w:lang w:eastAsia="en-GB"/>
              </w:rPr>
              <w:t>10.4</w:t>
            </w:r>
            <w:r w:rsidR="00CC5C53">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775F37B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1.13</w:t>
            </w:r>
          </w:p>
        </w:tc>
        <w:tc>
          <w:tcPr>
            <w:tcW w:w="606" w:type="dxa"/>
            <w:shd w:val="clear" w:color="auto" w:fill="auto"/>
            <w:noWrap/>
            <w:vAlign w:val="center"/>
            <w:hideMark/>
          </w:tcPr>
          <w:p w14:paraId="1AE8839B"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1.00</w:t>
            </w:r>
          </w:p>
        </w:tc>
        <w:tc>
          <w:tcPr>
            <w:tcW w:w="606" w:type="dxa"/>
            <w:shd w:val="clear" w:color="auto" w:fill="auto"/>
            <w:noWrap/>
            <w:vAlign w:val="center"/>
            <w:hideMark/>
          </w:tcPr>
          <w:p w14:paraId="650D7FFD"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1.27</w:t>
            </w:r>
          </w:p>
        </w:tc>
        <w:tc>
          <w:tcPr>
            <w:tcW w:w="908" w:type="dxa"/>
            <w:shd w:val="clear" w:color="auto" w:fill="auto"/>
            <w:noWrap/>
            <w:vAlign w:val="center"/>
            <w:hideMark/>
          </w:tcPr>
          <w:p w14:paraId="51F3ECF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0.053</w:t>
            </w:r>
          </w:p>
        </w:tc>
        <w:tc>
          <w:tcPr>
            <w:tcW w:w="993" w:type="dxa"/>
            <w:shd w:val="clear" w:color="auto" w:fill="auto"/>
            <w:noWrap/>
            <w:vAlign w:val="center"/>
            <w:hideMark/>
          </w:tcPr>
          <w:p w14:paraId="15D6BAB1"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1.23</w:t>
            </w:r>
          </w:p>
        </w:tc>
        <w:tc>
          <w:tcPr>
            <w:tcW w:w="606" w:type="dxa"/>
            <w:shd w:val="clear" w:color="auto" w:fill="auto"/>
            <w:noWrap/>
            <w:vAlign w:val="center"/>
            <w:hideMark/>
          </w:tcPr>
          <w:p w14:paraId="69C4CE8C"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1.09</w:t>
            </w:r>
          </w:p>
        </w:tc>
        <w:tc>
          <w:tcPr>
            <w:tcW w:w="606" w:type="dxa"/>
            <w:shd w:val="clear" w:color="auto" w:fill="auto"/>
            <w:noWrap/>
            <w:vAlign w:val="center"/>
            <w:hideMark/>
          </w:tcPr>
          <w:p w14:paraId="3E34BE2E"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1.40</w:t>
            </w:r>
          </w:p>
        </w:tc>
        <w:tc>
          <w:tcPr>
            <w:tcW w:w="908" w:type="dxa"/>
            <w:shd w:val="clear" w:color="auto" w:fill="auto"/>
            <w:noWrap/>
            <w:vAlign w:val="center"/>
            <w:hideMark/>
          </w:tcPr>
          <w:p w14:paraId="0870C514"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0.002</w:t>
            </w:r>
          </w:p>
        </w:tc>
      </w:tr>
      <w:tr w:rsidR="004E6697" w:rsidRPr="0046155E" w14:paraId="6F7FEBF8" w14:textId="77777777" w:rsidTr="00C516AB">
        <w:trPr>
          <w:trHeight w:val="300"/>
        </w:trPr>
        <w:tc>
          <w:tcPr>
            <w:tcW w:w="2591" w:type="dxa"/>
            <w:shd w:val="clear" w:color="auto" w:fill="auto"/>
            <w:noWrap/>
            <w:vAlign w:val="center"/>
            <w:hideMark/>
          </w:tcPr>
          <w:p w14:paraId="219ADDD1" w14:textId="0AD78094" w:rsidR="004E6697" w:rsidRPr="0046155E" w:rsidRDefault="004E6697" w:rsidP="00C516AB">
            <w:pPr>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Weight loss (≥10%)</w:t>
            </w:r>
            <w:r w:rsidR="000D293B">
              <w:rPr>
                <w:rFonts w:ascii="Times New Roman" w:eastAsia="Times New Roman" w:hAnsi="Times New Roman" w:cs="Times New Roman"/>
                <w:color w:val="000000"/>
                <w:sz w:val="20"/>
                <w:szCs w:val="20"/>
                <w:lang w:eastAsia="en-GB"/>
              </w:rPr>
              <w:t xml:space="preserve"> (n=</w:t>
            </w:r>
            <w:r w:rsidR="00E5165D">
              <w:rPr>
                <w:rFonts w:ascii="Times New Roman" w:eastAsia="Times New Roman" w:hAnsi="Times New Roman" w:cs="Times New Roman"/>
                <w:color w:val="000000"/>
                <w:sz w:val="20"/>
                <w:szCs w:val="20"/>
                <w:lang w:eastAsia="en-GB"/>
              </w:rPr>
              <w:t>2859</w:t>
            </w:r>
            <w:r w:rsidR="000D293B">
              <w:rPr>
                <w:rFonts w:ascii="Times New Roman" w:eastAsia="Times New Roman" w:hAnsi="Times New Roman" w:cs="Times New Roman"/>
                <w:color w:val="000000"/>
                <w:sz w:val="20"/>
                <w:szCs w:val="20"/>
                <w:lang w:eastAsia="en-GB"/>
              </w:rPr>
              <w:t xml:space="preserve"> (</w:t>
            </w:r>
            <w:r w:rsidR="00587DF6">
              <w:rPr>
                <w:rFonts w:ascii="Times New Roman" w:eastAsia="Times New Roman" w:hAnsi="Times New Roman" w:cs="Times New Roman"/>
                <w:color w:val="000000"/>
                <w:sz w:val="20"/>
                <w:szCs w:val="20"/>
                <w:lang w:eastAsia="en-GB"/>
              </w:rPr>
              <w:t>31.2</w:t>
            </w:r>
            <w:r w:rsidR="000D293B">
              <w:rPr>
                <w:rFonts w:ascii="Times New Roman" w:eastAsia="Times New Roman" w:hAnsi="Times New Roman" w:cs="Times New Roman"/>
                <w:color w:val="000000"/>
                <w:sz w:val="20"/>
                <w:szCs w:val="20"/>
                <w:lang w:eastAsia="en-GB"/>
              </w:rPr>
              <w:t>%))</w:t>
            </w:r>
          </w:p>
        </w:tc>
        <w:tc>
          <w:tcPr>
            <w:tcW w:w="992" w:type="dxa"/>
            <w:shd w:val="clear" w:color="auto" w:fill="auto"/>
            <w:noWrap/>
            <w:vAlign w:val="center"/>
            <w:hideMark/>
          </w:tcPr>
          <w:p w14:paraId="4D3C6BC6"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1.13</w:t>
            </w:r>
          </w:p>
        </w:tc>
        <w:tc>
          <w:tcPr>
            <w:tcW w:w="606" w:type="dxa"/>
            <w:shd w:val="clear" w:color="auto" w:fill="auto"/>
            <w:noWrap/>
            <w:vAlign w:val="center"/>
            <w:hideMark/>
          </w:tcPr>
          <w:p w14:paraId="21FF6465"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1.06</w:t>
            </w:r>
          </w:p>
        </w:tc>
        <w:tc>
          <w:tcPr>
            <w:tcW w:w="606" w:type="dxa"/>
            <w:shd w:val="clear" w:color="auto" w:fill="auto"/>
            <w:noWrap/>
            <w:vAlign w:val="center"/>
            <w:hideMark/>
          </w:tcPr>
          <w:p w14:paraId="5DBB4BE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1.21</w:t>
            </w:r>
          </w:p>
        </w:tc>
        <w:tc>
          <w:tcPr>
            <w:tcW w:w="908" w:type="dxa"/>
            <w:shd w:val="clear" w:color="auto" w:fill="auto"/>
            <w:noWrap/>
            <w:vAlign w:val="center"/>
            <w:hideMark/>
          </w:tcPr>
          <w:p w14:paraId="755B0B1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0.000</w:t>
            </w:r>
          </w:p>
        </w:tc>
        <w:tc>
          <w:tcPr>
            <w:tcW w:w="993" w:type="dxa"/>
            <w:shd w:val="clear" w:color="auto" w:fill="auto"/>
            <w:noWrap/>
            <w:vAlign w:val="center"/>
            <w:hideMark/>
          </w:tcPr>
          <w:p w14:paraId="40C58A6F"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1.42</w:t>
            </w:r>
          </w:p>
        </w:tc>
        <w:tc>
          <w:tcPr>
            <w:tcW w:w="606" w:type="dxa"/>
            <w:shd w:val="clear" w:color="auto" w:fill="auto"/>
            <w:noWrap/>
            <w:vAlign w:val="center"/>
            <w:hideMark/>
          </w:tcPr>
          <w:p w14:paraId="755CA1C2"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1.31</w:t>
            </w:r>
          </w:p>
        </w:tc>
        <w:tc>
          <w:tcPr>
            <w:tcW w:w="606" w:type="dxa"/>
            <w:shd w:val="clear" w:color="auto" w:fill="auto"/>
            <w:noWrap/>
            <w:vAlign w:val="center"/>
            <w:hideMark/>
          </w:tcPr>
          <w:p w14:paraId="7DB67CB8"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1.54</w:t>
            </w:r>
          </w:p>
        </w:tc>
        <w:tc>
          <w:tcPr>
            <w:tcW w:w="908" w:type="dxa"/>
            <w:shd w:val="clear" w:color="auto" w:fill="auto"/>
            <w:noWrap/>
            <w:vAlign w:val="center"/>
            <w:hideMark/>
          </w:tcPr>
          <w:p w14:paraId="5CDB98C0" w14:textId="77777777" w:rsidR="004E6697" w:rsidRPr="0046155E" w:rsidRDefault="004E6697" w:rsidP="00C516AB">
            <w:pPr>
              <w:jc w:val="right"/>
              <w:rPr>
                <w:rFonts w:ascii="Times New Roman" w:eastAsia="Times New Roman" w:hAnsi="Times New Roman" w:cs="Times New Roman"/>
                <w:color w:val="000000"/>
                <w:sz w:val="20"/>
                <w:szCs w:val="20"/>
                <w:lang w:eastAsia="en-GB"/>
              </w:rPr>
            </w:pPr>
            <w:r w:rsidRPr="0046155E">
              <w:rPr>
                <w:rFonts w:ascii="Times New Roman" w:eastAsia="Times New Roman" w:hAnsi="Times New Roman" w:cs="Times New Roman"/>
                <w:color w:val="000000"/>
                <w:sz w:val="20"/>
                <w:szCs w:val="20"/>
                <w:lang w:eastAsia="en-GB"/>
              </w:rPr>
              <w:t>0.000</w:t>
            </w:r>
          </w:p>
        </w:tc>
      </w:tr>
    </w:tbl>
    <w:p w14:paraId="14F619A1" w14:textId="77777777" w:rsidR="000F14C6" w:rsidRPr="00D70E2C" w:rsidRDefault="000F14C6" w:rsidP="000F14C6">
      <w:pPr>
        <w:rPr>
          <w:rFonts w:ascii="Arial" w:eastAsia="Times New Roman" w:hAnsi="Arial" w:cs="Arial"/>
          <w:sz w:val="17"/>
          <w:szCs w:val="17"/>
        </w:rPr>
      </w:pPr>
      <w:r w:rsidRPr="00D70E2C">
        <w:rPr>
          <w:rFonts w:ascii="Arial" w:eastAsia="Times New Roman" w:hAnsi="Arial" w:cs="Arial"/>
          <w:sz w:val="20"/>
          <w:szCs w:val="20"/>
          <w:vertAlign w:val="superscript"/>
        </w:rPr>
        <w:t>#</w:t>
      </w:r>
      <w:r>
        <w:rPr>
          <w:rFonts w:ascii="Arial" w:eastAsia="Times New Roman" w:hAnsi="Arial" w:cs="Arial"/>
          <w:sz w:val="17"/>
          <w:szCs w:val="17"/>
        </w:rPr>
        <w:t>A</w:t>
      </w:r>
      <w:r w:rsidRPr="00BE3FA0">
        <w:rPr>
          <w:rFonts w:ascii="Arial" w:eastAsia="Times New Roman" w:hAnsi="Arial" w:cs="Arial"/>
          <w:sz w:val="17"/>
          <w:szCs w:val="17"/>
        </w:rPr>
        <w:t>djusted model includes baseline weight, sociodemographic variables</w:t>
      </w:r>
      <w:r>
        <w:rPr>
          <w:rFonts w:ascii="Arial" w:eastAsia="Times New Roman" w:hAnsi="Arial" w:cs="Arial"/>
          <w:sz w:val="17"/>
          <w:szCs w:val="17"/>
        </w:rPr>
        <w:t xml:space="preserve"> (age, sex, ethnicity and IMD)</w:t>
      </w:r>
      <w:r w:rsidRPr="00BE3FA0">
        <w:rPr>
          <w:rFonts w:ascii="Arial" w:eastAsia="Times New Roman" w:hAnsi="Arial" w:cs="Arial"/>
          <w:sz w:val="17"/>
          <w:szCs w:val="17"/>
        </w:rPr>
        <w:t xml:space="preserve">, diabetes duration, number of co-morbidities and clustering within practices. </w:t>
      </w:r>
    </w:p>
    <w:p w14:paraId="40FA7186" w14:textId="77777777" w:rsidR="000F14C6" w:rsidRPr="0046155E" w:rsidRDefault="000F14C6" w:rsidP="00E21AD0">
      <w:pPr>
        <w:spacing w:after="0" w:line="480" w:lineRule="auto"/>
        <w:jc w:val="both"/>
        <w:rPr>
          <w:rFonts w:ascii="Times New Roman" w:hAnsi="Times New Roman" w:cs="Times New Roman"/>
          <w:sz w:val="24"/>
          <w:szCs w:val="24"/>
        </w:rPr>
      </w:pPr>
    </w:p>
    <w:p w14:paraId="5D28B19E" w14:textId="1907F68C" w:rsidR="002A00FE" w:rsidRPr="00CD1F9F" w:rsidRDefault="00775211" w:rsidP="00E21AD0">
      <w:pPr>
        <w:spacing w:after="0" w:line="480" w:lineRule="auto"/>
        <w:rPr>
          <w:rFonts w:ascii="Times New Roman" w:eastAsia="Times New Roman" w:hAnsi="Times New Roman" w:cs="Times New Roman"/>
          <w:b/>
          <w:bCs/>
          <w:color w:val="000000"/>
          <w:sz w:val="32"/>
          <w:szCs w:val="32"/>
          <w:lang w:eastAsia="en-GB"/>
        </w:rPr>
      </w:pPr>
      <w:r w:rsidRPr="00CD1F9F">
        <w:rPr>
          <w:rFonts w:ascii="Times New Roman" w:eastAsia="Times New Roman" w:hAnsi="Times New Roman" w:cs="Times New Roman"/>
          <w:b/>
          <w:bCs/>
          <w:color w:val="000000"/>
          <w:sz w:val="32"/>
          <w:szCs w:val="32"/>
          <w:lang w:eastAsia="en-GB"/>
        </w:rPr>
        <w:t>Remission</w:t>
      </w:r>
      <w:r w:rsidR="009C01D2" w:rsidRPr="00CD1F9F">
        <w:rPr>
          <w:rFonts w:ascii="Times New Roman" w:eastAsia="Times New Roman" w:hAnsi="Times New Roman" w:cs="Times New Roman"/>
          <w:b/>
          <w:bCs/>
          <w:color w:val="000000"/>
          <w:sz w:val="32"/>
          <w:szCs w:val="32"/>
          <w:lang w:eastAsia="en-GB"/>
        </w:rPr>
        <w:t xml:space="preserve"> a</w:t>
      </w:r>
      <w:r w:rsidRPr="00CD1F9F">
        <w:rPr>
          <w:rFonts w:ascii="Times New Roman" w:eastAsia="Times New Roman" w:hAnsi="Times New Roman" w:cs="Times New Roman"/>
          <w:b/>
          <w:bCs/>
          <w:color w:val="000000"/>
          <w:sz w:val="32"/>
          <w:szCs w:val="32"/>
          <w:lang w:eastAsia="en-GB"/>
        </w:rPr>
        <w:t xml:space="preserve">nd </w:t>
      </w:r>
      <w:r w:rsidR="004F32B8" w:rsidRPr="00CD1F9F">
        <w:rPr>
          <w:rFonts w:ascii="Times New Roman" w:eastAsia="Times New Roman" w:hAnsi="Times New Roman" w:cs="Times New Roman"/>
          <w:b/>
          <w:bCs/>
          <w:color w:val="000000"/>
          <w:sz w:val="32"/>
          <w:szCs w:val="32"/>
          <w:lang w:eastAsia="en-GB"/>
        </w:rPr>
        <w:t xml:space="preserve">CVD </w:t>
      </w:r>
      <w:r w:rsidRPr="00CD1F9F">
        <w:rPr>
          <w:rFonts w:ascii="Times New Roman" w:eastAsia="Times New Roman" w:hAnsi="Times New Roman" w:cs="Times New Roman"/>
          <w:b/>
          <w:bCs/>
          <w:color w:val="000000"/>
          <w:sz w:val="32"/>
          <w:szCs w:val="32"/>
          <w:lang w:eastAsia="en-GB"/>
        </w:rPr>
        <w:t>outcomes</w:t>
      </w:r>
      <w:r w:rsidR="00906287" w:rsidRPr="00CD1F9F">
        <w:rPr>
          <w:rFonts w:ascii="Times New Roman" w:eastAsia="Times New Roman" w:hAnsi="Times New Roman" w:cs="Times New Roman"/>
          <w:b/>
          <w:bCs/>
          <w:color w:val="000000"/>
          <w:sz w:val="32"/>
          <w:szCs w:val="32"/>
          <w:lang w:eastAsia="en-GB"/>
        </w:rPr>
        <w:t xml:space="preserve"> by remission trajectory</w:t>
      </w:r>
    </w:p>
    <w:p w14:paraId="7AF89A55" w14:textId="3B6CBCD6" w:rsidR="00BE3FA0" w:rsidRPr="0046155E" w:rsidRDefault="00BE3FA0" w:rsidP="00E21AD0">
      <w:pPr>
        <w:spacing w:after="0" w:line="480" w:lineRule="auto"/>
        <w:rPr>
          <w:rFonts w:ascii="Times New Roman" w:eastAsia="Times New Roman" w:hAnsi="Times New Roman" w:cs="Times New Roman"/>
          <w:b/>
          <w:bCs/>
          <w:i/>
          <w:iCs/>
          <w:color w:val="000000"/>
          <w:sz w:val="24"/>
          <w:szCs w:val="24"/>
          <w:lang w:eastAsia="en-GB"/>
        </w:rPr>
      </w:pPr>
    </w:p>
    <w:p w14:paraId="67F89768" w14:textId="77315B98" w:rsidR="009C01D2" w:rsidRPr="0046155E" w:rsidRDefault="00BE3FA0" w:rsidP="00E21AD0">
      <w:pPr>
        <w:spacing w:after="0" w:line="480" w:lineRule="auto"/>
        <w:jc w:val="both"/>
        <w:rPr>
          <w:rFonts w:ascii="Times New Roman" w:eastAsia="Times New Roman" w:hAnsi="Times New Roman" w:cs="Times New Roman"/>
          <w:color w:val="000000"/>
          <w:sz w:val="24"/>
          <w:szCs w:val="24"/>
          <w:lang w:eastAsia="en-GB"/>
        </w:rPr>
      </w:pPr>
      <w:r w:rsidRPr="0046155E">
        <w:rPr>
          <w:rFonts w:ascii="Times New Roman" w:eastAsia="Times New Roman" w:hAnsi="Times New Roman" w:cs="Times New Roman"/>
          <w:color w:val="000000"/>
          <w:sz w:val="24"/>
          <w:szCs w:val="24"/>
          <w:lang w:eastAsia="en-GB"/>
        </w:rPr>
        <w:t xml:space="preserve">In </w:t>
      </w:r>
      <w:r w:rsidR="00B26DAC" w:rsidRPr="0046155E">
        <w:rPr>
          <w:rFonts w:ascii="Times New Roman" w:eastAsia="Times New Roman" w:hAnsi="Times New Roman" w:cs="Times New Roman"/>
          <w:color w:val="000000"/>
          <w:sz w:val="24"/>
          <w:szCs w:val="24"/>
          <w:lang w:eastAsia="en-GB"/>
        </w:rPr>
        <w:t>our study</w:t>
      </w:r>
      <w:r w:rsidRPr="0046155E">
        <w:rPr>
          <w:rFonts w:ascii="Times New Roman" w:eastAsia="Times New Roman" w:hAnsi="Times New Roman" w:cs="Times New Roman"/>
          <w:color w:val="000000"/>
          <w:sz w:val="24"/>
          <w:szCs w:val="24"/>
          <w:lang w:eastAsia="en-GB"/>
        </w:rPr>
        <w:t xml:space="preserve"> cohort,</w:t>
      </w:r>
      <w:r w:rsidR="00664CD3" w:rsidRPr="0046155E">
        <w:rPr>
          <w:rFonts w:ascii="Times New Roman" w:eastAsia="Times New Roman" w:hAnsi="Times New Roman" w:cs="Times New Roman"/>
          <w:color w:val="000000"/>
          <w:sz w:val="24"/>
          <w:szCs w:val="24"/>
          <w:lang w:eastAsia="en-GB"/>
        </w:rPr>
        <w:t xml:space="preserve"> </w:t>
      </w:r>
      <w:r w:rsidR="004C36D4" w:rsidRPr="0046155E">
        <w:rPr>
          <w:rFonts w:ascii="Times New Roman" w:eastAsia="Times New Roman" w:hAnsi="Times New Roman" w:cs="Times New Roman"/>
          <w:color w:val="000000"/>
          <w:sz w:val="24"/>
          <w:szCs w:val="24"/>
          <w:lang w:eastAsia="en-GB"/>
        </w:rPr>
        <w:t>3</w:t>
      </w:r>
      <w:r w:rsidR="004650C7" w:rsidRPr="0046155E">
        <w:rPr>
          <w:rFonts w:ascii="Times New Roman" w:eastAsia="Times New Roman" w:hAnsi="Times New Roman" w:cs="Times New Roman"/>
          <w:color w:val="000000"/>
          <w:sz w:val="24"/>
          <w:szCs w:val="24"/>
          <w:lang w:eastAsia="en-GB"/>
        </w:rPr>
        <w:t>,</w:t>
      </w:r>
      <w:r w:rsidR="004C36D4" w:rsidRPr="0046155E">
        <w:rPr>
          <w:rFonts w:ascii="Times New Roman" w:eastAsia="Times New Roman" w:hAnsi="Times New Roman" w:cs="Times New Roman"/>
          <w:color w:val="000000"/>
          <w:sz w:val="24"/>
          <w:szCs w:val="24"/>
          <w:lang w:eastAsia="en-GB"/>
        </w:rPr>
        <w:t>928</w:t>
      </w:r>
      <w:r w:rsidR="007874A8" w:rsidRPr="0046155E">
        <w:rPr>
          <w:rFonts w:ascii="Times New Roman" w:eastAsia="Times New Roman" w:hAnsi="Times New Roman" w:cs="Times New Roman"/>
          <w:color w:val="000000"/>
          <w:sz w:val="24"/>
          <w:szCs w:val="24"/>
          <w:lang w:eastAsia="en-GB"/>
        </w:rPr>
        <w:t xml:space="preserve"> (6.5%) had a CVD event, </w:t>
      </w:r>
      <w:r w:rsidR="00A82AAB" w:rsidRPr="0046155E">
        <w:rPr>
          <w:rFonts w:ascii="Times New Roman" w:eastAsia="Times New Roman" w:hAnsi="Times New Roman" w:cs="Times New Roman"/>
          <w:color w:val="000000"/>
          <w:sz w:val="24"/>
          <w:szCs w:val="24"/>
          <w:lang w:eastAsia="en-GB"/>
        </w:rPr>
        <w:t>7</w:t>
      </w:r>
      <w:r w:rsidR="004650C7" w:rsidRPr="0046155E">
        <w:rPr>
          <w:rFonts w:ascii="Times New Roman" w:eastAsia="Times New Roman" w:hAnsi="Times New Roman" w:cs="Times New Roman"/>
          <w:color w:val="000000"/>
          <w:sz w:val="24"/>
          <w:szCs w:val="24"/>
          <w:lang w:eastAsia="en-GB"/>
        </w:rPr>
        <w:t>,</w:t>
      </w:r>
      <w:r w:rsidR="00A82AAB" w:rsidRPr="0046155E">
        <w:rPr>
          <w:rFonts w:ascii="Times New Roman" w:eastAsia="Times New Roman" w:hAnsi="Times New Roman" w:cs="Times New Roman"/>
          <w:color w:val="000000"/>
          <w:sz w:val="24"/>
          <w:szCs w:val="24"/>
          <w:lang w:eastAsia="en-GB"/>
        </w:rPr>
        <w:t>312</w:t>
      </w:r>
      <w:r w:rsidR="007874A8" w:rsidRPr="0046155E">
        <w:rPr>
          <w:rFonts w:ascii="Times New Roman" w:eastAsia="Times New Roman" w:hAnsi="Times New Roman" w:cs="Times New Roman"/>
          <w:color w:val="000000"/>
          <w:sz w:val="24"/>
          <w:szCs w:val="24"/>
          <w:lang w:eastAsia="en-GB"/>
        </w:rPr>
        <w:t xml:space="preserve"> (1</w:t>
      </w:r>
      <w:r w:rsidR="00A82AAB" w:rsidRPr="0046155E">
        <w:rPr>
          <w:rFonts w:ascii="Times New Roman" w:eastAsia="Times New Roman" w:hAnsi="Times New Roman" w:cs="Times New Roman"/>
          <w:color w:val="000000"/>
          <w:sz w:val="24"/>
          <w:szCs w:val="24"/>
          <w:lang w:eastAsia="en-GB"/>
        </w:rPr>
        <w:t>2.1</w:t>
      </w:r>
      <w:r w:rsidR="007874A8" w:rsidRPr="0046155E">
        <w:rPr>
          <w:rFonts w:ascii="Times New Roman" w:eastAsia="Times New Roman" w:hAnsi="Times New Roman" w:cs="Times New Roman"/>
          <w:color w:val="000000"/>
          <w:sz w:val="24"/>
          <w:szCs w:val="24"/>
          <w:lang w:eastAsia="en-GB"/>
        </w:rPr>
        <w:t xml:space="preserve">%) died, </w:t>
      </w:r>
      <w:r w:rsidR="00A82AAB" w:rsidRPr="0046155E">
        <w:rPr>
          <w:rFonts w:ascii="Times New Roman" w:eastAsia="Times New Roman" w:hAnsi="Times New Roman" w:cs="Times New Roman"/>
          <w:color w:val="000000"/>
          <w:sz w:val="24"/>
          <w:szCs w:val="24"/>
          <w:lang w:eastAsia="en-GB"/>
        </w:rPr>
        <w:t>4867</w:t>
      </w:r>
      <w:r w:rsidR="009641E9" w:rsidRPr="0046155E">
        <w:rPr>
          <w:rFonts w:ascii="Times New Roman" w:eastAsia="Times New Roman" w:hAnsi="Times New Roman" w:cs="Times New Roman"/>
          <w:color w:val="000000"/>
          <w:sz w:val="24"/>
          <w:szCs w:val="24"/>
          <w:lang w:eastAsia="en-GB"/>
        </w:rPr>
        <w:t xml:space="preserve"> (</w:t>
      </w:r>
      <w:r w:rsidR="00A82AAB" w:rsidRPr="0046155E">
        <w:rPr>
          <w:rFonts w:ascii="Times New Roman" w:eastAsia="Times New Roman" w:hAnsi="Times New Roman" w:cs="Times New Roman"/>
          <w:color w:val="000000"/>
          <w:sz w:val="24"/>
          <w:szCs w:val="24"/>
          <w:lang w:eastAsia="en-GB"/>
        </w:rPr>
        <w:t>8.1</w:t>
      </w:r>
      <w:r w:rsidR="009641E9" w:rsidRPr="0046155E">
        <w:rPr>
          <w:rFonts w:ascii="Times New Roman" w:eastAsia="Times New Roman" w:hAnsi="Times New Roman" w:cs="Times New Roman"/>
          <w:color w:val="000000"/>
          <w:sz w:val="24"/>
          <w:szCs w:val="24"/>
          <w:lang w:eastAsia="en-GB"/>
        </w:rPr>
        <w:t>%) people had macrovascular complications, 1</w:t>
      </w:r>
      <w:r w:rsidR="00A82AAB" w:rsidRPr="0046155E">
        <w:rPr>
          <w:rFonts w:ascii="Times New Roman" w:eastAsia="Times New Roman" w:hAnsi="Times New Roman" w:cs="Times New Roman"/>
          <w:color w:val="000000"/>
          <w:sz w:val="24"/>
          <w:szCs w:val="24"/>
          <w:lang w:eastAsia="en-GB"/>
        </w:rPr>
        <w:t>5</w:t>
      </w:r>
      <w:r w:rsidR="004650C7" w:rsidRPr="0046155E">
        <w:rPr>
          <w:rFonts w:ascii="Times New Roman" w:eastAsia="Times New Roman" w:hAnsi="Times New Roman" w:cs="Times New Roman"/>
          <w:color w:val="000000"/>
          <w:sz w:val="24"/>
          <w:szCs w:val="24"/>
          <w:lang w:eastAsia="en-GB"/>
        </w:rPr>
        <w:t>,</w:t>
      </w:r>
      <w:r w:rsidR="00A82AAB" w:rsidRPr="0046155E">
        <w:rPr>
          <w:rFonts w:ascii="Times New Roman" w:eastAsia="Times New Roman" w:hAnsi="Times New Roman" w:cs="Times New Roman"/>
          <w:color w:val="000000"/>
          <w:sz w:val="24"/>
          <w:szCs w:val="24"/>
          <w:lang w:eastAsia="en-GB"/>
        </w:rPr>
        <w:t>527</w:t>
      </w:r>
      <w:r w:rsidR="009641E9" w:rsidRPr="0046155E">
        <w:rPr>
          <w:rFonts w:ascii="Times New Roman" w:eastAsia="Times New Roman" w:hAnsi="Times New Roman" w:cs="Times New Roman"/>
          <w:color w:val="000000"/>
          <w:sz w:val="24"/>
          <w:szCs w:val="24"/>
          <w:lang w:eastAsia="en-GB"/>
        </w:rPr>
        <w:t xml:space="preserve"> (2</w:t>
      </w:r>
      <w:r w:rsidR="00A82AAB" w:rsidRPr="0046155E">
        <w:rPr>
          <w:rFonts w:ascii="Times New Roman" w:eastAsia="Times New Roman" w:hAnsi="Times New Roman" w:cs="Times New Roman"/>
          <w:color w:val="000000"/>
          <w:sz w:val="24"/>
          <w:szCs w:val="24"/>
          <w:lang w:eastAsia="en-GB"/>
        </w:rPr>
        <w:t>5</w:t>
      </w:r>
      <w:r w:rsidR="009641E9" w:rsidRPr="0046155E">
        <w:rPr>
          <w:rFonts w:ascii="Times New Roman" w:eastAsia="Times New Roman" w:hAnsi="Times New Roman" w:cs="Times New Roman"/>
          <w:color w:val="000000"/>
          <w:sz w:val="24"/>
          <w:szCs w:val="24"/>
          <w:lang w:eastAsia="en-GB"/>
        </w:rPr>
        <w:t xml:space="preserve">.8%) had microvascular complications </w:t>
      </w:r>
      <w:r w:rsidRPr="0046155E">
        <w:rPr>
          <w:rFonts w:ascii="Times New Roman" w:eastAsia="Times New Roman" w:hAnsi="Times New Roman" w:cs="Times New Roman"/>
          <w:color w:val="000000"/>
          <w:sz w:val="24"/>
          <w:szCs w:val="24"/>
          <w:lang w:eastAsia="en-GB"/>
        </w:rPr>
        <w:t>during the study period. In Cox models, p</w:t>
      </w:r>
      <w:r w:rsidR="009C01D2" w:rsidRPr="0046155E">
        <w:rPr>
          <w:rFonts w:ascii="Times New Roman" w:eastAsia="Times New Roman" w:hAnsi="Times New Roman" w:cs="Times New Roman"/>
          <w:color w:val="000000"/>
          <w:sz w:val="24"/>
          <w:szCs w:val="24"/>
          <w:lang w:eastAsia="en-GB"/>
        </w:rPr>
        <w:t xml:space="preserve">eople with type 2 diabetes </w:t>
      </w:r>
      <w:r w:rsidRPr="0046155E">
        <w:rPr>
          <w:rFonts w:ascii="Times New Roman" w:eastAsia="Times New Roman" w:hAnsi="Times New Roman" w:cs="Times New Roman"/>
          <w:color w:val="000000"/>
          <w:sz w:val="24"/>
          <w:szCs w:val="24"/>
          <w:lang w:eastAsia="en-GB"/>
        </w:rPr>
        <w:t xml:space="preserve">who </w:t>
      </w:r>
      <w:r w:rsidR="009C01D2" w:rsidRPr="0046155E">
        <w:rPr>
          <w:rFonts w:ascii="Times New Roman" w:eastAsia="Times New Roman" w:hAnsi="Times New Roman" w:cs="Times New Roman"/>
          <w:color w:val="000000"/>
          <w:sz w:val="24"/>
          <w:szCs w:val="24"/>
          <w:lang w:eastAsia="en-GB"/>
        </w:rPr>
        <w:t xml:space="preserve">achieved remission </w:t>
      </w:r>
      <w:r w:rsidR="0077373D" w:rsidRPr="0046155E">
        <w:rPr>
          <w:rFonts w:ascii="Times New Roman" w:eastAsia="Times New Roman" w:hAnsi="Times New Roman" w:cs="Times New Roman"/>
          <w:color w:val="000000"/>
          <w:sz w:val="24"/>
          <w:szCs w:val="24"/>
          <w:lang w:eastAsia="en-GB"/>
        </w:rPr>
        <w:t xml:space="preserve">at </w:t>
      </w:r>
      <w:r w:rsidR="009C01D2" w:rsidRPr="0046155E">
        <w:rPr>
          <w:rFonts w:ascii="Times New Roman" w:eastAsia="Times New Roman" w:hAnsi="Times New Roman" w:cs="Times New Roman"/>
          <w:color w:val="000000"/>
          <w:sz w:val="24"/>
          <w:szCs w:val="24"/>
          <w:lang w:eastAsia="en-GB"/>
        </w:rPr>
        <w:t xml:space="preserve">any point during </w:t>
      </w:r>
      <w:r w:rsidR="00B121EB" w:rsidRPr="0046155E">
        <w:rPr>
          <w:rFonts w:ascii="Times New Roman" w:eastAsia="Times New Roman" w:hAnsi="Times New Roman" w:cs="Times New Roman"/>
          <w:color w:val="000000"/>
          <w:sz w:val="24"/>
          <w:szCs w:val="24"/>
          <w:lang w:eastAsia="en-GB"/>
        </w:rPr>
        <w:t>the seven-year</w:t>
      </w:r>
      <w:r w:rsidR="009C01D2" w:rsidRPr="0046155E">
        <w:rPr>
          <w:rFonts w:ascii="Times New Roman" w:eastAsia="Times New Roman" w:hAnsi="Times New Roman" w:cs="Times New Roman"/>
          <w:color w:val="000000"/>
          <w:sz w:val="24"/>
          <w:szCs w:val="24"/>
          <w:lang w:eastAsia="en-GB"/>
        </w:rPr>
        <w:t xml:space="preserve"> follow-up</w:t>
      </w:r>
      <w:r w:rsidR="00B121EB" w:rsidRPr="0046155E">
        <w:rPr>
          <w:rFonts w:ascii="Times New Roman" w:eastAsia="Times New Roman" w:hAnsi="Times New Roman" w:cs="Times New Roman"/>
          <w:color w:val="000000"/>
          <w:sz w:val="24"/>
          <w:szCs w:val="24"/>
          <w:lang w:eastAsia="en-GB"/>
        </w:rPr>
        <w:t xml:space="preserve"> </w:t>
      </w:r>
      <w:r w:rsidR="009C01D2" w:rsidRPr="0046155E">
        <w:rPr>
          <w:rFonts w:ascii="Times New Roman" w:eastAsia="Times New Roman" w:hAnsi="Times New Roman" w:cs="Times New Roman"/>
          <w:color w:val="000000"/>
          <w:sz w:val="24"/>
          <w:szCs w:val="24"/>
          <w:lang w:eastAsia="en-GB"/>
        </w:rPr>
        <w:t>had a significantly lower risk of</w:t>
      </w:r>
      <w:r w:rsidR="00B121EB" w:rsidRPr="0046155E">
        <w:rPr>
          <w:rFonts w:ascii="Times New Roman" w:eastAsia="Times New Roman" w:hAnsi="Times New Roman" w:cs="Times New Roman"/>
          <w:color w:val="000000"/>
          <w:sz w:val="24"/>
          <w:szCs w:val="24"/>
          <w:lang w:eastAsia="en-GB"/>
        </w:rPr>
        <w:t xml:space="preserve"> </w:t>
      </w:r>
      <w:r w:rsidR="007874A8" w:rsidRPr="0046155E">
        <w:rPr>
          <w:rFonts w:ascii="Times New Roman" w:eastAsia="Times New Roman" w:hAnsi="Times New Roman" w:cs="Times New Roman"/>
          <w:color w:val="000000"/>
          <w:sz w:val="24"/>
          <w:szCs w:val="24"/>
          <w:lang w:eastAsia="en-GB"/>
        </w:rPr>
        <w:t xml:space="preserve">CVD </w:t>
      </w:r>
      <w:r w:rsidR="0045346A" w:rsidRPr="0046155E">
        <w:rPr>
          <w:rFonts w:ascii="Times New Roman" w:eastAsia="Times New Roman" w:hAnsi="Times New Roman" w:cs="Times New Roman"/>
          <w:color w:val="000000"/>
          <w:sz w:val="24"/>
          <w:szCs w:val="24"/>
          <w:lang w:eastAsia="en-GB"/>
        </w:rPr>
        <w:t>events, macrovascular</w:t>
      </w:r>
      <w:r w:rsidR="009C01D2" w:rsidRPr="0046155E">
        <w:rPr>
          <w:rFonts w:ascii="Times New Roman" w:eastAsia="Times New Roman" w:hAnsi="Times New Roman" w:cs="Times New Roman"/>
          <w:color w:val="000000"/>
          <w:sz w:val="24"/>
          <w:szCs w:val="24"/>
          <w:lang w:eastAsia="en-GB"/>
        </w:rPr>
        <w:t xml:space="preserve"> complications</w:t>
      </w:r>
      <w:r w:rsidR="007874A8" w:rsidRPr="0046155E">
        <w:rPr>
          <w:rFonts w:ascii="Times New Roman" w:eastAsia="Times New Roman" w:hAnsi="Times New Roman" w:cs="Times New Roman"/>
          <w:color w:val="000000"/>
          <w:sz w:val="24"/>
          <w:szCs w:val="24"/>
          <w:lang w:eastAsia="en-GB"/>
        </w:rPr>
        <w:t xml:space="preserve"> and</w:t>
      </w:r>
      <w:r w:rsidR="009C01D2" w:rsidRPr="0046155E">
        <w:rPr>
          <w:rFonts w:ascii="Times New Roman" w:eastAsia="Times New Roman" w:hAnsi="Times New Roman" w:cs="Times New Roman"/>
          <w:color w:val="000000"/>
          <w:sz w:val="24"/>
          <w:szCs w:val="24"/>
          <w:lang w:eastAsia="en-GB"/>
        </w:rPr>
        <w:t xml:space="preserve"> microvascular complications, in both unadjusted and </w:t>
      </w:r>
      <w:r w:rsidR="00D70E2C" w:rsidRPr="0046155E">
        <w:rPr>
          <w:rFonts w:ascii="Times New Roman" w:eastAsia="Times New Roman" w:hAnsi="Times New Roman" w:cs="Times New Roman"/>
          <w:color w:val="000000"/>
          <w:sz w:val="24"/>
          <w:szCs w:val="24"/>
          <w:lang w:eastAsia="en-GB"/>
        </w:rPr>
        <w:t>a</w:t>
      </w:r>
      <w:r w:rsidR="009C01D2" w:rsidRPr="0046155E">
        <w:rPr>
          <w:rFonts w:ascii="Times New Roman" w:eastAsia="Times New Roman" w:hAnsi="Times New Roman" w:cs="Times New Roman"/>
          <w:color w:val="000000"/>
          <w:sz w:val="24"/>
          <w:szCs w:val="24"/>
          <w:lang w:eastAsia="en-GB"/>
        </w:rPr>
        <w:t xml:space="preserve">djusted models. </w:t>
      </w:r>
      <w:r w:rsidR="00B26DAC" w:rsidRPr="0046155E">
        <w:rPr>
          <w:rFonts w:ascii="Times New Roman" w:eastAsia="Times New Roman" w:hAnsi="Times New Roman" w:cs="Times New Roman"/>
          <w:color w:val="000000"/>
          <w:sz w:val="24"/>
          <w:szCs w:val="24"/>
          <w:lang w:eastAsia="en-GB"/>
        </w:rPr>
        <w:t xml:space="preserve">People with type 2 diabetes who achieved remission at any point during the seven-year follow-up had a significantly lower risk of all-cause mortality in adjusted models. </w:t>
      </w:r>
      <w:r w:rsidR="009C01D2" w:rsidRPr="0046155E">
        <w:rPr>
          <w:rFonts w:ascii="Times New Roman" w:eastAsia="Times New Roman" w:hAnsi="Times New Roman" w:cs="Times New Roman"/>
          <w:color w:val="000000"/>
          <w:sz w:val="24"/>
          <w:szCs w:val="24"/>
          <w:lang w:eastAsia="en-GB"/>
        </w:rPr>
        <w:t>These results are show</w:t>
      </w:r>
      <w:r w:rsidR="00CA6E1E" w:rsidRPr="0046155E">
        <w:rPr>
          <w:rFonts w:ascii="Times New Roman" w:eastAsia="Times New Roman" w:hAnsi="Times New Roman" w:cs="Times New Roman"/>
          <w:color w:val="000000"/>
          <w:sz w:val="24"/>
          <w:szCs w:val="24"/>
          <w:lang w:eastAsia="en-GB"/>
        </w:rPr>
        <w:t>n</w:t>
      </w:r>
      <w:r w:rsidR="009C01D2" w:rsidRPr="0046155E">
        <w:rPr>
          <w:rFonts w:ascii="Times New Roman" w:eastAsia="Times New Roman" w:hAnsi="Times New Roman" w:cs="Times New Roman"/>
          <w:color w:val="000000"/>
          <w:sz w:val="24"/>
          <w:szCs w:val="24"/>
          <w:lang w:eastAsia="en-GB"/>
        </w:rPr>
        <w:t xml:space="preserve"> in </w:t>
      </w:r>
      <w:r w:rsidR="002D46E3" w:rsidRPr="0046155E">
        <w:rPr>
          <w:rFonts w:ascii="Times New Roman" w:eastAsia="Times New Roman" w:hAnsi="Times New Roman" w:cs="Times New Roman"/>
          <w:color w:val="000000"/>
          <w:sz w:val="24"/>
          <w:szCs w:val="24"/>
          <w:lang w:eastAsia="en-GB"/>
        </w:rPr>
        <w:t>S</w:t>
      </w:r>
      <w:r w:rsidR="00B0448E">
        <w:rPr>
          <w:rFonts w:ascii="Times New Roman" w:eastAsia="Times New Roman" w:hAnsi="Times New Roman" w:cs="Times New Roman"/>
          <w:color w:val="000000"/>
          <w:sz w:val="24"/>
          <w:szCs w:val="24"/>
          <w:lang w:eastAsia="en-GB"/>
        </w:rPr>
        <w:t>1</w:t>
      </w:r>
      <w:r w:rsidR="002D46E3" w:rsidRPr="0046155E">
        <w:rPr>
          <w:rFonts w:ascii="Times New Roman" w:eastAsia="Times New Roman" w:hAnsi="Times New Roman" w:cs="Times New Roman"/>
          <w:color w:val="000000"/>
          <w:sz w:val="24"/>
          <w:szCs w:val="24"/>
          <w:lang w:eastAsia="en-GB"/>
        </w:rPr>
        <w:t xml:space="preserve"> </w:t>
      </w:r>
      <w:r w:rsidR="00DC1167" w:rsidRPr="0046155E">
        <w:rPr>
          <w:rFonts w:ascii="Times New Roman" w:eastAsia="Times New Roman" w:hAnsi="Times New Roman" w:cs="Times New Roman"/>
          <w:color w:val="000000"/>
          <w:sz w:val="24"/>
          <w:szCs w:val="24"/>
          <w:lang w:eastAsia="en-GB"/>
        </w:rPr>
        <w:t>T</w:t>
      </w:r>
      <w:r w:rsidR="009C01D2" w:rsidRPr="0046155E">
        <w:rPr>
          <w:rFonts w:ascii="Times New Roman" w:eastAsia="Times New Roman" w:hAnsi="Times New Roman" w:cs="Times New Roman"/>
          <w:color w:val="000000"/>
          <w:sz w:val="24"/>
          <w:szCs w:val="24"/>
          <w:lang w:eastAsia="en-GB"/>
        </w:rPr>
        <w:t>able</w:t>
      </w:r>
      <w:r w:rsidR="00B121EB" w:rsidRPr="0046155E">
        <w:rPr>
          <w:rFonts w:ascii="Times New Roman" w:eastAsia="Times New Roman" w:hAnsi="Times New Roman" w:cs="Times New Roman"/>
          <w:color w:val="000000"/>
          <w:sz w:val="24"/>
          <w:szCs w:val="24"/>
          <w:lang w:eastAsia="en-GB"/>
        </w:rPr>
        <w:t>.</w:t>
      </w:r>
    </w:p>
    <w:p w14:paraId="1ABF1693" w14:textId="77777777" w:rsidR="00D70E2C" w:rsidRPr="0046155E" w:rsidRDefault="00D70E2C" w:rsidP="00E21AD0">
      <w:pPr>
        <w:spacing w:after="0" w:line="480" w:lineRule="auto"/>
        <w:jc w:val="both"/>
        <w:rPr>
          <w:rFonts w:ascii="Times New Roman" w:eastAsia="Times New Roman" w:hAnsi="Times New Roman" w:cs="Times New Roman"/>
          <w:color w:val="000000"/>
          <w:sz w:val="24"/>
          <w:szCs w:val="24"/>
          <w:lang w:eastAsia="en-GB"/>
        </w:rPr>
      </w:pPr>
    </w:p>
    <w:p w14:paraId="303CBDEA" w14:textId="4D354591" w:rsidR="00DA73BB" w:rsidRPr="0046155E" w:rsidRDefault="0032094B" w:rsidP="00E21AD0">
      <w:pPr>
        <w:spacing w:after="0" w:line="480" w:lineRule="auto"/>
        <w:jc w:val="both"/>
        <w:rPr>
          <w:rFonts w:ascii="Times New Roman" w:eastAsia="Times New Roman" w:hAnsi="Times New Roman" w:cs="Times New Roman"/>
          <w:color w:val="000000"/>
          <w:sz w:val="24"/>
          <w:szCs w:val="24"/>
          <w:lang w:eastAsia="en-GB"/>
        </w:rPr>
      </w:pPr>
      <w:r w:rsidRPr="0046155E">
        <w:rPr>
          <w:rFonts w:ascii="Times New Roman" w:eastAsia="Times New Roman" w:hAnsi="Times New Roman" w:cs="Times New Roman"/>
          <w:color w:val="000000"/>
          <w:sz w:val="24"/>
          <w:szCs w:val="24"/>
          <w:lang w:eastAsia="en-GB"/>
        </w:rPr>
        <w:t xml:space="preserve">Group </w:t>
      </w:r>
      <w:r w:rsidR="00A82AAB" w:rsidRPr="0046155E">
        <w:rPr>
          <w:rFonts w:ascii="Times New Roman" w:eastAsia="Times New Roman" w:hAnsi="Times New Roman" w:cs="Times New Roman"/>
          <w:color w:val="000000"/>
          <w:sz w:val="24"/>
          <w:szCs w:val="24"/>
          <w:lang w:eastAsia="en-GB"/>
        </w:rPr>
        <w:t>3</w:t>
      </w:r>
      <w:r w:rsidRPr="0046155E">
        <w:rPr>
          <w:rFonts w:ascii="Times New Roman" w:eastAsia="Times New Roman" w:hAnsi="Times New Roman" w:cs="Times New Roman"/>
          <w:color w:val="000000"/>
          <w:sz w:val="24"/>
          <w:szCs w:val="24"/>
          <w:lang w:eastAsia="en-GB"/>
        </w:rPr>
        <w:t xml:space="preserve"> (</w:t>
      </w:r>
      <w:r w:rsidR="007159DC" w:rsidRPr="0046155E">
        <w:rPr>
          <w:rFonts w:ascii="Times New Roman" w:eastAsia="Times New Roman" w:hAnsi="Times New Roman" w:cs="Times New Roman"/>
          <w:color w:val="000000"/>
          <w:sz w:val="24"/>
          <w:szCs w:val="24"/>
          <w:lang w:eastAsia="en-GB"/>
        </w:rPr>
        <w:t>stable high HbA</w:t>
      </w:r>
      <w:r w:rsidR="007159DC" w:rsidRPr="0046155E">
        <w:rPr>
          <w:rFonts w:ascii="Times New Roman" w:eastAsia="Times New Roman" w:hAnsi="Times New Roman" w:cs="Times New Roman"/>
          <w:color w:val="000000"/>
          <w:sz w:val="24"/>
          <w:szCs w:val="24"/>
          <w:vertAlign w:val="subscript"/>
          <w:lang w:eastAsia="en-GB"/>
        </w:rPr>
        <w:t>1c</w:t>
      </w:r>
      <w:r w:rsidR="007159DC" w:rsidRPr="0046155E">
        <w:rPr>
          <w:rFonts w:ascii="Times New Roman" w:eastAsia="Times New Roman" w:hAnsi="Times New Roman" w:cs="Times New Roman"/>
          <w:color w:val="000000"/>
          <w:sz w:val="24"/>
          <w:szCs w:val="24"/>
          <w:lang w:eastAsia="en-GB"/>
        </w:rPr>
        <w:t xml:space="preserve"> levels</w:t>
      </w:r>
      <w:r w:rsidRPr="0046155E">
        <w:rPr>
          <w:rFonts w:ascii="Times New Roman" w:eastAsia="Times New Roman" w:hAnsi="Times New Roman" w:cs="Times New Roman"/>
          <w:color w:val="000000"/>
          <w:sz w:val="24"/>
          <w:szCs w:val="24"/>
          <w:lang w:eastAsia="en-GB"/>
        </w:rPr>
        <w:t>) was assigned as the reference category for our</w:t>
      </w:r>
      <w:r w:rsidR="00664CD3" w:rsidRPr="0046155E">
        <w:rPr>
          <w:rFonts w:ascii="Times New Roman" w:eastAsia="Times New Roman" w:hAnsi="Times New Roman" w:cs="Times New Roman"/>
          <w:color w:val="000000"/>
          <w:sz w:val="24"/>
          <w:szCs w:val="24"/>
          <w:lang w:eastAsia="en-GB"/>
        </w:rPr>
        <w:t xml:space="preserve"> Cox </w:t>
      </w:r>
      <w:r w:rsidRPr="0046155E">
        <w:rPr>
          <w:rFonts w:ascii="Times New Roman" w:eastAsia="Times New Roman" w:hAnsi="Times New Roman" w:cs="Times New Roman"/>
          <w:color w:val="000000"/>
          <w:sz w:val="24"/>
          <w:szCs w:val="24"/>
          <w:lang w:eastAsia="en-GB"/>
        </w:rPr>
        <w:t>model</w:t>
      </w:r>
      <w:r w:rsidR="00664CD3" w:rsidRPr="0046155E">
        <w:rPr>
          <w:rFonts w:ascii="Times New Roman" w:eastAsia="Times New Roman" w:hAnsi="Times New Roman" w:cs="Times New Roman"/>
          <w:color w:val="000000"/>
          <w:sz w:val="24"/>
          <w:szCs w:val="24"/>
          <w:lang w:eastAsia="en-GB"/>
        </w:rPr>
        <w:t>ling</w:t>
      </w:r>
      <w:r w:rsidR="00D6129E" w:rsidRPr="0046155E">
        <w:rPr>
          <w:rFonts w:ascii="Times New Roman" w:eastAsia="Times New Roman" w:hAnsi="Times New Roman" w:cs="Times New Roman"/>
          <w:color w:val="000000"/>
          <w:sz w:val="24"/>
          <w:szCs w:val="24"/>
          <w:lang w:eastAsia="en-GB"/>
        </w:rPr>
        <w:t>. C</w:t>
      </w:r>
      <w:r w:rsidRPr="0046155E">
        <w:rPr>
          <w:rFonts w:ascii="Times New Roman" w:eastAsia="Times New Roman" w:hAnsi="Times New Roman" w:cs="Times New Roman"/>
          <w:color w:val="000000"/>
          <w:sz w:val="24"/>
          <w:szCs w:val="24"/>
          <w:lang w:eastAsia="en-GB"/>
        </w:rPr>
        <w:t>ompared to this group</w:t>
      </w:r>
      <w:r w:rsidR="00D6129E" w:rsidRPr="0046155E">
        <w:rPr>
          <w:rFonts w:ascii="Times New Roman" w:eastAsia="Times New Roman" w:hAnsi="Times New Roman" w:cs="Times New Roman"/>
          <w:color w:val="000000"/>
          <w:sz w:val="24"/>
          <w:szCs w:val="24"/>
          <w:lang w:eastAsia="en-GB"/>
        </w:rPr>
        <w:t>,</w:t>
      </w:r>
      <w:r w:rsidR="00664CD3" w:rsidRPr="0046155E">
        <w:rPr>
          <w:rFonts w:ascii="Times New Roman" w:eastAsia="Times New Roman" w:hAnsi="Times New Roman" w:cs="Times New Roman"/>
          <w:color w:val="000000"/>
          <w:sz w:val="24"/>
          <w:szCs w:val="24"/>
          <w:lang w:eastAsia="en-GB"/>
        </w:rPr>
        <w:t xml:space="preserve"> </w:t>
      </w:r>
      <w:r w:rsidR="002A24E3" w:rsidRPr="0046155E">
        <w:rPr>
          <w:rFonts w:ascii="Times New Roman" w:eastAsia="Times New Roman" w:hAnsi="Times New Roman" w:cs="Times New Roman"/>
          <w:color w:val="000000"/>
          <w:sz w:val="24"/>
          <w:szCs w:val="24"/>
          <w:lang w:eastAsia="en-GB"/>
        </w:rPr>
        <w:t xml:space="preserve">people in </w:t>
      </w:r>
      <w:r w:rsidRPr="0046155E">
        <w:rPr>
          <w:rFonts w:ascii="Times New Roman" w:eastAsia="Times New Roman" w:hAnsi="Times New Roman" w:cs="Times New Roman"/>
          <w:color w:val="000000"/>
          <w:sz w:val="24"/>
          <w:szCs w:val="24"/>
          <w:lang w:eastAsia="en-GB"/>
        </w:rPr>
        <w:t xml:space="preserve">all </w:t>
      </w:r>
      <w:r w:rsidR="002A24E3" w:rsidRPr="0046155E">
        <w:rPr>
          <w:rFonts w:ascii="Times New Roman" w:eastAsia="Times New Roman" w:hAnsi="Times New Roman" w:cs="Times New Roman"/>
          <w:color w:val="000000"/>
          <w:sz w:val="24"/>
          <w:szCs w:val="24"/>
          <w:lang w:eastAsia="en-GB"/>
        </w:rPr>
        <w:t xml:space="preserve">the remaining </w:t>
      </w:r>
      <w:r w:rsidRPr="0046155E">
        <w:rPr>
          <w:rFonts w:ascii="Times New Roman" w:eastAsia="Times New Roman" w:hAnsi="Times New Roman" w:cs="Times New Roman"/>
          <w:color w:val="000000"/>
          <w:sz w:val="24"/>
          <w:szCs w:val="24"/>
          <w:lang w:eastAsia="en-GB"/>
        </w:rPr>
        <w:t>groups</w:t>
      </w:r>
      <w:r w:rsidR="002A24E3" w:rsidRPr="0046155E">
        <w:rPr>
          <w:rFonts w:ascii="Times New Roman" w:eastAsia="Times New Roman" w:hAnsi="Times New Roman" w:cs="Times New Roman"/>
          <w:color w:val="000000"/>
          <w:sz w:val="24"/>
          <w:szCs w:val="24"/>
          <w:lang w:eastAsia="en-GB"/>
        </w:rPr>
        <w:t xml:space="preserve"> had </w:t>
      </w:r>
      <w:r w:rsidR="004F32B8" w:rsidRPr="0046155E">
        <w:rPr>
          <w:rFonts w:ascii="Times New Roman" w:eastAsia="Times New Roman" w:hAnsi="Times New Roman" w:cs="Times New Roman"/>
          <w:color w:val="000000"/>
          <w:sz w:val="24"/>
          <w:szCs w:val="24"/>
          <w:lang w:eastAsia="en-GB"/>
        </w:rPr>
        <w:t xml:space="preserve">a </w:t>
      </w:r>
      <w:r w:rsidR="002A24E3" w:rsidRPr="0046155E">
        <w:rPr>
          <w:rFonts w:ascii="Times New Roman" w:eastAsia="Times New Roman" w:hAnsi="Times New Roman" w:cs="Times New Roman"/>
          <w:color w:val="000000"/>
          <w:sz w:val="24"/>
          <w:szCs w:val="24"/>
          <w:lang w:eastAsia="en-GB"/>
        </w:rPr>
        <w:t xml:space="preserve">lower risk of </w:t>
      </w:r>
      <w:r w:rsidRPr="0046155E">
        <w:rPr>
          <w:rFonts w:ascii="Times New Roman" w:eastAsia="Times New Roman" w:hAnsi="Times New Roman" w:cs="Times New Roman"/>
          <w:color w:val="000000"/>
          <w:sz w:val="24"/>
          <w:szCs w:val="24"/>
          <w:lang w:eastAsia="en-GB"/>
        </w:rPr>
        <w:t xml:space="preserve">developing </w:t>
      </w:r>
      <w:r w:rsidR="007159DC" w:rsidRPr="0046155E">
        <w:rPr>
          <w:rFonts w:ascii="Times New Roman" w:eastAsia="Times New Roman" w:hAnsi="Times New Roman" w:cs="Times New Roman"/>
          <w:color w:val="000000"/>
          <w:sz w:val="24"/>
          <w:szCs w:val="24"/>
          <w:lang w:eastAsia="en-GB"/>
        </w:rPr>
        <w:t xml:space="preserve">microvascular complication in both unadjusted and adjusted models and </w:t>
      </w:r>
      <w:r w:rsidR="00CF334A" w:rsidRPr="0046155E">
        <w:rPr>
          <w:rFonts w:ascii="Times New Roman" w:eastAsia="Times New Roman" w:hAnsi="Times New Roman" w:cs="Times New Roman"/>
          <w:color w:val="000000"/>
          <w:sz w:val="24"/>
          <w:szCs w:val="24"/>
          <w:lang w:eastAsia="en-GB"/>
        </w:rPr>
        <w:t xml:space="preserve">those in Groups 1 and 4 </w:t>
      </w:r>
      <w:r w:rsidR="003328F5" w:rsidRPr="0046155E">
        <w:rPr>
          <w:rFonts w:ascii="Times New Roman" w:eastAsia="Times New Roman" w:hAnsi="Times New Roman" w:cs="Times New Roman"/>
          <w:color w:val="000000"/>
          <w:sz w:val="24"/>
          <w:szCs w:val="24"/>
          <w:lang w:eastAsia="en-GB"/>
        </w:rPr>
        <w:t xml:space="preserve">also </w:t>
      </w:r>
      <w:r w:rsidR="00CF334A" w:rsidRPr="0046155E">
        <w:rPr>
          <w:rFonts w:ascii="Times New Roman" w:eastAsia="Times New Roman" w:hAnsi="Times New Roman" w:cs="Times New Roman"/>
          <w:color w:val="000000"/>
          <w:sz w:val="24"/>
          <w:szCs w:val="24"/>
          <w:lang w:eastAsia="en-GB"/>
        </w:rPr>
        <w:t>had lower risk of</w:t>
      </w:r>
      <w:r w:rsidR="003328F5" w:rsidRPr="0046155E">
        <w:rPr>
          <w:rFonts w:ascii="Times New Roman" w:eastAsia="Times New Roman" w:hAnsi="Times New Roman" w:cs="Times New Roman"/>
          <w:color w:val="000000"/>
          <w:sz w:val="24"/>
          <w:szCs w:val="24"/>
          <w:lang w:eastAsia="en-GB"/>
        </w:rPr>
        <w:t xml:space="preserve"> </w:t>
      </w:r>
      <w:r w:rsidR="00CF334A" w:rsidRPr="0046155E">
        <w:rPr>
          <w:rFonts w:ascii="Times New Roman" w:eastAsia="Times New Roman" w:hAnsi="Times New Roman" w:cs="Times New Roman"/>
          <w:color w:val="000000"/>
          <w:sz w:val="24"/>
          <w:szCs w:val="24"/>
          <w:lang w:eastAsia="en-GB"/>
        </w:rPr>
        <w:t>macrovascular complications and</w:t>
      </w:r>
      <w:r w:rsidR="007159DC" w:rsidRPr="0046155E">
        <w:rPr>
          <w:rFonts w:ascii="Times New Roman" w:eastAsia="Times New Roman" w:hAnsi="Times New Roman" w:cs="Times New Roman"/>
          <w:color w:val="000000"/>
          <w:sz w:val="24"/>
          <w:szCs w:val="24"/>
          <w:lang w:eastAsia="en-GB"/>
        </w:rPr>
        <w:t xml:space="preserve"> </w:t>
      </w:r>
      <w:r w:rsidR="002A24E3" w:rsidRPr="0046155E">
        <w:rPr>
          <w:rFonts w:ascii="Times New Roman" w:eastAsia="Times New Roman" w:hAnsi="Times New Roman" w:cs="Times New Roman"/>
          <w:color w:val="000000"/>
          <w:sz w:val="24"/>
          <w:szCs w:val="24"/>
          <w:lang w:eastAsia="en-GB"/>
        </w:rPr>
        <w:t>CVD event</w:t>
      </w:r>
      <w:r w:rsidR="00664CD3" w:rsidRPr="0046155E">
        <w:rPr>
          <w:rFonts w:ascii="Times New Roman" w:eastAsia="Times New Roman" w:hAnsi="Times New Roman" w:cs="Times New Roman"/>
          <w:color w:val="000000"/>
          <w:sz w:val="24"/>
          <w:szCs w:val="24"/>
          <w:lang w:eastAsia="en-GB"/>
        </w:rPr>
        <w:t xml:space="preserve">s </w:t>
      </w:r>
      <w:r w:rsidR="00CF334A" w:rsidRPr="0046155E">
        <w:rPr>
          <w:rFonts w:ascii="Times New Roman" w:eastAsia="Times New Roman" w:hAnsi="Times New Roman" w:cs="Times New Roman"/>
          <w:color w:val="000000"/>
          <w:sz w:val="24"/>
          <w:szCs w:val="24"/>
          <w:lang w:eastAsia="en-GB"/>
        </w:rPr>
        <w:t>(</w:t>
      </w:r>
      <w:r w:rsidR="004F32B8" w:rsidRPr="0046155E">
        <w:rPr>
          <w:rFonts w:ascii="Times New Roman" w:eastAsia="Times New Roman" w:hAnsi="Times New Roman" w:cs="Times New Roman"/>
          <w:color w:val="000000"/>
          <w:sz w:val="24"/>
          <w:szCs w:val="24"/>
          <w:lang w:eastAsia="en-GB"/>
        </w:rPr>
        <w:t xml:space="preserve">in </w:t>
      </w:r>
      <w:r w:rsidR="003328F5" w:rsidRPr="0046155E">
        <w:rPr>
          <w:rFonts w:ascii="Times New Roman" w:eastAsia="Times New Roman" w:hAnsi="Times New Roman" w:cs="Times New Roman"/>
          <w:color w:val="000000"/>
          <w:sz w:val="24"/>
          <w:szCs w:val="24"/>
          <w:lang w:eastAsia="en-GB"/>
        </w:rPr>
        <w:t xml:space="preserve">unadjusted and </w:t>
      </w:r>
      <w:r w:rsidR="004F32B8" w:rsidRPr="0046155E">
        <w:rPr>
          <w:rFonts w:ascii="Times New Roman" w:eastAsia="Times New Roman" w:hAnsi="Times New Roman" w:cs="Times New Roman"/>
          <w:color w:val="000000"/>
          <w:sz w:val="24"/>
          <w:szCs w:val="24"/>
          <w:lang w:eastAsia="en-GB"/>
        </w:rPr>
        <w:t>adjusted models</w:t>
      </w:r>
      <w:r w:rsidR="00CF334A" w:rsidRPr="0046155E">
        <w:rPr>
          <w:rFonts w:ascii="Times New Roman" w:eastAsia="Times New Roman" w:hAnsi="Times New Roman" w:cs="Times New Roman"/>
          <w:color w:val="000000"/>
          <w:sz w:val="24"/>
          <w:szCs w:val="24"/>
          <w:lang w:eastAsia="en-GB"/>
        </w:rPr>
        <w:t>)</w:t>
      </w:r>
      <w:r w:rsidR="004F32B8" w:rsidRPr="0046155E">
        <w:rPr>
          <w:rFonts w:ascii="Times New Roman" w:eastAsia="Times New Roman" w:hAnsi="Times New Roman" w:cs="Times New Roman"/>
          <w:color w:val="000000"/>
          <w:sz w:val="24"/>
          <w:szCs w:val="24"/>
          <w:lang w:eastAsia="en-GB"/>
        </w:rPr>
        <w:t xml:space="preserve">. </w:t>
      </w:r>
      <w:r w:rsidR="00DA73BB" w:rsidRPr="0046155E">
        <w:rPr>
          <w:rFonts w:ascii="Times New Roman" w:eastAsia="Times New Roman" w:hAnsi="Times New Roman" w:cs="Times New Roman"/>
          <w:color w:val="000000"/>
          <w:sz w:val="24"/>
          <w:szCs w:val="24"/>
          <w:lang w:eastAsia="en-GB"/>
        </w:rPr>
        <w:t>Th</w:t>
      </w:r>
      <w:r w:rsidR="00EB05A5" w:rsidRPr="0046155E">
        <w:rPr>
          <w:rFonts w:ascii="Times New Roman" w:eastAsia="Times New Roman" w:hAnsi="Times New Roman" w:cs="Times New Roman"/>
          <w:color w:val="000000"/>
          <w:sz w:val="24"/>
          <w:szCs w:val="24"/>
          <w:lang w:eastAsia="en-GB"/>
        </w:rPr>
        <w:t>e</w:t>
      </w:r>
      <w:r w:rsidR="00DA73BB" w:rsidRPr="0046155E">
        <w:rPr>
          <w:rFonts w:ascii="Times New Roman" w:eastAsia="Times New Roman" w:hAnsi="Times New Roman" w:cs="Times New Roman"/>
          <w:color w:val="000000"/>
          <w:sz w:val="24"/>
          <w:szCs w:val="24"/>
          <w:lang w:eastAsia="en-GB"/>
        </w:rPr>
        <w:t xml:space="preserve"> risk of these complications was lowe</w:t>
      </w:r>
      <w:r w:rsidR="003328F5" w:rsidRPr="0046155E">
        <w:rPr>
          <w:rFonts w:ascii="Times New Roman" w:eastAsia="Times New Roman" w:hAnsi="Times New Roman" w:cs="Times New Roman"/>
          <w:color w:val="000000"/>
          <w:sz w:val="24"/>
          <w:szCs w:val="24"/>
          <w:lang w:eastAsia="en-GB"/>
        </w:rPr>
        <w:t>st</w:t>
      </w:r>
      <w:r w:rsidR="00DA73BB" w:rsidRPr="0046155E">
        <w:rPr>
          <w:rFonts w:ascii="Times New Roman" w:eastAsia="Times New Roman" w:hAnsi="Times New Roman" w:cs="Times New Roman"/>
          <w:color w:val="000000"/>
          <w:sz w:val="24"/>
          <w:szCs w:val="24"/>
          <w:lang w:eastAsia="en-GB"/>
        </w:rPr>
        <w:t xml:space="preserve"> for people in </w:t>
      </w:r>
      <w:r w:rsidR="003328F5" w:rsidRPr="0046155E">
        <w:rPr>
          <w:rFonts w:ascii="Times New Roman" w:eastAsia="Times New Roman" w:hAnsi="Times New Roman" w:cs="Times New Roman"/>
          <w:color w:val="000000"/>
          <w:sz w:val="24"/>
          <w:szCs w:val="24"/>
          <w:lang w:eastAsia="en-GB"/>
        </w:rPr>
        <w:t>G</w:t>
      </w:r>
      <w:r w:rsidR="00DA73BB" w:rsidRPr="0046155E">
        <w:rPr>
          <w:rFonts w:ascii="Times New Roman" w:eastAsia="Times New Roman" w:hAnsi="Times New Roman" w:cs="Times New Roman"/>
          <w:color w:val="000000"/>
          <w:sz w:val="24"/>
          <w:szCs w:val="24"/>
          <w:lang w:eastAsia="en-GB"/>
        </w:rPr>
        <w:t xml:space="preserve">roup </w:t>
      </w:r>
      <w:r w:rsidR="007159DC" w:rsidRPr="0046155E">
        <w:rPr>
          <w:rFonts w:ascii="Times New Roman" w:eastAsia="Times New Roman" w:hAnsi="Times New Roman" w:cs="Times New Roman"/>
          <w:color w:val="000000"/>
          <w:sz w:val="24"/>
          <w:szCs w:val="24"/>
          <w:lang w:eastAsia="en-GB"/>
        </w:rPr>
        <w:t>4</w:t>
      </w:r>
      <w:r w:rsidR="00DA73BB" w:rsidRPr="0046155E">
        <w:rPr>
          <w:rFonts w:ascii="Times New Roman" w:eastAsia="Times New Roman" w:hAnsi="Times New Roman" w:cs="Times New Roman"/>
          <w:color w:val="000000"/>
          <w:sz w:val="24"/>
          <w:szCs w:val="24"/>
          <w:lang w:eastAsia="en-GB"/>
        </w:rPr>
        <w:t xml:space="preserve"> who </w:t>
      </w:r>
      <w:r w:rsidR="00664CD3" w:rsidRPr="0046155E">
        <w:rPr>
          <w:rFonts w:ascii="Times New Roman" w:eastAsia="Times New Roman" w:hAnsi="Times New Roman" w:cs="Times New Roman"/>
          <w:color w:val="000000"/>
          <w:sz w:val="24"/>
          <w:szCs w:val="24"/>
          <w:lang w:eastAsia="en-GB"/>
        </w:rPr>
        <w:t>started off and</w:t>
      </w:r>
      <w:r w:rsidR="007159DC" w:rsidRPr="0046155E">
        <w:rPr>
          <w:rFonts w:ascii="Times New Roman" w:eastAsia="Times New Roman" w:hAnsi="Times New Roman" w:cs="Times New Roman"/>
          <w:color w:val="000000"/>
          <w:sz w:val="24"/>
          <w:szCs w:val="24"/>
          <w:lang w:eastAsia="en-GB"/>
        </w:rPr>
        <w:t xml:space="preserve"> remained at low HbA</w:t>
      </w:r>
      <w:r w:rsidR="007159DC" w:rsidRPr="0046155E">
        <w:rPr>
          <w:rFonts w:ascii="Times New Roman" w:eastAsia="Times New Roman" w:hAnsi="Times New Roman" w:cs="Times New Roman"/>
          <w:color w:val="000000"/>
          <w:sz w:val="24"/>
          <w:szCs w:val="24"/>
          <w:vertAlign w:val="subscript"/>
          <w:lang w:eastAsia="en-GB"/>
        </w:rPr>
        <w:t>1c</w:t>
      </w:r>
      <w:r w:rsidR="007159DC" w:rsidRPr="0046155E">
        <w:rPr>
          <w:rFonts w:ascii="Times New Roman" w:eastAsia="Times New Roman" w:hAnsi="Times New Roman" w:cs="Times New Roman"/>
          <w:color w:val="000000"/>
          <w:sz w:val="24"/>
          <w:szCs w:val="24"/>
          <w:lang w:eastAsia="en-GB"/>
        </w:rPr>
        <w:t xml:space="preserve"> levels (&lt;48mmol/mol or &lt;6.5%)</w:t>
      </w:r>
      <w:r w:rsidR="00DA73BB" w:rsidRPr="0046155E">
        <w:rPr>
          <w:rFonts w:ascii="Times New Roman" w:eastAsia="Times New Roman" w:hAnsi="Times New Roman" w:cs="Times New Roman"/>
          <w:color w:val="000000"/>
          <w:sz w:val="24"/>
          <w:szCs w:val="24"/>
          <w:lang w:eastAsia="en-GB"/>
        </w:rPr>
        <w:t xml:space="preserve"> for the</w:t>
      </w:r>
      <w:r w:rsidR="00664CD3" w:rsidRPr="0046155E">
        <w:rPr>
          <w:rFonts w:ascii="Times New Roman" w:eastAsia="Times New Roman" w:hAnsi="Times New Roman" w:cs="Times New Roman"/>
          <w:color w:val="000000"/>
          <w:sz w:val="24"/>
          <w:szCs w:val="24"/>
          <w:lang w:eastAsia="en-GB"/>
        </w:rPr>
        <w:t xml:space="preserve"> entire seven</w:t>
      </w:r>
      <w:r w:rsidR="007218A9" w:rsidRPr="0046155E">
        <w:rPr>
          <w:rFonts w:ascii="Times New Roman" w:eastAsia="Times New Roman" w:hAnsi="Times New Roman" w:cs="Times New Roman"/>
          <w:color w:val="000000"/>
          <w:sz w:val="24"/>
          <w:szCs w:val="24"/>
          <w:lang w:eastAsia="en-GB"/>
        </w:rPr>
        <w:t>-</w:t>
      </w:r>
      <w:r w:rsidR="00664CD3" w:rsidRPr="0046155E">
        <w:rPr>
          <w:rFonts w:ascii="Times New Roman" w:eastAsia="Times New Roman" w:hAnsi="Times New Roman" w:cs="Times New Roman"/>
          <w:color w:val="000000"/>
          <w:sz w:val="24"/>
          <w:szCs w:val="24"/>
          <w:lang w:eastAsia="en-GB"/>
        </w:rPr>
        <w:t>year</w:t>
      </w:r>
      <w:r w:rsidR="00DA73BB" w:rsidRPr="0046155E">
        <w:rPr>
          <w:rFonts w:ascii="Times New Roman" w:eastAsia="Times New Roman" w:hAnsi="Times New Roman" w:cs="Times New Roman"/>
          <w:color w:val="000000"/>
          <w:sz w:val="24"/>
          <w:szCs w:val="24"/>
          <w:lang w:eastAsia="en-GB"/>
        </w:rPr>
        <w:t xml:space="preserve"> follow-up period</w:t>
      </w:r>
      <w:r w:rsidR="00D6129E" w:rsidRPr="0046155E">
        <w:rPr>
          <w:rFonts w:ascii="Times New Roman" w:eastAsia="Times New Roman" w:hAnsi="Times New Roman" w:cs="Times New Roman"/>
          <w:color w:val="000000"/>
          <w:sz w:val="24"/>
          <w:szCs w:val="24"/>
          <w:lang w:eastAsia="en-GB"/>
        </w:rPr>
        <w:t>.</w:t>
      </w:r>
      <w:r w:rsidR="00272AF3" w:rsidRPr="0046155E">
        <w:rPr>
          <w:rFonts w:ascii="Times New Roman" w:eastAsia="Times New Roman" w:hAnsi="Times New Roman" w:cs="Times New Roman"/>
          <w:color w:val="000000"/>
          <w:sz w:val="24"/>
          <w:szCs w:val="24"/>
          <w:lang w:eastAsia="en-GB"/>
        </w:rPr>
        <w:t xml:space="preserve"> </w:t>
      </w:r>
      <w:r w:rsidR="003328F5" w:rsidRPr="0046155E">
        <w:rPr>
          <w:rFonts w:ascii="Times New Roman" w:eastAsia="Times New Roman" w:hAnsi="Times New Roman" w:cs="Times New Roman"/>
          <w:color w:val="000000"/>
          <w:sz w:val="24"/>
          <w:szCs w:val="24"/>
          <w:lang w:eastAsia="en-GB"/>
        </w:rPr>
        <w:t xml:space="preserve">Those in Group 1 (who had </w:t>
      </w:r>
      <w:r w:rsidR="003328F5" w:rsidRPr="0046155E">
        <w:rPr>
          <w:rFonts w:ascii="Times New Roman" w:hAnsi="Times New Roman" w:cs="Times New Roman"/>
          <w:sz w:val="24"/>
          <w:szCs w:val="24"/>
        </w:rPr>
        <w:t>earlier decrease below HbA</w:t>
      </w:r>
      <w:r w:rsidR="003328F5" w:rsidRPr="0046155E">
        <w:rPr>
          <w:rFonts w:ascii="Times New Roman" w:hAnsi="Times New Roman" w:cs="Times New Roman"/>
          <w:sz w:val="24"/>
          <w:szCs w:val="24"/>
          <w:vertAlign w:val="subscript"/>
        </w:rPr>
        <w:t>1c</w:t>
      </w:r>
      <w:r w:rsidR="003328F5" w:rsidRPr="0046155E">
        <w:rPr>
          <w:rFonts w:ascii="Times New Roman" w:hAnsi="Times New Roman" w:cs="Times New Roman"/>
          <w:sz w:val="24"/>
          <w:szCs w:val="24"/>
        </w:rPr>
        <w:t xml:space="preserve"> &lt;</w:t>
      </w:r>
      <w:r w:rsidR="003328F5" w:rsidRPr="0046155E">
        <w:rPr>
          <w:rFonts w:ascii="Times New Roman" w:eastAsia="Times New Roman" w:hAnsi="Times New Roman" w:cs="Times New Roman"/>
          <w:color w:val="000000"/>
          <w:sz w:val="24"/>
          <w:szCs w:val="24"/>
          <w:lang w:eastAsia="en-GB"/>
        </w:rPr>
        <w:t xml:space="preserve">48mmol/mol or </w:t>
      </w:r>
      <w:r w:rsidR="003328F5" w:rsidRPr="0046155E">
        <w:rPr>
          <w:rFonts w:ascii="Times New Roman" w:hAnsi="Times New Roman" w:cs="Times New Roman"/>
          <w:sz w:val="24"/>
          <w:szCs w:val="24"/>
        </w:rPr>
        <w:t xml:space="preserve">6.5%, followed </w:t>
      </w:r>
      <w:r w:rsidR="00C5368B" w:rsidRPr="0046155E">
        <w:rPr>
          <w:rFonts w:ascii="Times New Roman" w:eastAsia="Times New Roman" w:hAnsi="Times New Roman" w:cs="Times New Roman"/>
          <w:color w:val="000000"/>
          <w:sz w:val="24"/>
          <w:szCs w:val="24"/>
          <w:lang w:eastAsia="en-GB"/>
        </w:rPr>
        <w:t>increasing HbA</w:t>
      </w:r>
      <w:r w:rsidR="00C5368B" w:rsidRPr="0046155E">
        <w:rPr>
          <w:rFonts w:ascii="Times New Roman" w:eastAsia="Times New Roman" w:hAnsi="Times New Roman" w:cs="Times New Roman"/>
          <w:color w:val="000000"/>
          <w:sz w:val="24"/>
          <w:szCs w:val="24"/>
          <w:vertAlign w:val="subscript"/>
          <w:lang w:eastAsia="en-GB"/>
        </w:rPr>
        <w:t>1c</w:t>
      </w:r>
      <w:r w:rsidR="00C5368B" w:rsidRPr="0046155E">
        <w:rPr>
          <w:rFonts w:ascii="Times New Roman" w:eastAsia="Times New Roman" w:hAnsi="Times New Roman" w:cs="Times New Roman"/>
          <w:color w:val="000000"/>
          <w:sz w:val="24"/>
          <w:szCs w:val="24"/>
          <w:lang w:eastAsia="en-GB"/>
        </w:rPr>
        <w:t xml:space="preserve"> levels</w:t>
      </w:r>
      <w:r w:rsidR="003328F5" w:rsidRPr="0046155E">
        <w:rPr>
          <w:rFonts w:ascii="Times New Roman" w:hAnsi="Times New Roman" w:cs="Times New Roman"/>
          <w:sz w:val="24"/>
          <w:szCs w:val="24"/>
        </w:rPr>
        <w:t xml:space="preserve">) also had significantly lower risk of complications compared to Group 3. </w:t>
      </w:r>
      <w:r w:rsidR="00272AF3" w:rsidRPr="0046155E">
        <w:rPr>
          <w:rFonts w:ascii="Times New Roman" w:eastAsia="Times New Roman" w:hAnsi="Times New Roman" w:cs="Times New Roman"/>
          <w:color w:val="000000"/>
          <w:sz w:val="24"/>
          <w:szCs w:val="24"/>
          <w:lang w:eastAsia="en-GB"/>
        </w:rPr>
        <w:t>These results are shown in table 4.</w:t>
      </w:r>
    </w:p>
    <w:p w14:paraId="62D107F9" w14:textId="378FEA6F" w:rsidR="00664CD3" w:rsidRDefault="00664CD3" w:rsidP="00E21AD0">
      <w:pPr>
        <w:spacing w:after="0" w:line="480" w:lineRule="auto"/>
        <w:jc w:val="both"/>
        <w:rPr>
          <w:rFonts w:ascii="Times New Roman" w:eastAsia="Times New Roman" w:hAnsi="Times New Roman" w:cs="Times New Roman"/>
          <w:color w:val="000000"/>
          <w:sz w:val="24"/>
          <w:szCs w:val="24"/>
          <w:lang w:eastAsia="en-GB"/>
        </w:rPr>
      </w:pPr>
    </w:p>
    <w:p w14:paraId="70DB405F" w14:textId="50335A8B" w:rsidR="00F00A17" w:rsidRDefault="00F00A17" w:rsidP="00F00A17">
      <w:pPr>
        <w:pStyle w:val="Caption"/>
        <w:keepNext/>
        <w:spacing w:after="160" w:line="259" w:lineRule="auto"/>
        <w:rPr>
          <w:rFonts w:ascii="Times New Roman" w:hAnsi="Times New Roman" w:cs="Times New Roman"/>
          <w:b/>
          <w:bCs/>
          <w:i w:val="0"/>
          <w:iCs w:val="0"/>
          <w:color w:val="auto"/>
          <w:sz w:val="24"/>
          <w:szCs w:val="24"/>
        </w:rPr>
      </w:pPr>
      <w:r w:rsidRPr="0046155E">
        <w:rPr>
          <w:rFonts w:ascii="Times New Roman" w:hAnsi="Times New Roman" w:cs="Times New Roman"/>
          <w:b/>
          <w:bCs/>
          <w:i w:val="0"/>
          <w:iCs w:val="0"/>
          <w:color w:val="auto"/>
          <w:sz w:val="24"/>
          <w:szCs w:val="24"/>
        </w:rPr>
        <w:t xml:space="preserve">Table 4:  Association between remission group and CVD outcomes in the CHIA type 2 diabetes cohort </w:t>
      </w:r>
    </w:p>
    <w:tbl>
      <w:tblPr>
        <w:tblW w:w="10432"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085"/>
        <w:gridCol w:w="813"/>
        <w:gridCol w:w="812"/>
        <w:gridCol w:w="812"/>
        <w:gridCol w:w="841"/>
        <w:gridCol w:w="1085"/>
        <w:gridCol w:w="813"/>
        <w:gridCol w:w="812"/>
        <w:gridCol w:w="812"/>
        <w:gridCol w:w="856"/>
      </w:tblGrid>
      <w:tr w:rsidR="008610D3" w:rsidRPr="00CF7F98" w14:paraId="1021EF77" w14:textId="77777777" w:rsidTr="00C516AB">
        <w:trPr>
          <w:trHeight w:val="300"/>
        </w:trPr>
        <w:tc>
          <w:tcPr>
            <w:tcW w:w="1691" w:type="dxa"/>
            <w:shd w:val="clear" w:color="auto" w:fill="auto"/>
            <w:noWrap/>
            <w:vAlign w:val="center"/>
            <w:hideMark/>
          </w:tcPr>
          <w:p w14:paraId="7A09B7C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E7E6E6"/>
            <w:noWrap/>
            <w:vAlign w:val="center"/>
            <w:hideMark/>
          </w:tcPr>
          <w:p w14:paraId="61DD467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3278" w:type="dxa"/>
            <w:gridSpan w:val="4"/>
            <w:shd w:val="clear" w:color="000000" w:fill="E7E6E6"/>
            <w:noWrap/>
            <w:vAlign w:val="center"/>
            <w:hideMark/>
          </w:tcPr>
          <w:p w14:paraId="00E5C536" w14:textId="77777777" w:rsidR="008610D3" w:rsidRPr="00CF7F98" w:rsidRDefault="008610D3" w:rsidP="00C516AB">
            <w:pP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 xml:space="preserve">                    Unadjusted model</w:t>
            </w:r>
          </w:p>
        </w:tc>
        <w:tc>
          <w:tcPr>
            <w:tcW w:w="1085" w:type="dxa"/>
            <w:shd w:val="clear" w:color="000000" w:fill="D0CECE"/>
            <w:noWrap/>
            <w:vAlign w:val="center"/>
            <w:hideMark/>
          </w:tcPr>
          <w:p w14:paraId="09CB6B02"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3293" w:type="dxa"/>
            <w:gridSpan w:val="4"/>
            <w:shd w:val="clear" w:color="000000" w:fill="D0CECE"/>
            <w:noWrap/>
            <w:vAlign w:val="center"/>
            <w:hideMark/>
          </w:tcPr>
          <w:p w14:paraId="5BD4DCA8" w14:textId="77777777" w:rsidR="008610D3" w:rsidRPr="00CF7F98" w:rsidRDefault="008610D3" w:rsidP="00C516AB">
            <w:pP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 xml:space="preserve">                            Adjusted model*</w:t>
            </w:r>
          </w:p>
        </w:tc>
      </w:tr>
      <w:tr w:rsidR="008610D3" w:rsidRPr="00CF7F98" w14:paraId="53D61DC3" w14:textId="77777777" w:rsidTr="00C516AB">
        <w:trPr>
          <w:trHeight w:val="315"/>
        </w:trPr>
        <w:tc>
          <w:tcPr>
            <w:tcW w:w="1691" w:type="dxa"/>
            <w:shd w:val="clear" w:color="auto" w:fill="auto"/>
            <w:noWrap/>
            <w:vAlign w:val="center"/>
            <w:hideMark/>
          </w:tcPr>
          <w:p w14:paraId="00EC5C8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E7E6E6"/>
            <w:noWrap/>
            <w:vAlign w:val="center"/>
            <w:hideMark/>
          </w:tcPr>
          <w:p w14:paraId="06A69F0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412EBBC9"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HR</w:t>
            </w:r>
          </w:p>
        </w:tc>
        <w:tc>
          <w:tcPr>
            <w:tcW w:w="1624" w:type="dxa"/>
            <w:gridSpan w:val="2"/>
            <w:shd w:val="clear" w:color="000000" w:fill="E7E6E6"/>
            <w:noWrap/>
            <w:vAlign w:val="center"/>
            <w:hideMark/>
          </w:tcPr>
          <w:p w14:paraId="38E6EBDD"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95% CI</w:t>
            </w:r>
          </w:p>
        </w:tc>
        <w:tc>
          <w:tcPr>
            <w:tcW w:w="841" w:type="dxa"/>
            <w:shd w:val="clear" w:color="000000" w:fill="E7E6E6"/>
            <w:noWrap/>
            <w:vAlign w:val="center"/>
            <w:hideMark/>
          </w:tcPr>
          <w:p w14:paraId="0DF34FB6"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p-value</w:t>
            </w:r>
          </w:p>
        </w:tc>
        <w:tc>
          <w:tcPr>
            <w:tcW w:w="1085" w:type="dxa"/>
            <w:shd w:val="clear" w:color="000000" w:fill="D0CECE"/>
            <w:noWrap/>
            <w:vAlign w:val="center"/>
            <w:hideMark/>
          </w:tcPr>
          <w:p w14:paraId="4A45A51A"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 </w:t>
            </w:r>
          </w:p>
        </w:tc>
        <w:tc>
          <w:tcPr>
            <w:tcW w:w="813" w:type="dxa"/>
            <w:shd w:val="clear" w:color="000000" w:fill="D0CECE"/>
            <w:noWrap/>
            <w:vAlign w:val="center"/>
            <w:hideMark/>
          </w:tcPr>
          <w:p w14:paraId="6CDBA1D2"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HR</w:t>
            </w:r>
          </w:p>
        </w:tc>
        <w:tc>
          <w:tcPr>
            <w:tcW w:w="1624" w:type="dxa"/>
            <w:gridSpan w:val="2"/>
            <w:shd w:val="clear" w:color="000000" w:fill="D0CECE"/>
            <w:noWrap/>
            <w:vAlign w:val="center"/>
            <w:hideMark/>
          </w:tcPr>
          <w:p w14:paraId="40DBEB27"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95% CI</w:t>
            </w:r>
          </w:p>
        </w:tc>
        <w:tc>
          <w:tcPr>
            <w:tcW w:w="856" w:type="dxa"/>
            <w:shd w:val="clear" w:color="000000" w:fill="D0CECE"/>
            <w:noWrap/>
            <w:vAlign w:val="center"/>
            <w:hideMark/>
          </w:tcPr>
          <w:p w14:paraId="4FD9065E"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p-value</w:t>
            </w:r>
          </w:p>
        </w:tc>
      </w:tr>
      <w:tr w:rsidR="008610D3" w:rsidRPr="00CF7F98" w14:paraId="2857E710" w14:textId="77777777" w:rsidTr="00C516AB">
        <w:trPr>
          <w:trHeight w:val="300"/>
        </w:trPr>
        <w:tc>
          <w:tcPr>
            <w:tcW w:w="1691" w:type="dxa"/>
            <w:shd w:val="clear" w:color="auto" w:fill="auto"/>
            <w:noWrap/>
            <w:vAlign w:val="center"/>
            <w:hideMark/>
          </w:tcPr>
          <w:p w14:paraId="5840A4F8"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Macrovascular complications</w:t>
            </w:r>
          </w:p>
        </w:tc>
        <w:tc>
          <w:tcPr>
            <w:tcW w:w="1085" w:type="dxa"/>
            <w:shd w:val="clear" w:color="000000" w:fill="E7E6E6"/>
            <w:noWrap/>
            <w:vAlign w:val="center"/>
            <w:hideMark/>
          </w:tcPr>
          <w:p w14:paraId="4305A3D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N=48,942</w:t>
            </w:r>
          </w:p>
        </w:tc>
        <w:tc>
          <w:tcPr>
            <w:tcW w:w="813" w:type="dxa"/>
            <w:shd w:val="clear" w:color="000000" w:fill="E7E6E6"/>
            <w:noWrap/>
            <w:vAlign w:val="center"/>
            <w:hideMark/>
          </w:tcPr>
          <w:p w14:paraId="4A6B88EF"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1A710F25"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7E5EBB81"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134C457E"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7012AF8A"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N=48,829</w:t>
            </w:r>
          </w:p>
        </w:tc>
        <w:tc>
          <w:tcPr>
            <w:tcW w:w="813" w:type="dxa"/>
            <w:shd w:val="clear" w:color="000000" w:fill="D0CECE"/>
            <w:noWrap/>
            <w:vAlign w:val="center"/>
            <w:hideMark/>
          </w:tcPr>
          <w:p w14:paraId="17E526E3"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4D119FB7"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382913BC"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1AE6EE7D"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3F427135" w14:textId="77777777" w:rsidTr="00C516AB">
        <w:trPr>
          <w:trHeight w:val="300"/>
        </w:trPr>
        <w:tc>
          <w:tcPr>
            <w:tcW w:w="1691" w:type="dxa"/>
            <w:shd w:val="clear" w:color="auto" w:fill="auto"/>
            <w:noWrap/>
            <w:vAlign w:val="center"/>
            <w:hideMark/>
          </w:tcPr>
          <w:p w14:paraId="4F48066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3 (ref)</w:t>
            </w:r>
          </w:p>
        </w:tc>
        <w:tc>
          <w:tcPr>
            <w:tcW w:w="1085" w:type="dxa"/>
            <w:shd w:val="clear" w:color="000000" w:fill="E7E6E6"/>
            <w:noWrap/>
            <w:vAlign w:val="center"/>
            <w:hideMark/>
          </w:tcPr>
          <w:p w14:paraId="1929D8F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757421E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E7E6E6"/>
            <w:noWrap/>
            <w:vAlign w:val="center"/>
            <w:hideMark/>
          </w:tcPr>
          <w:p w14:paraId="0345E6B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2BB1237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45A996E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160EAEC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4C54BF9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D0CECE"/>
            <w:noWrap/>
            <w:vAlign w:val="center"/>
            <w:hideMark/>
          </w:tcPr>
          <w:p w14:paraId="6A4805B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6810E85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6BAF4DA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07DF0AE4" w14:textId="77777777" w:rsidTr="00C516AB">
        <w:trPr>
          <w:trHeight w:val="300"/>
        </w:trPr>
        <w:tc>
          <w:tcPr>
            <w:tcW w:w="1691" w:type="dxa"/>
            <w:shd w:val="clear" w:color="auto" w:fill="auto"/>
            <w:noWrap/>
            <w:vAlign w:val="center"/>
            <w:hideMark/>
          </w:tcPr>
          <w:p w14:paraId="72FDD5F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1</w:t>
            </w:r>
          </w:p>
        </w:tc>
        <w:tc>
          <w:tcPr>
            <w:tcW w:w="1085" w:type="dxa"/>
            <w:shd w:val="clear" w:color="000000" w:fill="E7E6E6"/>
            <w:noWrap/>
            <w:vAlign w:val="center"/>
            <w:hideMark/>
          </w:tcPr>
          <w:p w14:paraId="0F07660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29E15AE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0.85</w:t>
            </w:r>
          </w:p>
        </w:tc>
        <w:tc>
          <w:tcPr>
            <w:tcW w:w="812" w:type="dxa"/>
            <w:shd w:val="clear" w:color="000000" w:fill="E7E6E6"/>
            <w:noWrap/>
            <w:vAlign w:val="center"/>
            <w:hideMark/>
          </w:tcPr>
          <w:p w14:paraId="456A2E2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0.78</w:t>
            </w:r>
          </w:p>
        </w:tc>
        <w:tc>
          <w:tcPr>
            <w:tcW w:w="812" w:type="dxa"/>
            <w:shd w:val="clear" w:color="000000" w:fill="E7E6E6"/>
            <w:noWrap/>
            <w:vAlign w:val="center"/>
            <w:hideMark/>
          </w:tcPr>
          <w:p w14:paraId="1578A7B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0.93</w:t>
            </w:r>
          </w:p>
        </w:tc>
        <w:tc>
          <w:tcPr>
            <w:tcW w:w="841" w:type="dxa"/>
            <w:shd w:val="clear" w:color="000000" w:fill="E7E6E6"/>
            <w:noWrap/>
            <w:vAlign w:val="center"/>
            <w:hideMark/>
          </w:tcPr>
          <w:p w14:paraId="50C7F23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21A54D01"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5D87EB5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0.83</w:t>
            </w:r>
          </w:p>
        </w:tc>
        <w:tc>
          <w:tcPr>
            <w:tcW w:w="812" w:type="dxa"/>
            <w:shd w:val="clear" w:color="000000" w:fill="D0CECE"/>
            <w:noWrap/>
            <w:vAlign w:val="center"/>
            <w:hideMark/>
          </w:tcPr>
          <w:p w14:paraId="425C497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0.75</w:t>
            </w:r>
          </w:p>
        </w:tc>
        <w:tc>
          <w:tcPr>
            <w:tcW w:w="812" w:type="dxa"/>
            <w:shd w:val="clear" w:color="000000" w:fill="D0CECE"/>
            <w:noWrap/>
            <w:vAlign w:val="center"/>
            <w:hideMark/>
          </w:tcPr>
          <w:p w14:paraId="697C14E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0.92</w:t>
            </w:r>
          </w:p>
        </w:tc>
        <w:tc>
          <w:tcPr>
            <w:tcW w:w="856" w:type="dxa"/>
            <w:shd w:val="clear" w:color="000000" w:fill="D0CECE"/>
            <w:noWrap/>
            <w:vAlign w:val="center"/>
            <w:hideMark/>
          </w:tcPr>
          <w:p w14:paraId="583BC41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52330BAA" w14:textId="77777777" w:rsidTr="00C516AB">
        <w:trPr>
          <w:trHeight w:val="300"/>
        </w:trPr>
        <w:tc>
          <w:tcPr>
            <w:tcW w:w="1691" w:type="dxa"/>
            <w:shd w:val="clear" w:color="auto" w:fill="auto"/>
            <w:noWrap/>
            <w:vAlign w:val="center"/>
            <w:hideMark/>
          </w:tcPr>
          <w:p w14:paraId="12B1807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2</w:t>
            </w:r>
          </w:p>
        </w:tc>
        <w:tc>
          <w:tcPr>
            <w:tcW w:w="1085" w:type="dxa"/>
            <w:shd w:val="clear" w:color="000000" w:fill="E7E6E6"/>
            <w:noWrap/>
            <w:vAlign w:val="center"/>
            <w:hideMark/>
          </w:tcPr>
          <w:p w14:paraId="3E99C1C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2BAAB3E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0.97</w:t>
            </w:r>
          </w:p>
        </w:tc>
        <w:tc>
          <w:tcPr>
            <w:tcW w:w="812" w:type="dxa"/>
            <w:shd w:val="clear" w:color="000000" w:fill="E7E6E6"/>
            <w:noWrap/>
            <w:vAlign w:val="center"/>
            <w:hideMark/>
          </w:tcPr>
          <w:p w14:paraId="4EC44D8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0.88</w:t>
            </w:r>
          </w:p>
        </w:tc>
        <w:tc>
          <w:tcPr>
            <w:tcW w:w="812" w:type="dxa"/>
            <w:shd w:val="clear" w:color="000000" w:fill="E7E6E6"/>
            <w:noWrap/>
            <w:vAlign w:val="center"/>
            <w:hideMark/>
          </w:tcPr>
          <w:p w14:paraId="5BDF1F1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1.06</w:t>
            </w:r>
          </w:p>
        </w:tc>
        <w:tc>
          <w:tcPr>
            <w:tcW w:w="841" w:type="dxa"/>
            <w:shd w:val="clear" w:color="000000" w:fill="E7E6E6"/>
            <w:noWrap/>
            <w:vAlign w:val="center"/>
            <w:hideMark/>
          </w:tcPr>
          <w:p w14:paraId="19B98B0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0.490</w:t>
            </w:r>
          </w:p>
        </w:tc>
        <w:tc>
          <w:tcPr>
            <w:tcW w:w="1085" w:type="dxa"/>
            <w:shd w:val="clear" w:color="000000" w:fill="D0CECE"/>
            <w:noWrap/>
            <w:vAlign w:val="center"/>
            <w:hideMark/>
          </w:tcPr>
          <w:p w14:paraId="7E17702B"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64371FA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0.91</w:t>
            </w:r>
          </w:p>
        </w:tc>
        <w:tc>
          <w:tcPr>
            <w:tcW w:w="812" w:type="dxa"/>
            <w:shd w:val="clear" w:color="000000" w:fill="D0CECE"/>
            <w:noWrap/>
            <w:vAlign w:val="center"/>
            <w:hideMark/>
          </w:tcPr>
          <w:p w14:paraId="31C6113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0.82</w:t>
            </w:r>
          </w:p>
        </w:tc>
        <w:tc>
          <w:tcPr>
            <w:tcW w:w="812" w:type="dxa"/>
            <w:shd w:val="clear" w:color="000000" w:fill="D0CECE"/>
            <w:noWrap/>
            <w:vAlign w:val="center"/>
            <w:hideMark/>
          </w:tcPr>
          <w:p w14:paraId="168FA37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1.00</w:t>
            </w:r>
          </w:p>
        </w:tc>
        <w:tc>
          <w:tcPr>
            <w:tcW w:w="856" w:type="dxa"/>
            <w:shd w:val="clear" w:color="000000" w:fill="D0CECE"/>
            <w:noWrap/>
            <w:vAlign w:val="center"/>
            <w:hideMark/>
          </w:tcPr>
          <w:p w14:paraId="1F7E7AA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0.054</w:t>
            </w:r>
          </w:p>
        </w:tc>
      </w:tr>
      <w:tr w:rsidR="008610D3" w:rsidRPr="00CF7F98" w14:paraId="135AC099" w14:textId="77777777" w:rsidTr="00C516AB">
        <w:trPr>
          <w:trHeight w:val="300"/>
        </w:trPr>
        <w:tc>
          <w:tcPr>
            <w:tcW w:w="1691" w:type="dxa"/>
            <w:shd w:val="clear" w:color="auto" w:fill="auto"/>
            <w:noWrap/>
            <w:vAlign w:val="center"/>
            <w:hideMark/>
          </w:tcPr>
          <w:p w14:paraId="0B5353C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4</w:t>
            </w:r>
          </w:p>
        </w:tc>
        <w:tc>
          <w:tcPr>
            <w:tcW w:w="1085" w:type="dxa"/>
            <w:shd w:val="clear" w:color="000000" w:fill="E7E6E6"/>
            <w:noWrap/>
            <w:vAlign w:val="center"/>
            <w:hideMark/>
          </w:tcPr>
          <w:p w14:paraId="16C2873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3FC8FA41"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0.70</w:t>
            </w:r>
          </w:p>
        </w:tc>
        <w:tc>
          <w:tcPr>
            <w:tcW w:w="812" w:type="dxa"/>
            <w:shd w:val="clear" w:color="000000" w:fill="E7E6E6"/>
            <w:noWrap/>
            <w:vAlign w:val="center"/>
            <w:hideMark/>
          </w:tcPr>
          <w:p w14:paraId="1C3563D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0.64</w:t>
            </w:r>
          </w:p>
        </w:tc>
        <w:tc>
          <w:tcPr>
            <w:tcW w:w="812" w:type="dxa"/>
            <w:shd w:val="clear" w:color="000000" w:fill="E7E6E6"/>
            <w:noWrap/>
            <w:vAlign w:val="center"/>
            <w:hideMark/>
          </w:tcPr>
          <w:p w14:paraId="4743C28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0.77</w:t>
            </w:r>
          </w:p>
        </w:tc>
        <w:tc>
          <w:tcPr>
            <w:tcW w:w="841" w:type="dxa"/>
            <w:shd w:val="clear" w:color="000000" w:fill="E7E6E6"/>
            <w:noWrap/>
            <w:vAlign w:val="center"/>
            <w:hideMark/>
          </w:tcPr>
          <w:p w14:paraId="0D89F72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00DB6BAA"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7CBDF9B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0.66</w:t>
            </w:r>
          </w:p>
        </w:tc>
        <w:tc>
          <w:tcPr>
            <w:tcW w:w="812" w:type="dxa"/>
            <w:shd w:val="clear" w:color="000000" w:fill="D0CECE"/>
            <w:noWrap/>
            <w:vAlign w:val="center"/>
            <w:hideMark/>
          </w:tcPr>
          <w:p w14:paraId="1F222B6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0.61</w:t>
            </w:r>
          </w:p>
        </w:tc>
        <w:tc>
          <w:tcPr>
            <w:tcW w:w="812" w:type="dxa"/>
            <w:shd w:val="clear" w:color="000000" w:fill="D0CECE"/>
            <w:noWrap/>
            <w:vAlign w:val="center"/>
            <w:hideMark/>
          </w:tcPr>
          <w:p w14:paraId="7CE8549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0.71</w:t>
            </w:r>
          </w:p>
        </w:tc>
        <w:tc>
          <w:tcPr>
            <w:tcW w:w="856" w:type="dxa"/>
            <w:shd w:val="clear" w:color="000000" w:fill="D0CECE"/>
            <w:noWrap/>
            <w:vAlign w:val="center"/>
            <w:hideMark/>
          </w:tcPr>
          <w:p w14:paraId="780282A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65E0CE54" w14:textId="77777777" w:rsidTr="00C516AB">
        <w:trPr>
          <w:trHeight w:val="300"/>
        </w:trPr>
        <w:tc>
          <w:tcPr>
            <w:tcW w:w="1691" w:type="dxa"/>
            <w:shd w:val="clear" w:color="auto" w:fill="auto"/>
            <w:noWrap/>
            <w:vAlign w:val="center"/>
            <w:hideMark/>
          </w:tcPr>
          <w:p w14:paraId="1B9B5A2B"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Microvascular complications</w:t>
            </w:r>
          </w:p>
        </w:tc>
        <w:tc>
          <w:tcPr>
            <w:tcW w:w="1085" w:type="dxa"/>
            <w:shd w:val="clear" w:color="000000" w:fill="E7E6E6"/>
            <w:noWrap/>
            <w:vAlign w:val="center"/>
            <w:hideMark/>
          </w:tcPr>
          <w:p w14:paraId="31DEDA0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N=41,609</w:t>
            </w:r>
          </w:p>
        </w:tc>
        <w:tc>
          <w:tcPr>
            <w:tcW w:w="813" w:type="dxa"/>
            <w:shd w:val="clear" w:color="000000" w:fill="E7E6E6"/>
            <w:noWrap/>
            <w:vAlign w:val="center"/>
            <w:hideMark/>
          </w:tcPr>
          <w:p w14:paraId="4D5EC6B6"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47FA063D"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5DCE2EFF"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49EDC880"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4231A480"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N=41,527</w:t>
            </w:r>
          </w:p>
        </w:tc>
        <w:tc>
          <w:tcPr>
            <w:tcW w:w="813" w:type="dxa"/>
            <w:shd w:val="clear" w:color="000000" w:fill="D0CECE"/>
            <w:noWrap/>
            <w:vAlign w:val="center"/>
            <w:hideMark/>
          </w:tcPr>
          <w:p w14:paraId="05809FB7"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327BE175"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55852543"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6FF35A6C"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740C4E7C" w14:textId="77777777" w:rsidTr="00C516AB">
        <w:trPr>
          <w:trHeight w:val="300"/>
        </w:trPr>
        <w:tc>
          <w:tcPr>
            <w:tcW w:w="1691" w:type="dxa"/>
            <w:shd w:val="clear" w:color="auto" w:fill="auto"/>
            <w:noWrap/>
            <w:vAlign w:val="center"/>
            <w:hideMark/>
          </w:tcPr>
          <w:p w14:paraId="7C58585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3 (ref)</w:t>
            </w:r>
          </w:p>
        </w:tc>
        <w:tc>
          <w:tcPr>
            <w:tcW w:w="1085" w:type="dxa"/>
            <w:shd w:val="clear" w:color="000000" w:fill="E7E6E6"/>
            <w:noWrap/>
            <w:vAlign w:val="center"/>
            <w:hideMark/>
          </w:tcPr>
          <w:p w14:paraId="6441C3B1"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49FD3F3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E7E6E6"/>
            <w:noWrap/>
            <w:vAlign w:val="center"/>
            <w:hideMark/>
          </w:tcPr>
          <w:p w14:paraId="136FA3C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3CEB185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2211453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0B98AAF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7AE2AB3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D0CECE"/>
            <w:noWrap/>
            <w:vAlign w:val="center"/>
            <w:hideMark/>
          </w:tcPr>
          <w:p w14:paraId="64CFBB71"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1056C32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6B88A41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26B0AB57" w14:textId="77777777" w:rsidTr="00C516AB">
        <w:trPr>
          <w:trHeight w:val="300"/>
        </w:trPr>
        <w:tc>
          <w:tcPr>
            <w:tcW w:w="1691" w:type="dxa"/>
            <w:shd w:val="clear" w:color="auto" w:fill="auto"/>
            <w:noWrap/>
            <w:vAlign w:val="center"/>
            <w:hideMark/>
          </w:tcPr>
          <w:p w14:paraId="172BF18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1</w:t>
            </w:r>
          </w:p>
        </w:tc>
        <w:tc>
          <w:tcPr>
            <w:tcW w:w="1085" w:type="dxa"/>
            <w:shd w:val="clear" w:color="000000" w:fill="E7E6E6"/>
            <w:noWrap/>
            <w:vAlign w:val="center"/>
            <w:hideMark/>
          </w:tcPr>
          <w:p w14:paraId="0BDE3D2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67DC20C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0.63</w:t>
            </w:r>
          </w:p>
        </w:tc>
        <w:tc>
          <w:tcPr>
            <w:tcW w:w="812" w:type="dxa"/>
            <w:shd w:val="clear" w:color="000000" w:fill="E7E6E6"/>
            <w:noWrap/>
            <w:vAlign w:val="center"/>
            <w:hideMark/>
          </w:tcPr>
          <w:p w14:paraId="02E38EC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0.60</w:t>
            </w:r>
          </w:p>
        </w:tc>
        <w:tc>
          <w:tcPr>
            <w:tcW w:w="812" w:type="dxa"/>
            <w:shd w:val="clear" w:color="000000" w:fill="E7E6E6"/>
            <w:noWrap/>
            <w:vAlign w:val="center"/>
            <w:hideMark/>
          </w:tcPr>
          <w:p w14:paraId="6EE9192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0.66</w:t>
            </w:r>
          </w:p>
        </w:tc>
        <w:tc>
          <w:tcPr>
            <w:tcW w:w="841" w:type="dxa"/>
            <w:shd w:val="clear" w:color="000000" w:fill="E7E6E6"/>
            <w:noWrap/>
            <w:vAlign w:val="center"/>
            <w:hideMark/>
          </w:tcPr>
          <w:p w14:paraId="7F768AC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01B66862"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4DCF2FB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0.65</w:t>
            </w:r>
          </w:p>
        </w:tc>
        <w:tc>
          <w:tcPr>
            <w:tcW w:w="812" w:type="dxa"/>
            <w:shd w:val="clear" w:color="000000" w:fill="D0CECE"/>
            <w:noWrap/>
            <w:vAlign w:val="center"/>
            <w:hideMark/>
          </w:tcPr>
          <w:p w14:paraId="2066A7E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0.61</w:t>
            </w:r>
          </w:p>
        </w:tc>
        <w:tc>
          <w:tcPr>
            <w:tcW w:w="812" w:type="dxa"/>
            <w:shd w:val="clear" w:color="000000" w:fill="D0CECE"/>
            <w:noWrap/>
            <w:vAlign w:val="center"/>
            <w:hideMark/>
          </w:tcPr>
          <w:p w14:paraId="1D44DFC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0.70</w:t>
            </w:r>
          </w:p>
        </w:tc>
        <w:tc>
          <w:tcPr>
            <w:tcW w:w="856" w:type="dxa"/>
            <w:shd w:val="clear" w:color="000000" w:fill="D0CECE"/>
            <w:noWrap/>
            <w:vAlign w:val="center"/>
            <w:hideMark/>
          </w:tcPr>
          <w:p w14:paraId="764A97D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0E643806" w14:textId="77777777" w:rsidTr="00C516AB">
        <w:trPr>
          <w:trHeight w:val="300"/>
        </w:trPr>
        <w:tc>
          <w:tcPr>
            <w:tcW w:w="1691" w:type="dxa"/>
            <w:shd w:val="clear" w:color="auto" w:fill="auto"/>
            <w:noWrap/>
            <w:vAlign w:val="center"/>
            <w:hideMark/>
          </w:tcPr>
          <w:p w14:paraId="62A9E8F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2</w:t>
            </w:r>
          </w:p>
        </w:tc>
        <w:tc>
          <w:tcPr>
            <w:tcW w:w="1085" w:type="dxa"/>
            <w:shd w:val="clear" w:color="000000" w:fill="E7E6E6"/>
            <w:noWrap/>
            <w:vAlign w:val="center"/>
            <w:hideMark/>
          </w:tcPr>
          <w:p w14:paraId="2B5B4D0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68A7FF8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0.78</w:t>
            </w:r>
          </w:p>
        </w:tc>
        <w:tc>
          <w:tcPr>
            <w:tcW w:w="812" w:type="dxa"/>
            <w:shd w:val="clear" w:color="000000" w:fill="E7E6E6"/>
            <w:noWrap/>
            <w:vAlign w:val="center"/>
            <w:hideMark/>
          </w:tcPr>
          <w:p w14:paraId="1003D2E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0.74</w:t>
            </w:r>
          </w:p>
        </w:tc>
        <w:tc>
          <w:tcPr>
            <w:tcW w:w="812" w:type="dxa"/>
            <w:shd w:val="clear" w:color="000000" w:fill="E7E6E6"/>
            <w:noWrap/>
            <w:vAlign w:val="center"/>
            <w:hideMark/>
          </w:tcPr>
          <w:p w14:paraId="7DBE224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0.82</w:t>
            </w:r>
          </w:p>
        </w:tc>
        <w:tc>
          <w:tcPr>
            <w:tcW w:w="841" w:type="dxa"/>
            <w:shd w:val="clear" w:color="000000" w:fill="E7E6E6"/>
            <w:noWrap/>
            <w:vAlign w:val="center"/>
            <w:hideMark/>
          </w:tcPr>
          <w:p w14:paraId="0237145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1614B104"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32D7A4A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0.80</w:t>
            </w:r>
          </w:p>
        </w:tc>
        <w:tc>
          <w:tcPr>
            <w:tcW w:w="812" w:type="dxa"/>
            <w:shd w:val="clear" w:color="000000" w:fill="D0CECE"/>
            <w:noWrap/>
            <w:vAlign w:val="center"/>
            <w:hideMark/>
          </w:tcPr>
          <w:p w14:paraId="15D435A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0.76</w:t>
            </w:r>
          </w:p>
        </w:tc>
        <w:tc>
          <w:tcPr>
            <w:tcW w:w="812" w:type="dxa"/>
            <w:shd w:val="clear" w:color="000000" w:fill="D0CECE"/>
            <w:noWrap/>
            <w:vAlign w:val="center"/>
            <w:hideMark/>
          </w:tcPr>
          <w:p w14:paraId="091ABD6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0.85</w:t>
            </w:r>
          </w:p>
        </w:tc>
        <w:tc>
          <w:tcPr>
            <w:tcW w:w="856" w:type="dxa"/>
            <w:shd w:val="clear" w:color="000000" w:fill="D0CECE"/>
            <w:noWrap/>
            <w:vAlign w:val="center"/>
            <w:hideMark/>
          </w:tcPr>
          <w:p w14:paraId="61E0F6A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1ECF1CFE" w14:textId="77777777" w:rsidTr="00C516AB">
        <w:trPr>
          <w:trHeight w:val="300"/>
        </w:trPr>
        <w:tc>
          <w:tcPr>
            <w:tcW w:w="1691" w:type="dxa"/>
            <w:shd w:val="clear" w:color="auto" w:fill="auto"/>
            <w:noWrap/>
            <w:vAlign w:val="center"/>
            <w:hideMark/>
          </w:tcPr>
          <w:p w14:paraId="35C5E43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4</w:t>
            </w:r>
          </w:p>
        </w:tc>
        <w:tc>
          <w:tcPr>
            <w:tcW w:w="1085" w:type="dxa"/>
            <w:shd w:val="clear" w:color="000000" w:fill="E7E6E6"/>
            <w:noWrap/>
            <w:vAlign w:val="center"/>
            <w:hideMark/>
          </w:tcPr>
          <w:p w14:paraId="03D202D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2AC4475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0.56</w:t>
            </w:r>
          </w:p>
        </w:tc>
        <w:tc>
          <w:tcPr>
            <w:tcW w:w="812" w:type="dxa"/>
            <w:shd w:val="clear" w:color="000000" w:fill="E7E6E6"/>
            <w:noWrap/>
            <w:vAlign w:val="center"/>
            <w:hideMark/>
          </w:tcPr>
          <w:p w14:paraId="46F21F9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0.53</w:t>
            </w:r>
          </w:p>
        </w:tc>
        <w:tc>
          <w:tcPr>
            <w:tcW w:w="812" w:type="dxa"/>
            <w:shd w:val="clear" w:color="000000" w:fill="E7E6E6"/>
            <w:noWrap/>
            <w:vAlign w:val="center"/>
            <w:hideMark/>
          </w:tcPr>
          <w:p w14:paraId="51B299C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0.59</w:t>
            </w:r>
          </w:p>
        </w:tc>
        <w:tc>
          <w:tcPr>
            <w:tcW w:w="841" w:type="dxa"/>
            <w:shd w:val="clear" w:color="000000" w:fill="E7E6E6"/>
            <w:noWrap/>
            <w:vAlign w:val="center"/>
            <w:hideMark/>
          </w:tcPr>
          <w:p w14:paraId="4BC3454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1D45C602"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18C9EEF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0.59</w:t>
            </w:r>
          </w:p>
        </w:tc>
        <w:tc>
          <w:tcPr>
            <w:tcW w:w="812" w:type="dxa"/>
            <w:shd w:val="clear" w:color="000000" w:fill="D0CECE"/>
            <w:noWrap/>
            <w:vAlign w:val="center"/>
            <w:hideMark/>
          </w:tcPr>
          <w:p w14:paraId="15E0D14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0.55</w:t>
            </w:r>
          </w:p>
        </w:tc>
        <w:tc>
          <w:tcPr>
            <w:tcW w:w="812" w:type="dxa"/>
            <w:shd w:val="clear" w:color="000000" w:fill="D0CECE"/>
            <w:noWrap/>
            <w:vAlign w:val="center"/>
            <w:hideMark/>
          </w:tcPr>
          <w:p w14:paraId="6CC91A9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0.64</w:t>
            </w:r>
          </w:p>
        </w:tc>
        <w:tc>
          <w:tcPr>
            <w:tcW w:w="856" w:type="dxa"/>
            <w:shd w:val="clear" w:color="000000" w:fill="D0CECE"/>
            <w:noWrap/>
            <w:vAlign w:val="center"/>
            <w:hideMark/>
          </w:tcPr>
          <w:p w14:paraId="7A0EA4A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0B2BA4E6" w14:textId="77777777" w:rsidTr="00C516AB">
        <w:trPr>
          <w:trHeight w:val="300"/>
        </w:trPr>
        <w:tc>
          <w:tcPr>
            <w:tcW w:w="1691" w:type="dxa"/>
            <w:shd w:val="clear" w:color="auto" w:fill="auto"/>
            <w:noWrap/>
            <w:vAlign w:val="center"/>
            <w:hideMark/>
          </w:tcPr>
          <w:p w14:paraId="0A980808"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CVD events</w:t>
            </w:r>
          </w:p>
        </w:tc>
        <w:tc>
          <w:tcPr>
            <w:tcW w:w="1085" w:type="dxa"/>
            <w:shd w:val="clear" w:color="000000" w:fill="E7E6E6"/>
            <w:noWrap/>
            <w:vAlign w:val="center"/>
            <w:hideMark/>
          </w:tcPr>
          <w:p w14:paraId="0578C08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N=53,218 </w:t>
            </w:r>
          </w:p>
        </w:tc>
        <w:tc>
          <w:tcPr>
            <w:tcW w:w="813" w:type="dxa"/>
            <w:shd w:val="clear" w:color="000000" w:fill="E7E6E6"/>
            <w:noWrap/>
            <w:vAlign w:val="center"/>
            <w:hideMark/>
          </w:tcPr>
          <w:p w14:paraId="047E8F34"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06486C0D"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2365DE01"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16029772"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7C78A409"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N=53,097</w:t>
            </w:r>
          </w:p>
        </w:tc>
        <w:tc>
          <w:tcPr>
            <w:tcW w:w="813" w:type="dxa"/>
            <w:shd w:val="clear" w:color="000000" w:fill="D0CECE"/>
            <w:noWrap/>
            <w:vAlign w:val="center"/>
            <w:hideMark/>
          </w:tcPr>
          <w:p w14:paraId="3B39F33E"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393562AC"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50172F75"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24848694"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30F76CC4" w14:textId="77777777" w:rsidTr="00C516AB">
        <w:trPr>
          <w:trHeight w:val="300"/>
        </w:trPr>
        <w:tc>
          <w:tcPr>
            <w:tcW w:w="1691" w:type="dxa"/>
            <w:shd w:val="clear" w:color="auto" w:fill="auto"/>
            <w:noWrap/>
            <w:vAlign w:val="center"/>
            <w:hideMark/>
          </w:tcPr>
          <w:p w14:paraId="2461C9D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3 (ref)</w:t>
            </w:r>
          </w:p>
        </w:tc>
        <w:tc>
          <w:tcPr>
            <w:tcW w:w="1085" w:type="dxa"/>
            <w:shd w:val="clear" w:color="000000" w:fill="E7E6E6"/>
            <w:noWrap/>
            <w:vAlign w:val="center"/>
            <w:hideMark/>
          </w:tcPr>
          <w:p w14:paraId="568854F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4730026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E7E6E6"/>
            <w:noWrap/>
            <w:vAlign w:val="center"/>
            <w:hideMark/>
          </w:tcPr>
          <w:p w14:paraId="17D953F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0776A15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6D1951F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7F69464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04B99611"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D0CECE"/>
            <w:noWrap/>
            <w:vAlign w:val="center"/>
            <w:hideMark/>
          </w:tcPr>
          <w:p w14:paraId="5EBECB4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5889A9C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3444081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2B4BA52A" w14:textId="77777777" w:rsidTr="00C516AB">
        <w:trPr>
          <w:trHeight w:val="300"/>
        </w:trPr>
        <w:tc>
          <w:tcPr>
            <w:tcW w:w="1691" w:type="dxa"/>
            <w:shd w:val="clear" w:color="auto" w:fill="auto"/>
            <w:noWrap/>
            <w:vAlign w:val="center"/>
            <w:hideMark/>
          </w:tcPr>
          <w:p w14:paraId="1F14723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1</w:t>
            </w:r>
          </w:p>
        </w:tc>
        <w:tc>
          <w:tcPr>
            <w:tcW w:w="1085" w:type="dxa"/>
            <w:shd w:val="clear" w:color="000000" w:fill="E7E6E6"/>
            <w:noWrap/>
            <w:vAlign w:val="center"/>
            <w:hideMark/>
          </w:tcPr>
          <w:p w14:paraId="6E6DBD9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030ED9A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0.76</w:t>
            </w:r>
          </w:p>
        </w:tc>
        <w:tc>
          <w:tcPr>
            <w:tcW w:w="812" w:type="dxa"/>
            <w:shd w:val="clear" w:color="000000" w:fill="E7E6E6"/>
            <w:noWrap/>
            <w:vAlign w:val="center"/>
            <w:hideMark/>
          </w:tcPr>
          <w:p w14:paraId="6BC1352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0.69</w:t>
            </w:r>
          </w:p>
        </w:tc>
        <w:tc>
          <w:tcPr>
            <w:tcW w:w="812" w:type="dxa"/>
            <w:shd w:val="clear" w:color="000000" w:fill="E7E6E6"/>
            <w:noWrap/>
            <w:vAlign w:val="center"/>
            <w:hideMark/>
          </w:tcPr>
          <w:p w14:paraId="6E22318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0.84</w:t>
            </w:r>
          </w:p>
        </w:tc>
        <w:tc>
          <w:tcPr>
            <w:tcW w:w="841" w:type="dxa"/>
            <w:shd w:val="clear" w:color="000000" w:fill="E7E6E6"/>
            <w:noWrap/>
            <w:vAlign w:val="center"/>
            <w:hideMark/>
          </w:tcPr>
          <w:p w14:paraId="30D2F6B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284F88E6"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0E439EC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0.74</w:t>
            </w:r>
          </w:p>
        </w:tc>
        <w:tc>
          <w:tcPr>
            <w:tcW w:w="812" w:type="dxa"/>
            <w:shd w:val="clear" w:color="000000" w:fill="D0CECE"/>
            <w:noWrap/>
            <w:vAlign w:val="center"/>
            <w:hideMark/>
          </w:tcPr>
          <w:p w14:paraId="532FB74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0.67</w:t>
            </w:r>
          </w:p>
        </w:tc>
        <w:tc>
          <w:tcPr>
            <w:tcW w:w="812" w:type="dxa"/>
            <w:shd w:val="clear" w:color="000000" w:fill="D0CECE"/>
            <w:noWrap/>
            <w:vAlign w:val="center"/>
            <w:hideMark/>
          </w:tcPr>
          <w:p w14:paraId="6896D6F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0.83</w:t>
            </w:r>
          </w:p>
        </w:tc>
        <w:tc>
          <w:tcPr>
            <w:tcW w:w="856" w:type="dxa"/>
            <w:shd w:val="clear" w:color="000000" w:fill="D0CECE"/>
            <w:noWrap/>
            <w:vAlign w:val="center"/>
            <w:hideMark/>
          </w:tcPr>
          <w:p w14:paraId="7DC28A9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134E2051" w14:textId="77777777" w:rsidTr="00C516AB">
        <w:trPr>
          <w:trHeight w:val="300"/>
        </w:trPr>
        <w:tc>
          <w:tcPr>
            <w:tcW w:w="1691" w:type="dxa"/>
            <w:shd w:val="clear" w:color="auto" w:fill="auto"/>
            <w:noWrap/>
            <w:vAlign w:val="center"/>
            <w:hideMark/>
          </w:tcPr>
          <w:p w14:paraId="100BFBB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2</w:t>
            </w:r>
          </w:p>
        </w:tc>
        <w:tc>
          <w:tcPr>
            <w:tcW w:w="1085" w:type="dxa"/>
            <w:shd w:val="clear" w:color="000000" w:fill="E7E6E6"/>
            <w:noWrap/>
            <w:vAlign w:val="center"/>
            <w:hideMark/>
          </w:tcPr>
          <w:p w14:paraId="36C4BC4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3477C1F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0.94</w:t>
            </w:r>
          </w:p>
        </w:tc>
        <w:tc>
          <w:tcPr>
            <w:tcW w:w="812" w:type="dxa"/>
            <w:shd w:val="clear" w:color="000000" w:fill="E7E6E6"/>
            <w:noWrap/>
            <w:vAlign w:val="center"/>
            <w:hideMark/>
          </w:tcPr>
          <w:p w14:paraId="7159EAB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0.85</w:t>
            </w:r>
          </w:p>
        </w:tc>
        <w:tc>
          <w:tcPr>
            <w:tcW w:w="812" w:type="dxa"/>
            <w:shd w:val="clear" w:color="000000" w:fill="E7E6E6"/>
            <w:noWrap/>
            <w:vAlign w:val="center"/>
            <w:hideMark/>
          </w:tcPr>
          <w:p w14:paraId="218E463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1.04</w:t>
            </w:r>
          </w:p>
        </w:tc>
        <w:tc>
          <w:tcPr>
            <w:tcW w:w="841" w:type="dxa"/>
            <w:shd w:val="clear" w:color="000000" w:fill="E7E6E6"/>
            <w:noWrap/>
            <w:vAlign w:val="center"/>
            <w:hideMark/>
          </w:tcPr>
          <w:p w14:paraId="6A28C72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0.254</w:t>
            </w:r>
          </w:p>
        </w:tc>
        <w:tc>
          <w:tcPr>
            <w:tcW w:w="1085" w:type="dxa"/>
            <w:shd w:val="clear" w:color="000000" w:fill="D0CECE"/>
            <w:noWrap/>
            <w:vAlign w:val="center"/>
            <w:hideMark/>
          </w:tcPr>
          <w:p w14:paraId="396D2A31"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2BF8596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0.88</w:t>
            </w:r>
          </w:p>
        </w:tc>
        <w:tc>
          <w:tcPr>
            <w:tcW w:w="812" w:type="dxa"/>
            <w:shd w:val="clear" w:color="000000" w:fill="D0CECE"/>
            <w:noWrap/>
            <w:vAlign w:val="center"/>
            <w:hideMark/>
          </w:tcPr>
          <w:p w14:paraId="718B198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0.79</w:t>
            </w:r>
          </w:p>
        </w:tc>
        <w:tc>
          <w:tcPr>
            <w:tcW w:w="812" w:type="dxa"/>
            <w:shd w:val="clear" w:color="000000" w:fill="D0CECE"/>
            <w:noWrap/>
            <w:vAlign w:val="center"/>
            <w:hideMark/>
          </w:tcPr>
          <w:p w14:paraId="005EA6E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0.98</w:t>
            </w:r>
          </w:p>
        </w:tc>
        <w:tc>
          <w:tcPr>
            <w:tcW w:w="856" w:type="dxa"/>
            <w:shd w:val="clear" w:color="000000" w:fill="D0CECE"/>
            <w:noWrap/>
            <w:vAlign w:val="center"/>
            <w:hideMark/>
          </w:tcPr>
          <w:p w14:paraId="4A35F6E9"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0.021</w:t>
            </w:r>
          </w:p>
        </w:tc>
      </w:tr>
      <w:tr w:rsidR="008610D3" w:rsidRPr="00CF7F98" w14:paraId="50CCB102" w14:textId="77777777" w:rsidTr="00C516AB">
        <w:trPr>
          <w:trHeight w:val="300"/>
        </w:trPr>
        <w:tc>
          <w:tcPr>
            <w:tcW w:w="1691" w:type="dxa"/>
            <w:shd w:val="clear" w:color="auto" w:fill="auto"/>
            <w:noWrap/>
            <w:vAlign w:val="center"/>
            <w:hideMark/>
          </w:tcPr>
          <w:p w14:paraId="373A72D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4</w:t>
            </w:r>
          </w:p>
        </w:tc>
        <w:tc>
          <w:tcPr>
            <w:tcW w:w="1085" w:type="dxa"/>
            <w:shd w:val="clear" w:color="000000" w:fill="E7E6E6"/>
            <w:noWrap/>
            <w:vAlign w:val="center"/>
            <w:hideMark/>
          </w:tcPr>
          <w:p w14:paraId="5855149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53031D2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0.71</w:t>
            </w:r>
          </w:p>
        </w:tc>
        <w:tc>
          <w:tcPr>
            <w:tcW w:w="812" w:type="dxa"/>
            <w:shd w:val="clear" w:color="000000" w:fill="E7E6E6"/>
            <w:noWrap/>
            <w:vAlign w:val="center"/>
            <w:hideMark/>
          </w:tcPr>
          <w:p w14:paraId="39821B2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0.64</w:t>
            </w:r>
          </w:p>
        </w:tc>
        <w:tc>
          <w:tcPr>
            <w:tcW w:w="812" w:type="dxa"/>
            <w:shd w:val="clear" w:color="000000" w:fill="E7E6E6"/>
            <w:noWrap/>
            <w:vAlign w:val="center"/>
            <w:hideMark/>
          </w:tcPr>
          <w:p w14:paraId="4F58E45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0.78</w:t>
            </w:r>
          </w:p>
        </w:tc>
        <w:tc>
          <w:tcPr>
            <w:tcW w:w="841" w:type="dxa"/>
            <w:shd w:val="clear" w:color="000000" w:fill="E7E6E6"/>
            <w:noWrap/>
            <w:vAlign w:val="center"/>
            <w:hideMark/>
          </w:tcPr>
          <w:p w14:paraId="203D8FE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74C6CC76"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099EBD8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0.67</w:t>
            </w:r>
          </w:p>
        </w:tc>
        <w:tc>
          <w:tcPr>
            <w:tcW w:w="812" w:type="dxa"/>
            <w:shd w:val="clear" w:color="000000" w:fill="D0CECE"/>
            <w:noWrap/>
            <w:vAlign w:val="center"/>
            <w:hideMark/>
          </w:tcPr>
          <w:p w14:paraId="29D8FAC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0.61</w:t>
            </w:r>
          </w:p>
        </w:tc>
        <w:tc>
          <w:tcPr>
            <w:tcW w:w="812" w:type="dxa"/>
            <w:shd w:val="clear" w:color="000000" w:fill="D0CECE"/>
            <w:noWrap/>
            <w:vAlign w:val="center"/>
            <w:hideMark/>
          </w:tcPr>
          <w:p w14:paraId="0419298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0.73</w:t>
            </w:r>
          </w:p>
        </w:tc>
        <w:tc>
          <w:tcPr>
            <w:tcW w:w="856" w:type="dxa"/>
            <w:shd w:val="clear" w:color="000000" w:fill="D0CECE"/>
            <w:noWrap/>
            <w:vAlign w:val="center"/>
            <w:hideMark/>
          </w:tcPr>
          <w:p w14:paraId="545B6208"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24BE7F73" w14:textId="77777777" w:rsidTr="00C516AB">
        <w:trPr>
          <w:trHeight w:val="300"/>
        </w:trPr>
        <w:tc>
          <w:tcPr>
            <w:tcW w:w="1691" w:type="dxa"/>
            <w:shd w:val="clear" w:color="auto" w:fill="auto"/>
            <w:noWrap/>
            <w:vAlign w:val="center"/>
            <w:hideMark/>
          </w:tcPr>
          <w:p w14:paraId="57AF8D57" w14:textId="77777777" w:rsidR="008610D3" w:rsidRPr="00CF7F98" w:rsidRDefault="008610D3" w:rsidP="00C516AB">
            <w:pPr>
              <w:jc w:val="center"/>
              <w:rPr>
                <w:rFonts w:ascii="Times New Roman" w:eastAsia="Times New Roman" w:hAnsi="Times New Roman" w:cs="Times New Roman"/>
                <w:b/>
                <w:bCs/>
                <w:color w:val="000000"/>
                <w:sz w:val="20"/>
                <w:szCs w:val="20"/>
                <w:lang w:eastAsia="en-GB"/>
              </w:rPr>
            </w:pPr>
            <w:r w:rsidRPr="00CF7F98">
              <w:rPr>
                <w:rFonts w:ascii="Times New Roman" w:eastAsia="Times New Roman" w:hAnsi="Times New Roman" w:cs="Times New Roman"/>
                <w:b/>
                <w:bCs/>
                <w:color w:val="000000"/>
                <w:sz w:val="20"/>
                <w:szCs w:val="20"/>
                <w:lang w:eastAsia="en-GB"/>
              </w:rPr>
              <w:t>Death</w:t>
            </w:r>
          </w:p>
        </w:tc>
        <w:tc>
          <w:tcPr>
            <w:tcW w:w="1085" w:type="dxa"/>
            <w:shd w:val="clear" w:color="000000" w:fill="E7E6E6"/>
            <w:noWrap/>
            <w:vAlign w:val="center"/>
            <w:hideMark/>
          </w:tcPr>
          <w:p w14:paraId="04CE26D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N=60,287 </w:t>
            </w:r>
          </w:p>
        </w:tc>
        <w:tc>
          <w:tcPr>
            <w:tcW w:w="813" w:type="dxa"/>
            <w:shd w:val="clear" w:color="000000" w:fill="E7E6E6"/>
            <w:noWrap/>
            <w:vAlign w:val="center"/>
            <w:hideMark/>
          </w:tcPr>
          <w:p w14:paraId="73B5A11B"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19F28B30"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08D26604"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0AA05610"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4412568A"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N=60,138</w:t>
            </w:r>
          </w:p>
        </w:tc>
        <w:tc>
          <w:tcPr>
            <w:tcW w:w="813" w:type="dxa"/>
            <w:shd w:val="clear" w:color="000000" w:fill="D0CECE"/>
            <w:noWrap/>
            <w:vAlign w:val="center"/>
            <w:hideMark/>
          </w:tcPr>
          <w:p w14:paraId="0E8EC4DA"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16229512"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47BD9E05"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5063EE6C"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4C660E6F" w14:textId="77777777" w:rsidTr="00C516AB">
        <w:trPr>
          <w:trHeight w:val="300"/>
        </w:trPr>
        <w:tc>
          <w:tcPr>
            <w:tcW w:w="1691" w:type="dxa"/>
            <w:shd w:val="clear" w:color="auto" w:fill="auto"/>
            <w:noWrap/>
            <w:vAlign w:val="center"/>
            <w:hideMark/>
          </w:tcPr>
          <w:p w14:paraId="3B2C2CE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3 (ref)</w:t>
            </w:r>
          </w:p>
        </w:tc>
        <w:tc>
          <w:tcPr>
            <w:tcW w:w="1085" w:type="dxa"/>
            <w:shd w:val="clear" w:color="000000" w:fill="E7E6E6"/>
            <w:noWrap/>
            <w:vAlign w:val="center"/>
            <w:hideMark/>
          </w:tcPr>
          <w:p w14:paraId="28C46B3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12531FF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E7E6E6"/>
            <w:noWrap/>
            <w:vAlign w:val="center"/>
            <w:hideMark/>
          </w:tcPr>
          <w:p w14:paraId="19FEE70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E7E6E6"/>
            <w:noWrap/>
            <w:vAlign w:val="center"/>
            <w:hideMark/>
          </w:tcPr>
          <w:p w14:paraId="62F2DC2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41" w:type="dxa"/>
            <w:shd w:val="clear" w:color="000000" w:fill="E7E6E6"/>
            <w:noWrap/>
            <w:vAlign w:val="center"/>
            <w:hideMark/>
          </w:tcPr>
          <w:p w14:paraId="19F3A1E0"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1085" w:type="dxa"/>
            <w:shd w:val="clear" w:color="000000" w:fill="D0CECE"/>
            <w:noWrap/>
            <w:vAlign w:val="center"/>
            <w:hideMark/>
          </w:tcPr>
          <w:p w14:paraId="3295D79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397C345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w:t>
            </w:r>
          </w:p>
        </w:tc>
        <w:tc>
          <w:tcPr>
            <w:tcW w:w="812" w:type="dxa"/>
            <w:shd w:val="clear" w:color="000000" w:fill="D0CECE"/>
            <w:noWrap/>
            <w:vAlign w:val="center"/>
            <w:hideMark/>
          </w:tcPr>
          <w:p w14:paraId="6CF1A75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2" w:type="dxa"/>
            <w:shd w:val="clear" w:color="000000" w:fill="D0CECE"/>
            <w:noWrap/>
            <w:vAlign w:val="center"/>
            <w:hideMark/>
          </w:tcPr>
          <w:p w14:paraId="0DAD2FAA"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56" w:type="dxa"/>
            <w:shd w:val="clear" w:color="000000" w:fill="D0CECE"/>
            <w:noWrap/>
            <w:vAlign w:val="center"/>
            <w:hideMark/>
          </w:tcPr>
          <w:p w14:paraId="480A40D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r>
      <w:tr w:rsidR="008610D3" w:rsidRPr="00CF7F98" w14:paraId="26D57C4C" w14:textId="77777777" w:rsidTr="00C516AB">
        <w:trPr>
          <w:trHeight w:val="300"/>
        </w:trPr>
        <w:tc>
          <w:tcPr>
            <w:tcW w:w="1691" w:type="dxa"/>
            <w:shd w:val="clear" w:color="auto" w:fill="auto"/>
            <w:noWrap/>
            <w:vAlign w:val="center"/>
            <w:hideMark/>
          </w:tcPr>
          <w:p w14:paraId="0244971D"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1</w:t>
            </w:r>
          </w:p>
        </w:tc>
        <w:tc>
          <w:tcPr>
            <w:tcW w:w="1085" w:type="dxa"/>
            <w:shd w:val="clear" w:color="000000" w:fill="E7E6E6"/>
            <w:noWrap/>
            <w:vAlign w:val="center"/>
            <w:hideMark/>
          </w:tcPr>
          <w:p w14:paraId="1C65DE6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0B119EA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0.85</w:t>
            </w:r>
          </w:p>
        </w:tc>
        <w:tc>
          <w:tcPr>
            <w:tcW w:w="812" w:type="dxa"/>
            <w:shd w:val="clear" w:color="000000" w:fill="E7E6E6"/>
            <w:noWrap/>
            <w:vAlign w:val="center"/>
            <w:hideMark/>
          </w:tcPr>
          <w:p w14:paraId="3DFFAACE"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0.79</w:t>
            </w:r>
          </w:p>
        </w:tc>
        <w:tc>
          <w:tcPr>
            <w:tcW w:w="812" w:type="dxa"/>
            <w:shd w:val="clear" w:color="000000" w:fill="E7E6E6"/>
            <w:noWrap/>
            <w:vAlign w:val="center"/>
            <w:hideMark/>
          </w:tcPr>
          <w:p w14:paraId="144887A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0.92</w:t>
            </w:r>
          </w:p>
        </w:tc>
        <w:tc>
          <w:tcPr>
            <w:tcW w:w="841" w:type="dxa"/>
            <w:shd w:val="clear" w:color="000000" w:fill="E7E6E6"/>
            <w:noWrap/>
            <w:vAlign w:val="center"/>
            <w:hideMark/>
          </w:tcPr>
          <w:p w14:paraId="3D885A2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32F726CB"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4E97FC0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0.82</w:t>
            </w:r>
          </w:p>
        </w:tc>
        <w:tc>
          <w:tcPr>
            <w:tcW w:w="812" w:type="dxa"/>
            <w:shd w:val="clear" w:color="000000" w:fill="D0CECE"/>
            <w:noWrap/>
            <w:vAlign w:val="center"/>
            <w:hideMark/>
          </w:tcPr>
          <w:p w14:paraId="37AD9BC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0.76</w:t>
            </w:r>
          </w:p>
        </w:tc>
        <w:tc>
          <w:tcPr>
            <w:tcW w:w="812" w:type="dxa"/>
            <w:shd w:val="clear" w:color="000000" w:fill="D0CECE"/>
            <w:noWrap/>
            <w:vAlign w:val="center"/>
            <w:hideMark/>
          </w:tcPr>
          <w:p w14:paraId="1A3DC9FB"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0.89</w:t>
            </w:r>
          </w:p>
        </w:tc>
        <w:tc>
          <w:tcPr>
            <w:tcW w:w="856" w:type="dxa"/>
            <w:shd w:val="clear" w:color="000000" w:fill="D0CECE"/>
            <w:noWrap/>
            <w:vAlign w:val="center"/>
            <w:hideMark/>
          </w:tcPr>
          <w:p w14:paraId="4F7A6DD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r>
      <w:tr w:rsidR="008610D3" w:rsidRPr="00CF7F98" w14:paraId="7E86D29D" w14:textId="77777777" w:rsidTr="00C516AB">
        <w:trPr>
          <w:trHeight w:val="300"/>
        </w:trPr>
        <w:tc>
          <w:tcPr>
            <w:tcW w:w="1691" w:type="dxa"/>
            <w:shd w:val="clear" w:color="auto" w:fill="auto"/>
            <w:noWrap/>
            <w:vAlign w:val="center"/>
            <w:hideMark/>
          </w:tcPr>
          <w:p w14:paraId="670E2E3F"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2</w:t>
            </w:r>
          </w:p>
        </w:tc>
        <w:tc>
          <w:tcPr>
            <w:tcW w:w="1085" w:type="dxa"/>
            <w:shd w:val="clear" w:color="000000" w:fill="E7E6E6"/>
            <w:noWrap/>
            <w:vAlign w:val="center"/>
            <w:hideMark/>
          </w:tcPr>
          <w:p w14:paraId="2611216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7A3AF8DA" w14:textId="77777777" w:rsidR="008610D3" w:rsidRPr="00CF7F98" w:rsidRDefault="008610D3" w:rsidP="00C516AB">
            <w:pPr>
              <w:jc w:val="center"/>
              <w:rPr>
                <w:rFonts w:ascii="Times New Roman" w:eastAsia="Times New Roman" w:hAnsi="Times New Roman" w:cs="Times New Roman"/>
                <w:color w:val="000000" w:themeColor="text1"/>
                <w:sz w:val="20"/>
                <w:szCs w:val="20"/>
                <w:lang w:eastAsia="en-GB"/>
              </w:rPr>
            </w:pPr>
            <w:r w:rsidRPr="00CF7F98">
              <w:rPr>
                <w:rFonts w:ascii="Times New Roman" w:eastAsia="Times New Roman" w:hAnsi="Times New Roman" w:cs="Times New Roman"/>
                <w:color w:val="000000" w:themeColor="text1"/>
                <w:sz w:val="20"/>
                <w:szCs w:val="20"/>
                <w:lang w:eastAsia="en-GB"/>
              </w:rPr>
              <w:t>1.01</w:t>
            </w:r>
          </w:p>
        </w:tc>
        <w:tc>
          <w:tcPr>
            <w:tcW w:w="812" w:type="dxa"/>
            <w:shd w:val="clear" w:color="000000" w:fill="E7E6E6"/>
            <w:noWrap/>
            <w:vAlign w:val="center"/>
            <w:hideMark/>
          </w:tcPr>
          <w:p w14:paraId="4369C93E" w14:textId="77777777" w:rsidR="008610D3" w:rsidRPr="00CF7F98" w:rsidRDefault="008610D3" w:rsidP="00C516AB">
            <w:pPr>
              <w:jc w:val="center"/>
              <w:rPr>
                <w:rFonts w:ascii="Times New Roman" w:eastAsia="Times New Roman" w:hAnsi="Times New Roman" w:cs="Times New Roman"/>
                <w:color w:val="000000" w:themeColor="text1"/>
                <w:sz w:val="20"/>
                <w:szCs w:val="20"/>
                <w:lang w:eastAsia="en-GB"/>
              </w:rPr>
            </w:pPr>
            <w:r w:rsidRPr="00CF7F98">
              <w:rPr>
                <w:rFonts w:ascii="Times New Roman" w:eastAsia="Times New Roman" w:hAnsi="Times New Roman" w:cs="Times New Roman"/>
                <w:color w:val="000000" w:themeColor="text1"/>
                <w:sz w:val="20"/>
                <w:szCs w:val="20"/>
                <w:lang w:eastAsia="en-GB"/>
              </w:rPr>
              <w:t>0.93</w:t>
            </w:r>
          </w:p>
        </w:tc>
        <w:tc>
          <w:tcPr>
            <w:tcW w:w="812" w:type="dxa"/>
            <w:shd w:val="clear" w:color="000000" w:fill="E7E6E6"/>
            <w:noWrap/>
            <w:vAlign w:val="center"/>
            <w:hideMark/>
          </w:tcPr>
          <w:p w14:paraId="4C5A27B7" w14:textId="77777777" w:rsidR="008610D3" w:rsidRPr="00CF7F98" w:rsidRDefault="008610D3" w:rsidP="00C516AB">
            <w:pPr>
              <w:jc w:val="center"/>
              <w:rPr>
                <w:rFonts w:ascii="Times New Roman" w:eastAsia="Times New Roman" w:hAnsi="Times New Roman" w:cs="Times New Roman"/>
                <w:color w:val="000000" w:themeColor="text1"/>
                <w:sz w:val="20"/>
                <w:szCs w:val="20"/>
                <w:lang w:eastAsia="en-GB"/>
              </w:rPr>
            </w:pPr>
            <w:r w:rsidRPr="00CF7F98">
              <w:rPr>
                <w:rFonts w:ascii="Times New Roman" w:eastAsia="Times New Roman" w:hAnsi="Times New Roman" w:cs="Times New Roman"/>
                <w:color w:val="000000" w:themeColor="text1"/>
                <w:sz w:val="20"/>
                <w:szCs w:val="20"/>
                <w:lang w:eastAsia="en-GB"/>
              </w:rPr>
              <w:t>1.09</w:t>
            </w:r>
          </w:p>
        </w:tc>
        <w:tc>
          <w:tcPr>
            <w:tcW w:w="841" w:type="dxa"/>
            <w:shd w:val="clear" w:color="000000" w:fill="E7E6E6"/>
            <w:noWrap/>
            <w:vAlign w:val="center"/>
            <w:hideMark/>
          </w:tcPr>
          <w:p w14:paraId="39B2694E" w14:textId="77777777" w:rsidR="008610D3" w:rsidRPr="00CF7F98" w:rsidRDefault="008610D3" w:rsidP="00C516AB">
            <w:pPr>
              <w:jc w:val="center"/>
              <w:rPr>
                <w:rFonts w:ascii="Times New Roman" w:eastAsia="Times New Roman" w:hAnsi="Times New Roman" w:cs="Times New Roman"/>
                <w:color w:val="000000" w:themeColor="text1"/>
                <w:sz w:val="20"/>
                <w:szCs w:val="20"/>
                <w:lang w:eastAsia="en-GB"/>
              </w:rPr>
            </w:pPr>
            <w:r w:rsidRPr="00CF7F98">
              <w:rPr>
                <w:rFonts w:ascii="Times New Roman" w:eastAsia="Times New Roman" w:hAnsi="Times New Roman" w:cs="Times New Roman"/>
                <w:color w:val="000000" w:themeColor="text1"/>
                <w:sz w:val="20"/>
                <w:szCs w:val="20"/>
                <w:lang w:eastAsia="en-GB"/>
              </w:rPr>
              <w:t>0.829 </w:t>
            </w:r>
          </w:p>
        </w:tc>
        <w:tc>
          <w:tcPr>
            <w:tcW w:w="1085" w:type="dxa"/>
            <w:shd w:val="clear" w:color="000000" w:fill="D0CECE"/>
            <w:noWrap/>
            <w:vAlign w:val="center"/>
            <w:hideMark/>
          </w:tcPr>
          <w:p w14:paraId="0C7E964D"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6F58CDF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0.92</w:t>
            </w:r>
          </w:p>
        </w:tc>
        <w:tc>
          <w:tcPr>
            <w:tcW w:w="812" w:type="dxa"/>
            <w:shd w:val="clear" w:color="000000" w:fill="D0CECE"/>
            <w:noWrap/>
            <w:vAlign w:val="center"/>
            <w:hideMark/>
          </w:tcPr>
          <w:p w14:paraId="3CE1FC82"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0.85</w:t>
            </w:r>
          </w:p>
        </w:tc>
        <w:tc>
          <w:tcPr>
            <w:tcW w:w="812" w:type="dxa"/>
            <w:shd w:val="clear" w:color="000000" w:fill="D0CECE"/>
            <w:noWrap/>
            <w:vAlign w:val="center"/>
            <w:hideMark/>
          </w:tcPr>
          <w:p w14:paraId="44A0CC3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1.01</w:t>
            </w:r>
          </w:p>
        </w:tc>
        <w:tc>
          <w:tcPr>
            <w:tcW w:w="856" w:type="dxa"/>
            <w:shd w:val="clear" w:color="000000" w:fill="D0CECE"/>
            <w:noWrap/>
            <w:vAlign w:val="center"/>
            <w:hideMark/>
          </w:tcPr>
          <w:p w14:paraId="67C7FEC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0.086</w:t>
            </w:r>
          </w:p>
        </w:tc>
      </w:tr>
      <w:tr w:rsidR="008610D3" w:rsidRPr="00CF7F98" w14:paraId="560BFDB3" w14:textId="77777777" w:rsidTr="00C516AB">
        <w:trPr>
          <w:trHeight w:val="300"/>
        </w:trPr>
        <w:tc>
          <w:tcPr>
            <w:tcW w:w="1691" w:type="dxa"/>
            <w:shd w:val="clear" w:color="auto" w:fill="auto"/>
            <w:noWrap/>
            <w:vAlign w:val="center"/>
            <w:hideMark/>
          </w:tcPr>
          <w:p w14:paraId="154AD091"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Group 4</w:t>
            </w:r>
          </w:p>
        </w:tc>
        <w:tc>
          <w:tcPr>
            <w:tcW w:w="1085" w:type="dxa"/>
            <w:shd w:val="clear" w:color="000000" w:fill="E7E6E6"/>
            <w:noWrap/>
            <w:vAlign w:val="center"/>
            <w:hideMark/>
          </w:tcPr>
          <w:p w14:paraId="7230042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E7E6E6"/>
            <w:noWrap/>
            <w:vAlign w:val="center"/>
            <w:hideMark/>
          </w:tcPr>
          <w:p w14:paraId="371BE57F"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1.29</w:t>
            </w:r>
          </w:p>
        </w:tc>
        <w:tc>
          <w:tcPr>
            <w:tcW w:w="812" w:type="dxa"/>
            <w:shd w:val="clear" w:color="000000" w:fill="E7E6E6"/>
            <w:noWrap/>
            <w:vAlign w:val="center"/>
            <w:hideMark/>
          </w:tcPr>
          <w:p w14:paraId="443FFBE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1.21</w:t>
            </w:r>
          </w:p>
        </w:tc>
        <w:tc>
          <w:tcPr>
            <w:tcW w:w="812" w:type="dxa"/>
            <w:shd w:val="clear" w:color="000000" w:fill="E7E6E6"/>
            <w:noWrap/>
            <w:vAlign w:val="center"/>
            <w:hideMark/>
          </w:tcPr>
          <w:p w14:paraId="65AF7A53"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1.37</w:t>
            </w:r>
          </w:p>
        </w:tc>
        <w:tc>
          <w:tcPr>
            <w:tcW w:w="841" w:type="dxa"/>
            <w:shd w:val="clear" w:color="000000" w:fill="E7E6E6"/>
            <w:noWrap/>
            <w:vAlign w:val="center"/>
            <w:hideMark/>
          </w:tcPr>
          <w:p w14:paraId="17F49ED7"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&lt;0.001</w:t>
            </w:r>
          </w:p>
        </w:tc>
        <w:tc>
          <w:tcPr>
            <w:tcW w:w="1085" w:type="dxa"/>
            <w:shd w:val="clear" w:color="000000" w:fill="D0CECE"/>
            <w:noWrap/>
            <w:vAlign w:val="center"/>
            <w:hideMark/>
          </w:tcPr>
          <w:p w14:paraId="1E7E6C09" w14:textId="77777777" w:rsidR="008610D3" w:rsidRPr="00CF7F98" w:rsidRDefault="008610D3" w:rsidP="00C516AB">
            <w:pP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 </w:t>
            </w:r>
          </w:p>
        </w:tc>
        <w:tc>
          <w:tcPr>
            <w:tcW w:w="813" w:type="dxa"/>
            <w:shd w:val="clear" w:color="000000" w:fill="D0CECE"/>
            <w:noWrap/>
            <w:vAlign w:val="center"/>
            <w:hideMark/>
          </w:tcPr>
          <w:p w14:paraId="73034525"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1.11</w:t>
            </w:r>
          </w:p>
        </w:tc>
        <w:tc>
          <w:tcPr>
            <w:tcW w:w="812" w:type="dxa"/>
            <w:shd w:val="clear" w:color="000000" w:fill="D0CECE"/>
            <w:noWrap/>
            <w:vAlign w:val="center"/>
            <w:hideMark/>
          </w:tcPr>
          <w:p w14:paraId="5F809F44"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1.03</w:t>
            </w:r>
          </w:p>
        </w:tc>
        <w:tc>
          <w:tcPr>
            <w:tcW w:w="812" w:type="dxa"/>
            <w:shd w:val="clear" w:color="000000" w:fill="D0CECE"/>
            <w:noWrap/>
            <w:vAlign w:val="center"/>
            <w:hideMark/>
          </w:tcPr>
          <w:p w14:paraId="646AD33C"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1.19</w:t>
            </w:r>
          </w:p>
        </w:tc>
        <w:tc>
          <w:tcPr>
            <w:tcW w:w="856" w:type="dxa"/>
            <w:shd w:val="clear" w:color="000000" w:fill="D0CECE"/>
            <w:noWrap/>
            <w:vAlign w:val="center"/>
            <w:hideMark/>
          </w:tcPr>
          <w:p w14:paraId="71369556" w14:textId="77777777" w:rsidR="008610D3" w:rsidRPr="00CF7F98" w:rsidRDefault="008610D3" w:rsidP="00C516AB">
            <w:pPr>
              <w:jc w:val="center"/>
              <w:rPr>
                <w:rFonts w:ascii="Times New Roman" w:eastAsia="Times New Roman" w:hAnsi="Times New Roman" w:cs="Times New Roman"/>
                <w:color w:val="000000"/>
                <w:sz w:val="20"/>
                <w:szCs w:val="20"/>
                <w:lang w:eastAsia="en-GB"/>
              </w:rPr>
            </w:pPr>
            <w:r w:rsidRPr="00CF7F98">
              <w:rPr>
                <w:rFonts w:ascii="Times New Roman" w:eastAsia="Times New Roman" w:hAnsi="Times New Roman" w:cs="Times New Roman"/>
                <w:color w:val="000000"/>
                <w:sz w:val="20"/>
                <w:szCs w:val="20"/>
                <w:lang w:eastAsia="en-GB"/>
              </w:rPr>
              <w:t>0.004</w:t>
            </w:r>
          </w:p>
        </w:tc>
      </w:tr>
    </w:tbl>
    <w:p w14:paraId="3F3CE54C" w14:textId="77777777" w:rsidR="00F00A17" w:rsidRPr="0046155E" w:rsidRDefault="00F00A17" w:rsidP="00F00A17">
      <w:pPr>
        <w:rPr>
          <w:rFonts w:ascii="Times New Roman" w:eastAsia="Times New Roman" w:hAnsi="Times New Roman" w:cs="Times New Roman"/>
          <w:sz w:val="20"/>
          <w:szCs w:val="20"/>
        </w:rPr>
      </w:pPr>
      <w:r w:rsidRPr="0046155E">
        <w:rPr>
          <w:rFonts w:ascii="Times New Roman" w:hAnsi="Times New Roman" w:cs="Times New Roman"/>
          <w:sz w:val="20"/>
          <w:szCs w:val="20"/>
        </w:rPr>
        <w:t xml:space="preserve">Group 1 </w:t>
      </w:r>
      <w:r w:rsidRPr="0046155E">
        <w:rPr>
          <w:rFonts w:ascii="Times New Roman" w:hAnsi="Times New Roman" w:cs="Times New Roman"/>
          <w:i/>
          <w:iCs/>
          <w:sz w:val="20"/>
          <w:szCs w:val="20"/>
        </w:rPr>
        <w:t>achieving HbA</w:t>
      </w:r>
      <w:r w:rsidRPr="0046155E">
        <w:rPr>
          <w:rFonts w:ascii="Times New Roman" w:hAnsi="Times New Roman" w:cs="Times New Roman"/>
          <w:i/>
          <w:iCs/>
          <w:sz w:val="20"/>
          <w:szCs w:val="20"/>
          <w:vertAlign w:val="subscript"/>
        </w:rPr>
        <w:t>1c</w:t>
      </w:r>
      <w:r w:rsidRPr="0046155E">
        <w:rPr>
          <w:rFonts w:ascii="Times New Roman" w:hAnsi="Times New Roman" w:cs="Times New Roman"/>
          <w:i/>
          <w:iCs/>
          <w:sz w:val="20"/>
          <w:szCs w:val="20"/>
        </w:rPr>
        <w:t xml:space="preserve"> &lt;48 mmol/mol (6.5%) followed by</w:t>
      </w:r>
      <w:r w:rsidRPr="0046155E">
        <w:rPr>
          <w:rFonts w:ascii="Times New Roman" w:hAnsi="Times New Roman" w:cs="Times New Roman"/>
          <w:sz w:val="20"/>
          <w:szCs w:val="20"/>
        </w:rPr>
        <w:t xml:space="preserve"> </w:t>
      </w:r>
      <w:r w:rsidRPr="0046155E">
        <w:rPr>
          <w:rFonts w:ascii="Times New Roman" w:hAnsi="Times New Roman" w:cs="Times New Roman"/>
          <w:i/>
          <w:iCs/>
          <w:sz w:val="20"/>
          <w:szCs w:val="20"/>
        </w:rPr>
        <w:t>increasing HbA</w:t>
      </w:r>
      <w:r w:rsidRPr="0046155E">
        <w:rPr>
          <w:rFonts w:ascii="Times New Roman" w:hAnsi="Times New Roman" w:cs="Times New Roman"/>
          <w:i/>
          <w:iCs/>
          <w:sz w:val="20"/>
          <w:szCs w:val="20"/>
          <w:vertAlign w:val="subscript"/>
        </w:rPr>
        <w:t>1c</w:t>
      </w:r>
      <w:r w:rsidRPr="0046155E">
        <w:rPr>
          <w:rFonts w:ascii="Times New Roman" w:hAnsi="Times New Roman" w:cs="Times New Roman"/>
          <w:i/>
          <w:iCs/>
          <w:sz w:val="20"/>
          <w:szCs w:val="20"/>
        </w:rPr>
        <w:t xml:space="preserve"> levels</w:t>
      </w:r>
      <w:r w:rsidRPr="0046155E">
        <w:rPr>
          <w:rFonts w:ascii="Times New Roman" w:hAnsi="Times New Roman" w:cs="Times New Roman"/>
          <w:sz w:val="20"/>
          <w:szCs w:val="20"/>
        </w:rPr>
        <w:t xml:space="preserve">); Group 2 </w:t>
      </w:r>
      <w:r w:rsidRPr="0046155E">
        <w:rPr>
          <w:rFonts w:ascii="Times New Roman" w:hAnsi="Times New Roman" w:cs="Times New Roman"/>
          <w:i/>
          <w:iCs/>
          <w:sz w:val="20"/>
          <w:szCs w:val="20"/>
        </w:rPr>
        <w:t>decreasing HbA</w:t>
      </w:r>
      <w:r w:rsidRPr="0046155E">
        <w:rPr>
          <w:rFonts w:ascii="Times New Roman" w:hAnsi="Times New Roman" w:cs="Times New Roman"/>
          <w:i/>
          <w:iCs/>
          <w:sz w:val="20"/>
          <w:szCs w:val="20"/>
          <w:vertAlign w:val="subscript"/>
        </w:rPr>
        <w:t>1c</w:t>
      </w:r>
      <w:r w:rsidRPr="0046155E">
        <w:rPr>
          <w:rFonts w:ascii="Times New Roman" w:hAnsi="Times New Roman" w:cs="Times New Roman"/>
          <w:i/>
          <w:iCs/>
          <w:sz w:val="20"/>
          <w:szCs w:val="20"/>
        </w:rPr>
        <w:t xml:space="preserve"> levels</w:t>
      </w:r>
      <w:r w:rsidRPr="0046155E">
        <w:rPr>
          <w:rFonts w:ascii="Times New Roman" w:hAnsi="Times New Roman" w:cs="Times New Roman"/>
          <w:sz w:val="20"/>
          <w:szCs w:val="20"/>
        </w:rPr>
        <w:t xml:space="preserve">); Group 3 </w:t>
      </w:r>
      <w:r w:rsidRPr="0046155E">
        <w:rPr>
          <w:rFonts w:ascii="Times New Roman" w:hAnsi="Times New Roman" w:cs="Times New Roman"/>
          <w:i/>
          <w:iCs/>
          <w:sz w:val="20"/>
          <w:szCs w:val="20"/>
        </w:rPr>
        <w:t>stable high HbA</w:t>
      </w:r>
      <w:r w:rsidRPr="0046155E">
        <w:rPr>
          <w:rFonts w:ascii="Times New Roman" w:hAnsi="Times New Roman" w:cs="Times New Roman"/>
          <w:i/>
          <w:iCs/>
          <w:sz w:val="20"/>
          <w:szCs w:val="20"/>
          <w:vertAlign w:val="subscript"/>
        </w:rPr>
        <w:t>1c</w:t>
      </w:r>
      <w:r w:rsidRPr="0046155E">
        <w:rPr>
          <w:rFonts w:ascii="Times New Roman" w:hAnsi="Times New Roman" w:cs="Times New Roman"/>
          <w:i/>
          <w:iCs/>
          <w:sz w:val="20"/>
          <w:szCs w:val="20"/>
        </w:rPr>
        <w:t xml:space="preserve"> levels)</w:t>
      </w:r>
      <w:r w:rsidRPr="0046155E">
        <w:rPr>
          <w:rFonts w:ascii="Times New Roman" w:hAnsi="Times New Roman" w:cs="Times New Roman"/>
          <w:sz w:val="20"/>
          <w:szCs w:val="20"/>
        </w:rPr>
        <w:t xml:space="preserve">; Group 4 </w:t>
      </w:r>
      <w:r w:rsidRPr="0046155E">
        <w:rPr>
          <w:rFonts w:ascii="Times New Roman" w:hAnsi="Times New Roman" w:cs="Times New Roman"/>
          <w:i/>
          <w:iCs/>
          <w:sz w:val="20"/>
          <w:szCs w:val="20"/>
        </w:rPr>
        <w:t>stable low HbA</w:t>
      </w:r>
      <w:r w:rsidRPr="0046155E">
        <w:rPr>
          <w:rFonts w:ascii="Times New Roman" w:hAnsi="Times New Roman" w:cs="Times New Roman"/>
          <w:i/>
          <w:iCs/>
          <w:sz w:val="20"/>
          <w:szCs w:val="20"/>
          <w:vertAlign w:val="subscript"/>
        </w:rPr>
        <w:t>1c</w:t>
      </w:r>
      <w:r w:rsidRPr="0046155E">
        <w:rPr>
          <w:rFonts w:ascii="Times New Roman" w:hAnsi="Times New Roman" w:cs="Times New Roman"/>
          <w:i/>
          <w:iCs/>
          <w:sz w:val="20"/>
          <w:szCs w:val="20"/>
        </w:rPr>
        <w:t xml:space="preserve"> levels (&lt;48mmol/mol or &lt;6.5%)</w:t>
      </w:r>
      <w:r w:rsidRPr="0046155E">
        <w:rPr>
          <w:rFonts w:ascii="Times New Roman" w:hAnsi="Times New Roman" w:cs="Times New Roman"/>
          <w:sz w:val="20"/>
          <w:szCs w:val="20"/>
        </w:rPr>
        <w:t>.</w:t>
      </w:r>
      <w:r w:rsidRPr="0046155E">
        <w:rPr>
          <w:rFonts w:ascii="Times New Roman" w:eastAsia="Times New Roman" w:hAnsi="Times New Roman" w:cs="Times New Roman"/>
          <w:sz w:val="20"/>
          <w:szCs w:val="20"/>
        </w:rPr>
        <w:t xml:space="preserve"> The adjusted model shown above included sociodemographic variables (age, sex, ethnicity, IMD), baseline weight, diabetes duration, number of co-morbidities and clustering within practices.</w:t>
      </w:r>
    </w:p>
    <w:p w14:paraId="1E357857" w14:textId="77777777" w:rsidR="00F00A17" w:rsidRPr="0046155E" w:rsidRDefault="00F00A17" w:rsidP="00F00A17">
      <w:pPr>
        <w:rPr>
          <w:rFonts w:ascii="Times New Roman" w:eastAsia="Times New Roman" w:hAnsi="Times New Roman" w:cs="Times New Roman"/>
          <w:sz w:val="20"/>
          <w:szCs w:val="20"/>
        </w:rPr>
      </w:pPr>
      <w:r w:rsidRPr="0046155E">
        <w:rPr>
          <w:rFonts w:ascii="Times New Roman" w:eastAsia="Times New Roman" w:hAnsi="Times New Roman" w:cs="Times New Roman"/>
          <w:sz w:val="20"/>
          <w:szCs w:val="20"/>
        </w:rPr>
        <w:t>People with event of interest prior to the start of study were excluded from the analysis.</w:t>
      </w:r>
    </w:p>
    <w:p w14:paraId="04567262" w14:textId="77777777" w:rsidR="00F00A17" w:rsidRPr="0046155E" w:rsidRDefault="00F00A17" w:rsidP="00F00A17">
      <w:pPr>
        <w:rPr>
          <w:rFonts w:ascii="Times New Roman" w:hAnsi="Times New Roman" w:cs="Times New Roman"/>
          <w:sz w:val="20"/>
          <w:szCs w:val="20"/>
        </w:rPr>
      </w:pPr>
      <w:r w:rsidRPr="0046155E">
        <w:rPr>
          <w:rFonts w:ascii="Times New Roman" w:hAnsi="Times New Roman" w:cs="Times New Roman"/>
          <w:sz w:val="20"/>
          <w:szCs w:val="20"/>
        </w:rPr>
        <w:t>CVD events included a</w:t>
      </w:r>
      <w:r w:rsidRPr="0046155E">
        <w:rPr>
          <w:rFonts w:ascii="Times New Roman" w:eastAsia="Times New Roman" w:hAnsi="Times New Roman" w:cs="Times New Roman"/>
          <w:sz w:val="20"/>
          <w:szCs w:val="20"/>
        </w:rPr>
        <w:t xml:space="preserve"> composite of myocardial infarction, amputation and stroke. </w:t>
      </w:r>
      <w:r w:rsidRPr="0046155E">
        <w:rPr>
          <w:rFonts w:ascii="Times New Roman" w:hAnsi="Times New Roman" w:cs="Times New Roman"/>
          <w:sz w:val="20"/>
          <w:szCs w:val="20"/>
        </w:rPr>
        <w:t>Microvascular complications included a composite of peripheral neuropathy, retinopathy, and nephropathy. Macrovascular complications include a composite of stroke, MI, coronary heart disease peripheral arterial disease (PAD) and amputation. All-cause mortality was death from any cause.</w:t>
      </w:r>
    </w:p>
    <w:p w14:paraId="27218150" w14:textId="77777777" w:rsidR="00F00A17" w:rsidRPr="0046155E" w:rsidRDefault="00F00A17" w:rsidP="00E21AD0">
      <w:pPr>
        <w:spacing w:after="0" w:line="480" w:lineRule="auto"/>
        <w:jc w:val="both"/>
        <w:rPr>
          <w:rFonts w:ascii="Times New Roman" w:eastAsia="Times New Roman" w:hAnsi="Times New Roman" w:cs="Times New Roman"/>
          <w:color w:val="000000"/>
          <w:sz w:val="24"/>
          <w:szCs w:val="24"/>
          <w:lang w:eastAsia="en-GB"/>
        </w:rPr>
      </w:pPr>
    </w:p>
    <w:p w14:paraId="11EBE502" w14:textId="60545824" w:rsidR="00ED06A5" w:rsidRPr="0046155E" w:rsidRDefault="00664CD3" w:rsidP="00E21AD0">
      <w:pPr>
        <w:spacing w:after="0" w:line="480" w:lineRule="auto"/>
        <w:jc w:val="both"/>
        <w:rPr>
          <w:rFonts w:ascii="Times New Roman" w:eastAsia="Times New Roman" w:hAnsi="Times New Roman" w:cs="Times New Roman"/>
          <w:sz w:val="24"/>
          <w:szCs w:val="24"/>
          <w:lang w:eastAsia="en-GB"/>
        </w:rPr>
      </w:pPr>
      <w:r w:rsidRPr="0046155E">
        <w:rPr>
          <w:rFonts w:ascii="Times New Roman" w:eastAsia="Times New Roman" w:hAnsi="Times New Roman" w:cs="Times New Roman"/>
          <w:color w:val="000000"/>
          <w:sz w:val="24"/>
          <w:szCs w:val="24"/>
          <w:lang w:eastAsia="en-GB"/>
        </w:rPr>
        <w:t>For</w:t>
      </w:r>
      <w:r w:rsidR="00EB7727" w:rsidRPr="0046155E">
        <w:rPr>
          <w:rFonts w:ascii="Times New Roman" w:eastAsia="Times New Roman" w:hAnsi="Times New Roman" w:cs="Times New Roman"/>
          <w:color w:val="000000"/>
          <w:sz w:val="24"/>
          <w:szCs w:val="24"/>
          <w:lang w:eastAsia="en-GB"/>
        </w:rPr>
        <w:t xml:space="preserve"> risk of</w:t>
      </w:r>
      <w:r w:rsidRPr="0046155E">
        <w:rPr>
          <w:rFonts w:ascii="Times New Roman" w:eastAsia="Times New Roman" w:hAnsi="Times New Roman" w:cs="Times New Roman"/>
          <w:color w:val="000000"/>
          <w:sz w:val="24"/>
          <w:szCs w:val="24"/>
          <w:lang w:eastAsia="en-GB"/>
        </w:rPr>
        <w:t xml:space="preserve"> all-cause mortality</w:t>
      </w:r>
      <w:r w:rsidR="00D6129E" w:rsidRPr="0046155E">
        <w:rPr>
          <w:rFonts w:ascii="Times New Roman" w:eastAsia="Times New Roman" w:hAnsi="Times New Roman" w:cs="Times New Roman"/>
          <w:color w:val="000000"/>
          <w:sz w:val="24"/>
          <w:szCs w:val="24"/>
          <w:lang w:eastAsia="en-GB"/>
        </w:rPr>
        <w:t xml:space="preserve">, </w:t>
      </w:r>
      <w:r w:rsidR="00EB7727" w:rsidRPr="0046155E">
        <w:rPr>
          <w:rFonts w:ascii="Times New Roman" w:eastAsia="Times New Roman" w:hAnsi="Times New Roman" w:cs="Times New Roman"/>
          <w:color w:val="000000"/>
          <w:sz w:val="24"/>
          <w:szCs w:val="24"/>
          <w:lang w:eastAsia="en-GB"/>
        </w:rPr>
        <w:t xml:space="preserve">the rate at which </w:t>
      </w:r>
      <w:r w:rsidR="00EE5CAB" w:rsidRPr="0046155E">
        <w:rPr>
          <w:rFonts w:ascii="Times New Roman" w:eastAsia="Times New Roman" w:hAnsi="Times New Roman" w:cs="Times New Roman"/>
          <w:color w:val="000000"/>
          <w:sz w:val="24"/>
          <w:szCs w:val="24"/>
          <w:lang w:eastAsia="en-GB"/>
        </w:rPr>
        <w:t>HbA</w:t>
      </w:r>
      <w:r w:rsidR="00EE5CAB" w:rsidRPr="0046155E">
        <w:rPr>
          <w:rFonts w:ascii="Times New Roman" w:eastAsia="Times New Roman" w:hAnsi="Times New Roman" w:cs="Times New Roman"/>
          <w:color w:val="000000"/>
          <w:sz w:val="24"/>
          <w:szCs w:val="24"/>
          <w:vertAlign w:val="subscript"/>
          <w:lang w:eastAsia="en-GB"/>
        </w:rPr>
        <w:t>1c</w:t>
      </w:r>
      <w:r w:rsidR="00EE5CAB" w:rsidRPr="0046155E">
        <w:rPr>
          <w:rFonts w:ascii="Times New Roman" w:eastAsia="Times New Roman" w:hAnsi="Times New Roman" w:cs="Times New Roman"/>
          <w:color w:val="000000"/>
          <w:sz w:val="24"/>
          <w:szCs w:val="24"/>
          <w:lang w:eastAsia="en-GB"/>
        </w:rPr>
        <w:t xml:space="preserve"> levels below 48mmol/mol or 6.5% </w:t>
      </w:r>
      <w:r w:rsidR="00EB7727" w:rsidRPr="0046155E">
        <w:rPr>
          <w:rFonts w:ascii="Times New Roman" w:eastAsia="Times New Roman" w:hAnsi="Times New Roman" w:cs="Times New Roman"/>
          <w:color w:val="000000"/>
          <w:sz w:val="24"/>
          <w:szCs w:val="24"/>
          <w:lang w:eastAsia="en-GB"/>
        </w:rPr>
        <w:t xml:space="preserve">was achieved was important. </w:t>
      </w:r>
      <w:r w:rsidR="00A22108" w:rsidRPr="0046155E">
        <w:rPr>
          <w:rFonts w:ascii="Times New Roman" w:eastAsia="Times New Roman" w:hAnsi="Times New Roman" w:cs="Times New Roman"/>
          <w:color w:val="000000"/>
          <w:sz w:val="24"/>
          <w:szCs w:val="24"/>
          <w:lang w:eastAsia="en-GB"/>
        </w:rPr>
        <w:t>Group 2</w:t>
      </w:r>
      <w:r w:rsidR="003328F5" w:rsidRPr="0046155E">
        <w:rPr>
          <w:rFonts w:ascii="Times New Roman" w:eastAsia="Times New Roman" w:hAnsi="Times New Roman" w:cs="Times New Roman"/>
          <w:color w:val="000000"/>
          <w:sz w:val="24"/>
          <w:szCs w:val="24"/>
          <w:lang w:eastAsia="en-GB"/>
        </w:rPr>
        <w:t xml:space="preserve"> (decreasing HbA</w:t>
      </w:r>
      <w:r w:rsidR="003328F5" w:rsidRPr="0046155E">
        <w:rPr>
          <w:rFonts w:ascii="Times New Roman" w:eastAsia="Times New Roman" w:hAnsi="Times New Roman" w:cs="Times New Roman"/>
          <w:color w:val="000000"/>
          <w:sz w:val="24"/>
          <w:szCs w:val="24"/>
          <w:vertAlign w:val="subscript"/>
          <w:lang w:eastAsia="en-GB"/>
        </w:rPr>
        <w:t>1c</w:t>
      </w:r>
      <w:r w:rsidR="003328F5" w:rsidRPr="0046155E">
        <w:rPr>
          <w:rFonts w:ascii="Times New Roman" w:eastAsia="Times New Roman" w:hAnsi="Times New Roman" w:cs="Times New Roman"/>
          <w:color w:val="000000"/>
          <w:sz w:val="24"/>
          <w:szCs w:val="24"/>
          <w:lang w:eastAsia="en-GB"/>
        </w:rPr>
        <w:t xml:space="preserve"> levels</w:t>
      </w:r>
      <w:r w:rsidR="00C5368B" w:rsidRPr="0046155E">
        <w:rPr>
          <w:rFonts w:ascii="Times New Roman" w:eastAsia="Times New Roman" w:hAnsi="Times New Roman" w:cs="Times New Roman"/>
          <w:color w:val="000000"/>
          <w:sz w:val="24"/>
          <w:szCs w:val="24"/>
          <w:lang w:eastAsia="en-GB"/>
        </w:rPr>
        <w:t>, though not achieving remission</w:t>
      </w:r>
      <w:r w:rsidR="003328F5" w:rsidRPr="0046155E">
        <w:rPr>
          <w:rFonts w:ascii="Times New Roman" w:eastAsia="Times New Roman" w:hAnsi="Times New Roman" w:cs="Times New Roman"/>
          <w:color w:val="000000"/>
          <w:sz w:val="24"/>
          <w:szCs w:val="24"/>
          <w:lang w:eastAsia="en-GB"/>
        </w:rPr>
        <w:t xml:space="preserve">) </w:t>
      </w:r>
      <w:r w:rsidR="00A22108" w:rsidRPr="0046155E">
        <w:rPr>
          <w:rFonts w:ascii="Times New Roman" w:eastAsia="Times New Roman" w:hAnsi="Times New Roman" w:cs="Times New Roman"/>
          <w:color w:val="000000"/>
          <w:sz w:val="24"/>
          <w:szCs w:val="24"/>
          <w:lang w:eastAsia="en-GB"/>
        </w:rPr>
        <w:t xml:space="preserve">had similar risk of all-cause mortality to </w:t>
      </w:r>
      <w:r w:rsidR="002D46E3" w:rsidRPr="0046155E">
        <w:rPr>
          <w:rFonts w:ascii="Times New Roman" w:eastAsia="Times New Roman" w:hAnsi="Times New Roman" w:cs="Times New Roman"/>
          <w:color w:val="000000"/>
          <w:sz w:val="24"/>
          <w:szCs w:val="24"/>
          <w:lang w:eastAsia="en-GB"/>
        </w:rPr>
        <w:t>G</w:t>
      </w:r>
      <w:r w:rsidR="00A22108" w:rsidRPr="0046155E">
        <w:rPr>
          <w:rFonts w:ascii="Times New Roman" w:eastAsia="Times New Roman" w:hAnsi="Times New Roman" w:cs="Times New Roman"/>
          <w:color w:val="000000"/>
          <w:sz w:val="24"/>
          <w:szCs w:val="24"/>
          <w:lang w:eastAsia="en-GB"/>
        </w:rPr>
        <w:t>roup 3 (stable high HbA</w:t>
      </w:r>
      <w:r w:rsidR="00A22108" w:rsidRPr="0046155E">
        <w:rPr>
          <w:rFonts w:ascii="Times New Roman" w:eastAsia="Times New Roman" w:hAnsi="Times New Roman" w:cs="Times New Roman"/>
          <w:color w:val="000000"/>
          <w:sz w:val="24"/>
          <w:szCs w:val="24"/>
          <w:vertAlign w:val="subscript"/>
          <w:lang w:eastAsia="en-GB"/>
        </w:rPr>
        <w:t>1c</w:t>
      </w:r>
      <w:r w:rsidR="00A22108" w:rsidRPr="0046155E">
        <w:rPr>
          <w:rFonts w:ascii="Times New Roman" w:eastAsia="Times New Roman" w:hAnsi="Times New Roman" w:cs="Times New Roman"/>
          <w:color w:val="000000"/>
          <w:sz w:val="24"/>
          <w:szCs w:val="24"/>
          <w:lang w:eastAsia="en-GB"/>
        </w:rPr>
        <w:t xml:space="preserve"> levels). </w:t>
      </w:r>
      <w:r w:rsidR="00EE5CAB" w:rsidRPr="0046155E">
        <w:rPr>
          <w:rFonts w:ascii="Times New Roman" w:eastAsia="Times New Roman" w:hAnsi="Times New Roman" w:cs="Times New Roman"/>
          <w:color w:val="000000"/>
          <w:sz w:val="24"/>
          <w:szCs w:val="24"/>
          <w:lang w:eastAsia="en-GB"/>
        </w:rPr>
        <w:t>Group 1 (</w:t>
      </w:r>
      <w:r w:rsidR="002F2B66" w:rsidRPr="0046155E">
        <w:rPr>
          <w:rFonts w:ascii="Times New Roman" w:eastAsia="Times New Roman" w:hAnsi="Times New Roman" w:cs="Times New Roman"/>
          <w:color w:val="000000"/>
          <w:sz w:val="24"/>
          <w:szCs w:val="24"/>
          <w:lang w:eastAsia="en-GB"/>
        </w:rPr>
        <w:t>achieving HbA</w:t>
      </w:r>
      <w:r w:rsidR="002F2B66" w:rsidRPr="0046155E">
        <w:rPr>
          <w:rFonts w:ascii="Times New Roman" w:eastAsia="Times New Roman" w:hAnsi="Times New Roman" w:cs="Times New Roman"/>
          <w:color w:val="000000"/>
          <w:sz w:val="24"/>
          <w:szCs w:val="24"/>
          <w:vertAlign w:val="subscript"/>
          <w:lang w:eastAsia="en-GB"/>
        </w:rPr>
        <w:t>1c</w:t>
      </w:r>
      <w:r w:rsidR="002F2B66" w:rsidRPr="0046155E">
        <w:rPr>
          <w:rFonts w:ascii="Times New Roman" w:eastAsia="Times New Roman" w:hAnsi="Times New Roman" w:cs="Times New Roman"/>
          <w:color w:val="000000"/>
          <w:sz w:val="24"/>
          <w:szCs w:val="24"/>
          <w:lang w:eastAsia="en-GB"/>
        </w:rPr>
        <w:t xml:space="preserve"> levels &lt;48 mmol/mol or &lt;6.5% followed by </w:t>
      </w:r>
      <w:r w:rsidR="00EE5CAB" w:rsidRPr="0046155E">
        <w:rPr>
          <w:rFonts w:ascii="Times New Roman" w:eastAsia="Times New Roman" w:hAnsi="Times New Roman" w:cs="Times New Roman"/>
          <w:color w:val="000000"/>
          <w:sz w:val="24"/>
          <w:szCs w:val="24"/>
          <w:lang w:eastAsia="en-GB"/>
        </w:rPr>
        <w:t>increasing HbA</w:t>
      </w:r>
      <w:r w:rsidR="00EE5CAB" w:rsidRPr="0046155E">
        <w:rPr>
          <w:rFonts w:ascii="Times New Roman" w:eastAsia="Times New Roman" w:hAnsi="Times New Roman" w:cs="Times New Roman"/>
          <w:color w:val="000000"/>
          <w:sz w:val="24"/>
          <w:szCs w:val="24"/>
          <w:vertAlign w:val="subscript"/>
          <w:lang w:eastAsia="en-GB"/>
        </w:rPr>
        <w:t>1c</w:t>
      </w:r>
      <w:r w:rsidR="00EE5CAB" w:rsidRPr="0046155E">
        <w:rPr>
          <w:rFonts w:ascii="Times New Roman" w:eastAsia="Times New Roman" w:hAnsi="Times New Roman" w:cs="Times New Roman"/>
          <w:color w:val="000000"/>
          <w:sz w:val="24"/>
          <w:szCs w:val="24"/>
          <w:lang w:eastAsia="en-GB"/>
        </w:rPr>
        <w:t xml:space="preserve"> levels) had lower risk of all-cause mortality than </w:t>
      </w:r>
      <w:r w:rsidR="002D46E3" w:rsidRPr="0046155E">
        <w:rPr>
          <w:rFonts w:ascii="Times New Roman" w:eastAsia="Times New Roman" w:hAnsi="Times New Roman" w:cs="Times New Roman"/>
          <w:color w:val="000000"/>
          <w:sz w:val="24"/>
          <w:szCs w:val="24"/>
          <w:lang w:eastAsia="en-GB"/>
        </w:rPr>
        <w:t>G</w:t>
      </w:r>
      <w:r w:rsidR="00EE5CAB" w:rsidRPr="0046155E">
        <w:rPr>
          <w:rFonts w:ascii="Times New Roman" w:eastAsia="Times New Roman" w:hAnsi="Times New Roman" w:cs="Times New Roman"/>
          <w:color w:val="000000"/>
          <w:sz w:val="24"/>
          <w:szCs w:val="24"/>
          <w:lang w:eastAsia="en-GB"/>
        </w:rPr>
        <w:t xml:space="preserve">roup </w:t>
      </w:r>
      <w:r w:rsidR="002F2B66" w:rsidRPr="0046155E">
        <w:rPr>
          <w:rFonts w:ascii="Times New Roman" w:eastAsia="Times New Roman" w:hAnsi="Times New Roman" w:cs="Times New Roman"/>
          <w:color w:val="000000"/>
          <w:sz w:val="24"/>
          <w:szCs w:val="24"/>
          <w:lang w:eastAsia="en-GB"/>
        </w:rPr>
        <w:t>3</w:t>
      </w:r>
      <w:r w:rsidR="00EE5CAB" w:rsidRPr="0046155E">
        <w:rPr>
          <w:rFonts w:ascii="Times New Roman" w:eastAsia="Times New Roman" w:hAnsi="Times New Roman" w:cs="Times New Roman"/>
          <w:color w:val="000000"/>
          <w:sz w:val="24"/>
          <w:szCs w:val="24"/>
          <w:lang w:eastAsia="en-GB"/>
        </w:rPr>
        <w:t xml:space="preserve">. However, </w:t>
      </w:r>
      <w:r w:rsidR="002D46E3" w:rsidRPr="0046155E">
        <w:rPr>
          <w:rFonts w:ascii="Times New Roman" w:eastAsia="Times New Roman" w:hAnsi="Times New Roman" w:cs="Times New Roman"/>
          <w:color w:val="000000"/>
          <w:sz w:val="24"/>
          <w:szCs w:val="24"/>
          <w:lang w:eastAsia="en-GB"/>
        </w:rPr>
        <w:t>G</w:t>
      </w:r>
      <w:r w:rsidR="00EE5CAB" w:rsidRPr="0046155E">
        <w:rPr>
          <w:rFonts w:ascii="Times New Roman" w:eastAsia="Times New Roman" w:hAnsi="Times New Roman" w:cs="Times New Roman"/>
          <w:color w:val="000000"/>
          <w:sz w:val="24"/>
          <w:szCs w:val="24"/>
          <w:lang w:eastAsia="en-GB"/>
        </w:rPr>
        <w:t>roup 4 (</w:t>
      </w:r>
      <w:r w:rsidR="0045346A" w:rsidRPr="0046155E">
        <w:rPr>
          <w:rFonts w:ascii="Times New Roman" w:eastAsia="Times New Roman" w:hAnsi="Times New Roman" w:cs="Times New Roman"/>
          <w:color w:val="000000"/>
          <w:sz w:val="24"/>
          <w:szCs w:val="24"/>
          <w:lang w:eastAsia="en-GB"/>
        </w:rPr>
        <w:t>i.e.,</w:t>
      </w:r>
      <w:r w:rsidR="00EE5CAB" w:rsidRPr="0046155E">
        <w:rPr>
          <w:rFonts w:ascii="Times New Roman" w:eastAsia="Times New Roman" w:hAnsi="Times New Roman" w:cs="Times New Roman"/>
          <w:color w:val="000000"/>
          <w:sz w:val="24"/>
          <w:szCs w:val="24"/>
          <w:lang w:eastAsia="en-GB"/>
        </w:rPr>
        <w:t xml:space="preserve"> those who </w:t>
      </w:r>
      <w:r w:rsidR="00D6129E" w:rsidRPr="0046155E">
        <w:rPr>
          <w:rFonts w:ascii="Times New Roman" w:eastAsia="Times New Roman" w:hAnsi="Times New Roman" w:cs="Times New Roman"/>
          <w:color w:val="000000"/>
          <w:sz w:val="24"/>
          <w:szCs w:val="24"/>
          <w:lang w:eastAsia="en-GB"/>
        </w:rPr>
        <w:t>started and remained</w:t>
      </w:r>
      <w:r w:rsidR="002D0933" w:rsidRPr="0046155E">
        <w:rPr>
          <w:rFonts w:ascii="Times New Roman" w:eastAsia="Times New Roman" w:hAnsi="Times New Roman" w:cs="Times New Roman"/>
          <w:color w:val="000000"/>
          <w:sz w:val="24"/>
          <w:szCs w:val="24"/>
          <w:lang w:eastAsia="en-GB"/>
        </w:rPr>
        <w:t xml:space="preserve"> with low HbA</w:t>
      </w:r>
      <w:r w:rsidR="002D0933" w:rsidRPr="0046155E">
        <w:rPr>
          <w:rFonts w:ascii="Times New Roman" w:eastAsia="Times New Roman" w:hAnsi="Times New Roman" w:cs="Times New Roman"/>
          <w:color w:val="000000"/>
          <w:sz w:val="24"/>
          <w:szCs w:val="24"/>
          <w:vertAlign w:val="subscript"/>
          <w:lang w:eastAsia="en-GB"/>
        </w:rPr>
        <w:t>1c</w:t>
      </w:r>
      <w:r w:rsidR="002D0933" w:rsidRPr="0046155E">
        <w:rPr>
          <w:rFonts w:ascii="Times New Roman" w:eastAsia="Times New Roman" w:hAnsi="Times New Roman" w:cs="Times New Roman"/>
          <w:color w:val="000000"/>
          <w:sz w:val="24"/>
          <w:szCs w:val="24"/>
          <w:lang w:eastAsia="en-GB"/>
        </w:rPr>
        <w:t xml:space="preserve"> levels throughout and limited variation</w:t>
      </w:r>
      <w:r w:rsidR="0099683E" w:rsidRPr="0046155E">
        <w:rPr>
          <w:rFonts w:ascii="Times New Roman" w:eastAsia="Times New Roman" w:hAnsi="Times New Roman" w:cs="Times New Roman"/>
          <w:color w:val="000000"/>
          <w:sz w:val="24"/>
          <w:szCs w:val="24"/>
          <w:lang w:eastAsia="en-GB"/>
        </w:rPr>
        <w:t>)</w:t>
      </w:r>
      <w:r w:rsidR="00EE5CAB" w:rsidRPr="0046155E">
        <w:rPr>
          <w:rFonts w:ascii="Times New Roman" w:eastAsia="Times New Roman" w:hAnsi="Times New Roman" w:cs="Times New Roman"/>
          <w:sz w:val="24"/>
          <w:szCs w:val="24"/>
          <w:lang w:eastAsia="en-GB"/>
        </w:rPr>
        <w:t xml:space="preserve"> had higher risk of all-cause mortality</w:t>
      </w:r>
      <w:r w:rsidR="00906287" w:rsidRPr="0046155E">
        <w:rPr>
          <w:rFonts w:ascii="Times New Roman" w:eastAsia="Times New Roman" w:hAnsi="Times New Roman" w:cs="Times New Roman"/>
          <w:sz w:val="24"/>
          <w:szCs w:val="24"/>
          <w:lang w:eastAsia="en-GB"/>
        </w:rPr>
        <w:t>.</w:t>
      </w:r>
    </w:p>
    <w:p w14:paraId="230D3F3A" w14:textId="350CADF8" w:rsidR="007F4199" w:rsidRPr="00CD1F9F" w:rsidRDefault="004A50D7" w:rsidP="00E21AD0">
      <w:pPr>
        <w:spacing w:after="0" w:line="480" w:lineRule="auto"/>
        <w:jc w:val="both"/>
        <w:rPr>
          <w:rFonts w:ascii="Times New Roman" w:eastAsia="Times New Roman" w:hAnsi="Times New Roman" w:cs="Times New Roman"/>
          <w:b/>
          <w:bCs/>
          <w:sz w:val="36"/>
          <w:szCs w:val="36"/>
          <w:lang w:eastAsia="en-GB"/>
        </w:rPr>
      </w:pPr>
      <w:r w:rsidRPr="00CD1F9F">
        <w:rPr>
          <w:rFonts w:ascii="Times New Roman" w:eastAsia="Times New Roman" w:hAnsi="Times New Roman" w:cs="Times New Roman"/>
          <w:b/>
          <w:bCs/>
          <w:sz w:val="36"/>
          <w:szCs w:val="36"/>
          <w:lang w:eastAsia="en-GB"/>
        </w:rPr>
        <w:t>Discussion</w:t>
      </w:r>
    </w:p>
    <w:p w14:paraId="20CAD9FD" w14:textId="77777777" w:rsidR="00F1414C" w:rsidRPr="00CD1F9F" w:rsidRDefault="00F1414C" w:rsidP="00AA55FA">
      <w:pPr>
        <w:spacing w:after="0" w:line="480" w:lineRule="auto"/>
        <w:jc w:val="both"/>
        <w:rPr>
          <w:rFonts w:ascii="Times New Roman" w:hAnsi="Times New Roman" w:cs="Times New Roman"/>
          <w:b/>
          <w:bCs/>
          <w:sz w:val="32"/>
          <w:szCs w:val="32"/>
        </w:rPr>
      </w:pPr>
      <w:r w:rsidRPr="00CD1F9F">
        <w:rPr>
          <w:rFonts w:ascii="Times New Roman" w:hAnsi="Times New Roman" w:cs="Times New Roman"/>
          <w:b/>
          <w:bCs/>
          <w:sz w:val="32"/>
          <w:szCs w:val="32"/>
        </w:rPr>
        <w:t xml:space="preserve">Main findings </w:t>
      </w:r>
    </w:p>
    <w:p w14:paraId="67687BB0" w14:textId="1DB80F96" w:rsidR="00AA55FA" w:rsidRDefault="00AA55FA" w:rsidP="00AA55FA">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In this population-based cohort of 60,287 people with type 2 diabetes, remission was common with 19% of people achieving remission at some point for at least 6 months. Achieving remission regardless of duration or pattern of HbA</w:t>
      </w:r>
      <w:r w:rsidRPr="0046155E">
        <w:rPr>
          <w:rFonts w:ascii="Times New Roman" w:hAnsi="Times New Roman" w:cs="Times New Roman"/>
          <w:sz w:val="24"/>
          <w:szCs w:val="24"/>
          <w:vertAlign w:val="subscript"/>
        </w:rPr>
        <w:t>1c</w:t>
      </w:r>
      <w:r w:rsidRPr="0046155E">
        <w:rPr>
          <w:rFonts w:ascii="Times New Roman" w:hAnsi="Times New Roman" w:cs="Times New Roman"/>
          <w:sz w:val="24"/>
          <w:szCs w:val="24"/>
        </w:rPr>
        <w:t xml:space="preserve"> level and remission status over time was associated with a lower risk of microvascular complications, macrovascular complications, and CVD events. However, the risk of these complications and mortality varied according to remission trajectories over time.</w:t>
      </w:r>
    </w:p>
    <w:p w14:paraId="393A9CD9" w14:textId="77777777" w:rsidR="002666E0" w:rsidRDefault="002666E0" w:rsidP="00AA55FA">
      <w:pPr>
        <w:spacing w:after="0" w:line="480" w:lineRule="auto"/>
        <w:jc w:val="both"/>
        <w:rPr>
          <w:rFonts w:ascii="Times New Roman" w:hAnsi="Times New Roman" w:cs="Times New Roman"/>
          <w:sz w:val="24"/>
          <w:szCs w:val="24"/>
        </w:rPr>
      </w:pPr>
    </w:p>
    <w:p w14:paraId="5757759E" w14:textId="501364C1" w:rsidR="002666E0" w:rsidRPr="00CD1F9F" w:rsidRDefault="002666E0" w:rsidP="00AA55FA">
      <w:pPr>
        <w:spacing w:after="0" w:line="480" w:lineRule="auto"/>
        <w:jc w:val="both"/>
        <w:rPr>
          <w:rFonts w:ascii="Times New Roman" w:hAnsi="Times New Roman" w:cs="Times New Roman"/>
          <w:b/>
          <w:bCs/>
          <w:sz w:val="32"/>
          <w:szCs w:val="32"/>
        </w:rPr>
      </w:pPr>
      <w:r w:rsidRPr="00CD1F9F">
        <w:rPr>
          <w:rFonts w:ascii="Times New Roman" w:hAnsi="Times New Roman" w:cs="Times New Roman"/>
          <w:b/>
          <w:bCs/>
          <w:sz w:val="32"/>
          <w:szCs w:val="32"/>
        </w:rPr>
        <w:t>Comparison with existing literature</w:t>
      </w:r>
    </w:p>
    <w:p w14:paraId="4474FE11" w14:textId="77777777" w:rsidR="0072298B" w:rsidRDefault="002666E0" w:rsidP="002666E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 xml:space="preserve">To our knowledge, this is the first study to describe long-term patterns of different type 2 diabetes remission trajectories and their associations with CVD outcomes and all-cause mortality in a population-based cohort. No previous studies have utilised group-based trajectory modelling in this way and instead have examined remission as single whole cohorts. </w:t>
      </w:r>
      <w:r w:rsidRPr="0046155E">
        <w:rPr>
          <w:rFonts w:ascii="Times New Roman" w:hAnsi="Times New Roman" w:cs="Times New Roman"/>
          <w:sz w:val="24"/>
          <w:szCs w:val="24"/>
        </w:rPr>
        <w:fldChar w:fldCharType="begin" w:fldLock="1"/>
      </w:r>
      <w:r w:rsidRPr="0046155E">
        <w:rPr>
          <w:rFonts w:ascii="Times New Roman" w:hAnsi="Times New Roman" w:cs="Times New Roman"/>
          <w:sz w:val="24"/>
          <w:szCs w:val="24"/>
        </w:rPr>
        <w:instrText>ADDIN CSL_CITATION {"citationItems":[{"id":"ITEM-1","itemData":{"DOI":"10.1016/S2213-8587(19)30068-3","ISSN":"2213-8595","PMID":"30852132","abstract":"BACKGROUND The DiRECT trial assessed remission of type 2 diabetes during a primary care-led weight-management programme. At 1 year, 68 (46%) of 149 intervention participants were in remission and 36 (24%) had achieved at least 15 kg weight loss. The aim of this 2-year analysis is to assess the durability of the intervention effect. METHODS DiRECT is an open-label, cluster-randomised, controlled trial done at primary care practices in the UK. Practices were randomly assigned (1:1) via a computer-generated list to provide an integrated structured weight-management programme (intervention) or best-practice care in accordance with guidelines (control), with stratification for study site (Tyneside or Scotland) and practice list size (&gt;5700 or ≤5700 people). Allocation was concealed from the study statisticians; participants, carers, and study research assistants were aware of allocation. We recruited individuals aged 20-65 years, with less than 6 years' duration of type 2 diabetes, BMI 27-45 kg/m2, and not receiving insulin between July 25, 2014, and Aug 5, 2016. The intervention consisted of withdrawal of antidiabetes and antihypertensive drugs, total diet replacement (825-853 kcal per day formula diet for 12-20 weeks), stepped food reintroduction (2-8 weeks), and then structured support for weight-loss maintenance. The coprimary outcomes, analysed hierarchically in the intention-to-treat population at 24 months, were weight loss of at least 15 kg, and remission of diabetes, defined as HbA1c less than 6·5% (48 mmol/mol) after withdrawal of antidiabetes drugs at baseline (remission was determined independently at 12 and 24 months). The trial is registered with the ISRCTN registry, number 03267836, and follow-up is ongoing. FINDINGS The intention-to-treat population consisted of 149 participants per group. At 24 months, 17 (11%) intervention participants and three (2%) control participants had weight loss of at least 15 kg (adjusted odds ratio [aOR] 7·49, 95% CI 2·05 to 27·32; p=0·0023) and 53 (36%) intervention participants and five (3%) control participants had remission of diabetes (aOR 25·82, 8·25 to 80·84; p&lt;0·0001). The adjusted mean difference between the control and intervention groups in change in bodyweight was -5·4 kg (95% CI -6·9 to -4·0; p&lt;0·0001) and in HbA1c was -4·8 mmol/mol (-8·3 to -1·4 [-0·44% (-0·76 to -0·13)]; p=0·0063), despite only 51 (40%) of 129 patients in the intervention group using anti-diabetes medication compared with 120 (84%) …","author":[{"dropping-particle":"","family":"Lean","given":"Michael E 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Messow","given":"Claudia-Martina","non-dropping-particle":"","parse-names":false,"suffix":""},{"dropping-particle":"","family":"Sattar","given":"Naveed","non-dropping-particle":"","parse-names":false,"suffix":""},{"dropping-particle":"","family":"Taylor","given":"Roy","non-dropping-particle":"","parse-names":false,"suffix":""}],"container-title":"The lancet. Diabetes &amp; endocrinology","id":"ITEM-1","issue":"5","issued":{"date-parts":[["2019","5","1"]]},"page":"344-355","publisher":"Elsevier","title":"Durability of a primary care-led weight-management intervention for remission of type 2 diabetes: 2-year results of the DiRECT open-label, cluster-randomised trial.","type":"article-journal","volume":"7"},"uris":["http://www.mendeley.com/documents/?uuid=9304f628-068d-3ab4-9a1a-44dab2160114"]}],"mendeley":{"formattedCitation":"[11]","plainTextFormattedCitation":"[11]","previouslyFormattedCitation":"[11]"},"properties":{"noteIndex":0},"schema":"https://github.com/citation-style-language/schema/raw/master/csl-citation.json"}</w:instrText>
      </w:r>
      <w:r w:rsidRPr="0046155E">
        <w:rPr>
          <w:rFonts w:ascii="Times New Roman" w:hAnsi="Times New Roman" w:cs="Times New Roman"/>
          <w:sz w:val="24"/>
          <w:szCs w:val="24"/>
        </w:rPr>
        <w:fldChar w:fldCharType="separate"/>
      </w:r>
      <w:r w:rsidRPr="0046155E">
        <w:rPr>
          <w:rFonts w:ascii="Times New Roman" w:hAnsi="Times New Roman" w:cs="Times New Roman"/>
          <w:noProof/>
          <w:sz w:val="24"/>
          <w:szCs w:val="24"/>
        </w:rPr>
        <w:t>[11, 12]</w:t>
      </w:r>
      <w:r w:rsidRPr="0046155E">
        <w:rPr>
          <w:rFonts w:ascii="Times New Roman" w:hAnsi="Times New Roman" w:cs="Times New Roman"/>
          <w:sz w:val="24"/>
          <w:szCs w:val="24"/>
        </w:rPr>
        <w:fldChar w:fldCharType="end"/>
      </w:r>
      <w:r w:rsidRPr="0046155E">
        <w:rPr>
          <w:rFonts w:ascii="Times New Roman" w:hAnsi="Times New Roman" w:cs="Times New Roman"/>
          <w:sz w:val="24"/>
          <w:szCs w:val="24"/>
        </w:rPr>
        <w:t xml:space="preserve"> Many also include only limited follow-up (&lt;12 months) and therefore have not been able to report on the risk of microvascular complications, macrovascular complication or death.</w:t>
      </w:r>
      <w:r w:rsidRPr="0046155E">
        <w:rPr>
          <w:rFonts w:ascii="Times New Roman" w:hAnsi="Times New Roman" w:cs="Times New Roman"/>
          <w:sz w:val="24"/>
          <w:szCs w:val="24"/>
        </w:rPr>
        <w:fldChar w:fldCharType="begin" w:fldLock="1"/>
      </w:r>
      <w:r w:rsidRPr="0046155E">
        <w:rPr>
          <w:rFonts w:ascii="Times New Roman" w:hAnsi="Times New Roman" w:cs="Times New Roman"/>
          <w:sz w:val="24"/>
          <w:szCs w:val="24"/>
        </w:rPr>
        <w:instrText>ADDIN CSL_CITATION {"citationItems":[{"id":"ITEM-1","itemData":{"DOI":"10.1016/S2213-8587(19)30068-3","ISSN":"2213-8595","PMID":"30852132","abstract":"BACKGROUND The DiRECT trial assessed remission of type 2 diabetes during a primary care-led weight-management programme. At 1 year, 68 (46%) of 149 intervention participants were in remission and 36 (24%) had achieved at least 15 kg weight loss. The aim of this 2-year analysis is to assess the durability of the intervention effect. METHODS DiRECT is an open-label, cluster-randomised, controlled trial done at primary care practices in the UK. Practices were randomly assigned (1:1) via a computer-generated list to provide an integrated structured weight-management programme (intervention) or best-practice care in accordance with guidelines (control), with stratification for study site (Tyneside or Scotland) and practice list size (&gt;5700 or ≤5700 people). Allocation was concealed from the study statisticians; participants, carers, and study research assistants were aware of allocation. We recruited individuals aged 20-65 years, with less than 6 years' duration of type 2 diabetes, BMI 27-45 kg/m2, and not receiving insulin between July 25, 2014, and Aug 5, 2016. The intervention consisted of withdrawal of antidiabetes and antihypertensive drugs, total diet replacement (825-853 kcal per day formula diet for 12-20 weeks), stepped food reintroduction (2-8 weeks), and then structured support for weight-loss maintenance. The coprimary outcomes, analysed hierarchically in the intention-to-treat population at 24 months, were weight loss of at least 15 kg, and remission of diabetes, defined as HbA1c less than 6·5% (48 mmol/mol) after withdrawal of antidiabetes drugs at baseline (remission was determined independently at 12 and 24 months). The trial is registered with the ISRCTN registry, number 03267836, and follow-up is ongoing. FINDINGS The intention-to-treat population consisted of 149 participants per group. At 24 months, 17 (11%) intervention participants and three (2%) control participants had weight loss of at least 15 kg (adjusted odds ratio [aOR] 7·49, 95% CI 2·05 to 27·32; p=0·0023) and 53 (36%) intervention participants and five (3%) control participants had remission of diabetes (aOR 25·82, 8·25 to 80·84; p&lt;0·0001). The adjusted mean difference between the control and intervention groups in change in bodyweight was -5·4 kg (95% CI -6·9 to -4·0; p&lt;0·0001) and in HbA1c was -4·8 mmol/mol (-8·3 to -1·4 [-0·44% (-0·76 to -0·13)]; p=0·0063), despite only 51 (40%) of 129 patients in the intervention group using anti-diabetes medication compared with 120 (84%) …","author":[{"dropping-particle":"","family":"Lean","given":"Michael E 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Messow","given":"Claudia-Martina","non-dropping-particle":"","parse-names":false,"suffix":""},{"dropping-particle":"","family":"Sattar","given":"Naveed","non-dropping-particle":"","parse-names":false,"suffix":""},{"dropping-particle":"","family":"Taylor","given":"Roy","non-dropping-particle":"","parse-names":false,"suffix":""}],"container-title":"The lancet. Diabetes &amp; endocrinology","id":"ITEM-1","issue":"5","issued":{"date-parts":[["2019","5","1"]]},"page":"344-355","publisher":"Elsevier","title":"Durability of a primary care-led weight-management intervention for remission of type 2 diabetes: 2-year results of the DiRECT open-label, cluster-randomised trial.","type":"article-journal","volume":"7"},"uris":["http://www.mendeley.com/documents/?uuid=9304f628-068d-3ab4-9a1a-44dab2160114"]}],"mendeley":{"formattedCitation":"[11]","plainTextFormattedCitation":"[11]","previouslyFormattedCitation":"[11]"},"properties":{"noteIndex":0},"schema":"https://github.com/citation-style-language/schema/raw/master/csl-citation.json"}</w:instrText>
      </w:r>
      <w:r w:rsidRPr="0046155E">
        <w:rPr>
          <w:rFonts w:ascii="Times New Roman" w:hAnsi="Times New Roman" w:cs="Times New Roman"/>
          <w:sz w:val="24"/>
          <w:szCs w:val="24"/>
        </w:rPr>
        <w:fldChar w:fldCharType="separate"/>
      </w:r>
      <w:r w:rsidRPr="0046155E">
        <w:rPr>
          <w:rFonts w:ascii="Times New Roman" w:hAnsi="Times New Roman" w:cs="Times New Roman"/>
          <w:noProof/>
          <w:sz w:val="24"/>
          <w:szCs w:val="24"/>
        </w:rPr>
        <w:t>[11]</w:t>
      </w:r>
      <w:r w:rsidRPr="0046155E">
        <w:rPr>
          <w:rFonts w:ascii="Times New Roman" w:hAnsi="Times New Roman" w:cs="Times New Roman"/>
          <w:sz w:val="24"/>
          <w:szCs w:val="24"/>
        </w:rPr>
        <w:fldChar w:fldCharType="end"/>
      </w:r>
      <w:r w:rsidRPr="0046155E">
        <w:rPr>
          <w:rFonts w:ascii="Times New Roman" w:hAnsi="Times New Roman" w:cs="Times New Roman"/>
          <w:sz w:val="24"/>
          <w:szCs w:val="24"/>
        </w:rPr>
        <w:t xml:space="preserve"> The findings extend our previous findings by highlighting that lower risk of CVD outcomes is achieved regardless of duration of remission, though patients with consistently low HbA</w:t>
      </w:r>
      <w:r w:rsidRPr="00CD1F9F">
        <w:rPr>
          <w:rFonts w:ascii="Times New Roman" w:hAnsi="Times New Roman" w:cs="Times New Roman"/>
          <w:sz w:val="24"/>
          <w:szCs w:val="24"/>
          <w:vertAlign w:val="subscript"/>
        </w:rPr>
        <w:t>1c</w:t>
      </w:r>
      <w:r w:rsidRPr="0046155E">
        <w:rPr>
          <w:rFonts w:ascii="Times New Roman" w:hAnsi="Times New Roman" w:cs="Times New Roman"/>
          <w:sz w:val="24"/>
          <w:szCs w:val="24"/>
        </w:rPr>
        <w:t xml:space="preserve"> levels have lowest risk of CVD outcomes. </w:t>
      </w:r>
      <w:r w:rsidRPr="0046155E">
        <w:rPr>
          <w:rFonts w:ascii="Times New Roman" w:hAnsi="Times New Roman" w:cs="Times New Roman"/>
          <w:color w:val="000000"/>
          <w:sz w:val="24"/>
          <w:szCs w:val="24"/>
          <w:shd w:val="clear" w:color="auto" w:fill="FFFFFF"/>
        </w:rPr>
        <w:t xml:space="preserve">Consistent with the observational studies and in contrast to some of the trials of glucose-lowering drugs, </w:t>
      </w:r>
      <w:r w:rsidRPr="0046155E">
        <w:rPr>
          <w:rFonts w:ascii="Times New Roman" w:hAnsi="Times New Roman" w:cs="Times New Roman"/>
          <w:color w:val="000000"/>
          <w:sz w:val="24"/>
          <w:szCs w:val="24"/>
          <w:shd w:val="clear" w:color="auto" w:fill="FFFFFF"/>
        </w:rPr>
        <w:fldChar w:fldCharType="begin" w:fldLock="1"/>
      </w:r>
      <w:r w:rsidRPr="0046155E">
        <w:rPr>
          <w:rFonts w:ascii="Times New Roman" w:hAnsi="Times New Roman" w:cs="Times New Roman"/>
          <w:color w:val="000000"/>
          <w:sz w:val="24"/>
          <w:szCs w:val="24"/>
          <w:shd w:val="clear" w:color="auto" w:fill="FFFFFF"/>
        </w:rPr>
        <w:instrText>ADDIN CSL_CITATION {"citationItems":[{"id":"ITEM-1","itemData":{"DOI":"10.1016/j.amjmed.2011.08.008","ISSN":"15557162","PMID":"22017775","author":[{"dropping-particle":"","family":"Cryer","given":"Philip E.","non-dropping-particle":"","parse-names":false,"suffix":""}],"container-title":"American Journal of Medicine","id":"ITEM-1","issue":"11","issued":{"date-parts":[["2011"]]},"page":"993-996","publisher":"Elsevier Inc.","title":"Death during intensive glycemic therapy of diabetes: Mechanisms and implications","type":"article","volume":"124"},"uris":["http://www.mendeley.com/documents/?uuid=7ab642ba-2125-3ccb-9bd7-b30085a6174a"]}],"mendeley":{"formattedCitation":"[16]","plainTextFormattedCitation":"[16]","previouslyFormattedCitation":"[16]"},"properties":{"noteIndex":0},"schema":"https://github.com/citation-style-language/schema/raw/master/csl-citation.json"}</w:instrText>
      </w:r>
      <w:r w:rsidRPr="0046155E">
        <w:rPr>
          <w:rFonts w:ascii="Times New Roman" w:hAnsi="Times New Roman" w:cs="Times New Roman"/>
          <w:color w:val="000000"/>
          <w:sz w:val="24"/>
          <w:szCs w:val="24"/>
          <w:shd w:val="clear" w:color="auto" w:fill="FFFFFF"/>
        </w:rPr>
        <w:fldChar w:fldCharType="separate"/>
      </w:r>
      <w:r w:rsidRPr="0046155E">
        <w:rPr>
          <w:rFonts w:ascii="Times New Roman" w:hAnsi="Times New Roman" w:cs="Times New Roman"/>
          <w:noProof/>
          <w:color w:val="000000"/>
          <w:sz w:val="24"/>
          <w:szCs w:val="24"/>
          <w:shd w:val="clear" w:color="auto" w:fill="FFFFFF"/>
        </w:rPr>
        <w:t>[1</w:t>
      </w:r>
      <w:r w:rsidR="00F62290">
        <w:rPr>
          <w:rFonts w:ascii="Times New Roman" w:hAnsi="Times New Roman" w:cs="Times New Roman"/>
          <w:noProof/>
          <w:color w:val="000000"/>
          <w:sz w:val="24"/>
          <w:szCs w:val="24"/>
          <w:shd w:val="clear" w:color="auto" w:fill="FFFFFF"/>
        </w:rPr>
        <w:t>8</w:t>
      </w:r>
      <w:r w:rsidRPr="0046155E">
        <w:rPr>
          <w:rFonts w:ascii="Times New Roman" w:hAnsi="Times New Roman" w:cs="Times New Roman"/>
          <w:noProof/>
          <w:color w:val="000000"/>
          <w:sz w:val="24"/>
          <w:szCs w:val="24"/>
          <w:shd w:val="clear" w:color="auto" w:fill="FFFFFF"/>
        </w:rPr>
        <w:t>]</w:t>
      </w:r>
      <w:r w:rsidRPr="0046155E">
        <w:rPr>
          <w:rFonts w:ascii="Times New Roman" w:hAnsi="Times New Roman" w:cs="Times New Roman"/>
          <w:color w:val="000000"/>
          <w:sz w:val="24"/>
          <w:szCs w:val="24"/>
          <w:shd w:val="clear" w:color="auto" w:fill="FFFFFF"/>
        </w:rPr>
        <w:fldChar w:fldCharType="end"/>
      </w:r>
      <w:r w:rsidRPr="0046155E">
        <w:rPr>
          <w:rFonts w:ascii="Times New Roman" w:hAnsi="Times New Roman" w:cs="Times New Roman"/>
          <w:color w:val="000000"/>
          <w:sz w:val="24"/>
          <w:szCs w:val="24"/>
          <w:shd w:val="clear" w:color="auto" w:fill="FFFFFF"/>
        </w:rPr>
        <w:t xml:space="preserve"> we observed consistent trends in unadjusted and adjusted models between remission group and a lower incidence of both macrovascular and microvascular complications. Weight loss</w:t>
      </w:r>
      <w:r w:rsidRPr="0046155E">
        <w:rPr>
          <w:rFonts w:ascii="Times New Roman" w:hAnsi="Times New Roman" w:cs="Times New Roman"/>
          <w:sz w:val="24"/>
          <w:szCs w:val="24"/>
        </w:rPr>
        <w:t xml:space="preserve"> of </w:t>
      </w:r>
      <w:r w:rsidRPr="0046155E">
        <w:rPr>
          <w:rFonts w:ascii="Times New Roman" w:hAnsi="Times New Roman" w:cs="Times New Roman"/>
          <w:color w:val="000000"/>
          <w:sz w:val="24"/>
          <w:szCs w:val="24"/>
          <w:shd w:val="clear" w:color="auto" w:fill="FFFFFF"/>
        </w:rPr>
        <w:t>≥</w:t>
      </w:r>
      <w:r w:rsidRPr="0046155E">
        <w:rPr>
          <w:rFonts w:ascii="Times New Roman" w:hAnsi="Times New Roman" w:cs="Times New Roman"/>
          <w:sz w:val="24"/>
          <w:szCs w:val="24"/>
        </w:rPr>
        <w:t xml:space="preserve">10% was an important predictor of remission trajectory, which is consistent with previous findings on the link between weight loss and remission. [5, </w:t>
      </w:r>
      <w:r w:rsidR="005C7EAD">
        <w:rPr>
          <w:rFonts w:ascii="Times New Roman" w:hAnsi="Times New Roman" w:cs="Times New Roman"/>
          <w:sz w:val="24"/>
          <w:szCs w:val="24"/>
        </w:rPr>
        <w:t>1</w:t>
      </w:r>
      <w:r w:rsidR="007C462B">
        <w:rPr>
          <w:rFonts w:ascii="Times New Roman" w:hAnsi="Times New Roman" w:cs="Times New Roman"/>
          <w:sz w:val="24"/>
          <w:szCs w:val="24"/>
        </w:rPr>
        <w:t>7</w:t>
      </w:r>
      <w:r w:rsidRPr="0046155E">
        <w:rPr>
          <w:rFonts w:ascii="Times New Roman" w:hAnsi="Times New Roman" w:cs="Times New Roman"/>
          <w:sz w:val="24"/>
          <w:szCs w:val="24"/>
        </w:rPr>
        <w:t>]</w:t>
      </w:r>
      <w:r w:rsidR="00F735BC">
        <w:rPr>
          <w:rFonts w:ascii="Times New Roman" w:hAnsi="Times New Roman" w:cs="Times New Roman"/>
          <w:sz w:val="24"/>
          <w:szCs w:val="24"/>
        </w:rPr>
        <w:t xml:space="preserve"> </w:t>
      </w:r>
    </w:p>
    <w:p w14:paraId="16E2F243" w14:textId="5B905CEF" w:rsidR="0072298B" w:rsidRPr="00CD1F9F" w:rsidRDefault="0072298B" w:rsidP="002666E0">
      <w:pPr>
        <w:spacing w:after="0" w:line="480" w:lineRule="auto"/>
        <w:jc w:val="both"/>
        <w:rPr>
          <w:rFonts w:ascii="Times New Roman" w:hAnsi="Times New Roman" w:cs="Times New Roman"/>
          <w:b/>
          <w:bCs/>
          <w:sz w:val="36"/>
          <w:szCs w:val="36"/>
        </w:rPr>
      </w:pPr>
      <w:r w:rsidRPr="00CD1F9F">
        <w:rPr>
          <w:rFonts w:ascii="Times New Roman" w:hAnsi="Times New Roman" w:cs="Times New Roman"/>
          <w:b/>
          <w:bCs/>
          <w:sz w:val="36"/>
          <w:szCs w:val="36"/>
        </w:rPr>
        <w:t>Possible explanation for our f</w:t>
      </w:r>
      <w:r w:rsidR="00DF1FBD" w:rsidRPr="00CD1F9F">
        <w:rPr>
          <w:rFonts w:ascii="Times New Roman" w:hAnsi="Times New Roman" w:cs="Times New Roman"/>
          <w:b/>
          <w:bCs/>
          <w:sz w:val="36"/>
          <w:szCs w:val="36"/>
        </w:rPr>
        <w:t>indings</w:t>
      </w:r>
    </w:p>
    <w:p w14:paraId="55EABFC6" w14:textId="75C0BE9C" w:rsidR="002666E0" w:rsidRPr="0046155E" w:rsidRDefault="00F735BC" w:rsidP="002666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a significant proportion of patients achieved weight loss of </w:t>
      </w:r>
      <w:r w:rsidRPr="0046155E">
        <w:rPr>
          <w:rFonts w:ascii="Times New Roman" w:hAnsi="Times New Roman" w:cs="Times New Roman"/>
          <w:color w:val="000000"/>
          <w:sz w:val="24"/>
          <w:szCs w:val="24"/>
          <w:shd w:val="clear" w:color="auto" w:fill="FFFFFF"/>
        </w:rPr>
        <w:t>≥</w:t>
      </w:r>
      <w:r w:rsidRPr="0046155E">
        <w:rPr>
          <w:rFonts w:ascii="Times New Roman" w:hAnsi="Times New Roman" w:cs="Times New Roman"/>
          <w:sz w:val="24"/>
          <w:szCs w:val="24"/>
        </w:rPr>
        <w:t>10%</w:t>
      </w:r>
      <w:r w:rsidR="00F81DDE">
        <w:rPr>
          <w:rFonts w:ascii="Times New Roman" w:hAnsi="Times New Roman" w:cs="Times New Roman"/>
          <w:sz w:val="24"/>
          <w:szCs w:val="24"/>
        </w:rPr>
        <w:t xml:space="preserve"> across each group, Group 4 had the highest proportion of patients in this group (31.2%)</w:t>
      </w:r>
      <w:r w:rsidR="00B97DAB">
        <w:rPr>
          <w:rFonts w:ascii="Times New Roman" w:hAnsi="Times New Roman" w:cs="Times New Roman"/>
          <w:sz w:val="24"/>
          <w:szCs w:val="24"/>
        </w:rPr>
        <w:t xml:space="preserve"> suggesting that weight loss of </w:t>
      </w:r>
      <w:r w:rsidR="00B97DAB" w:rsidRPr="0046155E">
        <w:rPr>
          <w:rFonts w:ascii="Times New Roman" w:hAnsi="Times New Roman" w:cs="Times New Roman"/>
          <w:color w:val="000000"/>
          <w:sz w:val="24"/>
          <w:szCs w:val="24"/>
          <w:shd w:val="clear" w:color="auto" w:fill="FFFFFF"/>
        </w:rPr>
        <w:t>≥</w:t>
      </w:r>
      <w:r w:rsidR="00B97DAB" w:rsidRPr="0046155E">
        <w:rPr>
          <w:rFonts w:ascii="Times New Roman" w:hAnsi="Times New Roman" w:cs="Times New Roman"/>
          <w:sz w:val="24"/>
          <w:szCs w:val="24"/>
        </w:rPr>
        <w:t xml:space="preserve">10% </w:t>
      </w:r>
      <w:r w:rsidR="00B97DAB">
        <w:rPr>
          <w:rFonts w:ascii="Times New Roman" w:hAnsi="Times New Roman" w:cs="Times New Roman"/>
          <w:sz w:val="24"/>
          <w:szCs w:val="24"/>
        </w:rPr>
        <w:t xml:space="preserve">was </w:t>
      </w:r>
      <w:r w:rsidR="00752340">
        <w:rPr>
          <w:rFonts w:ascii="Times New Roman" w:hAnsi="Times New Roman" w:cs="Times New Roman"/>
          <w:sz w:val="24"/>
          <w:szCs w:val="24"/>
        </w:rPr>
        <w:t xml:space="preserve">more likely in this group of people who had </w:t>
      </w:r>
      <w:r w:rsidR="00C061DD">
        <w:rPr>
          <w:rFonts w:ascii="Times New Roman" w:hAnsi="Times New Roman" w:cs="Times New Roman"/>
          <w:sz w:val="24"/>
          <w:szCs w:val="24"/>
        </w:rPr>
        <w:t>lowest levels of HbA</w:t>
      </w:r>
      <w:r w:rsidR="00CA33D9" w:rsidRPr="00CD1F9F">
        <w:rPr>
          <w:rFonts w:ascii="Times New Roman" w:hAnsi="Times New Roman" w:cs="Times New Roman"/>
          <w:sz w:val="24"/>
          <w:szCs w:val="24"/>
          <w:vertAlign w:val="subscript"/>
        </w:rPr>
        <w:t>1c</w:t>
      </w:r>
      <w:r w:rsidR="00CA33D9">
        <w:rPr>
          <w:rFonts w:ascii="Times New Roman" w:hAnsi="Times New Roman" w:cs="Times New Roman"/>
          <w:sz w:val="24"/>
          <w:szCs w:val="24"/>
        </w:rPr>
        <w:t xml:space="preserve"> at baseline</w:t>
      </w:r>
      <w:r w:rsidR="00423D4D">
        <w:rPr>
          <w:rFonts w:ascii="Times New Roman" w:hAnsi="Times New Roman" w:cs="Times New Roman"/>
          <w:sz w:val="24"/>
          <w:szCs w:val="24"/>
        </w:rPr>
        <w:t xml:space="preserve">. </w:t>
      </w:r>
      <w:r w:rsidR="0082482C">
        <w:rPr>
          <w:rFonts w:ascii="Times New Roman" w:hAnsi="Times New Roman" w:cs="Times New Roman"/>
          <w:sz w:val="24"/>
          <w:szCs w:val="24"/>
        </w:rPr>
        <w:t xml:space="preserve">The proportion of patients achieving weight loss of </w:t>
      </w:r>
      <w:r w:rsidR="0082482C" w:rsidRPr="0046155E">
        <w:rPr>
          <w:rFonts w:ascii="Times New Roman" w:hAnsi="Times New Roman" w:cs="Times New Roman"/>
          <w:color w:val="000000"/>
          <w:sz w:val="24"/>
          <w:szCs w:val="24"/>
          <w:shd w:val="clear" w:color="auto" w:fill="FFFFFF"/>
        </w:rPr>
        <w:t>≥</w:t>
      </w:r>
      <w:r w:rsidR="0082482C" w:rsidRPr="0046155E">
        <w:rPr>
          <w:rFonts w:ascii="Times New Roman" w:hAnsi="Times New Roman" w:cs="Times New Roman"/>
          <w:sz w:val="24"/>
          <w:szCs w:val="24"/>
        </w:rPr>
        <w:t xml:space="preserve">10% </w:t>
      </w:r>
      <w:r w:rsidR="004A792C">
        <w:rPr>
          <w:rFonts w:ascii="Times New Roman" w:hAnsi="Times New Roman" w:cs="Times New Roman"/>
          <w:sz w:val="24"/>
          <w:szCs w:val="24"/>
        </w:rPr>
        <w:t xml:space="preserve">in Group 2 </w:t>
      </w:r>
      <w:r w:rsidR="0082482C">
        <w:rPr>
          <w:rFonts w:ascii="Times New Roman" w:hAnsi="Times New Roman" w:cs="Times New Roman"/>
          <w:sz w:val="24"/>
          <w:szCs w:val="24"/>
        </w:rPr>
        <w:t>was lower than th</w:t>
      </w:r>
      <w:r w:rsidR="0016536D">
        <w:rPr>
          <w:rFonts w:ascii="Times New Roman" w:hAnsi="Times New Roman" w:cs="Times New Roman"/>
          <w:sz w:val="24"/>
          <w:szCs w:val="24"/>
        </w:rPr>
        <w:t xml:space="preserve">e proportion achieving weight loss </w:t>
      </w:r>
      <w:r w:rsidR="00F404AA" w:rsidRPr="0046155E">
        <w:rPr>
          <w:rFonts w:ascii="Times New Roman" w:hAnsi="Times New Roman" w:cs="Times New Roman"/>
          <w:color w:val="000000"/>
          <w:sz w:val="24"/>
          <w:szCs w:val="24"/>
          <w:shd w:val="clear" w:color="auto" w:fill="FFFFFF"/>
        </w:rPr>
        <w:t>≥</w:t>
      </w:r>
      <w:r w:rsidR="00F404AA" w:rsidRPr="0046155E">
        <w:rPr>
          <w:rFonts w:ascii="Times New Roman" w:hAnsi="Times New Roman" w:cs="Times New Roman"/>
          <w:sz w:val="24"/>
          <w:szCs w:val="24"/>
        </w:rPr>
        <w:t xml:space="preserve">10% </w:t>
      </w:r>
      <w:r w:rsidR="00F404AA">
        <w:rPr>
          <w:rFonts w:ascii="Times New Roman" w:hAnsi="Times New Roman" w:cs="Times New Roman"/>
          <w:sz w:val="24"/>
          <w:szCs w:val="24"/>
        </w:rPr>
        <w:t>in Group 3</w:t>
      </w:r>
      <w:r w:rsidR="007324DE">
        <w:rPr>
          <w:rFonts w:ascii="Times New Roman" w:hAnsi="Times New Roman" w:cs="Times New Roman"/>
          <w:sz w:val="24"/>
          <w:szCs w:val="24"/>
        </w:rPr>
        <w:t xml:space="preserve"> </w:t>
      </w:r>
      <w:r w:rsidR="007324DE" w:rsidRPr="0046155E">
        <w:rPr>
          <w:rFonts w:ascii="Times New Roman" w:hAnsi="Times New Roman" w:cs="Times New Roman"/>
          <w:color w:val="000000"/>
          <w:sz w:val="24"/>
          <w:szCs w:val="24"/>
          <w:shd w:val="clear" w:color="auto" w:fill="FFFFFF"/>
        </w:rPr>
        <w:t>(stable high HbA</w:t>
      </w:r>
      <w:r w:rsidR="007324DE" w:rsidRPr="0046155E">
        <w:rPr>
          <w:rFonts w:ascii="Times New Roman" w:hAnsi="Times New Roman" w:cs="Times New Roman"/>
          <w:color w:val="000000"/>
          <w:sz w:val="24"/>
          <w:szCs w:val="24"/>
          <w:shd w:val="clear" w:color="auto" w:fill="FFFFFF"/>
          <w:vertAlign w:val="subscript"/>
        </w:rPr>
        <w:t>1c</w:t>
      </w:r>
      <w:r w:rsidR="007324DE" w:rsidRPr="0046155E">
        <w:rPr>
          <w:rFonts w:ascii="Times New Roman" w:hAnsi="Times New Roman" w:cs="Times New Roman"/>
          <w:color w:val="000000"/>
          <w:sz w:val="24"/>
          <w:szCs w:val="24"/>
          <w:shd w:val="clear" w:color="auto" w:fill="FFFFFF"/>
        </w:rPr>
        <w:t xml:space="preserve"> levels)</w:t>
      </w:r>
      <w:r w:rsidR="00F404AA">
        <w:rPr>
          <w:rFonts w:ascii="Times New Roman" w:hAnsi="Times New Roman" w:cs="Times New Roman"/>
          <w:sz w:val="24"/>
          <w:szCs w:val="24"/>
        </w:rPr>
        <w:t xml:space="preserve"> which may be unexpected but m</w:t>
      </w:r>
      <w:r w:rsidR="001378C8">
        <w:rPr>
          <w:rFonts w:ascii="Times New Roman" w:hAnsi="Times New Roman" w:cs="Times New Roman"/>
          <w:sz w:val="24"/>
          <w:szCs w:val="24"/>
        </w:rPr>
        <w:t>ay</w:t>
      </w:r>
      <w:r w:rsidR="00F404AA">
        <w:rPr>
          <w:rFonts w:ascii="Times New Roman" w:hAnsi="Times New Roman" w:cs="Times New Roman"/>
          <w:sz w:val="24"/>
          <w:szCs w:val="24"/>
        </w:rPr>
        <w:t xml:space="preserve"> be</w:t>
      </w:r>
      <w:r w:rsidR="001378C8">
        <w:rPr>
          <w:rFonts w:ascii="Times New Roman" w:hAnsi="Times New Roman" w:cs="Times New Roman"/>
          <w:sz w:val="24"/>
          <w:szCs w:val="24"/>
        </w:rPr>
        <w:t xml:space="preserve"> partly</w:t>
      </w:r>
      <w:r w:rsidR="00F404AA">
        <w:rPr>
          <w:rFonts w:ascii="Times New Roman" w:hAnsi="Times New Roman" w:cs="Times New Roman"/>
          <w:sz w:val="24"/>
          <w:szCs w:val="24"/>
        </w:rPr>
        <w:t xml:space="preserve"> due to differences in baseline characteristics</w:t>
      </w:r>
      <w:r w:rsidR="00D2566E">
        <w:rPr>
          <w:rFonts w:ascii="Times New Roman" w:hAnsi="Times New Roman" w:cs="Times New Roman"/>
          <w:sz w:val="24"/>
          <w:szCs w:val="24"/>
        </w:rPr>
        <w:t xml:space="preserve"> such as BMI across the two groups</w:t>
      </w:r>
      <w:r w:rsidR="009664F6">
        <w:rPr>
          <w:rFonts w:ascii="Times New Roman" w:hAnsi="Times New Roman" w:cs="Times New Roman"/>
          <w:sz w:val="24"/>
          <w:szCs w:val="24"/>
        </w:rPr>
        <w:t xml:space="preserve"> (Table 2) as well as a slightly larger mean</w:t>
      </w:r>
      <w:r w:rsidR="001378C8">
        <w:rPr>
          <w:rFonts w:ascii="Times New Roman" w:hAnsi="Times New Roman" w:cs="Times New Roman"/>
          <w:sz w:val="24"/>
          <w:szCs w:val="24"/>
        </w:rPr>
        <w:t xml:space="preserve"> decrease in HbA</w:t>
      </w:r>
      <w:r w:rsidR="001378C8" w:rsidRPr="00CD1F9F">
        <w:rPr>
          <w:rFonts w:ascii="Times New Roman" w:hAnsi="Times New Roman" w:cs="Times New Roman"/>
          <w:sz w:val="24"/>
          <w:szCs w:val="24"/>
          <w:vertAlign w:val="subscript"/>
        </w:rPr>
        <w:t>1c</w:t>
      </w:r>
      <w:r w:rsidR="001378C8">
        <w:rPr>
          <w:rFonts w:ascii="Times New Roman" w:hAnsi="Times New Roman" w:cs="Times New Roman"/>
          <w:sz w:val="24"/>
          <w:szCs w:val="24"/>
        </w:rPr>
        <w:t xml:space="preserve"> level for Group 3 compared to </w:t>
      </w:r>
      <w:r w:rsidR="001E3F53">
        <w:rPr>
          <w:rFonts w:ascii="Times New Roman" w:hAnsi="Times New Roman" w:cs="Times New Roman"/>
          <w:sz w:val="24"/>
          <w:szCs w:val="24"/>
        </w:rPr>
        <w:t>Group 2 (Fig 1)</w:t>
      </w:r>
      <w:r w:rsidR="00B27CF6">
        <w:rPr>
          <w:rFonts w:ascii="Times New Roman" w:hAnsi="Times New Roman" w:cs="Times New Roman"/>
          <w:sz w:val="24"/>
          <w:szCs w:val="24"/>
        </w:rPr>
        <w:t xml:space="preserve">; </w:t>
      </w:r>
      <w:r w:rsidR="002666E0" w:rsidRPr="0046155E">
        <w:rPr>
          <w:rFonts w:ascii="Times New Roman" w:hAnsi="Times New Roman" w:cs="Times New Roman"/>
          <w:color w:val="000000"/>
          <w:sz w:val="24"/>
          <w:szCs w:val="24"/>
          <w:shd w:val="clear" w:color="auto" w:fill="FFFFFF"/>
        </w:rPr>
        <w:t>In terms of all-cause mortality, we found that the trajectory of remission was important. Patients in Group 1 (i.e., those achieving remission followed by increasing HbA</w:t>
      </w:r>
      <w:r w:rsidR="002666E0" w:rsidRPr="0046155E">
        <w:rPr>
          <w:rFonts w:ascii="Times New Roman" w:hAnsi="Times New Roman" w:cs="Times New Roman"/>
          <w:color w:val="000000"/>
          <w:sz w:val="24"/>
          <w:szCs w:val="24"/>
          <w:shd w:val="clear" w:color="auto" w:fill="FFFFFF"/>
          <w:vertAlign w:val="subscript"/>
        </w:rPr>
        <w:t>1c</w:t>
      </w:r>
      <w:r w:rsidR="002666E0" w:rsidRPr="0046155E">
        <w:rPr>
          <w:rFonts w:ascii="Times New Roman" w:hAnsi="Times New Roman" w:cs="Times New Roman"/>
          <w:color w:val="000000"/>
          <w:sz w:val="24"/>
          <w:szCs w:val="24"/>
          <w:shd w:val="clear" w:color="auto" w:fill="FFFFFF"/>
        </w:rPr>
        <w:t xml:space="preserve"> levels) had lower risk of mortality than those in Group 3 (stable high HbA</w:t>
      </w:r>
      <w:r w:rsidR="002666E0" w:rsidRPr="0046155E">
        <w:rPr>
          <w:rFonts w:ascii="Times New Roman" w:hAnsi="Times New Roman" w:cs="Times New Roman"/>
          <w:color w:val="000000"/>
          <w:sz w:val="24"/>
          <w:szCs w:val="24"/>
          <w:shd w:val="clear" w:color="auto" w:fill="FFFFFF"/>
          <w:vertAlign w:val="subscript"/>
        </w:rPr>
        <w:t>1c</w:t>
      </w:r>
      <w:r w:rsidR="002666E0" w:rsidRPr="0046155E">
        <w:rPr>
          <w:rFonts w:ascii="Times New Roman" w:hAnsi="Times New Roman" w:cs="Times New Roman"/>
          <w:color w:val="000000"/>
          <w:sz w:val="24"/>
          <w:szCs w:val="24"/>
          <w:shd w:val="clear" w:color="auto" w:fill="FFFFFF"/>
        </w:rPr>
        <w:t xml:space="preserve"> levels). </w:t>
      </w:r>
      <w:r w:rsidR="007B1406">
        <w:rPr>
          <w:rFonts w:ascii="Times New Roman" w:hAnsi="Times New Roman" w:cs="Times New Roman"/>
          <w:color w:val="000000"/>
          <w:sz w:val="24"/>
          <w:szCs w:val="24"/>
          <w:shd w:val="clear" w:color="auto" w:fill="FFFFFF"/>
        </w:rPr>
        <w:t xml:space="preserve">This finding suggests that glycaemic control </w:t>
      </w:r>
      <w:r w:rsidR="004314CE">
        <w:rPr>
          <w:rFonts w:ascii="Times New Roman" w:hAnsi="Times New Roman" w:cs="Times New Roman"/>
          <w:color w:val="000000"/>
          <w:sz w:val="24"/>
          <w:szCs w:val="24"/>
          <w:shd w:val="clear" w:color="auto" w:fill="FFFFFF"/>
        </w:rPr>
        <w:t xml:space="preserve">over a period of time </w:t>
      </w:r>
      <w:r w:rsidR="00D0514B">
        <w:rPr>
          <w:rFonts w:ascii="Times New Roman" w:hAnsi="Times New Roman" w:cs="Times New Roman"/>
          <w:color w:val="000000"/>
          <w:sz w:val="24"/>
          <w:szCs w:val="24"/>
          <w:shd w:val="clear" w:color="auto" w:fill="FFFFFF"/>
        </w:rPr>
        <w:t xml:space="preserve">may </w:t>
      </w:r>
      <w:r w:rsidR="004314CE">
        <w:rPr>
          <w:rFonts w:ascii="Times New Roman" w:hAnsi="Times New Roman" w:cs="Times New Roman"/>
          <w:color w:val="000000"/>
          <w:sz w:val="24"/>
          <w:szCs w:val="24"/>
          <w:shd w:val="clear" w:color="auto" w:fill="FFFFFF"/>
        </w:rPr>
        <w:t>result in improved</w:t>
      </w:r>
      <w:r w:rsidR="00291EA9">
        <w:rPr>
          <w:rFonts w:ascii="Times New Roman" w:hAnsi="Times New Roman" w:cs="Times New Roman"/>
          <w:color w:val="000000"/>
          <w:sz w:val="24"/>
          <w:szCs w:val="24"/>
          <w:shd w:val="clear" w:color="auto" w:fill="FFFFFF"/>
        </w:rPr>
        <w:t xml:space="preserve"> long-term</w:t>
      </w:r>
      <w:r w:rsidR="004314CE">
        <w:rPr>
          <w:rFonts w:ascii="Times New Roman" w:hAnsi="Times New Roman" w:cs="Times New Roman"/>
          <w:color w:val="000000"/>
          <w:sz w:val="24"/>
          <w:szCs w:val="24"/>
          <w:shd w:val="clear" w:color="auto" w:fill="FFFFFF"/>
        </w:rPr>
        <w:t xml:space="preserve"> </w:t>
      </w:r>
      <w:r w:rsidR="009B4637">
        <w:rPr>
          <w:rFonts w:ascii="Times New Roman" w:hAnsi="Times New Roman" w:cs="Times New Roman"/>
          <w:color w:val="000000"/>
          <w:sz w:val="24"/>
          <w:szCs w:val="24"/>
          <w:shd w:val="clear" w:color="auto" w:fill="FFFFFF"/>
        </w:rPr>
        <w:t xml:space="preserve">health </w:t>
      </w:r>
      <w:r w:rsidR="004314CE">
        <w:rPr>
          <w:rFonts w:ascii="Times New Roman" w:hAnsi="Times New Roman" w:cs="Times New Roman"/>
          <w:color w:val="000000"/>
          <w:sz w:val="24"/>
          <w:szCs w:val="24"/>
          <w:shd w:val="clear" w:color="auto" w:fill="FFFFFF"/>
        </w:rPr>
        <w:t>outcomes</w:t>
      </w:r>
      <w:r w:rsidR="00D0514B">
        <w:rPr>
          <w:rFonts w:ascii="Times New Roman" w:hAnsi="Times New Roman" w:cs="Times New Roman"/>
          <w:color w:val="000000"/>
          <w:sz w:val="24"/>
          <w:szCs w:val="24"/>
          <w:shd w:val="clear" w:color="auto" w:fill="FFFFFF"/>
        </w:rPr>
        <w:t>, even</w:t>
      </w:r>
      <w:r w:rsidR="001A4EF3">
        <w:rPr>
          <w:rFonts w:ascii="Times New Roman" w:hAnsi="Times New Roman" w:cs="Times New Roman"/>
          <w:color w:val="000000"/>
          <w:sz w:val="24"/>
          <w:szCs w:val="24"/>
          <w:shd w:val="clear" w:color="auto" w:fill="FFFFFF"/>
        </w:rPr>
        <w:t xml:space="preserve"> following subsequent increases in HbA</w:t>
      </w:r>
      <w:r w:rsidR="00E83E9D" w:rsidRPr="00CD1F9F">
        <w:rPr>
          <w:rFonts w:ascii="Times New Roman" w:hAnsi="Times New Roman" w:cs="Times New Roman"/>
          <w:color w:val="000000"/>
          <w:sz w:val="24"/>
          <w:szCs w:val="24"/>
          <w:shd w:val="clear" w:color="auto" w:fill="FFFFFF"/>
          <w:vertAlign w:val="subscript"/>
        </w:rPr>
        <w:t>1c</w:t>
      </w:r>
      <w:r w:rsidR="00B91344">
        <w:rPr>
          <w:rFonts w:ascii="Times New Roman" w:hAnsi="Times New Roman" w:cs="Times New Roman"/>
          <w:color w:val="000000"/>
          <w:sz w:val="24"/>
          <w:szCs w:val="24"/>
          <w:shd w:val="clear" w:color="auto" w:fill="FFFFFF"/>
          <w:vertAlign w:val="subscript"/>
        </w:rPr>
        <w:t xml:space="preserve">. </w:t>
      </w:r>
      <w:r w:rsidR="00B91344">
        <w:rPr>
          <w:rFonts w:ascii="Times New Roman" w:hAnsi="Times New Roman" w:cs="Times New Roman"/>
          <w:color w:val="000000"/>
          <w:sz w:val="24"/>
          <w:szCs w:val="24"/>
          <w:shd w:val="clear" w:color="auto" w:fill="FFFFFF"/>
        </w:rPr>
        <w:t xml:space="preserve">Moreover, </w:t>
      </w:r>
      <w:r w:rsidR="00495457">
        <w:rPr>
          <w:rFonts w:ascii="Times New Roman" w:hAnsi="Times New Roman" w:cs="Times New Roman"/>
          <w:color w:val="000000"/>
          <w:sz w:val="24"/>
          <w:szCs w:val="24"/>
          <w:shd w:val="clear" w:color="auto" w:fill="FFFFFF"/>
        </w:rPr>
        <w:t xml:space="preserve">Group 1 </w:t>
      </w:r>
      <w:r w:rsidR="00482A50">
        <w:rPr>
          <w:rFonts w:ascii="Times New Roman" w:hAnsi="Times New Roman" w:cs="Times New Roman"/>
          <w:color w:val="000000"/>
          <w:sz w:val="24"/>
          <w:szCs w:val="24"/>
          <w:shd w:val="clear" w:color="auto" w:fill="FFFFFF"/>
        </w:rPr>
        <w:t xml:space="preserve">may have lower risk of mortality due to </w:t>
      </w:r>
      <w:r w:rsidR="00495457">
        <w:rPr>
          <w:rFonts w:ascii="Times New Roman" w:hAnsi="Times New Roman" w:cs="Times New Roman"/>
          <w:color w:val="000000"/>
          <w:sz w:val="24"/>
          <w:szCs w:val="24"/>
          <w:shd w:val="clear" w:color="auto" w:fill="FFFFFF"/>
        </w:rPr>
        <w:t>ha</w:t>
      </w:r>
      <w:r w:rsidR="00482A50">
        <w:rPr>
          <w:rFonts w:ascii="Times New Roman" w:hAnsi="Times New Roman" w:cs="Times New Roman"/>
          <w:color w:val="000000"/>
          <w:sz w:val="24"/>
          <w:szCs w:val="24"/>
          <w:shd w:val="clear" w:color="auto" w:fill="FFFFFF"/>
        </w:rPr>
        <w:t>ving</w:t>
      </w:r>
      <w:r w:rsidR="00495457">
        <w:rPr>
          <w:rFonts w:ascii="Times New Roman" w:hAnsi="Times New Roman" w:cs="Times New Roman"/>
          <w:color w:val="000000"/>
          <w:sz w:val="24"/>
          <w:szCs w:val="24"/>
          <w:shd w:val="clear" w:color="auto" w:fill="FFFFFF"/>
        </w:rPr>
        <w:t xml:space="preserve"> consiste</w:t>
      </w:r>
      <w:r w:rsidR="00BA364D">
        <w:rPr>
          <w:rFonts w:ascii="Times New Roman" w:hAnsi="Times New Roman" w:cs="Times New Roman"/>
          <w:color w:val="000000"/>
          <w:sz w:val="24"/>
          <w:szCs w:val="24"/>
          <w:shd w:val="clear" w:color="auto" w:fill="FFFFFF"/>
        </w:rPr>
        <w:t>ntly lower HbA</w:t>
      </w:r>
      <w:r w:rsidR="00BA364D" w:rsidRPr="00CD1F9F">
        <w:rPr>
          <w:rFonts w:ascii="Times New Roman" w:hAnsi="Times New Roman" w:cs="Times New Roman"/>
          <w:color w:val="000000"/>
          <w:sz w:val="24"/>
          <w:szCs w:val="24"/>
          <w:shd w:val="clear" w:color="auto" w:fill="FFFFFF"/>
          <w:vertAlign w:val="subscript"/>
        </w:rPr>
        <w:t>1c</w:t>
      </w:r>
      <w:r w:rsidR="00BA364D">
        <w:rPr>
          <w:rFonts w:ascii="Times New Roman" w:hAnsi="Times New Roman" w:cs="Times New Roman"/>
          <w:color w:val="000000"/>
          <w:sz w:val="24"/>
          <w:szCs w:val="24"/>
          <w:shd w:val="clear" w:color="auto" w:fill="FFFFFF"/>
        </w:rPr>
        <w:t xml:space="preserve"> levels compared to Group 3</w:t>
      </w:r>
      <w:r w:rsidR="00482A50">
        <w:rPr>
          <w:rFonts w:ascii="Times New Roman" w:hAnsi="Times New Roman" w:cs="Times New Roman"/>
          <w:color w:val="000000"/>
          <w:sz w:val="24"/>
          <w:szCs w:val="24"/>
          <w:shd w:val="clear" w:color="auto" w:fill="FFFFFF"/>
        </w:rPr>
        <w:t>. This</w:t>
      </w:r>
      <w:r w:rsidR="00CF7CD1">
        <w:rPr>
          <w:rFonts w:ascii="Times New Roman" w:hAnsi="Times New Roman" w:cs="Times New Roman"/>
          <w:color w:val="000000"/>
          <w:sz w:val="24"/>
          <w:szCs w:val="24"/>
          <w:shd w:val="clear" w:color="auto" w:fill="FFFFFF"/>
        </w:rPr>
        <w:t xml:space="preserve"> reflects increas</w:t>
      </w:r>
      <w:r w:rsidR="00284E9E">
        <w:rPr>
          <w:rFonts w:ascii="Times New Roman" w:hAnsi="Times New Roman" w:cs="Times New Roman"/>
          <w:color w:val="000000"/>
          <w:sz w:val="24"/>
          <w:szCs w:val="24"/>
          <w:shd w:val="clear" w:color="auto" w:fill="FFFFFF"/>
        </w:rPr>
        <w:t>ing</w:t>
      </w:r>
      <w:r w:rsidR="00CF7CD1">
        <w:rPr>
          <w:rFonts w:ascii="Times New Roman" w:hAnsi="Times New Roman" w:cs="Times New Roman"/>
          <w:color w:val="000000"/>
          <w:sz w:val="24"/>
          <w:szCs w:val="24"/>
          <w:shd w:val="clear" w:color="auto" w:fill="FFFFFF"/>
        </w:rPr>
        <w:t xml:space="preserve"> risk of mortality at higher levels of </w:t>
      </w:r>
      <w:r w:rsidR="00266E06">
        <w:rPr>
          <w:rFonts w:ascii="Times New Roman" w:hAnsi="Times New Roman" w:cs="Times New Roman"/>
          <w:color w:val="000000"/>
          <w:sz w:val="24"/>
          <w:szCs w:val="24"/>
          <w:shd w:val="clear" w:color="auto" w:fill="FFFFFF"/>
        </w:rPr>
        <w:t>HbA</w:t>
      </w:r>
      <w:r w:rsidR="00266E06" w:rsidRPr="00CD1F9F">
        <w:rPr>
          <w:rFonts w:ascii="Times New Roman" w:hAnsi="Times New Roman" w:cs="Times New Roman"/>
          <w:color w:val="000000"/>
          <w:sz w:val="24"/>
          <w:szCs w:val="24"/>
          <w:shd w:val="clear" w:color="auto" w:fill="FFFFFF"/>
          <w:vertAlign w:val="subscript"/>
        </w:rPr>
        <w:t>1c</w:t>
      </w:r>
      <w:r w:rsidR="00266E06">
        <w:rPr>
          <w:rFonts w:ascii="Times New Roman" w:hAnsi="Times New Roman" w:cs="Times New Roman"/>
          <w:color w:val="000000"/>
          <w:sz w:val="24"/>
          <w:szCs w:val="24"/>
          <w:shd w:val="clear" w:color="auto" w:fill="FFFFFF"/>
        </w:rPr>
        <w:t xml:space="preserve"> and</w:t>
      </w:r>
      <w:r w:rsidR="00482A50">
        <w:rPr>
          <w:rFonts w:ascii="Times New Roman" w:hAnsi="Times New Roman" w:cs="Times New Roman"/>
          <w:color w:val="000000"/>
          <w:sz w:val="24"/>
          <w:szCs w:val="24"/>
          <w:shd w:val="clear" w:color="auto" w:fill="FFFFFF"/>
        </w:rPr>
        <w:t xml:space="preserve"> is in line with some studies that have reported a linear</w:t>
      </w:r>
      <w:r w:rsidR="008C114C">
        <w:rPr>
          <w:rFonts w:ascii="Times New Roman" w:hAnsi="Times New Roman" w:cs="Times New Roman"/>
          <w:color w:val="000000"/>
          <w:sz w:val="24"/>
          <w:szCs w:val="24"/>
          <w:shd w:val="clear" w:color="auto" w:fill="FFFFFF"/>
        </w:rPr>
        <w:t xml:space="preserve"> or J shaped</w:t>
      </w:r>
      <w:r w:rsidR="00482A50">
        <w:rPr>
          <w:rFonts w:ascii="Times New Roman" w:hAnsi="Times New Roman" w:cs="Times New Roman"/>
          <w:color w:val="000000"/>
          <w:sz w:val="24"/>
          <w:szCs w:val="24"/>
          <w:shd w:val="clear" w:color="auto" w:fill="FFFFFF"/>
        </w:rPr>
        <w:t xml:space="preserve"> relationship </w:t>
      </w:r>
      <w:r w:rsidR="005D6740">
        <w:rPr>
          <w:rFonts w:ascii="Times New Roman" w:hAnsi="Times New Roman" w:cs="Times New Roman"/>
          <w:color w:val="000000"/>
          <w:sz w:val="24"/>
          <w:szCs w:val="24"/>
          <w:shd w:val="clear" w:color="auto" w:fill="FFFFFF"/>
        </w:rPr>
        <w:t>between HbA</w:t>
      </w:r>
      <w:r w:rsidR="005D6740" w:rsidRPr="00CD1F9F">
        <w:rPr>
          <w:rFonts w:ascii="Times New Roman" w:hAnsi="Times New Roman" w:cs="Times New Roman"/>
          <w:color w:val="000000"/>
          <w:sz w:val="24"/>
          <w:szCs w:val="24"/>
          <w:shd w:val="clear" w:color="auto" w:fill="FFFFFF"/>
          <w:vertAlign w:val="subscript"/>
        </w:rPr>
        <w:t xml:space="preserve">1c </w:t>
      </w:r>
      <w:r w:rsidR="005D6740">
        <w:rPr>
          <w:rFonts w:ascii="Times New Roman" w:hAnsi="Times New Roman" w:cs="Times New Roman"/>
          <w:color w:val="000000"/>
          <w:sz w:val="24"/>
          <w:szCs w:val="24"/>
          <w:shd w:val="clear" w:color="auto" w:fill="FFFFFF"/>
        </w:rPr>
        <w:t>and mortality</w:t>
      </w:r>
      <w:r w:rsidR="008A2102">
        <w:rPr>
          <w:rFonts w:ascii="Times New Roman" w:hAnsi="Times New Roman" w:cs="Times New Roman"/>
          <w:color w:val="000000"/>
          <w:sz w:val="24"/>
          <w:szCs w:val="24"/>
          <w:shd w:val="clear" w:color="auto" w:fill="FFFFFF"/>
        </w:rPr>
        <w:t>.</w:t>
      </w:r>
      <w:r w:rsidR="005D6740">
        <w:rPr>
          <w:rFonts w:ascii="Times New Roman" w:hAnsi="Times New Roman" w:cs="Times New Roman"/>
          <w:color w:val="000000"/>
          <w:sz w:val="24"/>
          <w:szCs w:val="24"/>
          <w:shd w:val="clear" w:color="auto" w:fill="FFFFFF"/>
        </w:rPr>
        <w:t xml:space="preserve"> [</w:t>
      </w:r>
      <w:r w:rsidR="00B62405">
        <w:rPr>
          <w:rFonts w:ascii="Times New Roman" w:hAnsi="Times New Roman" w:cs="Times New Roman"/>
          <w:color w:val="000000"/>
          <w:sz w:val="24"/>
          <w:szCs w:val="24"/>
          <w:shd w:val="clear" w:color="auto" w:fill="FFFFFF"/>
        </w:rPr>
        <w:t>19</w:t>
      </w:r>
      <w:r w:rsidR="005D6740">
        <w:rPr>
          <w:rFonts w:ascii="Times New Roman" w:hAnsi="Times New Roman" w:cs="Times New Roman"/>
          <w:color w:val="000000"/>
          <w:sz w:val="24"/>
          <w:szCs w:val="24"/>
          <w:shd w:val="clear" w:color="auto" w:fill="FFFFFF"/>
        </w:rPr>
        <w:t>]</w:t>
      </w:r>
      <w:r w:rsidR="00B62405">
        <w:rPr>
          <w:rFonts w:ascii="Times New Roman" w:hAnsi="Times New Roman" w:cs="Times New Roman"/>
          <w:color w:val="000000"/>
          <w:sz w:val="24"/>
          <w:szCs w:val="24"/>
          <w:shd w:val="clear" w:color="auto" w:fill="FFFFFF"/>
        </w:rPr>
        <w:t xml:space="preserve"> </w:t>
      </w:r>
      <w:r w:rsidR="008A2102">
        <w:rPr>
          <w:rFonts w:ascii="Times New Roman" w:hAnsi="Times New Roman" w:cs="Times New Roman"/>
          <w:color w:val="000000"/>
          <w:sz w:val="24"/>
          <w:szCs w:val="24"/>
          <w:shd w:val="clear" w:color="auto" w:fill="FFFFFF"/>
        </w:rPr>
        <w:t>Similarly</w:t>
      </w:r>
      <w:r w:rsidR="002666E0" w:rsidRPr="0046155E">
        <w:rPr>
          <w:rFonts w:ascii="Times New Roman" w:hAnsi="Times New Roman" w:cs="Times New Roman"/>
          <w:color w:val="000000"/>
          <w:sz w:val="24"/>
          <w:szCs w:val="24"/>
          <w:shd w:val="clear" w:color="auto" w:fill="FFFFFF"/>
        </w:rPr>
        <w:t>, patients in Group 4 (stable low HbA</w:t>
      </w:r>
      <w:r w:rsidR="002666E0" w:rsidRPr="0046155E">
        <w:rPr>
          <w:rFonts w:ascii="Times New Roman" w:hAnsi="Times New Roman" w:cs="Times New Roman"/>
          <w:color w:val="000000"/>
          <w:sz w:val="24"/>
          <w:szCs w:val="24"/>
          <w:shd w:val="clear" w:color="auto" w:fill="FFFFFF"/>
          <w:vertAlign w:val="subscript"/>
        </w:rPr>
        <w:t>1c</w:t>
      </w:r>
      <w:r w:rsidR="002666E0" w:rsidRPr="0046155E">
        <w:rPr>
          <w:rFonts w:ascii="Times New Roman" w:hAnsi="Times New Roman" w:cs="Times New Roman"/>
          <w:color w:val="000000"/>
          <w:sz w:val="24"/>
          <w:szCs w:val="24"/>
          <w:shd w:val="clear" w:color="auto" w:fill="FFFFFF"/>
        </w:rPr>
        <w:t xml:space="preserve"> levels with limited variation) had higher risk of mortality. </w:t>
      </w:r>
      <w:r w:rsidR="00F14CEF">
        <w:rPr>
          <w:rFonts w:ascii="Times New Roman" w:hAnsi="Times New Roman" w:cs="Times New Roman"/>
          <w:color w:val="000000"/>
          <w:sz w:val="24"/>
          <w:szCs w:val="24"/>
          <w:shd w:val="clear" w:color="auto" w:fill="FFFFFF"/>
        </w:rPr>
        <w:t xml:space="preserve">It is possible </w:t>
      </w:r>
      <w:r w:rsidR="00F14CEF" w:rsidRPr="0046155E">
        <w:rPr>
          <w:rFonts w:ascii="Times New Roman" w:hAnsi="Times New Roman" w:cs="Times New Roman"/>
          <w:sz w:val="24"/>
          <w:szCs w:val="24"/>
          <w:shd w:val="clear" w:color="auto" w:fill="FFFFFF"/>
        </w:rPr>
        <w:t>that</w:t>
      </w:r>
      <w:r w:rsidR="00FE71C6">
        <w:rPr>
          <w:rFonts w:ascii="Times New Roman" w:hAnsi="Times New Roman" w:cs="Times New Roman"/>
          <w:sz w:val="24"/>
          <w:szCs w:val="24"/>
          <w:shd w:val="clear" w:color="auto" w:fill="FFFFFF"/>
        </w:rPr>
        <w:t xml:space="preserve"> people in Group 4 included </w:t>
      </w:r>
      <w:r w:rsidR="00F14CEF" w:rsidRPr="0046155E">
        <w:rPr>
          <w:rFonts w:ascii="Times New Roman" w:hAnsi="Times New Roman" w:cs="Times New Roman"/>
          <w:sz w:val="24"/>
          <w:szCs w:val="24"/>
          <w:shd w:val="clear" w:color="auto" w:fill="FFFFFF"/>
        </w:rPr>
        <w:t>people who are unwell with a high risk of mortality (such as those with cancer)</w:t>
      </w:r>
      <w:r w:rsidR="005C238B">
        <w:rPr>
          <w:rFonts w:ascii="Times New Roman" w:hAnsi="Times New Roman" w:cs="Times New Roman"/>
          <w:sz w:val="24"/>
          <w:szCs w:val="24"/>
          <w:shd w:val="clear" w:color="auto" w:fill="FFFFFF"/>
        </w:rPr>
        <w:t xml:space="preserve"> and therefore</w:t>
      </w:r>
      <w:r w:rsidR="00F14CEF" w:rsidRPr="0046155E">
        <w:rPr>
          <w:rFonts w:ascii="Times New Roman" w:hAnsi="Times New Roman" w:cs="Times New Roman"/>
          <w:sz w:val="24"/>
          <w:szCs w:val="24"/>
          <w:shd w:val="clear" w:color="auto" w:fill="FFFFFF"/>
        </w:rPr>
        <w:t xml:space="preserve"> could be more likely to lose weight and go into remission. This unintentional weight loss could not be distinguished from intentional weight loss and might be a plausible explanation for some of the observed variations by remission group.</w:t>
      </w:r>
      <w:r w:rsidR="00CC7403">
        <w:rPr>
          <w:rFonts w:ascii="Times New Roman" w:hAnsi="Times New Roman" w:cs="Times New Roman"/>
          <w:sz w:val="24"/>
          <w:szCs w:val="24"/>
          <w:shd w:val="clear" w:color="auto" w:fill="FFFFFF"/>
        </w:rPr>
        <w:t xml:space="preserve"> </w:t>
      </w:r>
      <w:r w:rsidR="002666E0" w:rsidRPr="00CC7403">
        <w:rPr>
          <w:rFonts w:ascii="Times New Roman" w:hAnsi="Times New Roman" w:cs="Times New Roman"/>
          <w:color w:val="000000"/>
          <w:sz w:val="24"/>
          <w:szCs w:val="24"/>
          <w:shd w:val="clear" w:color="auto" w:fill="FFFFFF"/>
        </w:rPr>
        <w:t>Further research is needed to explore which patients achieving remission are at higher risk of mortality.</w:t>
      </w:r>
      <w:r w:rsidR="002666E0" w:rsidRPr="00CC7403">
        <w:rPr>
          <w:rFonts w:ascii="Times New Roman" w:hAnsi="Times New Roman" w:cs="Times New Roman"/>
          <w:sz w:val="24"/>
          <w:szCs w:val="24"/>
        </w:rPr>
        <w:t xml:space="preserve"> Further work is needed in larger and longer cohorts with more ethnic and socially diverse populations to develop targeted and personalised interventions according to remission group.</w:t>
      </w:r>
      <w:r w:rsidR="002666E0" w:rsidRPr="0046155E">
        <w:rPr>
          <w:rFonts w:ascii="Times New Roman" w:hAnsi="Times New Roman" w:cs="Times New Roman"/>
          <w:sz w:val="24"/>
          <w:szCs w:val="24"/>
        </w:rPr>
        <w:t xml:space="preserve"> </w:t>
      </w:r>
    </w:p>
    <w:p w14:paraId="7698BA12" w14:textId="77777777" w:rsidR="002666E0" w:rsidRDefault="002666E0" w:rsidP="00AA55FA">
      <w:pPr>
        <w:spacing w:after="0" w:line="480" w:lineRule="auto"/>
        <w:jc w:val="both"/>
        <w:rPr>
          <w:rFonts w:ascii="Times New Roman" w:hAnsi="Times New Roman" w:cs="Times New Roman"/>
          <w:sz w:val="24"/>
          <w:szCs w:val="24"/>
        </w:rPr>
      </w:pPr>
    </w:p>
    <w:p w14:paraId="11397C05" w14:textId="0D31574D" w:rsidR="00F1414C" w:rsidRPr="00CD1F9F" w:rsidRDefault="00F1414C" w:rsidP="00AA55FA">
      <w:pPr>
        <w:spacing w:after="0" w:line="480" w:lineRule="auto"/>
        <w:jc w:val="both"/>
        <w:rPr>
          <w:rFonts w:ascii="Times New Roman" w:hAnsi="Times New Roman" w:cs="Times New Roman"/>
          <w:b/>
          <w:bCs/>
          <w:sz w:val="32"/>
          <w:szCs w:val="32"/>
        </w:rPr>
      </w:pPr>
      <w:r w:rsidRPr="00CD1F9F">
        <w:rPr>
          <w:rFonts w:ascii="Times New Roman" w:hAnsi="Times New Roman" w:cs="Times New Roman"/>
          <w:b/>
          <w:bCs/>
          <w:sz w:val="32"/>
          <w:szCs w:val="32"/>
        </w:rPr>
        <w:t>Strengths and limitations</w:t>
      </w:r>
    </w:p>
    <w:p w14:paraId="4FDC6E9B" w14:textId="77777777" w:rsidR="008A2102" w:rsidRDefault="00AA55FA" w:rsidP="00AA55FA">
      <w:pPr>
        <w:spacing w:after="0" w:line="480" w:lineRule="auto"/>
        <w:jc w:val="both"/>
        <w:rPr>
          <w:rFonts w:ascii="Times New Roman" w:hAnsi="Times New Roman" w:cs="Times New Roman"/>
          <w:sz w:val="24"/>
          <w:szCs w:val="24"/>
          <w:shd w:val="clear" w:color="auto" w:fill="FFFFFF"/>
        </w:rPr>
      </w:pPr>
      <w:r w:rsidRPr="0046155E">
        <w:rPr>
          <w:rFonts w:ascii="Times New Roman" w:hAnsi="Times New Roman" w:cs="Times New Roman"/>
          <w:sz w:val="24"/>
          <w:szCs w:val="24"/>
        </w:rPr>
        <w:t>A strength of the study is our large population-based cohort of 60,287 people with type 2 diabetes across a wide geographic region of Southern England including 150 GP practices. The cohort included heterogeneity in age, sex and disease profiles but was limited to mainly people from white ethnicity. This reflects the local area but may not be generalisable to more diverse populations. We included a reasonable follow-up period of seven years with most previous studies examining remission limited to shorter durations.</w:t>
      </w:r>
      <w:r w:rsidRPr="0046155E">
        <w:rPr>
          <w:rFonts w:ascii="Times New Roman" w:hAnsi="Times New Roman" w:cs="Times New Roman"/>
          <w:sz w:val="24"/>
          <w:szCs w:val="24"/>
        </w:rPr>
        <w:fldChar w:fldCharType="begin" w:fldLock="1"/>
      </w:r>
      <w:r w:rsidRPr="0046155E">
        <w:rPr>
          <w:rFonts w:ascii="Times New Roman" w:hAnsi="Times New Roman" w:cs="Times New Roman"/>
          <w:sz w:val="24"/>
          <w:szCs w:val="24"/>
        </w:rPr>
        <w:instrText>ADDIN CSL_CITATION {"citationItems":[{"id":"ITEM-1","itemData":{"DOI":"10.1016/S0140-6736(17)33102-1","ISSN":"01406736","abstract":"&lt;h2&gt;Summary&lt;/h2&gt;&lt;h3&gt;Background&lt;/h3&gt;&lt;p&gt;Type 2 diabetes is a chronic disorder that requires lifelong treatment. We aimed to assess whether intensive weight management within routine primary care would achieve remission of type 2 diabetes.&lt;/p&gt;&lt;h3&gt;Methods&lt;/h3&gt;&lt;p&gt;We did this open-label, cluster-randomised trial (DiRECT) at 49 primary care practices in Scotland and the Tyneside region of England. Practices were randomly assigned (1:1), via a computer-generated list, to provide either a weight management programme (intervention) or best-practice care by guidelines (control), with stratification for study site (Tyneside or Scotland) and practice list size (&gt;5700 or ≤5700). Participants, carers, and research assistants who collected outcome data were aware of group allocation; however, allocation was concealed from the study statistician. We recruited individuals aged 20–65 years who had been diagnosed with type 2 diabetes within the past 6 years, had a body-mass index of 27–45 kg/m&lt;sup&gt;2&lt;/sup&gt;, and were not receiving insulin. The intervention comprised withdrawal of antidiabetic and antihypertensive drugs, total diet replacement (825–853 kcal/day formula diet for 3–5 months), stepped food reintroduction (2–8 weeks), and structured support for long-term weight loss maintenance. Co-primary outcomes were weight loss of 15 kg or more, and remission of diabetes, defined as glycated haemoglobin (HbA&lt;sub&gt;1c&lt;/sub&gt;) of less than 6·5% (&lt;48 mmol/mol) after at least 2 months off all antidiabetic medications, from baseline to 12 months. These outcomes were analysed hierarchically. This trial is registered with the ISRCTN registry, number 03267836.&lt;/p&gt;&lt;h3&gt;Findings&lt;/h3&gt;&lt;p&gt;Between July 25, 2014, and Aug 5, 2017, we recruited 306 individuals from 49 intervention (n=23) and control (n=26) general practices; 149 participants per group comprised the intention-to-treat population. At 12 months, we recorded weight loss of 15 kg or more in 36 (24%) participants in the intervention group and no participants in the control group (p&lt;0·0001). Diabetes remission was achieved in 68 (46%) participants in the intervention group and six (4%) participants in the control group (odds ratio 19·7, 95% CI 7·8–49·8; p&lt;0·0001). Remission varied with weight loss in the whole study population, with achievement in none of 76 participants who gained weight, six (7%) of 89 participants who maintained 0–5 kg weight loss, 19 (34%) of 56 participants with 5–10 kg loss, 16 (57%) of 28 participants with 10–15 …","author":[{"dropping-particle":"","family":"Lean","given":"Michael EJ","non-dropping-particle":"","parse-names":false,"suffix":""},{"dropping-particle":"","family":"Leslie","given":"Wilma S","non-dropping-particle":"","parse-names":false,"suffix":""},{"dropping-particle":"","family":"Barnes","given":"Alison C","non-dropping-particle":"","parse-names":false,"suffix":""},{"dropping-particle":"","family":"Brosnahan","given":"Naomi","non-dropping-particle":"","parse-names":false,"suffix":""},{"dropping-particle":"","family":"Thom","given":"George","non-dropping-particle":"","parse-names":false,"suffix":""},{"dropping-particle":"","family":"McCombie","given":"Louise","non-dropping-particle":"","parse-names":false,"suffix":""},{"dropping-particle":"","family":"Peters","given":"Carl","non-dropping-particle":"","parse-names":false,"suffix":""},{"dropping-particle":"","family":"Zhyzhneuskaya","given":"Sviatlana","non-dropping-particle":"","parse-names":false,"suffix":""},{"dropping-particle":"","family":"Al-Mrabeh","given":"Ahmad","non-dropping-particle":"","parse-names":false,"suffix":""},{"dropping-particle":"","family":"Hollingsworth","given":"Kieren G","non-dropping-particle":"","parse-names":false,"suffix":""},{"dropping-particle":"","family":"Rodrigues","given":"Angela M","non-dropping-particle":"","parse-names":false,"suffix":""},{"dropping-particle":"","family":"Rehackova","given":"Lucia","non-dropping-particle":"","parse-names":false,"suffix":""},{"dropping-particle":"","family":"Adamson","given":"Ashley J","non-dropping-particle":"","parse-names":false,"suffix":""},{"dropping-particle":"","family":"Sniehotta","given":"Falko F","non-dropping-particle":"","parse-names":false,"suffix":""},{"dropping-particle":"","family":"Mathers","given":"John C","non-dropping-particle":"","parse-names":false,"suffix":""},{"dropping-particle":"","family":"Ross","given":"Hazel M","non-dropping-particle":"","parse-names":false,"suffix":""},{"dropping-particle":"","family":"McIlvenna","given":"Yvonne","non-dropping-particle":"","parse-names":false,"suffix":""},{"dropping-particle":"","family":"Stefanetti","given":"Renae","non-dropping-particle":"","parse-names":false,"suffix":""},{"dropping-particle":"","family":"Trenell","given":"Michael","non-dropping-particle":"","parse-names":false,"suffix":""},{"dropping-particle":"","family":"Welsh","given":"Paul","non-dropping-particle":"","parse-names":false,"suffix":""},{"dropping-particle":"","family":"Kean","given":"Sharon","non-dropping-particle":"","parse-names":false,"suffix":""},{"dropping-particle":"","family":"Ford","given":"Ian","non-dropping-particle":"","parse-names":false,"suffix":""},{"dropping-particle":"","family":"McConnachie","given":"Alex","non-dropping-particle":"","parse-names":false,"suffix":""},{"dropping-particle":"","family":"Sattar","given":"Naveed","non-dropping-particle":"","parse-names":false,"suffix":""},{"dropping-particle":"","family":"Taylor","given":"Roy","non-dropping-particle":"","parse-names":false,"suffix":""}],"container-title":"The Lancet","id":"ITEM-1","issue":"0","issued":{"date-parts":[["2017","12"]]},"publisher":"Elsevier","title":"Primary care-led weight management for remission of type 2 diabetes (DiRECT): an open-label, cluster-randomised trial","type":"article-journal","volume":"0"},"uris":["http://www.mendeley.com/documents/?uuid=d327e834-8a80-359e-8e4e-41adbe71c497"]}],"mendeley":{"formattedCitation":"[10]","plainTextFormattedCitation":"[10]","previouslyFormattedCitation":"[10]"},"properties":{"noteIndex":0},"schema":"https://github.com/citation-style-language/schema/raw/master/csl-citation.json"}</w:instrText>
      </w:r>
      <w:r w:rsidRPr="0046155E">
        <w:rPr>
          <w:rFonts w:ascii="Times New Roman" w:hAnsi="Times New Roman" w:cs="Times New Roman"/>
          <w:sz w:val="24"/>
          <w:szCs w:val="24"/>
        </w:rPr>
        <w:fldChar w:fldCharType="separate"/>
      </w:r>
      <w:r w:rsidRPr="0046155E">
        <w:rPr>
          <w:rFonts w:ascii="Times New Roman" w:hAnsi="Times New Roman" w:cs="Times New Roman"/>
          <w:noProof/>
          <w:sz w:val="24"/>
          <w:szCs w:val="24"/>
        </w:rPr>
        <w:t>[10]</w:t>
      </w:r>
      <w:r w:rsidRPr="0046155E">
        <w:rPr>
          <w:rFonts w:ascii="Times New Roman" w:hAnsi="Times New Roman" w:cs="Times New Roman"/>
          <w:sz w:val="24"/>
          <w:szCs w:val="24"/>
        </w:rPr>
        <w:fldChar w:fldCharType="end"/>
      </w:r>
      <w:r w:rsidRPr="0046155E">
        <w:rPr>
          <w:rFonts w:ascii="Times New Roman" w:hAnsi="Times New Roman" w:cs="Times New Roman"/>
          <w:sz w:val="24"/>
          <w:szCs w:val="24"/>
        </w:rPr>
        <w:t xml:space="preserve"> The dataset used is from routinely collected clinical records and is dependent on clinicians accurately recording clinical events and thus is subject to error. However, we used Quality Outcome Framework measures wherever possible which are used for payment and administrative purposes. These measures have previously undergone validity testing and have high levels of completeness and accuracy.</w:t>
      </w:r>
      <w:r w:rsidRPr="0046155E">
        <w:rPr>
          <w:rFonts w:ascii="Times New Roman" w:hAnsi="Times New Roman" w:cs="Times New Roman"/>
          <w:sz w:val="24"/>
          <w:szCs w:val="24"/>
        </w:rPr>
        <w:fldChar w:fldCharType="begin" w:fldLock="1"/>
      </w:r>
      <w:r w:rsidRPr="0046155E">
        <w:rPr>
          <w:rFonts w:ascii="Times New Roman" w:hAnsi="Times New Roman" w:cs="Times New Roman"/>
          <w:sz w:val="24"/>
          <w:szCs w:val="24"/>
        </w:rPr>
        <w:instrText>ADDIN CSL_CITATION {"citationItems":[{"id":"ITEM-1","itemData":{"DOI":"10.3399/bjgp10X483562","ISSN":"09601643","abstract":"Background The UK-based General Practice Research Database (GPRD) is a valuable source of longitudinal primary care records and is increasingly used for epidemiological research. Aim To conduct a systematic review of the literature on accuracy and completeness of diagnostic coding in the GPRD. Design of study Systematic review. Method Six electronic databases were searched using search terms relating to the GPRD, in association with terms synonymous with validity, accuracy, concordance, and recording. A positive predictive value was calculated for each diagnosis that considered a comparison with a gold standard. Studies were also considered that compared the GPRD with other databases and national statistics. Results . A total of 49 papers are included in this review. Forty papers conducted validation of a clinical diagnosis in the GPRD. When assessed against a gold standard (validation using GP questionnaire, primary care medical records, or hospital correspondence), most of the diagnoses were accurately recorded in the patient electronic record. Acute conditions were not as well recorded, with positive predictive values lower than 50%. Twelve papers compared prevalence or consultation rates in the GPRD against other primary care databases or national statistics. Generally, there was good agreement between disease prevalence and consultation rates between the GPRD and other datasets; however, rates of diabetes and musculoskeletal conditions were underestimated in the GPRD. Conclusion Most of the diagnoses coded in the GPRD are well recorded. Researchers using the GPRD may want to consider how well the disease of interest is recorded before planning research, and consider how to optimise the identification of clinical events. © British Journal of General Practice.","author":[{"dropping-particle":"","family":"Khan","given":"Nada F.","non-dropping-particle":"","parse-names":false,"suffix":""},{"dropping-particle":"","family":"Harrison","given":"Sian E.","non-dropping-particle":"","parse-names":false,"suffix":""},{"dropping-particle":"","family":"Rose","given":"Peter W.","non-dropping-particle":"","parse-names":false,"suffix":""}],"container-title":"British Journal of General Practice","id":"ITEM-1","issue":"572","issued":{"date-parts":[["2010","3","1"]]},"page":"199-206","publisher":"British Journal of General Practice","title":"Validity of diagnostic coding within the General Practice Research Database: A systematic review","type":"article","volume":"60"},"uris":["http://www.mendeley.com/documents/?uuid=d444ee56-6810-342b-94c2-3662e3cc7e23"]}],"mendeley":{"formattedCitation":"[12]","plainTextFormattedCitation":"[12]"},"properties":{"noteIndex":0},"schema":"https://github.com/citation-style-language/schema/raw/master/csl-citation.json"}</w:instrText>
      </w:r>
      <w:r w:rsidRPr="0046155E">
        <w:rPr>
          <w:rFonts w:ascii="Times New Roman" w:hAnsi="Times New Roman" w:cs="Times New Roman"/>
          <w:sz w:val="24"/>
          <w:szCs w:val="24"/>
        </w:rPr>
        <w:fldChar w:fldCharType="separate"/>
      </w:r>
      <w:r w:rsidRPr="0046155E">
        <w:rPr>
          <w:rFonts w:ascii="Times New Roman" w:hAnsi="Times New Roman" w:cs="Times New Roman"/>
          <w:noProof/>
          <w:sz w:val="24"/>
          <w:szCs w:val="24"/>
        </w:rPr>
        <w:t>[13]</w:t>
      </w:r>
      <w:r w:rsidRPr="0046155E">
        <w:rPr>
          <w:rFonts w:ascii="Times New Roman" w:hAnsi="Times New Roman" w:cs="Times New Roman"/>
          <w:sz w:val="24"/>
          <w:szCs w:val="24"/>
        </w:rPr>
        <w:fldChar w:fldCharType="end"/>
      </w:r>
      <w:r w:rsidRPr="0046155E">
        <w:rPr>
          <w:rFonts w:ascii="Times New Roman" w:hAnsi="Times New Roman" w:cs="Times New Roman"/>
          <w:sz w:val="24"/>
          <w:szCs w:val="24"/>
        </w:rPr>
        <w:t xml:space="preserve"> We did not have exact dates for deaths in the database with only </w:t>
      </w:r>
      <w:r w:rsidRPr="0046155E">
        <w:rPr>
          <w:rFonts w:ascii="Times New Roman" w:eastAsia="Times New Roman" w:hAnsi="Times New Roman" w:cs="Times New Roman"/>
          <w:sz w:val="24"/>
          <w:szCs w:val="24"/>
        </w:rPr>
        <w:t>quarter of death available, so we used the mid-point of the quarter of death in the time to event analyses which may have introduced some error in our analysis. A further limitation was that we were only able to account for prescribed drugs that were captured in the electronic record; we did</w:t>
      </w:r>
      <w:r w:rsidRPr="0046155E">
        <w:rPr>
          <w:rFonts w:ascii="Times New Roman" w:hAnsi="Times New Roman" w:cs="Times New Roman"/>
          <w:sz w:val="24"/>
          <w:szCs w:val="24"/>
        </w:rPr>
        <w:t xml:space="preserve"> not have data on whether oral hypoglycaemic drugs were obtained from other sources or the exact date these drugs were prescribed in primary care. </w:t>
      </w:r>
      <w:r w:rsidRPr="0046155E">
        <w:rPr>
          <w:rFonts w:ascii="Times New Roman" w:hAnsi="Times New Roman" w:cs="Times New Roman"/>
          <w:sz w:val="24"/>
          <w:szCs w:val="24"/>
          <w:shd w:val="clear" w:color="auto" w:fill="FFFFFF"/>
        </w:rPr>
        <w:t xml:space="preserve">Missing data was another limitation of our study which is common with routinely collected data. Although, our sensitivity analysis demonstrated the robustness of our imputation methods as similar associations were observed in the non-imputed analysis. It is possible that </w:t>
      </w:r>
      <w:r w:rsidRPr="0046155E">
        <w:rPr>
          <w:rFonts w:ascii="Times New Roman" w:eastAsia="Times New Roman" w:hAnsi="Times New Roman" w:cs="Times New Roman"/>
          <w:sz w:val="24"/>
          <w:szCs w:val="24"/>
        </w:rPr>
        <w:t xml:space="preserve">some of our findings may be due to chance as </w:t>
      </w:r>
      <w:r w:rsidRPr="0046155E">
        <w:rPr>
          <w:rFonts w:ascii="Times New Roman" w:hAnsi="Times New Roman" w:cs="Times New Roman"/>
          <w:sz w:val="24"/>
          <w:szCs w:val="24"/>
          <w:shd w:val="clear" w:color="auto" w:fill="FFFFFF"/>
        </w:rPr>
        <w:t xml:space="preserve">we did conduct a number of hypothesis tests. Given that we observed consistent trends across all models and groups, this is less likely. Finally, </w:t>
      </w:r>
      <w:r w:rsidR="008A2102">
        <w:rPr>
          <w:rFonts w:ascii="Times New Roman" w:hAnsi="Times New Roman" w:cs="Times New Roman"/>
          <w:sz w:val="24"/>
          <w:szCs w:val="24"/>
          <w:shd w:val="clear" w:color="auto" w:fill="FFFFFF"/>
        </w:rPr>
        <w:t xml:space="preserve">we </w:t>
      </w:r>
      <w:proofErr w:type="spellStart"/>
      <w:r w:rsidR="008A2102">
        <w:rPr>
          <w:rFonts w:ascii="Times New Roman" w:hAnsi="Times New Roman" w:cs="Times New Roman"/>
          <w:sz w:val="24"/>
          <w:szCs w:val="24"/>
          <w:shd w:val="clear" w:color="auto" w:fill="FFFFFF"/>
        </w:rPr>
        <w:t>can not</w:t>
      </w:r>
      <w:proofErr w:type="spellEnd"/>
      <w:r w:rsidR="008A2102">
        <w:rPr>
          <w:rFonts w:ascii="Times New Roman" w:hAnsi="Times New Roman" w:cs="Times New Roman"/>
          <w:sz w:val="24"/>
          <w:szCs w:val="24"/>
          <w:shd w:val="clear" w:color="auto" w:fill="FFFFFF"/>
        </w:rPr>
        <w:t xml:space="preserve"> rule out </w:t>
      </w:r>
      <w:r w:rsidRPr="0046155E">
        <w:rPr>
          <w:rFonts w:ascii="Times New Roman" w:hAnsi="Times New Roman" w:cs="Times New Roman"/>
          <w:sz w:val="24"/>
          <w:szCs w:val="24"/>
          <w:shd w:val="clear" w:color="auto" w:fill="FFFFFF"/>
        </w:rPr>
        <w:t>reverse causality</w:t>
      </w:r>
      <w:r w:rsidR="008A2102">
        <w:rPr>
          <w:rFonts w:ascii="Times New Roman" w:hAnsi="Times New Roman" w:cs="Times New Roman"/>
          <w:sz w:val="24"/>
          <w:szCs w:val="24"/>
          <w:shd w:val="clear" w:color="auto" w:fill="FFFFFF"/>
        </w:rPr>
        <w:t>.</w:t>
      </w:r>
    </w:p>
    <w:p w14:paraId="02EED25F" w14:textId="77777777" w:rsidR="004C36D4" w:rsidRPr="0046155E" w:rsidRDefault="004C36D4" w:rsidP="00E21AD0">
      <w:pPr>
        <w:spacing w:after="0" w:line="480" w:lineRule="auto"/>
        <w:jc w:val="both"/>
        <w:rPr>
          <w:rFonts w:ascii="Times New Roman" w:hAnsi="Times New Roman" w:cs="Times New Roman"/>
          <w:color w:val="000000" w:themeColor="text1"/>
          <w:sz w:val="24"/>
          <w:szCs w:val="24"/>
          <w:shd w:val="clear" w:color="auto" w:fill="FFFFFF"/>
        </w:rPr>
      </w:pPr>
    </w:p>
    <w:p w14:paraId="3547D4A9" w14:textId="3B93D513" w:rsidR="00EB05A5" w:rsidRPr="00CD1F9F" w:rsidRDefault="001E21F1" w:rsidP="00E21AD0">
      <w:pPr>
        <w:spacing w:after="0" w:line="480" w:lineRule="auto"/>
        <w:rPr>
          <w:rFonts w:ascii="Times New Roman" w:hAnsi="Times New Roman" w:cs="Times New Roman"/>
          <w:b/>
          <w:bCs/>
          <w:sz w:val="36"/>
          <w:szCs w:val="36"/>
        </w:rPr>
      </w:pPr>
      <w:r w:rsidRPr="00CD1F9F">
        <w:rPr>
          <w:rFonts w:ascii="Times New Roman" w:hAnsi="Times New Roman" w:cs="Times New Roman"/>
          <w:b/>
          <w:bCs/>
          <w:sz w:val="36"/>
          <w:szCs w:val="36"/>
        </w:rPr>
        <w:t>Conclusions</w:t>
      </w:r>
    </w:p>
    <w:p w14:paraId="78CBFF39" w14:textId="7370DF04" w:rsidR="002666E0" w:rsidRDefault="002666E0" w:rsidP="002666E0">
      <w:pPr>
        <w:spacing w:after="0" w:line="480" w:lineRule="auto"/>
        <w:jc w:val="both"/>
        <w:rPr>
          <w:rFonts w:ascii="Times New Roman" w:hAnsi="Times New Roman" w:cs="Times New Roman"/>
          <w:sz w:val="24"/>
          <w:szCs w:val="24"/>
        </w:rPr>
      </w:pPr>
      <w:r w:rsidRPr="0046155E">
        <w:rPr>
          <w:rFonts w:ascii="Times New Roman" w:hAnsi="Times New Roman" w:cs="Times New Roman"/>
          <w:sz w:val="24"/>
          <w:szCs w:val="24"/>
        </w:rPr>
        <w:t xml:space="preserve">Remission of type 2 diabetes at any point during the course of diabetes is common in routine clinical care but patterns of remission including maintenance, vary considerably. </w:t>
      </w:r>
      <w:r w:rsidR="00B35AA9">
        <w:rPr>
          <w:rFonts w:ascii="Times New Roman" w:hAnsi="Times New Roman" w:cs="Times New Roman"/>
          <w:sz w:val="24"/>
          <w:szCs w:val="24"/>
        </w:rPr>
        <w:t>P</w:t>
      </w:r>
      <w:r w:rsidRPr="0046155E">
        <w:rPr>
          <w:rFonts w:ascii="Times New Roman" w:hAnsi="Times New Roman" w:cs="Times New Roman"/>
          <w:sz w:val="24"/>
          <w:szCs w:val="24"/>
        </w:rPr>
        <w:t>eople</w:t>
      </w:r>
      <w:r w:rsidR="00B35AA9">
        <w:rPr>
          <w:rFonts w:ascii="Times New Roman" w:hAnsi="Times New Roman" w:cs="Times New Roman"/>
          <w:sz w:val="24"/>
          <w:szCs w:val="24"/>
        </w:rPr>
        <w:t xml:space="preserve"> who </w:t>
      </w:r>
      <w:r w:rsidRPr="0046155E">
        <w:rPr>
          <w:rFonts w:ascii="Times New Roman" w:hAnsi="Times New Roman" w:cs="Times New Roman"/>
          <w:sz w:val="24"/>
          <w:szCs w:val="24"/>
        </w:rPr>
        <w:t>achiev</w:t>
      </w:r>
      <w:r>
        <w:rPr>
          <w:rFonts w:ascii="Times New Roman" w:hAnsi="Times New Roman" w:cs="Times New Roman"/>
          <w:sz w:val="24"/>
          <w:szCs w:val="24"/>
        </w:rPr>
        <w:t>e</w:t>
      </w:r>
      <w:r w:rsidRPr="0046155E">
        <w:rPr>
          <w:rFonts w:ascii="Times New Roman" w:hAnsi="Times New Roman" w:cs="Times New Roman"/>
          <w:sz w:val="24"/>
          <w:szCs w:val="24"/>
        </w:rPr>
        <w:t xml:space="preserve"> remission, even for shorter periods of time,</w:t>
      </w:r>
      <w:r w:rsidR="00DD7B26">
        <w:rPr>
          <w:rFonts w:ascii="Times New Roman" w:hAnsi="Times New Roman" w:cs="Times New Roman"/>
          <w:sz w:val="24"/>
          <w:szCs w:val="24"/>
        </w:rPr>
        <w:t xml:space="preserve"> </w:t>
      </w:r>
      <w:r w:rsidRPr="0046155E">
        <w:rPr>
          <w:rFonts w:ascii="Times New Roman" w:hAnsi="Times New Roman" w:cs="Times New Roman"/>
          <w:sz w:val="24"/>
          <w:szCs w:val="24"/>
        </w:rPr>
        <w:t xml:space="preserve">continue to benefit from this lower exposure to hyperglycaemia, which may, in turn, lower the risk of CVD outcomes including mortality. </w:t>
      </w:r>
    </w:p>
    <w:p w14:paraId="71A92C64" w14:textId="3BC4CCAA" w:rsidR="00DD540B" w:rsidRPr="0046155E" w:rsidRDefault="00DD540B" w:rsidP="00E21AD0">
      <w:pPr>
        <w:spacing w:after="0" w:line="480" w:lineRule="auto"/>
        <w:jc w:val="both"/>
        <w:rPr>
          <w:rFonts w:ascii="Times New Roman" w:hAnsi="Times New Roman" w:cs="Times New Roman"/>
          <w:color w:val="000000"/>
          <w:sz w:val="24"/>
          <w:szCs w:val="24"/>
          <w:shd w:val="clear" w:color="auto" w:fill="FFFFFF"/>
        </w:rPr>
      </w:pPr>
      <w:bookmarkStart w:id="6" w:name="_Hlk89328251"/>
    </w:p>
    <w:bookmarkEnd w:id="6"/>
    <w:p w14:paraId="41D4C0C0" w14:textId="2A7C7774" w:rsidR="00A66255" w:rsidRPr="0046155E" w:rsidRDefault="00A66255" w:rsidP="008629BE">
      <w:pPr>
        <w:jc w:val="both"/>
        <w:rPr>
          <w:rFonts w:ascii="Times New Roman" w:hAnsi="Times New Roman" w:cs="Times New Roman"/>
          <w:sz w:val="24"/>
          <w:szCs w:val="24"/>
        </w:rPr>
      </w:pPr>
    </w:p>
    <w:p w14:paraId="2280CC89" w14:textId="03FF54F7" w:rsidR="004123C4" w:rsidRPr="00CD1F9F" w:rsidRDefault="004123C4" w:rsidP="008629BE">
      <w:pPr>
        <w:pStyle w:val="NormalWeb"/>
        <w:shd w:val="clear" w:color="auto" w:fill="FFFFFF"/>
        <w:spacing w:before="0" w:beforeAutospacing="0" w:after="160" w:afterAutospacing="0" w:line="259" w:lineRule="auto"/>
        <w:jc w:val="both"/>
        <w:rPr>
          <w:b/>
          <w:bCs/>
          <w:color w:val="333333"/>
          <w:sz w:val="36"/>
          <w:szCs w:val="36"/>
        </w:rPr>
      </w:pPr>
      <w:r w:rsidRPr="00CD1F9F">
        <w:rPr>
          <w:b/>
          <w:bCs/>
          <w:color w:val="333333"/>
          <w:sz w:val="36"/>
          <w:szCs w:val="36"/>
        </w:rPr>
        <w:t>Acknowledgement</w:t>
      </w:r>
    </w:p>
    <w:p w14:paraId="562024AB" w14:textId="08FFA6EB" w:rsidR="004123C4" w:rsidRDefault="004123C4" w:rsidP="008629BE">
      <w:pPr>
        <w:pStyle w:val="NormalWeb"/>
        <w:shd w:val="clear" w:color="auto" w:fill="FFFFFF"/>
        <w:spacing w:before="0" w:beforeAutospacing="0" w:after="160" w:afterAutospacing="0" w:line="259" w:lineRule="auto"/>
        <w:jc w:val="both"/>
      </w:pPr>
      <w:r w:rsidRPr="00C472AD">
        <w:t>HDM is the guarantor of this study.</w:t>
      </w:r>
    </w:p>
    <w:p w14:paraId="74E08C80" w14:textId="3F97F3C5" w:rsidR="009136D2" w:rsidRPr="00CD1F9F" w:rsidRDefault="004D4B0A" w:rsidP="008629BE">
      <w:pPr>
        <w:rPr>
          <w:rFonts w:ascii="Times New Roman" w:hAnsi="Times New Roman" w:cs="Times New Roman"/>
          <w:b/>
          <w:bCs/>
          <w:sz w:val="36"/>
          <w:szCs w:val="36"/>
        </w:rPr>
      </w:pPr>
      <w:r w:rsidRPr="00CD1F9F">
        <w:rPr>
          <w:rFonts w:ascii="Times New Roman" w:hAnsi="Times New Roman" w:cs="Times New Roman"/>
          <w:b/>
          <w:bCs/>
          <w:sz w:val="36"/>
          <w:szCs w:val="36"/>
        </w:rPr>
        <w:t>References</w:t>
      </w:r>
    </w:p>
    <w:p w14:paraId="149C52DD" w14:textId="77777777" w:rsidR="00CD1F9F" w:rsidRDefault="004D4B0A" w:rsidP="008629BE">
      <w:pPr>
        <w:widowControl w:val="0"/>
        <w:autoSpaceDE w:val="0"/>
        <w:autoSpaceDN w:val="0"/>
        <w:adjustRightInd w:val="0"/>
        <w:ind w:left="640" w:hanging="640"/>
        <w:rPr>
          <w:rFonts w:ascii="Times New Roman" w:hAnsi="Times New Roman" w:cs="Times New Roman"/>
          <w:noProof/>
          <w:sz w:val="24"/>
          <w:szCs w:val="24"/>
        </w:rPr>
      </w:pPr>
      <w:r w:rsidRPr="0046155E">
        <w:rPr>
          <w:rFonts w:ascii="Times New Roman" w:hAnsi="Times New Roman" w:cs="Times New Roman"/>
          <w:sz w:val="24"/>
          <w:szCs w:val="24"/>
        </w:rPr>
        <w:fldChar w:fldCharType="begin" w:fldLock="1"/>
      </w:r>
      <w:r w:rsidRPr="0046155E">
        <w:rPr>
          <w:rFonts w:ascii="Times New Roman" w:hAnsi="Times New Roman" w:cs="Times New Roman"/>
          <w:sz w:val="24"/>
          <w:szCs w:val="24"/>
        </w:rPr>
        <w:instrText xml:space="preserve">ADDIN Mendeley Bibliography CSL_BIBLIOGRAPHY </w:instrText>
      </w:r>
      <w:r w:rsidRPr="0046155E">
        <w:rPr>
          <w:rFonts w:ascii="Times New Roman" w:hAnsi="Times New Roman" w:cs="Times New Roman"/>
          <w:sz w:val="24"/>
          <w:szCs w:val="24"/>
        </w:rPr>
        <w:fldChar w:fldCharType="separate"/>
      </w:r>
      <w:r w:rsidR="00CA3C96" w:rsidRPr="00F77E8E">
        <w:rPr>
          <w:rFonts w:ascii="Times New Roman" w:hAnsi="Times New Roman" w:cs="Times New Roman"/>
          <w:noProof/>
          <w:sz w:val="24"/>
          <w:szCs w:val="24"/>
        </w:rPr>
        <w:t xml:space="preserve">1 </w:t>
      </w:r>
      <w:r w:rsidR="00CA3C96" w:rsidRPr="00F77E8E">
        <w:rPr>
          <w:rFonts w:ascii="Times New Roman" w:hAnsi="Times New Roman" w:cs="Times New Roman"/>
          <w:noProof/>
          <w:sz w:val="24"/>
          <w:szCs w:val="24"/>
        </w:rPr>
        <w:tab/>
      </w:r>
      <w:r w:rsidR="009121BE" w:rsidRPr="00F77E8E">
        <w:rPr>
          <w:rFonts w:ascii="Times New Roman" w:hAnsi="Times New Roman" w:cs="Times New Roman"/>
          <w:noProof/>
          <w:sz w:val="24"/>
          <w:szCs w:val="24"/>
        </w:rPr>
        <w:t xml:space="preserve">Khan MAB, Hashim MJ, King JK, Govender RD, Mustafa H, </w:t>
      </w:r>
      <w:r w:rsidR="00AA25AD" w:rsidRPr="00F77E8E">
        <w:rPr>
          <w:rFonts w:ascii="Times New Roman" w:hAnsi="Times New Roman" w:cs="Times New Roman"/>
          <w:noProof/>
          <w:sz w:val="24"/>
          <w:szCs w:val="24"/>
        </w:rPr>
        <w:t>Al Kaabi J. Epidemiology of type 1 diabetes- global burden of disease and forecasted trends</w:t>
      </w:r>
      <w:r w:rsidR="00602BF6" w:rsidRPr="00F77E8E">
        <w:rPr>
          <w:rFonts w:ascii="Times New Roman" w:hAnsi="Times New Roman" w:cs="Times New Roman"/>
          <w:noProof/>
          <w:sz w:val="24"/>
          <w:szCs w:val="24"/>
        </w:rPr>
        <w:t>. Journal of Epidemiology and Global Health. 2020</w:t>
      </w:r>
      <w:r w:rsidR="00524573" w:rsidRPr="00F77E8E">
        <w:rPr>
          <w:rFonts w:ascii="Times New Roman" w:hAnsi="Times New Roman" w:cs="Times New Roman"/>
          <w:noProof/>
          <w:sz w:val="24"/>
          <w:szCs w:val="24"/>
        </w:rPr>
        <w:t xml:space="preserve">; </w:t>
      </w:r>
      <w:r w:rsidR="00B9752D" w:rsidRPr="00CD1F9F">
        <w:rPr>
          <w:rFonts w:ascii="Times New Roman" w:hAnsi="Times New Roman" w:cs="Times New Roman"/>
          <w:color w:val="212121"/>
          <w:sz w:val="24"/>
          <w:szCs w:val="24"/>
          <w:shd w:val="clear" w:color="auto" w:fill="FFFFFF"/>
        </w:rPr>
        <w:t>10(1), 107–111. https://doi.org/10.2991/jegh.k.191028.001</w:t>
      </w:r>
      <w:r w:rsidR="00B9752D" w:rsidRPr="00F77E8E" w:rsidDel="00B9752D">
        <w:rPr>
          <w:rFonts w:ascii="Times New Roman" w:hAnsi="Times New Roman" w:cs="Times New Roman"/>
          <w:noProof/>
          <w:sz w:val="24"/>
          <w:szCs w:val="24"/>
        </w:rPr>
        <w:t xml:space="preserve"> </w:t>
      </w:r>
    </w:p>
    <w:p w14:paraId="1B779992" w14:textId="4707E300" w:rsidR="00CA3C96"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 xml:space="preserve">2 </w:t>
      </w:r>
      <w:r w:rsidRPr="00F77E8E">
        <w:rPr>
          <w:rFonts w:ascii="Times New Roman" w:hAnsi="Times New Roman" w:cs="Times New Roman"/>
          <w:noProof/>
          <w:sz w:val="24"/>
          <w:szCs w:val="24"/>
        </w:rPr>
        <w:tab/>
        <w:t xml:space="preserve">Steven S, Hollingsworth KG, Al-Mrabeh A, </w:t>
      </w:r>
      <w:r w:rsidR="0078355D" w:rsidRPr="00CD1F9F">
        <w:rPr>
          <w:rFonts w:ascii="Times New Roman" w:hAnsi="Times New Roman" w:cs="Times New Roman"/>
          <w:noProof/>
          <w:sz w:val="24"/>
          <w:szCs w:val="24"/>
        </w:rPr>
        <w:t xml:space="preserve">Avery L, Aribisala B, Caslake M, </w:t>
      </w:r>
      <w:r w:rsidR="00CF7459" w:rsidRPr="00CD1F9F">
        <w:rPr>
          <w:rFonts w:ascii="Times New Roman" w:hAnsi="Times New Roman" w:cs="Times New Roman"/>
          <w:noProof/>
          <w:sz w:val="24"/>
          <w:szCs w:val="24"/>
        </w:rPr>
        <w:t>et al</w:t>
      </w:r>
      <w:r w:rsidRPr="00F77E8E">
        <w:rPr>
          <w:rFonts w:ascii="Times New Roman" w:hAnsi="Times New Roman" w:cs="Times New Roman"/>
          <w:i/>
          <w:iCs/>
          <w:noProof/>
          <w:sz w:val="24"/>
          <w:szCs w:val="24"/>
        </w:rPr>
        <w:t>.</w:t>
      </w:r>
      <w:r w:rsidRPr="00F77E8E">
        <w:rPr>
          <w:rFonts w:ascii="Times New Roman" w:hAnsi="Times New Roman" w:cs="Times New Roman"/>
          <w:noProof/>
          <w:sz w:val="24"/>
          <w:szCs w:val="24"/>
        </w:rPr>
        <w:t xml:space="preserve"> Very </w:t>
      </w:r>
      <w:r w:rsidR="00CF7459" w:rsidRPr="00F77E8E">
        <w:rPr>
          <w:rFonts w:ascii="Times New Roman" w:hAnsi="Times New Roman" w:cs="Times New Roman"/>
          <w:noProof/>
          <w:sz w:val="24"/>
          <w:szCs w:val="24"/>
        </w:rPr>
        <w:t>l</w:t>
      </w:r>
      <w:r w:rsidRPr="00F77E8E">
        <w:rPr>
          <w:rFonts w:ascii="Times New Roman" w:hAnsi="Times New Roman" w:cs="Times New Roman"/>
          <w:noProof/>
          <w:sz w:val="24"/>
          <w:szCs w:val="24"/>
        </w:rPr>
        <w:t>ow-</w:t>
      </w:r>
      <w:r w:rsidR="00CF7459" w:rsidRPr="00F77E8E">
        <w:rPr>
          <w:rFonts w:ascii="Times New Roman" w:hAnsi="Times New Roman" w:cs="Times New Roman"/>
          <w:noProof/>
          <w:sz w:val="24"/>
          <w:szCs w:val="24"/>
        </w:rPr>
        <w:t>c</w:t>
      </w:r>
      <w:r w:rsidRPr="00F77E8E">
        <w:rPr>
          <w:rFonts w:ascii="Times New Roman" w:hAnsi="Times New Roman" w:cs="Times New Roman"/>
          <w:noProof/>
          <w:sz w:val="24"/>
          <w:szCs w:val="24"/>
        </w:rPr>
        <w:t xml:space="preserve">alorie </w:t>
      </w:r>
      <w:r w:rsidR="00CF7459" w:rsidRPr="00F77E8E">
        <w:rPr>
          <w:rFonts w:ascii="Times New Roman" w:hAnsi="Times New Roman" w:cs="Times New Roman"/>
          <w:noProof/>
          <w:sz w:val="24"/>
          <w:szCs w:val="24"/>
        </w:rPr>
        <w:t>d</w:t>
      </w:r>
      <w:r w:rsidRPr="00F77E8E">
        <w:rPr>
          <w:rFonts w:ascii="Times New Roman" w:hAnsi="Times New Roman" w:cs="Times New Roman"/>
          <w:noProof/>
          <w:sz w:val="24"/>
          <w:szCs w:val="24"/>
        </w:rPr>
        <w:t xml:space="preserve">iet and 6 </w:t>
      </w:r>
      <w:r w:rsidR="00CF7459" w:rsidRPr="00F77E8E">
        <w:rPr>
          <w:rFonts w:ascii="Times New Roman" w:hAnsi="Times New Roman" w:cs="Times New Roman"/>
          <w:noProof/>
          <w:sz w:val="24"/>
          <w:szCs w:val="24"/>
        </w:rPr>
        <w:t>mo</w:t>
      </w:r>
      <w:r w:rsidRPr="00F77E8E">
        <w:rPr>
          <w:rFonts w:ascii="Times New Roman" w:hAnsi="Times New Roman" w:cs="Times New Roman"/>
          <w:noProof/>
          <w:sz w:val="24"/>
          <w:szCs w:val="24"/>
        </w:rPr>
        <w:t xml:space="preserve">nths of </w:t>
      </w:r>
      <w:r w:rsidR="00CF7459" w:rsidRPr="00F77E8E">
        <w:rPr>
          <w:rFonts w:ascii="Times New Roman" w:hAnsi="Times New Roman" w:cs="Times New Roman"/>
          <w:noProof/>
          <w:sz w:val="24"/>
          <w:szCs w:val="24"/>
        </w:rPr>
        <w:t>w</w:t>
      </w:r>
      <w:r w:rsidRPr="00F77E8E">
        <w:rPr>
          <w:rFonts w:ascii="Times New Roman" w:hAnsi="Times New Roman" w:cs="Times New Roman"/>
          <w:noProof/>
          <w:sz w:val="24"/>
          <w:szCs w:val="24"/>
        </w:rPr>
        <w:t xml:space="preserve">eight </w:t>
      </w:r>
      <w:r w:rsidR="00CF7459" w:rsidRPr="00F77E8E">
        <w:rPr>
          <w:rFonts w:ascii="Times New Roman" w:hAnsi="Times New Roman" w:cs="Times New Roman"/>
          <w:noProof/>
          <w:sz w:val="24"/>
          <w:szCs w:val="24"/>
        </w:rPr>
        <w:t>s</w:t>
      </w:r>
      <w:r w:rsidRPr="00F77E8E">
        <w:rPr>
          <w:rFonts w:ascii="Times New Roman" w:hAnsi="Times New Roman" w:cs="Times New Roman"/>
          <w:noProof/>
          <w:sz w:val="24"/>
          <w:szCs w:val="24"/>
        </w:rPr>
        <w:t xml:space="preserve">tability in </w:t>
      </w:r>
      <w:r w:rsidR="00CF7459" w:rsidRPr="00F77E8E">
        <w:rPr>
          <w:rFonts w:ascii="Times New Roman" w:hAnsi="Times New Roman" w:cs="Times New Roman"/>
          <w:noProof/>
          <w:sz w:val="24"/>
          <w:szCs w:val="24"/>
        </w:rPr>
        <w:t>t</w:t>
      </w:r>
      <w:r w:rsidRPr="00F77E8E">
        <w:rPr>
          <w:rFonts w:ascii="Times New Roman" w:hAnsi="Times New Roman" w:cs="Times New Roman"/>
          <w:noProof/>
          <w:sz w:val="24"/>
          <w:szCs w:val="24"/>
        </w:rPr>
        <w:t xml:space="preserve">ype 2 </w:t>
      </w:r>
      <w:r w:rsidR="00CF7459" w:rsidRPr="00F77E8E">
        <w:rPr>
          <w:rFonts w:ascii="Times New Roman" w:hAnsi="Times New Roman" w:cs="Times New Roman"/>
          <w:noProof/>
          <w:sz w:val="24"/>
          <w:szCs w:val="24"/>
        </w:rPr>
        <w:t>d</w:t>
      </w:r>
      <w:r w:rsidRPr="00F77E8E">
        <w:rPr>
          <w:rFonts w:ascii="Times New Roman" w:hAnsi="Times New Roman" w:cs="Times New Roman"/>
          <w:noProof/>
          <w:sz w:val="24"/>
          <w:szCs w:val="24"/>
        </w:rPr>
        <w:t xml:space="preserve">iabetes: </w:t>
      </w:r>
      <w:r w:rsidR="00CF7459" w:rsidRPr="00F77E8E">
        <w:rPr>
          <w:rFonts w:ascii="Times New Roman" w:hAnsi="Times New Roman" w:cs="Times New Roman"/>
          <w:noProof/>
          <w:sz w:val="24"/>
          <w:szCs w:val="24"/>
        </w:rPr>
        <w:t>p</w:t>
      </w:r>
      <w:r w:rsidRPr="00F77E8E">
        <w:rPr>
          <w:rFonts w:ascii="Times New Roman" w:hAnsi="Times New Roman" w:cs="Times New Roman"/>
          <w:noProof/>
          <w:sz w:val="24"/>
          <w:szCs w:val="24"/>
        </w:rPr>
        <w:t xml:space="preserve">athophysiological </w:t>
      </w:r>
      <w:r w:rsidR="00CF7459" w:rsidRPr="00F77E8E">
        <w:rPr>
          <w:rFonts w:ascii="Times New Roman" w:hAnsi="Times New Roman" w:cs="Times New Roman"/>
          <w:noProof/>
          <w:sz w:val="24"/>
          <w:szCs w:val="24"/>
        </w:rPr>
        <w:t>c</w:t>
      </w:r>
      <w:r w:rsidRPr="00F77E8E">
        <w:rPr>
          <w:rFonts w:ascii="Times New Roman" w:hAnsi="Times New Roman" w:cs="Times New Roman"/>
          <w:noProof/>
          <w:sz w:val="24"/>
          <w:szCs w:val="24"/>
        </w:rPr>
        <w:t xml:space="preserve">hanges in </w:t>
      </w:r>
      <w:r w:rsidR="00CF7459" w:rsidRPr="00F77E8E">
        <w:rPr>
          <w:rFonts w:ascii="Times New Roman" w:hAnsi="Times New Roman" w:cs="Times New Roman"/>
          <w:noProof/>
          <w:sz w:val="24"/>
          <w:szCs w:val="24"/>
        </w:rPr>
        <w:t>r</w:t>
      </w:r>
      <w:r w:rsidRPr="00F77E8E">
        <w:rPr>
          <w:rFonts w:ascii="Times New Roman" w:hAnsi="Times New Roman" w:cs="Times New Roman"/>
          <w:noProof/>
          <w:sz w:val="24"/>
          <w:szCs w:val="24"/>
        </w:rPr>
        <w:t xml:space="preserve">esponders and </w:t>
      </w:r>
      <w:r w:rsidR="00CF7459" w:rsidRPr="00F77E8E">
        <w:rPr>
          <w:rFonts w:ascii="Times New Roman" w:hAnsi="Times New Roman" w:cs="Times New Roman"/>
          <w:noProof/>
          <w:sz w:val="24"/>
          <w:szCs w:val="24"/>
        </w:rPr>
        <w:t>n</w:t>
      </w:r>
      <w:r w:rsidRPr="00F77E8E">
        <w:rPr>
          <w:rFonts w:ascii="Times New Roman" w:hAnsi="Times New Roman" w:cs="Times New Roman"/>
          <w:noProof/>
          <w:sz w:val="24"/>
          <w:szCs w:val="24"/>
        </w:rPr>
        <w:t xml:space="preserve">onresponders. </w:t>
      </w:r>
      <w:r w:rsidRPr="00CD1F9F">
        <w:rPr>
          <w:rFonts w:ascii="Times New Roman" w:hAnsi="Times New Roman" w:cs="Times New Roman"/>
          <w:noProof/>
          <w:sz w:val="24"/>
          <w:szCs w:val="24"/>
        </w:rPr>
        <w:t xml:space="preserve">Diabetes </w:t>
      </w:r>
      <w:r w:rsidR="00C5368B" w:rsidRPr="00CD1F9F">
        <w:rPr>
          <w:rFonts w:ascii="Times New Roman" w:hAnsi="Times New Roman" w:cs="Times New Roman"/>
          <w:noProof/>
          <w:sz w:val="24"/>
          <w:szCs w:val="24"/>
        </w:rPr>
        <w:t>C</w:t>
      </w:r>
      <w:r w:rsidRPr="00CD1F9F">
        <w:rPr>
          <w:rFonts w:ascii="Times New Roman" w:hAnsi="Times New Roman" w:cs="Times New Roman"/>
          <w:noProof/>
          <w:sz w:val="24"/>
          <w:szCs w:val="24"/>
        </w:rPr>
        <w:t>are</w:t>
      </w:r>
      <w:r w:rsidR="00FD0CF5" w:rsidRPr="00F77E8E">
        <w:rPr>
          <w:rFonts w:ascii="Times New Roman" w:hAnsi="Times New Roman" w:cs="Times New Roman"/>
          <w:i/>
          <w:iCs/>
          <w:noProof/>
          <w:sz w:val="24"/>
          <w:szCs w:val="24"/>
        </w:rPr>
        <w:t>.</w:t>
      </w:r>
      <w:r w:rsidRPr="00F77E8E">
        <w:rPr>
          <w:rFonts w:ascii="Times New Roman" w:hAnsi="Times New Roman" w:cs="Times New Roman"/>
          <w:noProof/>
          <w:sz w:val="24"/>
          <w:szCs w:val="24"/>
        </w:rPr>
        <w:t xml:space="preserve"> 2016;</w:t>
      </w:r>
      <w:r w:rsidRPr="00CD1F9F">
        <w:rPr>
          <w:rFonts w:ascii="Times New Roman" w:hAnsi="Times New Roman" w:cs="Times New Roman"/>
          <w:noProof/>
          <w:sz w:val="24"/>
          <w:szCs w:val="24"/>
        </w:rPr>
        <w:t>39</w:t>
      </w:r>
      <w:r w:rsidRPr="00F77E8E">
        <w:rPr>
          <w:rFonts w:ascii="Times New Roman" w:hAnsi="Times New Roman" w:cs="Times New Roman"/>
          <w:noProof/>
          <w:sz w:val="24"/>
          <w:szCs w:val="24"/>
        </w:rPr>
        <w:t>:808–15. doi:10.2337/dc15-1942</w:t>
      </w:r>
    </w:p>
    <w:p w14:paraId="4E598A52" w14:textId="77777777" w:rsidR="00CA7DC0"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 xml:space="preserve">3 </w:t>
      </w:r>
      <w:r w:rsidRPr="00F77E8E">
        <w:rPr>
          <w:rFonts w:ascii="Times New Roman" w:hAnsi="Times New Roman" w:cs="Times New Roman"/>
          <w:noProof/>
          <w:sz w:val="24"/>
          <w:szCs w:val="24"/>
        </w:rPr>
        <w:tab/>
      </w:r>
      <w:r w:rsidR="00CA7DC0" w:rsidRPr="00F77E8E">
        <w:rPr>
          <w:rFonts w:ascii="Times New Roman" w:hAnsi="Times New Roman" w:cs="Times New Roman"/>
          <w:noProof/>
          <w:sz w:val="24"/>
          <w:szCs w:val="24"/>
        </w:rPr>
        <w:t xml:space="preserve">Steven S, Taylor R. Restoring normoglycaemia by use of a very low calorie diet in long- and short-duration type 2 diabetes. </w:t>
      </w:r>
      <w:r w:rsidR="00CA7DC0" w:rsidRPr="00C516AB">
        <w:rPr>
          <w:rFonts w:ascii="Times New Roman" w:hAnsi="Times New Roman" w:cs="Times New Roman"/>
          <w:noProof/>
          <w:sz w:val="24"/>
          <w:szCs w:val="24"/>
        </w:rPr>
        <w:t>Diabetic Medicine.</w:t>
      </w:r>
      <w:r w:rsidR="00CA7DC0" w:rsidRPr="00F77E8E">
        <w:rPr>
          <w:rFonts w:ascii="Times New Roman" w:hAnsi="Times New Roman" w:cs="Times New Roman"/>
          <w:noProof/>
          <w:sz w:val="24"/>
          <w:szCs w:val="24"/>
        </w:rPr>
        <w:t xml:space="preserve"> 2015;</w:t>
      </w:r>
      <w:r w:rsidR="00CA7DC0" w:rsidRPr="00C516AB">
        <w:rPr>
          <w:rFonts w:ascii="Times New Roman" w:hAnsi="Times New Roman" w:cs="Times New Roman"/>
          <w:noProof/>
          <w:sz w:val="24"/>
          <w:szCs w:val="24"/>
        </w:rPr>
        <w:t>32</w:t>
      </w:r>
      <w:r w:rsidR="00CA7DC0" w:rsidRPr="00F77E8E">
        <w:rPr>
          <w:rFonts w:ascii="Times New Roman" w:hAnsi="Times New Roman" w:cs="Times New Roman"/>
          <w:noProof/>
          <w:sz w:val="24"/>
          <w:szCs w:val="24"/>
        </w:rPr>
        <w:t>:1149–55.</w:t>
      </w:r>
    </w:p>
    <w:p w14:paraId="564B42D7" w14:textId="1BB6C62B" w:rsidR="00CA3C96" w:rsidRPr="00F77E8E" w:rsidRDefault="00987F32"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4        </w:t>
      </w:r>
      <w:r w:rsidR="00CA3C96" w:rsidRPr="00F77E8E">
        <w:rPr>
          <w:rFonts w:ascii="Times New Roman" w:hAnsi="Times New Roman" w:cs="Times New Roman"/>
          <w:noProof/>
          <w:sz w:val="24"/>
          <w:szCs w:val="24"/>
        </w:rPr>
        <w:t>Gregg EW, Chen H, Wagenknecht LE,</w:t>
      </w:r>
      <w:r w:rsidR="0013350E" w:rsidRPr="00F77E8E">
        <w:rPr>
          <w:rFonts w:ascii="Times New Roman" w:hAnsi="Times New Roman" w:cs="Times New Roman"/>
          <w:noProof/>
          <w:sz w:val="24"/>
          <w:szCs w:val="24"/>
        </w:rPr>
        <w:t xml:space="preserve"> Clark JM, Delahanty</w:t>
      </w:r>
      <w:r w:rsidR="0029505E" w:rsidRPr="00F77E8E">
        <w:rPr>
          <w:rFonts w:ascii="Times New Roman" w:hAnsi="Times New Roman" w:cs="Times New Roman"/>
          <w:noProof/>
          <w:sz w:val="24"/>
          <w:szCs w:val="24"/>
        </w:rPr>
        <w:t xml:space="preserve"> LM, Bantle J,</w:t>
      </w:r>
      <w:r w:rsidR="00CA3C96" w:rsidRPr="00F77E8E">
        <w:rPr>
          <w:rFonts w:ascii="Times New Roman" w:hAnsi="Times New Roman" w:cs="Times New Roman"/>
          <w:noProof/>
          <w:sz w:val="24"/>
          <w:szCs w:val="24"/>
        </w:rPr>
        <w:t xml:space="preserve"> </w:t>
      </w:r>
      <w:r w:rsidR="0013350E" w:rsidRPr="00CD1F9F">
        <w:rPr>
          <w:rFonts w:ascii="Times New Roman" w:hAnsi="Times New Roman" w:cs="Times New Roman"/>
          <w:noProof/>
          <w:sz w:val="24"/>
          <w:szCs w:val="24"/>
        </w:rPr>
        <w:t>et al</w:t>
      </w:r>
      <w:r w:rsidR="00CA3C96" w:rsidRPr="00F77E8E">
        <w:rPr>
          <w:rFonts w:ascii="Times New Roman" w:hAnsi="Times New Roman" w:cs="Times New Roman"/>
          <w:i/>
          <w:iCs/>
          <w:noProof/>
          <w:sz w:val="24"/>
          <w:szCs w:val="24"/>
        </w:rPr>
        <w:t>.</w:t>
      </w:r>
      <w:r w:rsidR="00CA3C96" w:rsidRPr="00F77E8E">
        <w:rPr>
          <w:rFonts w:ascii="Times New Roman" w:hAnsi="Times New Roman" w:cs="Times New Roman"/>
          <w:noProof/>
          <w:sz w:val="24"/>
          <w:szCs w:val="24"/>
        </w:rPr>
        <w:t xml:space="preserve"> Association of an </w:t>
      </w:r>
      <w:r w:rsidR="0029505E" w:rsidRPr="00F77E8E">
        <w:rPr>
          <w:rFonts w:ascii="Times New Roman" w:hAnsi="Times New Roman" w:cs="Times New Roman"/>
          <w:noProof/>
          <w:sz w:val="24"/>
          <w:szCs w:val="24"/>
        </w:rPr>
        <w:t>i</w:t>
      </w:r>
      <w:r w:rsidR="00CA3C96" w:rsidRPr="00F77E8E">
        <w:rPr>
          <w:rFonts w:ascii="Times New Roman" w:hAnsi="Times New Roman" w:cs="Times New Roman"/>
          <w:noProof/>
          <w:sz w:val="24"/>
          <w:szCs w:val="24"/>
        </w:rPr>
        <w:t xml:space="preserve">ntensive </w:t>
      </w:r>
      <w:r w:rsidR="0029505E" w:rsidRPr="00F77E8E">
        <w:rPr>
          <w:rFonts w:ascii="Times New Roman" w:hAnsi="Times New Roman" w:cs="Times New Roman"/>
          <w:noProof/>
          <w:sz w:val="24"/>
          <w:szCs w:val="24"/>
        </w:rPr>
        <w:t>l</w:t>
      </w:r>
      <w:r w:rsidR="00CA3C96" w:rsidRPr="00F77E8E">
        <w:rPr>
          <w:rFonts w:ascii="Times New Roman" w:hAnsi="Times New Roman" w:cs="Times New Roman"/>
          <w:noProof/>
          <w:sz w:val="24"/>
          <w:szCs w:val="24"/>
        </w:rPr>
        <w:t xml:space="preserve">ifestyle </w:t>
      </w:r>
      <w:r w:rsidR="0029505E" w:rsidRPr="00F77E8E">
        <w:rPr>
          <w:rFonts w:ascii="Times New Roman" w:hAnsi="Times New Roman" w:cs="Times New Roman"/>
          <w:noProof/>
          <w:sz w:val="24"/>
          <w:szCs w:val="24"/>
        </w:rPr>
        <w:t>i</w:t>
      </w:r>
      <w:r w:rsidR="00CA3C96" w:rsidRPr="00F77E8E">
        <w:rPr>
          <w:rFonts w:ascii="Times New Roman" w:hAnsi="Times New Roman" w:cs="Times New Roman"/>
          <w:noProof/>
          <w:sz w:val="24"/>
          <w:szCs w:val="24"/>
        </w:rPr>
        <w:t xml:space="preserve">ntervention </w:t>
      </w:r>
      <w:r w:rsidR="0029505E" w:rsidRPr="00F77E8E">
        <w:rPr>
          <w:rFonts w:ascii="Times New Roman" w:hAnsi="Times New Roman" w:cs="Times New Roman"/>
          <w:noProof/>
          <w:sz w:val="24"/>
          <w:szCs w:val="24"/>
        </w:rPr>
        <w:t>w</w:t>
      </w:r>
      <w:r w:rsidR="00CA3C96" w:rsidRPr="00F77E8E">
        <w:rPr>
          <w:rFonts w:ascii="Times New Roman" w:hAnsi="Times New Roman" w:cs="Times New Roman"/>
          <w:noProof/>
          <w:sz w:val="24"/>
          <w:szCs w:val="24"/>
        </w:rPr>
        <w:t xml:space="preserve">ith </w:t>
      </w:r>
      <w:r w:rsidR="0029505E" w:rsidRPr="00F77E8E">
        <w:rPr>
          <w:rFonts w:ascii="Times New Roman" w:hAnsi="Times New Roman" w:cs="Times New Roman"/>
          <w:noProof/>
          <w:sz w:val="24"/>
          <w:szCs w:val="24"/>
        </w:rPr>
        <w:t>r</w:t>
      </w:r>
      <w:r w:rsidR="00CA3C96" w:rsidRPr="00F77E8E">
        <w:rPr>
          <w:rFonts w:ascii="Times New Roman" w:hAnsi="Times New Roman" w:cs="Times New Roman"/>
          <w:noProof/>
          <w:sz w:val="24"/>
          <w:szCs w:val="24"/>
        </w:rPr>
        <w:t xml:space="preserve">emission of </w:t>
      </w:r>
      <w:r w:rsidR="0029505E" w:rsidRPr="00F77E8E">
        <w:rPr>
          <w:rFonts w:ascii="Times New Roman" w:hAnsi="Times New Roman" w:cs="Times New Roman"/>
          <w:noProof/>
          <w:sz w:val="24"/>
          <w:szCs w:val="24"/>
        </w:rPr>
        <w:t>t</w:t>
      </w:r>
      <w:r w:rsidR="00CA3C96" w:rsidRPr="00F77E8E">
        <w:rPr>
          <w:rFonts w:ascii="Times New Roman" w:hAnsi="Times New Roman" w:cs="Times New Roman"/>
          <w:noProof/>
          <w:sz w:val="24"/>
          <w:szCs w:val="24"/>
        </w:rPr>
        <w:t xml:space="preserve">ype 2 </w:t>
      </w:r>
      <w:r w:rsidR="0029505E" w:rsidRPr="00F77E8E">
        <w:rPr>
          <w:rFonts w:ascii="Times New Roman" w:hAnsi="Times New Roman" w:cs="Times New Roman"/>
          <w:noProof/>
          <w:sz w:val="24"/>
          <w:szCs w:val="24"/>
        </w:rPr>
        <w:t>d</w:t>
      </w:r>
      <w:r w:rsidR="00CA3C96" w:rsidRPr="00F77E8E">
        <w:rPr>
          <w:rFonts w:ascii="Times New Roman" w:hAnsi="Times New Roman" w:cs="Times New Roman"/>
          <w:noProof/>
          <w:sz w:val="24"/>
          <w:szCs w:val="24"/>
        </w:rPr>
        <w:t xml:space="preserve">iabetes. </w:t>
      </w:r>
      <w:r w:rsidR="00CA3C96" w:rsidRPr="00CD1F9F">
        <w:rPr>
          <w:rFonts w:ascii="Times New Roman" w:hAnsi="Times New Roman" w:cs="Times New Roman"/>
          <w:noProof/>
          <w:sz w:val="24"/>
          <w:szCs w:val="24"/>
        </w:rPr>
        <w:t>JAMA</w:t>
      </w:r>
      <w:r w:rsidR="00FD0CF5" w:rsidRPr="00CD1F9F">
        <w:rPr>
          <w:rFonts w:ascii="Times New Roman" w:hAnsi="Times New Roman" w:cs="Times New Roman"/>
          <w:noProof/>
          <w:sz w:val="24"/>
          <w:szCs w:val="24"/>
        </w:rPr>
        <w:t>.</w:t>
      </w:r>
      <w:r w:rsidR="00CA3C96" w:rsidRPr="00F77E8E">
        <w:rPr>
          <w:rFonts w:ascii="Times New Roman" w:hAnsi="Times New Roman" w:cs="Times New Roman"/>
          <w:noProof/>
          <w:sz w:val="24"/>
          <w:szCs w:val="24"/>
        </w:rPr>
        <w:t xml:space="preserve"> 2012;</w:t>
      </w:r>
      <w:r w:rsidR="00CA3C96" w:rsidRPr="00CD1F9F">
        <w:rPr>
          <w:rFonts w:ascii="Times New Roman" w:hAnsi="Times New Roman" w:cs="Times New Roman"/>
          <w:noProof/>
          <w:sz w:val="24"/>
          <w:szCs w:val="24"/>
        </w:rPr>
        <w:t>308</w:t>
      </w:r>
      <w:r w:rsidR="00CA3C96" w:rsidRPr="00F77E8E">
        <w:rPr>
          <w:rFonts w:ascii="Times New Roman" w:hAnsi="Times New Roman" w:cs="Times New Roman"/>
          <w:noProof/>
          <w:sz w:val="24"/>
          <w:szCs w:val="24"/>
        </w:rPr>
        <w:t>:2489. doi:10.1001/jama.2012.67929</w:t>
      </w:r>
    </w:p>
    <w:p w14:paraId="205012EA" w14:textId="4ABF1D7B" w:rsidR="00CA3C96"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r>
    </w:p>
    <w:p w14:paraId="3AF2688F" w14:textId="743E409C" w:rsidR="00CA3C96" w:rsidRPr="00F77E8E" w:rsidRDefault="005C7EAD"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5</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t>Dambha‐Miller H, Day AJ, Strelitz J,</w:t>
      </w:r>
      <w:r w:rsidR="00DF13FC" w:rsidRPr="00F77E8E">
        <w:rPr>
          <w:rFonts w:ascii="Times New Roman" w:hAnsi="Times New Roman" w:cs="Times New Roman"/>
          <w:noProof/>
          <w:sz w:val="24"/>
          <w:szCs w:val="24"/>
        </w:rPr>
        <w:t xml:space="preserve"> Irving G, Griffin SJ </w:t>
      </w:r>
      <w:r w:rsidR="00CA3C96" w:rsidRPr="00F77E8E">
        <w:rPr>
          <w:rFonts w:ascii="Times New Roman" w:hAnsi="Times New Roman" w:cs="Times New Roman"/>
          <w:i/>
          <w:iCs/>
          <w:noProof/>
          <w:sz w:val="24"/>
          <w:szCs w:val="24"/>
        </w:rPr>
        <w:t>.</w:t>
      </w:r>
      <w:r w:rsidR="00CA3C96" w:rsidRPr="00F77E8E">
        <w:rPr>
          <w:rFonts w:ascii="Times New Roman" w:hAnsi="Times New Roman" w:cs="Times New Roman"/>
          <w:noProof/>
          <w:sz w:val="24"/>
          <w:szCs w:val="24"/>
        </w:rPr>
        <w:t xml:space="preserve"> Behaviour change, weight loss and remission of Type 2 diabetes: a community‐based prospective cohort study. </w:t>
      </w:r>
      <w:r w:rsidR="00CA3C96" w:rsidRPr="00CD1F9F">
        <w:rPr>
          <w:rFonts w:ascii="Times New Roman" w:hAnsi="Times New Roman" w:cs="Times New Roman"/>
          <w:noProof/>
          <w:sz w:val="24"/>
          <w:szCs w:val="24"/>
        </w:rPr>
        <w:t>Diabet</w:t>
      </w:r>
      <w:r w:rsidR="00E110B9" w:rsidRPr="00CD1F9F">
        <w:rPr>
          <w:rFonts w:ascii="Times New Roman" w:hAnsi="Times New Roman" w:cs="Times New Roman"/>
          <w:noProof/>
          <w:sz w:val="24"/>
          <w:szCs w:val="24"/>
        </w:rPr>
        <w:t>ic</w:t>
      </w:r>
      <w:r w:rsidR="00CA3C96" w:rsidRPr="00CD1F9F">
        <w:rPr>
          <w:rFonts w:ascii="Times New Roman" w:hAnsi="Times New Roman" w:cs="Times New Roman"/>
          <w:noProof/>
          <w:sz w:val="24"/>
          <w:szCs w:val="24"/>
        </w:rPr>
        <w:t xml:space="preserve"> Med</w:t>
      </w:r>
      <w:r w:rsidR="00E110B9" w:rsidRPr="00CD1F9F">
        <w:rPr>
          <w:rFonts w:ascii="Times New Roman" w:hAnsi="Times New Roman" w:cs="Times New Roman"/>
          <w:noProof/>
          <w:sz w:val="24"/>
          <w:szCs w:val="24"/>
        </w:rPr>
        <w:t>icine.</w:t>
      </w:r>
      <w:r w:rsidR="00767512" w:rsidRPr="00F77E8E">
        <w:rPr>
          <w:rFonts w:ascii="Times New Roman" w:hAnsi="Times New Roman" w:cs="Times New Roman"/>
          <w:i/>
          <w:iCs/>
          <w:noProof/>
          <w:sz w:val="24"/>
          <w:szCs w:val="24"/>
        </w:rPr>
        <w:t xml:space="preserve"> </w:t>
      </w:r>
      <w:r w:rsidR="00767512" w:rsidRPr="00F77E8E">
        <w:rPr>
          <w:rFonts w:ascii="Times New Roman" w:hAnsi="Times New Roman" w:cs="Times New Roman"/>
          <w:noProof/>
          <w:sz w:val="24"/>
          <w:szCs w:val="24"/>
        </w:rPr>
        <w:t>2020;37(4):681-688.</w:t>
      </w:r>
      <w:r w:rsidR="00CA3C96" w:rsidRPr="00F77E8E">
        <w:rPr>
          <w:rFonts w:ascii="Times New Roman" w:hAnsi="Times New Roman" w:cs="Times New Roman"/>
          <w:noProof/>
          <w:sz w:val="24"/>
          <w:szCs w:val="24"/>
        </w:rPr>
        <w:t xml:space="preserve">  doi:10.1111/dme.14122</w:t>
      </w:r>
    </w:p>
    <w:p w14:paraId="00A20FB8" w14:textId="75F46C82" w:rsidR="00CA3C96" w:rsidRPr="00F77E8E" w:rsidRDefault="005C7EAD"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6</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r>
      <w:r w:rsidR="002627F8" w:rsidRPr="00CD1F9F">
        <w:rPr>
          <w:rFonts w:ascii="Times New Roman" w:hAnsi="Times New Roman" w:cs="Times New Roman"/>
          <w:color w:val="212121"/>
          <w:sz w:val="24"/>
          <w:szCs w:val="24"/>
          <w:shd w:val="clear" w:color="auto" w:fill="FFFFFF"/>
        </w:rPr>
        <w:t xml:space="preserve">Holman RR, Paul SK, Bethel MA, Matthews DR, Neil HA. 10-year follow-up of intensive glucose control in type 2 diabetes. </w:t>
      </w:r>
      <w:r w:rsidR="003A21C9" w:rsidRPr="00F77E8E">
        <w:rPr>
          <w:rFonts w:ascii="Times New Roman" w:hAnsi="Times New Roman" w:cs="Times New Roman"/>
          <w:color w:val="212121"/>
          <w:sz w:val="24"/>
          <w:szCs w:val="24"/>
          <w:shd w:val="clear" w:color="auto" w:fill="FFFFFF"/>
        </w:rPr>
        <w:t>The New England Journal of Medicine</w:t>
      </w:r>
      <w:r w:rsidR="002627F8" w:rsidRPr="00CD1F9F">
        <w:rPr>
          <w:rFonts w:ascii="Times New Roman" w:hAnsi="Times New Roman" w:cs="Times New Roman"/>
          <w:color w:val="212121"/>
          <w:sz w:val="24"/>
          <w:szCs w:val="24"/>
          <w:shd w:val="clear" w:color="auto" w:fill="FFFFFF"/>
        </w:rPr>
        <w:t xml:space="preserve">. 2008;359(15):1577-89. doi: 10.1056/NEJMoa0806470. </w:t>
      </w:r>
    </w:p>
    <w:p w14:paraId="6441AA2F" w14:textId="4A663A3E" w:rsidR="00CA3C96" w:rsidRPr="00F77E8E" w:rsidRDefault="005C7EAD"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7</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r>
      <w:r w:rsidR="00664A61" w:rsidRPr="00CD1F9F">
        <w:rPr>
          <w:rFonts w:ascii="Times New Roman" w:hAnsi="Times New Roman" w:cs="Times New Roman"/>
          <w:color w:val="212121"/>
          <w:sz w:val="24"/>
          <w:szCs w:val="24"/>
          <w:shd w:val="clear" w:color="auto" w:fill="FFFFFF"/>
        </w:rPr>
        <w:t>Zhou JJ, Schwenke DC, Bahn G, Reaven P; VADT Investigators. Glycemic variation and cardiovascular risk in the veterans affairs diabetes trial. Diabetes Care. 2018;41(10):2187-2194. doi: 10.2337/dc18-0548.</w:t>
      </w:r>
    </w:p>
    <w:p w14:paraId="462AAA96" w14:textId="0DF3983E" w:rsidR="00CA3C96" w:rsidRPr="00F77E8E" w:rsidRDefault="005C7EAD"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8</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r>
      <w:r w:rsidR="004E36D9" w:rsidRPr="00CD1F9F">
        <w:rPr>
          <w:rFonts w:ascii="Times New Roman" w:hAnsi="Times New Roman" w:cs="Times New Roman"/>
          <w:color w:val="212121"/>
          <w:sz w:val="24"/>
          <w:szCs w:val="24"/>
          <w:shd w:val="clear" w:color="auto" w:fill="FFFFFF"/>
        </w:rPr>
        <w:t>Giugliano D, Maiorino MI, Bellastella G, Chiodini P, Esposito K. Glycemic control, preexisting cardiovascular disease, and risk of major cardiovascular events in patients with type 2 diabetes mellitus: systematic review with meta-analysis of cardiovascular outcome trials and intensive glucose control trials. J</w:t>
      </w:r>
      <w:r w:rsidR="00866146" w:rsidRPr="00CD1F9F">
        <w:rPr>
          <w:rFonts w:ascii="Times New Roman" w:hAnsi="Times New Roman" w:cs="Times New Roman"/>
          <w:color w:val="212121"/>
          <w:sz w:val="24"/>
          <w:szCs w:val="24"/>
          <w:shd w:val="clear" w:color="auto" w:fill="FFFFFF"/>
        </w:rPr>
        <w:t>ournal of the</w:t>
      </w:r>
      <w:r w:rsidR="004E36D9" w:rsidRPr="00CD1F9F">
        <w:rPr>
          <w:rFonts w:ascii="Times New Roman" w:hAnsi="Times New Roman" w:cs="Times New Roman"/>
          <w:color w:val="212121"/>
          <w:sz w:val="24"/>
          <w:szCs w:val="24"/>
          <w:shd w:val="clear" w:color="auto" w:fill="FFFFFF"/>
        </w:rPr>
        <w:t xml:space="preserve"> Am</w:t>
      </w:r>
      <w:r w:rsidR="00866146" w:rsidRPr="00CD1F9F">
        <w:rPr>
          <w:rFonts w:ascii="Times New Roman" w:hAnsi="Times New Roman" w:cs="Times New Roman"/>
          <w:color w:val="212121"/>
          <w:sz w:val="24"/>
          <w:szCs w:val="24"/>
          <w:shd w:val="clear" w:color="auto" w:fill="FFFFFF"/>
        </w:rPr>
        <w:t>erican</w:t>
      </w:r>
      <w:r w:rsidR="004E36D9" w:rsidRPr="00CD1F9F">
        <w:rPr>
          <w:rFonts w:ascii="Times New Roman" w:hAnsi="Times New Roman" w:cs="Times New Roman"/>
          <w:color w:val="212121"/>
          <w:sz w:val="24"/>
          <w:szCs w:val="24"/>
          <w:shd w:val="clear" w:color="auto" w:fill="FFFFFF"/>
        </w:rPr>
        <w:t xml:space="preserve"> Heart Assoc</w:t>
      </w:r>
      <w:r w:rsidR="00866146" w:rsidRPr="00CD1F9F">
        <w:rPr>
          <w:rFonts w:ascii="Times New Roman" w:hAnsi="Times New Roman" w:cs="Times New Roman"/>
          <w:color w:val="212121"/>
          <w:sz w:val="24"/>
          <w:szCs w:val="24"/>
          <w:shd w:val="clear" w:color="auto" w:fill="FFFFFF"/>
        </w:rPr>
        <w:t>iation</w:t>
      </w:r>
      <w:r w:rsidR="004E36D9" w:rsidRPr="00CD1F9F">
        <w:rPr>
          <w:rFonts w:ascii="Times New Roman" w:hAnsi="Times New Roman" w:cs="Times New Roman"/>
          <w:color w:val="212121"/>
          <w:sz w:val="24"/>
          <w:szCs w:val="24"/>
          <w:shd w:val="clear" w:color="auto" w:fill="FFFFFF"/>
        </w:rPr>
        <w:t>. 201</w:t>
      </w:r>
      <w:r w:rsidR="00866146" w:rsidRPr="00CD1F9F">
        <w:rPr>
          <w:rFonts w:ascii="Times New Roman" w:hAnsi="Times New Roman" w:cs="Times New Roman"/>
          <w:color w:val="212121"/>
          <w:sz w:val="24"/>
          <w:szCs w:val="24"/>
          <w:shd w:val="clear" w:color="auto" w:fill="FFFFFF"/>
        </w:rPr>
        <w:t>9</w:t>
      </w:r>
      <w:r w:rsidR="004E36D9" w:rsidRPr="00CD1F9F">
        <w:rPr>
          <w:rFonts w:ascii="Times New Roman" w:hAnsi="Times New Roman" w:cs="Times New Roman"/>
          <w:color w:val="212121"/>
          <w:sz w:val="24"/>
          <w:szCs w:val="24"/>
          <w:shd w:val="clear" w:color="auto" w:fill="FFFFFF"/>
        </w:rPr>
        <w:t>;8(12):e012356. doi: 10.1161/JAHA.119.012356.</w:t>
      </w:r>
    </w:p>
    <w:p w14:paraId="6DDF15CE" w14:textId="10B4A5F4" w:rsidR="00CA3C96" w:rsidRPr="00F77E8E" w:rsidRDefault="005C7EAD" w:rsidP="008629BE">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9</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r>
      <w:r w:rsidR="00CA61BF" w:rsidRPr="00CD1F9F">
        <w:rPr>
          <w:rFonts w:ascii="Times New Roman" w:hAnsi="Times New Roman" w:cs="Times New Roman"/>
          <w:color w:val="212121"/>
          <w:sz w:val="24"/>
          <w:szCs w:val="24"/>
          <w:shd w:val="clear" w:color="auto" w:fill="FFFFFF"/>
        </w:rPr>
        <w:t>ACCORD Study Group; Buse JB, Bigger JT, Byington RP, Cooper LS, Cushman WC, et al</w:t>
      </w:r>
      <w:r w:rsidR="00E2166F" w:rsidRPr="00CD1F9F">
        <w:rPr>
          <w:rFonts w:ascii="Times New Roman" w:hAnsi="Times New Roman" w:cs="Times New Roman"/>
          <w:color w:val="212121"/>
          <w:sz w:val="24"/>
          <w:szCs w:val="24"/>
          <w:shd w:val="clear" w:color="auto" w:fill="FFFFFF"/>
        </w:rPr>
        <w:t>.</w:t>
      </w:r>
      <w:r w:rsidR="00CA61BF" w:rsidRPr="00CD1F9F">
        <w:rPr>
          <w:rFonts w:ascii="Times New Roman" w:hAnsi="Times New Roman" w:cs="Times New Roman"/>
          <w:color w:val="212121"/>
          <w:sz w:val="24"/>
          <w:szCs w:val="24"/>
          <w:shd w:val="clear" w:color="auto" w:fill="FFFFFF"/>
        </w:rPr>
        <w:t xml:space="preserve"> Action to </w:t>
      </w:r>
      <w:r w:rsidR="00E2166F" w:rsidRPr="00CD1F9F">
        <w:rPr>
          <w:rFonts w:ascii="Times New Roman" w:hAnsi="Times New Roman" w:cs="Times New Roman"/>
          <w:color w:val="212121"/>
          <w:sz w:val="24"/>
          <w:szCs w:val="24"/>
          <w:shd w:val="clear" w:color="auto" w:fill="FFFFFF"/>
        </w:rPr>
        <w:t>c</w:t>
      </w:r>
      <w:r w:rsidR="00CA61BF" w:rsidRPr="00CD1F9F">
        <w:rPr>
          <w:rFonts w:ascii="Times New Roman" w:hAnsi="Times New Roman" w:cs="Times New Roman"/>
          <w:color w:val="212121"/>
          <w:sz w:val="24"/>
          <w:szCs w:val="24"/>
          <w:shd w:val="clear" w:color="auto" w:fill="FFFFFF"/>
        </w:rPr>
        <w:t xml:space="preserve">ontrol </w:t>
      </w:r>
      <w:r w:rsidR="00E2166F" w:rsidRPr="00CD1F9F">
        <w:rPr>
          <w:rFonts w:ascii="Times New Roman" w:hAnsi="Times New Roman" w:cs="Times New Roman"/>
          <w:color w:val="212121"/>
          <w:sz w:val="24"/>
          <w:szCs w:val="24"/>
          <w:shd w:val="clear" w:color="auto" w:fill="FFFFFF"/>
        </w:rPr>
        <w:t>c</w:t>
      </w:r>
      <w:r w:rsidR="00CA61BF" w:rsidRPr="00CD1F9F">
        <w:rPr>
          <w:rFonts w:ascii="Times New Roman" w:hAnsi="Times New Roman" w:cs="Times New Roman"/>
          <w:color w:val="212121"/>
          <w:sz w:val="24"/>
          <w:szCs w:val="24"/>
          <w:shd w:val="clear" w:color="auto" w:fill="FFFFFF"/>
        </w:rPr>
        <w:t xml:space="preserve">ardiovascular </w:t>
      </w:r>
      <w:r w:rsidR="00E2166F" w:rsidRPr="00CD1F9F">
        <w:rPr>
          <w:rFonts w:ascii="Times New Roman" w:hAnsi="Times New Roman" w:cs="Times New Roman"/>
          <w:color w:val="212121"/>
          <w:sz w:val="24"/>
          <w:szCs w:val="24"/>
          <w:shd w:val="clear" w:color="auto" w:fill="FFFFFF"/>
        </w:rPr>
        <w:t>r</w:t>
      </w:r>
      <w:r w:rsidR="00CA61BF" w:rsidRPr="00CD1F9F">
        <w:rPr>
          <w:rFonts w:ascii="Times New Roman" w:hAnsi="Times New Roman" w:cs="Times New Roman"/>
          <w:color w:val="212121"/>
          <w:sz w:val="24"/>
          <w:szCs w:val="24"/>
          <w:shd w:val="clear" w:color="auto" w:fill="FFFFFF"/>
        </w:rPr>
        <w:t xml:space="preserve">isk in </w:t>
      </w:r>
      <w:r w:rsidR="00E2166F" w:rsidRPr="00CD1F9F">
        <w:rPr>
          <w:rFonts w:ascii="Times New Roman" w:hAnsi="Times New Roman" w:cs="Times New Roman"/>
          <w:color w:val="212121"/>
          <w:sz w:val="24"/>
          <w:szCs w:val="24"/>
          <w:shd w:val="clear" w:color="auto" w:fill="FFFFFF"/>
        </w:rPr>
        <w:t>d</w:t>
      </w:r>
      <w:r w:rsidR="00CA61BF" w:rsidRPr="00CD1F9F">
        <w:rPr>
          <w:rFonts w:ascii="Times New Roman" w:hAnsi="Times New Roman" w:cs="Times New Roman"/>
          <w:color w:val="212121"/>
          <w:sz w:val="24"/>
          <w:szCs w:val="24"/>
          <w:shd w:val="clear" w:color="auto" w:fill="FFFFFF"/>
        </w:rPr>
        <w:t>iabetes (ACCORD) trial: design and methods. Am</w:t>
      </w:r>
      <w:r w:rsidR="00E2166F" w:rsidRPr="00CD1F9F">
        <w:rPr>
          <w:rFonts w:ascii="Times New Roman" w:hAnsi="Times New Roman" w:cs="Times New Roman"/>
          <w:color w:val="212121"/>
          <w:sz w:val="24"/>
          <w:szCs w:val="24"/>
          <w:shd w:val="clear" w:color="auto" w:fill="FFFFFF"/>
        </w:rPr>
        <w:t>erican</w:t>
      </w:r>
      <w:r w:rsidR="00CA61BF" w:rsidRPr="00CD1F9F">
        <w:rPr>
          <w:rFonts w:ascii="Times New Roman" w:hAnsi="Times New Roman" w:cs="Times New Roman"/>
          <w:color w:val="212121"/>
          <w:sz w:val="24"/>
          <w:szCs w:val="24"/>
          <w:shd w:val="clear" w:color="auto" w:fill="FFFFFF"/>
        </w:rPr>
        <w:t xml:space="preserve"> J</w:t>
      </w:r>
      <w:r w:rsidR="00E2166F" w:rsidRPr="00CD1F9F">
        <w:rPr>
          <w:rFonts w:ascii="Times New Roman" w:hAnsi="Times New Roman" w:cs="Times New Roman"/>
          <w:color w:val="212121"/>
          <w:sz w:val="24"/>
          <w:szCs w:val="24"/>
          <w:shd w:val="clear" w:color="auto" w:fill="FFFFFF"/>
        </w:rPr>
        <w:t>ournal of</w:t>
      </w:r>
      <w:r w:rsidR="00CA61BF" w:rsidRPr="00CD1F9F">
        <w:rPr>
          <w:rFonts w:ascii="Times New Roman" w:hAnsi="Times New Roman" w:cs="Times New Roman"/>
          <w:color w:val="212121"/>
          <w:sz w:val="24"/>
          <w:szCs w:val="24"/>
          <w:shd w:val="clear" w:color="auto" w:fill="FFFFFF"/>
        </w:rPr>
        <w:t xml:space="preserve"> Cardiol</w:t>
      </w:r>
      <w:r w:rsidR="00E2166F" w:rsidRPr="00CD1F9F">
        <w:rPr>
          <w:rFonts w:ascii="Times New Roman" w:hAnsi="Times New Roman" w:cs="Times New Roman"/>
          <w:color w:val="212121"/>
          <w:sz w:val="24"/>
          <w:szCs w:val="24"/>
          <w:shd w:val="clear" w:color="auto" w:fill="FFFFFF"/>
        </w:rPr>
        <w:t>ogy</w:t>
      </w:r>
      <w:r w:rsidR="00CA61BF" w:rsidRPr="00CD1F9F">
        <w:rPr>
          <w:rFonts w:ascii="Times New Roman" w:hAnsi="Times New Roman" w:cs="Times New Roman"/>
          <w:color w:val="212121"/>
          <w:sz w:val="24"/>
          <w:szCs w:val="24"/>
          <w:shd w:val="clear" w:color="auto" w:fill="FFFFFF"/>
        </w:rPr>
        <w:t>. 2007;99(12A):21i-33i. doi: 10.1016/j.amjcard.2007.03.003.</w:t>
      </w:r>
      <w:r w:rsidR="00CA61BF" w:rsidRPr="00F77E8E">
        <w:rPr>
          <w:rFonts w:ascii="Times New Roman" w:hAnsi="Times New Roman" w:cs="Times New Roman"/>
          <w:noProof/>
          <w:sz w:val="24"/>
          <w:szCs w:val="24"/>
        </w:rPr>
        <w:t xml:space="preserve"> </w:t>
      </w:r>
      <w:r w:rsidR="00934E1B" w:rsidRPr="00F77E8E">
        <w:rPr>
          <w:rFonts w:ascii="Times New Roman" w:hAnsi="Times New Roman" w:cs="Times New Roman"/>
          <w:noProof/>
          <w:sz w:val="24"/>
          <w:szCs w:val="24"/>
        </w:rPr>
        <w:t xml:space="preserve"> </w:t>
      </w:r>
    </w:p>
    <w:p w14:paraId="22546D75" w14:textId="65B054CC" w:rsidR="00CA3C96"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0</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r>
      <w:r w:rsidR="00847058" w:rsidRPr="00CD1F9F">
        <w:rPr>
          <w:rFonts w:ascii="Times New Roman" w:hAnsi="Times New Roman" w:cs="Times New Roman"/>
          <w:color w:val="212121"/>
          <w:sz w:val="24"/>
          <w:szCs w:val="24"/>
          <w:shd w:val="clear" w:color="auto" w:fill="FFFFFF"/>
        </w:rPr>
        <w:t>Lean ME, Leslie WS, Barnes AC, Brosnahan N, Thom G, McCombie L, et al. Primary care-led weight management for remission of type 2 diabetes (DiRECT): an open-label, cluster-randomised trial. Lancet. 2018;391(10120):541-551. doi: 10.1016/S0140-6736(17)33102-1.</w:t>
      </w:r>
      <w:r w:rsidR="00847058" w:rsidRPr="00F77E8E">
        <w:rPr>
          <w:rFonts w:ascii="Times New Roman" w:hAnsi="Times New Roman" w:cs="Times New Roman"/>
          <w:noProof/>
          <w:sz w:val="24"/>
          <w:szCs w:val="24"/>
        </w:rPr>
        <w:t xml:space="preserve"> </w:t>
      </w:r>
    </w:p>
    <w:p w14:paraId="4EC8C37D" w14:textId="05D8C54C" w:rsidR="00C5368B" w:rsidRPr="00F77E8E" w:rsidRDefault="00CA3C96" w:rsidP="004634C0">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1</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r>
      <w:r w:rsidR="00300BD3" w:rsidRPr="00CD1F9F">
        <w:rPr>
          <w:rFonts w:ascii="Times New Roman" w:hAnsi="Times New Roman" w:cs="Times New Roman"/>
          <w:color w:val="212121"/>
          <w:sz w:val="24"/>
          <w:szCs w:val="24"/>
          <w:shd w:val="clear" w:color="auto" w:fill="FFFFFF"/>
        </w:rPr>
        <w:t>Lean MEJ, Leslie WS, Barnes AC, Brosnahan N, Thom G, McCombie L, et al. Durability of a primary care-led weight-management intervention for remission of type 2 diabetes: 2-year results of the DiRECT open-label, cluster-randomised trial. Lancet Diabetes &amp; Endocrinology. 2019;7(5):344-355. doi: 10.1016/S2213-8587(19)30068-3. </w:t>
      </w:r>
      <w:r w:rsidR="004634C0" w:rsidRPr="00F77E8E">
        <w:rPr>
          <w:rFonts w:ascii="Times New Roman" w:hAnsi="Times New Roman" w:cs="Times New Roman"/>
          <w:noProof/>
          <w:sz w:val="24"/>
          <w:szCs w:val="24"/>
        </w:rPr>
        <w:t xml:space="preserve">   </w:t>
      </w:r>
    </w:p>
    <w:p w14:paraId="050A343B" w14:textId="3FE9D138" w:rsidR="004634C0" w:rsidRPr="00F77E8E" w:rsidRDefault="00C5368B" w:rsidP="004634C0">
      <w:pPr>
        <w:widowControl w:val="0"/>
        <w:autoSpaceDE w:val="0"/>
        <w:autoSpaceDN w:val="0"/>
        <w:adjustRightInd w:val="0"/>
        <w:ind w:left="640" w:hanging="640"/>
        <w:rPr>
          <w:rFonts w:ascii="Times New Roman" w:hAnsi="Times New Roman" w:cs="Times New Roman"/>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2</w:t>
      </w:r>
      <w:r w:rsidRPr="00F77E8E">
        <w:rPr>
          <w:rFonts w:ascii="Times New Roman" w:hAnsi="Times New Roman" w:cs="Times New Roman"/>
          <w:noProof/>
          <w:sz w:val="24"/>
          <w:szCs w:val="24"/>
        </w:rPr>
        <w:t xml:space="preserve">     </w:t>
      </w:r>
      <w:r w:rsidR="004634C0" w:rsidRPr="00F77E8E">
        <w:rPr>
          <w:rFonts w:ascii="Times New Roman" w:hAnsi="Times New Roman" w:cs="Times New Roman"/>
          <w:sz w:val="24"/>
          <w:szCs w:val="24"/>
        </w:rPr>
        <w:t xml:space="preserve">Hounkpatin H, Stuart B, Farmer A, </w:t>
      </w:r>
      <w:r w:rsidR="00417161" w:rsidRPr="00F77E8E">
        <w:rPr>
          <w:rFonts w:ascii="Times New Roman" w:hAnsi="Times New Roman" w:cs="Times New Roman"/>
          <w:i/>
          <w:iCs/>
          <w:sz w:val="24"/>
          <w:szCs w:val="24"/>
        </w:rPr>
        <w:t>Dambha-Miller H.</w:t>
      </w:r>
      <w:hyperlink r:id="rId9" w:history="1">
        <w:r w:rsidR="004634C0" w:rsidRPr="00F77E8E">
          <w:rPr>
            <w:rStyle w:val="Hyperlink"/>
            <w:rFonts w:ascii="Times New Roman" w:hAnsi="Times New Roman" w:cs="Times New Roman"/>
            <w:color w:val="auto"/>
            <w:sz w:val="24"/>
            <w:szCs w:val="24"/>
            <w:u w:val="none"/>
          </w:rPr>
          <w:t>Association of type 2 diabetes remission and risk of cardiovascular disease in pre-defined subgroups</w:t>
        </w:r>
      </w:hyperlink>
      <w:r w:rsidR="004634C0" w:rsidRPr="00F77E8E">
        <w:rPr>
          <w:rFonts w:ascii="Times New Roman" w:hAnsi="Times New Roman" w:cs="Times New Roman"/>
          <w:sz w:val="24"/>
          <w:szCs w:val="24"/>
        </w:rPr>
        <w:t>. </w:t>
      </w:r>
      <w:r w:rsidR="004634C0" w:rsidRPr="00F77E8E">
        <w:rPr>
          <w:rStyle w:val="Emphasis"/>
          <w:rFonts w:ascii="Times New Roman" w:hAnsi="Times New Roman" w:cs="Times New Roman"/>
          <w:i w:val="0"/>
          <w:iCs w:val="0"/>
          <w:sz w:val="24"/>
          <w:szCs w:val="24"/>
        </w:rPr>
        <w:t xml:space="preserve">Endocrinology, </w:t>
      </w:r>
      <w:r w:rsidR="00417161" w:rsidRPr="00F77E8E">
        <w:rPr>
          <w:rStyle w:val="Emphasis"/>
          <w:rFonts w:ascii="Times New Roman" w:hAnsi="Times New Roman" w:cs="Times New Roman"/>
          <w:i w:val="0"/>
          <w:iCs w:val="0"/>
          <w:sz w:val="24"/>
          <w:szCs w:val="24"/>
        </w:rPr>
        <w:t>d</w:t>
      </w:r>
      <w:r w:rsidR="004634C0" w:rsidRPr="00F77E8E">
        <w:rPr>
          <w:rStyle w:val="Emphasis"/>
          <w:rFonts w:ascii="Times New Roman" w:hAnsi="Times New Roman" w:cs="Times New Roman"/>
          <w:i w:val="0"/>
          <w:iCs w:val="0"/>
          <w:sz w:val="24"/>
          <w:szCs w:val="24"/>
        </w:rPr>
        <w:t xml:space="preserve">iabetes &amp; </w:t>
      </w:r>
      <w:r w:rsidR="00417161" w:rsidRPr="00F77E8E">
        <w:rPr>
          <w:rStyle w:val="Emphasis"/>
          <w:rFonts w:ascii="Times New Roman" w:hAnsi="Times New Roman" w:cs="Times New Roman"/>
          <w:i w:val="0"/>
          <w:iCs w:val="0"/>
          <w:sz w:val="24"/>
          <w:szCs w:val="24"/>
        </w:rPr>
        <w:t>m</w:t>
      </w:r>
      <w:r w:rsidR="004634C0" w:rsidRPr="00F77E8E">
        <w:rPr>
          <w:rStyle w:val="Emphasis"/>
          <w:rFonts w:ascii="Times New Roman" w:hAnsi="Times New Roman" w:cs="Times New Roman"/>
          <w:i w:val="0"/>
          <w:iCs w:val="0"/>
          <w:sz w:val="24"/>
          <w:szCs w:val="24"/>
        </w:rPr>
        <w:t>etabolism</w:t>
      </w:r>
      <w:r w:rsidR="00417161" w:rsidRPr="00F77E8E">
        <w:rPr>
          <w:rFonts w:ascii="Times New Roman" w:hAnsi="Times New Roman" w:cs="Times New Roman"/>
          <w:i/>
          <w:sz w:val="24"/>
          <w:szCs w:val="24"/>
        </w:rPr>
        <w:t>.</w:t>
      </w:r>
      <w:r w:rsidRPr="00F77E8E">
        <w:rPr>
          <w:rFonts w:ascii="Times New Roman" w:hAnsi="Times New Roman" w:cs="Times New Roman"/>
          <w:i/>
          <w:sz w:val="24"/>
          <w:szCs w:val="24"/>
        </w:rPr>
        <w:t xml:space="preserve"> </w:t>
      </w:r>
      <w:r w:rsidRPr="00F77E8E">
        <w:rPr>
          <w:rFonts w:ascii="Times New Roman" w:hAnsi="Times New Roman" w:cs="Times New Roman"/>
          <w:iCs/>
          <w:sz w:val="24"/>
          <w:szCs w:val="24"/>
        </w:rPr>
        <w:t>2021;</w:t>
      </w:r>
      <w:r w:rsidR="004634C0" w:rsidRPr="00F77E8E">
        <w:rPr>
          <w:rFonts w:ascii="Times New Roman" w:hAnsi="Times New Roman" w:cs="Times New Roman"/>
          <w:i/>
          <w:sz w:val="24"/>
          <w:szCs w:val="24"/>
        </w:rPr>
        <w:t> </w:t>
      </w:r>
      <w:r w:rsidR="004634C0" w:rsidRPr="00F77E8E">
        <w:rPr>
          <w:rStyle w:val="Emphasis"/>
          <w:rFonts w:ascii="Times New Roman" w:hAnsi="Times New Roman" w:cs="Times New Roman"/>
          <w:i w:val="0"/>
          <w:iCs w:val="0"/>
          <w:sz w:val="24"/>
          <w:szCs w:val="24"/>
        </w:rPr>
        <w:t>4</w:t>
      </w:r>
      <w:r w:rsidR="004634C0" w:rsidRPr="00F77E8E">
        <w:rPr>
          <w:rFonts w:ascii="Times New Roman" w:hAnsi="Times New Roman" w:cs="Times New Roman"/>
          <w:i/>
          <w:sz w:val="24"/>
          <w:szCs w:val="24"/>
        </w:rPr>
        <w:t xml:space="preserve">(3), </w:t>
      </w:r>
      <w:bookmarkStart w:id="7" w:name="_GoBack"/>
      <w:r w:rsidR="004634C0" w:rsidRPr="00F77E8E">
        <w:rPr>
          <w:rFonts w:ascii="Times New Roman" w:hAnsi="Times New Roman" w:cs="Times New Roman"/>
          <w:sz w:val="24"/>
          <w:szCs w:val="24"/>
        </w:rPr>
        <w:t>[</w:t>
      </w:r>
      <w:bookmarkEnd w:id="7"/>
      <w:r w:rsidR="004634C0" w:rsidRPr="00F77E8E">
        <w:rPr>
          <w:rFonts w:ascii="Times New Roman" w:hAnsi="Times New Roman" w:cs="Times New Roman"/>
          <w:sz w:val="24"/>
          <w:szCs w:val="24"/>
        </w:rPr>
        <w:t>e00280]. </w:t>
      </w:r>
      <w:hyperlink r:id="rId10" w:history="1">
        <w:r w:rsidR="004634C0" w:rsidRPr="00F77E8E">
          <w:rPr>
            <w:rStyle w:val="Hyperlink"/>
            <w:rFonts w:ascii="Times New Roman" w:hAnsi="Times New Roman" w:cs="Times New Roman"/>
            <w:color w:val="auto"/>
            <w:sz w:val="24"/>
            <w:szCs w:val="24"/>
            <w:u w:val="none"/>
          </w:rPr>
          <w:t>https://doi.org/10.1002/edm2.280</w:t>
        </w:r>
      </w:hyperlink>
    </w:p>
    <w:p w14:paraId="11F6C1B7" w14:textId="080C16F5" w:rsidR="00CA3C96"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3</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t xml:space="preserve">Khan NF, Harrison SE, Rose PW. Validity of diagnostic coding within the General Practice Research Database: A systematic review. </w:t>
      </w:r>
      <w:r w:rsidRPr="00CD1F9F">
        <w:rPr>
          <w:rFonts w:ascii="Times New Roman" w:hAnsi="Times New Roman" w:cs="Times New Roman"/>
          <w:noProof/>
          <w:sz w:val="24"/>
          <w:szCs w:val="24"/>
        </w:rPr>
        <w:t>B</w:t>
      </w:r>
      <w:r w:rsidR="00DA4B69" w:rsidRPr="00CD1F9F">
        <w:rPr>
          <w:rFonts w:ascii="Times New Roman" w:hAnsi="Times New Roman" w:cs="Times New Roman"/>
          <w:noProof/>
          <w:sz w:val="24"/>
          <w:szCs w:val="24"/>
        </w:rPr>
        <w:t xml:space="preserve">ritish </w:t>
      </w:r>
      <w:r w:rsidR="00767512" w:rsidRPr="00CD1F9F">
        <w:rPr>
          <w:rFonts w:ascii="Times New Roman" w:hAnsi="Times New Roman" w:cs="Times New Roman"/>
          <w:noProof/>
          <w:sz w:val="24"/>
          <w:szCs w:val="24"/>
        </w:rPr>
        <w:t>J</w:t>
      </w:r>
      <w:r w:rsidR="00DA4B69" w:rsidRPr="00CD1F9F">
        <w:rPr>
          <w:rFonts w:ascii="Times New Roman" w:hAnsi="Times New Roman" w:cs="Times New Roman"/>
          <w:noProof/>
          <w:sz w:val="24"/>
          <w:szCs w:val="24"/>
        </w:rPr>
        <w:t xml:space="preserve">ournal of </w:t>
      </w:r>
      <w:r w:rsidR="00767512" w:rsidRPr="00CD1F9F">
        <w:rPr>
          <w:rFonts w:ascii="Times New Roman" w:hAnsi="Times New Roman" w:cs="Times New Roman"/>
          <w:noProof/>
          <w:sz w:val="24"/>
          <w:szCs w:val="24"/>
        </w:rPr>
        <w:t>G</w:t>
      </w:r>
      <w:r w:rsidR="00DA4B69" w:rsidRPr="00CD1F9F">
        <w:rPr>
          <w:rFonts w:ascii="Times New Roman" w:hAnsi="Times New Roman" w:cs="Times New Roman"/>
          <w:noProof/>
          <w:sz w:val="24"/>
          <w:szCs w:val="24"/>
        </w:rPr>
        <w:t xml:space="preserve">eneral </w:t>
      </w:r>
      <w:r w:rsidR="00767512" w:rsidRPr="00CD1F9F">
        <w:rPr>
          <w:rFonts w:ascii="Times New Roman" w:hAnsi="Times New Roman" w:cs="Times New Roman"/>
          <w:noProof/>
          <w:sz w:val="24"/>
          <w:szCs w:val="24"/>
        </w:rPr>
        <w:t>P</w:t>
      </w:r>
      <w:r w:rsidR="00DA4B69" w:rsidRPr="00CD1F9F">
        <w:rPr>
          <w:rFonts w:ascii="Times New Roman" w:hAnsi="Times New Roman" w:cs="Times New Roman"/>
          <w:noProof/>
          <w:sz w:val="24"/>
          <w:szCs w:val="24"/>
        </w:rPr>
        <w:t>ractice.</w:t>
      </w:r>
      <w:r w:rsidRPr="00F77E8E">
        <w:rPr>
          <w:rFonts w:ascii="Times New Roman" w:hAnsi="Times New Roman" w:cs="Times New Roman"/>
          <w:noProof/>
          <w:sz w:val="24"/>
          <w:szCs w:val="24"/>
        </w:rPr>
        <w:t xml:space="preserve"> 2010;</w:t>
      </w:r>
      <w:r w:rsidRPr="00CD1F9F">
        <w:rPr>
          <w:rFonts w:ascii="Times New Roman" w:hAnsi="Times New Roman" w:cs="Times New Roman"/>
          <w:noProof/>
          <w:sz w:val="24"/>
          <w:szCs w:val="24"/>
        </w:rPr>
        <w:t>60</w:t>
      </w:r>
      <w:r w:rsidRPr="00F77E8E">
        <w:rPr>
          <w:rFonts w:ascii="Times New Roman" w:hAnsi="Times New Roman" w:cs="Times New Roman"/>
          <w:noProof/>
          <w:sz w:val="24"/>
          <w:szCs w:val="24"/>
        </w:rPr>
        <w:t>:199–206. doi:10.3399/bjgp10X483562</w:t>
      </w:r>
    </w:p>
    <w:p w14:paraId="650BEBBF" w14:textId="7811794B" w:rsidR="00DE39CA"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4</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r>
      <w:r w:rsidR="00DE39CA" w:rsidRPr="00F77E8E">
        <w:rPr>
          <w:rFonts w:ascii="Times New Roman" w:hAnsi="Times New Roman" w:cs="Times New Roman"/>
          <w:sz w:val="24"/>
          <w:szCs w:val="24"/>
        </w:rPr>
        <w:t xml:space="preserve">Nagi D, Hambling C, Taylor R. Remission of type 2 diabetes: a position statement from the Association of British Clinical Diabetologists (ABCD) and the Primary Care Diabetes Society (PCDS). </w:t>
      </w:r>
      <w:r w:rsidR="00DE39CA" w:rsidRPr="00CD1F9F">
        <w:rPr>
          <w:rFonts w:ascii="Times New Roman" w:hAnsi="Times New Roman" w:cs="Times New Roman"/>
          <w:sz w:val="24"/>
          <w:szCs w:val="24"/>
        </w:rPr>
        <w:t>Br</w:t>
      </w:r>
      <w:r w:rsidR="00F953F0" w:rsidRPr="00CD1F9F">
        <w:rPr>
          <w:rFonts w:ascii="Times New Roman" w:hAnsi="Times New Roman" w:cs="Times New Roman"/>
          <w:sz w:val="24"/>
          <w:szCs w:val="24"/>
        </w:rPr>
        <w:t>itish</w:t>
      </w:r>
      <w:r w:rsidR="00DE39CA" w:rsidRPr="00CD1F9F">
        <w:rPr>
          <w:rFonts w:ascii="Times New Roman" w:hAnsi="Times New Roman" w:cs="Times New Roman"/>
          <w:sz w:val="24"/>
          <w:szCs w:val="24"/>
        </w:rPr>
        <w:t xml:space="preserve"> J</w:t>
      </w:r>
      <w:r w:rsidR="00F953F0" w:rsidRPr="00CD1F9F">
        <w:rPr>
          <w:rFonts w:ascii="Times New Roman" w:hAnsi="Times New Roman" w:cs="Times New Roman"/>
          <w:sz w:val="24"/>
          <w:szCs w:val="24"/>
        </w:rPr>
        <w:t>ournal of</w:t>
      </w:r>
      <w:r w:rsidR="00DE39CA" w:rsidRPr="00CD1F9F">
        <w:rPr>
          <w:rFonts w:ascii="Times New Roman" w:hAnsi="Times New Roman" w:cs="Times New Roman"/>
          <w:sz w:val="24"/>
          <w:szCs w:val="24"/>
        </w:rPr>
        <w:t xml:space="preserve"> Diabetes</w:t>
      </w:r>
      <w:r w:rsidR="00F953F0" w:rsidRPr="00F77E8E">
        <w:rPr>
          <w:rFonts w:ascii="Times New Roman" w:hAnsi="Times New Roman" w:cs="Times New Roman"/>
          <w:i/>
          <w:iCs/>
          <w:sz w:val="24"/>
          <w:szCs w:val="24"/>
        </w:rPr>
        <w:t>.</w:t>
      </w:r>
      <w:r w:rsidR="00DE39CA" w:rsidRPr="00F77E8E">
        <w:rPr>
          <w:rFonts w:ascii="Times New Roman" w:hAnsi="Times New Roman" w:cs="Times New Roman"/>
          <w:sz w:val="24"/>
          <w:szCs w:val="24"/>
        </w:rPr>
        <w:t>2019;19:73-76.</w:t>
      </w:r>
      <w:r w:rsidR="00DE39CA" w:rsidRPr="00F77E8E">
        <w:rPr>
          <w:rFonts w:ascii="Times New Roman" w:hAnsi="Times New Roman" w:cs="Times New Roman"/>
          <w:noProof/>
          <w:sz w:val="24"/>
          <w:szCs w:val="24"/>
        </w:rPr>
        <w:t xml:space="preserve"> </w:t>
      </w:r>
    </w:p>
    <w:p w14:paraId="42724366" w14:textId="43A93A24" w:rsidR="00CA3C96" w:rsidRPr="00F77E8E" w:rsidRDefault="00DE39CA"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5</w:t>
      </w:r>
      <w:r w:rsidRPr="00F77E8E">
        <w:rPr>
          <w:rFonts w:ascii="Times New Roman" w:hAnsi="Times New Roman" w:cs="Times New Roman"/>
          <w:noProof/>
          <w:sz w:val="24"/>
          <w:szCs w:val="24"/>
        </w:rPr>
        <w:t xml:space="preserve">      </w:t>
      </w:r>
      <w:r w:rsidR="003171F6" w:rsidRPr="00CD1F9F">
        <w:rPr>
          <w:rFonts w:ascii="Times New Roman" w:hAnsi="Times New Roman" w:cs="Times New Roman"/>
          <w:color w:val="212121"/>
          <w:sz w:val="24"/>
          <w:szCs w:val="24"/>
          <w:shd w:val="clear" w:color="auto" w:fill="FFFFFF"/>
        </w:rPr>
        <w:t xml:space="preserve">Hippisley-Cox J, Coupland C, Vinogradova Y, Robson J, Minhas R, Sheikh A, </w:t>
      </w:r>
      <w:r w:rsidR="00967FA0" w:rsidRPr="00CD1F9F">
        <w:rPr>
          <w:rFonts w:ascii="Times New Roman" w:hAnsi="Times New Roman" w:cs="Times New Roman"/>
          <w:color w:val="212121"/>
          <w:sz w:val="24"/>
          <w:szCs w:val="24"/>
          <w:shd w:val="clear" w:color="auto" w:fill="FFFFFF"/>
        </w:rPr>
        <w:t>et al</w:t>
      </w:r>
      <w:r w:rsidR="003171F6" w:rsidRPr="00CD1F9F">
        <w:rPr>
          <w:rFonts w:ascii="Times New Roman" w:hAnsi="Times New Roman" w:cs="Times New Roman"/>
          <w:color w:val="212121"/>
          <w:sz w:val="24"/>
          <w:szCs w:val="24"/>
          <w:shd w:val="clear" w:color="auto" w:fill="FFFFFF"/>
        </w:rPr>
        <w:t>. Predicting cardiovascular risk in England and Wales: prospective derivation and validation of QRISK2. B</w:t>
      </w:r>
      <w:r w:rsidR="00967FA0" w:rsidRPr="00CD1F9F">
        <w:rPr>
          <w:rFonts w:ascii="Times New Roman" w:hAnsi="Times New Roman" w:cs="Times New Roman"/>
          <w:color w:val="212121"/>
          <w:sz w:val="24"/>
          <w:szCs w:val="24"/>
          <w:shd w:val="clear" w:color="auto" w:fill="FFFFFF"/>
        </w:rPr>
        <w:t xml:space="preserve">ritish </w:t>
      </w:r>
      <w:r w:rsidR="003171F6" w:rsidRPr="00CD1F9F">
        <w:rPr>
          <w:rFonts w:ascii="Times New Roman" w:hAnsi="Times New Roman" w:cs="Times New Roman"/>
          <w:color w:val="212121"/>
          <w:sz w:val="24"/>
          <w:szCs w:val="24"/>
          <w:shd w:val="clear" w:color="auto" w:fill="FFFFFF"/>
        </w:rPr>
        <w:t>M</w:t>
      </w:r>
      <w:r w:rsidR="00967FA0" w:rsidRPr="00CD1F9F">
        <w:rPr>
          <w:rFonts w:ascii="Times New Roman" w:hAnsi="Times New Roman" w:cs="Times New Roman"/>
          <w:color w:val="212121"/>
          <w:sz w:val="24"/>
          <w:szCs w:val="24"/>
          <w:shd w:val="clear" w:color="auto" w:fill="FFFFFF"/>
        </w:rPr>
        <w:t xml:space="preserve">edical </w:t>
      </w:r>
      <w:r w:rsidR="003171F6" w:rsidRPr="00CD1F9F">
        <w:rPr>
          <w:rFonts w:ascii="Times New Roman" w:hAnsi="Times New Roman" w:cs="Times New Roman"/>
          <w:color w:val="212121"/>
          <w:sz w:val="24"/>
          <w:szCs w:val="24"/>
          <w:shd w:val="clear" w:color="auto" w:fill="FFFFFF"/>
        </w:rPr>
        <w:t>J</w:t>
      </w:r>
      <w:r w:rsidR="00967FA0" w:rsidRPr="00CD1F9F">
        <w:rPr>
          <w:rFonts w:ascii="Times New Roman" w:hAnsi="Times New Roman" w:cs="Times New Roman"/>
          <w:color w:val="212121"/>
          <w:sz w:val="24"/>
          <w:szCs w:val="24"/>
          <w:shd w:val="clear" w:color="auto" w:fill="FFFFFF"/>
        </w:rPr>
        <w:t>ournal</w:t>
      </w:r>
      <w:r w:rsidR="003171F6" w:rsidRPr="00CD1F9F">
        <w:rPr>
          <w:rFonts w:ascii="Times New Roman" w:hAnsi="Times New Roman" w:cs="Times New Roman"/>
          <w:color w:val="212121"/>
          <w:sz w:val="24"/>
          <w:szCs w:val="24"/>
          <w:shd w:val="clear" w:color="auto" w:fill="FFFFFF"/>
        </w:rPr>
        <w:t>.</w:t>
      </w:r>
      <w:r w:rsidR="00967FA0" w:rsidRPr="00CD1F9F">
        <w:rPr>
          <w:rFonts w:ascii="Times New Roman" w:hAnsi="Times New Roman" w:cs="Times New Roman"/>
          <w:color w:val="212121"/>
          <w:sz w:val="24"/>
          <w:szCs w:val="24"/>
          <w:shd w:val="clear" w:color="auto" w:fill="FFFFFF"/>
        </w:rPr>
        <w:t xml:space="preserve"> </w:t>
      </w:r>
      <w:r w:rsidR="003171F6" w:rsidRPr="00CD1F9F">
        <w:rPr>
          <w:rFonts w:ascii="Times New Roman" w:hAnsi="Times New Roman" w:cs="Times New Roman"/>
          <w:color w:val="212121"/>
          <w:sz w:val="24"/>
          <w:szCs w:val="24"/>
          <w:shd w:val="clear" w:color="auto" w:fill="FFFFFF"/>
        </w:rPr>
        <w:t>2008;336(7659):1475-82. doi: 10.1136/bmj.39609.449676.2</w:t>
      </w:r>
      <w:r w:rsidR="00967FA0" w:rsidRPr="00CD1F9F">
        <w:rPr>
          <w:rFonts w:ascii="Times New Roman" w:hAnsi="Times New Roman" w:cs="Times New Roman"/>
          <w:color w:val="212121"/>
          <w:sz w:val="24"/>
          <w:szCs w:val="24"/>
          <w:shd w:val="clear" w:color="auto" w:fill="FFFFFF"/>
        </w:rPr>
        <w:t>5.</w:t>
      </w:r>
    </w:p>
    <w:p w14:paraId="3490898E" w14:textId="7B30DEFD" w:rsidR="00CA3C96" w:rsidRPr="00F77E8E" w:rsidRDefault="00CA3C96" w:rsidP="008629BE">
      <w:pPr>
        <w:widowControl w:val="0"/>
        <w:autoSpaceDE w:val="0"/>
        <w:autoSpaceDN w:val="0"/>
        <w:adjustRightInd w:val="0"/>
        <w:ind w:left="640" w:hanging="640"/>
        <w:rPr>
          <w:rFonts w:ascii="Times New Roman" w:hAnsi="Times New Roman" w:cs="Times New Roman"/>
          <w:noProof/>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6</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t xml:space="preserve">Nagin DS, Odgers CL. Group-based trajectory modeling in clinical research. </w:t>
      </w:r>
      <w:r w:rsidRPr="00CD1F9F">
        <w:rPr>
          <w:rFonts w:ascii="Times New Roman" w:hAnsi="Times New Roman" w:cs="Times New Roman"/>
          <w:noProof/>
          <w:sz w:val="24"/>
          <w:szCs w:val="24"/>
        </w:rPr>
        <w:t>Ann</w:t>
      </w:r>
      <w:r w:rsidR="00767512" w:rsidRPr="00CD1F9F">
        <w:rPr>
          <w:rFonts w:ascii="Times New Roman" w:hAnsi="Times New Roman" w:cs="Times New Roman"/>
          <w:noProof/>
          <w:sz w:val="24"/>
          <w:szCs w:val="24"/>
        </w:rPr>
        <w:t>u</w:t>
      </w:r>
      <w:r w:rsidR="00D9757E" w:rsidRPr="00CD1F9F">
        <w:rPr>
          <w:rFonts w:ascii="Times New Roman" w:hAnsi="Times New Roman" w:cs="Times New Roman"/>
          <w:noProof/>
          <w:sz w:val="24"/>
          <w:szCs w:val="24"/>
        </w:rPr>
        <w:t>al</w:t>
      </w:r>
      <w:r w:rsidRPr="00CD1F9F">
        <w:rPr>
          <w:rFonts w:ascii="Times New Roman" w:hAnsi="Times New Roman" w:cs="Times New Roman"/>
          <w:noProof/>
          <w:sz w:val="24"/>
          <w:szCs w:val="24"/>
        </w:rPr>
        <w:t xml:space="preserve"> Rev</w:t>
      </w:r>
      <w:r w:rsidR="00D9757E" w:rsidRPr="00CD1F9F">
        <w:rPr>
          <w:rFonts w:ascii="Times New Roman" w:hAnsi="Times New Roman" w:cs="Times New Roman"/>
          <w:noProof/>
          <w:sz w:val="24"/>
          <w:szCs w:val="24"/>
        </w:rPr>
        <w:t>iew of</w:t>
      </w:r>
      <w:r w:rsidRPr="00CD1F9F">
        <w:rPr>
          <w:rFonts w:ascii="Times New Roman" w:hAnsi="Times New Roman" w:cs="Times New Roman"/>
          <w:noProof/>
          <w:sz w:val="24"/>
          <w:szCs w:val="24"/>
        </w:rPr>
        <w:t xml:space="preserve"> Clin</w:t>
      </w:r>
      <w:r w:rsidR="00D9757E" w:rsidRPr="00CD1F9F">
        <w:rPr>
          <w:rFonts w:ascii="Times New Roman" w:hAnsi="Times New Roman" w:cs="Times New Roman"/>
          <w:noProof/>
          <w:sz w:val="24"/>
          <w:szCs w:val="24"/>
        </w:rPr>
        <w:t>ical</w:t>
      </w:r>
      <w:r w:rsidRPr="00CD1F9F">
        <w:rPr>
          <w:rFonts w:ascii="Times New Roman" w:hAnsi="Times New Roman" w:cs="Times New Roman"/>
          <w:noProof/>
          <w:sz w:val="24"/>
          <w:szCs w:val="24"/>
        </w:rPr>
        <w:t xml:space="preserve"> Psychol</w:t>
      </w:r>
      <w:r w:rsidR="00D9757E" w:rsidRPr="00CD1F9F">
        <w:rPr>
          <w:rFonts w:ascii="Times New Roman" w:hAnsi="Times New Roman" w:cs="Times New Roman"/>
          <w:noProof/>
          <w:sz w:val="24"/>
          <w:szCs w:val="24"/>
        </w:rPr>
        <w:t>ogy</w:t>
      </w:r>
      <w:r w:rsidR="00D9757E" w:rsidRPr="00F77E8E">
        <w:rPr>
          <w:rFonts w:ascii="Times New Roman" w:hAnsi="Times New Roman" w:cs="Times New Roman"/>
          <w:noProof/>
          <w:sz w:val="24"/>
          <w:szCs w:val="24"/>
        </w:rPr>
        <w:t>.</w:t>
      </w:r>
      <w:r w:rsidRPr="00F77E8E">
        <w:rPr>
          <w:rFonts w:ascii="Times New Roman" w:hAnsi="Times New Roman" w:cs="Times New Roman"/>
          <w:noProof/>
          <w:sz w:val="24"/>
          <w:szCs w:val="24"/>
        </w:rPr>
        <w:t xml:space="preserve"> 2010;</w:t>
      </w:r>
      <w:r w:rsidRPr="00F77E8E">
        <w:rPr>
          <w:rFonts w:ascii="Times New Roman" w:hAnsi="Times New Roman" w:cs="Times New Roman"/>
          <w:b/>
          <w:bCs/>
          <w:noProof/>
          <w:sz w:val="24"/>
          <w:szCs w:val="24"/>
        </w:rPr>
        <w:t>6</w:t>
      </w:r>
      <w:r w:rsidRPr="00F77E8E">
        <w:rPr>
          <w:rFonts w:ascii="Times New Roman" w:hAnsi="Times New Roman" w:cs="Times New Roman"/>
          <w:noProof/>
          <w:sz w:val="24"/>
          <w:szCs w:val="24"/>
        </w:rPr>
        <w:t>:109–38.doi:10.1146/annurev.clinpsy.121208.131413</w:t>
      </w:r>
    </w:p>
    <w:p w14:paraId="1B647B52" w14:textId="1CE78D6B" w:rsidR="0080650F" w:rsidRDefault="00CA3C96" w:rsidP="008629BE">
      <w:pPr>
        <w:widowControl w:val="0"/>
        <w:autoSpaceDE w:val="0"/>
        <w:autoSpaceDN w:val="0"/>
        <w:adjustRightInd w:val="0"/>
        <w:ind w:left="640" w:hanging="640"/>
        <w:rPr>
          <w:rStyle w:val="Hyperlink"/>
          <w:rFonts w:ascii="Times New Roman" w:hAnsi="Times New Roman" w:cs="Times New Roman"/>
          <w:color w:val="005C85"/>
          <w:sz w:val="24"/>
          <w:szCs w:val="24"/>
        </w:rPr>
      </w:pPr>
      <w:r w:rsidRPr="00F77E8E">
        <w:rPr>
          <w:rFonts w:ascii="Times New Roman" w:hAnsi="Times New Roman" w:cs="Times New Roman"/>
          <w:noProof/>
          <w:sz w:val="24"/>
          <w:szCs w:val="24"/>
        </w:rPr>
        <w:t>1</w:t>
      </w:r>
      <w:r w:rsidR="005C7EAD">
        <w:rPr>
          <w:rFonts w:ascii="Times New Roman" w:hAnsi="Times New Roman" w:cs="Times New Roman"/>
          <w:noProof/>
          <w:sz w:val="24"/>
          <w:szCs w:val="24"/>
        </w:rPr>
        <w:t>7</w:t>
      </w:r>
      <w:r w:rsidRPr="00F77E8E">
        <w:rPr>
          <w:rFonts w:ascii="Times New Roman" w:hAnsi="Times New Roman" w:cs="Times New Roman"/>
          <w:noProof/>
          <w:sz w:val="24"/>
          <w:szCs w:val="24"/>
        </w:rPr>
        <w:t xml:space="preserve"> </w:t>
      </w:r>
      <w:r w:rsidRPr="00F77E8E">
        <w:rPr>
          <w:rFonts w:ascii="Times New Roman" w:hAnsi="Times New Roman" w:cs="Times New Roman"/>
          <w:noProof/>
          <w:sz w:val="24"/>
          <w:szCs w:val="24"/>
        </w:rPr>
        <w:tab/>
      </w:r>
      <w:r w:rsidR="0080650F" w:rsidRPr="00F77E8E">
        <w:rPr>
          <w:rFonts w:ascii="Times New Roman" w:hAnsi="Times New Roman" w:cs="Times New Roman"/>
          <w:noProof/>
          <w:sz w:val="24"/>
          <w:szCs w:val="24"/>
        </w:rPr>
        <w:t xml:space="preserve">Dambha-Miller H, Hounkpatin H, Stuart B, Farmer A. Associations between weight change and remission of type 2 diabetes: a retrospective cohort study in primary care. </w:t>
      </w:r>
      <w:r w:rsidR="0080650F" w:rsidRPr="00C516AB">
        <w:rPr>
          <w:rFonts w:ascii="Times New Roman" w:hAnsi="Times New Roman" w:cs="Times New Roman"/>
          <w:noProof/>
          <w:sz w:val="24"/>
          <w:szCs w:val="24"/>
        </w:rPr>
        <w:t>Practical Diabetes.</w:t>
      </w:r>
      <w:r w:rsidR="0080650F" w:rsidRPr="00F77E8E">
        <w:rPr>
          <w:rFonts w:ascii="Times New Roman" w:hAnsi="Times New Roman" w:cs="Times New Roman"/>
          <w:noProof/>
          <w:sz w:val="24"/>
          <w:szCs w:val="24"/>
        </w:rPr>
        <w:t xml:space="preserve"> 2021; 38(5), 8-14a. </w:t>
      </w:r>
      <w:hyperlink r:id="rId11" w:history="1">
        <w:r w:rsidR="0080650F" w:rsidRPr="00F77E8E">
          <w:rPr>
            <w:rStyle w:val="Hyperlink"/>
            <w:rFonts w:ascii="Times New Roman" w:hAnsi="Times New Roman" w:cs="Times New Roman"/>
            <w:color w:val="005C85"/>
            <w:sz w:val="24"/>
            <w:szCs w:val="24"/>
          </w:rPr>
          <w:t>https://doi.org/10.1002/pdi.2355</w:t>
        </w:r>
      </w:hyperlink>
    </w:p>
    <w:p w14:paraId="11CD7E15" w14:textId="29ADA45B" w:rsidR="00C5368B" w:rsidRDefault="005C7EAD" w:rsidP="00C5368B">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1</w:t>
      </w:r>
      <w:r w:rsidR="00F62290">
        <w:rPr>
          <w:rFonts w:ascii="Times New Roman" w:hAnsi="Times New Roman" w:cs="Times New Roman"/>
          <w:noProof/>
          <w:sz w:val="24"/>
          <w:szCs w:val="24"/>
        </w:rPr>
        <w:t>8</w:t>
      </w:r>
      <w:r w:rsidR="00CA3C96" w:rsidRPr="00F77E8E">
        <w:rPr>
          <w:rFonts w:ascii="Times New Roman" w:hAnsi="Times New Roman" w:cs="Times New Roman"/>
          <w:noProof/>
          <w:sz w:val="24"/>
          <w:szCs w:val="24"/>
        </w:rPr>
        <w:t xml:space="preserve"> </w:t>
      </w:r>
      <w:r w:rsidR="00CA3C96" w:rsidRPr="00F77E8E">
        <w:rPr>
          <w:rFonts w:ascii="Times New Roman" w:hAnsi="Times New Roman" w:cs="Times New Roman"/>
          <w:noProof/>
          <w:sz w:val="24"/>
          <w:szCs w:val="24"/>
        </w:rPr>
        <w:tab/>
        <w:t xml:space="preserve">Cryer PE. Death during intensive glycemic therapy of diabetes: Mechanisms and implications. </w:t>
      </w:r>
      <w:r w:rsidR="00B1454F" w:rsidRPr="00F77E8E">
        <w:rPr>
          <w:rFonts w:ascii="Times New Roman" w:hAnsi="Times New Roman" w:cs="Times New Roman"/>
          <w:noProof/>
          <w:sz w:val="24"/>
          <w:szCs w:val="24"/>
        </w:rPr>
        <w:t xml:space="preserve">The </w:t>
      </w:r>
      <w:r w:rsidR="00CA3C96" w:rsidRPr="00CD1F9F">
        <w:rPr>
          <w:rFonts w:ascii="Times New Roman" w:hAnsi="Times New Roman" w:cs="Times New Roman"/>
          <w:noProof/>
          <w:sz w:val="24"/>
          <w:szCs w:val="24"/>
        </w:rPr>
        <w:t>Am</w:t>
      </w:r>
      <w:r w:rsidR="00B1454F" w:rsidRPr="00CD1F9F">
        <w:rPr>
          <w:rFonts w:ascii="Times New Roman" w:hAnsi="Times New Roman" w:cs="Times New Roman"/>
          <w:noProof/>
          <w:sz w:val="24"/>
          <w:szCs w:val="24"/>
        </w:rPr>
        <w:t>erican</w:t>
      </w:r>
      <w:r w:rsidR="00CA3C96" w:rsidRPr="00CD1F9F">
        <w:rPr>
          <w:rFonts w:ascii="Times New Roman" w:hAnsi="Times New Roman" w:cs="Times New Roman"/>
          <w:noProof/>
          <w:sz w:val="24"/>
          <w:szCs w:val="24"/>
        </w:rPr>
        <w:t xml:space="preserve"> J</w:t>
      </w:r>
      <w:r w:rsidR="00B1454F" w:rsidRPr="00CD1F9F">
        <w:rPr>
          <w:rFonts w:ascii="Times New Roman" w:hAnsi="Times New Roman" w:cs="Times New Roman"/>
          <w:noProof/>
          <w:sz w:val="24"/>
          <w:szCs w:val="24"/>
        </w:rPr>
        <w:t>ournal of</w:t>
      </w:r>
      <w:r w:rsidR="00767512" w:rsidRPr="00CD1F9F">
        <w:rPr>
          <w:rFonts w:ascii="Times New Roman" w:hAnsi="Times New Roman" w:cs="Times New Roman"/>
          <w:noProof/>
          <w:sz w:val="24"/>
          <w:szCs w:val="24"/>
        </w:rPr>
        <w:t xml:space="preserve"> </w:t>
      </w:r>
      <w:r w:rsidR="00CA3C96" w:rsidRPr="00CD1F9F">
        <w:rPr>
          <w:rFonts w:ascii="Times New Roman" w:hAnsi="Times New Roman" w:cs="Times New Roman"/>
          <w:noProof/>
          <w:sz w:val="24"/>
          <w:szCs w:val="24"/>
        </w:rPr>
        <w:t>Med</w:t>
      </w:r>
      <w:r w:rsidR="00B1454F" w:rsidRPr="00CD1F9F">
        <w:rPr>
          <w:rFonts w:ascii="Times New Roman" w:hAnsi="Times New Roman" w:cs="Times New Roman"/>
          <w:noProof/>
          <w:sz w:val="24"/>
          <w:szCs w:val="24"/>
        </w:rPr>
        <w:t>icine.</w:t>
      </w:r>
      <w:r w:rsidR="00CA3C96" w:rsidRPr="00F77E8E">
        <w:rPr>
          <w:rFonts w:ascii="Times New Roman" w:hAnsi="Times New Roman" w:cs="Times New Roman"/>
          <w:noProof/>
          <w:sz w:val="24"/>
          <w:szCs w:val="24"/>
        </w:rPr>
        <w:t xml:space="preserve"> 2011;</w:t>
      </w:r>
      <w:r w:rsidR="00CA3C96" w:rsidRPr="00F77E8E">
        <w:rPr>
          <w:rFonts w:ascii="Times New Roman" w:hAnsi="Times New Roman" w:cs="Times New Roman"/>
          <w:b/>
          <w:bCs/>
          <w:noProof/>
          <w:sz w:val="24"/>
          <w:szCs w:val="24"/>
        </w:rPr>
        <w:t>124</w:t>
      </w:r>
      <w:r w:rsidR="00CA3C96" w:rsidRPr="00F77E8E">
        <w:rPr>
          <w:rFonts w:ascii="Times New Roman" w:hAnsi="Times New Roman" w:cs="Times New Roman"/>
          <w:noProof/>
          <w:sz w:val="24"/>
          <w:szCs w:val="24"/>
        </w:rPr>
        <w:t>:993–6. doi:10.1016/j.amjmed.2011.08.008</w:t>
      </w:r>
    </w:p>
    <w:p w14:paraId="643C0143" w14:textId="384043C9" w:rsidR="004F10A1" w:rsidRPr="004F10A1" w:rsidRDefault="004F10A1" w:rsidP="00C5368B">
      <w:pPr>
        <w:widowControl w:val="0"/>
        <w:autoSpaceDE w:val="0"/>
        <w:autoSpaceDN w:val="0"/>
        <w:adjustRightInd w:val="0"/>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19       </w:t>
      </w:r>
      <w:r w:rsidRPr="00CD1F9F">
        <w:rPr>
          <w:rFonts w:ascii="Times New Roman" w:hAnsi="Times New Roman" w:cs="Times New Roman"/>
          <w:color w:val="212121"/>
          <w:sz w:val="24"/>
          <w:szCs w:val="24"/>
          <w:shd w:val="clear" w:color="auto" w:fill="FFFFFF"/>
        </w:rPr>
        <w:t>Arnold LW, Wang Z. The HbA1c and all-cause mortality relationship in patients with type 2 diabetes is J-shaped: a meta-analysis of observational studies. Rev Diabet Stud. 2014 Summer;11(2):138-52. doi: 10.1900/RDS.2014.11.138</w:t>
      </w:r>
    </w:p>
    <w:p w14:paraId="13C0410C" w14:textId="3E556B9E" w:rsidR="00644D69" w:rsidRDefault="00644D69" w:rsidP="00C5368B">
      <w:pPr>
        <w:widowControl w:val="0"/>
        <w:autoSpaceDE w:val="0"/>
        <w:autoSpaceDN w:val="0"/>
        <w:adjustRightInd w:val="0"/>
        <w:ind w:left="640" w:hanging="640"/>
        <w:rPr>
          <w:rStyle w:val="Hyperlink"/>
          <w:rFonts w:ascii="Times New Roman" w:hAnsi="Times New Roman" w:cs="Times New Roman"/>
          <w:color w:val="005C85"/>
          <w:sz w:val="24"/>
          <w:szCs w:val="24"/>
        </w:rPr>
      </w:pPr>
    </w:p>
    <w:p w14:paraId="48442BB9" w14:textId="0EE21EB2" w:rsidR="006F4C08" w:rsidRPr="00CD1F9F" w:rsidRDefault="006F4C08" w:rsidP="00C5368B">
      <w:pPr>
        <w:widowControl w:val="0"/>
        <w:autoSpaceDE w:val="0"/>
        <w:autoSpaceDN w:val="0"/>
        <w:adjustRightInd w:val="0"/>
        <w:ind w:left="640" w:hanging="640"/>
        <w:rPr>
          <w:rStyle w:val="Hyperlink"/>
          <w:rFonts w:ascii="Times New Roman" w:hAnsi="Times New Roman" w:cs="Times New Roman"/>
          <w:b/>
          <w:bCs/>
          <w:color w:val="005C85"/>
          <w:sz w:val="36"/>
          <w:szCs w:val="36"/>
        </w:rPr>
      </w:pPr>
      <w:r w:rsidRPr="00CD1F9F">
        <w:rPr>
          <w:rStyle w:val="Hyperlink"/>
          <w:rFonts w:ascii="Times New Roman" w:hAnsi="Times New Roman" w:cs="Times New Roman"/>
          <w:b/>
          <w:bCs/>
          <w:color w:val="005C85"/>
          <w:sz w:val="36"/>
          <w:szCs w:val="36"/>
        </w:rPr>
        <w:t>Supporting information</w:t>
      </w:r>
    </w:p>
    <w:p w14:paraId="10E34132" w14:textId="2A2057C8" w:rsidR="006F4C08" w:rsidRPr="0046155E" w:rsidRDefault="006F4C08" w:rsidP="00C5368B">
      <w:pPr>
        <w:widowControl w:val="0"/>
        <w:autoSpaceDE w:val="0"/>
        <w:autoSpaceDN w:val="0"/>
        <w:adjustRightInd w:val="0"/>
        <w:ind w:left="640" w:hanging="640"/>
        <w:rPr>
          <w:rFonts w:ascii="Times New Roman" w:hAnsi="Times New Roman" w:cs="Times New Roman"/>
          <w:noProof/>
          <w:sz w:val="24"/>
          <w:szCs w:val="24"/>
        </w:rPr>
      </w:pPr>
      <w:r>
        <w:rPr>
          <w:rStyle w:val="Hyperlink"/>
          <w:rFonts w:ascii="Times New Roman" w:hAnsi="Times New Roman" w:cs="Times New Roman"/>
          <w:color w:val="005C85"/>
          <w:sz w:val="24"/>
          <w:szCs w:val="24"/>
        </w:rPr>
        <w:t>S1 Table</w:t>
      </w:r>
      <w:r w:rsidR="00935638">
        <w:rPr>
          <w:rStyle w:val="Hyperlink"/>
          <w:rFonts w:ascii="Times New Roman" w:hAnsi="Times New Roman" w:cs="Times New Roman"/>
          <w:color w:val="005C85"/>
          <w:sz w:val="24"/>
          <w:szCs w:val="24"/>
        </w:rPr>
        <w:t>.</w:t>
      </w:r>
      <w:r w:rsidR="00935638" w:rsidRPr="000E01BE">
        <w:rPr>
          <w:rStyle w:val="Hyperlink"/>
          <w:rFonts w:ascii="Times New Roman" w:hAnsi="Times New Roman" w:cs="Times New Roman"/>
          <w:color w:val="005C85"/>
          <w:sz w:val="24"/>
          <w:szCs w:val="24"/>
        </w:rPr>
        <w:t xml:space="preserve"> </w:t>
      </w:r>
      <w:r w:rsidR="000E01BE" w:rsidRPr="00CD1F9F">
        <w:rPr>
          <w:rFonts w:ascii="Times New Roman" w:hAnsi="Times New Roman" w:cs="Times New Roman"/>
          <w:sz w:val="24"/>
          <w:szCs w:val="24"/>
        </w:rPr>
        <w:t>Association between remission and incidence of CVD outcomes and mortality over seven-year follow in the CHIA type 2 diabetes cohort</w:t>
      </w:r>
    </w:p>
    <w:p w14:paraId="10A6B7DC" w14:textId="59C12FC3" w:rsidR="0046155E" w:rsidRDefault="004D4B0A">
      <w:pPr>
        <w:rPr>
          <w:rFonts w:ascii="Arial" w:hAnsi="Arial" w:cs="Arial"/>
          <w:sz w:val="20"/>
          <w:szCs w:val="20"/>
        </w:rPr>
      </w:pPr>
      <w:r w:rsidRPr="0046155E">
        <w:rPr>
          <w:rFonts w:ascii="Times New Roman" w:hAnsi="Times New Roman" w:cs="Times New Roman"/>
          <w:sz w:val="24"/>
          <w:szCs w:val="24"/>
        </w:rPr>
        <w:fldChar w:fldCharType="end"/>
      </w:r>
    </w:p>
    <w:p w14:paraId="2B77CD1D" w14:textId="63524320" w:rsidR="005B7D1B" w:rsidRDefault="005B7D1B">
      <w:pPr>
        <w:rPr>
          <w:rFonts w:ascii="Arial" w:hAnsi="Arial" w:cs="Arial"/>
          <w:b/>
          <w:bCs/>
          <w:sz w:val="20"/>
          <w:szCs w:val="20"/>
        </w:rPr>
      </w:pPr>
    </w:p>
    <w:p w14:paraId="48A72C87" w14:textId="45188153" w:rsidR="00CA3C96" w:rsidRDefault="00CA3C96" w:rsidP="008629BE">
      <w:pPr>
        <w:rPr>
          <w:rFonts w:ascii="Arial" w:hAnsi="Arial" w:cs="Arial"/>
          <w:sz w:val="20"/>
          <w:szCs w:val="20"/>
        </w:rPr>
      </w:pPr>
    </w:p>
    <w:sectPr w:rsidR="00CA3C96" w:rsidSect="00272AF3">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9687" w14:textId="77777777" w:rsidR="00152302" w:rsidRDefault="00152302" w:rsidP="00CE50E3">
      <w:pPr>
        <w:spacing w:after="0" w:line="240" w:lineRule="auto"/>
      </w:pPr>
      <w:r>
        <w:separator/>
      </w:r>
    </w:p>
  </w:endnote>
  <w:endnote w:type="continuationSeparator" w:id="0">
    <w:p w14:paraId="593E30CF" w14:textId="77777777" w:rsidR="00152302" w:rsidRDefault="00152302" w:rsidP="00CE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AA31" w14:textId="77777777" w:rsidR="00152302" w:rsidRDefault="00152302" w:rsidP="00CE50E3">
      <w:pPr>
        <w:spacing w:after="0" w:line="240" w:lineRule="auto"/>
      </w:pPr>
      <w:r>
        <w:separator/>
      </w:r>
    </w:p>
  </w:footnote>
  <w:footnote w:type="continuationSeparator" w:id="0">
    <w:p w14:paraId="054A46B1" w14:textId="77777777" w:rsidR="00152302" w:rsidRDefault="00152302" w:rsidP="00CE5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247135"/>
      <w:docPartObj>
        <w:docPartGallery w:val="Page Numbers (Top of Page)"/>
        <w:docPartUnique/>
      </w:docPartObj>
    </w:sdtPr>
    <w:sdtEndPr>
      <w:rPr>
        <w:noProof/>
      </w:rPr>
    </w:sdtEndPr>
    <w:sdtContent>
      <w:p w14:paraId="125C96F3" w14:textId="78936C31" w:rsidR="000A2CC5" w:rsidRDefault="000A2C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039BC0" w14:textId="77777777" w:rsidR="000A2CC5" w:rsidRDefault="000A2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01871"/>
    <w:multiLevelType w:val="hybridMultilevel"/>
    <w:tmpl w:val="222C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886"/>
    <w:multiLevelType w:val="hybridMultilevel"/>
    <w:tmpl w:val="34B68B40"/>
    <w:lvl w:ilvl="0" w:tplc="92B6B6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9663F"/>
    <w:multiLevelType w:val="hybridMultilevel"/>
    <w:tmpl w:val="4C82A928"/>
    <w:lvl w:ilvl="0" w:tplc="54547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D2E03"/>
    <w:multiLevelType w:val="hybridMultilevel"/>
    <w:tmpl w:val="AEAA3944"/>
    <w:lvl w:ilvl="0" w:tplc="31F8848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64600"/>
    <w:multiLevelType w:val="hybridMultilevel"/>
    <w:tmpl w:val="77D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2567D"/>
    <w:multiLevelType w:val="multilevel"/>
    <w:tmpl w:val="9EB03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F400C2"/>
    <w:multiLevelType w:val="hybridMultilevel"/>
    <w:tmpl w:val="6750EF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8636D"/>
    <w:multiLevelType w:val="multilevel"/>
    <w:tmpl w:val="3C0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8A5AC1"/>
    <w:multiLevelType w:val="hybridMultilevel"/>
    <w:tmpl w:val="C4C07774"/>
    <w:lvl w:ilvl="0" w:tplc="E9C25F7E">
      <w:start w:val="12"/>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9" w15:restartNumberingAfterBreak="0">
    <w:nsid w:val="6F2F3A0F"/>
    <w:multiLevelType w:val="multilevel"/>
    <w:tmpl w:val="26A8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94477A"/>
    <w:multiLevelType w:val="hybridMultilevel"/>
    <w:tmpl w:val="3650141A"/>
    <w:lvl w:ilvl="0" w:tplc="58CAA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0"/>
  </w:num>
  <w:num w:numId="6">
    <w:abstractNumId w:val="2"/>
  </w:num>
  <w:num w:numId="7">
    <w:abstractNumId w:val="9"/>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ocumentProtection w:edit="trackedChanges" w:enforcement="1" w:cryptProviderType="rsaAES" w:cryptAlgorithmClass="hash" w:cryptAlgorithmType="typeAny" w:cryptAlgorithmSid="14" w:cryptSpinCount="100000" w:hash="dhJ+hFM7trI212jVEHdwNSe6B7jEBKXurAC+1lMFBygjsxxjrDu3hbVEk2pjdEkXe3tFF+uH85hnYwyAPxsoVQ==" w:salt="+XKjmSKWLyy9VuU0/3gpG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szQzNDcwNDIzNjFW0lEKTi0uzszPAykwtKwFAMIPxYAtAAAA"/>
  </w:docVars>
  <w:rsids>
    <w:rsidRoot w:val="00094E58"/>
    <w:rsid w:val="000031BD"/>
    <w:rsid w:val="000033C3"/>
    <w:rsid w:val="000046EF"/>
    <w:rsid w:val="0000569F"/>
    <w:rsid w:val="00006272"/>
    <w:rsid w:val="000129E1"/>
    <w:rsid w:val="0001341F"/>
    <w:rsid w:val="00014CC7"/>
    <w:rsid w:val="00015A1C"/>
    <w:rsid w:val="00021228"/>
    <w:rsid w:val="00021632"/>
    <w:rsid w:val="00023F33"/>
    <w:rsid w:val="0002619A"/>
    <w:rsid w:val="00032692"/>
    <w:rsid w:val="000335D7"/>
    <w:rsid w:val="00034D9C"/>
    <w:rsid w:val="00035ABB"/>
    <w:rsid w:val="00040DA2"/>
    <w:rsid w:val="000445C8"/>
    <w:rsid w:val="000478EE"/>
    <w:rsid w:val="00053711"/>
    <w:rsid w:val="000575A4"/>
    <w:rsid w:val="00060026"/>
    <w:rsid w:val="0006437B"/>
    <w:rsid w:val="00064E92"/>
    <w:rsid w:val="00066A06"/>
    <w:rsid w:val="000670AA"/>
    <w:rsid w:val="000722D3"/>
    <w:rsid w:val="00076C2B"/>
    <w:rsid w:val="00082650"/>
    <w:rsid w:val="0009037F"/>
    <w:rsid w:val="00090C9A"/>
    <w:rsid w:val="00092B21"/>
    <w:rsid w:val="00094E58"/>
    <w:rsid w:val="00096847"/>
    <w:rsid w:val="00097088"/>
    <w:rsid w:val="000A2CC5"/>
    <w:rsid w:val="000A6061"/>
    <w:rsid w:val="000B09D3"/>
    <w:rsid w:val="000B312D"/>
    <w:rsid w:val="000B576C"/>
    <w:rsid w:val="000B6558"/>
    <w:rsid w:val="000B7C7A"/>
    <w:rsid w:val="000B7FA9"/>
    <w:rsid w:val="000C1E1B"/>
    <w:rsid w:val="000C6B8C"/>
    <w:rsid w:val="000D16A4"/>
    <w:rsid w:val="000D293B"/>
    <w:rsid w:val="000E01BE"/>
    <w:rsid w:val="000E162C"/>
    <w:rsid w:val="000E4507"/>
    <w:rsid w:val="000E58E4"/>
    <w:rsid w:val="000E67E5"/>
    <w:rsid w:val="000E7D0F"/>
    <w:rsid w:val="000F14C6"/>
    <w:rsid w:val="000F210C"/>
    <w:rsid w:val="000F3B04"/>
    <w:rsid w:val="000F4B99"/>
    <w:rsid w:val="000F5250"/>
    <w:rsid w:val="001038EC"/>
    <w:rsid w:val="00103DB0"/>
    <w:rsid w:val="001045E6"/>
    <w:rsid w:val="001046F1"/>
    <w:rsid w:val="0010632D"/>
    <w:rsid w:val="001126C3"/>
    <w:rsid w:val="00115603"/>
    <w:rsid w:val="00115DDA"/>
    <w:rsid w:val="00117A3A"/>
    <w:rsid w:val="00122405"/>
    <w:rsid w:val="00123200"/>
    <w:rsid w:val="001272B7"/>
    <w:rsid w:val="0013110C"/>
    <w:rsid w:val="0013350E"/>
    <w:rsid w:val="001352AF"/>
    <w:rsid w:val="001378C8"/>
    <w:rsid w:val="0014079D"/>
    <w:rsid w:val="00142CD2"/>
    <w:rsid w:val="001439D6"/>
    <w:rsid w:val="00147EC7"/>
    <w:rsid w:val="0015182B"/>
    <w:rsid w:val="00152302"/>
    <w:rsid w:val="001530AF"/>
    <w:rsid w:val="0015453E"/>
    <w:rsid w:val="00154E52"/>
    <w:rsid w:val="0016536D"/>
    <w:rsid w:val="0016750A"/>
    <w:rsid w:val="00170B70"/>
    <w:rsid w:val="0017784A"/>
    <w:rsid w:val="00183CD9"/>
    <w:rsid w:val="00185334"/>
    <w:rsid w:val="001945BF"/>
    <w:rsid w:val="00194E1F"/>
    <w:rsid w:val="00196F05"/>
    <w:rsid w:val="00197772"/>
    <w:rsid w:val="001A2E2D"/>
    <w:rsid w:val="001A4EF3"/>
    <w:rsid w:val="001A72C0"/>
    <w:rsid w:val="001B278F"/>
    <w:rsid w:val="001B4763"/>
    <w:rsid w:val="001B6624"/>
    <w:rsid w:val="001C21AA"/>
    <w:rsid w:val="001C2CAC"/>
    <w:rsid w:val="001C6E1A"/>
    <w:rsid w:val="001C76D4"/>
    <w:rsid w:val="001D0E01"/>
    <w:rsid w:val="001D1227"/>
    <w:rsid w:val="001D2259"/>
    <w:rsid w:val="001D3196"/>
    <w:rsid w:val="001D3BC0"/>
    <w:rsid w:val="001D4C62"/>
    <w:rsid w:val="001E1DFE"/>
    <w:rsid w:val="001E21F1"/>
    <w:rsid w:val="001E2F53"/>
    <w:rsid w:val="001E3F53"/>
    <w:rsid w:val="001E741A"/>
    <w:rsid w:val="001F0E6C"/>
    <w:rsid w:val="001F2B34"/>
    <w:rsid w:val="001F4D46"/>
    <w:rsid w:val="002039D9"/>
    <w:rsid w:val="00205AD9"/>
    <w:rsid w:val="0021442B"/>
    <w:rsid w:val="002170AC"/>
    <w:rsid w:val="00217312"/>
    <w:rsid w:val="00220C24"/>
    <w:rsid w:val="00230DA4"/>
    <w:rsid w:val="00231818"/>
    <w:rsid w:val="0023420C"/>
    <w:rsid w:val="00234CC3"/>
    <w:rsid w:val="00244BF8"/>
    <w:rsid w:val="00255A74"/>
    <w:rsid w:val="00261D70"/>
    <w:rsid w:val="00262672"/>
    <w:rsid w:val="0026272A"/>
    <w:rsid w:val="002627F8"/>
    <w:rsid w:val="002666E0"/>
    <w:rsid w:val="00266DE7"/>
    <w:rsid w:val="00266E06"/>
    <w:rsid w:val="00271000"/>
    <w:rsid w:val="002724EC"/>
    <w:rsid w:val="00272AF3"/>
    <w:rsid w:val="00274A97"/>
    <w:rsid w:val="00284E9E"/>
    <w:rsid w:val="002868E6"/>
    <w:rsid w:val="00291EA9"/>
    <w:rsid w:val="0029505E"/>
    <w:rsid w:val="00295C9F"/>
    <w:rsid w:val="002970E0"/>
    <w:rsid w:val="00297223"/>
    <w:rsid w:val="002A00FE"/>
    <w:rsid w:val="002A24E3"/>
    <w:rsid w:val="002A25E2"/>
    <w:rsid w:val="002A3179"/>
    <w:rsid w:val="002A6350"/>
    <w:rsid w:val="002B0BFB"/>
    <w:rsid w:val="002B1B4C"/>
    <w:rsid w:val="002B62FD"/>
    <w:rsid w:val="002B657D"/>
    <w:rsid w:val="002B72C8"/>
    <w:rsid w:val="002C16F1"/>
    <w:rsid w:val="002C2768"/>
    <w:rsid w:val="002C3486"/>
    <w:rsid w:val="002C3AA4"/>
    <w:rsid w:val="002C3DB0"/>
    <w:rsid w:val="002C5BA3"/>
    <w:rsid w:val="002D0933"/>
    <w:rsid w:val="002D46E3"/>
    <w:rsid w:val="002D54FB"/>
    <w:rsid w:val="002D5957"/>
    <w:rsid w:val="002D758C"/>
    <w:rsid w:val="002E2DC3"/>
    <w:rsid w:val="002E4A38"/>
    <w:rsid w:val="002E697F"/>
    <w:rsid w:val="002E7332"/>
    <w:rsid w:val="002F110D"/>
    <w:rsid w:val="002F24B1"/>
    <w:rsid w:val="002F2B66"/>
    <w:rsid w:val="002F3EEE"/>
    <w:rsid w:val="002F6602"/>
    <w:rsid w:val="002F6D1C"/>
    <w:rsid w:val="003003CA"/>
    <w:rsid w:val="003006AF"/>
    <w:rsid w:val="00300BD3"/>
    <w:rsid w:val="0030172C"/>
    <w:rsid w:val="00304261"/>
    <w:rsid w:val="00305565"/>
    <w:rsid w:val="00313179"/>
    <w:rsid w:val="00314060"/>
    <w:rsid w:val="00314745"/>
    <w:rsid w:val="0031694E"/>
    <w:rsid w:val="003171F6"/>
    <w:rsid w:val="0032094B"/>
    <w:rsid w:val="003216C6"/>
    <w:rsid w:val="00322E0F"/>
    <w:rsid w:val="00326B59"/>
    <w:rsid w:val="0032759F"/>
    <w:rsid w:val="003301F8"/>
    <w:rsid w:val="003328F5"/>
    <w:rsid w:val="00340E36"/>
    <w:rsid w:val="003448AC"/>
    <w:rsid w:val="00344E34"/>
    <w:rsid w:val="00345660"/>
    <w:rsid w:val="00345A0A"/>
    <w:rsid w:val="00346515"/>
    <w:rsid w:val="003517B1"/>
    <w:rsid w:val="003559D0"/>
    <w:rsid w:val="00360441"/>
    <w:rsid w:val="003612BE"/>
    <w:rsid w:val="00370849"/>
    <w:rsid w:val="003713EE"/>
    <w:rsid w:val="00372C80"/>
    <w:rsid w:val="00372CA6"/>
    <w:rsid w:val="003730D1"/>
    <w:rsid w:val="003731C4"/>
    <w:rsid w:val="0037518A"/>
    <w:rsid w:val="00376AB5"/>
    <w:rsid w:val="00381541"/>
    <w:rsid w:val="00382C31"/>
    <w:rsid w:val="003839CF"/>
    <w:rsid w:val="00386C2B"/>
    <w:rsid w:val="003871B9"/>
    <w:rsid w:val="0039545A"/>
    <w:rsid w:val="00396610"/>
    <w:rsid w:val="00397504"/>
    <w:rsid w:val="003A04CF"/>
    <w:rsid w:val="003A188D"/>
    <w:rsid w:val="003A1FD4"/>
    <w:rsid w:val="003A21C9"/>
    <w:rsid w:val="003A277D"/>
    <w:rsid w:val="003A41AE"/>
    <w:rsid w:val="003B0333"/>
    <w:rsid w:val="003B2F58"/>
    <w:rsid w:val="003B36CA"/>
    <w:rsid w:val="003B5A7E"/>
    <w:rsid w:val="003B62E1"/>
    <w:rsid w:val="003C0573"/>
    <w:rsid w:val="003D0BF9"/>
    <w:rsid w:val="003E1B47"/>
    <w:rsid w:val="003E2272"/>
    <w:rsid w:val="003E4069"/>
    <w:rsid w:val="003E7DF2"/>
    <w:rsid w:val="003F2192"/>
    <w:rsid w:val="003F5A73"/>
    <w:rsid w:val="00401847"/>
    <w:rsid w:val="00402BDD"/>
    <w:rsid w:val="00402FEF"/>
    <w:rsid w:val="00410A8D"/>
    <w:rsid w:val="00411CD9"/>
    <w:rsid w:val="004123C4"/>
    <w:rsid w:val="00413571"/>
    <w:rsid w:val="004139F0"/>
    <w:rsid w:val="00417161"/>
    <w:rsid w:val="00417E8C"/>
    <w:rsid w:val="004237A4"/>
    <w:rsid w:val="00423D4D"/>
    <w:rsid w:val="004268E2"/>
    <w:rsid w:val="004314CE"/>
    <w:rsid w:val="00433894"/>
    <w:rsid w:val="0043481C"/>
    <w:rsid w:val="00435CFD"/>
    <w:rsid w:val="0044217A"/>
    <w:rsid w:val="00442B47"/>
    <w:rsid w:val="00443CF3"/>
    <w:rsid w:val="0044422B"/>
    <w:rsid w:val="00444653"/>
    <w:rsid w:val="00446056"/>
    <w:rsid w:val="004469BF"/>
    <w:rsid w:val="00447B3C"/>
    <w:rsid w:val="00450721"/>
    <w:rsid w:val="0045346A"/>
    <w:rsid w:val="00457F2F"/>
    <w:rsid w:val="00457F33"/>
    <w:rsid w:val="0046155E"/>
    <w:rsid w:val="00462B36"/>
    <w:rsid w:val="00463210"/>
    <w:rsid w:val="004634C0"/>
    <w:rsid w:val="00463965"/>
    <w:rsid w:val="00463B13"/>
    <w:rsid w:val="004650C7"/>
    <w:rsid w:val="00465740"/>
    <w:rsid w:val="00472010"/>
    <w:rsid w:val="00473DD5"/>
    <w:rsid w:val="004748A5"/>
    <w:rsid w:val="00474B3A"/>
    <w:rsid w:val="00476B44"/>
    <w:rsid w:val="004777F1"/>
    <w:rsid w:val="00477A3E"/>
    <w:rsid w:val="00481494"/>
    <w:rsid w:val="00481DE0"/>
    <w:rsid w:val="00482A50"/>
    <w:rsid w:val="00485E17"/>
    <w:rsid w:val="0048723B"/>
    <w:rsid w:val="00493372"/>
    <w:rsid w:val="004933DB"/>
    <w:rsid w:val="00495457"/>
    <w:rsid w:val="004956DA"/>
    <w:rsid w:val="0049585F"/>
    <w:rsid w:val="004A206F"/>
    <w:rsid w:val="004A3DFF"/>
    <w:rsid w:val="004A44A0"/>
    <w:rsid w:val="004A50D7"/>
    <w:rsid w:val="004A5874"/>
    <w:rsid w:val="004A792C"/>
    <w:rsid w:val="004B28B6"/>
    <w:rsid w:val="004B70C8"/>
    <w:rsid w:val="004C2403"/>
    <w:rsid w:val="004C36D4"/>
    <w:rsid w:val="004C45FA"/>
    <w:rsid w:val="004D2DF0"/>
    <w:rsid w:val="004D4987"/>
    <w:rsid w:val="004D4B0A"/>
    <w:rsid w:val="004D6D65"/>
    <w:rsid w:val="004E10D8"/>
    <w:rsid w:val="004E36D9"/>
    <w:rsid w:val="004E3E75"/>
    <w:rsid w:val="004E6697"/>
    <w:rsid w:val="004E6A76"/>
    <w:rsid w:val="004E6EB7"/>
    <w:rsid w:val="004E788B"/>
    <w:rsid w:val="004F10A1"/>
    <w:rsid w:val="004F2F6F"/>
    <w:rsid w:val="004F32B8"/>
    <w:rsid w:val="00503E1C"/>
    <w:rsid w:val="00505E1D"/>
    <w:rsid w:val="00507DD9"/>
    <w:rsid w:val="00511E5A"/>
    <w:rsid w:val="005223F3"/>
    <w:rsid w:val="00524573"/>
    <w:rsid w:val="00525888"/>
    <w:rsid w:val="00531663"/>
    <w:rsid w:val="00531AE2"/>
    <w:rsid w:val="00533245"/>
    <w:rsid w:val="00547FAC"/>
    <w:rsid w:val="00551CB2"/>
    <w:rsid w:val="00557892"/>
    <w:rsid w:val="00562A48"/>
    <w:rsid w:val="00564AC8"/>
    <w:rsid w:val="005718AD"/>
    <w:rsid w:val="00571C60"/>
    <w:rsid w:val="00574AAE"/>
    <w:rsid w:val="00575B50"/>
    <w:rsid w:val="00576792"/>
    <w:rsid w:val="005770CE"/>
    <w:rsid w:val="00582168"/>
    <w:rsid w:val="00583DED"/>
    <w:rsid w:val="00585C6C"/>
    <w:rsid w:val="00586F89"/>
    <w:rsid w:val="00587DF6"/>
    <w:rsid w:val="00590B63"/>
    <w:rsid w:val="005964FB"/>
    <w:rsid w:val="0059753A"/>
    <w:rsid w:val="005A0DA3"/>
    <w:rsid w:val="005A23D6"/>
    <w:rsid w:val="005A31EA"/>
    <w:rsid w:val="005A5691"/>
    <w:rsid w:val="005B003F"/>
    <w:rsid w:val="005B0052"/>
    <w:rsid w:val="005B26E4"/>
    <w:rsid w:val="005B3813"/>
    <w:rsid w:val="005B3F37"/>
    <w:rsid w:val="005B7D1B"/>
    <w:rsid w:val="005C0296"/>
    <w:rsid w:val="005C238B"/>
    <w:rsid w:val="005C4617"/>
    <w:rsid w:val="005C7EAD"/>
    <w:rsid w:val="005C7EE9"/>
    <w:rsid w:val="005D5394"/>
    <w:rsid w:val="005D6740"/>
    <w:rsid w:val="005D6BB0"/>
    <w:rsid w:val="005E0D6E"/>
    <w:rsid w:val="005E40CC"/>
    <w:rsid w:val="005F08D4"/>
    <w:rsid w:val="005F0C16"/>
    <w:rsid w:val="005F68BF"/>
    <w:rsid w:val="005F6C99"/>
    <w:rsid w:val="005F75FD"/>
    <w:rsid w:val="006009CD"/>
    <w:rsid w:val="00601023"/>
    <w:rsid w:val="00602BF6"/>
    <w:rsid w:val="00603D4C"/>
    <w:rsid w:val="00605C16"/>
    <w:rsid w:val="00611DFD"/>
    <w:rsid w:val="00614976"/>
    <w:rsid w:val="006168C8"/>
    <w:rsid w:val="00621371"/>
    <w:rsid w:val="00626FFB"/>
    <w:rsid w:val="006306D9"/>
    <w:rsid w:val="006328CF"/>
    <w:rsid w:val="00633A3E"/>
    <w:rsid w:val="006404AB"/>
    <w:rsid w:val="00640A52"/>
    <w:rsid w:val="00644D69"/>
    <w:rsid w:val="006546B3"/>
    <w:rsid w:val="00662D98"/>
    <w:rsid w:val="0066394E"/>
    <w:rsid w:val="00664A61"/>
    <w:rsid w:val="00664CD3"/>
    <w:rsid w:val="00673416"/>
    <w:rsid w:val="00677565"/>
    <w:rsid w:val="006851D5"/>
    <w:rsid w:val="00686622"/>
    <w:rsid w:val="00692B4C"/>
    <w:rsid w:val="00693F7B"/>
    <w:rsid w:val="006A7F94"/>
    <w:rsid w:val="006C21EA"/>
    <w:rsid w:val="006C49E8"/>
    <w:rsid w:val="006C7541"/>
    <w:rsid w:val="006D0E93"/>
    <w:rsid w:val="006E4F82"/>
    <w:rsid w:val="006F007B"/>
    <w:rsid w:val="006F4C08"/>
    <w:rsid w:val="006F5464"/>
    <w:rsid w:val="006F5DD2"/>
    <w:rsid w:val="007061AB"/>
    <w:rsid w:val="0070733D"/>
    <w:rsid w:val="00714284"/>
    <w:rsid w:val="007159DC"/>
    <w:rsid w:val="007218A9"/>
    <w:rsid w:val="0072298B"/>
    <w:rsid w:val="00722B0C"/>
    <w:rsid w:val="007232DA"/>
    <w:rsid w:val="00727528"/>
    <w:rsid w:val="00727D0E"/>
    <w:rsid w:val="007306D0"/>
    <w:rsid w:val="007324DE"/>
    <w:rsid w:val="00733FBC"/>
    <w:rsid w:val="007345C7"/>
    <w:rsid w:val="0073480D"/>
    <w:rsid w:val="00740099"/>
    <w:rsid w:val="007414E7"/>
    <w:rsid w:val="007431D5"/>
    <w:rsid w:val="00747793"/>
    <w:rsid w:val="00750ED9"/>
    <w:rsid w:val="00752340"/>
    <w:rsid w:val="00754B64"/>
    <w:rsid w:val="007555E2"/>
    <w:rsid w:val="007617AD"/>
    <w:rsid w:val="00762ABD"/>
    <w:rsid w:val="00763E20"/>
    <w:rsid w:val="00767512"/>
    <w:rsid w:val="00770434"/>
    <w:rsid w:val="00771E3E"/>
    <w:rsid w:val="0077373D"/>
    <w:rsid w:val="00774686"/>
    <w:rsid w:val="00775211"/>
    <w:rsid w:val="00776BA7"/>
    <w:rsid w:val="00777777"/>
    <w:rsid w:val="00781B96"/>
    <w:rsid w:val="0078355D"/>
    <w:rsid w:val="00786EDF"/>
    <w:rsid w:val="007874A8"/>
    <w:rsid w:val="0079078A"/>
    <w:rsid w:val="00790D29"/>
    <w:rsid w:val="007950F7"/>
    <w:rsid w:val="00795DF5"/>
    <w:rsid w:val="007A19F9"/>
    <w:rsid w:val="007A55BC"/>
    <w:rsid w:val="007A676D"/>
    <w:rsid w:val="007A6DD0"/>
    <w:rsid w:val="007B1406"/>
    <w:rsid w:val="007B2900"/>
    <w:rsid w:val="007B35AB"/>
    <w:rsid w:val="007B5ED8"/>
    <w:rsid w:val="007B6729"/>
    <w:rsid w:val="007B7536"/>
    <w:rsid w:val="007C173D"/>
    <w:rsid w:val="007C462B"/>
    <w:rsid w:val="007C601A"/>
    <w:rsid w:val="007D5198"/>
    <w:rsid w:val="007E011D"/>
    <w:rsid w:val="007E0861"/>
    <w:rsid w:val="007E47F3"/>
    <w:rsid w:val="007E4A7D"/>
    <w:rsid w:val="007F4199"/>
    <w:rsid w:val="007F6BA3"/>
    <w:rsid w:val="00802CF9"/>
    <w:rsid w:val="00803835"/>
    <w:rsid w:val="0080650F"/>
    <w:rsid w:val="00810EDE"/>
    <w:rsid w:val="00812C95"/>
    <w:rsid w:val="00813997"/>
    <w:rsid w:val="008173B7"/>
    <w:rsid w:val="008226A4"/>
    <w:rsid w:val="008241F8"/>
    <w:rsid w:val="00824405"/>
    <w:rsid w:val="0082482C"/>
    <w:rsid w:val="008251F1"/>
    <w:rsid w:val="008267C9"/>
    <w:rsid w:val="00831812"/>
    <w:rsid w:val="00831EAC"/>
    <w:rsid w:val="00832B60"/>
    <w:rsid w:val="00833A65"/>
    <w:rsid w:val="00836A90"/>
    <w:rsid w:val="008412B2"/>
    <w:rsid w:val="00842A7C"/>
    <w:rsid w:val="00847058"/>
    <w:rsid w:val="008547C0"/>
    <w:rsid w:val="008610D3"/>
    <w:rsid w:val="008629BE"/>
    <w:rsid w:val="00864005"/>
    <w:rsid w:val="008640AF"/>
    <w:rsid w:val="00864D0D"/>
    <w:rsid w:val="00864DE9"/>
    <w:rsid w:val="00865A03"/>
    <w:rsid w:val="00865E06"/>
    <w:rsid w:val="00866146"/>
    <w:rsid w:val="008668D0"/>
    <w:rsid w:val="00871AF5"/>
    <w:rsid w:val="00875C2A"/>
    <w:rsid w:val="0088016D"/>
    <w:rsid w:val="00887849"/>
    <w:rsid w:val="008879D2"/>
    <w:rsid w:val="00892443"/>
    <w:rsid w:val="00892E40"/>
    <w:rsid w:val="00894766"/>
    <w:rsid w:val="00895CAD"/>
    <w:rsid w:val="00897E75"/>
    <w:rsid w:val="008A17EE"/>
    <w:rsid w:val="008A2102"/>
    <w:rsid w:val="008A2E26"/>
    <w:rsid w:val="008A3989"/>
    <w:rsid w:val="008A436E"/>
    <w:rsid w:val="008A5C18"/>
    <w:rsid w:val="008A7B0B"/>
    <w:rsid w:val="008B0606"/>
    <w:rsid w:val="008B0D9F"/>
    <w:rsid w:val="008B23D3"/>
    <w:rsid w:val="008B53C5"/>
    <w:rsid w:val="008C114C"/>
    <w:rsid w:val="008C1422"/>
    <w:rsid w:val="008C1990"/>
    <w:rsid w:val="008C2350"/>
    <w:rsid w:val="008D10CC"/>
    <w:rsid w:val="008D135A"/>
    <w:rsid w:val="008D3159"/>
    <w:rsid w:val="008D5872"/>
    <w:rsid w:val="008D6996"/>
    <w:rsid w:val="008E192A"/>
    <w:rsid w:val="008E1A13"/>
    <w:rsid w:val="008E2E58"/>
    <w:rsid w:val="008E47E8"/>
    <w:rsid w:val="008E52FF"/>
    <w:rsid w:val="00901907"/>
    <w:rsid w:val="00901D06"/>
    <w:rsid w:val="00902C5F"/>
    <w:rsid w:val="009044FC"/>
    <w:rsid w:val="0090515B"/>
    <w:rsid w:val="00905245"/>
    <w:rsid w:val="00906287"/>
    <w:rsid w:val="0091132A"/>
    <w:rsid w:val="00911517"/>
    <w:rsid w:val="009121BD"/>
    <w:rsid w:val="009121BE"/>
    <w:rsid w:val="009136D2"/>
    <w:rsid w:val="00914B4C"/>
    <w:rsid w:val="00921ECF"/>
    <w:rsid w:val="00924B93"/>
    <w:rsid w:val="00925027"/>
    <w:rsid w:val="009254AE"/>
    <w:rsid w:val="0093076D"/>
    <w:rsid w:val="00934E1B"/>
    <w:rsid w:val="00935638"/>
    <w:rsid w:val="00937C33"/>
    <w:rsid w:val="0094442C"/>
    <w:rsid w:val="00951200"/>
    <w:rsid w:val="00951C47"/>
    <w:rsid w:val="00952234"/>
    <w:rsid w:val="00952C50"/>
    <w:rsid w:val="00954C97"/>
    <w:rsid w:val="00955FF9"/>
    <w:rsid w:val="00962AB8"/>
    <w:rsid w:val="00962F4E"/>
    <w:rsid w:val="00963F37"/>
    <w:rsid w:val="009641E9"/>
    <w:rsid w:val="009664F6"/>
    <w:rsid w:val="009669BB"/>
    <w:rsid w:val="00967FA0"/>
    <w:rsid w:val="00970B72"/>
    <w:rsid w:val="0097231B"/>
    <w:rsid w:val="009724DE"/>
    <w:rsid w:val="0097251F"/>
    <w:rsid w:val="00985072"/>
    <w:rsid w:val="00985206"/>
    <w:rsid w:val="009873AD"/>
    <w:rsid w:val="00987F32"/>
    <w:rsid w:val="00991BE2"/>
    <w:rsid w:val="0099683E"/>
    <w:rsid w:val="009A14FF"/>
    <w:rsid w:val="009A37B7"/>
    <w:rsid w:val="009A672D"/>
    <w:rsid w:val="009B2294"/>
    <w:rsid w:val="009B4637"/>
    <w:rsid w:val="009B5DBD"/>
    <w:rsid w:val="009C01D2"/>
    <w:rsid w:val="009C334F"/>
    <w:rsid w:val="009C5DB4"/>
    <w:rsid w:val="009D18C6"/>
    <w:rsid w:val="009D3187"/>
    <w:rsid w:val="009D70D2"/>
    <w:rsid w:val="009D7B81"/>
    <w:rsid w:val="009E1159"/>
    <w:rsid w:val="009E2510"/>
    <w:rsid w:val="009E67A0"/>
    <w:rsid w:val="009E690F"/>
    <w:rsid w:val="009F0B7A"/>
    <w:rsid w:val="009F2AF7"/>
    <w:rsid w:val="009F4B9E"/>
    <w:rsid w:val="009F6A9A"/>
    <w:rsid w:val="00A008DC"/>
    <w:rsid w:val="00A03D58"/>
    <w:rsid w:val="00A11395"/>
    <w:rsid w:val="00A116B2"/>
    <w:rsid w:val="00A13757"/>
    <w:rsid w:val="00A22108"/>
    <w:rsid w:val="00A27E4F"/>
    <w:rsid w:val="00A31190"/>
    <w:rsid w:val="00A31320"/>
    <w:rsid w:val="00A34B40"/>
    <w:rsid w:val="00A364F4"/>
    <w:rsid w:val="00A36A74"/>
    <w:rsid w:val="00A37063"/>
    <w:rsid w:val="00A45B44"/>
    <w:rsid w:val="00A46D47"/>
    <w:rsid w:val="00A46F0F"/>
    <w:rsid w:val="00A51B92"/>
    <w:rsid w:val="00A533B9"/>
    <w:rsid w:val="00A55387"/>
    <w:rsid w:val="00A556DF"/>
    <w:rsid w:val="00A57251"/>
    <w:rsid w:val="00A66255"/>
    <w:rsid w:val="00A67B3E"/>
    <w:rsid w:val="00A70052"/>
    <w:rsid w:val="00A70F83"/>
    <w:rsid w:val="00A713BD"/>
    <w:rsid w:val="00A74480"/>
    <w:rsid w:val="00A74AE3"/>
    <w:rsid w:val="00A81720"/>
    <w:rsid w:val="00A821CC"/>
    <w:rsid w:val="00A82AAB"/>
    <w:rsid w:val="00A83678"/>
    <w:rsid w:val="00A91836"/>
    <w:rsid w:val="00A95527"/>
    <w:rsid w:val="00AA25AD"/>
    <w:rsid w:val="00AA26B1"/>
    <w:rsid w:val="00AA55FA"/>
    <w:rsid w:val="00AA7157"/>
    <w:rsid w:val="00AB3587"/>
    <w:rsid w:val="00AB3FDE"/>
    <w:rsid w:val="00AB5DDE"/>
    <w:rsid w:val="00AC65DB"/>
    <w:rsid w:val="00AD2D5F"/>
    <w:rsid w:val="00AE18F2"/>
    <w:rsid w:val="00AE4FEF"/>
    <w:rsid w:val="00AE59BB"/>
    <w:rsid w:val="00AE64BF"/>
    <w:rsid w:val="00AE6E1A"/>
    <w:rsid w:val="00AF4937"/>
    <w:rsid w:val="00AF5741"/>
    <w:rsid w:val="00B014D2"/>
    <w:rsid w:val="00B0200A"/>
    <w:rsid w:val="00B0448E"/>
    <w:rsid w:val="00B11C31"/>
    <w:rsid w:val="00B11D56"/>
    <w:rsid w:val="00B121EB"/>
    <w:rsid w:val="00B13DFC"/>
    <w:rsid w:val="00B1454F"/>
    <w:rsid w:val="00B21654"/>
    <w:rsid w:val="00B21F48"/>
    <w:rsid w:val="00B232A3"/>
    <w:rsid w:val="00B2385C"/>
    <w:rsid w:val="00B26DAC"/>
    <w:rsid w:val="00B27CF6"/>
    <w:rsid w:val="00B34059"/>
    <w:rsid w:val="00B35AA9"/>
    <w:rsid w:val="00B35B6D"/>
    <w:rsid w:val="00B363E0"/>
    <w:rsid w:val="00B36BEA"/>
    <w:rsid w:val="00B37322"/>
    <w:rsid w:val="00B43B9A"/>
    <w:rsid w:val="00B44B82"/>
    <w:rsid w:val="00B45271"/>
    <w:rsid w:val="00B460B8"/>
    <w:rsid w:val="00B46456"/>
    <w:rsid w:val="00B47D4A"/>
    <w:rsid w:val="00B500FF"/>
    <w:rsid w:val="00B50429"/>
    <w:rsid w:val="00B508EB"/>
    <w:rsid w:val="00B53642"/>
    <w:rsid w:val="00B53EA8"/>
    <w:rsid w:val="00B56CCD"/>
    <w:rsid w:val="00B57BB2"/>
    <w:rsid w:val="00B600A2"/>
    <w:rsid w:val="00B61F6E"/>
    <w:rsid w:val="00B62405"/>
    <w:rsid w:val="00B76564"/>
    <w:rsid w:val="00B82914"/>
    <w:rsid w:val="00B83F3B"/>
    <w:rsid w:val="00B8648A"/>
    <w:rsid w:val="00B906F8"/>
    <w:rsid w:val="00B91344"/>
    <w:rsid w:val="00B932E5"/>
    <w:rsid w:val="00B95838"/>
    <w:rsid w:val="00B9752D"/>
    <w:rsid w:val="00B97DAB"/>
    <w:rsid w:val="00B97F66"/>
    <w:rsid w:val="00BA364D"/>
    <w:rsid w:val="00BA3B2E"/>
    <w:rsid w:val="00BB2344"/>
    <w:rsid w:val="00BB2D6E"/>
    <w:rsid w:val="00BB2FB2"/>
    <w:rsid w:val="00BB3ACC"/>
    <w:rsid w:val="00BB3CC6"/>
    <w:rsid w:val="00BC38E1"/>
    <w:rsid w:val="00BC47F9"/>
    <w:rsid w:val="00BC508D"/>
    <w:rsid w:val="00BC794E"/>
    <w:rsid w:val="00BD2079"/>
    <w:rsid w:val="00BD4C79"/>
    <w:rsid w:val="00BD6ADD"/>
    <w:rsid w:val="00BE3FA0"/>
    <w:rsid w:val="00BE70AC"/>
    <w:rsid w:val="00BF1A8E"/>
    <w:rsid w:val="00BF3FB7"/>
    <w:rsid w:val="00C001E2"/>
    <w:rsid w:val="00C03173"/>
    <w:rsid w:val="00C036B7"/>
    <w:rsid w:val="00C054F7"/>
    <w:rsid w:val="00C061DD"/>
    <w:rsid w:val="00C11268"/>
    <w:rsid w:val="00C178DD"/>
    <w:rsid w:val="00C2138D"/>
    <w:rsid w:val="00C348B9"/>
    <w:rsid w:val="00C4310C"/>
    <w:rsid w:val="00C43262"/>
    <w:rsid w:val="00C45C2C"/>
    <w:rsid w:val="00C46A22"/>
    <w:rsid w:val="00C472AD"/>
    <w:rsid w:val="00C51D15"/>
    <w:rsid w:val="00C51E4E"/>
    <w:rsid w:val="00C5368B"/>
    <w:rsid w:val="00C55440"/>
    <w:rsid w:val="00C55BB9"/>
    <w:rsid w:val="00C56EC9"/>
    <w:rsid w:val="00C65B99"/>
    <w:rsid w:val="00C67776"/>
    <w:rsid w:val="00C706B3"/>
    <w:rsid w:val="00C7715A"/>
    <w:rsid w:val="00C86809"/>
    <w:rsid w:val="00C869CB"/>
    <w:rsid w:val="00C95AAD"/>
    <w:rsid w:val="00C9762F"/>
    <w:rsid w:val="00CA0552"/>
    <w:rsid w:val="00CA33D9"/>
    <w:rsid w:val="00CA3C96"/>
    <w:rsid w:val="00CA6073"/>
    <w:rsid w:val="00CA61BF"/>
    <w:rsid w:val="00CA6E1E"/>
    <w:rsid w:val="00CA6EC9"/>
    <w:rsid w:val="00CA7DC0"/>
    <w:rsid w:val="00CB0748"/>
    <w:rsid w:val="00CB3EA2"/>
    <w:rsid w:val="00CB76B9"/>
    <w:rsid w:val="00CC01D6"/>
    <w:rsid w:val="00CC5C53"/>
    <w:rsid w:val="00CC5E40"/>
    <w:rsid w:val="00CC6B61"/>
    <w:rsid w:val="00CC7403"/>
    <w:rsid w:val="00CC7D8B"/>
    <w:rsid w:val="00CD1F9F"/>
    <w:rsid w:val="00CD29F7"/>
    <w:rsid w:val="00CD3200"/>
    <w:rsid w:val="00CD5058"/>
    <w:rsid w:val="00CD6263"/>
    <w:rsid w:val="00CE50E3"/>
    <w:rsid w:val="00CF334A"/>
    <w:rsid w:val="00CF3416"/>
    <w:rsid w:val="00CF540D"/>
    <w:rsid w:val="00CF696D"/>
    <w:rsid w:val="00CF7459"/>
    <w:rsid w:val="00CF7CD1"/>
    <w:rsid w:val="00D01F71"/>
    <w:rsid w:val="00D03ECB"/>
    <w:rsid w:val="00D0514B"/>
    <w:rsid w:val="00D05564"/>
    <w:rsid w:val="00D171A1"/>
    <w:rsid w:val="00D17C69"/>
    <w:rsid w:val="00D21C22"/>
    <w:rsid w:val="00D22786"/>
    <w:rsid w:val="00D239FF"/>
    <w:rsid w:val="00D23EC7"/>
    <w:rsid w:val="00D2455A"/>
    <w:rsid w:val="00D2483A"/>
    <w:rsid w:val="00D24D2D"/>
    <w:rsid w:val="00D2566E"/>
    <w:rsid w:val="00D348E1"/>
    <w:rsid w:val="00D36496"/>
    <w:rsid w:val="00D41B06"/>
    <w:rsid w:val="00D41ECE"/>
    <w:rsid w:val="00D47D62"/>
    <w:rsid w:val="00D508CB"/>
    <w:rsid w:val="00D60E90"/>
    <w:rsid w:val="00D6129E"/>
    <w:rsid w:val="00D62715"/>
    <w:rsid w:val="00D63C15"/>
    <w:rsid w:val="00D642C1"/>
    <w:rsid w:val="00D66E6B"/>
    <w:rsid w:val="00D7021E"/>
    <w:rsid w:val="00D70E2C"/>
    <w:rsid w:val="00D77A24"/>
    <w:rsid w:val="00D82490"/>
    <w:rsid w:val="00D83F1C"/>
    <w:rsid w:val="00D86EF7"/>
    <w:rsid w:val="00D87BD9"/>
    <w:rsid w:val="00D936BB"/>
    <w:rsid w:val="00D9380F"/>
    <w:rsid w:val="00D9757E"/>
    <w:rsid w:val="00DA0671"/>
    <w:rsid w:val="00DA406A"/>
    <w:rsid w:val="00DA4B69"/>
    <w:rsid w:val="00DA73BB"/>
    <w:rsid w:val="00DA7FE5"/>
    <w:rsid w:val="00DB24B4"/>
    <w:rsid w:val="00DB4307"/>
    <w:rsid w:val="00DC058A"/>
    <w:rsid w:val="00DC1167"/>
    <w:rsid w:val="00DC174F"/>
    <w:rsid w:val="00DC5556"/>
    <w:rsid w:val="00DD3E22"/>
    <w:rsid w:val="00DD540B"/>
    <w:rsid w:val="00DD74DC"/>
    <w:rsid w:val="00DD7B26"/>
    <w:rsid w:val="00DE0677"/>
    <w:rsid w:val="00DE2D43"/>
    <w:rsid w:val="00DE39CA"/>
    <w:rsid w:val="00DF13FC"/>
    <w:rsid w:val="00DF1FBD"/>
    <w:rsid w:val="00E05855"/>
    <w:rsid w:val="00E110B9"/>
    <w:rsid w:val="00E12E08"/>
    <w:rsid w:val="00E13239"/>
    <w:rsid w:val="00E14ECD"/>
    <w:rsid w:val="00E21157"/>
    <w:rsid w:val="00E2166F"/>
    <w:rsid w:val="00E21AD0"/>
    <w:rsid w:val="00E2201B"/>
    <w:rsid w:val="00E236B2"/>
    <w:rsid w:val="00E27FFC"/>
    <w:rsid w:val="00E3424C"/>
    <w:rsid w:val="00E34735"/>
    <w:rsid w:val="00E347F0"/>
    <w:rsid w:val="00E41F2D"/>
    <w:rsid w:val="00E4201F"/>
    <w:rsid w:val="00E43FCD"/>
    <w:rsid w:val="00E500DC"/>
    <w:rsid w:val="00E5165D"/>
    <w:rsid w:val="00E53C42"/>
    <w:rsid w:val="00E55876"/>
    <w:rsid w:val="00E56FAF"/>
    <w:rsid w:val="00E677FF"/>
    <w:rsid w:val="00E714F2"/>
    <w:rsid w:val="00E7300C"/>
    <w:rsid w:val="00E74E06"/>
    <w:rsid w:val="00E80748"/>
    <w:rsid w:val="00E83E9D"/>
    <w:rsid w:val="00E8430B"/>
    <w:rsid w:val="00E94C21"/>
    <w:rsid w:val="00EA28F5"/>
    <w:rsid w:val="00EB05A5"/>
    <w:rsid w:val="00EB1E93"/>
    <w:rsid w:val="00EB4808"/>
    <w:rsid w:val="00EB643E"/>
    <w:rsid w:val="00EB67A2"/>
    <w:rsid w:val="00EB7727"/>
    <w:rsid w:val="00EC093B"/>
    <w:rsid w:val="00EC1854"/>
    <w:rsid w:val="00EC215F"/>
    <w:rsid w:val="00EC6366"/>
    <w:rsid w:val="00EC670D"/>
    <w:rsid w:val="00EC7CC9"/>
    <w:rsid w:val="00ED06A5"/>
    <w:rsid w:val="00ED3972"/>
    <w:rsid w:val="00ED4629"/>
    <w:rsid w:val="00EE3EDD"/>
    <w:rsid w:val="00EE5CAB"/>
    <w:rsid w:val="00EE60E5"/>
    <w:rsid w:val="00EE753C"/>
    <w:rsid w:val="00EF1C1A"/>
    <w:rsid w:val="00EF1ED7"/>
    <w:rsid w:val="00EF2BE8"/>
    <w:rsid w:val="00EF65B9"/>
    <w:rsid w:val="00F00A17"/>
    <w:rsid w:val="00F00CD7"/>
    <w:rsid w:val="00F00CEC"/>
    <w:rsid w:val="00F02231"/>
    <w:rsid w:val="00F02BAB"/>
    <w:rsid w:val="00F0304F"/>
    <w:rsid w:val="00F03FD6"/>
    <w:rsid w:val="00F046E7"/>
    <w:rsid w:val="00F0793C"/>
    <w:rsid w:val="00F1064A"/>
    <w:rsid w:val="00F10D04"/>
    <w:rsid w:val="00F117B5"/>
    <w:rsid w:val="00F12CAB"/>
    <w:rsid w:val="00F1319E"/>
    <w:rsid w:val="00F1414C"/>
    <w:rsid w:val="00F14CEF"/>
    <w:rsid w:val="00F16722"/>
    <w:rsid w:val="00F16F6A"/>
    <w:rsid w:val="00F24C86"/>
    <w:rsid w:val="00F25A30"/>
    <w:rsid w:val="00F25A84"/>
    <w:rsid w:val="00F26FDA"/>
    <w:rsid w:val="00F33867"/>
    <w:rsid w:val="00F35495"/>
    <w:rsid w:val="00F37470"/>
    <w:rsid w:val="00F37D18"/>
    <w:rsid w:val="00F37D26"/>
    <w:rsid w:val="00F404AA"/>
    <w:rsid w:val="00F40A6D"/>
    <w:rsid w:val="00F42542"/>
    <w:rsid w:val="00F42560"/>
    <w:rsid w:val="00F42A8E"/>
    <w:rsid w:val="00F42B77"/>
    <w:rsid w:val="00F4418A"/>
    <w:rsid w:val="00F44B48"/>
    <w:rsid w:val="00F51747"/>
    <w:rsid w:val="00F5190B"/>
    <w:rsid w:val="00F519BC"/>
    <w:rsid w:val="00F5269B"/>
    <w:rsid w:val="00F5420D"/>
    <w:rsid w:val="00F55556"/>
    <w:rsid w:val="00F57B63"/>
    <w:rsid w:val="00F615F5"/>
    <w:rsid w:val="00F61C33"/>
    <w:rsid w:val="00F61F9A"/>
    <w:rsid w:val="00F62290"/>
    <w:rsid w:val="00F626B8"/>
    <w:rsid w:val="00F646BA"/>
    <w:rsid w:val="00F6477E"/>
    <w:rsid w:val="00F65FDD"/>
    <w:rsid w:val="00F67BDE"/>
    <w:rsid w:val="00F735BC"/>
    <w:rsid w:val="00F754D0"/>
    <w:rsid w:val="00F76B60"/>
    <w:rsid w:val="00F76E59"/>
    <w:rsid w:val="00F77BD4"/>
    <w:rsid w:val="00F77E8E"/>
    <w:rsid w:val="00F80377"/>
    <w:rsid w:val="00F81795"/>
    <w:rsid w:val="00F81DDE"/>
    <w:rsid w:val="00F81F73"/>
    <w:rsid w:val="00F82136"/>
    <w:rsid w:val="00F86158"/>
    <w:rsid w:val="00F86971"/>
    <w:rsid w:val="00F87766"/>
    <w:rsid w:val="00F953F0"/>
    <w:rsid w:val="00F97B2B"/>
    <w:rsid w:val="00FA320B"/>
    <w:rsid w:val="00FA3FAC"/>
    <w:rsid w:val="00FA479A"/>
    <w:rsid w:val="00FA6D07"/>
    <w:rsid w:val="00FC19B2"/>
    <w:rsid w:val="00FC514D"/>
    <w:rsid w:val="00FC5FF3"/>
    <w:rsid w:val="00FC6E9D"/>
    <w:rsid w:val="00FD0CF5"/>
    <w:rsid w:val="00FD167D"/>
    <w:rsid w:val="00FD3957"/>
    <w:rsid w:val="00FD42E9"/>
    <w:rsid w:val="00FD7D17"/>
    <w:rsid w:val="00FE135E"/>
    <w:rsid w:val="00FE1C4C"/>
    <w:rsid w:val="00FE3FA1"/>
    <w:rsid w:val="00FE44BB"/>
    <w:rsid w:val="00FE71C6"/>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91994"/>
  <w15:chartTrackingRefBased/>
  <w15:docId w15:val="{EF96DD0D-F757-438F-BBAA-AC5C826E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C3"/>
    <w:rPr>
      <w:rFonts w:ascii="Segoe UI" w:hAnsi="Segoe UI" w:cs="Segoe UI"/>
      <w:sz w:val="18"/>
      <w:szCs w:val="18"/>
    </w:rPr>
  </w:style>
  <w:style w:type="character" w:styleId="CommentReference">
    <w:name w:val="annotation reference"/>
    <w:basedOn w:val="DefaultParagraphFont"/>
    <w:uiPriority w:val="99"/>
    <w:semiHidden/>
    <w:unhideWhenUsed/>
    <w:rsid w:val="0006437B"/>
    <w:rPr>
      <w:sz w:val="16"/>
      <w:szCs w:val="16"/>
    </w:rPr>
  </w:style>
  <w:style w:type="paragraph" w:styleId="CommentText">
    <w:name w:val="annotation text"/>
    <w:basedOn w:val="Normal"/>
    <w:link w:val="CommentTextChar"/>
    <w:uiPriority w:val="99"/>
    <w:unhideWhenUsed/>
    <w:rsid w:val="0006437B"/>
    <w:pPr>
      <w:spacing w:line="240" w:lineRule="auto"/>
    </w:pPr>
    <w:rPr>
      <w:sz w:val="20"/>
      <w:szCs w:val="20"/>
    </w:rPr>
  </w:style>
  <w:style w:type="character" w:customStyle="1" w:styleId="CommentTextChar">
    <w:name w:val="Comment Text Char"/>
    <w:basedOn w:val="DefaultParagraphFont"/>
    <w:link w:val="CommentText"/>
    <w:uiPriority w:val="99"/>
    <w:rsid w:val="0006437B"/>
    <w:rPr>
      <w:sz w:val="20"/>
      <w:szCs w:val="20"/>
    </w:rPr>
  </w:style>
  <w:style w:type="paragraph" w:styleId="CommentSubject">
    <w:name w:val="annotation subject"/>
    <w:basedOn w:val="CommentText"/>
    <w:next w:val="CommentText"/>
    <w:link w:val="CommentSubjectChar"/>
    <w:uiPriority w:val="99"/>
    <w:semiHidden/>
    <w:unhideWhenUsed/>
    <w:rsid w:val="0006437B"/>
    <w:rPr>
      <w:b/>
      <w:bCs/>
    </w:rPr>
  </w:style>
  <w:style w:type="character" w:customStyle="1" w:styleId="CommentSubjectChar">
    <w:name w:val="Comment Subject Char"/>
    <w:basedOn w:val="CommentTextChar"/>
    <w:link w:val="CommentSubject"/>
    <w:uiPriority w:val="99"/>
    <w:semiHidden/>
    <w:rsid w:val="0006437B"/>
    <w:rPr>
      <w:b/>
      <w:bCs/>
      <w:sz w:val="20"/>
      <w:szCs w:val="20"/>
    </w:rPr>
  </w:style>
  <w:style w:type="paragraph" w:styleId="NormalWeb">
    <w:name w:val="Normal (Web)"/>
    <w:basedOn w:val="Normal"/>
    <w:uiPriority w:val="99"/>
    <w:unhideWhenUsed/>
    <w:rsid w:val="00D60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journal">
    <w:name w:val="ref-journal"/>
    <w:basedOn w:val="DefaultParagraphFont"/>
    <w:rsid w:val="00B44B82"/>
  </w:style>
  <w:style w:type="character" w:customStyle="1" w:styleId="ref-vol">
    <w:name w:val="ref-vol"/>
    <w:basedOn w:val="DefaultParagraphFont"/>
    <w:rsid w:val="00B44B82"/>
  </w:style>
  <w:style w:type="character" w:styleId="Hyperlink">
    <w:name w:val="Hyperlink"/>
    <w:basedOn w:val="DefaultParagraphFont"/>
    <w:uiPriority w:val="99"/>
    <w:unhideWhenUsed/>
    <w:rsid w:val="00B44B82"/>
    <w:rPr>
      <w:color w:val="0000FF"/>
      <w:u w:val="single"/>
    </w:rPr>
  </w:style>
  <w:style w:type="character" w:customStyle="1" w:styleId="nowrap">
    <w:name w:val="nowrap"/>
    <w:basedOn w:val="DefaultParagraphFont"/>
    <w:rsid w:val="00B44B82"/>
  </w:style>
  <w:style w:type="paragraph" w:styleId="Caption">
    <w:name w:val="caption"/>
    <w:basedOn w:val="Normal"/>
    <w:next w:val="Normal"/>
    <w:uiPriority w:val="35"/>
    <w:unhideWhenUsed/>
    <w:qFormat/>
    <w:rsid w:val="00F87766"/>
    <w:pPr>
      <w:spacing w:after="200" w:line="240" w:lineRule="auto"/>
    </w:pPr>
    <w:rPr>
      <w:i/>
      <w:iCs/>
      <w:color w:val="44546A" w:themeColor="text2"/>
      <w:sz w:val="18"/>
      <w:szCs w:val="18"/>
    </w:rPr>
  </w:style>
  <w:style w:type="paragraph" w:styleId="ListParagraph">
    <w:name w:val="List Paragraph"/>
    <w:basedOn w:val="Normal"/>
    <w:link w:val="ListParagraphChar"/>
    <w:uiPriority w:val="34"/>
    <w:qFormat/>
    <w:rsid w:val="009A14FF"/>
    <w:pPr>
      <w:ind w:left="720"/>
      <w:contextualSpacing/>
    </w:pPr>
  </w:style>
  <w:style w:type="paragraph" w:styleId="Header">
    <w:name w:val="header"/>
    <w:basedOn w:val="Normal"/>
    <w:link w:val="HeaderChar"/>
    <w:uiPriority w:val="99"/>
    <w:unhideWhenUsed/>
    <w:rsid w:val="00CE5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0E3"/>
  </w:style>
  <w:style w:type="paragraph" w:styleId="Footer">
    <w:name w:val="footer"/>
    <w:basedOn w:val="Normal"/>
    <w:link w:val="FooterChar"/>
    <w:uiPriority w:val="99"/>
    <w:unhideWhenUsed/>
    <w:rsid w:val="00CE50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0E3"/>
  </w:style>
  <w:style w:type="character" w:styleId="Strong">
    <w:name w:val="Strong"/>
    <w:basedOn w:val="DefaultParagraphFont"/>
    <w:uiPriority w:val="22"/>
    <w:qFormat/>
    <w:rsid w:val="00EB1E93"/>
    <w:rPr>
      <w:b/>
      <w:bCs/>
    </w:rPr>
  </w:style>
  <w:style w:type="character" w:customStyle="1" w:styleId="ja50-ce-correspondence">
    <w:name w:val="ja50-ce-correspondence"/>
    <w:basedOn w:val="DefaultParagraphFont"/>
    <w:rsid w:val="00EB1E93"/>
  </w:style>
  <w:style w:type="paragraph" w:styleId="HTMLAddress">
    <w:name w:val="HTML Address"/>
    <w:basedOn w:val="Normal"/>
    <w:link w:val="HTMLAddressChar"/>
    <w:uiPriority w:val="99"/>
    <w:unhideWhenUsed/>
    <w:rsid w:val="00EB1E93"/>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EB1E93"/>
    <w:rPr>
      <w:rFonts w:ascii="Times New Roman" w:eastAsia="Times New Roman" w:hAnsi="Times New Roman" w:cs="Times New Roman"/>
      <w:i/>
      <w:iCs/>
      <w:sz w:val="24"/>
      <w:szCs w:val="24"/>
      <w:lang w:eastAsia="en-GB"/>
    </w:rPr>
  </w:style>
  <w:style w:type="character" w:customStyle="1" w:styleId="ListParagraphChar">
    <w:name w:val="List Paragraph Char"/>
    <w:basedOn w:val="DefaultParagraphFont"/>
    <w:link w:val="ListParagraph"/>
    <w:uiPriority w:val="34"/>
    <w:rsid w:val="00EB1E93"/>
  </w:style>
  <w:style w:type="paragraph" w:styleId="Revision">
    <w:name w:val="Revision"/>
    <w:hidden/>
    <w:uiPriority w:val="99"/>
    <w:semiHidden/>
    <w:rsid w:val="00B35B6D"/>
    <w:pPr>
      <w:spacing w:after="0" w:line="240" w:lineRule="auto"/>
    </w:pPr>
  </w:style>
  <w:style w:type="character" w:styleId="Emphasis">
    <w:name w:val="Emphasis"/>
    <w:basedOn w:val="DefaultParagraphFont"/>
    <w:uiPriority w:val="20"/>
    <w:qFormat/>
    <w:rsid w:val="00314060"/>
    <w:rPr>
      <w:i/>
      <w:iCs/>
    </w:rPr>
  </w:style>
  <w:style w:type="character" w:styleId="FollowedHyperlink">
    <w:name w:val="FollowedHyperlink"/>
    <w:basedOn w:val="DefaultParagraphFont"/>
    <w:uiPriority w:val="99"/>
    <w:semiHidden/>
    <w:unhideWhenUsed/>
    <w:rsid w:val="004A44A0"/>
    <w:rPr>
      <w:color w:val="954F72" w:themeColor="followedHyperlink"/>
      <w:u w:val="single"/>
    </w:rPr>
  </w:style>
  <w:style w:type="paragraph" w:customStyle="1" w:styleId="p1">
    <w:name w:val="p1"/>
    <w:basedOn w:val="Normal"/>
    <w:rsid w:val="0066394E"/>
    <w:pPr>
      <w:spacing w:after="30" w:line="240" w:lineRule="auto"/>
    </w:pPr>
    <w:rPr>
      <w:rFonts w:ascii="Helvetica Neue" w:hAnsi="Helvetica Neue" w:cs="Times New Roman"/>
      <w:color w:val="454545"/>
      <w:sz w:val="21"/>
      <w:szCs w:val="21"/>
      <w:lang w:eastAsia="en-GB"/>
    </w:rPr>
  </w:style>
  <w:style w:type="paragraph" w:customStyle="1" w:styleId="uos-pure-list">
    <w:name w:val="uos-pure-list"/>
    <w:basedOn w:val="Normal"/>
    <w:rsid w:val="00463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0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933">
      <w:bodyDiv w:val="1"/>
      <w:marLeft w:val="0"/>
      <w:marRight w:val="0"/>
      <w:marTop w:val="0"/>
      <w:marBottom w:val="0"/>
      <w:divBdr>
        <w:top w:val="none" w:sz="0" w:space="0" w:color="auto"/>
        <w:left w:val="none" w:sz="0" w:space="0" w:color="auto"/>
        <w:bottom w:val="none" w:sz="0" w:space="0" w:color="auto"/>
        <w:right w:val="none" w:sz="0" w:space="0" w:color="auto"/>
      </w:divBdr>
    </w:div>
    <w:div w:id="63453064">
      <w:bodyDiv w:val="1"/>
      <w:marLeft w:val="0"/>
      <w:marRight w:val="0"/>
      <w:marTop w:val="0"/>
      <w:marBottom w:val="0"/>
      <w:divBdr>
        <w:top w:val="none" w:sz="0" w:space="0" w:color="auto"/>
        <w:left w:val="none" w:sz="0" w:space="0" w:color="auto"/>
        <w:bottom w:val="none" w:sz="0" w:space="0" w:color="auto"/>
        <w:right w:val="none" w:sz="0" w:space="0" w:color="auto"/>
      </w:divBdr>
    </w:div>
    <w:div w:id="90204109">
      <w:bodyDiv w:val="1"/>
      <w:marLeft w:val="0"/>
      <w:marRight w:val="0"/>
      <w:marTop w:val="0"/>
      <w:marBottom w:val="0"/>
      <w:divBdr>
        <w:top w:val="none" w:sz="0" w:space="0" w:color="auto"/>
        <w:left w:val="none" w:sz="0" w:space="0" w:color="auto"/>
        <w:bottom w:val="none" w:sz="0" w:space="0" w:color="auto"/>
        <w:right w:val="none" w:sz="0" w:space="0" w:color="auto"/>
      </w:divBdr>
    </w:div>
    <w:div w:id="94640842">
      <w:bodyDiv w:val="1"/>
      <w:marLeft w:val="0"/>
      <w:marRight w:val="0"/>
      <w:marTop w:val="0"/>
      <w:marBottom w:val="0"/>
      <w:divBdr>
        <w:top w:val="none" w:sz="0" w:space="0" w:color="auto"/>
        <w:left w:val="none" w:sz="0" w:space="0" w:color="auto"/>
        <w:bottom w:val="none" w:sz="0" w:space="0" w:color="auto"/>
        <w:right w:val="none" w:sz="0" w:space="0" w:color="auto"/>
      </w:divBdr>
    </w:div>
    <w:div w:id="174734034">
      <w:bodyDiv w:val="1"/>
      <w:marLeft w:val="0"/>
      <w:marRight w:val="0"/>
      <w:marTop w:val="0"/>
      <w:marBottom w:val="0"/>
      <w:divBdr>
        <w:top w:val="none" w:sz="0" w:space="0" w:color="auto"/>
        <w:left w:val="none" w:sz="0" w:space="0" w:color="auto"/>
        <w:bottom w:val="none" w:sz="0" w:space="0" w:color="auto"/>
        <w:right w:val="none" w:sz="0" w:space="0" w:color="auto"/>
      </w:divBdr>
    </w:div>
    <w:div w:id="346323536">
      <w:bodyDiv w:val="1"/>
      <w:marLeft w:val="0"/>
      <w:marRight w:val="0"/>
      <w:marTop w:val="0"/>
      <w:marBottom w:val="0"/>
      <w:divBdr>
        <w:top w:val="none" w:sz="0" w:space="0" w:color="auto"/>
        <w:left w:val="none" w:sz="0" w:space="0" w:color="auto"/>
        <w:bottom w:val="none" w:sz="0" w:space="0" w:color="auto"/>
        <w:right w:val="none" w:sz="0" w:space="0" w:color="auto"/>
      </w:divBdr>
      <w:divsChild>
        <w:div w:id="175308896">
          <w:marLeft w:val="0"/>
          <w:marRight w:val="0"/>
          <w:marTop w:val="150"/>
          <w:marBottom w:val="270"/>
          <w:divBdr>
            <w:top w:val="none" w:sz="0" w:space="0" w:color="auto"/>
            <w:left w:val="none" w:sz="0" w:space="0" w:color="auto"/>
            <w:bottom w:val="none" w:sz="0" w:space="0" w:color="auto"/>
            <w:right w:val="none" w:sz="0" w:space="0" w:color="auto"/>
          </w:divBdr>
        </w:div>
        <w:div w:id="1657100982">
          <w:marLeft w:val="0"/>
          <w:marRight w:val="0"/>
          <w:marTop w:val="150"/>
          <w:marBottom w:val="270"/>
          <w:divBdr>
            <w:top w:val="none" w:sz="0" w:space="0" w:color="auto"/>
            <w:left w:val="none" w:sz="0" w:space="0" w:color="auto"/>
            <w:bottom w:val="none" w:sz="0" w:space="0" w:color="auto"/>
            <w:right w:val="none" w:sz="0" w:space="0" w:color="auto"/>
          </w:divBdr>
        </w:div>
      </w:divsChild>
    </w:div>
    <w:div w:id="450173339">
      <w:bodyDiv w:val="1"/>
      <w:marLeft w:val="0"/>
      <w:marRight w:val="0"/>
      <w:marTop w:val="0"/>
      <w:marBottom w:val="0"/>
      <w:divBdr>
        <w:top w:val="none" w:sz="0" w:space="0" w:color="auto"/>
        <w:left w:val="none" w:sz="0" w:space="0" w:color="auto"/>
        <w:bottom w:val="none" w:sz="0" w:space="0" w:color="auto"/>
        <w:right w:val="none" w:sz="0" w:space="0" w:color="auto"/>
      </w:divBdr>
    </w:div>
    <w:div w:id="698819798">
      <w:bodyDiv w:val="1"/>
      <w:marLeft w:val="0"/>
      <w:marRight w:val="0"/>
      <w:marTop w:val="0"/>
      <w:marBottom w:val="0"/>
      <w:divBdr>
        <w:top w:val="none" w:sz="0" w:space="0" w:color="auto"/>
        <w:left w:val="none" w:sz="0" w:space="0" w:color="auto"/>
        <w:bottom w:val="none" w:sz="0" w:space="0" w:color="auto"/>
        <w:right w:val="none" w:sz="0" w:space="0" w:color="auto"/>
      </w:divBdr>
    </w:div>
    <w:div w:id="724917476">
      <w:bodyDiv w:val="1"/>
      <w:marLeft w:val="0"/>
      <w:marRight w:val="0"/>
      <w:marTop w:val="0"/>
      <w:marBottom w:val="0"/>
      <w:divBdr>
        <w:top w:val="none" w:sz="0" w:space="0" w:color="auto"/>
        <w:left w:val="none" w:sz="0" w:space="0" w:color="auto"/>
        <w:bottom w:val="none" w:sz="0" w:space="0" w:color="auto"/>
        <w:right w:val="none" w:sz="0" w:space="0" w:color="auto"/>
      </w:divBdr>
    </w:div>
    <w:div w:id="815606571">
      <w:bodyDiv w:val="1"/>
      <w:marLeft w:val="0"/>
      <w:marRight w:val="0"/>
      <w:marTop w:val="0"/>
      <w:marBottom w:val="0"/>
      <w:divBdr>
        <w:top w:val="none" w:sz="0" w:space="0" w:color="auto"/>
        <w:left w:val="none" w:sz="0" w:space="0" w:color="auto"/>
        <w:bottom w:val="none" w:sz="0" w:space="0" w:color="auto"/>
        <w:right w:val="none" w:sz="0" w:space="0" w:color="auto"/>
      </w:divBdr>
    </w:div>
    <w:div w:id="920411750">
      <w:bodyDiv w:val="1"/>
      <w:marLeft w:val="0"/>
      <w:marRight w:val="0"/>
      <w:marTop w:val="0"/>
      <w:marBottom w:val="0"/>
      <w:divBdr>
        <w:top w:val="none" w:sz="0" w:space="0" w:color="auto"/>
        <w:left w:val="none" w:sz="0" w:space="0" w:color="auto"/>
        <w:bottom w:val="none" w:sz="0" w:space="0" w:color="auto"/>
        <w:right w:val="none" w:sz="0" w:space="0" w:color="auto"/>
      </w:divBdr>
      <w:divsChild>
        <w:div w:id="486943965">
          <w:marLeft w:val="0"/>
          <w:marRight w:val="0"/>
          <w:marTop w:val="150"/>
          <w:marBottom w:val="270"/>
          <w:divBdr>
            <w:top w:val="none" w:sz="0" w:space="0" w:color="auto"/>
            <w:left w:val="none" w:sz="0" w:space="0" w:color="auto"/>
            <w:bottom w:val="none" w:sz="0" w:space="0" w:color="auto"/>
            <w:right w:val="none" w:sz="0" w:space="0" w:color="auto"/>
          </w:divBdr>
        </w:div>
        <w:div w:id="523323015">
          <w:marLeft w:val="0"/>
          <w:marRight w:val="0"/>
          <w:marTop w:val="150"/>
          <w:marBottom w:val="270"/>
          <w:divBdr>
            <w:top w:val="none" w:sz="0" w:space="0" w:color="auto"/>
            <w:left w:val="none" w:sz="0" w:space="0" w:color="auto"/>
            <w:bottom w:val="none" w:sz="0" w:space="0" w:color="auto"/>
            <w:right w:val="none" w:sz="0" w:space="0" w:color="auto"/>
          </w:divBdr>
        </w:div>
      </w:divsChild>
    </w:div>
    <w:div w:id="1008366639">
      <w:bodyDiv w:val="1"/>
      <w:marLeft w:val="0"/>
      <w:marRight w:val="0"/>
      <w:marTop w:val="0"/>
      <w:marBottom w:val="0"/>
      <w:divBdr>
        <w:top w:val="none" w:sz="0" w:space="0" w:color="auto"/>
        <w:left w:val="none" w:sz="0" w:space="0" w:color="auto"/>
        <w:bottom w:val="none" w:sz="0" w:space="0" w:color="auto"/>
        <w:right w:val="none" w:sz="0" w:space="0" w:color="auto"/>
      </w:divBdr>
      <w:divsChild>
        <w:div w:id="239407557">
          <w:marLeft w:val="0"/>
          <w:marRight w:val="0"/>
          <w:marTop w:val="150"/>
          <w:marBottom w:val="270"/>
          <w:divBdr>
            <w:top w:val="none" w:sz="0" w:space="0" w:color="auto"/>
            <w:left w:val="none" w:sz="0" w:space="0" w:color="auto"/>
            <w:bottom w:val="none" w:sz="0" w:space="0" w:color="auto"/>
            <w:right w:val="none" w:sz="0" w:space="0" w:color="auto"/>
          </w:divBdr>
        </w:div>
        <w:div w:id="1314796315">
          <w:marLeft w:val="0"/>
          <w:marRight w:val="0"/>
          <w:marTop w:val="150"/>
          <w:marBottom w:val="270"/>
          <w:divBdr>
            <w:top w:val="none" w:sz="0" w:space="0" w:color="auto"/>
            <w:left w:val="none" w:sz="0" w:space="0" w:color="auto"/>
            <w:bottom w:val="none" w:sz="0" w:space="0" w:color="auto"/>
            <w:right w:val="none" w:sz="0" w:space="0" w:color="auto"/>
          </w:divBdr>
        </w:div>
      </w:divsChild>
    </w:div>
    <w:div w:id="1163546133">
      <w:bodyDiv w:val="1"/>
      <w:marLeft w:val="0"/>
      <w:marRight w:val="0"/>
      <w:marTop w:val="0"/>
      <w:marBottom w:val="0"/>
      <w:divBdr>
        <w:top w:val="none" w:sz="0" w:space="0" w:color="auto"/>
        <w:left w:val="none" w:sz="0" w:space="0" w:color="auto"/>
        <w:bottom w:val="none" w:sz="0" w:space="0" w:color="auto"/>
        <w:right w:val="none" w:sz="0" w:space="0" w:color="auto"/>
      </w:divBdr>
      <w:divsChild>
        <w:div w:id="1503473766">
          <w:marLeft w:val="0"/>
          <w:marRight w:val="0"/>
          <w:marTop w:val="0"/>
          <w:marBottom w:val="0"/>
          <w:divBdr>
            <w:top w:val="none" w:sz="0" w:space="0" w:color="auto"/>
            <w:left w:val="none" w:sz="0" w:space="0" w:color="auto"/>
            <w:bottom w:val="none" w:sz="0" w:space="0" w:color="auto"/>
            <w:right w:val="none" w:sz="0" w:space="0" w:color="auto"/>
          </w:divBdr>
        </w:div>
      </w:divsChild>
    </w:div>
    <w:div w:id="1260792462">
      <w:bodyDiv w:val="1"/>
      <w:marLeft w:val="0"/>
      <w:marRight w:val="0"/>
      <w:marTop w:val="0"/>
      <w:marBottom w:val="0"/>
      <w:divBdr>
        <w:top w:val="none" w:sz="0" w:space="0" w:color="auto"/>
        <w:left w:val="none" w:sz="0" w:space="0" w:color="auto"/>
        <w:bottom w:val="none" w:sz="0" w:space="0" w:color="auto"/>
        <w:right w:val="none" w:sz="0" w:space="0" w:color="auto"/>
      </w:divBdr>
    </w:div>
    <w:div w:id="1343628184">
      <w:bodyDiv w:val="1"/>
      <w:marLeft w:val="0"/>
      <w:marRight w:val="0"/>
      <w:marTop w:val="0"/>
      <w:marBottom w:val="0"/>
      <w:divBdr>
        <w:top w:val="none" w:sz="0" w:space="0" w:color="auto"/>
        <w:left w:val="none" w:sz="0" w:space="0" w:color="auto"/>
        <w:bottom w:val="none" w:sz="0" w:space="0" w:color="auto"/>
        <w:right w:val="none" w:sz="0" w:space="0" w:color="auto"/>
      </w:divBdr>
    </w:div>
    <w:div w:id="1367370214">
      <w:bodyDiv w:val="1"/>
      <w:marLeft w:val="0"/>
      <w:marRight w:val="0"/>
      <w:marTop w:val="0"/>
      <w:marBottom w:val="0"/>
      <w:divBdr>
        <w:top w:val="none" w:sz="0" w:space="0" w:color="auto"/>
        <w:left w:val="none" w:sz="0" w:space="0" w:color="auto"/>
        <w:bottom w:val="none" w:sz="0" w:space="0" w:color="auto"/>
        <w:right w:val="none" w:sz="0" w:space="0" w:color="auto"/>
      </w:divBdr>
    </w:div>
    <w:div w:id="1528366898">
      <w:bodyDiv w:val="1"/>
      <w:marLeft w:val="0"/>
      <w:marRight w:val="0"/>
      <w:marTop w:val="0"/>
      <w:marBottom w:val="0"/>
      <w:divBdr>
        <w:top w:val="none" w:sz="0" w:space="0" w:color="auto"/>
        <w:left w:val="none" w:sz="0" w:space="0" w:color="auto"/>
        <w:bottom w:val="none" w:sz="0" w:space="0" w:color="auto"/>
        <w:right w:val="none" w:sz="0" w:space="0" w:color="auto"/>
      </w:divBdr>
    </w:div>
    <w:div w:id="1625696986">
      <w:bodyDiv w:val="1"/>
      <w:marLeft w:val="0"/>
      <w:marRight w:val="0"/>
      <w:marTop w:val="0"/>
      <w:marBottom w:val="0"/>
      <w:divBdr>
        <w:top w:val="none" w:sz="0" w:space="0" w:color="auto"/>
        <w:left w:val="none" w:sz="0" w:space="0" w:color="auto"/>
        <w:bottom w:val="none" w:sz="0" w:space="0" w:color="auto"/>
        <w:right w:val="none" w:sz="0" w:space="0" w:color="auto"/>
      </w:divBdr>
    </w:div>
    <w:div w:id="1742092572">
      <w:bodyDiv w:val="1"/>
      <w:marLeft w:val="0"/>
      <w:marRight w:val="0"/>
      <w:marTop w:val="0"/>
      <w:marBottom w:val="0"/>
      <w:divBdr>
        <w:top w:val="none" w:sz="0" w:space="0" w:color="auto"/>
        <w:left w:val="none" w:sz="0" w:space="0" w:color="auto"/>
        <w:bottom w:val="none" w:sz="0" w:space="0" w:color="auto"/>
        <w:right w:val="none" w:sz="0" w:space="0" w:color="auto"/>
      </w:divBdr>
    </w:div>
    <w:div w:id="1762019018">
      <w:bodyDiv w:val="1"/>
      <w:marLeft w:val="0"/>
      <w:marRight w:val="0"/>
      <w:marTop w:val="0"/>
      <w:marBottom w:val="0"/>
      <w:divBdr>
        <w:top w:val="none" w:sz="0" w:space="0" w:color="auto"/>
        <w:left w:val="none" w:sz="0" w:space="0" w:color="auto"/>
        <w:bottom w:val="none" w:sz="0" w:space="0" w:color="auto"/>
        <w:right w:val="none" w:sz="0" w:space="0" w:color="auto"/>
      </w:divBdr>
    </w:div>
    <w:div w:id="1813672385">
      <w:bodyDiv w:val="1"/>
      <w:marLeft w:val="0"/>
      <w:marRight w:val="0"/>
      <w:marTop w:val="0"/>
      <w:marBottom w:val="0"/>
      <w:divBdr>
        <w:top w:val="none" w:sz="0" w:space="0" w:color="auto"/>
        <w:left w:val="none" w:sz="0" w:space="0" w:color="auto"/>
        <w:bottom w:val="none" w:sz="0" w:space="0" w:color="auto"/>
        <w:right w:val="none" w:sz="0" w:space="0" w:color="auto"/>
      </w:divBdr>
    </w:div>
    <w:div w:id="1867325006">
      <w:bodyDiv w:val="1"/>
      <w:marLeft w:val="0"/>
      <w:marRight w:val="0"/>
      <w:marTop w:val="0"/>
      <w:marBottom w:val="0"/>
      <w:divBdr>
        <w:top w:val="none" w:sz="0" w:space="0" w:color="auto"/>
        <w:left w:val="none" w:sz="0" w:space="0" w:color="auto"/>
        <w:bottom w:val="none" w:sz="0" w:space="0" w:color="auto"/>
        <w:right w:val="none" w:sz="0" w:space="0" w:color="auto"/>
      </w:divBdr>
    </w:div>
    <w:div w:id="1960061998">
      <w:bodyDiv w:val="1"/>
      <w:marLeft w:val="0"/>
      <w:marRight w:val="0"/>
      <w:marTop w:val="0"/>
      <w:marBottom w:val="0"/>
      <w:divBdr>
        <w:top w:val="none" w:sz="0" w:space="0" w:color="auto"/>
        <w:left w:val="none" w:sz="0" w:space="0" w:color="auto"/>
        <w:bottom w:val="none" w:sz="0" w:space="0" w:color="auto"/>
        <w:right w:val="none" w:sz="0" w:space="0" w:color="auto"/>
      </w:divBdr>
    </w:div>
    <w:div w:id="1962418908">
      <w:bodyDiv w:val="1"/>
      <w:marLeft w:val="0"/>
      <w:marRight w:val="0"/>
      <w:marTop w:val="0"/>
      <w:marBottom w:val="0"/>
      <w:divBdr>
        <w:top w:val="none" w:sz="0" w:space="0" w:color="auto"/>
        <w:left w:val="none" w:sz="0" w:space="0" w:color="auto"/>
        <w:bottom w:val="none" w:sz="0" w:space="0" w:color="auto"/>
        <w:right w:val="none" w:sz="0" w:space="0" w:color="auto"/>
      </w:divBdr>
    </w:div>
    <w:div w:id="1971281605">
      <w:bodyDiv w:val="1"/>
      <w:marLeft w:val="0"/>
      <w:marRight w:val="0"/>
      <w:marTop w:val="0"/>
      <w:marBottom w:val="0"/>
      <w:divBdr>
        <w:top w:val="none" w:sz="0" w:space="0" w:color="auto"/>
        <w:left w:val="none" w:sz="0" w:space="0" w:color="auto"/>
        <w:bottom w:val="none" w:sz="0" w:space="0" w:color="auto"/>
        <w:right w:val="none" w:sz="0" w:space="0" w:color="auto"/>
      </w:divBdr>
    </w:div>
    <w:div w:id="21406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Hounkpatin@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di.2355" TargetMode="External"/><Relationship Id="rId5" Type="http://schemas.openxmlformats.org/officeDocument/2006/relationships/webSettings" Target="webSettings.xml"/><Relationship Id="rId10" Type="http://schemas.openxmlformats.org/officeDocument/2006/relationships/hyperlink" Target="https://doi.org/10.1002/edm2.280" TargetMode="External"/><Relationship Id="rId4" Type="http://schemas.openxmlformats.org/officeDocument/2006/relationships/settings" Target="settings.xml"/><Relationship Id="rId9" Type="http://schemas.openxmlformats.org/officeDocument/2006/relationships/hyperlink" Target="https://eprints.soton.ac.uk/cgi/eprintbypureuuid?uuid=c9b30e24-3930-443b-b64a-c3fc8bfefd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0844E-AE32-4A01-AA9E-A6B85527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19122</Words>
  <Characters>109000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Hounkpatin</dc:creator>
  <cp:keywords/>
  <dc:description/>
  <cp:lastModifiedBy>Melnar Nario</cp:lastModifiedBy>
  <cp:revision>12</cp:revision>
  <cp:lastPrinted>2020-12-05T17:26:00Z</cp:lastPrinted>
  <dcterms:created xsi:type="dcterms:W3CDTF">2023-07-07T15:57:00Z</dcterms:created>
  <dcterms:modified xsi:type="dcterms:W3CDTF">2023-08-17T15:23:00Z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7523ee93-d3e1-3aee-b0dc-a0b382af7489</vt:lpwstr>
  </property>
  <property fmtid="{D5CDD505-2E9C-101B-9397-08002B2CF9AE}" pid="4" name="Mendeley Citation Style_1">
    <vt:lpwstr>http://www.zotero.org/styles/bmj</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http://www.zotero.org/styles/bmj</vt:lpwstr>
  </property>
  <property fmtid="{D5CDD505-2E9C-101B-9397-08002B2CF9AE}" pid="12" name="Mendeley Recent Style Name 3_1">
    <vt:lpwstr>BMJ</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