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7C4C" w14:textId="39FFE3A2" w:rsidR="00362D0E" w:rsidRDefault="002D681A" w:rsidP="00EA16D5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 xml:space="preserve">Article type: </w:t>
      </w:r>
      <w:r w:rsidR="00BD04E9">
        <w:rPr>
          <w:rFonts w:ascii="Calibri" w:eastAsia="Calibri" w:hAnsi="Calibri" w:cs="Calibri"/>
        </w:rPr>
        <w:t>Original</w:t>
      </w:r>
      <w:r w:rsidR="00BD04E9">
        <w:rPr>
          <w:rFonts w:ascii="Calibri" w:eastAsia="Calibri" w:hAnsi="Calibri" w:cs="Calibri"/>
          <w:spacing w:val="-7"/>
        </w:rPr>
        <w:t xml:space="preserve"> </w:t>
      </w:r>
      <w:r w:rsidR="00BD04E9">
        <w:rPr>
          <w:rFonts w:ascii="Calibri" w:eastAsia="Calibri" w:hAnsi="Calibri" w:cs="Calibri"/>
        </w:rPr>
        <w:t>a</w:t>
      </w:r>
      <w:r w:rsidR="00BD04E9">
        <w:rPr>
          <w:rFonts w:ascii="Calibri" w:eastAsia="Calibri" w:hAnsi="Calibri" w:cs="Calibri"/>
          <w:spacing w:val="2"/>
        </w:rPr>
        <w:t>r</w:t>
      </w:r>
      <w:r w:rsidR="00BD04E9">
        <w:rPr>
          <w:rFonts w:ascii="Calibri" w:eastAsia="Calibri" w:hAnsi="Calibri" w:cs="Calibri"/>
        </w:rPr>
        <w:t>ti</w:t>
      </w:r>
      <w:r w:rsidR="00BD04E9">
        <w:rPr>
          <w:rFonts w:ascii="Calibri" w:eastAsia="Calibri" w:hAnsi="Calibri" w:cs="Calibri"/>
          <w:spacing w:val="-1"/>
        </w:rPr>
        <w:t>c</w:t>
      </w:r>
      <w:r w:rsidR="00BD04E9">
        <w:rPr>
          <w:rFonts w:ascii="Calibri" w:eastAsia="Calibri" w:hAnsi="Calibri" w:cs="Calibri"/>
          <w:spacing w:val="1"/>
        </w:rPr>
        <w:t>l</w:t>
      </w:r>
      <w:r w:rsidR="00BD04E9">
        <w:rPr>
          <w:rFonts w:ascii="Calibri" w:eastAsia="Calibri" w:hAnsi="Calibri" w:cs="Calibri"/>
        </w:rPr>
        <w:t>e</w:t>
      </w:r>
    </w:p>
    <w:p w14:paraId="0E12B83E" w14:textId="6EBD4AC7" w:rsidR="009F78DA" w:rsidRPr="009F78DA" w:rsidRDefault="009F78DA" w:rsidP="00EA16D5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  <w:r w:rsidRPr="009F78DA">
        <w:rPr>
          <w:rFonts w:eastAsia="Times New Roman" w:cstheme="minorHAnsi"/>
          <w:b/>
          <w:bCs/>
          <w:lang w:eastAsia="en-GB"/>
        </w:rPr>
        <w:t xml:space="preserve">Transcriptomic analysis of cutaneous squamous cell carcinoma reveals a </w:t>
      </w:r>
      <w:r w:rsidR="00172ADF">
        <w:rPr>
          <w:rFonts w:eastAsia="Times New Roman" w:cstheme="minorHAnsi"/>
          <w:b/>
          <w:bCs/>
          <w:lang w:eastAsia="en-GB"/>
        </w:rPr>
        <w:t xml:space="preserve">multi-gene </w:t>
      </w:r>
      <w:r w:rsidR="00C911B8">
        <w:rPr>
          <w:rFonts w:eastAsia="Times New Roman" w:cstheme="minorHAnsi"/>
          <w:b/>
          <w:bCs/>
          <w:lang w:eastAsia="en-GB"/>
        </w:rPr>
        <w:t>prognostic</w:t>
      </w:r>
      <w:r w:rsidR="009D54B5">
        <w:rPr>
          <w:rFonts w:eastAsia="Times New Roman" w:cstheme="minorHAnsi"/>
          <w:b/>
          <w:bCs/>
          <w:lang w:eastAsia="en-GB"/>
        </w:rPr>
        <w:t xml:space="preserve"> </w:t>
      </w:r>
      <w:r w:rsidRPr="009F78DA">
        <w:rPr>
          <w:rFonts w:eastAsia="Times New Roman" w:cstheme="minorHAnsi"/>
          <w:b/>
          <w:bCs/>
          <w:lang w:eastAsia="en-GB"/>
        </w:rPr>
        <w:t>signature associated with metastasis</w:t>
      </w:r>
    </w:p>
    <w:p w14:paraId="33FD4B31" w14:textId="26994EC1" w:rsidR="009F78DA" w:rsidRPr="00160B33" w:rsidRDefault="009F78DA" w:rsidP="00EA16D5">
      <w:pPr>
        <w:spacing w:line="276" w:lineRule="auto"/>
        <w:jc w:val="both"/>
        <w:rPr>
          <w:rFonts w:ascii="Calibri" w:hAnsi="Calibri" w:cs="Calibri"/>
        </w:rPr>
      </w:pPr>
      <w:r w:rsidRPr="00160B33">
        <w:rPr>
          <w:rFonts w:ascii="Calibri" w:hAnsi="Calibri" w:cs="Calibri"/>
        </w:rPr>
        <w:t>Jun Wang</w:t>
      </w:r>
      <w:r w:rsidR="00133E50" w:rsidRPr="00160B33">
        <w:rPr>
          <w:rFonts w:ascii="Calibri" w:hAnsi="Calibri" w:cs="Calibri"/>
        </w:rPr>
        <w:t>,</w:t>
      </w:r>
      <w:r w:rsidRPr="00160B33">
        <w:rPr>
          <w:rFonts w:ascii="Calibri" w:hAnsi="Calibri" w:cs="Calibri"/>
        </w:rPr>
        <w:t xml:space="preserve"> </w:t>
      </w:r>
      <w:proofErr w:type="spellStart"/>
      <w:r w:rsidRPr="00160B33">
        <w:rPr>
          <w:rFonts w:ascii="Calibri" w:hAnsi="Calibri" w:cs="Calibri"/>
        </w:rPr>
        <w:t>PhD</w:t>
      </w:r>
      <w:r w:rsidR="00133E50" w:rsidRPr="00160B33">
        <w:rPr>
          <w:rFonts w:ascii="Calibri" w:hAnsi="Calibri" w:cs="Calibri"/>
        </w:rPr>
        <w:t>,</w:t>
      </w:r>
      <w:r w:rsidR="002D1B30" w:rsidRPr="00160B33">
        <w:rPr>
          <w:rFonts w:ascii="Calibri" w:hAnsi="Calibri" w:cs="Calibri"/>
          <w:vertAlign w:val="superscript"/>
        </w:rPr>
        <w:t>a</w:t>
      </w:r>
      <w:proofErr w:type="spellEnd"/>
      <w:r w:rsidR="009D54B5" w:rsidRPr="00160B33">
        <w:rPr>
          <w:rFonts w:ascii="Calibri" w:hAnsi="Calibri" w:cs="Calibri"/>
        </w:rPr>
        <w:t xml:space="preserve"> </w:t>
      </w:r>
      <w:r w:rsidRPr="00160B33">
        <w:rPr>
          <w:rFonts w:ascii="Calibri" w:hAnsi="Calibri" w:cs="Calibri"/>
        </w:rPr>
        <w:t xml:space="preserve">Catherine </w:t>
      </w:r>
      <w:r w:rsidR="00AD3658">
        <w:rPr>
          <w:rFonts w:ascii="Calibri" w:hAnsi="Calibri" w:cs="Calibri"/>
        </w:rPr>
        <w:t xml:space="preserve">A. </w:t>
      </w:r>
      <w:r w:rsidRPr="00160B33">
        <w:rPr>
          <w:rFonts w:ascii="Calibri" w:hAnsi="Calibri" w:cs="Calibri"/>
        </w:rPr>
        <w:t>Harwood</w:t>
      </w:r>
      <w:r w:rsidR="00B94FE0" w:rsidRPr="00160B33">
        <w:rPr>
          <w:rFonts w:ascii="Calibri" w:hAnsi="Calibri" w:cs="Calibri"/>
        </w:rPr>
        <w:t>,</w:t>
      </w:r>
      <w:r w:rsidRPr="00160B33">
        <w:rPr>
          <w:rFonts w:ascii="Calibri" w:hAnsi="Calibri" w:cs="Calibri"/>
        </w:rPr>
        <w:t xml:space="preserve"> </w:t>
      </w:r>
      <w:r w:rsidR="00AD3658">
        <w:rPr>
          <w:rFonts w:ascii="Calibri" w:hAnsi="Calibri" w:cs="Calibri"/>
        </w:rPr>
        <w:t xml:space="preserve">MD </w:t>
      </w:r>
      <w:proofErr w:type="spellStart"/>
      <w:r w:rsidRPr="00160B33">
        <w:rPr>
          <w:rFonts w:ascii="Calibri" w:hAnsi="Calibri" w:cs="Calibri"/>
        </w:rPr>
        <w:t>PhD</w:t>
      </w:r>
      <w:r w:rsidR="00B94FE0" w:rsidRPr="00160B33">
        <w:rPr>
          <w:rFonts w:ascii="Calibri" w:hAnsi="Calibri" w:cs="Calibri"/>
        </w:rPr>
        <w:t>,</w:t>
      </w:r>
      <w:r w:rsidR="00A57EE4" w:rsidRPr="00160B33">
        <w:rPr>
          <w:rFonts w:ascii="Calibri" w:hAnsi="Calibri" w:cs="Calibri"/>
          <w:vertAlign w:val="superscript"/>
        </w:rPr>
        <w:t>a</w:t>
      </w:r>
      <w:r w:rsidR="00752D75" w:rsidRPr="00160B33">
        <w:rPr>
          <w:rFonts w:ascii="Calibri" w:hAnsi="Calibri" w:cs="Calibri"/>
          <w:vertAlign w:val="superscript"/>
        </w:rPr>
        <w:t>,b</w:t>
      </w:r>
      <w:proofErr w:type="spellEnd"/>
      <w:r w:rsidRPr="00160B33">
        <w:rPr>
          <w:rFonts w:ascii="Calibri" w:hAnsi="Calibri" w:cs="Calibri"/>
        </w:rPr>
        <w:t xml:space="preserve"> Emma Bailey</w:t>
      </w:r>
      <w:r w:rsidR="00F57FEE" w:rsidRPr="00160B33">
        <w:rPr>
          <w:rFonts w:ascii="Calibri" w:hAnsi="Calibri" w:cs="Calibri"/>
        </w:rPr>
        <w:t>,</w:t>
      </w:r>
      <w:r w:rsidRPr="00160B33">
        <w:rPr>
          <w:rFonts w:ascii="Calibri" w:hAnsi="Calibri" w:cs="Calibri"/>
        </w:rPr>
        <w:t xml:space="preserve"> </w:t>
      </w:r>
      <w:proofErr w:type="spellStart"/>
      <w:r w:rsidR="001E2736" w:rsidRPr="00160B33">
        <w:rPr>
          <w:rFonts w:ascii="Calibri" w:hAnsi="Calibri" w:cs="Calibri"/>
        </w:rPr>
        <w:t>PhD</w:t>
      </w:r>
      <w:r w:rsidR="00FE4F78" w:rsidRPr="00160B33">
        <w:rPr>
          <w:rFonts w:ascii="Calibri" w:hAnsi="Calibri" w:cs="Calibri"/>
        </w:rPr>
        <w:t>,</w:t>
      </w:r>
      <w:r w:rsidR="00A57EE4" w:rsidRPr="00160B33">
        <w:rPr>
          <w:rFonts w:ascii="Calibri" w:hAnsi="Calibri" w:cs="Calibri"/>
          <w:vertAlign w:val="superscript"/>
        </w:rPr>
        <w:t>a</w:t>
      </w:r>
      <w:proofErr w:type="spellEnd"/>
      <w:r w:rsidR="009D54B5" w:rsidRPr="00160B33">
        <w:rPr>
          <w:rFonts w:ascii="Calibri" w:hAnsi="Calibri" w:cs="Calibri"/>
        </w:rPr>
        <w:t xml:space="preserve"> </w:t>
      </w:r>
      <w:r w:rsidR="00F97E5B" w:rsidRPr="00160B33">
        <w:rPr>
          <w:rFonts w:ascii="Calibri" w:hAnsi="Calibri" w:cs="Calibri"/>
        </w:rPr>
        <w:t xml:space="preserve">Findlay </w:t>
      </w:r>
      <w:proofErr w:type="spellStart"/>
      <w:r w:rsidR="00B33FFE" w:rsidRPr="00B33FFE">
        <w:rPr>
          <w:rFonts w:ascii="Calibri" w:hAnsi="Calibri" w:cs="Calibri"/>
        </w:rPr>
        <w:t>Bewicke</w:t>
      </w:r>
      <w:proofErr w:type="spellEnd"/>
      <w:r w:rsidR="00B33FFE" w:rsidRPr="00B33FFE">
        <w:rPr>
          <w:rFonts w:ascii="Calibri" w:hAnsi="Calibri" w:cs="Calibri"/>
        </w:rPr>
        <w:t>-Copley</w:t>
      </w:r>
      <w:r w:rsidR="00F57FEE" w:rsidRPr="00160B33">
        <w:rPr>
          <w:rFonts w:ascii="Calibri" w:hAnsi="Calibri" w:cs="Calibri"/>
        </w:rPr>
        <w:t>,</w:t>
      </w:r>
      <w:r w:rsidR="00F97E5B" w:rsidRPr="00160B33">
        <w:rPr>
          <w:rFonts w:ascii="Calibri" w:hAnsi="Calibri" w:cs="Calibri"/>
        </w:rPr>
        <w:t xml:space="preserve"> </w:t>
      </w:r>
      <w:proofErr w:type="spellStart"/>
      <w:r w:rsidR="00F97E5B" w:rsidRPr="00160B33">
        <w:rPr>
          <w:rFonts w:ascii="Calibri" w:hAnsi="Calibri" w:cs="Calibri"/>
        </w:rPr>
        <w:t>PhD</w:t>
      </w:r>
      <w:r w:rsidR="00F57FEE" w:rsidRPr="00160B33">
        <w:rPr>
          <w:rFonts w:ascii="Calibri" w:hAnsi="Calibri" w:cs="Calibri"/>
        </w:rPr>
        <w:t>,</w:t>
      </w:r>
      <w:r w:rsidR="00A57EE4" w:rsidRPr="00160B33">
        <w:rPr>
          <w:rFonts w:ascii="Calibri" w:hAnsi="Calibri" w:cs="Calibri"/>
          <w:vertAlign w:val="superscript"/>
        </w:rPr>
        <w:t>a</w:t>
      </w:r>
      <w:proofErr w:type="spellEnd"/>
      <w:r w:rsidR="00F97E5B" w:rsidRPr="00160B33">
        <w:rPr>
          <w:rFonts w:ascii="Calibri" w:hAnsi="Calibri" w:cs="Calibri"/>
        </w:rPr>
        <w:t xml:space="preserve"> </w:t>
      </w:r>
      <w:r w:rsidR="00590644" w:rsidRPr="00160B33">
        <w:rPr>
          <w:rFonts w:ascii="Calibri" w:hAnsi="Calibri" w:cs="Calibri"/>
        </w:rPr>
        <w:t xml:space="preserve">Chinedu </w:t>
      </w:r>
      <w:r w:rsidR="0091528A" w:rsidRPr="00160B33">
        <w:rPr>
          <w:rFonts w:ascii="Calibri" w:hAnsi="Calibri" w:cs="Calibri"/>
        </w:rPr>
        <w:t xml:space="preserve">Anthony </w:t>
      </w:r>
      <w:proofErr w:type="spellStart"/>
      <w:r w:rsidR="0091528A" w:rsidRPr="00160B33">
        <w:rPr>
          <w:rFonts w:ascii="Calibri" w:hAnsi="Calibri" w:cs="Calibri"/>
        </w:rPr>
        <w:t>Anene</w:t>
      </w:r>
      <w:proofErr w:type="spellEnd"/>
      <w:r w:rsidR="00F57FEE" w:rsidRPr="00160B33">
        <w:rPr>
          <w:rFonts w:ascii="Calibri" w:hAnsi="Calibri" w:cs="Calibri"/>
        </w:rPr>
        <w:t>,</w:t>
      </w:r>
      <w:r w:rsidR="0091528A" w:rsidRPr="00160B33">
        <w:rPr>
          <w:rFonts w:ascii="Calibri" w:hAnsi="Calibri" w:cs="Calibri"/>
        </w:rPr>
        <w:t xml:space="preserve"> </w:t>
      </w:r>
      <w:proofErr w:type="spellStart"/>
      <w:r w:rsidR="0091528A" w:rsidRPr="00160B33">
        <w:rPr>
          <w:rFonts w:ascii="Calibri" w:hAnsi="Calibri" w:cs="Calibri"/>
        </w:rPr>
        <w:t>PhD</w:t>
      </w:r>
      <w:r w:rsidR="00F57FEE" w:rsidRPr="00160B33">
        <w:rPr>
          <w:rFonts w:ascii="Calibri" w:hAnsi="Calibri" w:cs="Calibri"/>
        </w:rPr>
        <w:t>,</w:t>
      </w:r>
      <w:r w:rsidR="004F4794" w:rsidRPr="00160B33">
        <w:rPr>
          <w:rFonts w:ascii="Calibri" w:hAnsi="Calibri" w:cs="Calibri"/>
          <w:vertAlign w:val="superscript"/>
        </w:rPr>
        <w:t>a</w:t>
      </w:r>
      <w:r w:rsidR="007204A2">
        <w:rPr>
          <w:rFonts w:ascii="Calibri" w:hAnsi="Calibri" w:cs="Calibri"/>
          <w:vertAlign w:val="superscript"/>
        </w:rPr>
        <w:t>,c</w:t>
      </w:r>
      <w:proofErr w:type="spellEnd"/>
      <w:r w:rsidR="0091528A" w:rsidRPr="00160B33">
        <w:rPr>
          <w:rFonts w:ascii="Calibri" w:hAnsi="Calibri" w:cs="Calibri"/>
        </w:rPr>
        <w:t xml:space="preserve"> </w:t>
      </w:r>
      <w:r w:rsidR="004B79D5" w:rsidRPr="00160B33">
        <w:rPr>
          <w:rFonts w:ascii="Calibri" w:hAnsi="Calibri" w:cs="Calibri"/>
        </w:rPr>
        <w:t>Jason Thomson</w:t>
      </w:r>
      <w:r w:rsidR="001F4086" w:rsidRPr="00160B33">
        <w:rPr>
          <w:rFonts w:ascii="Calibri" w:hAnsi="Calibri" w:cs="Calibri"/>
        </w:rPr>
        <w:t>,</w:t>
      </w:r>
      <w:r w:rsidR="004B79D5" w:rsidRPr="00160B33">
        <w:rPr>
          <w:rFonts w:ascii="Calibri" w:hAnsi="Calibri" w:cs="Calibri"/>
        </w:rPr>
        <w:t xml:space="preserve"> </w:t>
      </w:r>
      <w:proofErr w:type="spellStart"/>
      <w:r w:rsidR="004B79D5" w:rsidRPr="00160B33">
        <w:rPr>
          <w:rFonts w:ascii="Calibri" w:hAnsi="Calibri" w:cs="Calibri"/>
        </w:rPr>
        <w:t>MD</w:t>
      </w:r>
      <w:r w:rsidR="001F4086" w:rsidRPr="00160B33">
        <w:rPr>
          <w:rFonts w:ascii="Calibri" w:hAnsi="Calibri" w:cs="Calibri"/>
        </w:rPr>
        <w:t>,</w:t>
      </w:r>
      <w:r w:rsidR="004F4794" w:rsidRPr="00160B33">
        <w:rPr>
          <w:rFonts w:ascii="Calibri" w:hAnsi="Calibri" w:cs="Calibri"/>
          <w:vertAlign w:val="superscript"/>
        </w:rPr>
        <w:t>a</w:t>
      </w:r>
      <w:r w:rsidR="001566F7">
        <w:rPr>
          <w:rFonts w:ascii="Calibri" w:hAnsi="Calibri" w:cs="Calibri"/>
          <w:vertAlign w:val="superscript"/>
        </w:rPr>
        <w:t>,b</w:t>
      </w:r>
      <w:proofErr w:type="spellEnd"/>
      <w:r w:rsidR="004B79D5" w:rsidRPr="00160B33">
        <w:rPr>
          <w:rFonts w:ascii="Calibri" w:hAnsi="Calibri" w:cs="Calibri"/>
        </w:rPr>
        <w:t xml:space="preserve"> </w:t>
      </w:r>
      <w:proofErr w:type="spellStart"/>
      <w:r w:rsidR="002B60AB" w:rsidRPr="00160B33">
        <w:rPr>
          <w:rFonts w:ascii="Calibri" w:hAnsi="Calibri" w:cs="Calibri"/>
        </w:rPr>
        <w:t>Ma</w:t>
      </w:r>
      <w:r w:rsidR="0038657C" w:rsidRPr="00160B33">
        <w:rPr>
          <w:rFonts w:ascii="Calibri" w:hAnsi="Calibri" w:cs="Calibri"/>
        </w:rPr>
        <w:t>h</w:t>
      </w:r>
      <w:proofErr w:type="spellEnd"/>
      <w:r w:rsidR="0038657C" w:rsidRPr="00160B33">
        <w:rPr>
          <w:rFonts w:ascii="Calibri" w:hAnsi="Calibri" w:cs="Calibri"/>
        </w:rPr>
        <w:t xml:space="preserve"> </w:t>
      </w:r>
      <w:proofErr w:type="spellStart"/>
      <w:r w:rsidR="0038657C" w:rsidRPr="00160B33">
        <w:rPr>
          <w:rFonts w:ascii="Calibri" w:hAnsi="Calibri" w:cs="Calibri"/>
        </w:rPr>
        <w:t>Jabeen</w:t>
      </w:r>
      <w:proofErr w:type="spellEnd"/>
      <w:r w:rsidR="0038657C" w:rsidRPr="00160B33">
        <w:rPr>
          <w:rFonts w:ascii="Calibri" w:hAnsi="Calibri" w:cs="Calibri"/>
        </w:rPr>
        <w:t xml:space="preserve"> </w:t>
      </w:r>
      <w:proofErr w:type="spellStart"/>
      <w:r w:rsidR="0038657C" w:rsidRPr="00160B33">
        <w:rPr>
          <w:rFonts w:ascii="Calibri" w:hAnsi="Calibri" w:cs="Calibri"/>
        </w:rPr>
        <w:t>Qamar</w:t>
      </w:r>
      <w:r w:rsidR="001F4086" w:rsidRPr="00160B33">
        <w:rPr>
          <w:rFonts w:ascii="Calibri" w:hAnsi="Calibri" w:cs="Calibri"/>
        </w:rPr>
        <w:t>,</w:t>
      </w:r>
      <w:r w:rsidR="007C4332" w:rsidRPr="00160B33">
        <w:rPr>
          <w:rFonts w:ascii="Calibri" w:hAnsi="Calibri" w:cs="Calibri"/>
          <w:vertAlign w:val="superscript"/>
        </w:rPr>
        <w:t>a</w:t>
      </w:r>
      <w:r w:rsidR="00220A49" w:rsidRPr="00160B33">
        <w:rPr>
          <w:rFonts w:ascii="Calibri" w:hAnsi="Calibri" w:cs="Calibri"/>
          <w:vertAlign w:val="superscript"/>
        </w:rPr>
        <w:t>,b</w:t>
      </w:r>
      <w:proofErr w:type="spellEnd"/>
      <w:r w:rsidR="002B60AB" w:rsidRPr="00160B33">
        <w:rPr>
          <w:rFonts w:ascii="Calibri" w:hAnsi="Calibri" w:cs="Calibri"/>
        </w:rPr>
        <w:t xml:space="preserve"> </w:t>
      </w:r>
      <w:r w:rsidR="009048C3" w:rsidRPr="00192333">
        <w:rPr>
          <w:rFonts w:ascii="Calibri" w:hAnsi="Calibri" w:cs="Calibri"/>
        </w:rPr>
        <w:t xml:space="preserve">Rhiannon </w:t>
      </w:r>
      <w:proofErr w:type="spellStart"/>
      <w:r w:rsidR="009048C3" w:rsidRPr="00192333">
        <w:rPr>
          <w:rFonts w:ascii="Calibri" w:hAnsi="Calibri" w:cs="Calibri"/>
        </w:rPr>
        <w:t>Laban</w:t>
      </w:r>
      <w:r w:rsidR="00A75337" w:rsidRPr="00192333">
        <w:rPr>
          <w:rFonts w:ascii="Calibri" w:hAnsi="Calibri" w:cs="Calibri"/>
        </w:rPr>
        <w:t>,</w:t>
      </w:r>
      <w:r w:rsidR="00A75337" w:rsidRPr="00192333">
        <w:rPr>
          <w:rFonts w:ascii="Calibri" w:hAnsi="Calibri" w:cs="Calibri"/>
          <w:vertAlign w:val="superscript"/>
        </w:rPr>
        <w:t>a,b</w:t>
      </w:r>
      <w:proofErr w:type="spellEnd"/>
      <w:r w:rsidR="00A75337">
        <w:rPr>
          <w:rFonts w:ascii="Calibri" w:hAnsi="Calibri" w:cs="Calibri"/>
        </w:rPr>
        <w:t xml:space="preserve"> </w:t>
      </w:r>
      <w:r w:rsidR="00694181">
        <w:rPr>
          <w:rFonts w:ascii="Calibri" w:hAnsi="Calibri" w:cs="Calibri"/>
        </w:rPr>
        <w:t xml:space="preserve">Craig </w:t>
      </w:r>
      <w:proofErr w:type="spellStart"/>
      <w:r w:rsidR="00694181">
        <w:rPr>
          <w:rFonts w:ascii="Calibri" w:hAnsi="Calibri" w:cs="Calibri"/>
        </w:rPr>
        <w:t>Nourse</w:t>
      </w:r>
      <w:proofErr w:type="spellEnd"/>
      <w:r w:rsidR="00694181">
        <w:rPr>
          <w:rFonts w:ascii="Calibri" w:hAnsi="Calibri" w:cs="Calibri"/>
        </w:rPr>
        <w:t xml:space="preserve">, </w:t>
      </w:r>
      <w:proofErr w:type="spellStart"/>
      <w:r w:rsidR="00694181">
        <w:rPr>
          <w:rFonts w:ascii="Calibri" w:hAnsi="Calibri" w:cs="Calibri"/>
        </w:rPr>
        <w:t>PhD</w:t>
      </w:r>
      <w:r w:rsidR="00045B0F">
        <w:rPr>
          <w:rFonts w:ascii="Calibri" w:hAnsi="Calibri" w:cs="Calibri"/>
        </w:rPr>
        <w:t>,</w:t>
      </w:r>
      <w:r w:rsidR="007B3CEC">
        <w:rPr>
          <w:rFonts w:ascii="Calibri" w:hAnsi="Calibri" w:cs="Calibri"/>
          <w:vertAlign w:val="superscript"/>
        </w:rPr>
        <w:t>d</w:t>
      </w:r>
      <w:proofErr w:type="spellEnd"/>
      <w:r w:rsidR="00694181">
        <w:rPr>
          <w:rFonts w:ascii="Calibri" w:hAnsi="Calibri" w:cs="Calibri"/>
        </w:rPr>
        <w:t xml:space="preserve"> Christina Schoenherr, </w:t>
      </w:r>
      <w:proofErr w:type="spellStart"/>
      <w:r w:rsidR="00694181">
        <w:rPr>
          <w:rFonts w:ascii="Calibri" w:hAnsi="Calibri" w:cs="Calibri"/>
        </w:rPr>
        <w:t>PhD</w:t>
      </w:r>
      <w:r w:rsidR="00FF5730">
        <w:rPr>
          <w:rFonts w:ascii="Calibri" w:hAnsi="Calibri" w:cs="Calibri"/>
        </w:rPr>
        <w:t>,</w:t>
      </w:r>
      <w:r w:rsidR="007B3CEC">
        <w:rPr>
          <w:rFonts w:ascii="Calibri" w:hAnsi="Calibri" w:cs="Calibri"/>
          <w:vertAlign w:val="superscript"/>
        </w:rPr>
        <w:t>d</w:t>
      </w:r>
      <w:proofErr w:type="spellEnd"/>
      <w:r w:rsidR="00694181">
        <w:rPr>
          <w:rFonts w:ascii="Calibri" w:hAnsi="Calibri" w:cs="Calibri"/>
        </w:rPr>
        <w:t xml:space="preserve"> </w:t>
      </w:r>
      <w:r w:rsidR="0085582B" w:rsidRPr="00160B33">
        <w:rPr>
          <w:rFonts w:ascii="Calibri" w:hAnsi="Calibri" w:cs="Calibri"/>
        </w:rPr>
        <w:t>Mairi Treanor-Taylor</w:t>
      </w:r>
      <w:r w:rsidR="001F4086" w:rsidRPr="00160B33">
        <w:rPr>
          <w:rFonts w:ascii="Calibri" w:hAnsi="Calibri" w:cs="Calibri"/>
        </w:rPr>
        <w:t>,</w:t>
      </w:r>
      <w:r w:rsidR="00D23A23" w:rsidRPr="00D23A23">
        <w:rPr>
          <w:rFonts w:ascii="Calibri" w:hAnsi="Calibri" w:cs="Calibri"/>
        </w:rPr>
        <w:t xml:space="preserve"> </w:t>
      </w:r>
      <w:proofErr w:type="spellStart"/>
      <w:r w:rsidR="00D23A23" w:rsidRPr="00160B33">
        <w:rPr>
          <w:rFonts w:ascii="Calibri" w:hAnsi="Calibri" w:cs="Calibri"/>
        </w:rPr>
        <w:t>MD</w:t>
      </w:r>
      <w:r w:rsidR="00D23A23">
        <w:rPr>
          <w:rFonts w:ascii="Calibri" w:hAnsi="Calibri" w:cs="Calibri"/>
        </w:rPr>
        <w:t>,</w:t>
      </w:r>
      <w:r w:rsidR="007B3CEC">
        <w:rPr>
          <w:rFonts w:ascii="Calibri" w:hAnsi="Calibri" w:cs="Calibri"/>
          <w:vertAlign w:val="superscript"/>
        </w:rPr>
        <w:t>d</w:t>
      </w:r>
      <w:r w:rsidR="00561EF4" w:rsidRPr="00160B33">
        <w:rPr>
          <w:rFonts w:ascii="Calibri" w:hAnsi="Calibri" w:cs="Calibri"/>
          <w:vertAlign w:val="superscript"/>
        </w:rPr>
        <w:t>,</w:t>
      </w:r>
      <w:r w:rsidR="007B3CEC">
        <w:rPr>
          <w:rFonts w:ascii="Calibri" w:hAnsi="Calibri" w:cs="Calibri"/>
          <w:vertAlign w:val="superscript"/>
        </w:rPr>
        <w:t>e</w:t>
      </w:r>
      <w:proofErr w:type="spellEnd"/>
      <w:r w:rsidR="001F4086" w:rsidRPr="00160B33">
        <w:rPr>
          <w:rFonts w:ascii="Calibri" w:hAnsi="Calibri" w:cs="Calibri"/>
        </w:rPr>
        <w:t>,</w:t>
      </w:r>
      <w:r w:rsidR="0085582B" w:rsidRPr="00160B33">
        <w:rPr>
          <w:rFonts w:ascii="Calibri" w:hAnsi="Calibri" w:cs="Calibri"/>
        </w:rPr>
        <w:t xml:space="preserve"> </w:t>
      </w:r>
      <w:r w:rsidRPr="00160B33">
        <w:rPr>
          <w:rFonts w:ascii="Calibri" w:hAnsi="Calibri" w:cs="Calibri"/>
        </w:rPr>
        <w:t>Eugene Healy</w:t>
      </w:r>
      <w:r w:rsidR="001F4086" w:rsidRPr="00160B33">
        <w:rPr>
          <w:rFonts w:ascii="Calibri" w:hAnsi="Calibri" w:cs="Calibri"/>
        </w:rPr>
        <w:t>,</w:t>
      </w:r>
      <w:r w:rsidRPr="00160B33">
        <w:rPr>
          <w:rFonts w:ascii="Calibri" w:hAnsi="Calibri" w:cs="Calibri"/>
        </w:rPr>
        <w:t xml:space="preserve"> </w:t>
      </w:r>
      <w:r w:rsidR="00C77E9B">
        <w:rPr>
          <w:rFonts w:ascii="Calibri" w:hAnsi="Calibri" w:cs="Calibri"/>
        </w:rPr>
        <w:t xml:space="preserve">MB </w:t>
      </w:r>
      <w:proofErr w:type="spellStart"/>
      <w:r w:rsidR="009D54B5" w:rsidRPr="00160B33">
        <w:rPr>
          <w:rFonts w:ascii="Calibri" w:hAnsi="Calibri" w:cs="Calibri"/>
        </w:rPr>
        <w:t>PhD</w:t>
      </w:r>
      <w:r w:rsidR="001F4086" w:rsidRPr="00160B33">
        <w:rPr>
          <w:rFonts w:ascii="Calibri" w:hAnsi="Calibri" w:cs="Calibri"/>
        </w:rPr>
        <w:t>,</w:t>
      </w:r>
      <w:r w:rsidR="00985DF8">
        <w:rPr>
          <w:rFonts w:ascii="Calibri" w:hAnsi="Calibri" w:cs="Calibri"/>
          <w:vertAlign w:val="superscript"/>
        </w:rPr>
        <w:t>f</w:t>
      </w:r>
      <w:r w:rsidR="000C57CC">
        <w:rPr>
          <w:rFonts w:ascii="Calibri" w:hAnsi="Calibri" w:cs="Calibri"/>
          <w:vertAlign w:val="superscript"/>
        </w:rPr>
        <w:t>,</w:t>
      </w:r>
      <w:r w:rsidR="00985DF8">
        <w:rPr>
          <w:rFonts w:ascii="Calibri" w:hAnsi="Calibri" w:cs="Calibri"/>
          <w:vertAlign w:val="superscript"/>
        </w:rPr>
        <w:t>g</w:t>
      </w:r>
      <w:proofErr w:type="spellEnd"/>
      <w:r w:rsidRPr="00160B33">
        <w:rPr>
          <w:rFonts w:ascii="Calibri" w:hAnsi="Calibri" w:cs="Calibri"/>
        </w:rPr>
        <w:t xml:space="preserve"> Chester Lai</w:t>
      </w:r>
      <w:r w:rsidR="001F4086" w:rsidRPr="00160B33">
        <w:rPr>
          <w:rFonts w:ascii="Calibri" w:hAnsi="Calibri" w:cs="Calibri"/>
        </w:rPr>
        <w:t>,</w:t>
      </w:r>
      <w:r w:rsidR="009D54B5" w:rsidRPr="00160B33">
        <w:rPr>
          <w:rFonts w:ascii="Calibri" w:hAnsi="Calibri" w:cs="Calibri"/>
        </w:rPr>
        <w:t xml:space="preserve"> </w:t>
      </w:r>
      <w:r w:rsidR="0038142D">
        <w:rPr>
          <w:rFonts w:ascii="Calibri" w:hAnsi="Calibri" w:cs="Calibri"/>
        </w:rPr>
        <w:t xml:space="preserve">BM </w:t>
      </w:r>
      <w:proofErr w:type="spellStart"/>
      <w:r w:rsidR="009D54B5" w:rsidRPr="00160B33">
        <w:rPr>
          <w:rFonts w:ascii="Calibri" w:hAnsi="Calibri" w:cs="Calibri"/>
        </w:rPr>
        <w:t>PhD</w:t>
      </w:r>
      <w:r w:rsidR="001F4086" w:rsidRPr="00160B33">
        <w:rPr>
          <w:rFonts w:ascii="Calibri" w:hAnsi="Calibri" w:cs="Calibri"/>
        </w:rPr>
        <w:t>,</w:t>
      </w:r>
      <w:r w:rsidR="00985DF8">
        <w:rPr>
          <w:rFonts w:ascii="Calibri" w:hAnsi="Calibri" w:cs="Calibri"/>
          <w:vertAlign w:val="superscript"/>
        </w:rPr>
        <w:t>f</w:t>
      </w:r>
      <w:r w:rsidR="000C57CC">
        <w:rPr>
          <w:rFonts w:ascii="Calibri" w:hAnsi="Calibri" w:cs="Calibri"/>
          <w:vertAlign w:val="superscript"/>
        </w:rPr>
        <w:t>,</w:t>
      </w:r>
      <w:r w:rsidR="00985DF8">
        <w:rPr>
          <w:rFonts w:ascii="Calibri" w:hAnsi="Calibri" w:cs="Calibri"/>
          <w:vertAlign w:val="superscript"/>
        </w:rPr>
        <w:t>g</w:t>
      </w:r>
      <w:proofErr w:type="spellEnd"/>
      <w:r w:rsidRPr="00160B33">
        <w:rPr>
          <w:rFonts w:ascii="Calibri" w:hAnsi="Calibri" w:cs="Calibri"/>
        </w:rPr>
        <w:t xml:space="preserve"> Paul </w:t>
      </w:r>
      <w:proofErr w:type="spellStart"/>
      <w:r w:rsidRPr="00160B33">
        <w:rPr>
          <w:rFonts w:ascii="Calibri" w:hAnsi="Calibri" w:cs="Calibri"/>
        </w:rPr>
        <w:t>Craig</w:t>
      </w:r>
      <w:r w:rsidR="001F4086" w:rsidRPr="00160B33">
        <w:rPr>
          <w:rFonts w:ascii="Calibri" w:hAnsi="Calibri" w:cs="Calibri"/>
        </w:rPr>
        <w:t>,</w:t>
      </w:r>
      <w:r w:rsidR="00E062F5">
        <w:rPr>
          <w:rFonts w:ascii="Calibri" w:hAnsi="Calibri" w:cs="Calibri"/>
          <w:vertAlign w:val="superscript"/>
        </w:rPr>
        <w:t>h</w:t>
      </w:r>
      <w:proofErr w:type="spellEnd"/>
      <w:r w:rsidR="00420BC4" w:rsidRPr="00160B33">
        <w:rPr>
          <w:rFonts w:ascii="Calibri" w:hAnsi="Calibri" w:cs="Calibri"/>
        </w:rPr>
        <w:t xml:space="preserve"> </w:t>
      </w:r>
      <w:r w:rsidRPr="00160B33">
        <w:rPr>
          <w:rFonts w:ascii="Calibri" w:hAnsi="Calibri" w:cs="Calibri"/>
        </w:rPr>
        <w:t>Colin</w:t>
      </w:r>
      <w:r w:rsidR="00033EBA">
        <w:rPr>
          <w:rFonts w:ascii="Calibri" w:hAnsi="Calibri" w:cs="Calibri"/>
        </w:rPr>
        <w:t xml:space="preserve"> </w:t>
      </w:r>
      <w:proofErr w:type="spellStart"/>
      <w:r w:rsidR="00033EBA">
        <w:rPr>
          <w:rFonts w:ascii="Calibri" w:hAnsi="Calibri" w:cs="Calibri"/>
        </w:rPr>
        <w:t>Moyes</w:t>
      </w:r>
      <w:r w:rsidR="001F4086" w:rsidRPr="00160B33">
        <w:rPr>
          <w:rFonts w:ascii="Calibri" w:hAnsi="Calibri" w:cs="Calibri"/>
        </w:rPr>
        <w:t>,</w:t>
      </w:r>
      <w:r w:rsidR="0043417A">
        <w:rPr>
          <w:rFonts w:ascii="Calibri" w:hAnsi="Calibri" w:cs="Calibri"/>
          <w:vertAlign w:val="superscript"/>
        </w:rPr>
        <w:t>i</w:t>
      </w:r>
      <w:proofErr w:type="spellEnd"/>
      <w:r w:rsidRPr="00160B33">
        <w:rPr>
          <w:rFonts w:ascii="Calibri" w:hAnsi="Calibri" w:cs="Calibri"/>
        </w:rPr>
        <w:t xml:space="preserve"> </w:t>
      </w:r>
      <w:r w:rsidRPr="00192333">
        <w:rPr>
          <w:rFonts w:ascii="Calibri" w:hAnsi="Calibri" w:cs="Calibri"/>
        </w:rPr>
        <w:t>Wil</w:t>
      </w:r>
      <w:r w:rsidR="00740D29" w:rsidRPr="00192333">
        <w:rPr>
          <w:rFonts w:ascii="Calibri" w:hAnsi="Calibri" w:cs="Calibri"/>
        </w:rPr>
        <w:t>l</w:t>
      </w:r>
      <w:r w:rsidR="00D34BE7" w:rsidRPr="00192333">
        <w:rPr>
          <w:rFonts w:ascii="Calibri" w:hAnsi="Calibri" w:cs="Calibri"/>
        </w:rPr>
        <w:t>iam</w:t>
      </w:r>
      <w:r w:rsidRPr="00160B33">
        <w:rPr>
          <w:rFonts w:ascii="Calibri" w:hAnsi="Calibri" w:cs="Calibri"/>
        </w:rPr>
        <w:t xml:space="preserve"> </w:t>
      </w:r>
      <w:proofErr w:type="spellStart"/>
      <w:r w:rsidRPr="00160B33">
        <w:rPr>
          <w:rFonts w:ascii="Calibri" w:hAnsi="Calibri" w:cs="Calibri"/>
        </w:rPr>
        <w:t>Rickaby</w:t>
      </w:r>
      <w:r w:rsidR="001F4086" w:rsidRPr="00160B33">
        <w:rPr>
          <w:rFonts w:ascii="Calibri" w:hAnsi="Calibri" w:cs="Calibri"/>
        </w:rPr>
        <w:t>,</w:t>
      </w:r>
      <w:r w:rsidR="006A3A0E">
        <w:rPr>
          <w:rFonts w:ascii="Calibri" w:hAnsi="Calibri" w:cs="Calibri"/>
          <w:vertAlign w:val="superscript"/>
        </w:rPr>
        <w:t>j</w:t>
      </w:r>
      <w:proofErr w:type="spellEnd"/>
      <w:r w:rsidR="009D54B5" w:rsidRPr="00160B33">
        <w:rPr>
          <w:rFonts w:ascii="Calibri" w:hAnsi="Calibri" w:cs="Calibri"/>
        </w:rPr>
        <w:t xml:space="preserve"> </w:t>
      </w:r>
      <w:r w:rsidRPr="00160B33">
        <w:rPr>
          <w:rFonts w:ascii="Calibri" w:hAnsi="Calibri" w:cs="Calibri"/>
        </w:rPr>
        <w:t>Jo</w:t>
      </w:r>
      <w:r w:rsidR="009D54B5" w:rsidRPr="00160B33">
        <w:rPr>
          <w:rFonts w:ascii="Calibri" w:hAnsi="Calibri" w:cs="Calibri"/>
        </w:rPr>
        <w:t>anne</w:t>
      </w:r>
      <w:r w:rsidRPr="00160B33">
        <w:rPr>
          <w:rFonts w:ascii="Calibri" w:hAnsi="Calibri" w:cs="Calibri"/>
        </w:rPr>
        <w:t xml:space="preserve"> Martin</w:t>
      </w:r>
      <w:r w:rsidR="001F4086" w:rsidRPr="00160B33">
        <w:rPr>
          <w:rFonts w:ascii="Calibri" w:hAnsi="Calibri" w:cs="Calibri"/>
        </w:rPr>
        <w:t>,</w:t>
      </w:r>
      <w:r w:rsidR="009D54B5" w:rsidRPr="00160B33">
        <w:rPr>
          <w:rFonts w:ascii="Calibri" w:hAnsi="Calibri" w:cs="Calibri"/>
        </w:rPr>
        <w:t xml:space="preserve"> </w:t>
      </w:r>
      <w:proofErr w:type="spellStart"/>
      <w:r w:rsidR="009D54B5" w:rsidRPr="00160B33">
        <w:rPr>
          <w:rFonts w:ascii="Calibri" w:hAnsi="Calibri" w:cs="Calibri"/>
        </w:rPr>
        <w:t>PhD</w:t>
      </w:r>
      <w:r w:rsidR="001F4086" w:rsidRPr="00160B33">
        <w:rPr>
          <w:rFonts w:ascii="Calibri" w:hAnsi="Calibri" w:cs="Calibri"/>
        </w:rPr>
        <w:t>,</w:t>
      </w:r>
      <w:r w:rsidR="0013683B" w:rsidRPr="00160B33">
        <w:rPr>
          <w:rFonts w:ascii="Calibri" w:hAnsi="Calibri" w:cs="Calibri"/>
          <w:vertAlign w:val="superscript"/>
        </w:rPr>
        <w:t>a</w:t>
      </w:r>
      <w:proofErr w:type="spellEnd"/>
      <w:r w:rsidR="009D54B5" w:rsidRPr="00160B33">
        <w:rPr>
          <w:rFonts w:ascii="Calibri" w:hAnsi="Calibri" w:cs="Calibri"/>
        </w:rPr>
        <w:t xml:space="preserve"> </w:t>
      </w:r>
      <w:r w:rsidR="004A00BD" w:rsidRPr="00160B33">
        <w:rPr>
          <w:rFonts w:ascii="Calibri" w:hAnsi="Calibri" w:cs="Calibri"/>
        </w:rPr>
        <w:t xml:space="preserve">Charlotte </w:t>
      </w:r>
      <w:proofErr w:type="spellStart"/>
      <w:r w:rsidR="004A00BD" w:rsidRPr="00160B33">
        <w:rPr>
          <w:rFonts w:ascii="Calibri" w:hAnsi="Calibri" w:cs="Calibri"/>
        </w:rPr>
        <w:t>Proby</w:t>
      </w:r>
      <w:proofErr w:type="spellEnd"/>
      <w:r w:rsidR="001F4086" w:rsidRPr="00160B33">
        <w:rPr>
          <w:rFonts w:ascii="Calibri" w:hAnsi="Calibri" w:cs="Calibri"/>
        </w:rPr>
        <w:t>,</w:t>
      </w:r>
      <w:r w:rsidR="004A00BD" w:rsidRPr="00160B33">
        <w:rPr>
          <w:rFonts w:ascii="Calibri" w:hAnsi="Calibri" w:cs="Calibri"/>
        </w:rPr>
        <w:t xml:space="preserve"> </w:t>
      </w:r>
      <w:proofErr w:type="spellStart"/>
      <w:r w:rsidR="004A00BD" w:rsidRPr="00160B33">
        <w:rPr>
          <w:rFonts w:ascii="Calibri" w:hAnsi="Calibri" w:cs="Calibri"/>
        </w:rPr>
        <w:t>MD</w:t>
      </w:r>
      <w:r w:rsidR="001F4086" w:rsidRPr="00160B33">
        <w:rPr>
          <w:rFonts w:ascii="Calibri" w:hAnsi="Calibri" w:cs="Calibri"/>
        </w:rPr>
        <w:t>,</w:t>
      </w:r>
      <w:r w:rsidR="006D2593">
        <w:rPr>
          <w:rFonts w:ascii="Calibri" w:hAnsi="Calibri" w:cs="Calibri"/>
          <w:vertAlign w:val="superscript"/>
        </w:rPr>
        <w:t>k</w:t>
      </w:r>
      <w:proofErr w:type="spellEnd"/>
      <w:r w:rsidR="004A00BD" w:rsidRPr="00160B33">
        <w:rPr>
          <w:rFonts w:ascii="Calibri" w:hAnsi="Calibri" w:cs="Calibri"/>
        </w:rPr>
        <w:t xml:space="preserve"> </w:t>
      </w:r>
      <w:r w:rsidRPr="00160B33">
        <w:rPr>
          <w:rFonts w:ascii="Calibri" w:hAnsi="Calibri" w:cs="Calibri"/>
        </w:rPr>
        <w:t xml:space="preserve">Gareth </w:t>
      </w:r>
      <w:r w:rsidR="00B605A8">
        <w:rPr>
          <w:rFonts w:ascii="Calibri" w:hAnsi="Calibri" w:cs="Calibri"/>
        </w:rPr>
        <w:t xml:space="preserve">J. </w:t>
      </w:r>
      <w:r w:rsidRPr="00160B33">
        <w:rPr>
          <w:rFonts w:ascii="Calibri" w:hAnsi="Calibri" w:cs="Calibri"/>
        </w:rPr>
        <w:t>Inman</w:t>
      </w:r>
      <w:r w:rsidR="001F4086" w:rsidRPr="00160B33">
        <w:rPr>
          <w:rFonts w:ascii="Calibri" w:hAnsi="Calibri" w:cs="Calibri"/>
        </w:rPr>
        <w:t>,</w:t>
      </w:r>
      <w:r w:rsidRPr="00160B33">
        <w:rPr>
          <w:rFonts w:ascii="Calibri" w:hAnsi="Calibri" w:cs="Calibri"/>
        </w:rPr>
        <w:t xml:space="preserve"> </w:t>
      </w:r>
      <w:proofErr w:type="spellStart"/>
      <w:r w:rsidR="009D54B5" w:rsidRPr="00160B33">
        <w:rPr>
          <w:rFonts w:ascii="Calibri" w:hAnsi="Calibri" w:cs="Calibri"/>
        </w:rPr>
        <w:t>PhD</w:t>
      </w:r>
      <w:r w:rsidR="001F4086" w:rsidRPr="00160B33">
        <w:rPr>
          <w:rFonts w:ascii="Calibri" w:hAnsi="Calibri" w:cs="Calibri"/>
        </w:rPr>
        <w:t>,</w:t>
      </w:r>
      <w:r w:rsidR="00F91B99">
        <w:rPr>
          <w:rFonts w:ascii="Calibri" w:hAnsi="Calibri" w:cs="Calibri"/>
          <w:vertAlign w:val="superscript"/>
        </w:rPr>
        <w:t>d</w:t>
      </w:r>
      <w:r w:rsidR="00227693" w:rsidRPr="00160B33">
        <w:rPr>
          <w:rFonts w:ascii="Calibri" w:hAnsi="Calibri" w:cs="Calibri"/>
          <w:vertAlign w:val="superscript"/>
        </w:rPr>
        <w:t>,</w:t>
      </w:r>
      <w:r w:rsidR="00F91B99">
        <w:rPr>
          <w:rFonts w:ascii="Calibri" w:hAnsi="Calibri" w:cs="Calibri"/>
          <w:vertAlign w:val="superscript"/>
        </w:rPr>
        <w:t>e</w:t>
      </w:r>
      <w:proofErr w:type="spellEnd"/>
      <w:r w:rsidR="007F5968" w:rsidRPr="00160B33">
        <w:rPr>
          <w:rFonts w:ascii="Calibri" w:hAnsi="Calibri" w:cs="Calibri"/>
        </w:rPr>
        <w:t xml:space="preserve"> </w:t>
      </w:r>
      <w:r w:rsidRPr="00160B33">
        <w:rPr>
          <w:rFonts w:ascii="Calibri" w:hAnsi="Calibri" w:cs="Calibri"/>
        </w:rPr>
        <w:t xml:space="preserve">Irene </w:t>
      </w:r>
      <w:r w:rsidR="00CB4843">
        <w:rPr>
          <w:rFonts w:ascii="Calibri" w:hAnsi="Calibri" w:cs="Calibri"/>
        </w:rPr>
        <w:t xml:space="preserve">M. </w:t>
      </w:r>
      <w:r w:rsidRPr="00160B33">
        <w:rPr>
          <w:rFonts w:ascii="Calibri" w:hAnsi="Calibri" w:cs="Calibri"/>
        </w:rPr>
        <w:t>Leigh</w:t>
      </w:r>
      <w:r w:rsidR="001F4086" w:rsidRPr="00160B33">
        <w:rPr>
          <w:rFonts w:ascii="Calibri" w:hAnsi="Calibri" w:cs="Calibri"/>
        </w:rPr>
        <w:t>,</w:t>
      </w:r>
      <w:r w:rsidR="009D54B5" w:rsidRPr="00160B33">
        <w:rPr>
          <w:rFonts w:ascii="Calibri" w:hAnsi="Calibri" w:cs="Calibri"/>
        </w:rPr>
        <w:t xml:space="preserve"> CBE,</w:t>
      </w:r>
      <w:r w:rsidRPr="00160B33">
        <w:rPr>
          <w:rFonts w:ascii="Calibri" w:hAnsi="Calibri" w:cs="Calibri"/>
        </w:rPr>
        <w:t xml:space="preserve"> </w:t>
      </w:r>
      <w:proofErr w:type="spellStart"/>
      <w:r w:rsidR="009D54B5" w:rsidRPr="00160B33">
        <w:rPr>
          <w:rFonts w:ascii="Calibri" w:hAnsi="Calibri" w:cs="Calibri"/>
        </w:rPr>
        <w:t>DSc</w:t>
      </w:r>
      <w:r w:rsidR="00993D77" w:rsidRPr="00160B33">
        <w:rPr>
          <w:rFonts w:ascii="Calibri" w:hAnsi="Calibri" w:cs="Calibri"/>
          <w:vertAlign w:val="superscript"/>
        </w:rPr>
        <w:t>a</w:t>
      </w:r>
      <w:proofErr w:type="spellEnd"/>
    </w:p>
    <w:p w14:paraId="620B4EA6" w14:textId="1AD87F13" w:rsidR="009D54B5" w:rsidRPr="00160B33" w:rsidRDefault="009D54B5" w:rsidP="00EA16D5">
      <w:pPr>
        <w:spacing w:line="276" w:lineRule="auto"/>
        <w:jc w:val="both"/>
        <w:rPr>
          <w:rFonts w:ascii="Calibri" w:hAnsi="Calibri" w:cs="Calibri"/>
        </w:rPr>
      </w:pPr>
    </w:p>
    <w:p w14:paraId="60DAD01F" w14:textId="77777777" w:rsidR="005F3DC0" w:rsidRDefault="00CD3892" w:rsidP="005F3DC0">
      <w:pPr>
        <w:spacing w:line="276" w:lineRule="auto"/>
        <w:jc w:val="both"/>
        <w:rPr>
          <w:rFonts w:ascii="Calibri" w:hAnsi="Calibri" w:cs="Calibri"/>
        </w:rPr>
      </w:pPr>
      <w:r w:rsidRPr="00160B33">
        <w:rPr>
          <w:rFonts w:ascii="Calibri" w:hAnsi="Calibri" w:cs="Calibri"/>
        </w:rPr>
        <w:t>a</w:t>
      </w:r>
      <w:r w:rsidR="0092101C" w:rsidRPr="00160B33">
        <w:rPr>
          <w:rFonts w:ascii="Calibri" w:hAnsi="Calibri" w:cs="Calibri"/>
        </w:rPr>
        <w:t>.</w:t>
      </w:r>
      <w:r w:rsidR="006912E0" w:rsidRPr="00160B33">
        <w:rPr>
          <w:rFonts w:ascii="Calibri" w:hAnsi="Calibri" w:cs="Calibri"/>
        </w:rPr>
        <w:t xml:space="preserve"> </w:t>
      </w:r>
      <w:r w:rsidR="0092101C" w:rsidRPr="00160B33">
        <w:rPr>
          <w:rFonts w:ascii="Calibri" w:hAnsi="Calibri" w:cs="Calibri"/>
        </w:rPr>
        <w:t>Faculty of Medicine and Dentistry, Queen Mary University of London, London E1 1BB</w:t>
      </w:r>
    </w:p>
    <w:p w14:paraId="390ED835" w14:textId="67772532" w:rsidR="00446EBE" w:rsidRDefault="00CD3892" w:rsidP="005F3DC0">
      <w:pPr>
        <w:spacing w:line="276" w:lineRule="auto"/>
        <w:jc w:val="both"/>
        <w:rPr>
          <w:rFonts w:ascii="Calibri" w:hAnsi="Calibri" w:cs="Calibri"/>
        </w:rPr>
      </w:pPr>
      <w:r w:rsidRPr="00160B33">
        <w:rPr>
          <w:rFonts w:ascii="Calibri" w:hAnsi="Calibri" w:cs="Calibri"/>
        </w:rPr>
        <w:t>b.</w:t>
      </w:r>
      <w:r w:rsidR="0092101C" w:rsidRPr="00160B33">
        <w:rPr>
          <w:rFonts w:ascii="Calibri" w:hAnsi="Calibri" w:cs="Calibri"/>
        </w:rPr>
        <w:t xml:space="preserve"> </w:t>
      </w:r>
      <w:r w:rsidR="0011487C">
        <w:rPr>
          <w:rFonts w:ascii="Calibri" w:hAnsi="Calibri" w:cs="Calibri"/>
        </w:rPr>
        <w:t xml:space="preserve">Department of Dermatology, Royal London Hospital, </w:t>
      </w:r>
      <w:r w:rsidR="0011487C" w:rsidRPr="00160B33">
        <w:rPr>
          <w:rFonts w:ascii="Calibri" w:hAnsi="Calibri" w:cs="Calibri"/>
        </w:rPr>
        <w:t xml:space="preserve">Barts Health NHS Trust E1 </w:t>
      </w:r>
      <w:r w:rsidR="0011487C">
        <w:rPr>
          <w:rFonts w:ascii="Calibri" w:hAnsi="Calibri" w:cs="Calibri"/>
        </w:rPr>
        <w:t>IBB</w:t>
      </w:r>
      <w:r w:rsidR="0011487C" w:rsidRPr="00160B33">
        <w:rPr>
          <w:rFonts w:ascii="Calibri" w:hAnsi="Calibri" w:cs="Calibri"/>
        </w:rPr>
        <w:t xml:space="preserve"> </w:t>
      </w:r>
    </w:p>
    <w:p w14:paraId="2A232286" w14:textId="775A524B" w:rsidR="003979D9" w:rsidRDefault="001623A6" w:rsidP="005F3DC0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c. </w:t>
      </w:r>
      <w:r w:rsidR="00F82B1B" w:rsidRPr="00F82B1B">
        <w:rPr>
          <w:rFonts w:ascii="Calibri" w:hAnsi="Calibri" w:cs="Calibri"/>
        </w:rPr>
        <w:t>Centre for Biomedical Science Research, School of Clinical and Applied Sciences, Leeds Beckett University, Leeds, UK</w:t>
      </w:r>
    </w:p>
    <w:p w14:paraId="6016C79A" w14:textId="59C235D3" w:rsidR="00CD04E4" w:rsidRPr="00BF0E19" w:rsidRDefault="00C67297" w:rsidP="0011487C">
      <w:pPr>
        <w:rPr>
          <w:rStyle w:val="Emphasis"/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CD04E4" w:rsidRPr="00160B33">
        <w:rPr>
          <w:rFonts w:ascii="Calibri" w:hAnsi="Calibri" w:cs="Calibri"/>
        </w:rPr>
        <w:t>.</w:t>
      </w:r>
      <w:r w:rsidR="00CD27AC">
        <w:rPr>
          <w:rFonts w:ascii="Calibri" w:hAnsi="Calibri" w:cs="Calibri"/>
        </w:rPr>
        <w:t xml:space="preserve"> </w:t>
      </w:r>
      <w:r w:rsidR="00CD04E4" w:rsidRPr="00BF0E19">
        <w:rPr>
          <w:rFonts w:ascii="Calibri" w:hAnsi="Calibri" w:cs="Calibri"/>
          <w:shd w:val="clear" w:color="auto" w:fill="FFFFFF"/>
        </w:rPr>
        <w:t>Cancer Research UK Beatson Institute,</w:t>
      </w:r>
      <w:r w:rsidR="00CD04E4" w:rsidRPr="00BF0E19">
        <w:rPr>
          <w:rFonts w:ascii="Calibri" w:hAnsi="Calibri" w:cs="Calibri"/>
          <w:b/>
          <w:bCs/>
          <w:i/>
          <w:iCs/>
        </w:rPr>
        <w:t xml:space="preserve"> </w:t>
      </w:r>
      <w:r w:rsidR="00CD04E4" w:rsidRPr="003038D2">
        <w:rPr>
          <w:rStyle w:val="Emphasis"/>
          <w:rFonts w:ascii="Calibri" w:hAnsi="Calibri" w:cs="Calibri"/>
          <w:i w:val="0"/>
          <w:iCs w:val="0"/>
        </w:rPr>
        <w:t>Bearsden Glasgow, G61 1BD</w:t>
      </w:r>
    </w:p>
    <w:p w14:paraId="5330FDD9" w14:textId="7BCD7042" w:rsidR="00AE0478" w:rsidRPr="00160B33" w:rsidRDefault="00C67297" w:rsidP="00632B02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AE0478" w:rsidRPr="00160B33">
        <w:rPr>
          <w:rFonts w:ascii="Calibri" w:hAnsi="Calibri" w:cs="Calibri"/>
        </w:rPr>
        <w:t>.</w:t>
      </w:r>
      <w:r w:rsidR="00755DA3">
        <w:rPr>
          <w:rFonts w:ascii="Calibri" w:hAnsi="Calibri" w:cs="Calibri"/>
        </w:rPr>
        <w:t xml:space="preserve"> </w:t>
      </w:r>
      <w:r w:rsidR="00AE0478" w:rsidRPr="00160B33">
        <w:rPr>
          <w:rFonts w:ascii="Calibri" w:hAnsi="Calibri" w:cs="Calibri"/>
        </w:rPr>
        <w:t>School of Cancer Sciences, University of Glasgow, Bearsden G61 1QH</w:t>
      </w:r>
    </w:p>
    <w:p w14:paraId="74841A94" w14:textId="47A6E0FA" w:rsidR="0092101C" w:rsidRDefault="00C67297" w:rsidP="00134EB4">
      <w:pPr>
        <w:spacing w:line="276" w:lineRule="auto"/>
        <w:jc w:val="both"/>
        <w:rPr>
          <w:rFonts w:ascii="Calibri" w:hAnsi="Calibri" w:cs="Calibri"/>
          <w:color w:val="000000"/>
          <w:shd w:val="clear" w:color="auto" w:fill="EDF3FA"/>
        </w:rPr>
      </w:pPr>
      <w:r>
        <w:rPr>
          <w:rFonts w:ascii="Calibri" w:hAnsi="Calibri" w:cs="Calibri"/>
        </w:rPr>
        <w:t>f</w:t>
      </w:r>
      <w:r w:rsidR="0092101C" w:rsidRPr="00160B33">
        <w:rPr>
          <w:rFonts w:ascii="Calibri" w:hAnsi="Calibri" w:cs="Calibri"/>
        </w:rPr>
        <w:t>.</w:t>
      </w:r>
      <w:r w:rsidR="008F7361">
        <w:rPr>
          <w:rFonts w:ascii="Calibri" w:hAnsi="Calibri" w:cs="Calibri"/>
        </w:rPr>
        <w:t xml:space="preserve"> </w:t>
      </w:r>
      <w:proofErr w:type="spellStart"/>
      <w:r w:rsidR="007F0370" w:rsidRPr="00160B33">
        <w:rPr>
          <w:rFonts w:ascii="Calibri" w:hAnsi="Calibri" w:cs="Calibri"/>
        </w:rPr>
        <w:t>Dermato</w:t>
      </w:r>
      <w:r w:rsidR="007F0370">
        <w:rPr>
          <w:rFonts w:ascii="Calibri" w:hAnsi="Calibri" w:cs="Calibri"/>
        </w:rPr>
        <w:t>pharmaco</w:t>
      </w:r>
      <w:r w:rsidR="007F0370" w:rsidRPr="00160B33">
        <w:rPr>
          <w:rFonts w:ascii="Calibri" w:hAnsi="Calibri" w:cs="Calibri"/>
        </w:rPr>
        <w:t>logy</w:t>
      </w:r>
      <w:proofErr w:type="spellEnd"/>
      <w:r w:rsidR="0092101C" w:rsidRPr="00160B33">
        <w:rPr>
          <w:rFonts w:ascii="Calibri" w:hAnsi="Calibri" w:cs="Calibri"/>
        </w:rPr>
        <w:t xml:space="preserve">, University </w:t>
      </w:r>
      <w:r w:rsidR="009F6AA2">
        <w:rPr>
          <w:rFonts w:ascii="Calibri" w:hAnsi="Calibri" w:cs="Calibri"/>
        </w:rPr>
        <w:t xml:space="preserve">of </w:t>
      </w:r>
      <w:r w:rsidR="0092101C" w:rsidRPr="00160B33">
        <w:rPr>
          <w:rFonts w:ascii="Calibri" w:hAnsi="Calibri" w:cs="Calibri"/>
        </w:rPr>
        <w:t>Southampton, Southampton General Hospital, SO16 6YD</w:t>
      </w:r>
      <w:r w:rsidR="0092101C" w:rsidRPr="00160B33">
        <w:rPr>
          <w:rFonts w:ascii="Calibri" w:hAnsi="Calibri" w:cs="Calibri"/>
          <w:color w:val="000000"/>
          <w:shd w:val="clear" w:color="auto" w:fill="EDF3FA"/>
        </w:rPr>
        <w:t xml:space="preserve"> </w:t>
      </w:r>
    </w:p>
    <w:p w14:paraId="3F3BCFD7" w14:textId="0C621629" w:rsidR="003E6B18" w:rsidRPr="00160B33" w:rsidRDefault="00C67297" w:rsidP="00134EB4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hd w:val="clear" w:color="auto" w:fill="EDF3FA"/>
        </w:rPr>
        <w:t>g</w:t>
      </w:r>
      <w:r w:rsidR="003E6B18">
        <w:rPr>
          <w:rFonts w:ascii="Calibri" w:hAnsi="Calibri" w:cs="Calibri"/>
          <w:color w:val="000000"/>
          <w:shd w:val="clear" w:color="auto" w:fill="EDF3FA"/>
        </w:rPr>
        <w:t xml:space="preserve">. </w:t>
      </w:r>
      <w:r w:rsidR="003E6B18">
        <w:rPr>
          <w:rFonts w:ascii="Calibri" w:hAnsi="Calibri" w:cs="Calibri"/>
        </w:rPr>
        <w:t>Dermatology, University Hospital Southampton NHS Foundation Trust, SO16 6YD</w:t>
      </w:r>
    </w:p>
    <w:p w14:paraId="5D33138F" w14:textId="256CDFA0" w:rsidR="00586215" w:rsidRPr="00160B33" w:rsidRDefault="00AF2FF3" w:rsidP="00974F31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="0092101C" w:rsidRPr="00160B33">
        <w:rPr>
          <w:rFonts w:ascii="Calibri" w:hAnsi="Calibri" w:cs="Calibri"/>
        </w:rPr>
        <w:t>.</w:t>
      </w:r>
      <w:r w:rsidR="00586215" w:rsidRPr="00160B33">
        <w:rPr>
          <w:rFonts w:ascii="Calibri" w:hAnsi="Calibri" w:cs="Calibri"/>
        </w:rPr>
        <w:t xml:space="preserve"> Cellular Pathology, Gloucestershire Hospitals NHS Foundation Trust,</w:t>
      </w:r>
      <w:r w:rsidR="00974F31" w:rsidRPr="00160B33">
        <w:rPr>
          <w:rFonts w:ascii="Calibri" w:hAnsi="Calibri" w:cs="Calibri"/>
        </w:rPr>
        <w:t xml:space="preserve"> </w:t>
      </w:r>
      <w:r w:rsidR="00586215" w:rsidRPr="00160B33">
        <w:rPr>
          <w:rFonts w:ascii="Calibri" w:hAnsi="Calibri" w:cs="Calibri"/>
        </w:rPr>
        <w:t xml:space="preserve">Cheltenham General Hospital, Cheltenham GL537AN </w:t>
      </w:r>
    </w:p>
    <w:p w14:paraId="36B55FB4" w14:textId="0D42D59F" w:rsidR="0092101C" w:rsidRPr="00E42222" w:rsidRDefault="00AF2FF3" w:rsidP="00134EB4">
      <w:pPr>
        <w:spacing w:line="276" w:lineRule="auto"/>
        <w:jc w:val="both"/>
        <w:rPr>
          <w:rFonts w:ascii="Calibri" w:hAnsi="Calibri" w:cs="Calibri"/>
          <w:shd w:val="clear" w:color="auto" w:fill="FFFFFF"/>
        </w:rPr>
      </w:pPr>
      <w:proofErr w:type="spellStart"/>
      <w:r>
        <w:rPr>
          <w:rFonts w:ascii="Calibri" w:hAnsi="Calibri" w:cs="Calibri"/>
        </w:rPr>
        <w:t>i</w:t>
      </w:r>
      <w:proofErr w:type="spellEnd"/>
      <w:r w:rsidR="0092101C" w:rsidRPr="00160B33">
        <w:rPr>
          <w:rFonts w:ascii="Calibri" w:hAnsi="Calibri" w:cs="Calibri"/>
        </w:rPr>
        <w:t>.</w:t>
      </w:r>
      <w:r w:rsidR="003B589F">
        <w:rPr>
          <w:rFonts w:ascii="Calibri" w:hAnsi="Calibri" w:cs="Calibri"/>
        </w:rPr>
        <w:t xml:space="preserve"> </w:t>
      </w:r>
      <w:r w:rsidR="0092101C" w:rsidRPr="00E42222">
        <w:rPr>
          <w:rFonts w:ascii="Calibri" w:hAnsi="Calibri" w:cs="Calibri"/>
          <w:shd w:val="clear" w:color="auto" w:fill="FFFFFF"/>
        </w:rPr>
        <w:t>Queen Elizabeth University Hospital Glasgow G51 4TF</w:t>
      </w:r>
    </w:p>
    <w:p w14:paraId="6E594DEC" w14:textId="0F0DFE9C" w:rsidR="00B07670" w:rsidRPr="00160B33" w:rsidRDefault="00AF2FF3" w:rsidP="005500E3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B07670" w:rsidRPr="00160B33">
        <w:rPr>
          <w:rFonts w:ascii="Calibri" w:hAnsi="Calibri" w:cs="Calibri"/>
        </w:rPr>
        <w:t>.</w:t>
      </w:r>
      <w:r w:rsidR="00B07670">
        <w:rPr>
          <w:rFonts w:ascii="Calibri" w:hAnsi="Calibri" w:cs="Calibri"/>
        </w:rPr>
        <w:t xml:space="preserve"> </w:t>
      </w:r>
      <w:r w:rsidR="00B07670" w:rsidRPr="00160B33">
        <w:rPr>
          <w:rFonts w:ascii="Calibri" w:hAnsi="Calibri" w:cs="Calibri"/>
        </w:rPr>
        <w:t>University College London NHS Trust, London W1T 4EU</w:t>
      </w:r>
    </w:p>
    <w:p w14:paraId="6B51C9E3" w14:textId="3068A3C7" w:rsidR="009D54B5" w:rsidRPr="00102CA3" w:rsidRDefault="00AF2FF3" w:rsidP="00EA16D5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92101C" w:rsidRPr="00160B33">
        <w:rPr>
          <w:rFonts w:ascii="Calibri" w:hAnsi="Calibri" w:cs="Calibri"/>
        </w:rPr>
        <w:t>.</w:t>
      </w:r>
      <w:r w:rsidR="004B14EC">
        <w:rPr>
          <w:rFonts w:ascii="Calibri" w:hAnsi="Calibri" w:cs="Calibri"/>
        </w:rPr>
        <w:t xml:space="preserve"> </w:t>
      </w:r>
      <w:r w:rsidR="0092101C" w:rsidRPr="00160B33">
        <w:rPr>
          <w:rFonts w:ascii="Calibri" w:hAnsi="Calibri" w:cs="Calibri"/>
        </w:rPr>
        <w:t>Molecular and Clinical Medicine, School of Medicine, University of Dundee, DD 1 4HN</w:t>
      </w:r>
    </w:p>
    <w:p w14:paraId="6714A2A8" w14:textId="226F0394" w:rsidR="009F78DA" w:rsidRPr="009D54B5" w:rsidRDefault="009F78DA" w:rsidP="00EA16D5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lang w:eastAsia="en-GB"/>
        </w:rPr>
      </w:pPr>
      <w:r w:rsidRPr="009F78DA">
        <w:rPr>
          <w:rFonts w:eastAsia="Times New Roman" w:cstheme="minorHAnsi"/>
          <w:b/>
          <w:bCs/>
          <w:lang w:eastAsia="en-GB"/>
        </w:rPr>
        <w:t>Corresponding</w:t>
      </w:r>
      <w:r w:rsidR="00FA5849">
        <w:rPr>
          <w:rFonts w:eastAsia="Times New Roman" w:cstheme="minorHAnsi"/>
          <w:b/>
          <w:bCs/>
          <w:lang w:eastAsia="en-GB"/>
        </w:rPr>
        <w:t xml:space="preserve"> </w:t>
      </w:r>
      <w:r w:rsidRPr="009F78DA">
        <w:rPr>
          <w:rFonts w:eastAsia="Times New Roman" w:cstheme="minorHAnsi"/>
          <w:b/>
          <w:bCs/>
          <w:lang w:eastAsia="en-GB"/>
        </w:rPr>
        <w:t>author</w:t>
      </w:r>
      <w:r w:rsidRPr="009F78DA">
        <w:rPr>
          <w:rFonts w:eastAsia="Times New Roman" w:cstheme="minorHAnsi"/>
          <w:b/>
          <w:bCs/>
          <w:lang w:eastAsia="en-GB"/>
        </w:rPr>
        <w:br/>
      </w:r>
      <w:r w:rsidRPr="009F78DA">
        <w:rPr>
          <w:rFonts w:eastAsia="Times New Roman" w:cstheme="minorHAnsi"/>
          <w:lang w:eastAsia="en-GB"/>
        </w:rPr>
        <w:t>Jun Wang</w:t>
      </w:r>
      <w:r w:rsidR="008E3FC8">
        <w:rPr>
          <w:rFonts w:eastAsia="Times New Roman" w:cstheme="minorHAnsi"/>
          <w:lang w:eastAsia="en-GB"/>
        </w:rPr>
        <w:t xml:space="preserve"> PhD</w:t>
      </w:r>
      <w:r w:rsidR="009D54B5">
        <w:rPr>
          <w:rFonts w:eastAsia="Times New Roman" w:cstheme="minorHAnsi"/>
          <w:lang w:eastAsia="en-GB"/>
        </w:rPr>
        <w:t>, Barts Cancer Institute, Faculty of Medicine and Dentistry, Queen Mary University of London, Charterhouse Sq</w:t>
      </w:r>
      <w:r w:rsidR="00FF7FBD">
        <w:rPr>
          <w:rFonts w:eastAsia="Times New Roman" w:cstheme="minorHAnsi"/>
          <w:lang w:eastAsia="en-GB"/>
        </w:rPr>
        <w:t>uare</w:t>
      </w:r>
      <w:r w:rsidR="009D54B5">
        <w:rPr>
          <w:rFonts w:eastAsia="Times New Roman" w:cstheme="minorHAnsi"/>
          <w:lang w:eastAsia="en-GB"/>
        </w:rPr>
        <w:t>, London</w:t>
      </w:r>
      <w:r w:rsidR="003409AE">
        <w:rPr>
          <w:rFonts w:eastAsia="Times New Roman" w:cstheme="minorHAnsi"/>
          <w:lang w:eastAsia="en-GB"/>
        </w:rPr>
        <w:t xml:space="preserve"> EC1M 6BQ</w:t>
      </w:r>
      <w:r w:rsidR="00FE224F">
        <w:rPr>
          <w:rFonts w:eastAsia="Times New Roman" w:cstheme="minorHAnsi"/>
          <w:lang w:eastAsia="en-GB"/>
        </w:rPr>
        <w:t xml:space="preserve">. </w:t>
      </w:r>
      <w:r w:rsidR="00752E72">
        <w:rPr>
          <w:rFonts w:eastAsia="Times New Roman" w:cstheme="minorHAnsi"/>
          <w:lang w:eastAsia="en-GB"/>
        </w:rPr>
        <w:t>E-mail:</w:t>
      </w:r>
      <w:r w:rsidR="00890A35">
        <w:rPr>
          <w:rFonts w:eastAsia="Times New Roman" w:cstheme="minorHAnsi"/>
          <w:lang w:eastAsia="en-GB"/>
        </w:rPr>
        <w:t xml:space="preserve"> </w:t>
      </w:r>
      <w:hyperlink r:id="rId8" w:history="1">
        <w:r w:rsidR="00557B75" w:rsidRPr="000E4863">
          <w:rPr>
            <w:rStyle w:val="Hyperlink"/>
            <w:rFonts w:eastAsia="Times New Roman" w:cstheme="minorHAnsi"/>
            <w:lang w:eastAsia="en-GB"/>
          </w:rPr>
          <w:t>j.a.wang@qmul.ac.uk</w:t>
        </w:r>
      </w:hyperlink>
      <w:r w:rsidR="00752E72">
        <w:rPr>
          <w:rFonts w:eastAsia="Times New Roman" w:cstheme="minorHAnsi"/>
          <w:lang w:eastAsia="en-GB"/>
        </w:rPr>
        <w:t xml:space="preserve"> </w:t>
      </w:r>
    </w:p>
    <w:p w14:paraId="656265E8" w14:textId="36A41A26" w:rsidR="005C44D7" w:rsidRDefault="009F78DA" w:rsidP="00EA16D5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  <w:r w:rsidRPr="009F78DA">
        <w:rPr>
          <w:rFonts w:eastAsia="Times New Roman" w:cstheme="minorHAnsi"/>
          <w:b/>
          <w:bCs/>
          <w:lang w:eastAsia="en-GB"/>
        </w:rPr>
        <w:t>Word count</w:t>
      </w:r>
      <w:r w:rsidR="009D54B5">
        <w:rPr>
          <w:rFonts w:eastAsia="Times New Roman" w:cstheme="minorHAnsi"/>
          <w:b/>
          <w:bCs/>
          <w:lang w:eastAsia="en-GB"/>
        </w:rPr>
        <w:t xml:space="preserve">: </w:t>
      </w:r>
      <w:r w:rsidR="007609A2" w:rsidRPr="00192333">
        <w:rPr>
          <w:rFonts w:eastAsia="Times New Roman" w:cstheme="minorHAnsi"/>
          <w:b/>
          <w:bCs/>
          <w:lang w:eastAsia="en-GB"/>
        </w:rPr>
        <w:t>2,</w:t>
      </w:r>
      <w:r w:rsidR="001147B1" w:rsidRPr="00192333">
        <w:rPr>
          <w:rFonts w:eastAsia="Times New Roman" w:cstheme="minorHAnsi"/>
          <w:b/>
          <w:bCs/>
          <w:lang w:eastAsia="en-GB"/>
        </w:rPr>
        <w:t>4</w:t>
      </w:r>
      <w:r w:rsidR="00B73F41" w:rsidRPr="00192333">
        <w:rPr>
          <w:rFonts w:eastAsia="Times New Roman" w:cstheme="minorHAnsi"/>
          <w:b/>
          <w:bCs/>
          <w:lang w:eastAsia="en-GB"/>
        </w:rPr>
        <w:t>87</w:t>
      </w:r>
    </w:p>
    <w:p w14:paraId="49D2DC0E" w14:textId="132718BE" w:rsidR="00BF3E95" w:rsidRDefault="009D54B5" w:rsidP="00EA16D5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Number of references</w:t>
      </w:r>
      <w:r w:rsidR="00BE56FD">
        <w:rPr>
          <w:rFonts w:eastAsia="Times New Roman" w:cstheme="minorHAnsi"/>
          <w:b/>
          <w:bCs/>
          <w:lang w:eastAsia="en-GB"/>
        </w:rPr>
        <w:t>:</w:t>
      </w:r>
      <w:r w:rsidR="00E37C12">
        <w:rPr>
          <w:rFonts w:eastAsia="Times New Roman" w:cstheme="minorHAnsi"/>
          <w:b/>
          <w:bCs/>
          <w:lang w:eastAsia="en-GB"/>
        </w:rPr>
        <w:t xml:space="preserve"> 3</w:t>
      </w:r>
      <w:r w:rsidR="00A934D6">
        <w:rPr>
          <w:rFonts w:eastAsia="Times New Roman" w:cstheme="minorHAnsi"/>
          <w:b/>
          <w:bCs/>
          <w:lang w:eastAsia="en-GB"/>
        </w:rPr>
        <w:t>6</w:t>
      </w:r>
    </w:p>
    <w:p w14:paraId="1895F660" w14:textId="57651891" w:rsidR="0004532C" w:rsidRDefault="0004532C" w:rsidP="0004532C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Number of Figures: 3; Number of Tables: 2</w:t>
      </w:r>
    </w:p>
    <w:p w14:paraId="2C5E61F6" w14:textId="2AABF597" w:rsidR="007D3635" w:rsidRPr="009D54B5" w:rsidRDefault="007D3635" w:rsidP="0004532C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  <w:r w:rsidRPr="00BA45A6">
        <w:rPr>
          <w:rFonts w:ascii="Arial" w:hAnsi="Arial" w:cs="Arial"/>
          <w:b/>
          <w:bCs/>
          <w:color w:val="323130"/>
          <w:sz w:val="21"/>
          <w:szCs w:val="21"/>
          <w:shd w:val="clear" w:color="auto" w:fill="FFFFFF"/>
        </w:rPr>
        <w:t>Supplemental Material</w:t>
      </w:r>
      <w:r w:rsidR="00512A7A" w:rsidRPr="00BA45A6">
        <w:rPr>
          <w:rFonts w:ascii="Arial" w:hAnsi="Arial" w:cs="Arial"/>
          <w:b/>
          <w:bCs/>
          <w:color w:val="323130"/>
          <w:sz w:val="21"/>
          <w:szCs w:val="21"/>
          <w:shd w:val="clear" w:color="auto" w:fill="FFFFFF"/>
        </w:rPr>
        <w:t>:</w:t>
      </w:r>
      <w:r w:rsidR="00512A7A">
        <w:rPr>
          <w:rFonts w:ascii="Arial" w:hAnsi="Arial" w:cs="Arial"/>
          <w:color w:val="323130"/>
          <w:sz w:val="21"/>
          <w:szCs w:val="21"/>
          <w:shd w:val="clear" w:color="auto" w:fill="FFFFFF"/>
        </w:rPr>
        <w:t xml:space="preserve"> </w:t>
      </w:r>
      <w:hyperlink r:id="rId9" w:history="1">
        <w:r w:rsidR="00114F46" w:rsidRPr="00E0404D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https://data.mendeley.com/datasets/z77kdgddm9/1</w:t>
        </w:r>
      </w:hyperlink>
    </w:p>
    <w:p w14:paraId="09A6E2CD" w14:textId="3402C641" w:rsidR="009F78DA" w:rsidRPr="00A46B44" w:rsidRDefault="009F78DA" w:rsidP="00EA16D5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A46B44">
        <w:rPr>
          <w:rFonts w:ascii="Calibri" w:eastAsia="Times New Roman" w:hAnsi="Calibri" w:cs="Calibri"/>
          <w:b/>
          <w:bCs/>
          <w:lang w:eastAsia="en-GB"/>
        </w:rPr>
        <w:t xml:space="preserve">Funding source: </w:t>
      </w:r>
      <w:r w:rsidRPr="00A46B44">
        <w:rPr>
          <w:rFonts w:ascii="Calibri" w:eastAsia="Times New Roman" w:hAnsi="Calibri" w:cs="Calibri"/>
          <w:lang w:eastAsia="en-GB"/>
        </w:rPr>
        <w:t>The research was funded by Sanofi-Regeneron as an investigator support award to IML with co</w:t>
      </w:r>
      <w:r w:rsidR="00CA6753">
        <w:rPr>
          <w:rFonts w:ascii="Calibri" w:eastAsia="Times New Roman" w:hAnsi="Calibri" w:cs="Calibri"/>
          <w:lang w:eastAsia="en-GB"/>
        </w:rPr>
        <w:t>-</w:t>
      </w:r>
      <w:r w:rsidRPr="00A46B44">
        <w:rPr>
          <w:rFonts w:ascii="Calibri" w:eastAsia="Times New Roman" w:hAnsi="Calibri" w:cs="Calibri"/>
          <w:lang w:eastAsia="en-GB"/>
        </w:rPr>
        <w:t>investigators JW and GJI</w:t>
      </w:r>
    </w:p>
    <w:p w14:paraId="3CD27CC2" w14:textId="139881C3" w:rsidR="00E03AE4" w:rsidRPr="00FC450C" w:rsidRDefault="00E03AE4" w:rsidP="00EA16D5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highlight w:val="yellow"/>
          <w:lang w:val="en-US" w:eastAsia="en-GB"/>
        </w:rPr>
      </w:pPr>
      <w:r w:rsidRPr="00E03AE4">
        <w:rPr>
          <w:rFonts w:ascii="Calibri" w:eastAsia="Times New Roman" w:hAnsi="Calibri" w:cs="Calibri"/>
          <w:b/>
          <w:bCs/>
          <w:lang w:eastAsia="en-GB"/>
        </w:rPr>
        <w:lastRenderedPageBreak/>
        <w:t>Disclosure:</w:t>
      </w:r>
      <w:r w:rsidR="00820751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="00E45064" w:rsidRPr="003D1C0B">
        <w:rPr>
          <w:rFonts w:ascii="Calibri" w:eastAsia="Times New Roman" w:hAnsi="Calibri" w:cs="Calibri"/>
          <w:lang w:val="en-US" w:eastAsia="en-GB"/>
        </w:rPr>
        <w:t xml:space="preserve">Dr Harwood </w:t>
      </w:r>
      <w:r w:rsidR="005C6023" w:rsidRPr="003D1C0B">
        <w:rPr>
          <w:rFonts w:ascii="Calibri" w:eastAsia="Times New Roman" w:hAnsi="Calibri" w:cs="Calibri"/>
          <w:lang w:val="en-US" w:eastAsia="en-GB"/>
        </w:rPr>
        <w:t>is</w:t>
      </w:r>
      <w:r w:rsidR="003C12AF" w:rsidRPr="003D1C0B">
        <w:rPr>
          <w:rFonts w:ascii="Calibri" w:eastAsia="Times New Roman" w:hAnsi="Calibri" w:cs="Calibri"/>
          <w:lang w:val="en-US" w:eastAsia="en-GB"/>
        </w:rPr>
        <w:t xml:space="preserve"> </w:t>
      </w:r>
      <w:r w:rsidR="005C6023" w:rsidRPr="003D1C0B">
        <w:rPr>
          <w:rFonts w:ascii="Calibri" w:eastAsia="Times New Roman" w:hAnsi="Calibri" w:cs="Calibri"/>
          <w:lang w:val="en-US" w:eastAsia="en-GB"/>
        </w:rPr>
        <w:t>h</w:t>
      </w:r>
      <w:r w:rsidR="003C12AF" w:rsidRPr="003D1C0B">
        <w:rPr>
          <w:rFonts w:ascii="Calibri" w:eastAsia="Times New Roman" w:hAnsi="Calibri" w:cs="Calibri"/>
          <w:lang w:val="en-US" w:eastAsia="en-GB"/>
        </w:rPr>
        <w:t xml:space="preserve">onoraria for advisory boards from Sanofi/Regeneron, </w:t>
      </w:r>
      <w:proofErr w:type="spellStart"/>
      <w:r w:rsidR="003C12AF" w:rsidRPr="003D1C0B">
        <w:rPr>
          <w:rFonts w:ascii="Calibri" w:eastAsia="Times New Roman" w:hAnsi="Calibri" w:cs="Calibri"/>
          <w:lang w:val="en-US" w:eastAsia="en-GB"/>
        </w:rPr>
        <w:t>Almirall</w:t>
      </w:r>
      <w:proofErr w:type="spellEnd"/>
      <w:r w:rsidR="003C12AF" w:rsidRPr="003D1C0B">
        <w:rPr>
          <w:rFonts w:ascii="Calibri" w:eastAsia="Times New Roman" w:hAnsi="Calibri" w:cs="Calibri"/>
          <w:lang w:val="en-US" w:eastAsia="en-GB"/>
        </w:rPr>
        <w:t xml:space="preserve">, </w:t>
      </w:r>
      <w:proofErr w:type="spellStart"/>
      <w:r w:rsidR="003C12AF" w:rsidRPr="003D1C0B">
        <w:rPr>
          <w:rFonts w:ascii="Calibri" w:eastAsia="Times New Roman" w:hAnsi="Calibri" w:cs="Calibri"/>
          <w:lang w:val="en-US" w:eastAsia="en-GB"/>
        </w:rPr>
        <w:t>AmLo</w:t>
      </w:r>
      <w:proofErr w:type="spellEnd"/>
      <w:r w:rsidR="003C12AF" w:rsidRPr="003D1C0B">
        <w:rPr>
          <w:rFonts w:ascii="Calibri" w:eastAsia="Times New Roman" w:hAnsi="Calibri" w:cs="Calibri"/>
          <w:lang w:val="en-US" w:eastAsia="en-GB"/>
        </w:rPr>
        <w:t xml:space="preserve"> Biosciences, </w:t>
      </w:r>
      <w:proofErr w:type="spellStart"/>
      <w:r w:rsidR="003C12AF" w:rsidRPr="003D1C0B">
        <w:rPr>
          <w:rFonts w:ascii="Calibri" w:eastAsia="Times New Roman" w:hAnsi="Calibri" w:cs="Calibri"/>
          <w:lang w:val="en-US" w:eastAsia="en-GB"/>
        </w:rPr>
        <w:t>Incanthera</w:t>
      </w:r>
      <w:proofErr w:type="spellEnd"/>
      <w:r w:rsidR="003C12AF" w:rsidRPr="003D1C0B">
        <w:rPr>
          <w:rFonts w:ascii="Calibri" w:eastAsia="Times New Roman" w:hAnsi="Calibri" w:cs="Calibri"/>
          <w:lang w:val="en-US" w:eastAsia="en-GB"/>
        </w:rPr>
        <w:t xml:space="preserve">, Leo Pharma, </w:t>
      </w:r>
      <w:proofErr w:type="spellStart"/>
      <w:r w:rsidR="003C12AF" w:rsidRPr="003D1C0B">
        <w:rPr>
          <w:rFonts w:ascii="Calibri" w:eastAsia="Times New Roman" w:hAnsi="Calibri" w:cs="Calibri"/>
          <w:lang w:val="en-US" w:eastAsia="en-GB"/>
        </w:rPr>
        <w:t>L’Oreal</w:t>
      </w:r>
      <w:proofErr w:type="spellEnd"/>
      <w:r w:rsidR="00704D46">
        <w:rPr>
          <w:rFonts w:ascii="Calibri" w:eastAsia="Times New Roman" w:hAnsi="Calibri" w:cs="Calibri"/>
          <w:lang w:val="en-US" w:eastAsia="en-GB"/>
        </w:rPr>
        <w:t>.</w:t>
      </w:r>
      <w:r w:rsidR="00BB69D1">
        <w:rPr>
          <w:rFonts w:ascii="Calibri" w:eastAsia="Times New Roman" w:hAnsi="Calibri" w:cs="Calibri"/>
          <w:lang w:val="en-US" w:eastAsia="en-GB"/>
        </w:rPr>
        <w:t xml:space="preserve"> </w:t>
      </w:r>
      <w:r w:rsidR="00BB69D1" w:rsidRPr="00192333">
        <w:rPr>
          <w:rFonts w:ascii="Calibri" w:eastAsia="Times New Roman" w:hAnsi="Calibri" w:cs="Calibri"/>
          <w:lang w:val="en-US" w:eastAsia="en-GB"/>
        </w:rPr>
        <w:t xml:space="preserve">Other authors </w:t>
      </w:r>
      <w:r w:rsidR="00180B2F" w:rsidRPr="00192333">
        <w:rPr>
          <w:rFonts w:ascii="Calibri" w:eastAsia="Times New Roman" w:hAnsi="Calibri" w:cs="Calibri"/>
          <w:lang w:val="en-US" w:eastAsia="en-GB"/>
        </w:rPr>
        <w:t>have no disclosures.</w:t>
      </w:r>
    </w:p>
    <w:p w14:paraId="424F49EA" w14:textId="67AF5D01" w:rsidR="009F78DA" w:rsidRPr="00A46B44" w:rsidRDefault="009F78DA" w:rsidP="00EA16D5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A46B44">
        <w:rPr>
          <w:rFonts w:ascii="Calibri" w:eastAsia="Times New Roman" w:hAnsi="Calibri" w:cs="Calibri"/>
          <w:b/>
          <w:bCs/>
          <w:lang w:eastAsia="en-GB"/>
        </w:rPr>
        <w:t>Patient consent</w:t>
      </w:r>
      <w:r w:rsidR="00A25C8F" w:rsidRPr="00A46B44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A46B44">
        <w:rPr>
          <w:rFonts w:ascii="Calibri" w:eastAsia="Times New Roman" w:hAnsi="Calibri" w:cs="Calibri"/>
          <w:lang w:eastAsia="en-GB"/>
        </w:rPr>
        <w:t>Not applicable</w:t>
      </w:r>
    </w:p>
    <w:p w14:paraId="426ED6D0" w14:textId="67CF6C17" w:rsidR="009F78DA" w:rsidRDefault="00C63D20" w:rsidP="00EA16D5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ABSTRACT</w:t>
      </w:r>
    </w:p>
    <w:p w14:paraId="0B4D9E38" w14:textId="16063285" w:rsidR="00D33A19" w:rsidRPr="00AC2D44" w:rsidRDefault="00923C4E" w:rsidP="00090916">
      <w:pPr>
        <w:spacing w:line="276" w:lineRule="auto"/>
        <w:jc w:val="both"/>
        <w:rPr>
          <w:rFonts w:cstheme="minorHAnsi"/>
        </w:rPr>
      </w:pPr>
      <w:r w:rsidRPr="001D6CB5">
        <w:rPr>
          <w:rFonts w:cstheme="minorHAnsi"/>
          <w:b/>
          <w:bCs/>
          <w:i/>
          <w:iCs/>
        </w:rPr>
        <w:t>Background:</w:t>
      </w:r>
      <w:r w:rsidRPr="00923C4E">
        <w:rPr>
          <w:rFonts w:cstheme="minorHAnsi"/>
          <w:b/>
          <w:bCs/>
        </w:rPr>
        <w:t xml:space="preserve"> </w:t>
      </w:r>
      <w:r w:rsidR="007F3F95">
        <w:rPr>
          <w:rFonts w:cstheme="minorHAnsi"/>
        </w:rPr>
        <w:t>M</w:t>
      </w:r>
      <w:r w:rsidR="00741B76">
        <w:rPr>
          <w:rFonts w:cstheme="minorHAnsi"/>
        </w:rPr>
        <w:t xml:space="preserve">etastasis of </w:t>
      </w:r>
      <w:r w:rsidR="00E74986">
        <w:rPr>
          <w:rFonts w:cstheme="minorHAnsi"/>
        </w:rPr>
        <w:t xml:space="preserve">cutaneous </w:t>
      </w:r>
      <w:r w:rsidR="00755BFD">
        <w:rPr>
          <w:rFonts w:cstheme="minorHAnsi"/>
        </w:rPr>
        <w:t>squamous cell carcinoma</w:t>
      </w:r>
      <w:r w:rsidR="00AD3658">
        <w:rPr>
          <w:rFonts w:cstheme="minorHAnsi"/>
        </w:rPr>
        <w:t xml:space="preserve"> </w:t>
      </w:r>
      <w:r w:rsidR="00755BFD">
        <w:rPr>
          <w:rFonts w:cstheme="minorHAnsi"/>
        </w:rPr>
        <w:t>(</w:t>
      </w:r>
      <w:proofErr w:type="spellStart"/>
      <w:r w:rsidR="00755BFD">
        <w:rPr>
          <w:rFonts w:cstheme="minorHAnsi"/>
        </w:rPr>
        <w:t>cSCC</w:t>
      </w:r>
      <w:proofErr w:type="spellEnd"/>
      <w:r w:rsidR="00755BFD">
        <w:rPr>
          <w:rFonts w:cstheme="minorHAnsi"/>
        </w:rPr>
        <w:t>)</w:t>
      </w:r>
      <w:r w:rsidR="007F3F95">
        <w:rPr>
          <w:rFonts w:cstheme="minorHAnsi"/>
        </w:rPr>
        <w:t xml:space="preserve"> is uncommon</w:t>
      </w:r>
      <w:r w:rsidR="00755BFD">
        <w:rPr>
          <w:rFonts w:cstheme="minorHAnsi"/>
        </w:rPr>
        <w:t>.</w:t>
      </w:r>
      <w:r w:rsidR="00CD70A4">
        <w:rPr>
          <w:rFonts w:cstheme="minorHAnsi"/>
        </w:rPr>
        <w:t xml:space="preserve"> </w:t>
      </w:r>
      <w:r w:rsidR="00AD3658" w:rsidRPr="00AC2D44">
        <w:rPr>
          <w:rFonts w:cstheme="minorHAnsi"/>
        </w:rPr>
        <w:t xml:space="preserve">Current </w:t>
      </w:r>
      <w:r w:rsidR="00AD3658">
        <w:rPr>
          <w:rFonts w:cstheme="minorHAnsi"/>
        </w:rPr>
        <w:t xml:space="preserve">staging methods are reported to have sub-optimal performances in metastasis prediction. </w:t>
      </w:r>
      <w:r w:rsidR="00AD3658">
        <w:t xml:space="preserve"> </w:t>
      </w:r>
      <w:r w:rsidR="00AD3658">
        <w:rPr>
          <w:rFonts w:cstheme="minorHAnsi"/>
        </w:rPr>
        <w:t>A</w:t>
      </w:r>
      <w:r w:rsidR="007F3F95">
        <w:rPr>
          <w:rFonts w:cstheme="minorHAnsi"/>
        </w:rPr>
        <w:t>ccurate identification of patients with tum</w:t>
      </w:r>
      <w:r w:rsidR="008F2AD3">
        <w:rPr>
          <w:rFonts w:cstheme="minorHAnsi"/>
        </w:rPr>
        <w:t>ou</w:t>
      </w:r>
      <w:r w:rsidR="007F3F95">
        <w:rPr>
          <w:rFonts w:cstheme="minorHAnsi"/>
        </w:rPr>
        <w:t xml:space="preserve">rs at high risk of metastasis would have a significant impact on management. </w:t>
      </w:r>
    </w:p>
    <w:p w14:paraId="110C1271" w14:textId="6C0DF010" w:rsidR="00770929" w:rsidRPr="00072C6D" w:rsidRDefault="00923C4E" w:rsidP="00090916">
      <w:pPr>
        <w:spacing w:line="276" w:lineRule="auto"/>
        <w:jc w:val="both"/>
        <w:rPr>
          <w:rFonts w:cstheme="minorHAnsi"/>
        </w:rPr>
      </w:pPr>
      <w:r w:rsidRPr="00397219">
        <w:rPr>
          <w:rFonts w:cstheme="minorHAnsi"/>
          <w:b/>
          <w:bCs/>
          <w:i/>
          <w:iCs/>
        </w:rPr>
        <w:t>Objective:</w:t>
      </w:r>
      <w:r w:rsidRPr="00923C4E">
        <w:rPr>
          <w:rFonts w:cstheme="minorHAnsi"/>
          <w:b/>
          <w:bCs/>
        </w:rPr>
        <w:t xml:space="preserve"> </w:t>
      </w:r>
      <w:r w:rsidR="00072C6D" w:rsidRPr="00072C6D">
        <w:rPr>
          <w:rFonts w:cstheme="minorHAnsi"/>
        </w:rPr>
        <w:t>To</w:t>
      </w:r>
      <w:r w:rsidR="00072C6D">
        <w:rPr>
          <w:rFonts w:cstheme="minorHAnsi"/>
        </w:rPr>
        <w:t xml:space="preserve"> develop </w:t>
      </w:r>
      <w:r w:rsidR="00426E60">
        <w:rPr>
          <w:rFonts w:cstheme="minorHAnsi"/>
        </w:rPr>
        <w:t xml:space="preserve">a robust and validated </w:t>
      </w:r>
      <w:r w:rsidR="004B35AD">
        <w:rPr>
          <w:rFonts w:cstheme="minorHAnsi"/>
        </w:rPr>
        <w:t xml:space="preserve">gene expression profile (GEP) signature </w:t>
      </w:r>
      <w:r w:rsidR="00A854D1">
        <w:rPr>
          <w:rFonts w:cstheme="minorHAnsi"/>
        </w:rPr>
        <w:t xml:space="preserve">for predicting </w:t>
      </w:r>
      <w:r w:rsidR="00524B56">
        <w:rPr>
          <w:rFonts w:cstheme="minorHAnsi"/>
        </w:rPr>
        <w:t xml:space="preserve">primary </w:t>
      </w:r>
      <w:proofErr w:type="spellStart"/>
      <w:r w:rsidR="00524B56">
        <w:rPr>
          <w:rFonts w:cstheme="minorHAnsi"/>
        </w:rPr>
        <w:t>cSCC</w:t>
      </w:r>
      <w:proofErr w:type="spellEnd"/>
      <w:r w:rsidR="00524B56">
        <w:rPr>
          <w:rFonts w:cstheme="minorHAnsi"/>
        </w:rPr>
        <w:t xml:space="preserve"> </w:t>
      </w:r>
      <w:r w:rsidR="003201B7">
        <w:rPr>
          <w:rFonts w:cstheme="minorHAnsi"/>
        </w:rPr>
        <w:t>metastatic risk</w:t>
      </w:r>
      <w:r w:rsidR="00251B43">
        <w:rPr>
          <w:rFonts w:cstheme="minorHAnsi"/>
        </w:rPr>
        <w:t xml:space="preserve"> </w:t>
      </w:r>
      <w:r w:rsidR="008F2AD3">
        <w:t>using</w:t>
      </w:r>
      <w:r w:rsidR="00FE7AF3">
        <w:t xml:space="preserve"> an</w:t>
      </w:r>
      <w:r w:rsidR="008F2AD3">
        <w:t xml:space="preserve"> unbiased </w:t>
      </w:r>
      <w:r w:rsidR="008F2AD3">
        <w:rPr>
          <w:rFonts w:cstheme="minorHAnsi"/>
        </w:rPr>
        <w:t xml:space="preserve">whole transcriptome </w:t>
      </w:r>
      <w:r w:rsidR="008F2AD3">
        <w:t>discovery-driven approach</w:t>
      </w:r>
      <w:r w:rsidR="00831911">
        <w:rPr>
          <w:rFonts w:cstheme="minorHAnsi"/>
        </w:rPr>
        <w:t>.</w:t>
      </w:r>
    </w:p>
    <w:p w14:paraId="6F0C0845" w14:textId="6E151D73" w:rsidR="0065371B" w:rsidRPr="0065371B" w:rsidRDefault="00923C4E" w:rsidP="0065371B">
      <w:pPr>
        <w:spacing w:line="276" w:lineRule="auto"/>
        <w:jc w:val="both"/>
        <w:rPr>
          <w:rFonts w:cstheme="minorHAnsi"/>
          <w:b/>
          <w:bCs/>
        </w:rPr>
      </w:pPr>
      <w:r w:rsidRPr="00397219">
        <w:rPr>
          <w:rFonts w:cstheme="minorHAnsi"/>
          <w:b/>
          <w:bCs/>
          <w:i/>
          <w:iCs/>
        </w:rPr>
        <w:t>Methods:</w:t>
      </w:r>
      <w:r w:rsidRPr="00923C4E">
        <w:rPr>
          <w:rFonts w:cstheme="minorHAnsi"/>
          <w:b/>
          <w:bCs/>
        </w:rPr>
        <w:t xml:space="preserve"> </w:t>
      </w:r>
      <w:r w:rsidR="0065371B" w:rsidRPr="00473DEA">
        <w:rPr>
          <w:rFonts w:cstheme="minorHAnsi"/>
        </w:rPr>
        <w:t xml:space="preserve">Archival formalin-fixed paraffin-embedded primary </w:t>
      </w:r>
      <w:proofErr w:type="spellStart"/>
      <w:r w:rsidR="0065371B" w:rsidRPr="00473DEA">
        <w:rPr>
          <w:rFonts w:cstheme="minorHAnsi"/>
        </w:rPr>
        <w:t>cSCC</w:t>
      </w:r>
      <w:proofErr w:type="spellEnd"/>
      <w:r w:rsidR="0065371B" w:rsidRPr="00473DEA">
        <w:rPr>
          <w:rFonts w:cstheme="minorHAnsi"/>
        </w:rPr>
        <w:t xml:space="preserve"> </w:t>
      </w:r>
      <w:r w:rsidR="0043074C">
        <w:rPr>
          <w:rFonts w:cstheme="minorHAnsi"/>
        </w:rPr>
        <w:t>with perilesional</w:t>
      </w:r>
      <w:r w:rsidR="00847E06">
        <w:rPr>
          <w:rFonts w:cstheme="minorHAnsi"/>
        </w:rPr>
        <w:t xml:space="preserve"> normal </w:t>
      </w:r>
      <w:r w:rsidR="0065371B" w:rsidRPr="00473DEA">
        <w:rPr>
          <w:rFonts w:cstheme="minorHAnsi"/>
        </w:rPr>
        <w:t xml:space="preserve">tissue </w:t>
      </w:r>
      <w:r w:rsidR="0043074C">
        <w:rPr>
          <w:rFonts w:cstheme="minorHAnsi"/>
        </w:rPr>
        <w:t>from 237 immunocompetent patients (15</w:t>
      </w:r>
      <w:r w:rsidR="00C173B4">
        <w:rPr>
          <w:rFonts w:cstheme="minorHAnsi"/>
        </w:rPr>
        <w:t>1</w:t>
      </w:r>
      <w:r w:rsidR="0043074C">
        <w:rPr>
          <w:rFonts w:cstheme="minorHAnsi"/>
        </w:rPr>
        <w:t xml:space="preserve"> non-metastasising and 86 metastasising) </w:t>
      </w:r>
      <w:r w:rsidR="0081357F">
        <w:rPr>
          <w:rFonts w:cstheme="minorHAnsi"/>
        </w:rPr>
        <w:t xml:space="preserve">were collected </w:t>
      </w:r>
      <w:r w:rsidR="006534DF">
        <w:rPr>
          <w:rFonts w:cstheme="minorHAnsi"/>
        </w:rPr>
        <w:t xml:space="preserve">retrospectively </w:t>
      </w:r>
      <w:r w:rsidR="0081357F">
        <w:rPr>
          <w:rFonts w:cstheme="minorHAnsi"/>
        </w:rPr>
        <w:t xml:space="preserve">from </w:t>
      </w:r>
      <w:r w:rsidR="006534DF">
        <w:rPr>
          <w:rFonts w:cstheme="minorHAnsi"/>
        </w:rPr>
        <w:t>four centres</w:t>
      </w:r>
      <w:r w:rsidR="0043074C">
        <w:rPr>
          <w:rFonts w:cstheme="minorHAnsi"/>
        </w:rPr>
        <w:t xml:space="preserve">. </w:t>
      </w:r>
      <w:proofErr w:type="spellStart"/>
      <w:r w:rsidR="00B50843">
        <w:rPr>
          <w:rFonts w:cstheme="minorHAnsi"/>
        </w:rPr>
        <w:t>TempO-seq</w:t>
      </w:r>
      <w:proofErr w:type="spellEnd"/>
      <w:r w:rsidR="0043074C">
        <w:rPr>
          <w:rFonts w:cstheme="minorHAnsi"/>
        </w:rPr>
        <w:t xml:space="preserve"> was used </w:t>
      </w:r>
      <w:r w:rsidR="00B50843">
        <w:rPr>
          <w:rFonts w:cstheme="minorHAnsi"/>
        </w:rPr>
        <w:t>to probe the whole transcriptome</w:t>
      </w:r>
      <w:r w:rsidR="0043074C">
        <w:rPr>
          <w:rFonts w:cstheme="minorHAnsi"/>
        </w:rPr>
        <w:t xml:space="preserve"> and</w:t>
      </w:r>
      <w:r w:rsidR="00B50843">
        <w:rPr>
          <w:rFonts w:cstheme="minorHAnsi"/>
        </w:rPr>
        <w:t xml:space="preserve"> </w:t>
      </w:r>
      <w:r w:rsidR="0043074C">
        <w:rPr>
          <w:rFonts w:cstheme="minorHAnsi"/>
        </w:rPr>
        <w:t>m</w:t>
      </w:r>
      <w:r w:rsidR="00E41454">
        <w:rPr>
          <w:rFonts w:cstheme="minorHAnsi"/>
        </w:rPr>
        <w:t xml:space="preserve">achine learning </w:t>
      </w:r>
      <w:r w:rsidR="000F342D">
        <w:rPr>
          <w:rFonts w:cstheme="minorHAnsi"/>
        </w:rPr>
        <w:t xml:space="preserve">algorithms </w:t>
      </w:r>
      <w:r w:rsidR="00510C8F">
        <w:rPr>
          <w:rFonts w:cstheme="minorHAnsi"/>
        </w:rPr>
        <w:t xml:space="preserve">were applied to </w:t>
      </w:r>
      <w:r w:rsidR="00BB5EF5">
        <w:rPr>
          <w:rFonts w:cstheme="minorHAnsi"/>
        </w:rPr>
        <w:t xml:space="preserve">derive </w:t>
      </w:r>
      <w:r w:rsidR="001225A5">
        <w:rPr>
          <w:rFonts w:cstheme="minorHAnsi"/>
        </w:rPr>
        <w:t>predictive</w:t>
      </w:r>
      <w:r w:rsidR="004C2AD6">
        <w:rPr>
          <w:rFonts w:cstheme="minorHAnsi"/>
        </w:rPr>
        <w:t xml:space="preserve"> signatures</w:t>
      </w:r>
      <w:r w:rsidR="005F3565">
        <w:rPr>
          <w:rFonts w:cstheme="minorHAnsi"/>
        </w:rPr>
        <w:t xml:space="preserve">, with </w:t>
      </w:r>
      <w:r w:rsidR="00AD60A7">
        <w:rPr>
          <w:rFonts w:cstheme="minorHAnsi"/>
        </w:rPr>
        <w:t xml:space="preserve">a </w:t>
      </w:r>
      <w:r w:rsidR="00BF5C41">
        <w:rPr>
          <w:rFonts w:cstheme="minorHAnsi"/>
        </w:rPr>
        <w:t>3:1</w:t>
      </w:r>
      <w:r w:rsidR="002000B9">
        <w:rPr>
          <w:rFonts w:cstheme="minorHAnsi"/>
        </w:rPr>
        <w:t xml:space="preserve"> </w:t>
      </w:r>
      <w:r w:rsidR="007C0B0A">
        <w:rPr>
          <w:rFonts w:cstheme="minorHAnsi"/>
        </w:rPr>
        <w:t>split for training and testing datasets.</w:t>
      </w:r>
      <w:r w:rsidR="0043074C">
        <w:rPr>
          <w:rFonts w:cstheme="minorHAnsi"/>
        </w:rPr>
        <w:t xml:space="preserve"> </w:t>
      </w:r>
    </w:p>
    <w:p w14:paraId="098A926E" w14:textId="58E88784" w:rsidR="00923C4E" w:rsidRPr="00C979E8" w:rsidRDefault="00923C4E" w:rsidP="00090916">
      <w:pPr>
        <w:spacing w:line="276" w:lineRule="auto"/>
        <w:jc w:val="both"/>
        <w:rPr>
          <w:rFonts w:cstheme="minorHAnsi"/>
        </w:rPr>
      </w:pPr>
      <w:r w:rsidRPr="00E70DEF">
        <w:rPr>
          <w:rFonts w:cstheme="minorHAnsi"/>
          <w:b/>
          <w:bCs/>
          <w:i/>
          <w:iCs/>
        </w:rPr>
        <w:t>Results:</w:t>
      </w:r>
      <w:r w:rsidR="0043074C" w:rsidRPr="0043074C">
        <w:rPr>
          <w:rFonts w:cstheme="minorHAnsi"/>
        </w:rPr>
        <w:t xml:space="preserve"> </w:t>
      </w:r>
      <w:r w:rsidR="00C979E8">
        <w:rPr>
          <w:rFonts w:cstheme="minorHAnsi"/>
        </w:rPr>
        <w:t xml:space="preserve">A </w:t>
      </w:r>
      <w:r w:rsidR="00802A54" w:rsidRPr="002D6F8F">
        <w:rPr>
          <w:rFonts w:cstheme="minorHAnsi"/>
        </w:rPr>
        <w:t>20</w:t>
      </w:r>
      <w:r w:rsidR="00C979E8" w:rsidRPr="002D6F8F">
        <w:rPr>
          <w:rFonts w:cstheme="minorHAnsi"/>
        </w:rPr>
        <w:t>-</w:t>
      </w:r>
      <w:r w:rsidR="00C979E8">
        <w:rPr>
          <w:rFonts w:cstheme="minorHAnsi"/>
        </w:rPr>
        <w:t xml:space="preserve">gene </w:t>
      </w:r>
      <w:r w:rsidR="004948D8">
        <w:rPr>
          <w:rFonts w:cstheme="minorHAnsi"/>
        </w:rPr>
        <w:t xml:space="preserve">prognostic </w:t>
      </w:r>
      <w:r w:rsidR="00931DF4">
        <w:rPr>
          <w:rFonts w:cstheme="minorHAnsi"/>
        </w:rPr>
        <w:t>mod</w:t>
      </w:r>
      <w:r w:rsidR="00F14A55">
        <w:rPr>
          <w:rFonts w:cstheme="minorHAnsi"/>
        </w:rPr>
        <w:t>el</w:t>
      </w:r>
      <w:r w:rsidR="00CC21E2">
        <w:rPr>
          <w:rFonts w:cstheme="minorHAnsi"/>
        </w:rPr>
        <w:t xml:space="preserve"> was developed</w:t>
      </w:r>
      <w:r w:rsidR="0088241C">
        <w:rPr>
          <w:rFonts w:cstheme="minorHAnsi"/>
        </w:rPr>
        <w:t xml:space="preserve"> and validated, with an accuracy of </w:t>
      </w:r>
      <w:r w:rsidR="00D35DF2">
        <w:rPr>
          <w:rFonts w:cstheme="minorHAnsi"/>
        </w:rPr>
        <w:t>8</w:t>
      </w:r>
      <w:r w:rsidR="008C0F32">
        <w:rPr>
          <w:rFonts w:cstheme="minorHAnsi"/>
        </w:rPr>
        <w:t>6.0</w:t>
      </w:r>
      <w:r w:rsidR="00D35DF2">
        <w:rPr>
          <w:rFonts w:cstheme="minorHAnsi"/>
        </w:rPr>
        <w:t>%</w:t>
      </w:r>
      <w:r w:rsidR="00691082">
        <w:rPr>
          <w:rFonts w:cstheme="minorHAnsi"/>
        </w:rPr>
        <w:t xml:space="preserve">, </w:t>
      </w:r>
      <w:r w:rsidR="00F70CB5">
        <w:rPr>
          <w:rFonts w:cstheme="minorHAnsi"/>
        </w:rPr>
        <w:t>sensitivity of</w:t>
      </w:r>
      <w:r w:rsidR="008C7077">
        <w:rPr>
          <w:rFonts w:cstheme="minorHAnsi"/>
        </w:rPr>
        <w:t xml:space="preserve"> </w:t>
      </w:r>
      <w:r w:rsidR="002342EA">
        <w:rPr>
          <w:rFonts w:cstheme="minorHAnsi"/>
        </w:rPr>
        <w:t>85</w:t>
      </w:r>
      <w:r w:rsidR="00C522C7">
        <w:rPr>
          <w:rFonts w:cstheme="minorHAnsi"/>
        </w:rPr>
        <w:t>.</w:t>
      </w:r>
      <w:r w:rsidR="002342EA">
        <w:rPr>
          <w:rFonts w:cstheme="minorHAnsi"/>
        </w:rPr>
        <w:t>7</w:t>
      </w:r>
      <w:r w:rsidR="00C522C7">
        <w:rPr>
          <w:rFonts w:cstheme="minorHAnsi"/>
        </w:rPr>
        <w:t>%</w:t>
      </w:r>
      <w:r w:rsidR="00F70CB5">
        <w:rPr>
          <w:rFonts w:cstheme="minorHAnsi"/>
        </w:rPr>
        <w:t>, specificity of</w:t>
      </w:r>
      <w:r w:rsidR="00CD09FE">
        <w:rPr>
          <w:rFonts w:cstheme="minorHAnsi"/>
        </w:rPr>
        <w:t xml:space="preserve"> </w:t>
      </w:r>
      <w:r w:rsidR="00BD79CE">
        <w:rPr>
          <w:rFonts w:cstheme="minorHAnsi"/>
        </w:rPr>
        <w:t>86.1</w:t>
      </w:r>
      <w:r w:rsidR="00CD09FE">
        <w:rPr>
          <w:rFonts w:cstheme="minorHAnsi"/>
        </w:rPr>
        <w:t>%</w:t>
      </w:r>
      <w:r w:rsidR="00C766F2">
        <w:rPr>
          <w:rFonts w:cstheme="minorHAnsi"/>
        </w:rPr>
        <w:t>,</w:t>
      </w:r>
      <w:r w:rsidR="00F70CB5">
        <w:rPr>
          <w:rFonts w:cstheme="minorHAnsi"/>
        </w:rPr>
        <w:t xml:space="preserve"> and positive </w:t>
      </w:r>
      <w:r w:rsidR="00AE2906">
        <w:rPr>
          <w:rFonts w:cstheme="minorHAnsi"/>
        </w:rPr>
        <w:t>predictive</w:t>
      </w:r>
      <w:r w:rsidR="00F70CB5">
        <w:rPr>
          <w:rFonts w:cstheme="minorHAnsi"/>
        </w:rPr>
        <w:t xml:space="preserve"> value of </w:t>
      </w:r>
      <w:r w:rsidR="00027381">
        <w:rPr>
          <w:rFonts w:cstheme="minorHAnsi"/>
        </w:rPr>
        <w:t>78.3%</w:t>
      </w:r>
      <w:r w:rsidR="00A0524C">
        <w:rPr>
          <w:rFonts w:cstheme="minorHAnsi"/>
        </w:rPr>
        <w:t xml:space="preserve"> </w:t>
      </w:r>
      <w:r w:rsidR="00D35DF2">
        <w:rPr>
          <w:rFonts w:cstheme="minorHAnsi"/>
        </w:rPr>
        <w:t>in the testing set</w:t>
      </w:r>
      <w:r w:rsidR="00D96329">
        <w:rPr>
          <w:rFonts w:cstheme="minorHAnsi"/>
        </w:rPr>
        <w:t xml:space="preserve">, </w:t>
      </w:r>
      <w:r w:rsidR="00A54BD2" w:rsidRPr="00192333">
        <w:rPr>
          <w:rFonts w:cstheme="minorHAnsi"/>
        </w:rPr>
        <w:t>providing more stable</w:t>
      </w:r>
      <w:r w:rsidR="00870CE8" w:rsidRPr="00192333">
        <w:rPr>
          <w:rFonts w:cstheme="minorHAnsi"/>
        </w:rPr>
        <w:t>,</w:t>
      </w:r>
      <w:r w:rsidR="00A54BD2" w:rsidRPr="00192333">
        <w:rPr>
          <w:rFonts w:cstheme="minorHAnsi"/>
        </w:rPr>
        <w:t xml:space="preserve"> </w:t>
      </w:r>
      <w:r w:rsidR="00C950D6" w:rsidRPr="00192333">
        <w:rPr>
          <w:rFonts w:cstheme="minorHAnsi"/>
        </w:rPr>
        <w:t xml:space="preserve">accurate </w:t>
      </w:r>
      <w:r w:rsidR="002E7F29" w:rsidRPr="00192333">
        <w:rPr>
          <w:rFonts w:cstheme="minorHAnsi"/>
        </w:rPr>
        <w:t xml:space="preserve">prediction than </w:t>
      </w:r>
      <w:r w:rsidR="0001238D" w:rsidRPr="00192333">
        <w:rPr>
          <w:rFonts w:cstheme="minorHAnsi"/>
        </w:rPr>
        <w:t>pathological staging systems.</w:t>
      </w:r>
      <w:r w:rsidR="00482AB7">
        <w:rPr>
          <w:rFonts w:cstheme="minorHAnsi"/>
        </w:rPr>
        <w:t xml:space="preserve"> </w:t>
      </w:r>
      <w:r w:rsidR="00E631A5">
        <w:rPr>
          <w:rFonts w:cstheme="minorHAnsi"/>
        </w:rPr>
        <w:t xml:space="preserve">A linear predictor was also </w:t>
      </w:r>
      <w:r w:rsidR="00235CD7">
        <w:rPr>
          <w:rFonts w:cstheme="minorHAnsi"/>
        </w:rPr>
        <w:t>developed</w:t>
      </w:r>
      <w:r w:rsidR="009E4290">
        <w:rPr>
          <w:rFonts w:cstheme="minorHAnsi"/>
        </w:rPr>
        <w:t xml:space="preserve">, significantly </w:t>
      </w:r>
      <w:r w:rsidR="00EC7609">
        <w:rPr>
          <w:rFonts w:cstheme="minorHAnsi"/>
        </w:rPr>
        <w:t>correlat</w:t>
      </w:r>
      <w:r w:rsidR="00E07C7D">
        <w:rPr>
          <w:rFonts w:cstheme="minorHAnsi"/>
        </w:rPr>
        <w:t>ing</w:t>
      </w:r>
      <w:r w:rsidR="00EC7609">
        <w:rPr>
          <w:rFonts w:cstheme="minorHAnsi"/>
        </w:rPr>
        <w:t xml:space="preserve"> with</w:t>
      </w:r>
      <w:r w:rsidR="003C6F88">
        <w:rPr>
          <w:rFonts w:cstheme="minorHAnsi"/>
        </w:rPr>
        <w:t xml:space="preserve"> metastatic risk.</w:t>
      </w:r>
    </w:p>
    <w:p w14:paraId="242036F7" w14:textId="2A26DF5E" w:rsidR="00923C4E" w:rsidRPr="00D970A1" w:rsidRDefault="00923C4E" w:rsidP="00090916">
      <w:pPr>
        <w:spacing w:line="276" w:lineRule="auto"/>
        <w:jc w:val="both"/>
        <w:rPr>
          <w:rFonts w:cstheme="minorHAnsi"/>
        </w:rPr>
      </w:pPr>
      <w:r w:rsidRPr="00E70DEF">
        <w:rPr>
          <w:rFonts w:cstheme="minorHAnsi"/>
          <w:b/>
          <w:bCs/>
          <w:i/>
          <w:iCs/>
        </w:rPr>
        <w:t>Limitations:</w:t>
      </w:r>
      <w:r w:rsidRPr="00923C4E">
        <w:rPr>
          <w:rFonts w:cstheme="minorHAnsi"/>
          <w:b/>
          <w:bCs/>
        </w:rPr>
        <w:t xml:space="preserve"> </w:t>
      </w:r>
      <w:r w:rsidR="00F532A4">
        <w:rPr>
          <w:rFonts w:cstheme="minorHAnsi"/>
        </w:rPr>
        <w:t xml:space="preserve">This was a retrospective </w:t>
      </w:r>
      <w:r w:rsidR="00201F0E">
        <w:rPr>
          <w:rFonts w:cstheme="minorHAnsi"/>
        </w:rPr>
        <w:t xml:space="preserve">4-centre </w:t>
      </w:r>
      <w:r w:rsidR="00F532A4">
        <w:rPr>
          <w:rFonts w:cstheme="minorHAnsi"/>
        </w:rPr>
        <w:t xml:space="preserve">study and </w:t>
      </w:r>
      <w:r w:rsidR="00201F0E">
        <w:rPr>
          <w:rFonts w:cstheme="minorHAnsi"/>
        </w:rPr>
        <w:t xml:space="preserve">larger </w:t>
      </w:r>
      <w:r w:rsidR="00F532A4">
        <w:rPr>
          <w:rFonts w:cstheme="minorHAnsi"/>
        </w:rPr>
        <w:t xml:space="preserve">prospective </w:t>
      </w:r>
      <w:r w:rsidR="00201F0E">
        <w:rPr>
          <w:rFonts w:cstheme="minorHAnsi"/>
        </w:rPr>
        <w:t xml:space="preserve">multicentre </w:t>
      </w:r>
      <w:r w:rsidR="00F532A4">
        <w:rPr>
          <w:rFonts w:cstheme="minorHAnsi"/>
        </w:rPr>
        <w:t>studies are now required.</w:t>
      </w:r>
    </w:p>
    <w:p w14:paraId="7182349A" w14:textId="150B5693" w:rsidR="00E677CE" w:rsidRPr="00371600" w:rsidRDefault="00923C4E" w:rsidP="00090916">
      <w:pPr>
        <w:spacing w:line="276" w:lineRule="auto"/>
        <w:jc w:val="both"/>
        <w:rPr>
          <w:rFonts w:cstheme="minorHAnsi"/>
        </w:rPr>
      </w:pPr>
      <w:r w:rsidRPr="00FE0B7B">
        <w:rPr>
          <w:rFonts w:cstheme="minorHAnsi"/>
          <w:b/>
          <w:bCs/>
          <w:i/>
          <w:iCs/>
        </w:rPr>
        <w:t>Conclusion:</w:t>
      </w:r>
      <w:r w:rsidRPr="00923C4E">
        <w:rPr>
          <w:rFonts w:cstheme="minorHAnsi"/>
          <w:b/>
          <w:bCs/>
        </w:rPr>
        <w:t xml:space="preserve"> </w:t>
      </w:r>
      <w:r w:rsidR="00371600">
        <w:rPr>
          <w:rFonts w:cstheme="minorHAnsi"/>
        </w:rPr>
        <w:t xml:space="preserve">The </w:t>
      </w:r>
      <w:r w:rsidR="00190113" w:rsidRPr="00465834">
        <w:rPr>
          <w:rFonts w:cstheme="minorHAnsi"/>
        </w:rPr>
        <w:t>20</w:t>
      </w:r>
      <w:r w:rsidR="00371600" w:rsidRPr="00465834">
        <w:rPr>
          <w:rFonts w:cstheme="minorHAnsi"/>
        </w:rPr>
        <w:t xml:space="preserve">-gene </w:t>
      </w:r>
      <w:r w:rsidR="0061569B">
        <w:rPr>
          <w:rFonts w:cstheme="minorHAnsi"/>
        </w:rPr>
        <w:t xml:space="preserve">signature </w:t>
      </w:r>
      <w:r w:rsidR="00371600" w:rsidRPr="00465834">
        <w:rPr>
          <w:rFonts w:cstheme="minorHAnsi"/>
        </w:rPr>
        <w:t>prediction</w:t>
      </w:r>
      <w:r w:rsidR="00371600">
        <w:rPr>
          <w:rFonts w:cstheme="minorHAnsi"/>
        </w:rPr>
        <w:t xml:space="preserve"> </w:t>
      </w:r>
      <w:r w:rsidR="00751E17">
        <w:rPr>
          <w:rFonts w:cstheme="minorHAnsi"/>
        </w:rPr>
        <w:t xml:space="preserve">is </w:t>
      </w:r>
      <w:r w:rsidR="00C04921">
        <w:rPr>
          <w:rFonts w:cstheme="minorHAnsi"/>
        </w:rPr>
        <w:t>accurate</w:t>
      </w:r>
      <w:r w:rsidR="00751E17">
        <w:rPr>
          <w:rFonts w:cstheme="minorHAnsi"/>
        </w:rPr>
        <w:t xml:space="preserve">, </w:t>
      </w:r>
      <w:r w:rsidR="00087E26">
        <w:rPr>
          <w:rFonts w:cstheme="minorHAnsi"/>
        </w:rPr>
        <w:t xml:space="preserve">with the potential to be </w:t>
      </w:r>
      <w:r w:rsidR="00073250">
        <w:rPr>
          <w:rFonts w:cstheme="minorHAnsi"/>
        </w:rPr>
        <w:t>incorporated</w:t>
      </w:r>
      <w:r w:rsidR="00087E26">
        <w:rPr>
          <w:rFonts w:cstheme="minorHAnsi"/>
        </w:rPr>
        <w:t xml:space="preserve"> into clinical </w:t>
      </w:r>
      <w:r w:rsidR="007E68F3">
        <w:rPr>
          <w:rFonts w:cstheme="minorHAnsi"/>
        </w:rPr>
        <w:t>workflows</w:t>
      </w:r>
      <w:r w:rsidR="00A92A87">
        <w:rPr>
          <w:rFonts w:cstheme="minorHAnsi"/>
        </w:rPr>
        <w:t xml:space="preserve"> for </w:t>
      </w:r>
      <w:proofErr w:type="spellStart"/>
      <w:r w:rsidR="00A92A87">
        <w:rPr>
          <w:rFonts w:cstheme="minorHAnsi"/>
        </w:rPr>
        <w:t>cSCC</w:t>
      </w:r>
      <w:proofErr w:type="spellEnd"/>
      <w:r w:rsidR="00A92A87">
        <w:rPr>
          <w:rFonts w:cstheme="minorHAnsi"/>
        </w:rPr>
        <w:t>.</w:t>
      </w:r>
    </w:p>
    <w:p w14:paraId="5EE59548" w14:textId="77777777" w:rsidR="008716A1" w:rsidRPr="004E67C7" w:rsidRDefault="008716A1" w:rsidP="008716A1">
      <w:pPr>
        <w:spacing w:before="100" w:beforeAutospacing="1" w:after="100" w:afterAutospacing="1"/>
        <w:jc w:val="both"/>
        <w:rPr>
          <w:rFonts w:ascii="Calibri" w:eastAsia="Times New Roman" w:hAnsi="Calibri" w:cs="Calibri"/>
          <w:i/>
          <w:iCs/>
          <w:lang w:eastAsia="en-GB"/>
        </w:rPr>
      </w:pPr>
      <w:r w:rsidRPr="004E67C7">
        <w:rPr>
          <w:rFonts w:ascii="Calibri" w:eastAsia="Times New Roman" w:hAnsi="Calibri" w:cs="Calibri"/>
          <w:b/>
          <w:bCs/>
          <w:i/>
          <w:iCs/>
          <w:lang w:eastAsia="en-GB"/>
        </w:rPr>
        <w:t>Key words:</w:t>
      </w:r>
    </w:p>
    <w:p w14:paraId="289CD5DB" w14:textId="15C825B7" w:rsidR="008716A1" w:rsidRDefault="008716A1" w:rsidP="008716A1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Cutaneous squamous cell carcinoma; Metastasis; Prognosis; Transcriptomics; Machine learning</w:t>
      </w:r>
      <w:r w:rsidR="00CD5F8E">
        <w:rPr>
          <w:rFonts w:ascii="Calibri" w:hAnsi="Calibri" w:cs="Calibri"/>
        </w:rPr>
        <w:t>; Risk stratification</w:t>
      </w:r>
    </w:p>
    <w:p w14:paraId="59061452" w14:textId="77777777" w:rsidR="00C47E49" w:rsidRDefault="00C47E49" w:rsidP="0086187F">
      <w:pPr>
        <w:spacing w:before="100" w:beforeAutospacing="1" w:after="100" w:afterAutospacing="1" w:line="276" w:lineRule="auto"/>
        <w:jc w:val="both"/>
        <w:rPr>
          <w:rFonts w:ascii="Calibri" w:hAnsi="Calibri" w:cs="Calibri"/>
        </w:rPr>
      </w:pPr>
    </w:p>
    <w:p w14:paraId="07CD3783" w14:textId="505E9EFC" w:rsidR="009007D6" w:rsidRPr="006D7EA8" w:rsidRDefault="009007D6" w:rsidP="0086187F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caps/>
          <w:lang w:eastAsia="en-GB"/>
        </w:rPr>
      </w:pPr>
      <w:r w:rsidRPr="006D7EA8">
        <w:rPr>
          <w:rFonts w:ascii="Calibri" w:eastAsia="Times New Roman" w:hAnsi="Calibri" w:cs="Calibri"/>
          <w:b/>
          <w:bCs/>
          <w:caps/>
          <w:lang w:eastAsia="en-GB"/>
        </w:rPr>
        <w:t>Capsule summary</w:t>
      </w:r>
    </w:p>
    <w:p w14:paraId="3314BE3B" w14:textId="17D81179" w:rsidR="00052BF8" w:rsidRDefault="00600C46" w:rsidP="00D76BF3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n-GB"/>
        </w:rPr>
      </w:pPr>
      <w:r w:rsidRPr="00D76BF3">
        <w:rPr>
          <w:rFonts w:eastAsia="Times New Roman" w:cstheme="minorHAnsi"/>
          <w:lang w:eastAsia="en-GB"/>
        </w:rPr>
        <w:t xml:space="preserve">A </w:t>
      </w:r>
      <w:r w:rsidR="00144C81" w:rsidRPr="005F66E7">
        <w:rPr>
          <w:rFonts w:eastAsia="Times New Roman" w:cstheme="minorHAnsi"/>
          <w:lang w:eastAsia="en-GB"/>
        </w:rPr>
        <w:t>20</w:t>
      </w:r>
      <w:r w:rsidRPr="005F66E7">
        <w:rPr>
          <w:rFonts w:eastAsia="Times New Roman" w:cstheme="minorHAnsi"/>
          <w:lang w:eastAsia="en-GB"/>
        </w:rPr>
        <w:t>-gene</w:t>
      </w:r>
      <w:r w:rsidRPr="00D76BF3">
        <w:rPr>
          <w:rFonts w:eastAsia="Times New Roman" w:cstheme="minorHAnsi"/>
          <w:lang w:eastAsia="en-GB"/>
        </w:rPr>
        <w:t xml:space="preserve"> expression profile </w:t>
      </w:r>
      <w:r w:rsidR="002A3DEC" w:rsidRPr="00D76BF3">
        <w:rPr>
          <w:rFonts w:eastAsia="Times New Roman" w:cstheme="minorHAnsi"/>
          <w:lang w:eastAsia="en-GB"/>
        </w:rPr>
        <w:t xml:space="preserve">signature </w:t>
      </w:r>
      <w:r w:rsidR="00437900">
        <w:rPr>
          <w:rFonts w:eastAsia="Times New Roman" w:cstheme="minorHAnsi"/>
          <w:lang w:eastAsia="en-GB"/>
        </w:rPr>
        <w:t>derived from clinical archiv</w:t>
      </w:r>
      <w:r w:rsidR="0043074C">
        <w:rPr>
          <w:rFonts w:eastAsia="Times New Roman" w:cstheme="minorHAnsi"/>
          <w:lang w:eastAsia="en-GB"/>
        </w:rPr>
        <w:t>al</w:t>
      </w:r>
      <w:r w:rsidR="00437900">
        <w:rPr>
          <w:rFonts w:eastAsia="Times New Roman" w:cstheme="minorHAnsi"/>
          <w:lang w:eastAsia="en-GB"/>
        </w:rPr>
        <w:t xml:space="preserve"> tissue</w:t>
      </w:r>
      <w:r w:rsidR="007E334B">
        <w:rPr>
          <w:rFonts w:eastAsia="Times New Roman" w:cstheme="minorHAnsi"/>
          <w:lang w:eastAsia="en-GB"/>
        </w:rPr>
        <w:t xml:space="preserve"> using an unbiased </w:t>
      </w:r>
      <w:r w:rsidR="00A468DA">
        <w:rPr>
          <w:rFonts w:eastAsia="Times New Roman" w:cstheme="minorHAnsi"/>
          <w:lang w:eastAsia="en-GB"/>
        </w:rPr>
        <w:t>whole-transcriptome approach</w:t>
      </w:r>
      <w:r w:rsidR="004809C0" w:rsidRPr="00D76BF3">
        <w:rPr>
          <w:rFonts w:eastAsia="Times New Roman" w:cstheme="minorHAnsi"/>
          <w:lang w:eastAsia="en-GB"/>
        </w:rPr>
        <w:t xml:space="preserve"> showed </w:t>
      </w:r>
      <w:r w:rsidR="001C1889" w:rsidRPr="00D76BF3">
        <w:rPr>
          <w:rFonts w:eastAsia="Times New Roman" w:cstheme="minorHAnsi"/>
          <w:lang w:eastAsia="en-GB"/>
        </w:rPr>
        <w:t xml:space="preserve">superior performance </w:t>
      </w:r>
      <w:r w:rsidR="007B3559">
        <w:rPr>
          <w:rFonts w:eastAsia="Times New Roman" w:cstheme="minorHAnsi"/>
          <w:lang w:eastAsia="en-GB"/>
        </w:rPr>
        <w:t>for</w:t>
      </w:r>
      <w:r w:rsidR="00015385" w:rsidRPr="00D76BF3">
        <w:rPr>
          <w:rFonts w:eastAsia="Times New Roman" w:cstheme="minorHAnsi"/>
          <w:lang w:eastAsia="en-GB"/>
        </w:rPr>
        <w:t xml:space="preserve"> predicting metastatic risks for </w:t>
      </w:r>
      <w:r w:rsidR="0006624A" w:rsidRPr="00D76BF3">
        <w:rPr>
          <w:rFonts w:eastAsia="Times New Roman" w:cstheme="minorHAnsi"/>
          <w:lang w:eastAsia="en-GB"/>
        </w:rPr>
        <w:t>primary cutaneous squamous cell carcinoma</w:t>
      </w:r>
      <w:r w:rsidR="007B3559">
        <w:rPr>
          <w:rFonts w:eastAsia="Times New Roman" w:cstheme="minorHAnsi"/>
          <w:lang w:eastAsia="en-GB"/>
        </w:rPr>
        <w:t xml:space="preserve"> (</w:t>
      </w:r>
      <w:proofErr w:type="spellStart"/>
      <w:r w:rsidR="007B3559">
        <w:rPr>
          <w:rFonts w:eastAsia="Times New Roman" w:cstheme="minorHAnsi"/>
          <w:lang w:eastAsia="en-GB"/>
        </w:rPr>
        <w:t>cSCC</w:t>
      </w:r>
      <w:proofErr w:type="spellEnd"/>
      <w:r w:rsidR="007B3559">
        <w:rPr>
          <w:rFonts w:eastAsia="Times New Roman" w:cstheme="minorHAnsi"/>
          <w:lang w:eastAsia="en-GB"/>
        </w:rPr>
        <w:t>)</w:t>
      </w:r>
      <w:r w:rsidR="00D76BF3">
        <w:rPr>
          <w:rFonts w:eastAsia="Times New Roman" w:cstheme="minorHAnsi"/>
          <w:lang w:eastAsia="en-GB"/>
        </w:rPr>
        <w:t>.</w:t>
      </w:r>
    </w:p>
    <w:p w14:paraId="372987F1" w14:textId="427335BB" w:rsidR="00D76BF3" w:rsidRPr="00D76BF3" w:rsidRDefault="001D6F9A" w:rsidP="00D76BF3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Th</w:t>
      </w:r>
      <w:r w:rsidR="006020A2">
        <w:rPr>
          <w:rFonts w:eastAsia="Times New Roman" w:cstheme="minorHAnsi"/>
          <w:lang w:eastAsia="en-GB"/>
        </w:rPr>
        <w:t xml:space="preserve">is prognostic </w:t>
      </w:r>
      <w:r w:rsidR="00687472">
        <w:rPr>
          <w:rFonts w:eastAsia="Times New Roman" w:cstheme="minorHAnsi"/>
          <w:lang w:eastAsia="en-GB"/>
        </w:rPr>
        <w:t xml:space="preserve">signature </w:t>
      </w:r>
      <w:r w:rsidR="007600D9">
        <w:rPr>
          <w:rFonts w:eastAsia="Times New Roman" w:cstheme="minorHAnsi"/>
          <w:lang w:eastAsia="en-GB"/>
        </w:rPr>
        <w:t xml:space="preserve">could </w:t>
      </w:r>
      <w:r w:rsidR="00181E20">
        <w:rPr>
          <w:rFonts w:eastAsia="Times New Roman" w:cstheme="minorHAnsi"/>
          <w:lang w:eastAsia="en-GB"/>
        </w:rPr>
        <w:t>significantly improve</w:t>
      </w:r>
      <w:r w:rsidR="00EC5992">
        <w:rPr>
          <w:rFonts w:eastAsia="Times New Roman" w:cstheme="minorHAnsi"/>
          <w:lang w:eastAsia="en-GB"/>
        </w:rPr>
        <w:t xml:space="preserve"> risk stratification</w:t>
      </w:r>
      <w:r w:rsidR="00F4635F">
        <w:rPr>
          <w:rFonts w:eastAsia="Times New Roman" w:cstheme="minorHAnsi"/>
          <w:lang w:eastAsia="en-GB"/>
        </w:rPr>
        <w:t>,</w:t>
      </w:r>
      <w:r w:rsidR="00E478EF">
        <w:rPr>
          <w:rFonts w:eastAsia="Times New Roman" w:cstheme="minorHAnsi"/>
          <w:lang w:eastAsia="en-GB"/>
        </w:rPr>
        <w:t xml:space="preserve"> </w:t>
      </w:r>
      <w:r w:rsidR="00051F43">
        <w:rPr>
          <w:rFonts w:eastAsia="Times New Roman" w:cstheme="minorHAnsi"/>
          <w:lang w:eastAsia="en-GB"/>
        </w:rPr>
        <w:t xml:space="preserve">identifying </w:t>
      </w:r>
      <w:r w:rsidR="007C7FBD">
        <w:rPr>
          <w:rFonts w:eastAsia="Times New Roman" w:cstheme="minorHAnsi"/>
          <w:lang w:eastAsia="en-GB"/>
        </w:rPr>
        <w:t xml:space="preserve">patients </w:t>
      </w:r>
      <w:r w:rsidR="007B3559">
        <w:rPr>
          <w:rFonts w:eastAsia="Times New Roman" w:cstheme="minorHAnsi"/>
          <w:lang w:eastAsia="en-GB"/>
        </w:rPr>
        <w:t xml:space="preserve">with high-risk </w:t>
      </w:r>
      <w:proofErr w:type="spellStart"/>
      <w:r w:rsidR="007B3559">
        <w:rPr>
          <w:rFonts w:eastAsia="Times New Roman" w:cstheme="minorHAnsi"/>
          <w:lang w:eastAsia="en-GB"/>
        </w:rPr>
        <w:t>cSCC</w:t>
      </w:r>
      <w:proofErr w:type="spellEnd"/>
      <w:r w:rsidR="007B3559">
        <w:rPr>
          <w:rFonts w:eastAsia="Times New Roman" w:cstheme="minorHAnsi"/>
          <w:lang w:eastAsia="en-GB"/>
        </w:rPr>
        <w:t xml:space="preserve"> </w:t>
      </w:r>
      <w:r w:rsidR="00F4635F">
        <w:rPr>
          <w:rFonts w:eastAsia="Times New Roman" w:cstheme="minorHAnsi"/>
          <w:lang w:eastAsia="en-GB"/>
        </w:rPr>
        <w:t xml:space="preserve">who may </w:t>
      </w:r>
      <w:r w:rsidR="007C7FBD">
        <w:rPr>
          <w:rFonts w:eastAsia="Times New Roman" w:cstheme="minorHAnsi"/>
          <w:lang w:eastAsia="en-GB"/>
        </w:rPr>
        <w:t xml:space="preserve">benefit from </w:t>
      </w:r>
      <w:r w:rsidR="00DD39EF">
        <w:rPr>
          <w:rFonts w:eastAsia="Times New Roman" w:cstheme="minorHAnsi"/>
          <w:lang w:eastAsia="en-GB"/>
        </w:rPr>
        <w:t>adjuvant treatment</w:t>
      </w:r>
      <w:r w:rsidR="003A453D">
        <w:rPr>
          <w:rFonts w:eastAsia="Times New Roman" w:cstheme="minorHAnsi"/>
          <w:lang w:eastAsia="en-GB"/>
        </w:rPr>
        <w:t xml:space="preserve"> and reduc</w:t>
      </w:r>
      <w:r w:rsidR="0043074C">
        <w:rPr>
          <w:rFonts w:eastAsia="Times New Roman" w:cstheme="minorHAnsi"/>
          <w:lang w:eastAsia="en-GB"/>
        </w:rPr>
        <w:t>ing</w:t>
      </w:r>
      <w:r w:rsidR="003A453D">
        <w:rPr>
          <w:rFonts w:eastAsia="Times New Roman" w:cstheme="minorHAnsi"/>
          <w:lang w:eastAsia="en-GB"/>
        </w:rPr>
        <w:t xml:space="preserve"> overtreatment for patients</w:t>
      </w:r>
      <w:r w:rsidR="007B3559">
        <w:rPr>
          <w:rFonts w:eastAsia="Times New Roman" w:cstheme="minorHAnsi"/>
          <w:lang w:eastAsia="en-GB"/>
        </w:rPr>
        <w:t xml:space="preserve"> with low-risk </w:t>
      </w:r>
      <w:proofErr w:type="spellStart"/>
      <w:r w:rsidR="007B3559">
        <w:rPr>
          <w:rFonts w:eastAsia="Times New Roman" w:cstheme="minorHAnsi"/>
          <w:lang w:eastAsia="en-GB"/>
        </w:rPr>
        <w:t>cSCC</w:t>
      </w:r>
      <w:proofErr w:type="spellEnd"/>
      <w:r w:rsidR="003A453D">
        <w:rPr>
          <w:rFonts w:eastAsia="Times New Roman" w:cstheme="minorHAnsi"/>
          <w:lang w:eastAsia="en-GB"/>
        </w:rPr>
        <w:t>.</w:t>
      </w:r>
    </w:p>
    <w:p w14:paraId="34F2EAB5" w14:textId="77777777" w:rsidR="00847DE1" w:rsidRDefault="00847DE1" w:rsidP="00BF1388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6CBAC624" w14:textId="77777777" w:rsidR="00847DE1" w:rsidRDefault="00847DE1" w:rsidP="00BF1388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5CF09E34" w14:textId="3466F466" w:rsidR="00BF1388" w:rsidRPr="006D7EA8" w:rsidRDefault="00BF1388" w:rsidP="00BF138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6D7EA8">
        <w:rPr>
          <w:rFonts w:ascii="Calibri" w:hAnsi="Calibri" w:cs="Calibri"/>
          <w:b/>
          <w:bCs/>
        </w:rPr>
        <w:t>BACKGROUND</w:t>
      </w:r>
      <w:r w:rsidR="00BD0F7B">
        <w:rPr>
          <w:rFonts w:ascii="Calibri" w:hAnsi="Calibri" w:cs="Calibri"/>
          <w:b/>
          <w:bCs/>
        </w:rPr>
        <w:t xml:space="preserve"> </w:t>
      </w:r>
    </w:p>
    <w:p w14:paraId="664A8AF6" w14:textId="77777777" w:rsidR="009F78DA" w:rsidRPr="006D7EA8" w:rsidRDefault="009F78DA" w:rsidP="00090916">
      <w:pPr>
        <w:spacing w:line="276" w:lineRule="auto"/>
        <w:jc w:val="both"/>
        <w:rPr>
          <w:rFonts w:ascii="Calibri" w:hAnsi="Calibri" w:cs="Calibri"/>
        </w:rPr>
      </w:pPr>
    </w:p>
    <w:p w14:paraId="3C107232" w14:textId="6C0E0B77" w:rsidR="00A65FDF" w:rsidRDefault="009F78DA" w:rsidP="00A65FDF">
      <w:pPr>
        <w:spacing w:line="276" w:lineRule="auto"/>
        <w:jc w:val="both"/>
        <w:rPr>
          <w:rFonts w:cstheme="minorHAnsi"/>
        </w:rPr>
      </w:pPr>
      <w:r w:rsidRPr="006D7EA8">
        <w:rPr>
          <w:rFonts w:ascii="Calibri" w:hAnsi="Calibri" w:cs="Calibri"/>
        </w:rPr>
        <w:t>Cutaneous squamous cell carcinoma (</w:t>
      </w:r>
      <w:proofErr w:type="spellStart"/>
      <w:r w:rsidRPr="006D7EA8">
        <w:rPr>
          <w:rFonts w:ascii="Calibri" w:hAnsi="Calibri" w:cs="Calibri"/>
        </w:rPr>
        <w:t>cSCC</w:t>
      </w:r>
      <w:proofErr w:type="spellEnd"/>
      <w:r w:rsidRPr="006D7EA8">
        <w:rPr>
          <w:rFonts w:ascii="Calibri" w:hAnsi="Calibri" w:cs="Calibri"/>
        </w:rPr>
        <w:t>) is the commonest form of skin cancer with metastatic potential</w:t>
      </w:r>
      <w:r w:rsidR="00467F40">
        <w:rPr>
          <w:rFonts w:ascii="Calibri" w:hAnsi="Calibri" w:cs="Calibri"/>
        </w:rPr>
        <w:t xml:space="preserve"> and incidence </w:t>
      </w:r>
      <w:r w:rsidR="00713E72">
        <w:rPr>
          <w:rFonts w:ascii="Calibri" w:hAnsi="Calibri" w:cs="Calibri"/>
        </w:rPr>
        <w:t>and mortality are</w:t>
      </w:r>
      <w:r w:rsidR="00467F40">
        <w:rPr>
          <w:rFonts w:ascii="Calibri" w:hAnsi="Calibri" w:cs="Calibri"/>
        </w:rPr>
        <w:t xml:space="preserve"> rising </w:t>
      </w:r>
      <w:r>
        <w:rPr>
          <w:rFonts w:cstheme="minorHAnsi"/>
        </w:rPr>
        <w:t>(1</w:t>
      </w:r>
      <w:r w:rsidR="00E95B7B">
        <w:rPr>
          <w:rFonts w:cstheme="minorHAnsi"/>
        </w:rPr>
        <w:t>-</w:t>
      </w:r>
      <w:r>
        <w:rPr>
          <w:rFonts w:cstheme="minorHAnsi"/>
        </w:rPr>
        <w:t xml:space="preserve">4). Although the frequency of metastasis arising from </w:t>
      </w:r>
      <w:proofErr w:type="spellStart"/>
      <w:r>
        <w:rPr>
          <w:rFonts w:cstheme="minorHAnsi"/>
        </w:rPr>
        <w:t>cSCC</w:t>
      </w:r>
      <w:proofErr w:type="spellEnd"/>
      <w:r>
        <w:rPr>
          <w:rFonts w:cstheme="minorHAnsi"/>
        </w:rPr>
        <w:t xml:space="preserve"> is </w:t>
      </w:r>
      <w:r w:rsidR="00370A4B">
        <w:rPr>
          <w:rFonts w:cstheme="minorHAnsi"/>
        </w:rPr>
        <w:t xml:space="preserve">relatively </w:t>
      </w:r>
      <w:r>
        <w:rPr>
          <w:rFonts w:cstheme="minorHAnsi"/>
        </w:rPr>
        <w:t xml:space="preserve">low at </w:t>
      </w:r>
      <w:r w:rsidR="00266088">
        <w:rPr>
          <w:rFonts w:cstheme="minorHAnsi"/>
        </w:rPr>
        <w:t>2</w:t>
      </w:r>
      <w:r>
        <w:rPr>
          <w:rFonts w:cstheme="minorHAnsi"/>
        </w:rPr>
        <w:t>-5%</w:t>
      </w:r>
      <w:r w:rsidR="002E3952">
        <w:rPr>
          <w:rFonts w:cstheme="minorHAnsi"/>
        </w:rPr>
        <w:t>,</w:t>
      </w:r>
      <w:r>
        <w:rPr>
          <w:rFonts w:cstheme="minorHAnsi"/>
        </w:rPr>
        <w:t xml:space="preserve"> the sheer number of cases </w:t>
      </w:r>
      <w:r w:rsidR="00DB733E">
        <w:rPr>
          <w:rFonts w:cstheme="minorHAnsi"/>
        </w:rPr>
        <w:t>represents</w:t>
      </w:r>
      <w:r>
        <w:rPr>
          <w:rFonts w:cstheme="minorHAnsi"/>
        </w:rPr>
        <w:t xml:space="preserve"> a significant disease burden. </w:t>
      </w:r>
      <w:r w:rsidR="00605D29">
        <w:rPr>
          <w:rFonts w:cstheme="minorHAnsi"/>
        </w:rPr>
        <w:t>Current m</w:t>
      </w:r>
      <w:r w:rsidR="00A65FDF" w:rsidRPr="004A676B">
        <w:rPr>
          <w:rFonts w:cstheme="minorHAnsi"/>
        </w:rPr>
        <w:t>anagement</w:t>
      </w:r>
      <w:r w:rsidR="00A65FDF">
        <w:rPr>
          <w:rFonts w:cstheme="minorHAnsi"/>
        </w:rPr>
        <w:t xml:space="preserve"> could be improved by </w:t>
      </w:r>
      <w:r w:rsidR="00605D29">
        <w:rPr>
          <w:rFonts w:cstheme="minorHAnsi"/>
        </w:rPr>
        <w:t xml:space="preserve">more accurately </w:t>
      </w:r>
      <w:r w:rsidR="00A65FDF">
        <w:rPr>
          <w:rFonts w:cstheme="minorHAnsi"/>
        </w:rPr>
        <w:t>identifying tumours most likely to metastasise, targeting adjuvant therapy</w:t>
      </w:r>
      <w:r w:rsidR="00605D29">
        <w:rPr>
          <w:rFonts w:cstheme="minorHAnsi"/>
        </w:rPr>
        <w:t xml:space="preserve"> and </w:t>
      </w:r>
      <w:r w:rsidR="00A65FDF">
        <w:rPr>
          <w:rFonts w:cstheme="minorHAnsi"/>
        </w:rPr>
        <w:t>intense clinical supervision programmes to those at highest risk</w:t>
      </w:r>
      <w:r w:rsidR="00F63B54">
        <w:rPr>
          <w:rFonts w:cstheme="minorHAnsi"/>
        </w:rPr>
        <w:t>,</w:t>
      </w:r>
      <w:r w:rsidR="000B417C">
        <w:rPr>
          <w:rFonts w:cstheme="minorHAnsi"/>
        </w:rPr>
        <w:t xml:space="preserve"> whilst </w:t>
      </w:r>
      <w:r w:rsidR="00A65FDF">
        <w:rPr>
          <w:rFonts w:cstheme="minorHAnsi"/>
        </w:rPr>
        <w:t>reducing unnecessary interventions</w:t>
      </w:r>
      <w:r w:rsidR="007340C5">
        <w:rPr>
          <w:rFonts w:cstheme="minorHAnsi"/>
        </w:rPr>
        <w:t xml:space="preserve"> </w:t>
      </w:r>
      <w:r w:rsidR="00A65FDF">
        <w:rPr>
          <w:rFonts w:cstheme="minorHAnsi"/>
        </w:rPr>
        <w:t xml:space="preserve">for people with low-risk tumours. </w:t>
      </w:r>
    </w:p>
    <w:p w14:paraId="0A97A88A" w14:textId="77777777" w:rsidR="00161BD2" w:rsidRDefault="00161BD2" w:rsidP="00090916">
      <w:pPr>
        <w:spacing w:line="276" w:lineRule="auto"/>
        <w:jc w:val="both"/>
        <w:rPr>
          <w:rFonts w:cstheme="minorHAnsi"/>
        </w:rPr>
      </w:pPr>
    </w:p>
    <w:p w14:paraId="6ADA9C0C" w14:textId="136252CA" w:rsidR="000A0036" w:rsidRPr="00AB5CE9" w:rsidRDefault="007F4B35" w:rsidP="000A0036">
      <w:pPr>
        <w:spacing w:line="276" w:lineRule="auto"/>
        <w:jc w:val="both"/>
      </w:pPr>
      <w:r>
        <w:rPr>
          <w:rFonts w:cstheme="minorHAnsi"/>
        </w:rPr>
        <w:t>M</w:t>
      </w:r>
      <w:r w:rsidR="009F78DA">
        <w:rPr>
          <w:rFonts w:cstheme="minorHAnsi"/>
        </w:rPr>
        <w:t>ultiple</w:t>
      </w:r>
      <w:r w:rsidR="009F78DA" w:rsidRPr="00327EC8">
        <w:rPr>
          <w:rFonts w:cstheme="minorHAnsi"/>
        </w:rPr>
        <w:t xml:space="preserve"> </w:t>
      </w:r>
      <w:r w:rsidR="001D15D0">
        <w:rPr>
          <w:rFonts w:cstheme="minorHAnsi"/>
        </w:rPr>
        <w:t>histopathologic</w:t>
      </w:r>
      <w:r w:rsidR="00680173">
        <w:rPr>
          <w:rFonts w:cstheme="minorHAnsi"/>
        </w:rPr>
        <w:t>al</w:t>
      </w:r>
      <w:r w:rsidR="001D15D0">
        <w:rPr>
          <w:rFonts w:cstheme="minorHAnsi"/>
        </w:rPr>
        <w:t xml:space="preserve"> </w:t>
      </w:r>
      <w:r w:rsidR="009F78DA" w:rsidRPr="00327EC8">
        <w:rPr>
          <w:rFonts w:cstheme="minorHAnsi"/>
        </w:rPr>
        <w:t xml:space="preserve">staging </w:t>
      </w:r>
      <w:r w:rsidR="001D15D0">
        <w:rPr>
          <w:rFonts w:cstheme="minorHAnsi"/>
        </w:rPr>
        <w:t xml:space="preserve">classifications </w:t>
      </w:r>
      <w:r>
        <w:rPr>
          <w:rFonts w:cstheme="minorHAnsi"/>
        </w:rPr>
        <w:t xml:space="preserve">for </w:t>
      </w:r>
      <w:proofErr w:type="spellStart"/>
      <w:r>
        <w:rPr>
          <w:rFonts w:cstheme="minorHAnsi"/>
        </w:rPr>
        <w:t>cSCC</w:t>
      </w:r>
      <w:proofErr w:type="spellEnd"/>
      <w:r>
        <w:rPr>
          <w:rFonts w:cstheme="minorHAnsi"/>
        </w:rPr>
        <w:t xml:space="preserve"> </w:t>
      </w:r>
      <w:r w:rsidR="009F78DA">
        <w:rPr>
          <w:rFonts w:cstheme="minorHAnsi"/>
        </w:rPr>
        <w:t xml:space="preserve">are </w:t>
      </w:r>
      <w:r>
        <w:rPr>
          <w:rFonts w:cstheme="minorHAnsi"/>
        </w:rPr>
        <w:t xml:space="preserve">available </w:t>
      </w:r>
      <w:r w:rsidR="0003674A">
        <w:rPr>
          <w:rFonts w:cstheme="minorHAnsi"/>
        </w:rPr>
        <w:t xml:space="preserve">although </w:t>
      </w:r>
      <w:r w:rsidR="001D15D0">
        <w:rPr>
          <w:rFonts w:cstheme="minorHAnsi"/>
        </w:rPr>
        <w:t>reported to be suboptimal in predicting poor outcomes</w:t>
      </w:r>
      <w:r>
        <w:rPr>
          <w:rFonts w:cstheme="minorHAnsi"/>
        </w:rPr>
        <w:t xml:space="preserve"> </w:t>
      </w:r>
      <w:r w:rsidR="009F78DA">
        <w:rPr>
          <w:rFonts w:cstheme="minorHAnsi"/>
        </w:rPr>
        <w:t>(</w:t>
      </w:r>
      <w:r w:rsidR="006C47BC">
        <w:rPr>
          <w:rFonts w:cstheme="minorHAnsi"/>
        </w:rPr>
        <w:t>5</w:t>
      </w:r>
      <w:r w:rsidR="009F78DA">
        <w:rPr>
          <w:rFonts w:cstheme="minorHAnsi"/>
        </w:rPr>
        <w:t>,</w:t>
      </w:r>
      <w:r w:rsidR="006C47BC">
        <w:rPr>
          <w:rFonts w:cstheme="minorHAnsi"/>
        </w:rPr>
        <w:t>6</w:t>
      </w:r>
      <w:r w:rsidR="009F78DA">
        <w:rPr>
          <w:rFonts w:cstheme="minorHAnsi"/>
        </w:rPr>
        <w:t>)</w:t>
      </w:r>
      <w:r w:rsidR="002B0234">
        <w:rPr>
          <w:rFonts w:cstheme="minorHAnsi"/>
        </w:rPr>
        <w:t>.</w:t>
      </w:r>
      <w:r w:rsidR="00562E00">
        <w:rPr>
          <w:rFonts w:cstheme="minorHAnsi"/>
        </w:rPr>
        <w:t xml:space="preserve"> </w:t>
      </w:r>
      <w:r w:rsidR="009B6F3A">
        <w:rPr>
          <w:rFonts w:cstheme="minorHAnsi"/>
        </w:rPr>
        <w:t>Recent studies suggest that genomic</w:t>
      </w:r>
      <w:r w:rsidR="00605D29">
        <w:rPr>
          <w:rFonts w:cstheme="minorHAnsi"/>
        </w:rPr>
        <w:t xml:space="preserve"> and </w:t>
      </w:r>
      <w:r w:rsidR="009B6F3A">
        <w:rPr>
          <w:rFonts w:cstheme="minorHAnsi"/>
        </w:rPr>
        <w:t xml:space="preserve">transcriptomic signatures </w:t>
      </w:r>
      <w:r>
        <w:rPr>
          <w:rFonts w:cstheme="minorHAnsi"/>
        </w:rPr>
        <w:t>may</w:t>
      </w:r>
      <w:r w:rsidR="009B6F3A">
        <w:rPr>
          <w:rFonts w:cstheme="minorHAnsi"/>
        </w:rPr>
        <w:t xml:space="preserve"> </w:t>
      </w:r>
      <w:r>
        <w:rPr>
          <w:rFonts w:cstheme="minorHAnsi"/>
        </w:rPr>
        <w:t xml:space="preserve">improve </w:t>
      </w:r>
      <w:r w:rsidR="00605D29">
        <w:rPr>
          <w:rFonts w:cstheme="minorHAnsi"/>
        </w:rPr>
        <w:t xml:space="preserve">risk </w:t>
      </w:r>
      <w:r w:rsidR="009B6F3A">
        <w:rPr>
          <w:rFonts w:cstheme="minorHAnsi"/>
        </w:rPr>
        <w:t>predicti</w:t>
      </w:r>
      <w:r>
        <w:rPr>
          <w:rFonts w:cstheme="minorHAnsi"/>
        </w:rPr>
        <w:t xml:space="preserve">on </w:t>
      </w:r>
      <w:r w:rsidR="00605D29">
        <w:rPr>
          <w:rFonts w:cstheme="minorHAnsi"/>
        </w:rPr>
        <w:t>for</w:t>
      </w:r>
      <w:r w:rsidR="009B6F3A">
        <w:rPr>
          <w:rFonts w:cstheme="minorHAnsi"/>
        </w:rPr>
        <w:t xml:space="preserve"> </w:t>
      </w:r>
      <w:r>
        <w:rPr>
          <w:rFonts w:cstheme="minorHAnsi"/>
        </w:rPr>
        <w:t xml:space="preserve">primary </w:t>
      </w:r>
      <w:proofErr w:type="spellStart"/>
      <w:r>
        <w:rPr>
          <w:rFonts w:cstheme="minorHAnsi"/>
        </w:rPr>
        <w:t>cSCC</w:t>
      </w:r>
      <w:proofErr w:type="spellEnd"/>
      <w:r>
        <w:rPr>
          <w:rFonts w:cstheme="minorHAnsi"/>
        </w:rPr>
        <w:t xml:space="preserve"> </w:t>
      </w:r>
      <w:r w:rsidR="009B6F3A">
        <w:rPr>
          <w:rFonts w:cstheme="minorHAnsi"/>
        </w:rPr>
        <w:t>progression (</w:t>
      </w:r>
      <w:r w:rsidR="008407BD">
        <w:rPr>
          <w:rFonts w:cstheme="minorHAnsi"/>
        </w:rPr>
        <w:t>7</w:t>
      </w:r>
      <w:r w:rsidR="005058D7">
        <w:rPr>
          <w:rFonts w:cstheme="minorHAnsi"/>
        </w:rPr>
        <w:t>-</w:t>
      </w:r>
      <w:r w:rsidR="008407BD">
        <w:rPr>
          <w:rFonts w:cstheme="minorHAnsi"/>
        </w:rPr>
        <w:t>10</w:t>
      </w:r>
      <w:r w:rsidR="009B6F3A">
        <w:rPr>
          <w:rFonts w:cstheme="minorHAnsi"/>
        </w:rPr>
        <w:t>).</w:t>
      </w:r>
      <w:r w:rsidR="00634FA8">
        <w:rPr>
          <w:rFonts w:cstheme="minorHAnsi"/>
        </w:rPr>
        <w:t xml:space="preserve"> </w:t>
      </w:r>
      <w:r w:rsidR="0003674A">
        <w:t>Using</w:t>
      </w:r>
      <w:r w:rsidR="000A0036">
        <w:t xml:space="preserve"> whole exome sequencing data</w:t>
      </w:r>
      <w:r w:rsidR="00605D29">
        <w:t>,</w:t>
      </w:r>
      <w:r w:rsidR="000A0036">
        <w:t xml:space="preserve"> we</w:t>
      </w:r>
      <w:r w:rsidR="0003674A">
        <w:t xml:space="preserve"> previously i</w:t>
      </w:r>
      <w:r w:rsidR="000A0036">
        <w:t>dentified 16 high-risk and 6 low-risk specific significantly mutated genes (</w:t>
      </w:r>
      <w:r w:rsidR="00AD1370">
        <w:t>9</w:t>
      </w:r>
      <w:r w:rsidR="000A0036">
        <w:t xml:space="preserve">). More recently, </w:t>
      </w:r>
      <w:r>
        <w:t>a 40-gene expression profiling (GEP) signature</w:t>
      </w:r>
      <w:r w:rsidR="000C5604">
        <w:t xml:space="preserve"> based on candidate genes identified by </w:t>
      </w:r>
      <w:r w:rsidR="00605D29">
        <w:t xml:space="preserve">a combination of </w:t>
      </w:r>
      <w:r w:rsidR="000C5604">
        <w:t>literature review and discovery</w:t>
      </w:r>
      <w:r w:rsidR="00605D29">
        <w:t xml:space="preserve"> efforts</w:t>
      </w:r>
      <w:r w:rsidR="000C5604">
        <w:t>,</w:t>
      </w:r>
      <w:r>
        <w:t xml:space="preserve"> was developed to predict </w:t>
      </w:r>
      <w:r w:rsidRPr="00B93BAA">
        <w:t>metastatic risk</w:t>
      </w:r>
      <w:r>
        <w:t xml:space="preserve"> (</w:t>
      </w:r>
      <w:r w:rsidR="000A0036" w:rsidRPr="004F393F">
        <w:t>Castle Biosciences, Inc</w:t>
      </w:r>
      <w:r w:rsidR="000A0036">
        <w:t xml:space="preserve"> </w:t>
      </w:r>
      <w:r w:rsidR="000A0036" w:rsidRPr="004F393F">
        <w:t>Friendswood, Texas</w:t>
      </w:r>
      <w:r>
        <w:t>)</w:t>
      </w:r>
      <w:r w:rsidR="00166552">
        <w:t xml:space="preserve"> (11,12)</w:t>
      </w:r>
      <w:r>
        <w:t>.</w:t>
      </w:r>
      <w:r w:rsidR="000A0036">
        <w:t xml:space="preserve"> </w:t>
      </w:r>
      <w:r w:rsidR="004A47AE">
        <w:t>A</w:t>
      </w:r>
      <w:r w:rsidR="004A47AE" w:rsidRPr="00352E0E">
        <w:t xml:space="preserve"> positive predictive value</w:t>
      </w:r>
      <w:r w:rsidR="004A47AE">
        <w:t xml:space="preserve"> (PPV)</w:t>
      </w:r>
      <w:r w:rsidR="004A47AE" w:rsidRPr="00352E0E">
        <w:t xml:space="preserve"> of 60% was achieved for</w:t>
      </w:r>
      <w:r w:rsidR="004A47AE">
        <w:t xml:space="preserve"> the </w:t>
      </w:r>
      <w:r w:rsidR="004A47AE" w:rsidRPr="00352E0E">
        <w:t>highest-risk</w:t>
      </w:r>
      <w:r w:rsidR="004A47AE">
        <w:t xml:space="preserve"> tumours,</w:t>
      </w:r>
      <w:r w:rsidR="00605D29">
        <w:t xml:space="preserve"> with </w:t>
      </w:r>
      <w:r w:rsidR="004A47AE">
        <w:t xml:space="preserve">overall sensitivity, specificity and PPV for differentiating Class 2 (high-) and Class 1 (low-risk) </w:t>
      </w:r>
      <w:proofErr w:type="spellStart"/>
      <w:r w:rsidR="004A47AE">
        <w:t>cSCC</w:t>
      </w:r>
      <w:proofErr w:type="spellEnd"/>
      <w:r w:rsidR="00605D29">
        <w:t xml:space="preserve"> of </w:t>
      </w:r>
      <w:r w:rsidR="004A47AE">
        <w:t>65.4%, 68.8%, and 28.8%, respectively (11).</w:t>
      </w:r>
      <w:r w:rsidR="00AB5CE9">
        <w:t xml:space="preserve"> </w:t>
      </w:r>
      <w:r w:rsidR="00F41B86">
        <w:t>A completely</w:t>
      </w:r>
      <w:r w:rsidR="000A0036">
        <w:t xml:space="preserve"> unbiased discovery-driven approach using information from the whole genome and transcriptome to identify prognostic gene signatures is currently lacking</w:t>
      </w:r>
      <w:r w:rsidR="008C303D">
        <w:t xml:space="preserve">. Such </w:t>
      </w:r>
      <w:r w:rsidR="00E4486E">
        <w:t>an approach may also uncover</w:t>
      </w:r>
      <w:r w:rsidR="005979C6">
        <w:t xml:space="preserve"> key </w:t>
      </w:r>
      <w:r w:rsidR="001241BD">
        <w:t xml:space="preserve">molecular mechanisms </w:t>
      </w:r>
      <w:r w:rsidR="00170740">
        <w:t xml:space="preserve">underpinning </w:t>
      </w:r>
      <w:r w:rsidR="00505A2B">
        <w:rPr>
          <w:rFonts w:cstheme="minorHAnsi"/>
        </w:rPr>
        <w:t xml:space="preserve">disease progression and </w:t>
      </w:r>
      <w:r w:rsidR="00170740">
        <w:t>metastatic risk.</w:t>
      </w:r>
      <w:r w:rsidR="00480CA1">
        <w:t xml:space="preserve"> </w:t>
      </w:r>
    </w:p>
    <w:p w14:paraId="5018941E" w14:textId="77777777" w:rsidR="00057D04" w:rsidRPr="004F26D0" w:rsidRDefault="00057D04" w:rsidP="000A0036">
      <w:pPr>
        <w:spacing w:line="276" w:lineRule="auto"/>
        <w:jc w:val="both"/>
        <w:rPr>
          <w:rFonts w:cstheme="minorHAnsi"/>
        </w:rPr>
      </w:pPr>
    </w:p>
    <w:p w14:paraId="419E103C" w14:textId="62CADB0F" w:rsidR="00B32A13" w:rsidRDefault="00573115" w:rsidP="00090916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To develop a </w:t>
      </w:r>
      <w:r w:rsidRPr="007F4B35">
        <w:rPr>
          <w:rFonts w:cstheme="minorHAnsi"/>
        </w:rPr>
        <w:t>validated prognostic signature in an unbiased manner</w:t>
      </w:r>
      <w:r w:rsidR="00054EFA">
        <w:rPr>
          <w:rFonts w:cstheme="minorHAnsi"/>
        </w:rPr>
        <w:t xml:space="preserve">, </w:t>
      </w:r>
      <w:r>
        <w:rPr>
          <w:rFonts w:cstheme="minorHAnsi"/>
        </w:rPr>
        <w:t xml:space="preserve">we assembled a multicentre cohort </w:t>
      </w:r>
      <w:r w:rsidRPr="009B3446">
        <w:rPr>
          <w:rFonts w:cstheme="minorHAnsi"/>
        </w:rPr>
        <w:t xml:space="preserve">of </w:t>
      </w:r>
      <w:r>
        <w:rPr>
          <w:rFonts w:cstheme="minorHAnsi"/>
        </w:rPr>
        <w:t xml:space="preserve">primary </w:t>
      </w:r>
      <w:proofErr w:type="spellStart"/>
      <w:r>
        <w:rPr>
          <w:rFonts w:cstheme="minorHAnsi"/>
        </w:rPr>
        <w:t>cSCC</w:t>
      </w:r>
      <w:proofErr w:type="spellEnd"/>
      <w:r>
        <w:rPr>
          <w:rFonts w:cstheme="minorHAnsi"/>
        </w:rPr>
        <w:t xml:space="preserve"> archival tissue from </w:t>
      </w:r>
      <w:r w:rsidRPr="00CC09EA">
        <w:rPr>
          <w:rFonts w:cstheme="minorHAnsi"/>
        </w:rPr>
        <w:t>2</w:t>
      </w:r>
      <w:r>
        <w:rPr>
          <w:rFonts w:cstheme="minorHAnsi"/>
        </w:rPr>
        <w:t>37</w:t>
      </w:r>
      <w:r w:rsidRPr="00CC09EA">
        <w:rPr>
          <w:rFonts w:cstheme="minorHAnsi"/>
        </w:rPr>
        <w:t xml:space="preserve"> patients </w:t>
      </w:r>
      <w:r>
        <w:rPr>
          <w:rFonts w:cstheme="minorHAnsi"/>
        </w:rPr>
        <w:t>with known clinical outcomes (no metastasis</w:t>
      </w:r>
      <w:r w:rsidR="00605D29" w:rsidRPr="00605D29">
        <w:rPr>
          <w:rFonts w:cstheme="minorHAnsi"/>
        </w:rPr>
        <w:t xml:space="preserve"> </w:t>
      </w:r>
      <w:r w:rsidR="00605D29">
        <w:rPr>
          <w:rFonts w:cstheme="minorHAnsi"/>
        </w:rPr>
        <w:t>over 3 years</w:t>
      </w:r>
      <w:r>
        <w:rPr>
          <w:rFonts w:cstheme="minorHAnsi"/>
        </w:rPr>
        <w:t>, n=</w:t>
      </w:r>
      <w:r w:rsidRPr="003F1296">
        <w:rPr>
          <w:rFonts w:cstheme="minorHAnsi"/>
        </w:rPr>
        <w:t>1</w:t>
      </w:r>
      <w:r>
        <w:rPr>
          <w:rFonts w:cstheme="minorHAnsi"/>
        </w:rPr>
        <w:t>51; metastasis, n=86)</w:t>
      </w:r>
      <w:r w:rsidR="003E23FF">
        <w:rPr>
          <w:rFonts w:cstheme="minorHAnsi"/>
        </w:rPr>
        <w:t xml:space="preserve">. </w:t>
      </w:r>
      <w:r w:rsidR="005842DC" w:rsidRPr="007F4B35">
        <w:rPr>
          <w:rFonts w:cstheme="minorHAnsi"/>
        </w:rPr>
        <w:t>W</w:t>
      </w:r>
      <w:r w:rsidR="001B41C0" w:rsidRPr="007F4B35">
        <w:rPr>
          <w:rFonts w:cstheme="minorHAnsi"/>
        </w:rPr>
        <w:t xml:space="preserve">hole transcriptomic data </w:t>
      </w:r>
      <w:r w:rsidR="00F97DB9" w:rsidRPr="007F4B35">
        <w:rPr>
          <w:rFonts w:cstheme="minorHAnsi"/>
        </w:rPr>
        <w:t>were generated f</w:t>
      </w:r>
      <w:r w:rsidR="007F4B35" w:rsidRPr="007F4B35">
        <w:rPr>
          <w:rFonts w:cstheme="minorHAnsi"/>
        </w:rPr>
        <w:t>rom</w:t>
      </w:r>
      <w:r w:rsidR="00F97DB9" w:rsidRPr="007F4B35">
        <w:rPr>
          <w:rFonts w:cstheme="minorHAnsi"/>
        </w:rPr>
        <w:t xml:space="preserve"> </w:t>
      </w:r>
      <w:r w:rsidR="008A24E1">
        <w:rPr>
          <w:rFonts w:cstheme="minorHAnsi"/>
        </w:rPr>
        <w:t>tumour</w:t>
      </w:r>
      <w:r w:rsidR="00F74F35" w:rsidRPr="007F4B35">
        <w:rPr>
          <w:rFonts w:cstheme="minorHAnsi"/>
        </w:rPr>
        <w:t xml:space="preserve"> </w:t>
      </w:r>
      <w:r w:rsidR="002231C4">
        <w:rPr>
          <w:rFonts w:cstheme="minorHAnsi"/>
        </w:rPr>
        <w:t xml:space="preserve">and perilesional normal </w:t>
      </w:r>
      <w:r w:rsidR="00FA448E">
        <w:rPr>
          <w:rFonts w:cstheme="minorHAnsi"/>
        </w:rPr>
        <w:t>skin</w:t>
      </w:r>
      <w:r w:rsidR="000026A9" w:rsidRPr="007F4B35">
        <w:rPr>
          <w:rFonts w:cstheme="minorHAnsi"/>
        </w:rPr>
        <w:t xml:space="preserve">. </w:t>
      </w:r>
      <w:r w:rsidR="004C3E3A" w:rsidRPr="007F4B35">
        <w:rPr>
          <w:rFonts w:cstheme="minorHAnsi"/>
        </w:rPr>
        <w:t>A range of m</w:t>
      </w:r>
      <w:r w:rsidR="00FD5F69" w:rsidRPr="007F4B35">
        <w:rPr>
          <w:rFonts w:cstheme="minorHAnsi"/>
        </w:rPr>
        <w:t xml:space="preserve">achine learning </w:t>
      </w:r>
      <w:r w:rsidR="000B35A1" w:rsidRPr="007F4B35">
        <w:rPr>
          <w:rFonts w:cstheme="minorHAnsi"/>
        </w:rPr>
        <w:t xml:space="preserve">(ML) </w:t>
      </w:r>
      <w:r w:rsidR="00533729" w:rsidRPr="007F4B35">
        <w:rPr>
          <w:rFonts w:cstheme="minorHAnsi"/>
        </w:rPr>
        <w:t>te</w:t>
      </w:r>
      <w:r w:rsidR="007347D8" w:rsidRPr="007F4B35">
        <w:rPr>
          <w:rFonts w:cstheme="minorHAnsi"/>
        </w:rPr>
        <w:t xml:space="preserve">chniques </w:t>
      </w:r>
      <w:r w:rsidR="00C80C6C" w:rsidRPr="007F4B35">
        <w:rPr>
          <w:rFonts w:cstheme="minorHAnsi"/>
        </w:rPr>
        <w:t xml:space="preserve">was </w:t>
      </w:r>
      <w:r w:rsidR="00124F5D" w:rsidRPr="007F4B35">
        <w:rPr>
          <w:rFonts w:cstheme="minorHAnsi"/>
        </w:rPr>
        <w:t xml:space="preserve">applied </w:t>
      </w:r>
      <w:r w:rsidR="003521D0" w:rsidRPr="007F4B35">
        <w:rPr>
          <w:rFonts w:cstheme="minorHAnsi"/>
        </w:rPr>
        <w:t xml:space="preserve">and </w:t>
      </w:r>
      <w:r w:rsidR="00D2652F" w:rsidRPr="003F1296">
        <w:rPr>
          <w:rFonts w:cstheme="minorHAnsi"/>
        </w:rPr>
        <w:t xml:space="preserve">a </w:t>
      </w:r>
      <w:r w:rsidR="002A29EF" w:rsidRPr="003F1296">
        <w:rPr>
          <w:rFonts w:cstheme="minorHAnsi"/>
        </w:rPr>
        <w:t>20</w:t>
      </w:r>
      <w:r w:rsidR="00D2652F" w:rsidRPr="003F1296">
        <w:rPr>
          <w:rFonts w:cstheme="minorHAnsi"/>
        </w:rPr>
        <w:t>-gene</w:t>
      </w:r>
      <w:r w:rsidR="00D2652F">
        <w:rPr>
          <w:rFonts w:cstheme="minorHAnsi"/>
        </w:rPr>
        <w:t xml:space="preserve"> </w:t>
      </w:r>
      <w:r w:rsidR="00C170A8">
        <w:rPr>
          <w:rFonts w:cstheme="minorHAnsi"/>
        </w:rPr>
        <w:t xml:space="preserve">GEP </w:t>
      </w:r>
      <w:r w:rsidR="00CC11BA">
        <w:rPr>
          <w:rFonts w:cstheme="minorHAnsi"/>
        </w:rPr>
        <w:t xml:space="preserve">model </w:t>
      </w:r>
      <w:r w:rsidR="006B6588">
        <w:rPr>
          <w:rFonts w:cstheme="minorHAnsi"/>
        </w:rPr>
        <w:t xml:space="preserve">was developed </w:t>
      </w:r>
      <w:r w:rsidR="00C9785F">
        <w:rPr>
          <w:rFonts w:cstheme="minorHAnsi"/>
        </w:rPr>
        <w:t>w</w:t>
      </w:r>
      <w:r w:rsidR="007F4B35">
        <w:rPr>
          <w:rFonts w:cstheme="minorHAnsi"/>
        </w:rPr>
        <w:t>hich displayed</w:t>
      </w:r>
      <w:r w:rsidR="00C9785F">
        <w:rPr>
          <w:rFonts w:cstheme="minorHAnsi"/>
        </w:rPr>
        <w:t xml:space="preserve"> a high level of </w:t>
      </w:r>
      <w:r w:rsidR="00C56B35">
        <w:rPr>
          <w:rFonts w:cstheme="minorHAnsi"/>
        </w:rPr>
        <w:t xml:space="preserve">accuracy </w:t>
      </w:r>
      <w:r w:rsidR="007F4B35">
        <w:rPr>
          <w:rFonts w:cstheme="minorHAnsi"/>
        </w:rPr>
        <w:t xml:space="preserve">in </w:t>
      </w:r>
      <w:r w:rsidR="00B842AA">
        <w:rPr>
          <w:rFonts w:cstheme="minorHAnsi"/>
        </w:rPr>
        <w:t xml:space="preserve">differentiating metastasising and non-metastasising </w:t>
      </w:r>
      <w:r w:rsidR="003F43EF">
        <w:rPr>
          <w:rFonts w:cstheme="minorHAnsi"/>
        </w:rPr>
        <w:t xml:space="preserve">primary </w:t>
      </w:r>
      <w:proofErr w:type="spellStart"/>
      <w:r w:rsidR="003F43EF">
        <w:rPr>
          <w:rFonts w:cstheme="minorHAnsi"/>
        </w:rPr>
        <w:t>cSCC</w:t>
      </w:r>
      <w:proofErr w:type="spellEnd"/>
      <w:r w:rsidR="00835A87" w:rsidRPr="0010021D">
        <w:rPr>
          <w:rFonts w:cstheme="minorHAnsi"/>
        </w:rPr>
        <w:t>.</w:t>
      </w:r>
      <w:r w:rsidR="00D00F6F">
        <w:rPr>
          <w:rFonts w:cstheme="minorHAnsi"/>
        </w:rPr>
        <w:t xml:space="preserve"> </w:t>
      </w:r>
      <w:r w:rsidR="00FD206C">
        <w:rPr>
          <w:rFonts w:cstheme="minorHAnsi"/>
        </w:rPr>
        <w:t xml:space="preserve">A linear </w:t>
      </w:r>
      <w:r w:rsidR="001B3F7C">
        <w:rPr>
          <w:rFonts w:cstheme="minorHAnsi"/>
        </w:rPr>
        <w:t>predictor</w:t>
      </w:r>
      <w:r w:rsidR="00EB09B5">
        <w:rPr>
          <w:rFonts w:cstheme="minorHAnsi"/>
        </w:rPr>
        <w:t xml:space="preserve"> based on the </w:t>
      </w:r>
      <w:r w:rsidR="00E93F32" w:rsidRPr="006B6A4A">
        <w:rPr>
          <w:rFonts w:cstheme="minorHAnsi"/>
        </w:rPr>
        <w:t>20</w:t>
      </w:r>
      <w:r w:rsidR="00AA2B48" w:rsidRPr="006B6A4A">
        <w:rPr>
          <w:rFonts w:cstheme="minorHAnsi"/>
        </w:rPr>
        <w:t>-gene</w:t>
      </w:r>
      <w:r w:rsidR="00AA2B48">
        <w:rPr>
          <w:rFonts w:cstheme="minorHAnsi"/>
        </w:rPr>
        <w:t xml:space="preserve"> GEP</w:t>
      </w:r>
      <w:r w:rsidR="001B3F7C">
        <w:rPr>
          <w:rFonts w:cstheme="minorHAnsi"/>
        </w:rPr>
        <w:t xml:space="preserve"> was </w:t>
      </w:r>
      <w:r w:rsidR="00E37CF1">
        <w:rPr>
          <w:rFonts w:cstheme="minorHAnsi"/>
        </w:rPr>
        <w:t xml:space="preserve">then </w:t>
      </w:r>
      <w:r w:rsidR="00CF60F7">
        <w:rPr>
          <w:rFonts w:cstheme="minorHAnsi"/>
        </w:rPr>
        <w:t xml:space="preserve">developed </w:t>
      </w:r>
      <w:r w:rsidR="000A5B6B">
        <w:rPr>
          <w:rFonts w:cstheme="minorHAnsi"/>
        </w:rPr>
        <w:t xml:space="preserve">to further aid </w:t>
      </w:r>
      <w:r w:rsidR="004E72F9">
        <w:rPr>
          <w:rFonts w:cstheme="minorHAnsi"/>
        </w:rPr>
        <w:t xml:space="preserve">the implementation of </w:t>
      </w:r>
      <w:r w:rsidR="00EA0319">
        <w:rPr>
          <w:rFonts w:cstheme="minorHAnsi"/>
        </w:rPr>
        <w:t xml:space="preserve">the </w:t>
      </w:r>
      <w:r w:rsidR="00FF3A69">
        <w:rPr>
          <w:rFonts w:cstheme="minorHAnsi"/>
        </w:rPr>
        <w:t>GEP signature</w:t>
      </w:r>
      <w:r w:rsidR="007F4B35">
        <w:rPr>
          <w:rFonts w:cstheme="minorHAnsi"/>
        </w:rPr>
        <w:t xml:space="preserve"> for risk stratification in clinical practice. Ultimately, use of this GEP to guide management decisions may </w:t>
      </w:r>
      <w:r w:rsidR="00B210C9">
        <w:rPr>
          <w:rFonts w:cstheme="minorHAnsi"/>
        </w:rPr>
        <w:t>significantly impro</w:t>
      </w:r>
      <w:r w:rsidR="007F4B35">
        <w:rPr>
          <w:rFonts w:cstheme="minorHAnsi"/>
        </w:rPr>
        <w:t>ve</w:t>
      </w:r>
      <w:r w:rsidR="00B210C9">
        <w:rPr>
          <w:rFonts w:cstheme="minorHAnsi"/>
        </w:rPr>
        <w:t xml:space="preserve"> patient</w:t>
      </w:r>
      <w:r w:rsidR="00D61EC7">
        <w:rPr>
          <w:rFonts w:cstheme="minorHAnsi"/>
        </w:rPr>
        <w:t xml:space="preserve"> </w:t>
      </w:r>
      <w:r w:rsidR="001207C9">
        <w:rPr>
          <w:rFonts w:cstheme="minorHAnsi"/>
        </w:rPr>
        <w:t xml:space="preserve">management </w:t>
      </w:r>
      <w:r w:rsidR="007F4B35">
        <w:rPr>
          <w:rFonts w:cstheme="minorHAnsi"/>
        </w:rPr>
        <w:t xml:space="preserve">for </w:t>
      </w:r>
      <w:r w:rsidR="009873D4">
        <w:rPr>
          <w:rFonts w:cstheme="minorHAnsi"/>
        </w:rPr>
        <w:t xml:space="preserve">this </w:t>
      </w:r>
      <w:r w:rsidR="008924F9">
        <w:rPr>
          <w:rFonts w:cstheme="minorHAnsi"/>
        </w:rPr>
        <w:t>commo</w:t>
      </w:r>
      <w:r w:rsidR="007F4B35">
        <w:rPr>
          <w:rFonts w:cstheme="minorHAnsi"/>
        </w:rPr>
        <w:t>n</w:t>
      </w:r>
      <w:r w:rsidR="008924F9">
        <w:rPr>
          <w:rFonts w:cstheme="minorHAnsi"/>
        </w:rPr>
        <w:t xml:space="preserve"> cancer.</w:t>
      </w:r>
      <w:r w:rsidR="004A28BE">
        <w:rPr>
          <w:rFonts w:cstheme="minorHAnsi"/>
        </w:rPr>
        <w:t xml:space="preserve"> </w:t>
      </w:r>
    </w:p>
    <w:p w14:paraId="07D4DD23" w14:textId="40C006A4" w:rsidR="005932E3" w:rsidRDefault="005932E3" w:rsidP="00090916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lang w:eastAsia="en-GB"/>
        </w:rPr>
      </w:pPr>
    </w:p>
    <w:p w14:paraId="21CB8F0E" w14:textId="11563043" w:rsidR="00906826" w:rsidRDefault="00906826" w:rsidP="00090916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lang w:eastAsia="en-GB"/>
        </w:rPr>
      </w:pPr>
    </w:p>
    <w:p w14:paraId="328644BF" w14:textId="77777777" w:rsidR="00D55FBF" w:rsidRPr="009D54B5" w:rsidRDefault="00D55FBF" w:rsidP="00090916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lang w:eastAsia="en-GB"/>
        </w:rPr>
      </w:pPr>
    </w:p>
    <w:p w14:paraId="5BCFDF53" w14:textId="70E11CA8" w:rsidR="009F78DA" w:rsidRPr="00FE7AC8" w:rsidRDefault="009F78DA" w:rsidP="00090916">
      <w:pPr>
        <w:spacing w:before="100" w:beforeAutospacing="1" w:after="100" w:afterAutospacing="1"/>
        <w:jc w:val="both"/>
        <w:rPr>
          <w:rFonts w:eastAsia="Times New Roman" w:cs="Calibri (Body)"/>
          <w:b/>
          <w:bCs/>
          <w:caps/>
          <w:lang w:eastAsia="en-GB"/>
        </w:rPr>
      </w:pPr>
      <w:r w:rsidRPr="00FE7AC8">
        <w:rPr>
          <w:rFonts w:eastAsia="Times New Roman" w:cs="Calibri (Body)"/>
          <w:b/>
          <w:bCs/>
          <w:caps/>
          <w:lang w:eastAsia="en-GB"/>
        </w:rPr>
        <w:t>Methods</w:t>
      </w:r>
      <w:r w:rsidR="009D54B5" w:rsidRPr="00FE7AC8">
        <w:rPr>
          <w:rFonts w:eastAsia="Times New Roman" w:cs="Calibri (Body)"/>
          <w:b/>
          <w:bCs/>
          <w:caps/>
          <w:lang w:eastAsia="en-GB"/>
        </w:rPr>
        <w:t xml:space="preserve"> </w:t>
      </w:r>
      <w:r w:rsidR="00BC38EC">
        <w:rPr>
          <w:rFonts w:eastAsia="Times New Roman" w:cs="Calibri (Body)"/>
          <w:b/>
          <w:bCs/>
          <w:caps/>
          <w:lang w:eastAsia="en-GB"/>
        </w:rPr>
        <w:t xml:space="preserve"> </w:t>
      </w:r>
    </w:p>
    <w:p w14:paraId="7E8F0442" w14:textId="5D996002" w:rsidR="00033D93" w:rsidRDefault="00B20088" w:rsidP="00090916">
      <w:pPr>
        <w:pStyle w:val="PlainText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F78DA">
        <w:rPr>
          <w:rFonts w:asciiTheme="minorHAnsi" w:hAnsiTheme="minorHAnsi" w:cstheme="minorHAnsi"/>
          <w:b/>
          <w:sz w:val="24"/>
          <w:szCs w:val="24"/>
        </w:rPr>
        <w:t>Ethical approval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3A64">
        <w:rPr>
          <w:rFonts w:asciiTheme="minorHAnsi" w:hAnsiTheme="minorHAnsi" w:cstheme="minorHAnsi"/>
          <w:b/>
          <w:sz w:val="24"/>
          <w:szCs w:val="24"/>
        </w:rPr>
        <w:t>and sample identification</w:t>
      </w:r>
    </w:p>
    <w:p w14:paraId="6F6372F2" w14:textId="0EF75DB2" w:rsidR="00794F25" w:rsidRPr="0089358D" w:rsidRDefault="00B20088" w:rsidP="00465A08">
      <w:pPr>
        <w:pStyle w:val="PlainTex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78DA">
        <w:rPr>
          <w:rFonts w:asciiTheme="minorHAnsi" w:hAnsiTheme="minorHAnsi" w:cstheme="minorHAnsi"/>
          <w:bCs/>
          <w:sz w:val="24"/>
          <w:szCs w:val="24"/>
        </w:rPr>
        <w:t>This study was approved as IRAS project 266559 (Diagnostic marker panel development for progression in skin cancer</w:t>
      </w:r>
      <w:r w:rsidR="008B2F36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9F78DA">
        <w:rPr>
          <w:rFonts w:asciiTheme="minorHAnsi" w:hAnsiTheme="minorHAnsi" w:cstheme="minorHAnsi"/>
          <w:bCs/>
          <w:sz w:val="24"/>
          <w:szCs w:val="24"/>
        </w:rPr>
        <w:t>PERMEDID</w:t>
      </w:r>
      <w:r w:rsidRPr="009F0B81">
        <w:rPr>
          <w:rFonts w:cstheme="minorHAnsi"/>
          <w:bCs/>
        </w:rPr>
        <w:t>)</w:t>
      </w:r>
      <w:r w:rsidR="00F54C73">
        <w:rPr>
          <w:rFonts w:cstheme="minorHAnsi"/>
          <w:bCs/>
        </w:rPr>
        <w:t>.</w:t>
      </w:r>
      <w:r w:rsidR="009169F9" w:rsidRPr="009F0B81">
        <w:rPr>
          <w:rFonts w:cstheme="minorHAnsi"/>
          <w:bCs/>
        </w:rPr>
        <w:t xml:space="preserve"> </w:t>
      </w:r>
      <w:r w:rsidR="006B3A64" w:rsidRPr="004E7B88">
        <w:rPr>
          <w:rFonts w:asciiTheme="minorHAnsi" w:hAnsiTheme="minorHAnsi" w:cstheme="minorHAnsi"/>
          <w:sz w:val="24"/>
          <w:szCs w:val="24"/>
        </w:rPr>
        <w:t>Four c</w:t>
      </w:r>
      <w:r w:rsidR="00794F25" w:rsidRPr="004E7B88">
        <w:rPr>
          <w:rFonts w:asciiTheme="minorHAnsi" w:hAnsiTheme="minorHAnsi" w:cstheme="minorHAnsi"/>
          <w:sz w:val="24"/>
          <w:szCs w:val="24"/>
        </w:rPr>
        <w:t xml:space="preserve">ollaborating pathology centres </w:t>
      </w:r>
      <w:r w:rsidR="006B3A64" w:rsidRPr="004E7B88">
        <w:rPr>
          <w:rFonts w:asciiTheme="minorHAnsi" w:hAnsiTheme="minorHAnsi" w:cstheme="minorHAnsi"/>
          <w:sz w:val="24"/>
          <w:szCs w:val="24"/>
        </w:rPr>
        <w:t>identified</w:t>
      </w:r>
      <w:r w:rsidR="008B2F36">
        <w:rPr>
          <w:rFonts w:asciiTheme="minorHAnsi" w:hAnsiTheme="minorHAnsi" w:cstheme="minorHAnsi"/>
          <w:sz w:val="24"/>
          <w:szCs w:val="24"/>
        </w:rPr>
        <w:t xml:space="preserve"> consecutive patients with </w:t>
      </w:r>
      <w:r w:rsidR="00794F25" w:rsidRPr="004E7B88">
        <w:rPr>
          <w:rFonts w:asciiTheme="minorHAnsi" w:hAnsiTheme="minorHAnsi" w:cstheme="minorHAnsi"/>
          <w:sz w:val="24"/>
          <w:szCs w:val="24"/>
        </w:rPr>
        <w:t xml:space="preserve">primary </w:t>
      </w:r>
      <w:proofErr w:type="spellStart"/>
      <w:r w:rsidR="00794F25" w:rsidRPr="004E7B88">
        <w:rPr>
          <w:rFonts w:asciiTheme="minorHAnsi" w:hAnsiTheme="minorHAnsi" w:cstheme="minorHAnsi"/>
          <w:sz w:val="24"/>
          <w:szCs w:val="24"/>
        </w:rPr>
        <w:t>cSCC</w:t>
      </w:r>
      <w:proofErr w:type="spellEnd"/>
      <w:r w:rsidR="00794F25" w:rsidRPr="004E7B88">
        <w:rPr>
          <w:rFonts w:asciiTheme="minorHAnsi" w:hAnsiTheme="minorHAnsi" w:cstheme="minorHAnsi"/>
          <w:sz w:val="24"/>
          <w:szCs w:val="24"/>
        </w:rPr>
        <w:t xml:space="preserve"> which had metastasised</w:t>
      </w:r>
      <w:r w:rsidR="00543B95">
        <w:rPr>
          <w:rFonts w:asciiTheme="minorHAnsi" w:hAnsiTheme="minorHAnsi" w:cstheme="minorHAnsi"/>
          <w:sz w:val="24"/>
          <w:szCs w:val="24"/>
        </w:rPr>
        <w:t>,</w:t>
      </w:r>
      <w:r w:rsidR="008B2F36">
        <w:rPr>
          <w:rFonts w:asciiTheme="minorHAnsi" w:hAnsiTheme="minorHAnsi" w:cstheme="minorHAnsi"/>
          <w:sz w:val="24"/>
          <w:szCs w:val="24"/>
        </w:rPr>
        <w:t xml:space="preserve"> or primary </w:t>
      </w:r>
      <w:proofErr w:type="spellStart"/>
      <w:r w:rsidR="008B2F36">
        <w:rPr>
          <w:rFonts w:asciiTheme="minorHAnsi" w:hAnsiTheme="minorHAnsi" w:cstheme="minorHAnsi"/>
          <w:sz w:val="24"/>
          <w:szCs w:val="24"/>
        </w:rPr>
        <w:t>cSCC</w:t>
      </w:r>
      <w:proofErr w:type="spellEnd"/>
      <w:r w:rsidR="008B2F36">
        <w:rPr>
          <w:rFonts w:asciiTheme="minorHAnsi" w:hAnsiTheme="minorHAnsi" w:cstheme="minorHAnsi"/>
          <w:sz w:val="24"/>
          <w:szCs w:val="24"/>
        </w:rPr>
        <w:t xml:space="preserve"> which had not</w:t>
      </w:r>
      <w:r w:rsidR="00794F25" w:rsidRPr="004E7B88">
        <w:rPr>
          <w:rFonts w:asciiTheme="minorHAnsi" w:hAnsiTheme="minorHAnsi" w:cstheme="minorHAnsi"/>
          <w:sz w:val="24"/>
          <w:szCs w:val="24"/>
        </w:rPr>
        <w:t xml:space="preserve"> metastas</w:t>
      </w:r>
      <w:r w:rsidR="008B2F36">
        <w:rPr>
          <w:rFonts w:asciiTheme="minorHAnsi" w:hAnsiTheme="minorHAnsi" w:cstheme="minorHAnsi"/>
          <w:sz w:val="24"/>
          <w:szCs w:val="24"/>
        </w:rPr>
        <w:t>ised</w:t>
      </w:r>
      <w:r w:rsidR="000C5604" w:rsidRPr="004E7B88">
        <w:rPr>
          <w:rFonts w:asciiTheme="minorHAnsi" w:hAnsiTheme="minorHAnsi" w:cstheme="minorHAnsi"/>
          <w:sz w:val="24"/>
          <w:szCs w:val="24"/>
        </w:rPr>
        <w:t xml:space="preserve"> within</w:t>
      </w:r>
      <w:r w:rsidR="006B3A64" w:rsidRPr="004E7B88">
        <w:rPr>
          <w:rFonts w:asciiTheme="minorHAnsi" w:hAnsiTheme="minorHAnsi" w:cstheme="minorHAnsi"/>
          <w:sz w:val="24"/>
          <w:szCs w:val="24"/>
        </w:rPr>
        <w:t xml:space="preserve"> 3 years</w:t>
      </w:r>
      <w:r w:rsidR="006B3A64" w:rsidRPr="004E7B8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(</w:t>
      </w:r>
      <w:r w:rsidR="006B3A64" w:rsidRPr="004E7B88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Table I)</w:t>
      </w:r>
      <w:r w:rsidR="00FB187E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.</w:t>
      </w:r>
      <w:r w:rsidR="00794F25" w:rsidRPr="004E7B88">
        <w:rPr>
          <w:rFonts w:asciiTheme="minorHAnsi" w:hAnsiTheme="minorHAnsi" w:cstheme="minorHAnsi"/>
          <w:sz w:val="24"/>
          <w:szCs w:val="24"/>
        </w:rPr>
        <w:t xml:space="preserve"> </w:t>
      </w:r>
      <w:r w:rsidR="006B3A64" w:rsidRPr="004E7B88">
        <w:rPr>
          <w:rFonts w:asciiTheme="minorHAnsi" w:hAnsiTheme="minorHAnsi" w:cstheme="minorHAnsi"/>
          <w:sz w:val="24"/>
          <w:szCs w:val="24"/>
        </w:rPr>
        <w:t>Immunosuppressed patients were excluded.</w:t>
      </w:r>
      <w:r w:rsidR="00794F25" w:rsidRPr="004E7B88">
        <w:rPr>
          <w:rFonts w:asciiTheme="minorHAnsi" w:hAnsiTheme="minorHAnsi" w:cstheme="minorHAnsi"/>
          <w:sz w:val="24"/>
          <w:szCs w:val="24"/>
        </w:rPr>
        <w:t xml:space="preserve"> Formalin fixed paraffin embedded (FFPE) </w:t>
      </w:r>
      <w:r w:rsidR="006B3A64" w:rsidRPr="004E7B88">
        <w:rPr>
          <w:rFonts w:asciiTheme="minorHAnsi" w:hAnsiTheme="minorHAnsi" w:cstheme="minorHAnsi"/>
          <w:sz w:val="24"/>
          <w:szCs w:val="24"/>
        </w:rPr>
        <w:t>sections were reviewed by an expert dermatopathologist and tumour and perilesional normal skin marked</w:t>
      </w:r>
      <w:r w:rsidR="00543B95">
        <w:rPr>
          <w:rFonts w:asciiTheme="minorHAnsi" w:hAnsiTheme="minorHAnsi" w:cstheme="minorHAnsi"/>
          <w:sz w:val="24"/>
          <w:szCs w:val="24"/>
        </w:rPr>
        <w:t xml:space="preserve"> for subsequent analysis </w:t>
      </w:r>
      <w:r w:rsidR="00794F25" w:rsidRPr="004E7B88">
        <w:rPr>
          <w:rFonts w:asciiTheme="minorHAnsi" w:hAnsiTheme="minorHAnsi" w:cstheme="minorHAnsi"/>
          <w:sz w:val="24"/>
          <w:szCs w:val="24"/>
        </w:rPr>
        <w:t>(see Supplemental Materials).</w:t>
      </w:r>
    </w:p>
    <w:p w14:paraId="3F5ADF08" w14:textId="77777777" w:rsidR="00114EA1" w:rsidRPr="009F0B81" w:rsidRDefault="00114EA1" w:rsidP="00090916">
      <w:pPr>
        <w:spacing w:line="276" w:lineRule="auto"/>
        <w:jc w:val="both"/>
        <w:rPr>
          <w:rFonts w:cstheme="minorHAnsi"/>
        </w:rPr>
      </w:pPr>
    </w:p>
    <w:p w14:paraId="68ED5397" w14:textId="77777777" w:rsidR="00114EA1" w:rsidRDefault="00114EA1" w:rsidP="00114EA1">
      <w:pPr>
        <w:spacing w:line="276" w:lineRule="auto"/>
        <w:jc w:val="both"/>
        <w:rPr>
          <w:rFonts w:cstheme="minorHAnsi"/>
          <w:b/>
          <w:bCs/>
        </w:rPr>
      </w:pPr>
      <w:r w:rsidRPr="004C214D">
        <w:rPr>
          <w:rFonts w:cstheme="minorHAnsi"/>
          <w:b/>
          <w:bCs/>
        </w:rPr>
        <w:t>Pathology review and pathological tumour staging</w:t>
      </w:r>
    </w:p>
    <w:p w14:paraId="6556F754" w14:textId="5EAABE1B" w:rsidR="00E608DA" w:rsidRPr="005232A5" w:rsidRDefault="00E608DA" w:rsidP="00E608D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H</w:t>
      </w:r>
      <w:r w:rsidRPr="00020DF3">
        <w:rPr>
          <w:rFonts w:cstheme="minorHAnsi"/>
        </w:rPr>
        <w:t>aematox</w:t>
      </w:r>
      <w:r>
        <w:rPr>
          <w:rFonts w:cstheme="minorHAnsi"/>
        </w:rPr>
        <w:t>y</w:t>
      </w:r>
      <w:r w:rsidRPr="00020DF3">
        <w:rPr>
          <w:rFonts w:cstheme="minorHAnsi"/>
        </w:rPr>
        <w:t>lin and eosin (H&amp;E) stained section</w:t>
      </w:r>
      <w:r>
        <w:rPr>
          <w:rFonts w:cstheme="minorHAnsi"/>
        </w:rPr>
        <w:t>s</w:t>
      </w:r>
      <w:r w:rsidRPr="00020DF3">
        <w:rPr>
          <w:rFonts w:cstheme="minorHAnsi"/>
        </w:rPr>
        <w:t xml:space="preserve"> were digitally scanned </w:t>
      </w:r>
      <w:r>
        <w:rPr>
          <w:rFonts w:cstheme="minorHAnsi"/>
        </w:rPr>
        <w:t>by</w:t>
      </w:r>
      <w:r w:rsidRPr="00020DF3">
        <w:rPr>
          <w:rFonts w:cstheme="minorHAnsi"/>
        </w:rPr>
        <w:t xml:space="preserve"> Leica scanner and </w:t>
      </w:r>
      <w:proofErr w:type="spellStart"/>
      <w:r w:rsidRPr="00020DF3">
        <w:rPr>
          <w:rFonts w:cstheme="minorHAnsi"/>
        </w:rPr>
        <w:t>Aperio</w:t>
      </w:r>
      <w:proofErr w:type="spellEnd"/>
      <w:r w:rsidRPr="00020DF3">
        <w:rPr>
          <w:rFonts w:cstheme="minorHAnsi"/>
        </w:rPr>
        <w:t xml:space="preserve"> software</w:t>
      </w:r>
      <w:r>
        <w:rPr>
          <w:rFonts w:cstheme="minorHAnsi"/>
        </w:rPr>
        <w:t>.</w:t>
      </w:r>
      <w:r w:rsidRPr="00020DF3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020DF3">
        <w:rPr>
          <w:rFonts w:cstheme="minorHAnsi"/>
        </w:rPr>
        <w:t xml:space="preserve">mages </w:t>
      </w:r>
      <w:r>
        <w:rPr>
          <w:rFonts w:cstheme="minorHAnsi"/>
        </w:rPr>
        <w:t xml:space="preserve">were </w:t>
      </w:r>
      <w:r w:rsidRPr="00020DF3">
        <w:rPr>
          <w:rFonts w:cstheme="minorHAnsi"/>
        </w:rPr>
        <w:t>reviewed</w:t>
      </w:r>
      <w:r>
        <w:rPr>
          <w:rFonts w:cstheme="minorHAnsi"/>
        </w:rPr>
        <w:t xml:space="preserve"> centrally </w:t>
      </w:r>
      <w:r w:rsidRPr="00020DF3">
        <w:rPr>
          <w:rFonts w:cstheme="minorHAnsi"/>
        </w:rPr>
        <w:t>by two expert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dermatopathologists and primary tumours typed, graded and histologically staged using </w:t>
      </w:r>
      <w:r w:rsidRPr="00D27F11">
        <w:rPr>
          <w:rFonts w:cstheme="minorHAnsi"/>
        </w:rPr>
        <w:t>Union for International Cancer Control</w:t>
      </w:r>
      <w:r w:rsidRPr="00282EB3">
        <w:rPr>
          <w:rFonts w:cstheme="minorHAnsi"/>
        </w:rPr>
        <w:t xml:space="preserve"> (</w:t>
      </w:r>
      <w:r w:rsidRPr="00D27F11">
        <w:rPr>
          <w:rFonts w:cstheme="minorHAnsi"/>
        </w:rPr>
        <w:t>UICC</w:t>
      </w:r>
      <w:r w:rsidRPr="00282EB3">
        <w:rPr>
          <w:rFonts w:cstheme="minorHAnsi"/>
        </w:rPr>
        <w:t>)</w:t>
      </w:r>
      <w:r>
        <w:rPr>
          <w:rFonts w:cstheme="minorHAnsi"/>
        </w:rPr>
        <w:t xml:space="preserve">-8 and </w:t>
      </w:r>
      <w:r w:rsidRPr="00282EB3">
        <w:rPr>
          <w:rFonts w:cstheme="minorHAnsi"/>
        </w:rPr>
        <w:t>Brigham and Women's Hospital (BWH)</w:t>
      </w:r>
      <w:r>
        <w:rPr>
          <w:rFonts w:cstheme="minorHAnsi"/>
        </w:rPr>
        <w:t xml:space="preserve"> classifications.</w:t>
      </w:r>
    </w:p>
    <w:p w14:paraId="355DD024" w14:textId="77777777" w:rsidR="00A9203A" w:rsidRDefault="00A9203A" w:rsidP="00090916">
      <w:pPr>
        <w:spacing w:line="276" w:lineRule="auto"/>
        <w:jc w:val="both"/>
        <w:rPr>
          <w:rFonts w:cstheme="minorHAnsi"/>
        </w:rPr>
      </w:pPr>
    </w:p>
    <w:p w14:paraId="412B5DEC" w14:textId="4E1F72ED" w:rsidR="009D54B5" w:rsidRPr="00AE0034" w:rsidRDefault="009F78DA" w:rsidP="00262522">
      <w:pPr>
        <w:spacing w:line="276" w:lineRule="auto"/>
        <w:jc w:val="both"/>
        <w:rPr>
          <w:rFonts w:cstheme="minorHAnsi"/>
          <w:b/>
          <w:bCs/>
          <w:i/>
          <w:iCs/>
        </w:rPr>
      </w:pPr>
      <w:r w:rsidRPr="00AE0034">
        <w:rPr>
          <w:rFonts w:cstheme="minorHAnsi"/>
          <w:b/>
          <w:bCs/>
        </w:rPr>
        <w:t xml:space="preserve">Transcriptomics </w:t>
      </w:r>
      <w:r w:rsidR="00282EB3">
        <w:rPr>
          <w:rFonts w:cstheme="minorHAnsi"/>
          <w:b/>
          <w:bCs/>
        </w:rPr>
        <w:t>investigation</w:t>
      </w:r>
    </w:p>
    <w:p w14:paraId="14ECAB9A" w14:textId="2788DCC5" w:rsidR="009F78DA" w:rsidRDefault="009922E3" w:rsidP="00090916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</w:rPr>
        <w:t>T</w:t>
      </w:r>
      <w:r w:rsidR="009F78DA">
        <w:rPr>
          <w:rFonts w:cstheme="minorHAnsi"/>
        </w:rPr>
        <w:t>ranscriptomic</w:t>
      </w:r>
      <w:r w:rsidR="00282EB3">
        <w:rPr>
          <w:rFonts w:cstheme="minorHAnsi"/>
        </w:rPr>
        <w:t xml:space="preserve"> analysis </w:t>
      </w:r>
      <w:r w:rsidR="009F78DA">
        <w:rPr>
          <w:rFonts w:cstheme="minorHAnsi"/>
        </w:rPr>
        <w:t>was performed using</w:t>
      </w:r>
      <w:r>
        <w:rPr>
          <w:rFonts w:cstheme="minorHAnsi"/>
        </w:rPr>
        <w:t xml:space="preserve"> the </w:t>
      </w:r>
      <w:proofErr w:type="spellStart"/>
      <w:r w:rsidR="009F78DA">
        <w:rPr>
          <w:rFonts w:cstheme="minorHAnsi"/>
        </w:rPr>
        <w:t>TempO-Seq</w:t>
      </w:r>
      <w:proofErr w:type="spellEnd"/>
      <w:r w:rsidR="009F78DA">
        <w:rPr>
          <w:rFonts w:cstheme="minorHAnsi"/>
        </w:rPr>
        <w:t xml:space="preserve"> </w:t>
      </w:r>
      <w:r w:rsidR="00774825">
        <w:rPr>
          <w:rFonts w:cstheme="minorHAnsi"/>
        </w:rPr>
        <w:t>whole-protein coding transcrip</w:t>
      </w:r>
      <w:r w:rsidR="00A2152E">
        <w:rPr>
          <w:rFonts w:cstheme="minorHAnsi"/>
        </w:rPr>
        <w:t>t</w:t>
      </w:r>
      <w:r w:rsidR="00774825">
        <w:rPr>
          <w:rFonts w:cstheme="minorHAnsi"/>
        </w:rPr>
        <w:t>ome</w:t>
      </w:r>
      <w:r w:rsidR="00A71574">
        <w:rPr>
          <w:rFonts w:cstheme="minorHAnsi"/>
        </w:rPr>
        <w:t xml:space="preserve"> platform</w:t>
      </w:r>
      <w:r w:rsidR="00566B0A" w:rsidRPr="00566B0A">
        <w:rPr>
          <w:rFonts w:cstheme="minorHAnsi"/>
        </w:rPr>
        <w:t xml:space="preserve"> </w:t>
      </w:r>
      <w:r w:rsidR="009F78DA">
        <w:rPr>
          <w:rFonts w:cstheme="minorHAnsi"/>
        </w:rPr>
        <w:t xml:space="preserve">with </w:t>
      </w:r>
      <w:r w:rsidR="00566B0A">
        <w:rPr>
          <w:rFonts w:cstheme="minorHAnsi"/>
        </w:rPr>
        <w:t>a</w:t>
      </w:r>
      <w:r w:rsidR="009F78DA">
        <w:rPr>
          <w:rFonts w:cstheme="minorHAnsi"/>
        </w:rPr>
        <w:t xml:space="preserve"> proprietary processing pipeline </w:t>
      </w:r>
      <w:r w:rsidR="00566B0A">
        <w:rPr>
          <w:rFonts w:cstheme="minorHAnsi"/>
        </w:rPr>
        <w:t>(</w:t>
      </w:r>
      <w:proofErr w:type="spellStart"/>
      <w:r w:rsidR="00566B0A">
        <w:rPr>
          <w:rFonts w:cstheme="minorHAnsi"/>
        </w:rPr>
        <w:t>Bioclavis</w:t>
      </w:r>
      <w:proofErr w:type="spellEnd"/>
      <w:r w:rsidR="00566B0A">
        <w:rPr>
          <w:rFonts w:cstheme="minorHAnsi"/>
        </w:rPr>
        <w:t xml:space="preserve"> Ltd, Glasgow, UK) </w:t>
      </w:r>
      <w:r w:rsidR="009F78DA">
        <w:rPr>
          <w:rFonts w:cstheme="minorHAnsi"/>
        </w:rPr>
        <w:t>(1</w:t>
      </w:r>
      <w:r w:rsidR="00501520">
        <w:rPr>
          <w:rFonts w:cstheme="minorHAnsi"/>
        </w:rPr>
        <w:t>3</w:t>
      </w:r>
      <w:r w:rsidR="009F78DA">
        <w:rPr>
          <w:rFonts w:cstheme="minorHAnsi"/>
        </w:rPr>
        <w:t>)</w:t>
      </w:r>
      <w:r w:rsidR="007741EC">
        <w:rPr>
          <w:rFonts w:eastAsia="Times New Roman" w:cstheme="minorHAnsi"/>
          <w:lang w:eastAsia="en-GB"/>
        </w:rPr>
        <w:t>.</w:t>
      </w:r>
      <w:r w:rsidR="00FC1A17">
        <w:rPr>
          <w:rFonts w:cstheme="minorHAnsi"/>
          <w:b/>
          <w:bCs/>
        </w:rPr>
        <w:t xml:space="preserve"> </w:t>
      </w:r>
      <w:r w:rsidR="00DA6D2C">
        <w:rPr>
          <w:rFonts w:cstheme="minorHAnsi"/>
        </w:rPr>
        <w:t>Data pre-processing and normalisation were performed</w:t>
      </w:r>
      <w:r w:rsidR="002B46C5">
        <w:rPr>
          <w:rFonts w:cstheme="minorHAnsi"/>
        </w:rPr>
        <w:t xml:space="preserve"> using </w:t>
      </w:r>
      <w:proofErr w:type="spellStart"/>
      <w:r w:rsidR="002B46C5">
        <w:rPr>
          <w:rFonts w:cstheme="minorHAnsi"/>
        </w:rPr>
        <w:t>limma</w:t>
      </w:r>
      <w:proofErr w:type="spellEnd"/>
      <w:r w:rsidR="002B46C5">
        <w:rPr>
          <w:rFonts w:cstheme="minorHAnsi"/>
        </w:rPr>
        <w:t xml:space="preserve"> R package</w:t>
      </w:r>
      <w:r w:rsidR="00DB7DF2">
        <w:rPr>
          <w:rFonts w:cstheme="minorHAnsi"/>
        </w:rPr>
        <w:t xml:space="preserve"> (14). Batch effect was removed </w:t>
      </w:r>
      <w:r w:rsidR="00E22BAB">
        <w:rPr>
          <w:rFonts w:cstheme="minorHAnsi"/>
        </w:rPr>
        <w:t xml:space="preserve">using </w:t>
      </w:r>
      <w:r w:rsidR="0088071C">
        <w:rPr>
          <w:rFonts w:cstheme="minorHAnsi"/>
        </w:rPr>
        <w:t xml:space="preserve">the </w:t>
      </w:r>
      <w:proofErr w:type="spellStart"/>
      <w:r w:rsidR="0088071C">
        <w:rPr>
          <w:rFonts w:cstheme="minorHAnsi"/>
        </w:rPr>
        <w:t>ComBat</w:t>
      </w:r>
      <w:proofErr w:type="spellEnd"/>
      <w:r w:rsidR="0088071C">
        <w:rPr>
          <w:rFonts w:cstheme="minorHAnsi"/>
        </w:rPr>
        <w:t xml:space="preserve"> package (15).</w:t>
      </w:r>
      <w:r w:rsidR="00BF21DF">
        <w:rPr>
          <w:rFonts w:cstheme="minorHAnsi"/>
          <w:lang w:val="en-US"/>
        </w:rPr>
        <w:t xml:space="preserve"> </w:t>
      </w:r>
      <w:r w:rsidR="009F78DA">
        <w:rPr>
          <w:rFonts w:cstheme="minorHAnsi"/>
          <w:lang w:val="en-US"/>
        </w:rPr>
        <w:t xml:space="preserve">Differential expression (DE) analysis using </w:t>
      </w:r>
      <w:proofErr w:type="spellStart"/>
      <w:r>
        <w:rPr>
          <w:rFonts w:cstheme="minorHAnsi"/>
          <w:lang w:val="en-US"/>
        </w:rPr>
        <w:t>l</w:t>
      </w:r>
      <w:r w:rsidR="009F78DA">
        <w:rPr>
          <w:rFonts w:cstheme="minorHAnsi"/>
          <w:lang w:val="en-US"/>
        </w:rPr>
        <w:t>imma</w:t>
      </w:r>
      <w:proofErr w:type="spellEnd"/>
      <w:r w:rsidR="009F78DA">
        <w:rPr>
          <w:rFonts w:cstheme="minorHAnsi"/>
          <w:lang w:val="en-US"/>
        </w:rPr>
        <w:t xml:space="preserve"> was performed</w:t>
      </w:r>
      <w:r w:rsidR="00F92EA5">
        <w:rPr>
          <w:rFonts w:cstheme="minorHAnsi"/>
          <w:lang w:val="en-US"/>
        </w:rPr>
        <w:t xml:space="preserve"> between </w:t>
      </w:r>
      <w:r w:rsidR="008C19C8">
        <w:rPr>
          <w:rFonts w:cstheme="minorHAnsi"/>
          <w:lang w:val="en-US"/>
        </w:rPr>
        <w:t>clinical groups</w:t>
      </w:r>
      <w:r w:rsidR="00BB635F">
        <w:rPr>
          <w:rFonts w:cstheme="minorHAnsi"/>
          <w:lang w:val="en-US"/>
        </w:rPr>
        <w:t xml:space="preserve">, </w:t>
      </w:r>
      <w:r w:rsidR="00B83220">
        <w:rPr>
          <w:rFonts w:cstheme="minorHAnsi"/>
          <w:lang w:val="en-US"/>
        </w:rPr>
        <w:t xml:space="preserve">followed by </w:t>
      </w:r>
      <w:r w:rsidR="0049483B">
        <w:rPr>
          <w:rFonts w:cstheme="minorHAnsi"/>
          <w:lang w:val="en-US"/>
        </w:rPr>
        <w:t>g</w:t>
      </w:r>
      <w:r w:rsidR="009F78DA">
        <w:rPr>
          <w:rFonts w:cstheme="minorHAnsi"/>
          <w:lang w:val="en-US"/>
        </w:rPr>
        <w:t>ene set over-representation and gene set enrichment analysis (GSEA) using</w:t>
      </w:r>
      <w:r w:rsidR="0053463C">
        <w:rPr>
          <w:rFonts w:cstheme="minorHAnsi"/>
          <w:lang w:val="en-US"/>
        </w:rPr>
        <w:t xml:space="preserve"> DAVID</w:t>
      </w:r>
      <w:r w:rsidR="00641134">
        <w:rPr>
          <w:rFonts w:cstheme="minorHAnsi"/>
          <w:lang w:val="en-US"/>
        </w:rPr>
        <w:t xml:space="preserve"> (1</w:t>
      </w:r>
      <w:r w:rsidR="00334C6F">
        <w:rPr>
          <w:rFonts w:cstheme="minorHAnsi"/>
          <w:lang w:val="en-US"/>
        </w:rPr>
        <w:t>6</w:t>
      </w:r>
      <w:r w:rsidR="00641134">
        <w:rPr>
          <w:rFonts w:cstheme="minorHAnsi"/>
          <w:lang w:val="en-US"/>
        </w:rPr>
        <w:t>)</w:t>
      </w:r>
      <w:r w:rsidR="0053463C">
        <w:rPr>
          <w:rFonts w:cstheme="minorHAnsi"/>
          <w:lang w:val="en-US"/>
        </w:rPr>
        <w:t xml:space="preserve"> and</w:t>
      </w:r>
      <w:r w:rsidR="009F78DA">
        <w:rPr>
          <w:rFonts w:cstheme="minorHAnsi"/>
          <w:lang w:val="en-US"/>
        </w:rPr>
        <w:t xml:space="preserve"> </w:t>
      </w:r>
      <w:proofErr w:type="spellStart"/>
      <w:r w:rsidR="009F78DA" w:rsidRPr="00DF0A44">
        <w:rPr>
          <w:rFonts w:cstheme="minorHAnsi"/>
          <w:lang w:val="en-US"/>
        </w:rPr>
        <w:t>clusterProfiler</w:t>
      </w:r>
      <w:proofErr w:type="spellEnd"/>
      <w:r w:rsidR="009F78DA">
        <w:rPr>
          <w:rFonts w:cstheme="minorHAnsi"/>
          <w:lang w:val="en-US"/>
        </w:rPr>
        <w:t xml:space="preserve"> (</w:t>
      </w:r>
      <w:r w:rsidR="009F78DA">
        <w:rPr>
          <w:rFonts w:cstheme="minorHAnsi"/>
        </w:rPr>
        <w:t>1</w:t>
      </w:r>
      <w:r w:rsidR="00334C6F">
        <w:rPr>
          <w:rFonts w:cstheme="minorHAnsi"/>
        </w:rPr>
        <w:t>7</w:t>
      </w:r>
      <w:r w:rsidR="009F78DA">
        <w:rPr>
          <w:rFonts w:cstheme="minorHAnsi"/>
          <w:lang w:val="en-US"/>
        </w:rPr>
        <w:t xml:space="preserve">). </w:t>
      </w:r>
    </w:p>
    <w:p w14:paraId="567FF16F" w14:textId="77777777" w:rsidR="009F78DA" w:rsidRDefault="009F78DA" w:rsidP="00090916">
      <w:pPr>
        <w:spacing w:line="276" w:lineRule="auto"/>
        <w:jc w:val="both"/>
        <w:rPr>
          <w:rFonts w:cstheme="minorHAnsi"/>
        </w:rPr>
      </w:pPr>
    </w:p>
    <w:p w14:paraId="055E1BE6" w14:textId="77777777" w:rsidR="009F78DA" w:rsidRPr="00623513" w:rsidRDefault="009F78DA" w:rsidP="00090916">
      <w:pPr>
        <w:spacing w:line="276" w:lineRule="auto"/>
        <w:jc w:val="both"/>
        <w:rPr>
          <w:rFonts w:cstheme="minorHAnsi"/>
          <w:b/>
          <w:bCs/>
        </w:rPr>
      </w:pPr>
      <w:r w:rsidRPr="00623513">
        <w:rPr>
          <w:rFonts w:cstheme="minorHAnsi"/>
          <w:b/>
          <w:bCs/>
        </w:rPr>
        <w:t>Gene signature analysis using machine learning</w:t>
      </w:r>
    </w:p>
    <w:p w14:paraId="4EFC9418" w14:textId="71DAB75C" w:rsidR="000972F0" w:rsidRDefault="009F78DA" w:rsidP="00090916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To derive a set of genes that could distinguish two groups</w:t>
      </w:r>
      <w:r w:rsidR="00A63445">
        <w:rPr>
          <w:rFonts w:cstheme="minorHAnsi"/>
        </w:rPr>
        <w:t xml:space="preserve"> (i.e., </w:t>
      </w:r>
      <w:proofErr w:type="spellStart"/>
      <w:r>
        <w:rPr>
          <w:rFonts w:cstheme="minorHAnsi"/>
          <w:lang w:val="en-US"/>
        </w:rPr>
        <w:t>metastasising</w:t>
      </w:r>
      <w:proofErr w:type="spellEnd"/>
      <w:r>
        <w:rPr>
          <w:rFonts w:cstheme="minorHAnsi"/>
          <w:lang w:val="en-US"/>
        </w:rPr>
        <w:t xml:space="preserve"> </w:t>
      </w:r>
      <w:r w:rsidR="00A63445">
        <w:rPr>
          <w:rFonts w:cstheme="minorHAnsi"/>
          <w:lang w:val="en-US"/>
        </w:rPr>
        <w:t>ver</w:t>
      </w:r>
      <w:r w:rsidR="00282EB3">
        <w:rPr>
          <w:rFonts w:cstheme="minorHAnsi"/>
          <w:lang w:val="en-US"/>
        </w:rPr>
        <w:t>sus</w:t>
      </w:r>
      <w:r w:rsidR="00A6344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non-</w:t>
      </w:r>
      <w:proofErr w:type="spellStart"/>
      <w:r>
        <w:rPr>
          <w:rFonts w:cstheme="minorHAnsi"/>
          <w:lang w:val="en-US"/>
        </w:rPr>
        <w:t>metasta</w:t>
      </w:r>
      <w:r w:rsidR="00A63445">
        <w:rPr>
          <w:rFonts w:cstheme="minorHAnsi"/>
          <w:lang w:val="en-US"/>
        </w:rPr>
        <w:t>sising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cSCC</w:t>
      </w:r>
      <w:proofErr w:type="spellEnd"/>
      <w:r w:rsidR="00A63445">
        <w:rPr>
          <w:rFonts w:cstheme="minorHAnsi"/>
          <w:lang w:val="en-US"/>
        </w:rPr>
        <w:t>)</w:t>
      </w:r>
      <w:r>
        <w:rPr>
          <w:rFonts w:cstheme="minorHAnsi"/>
        </w:rPr>
        <w:t>, the caret R package</w:t>
      </w:r>
      <w:r w:rsidR="00FF1EB2">
        <w:rPr>
          <w:rFonts w:cstheme="minorHAnsi"/>
        </w:rPr>
        <w:t xml:space="preserve"> </w:t>
      </w:r>
      <w:r w:rsidR="003F671E">
        <w:rPr>
          <w:rFonts w:cstheme="minorHAnsi"/>
        </w:rPr>
        <w:t>(1</w:t>
      </w:r>
      <w:r w:rsidR="004365F1">
        <w:rPr>
          <w:rFonts w:cstheme="minorHAnsi"/>
        </w:rPr>
        <w:t>8</w:t>
      </w:r>
      <w:r w:rsidR="00FF1EB2">
        <w:rPr>
          <w:rFonts w:cstheme="minorHAnsi"/>
        </w:rPr>
        <w:t xml:space="preserve">) </w:t>
      </w:r>
      <w:r>
        <w:rPr>
          <w:rFonts w:cstheme="minorHAnsi"/>
        </w:rPr>
        <w:t>was used for machine learning (ML) analysis. A range of ML techniques were used and compared</w:t>
      </w:r>
      <w:r w:rsidR="00D504C8">
        <w:rPr>
          <w:rFonts w:cstheme="minorHAnsi"/>
        </w:rPr>
        <w:t xml:space="preserve"> (</w:t>
      </w:r>
      <w:r w:rsidR="00422F87" w:rsidRPr="004E7B88">
        <w:rPr>
          <w:rFonts w:eastAsiaTheme="minorEastAsia" w:cstheme="minorHAnsi"/>
        </w:rPr>
        <w:t>Supplemental Materials</w:t>
      </w:r>
      <w:r w:rsidR="00422F87">
        <w:rPr>
          <w:rFonts w:eastAsiaTheme="minorEastAsia" w:cstheme="minorHAnsi"/>
        </w:rPr>
        <w:t>)</w:t>
      </w:r>
      <w:r w:rsidR="00A04651">
        <w:rPr>
          <w:rFonts w:eastAsiaTheme="minorEastAsia" w:cstheme="minorHAnsi"/>
        </w:rPr>
        <w:t>.</w:t>
      </w:r>
      <w:r w:rsidR="00A04651">
        <w:rPr>
          <w:rFonts w:cstheme="minorHAnsi"/>
        </w:rPr>
        <w:t xml:space="preserve"> </w:t>
      </w:r>
      <w:r>
        <w:rPr>
          <w:rFonts w:cstheme="minorHAnsi"/>
        </w:rPr>
        <w:t>We randomly split the samples into training (75%) and testing (25%) sets. Starting with an initial set of genes in the training set</w:t>
      </w:r>
      <w:r w:rsidR="00A63445">
        <w:rPr>
          <w:rFonts w:cstheme="minorHAnsi"/>
        </w:rPr>
        <w:t xml:space="preserve"> (</w:t>
      </w:r>
      <w:proofErr w:type="gramStart"/>
      <w:r w:rsidR="00B9373F">
        <w:rPr>
          <w:rFonts w:cstheme="minorHAnsi"/>
        </w:rPr>
        <w:t>i.e.</w:t>
      </w:r>
      <w:proofErr w:type="gramEnd"/>
      <w:r w:rsidR="00B9373F">
        <w:rPr>
          <w:rFonts w:cstheme="minorHAnsi"/>
        </w:rPr>
        <w:t xml:space="preserve"> </w:t>
      </w:r>
      <w:r>
        <w:rPr>
          <w:rFonts w:cstheme="minorHAnsi"/>
        </w:rPr>
        <w:t xml:space="preserve">all DE genes from the </w:t>
      </w:r>
      <w:r w:rsidR="004448F9">
        <w:rPr>
          <w:rFonts w:cstheme="minorHAnsi"/>
        </w:rPr>
        <w:t>DE</w:t>
      </w:r>
      <w:r>
        <w:rPr>
          <w:rFonts w:cstheme="minorHAnsi"/>
        </w:rPr>
        <w:t xml:space="preserve"> analysis comparing </w:t>
      </w:r>
      <w:proofErr w:type="spellStart"/>
      <w:r>
        <w:rPr>
          <w:rFonts w:cstheme="minorHAnsi"/>
          <w:lang w:val="en-US"/>
        </w:rPr>
        <w:t>metastasising</w:t>
      </w:r>
      <w:proofErr w:type="spellEnd"/>
      <w:r>
        <w:rPr>
          <w:rFonts w:cstheme="minorHAnsi"/>
          <w:lang w:val="en-US"/>
        </w:rPr>
        <w:t xml:space="preserve"> </w:t>
      </w:r>
      <w:r w:rsidR="00282EB3">
        <w:rPr>
          <w:rFonts w:cstheme="minorHAnsi"/>
          <w:lang w:val="en-US"/>
        </w:rPr>
        <w:t xml:space="preserve">and </w:t>
      </w:r>
      <w:r>
        <w:rPr>
          <w:rFonts w:cstheme="minorHAnsi"/>
          <w:lang w:val="en-US"/>
        </w:rPr>
        <w:t xml:space="preserve">non-metastatic </w:t>
      </w:r>
      <w:proofErr w:type="spellStart"/>
      <w:r>
        <w:rPr>
          <w:rFonts w:cstheme="minorHAnsi"/>
          <w:lang w:val="en-US"/>
        </w:rPr>
        <w:t>cSCC</w:t>
      </w:r>
      <w:proofErr w:type="spellEnd"/>
      <w:r w:rsidR="00A63445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>,</w:t>
      </w:r>
      <w:r>
        <w:rPr>
          <w:rFonts w:cstheme="minorHAnsi"/>
        </w:rPr>
        <w:t xml:space="preserve"> the best performing set of genes </w:t>
      </w:r>
      <w:r w:rsidR="00A63445">
        <w:rPr>
          <w:rFonts w:cstheme="minorHAnsi"/>
        </w:rPr>
        <w:t xml:space="preserve">for each ML algorithm </w:t>
      </w:r>
      <w:r>
        <w:rPr>
          <w:rFonts w:cstheme="minorHAnsi"/>
        </w:rPr>
        <w:t xml:space="preserve">(i.e., feature selection) was determined using the </w:t>
      </w:r>
      <w:r w:rsidRPr="0038036F">
        <w:rPr>
          <w:rFonts w:cstheme="minorHAnsi"/>
        </w:rPr>
        <w:t>Recursive Feature Elimination</w:t>
      </w:r>
      <w:r>
        <w:rPr>
          <w:rFonts w:cstheme="minorHAnsi"/>
        </w:rPr>
        <w:t xml:space="preserve"> procedure, with 10-fold repeated cross validation of five repeats. A final model </w:t>
      </w:r>
      <w:r w:rsidR="00A63445">
        <w:rPr>
          <w:rFonts w:cstheme="minorHAnsi"/>
        </w:rPr>
        <w:t>for</w:t>
      </w:r>
      <w:r>
        <w:rPr>
          <w:rFonts w:cstheme="minorHAnsi"/>
        </w:rPr>
        <w:t xml:space="preserve"> each ML </w:t>
      </w:r>
      <w:r w:rsidR="008436AB">
        <w:rPr>
          <w:rFonts w:cstheme="minorHAnsi"/>
        </w:rPr>
        <w:t xml:space="preserve">algorithm </w:t>
      </w:r>
      <w:r>
        <w:rPr>
          <w:rFonts w:cstheme="minorHAnsi"/>
        </w:rPr>
        <w:t>was then trained using the final selected number of genes with 10-fold repeated cross validation of ten repeats</w:t>
      </w:r>
      <w:r w:rsidR="00F11C9B">
        <w:rPr>
          <w:rFonts w:cstheme="minorHAnsi"/>
        </w:rPr>
        <w:t xml:space="preserve">, and </w:t>
      </w:r>
      <w:r>
        <w:rPr>
          <w:rFonts w:cstheme="minorHAnsi"/>
        </w:rPr>
        <w:t>used to predict the two classes in the testing set. The performances of predictions were measured using accuracy, precision, along with sensitivity and specificity</w:t>
      </w:r>
      <w:r w:rsidR="00F952F6">
        <w:rPr>
          <w:rFonts w:cstheme="minorHAnsi"/>
        </w:rPr>
        <w:t xml:space="preserve">, </w:t>
      </w:r>
      <w:r w:rsidR="00282EB3">
        <w:rPr>
          <w:rFonts w:cstheme="minorHAnsi"/>
        </w:rPr>
        <w:t>positive predive value (</w:t>
      </w:r>
      <w:r w:rsidR="00F07CA2">
        <w:rPr>
          <w:rFonts w:cstheme="minorHAnsi"/>
        </w:rPr>
        <w:t>PPV</w:t>
      </w:r>
      <w:r w:rsidR="00282EB3">
        <w:rPr>
          <w:rFonts w:cstheme="minorHAnsi"/>
        </w:rPr>
        <w:t>) and negative predictive value (</w:t>
      </w:r>
      <w:r w:rsidR="00E33B5E">
        <w:rPr>
          <w:rFonts w:cstheme="minorHAnsi"/>
        </w:rPr>
        <w:t>NPV</w:t>
      </w:r>
      <w:r w:rsidR="00282EB3">
        <w:rPr>
          <w:rFonts w:cstheme="minorHAnsi"/>
        </w:rPr>
        <w:t>)</w:t>
      </w:r>
      <w:r w:rsidR="00EE1347">
        <w:rPr>
          <w:rFonts w:cstheme="minorHAnsi"/>
        </w:rPr>
        <w:t>.</w:t>
      </w:r>
    </w:p>
    <w:p w14:paraId="49992943" w14:textId="77777777" w:rsidR="000972F0" w:rsidRDefault="000972F0" w:rsidP="00090916">
      <w:pPr>
        <w:spacing w:line="276" w:lineRule="auto"/>
        <w:jc w:val="both"/>
        <w:rPr>
          <w:rFonts w:cstheme="minorHAnsi"/>
        </w:rPr>
      </w:pPr>
    </w:p>
    <w:p w14:paraId="6A7D6B48" w14:textId="0B3FAB7A" w:rsidR="0072461E" w:rsidRPr="0072461E" w:rsidRDefault="00F13AF9" w:rsidP="0072461E">
      <w:pPr>
        <w:spacing w:line="276" w:lineRule="auto"/>
        <w:jc w:val="both"/>
        <w:rPr>
          <w:rFonts w:eastAsiaTheme="minorEastAsia" w:cstheme="minorHAnsi"/>
        </w:rPr>
      </w:pPr>
      <w:r>
        <w:rPr>
          <w:rFonts w:cstheme="minorHAnsi"/>
        </w:rPr>
        <w:lastRenderedPageBreak/>
        <w:t>A</w:t>
      </w:r>
      <w:r w:rsidR="00343B71">
        <w:rPr>
          <w:rFonts w:cstheme="minorHAnsi"/>
        </w:rPr>
        <w:t xml:space="preserve"> </w:t>
      </w:r>
      <w:r w:rsidR="009F78DA">
        <w:rPr>
          <w:rFonts w:cstheme="minorHAnsi"/>
        </w:rPr>
        <w:t>weighted linear predictor</w:t>
      </w:r>
      <w:r w:rsidR="00972E6F">
        <w:rPr>
          <w:rFonts w:cstheme="minorHAnsi"/>
        </w:rPr>
        <w:t xml:space="preserve"> was gen</w:t>
      </w:r>
      <w:r w:rsidR="001B1EAA">
        <w:rPr>
          <w:rFonts w:cstheme="minorHAnsi"/>
        </w:rPr>
        <w:t>erated</w:t>
      </w:r>
      <w:r w:rsidR="009F78DA">
        <w:rPr>
          <w:rFonts w:cstheme="minorHAnsi"/>
        </w:rPr>
        <w:t xml:space="preserve"> for </w:t>
      </w:r>
      <w:r w:rsidR="00A63A42">
        <w:rPr>
          <w:rFonts w:cstheme="minorHAnsi"/>
        </w:rPr>
        <w:t>each</w:t>
      </w:r>
      <w:r w:rsidR="009F78DA">
        <w:rPr>
          <w:rFonts w:cstheme="minorHAnsi"/>
        </w:rPr>
        <w:t xml:space="preserve"> sample based on the expression of the final set of genes in the model and their fold changes in the DE analysis</w:t>
      </w:r>
      <w:r w:rsidR="0009389C">
        <w:rPr>
          <w:rFonts w:cstheme="minorHAnsi"/>
        </w:rPr>
        <w:t xml:space="preserve"> (</w:t>
      </w:r>
      <w:r w:rsidR="0009389C" w:rsidRPr="004E7B88">
        <w:rPr>
          <w:rFonts w:eastAsiaTheme="minorEastAsia" w:cstheme="minorHAnsi"/>
        </w:rPr>
        <w:t>see Supplemental Materials</w:t>
      </w:r>
      <w:r w:rsidR="007025D9">
        <w:rPr>
          <w:rFonts w:eastAsiaTheme="minorEastAsia" w:cstheme="minorHAnsi"/>
        </w:rPr>
        <w:t>)</w:t>
      </w:r>
      <w:r w:rsidR="005B2687">
        <w:rPr>
          <w:rFonts w:eastAsiaTheme="minorEastAsia" w:cstheme="minorHAnsi"/>
        </w:rPr>
        <w:t xml:space="preserve"> </w:t>
      </w:r>
      <w:r w:rsidR="009F78DA">
        <w:rPr>
          <w:rFonts w:eastAsiaTheme="minorEastAsia" w:cstheme="minorHAnsi"/>
        </w:rPr>
        <w:t xml:space="preserve">Linear predictors were </w:t>
      </w:r>
      <w:r w:rsidR="007C4CBA">
        <w:rPr>
          <w:rFonts w:eastAsiaTheme="minorEastAsia" w:cstheme="minorHAnsi"/>
        </w:rPr>
        <w:t>compare</w:t>
      </w:r>
      <w:r w:rsidR="002D65D7">
        <w:rPr>
          <w:rFonts w:eastAsiaTheme="minorEastAsia" w:cstheme="minorHAnsi"/>
        </w:rPr>
        <w:t xml:space="preserve">d </w:t>
      </w:r>
      <w:r w:rsidR="002D0325">
        <w:rPr>
          <w:rFonts w:eastAsiaTheme="minorEastAsia" w:cstheme="minorHAnsi"/>
        </w:rPr>
        <w:t>between</w:t>
      </w:r>
      <w:r w:rsidR="007C4CBA">
        <w:rPr>
          <w:rFonts w:eastAsiaTheme="minorEastAsia" w:cstheme="minorHAnsi"/>
        </w:rPr>
        <w:t xml:space="preserve"> clinical groups</w:t>
      </w:r>
      <w:r w:rsidR="00B51921">
        <w:rPr>
          <w:rFonts w:eastAsiaTheme="minorEastAsia" w:cstheme="minorHAnsi"/>
        </w:rPr>
        <w:t xml:space="preserve"> and </w:t>
      </w:r>
      <w:r w:rsidR="00B9046A">
        <w:rPr>
          <w:rFonts w:eastAsiaTheme="minorEastAsia" w:cstheme="minorHAnsi"/>
        </w:rPr>
        <w:t>correlated with</w:t>
      </w:r>
      <w:r w:rsidR="00B51921">
        <w:rPr>
          <w:rFonts w:eastAsiaTheme="minorEastAsia" w:cstheme="minorHAnsi"/>
        </w:rPr>
        <w:t xml:space="preserve"> classes.</w:t>
      </w:r>
      <w:r w:rsidR="00B45DFB">
        <w:rPr>
          <w:rFonts w:eastAsiaTheme="minorEastAsia" w:cstheme="minorHAnsi"/>
        </w:rPr>
        <w:t xml:space="preserve"> </w:t>
      </w:r>
      <w:r w:rsidR="009F78DA">
        <w:rPr>
          <w:rFonts w:eastAsiaTheme="minorEastAsia" w:cstheme="minorHAnsi"/>
        </w:rPr>
        <w:t xml:space="preserve">The area under the ROC curve (AUC) was calculated using the </w:t>
      </w:r>
      <w:proofErr w:type="spellStart"/>
      <w:r w:rsidR="009F78DA">
        <w:rPr>
          <w:rFonts w:eastAsiaTheme="minorEastAsia" w:cstheme="minorHAnsi"/>
        </w:rPr>
        <w:t>pROC</w:t>
      </w:r>
      <w:proofErr w:type="spellEnd"/>
      <w:r w:rsidR="009F78DA">
        <w:rPr>
          <w:rFonts w:eastAsiaTheme="minorEastAsia" w:cstheme="minorHAnsi"/>
        </w:rPr>
        <w:t xml:space="preserve"> package (</w:t>
      </w:r>
      <w:r w:rsidR="005856E2">
        <w:rPr>
          <w:rFonts w:cstheme="minorHAnsi"/>
        </w:rPr>
        <w:t>19</w:t>
      </w:r>
      <w:r w:rsidR="009F78DA">
        <w:rPr>
          <w:rFonts w:eastAsiaTheme="minorEastAsia" w:cstheme="minorHAnsi"/>
        </w:rPr>
        <w:t>)</w:t>
      </w:r>
      <w:r w:rsidR="00FC2571">
        <w:rPr>
          <w:rFonts w:eastAsiaTheme="minorEastAsia" w:cstheme="minorHAnsi"/>
        </w:rPr>
        <w:t>.</w:t>
      </w:r>
    </w:p>
    <w:p w14:paraId="318CF2E9" w14:textId="77777777" w:rsidR="001752E8" w:rsidRDefault="001752E8" w:rsidP="00930EAA">
      <w:pPr>
        <w:spacing w:before="100" w:beforeAutospacing="1" w:after="100" w:afterAutospacing="1" w:line="276" w:lineRule="auto"/>
        <w:jc w:val="both"/>
        <w:rPr>
          <w:rFonts w:eastAsia="Times New Roman" w:cs="Calibri (Body)"/>
          <w:b/>
          <w:bCs/>
          <w:caps/>
          <w:lang w:eastAsia="en-GB"/>
        </w:rPr>
      </w:pPr>
    </w:p>
    <w:p w14:paraId="38B718C3" w14:textId="3F7A0D1F" w:rsidR="00D900B6" w:rsidRDefault="009F78DA" w:rsidP="00E77D0E">
      <w:pPr>
        <w:spacing w:before="100" w:beforeAutospacing="1" w:after="100" w:afterAutospacing="1" w:line="276" w:lineRule="auto"/>
        <w:jc w:val="both"/>
        <w:rPr>
          <w:rFonts w:eastAsia="Times New Roman" w:cs="Calibri (Body)"/>
          <w:b/>
          <w:bCs/>
          <w:caps/>
          <w:lang w:eastAsia="en-GB"/>
        </w:rPr>
      </w:pPr>
      <w:r w:rsidRPr="00601C2A">
        <w:rPr>
          <w:rFonts w:eastAsia="Times New Roman" w:cs="Calibri (Body)"/>
          <w:b/>
          <w:bCs/>
          <w:caps/>
          <w:lang w:eastAsia="en-GB"/>
        </w:rPr>
        <w:t>Results</w:t>
      </w:r>
      <w:r w:rsidR="00A25C8F" w:rsidRPr="00601C2A">
        <w:rPr>
          <w:rFonts w:eastAsia="Times New Roman" w:cs="Calibri (Body)"/>
          <w:b/>
          <w:bCs/>
          <w:caps/>
          <w:lang w:eastAsia="en-GB"/>
        </w:rPr>
        <w:t xml:space="preserve"> </w:t>
      </w:r>
    </w:p>
    <w:p w14:paraId="0C25CE2D" w14:textId="77777777" w:rsidR="00D56BE4" w:rsidRDefault="00D56BE4" w:rsidP="00930EAA">
      <w:pPr>
        <w:spacing w:line="276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Clinicopathologic characteristics</w:t>
      </w:r>
    </w:p>
    <w:p w14:paraId="0E63708E" w14:textId="4C16163C" w:rsidR="00767829" w:rsidRDefault="00D56BE4" w:rsidP="00930EAA">
      <w:pPr>
        <w:spacing w:line="276" w:lineRule="auto"/>
        <w:jc w:val="both"/>
        <w:rPr>
          <w:rFonts w:cstheme="minorHAnsi"/>
          <w:b/>
          <w:bCs/>
          <w:lang w:val="en-US"/>
        </w:rPr>
      </w:pPr>
      <w:r w:rsidRPr="006215C0">
        <w:rPr>
          <w:rFonts w:cstheme="minorHAnsi"/>
          <w:lang w:val="en-US"/>
        </w:rPr>
        <w:t xml:space="preserve">Demographic details of patients and histologic features of primary </w:t>
      </w:r>
      <w:proofErr w:type="spellStart"/>
      <w:r w:rsidRPr="006215C0">
        <w:rPr>
          <w:rFonts w:cstheme="minorHAnsi"/>
          <w:lang w:val="en-US"/>
        </w:rPr>
        <w:t>cSCC</w:t>
      </w:r>
      <w:proofErr w:type="spellEnd"/>
      <w:r w:rsidRPr="006215C0">
        <w:rPr>
          <w:rFonts w:cstheme="minorHAnsi"/>
          <w:lang w:val="en-US"/>
        </w:rPr>
        <w:t xml:space="preserve"> are presented in </w:t>
      </w:r>
      <w:r w:rsidR="00685869" w:rsidRPr="00D23369">
        <w:rPr>
          <w:rFonts w:cstheme="minorHAnsi"/>
          <w:b/>
          <w:bCs/>
          <w:lang w:val="en-US"/>
        </w:rPr>
        <w:t>T</w:t>
      </w:r>
      <w:r w:rsidRPr="00D23369">
        <w:rPr>
          <w:rFonts w:cstheme="minorHAnsi"/>
          <w:b/>
          <w:bCs/>
          <w:lang w:val="en-US"/>
        </w:rPr>
        <w:t xml:space="preserve">able </w:t>
      </w:r>
      <w:r w:rsidR="00C66577" w:rsidRPr="00D23369">
        <w:rPr>
          <w:rFonts w:cstheme="minorHAnsi"/>
          <w:b/>
          <w:bCs/>
          <w:lang w:val="en-US"/>
        </w:rPr>
        <w:t>I</w:t>
      </w:r>
      <w:r w:rsidR="008075DC">
        <w:rPr>
          <w:rFonts w:cstheme="minorHAnsi"/>
          <w:lang w:val="en-US"/>
        </w:rPr>
        <w:t>.</w:t>
      </w:r>
    </w:p>
    <w:p w14:paraId="05B2A66E" w14:textId="77777777" w:rsidR="00767829" w:rsidRDefault="00767829" w:rsidP="00930EAA">
      <w:pPr>
        <w:spacing w:line="276" w:lineRule="auto"/>
        <w:jc w:val="both"/>
        <w:rPr>
          <w:rFonts w:cstheme="minorHAnsi"/>
          <w:b/>
          <w:bCs/>
          <w:lang w:val="en-US"/>
        </w:rPr>
      </w:pPr>
    </w:p>
    <w:p w14:paraId="59CACC77" w14:textId="2F6B06D7" w:rsidR="00D900B6" w:rsidRDefault="006F7BF1" w:rsidP="00930EAA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>T</w:t>
      </w:r>
      <w:r w:rsidR="003F39CF">
        <w:rPr>
          <w:rFonts w:cstheme="minorHAnsi"/>
          <w:b/>
          <w:bCs/>
          <w:lang w:val="en-US"/>
        </w:rPr>
        <w:t xml:space="preserve">ranscriptomic </w:t>
      </w:r>
      <w:r w:rsidR="00D900B6">
        <w:rPr>
          <w:rFonts w:cstheme="minorHAnsi"/>
          <w:b/>
          <w:bCs/>
          <w:lang w:val="en-US"/>
        </w:rPr>
        <w:t xml:space="preserve">analysis </w:t>
      </w:r>
      <w:r w:rsidR="00594F67" w:rsidRPr="00EB7629">
        <w:rPr>
          <w:rFonts w:cstheme="minorHAnsi"/>
          <w:b/>
          <w:bCs/>
          <w:lang w:val="en-US"/>
        </w:rPr>
        <w:t xml:space="preserve">between primary </w:t>
      </w:r>
      <w:proofErr w:type="spellStart"/>
      <w:r w:rsidR="00594F67" w:rsidRPr="00EB7629">
        <w:rPr>
          <w:rFonts w:cstheme="minorHAnsi"/>
          <w:b/>
          <w:bCs/>
          <w:lang w:val="en-US"/>
        </w:rPr>
        <w:t>cSCC</w:t>
      </w:r>
      <w:proofErr w:type="spellEnd"/>
      <w:r w:rsidR="00594F67" w:rsidRPr="00EB7629">
        <w:rPr>
          <w:rFonts w:cstheme="minorHAnsi"/>
          <w:b/>
          <w:bCs/>
          <w:lang w:val="en-US"/>
        </w:rPr>
        <w:t xml:space="preserve"> groups</w:t>
      </w:r>
      <w:r w:rsidR="00594F67" w:rsidDel="00D900B6">
        <w:rPr>
          <w:rFonts w:cstheme="minorHAnsi"/>
          <w:b/>
          <w:bCs/>
          <w:lang w:val="en-US"/>
        </w:rPr>
        <w:t xml:space="preserve"> </w:t>
      </w:r>
    </w:p>
    <w:p w14:paraId="790885A6" w14:textId="48F89DBA" w:rsidR="00E5003F" w:rsidRPr="00DE2614" w:rsidRDefault="00863AEC" w:rsidP="00930EAA">
      <w:pPr>
        <w:spacing w:line="276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lang w:val="en-US"/>
        </w:rPr>
        <w:t>Gene expression profiles (GEP) of 19,072 genes across a total of 433 samples were sufficiently profiled for analysis. Four sample groups</w:t>
      </w:r>
      <w:r w:rsidRPr="000C27DC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were compared; </w:t>
      </w:r>
      <w:proofErr w:type="spellStart"/>
      <w:r>
        <w:rPr>
          <w:rFonts w:cstheme="minorHAnsi"/>
          <w:lang w:val="en-US"/>
        </w:rPr>
        <w:t>cSCC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tumour</w:t>
      </w:r>
      <w:proofErr w:type="spellEnd"/>
      <w:r>
        <w:rPr>
          <w:rFonts w:cstheme="minorHAnsi"/>
          <w:lang w:val="en-US"/>
        </w:rPr>
        <w:t xml:space="preserve"> from </w:t>
      </w:r>
      <w:proofErr w:type="spellStart"/>
      <w:r>
        <w:rPr>
          <w:rFonts w:cstheme="minorHAnsi"/>
          <w:lang w:val="en-US"/>
        </w:rPr>
        <w:t>metastasising</w:t>
      </w:r>
      <w:proofErr w:type="spellEnd"/>
      <w:r>
        <w:rPr>
          <w:rFonts w:cstheme="minorHAnsi"/>
          <w:lang w:val="en-US"/>
        </w:rPr>
        <w:t xml:space="preserve"> (</w:t>
      </w:r>
      <w:r w:rsidRPr="003D0987">
        <w:rPr>
          <w:rFonts w:cstheme="minorHAnsi"/>
          <w:lang w:val="en-US"/>
        </w:rPr>
        <w:t>n=</w:t>
      </w:r>
      <w:r w:rsidR="00E77D0E" w:rsidRPr="003D0987">
        <w:rPr>
          <w:rFonts w:cstheme="minorHAnsi"/>
          <w:lang w:val="en-US"/>
        </w:rPr>
        <w:t>84</w:t>
      </w:r>
      <w:r w:rsidRPr="003D0987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and non-</w:t>
      </w:r>
      <w:proofErr w:type="spellStart"/>
      <w:r>
        <w:rPr>
          <w:rFonts w:cstheme="minorHAnsi"/>
          <w:lang w:val="en-US"/>
        </w:rPr>
        <w:t>metastasising</w:t>
      </w:r>
      <w:proofErr w:type="spellEnd"/>
      <w:r>
        <w:rPr>
          <w:rFonts w:cstheme="minorHAnsi"/>
          <w:lang w:val="en-US"/>
        </w:rPr>
        <w:t xml:space="preserve"> (</w:t>
      </w:r>
      <w:r w:rsidRPr="003D0987">
        <w:rPr>
          <w:rFonts w:cstheme="minorHAnsi"/>
          <w:lang w:val="en-US"/>
        </w:rPr>
        <w:t>n</w:t>
      </w:r>
      <w:r w:rsidR="008925D5" w:rsidRPr="003D0987">
        <w:rPr>
          <w:rFonts w:cstheme="minorHAnsi"/>
          <w:lang w:val="en-US"/>
        </w:rPr>
        <w:t>=146</w:t>
      </w:r>
      <w:r w:rsidRPr="003D0987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cSCC</w:t>
      </w:r>
      <w:proofErr w:type="spellEnd"/>
      <w:r w:rsidR="00574B6B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 xml:space="preserve"> and matched perilesional normal skin from </w:t>
      </w:r>
      <w:proofErr w:type="spellStart"/>
      <w:r>
        <w:rPr>
          <w:rFonts w:cstheme="minorHAnsi"/>
          <w:lang w:val="en-US"/>
        </w:rPr>
        <w:t>metastasi</w:t>
      </w:r>
      <w:r w:rsidR="00511EA7">
        <w:rPr>
          <w:rFonts w:cstheme="minorHAnsi"/>
          <w:lang w:val="en-US"/>
        </w:rPr>
        <w:t>s</w:t>
      </w:r>
      <w:r>
        <w:rPr>
          <w:rFonts w:cstheme="minorHAnsi"/>
          <w:lang w:val="en-US"/>
        </w:rPr>
        <w:t>ing</w:t>
      </w:r>
      <w:proofErr w:type="spellEnd"/>
      <w:r>
        <w:rPr>
          <w:rFonts w:cstheme="minorHAnsi"/>
          <w:lang w:val="en-US"/>
        </w:rPr>
        <w:t xml:space="preserve"> </w:t>
      </w:r>
      <w:r w:rsidRPr="003D0987">
        <w:rPr>
          <w:rFonts w:cstheme="minorHAnsi"/>
          <w:lang w:val="en-US"/>
        </w:rPr>
        <w:t>(n=</w:t>
      </w:r>
      <w:r w:rsidR="00771CA0" w:rsidRPr="003D0987">
        <w:rPr>
          <w:rFonts w:cstheme="minorHAnsi"/>
          <w:lang w:val="en-US"/>
        </w:rPr>
        <w:t>71</w:t>
      </w:r>
      <w:r w:rsidRPr="003D0987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and non-</w:t>
      </w:r>
      <w:proofErr w:type="spellStart"/>
      <w:r>
        <w:rPr>
          <w:rFonts w:cstheme="minorHAnsi"/>
          <w:lang w:val="en-US"/>
        </w:rPr>
        <w:t>metastasising</w:t>
      </w:r>
      <w:proofErr w:type="spellEnd"/>
      <w:r>
        <w:rPr>
          <w:rFonts w:cstheme="minorHAnsi"/>
          <w:lang w:val="en-US"/>
        </w:rPr>
        <w:t xml:space="preserve"> </w:t>
      </w:r>
      <w:r w:rsidRPr="003D0987">
        <w:rPr>
          <w:rFonts w:cstheme="minorHAnsi"/>
          <w:lang w:val="en-US"/>
        </w:rPr>
        <w:t>(n=</w:t>
      </w:r>
      <w:r w:rsidR="00FE4579" w:rsidRPr="003D0987">
        <w:rPr>
          <w:rFonts w:cstheme="minorHAnsi"/>
          <w:lang w:val="en-US"/>
        </w:rPr>
        <w:t>132</w:t>
      </w:r>
      <w:r w:rsidRPr="003D0987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</w:t>
      </w:r>
      <w:proofErr w:type="spellStart"/>
      <w:r w:rsidR="00D55FBF">
        <w:rPr>
          <w:rFonts w:cstheme="minorHAnsi"/>
          <w:lang w:val="en-US"/>
        </w:rPr>
        <w:t>cSCC</w:t>
      </w:r>
      <w:proofErr w:type="spellEnd"/>
      <w:r w:rsidR="00D55FBF">
        <w:rPr>
          <w:rFonts w:cstheme="minorHAnsi"/>
          <w:lang w:val="en-US"/>
        </w:rPr>
        <w:t xml:space="preserve"> </w:t>
      </w:r>
      <w:r w:rsidR="00EC4DAC">
        <w:rPr>
          <w:rFonts w:cstheme="minorHAnsi"/>
          <w:lang w:val="en-US"/>
        </w:rPr>
        <w:t>(</w:t>
      </w:r>
      <w:r w:rsidRPr="00930C39">
        <w:rPr>
          <w:rFonts w:cstheme="minorHAnsi"/>
          <w:lang w:val="en-US"/>
        </w:rPr>
        <w:t>Supplemental Table I</w:t>
      </w:r>
      <w:r>
        <w:rPr>
          <w:rFonts w:cstheme="minorHAnsi"/>
          <w:lang w:val="en-US"/>
        </w:rPr>
        <w:t xml:space="preserve">). </w:t>
      </w:r>
      <w:r w:rsidR="009D7ECF" w:rsidRPr="009D7ECF">
        <w:rPr>
          <w:rFonts w:cstheme="minorHAnsi"/>
          <w:lang w:val="en-US"/>
        </w:rPr>
        <w:t xml:space="preserve">Principal </w:t>
      </w:r>
      <w:r w:rsidR="00B101C1">
        <w:rPr>
          <w:rFonts w:cstheme="minorHAnsi"/>
          <w:lang w:val="en-US"/>
        </w:rPr>
        <w:t xml:space="preserve">component </w:t>
      </w:r>
      <w:r w:rsidR="00093901">
        <w:rPr>
          <w:rFonts w:cstheme="minorHAnsi"/>
          <w:lang w:val="en-US"/>
        </w:rPr>
        <w:t>analysis</w:t>
      </w:r>
      <w:r w:rsidR="00B101C1">
        <w:rPr>
          <w:rFonts w:cstheme="minorHAnsi"/>
          <w:lang w:val="en-US"/>
        </w:rPr>
        <w:t xml:space="preserve"> </w:t>
      </w:r>
      <w:r w:rsidR="00BD0049">
        <w:rPr>
          <w:rFonts w:cstheme="minorHAnsi"/>
          <w:lang w:val="en-US"/>
        </w:rPr>
        <w:t xml:space="preserve">based on genes </w:t>
      </w:r>
      <w:r w:rsidR="00D5418E">
        <w:rPr>
          <w:rFonts w:cstheme="minorHAnsi"/>
          <w:lang w:val="en-US"/>
        </w:rPr>
        <w:t xml:space="preserve">across all samples </w:t>
      </w:r>
      <w:r w:rsidR="00CD2810">
        <w:rPr>
          <w:rFonts w:cstheme="minorHAnsi"/>
        </w:rPr>
        <w:t xml:space="preserve">showed a </w:t>
      </w:r>
      <w:r w:rsidR="00B46F64">
        <w:rPr>
          <w:rFonts w:cstheme="minorHAnsi"/>
        </w:rPr>
        <w:t>clear</w:t>
      </w:r>
      <w:r w:rsidR="00CD2810">
        <w:rPr>
          <w:rFonts w:cstheme="minorHAnsi"/>
        </w:rPr>
        <w:t xml:space="preserve"> separation between </w:t>
      </w:r>
      <w:proofErr w:type="spellStart"/>
      <w:r w:rsidR="00D55FBF">
        <w:rPr>
          <w:rFonts w:cstheme="minorHAnsi"/>
        </w:rPr>
        <w:t>cSCC</w:t>
      </w:r>
      <w:proofErr w:type="spellEnd"/>
      <w:r w:rsidR="00D55FBF">
        <w:rPr>
          <w:rFonts w:cstheme="minorHAnsi"/>
        </w:rPr>
        <w:t xml:space="preserve"> and perilesional </w:t>
      </w:r>
      <w:r w:rsidR="0008152D">
        <w:rPr>
          <w:rFonts w:cstheme="minorHAnsi"/>
        </w:rPr>
        <w:t xml:space="preserve">normal </w:t>
      </w:r>
      <w:r w:rsidR="00D55FBF">
        <w:rPr>
          <w:rFonts w:cstheme="minorHAnsi"/>
        </w:rPr>
        <w:t xml:space="preserve">skin samples </w:t>
      </w:r>
      <w:r w:rsidR="00D56BE4">
        <w:rPr>
          <w:rFonts w:cstheme="minorHAnsi"/>
        </w:rPr>
        <w:t xml:space="preserve">from metastasising and non-metastasising </w:t>
      </w:r>
      <w:proofErr w:type="spellStart"/>
      <w:r w:rsidR="00D56BE4">
        <w:rPr>
          <w:rFonts w:cstheme="minorHAnsi"/>
        </w:rPr>
        <w:t>cSCC</w:t>
      </w:r>
      <w:proofErr w:type="spellEnd"/>
      <w:r w:rsidR="00D56BE4">
        <w:rPr>
          <w:rFonts w:cstheme="minorHAnsi"/>
        </w:rPr>
        <w:t xml:space="preserve"> </w:t>
      </w:r>
      <w:r w:rsidR="006B1950">
        <w:rPr>
          <w:rFonts w:cstheme="minorHAnsi"/>
        </w:rPr>
        <w:t>(</w:t>
      </w:r>
      <w:r w:rsidR="008470B6" w:rsidRPr="00930C39">
        <w:rPr>
          <w:rFonts w:cstheme="minorHAnsi"/>
          <w:lang w:val="en-US"/>
        </w:rPr>
        <w:t xml:space="preserve">Supplemental </w:t>
      </w:r>
      <w:r w:rsidR="008470B6">
        <w:rPr>
          <w:rFonts w:cstheme="minorHAnsi"/>
          <w:lang w:val="en-US"/>
        </w:rPr>
        <w:t>Fig 1</w:t>
      </w:r>
      <w:r w:rsidR="006B1950">
        <w:rPr>
          <w:rFonts w:cstheme="minorHAnsi"/>
        </w:rPr>
        <w:t>)</w:t>
      </w:r>
      <w:r w:rsidR="00814D9F">
        <w:rPr>
          <w:rFonts w:cstheme="minorHAnsi"/>
        </w:rPr>
        <w:t>.</w:t>
      </w:r>
      <w:r w:rsidR="00E5003F">
        <w:rPr>
          <w:rFonts w:cstheme="minorHAnsi"/>
          <w:lang w:val="en-US"/>
        </w:rPr>
        <w:t xml:space="preserve"> </w:t>
      </w:r>
      <w:r w:rsidR="001F12A0">
        <w:rPr>
          <w:rFonts w:cstheme="minorHAnsi"/>
        </w:rPr>
        <w:t xml:space="preserve">Differential gene expression analysis revealed that </w:t>
      </w:r>
      <w:r w:rsidR="001F12A0">
        <w:rPr>
          <w:rFonts w:cstheme="minorHAnsi"/>
          <w:lang w:val="en-US"/>
        </w:rPr>
        <w:t xml:space="preserve">1,038 genes were upregulated and 236 genes downregulated in </w:t>
      </w:r>
      <w:proofErr w:type="spellStart"/>
      <w:r w:rsidR="001F12A0">
        <w:rPr>
          <w:rFonts w:cstheme="minorHAnsi"/>
          <w:lang w:val="en-US"/>
        </w:rPr>
        <w:t>metastasising</w:t>
      </w:r>
      <w:proofErr w:type="spellEnd"/>
      <w:r w:rsidR="001F12A0">
        <w:rPr>
          <w:rFonts w:cstheme="minorHAnsi"/>
          <w:lang w:val="en-US"/>
        </w:rPr>
        <w:t xml:space="preserve"> </w:t>
      </w:r>
      <w:proofErr w:type="spellStart"/>
      <w:r w:rsidR="001F12A0">
        <w:rPr>
          <w:rFonts w:cstheme="minorHAnsi"/>
          <w:lang w:val="en-US"/>
        </w:rPr>
        <w:t>cSCC</w:t>
      </w:r>
      <w:proofErr w:type="spellEnd"/>
      <w:r w:rsidR="001F12A0">
        <w:rPr>
          <w:rFonts w:cstheme="minorHAnsi"/>
          <w:lang w:val="en-US"/>
        </w:rPr>
        <w:t xml:space="preserve"> compared to non-</w:t>
      </w:r>
      <w:proofErr w:type="spellStart"/>
      <w:r w:rsidR="001F12A0">
        <w:rPr>
          <w:rFonts w:cstheme="minorHAnsi"/>
          <w:lang w:val="en-US"/>
        </w:rPr>
        <w:t>metastasising</w:t>
      </w:r>
      <w:proofErr w:type="spellEnd"/>
      <w:r w:rsidR="001F12A0">
        <w:rPr>
          <w:rFonts w:cstheme="minorHAnsi"/>
          <w:lang w:val="en-US"/>
        </w:rPr>
        <w:t xml:space="preserve"> </w:t>
      </w:r>
      <w:proofErr w:type="spellStart"/>
      <w:r w:rsidR="001F12A0">
        <w:rPr>
          <w:rFonts w:cstheme="minorHAnsi"/>
          <w:lang w:val="en-US"/>
        </w:rPr>
        <w:t>cSCC</w:t>
      </w:r>
      <w:proofErr w:type="spellEnd"/>
      <w:r w:rsidR="001F12A0">
        <w:rPr>
          <w:rFonts w:cstheme="minorHAnsi"/>
          <w:lang w:val="en-US"/>
        </w:rPr>
        <w:t xml:space="preserve"> (</w:t>
      </w:r>
      <w:r w:rsidR="00716D51">
        <w:rPr>
          <w:rFonts w:cstheme="minorHAnsi"/>
          <w:lang w:val="en-US"/>
        </w:rPr>
        <w:t>absolute log</w:t>
      </w:r>
      <w:r w:rsidR="00716D51" w:rsidRPr="00FD06A1">
        <w:rPr>
          <w:rFonts w:cs="Calibri (Body)"/>
          <w:vertAlign w:val="subscript"/>
          <w:lang w:val="en-US"/>
        </w:rPr>
        <w:t>2</w:t>
      </w:r>
      <w:r w:rsidR="00716D51">
        <w:rPr>
          <w:rFonts w:cstheme="minorHAnsi"/>
          <w:lang w:val="en-US"/>
        </w:rPr>
        <w:t xml:space="preserve"> fold change &gt;1 and adjusted </w:t>
      </w:r>
      <w:r w:rsidR="00716D51" w:rsidRPr="007A17EB">
        <w:rPr>
          <w:rFonts w:cstheme="minorHAnsi"/>
          <w:i/>
          <w:iCs/>
          <w:lang w:val="en-US"/>
        </w:rPr>
        <w:t>p</w:t>
      </w:r>
      <w:r w:rsidR="00716D51">
        <w:rPr>
          <w:rFonts w:cstheme="minorHAnsi"/>
          <w:lang w:val="en-US"/>
        </w:rPr>
        <w:t>-value &lt;0.05</w:t>
      </w:r>
      <w:r w:rsidR="001F12A0">
        <w:rPr>
          <w:rFonts w:cstheme="minorHAnsi"/>
          <w:lang w:val="en-US"/>
        </w:rPr>
        <w:t xml:space="preserve">). </w:t>
      </w:r>
      <w:r w:rsidR="00B14741">
        <w:rPr>
          <w:rFonts w:cstheme="minorHAnsi"/>
          <w:lang w:val="en-US"/>
        </w:rPr>
        <w:t xml:space="preserve"> </w:t>
      </w:r>
      <w:r w:rsidR="006D0A58">
        <w:rPr>
          <w:rFonts w:cstheme="minorHAnsi"/>
          <w:lang w:val="en-US"/>
        </w:rPr>
        <w:t>The g</w:t>
      </w:r>
      <w:r w:rsidR="00DC0551">
        <w:rPr>
          <w:rFonts w:cstheme="minorHAnsi"/>
          <w:lang w:val="en-US"/>
        </w:rPr>
        <w:t>ene set over-representation test</w:t>
      </w:r>
      <w:r w:rsidR="003819B5">
        <w:rPr>
          <w:rFonts w:cstheme="minorHAnsi"/>
          <w:lang w:val="en-US"/>
        </w:rPr>
        <w:t xml:space="preserve"> </w:t>
      </w:r>
      <w:r w:rsidR="00346325">
        <w:rPr>
          <w:rFonts w:cstheme="minorHAnsi"/>
          <w:lang w:val="en-US"/>
        </w:rPr>
        <w:t xml:space="preserve">showed </w:t>
      </w:r>
      <w:proofErr w:type="spellStart"/>
      <w:r w:rsidR="00EE17DC" w:rsidRPr="00182395">
        <w:rPr>
          <w:rFonts w:cstheme="minorHAnsi"/>
          <w:lang w:val="en-US"/>
        </w:rPr>
        <w:t>keratini</w:t>
      </w:r>
      <w:r w:rsidR="00EC76F8">
        <w:rPr>
          <w:rFonts w:cstheme="minorHAnsi"/>
          <w:lang w:val="en-US"/>
        </w:rPr>
        <w:t>s</w:t>
      </w:r>
      <w:r w:rsidR="00EE17DC" w:rsidRPr="00182395">
        <w:rPr>
          <w:rFonts w:cstheme="minorHAnsi"/>
          <w:lang w:val="en-US"/>
        </w:rPr>
        <w:t>ation</w:t>
      </w:r>
      <w:proofErr w:type="spellEnd"/>
      <w:r w:rsidR="0024209B">
        <w:rPr>
          <w:rFonts w:cstheme="minorHAnsi"/>
          <w:lang w:val="en-US"/>
        </w:rPr>
        <w:t xml:space="preserve">, </w:t>
      </w:r>
      <w:r w:rsidR="00A54CC5">
        <w:rPr>
          <w:rFonts w:cstheme="minorHAnsi"/>
          <w:lang w:val="en-US"/>
        </w:rPr>
        <w:t>B-cell receptor</w:t>
      </w:r>
      <w:r w:rsidR="00846E9E">
        <w:rPr>
          <w:rFonts w:cstheme="minorHAnsi"/>
          <w:lang w:val="en-US"/>
        </w:rPr>
        <w:t xml:space="preserve"> (BCR)</w:t>
      </w:r>
      <w:r w:rsidR="00A54CC5">
        <w:rPr>
          <w:rFonts w:cstheme="minorHAnsi"/>
          <w:lang w:val="en-US"/>
        </w:rPr>
        <w:t xml:space="preserve">, </w:t>
      </w:r>
      <w:r w:rsidR="00522108">
        <w:rPr>
          <w:rFonts w:cstheme="minorHAnsi"/>
          <w:lang w:val="en-US"/>
        </w:rPr>
        <w:t xml:space="preserve">innate immune response, </w:t>
      </w:r>
      <w:r w:rsidR="00DC0706">
        <w:rPr>
          <w:rFonts w:cstheme="minorHAnsi"/>
          <w:lang w:val="en-US"/>
        </w:rPr>
        <w:t>cell cycle, DNA replication</w:t>
      </w:r>
      <w:r w:rsidR="002A1954">
        <w:rPr>
          <w:rFonts w:cstheme="minorHAnsi"/>
          <w:lang w:val="en-US"/>
        </w:rPr>
        <w:t xml:space="preserve"> and</w:t>
      </w:r>
      <w:r w:rsidR="00DC0706">
        <w:rPr>
          <w:rFonts w:cstheme="minorHAnsi"/>
          <w:lang w:val="en-US"/>
        </w:rPr>
        <w:t xml:space="preserve"> </w:t>
      </w:r>
      <w:r w:rsidR="00D660C0" w:rsidRPr="00B36726">
        <w:rPr>
          <w:rFonts w:cstheme="minorHAnsi"/>
          <w:lang w:val="en-US"/>
        </w:rPr>
        <w:t>DNA repair</w:t>
      </w:r>
      <w:r w:rsidR="006A2E9B">
        <w:rPr>
          <w:rFonts w:cstheme="minorHAnsi"/>
          <w:lang w:val="en-US"/>
        </w:rPr>
        <w:t xml:space="preserve"> </w:t>
      </w:r>
      <w:r w:rsidR="00DE2F7B">
        <w:rPr>
          <w:rFonts w:cstheme="minorHAnsi"/>
          <w:lang w:val="en-US"/>
        </w:rPr>
        <w:t xml:space="preserve">were </w:t>
      </w:r>
      <w:r w:rsidR="00C205E7">
        <w:rPr>
          <w:rFonts w:cstheme="minorHAnsi"/>
          <w:lang w:val="en-US"/>
        </w:rPr>
        <w:t>highly over-represented in the DE genes (</w:t>
      </w:r>
      <w:r w:rsidR="00453B28">
        <w:rPr>
          <w:rFonts w:cstheme="minorHAnsi"/>
        </w:rPr>
        <w:t>hypergeometric test</w:t>
      </w:r>
      <w:r w:rsidR="00453B28" w:rsidRPr="00930C39">
        <w:rPr>
          <w:rFonts w:cstheme="minorHAnsi"/>
          <w:lang w:val="en-US"/>
        </w:rPr>
        <w:t xml:space="preserve"> </w:t>
      </w:r>
      <w:r w:rsidR="00453B28" w:rsidRPr="00E84A33">
        <w:rPr>
          <w:rFonts w:cstheme="minorHAnsi"/>
          <w:i/>
          <w:iCs/>
          <w:lang w:val="en-US"/>
        </w:rPr>
        <w:t>q</w:t>
      </w:r>
      <w:r w:rsidR="00453B28">
        <w:rPr>
          <w:rFonts w:cstheme="minorHAnsi"/>
          <w:lang w:val="en-US"/>
        </w:rPr>
        <w:t>&lt;</w:t>
      </w:r>
      <w:r w:rsidR="00D7159C">
        <w:rPr>
          <w:rFonts w:cstheme="minorHAnsi"/>
          <w:lang w:val="en-US"/>
        </w:rPr>
        <w:t xml:space="preserve">0.05, </w:t>
      </w:r>
      <w:r w:rsidR="00930C39" w:rsidRPr="00930C39">
        <w:rPr>
          <w:rFonts w:cstheme="minorHAnsi"/>
          <w:lang w:val="en-US"/>
        </w:rPr>
        <w:t xml:space="preserve">Supplemental </w:t>
      </w:r>
      <w:r w:rsidR="0054620A">
        <w:rPr>
          <w:rFonts w:cstheme="minorHAnsi"/>
          <w:lang w:val="en-US"/>
        </w:rPr>
        <w:t>Fig</w:t>
      </w:r>
      <w:r w:rsidR="00A86BAD">
        <w:rPr>
          <w:rFonts w:cstheme="minorHAnsi"/>
          <w:lang w:val="en-US"/>
        </w:rPr>
        <w:t xml:space="preserve"> </w:t>
      </w:r>
      <w:r w:rsidR="00E84A33">
        <w:rPr>
          <w:rFonts w:cstheme="minorHAnsi"/>
          <w:lang w:val="en-US"/>
        </w:rPr>
        <w:t>2</w:t>
      </w:r>
      <w:r w:rsidR="001A7464">
        <w:rPr>
          <w:rFonts w:cstheme="minorHAnsi"/>
          <w:lang w:val="en-US"/>
        </w:rPr>
        <w:t>A</w:t>
      </w:r>
      <w:r w:rsidR="005567D3">
        <w:rPr>
          <w:rFonts w:cstheme="minorHAnsi"/>
          <w:lang w:val="en-US"/>
        </w:rPr>
        <w:t xml:space="preserve">). </w:t>
      </w:r>
      <w:r w:rsidR="008428A3">
        <w:rPr>
          <w:rFonts w:cstheme="minorHAnsi"/>
          <w:lang w:val="en-US"/>
        </w:rPr>
        <w:t>O</w:t>
      </w:r>
      <w:r w:rsidR="002E5E8F">
        <w:rPr>
          <w:rFonts w:cstheme="minorHAnsi"/>
          <w:lang w:val="en-US"/>
        </w:rPr>
        <w:t xml:space="preserve">ver-representation </w:t>
      </w:r>
      <w:r w:rsidR="00F950A0">
        <w:rPr>
          <w:rFonts w:cstheme="minorHAnsi"/>
          <w:lang w:val="en-US"/>
        </w:rPr>
        <w:t>analysis</w:t>
      </w:r>
      <w:r w:rsidR="005F6540">
        <w:rPr>
          <w:rFonts w:cstheme="minorHAnsi"/>
          <w:lang w:val="en-US"/>
        </w:rPr>
        <w:t xml:space="preserve"> </w:t>
      </w:r>
      <w:r w:rsidR="002D5DE5">
        <w:rPr>
          <w:rFonts w:cstheme="minorHAnsi"/>
          <w:lang w:val="en-US"/>
        </w:rPr>
        <w:t xml:space="preserve">against cellular signatures </w:t>
      </w:r>
      <w:r w:rsidR="00052B57">
        <w:rPr>
          <w:rFonts w:cstheme="minorHAnsi"/>
          <w:lang w:val="en-US"/>
        </w:rPr>
        <w:t>showed</w:t>
      </w:r>
      <w:r w:rsidR="000D6AFF">
        <w:rPr>
          <w:rFonts w:cstheme="minorHAnsi"/>
          <w:lang w:val="en-US"/>
        </w:rPr>
        <w:t xml:space="preserve"> that s</w:t>
      </w:r>
      <w:r w:rsidR="009968F7">
        <w:rPr>
          <w:rFonts w:cstheme="minorHAnsi"/>
          <w:lang w:val="en-US"/>
        </w:rPr>
        <w:t xml:space="preserve">ignatures associated with </w:t>
      </w:r>
      <w:r w:rsidR="0010087B">
        <w:rPr>
          <w:rFonts w:cstheme="minorHAnsi"/>
          <w:lang w:val="en-US"/>
        </w:rPr>
        <w:t xml:space="preserve">neural </w:t>
      </w:r>
      <w:r w:rsidR="009968F7">
        <w:rPr>
          <w:rFonts w:cstheme="minorHAnsi"/>
          <w:lang w:val="en-US"/>
        </w:rPr>
        <w:t>progenitor, endothelial and cancer stem cell</w:t>
      </w:r>
      <w:r w:rsidR="00F13293">
        <w:rPr>
          <w:rFonts w:cstheme="minorHAnsi"/>
          <w:lang w:val="en-US"/>
        </w:rPr>
        <w:t>s</w:t>
      </w:r>
      <w:r w:rsidR="009968F7">
        <w:rPr>
          <w:rFonts w:cstheme="minorHAnsi"/>
          <w:lang w:val="en-US"/>
        </w:rPr>
        <w:t xml:space="preserve"> were highly enriched within the DE genes</w:t>
      </w:r>
      <w:r w:rsidR="00BB7E70">
        <w:rPr>
          <w:rFonts w:cstheme="minorHAnsi"/>
          <w:lang w:val="en-US"/>
        </w:rPr>
        <w:t xml:space="preserve"> (</w:t>
      </w:r>
      <w:r w:rsidR="00B46F06" w:rsidRPr="00930C39">
        <w:rPr>
          <w:rFonts w:cstheme="minorHAnsi"/>
          <w:lang w:val="en-US"/>
        </w:rPr>
        <w:t xml:space="preserve">Supplemental </w:t>
      </w:r>
      <w:r w:rsidR="00B46F06">
        <w:rPr>
          <w:rFonts w:cstheme="minorHAnsi"/>
          <w:lang w:val="en-US"/>
        </w:rPr>
        <w:t xml:space="preserve">Fig </w:t>
      </w:r>
      <w:r w:rsidR="006C5BF4">
        <w:rPr>
          <w:rFonts w:cstheme="minorHAnsi"/>
          <w:lang w:val="en-US"/>
        </w:rPr>
        <w:t>2</w:t>
      </w:r>
      <w:r w:rsidR="00BD73AB">
        <w:rPr>
          <w:rFonts w:cstheme="minorHAnsi"/>
          <w:lang w:val="en-US"/>
        </w:rPr>
        <w:t>B</w:t>
      </w:r>
      <w:r w:rsidR="00BB7E70">
        <w:rPr>
          <w:rFonts w:cstheme="minorHAnsi"/>
          <w:lang w:val="en-US"/>
        </w:rPr>
        <w:t>)</w:t>
      </w:r>
      <w:r w:rsidR="00C16539">
        <w:rPr>
          <w:rFonts w:cstheme="minorHAnsi"/>
          <w:lang w:val="en-US"/>
        </w:rPr>
        <w:t>,</w:t>
      </w:r>
      <w:r w:rsidR="00FF1A52" w:rsidRPr="00FF1A52">
        <w:rPr>
          <w:rFonts w:cstheme="minorHAnsi"/>
          <w:lang w:val="en-US"/>
        </w:rPr>
        <w:t xml:space="preserve"> </w:t>
      </w:r>
      <w:r w:rsidR="00FF1A52">
        <w:rPr>
          <w:rFonts w:cstheme="minorHAnsi"/>
          <w:lang w:val="en-US"/>
        </w:rPr>
        <w:t>suggesting that cell differentiation is</w:t>
      </w:r>
      <w:r w:rsidR="00D56BE4">
        <w:rPr>
          <w:rFonts w:cstheme="minorHAnsi"/>
          <w:lang w:val="en-US"/>
        </w:rPr>
        <w:t xml:space="preserve"> a </w:t>
      </w:r>
      <w:r w:rsidR="00FF1A52">
        <w:rPr>
          <w:rFonts w:cstheme="minorHAnsi"/>
          <w:lang w:val="en-US"/>
        </w:rPr>
        <w:t xml:space="preserve">key factor </w:t>
      </w:r>
      <w:r w:rsidR="00D56BE4">
        <w:rPr>
          <w:rFonts w:cstheme="minorHAnsi"/>
          <w:lang w:val="en-US"/>
        </w:rPr>
        <w:t>distinguishing</w:t>
      </w:r>
      <w:r w:rsidR="00FF1A52">
        <w:rPr>
          <w:rFonts w:cstheme="minorHAnsi"/>
          <w:lang w:val="en-US"/>
        </w:rPr>
        <w:t xml:space="preserve"> the two </w:t>
      </w:r>
      <w:proofErr w:type="spellStart"/>
      <w:r w:rsidR="00FF1A52">
        <w:rPr>
          <w:rFonts w:cstheme="minorHAnsi"/>
          <w:lang w:val="en-US"/>
        </w:rPr>
        <w:t>cSCC</w:t>
      </w:r>
      <w:proofErr w:type="spellEnd"/>
      <w:r w:rsidR="00FF1A52">
        <w:rPr>
          <w:rFonts w:cstheme="minorHAnsi"/>
          <w:lang w:val="en-US"/>
        </w:rPr>
        <w:t xml:space="preserve"> groups</w:t>
      </w:r>
      <w:r w:rsidR="00741B26">
        <w:rPr>
          <w:rFonts w:cstheme="minorHAnsi"/>
          <w:lang w:val="en-US"/>
        </w:rPr>
        <w:t xml:space="preserve">. </w:t>
      </w:r>
      <w:r w:rsidR="00D80E80">
        <w:rPr>
          <w:rFonts w:cstheme="minorHAnsi"/>
          <w:lang w:val="en-US"/>
        </w:rPr>
        <w:t xml:space="preserve">GSEA against </w:t>
      </w:r>
      <w:proofErr w:type="spellStart"/>
      <w:r w:rsidR="00744439">
        <w:rPr>
          <w:rFonts w:cstheme="minorHAnsi"/>
          <w:lang w:val="en-US"/>
        </w:rPr>
        <w:t>MSigDB</w:t>
      </w:r>
      <w:proofErr w:type="spellEnd"/>
      <w:r w:rsidR="00744439">
        <w:rPr>
          <w:rFonts w:cstheme="minorHAnsi"/>
          <w:lang w:val="en-US"/>
        </w:rPr>
        <w:t xml:space="preserve"> </w:t>
      </w:r>
      <w:r w:rsidR="00D80E80">
        <w:rPr>
          <w:rFonts w:cstheme="minorHAnsi"/>
          <w:lang w:val="en-US"/>
        </w:rPr>
        <w:t>canonical pathways further suggested that cell cycle related, DNA replication and</w:t>
      </w:r>
      <w:r w:rsidR="00D80E80" w:rsidRPr="00B36726">
        <w:rPr>
          <w:rFonts w:cstheme="minorHAnsi"/>
          <w:lang w:val="en-US"/>
        </w:rPr>
        <w:t xml:space="preserve"> repair</w:t>
      </w:r>
      <w:r w:rsidR="00D80E80">
        <w:rPr>
          <w:rFonts w:cstheme="minorHAnsi"/>
          <w:lang w:val="en-US"/>
        </w:rPr>
        <w:t>,</w:t>
      </w:r>
      <w:r w:rsidR="00B13F49">
        <w:rPr>
          <w:rFonts w:cstheme="minorHAnsi"/>
          <w:lang w:val="en-US"/>
        </w:rPr>
        <w:t xml:space="preserve"> </w:t>
      </w:r>
      <w:r w:rsidR="00D80E80">
        <w:rPr>
          <w:rFonts w:cstheme="minorHAnsi"/>
          <w:lang w:val="en-US"/>
        </w:rPr>
        <w:t xml:space="preserve">and immune pathways (BCR regulation, interferon and interleukin-12 </w:t>
      </w:r>
      <w:proofErr w:type="spellStart"/>
      <w:r w:rsidR="00D80E80">
        <w:rPr>
          <w:rFonts w:cstheme="minorHAnsi"/>
          <w:lang w:val="en-US"/>
        </w:rPr>
        <w:t>signalling</w:t>
      </w:r>
      <w:proofErr w:type="spellEnd"/>
      <w:r w:rsidR="00D80E80">
        <w:rPr>
          <w:rFonts w:cstheme="minorHAnsi"/>
          <w:lang w:val="en-US"/>
        </w:rPr>
        <w:t>),</w:t>
      </w:r>
      <w:r w:rsidR="00880A49">
        <w:rPr>
          <w:rFonts w:cstheme="minorHAnsi"/>
          <w:lang w:val="en-US"/>
        </w:rPr>
        <w:t xml:space="preserve"> </w:t>
      </w:r>
      <w:r w:rsidR="00F47B01">
        <w:rPr>
          <w:rFonts w:cstheme="minorHAnsi"/>
          <w:lang w:val="en-US"/>
        </w:rPr>
        <w:t xml:space="preserve">were </w:t>
      </w:r>
      <w:r w:rsidR="00CB13B6">
        <w:rPr>
          <w:rFonts w:cstheme="minorHAnsi"/>
          <w:lang w:val="en-US"/>
        </w:rPr>
        <w:t xml:space="preserve">all </w:t>
      </w:r>
      <w:r w:rsidR="00F47B01">
        <w:rPr>
          <w:rFonts w:cstheme="minorHAnsi"/>
          <w:lang w:val="en-US"/>
        </w:rPr>
        <w:t xml:space="preserve">significantly upregulated in </w:t>
      </w:r>
      <w:proofErr w:type="spellStart"/>
      <w:r w:rsidR="00F47B01">
        <w:rPr>
          <w:rFonts w:cstheme="minorHAnsi"/>
          <w:lang w:val="en-US"/>
        </w:rPr>
        <w:t>metastasising</w:t>
      </w:r>
      <w:proofErr w:type="spellEnd"/>
      <w:r w:rsidR="00F47B01">
        <w:rPr>
          <w:rFonts w:cstheme="minorHAnsi"/>
          <w:lang w:val="en-US"/>
        </w:rPr>
        <w:t xml:space="preserve"> </w:t>
      </w:r>
      <w:proofErr w:type="spellStart"/>
      <w:r w:rsidR="00F47B01" w:rsidRPr="00597ABC">
        <w:rPr>
          <w:rFonts w:cstheme="minorHAnsi"/>
          <w:lang w:val="en-US"/>
        </w:rPr>
        <w:t>cSC</w:t>
      </w:r>
      <w:r w:rsidR="00F47B01">
        <w:rPr>
          <w:rFonts w:cstheme="minorHAnsi"/>
          <w:lang w:val="en-US"/>
        </w:rPr>
        <w:t>C</w:t>
      </w:r>
      <w:proofErr w:type="spellEnd"/>
      <w:r w:rsidR="00F47B01">
        <w:rPr>
          <w:rFonts w:cstheme="minorHAnsi"/>
          <w:lang w:val="en-US"/>
        </w:rPr>
        <w:t xml:space="preserve">, </w:t>
      </w:r>
      <w:r w:rsidR="0081742C">
        <w:rPr>
          <w:rFonts w:cstheme="minorHAnsi"/>
          <w:lang w:val="en-US"/>
        </w:rPr>
        <w:t xml:space="preserve">while formation of the cornified envelope, </w:t>
      </w:r>
      <w:proofErr w:type="spellStart"/>
      <w:r w:rsidR="0081742C" w:rsidRPr="00182395">
        <w:rPr>
          <w:rFonts w:cstheme="minorHAnsi"/>
          <w:lang w:val="en-US"/>
        </w:rPr>
        <w:t>keratini</w:t>
      </w:r>
      <w:r w:rsidR="0081742C">
        <w:rPr>
          <w:rFonts w:cstheme="minorHAnsi"/>
          <w:lang w:val="en-US"/>
        </w:rPr>
        <w:t>s</w:t>
      </w:r>
      <w:r w:rsidR="0081742C" w:rsidRPr="00182395">
        <w:rPr>
          <w:rFonts w:cstheme="minorHAnsi"/>
          <w:lang w:val="en-US"/>
        </w:rPr>
        <w:t>ation</w:t>
      </w:r>
      <w:proofErr w:type="spellEnd"/>
      <w:r w:rsidR="0081742C">
        <w:rPr>
          <w:rFonts w:cstheme="minorHAnsi"/>
          <w:lang w:val="en-US"/>
        </w:rPr>
        <w:t>, and many metabolism pathways (sphingolipid, triglyceride,</w:t>
      </w:r>
      <w:r w:rsidR="00A866FE">
        <w:rPr>
          <w:rFonts w:cstheme="minorHAnsi"/>
          <w:lang w:val="en-US"/>
        </w:rPr>
        <w:t xml:space="preserve"> </w:t>
      </w:r>
      <w:r w:rsidR="0081742C">
        <w:rPr>
          <w:rFonts w:cstheme="minorHAnsi"/>
          <w:lang w:val="en-US"/>
        </w:rPr>
        <w:t>creatine and fatty acid metabolism) were significantly downregulated (</w:t>
      </w:r>
      <w:r w:rsidR="0081742C" w:rsidRPr="00234474">
        <w:rPr>
          <w:rFonts w:cstheme="minorHAnsi"/>
          <w:b/>
          <w:bCs/>
          <w:lang w:val="en-US"/>
        </w:rPr>
        <w:t>Fig</w:t>
      </w:r>
      <w:r w:rsidR="0081742C">
        <w:rPr>
          <w:rFonts w:cstheme="minorHAnsi"/>
          <w:b/>
          <w:bCs/>
          <w:lang w:val="en-US"/>
        </w:rPr>
        <w:t>ure</w:t>
      </w:r>
      <w:r w:rsidR="0081742C" w:rsidRPr="00234474">
        <w:rPr>
          <w:rFonts w:cstheme="minorHAnsi"/>
          <w:b/>
          <w:bCs/>
          <w:lang w:val="en-US"/>
        </w:rPr>
        <w:t xml:space="preserve"> </w:t>
      </w:r>
      <w:r w:rsidR="0081742C">
        <w:rPr>
          <w:rFonts w:cstheme="minorHAnsi"/>
          <w:b/>
          <w:bCs/>
          <w:lang w:val="en-US"/>
        </w:rPr>
        <w:t>1</w:t>
      </w:r>
      <w:r w:rsidR="0081742C">
        <w:rPr>
          <w:rFonts w:cstheme="minorHAnsi"/>
          <w:lang w:val="en-US"/>
        </w:rPr>
        <w:t>).</w:t>
      </w:r>
    </w:p>
    <w:p w14:paraId="6D9EB2B8" w14:textId="77777777" w:rsidR="00533887" w:rsidRDefault="00533887" w:rsidP="000D7C48">
      <w:pPr>
        <w:spacing w:line="276" w:lineRule="auto"/>
        <w:jc w:val="both"/>
        <w:rPr>
          <w:rFonts w:cstheme="minorHAnsi"/>
          <w:b/>
          <w:bCs/>
          <w:lang w:val="en-US"/>
        </w:rPr>
      </w:pPr>
    </w:p>
    <w:p w14:paraId="6B3C43EA" w14:textId="26CC083A" w:rsidR="00EE76E0" w:rsidRDefault="00EE76E0" w:rsidP="00EE76E0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</w:rPr>
        <w:t>Normal perilesional samples from</w:t>
      </w:r>
      <w:r w:rsidR="004A37EC">
        <w:rPr>
          <w:rFonts w:cstheme="minorHAnsi"/>
        </w:rPr>
        <w:t xml:space="preserve"> </w:t>
      </w:r>
      <w:r w:rsidRPr="000F741E">
        <w:rPr>
          <w:rFonts w:cstheme="minorHAnsi"/>
        </w:rPr>
        <w:t>metastasisin</w:t>
      </w:r>
      <w:r>
        <w:rPr>
          <w:rFonts w:cstheme="minorHAnsi"/>
        </w:rPr>
        <w:t xml:space="preserve">g and non-metastasising primary </w:t>
      </w:r>
      <w:proofErr w:type="spellStart"/>
      <w:r>
        <w:rPr>
          <w:rFonts w:cstheme="minorHAnsi"/>
        </w:rPr>
        <w:t>cSCC</w:t>
      </w:r>
      <w:proofErr w:type="spellEnd"/>
      <w:r>
        <w:rPr>
          <w:rFonts w:cstheme="minorHAnsi"/>
        </w:rPr>
        <w:t xml:space="preserve"> were also compared. GSEA indicated many immune pathways (such as </w:t>
      </w:r>
      <w:r w:rsidRPr="00201A32">
        <w:rPr>
          <w:rFonts w:cstheme="minorHAnsi"/>
        </w:rPr>
        <w:t>BCR</w:t>
      </w:r>
      <w:r>
        <w:rPr>
          <w:rFonts w:cstheme="minorHAnsi"/>
        </w:rPr>
        <w:t xml:space="preserve"> and T cell receptor signalling, Fc gamma receptor activation, and chemokine receptor binding) and cell cycle related pathways (synthesis, replication and repair of DNA) were significantly </w:t>
      </w:r>
      <w:r w:rsidR="006920D8">
        <w:rPr>
          <w:rFonts w:cstheme="minorHAnsi"/>
        </w:rPr>
        <w:t>upregulated</w:t>
      </w:r>
      <w:r>
        <w:rPr>
          <w:rFonts w:cstheme="minorHAnsi"/>
        </w:rPr>
        <w:t xml:space="preserve"> in perilesional skin samples from metastasising tumours</w:t>
      </w:r>
      <w:bookmarkStart w:id="0" w:name="_Hlk128408083"/>
      <w:r w:rsidRPr="009C545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(</w:t>
      </w:r>
      <w:r w:rsidRPr="00930C39">
        <w:rPr>
          <w:rFonts w:cstheme="minorHAnsi"/>
          <w:lang w:val="en-US"/>
        </w:rPr>
        <w:t>Supplementa</w:t>
      </w:r>
      <w:r>
        <w:rPr>
          <w:rFonts w:cstheme="minorHAnsi"/>
          <w:lang w:val="en-US"/>
        </w:rPr>
        <w:t xml:space="preserve">ry </w:t>
      </w:r>
      <w:r w:rsidRPr="00930C39">
        <w:rPr>
          <w:rFonts w:cstheme="minorHAnsi"/>
          <w:lang w:val="en-US"/>
        </w:rPr>
        <w:t xml:space="preserve">Table </w:t>
      </w:r>
      <w:r>
        <w:rPr>
          <w:rFonts w:cstheme="minorHAnsi"/>
          <w:lang w:val="en-US"/>
        </w:rPr>
        <w:t>II).</w:t>
      </w:r>
      <w:bookmarkEnd w:id="0"/>
    </w:p>
    <w:p w14:paraId="5348A5EF" w14:textId="77777777" w:rsidR="00D900B6" w:rsidRPr="00CF6FC0" w:rsidRDefault="00D900B6" w:rsidP="00CF6FC0">
      <w:pPr>
        <w:spacing w:line="276" w:lineRule="auto"/>
        <w:jc w:val="both"/>
        <w:rPr>
          <w:rFonts w:cstheme="minorHAnsi"/>
          <w:b/>
          <w:bCs/>
          <w:lang w:val="en-US"/>
        </w:rPr>
      </w:pPr>
    </w:p>
    <w:p w14:paraId="36591BCC" w14:textId="5E15BE07" w:rsidR="00E12FE8" w:rsidRDefault="008B4E4E" w:rsidP="00D61612">
      <w:pPr>
        <w:spacing w:line="276" w:lineRule="auto"/>
        <w:jc w:val="both"/>
        <w:rPr>
          <w:rFonts w:eastAsia="Times New Roman" w:cstheme="minorHAnsi"/>
          <w:b/>
          <w:bCs/>
          <w:lang w:eastAsia="en-GB"/>
        </w:rPr>
      </w:pPr>
      <w:r w:rsidRPr="008B4E4E">
        <w:rPr>
          <w:rFonts w:eastAsia="Times New Roman" w:cstheme="minorHAnsi"/>
          <w:b/>
          <w:bCs/>
          <w:lang w:eastAsia="en-GB"/>
        </w:rPr>
        <w:t>Development of the</w:t>
      </w:r>
      <w:r w:rsidR="00106D09">
        <w:rPr>
          <w:rFonts w:eastAsia="Times New Roman" w:cstheme="minorHAnsi"/>
          <w:b/>
          <w:bCs/>
          <w:lang w:eastAsia="en-GB"/>
        </w:rPr>
        <w:t xml:space="preserve"> 20-</w:t>
      </w:r>
      <w:r w:rsidR="00AA6CEE">
        <w:rPr>
          <w:rFonts w:eastAsia="Times New Roman" w:cstheme="minorHAnsi"/>
          <w:b/>
          <w:bCs/>
          <w:lang w:eastAsia="en-GB"/>
        </w:rPr>
        <w:t>GEP</w:t>
      </w:r>
      <w:r w:rsidRPr="008B4E4E">
        <w:rPr>
          <w:rFonts w:eastAsia="Times New Roman" w:cstheme="minorHAnsi"/>
          <w:b/>
          <w:bCs/>
          <w:lang w:eastAsia="en-GB"/>
        </w:rPr>
        <w:t xml:space="preserve"> prognostic signature</w:t>
      </w:r>
    </w:p>
    <w:p w14:paraId="4161F7FB" w14:textId="585657B2" w:rsidR="002637FC" w:rsidRDefault="00CE3463" w:rsidP="00C269D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T</w:t>
      </w:r>
      <w:r w:rsidR="00E9368C">
        <w:rPr>
          <w:rFonts w:cstheme="minorHAnsi"/>
        </w:rPr>
        <w:t xml:space="preserve">o identify a </w:t>
      </w:r>
      <w:r w:rsidR="00106D09">
        <w:rPr>
          <w:rFonts w:cstheme="minorHAnsi"/>
        </w:rPr>
        <w:t xml:space="preserve">smaller </w:t>
      </w:r>
      <w:r w:rsidR="00E9368C">
        <w:rPr>
          <w:rFonts w:cstheme="minorHAnsi"/>
        </w:rPr>
        <w:t xml:space="preserve">set of genes that were predictive </w:t>
      </w:r>
      <w:r w:rsidR="00867B71">
        <w:rPr>
          <w:rFonts w:cstheme="minorHAnsi"/>
        </w:rPr>
        <w:t>for</w:t>
      </w:r>
      <w:r w:rsidR="00E9368C">
        <w:rPr>
          <w:rFonts w:cstheme="minorHAnsi"/>
        </w:rPr>
        <w:t xml:space="preserve"> </w:t>
      </w:r>
      <w:r w:rsidR="00867B71">
        <w:rPr>
          <w:rFonts w:cstheme="minorHAnsi"/>
        </w:rPr>
        <w:t xml:space="preserve">primary </w:t>
      </w:r>
      <w:proofErr w:type="spellStart"/>
      <w:r w:rsidR="00867B71">
        <w:rPr>
          <w:rFonts w:cstheme="minorHAnsi"/>
        </w:rPr>
        <w:t>cSCC</w:t>
      </w:r>
      <w:proofErr w:type="spellEnd"/>
      <w:r w:rsidR="00867B71">
        <w:rPr>
          <w:rFonts w:cstheme="minorHAnsi"/>
        </w:rPr>
        <w:t xml:space="preserve"> </w:t>
      </w:r>
      <w:r w:rsidR="00E9368C">
        <w:rPr>
          <w:rFonts w:cstheme="minorHAnsi"/>
        </w:rPr>
        <w:t>metastasis</w:t>
      </w:r>
      <w:r w:rsidR="00F75868">
        <w:rPr>
          <w:rFonts w:cstheme="minorHAnsi"/>
        </w:rPr>
        <w:t xml:space="preserve">, </w:t>
      </w:r>
      <w:r w:rsidR="00B13EED">
        <w:rPr>
          <w:rFonts w:cstheme="minorHAnsi"/>
        </w:rPr>
        <w:t xml:space="preserve">a range of </w:t>
      </w:r>
      <w:r w:rsidR="00C13CC9">
        <w:rPr>
          <w:rFonts w:cstheme="minorHAnsi"/>
        </w:rPr>
        <w:t xml:space="preserve">ML classification algorithms </w:t>
      </w:r>
      <w:r w:rsidR="0075614A">
        <w:rPr>
          <w:rFonts w:cstheme="minorHAnsi"/>
        </w:rPr>
        <w:t xml:space="preserve">were </w:t>
      </w:r>
      <w:r w:rsidR="009D20FD">
        <w:rPr>
          <w:rFonts w:cstheme="minorHAnsi"/>
        </w:rPr>
        <w:t>applied</w:t>
      </w:r>
      <w:r w:rsidR="0075614A">
        <w:rPr>
          <w:rFonts w:cstheme="minorHAnsi"/>
        </w:rPr>
        <w:t xml:space="preserve"> after splitting </w:t>
      </w:r>
      <w:r w:rsidR="00801CE5">
        <w:rPr>
          <w:rFonts w:cstheme="minorHAnsi"/>
        </w:rPr>
        <w:t xml:space="preserve">the primary </w:t>
      </w:r>
      <w:proofErr w:type="spellStart"/>
      <w:r w:rsidR="00801CE5">
        <w:rPr>
          <w:rFonts w:cstheme="minorHAnsi"/>
        </w:rPr>
        <w:t>cSCC</w:t>
      </w:r>
      <w:proofErr w:type="spellEnd"/>
      <w:r w:rsidR="00801CE5">
        <w:rPr>
          <w:rFonts w:cstheme="minorHAnsi"/>
        </w:rPr>
        <w:t xml:space="preserve"> samples into training </w:t>
      </w:r>
      <w:r w:rsidR="00A17C19">
        <w:rPr>
          <w:rFonts w:cstheme="minorHAnsi"/>
        </w:rPr>
        <w:t xml:space="preserve">and validation sets. </w:t>
      </w:r>
      <w:r w:rsidR="00175792">
        <w:rPr>
          <w:rFonts w:cstheme="minorHAnsi"/>
        </w:rPr>
        <w:t xml:space="preserve">A </w:t>
      </w:r>
      <w:r w:rsidR="008A2265">
        <w:rPr>
          <w:rFonts w:cstheme="minorHAnsi"/>
        </w:rPr>
        <w:t>20</w:t>
      </w:r>
      <w:r w:rsidR="00175792">
        <w:rPr>
          <w:rFonts w:cstheme="minorHAnsi"/>
        </w:rPr>
        <w:t>-gene</w:t>
      </w:r>
      <w:r w:rsidR="004F2792">
        <w:rPr>
          <w:rFonts w:cstheme="minorHAnsi"/>
        </w:rPr>
        <w:t xml:space="preserve"> model </w:t>
      </w:r>
      <w:r w:rsidR="00CA332D">
        <w:rPr>
          <w:rFonts w:cstheme="minorHAnsi"/>
        </w:rPr>
        <w:t>d</w:t>
      </w:r>
      <w:r w:rsidR="00C76C12">
        <w:rPr>
          <w:rFonts w:cstheme="minorHAnsi"/>
        </w:rPr>
        <w:t>e</w:t>
      </w:r>
      <w:r w:rsidR="00CA332D">
        <w:rPr>
          <w:rFonts w:cstheme="minorHAnsi"/>
        </w:rPr>
        <w:t xml:space="preserve">rived from </w:t>
      </w:r>
      <w:r w:rsidR="008A0EE9">
        <w:rPr>
          <w:rFonts w:cstheme="minorHAnsi"/>
        </w:rPr>
        <w:t>K-nearest neighbours</w:t>
      </w:r>
      <w:r w:rsidR="00373B32">
        <w:rPr>
          <w:rFonts w:cstheme="minorHAnsi"/>
        </w:rPr>
        <w:t xml:space="preserve"> (KNN)</w:t>
      </w:r>
      <w:r w:rsidR="00831EC3">
        <w:rPr>
          <w:rFonts w:cstheme="minorHAnsi"/>
        </w:rPr>
        <w:t xml:space="preserve"> </w:t>
      </w:r>
      <w:r w:rsidR="00867B71">
        <w:rPr>
          <w:rFonts w:cstheme="minorHAnsi"/>
        </w:rPr>
        <w:t xml:space="preserve">was identified </w:t>
      </w:r>
      <w:r w:rsidR="00111242">
        <w:rPr>
          <w:rFonts w:cstheme="minorHAnsi"/>
        </w:rPr>
        <w:t xml:space="preserve">(Supplemental Table III) </w:t>
      </w:r>
      <w:r w:rsidR="00867B71">
        <w:rPr>
          <w:rFonts w:cstheme="minorHAnsi"/>
        </w:rPr>
        <w:t xml:space="preserve">which provided the best </w:t>
      </w:r>
      <w:r w:rsidR="00831EC3">
        <w:rPr>
          <w:rFonts w:cstheme="minorHAnsi"/>
        </w:rPr>
        <w:t>perform</w:t>
      </w:r>
      <w:r w:rsidR="00867B71">
        <w:rPr>
          <w:rFonts w:cstheme="minorHAnsi"/>
        </w:rPr>
        <w:t>ance</w:t>
      </w:r>
      <w:r w:rsidR="00831EC3">
        <w:rPr>
          <w:rFonts w:cstheme="minorHAnsi"/>
        </w:rPr>
        <w:t xml:space="preserve"> </w:t>
      </w:r>
      <w:r w:rsidR="00867B71">
        <w:rPr>
          <w:rFonts w:cstheme="minorHAnsi"/>
        </w:rPr>
        <w:t>in</w:t>
      </w:r>
      <w:r w:rsidR="00831EC3">
        <w:rPr>
          <w:rFonts w:cstheme="minorHAnsi"/>
        </w:rPr>
        <w:t xml:space="preserve"> differentiat</w:t>
      </w:r>
      <w:r w:rsidR="00867B71">
        <w:rPr>
          <w:rFonts w:cstheme="minorHAnsi"/>
        </w:rPr>
        <w:t>ing</w:t>
      </w:r>
      <w:r w:rsidR="00831EC3">
        <w:rPr>
          <w:rFonts w:cstheme="minorHAnsi"/>
        </w:rPr>
        <w:t xml:space="preserve"> the two </w:t>
      </w:r>
      <w:proofErr w:type="spellStart"/>
      <w:r w:rsidR="00831EC3">
        <w:rPr>
          <w:rFonts w:cstheme="minorHAnsi"/>
        </w:rPr>
        <w:t>cSCC</w:t>
      </w:r>
      <w:proofErr w:type="spellEnd"/>
      <w:r w:rsidR="00831EC3">
        <w:rPr>
          <w:rFonts w:cstheme="minorHAnsi"/>
        </w:rPr>
        <w:t xml:space="preserve"> groups in the validation set</w:t>
      </w:r>
      <w:r w:rsidR="007637B3">
        <w:rPr>
          <w:rFonts w:cstheme="minorHAnsi"/>
        </w:rPr>
        <w:t xml:space="preserve"> </w:t>
      </w:r>
      <w:r w:rsidR="004A2550">
        <w:rPr>
          <w:rFonts w:cstheme="minorHAnsi"/>
        </w:rPr>
        <w:t>(n=57</w:t>
      </w:r>
      <w:r w:rsidR="00A94D03">
        <w:rPr>
          <w:rFonts w:cstheme="minorHAnsi"/>
        </w:rPr>
        <w:t>: 36 non-metastasising; 21 metastasising</w:t>
      </w:r>
      <w:r w:rsidR="004A2550">
        <w:rPr>
          <w:rFonts w:cstheme="minorHAnsi"/>
        </w:rPr>
        <w:t>)</w:t>
      </w:r>
      <w:r w:rsidR="00831EC3">
        <w:rPr>
          <w:rFonts w:cstheme="minorHAnsi"/>
        </w:rPr>
        <w:t xml:space="preserve">, with </w:t>
      </w:r>
      <w:r w:rsidR="005B670B">
        <w:rPr>
          <w:rFonts w:cstheme="minorHAnsi"/>
        </w:rPr>
        <w:t>an</w:t>
      </w:r>
      <w:r w:rsidR="00831EC3">
        <w:rPr>
          <w:rFonts w:cstheme="minorHAnsi"/>
        </w:rPr>
        <w:t xml:space="preserve"> accuracy </w:t>
      </w:r>
      <w:r w:rsidR="005B670B">
        <w:rPr>
          <w:rFonts w:cstheme="minorHAnsi"/>
        </w:rPr>
        <w:t xml:space="preserve">of </w:t>
      </w:r>
      <w:r w:rsidR="00831EC3">
        <w:rPr>
          <w:rFonts w:cstheme="minorHAnsi"/>
        </w:rPr>
        <w:t>86</w:t>
      </w:r>
      <w:r w:rsidR="006F1627">
        <w:rPr>
          <w:rFonts w:cstheme="minorHAnsi"/>
        </w:rPr>
        <w:t>.0</w:t>
      </w:r>
      <w:r w:rsidR="005B5E04">
        <w:rPr>
          <w:rFonts w:cstheme="minorHAnsi"/>
        </w:rPr>
        <w:t>%</w:t>
      </w:r>
      <w:r w:rsidR="00867B71">
        <w:rPr>
          <w:rFonts w:cstheme="minorHAnsi"/>
        </w:rPr>
        <w:t xml:space="preserve"> (</w:t>
      </w:r>
      <w:r w:rsidR="00831EC3">
        <w:rPr>
          <w:rFonts w:cstheme="minorHAnsi"/>
        </w:rPr>
        <w:t>95% confidence interval 7</w:t>
      </w:r>
      <w:r w:rsidR="001573C5">
        <w:rPr>
          <w:rFonts w:cstheme="minorHAnsi"/>
        </w:rPr>
        <w:t>4</w:t>
      </w:r>
      <w:r w:rsidR="005E4E0A">
        <w:rPr>
          <w:rFonts w:cstheme="minorHAnsi"/>
        </w:rPr>
        <w:t>.</w:t>
      </w:r>
      <w:r w:rsidR="001573C5">
        <w:rPr>
          <w:rFonts w:cstheme="minorHAnsi"/>
        </w:rPr>
        <w:t>2</w:t>
      </w:r>
      <w:r w:rsidR="00E92601">
        <w:rPr>
          <w:rFonts w:cstheme="minorHAnsi"/>
        </w:rPr>
        <w:t>-</w:t>
      </w:r>
      <w:r w:rsidR="00831EC3">
        <w:rPr>
          <w:rFonts w:cstheme="minorHAnsi"/>
        </w:rPr>
        <w:t>9</w:t>
      </w:r>
      <w:r w:rsidR="001573C5">
        <w:rPr>
          <w:rFonts w:cstheme="minorHAnsi"/>
        </w:rPr>
        <w:t>3</w:t>
      </w:r>
      <w:r w:rsidR="005E4E0A">
        <w:rPr>
          <w:rFonts w:cstheme="minorHAnsi"/>
        </w:rPr>
        <w:t>.</w:t>
      </w:r>
      <w:r w:rsidR="001573C5">
        <w:rPr>
          <w:rFonts w:cstheme="minorHAnsi"/>
        </w:rPr>
        <w:t>7</w:t>
      </w:r>
      <w:r w:rsidR="005E4E0A">
        <w:rPr>
          <w:rFonts w:cstheme="minorHAnsi"/>
        </w:rPr>
        <w:t>%</w:t>
      </w:r>
      <w:r w:rsidR="00831EC3">
        <w:rPr>
          <w:rFonts w:cstheme="minorHAnsi"/>
        </w:rPr>
        <w:t>)</w:t>
      </w:r>
      <w:r w:rsidR="000F50D4">
        <w:rPr>
          <w:rFonts w:cstheme="minorHAnsi"/>
        </w:rPr>
        <w:t>, a sensitivity of 85</w:t>
      </w:r>
      <w:r w:rsidR="0024575F">
        <w:rPr>
          <w:rFonts w:cstheme="minorHAnsi"/>
        </w:rPr>
        <w:t>.</w:t>
      </w:r>
      <w:r w:rsidR="000F50D4">
        <w:rPr>
          <w:rFonts w:cstheme="minorHAnsi"/>
        </w:rPr>
        <w:t>7</w:t>
      </w:r>
      <w:r w:rsidR="0024575F">
        <w:rPr>
          <w:rFonts w:cstheme="minorHAnsi"/>
        </w:rPr>
        <w:t>%</w:t>
      </w:r>
      <w:r w:rsidR="000F50D4">
        <w:rPr>
          <w:rFonts w:cstheme="minorHAnsi"/>
        </w:rPr>
        <w:t xml:space="preserve"> and a specificity of 86</w:t>
      </w:r>
      <w:r w:rsidR="00AF6302">
        <w:rPr>
          <w:rFonts w:cstheme="minorHAnsi"/>
        </w:rPr>
        <w:t>.</w:t>
      </w:r>
      <w:r w:rsidR="000F50D4">
        <w:rPr>
          <w:rFonts w:cstheme="minorHAnsi"/>
        </w:rPr>
        <w:t>1</w:t>
      </w:r>
      <w:r w:rsidR="00AF6302">
        <w:rPr>
          <w:rFonts w:cstheme="minorHAnsi"/>
        </w:rPr>
        <w:t>%</w:t>
      </w:r>
      <w:r w:rsidR="00831EC3">
        <w:rPr>
          <w:rFonts w:cstheme="minorHAnsi"/>
        </w:rPr>
        <w:t xml:space="preserve"> (</w:t>
      </w:r>
      <w:r w:rsidR="00831EC3" w:rsidRPr="00CA36A0">
        <w:rPr>
          <w:rFonts w:cstheme="minorHAnsi"/>
          <w:b/>
          <w:bCs/>
        </w:rPr>
        <w:t xml:space="preserve">Table </w:t>
      </w:r>
      <w:r w:rsidR="00F24BF0">
        <w:rPr>
          <w:rFonts w:cstheme="minorHAnsi"/>
          <w:b/>
          <w:bCs/>
        </w:rPr>
        <w:t>II</w:t>
      </w:r>
      <w:r w:rsidR="00831EC3">
        <w:rPr>
          <w:rFonts w:cstheme="minorHAnsi"/>
        </w:rPr>
        <w:t>).</w:t>
      </w:r>
      <w:r w:rsidR="002A619D">
        <w:rPr>
          <w:rFonts w:cstheme="minorHAnsi"/>
        </w:rPr>
        <w:t xml:space="preserve"> </w:t>
      </w:r>
      <w:r w:rsidR="00F02DC8">
        <w:rPr>
          <w:rFonts w:cstheme="minorHAnsi"/>
        </w:rPr>
        <w:t xml:space="preserve">Patients </w:t>
      </w:r>
      <w:r w:rsidR="007E34F3">
        <w:rPr>
          <w:rFonts w:cstheme="minorHAnsi"/>
        </w:rPr>
        <w:t xml:space="preserve">predicted </w:t>
      </w:r>
      <w:r w:rsidR="006B4102">
        <w:rPr>
          <w:rFonts w:cstheme="minorHAnsi"/>
        </w:rPr>
        <w:t>as</w:t>
      </w:r>
      <w:r w:rsidR="00F7608C">
        <w:rPr>
          <w:rFonts w:cstheme="minorHAnsi"/>
        </w:rPr>
        <w:t xml:space="preserve"> </w:t>
      </w:r>
      <w:r w:rsidR="000A664F">
        <w:rPr>
          <w:rFonts w:cstheme="minorHAnsi"/>
        </w:rPr>
        <w:t>high</w:t>
      </w:r>
      <w:r w:rsidR="005360F7">
        <w:rPr>
          <w:rFonts w:cstheme="minorHAnsi"/>
        </w:rPr>
        <w:t>-risk of</w:t>
      </w:r>
      <w:r w:rsidR="000A664F">
        <w:rPr>
          <w:rFonts w:cstheme="minorHAnsi"/>
        </w:rPr>
        <w:t xml:space="preserve"> </w:t>
      </w:r>
      <w:r w:rsidR="008E124B">
        <w:rPr>
          <w:rFonts w:cstheme="minorHAnsi"/>
        </w:rPr>
        <w:t>metastasi</w:t>
      </w:r>
      <w:r w:rsidR="005E1298">
        <w:rPr>
          <w:rFonts w:cstheme="minorHAnsi"/>
        </w:rPr>
        <w:t>s</w:t>
      </w:r>
      <w:r w:rsidR="008E124B">
        <w:rPr>
          <w:rFonts w:cstheme="minorHAnsi"/>
        </w:rPr>
        <w:t xml:space="preserve"> </w:t>
      </w:r>
      <w:r w:rsidR="007A2B68">
        <w:rPr>
          <w:rFonts w:cstheme="minorHAnsi"/>
        </w:rPr>
        <w:t xml:space="preserve">by </w:t>
      </w:r>
      <w:r w:rsidR="00E42444">
        <w:rPr>
          <w:rFonts w:cstheme="minorHAnsi"/>
        </w:rPr>
        <w:t xml:space="preserve">the </w:t>
      </w:r>
      <w:r w:rsidR="00AF2EBE">
        <w:rPr>
          <w:rFonts w:cstheme="minorHAnsi"/>
        </w:rPr>
        <w:t>20-GEP signature</w:t>
      </w:r>
      <w:r w:rsidR="002A3903">
        <w:rPr>
          <w:rFonts w:cstheme="minorHAnsi"/>
        </w:rPr>
        <w:t xml:space="preserve"> (n</w:t>
      </w:r>
      <w:r w:rsidR="003D7B4D">
        <w:rPr>
          <w:rFonts w:cstheme="minorHAnsi"/>
        </w:rPr>
        <w:t>=23)</w:t>
      </w:r>
      <w:r w:rsidR="00AF2EBE">
        <w:rPr>
          <w:rFonts w:cstheme="minorHAnsi"/>
        </w:rPr>
        <w:t xml:space="preserve"> </w:t>
      </w:r>
      <w:r w:rsidR="00FC439C">
        <w:rPr>
          <w:rFonts w:cstheme="minorHAnsi"/>
        </w:rPr>
        <w:t>had</w:t>
      </w:r>
      <w:r w:rsidR="00FA1336">
        <w:rPr>
          <w:rFonts w:cstheme="minorHAnsi"/>
        </w:rPr>
        <w:t xml:space="preserve"> significantly </w:t>
      </w:r>
      <w:r w:rsidR="004D27DF">
        <w:rPr>
          <w:rFonts w:cstheme="minorHAnsi"/>
        </w:rPr>
        <w:t xml:space="preserve">worse </w:t>
      </w:r>
      <w:r w:rsidR="0007421D">
        <w:rPr>
          <w:rFonts w:cstheme="minorHAnsi"/>
        </w:rPr>
        <w:t>metasta</w:t>
      </w:r>
      <w:r w:rsidR="00F84FFB">
        <w:rPr>
          <w:rFonts w:cstheme="minorHAnsi"/>
        </w:rPr>
        <w:t>sis-free survival</w:t>
      </w:r>
      <w:r w:rsidR="00631653">
        <w:rPr>
          <w:rFonts w:cstheme="minorHAnsi"/>
        </w:rPr>
        <w:t xml:space="preserve"> (MFS)</w:t>
      </w:r>
      <w:r w:rsidR="00FC4481">
        <w:rPr>
          <w:rFonts w:cstheme="minorHAnsi"/>
        </w:rPr>
        <w:t xml:space="preserve"> rates</w:t>
      </w:r>
      <w:r w:rsidR="00F84FFB">
        <w:rPr>
          <w:rFonts w:cstheme="minorHAnsi"/>
        </w:rPr>
        <w:t xml:space="preserve"> </w:t>
      </w:r>
      <w:r w:rsidR="00822C35">
        <w:rPr>
          <w:rFonts w:cstheme="minorHAnsi"/>
        </w:rPr>
        <w:t>than those predicted as low-risk</w:t>
      </w:r>
      <w:r w:rsidR="007B1B8C">
        <w:rPr>
          <w:rFonts w:cstheme="minorHAnsi"/>
        </w:rPr>
        <w:t xml:space="preserve"> (n=34)</w:t>
      </w:r>
      <w:r w:rsidR="00A12904">
        <w:rPr>
          <w:rFonts w:cstheme="minorHAnsi"/>
        </w:rPr>
        <w:t xml:space="preserve"> (</w:t>
      </w:r>
      <w:r w:rsidR="001656EA">
        <w:rPr>
          <w:rFonts w:cstheme="minorHAnsi"/>
        </w:rPr>
        <w:t>3-year MFS</w:t>
      </w:r>
      <w:r w:rsidR="00712245">
        <w:rPr>
          <w:rFonts w:cstheme="minorHAnsi"/>
        </w:rPr>
        <w:t xml:space="preserve">, </w:t>
      </w:r>
      <w:r w:rsidR="007D2C68">
        <w:rPr>
          <w:rFonts w:cstheme="minorHAnsi"/>
        </w:rPr>
        <w:t xml:space="preserve">91.7% for </w:t>
      </w:r>
      <w:r w:rsidR="0054782A">
        <w:rPr>
          <w:rFonts w:cstheme="minorHAnsi"/>
        </w:rPr>
        <w:t xml:space="preserve">low-risk </w:t>
      </w:r>
      <w:r w:rsidR="006F35E1">
        <w:rPr>
          <w:rFonts w:cstheme="minorHAnsi"/>
        </w:rPr>
        <w:t xml:space="preserve">versus </w:t>
      </w:r>
      <w:r w:rsidR="00E477A9">
        <w:rPr>
          <w:rFonts w:cstheme="minorHAnsi"/>
        </w:rPr>
        <w:t xml:space="preserve">21.7% for </w:t>
      </w:r>
      <w:r w:rsidR="00787F25">
        <w:rPr>
          <w:rFonts w:cstheme="minorHAnsi"/>
        </w:rPr>
        <w:t>high-risk)</w:t>
      </w:r>
      <w:r w:rsidR="00822C35">
        <w:rPr>
          <w:rFonts w:cstheme="minorHAnsi"/>
        </w:rPr>
        <w:t xml:space="preserve"> </w:t>
      </w:r>
      <w:r w:rsidR="00953324">
        <w:rPr>
          <w:rFonts w:cstheme="minorHAnsi"/>
        </w:rPr>
        <w:t>(</w:t>
      </w:r>
      <w:r w:rsidR="00953324" w:rsidRPr="00AE186A">
        <w:rPr>
          <w:rFonts w:cstheme="minorHAnsi"/>
          <w:b/>
          <w:bCs/>
        </w:rPr>
        <w:t xml:space="preserve">Figure </w:t>
      </w:r>
      <w:r w:rsidR="00A56BB1">
        <w:rPr>
          <w:rFonts w:cstheme="minorHAnsi"/>
          <w:b/>
          <w:bCs/>
        </w:rPr>
        <w:t>2</w:t>
      </w:r>
      <w:r w:rsidR="00953324">
        <w:rPr>
          <w:rFonts w:cstheme="minorHAnsi"/>
        </w:rPr>
        <w:t>)</w:t>
      </w:r>
      <w:r w:rsidR="00DD2C56">
        <w:rPr>
          <w:rFonts w:cstheme="minorHAnsi"/>
        </w:rPr>
        <w:t xml:space="preserve">. </w:t>
      </w:r>
      <w:r w:rsidR="00EA7D77">
        <w:rPr>
          <w:rFonts w:cstheme="minorHAnsi"/>
        </w:rPr>
        <w:t xml:space="preserve">In this 20-gene GEP model, 18 genes were upregulated in non-metastasising </w:t>
      </w:r>
      <w:proofErr w:type="spellStart"/>
      <w:r w:rsidR="00EA7D77">
        <w:rPr>
          <w:rFonts w:cstheme="minorHAnsi"/>
        </w:rPr>
        <w:t>cSCC</w:t>
      </w:r>
      <w:proofErr w:type="spellEnd"/>
      <w:r w:rsidR="00EA7D77">
        <w:rPr>
          <w:rFonts w:cstheme="minorHAnsi"/>
        </w:rPr>
        <w:t xml:space="preserve"> and 2 genes (</w:t>
      </w:r>
      <w:r w:rsidR="00EA7D77" w:rsidRPr="0010605D">
        <w:rPr>
          <w:rFonts w:cstheme="minorHAnsi"/>
          <w:i/>
          <w:iCs/>
        </w:rPr>
        <w:t>MDK</w:t>
      </w:r>
      <w:r w:rsidR="00EA7D77">
        <w:rPr>
          <w:rFonts w:cstheme="minorHAnsi"/>
        </w:rPr>
        <w:t xml:space="preserve"> and </w:t>
      </w:r>
      <w:r w:rsidR="00EA7D77" w:rsidRPr="0010605D">
        <w:rPr>
          <w:rFonts w:cstheme="minorHAnsi"/>
          <w:i/>
          <w:iCs/>
        </w:rPr>
        <w:t>STMN1</w:t>
      </w:r>
      <w:r w:rsidR="00EA7D77">
        <w:rPr>
          <w:rFonts w:cstheme="minorHAnsi"/>
          <w:i/>
          <w:iCs/>
        </w:rPr>
        <w:t xml:space="preserve">) </w:t>
      </w:r>
      <w:r w:rsidR="00EA7D77" w:rsidRPr="00362D60">
        <w:rPr>
          <w:rFonts w:cstheme="minorHAnsi"/>
        </w:rPr>
        <w:t xml:space="preserve">were </w:t>
      </w:r>
      <w:r w:rsidR="00EA7D77">
        <w:rPr>
          <w:rFonts w:cstheme="minorHAnsi"/>
        </w:rPr>
        <w:t xml:space="preserve">upregulated in metastasising </w:t>
      </w:r>
      <w:proofErr w:type="spellStart"/>
      <w:r w:rsidR="00EA7D77">
        <w:rPr>
          <w:rFonts w:cstheme="minorHAnsi"/>
        </w:rPr>
        <w:t>cSCC</w:t>
      </w:r>
      <w:proofErr w:type="spellEnd"/>
      <w:r w:rsidR="00EA7D77">
        <w:rPr>
          <w:rFonts w:cstheme="minorHAnsi"/>
        </w:rPr>
        <w:t xml:space="preserve"> (</w:t>
      </w:r>
      <w:r w:rsidR="007C346B">
        <w:rPr>
          <w:rFonts w:cstheme="minorHAnsi"/>
        </w:rPr>
        <w:t>Supplemental Table III, Supplemental Fig 3</w:t>
      </w:r>
      <w:r w:rsidR="00EA7D77">
        <w:rPr>
          <w:rFonts w:cstheme="minorHAnsi"/>
        </w:rPr>
        <w:t xml:space="preserve">). Functional annotation of the 20 genes suggested the significant enrichment in the signatures from keratinisation, </w:t>
      </w:r>
      <w:r w:rsidR="00EA7D77" w:rsidRPr="00FA60EA">
        <w:rPr>
          <w:rFonts w:cstheme="minorHAnsi"/>
        </w:rPr>
        <w:t>GnRH</w:t>
      </w:r>
      <w:r w:rsidR="00EA7D77">
        <w:rPr>
          <w:rFonts w:cstheme="minorHAnsi"/>
        </w:rPr>
        <w:t>, oxytocin, Ras and MAPK</w:t>
      </w:r>
      <w:r w:rsidR="00EA7D77" w:rsidRPr="00FA60EA">
        <w:rPr>
          <w:rFonts w:cstheme="minorHAnsi"/>
        </w:rPr>
        <w:t xml:space="preserve"> signalling pathway</w:t>
      </w:r>
      <w:r w:rsidR="00EA7D77">
        <w:rPr>
          <w:rFonts w:cstheme="minorHAnsi"/>
        </w:rPr>
        <w:t xml:space="preserve">s (hypergeometric test, </w:t>
      </w:r>
      <w:r w:rsidR="00EA7D77" w:rsidRPr="00E14DD6">
        <w:rPr>
          <w:rFonts w:cstheme="minorHAnsi"/>
          <w:i/>
          <w:iCs/>
        </w:rPr>
        <w:t>p</w:t>
      </w:r>
      <w:r w:rsidR="00EA7D77">
        <w:rPr>
          <w:rFonts w:cstheme="minorHAnsi"/>
        </w:rPr>
        <w:t xml:space="preserve">&lt;0.01). </w:t>
      </w:r>
      <w:r w:rsidR="00C269DA">
        <w:rPr>
          <w:rFonts w:cstheme="minorHAnsi"/>
        </w:rPr>
        <w:t>U</w:t>
      </w:r>
      <w:r w:rsidR="003436F5">
        <w:rPr>
          <w:rFonts w:cstheme="minorHAnsi"/>
        </w:rPr>
        <w:t xml:space="preserve">sing the same ML procedure based on </w:t>
      </w:r>
      <w:r w:rsidR="00A41624">
        <w:rPr>
          <w:rFonts w:cstheme="minorHAnsi"/>
        </w:rPr>
        <w:t xml:space="preserve">perilesional </w:t>
      </w:r>
      <w:r w:rsidR="003436F5">
        <w:rPr>
          <w:rFonts w:cstheme="minorHAnsi"/>
        </w:rPr>
        <w:t xml:space="preserve">normal </w:t>
      </w:r>
      <w:r w:rsidR="00A41624">
        <w:rPr>
          <w:rFonts w:cstheme="minorHAnsi"/>
        </w:rPr>
        <w:t>skin</w:t>
      </w:r>
      <w:r w:rsidR="003436F5">
        <w:rPr>
          <w:rFonts w:cstheme="minorHAnsi"/>
        </w:rPr>
        <w:t xml:space="preserve"> samples, a </w:t>
      </w:r>
      <w:r w:rsidR="008E7098">
        <w:rPr>
          <w:rFonts w:cstheme="minorHAnsi"/>
        </w:rPr>
        <w:t>22</w:t>
      </w:r>
      <w:r w:rsidR="003436F5">
        <w:rPr>
          <w:rFonts w:cstheme="minorHAnsi"/>
        </w:rPr>
        <w:t xml:space="preserve">-gene </w:t>
      </w:r>
      <w:r w:rsidR="008E7098">
        <w:rPr>
          <w:rFonts w:cstheme="minorHAnsi"/>
        </w:rPr>
        <w:t>KNN</w:t>
      </w:r>
      <w:r w:rsidR="003436F5">
        <w:rPr>
          <w:rFonts w:cstheme="minorHAnsi"/>
        </w:rPr>
        <w:t xml:space="preserve"> model was also developed with an accuracy of </w:t>
      </w:r>
      <w:r w:rsidR="001824BF">
        <w:rPr>
          <w:rFonts w:cstheme="minorHAnsi"/>
        </w:rPr>
        <w:t>64</w:t>
      </w:r>
      <w:r w:rsidR="008329F8">
        <w:rPr>
          <w:rFonts w:cstheme="minorHAnsi"/>
        </w:rPr>
        <w:t>.0%</w:t>
      </w:r>
      <w:r w:rsidR="003436F5">
        <w:rPr>
          <w:rFonts w:cstheme="minorHAnsi"/>
        </w:rPr>
        <w:t xml:space="preserve"> (95% CI: </w:t>
      </w:r>
      <w:r w:rsidR="00E20722">
        <w:rPr>
          <w:rFonts w:cstheme="minorHAnsi"/>
        </w:rPr>
        <w:t>49</w:t>
      </w:r>
      <w:r w:rsidR="00C462AA">
        <w:rPr>
          <w:rFonts w:cstheme="minorHAnsi"/>
        </w:rPr>
        <w:t>.</w:t>
      </w:r>
      <w:r w:rsidR="00E20722">
        <w:rPr>
          <w:rFonts w:cstheme="minorHAnsi"/>
        </w:rPr>
        <w:t>2</w:t>
      </w:r>
      <w:r w:rsidR="00E81B90">
        <w:rPr>
          <w:rFonts w:cstheme="minorHAnsi"/>
        </w:rPr>
        <w:t>-</w:t>
      </w:r>
      <w:r w:rsidR="00E20722">
        <w:rPr>
          <w:rFonts w:cstheme="minorHAnsi"/>
        </w:rPr>
        <w:t>77</w:t>
      </w:r>
      <w:r w:rsidR="00C462AA">
        <w:rPr>
          <w:rFonts w:cstheme="minorHAnsi"/>
        </w:rPr>
        <w:t>.</w:t>
      </w:r>
      <w:r w:rsidR="00E20722">
        <w:rPr>
          <w:rFonts w:cstheme="minorHAnsi"/>
        </w:rPr>
        <w:t>1</w:t>
      </w:r>
      <w:r w:rsidR="00C462AA">
        <w:rPr>
          <w:rFonts w:cstheme="minorHAnsi"/>
        </w:rPr>
        <w:t>%</w:t>
      </w:r>
      <w:r w:rsidR="003436F5">
        <w:rPr>
          <w:rFonts w:cstheme="minorHAnsi"/>
        </w:rPr>
        <w:t xml:space="preserve">), sensitivity of </w:t>
      </w:r>
      <w:r w:rsidR="00494551">
        <w:rPr>
          <w:rFonts w:cstheme="minorHAnsi"/>
        </w:rPr>
        <w:t>41</w:t>
      </w:r>
      <w:r w:rsidR="0091047B">
        <w:rPr>
          <w:rFonts w:cstheme="minorHAnsi"/>
        </w:rPr>
        <w:t>.</w:t>
      </w:r>
      <w:r w:rsidR="00494551">
        <w:rPr>
          <w:rFonts w:cstheme="minorHAnsi"/>
        </w:rPr>
        <w:t>2</w:t>
      </w:r>
      <w:r w:rsidR="0091047B">
        <w:rPr>
          <w:rFonts w:cstheme="minorHAnsi"/>
        </w:rPr>
        <w:t>%</w:t>
      </w:r>
      <w:r w:rsidR="003436F5">
        <w:rPr>
          <w:rFonts w:cstheme="minorHAnsi"/>
        </w:rPr>
        <w:t xml:space="preserve">, and specificity of </w:t>
      </w:r>
      <w:r w:rsidR="00490BF1">
        <w:rPr>
          <w:rFonts w:cstheme="minorHAnsi"/>
        </w:rPr>
        <w:t>75</w:t>
      </w:r>
      <w:r w:rsidR="00A75F29">
        <w:rPr>
          <w:rFonts w:cstheme="minorHAnsi"/>
        </w:rPr>
        <w:t>.</w:t>
      </w:r>
      <w:r w:rsidR="00490BF1">
        <w:rPr>
          <w:rFonts w:cstheme="minorHAnsi"/>
        </w:rPr>
        <w:t>8</w:t>
      </w:r>
      <w:r w:rsidR="00A75F29">
        <w:rPr>
          <w:rFonts w:cstheme="minorHAnsi"/>
        </w:rPr>
        <w:t>%</w:t>
      </w:r>
      <w:r w:rsidR="002816B6">
        <w:rPr>
          <w:rFonts w:cstheme="minorHAnsi"/>
        </w:rPr>
        <w:t xml:space="preserve"> </w:t>
      </w:r>
      <w:r w:rsidR="00211736">
        <w:rPr>
          <w:rFonts w:cstheme="minorHAnsi"/>
        </w:rPr>
        <w:t>(</w:t>
      </w:r>
      <w:r w:rsidR="00211736" w:rsidRPr="00E14DD6">
        <w:rPr>
          <w:rFonts w:cstheme="minorHAnsi"/>
          <w:b/>
          <w:bCs/>
        </w:rPr>
        <w:t>Table II</w:t>
      </w:r>
      <w:r w:rsidR="00211736">
        <w:rPr>
          <w:rFonts w:cstheme="minorHAnsi"/>
        </w:rPr>
        <w:t>)</w:t>
      </w:r>
      <w:r w:rsidR="00963152">
        <w:rPr>
          <w:rFonts w:cstheme="minorHAnsi"/>
        </w:rPr>
        <w:t>.</w:t>
      </w:r>
    </w:p>
    <w:p w14:paraId="0C646C79" w14:textId="77777777" w:rsidR="00C269DA" w:rsidRDefault="00C269DA" w:rsidP="006215C0">
      <w:pPr>
        <w:spacing w:line="276" w:lineRule="auto"/>
        <w:jc w:val="both"/>
        <w:rPr>
          <w:rFonts w:cstheme="minorHAnsi"/>
        </w:rPr>
      </w:pPr>
    </w:p>
    <w:p w14:paraId="62F2A550" w14:textId="25F61A17" w:rsidR="000B4390" w:rsidRPr="00C931D6" w:rsidRDefault="00FC1425" w:rsidP="00C931D6">
      <w:pPr>
        <w:spacing w:line="276" w:lineRule="auto"/>
        <w:jc w:val="both"/>
        <w:rPr>
          <w:rFonts w:cstheme="minorHAnsi"/>
          <w:b/>
          <w:bCs/>
        </w:rPr>
      </w:pPr>
      <w:r w:rsidRPr="00C931D6">
        <w:rPr>
          <w:rFonts w:cstheme="minorHAnsi"/>
          <w:b/>
          <w:bCs/>
        </w:rPr>
        <w:t>Prog</w:t>
      </w:r>
      <w:r w:rsidR="00E35318" w:rsidRPr="00C931D6">
        <w:rPr>
          <w:rFonts w:cstheme="minorHAnsi"/>
          <w:b/>
          <w:bCs/>
        </w:rPr>
        <w:t xml:space="preserve">nostic </w:t>
      </w:r>
      <w:r w:rsidRPr="00C931D6">
        <w:rPr>
          <w:rFonts w:cstheme="minorHAnsi"/>
          <w:b/>
          <w:bCs/>
        </w:rPr>
        <w:t xml:space="preserve">accuracy of the </w:t>
      </w:r>
      <w:r w:rsidR="00735851" w:rsidRPr="00C931D6">
        <w:rPr>
          <w:rFonts w:cstheme="minorHAnsi"/>
          <w:b/>
          <w:bCs/>
        </w:rPr>
        <w:t>20</w:t>
      </w:r>
      <w:r w:rsidRPr="00C931D6">
        <w:rPr>
          <w:rFonts w:cstheme="minorHAnsi"/>
          <w:b/>
          <w:bCs/>
        </w:rPr>
        <w:t xml:space="preserve">-GEP test compared to </w:t>
      </w:r>
      <w:r w:rsidR="00106D09">
        <w:rPr>
          <w:rFonts w:cstheme="minorHAnsi"/>
          <w:b/>
          <w:bCs/>
        </w:rPr>
        <w:t xml:space="preserve">pathological </w:t>
      </w:r>
      <w:r w:rsidRPr="00C931D6">
        <w:rPr>
          <w:rFonts w:cstheme="minorHAnsi"/>
          <w:b/>
          <w:bCs/>
        </w:rPr>
        <w:t xml:space="preserve">staging </w:t>
      </w:r>
      <w:r w:rsidR="00106D09">
        <w:rPr>
          <w:rFonts w:cstheme="minorHAnsi"/>
          <w:b/>
          <w:bCs/>
        </w:rPr>
        <w:t>classifications</w:t>
      </w:r>
    </w:p>
    <w:p w14:paraId="0E3B5E48" w14:textId="31302DFC" w:rsidR="00310726" w:rsidRDefault="00106D09" w:rsidP="00C931D6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Using the Royal College of Pathologists d</w:t>
      </w:r>
      <w:r w:rsidRPr="00106D09">
        <w:rPr>
          <w:rFonts w:cstheme="minorHAnsi"/>
        </w:rPr>
        <w:t>ataset for histopathological reporting of primary invasive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cSCC</w:t>
      </w:r>
      <w:proofErr w:type="spellEnd"/>
      <w:r>
        <w:rPr>
          <w:rFonts w:cstheme="minorHAnsi"/>
        </w:rPr>
        <w:t>, tumours were staged by both UICC</w:t>
      </w:r>
      <w:r w:rsidR="004C2D3F">
        <w:rPr>
          <w:rFonts w:cstheme="minorHAnsi"/>
        </w:rPr>
        <w:t>-</w:t>
      </w:r>
      <w:r w:rsidR="00D84283">
        <w:rPr>
          <w:rFonts w:cstheme="minorHAnsi"/>
        </w:rPr>
        <w:t>8</w:t>
      </w:r>
      <w:r>
        <w:rPr>
          <w:rFonts w:cstheme="minorHAnsi"/>
        </w:rPr>
        <w:t xml:space="preserve"> TNM and BWH T-staging classifications </w:t>
      </w:r>
      <w:r w:rsidR="00DB7B71">
        <w:rPr>
          <w:rFonts w:cstheme="minorHAnsi"/>
        </w:rPr>
        <w:t xml:space="preserve">after central </w:t>
      </w:r>
      <w:r w:rsidR="00A936D5">
        <w:rPr>
          <w:rFonts w:cstheme="minorHAnsi"/>
        </w:rPr>
        <w:t xml:space="preserve">consensus </w:t>
      </w:r>
      <w:r w:rsidR="00DB7B71">
        <w:rPr>
          <w:rFonts w:cstheme="minorHAnsi"/>
        </w:rPr>
        <w:t>histo</w:t>
      </w:r>
      <w:r>
        <w:rPr>
          <w:rFonts w:cstheme="minorHAnsi"/>
        </w:rPr>
        <w:t>pathologic</w:t>
      </w:r>
      <w:r w:rsidR="0073331A">
        <w:rPr>
          <w:rFonts w:cstheme="minorHAnsi"/>
        </w:rPr>
        <w:t>al</w:t>
      </w:r>
      <w:r>
        <w:rPr>
          <w:rFonts w:cstheme="minorHAnsi"/>
        </w:rPr>
        <w:t xml:space="preserve"> review. P</w:t>
      </w:r>
      <w:r w:rsidR="00DB7B71">
        <w:rPr>
          <w:rFonts w:cstheme="minorHAnsi"/>
        </w:rPr>
        <w:t xml:space="preserve">rognostic </w:t>
      </w:r>
      <w:r w:rsidR="00E86C78">
        <w:rPr>
          <w:rFonts w:cstheme="minorHAnsi"/>
        </w:rPr>
        <w:t xml:space="preserve">metrics for </w:t>
      </w:r>
      <w:r w:rsidR="004C5D65">
        <w:rPr>
          <w:rFonts w:cstheme="minorHAnsi"/>
        </w:rPr>
        <w:t>UICC</w:t>
      </w:r>
      <w:r w:rsidR="00E4367E">
        <w:rPr>
          <w:rFonts w:cstheme="minorHAnsi"/>
        </w:rPr>
        <w:t>-</w:t>
      </w:r>
      <w:r w:rsidR="00D21ACE">
        <w:rPr>
          <w:rFonts w:cstheme="minorHAnsi"/>
        </w:rPr>
        <w:t>8</w:t>
      </w:r>
      <w:r w:rsidR="004C5D65">
        <w:rPr>
          <w:rFonts w:cstheme="minorHAnsi"/>
        </w:rPr>
        <w:t xml:space="preserve"> </w:t>
      </w:r>
      <w:r w:rsidR="00CE1136">
        <w:rPr>
          <w:rFonts w:cstheme="minorHAnsi"/>
        </w:rPr>
        <w:t>(</w:t>
      </w:r>
      <w:r w:rsidR="00B10BEE">
        <w:rPr>
          <w:rFonts w:cstheme="minorHAnsi"/>
        </w:rPr>
        <w:t xml:space="preserve">low </w:t>
      </w:r>
      <w:r w:rsidR="004C11F9">
        <w:rPr>
          <w:rFonts w:cstheme="minorHAnsi"/>
        </w:rPr>
        <w:t xml:space="preserve">T1/T2 vs. </w:t>
      </w:r>
      <w:r w:rsidR="00972627">
        <w:rPr>
          <w:rFonts w:cstheme="minorHAnsi"/>
        </w:rPr>
        <w:t xml:space="preserve">high </w:t>
      </w:r>
      <w:r w:rsidR="00C65C77">
        <w:rPr>
          <w:rFonts w:cstheme="minorHAnsi"/>
        </w:rPr>
        <w:t xml:space="preserve">T3/T4) </w:t>
      </w:r>
      <w:r w:rsidR="00CE2A54">
        <w:rPr>
          <w:rFonts w:cstheme="minorHAnsi"/>
        </w:rPr>
        <w:t xml:space="preserve">and BWH </w:t>
      </w:r>
      <w:r w:rsidR="00A5608C">
        <w:rPr>
          <w:rFonts w:cstheme="minorHAnsi"/>
        </w:rPr>
        <w:t xml:space="preserve">(low </w:t>
      </w:r>
      <w:r w:rsidR="000F2F13">
        <w:rPr>
          <w:rFonts w:cstheme="minorHAnsi"/>
        </w:rPr>
        <w:t xml:space="preserve">T1/T2a vs high </w:t>
      </w:r>
      <w:r w:rsidR="00E52FAB">
        <w:rPr>
          <w:rFonts w:cstheme="minorHAnsi"/>
        </w:rPr>
        <w:t xml:space="preserve">T2b/T3) staging </w:t>
      </w:r>
      <w:r w:rsidR="00FA116B">
        <w:rPr>
          <w:rFonts w:cstheme="minorHAnsi"/>
        </w:rPr>
        <w:t>showed</w:t>
      </w:r>
      <w:r w:rsidR="00216A60">
        <w:rPr>
          <w:rFonts w:cstheme="minorHAnsi"/>
        </w:rPr>
        <w:t xml:space="preserve"> performance </w:t>
      </w:r>
      <w:r w:rsidR="006A58C5">
        <w:rPr>
          <w:rFonts w:cstheme="minorHAnsi"/>
        </w:rPr>
        <w:t xml:space="preserve">with </w:t>
      </w:r>
      <w:r w:rsidR="00B00150">
        <w:rPr>
          <w:rFonts w:cstheme="minorHAnsi"/>
        </w:rPr>
        <w:t xml:space="preserve">an accuracy of </w:t>
      </w:r>
      <w:r w:rsidR="00447569">
        <w:rPr>
          <w:rFonts w:cstheme="minorHAnsi"/>
        </w:rPr>
        <w:t>85</w:t>
      </w:r>
      <w:r w:rsidR="00BD6645">
        <w:rPr>
          <w:rFonts w:cstheme="minorHAnsi"/>
        </w:rPr>
        <w:t>.</w:t>
      </w:r>
      <w:r w:rsidR="00447569">
        <w:rPr>
          <w:rFonts w:cstheme="minorHAnsi"/>
        </w:rPr>
        <w:t>4</w:t>
      </w:r>
      <w:r w:rsidR="00BD6645">
        <w:rPr>
          <w:rFonts w:cstheme="minorHAnsi"/>
        </w:rPr>
        <w:t>%</w:t>
      </w:r>
      <w:r w:rsidR="00447569">
        <w:rPr>
          <w:rFonts w:cstheme="minorHAnsi"/>
        </w:rPr>
        <w:t xml:space="preserve"> </w:t>
      </w:r>
      <w:r w:rsidR="001005B6">
        <w:rPr>
          <w:rFonts w:cstheme="minorHAnsi"/>
        </w:rPr>
        <w:t xml:space="preserve">for </w:t>
      </w:r>
      <w:r w:rsidR="0033392C">
        <w:rPr>
          <w:rFonts w:cstheme="minorHAnsi"/>
        </w:rPr>
        <w:t>both systems</w:t>
      </w:r>
      <w:r w:rsidR="004B2D32" w:rsidRPr="004B2D32">
        <w:rPr>
          <w:rFonts w:cstheme="minorHAnsi"/>
        </w:rPr>
        <w:t xml:space="preserve"> </w:t>
      </w:r>
      <w:r w:rsidR="004B2D32">
        <w:rPr>
          <w:rFonts w:cstheme="minorHAnsi"/>
        </w:rPr>
        <w:t>in the validation set</w:t>
      </w:r>
      <w:r w:rsidR="00AF06E0">
        <w:rPr>
          <w:rFonts w:cstheme="minorHAnsi"/>
        </w:rPr>
        <w:t>, compared to 86</w:t>
      </w:r>
      <w:r w:rsidR="00F11049">
        <w:rPr>
          <w:rFonts w:cstheme="minorHAnsi"/>
        </w:rPr>
        <w:t>.</w:t>
      </w:r>
      <w:r w:rsidR="00AF06E0">
        <w:rPr>
          <w:rFonts w:cstheme="minorHAnsi"/>
        </w:rPr>
        <w:t>0</w:t>
      </w:r>
      <w:r w:rsidR="00F11049">
        <w:rPr>
          <w:rFonts w:cstheme="minorHAnsi"/>
        </w:rPr>
        <w:t>%</w:t>
      </w:r>
      <w:r w:rsidR="00AF06E0">
        <w:rPr>
          <w:rFonts w:cstheme="minorHAnsi"/>
        </w:rPr>
        <w:t xml:space="preserve"> for the </w:t>
      </w:r>
      <w:r w:rsidR="00AF06E0" w:rsidRPr="00DD25A4">
        <w:rPr>
          <w:rFonts w:cstheme="minorHAnsi"/>
        </w:rPr>
        <w:t>20-GEP</w:t>
      </w:r>
      <w:r w:rsidR="00AF06E0">
        <w:rPr>
          <w:rFonts w:cstheme="minorHAnsi"/>
        </w:rPr>
        <w:t xml:space="preserve"> </w:t>
      </w:r>
      <w:r w:rsidR="002439AE">
        <w:rPr>
          <w:rFonts w:cstheme="minorHAnsi"/>
        </w:rPr>
        <w:t>signature</w:t>
      </w:r>
      <w:r w:rsidR="00B13F2E">
        <w:rPr>
          <w:rFonts w:cstheme="minorHAnsi"/>
        </w:rPr>
        <w:t xml:space="preserve"> (</w:t>
      </w:r>
      <w:r w:rsidR="00B13F2E" w:rsidRPr="004A55BD">
        <w:rPr>
          <w:rFonts w:cstheme="minorHAnsi"/>
          <w:b/>
          <w:bCs/>
        </w:rPr>
        <w:t xml:space="preserve">Table </w:t>
      </w:r>
      <w:r w:rsidR="00AC0A2B" w:rsidRPr="004A55BD">
        <w:rPr>
          <w:rFonts w:cstheme="minorHAnsi"/>
          <w:b/>
          <w:bCs/>
        </w:rPr>
        <w:t>II</w:t>
      </w:r>
      <w:r w:rsidR="00AC0A2B">
        <w:rPr>
          <w:rFonts w:cstheme="minorHAnsi"/>
        </w:rPr>
        <w:t>)</w:t>
      </w:r>
      <w:r w:rsidR="0033392C">
        <w:rPr>
          <w:rFonts w:cstheme="minorHAnsi"/>
        </w:rPr>
        <w:t>.</w:t>
      </w:r>
      <w:r w:rsidR="00AC0A2B">
        <w:rPr>
          <w:rFonts w:cstheme="minorHAnsi"/>
        </w:rPr>
        <w:t xml:space="preserve"> </w:t>
      </w:r>
      <w:r>
        <w:rPr>
          <w:rFonts w:cstheme="minorHAnsi"/>
        </w:rPr>
        <w:t xml:space="preserve">Performance of </w:t>
      </w:r>
      <w:r w:rsidRPr="005659B1">
        <w:rPr>
          <w:rFonts w:cstheme="minorHAnsi"/>
        </w:rPr>
        <w:t>BWH T-staging based on original pathology reports without central consensus review (BWH v1),</w:t>
      </w:r>
      <w:r>
        <w:rPr>
          <w:rFonts w:cstheme="minorHAnsi"/>
        </w:rPr>
        <w:t xml:space="preserve"> </w:t>
      </w:r>
      <w:r w:rsidR="00A936D5">
        <w:rPr>
          <w:rFonts w:cstheme="minorHAnsi"/>
        </w:rPr>
        <w:t>was marginally inferior in predicting metastasis</w:t>
      </w:r>
      <w:r>
        <w:rPr>
          <w:rFonts w:cstheme="minorHAnsi"/>
        </w:rPr>
        <w:t>,</w:t>
      </w:r>
      <w:r w:rsidR="00A936D5">
        <w:rPr>
          <w:rFonts w:cstheme="minorHAnsi"/>
        </w:rPr>
        <w:t xml:space="preserve"> with an accuracy of 81</w:t>
      </w:r>
      <w:r w:rsidR="008344C9">
        <w:rPr>
          <w:rFonts w:cstheme="minorHAnsi"/>
        </w:rPr>
        <w:t>.</w:t>
      </w:r>
      <w:r w:rsidR="00A936D5">
        <w:rPr>
          <w:rFonts w:cstheme="minorHAnsi"/>
        </w:rPr>
        <w:t>8</w:t>
      </w:r>
      <w:r w:rsidR="008344C9">
        <w:rPr>
          <w:rFonts w:cstheme="minorHAnsi"/>
        </w:rPr>
        <w:t>%</w:t>
      </w:r>
      <w:r w:rsidR="00A936D5">
        <w:rPr>
          <w:rFonts w:cstheme="minorHAnsi"/>
        </w:rPr>
        <w:t>.</w:t>
      </w:r>
      <w:r w:rsidR="00671BB3">
        <w:rPr>
          <w:rFonts w:cstheme="minorHAnsi"/>
        </w:rPr>
        <w:t xml:space="preserve"> </w:t>
      </w:r>
      <w:r>
        <w:rPr>
          <w:rFonts w:cstheme="minorHAnsi"/>
        </w:rPr>
        <w:t xml:space="preserve">This was largely due to differences between the scoring of poor differentiation after central review compared to the original report </w:t>
      </w:r>
      <w:r w:rsidR="001E6A52">
        <w:rPr>
          <w:rFonts w:cstheme="minorHAnsi"/>
        </w:rPr>
        <w:t>(</w:t>
      </w:r>
      <w:r w:rsidR="001E6A52" w:rsidRPr="004B654A">
        <w:rPr>
          <w:rFonts w:cstheme="minorHAnsi"/>
          <w:b/>
          <w:bCs/>
        </w:rPr>
        <w:t>Table I</w:t>
      </w:r>
      <w:r w:rsidR="00340A5C">
        <w:rPr>
          <w:rFonts w:cstheme="minorHAnsi"/>
        </w:rPr>
        <w:t>,</w:t>
      </w:r>
      <w:r w:rsidR="008A564D" w:rsidRPr="008A564D">
        <w:rPr>
          <w:rFonts w:cstheme="minorHAnsi"/>
        </w:rPr>
        <w:t xml:space="preserve"> </w:t>
      </w:r>
      <w:r w:rsidR="008A564D">
        <w:rPr>
          <w:rFonts w:cstheme="minorHAnsi"/>
        </w:rPr>
        <w:t>Supplemental Table IV</w:t>
      </w:r>
      <w:r w:rsidR="001E6A52">
        <w:rPr>
          <w:rFonts w:cstheme="minorHAnsi"/>
        </w:rPr>
        <w:t>).</w:t>
      </w:r>
    </w:p>
    <w:p w14:paraId="3E6F8E7E" w14:textId="0FA98DC7" w:rsidR="001E6A52" w:rsidRDefault="00721B04" w:rsidP="00B70CAD">
      <w:pPr>
        <w:spacing w:before="100" w:beforeAutospacing="1" w:after="100" w:afterAutospacing="1" w:line="276" w:lineRule="auto"/>
        <w:jc w:val="both"/>
        <w:rPr>
          <w:rFonts w:cstheme="minorHAnsi"/>
        </w:rPr>
      </w:pPr>
      <w:r w:rsidRPr="007272AE">
        <w:rPr>
          <w:rFonts w:cstheme="minorHAnsi"/>
        </w:rPr>
        <w:t>The 20-GEP signature showed strong correlations with staging for risk prediction in the validation set.</w:t>
      </w:r>
      <w:r>
        <w:rPr>
          <w:rFonts w:cstheme="minorHAnsi"/>
        </w:rPr>
        <w:t xml:space="preserve"> </w:t>
      </w:r>
      <w:r w:rsidR="003155D6" w:rsidRPr="002E636F">
        <w:rPr>
          <w:rFonts w:cstheme="minorHAnsi"/>
        </w:rPr>
        <w:t xml:space="preserve">Of </w:t>
      </w:r>
      <w:r w:rsidR="009A1013" w:rsidRPr="002E636F">
        <w:rPr>
          <w:rFonts w:cstheme="minorHAnsi"/>
        </w:rPr>
        <w:t xml:space="preserve">23 </w:t>
      </w:r>
      <w:r w:rsidRPr="002E636F">
        <w:rPr>
          <w:rFonts w:cstheme="minorHAnsi"/>
        </w:rPr>
        <w:t xml:space="preserve">metastasising </w:t>
      </w:r>
      <w:r w:rsidR="00715196" w:rsidRPr="002E636F">
        <w:rPr>
          <w:rFonts w:cstheme="minorHAnsi"/>
        </w:rPr>
        <w:t xml:space="preserve">cases predicted by </w:t>
      </w:r>
      <w:r w:rsidR="007C5AF0" w:rsidRPr="002E636F">
        <w:rPr>
          <w:rFonts w:cstheme="minorHAnsi"/>
        </w:rPr>
        <w:t>the 20-GEP</w:t>
      </w:r>
      <w:r w:rsidR="00D82700" w:rsidRPr="002E636F">
        <w:rPr>
          <w:rFonts w:cstheme="minorHAnsi"/>
        </w:rPr>
        <w:t xml:space="preserve"> test</w:t>
      </w:r>
      <w:r w:rsidR="007C5AF0" w:rsidRPr="002E636F">
        <w:rPr>
          <w:rFonts w:cstheme="minorHAnsi"/>
        </w:rPr>
        <w:t xml:space="preserve">, </w:t>
      </w:r>
      <w:r w:rsidRPr="002E636F">
        <w:rPr>
          <w:rFonts w:cstheme="minorHAnsi"/>
        </w:rPr>
        <w:t>21/23 (91.3%)</w:t>
      </w:r>
      <w:r w:rsidR="000578D0" w:rsidRPr="002E636F">
        <w:rPr>
          <w:rFonts w:cstheme="minorHAnsi"/>
        </w:rPr>
        <w:t xml:space="preserve"> </w:t>
      </w:r>
      <w:r w:rsidR="006F2CF3" w:rsidRPr="002E636F">
        <w:rPr>
          <w:rFonts w:cstheme="minorHAnsi"/>
        </w:rPr>
        <w:t xml:space="preserve">were </w:t>
      </w:r>
      <w:r w:rsidR="00276440" w:rsidRPr="002E636F">
        <w:rPr>
          <w:rFonts w:cstheme="minorHAnsi"/>
        </w:rPr>
        <w:t>T2b</w:t>
      </w:r>
      <w:r w:rsidRPr="002E636F">
        <w:rPr>
          <w:rFonts w:cstheme="minorHAnsi"/>
        </w:rPr>
        <w:t>/T3</w:t>
      </w:r>
      <w:r w:rsidR="00276440" w:rsidRPr="002E636F">
        <w:rPr>
          <w:rFonts w:cstheme="minorHAnsi"/>
        </w:rPr>
        <w:t xml:space="preserve"> </w:t>
      </w:r>
      <w:r w:rsidRPr="002E636F">
        <w:rPr>
          <w:rFonts w:cstheme="minorHAnsi"/>
        </w:rPr>
        <w:t>by</w:t>
      </w:r>
      <w:r w:rsidR="002B4003" w:rsidRPr="002E636F">
        <w:rPr>
          <w:rFonts w:cstheme="minorHAnsi"/>
        </w:rPr>
        <w:t xml:space="preserve"> </w:t>
      </w:r>
      <w:r w:rsidR="0076071B" w:rsidRPr="002E636F">
        <w:rPr>
          <w:rFonts w:cstheme="minorHAnsi"/>
        </w:rPr>
        <w:t>BWH staging</w:t>
      </w:r>
      <w:r w:rsidRPr="002E636F">
        <w:rPr>
          <w:rFonts w:cstheme="minorHAnsi"/>
        </w:rPr>
        <w:t xml:space="preserve"> versus </w:t>
      </w:r>
      <w:r w:rsidR="00C15EC7" w:rsidRPr="002E636F">
        <w:rPr>
          <w:rFonts w:cstheme="minorHAnsi"/>
        </w:rPr>
        <w:t>15</w:t>
      </w:r>
      <w:r w:rsidRPr="002E636F">
        <w:rPr>
          <w:rFonts w:cstheme="minorHAnsi"/>
        </w:rPr>
        <w:t>/23</w:t>
      </w:r>
      <w:r w:rsidR="00C15EC7" w:rsidRPr="002E636F">
        <w:rPr>
          <w:rFonts w:cstheme="minorHAnsi"/>
        </w:rPr>
        <w:t xml:space="preserve"> </w:t>
      </w:r>
      <w:r w:rsidRPr="002E636F">
        <w:rPr>
          <w:rFonts w:cstheme="minorHAnsi"/>
        </w:rPr>
        <w:t>(65.2%) UICC</w:t>
      </w:r>
      <w:r w:rsidR="002B49BA">
        <w:rPr>
          <w:rFonts w:cstheme="minorHAnsi"/>
        </w:rPr>
        <w:t>-</w:t>
      </w:r>
      <w:r w:rsidR="00001B63" w:rsidRPr="002E636F">
        <w:rPr>
          <w:rFonts w:cstheme="minorHAnsi"/>
        </w:rPr>
        <w:t>8</w:t>
      </w:r>
      <w:r w:rsidRPr="002E636F">
        <w:rPr>
          <w:rFonts w:cstheme="minorHAnsi"/>
        </w:rPr>
        <w:t xml:space="preserve"> </w:t>
      </w:r>
      <w:r w:rsidR="009A0866" w:rsidRPr="002E636F">
        <w:rPr>
          <w:rFonts w:cstheme="minorHAnsi"/>
        </w:rPr>
        <w:t>T3</w:t>
      </w:r>
      <w:r w:rsidRPr="002E636F">
        <w:rPr>
          <w:rFonts w:cstheme="minorHAnsi"/>
        </w:rPr>
        <w:t>/4</w:t>
      </w:r>
      <w:r w:rsidR="007D6320" w:rsidRPr="002E636F">
        <w:rPr>
          <w:rFonts w:cstheme="minorHAnsi"/>
        </w:rPr>
        <w:t xml:space="preserve">. </w:t>
      </w:r>
      <w:r w:rsidR="0085423C" w:rsidRPr="002E636F">
        <w:rPr>
          <w:rFonts w:cstheme="minorHAnsi"/>
        </w:rPr>
        <w:t xml:space="preserve">Of </w:t>
      </w:r>
      <w:r w:rsidR="0063651C" w:rsidRPr="002E636F">
        <w:rPr>
          <w:rFonts w:cstheme="minorHAnsi"/>
        </w:rPr>
        <w:t xml:space="preserve">32 </w:t>
      </w:r>
      <w:r w:rsidRPr="002E636F">
        <w:rPr>
          <w:rFonts w:cstheme="minorHAnsi"/>
        </w:rPr>
        <w:t xml:space="preserve">non-metastasising </w:t>
      </w:r>
      <w:proofErr w:type="spellStart"/>
      <w:r w:rsidR="006829E6" w:rsidRPr="002E636F">
        <w:rPr>
          <w:rFonts w:cstheme="minorHAnsi"/>
        </w:rPr>
        <w:t>cSCC</w:t>
      </w:r>
      <w:proofErr w:type="spellEnd"/>
      <w:r w:rsidR="006829E6" w:rsidRPr="002E636F">
        <w:rPr>
          <w:rFonts w:cstheme="minorHAnsi"/>
        </w:rPr>
        <w:t xml:space="preserve"> predicted</w:t>
      </w:r>
      <w:r w:rsidR="0051226A" w:rsidRPr="002E636F">
        <w:rPr>
          <w:rFonts w:cstheme="minorHAnsi"/>
        </w:rPr>
        <w:t xml:space="preserve"> by </w:t>
      </w:r>
      <w:r w:rsidR="00935D36" w:rsidRPr="002E636F">
        <w:rPr>
          <w:rFonts w:cstheme="minorHAnsi"/>
        </w:rPr>
        <w:t xml:space="preserve">the </w:t>
      </w:r>
      <w:r w:rsidR="00D82700" w:rsidRPr="002E636F">
        <w:rPr>
          <w:rFonts w:cstheme="minorHAnsi"/>
        </w:rPr>
        <w:t>20-GEP</w:t>
      </w:r>
      <w:r w:rsidR="005335B3" w:rsidRPr="002E636F">
        <w:rPr>
          <w:rFonts w:cstheme="minorHAnsi"/>
        </w:rPr>
        <w:t xml:space="preserve">, </w:t>
      </w:r>
      <w:r w:rsidRPr="002E636F">
        <w:rPr>
          <w:rFonts w:cstheme="minorHAnsi"/>
        </w:rPr>
        <w:t>26/32</w:t>
      </w:r>
      <w:r w:rsidR="00EF3416" w:rsidRPr="002E636F">
        <w:rPr>
          <w:rFonts w:cstheme="minorHAnsi"/>
        </w:rPr>
        <w:t xml:space="preserve"> were </w:t>
      </w:r>
      <w:r w:rsidR="006516A6" w:rsidRPr="002E636F">
        <w:rPr>
          <w:rFonts w:cstheme="minorHAnsi"/>
        </w:rPr>
        <w:t>T1</w:t>
      </w:r>
      <w:r w:rsidRPr="002E636F">
        <w:rPr>
          <w:rFonts w:cstheme="minorHAnsi"/>
        </w:rPr>
        <w:t>/</w:t>
      </w:r>
      <w:r w:rsidR="002802C3" w:rsidRPr="002E636F">
        <w:rPr>
          <w:rFonts w:cstheme="minorHAnsi"/>
        </w:rPr>
        <w:t xml:space="preserve">T2a </w:t>
      </w:r>
      <w:r w:rsidRPr="002E636F">
        <w:rPr>
          <w:rFonts w:cstheme="minorHAnsi"/>
        </w:rPr>
        <w:t>by</w:t>
      </w:r>
      <w:r w:rsidR="002802C3" w:rsidRPr="002E636F">
        <w:rPr>
          <w:rFonts w:cstheme="minorHAnsi"/>
        </w:rPr>
        <w:t xml:space="preserve"> BWH </w:t>
      </w:r>
      <w:r w:rsidRPr="002E636F">
        <w:rPr>
          <w:rFonts w:cstheme="minorHAnsi"/>
        </w:rPr>
        <w:t xml:space="preserve">and </w:t>
      </w:r>
      <w:r w:rsidR="00875201" w:rsidRPr="002E636F">
        <w:rPr>
          <w:rFonts w:cstheme="minorHAnsi"/>
        </w:rPr>
        <w:t>2</w:t>
      </w:r>
      <w:r w:rsidR="006D2808" w:rsidRPr="002E636F">
        <w:rPr>
          <w:rFonts w:cstheme="minorHAnsi"/>
        </w:rPr>
        <w:t>6</w:t>
      </w:r>
      <w:r w:rsidRPr="002E636F">
        <w:rPr>
          <w:rFonts w:cstheme="minorHAnsi"/>
        </w:rPr>
        <w:t>/32 were UICC</w:t>
      </w:r>
      <w:r w:rsidR="00CF61A4">
        <w:rPr>
          <w:rFonts w:cstheme="minorHAnsi"/>
        </w:rPr>
        <w:t>-</w:t>
      </w:r>
      <w:r w:rsidR="00262D6A" w:rsidRPr="002E636F">
        <w:rPr>
          <w:rFonts w:cstheme="minorHAnsi"/>
        </w:rPr>
        <w:t>8</w:t>
      </w:r>
      <w:r w:rsidRPr="002E636F">
        <w:rPr>
          <w:rFonts w:cstheme="minorHAnsi"/>
        </w:rPr>
        <w:t xml:space="preserve"> </w:t>
      </w:r>
      <w:r w:rsidR="00AC52A7" w:rsidRPr="002E636F">
        <w:rPr>
          <w:rFonts w:cstheme="minorHAnsi"/>
        </w:rPr>
        <w:t>T1</w:t>
      </w:r>
      <w:r w:rsidRPr="002E636F">
        <w:rPr>
          <w:rFonts w:cstheme="minorHAnsi"/>
        </w:rPr>
        <w:t>/</w:t>
      </w:r>
      <w:r w:rsidR="00BD7173" w:rsidRPr="002E636F">
        <w:rPr>
          <w:rFonts w:cstheme="minorHAnsi"/>
        </w:rPr>
        <w:t>T2</w:t>
      </w:r>
      <w:r w:rsidRPr="002E636F">
        <w:rPr>
          <w:rFonts w:cstheme="minorHAnsi"/>
        </w:rPr>
        <w:t xml:space="preserve"> (</w:t>
      </w:r>
      <w:r w:rsidR="00CA4E27" w:rsidRPr="002E636F">
        <w:rPr>
          <w:rFonts w:cstheme="minorHAnsi"/>
        </w:rPr>
        <w:t>81.3%</w:t>
      </w:r>
      <w:r w:rsidRPr="002E636F">
        <w:rPr>
          <w:rFonts w:cstheme="minorHAnsi"/>
        </w:rPr>
        <w:t>).</w:t>
      </w:r>
      <w:r>
        <w:rPr>
          <w:rFonts w:cstheme="minorHAnsi"/>
        </w:rPr>
        <w:t xml:space="preserve"> </w:t>
      </w:r>
      <w:r w:rsidR="000C7119">
        <w:rPr>
          <w:rFonts w:cstheme="minorHAnsi"/>
        </w:rPr>
        <w:t>A</w:t>
      </w:r>
      <w:r w:rsidR="00BA667F">
        <w:rPr>
          <w:rFonts w:cstheme="minorHAnsi"/>
        </w:rPr>
        <w:t>ccuracy</w:t>
      </w:r>
      <w:r w:rsidR="00B27A13">
        <w:rPr>
          <w:rFonts w:cstheme="minorHAnsi"/>
        </w:rPr>
        <w:t xml:space="preserve"> </w:t>
      </w:r>
      <w:r w:rsidR="00D1197D">
        <w:rPr>
          <w:rFonts w:cstheme="minorHAnsi"/>
        </w:rPr>
        <w:t xml:space="preserve">of the </w:t>
      </w:r>
      <w:r>
        <w:rPr>
          <w:rFonts w:cstheme="minorHAnsi"/>
        </w:rPr>
        <w:t xml:space="preserve">histology </w:t>
      </w:r>
      <w:r w:rsidR="00D1197D">
        <w:rPr>
          <w:rFonts w:cstheme="minorHAnsi"/>
        </w:rPr>
        <w:t xml:space="preserve">staging systems </w:t>
      </w:r>
      <w:r w:rsidR="000B566C">
        <w:rPr>
          <w:rFonts w:cstheme="minorHAnsi"/>
        </w:rPr>
        <w:t xml:space="preserve">dropped to </w:t>
      </w:r>
      <w:r>
        <w:rPr>
          <w:rFonts w:cstheme="minorHAnsi"/>
        </w:rPr>
        <w:t>81</w:t>
      </w:r>
      <w:r w:rsidR="009803BF">
        <w:rPr>
          <w:rFonts w:cstheme="minorHAnsi"/>
        </w:rPr>
        <w:t>.</w:t>
      </w:r>
      <w:r>
        <w:rPr>
          <w:rFonts w:cstheme="minorHAnsi"/>
        </w:rPr>
        <w:t>1</w:t>
      </w:r>
      <w:r w:rsidR="009803BF">
        <w:rPr>
          <w:rFonts w:cstheme="minorHAnsi"/>
        </w:rPr>
        <w:t>%</w:t>
      </w:r>
      <w:r>
        <w:rPr>
          <w:rFonts w:cstheme="minorHAnsi"/>
        </w:rPr>
        <w:t xml:space="preserve"> and </w:t>
      </w:r>
      <w:r w:rsidR="003349ED">
        <w:rPr>
          <w:rFonts w:cstheme="minorHAnsi"/>
        </w:rPr>
        <w:t>76</w:t>
      </w:r>
      <w:r w:rsidR="002D081C">
        <w:rPr>
          <w:rFonts w:cstheme="minorHAnsi"/>
        </w:rPr>
        <w:t>.</w:t>
      </w:r>
      <w:r w:rsidR="003349ED">
        <w:rPr>
          <w:rFonts w:cstheme="minorHAnsi"/>
        </w:rPr>
        <w:t>5</w:t>
      </w:r>
      <w:r w:rsidR="002D081C">
        <w:rPr>
          <w:rFonts w:cstheme="minorHAnsi"/>
        </w:rPr>
        <w:t>%</w:t>
      </w:r>
      <w:r w:rsidR="00DF7246">
        <w:rPr>
          <w:rFonts w:cstheme="minorHAnsi"/>
        </w:rPr>
        <w:t xml:space="preserve"> </w:t>
      </w:r>
      <w:r w:rsidR="0007255A">
        <w:rPr>
          <w:rFonts w:cstheme="minorHAnsi"/>
        </w:rPr>
        <w:t xml:space="preserve">for </w:t>
      </w:r>
      <w:r w:rsidR="000F7577">
        <w:rPr>
          <w:rFonts w:cstheme="minorHAnsi"/>
        </w:rPr>
        <w:t>BWH</w:t>
      </w:r>
      <w:r w:rsidRPr="00721B04">
        <w:rPr>
          <w:rFonts w:cstheme="minorHAnsi"/>
        </w:rPr>
        <w:t xml:space="preserve"> </w:t>
      </w:r>
      <w:r>
        <w:rPr>
          <w:rFonts w:cstheme="minorHAnsi"/>
        </w:rPr>
        <w:t>and UICC</w:t>
      </w:r>
      <w:r w:rsidR="009024C4">
        <w:rPr>
          <w:rFonts w:cstheme="minorHAnsi"/>
        </w:rPr>
        <w:t>8</w:t>
      </w:r>
      <w:r w:rsidR="00E52DB9">
        <w:rPr>
          <w:rFonts w:cstheme="minorHAnsi"/>
        </w:rPr>
        <w:t>, respectively</w:t>
      </w:r>
      <w:r w:rsidR="00717086">
        <w:rPr>
          <w:rFonts w:cstheme="minorHAnsi"/>
        </w:rPr>
        <w:t xml:space="preserve">, when </w:t>
      </w:r>
      <w:r w:rsidR="00624A96">
        <w:rPr>
          <w:rFonts w:cstheme="minorHAnsi"/>
        </w:rPr>
        <w:t xml:space="preserve">the </w:t>
      </w:r>
      <w:r w:rsidR="00926F3B">
        <w:rPr>
          <w:rFonts w:cstheme="minorHAnsi"/>
        </w:rPr>
        <w:t xml:space="preserve">whole cohort </w:t>
      </w:r>
      <w:r w:rsidR="0030043E">
        <w:rPr>
          <w:rFonts w:cstheme="minorHAnsi"/>
        </w:rPr>
        <w:t>(n=</w:t>
      </w:r>
      <w:r w:rsidR="007C7174">
        <w:rPr>
          <w:rFonts w:cstheme="minorHAnsi"/>
        </w:rPr>
        <w:t>237)</w:t>
      </w:r>
      <w:r w:rsidR="00E96F6E">
        <w:rPr>
          <w:rFonts w:cstheme="minorHAnsi"/>
        </w:rPr>
        <w:t xml:space="preserve"> was considered</w:t>
      </w:r>
      <w:r w:rsidR="003C0634">
        <w:rPr>
          <w:rFonts w:cstheme="minorHAnsi"/>
        </w:rPr>
        <w:t xml:space="preserve"> </w:t>
      </w:r>
      <w:r w:rsidR="00A41464">
        <w:rPr>
          <w:rFonts w:cstheme="minorHAnsi"/>
        </w:rPr>
        <w:t>(</w:t>
      </w:r>
      <w:r w:rsidR="00A41464" w:rsidRPr="00E14DD6">
        <w:rPr>
          <w:rFonts w:cstheme="minorHAnsi"/>
          <w:b/>
          <w:bCs/>
        </w:rPr>
        <w:t>Table II</w:t>
      </w:r>
      <w:r w:rsidR="00A41464">
        <w:rPr>
          <w:rFonts w:cstheme="minorHAnsi"/>
        </w:rPr>
        <w:t>).</w:t>
      </w:r>
    </w:p>
    <w:p w14:paraId="365ABD90" w14:textId="2CF7B59D" w:rsidR="00E1423C" w:rsidRPr="00A97101" w:rsidRDefault="00CC441E" w:rsidP="001D7093">
      <w:pPr>
        <w:spacing w:line="276" w:lineRule="auto"/>
        <w:jc w:val="both"/>
        <w:rPr>
          <w:rFonts w:eastAsia="Times New Roman" w:cstheme="minorHAnsi"/>
          <w:b/>
          <w:bCs/>
          <w:lang w:eastAsia="en-GB"/>
        </w:rPr>
      </w:pPr>
      <w:r w:rsidRPr="00A97101">
        <w:rPr>
          <w:rFonts w:eastAsia="Times New Roman" w:cstheme="minorHAnsi"/>
          <w:b/>
          <w:bCs/>
          <w:lang w:eastAsia="en-GB"/>
        </w:rPr>
        <w:t>Generation of a linear predictor for metastatic prediction</w:t>
      </w:r>
    </w:p>
    <w:p w14:paraId="05271E52" w14:textId="792A04F4" w:rsidR="00A6015B" w:rsidRDefault="00FB467D" w:rsidP="001D7093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To further enhance the potential clinical application of </w:t>
      </w:r>
      <w:r w:rsidR="004839E7">
        <w:rPr>
          <w:rFonts w:cstheme="minorHAnsi"/>
        </w:rPr>
        <w:t>the</w:t>
      </w:r>
      <w:r>
        <w:rPr>
          <w:rFonts w:cstheme="minorHAnsi"/>
        </w:rPr>
        <w:t xml:space="preserve"> </w:t>
      </w:r>
      <w:r w:rsidR="00725153">
        <w:rPr>
          <w:rFonts w:cstheme="minorHAnsi"/>
        </w:rPr>
        <w:t>20</w:t>
      </w:r>
      <w:r w:rsidR="004839E7">
        <w:rPr>
          <w:rFonts w:cstheme="minorHAnsi"/>
        </w:rPr>
        <w:t>-GEP signature</w:t>
      </w:r>
      <w:r w:rsidR="00496069">
        <w:rPr>
          <w:rFonts w:cstheme="minorHAnsi"/>
        </w:rPr>
        <w:t xml:space="preserve">, </w:t>
      </w:r>
      <w:r w:rsidR="00C02729">
        <w:rPr>
          <w:rFonts w:cstheme="minorHAnsi"/>
        </w:rPr>
        <w:t xml:space="preserve">a linear predictor </w:t>
      </w:r>
      <w:r w:rsidR="004839E7">
        <w:rPr>
          <w:rFonts w:cstheme="minorHAnsi"/>
        </w:rPr>
        <w:t xml:space="preserve">for metastasis </w:t>
      </w:r>
      <w:r w:rsidR="00C02729">
        <w:rPr>
          <w:rFonts w:cstheme="minorHAnsi"/>
        </w:rPr>
        <w:t>comb</w:t>
      </w:r>
      <w:r w:rsidR="004839E7">
        <w:rPr>
          <w:rFonts w:cstheme="minorHAnsi"/>
        </w:rPr>
        <w:t>in</w:t>
      </w:r>
      <w:r w:rsidR="00C02729">
        <w:rPr>
          <w:rFonts w:cstheme="minorHAnsi"/>
        </w:rPr>
        <w:t>ing the expression values and fold</w:t>
      </w:r>
      <w:r w:rsidR="004839E7">
        <w:rPr>
          <w:rFonts w:cstheme="minorHAnsi"/>
        </w:rPr>
        <w:t>-</w:t>
      </w:r>
      <w:r w:rsidR="00C02729">
        <w:rPr>
          <w:rFonts w:cstheme="minorHAnsi"/>
        </w:rPr>
        <w:t xml:space="preserve">changes of these </w:t>
      </w:r>
      <w:r w:rsidR="00325B86">
        <w:rPr>
          <w:rFonts w:cstheme="minorHAnsi"/>
        </w:rPr>
        <w:t>20</w:t>
      </w:r>
      <w:r w:rsidR="00C02729">
        <w:rPr>
          <w:rFonts w:cstheme="minorHAnsi"/>
        </w:rPr>
        <w:t xml:space="preserve"> genes</w:t>
      </w:r>
      <w:r w:rsidR="008C1E10" w:rsidRPr="008C1E10">
        <w:rPr>
          <w:rFonts w:cstheme="minorHAnsi"/>
        </w:rPr>
        <w:t xml:space="preserve"> </w:t>
      </w:r>
      <w:r w:rsidR="00D52AF6">
        <w:rPr>
          <w:rFonts w:cstheme="minorHAnsi"/>
        </w:rPr>
        <w:t>in</w:t>
      </w:r>
      <w:r w:rsidR="008C1E10">
        <w:rPr>
          <w:rFonts w:cstheme="minorHAnsi"/>
        </w:rPr>
        <w:t xml:space="preserve"> </w:t>
      </w:r>
      <w:r w:rsidR="004839E7">
        <w:rPr>
          <w:rFonts w:cstheme="minorHAnsi"/>
        </w:rPr>
        <w:t xml:space="preserve">the </w:t>
      </w:r>
      <w:r w:rsidR="008C1E10">
        <w:rPr>
          <w:rFonts w:cstheme="minorHAnsi"/>
        </w:rPr>
        <w:t xml:space="preserve">DE analysis </w:t>
      </w:r>
      <w:r w:rsidR="00093415">
        <w:rPr>
          <w:rFonts w:cstheme="minorHAnsi"/>
        </w:rPr>
        <w:t xml:space="preserve">was </w:t>
      </w:r>
      <w:r w:rsidR="00B172E0">
        <w:rPr>
          <w:rFonts w:cstheme="minorHAnsi"/>
        </w:rPr>
        <w:t>generated</w:t>
      </w:r>
      <w:r w:rsidR="004839E7">
        <w:rPr>
          <w:rFonts w:cstheme="minorHAnsi"/>
        </w:rPr>
        <w:t>:</w:t>
      </w:r>
      <w:r w:rsidR="00F07C96">
        <w:rPr>
          <w:rFonts w:cstheme="minorHAnsi"/>
        </w:rPr>
        <w:t xml:space="preserve"> </w:t>
      </w:r>
      <w:r w:rsidR="004839E7">
        <w:rPr>
          <w:rFonts w:cstheme="minorHAnsi"/>
        </w:rPr>
        <w:t>t</w:t>
      </w:r>
      <w:r w:rsidR="00F07C96">
        <w:rPr>
          <w:rFonts w:cstheme="minorHAnsi"/>
        </w:rPr>
        <w:t>he higher the linear predictor</w:t>
      </w:r>
      <w:r w:rsidR="004839E7">
        <w:rPr>
          <w:rFonts w:cstheme="minorHAnsi"/>
        </w:rPr>
        <w:t xml:space="preserve"> value</w:t>
      </w:r>
      <w:r w:rsidR="00F07C96">
        <w:rPr>
          <w:rFonts w:cstheme="minorHAnsi"/>
        </w:rPr>
        <w:t>, the higher the risk of developing metastasis.</w:t>
      </w:r>
      <w:r w:rsidR="00FA6BE5">
        <w:rPr>
          <w:rFonts w:cstheme="minorHAnsi"/>
        </w:rPr>
        <w:t xml:space="preserve"> </w:t>
      </w:r>
      <w:r w:rsidR="00263164">
        <w:rPr>
          <w:rFonts w:cstheme="minorHAnsi"/>
        </w:rPr>
        <w:t xml:space="preserve">The previously reported 40-GEP (11) stratifies tumours into 3 classes </w:t>
      </w:r>
      <w:r w:rsidR="00263164">
        <w:rPr>
          <w:rFonts w:cstheme="minorHAnsi"/>
        </w:rPr>
        <w:lastRenderedPageBreak/>
        <w:t xml:space="preserve">of risk (low, high, highest), whereas a linear predictor allows a more </w:t>
      </w:r>
      <w:r w:rsidR="00C269DA">
        <w:rPr>
          <w:rFonts w:cstheme="minorHAnsi"/>
        </w:rPr>
        <w:t xml:space="preserve">detailed </w:t>
      </w:r>
      <w:r w:rsidR="00263164">
        <w:rPr>
          <w:rFonts w:cstheme="minorHAnsi"/>
        </w:rPr>
        <w:t>assessment of risk that can be used alongside pathological risk factors to influence clinical management.</w:t>
      </w:r>
      <w:r w:rsidR="00730FBA">
        <w:rPr>
          <w:rFonts w:cstheme="minorHAnsi"/>
        </w:rPr>
        <w:t xml:space="preserve"> </w:t>
      </w:r>
      <w:r w:rsidR="00CE0950">
        <w:rPr>
          <w:rFonts w:cstheme="minorHAnsi"/>
        </w:rPr>
        <w:t>T</w:t>
      </w:r>
      <w:r w:rsidR="007C619E">
        <w:rPr>
          <w:rFonts w:cstheme="minorHAnsi"/>
        </w:rPr>
        <w:t xml:space="preserve">he linear predictor had a very high correlation with metastatic risk, with </w:t>
      </w:r>
      <w:r w:rsidR="004839E7">
        <w:rPr>
          <w:rFonts w:cstheme="minorHAnsi"/>
        </w:rPr>
        <w:t>an</w:t>
      </w:r>
      <w:r w:rsidR="007C619E">
        <w:rPr>
          <w:rFonts w:cstheme="minorHAnsi"/>
        </w:rPr>
        <w:t xml:space="preserve"> area under the ROC curve (AUC) of 0.8</w:t>
      </w:r>
      <w:r w:rsidR="007C0BFE">
        <w:rPr>
          <w:rFonts w:cstheme="minorHAnsi"/>
        </w:rPr>
        <w:t>5</w:t>
      </w:r>
      <w:r w:rsidR="007C619E">
        <w:rPr>
          <w:rFonts w:cstheme="minorHAnsi"/>
        </w:rPr>
        <w:t xml:space="preserve"> (95% CI, 0.8</w:t>
      </w:r>
      <w:r w:rsidR="00DD787E">
        <w:rPr>
          <w:rFonts w:cstheme="minorHAnsi"/>
        </w:rPr>
        <w:t>0</w:t>
      </w:r>
      <w:r w:rsidR="006C23F1">
        <w:rPr>
          <w:rFonts w:cstheme="minorHAnsi"/>
        </w:rPr>
        <w:t>-</w:t>
      </w:r>
      <w:r w:rsidR="007C619E">
        <w:rPr>
          <w:rFonts w:cstheme="minorHAnsi"/>
        </w:rPr>
        <w:t>0.9</w:t>
      </w:r>
      <w:r w:rsidR="00DD787E">
        <w:rPr>
          <w:rFonts w:cstheme="minorHAnsi"/>
        </w:rPr>
        <w:t>1</w:t>
      </w:r>
      <w:r w:rsidR="007C619E">
        <w:rPr>
          <w:rFonts w:cstheme="minorHAnsi"/>
        </w:rPr>
        <w:t>) and 0.88 (</w:t>
      </w:r>
      <w:r w:rsidR="00DB39AB">
        <w:rPr>
          <w:rFonts w:cstheme="minorHAnsi"/>
        </w:rPr>
        <w:t>95% CI,</w:t>
      </w:r>
      <w:r w:rsidR="001E4937">
        <w:rPr>
          <w:rFonts w:cstheme="minorHAnsi"/>
        </w:rPr>
        <w:t xml:space="preserve"> </w:t>
      </w:r>
      <w:r w:rsidR="007C619E">
        <w:rPr>
          <w:rFonts w:cstheme="minorHAnsi"/>
        </w:rPr>
        <w:t>0.7</w:t>
      </w:r>
      <w:r w:rsidR="00D77C3E">
        <w:rPr>
          <w:rFonts w:cstheme="minorHAnsi"/>
        </w:rPr>
        <w:t>8</w:t>
      </w:r>
      <w:r w:rsidR="00F335DC">
        <w:rPr>
          <w:rFonts w:cstheme="minorHAnsi"/>
        </w:rPr>
        <w:t>-</w:t>
      </w:r>
      <w:r w:rsidR="007C619E">
        <w:rPr>
          <w:rFonts w:cstheme="minorHAnsi"/>
        </w:rPr>
        <w:t>0.9</w:t>
      </w:r>
      <w:r w:rsidR="00D77C3E">
        <w:rPr>
          <w:rFonts w:cstheme="minorHAnsi"/>
        </w:rPr>
        <w:t>9</w:t>
      </w:r>
      <w:r w:rsidR="007C619E">
        <w:rPr>
          <w:rFonts w:cstheme="minorHAnsi"/>
        </w:rPr>
        <w:t xml:space="preserve">) for </w:t>
      </w:r>
      <w:r w:rsidR="00100218">
        <w:rPr>
          <w:rFonts w:cstheme="minorHAnsi"/>
        </w:rPr>
        <w:t xml:space="preserve">the </w:t>
      </w:r>
      <w:r w:rsidR="007C619E">
        <w:rPr>
          <w:rFonts w:cstheme="minorHAnsi"/>
        </w:rPr>
        <w:t>training and validation</w:t>
      </w:r>
      <w:r w:rsidR="00CC13E9">
        <w:rPr>
          <w:rFonts w:cstheme="minorHAnsi"/>
        </w:rPr>
        <w:t xml:space="preserve"> (testing)</w:t>
      </w:r>
      <w:r w:rsidR="007C619E">
        <w:rPr>
          <w:rFonts w:cstheme="minorHAnsi"/>
        </w:rPr>
        <w:t xml:space="preserve"> sets, respectively (</w:t>
      </w:r>
      <w:r w:rsidR="007C619E" w:rsidRPr="00134C99">
        <w:rPr>
          <w:rFonts w:cstheme="minorHAnsi"/>
          <w:b/>
          <w:bCs/>
        </w:rPr>
        <w:t>Fig</w:t>
      </w:r>
      <w:r w:rsidR="00E27887">
        <w:rPr>
          <w:rFonts w:cstheme="minorHAnsi"/>
          <w:b/>
          <w:bCs/>
        </w:rPr>
        <w:t>ure</w:t>
      </w:r>
      <w:r w:rsidR="007E2D8F">
        <w:rPr>
          <w:rFonts w:cstheme="minorHAnsi"/>
          <w:b/>
          <w:bCs/>
        </w:rPr>
        <w:t xml:space="preserve"> 3</w:t>
      </w:r>
      <w:r w:rsidR="007C619E">
        <w:rPr>
          <w:rFonts w:cstheme="minorHAnsi"/>
        </w:rPr>
        <w:t xml:space="preserve">). In comparison, the </w:t>
      </w:r>
      <w:r w:rsidR="00C738EC">
        <w:rPr>
          <w:rFonts w:cstheme="minorHAnsi"/>
        </w:rPr>
        <w:t>KNN</w:t>
      </w:r>
      <w:r w:rsidR="007C619E">
        <w:rPr>
          <w:rFonts w:cstheme="minorHAnsi"/>
        </w:rPr>
        <w:t xml:space="preserve"> binary classification model (i.e., yes or no for metastasis prediction) had </w:t>
      </w:r>
      <w:r w:rsidR="00C71260">
        <w:rPr>
          <w:rFonts w:cstheme="minorHAnsi"/>
        </w:rPr>
        <w:t>an</w:t>
      </w:r>
      <w:r w:rsidR="007C619E">
        <w:rPr>
          <w:rFonts w:cstheme="minorHAnsi"/>
        </w:rPr>
        <w:t xml:space="preserve"> AUC of 0.8</w:t>
      </w:r>
      <w:r w:rsidR="00A80835">
        <w:rPr>
          <w:rFonts w:cstheme="minorHAnsi"/>
        </w:rPr>
        <w:t>6</w:t>
      </w:r>
      <w:r w:rsidR="007C619E">
        <w:rPr>
          <w:rFonts w:cstheme="minorHAnsi"/>
        </w:rPr>
        <w:t xml:space="preserve"> (0.7</w:t>
      </w:r>
      <w:r w:rsidR="002D448D">
        <w:rPr>
          <w:rFonts w:cstheme="minorHAnsi"/>
        </w:rPr>
        <w:t>6</w:t>
      </w:r>
      <w:r w:rsidR="00EC762B">
        <w:rPr>
          <w:rFonts w:cstheme="minorHAnsi"/>
        </w:rPr>
        <w:t>-</w:t>
      </w:r>
      <w:r w:rsidR="007C619E">
        <w:rPr>
          <w:rFonts w:cstheme="minorHAnsi"/>
        </w:rPr>
        <w:t>0.9</w:t>
      </w:r>
      <w:r w:rsidR="00347EE9">
        <w:rPr>
          <w:rFonts w:cstheme="minorHAnsi"/>
        </w:rPr>
        <w:t>6</w:t>
      </w:r>
      <w:r w:rsidR="007C619E">
        <w:rPr>
          <w:rFonts w:cstheme="minorHAnsi"/>
        </w:rPr>
        <w:t>).</w:t>
      </w:r>
      <w:r w:rsidR="00B10C74">
        <w:rPr>
          <w:rFonts w:cstheme="minorHAnsi"/>
        </w:rPr>
        <w:t xml:space="preserve"> </w:t>
      </w:r>
      <w:r w:rsidR="00EC3D5D">
        <w:rPr>
          <w:rFonts w:cstheme="minorHAnsi"/>
        </w:rPr>
        <w:t>A</w:t>
      </w:r>
      <w:r w:rsidR="00B10C74">
        <w:rPr>
          <w:rFonts w:cstheme="minorHAnsi"/>
        </w:rPr>
        <w:t>s expected,</w:t>
      </w:r>
      <w:r w:rsidR="00EC3D5D">
        <w:rPr>
          <w:rFonts w:cstheme="minorHAnsi"/>
        </w:rPr>
        <w:t xml:space="preserve"> </w:t>
      </w:r>
      <w:r w:rsidR="008473B1">
        <w:rPr>
          <w:rFonts w:cstheme="minorHAnsi"/>
        </w:rPr>
        <w:t xml:space="preserve">the linear </w:t>
      </w:r>
      <w:r w:rsidR="005920CF">
        <w:rPr>
          <w:rFonts w:cstheme="minorHAnsi"/>
        </w:rPr>
        <w:t xml:space="preserve">predictor </w:t>
      </w:r>
      <w:r w:rsidR="005374F0">
        <w:rPr>
          <w:rFonts w:cstheme="minorHAnsi"/>
        </w:rPr>
        <w:t xml:space="preserve">was significantly higher in </w:t>
      </w:r>
      <w:r w:rsidR="0036417F">
        <w:rPr>
          <w:rFonts w:cstheme="minorHAnsi"/>
        </w:rPr>
        <w:t xml:space="preserve">metastasising </w:t>
      </w:r>
      <w:r w:rsidR="00C4110A">
        <w:rPr>
          <w:rFonts w:cstheme="minorHAnsi"/>
        </w:rPr>
        <w:t xml:space="preserve">versus </w:t>
      </w:r>
      <w:r w:rsidR="007D4B21">
        <w:rPr>
          <w:rFonts w:cstheme="minorHAnsi"/>
        </w:rPr>
        <w:t xml:space="preserve">non-metastasising </w:t>
      </w:r>
      <w:proofErr w:type="spellStart"/>
      <w:r w:rsidR="007D4B21">
        <w:rPr>
          <w:rFonts w:cstheme="minorHAnsi"/>
        </w:rPr>
        <w:t>cSCC</w:t>
      </w:r>
      <w:proofErr w:type="spellEnd"/>
      <w:r w:rsidR="00A63D99">
        <w:rPr>
          <w:rFonts w:cstheme="minorHAnsi"/>
        </w:rPr>
        <w:t xml:space="preserve"> in both training and testing sets </w:t>
      </w:r>
      <w:r w:rsidR="0008061E">
        <w:rPr>
          <w:rFonts w:cstheme="minorHAnsi"/>
        </w:rPr>
        <w:t>(</w:t>
      </w:r>
      <w:r w:rsidR="008860ED">
        <w:rPr>
          <w:rFonts w:cstheme="minorHAnsi"/>
        </w:rPr>
        <w:t xml:space="preserve">Wilcoxon rank sum test, </w:t>
      </w:r>
      <w:r w:rsidR="008860ED" w:rsidRPr="00BE138B">
        <w:rPr>
          <w:rFonts w:cstheme="minorHAnsi"/>
          <w:i/>
          <w:iCs/>
        </w:rPr>
        <w:t>p</w:t>
      </w:r>
      <w:r w:rsidR="008860ED">
        <w:rPr>
          <w:rFonts w:cstheme="minorHAnsi"/>
        </w:rPr>
        <w:t>&lt;0.0001</w:t>
      </w:r>
      <w:r w:rsidR="008942C0">
        <w:rPr>
          <w:rFonts w:cstheme="minorHAnsi"/>
        </w:rPr>
        <w:t xml:space="preserve">, </w:t>
      </w:r>
      <w:r w:rsidR="006C75E4">
        <w:rPr>
          <w:rFonts w:cstheme="minorHAnsi"/>
        </w:rPr>
        <w:t xml:space="preserve">Supplemental </w:t>
      </w:r>
      <w:r w:rsidR="00F15D93">
        <w:rPr>
          <w:rFonts w:cstheme="minorHAnsi"/>
        </w:rPr>
        <w:t xml:space="preserve">Fig </w:t>
      </w:r>
      <w:r w:rsidR="000F1B19">
        <w:rPr>
          <w:rFonts w:cstheme="minorHAnsi"/>
        </w:rPr>
        <w:t>4</w:t>
      </w:r>
      <w:r w:rsidR="00010915">
        <w:rPr>
          <w:rFonts w:cstheme="minorHAnsi"/>
        </w:rPr>
        <w:t>)</w:t>
      </w:r>
      <w:r w:rsidR="00145B5E">
        <w:rPr>
          <w:rFonts w:cstheme="minorHAnsi"/>
        </w:rPr>
        <w:t xml:space="preserve">. </w:t>
      </w:r>
    </w:p>
    <w:p w14:paraId="440EDC17" w14:textId="40BCAC22" w:rsidR="00CC6FC7" w:rsidRDefault="001C7E8E" w:rsidP="006328DB">
      <w:pPr>
        <w:spacing w:before="100" w:beforeAutospacing="1" w:after="100" w:afterAutospacing="1" w:line="276" w:lineRule="auto"/>
        <w:jc w:val="both"/>
        <w:rPr>
          <w:rFonts w:cstheme="minorHAnsi"/>
        </w:rPr>
      </w:pPr>
      <w:r>
        <w:rPr>
          <w:rFonts w:cstheme="minorHAnsi"/>
        </w:rPr>
        <w:t>Finally</w:t>
      </w:r>
      <w:r w:rsidR="00EA6568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030E4C">
        <w:rPr>
          <w:rFonts w:cstheme="minorHAnsi"/>
        </w:rPr>
        <w:t xml:space="preserve">the linear predictors across </w:t>
      </w:r>
      <w:r w:rsidR="006328DB">
        <w:rPr>
          <w:rFonts w:cstheme="minorHAnsi"/>
        </w:rPr>
        <w:t xml:space="preserve">both tumour and perilesional skin for both metastasising and non-metastasising </w:t>
      </w:r>
      <w:proofErr w:type="spellStart"/>
      <w:r w:rsidR="006328DB">
        <w:rPr>
          <w:rFonts w:cstheme="minorHAnsi"/>
        </w:rPr>
        <w:t>cSCC</w:t>
      </w:r>
      <w:proofErr w:type="spellEnd"/>
      <w:r w:rsidR="006328DB">
        <w:rPr>
          <w:rFonts w:cstheme="minorHAnsi"/>
        </w:rPr>
        <w:t xml:space="preserve"> </w:t>
      </w:r>
      <w:r w:rsidR="00602832">
        <w:rPr>
          <w:rFonts w:cstheme="minorHAnsi"/>
        </w:rPr>
        <w:t>were compared</w:t>
      </w:r>
      <w:r w:rsidR="001F48FC">
        <w:rPr>
          <w:rFonts w:cstheme="minorHAnsi"/>
        </w:rPr>
        <w:t xml:space="preserve"> </w:t>
      </w:r>
      <w:r w:rsidR="00E26365">
        <w:rPr>
          <w:rFonts w:cstheme="minorHAnsi"/>
        </w:rPr>
        <w:t>(</w:t>
      </w:r>
      <w:r w:rsidR="00316475">
        <w:rPr>
          <w:rFonts w:cstheme="minorHAnsi"/>
        </w:rPr>
        <w:t xml:space="preserve">Supplemental Fig </w:t>
      </w:r>
      <w:r w:rsidR="00A032F4">
        <w:rPr>
          <w:rFonts w:cstheme="minorHAnsi"/>
        </w:rPr>
        <w:t>5</w:t>
      </w:r>
      <w:r w:rsidR="00316475">
        <w:rPr>
          <w:rFonts w:cstheme="minorHAnsi"/>
        </w:rPr>
        <w:t>).</w:t>
      </w:r>
      <w:r w:rsidR="00100B22">
        <w:rPr>
          <w:rFonts w:cstheme="minorHAnsi"/>
        </w:rPr>
        <w:t xml:space="preserve"> </w:t>
      </w:r>
      <w:r w:rsidR="006328DB">
        <w:rPr>
          <w:rFonts w:cstheme="minorHAnsi"/>
        </w:rPr>
        <w:t>T</w:t>
      </w:r>
      <w:r w:rsidR="00825E74">
        <w:rPr>
          <w:rFonts w:cstheme="minorHAnsi"/>
        </w:rPr>
        <w:t xml:space="preserve">here was no difference in linear predictors between non-metastasising </w:t>
      </w:r>
      <w:proofErr w:type="spellStart"/>
      <w:r w:rsidR="00825E74">
        <w:rPr>
          <w:rFonts w:cstheme="minorHAnsi"/>
        </w:rPr>
        <w:t>cSCC</w:t>
      </w:r>
      <w:proofErr w:type="spellEnd"/>
      <w:r w:rsidR="00825E74">
        <w:rPr>
          <w:rFonts w:cstheme="minorHAnsi"/>
        </w:rPr>
        <w:t xml:space="preserve"> and both normal adjacent groups</w:t>
      </w:r>
      <w:r w:rsidR="00117AFB">
        <w:rPr>
          <w:rFonts w:cstheme="minorHAnsi"/>
        </w:rPr>
        <w:t>. However,</w:t>
      </w:r>
      <w:r w:rsidR="009B3007">
        <w:rPr>
          <w:rFonts w:cstheme="minorHAnsi"/>
        </w:rPr>
        <w:t xml:space="preserve"> </w:t>
      </w:r>
      <w:r w:rsidR="00A01E95">
        <w:rPr>
          <w:rFonts w:cstheme="minorHAnsi"/>
        </w:rPr>
        <w:t xml:space="preserve">linear predictors increased </w:t>
      </w:r>
      <w:r w:rsidR="00AF2F0F">
        <w:rPr>
          <w:rFonts w:cstheme="minorHAnsi"/>
        </w:rPr>
        <w:t xml:space="preserve">significantly </w:t>
      </w:r>
      <w:r w:rsidR="006328DB">
        <w:rPr>
          <w:rFonts w:cstheme="minorHAnsi"/>
        </w:rPr>
        <w:t>for</w:t>
      </w:r>
      <w:r w:rsidR="00A01E95">
        <w:rPr>
          <w:rFonts w:cstheme="minorHAnsi"/>
        </w:rPr>
        <w:t xml:space="preserve"> metastasising </w:t>
      </w:r>
      <w:proofErr w:type="spellStart"/>
      <w:r w:rsidR="00A01E95">
        <w:rPr>
          <w:rFonts w:cstheme="minorHAnsi"/>
        </w:rPr>
        <w:t>cSCC</w:t>
      </w:r>
      <w:proofErr w:type="spellEnd"/>
      <w:r w:rsidR="00A01E95">
        <w:rPr>
          <w:rFonts w:cstheme="minorHAnsi"/>
        </w:rPr>
        <w:t xml:space="preserve"> </w:t>
      </w:r>
      <w:r w:rsidR="00A93F98">
        <w:rPr>
          <w:rFonts w:cstheme="minorHAnsi"/>
        </w:rPr>
        <w:t xml:space="preserve">compared to other groups </w:t>
      </w:r>
      <w:r w:rsidR="00A01E95">
        <w:rPr>
          <w:rFonts w:cstheme="minorHAnsi"/>
        </w:rPr>
        <w:t>(</w:t>
      </w:r>
      <w:r w:rsidR="00937217" w:rsidRPr="001F6C09">
        <w:rPr>
          <w:rFonts w:cstheme="minorHAnsi"/>
          <w:i/>
          <w:iCs/>
        </w:rPr>
        <w:t>p</w:t>
      </w:r>
      <w:r w:rsidR="00937217">
        <w:rPr>
          <w:rFonts w:cstheme="minorHAnsi"/>
        </w:rPr>
        <w:t>&lt;0.0001</w:t>
      </w:r>
      <w:r w:rsidR="00A01E95">
        <w:rPr>
          <w:rFonts w:cstheme="minorHAnsi"/>
        </w:rPr>
        <w:t>)</w:t>
      </w:r>
      <w:r w:rsidR="00795E39">
        <w:rPr>
          <w:rFonts w:cstheme="minorHAnsi"/>
        </w:rPr>
        <w:t xml:space="preserve">, </w:t>
      </w:r>
      <w:r w:rsidR="00A01E95">
        <w:rPr>
          <w:rFonts w:cstheme="minorHAnsi"/>
        </w:rPr>
        <w:t>suggest</w:t>
      </w:r>
      <w:r w:rsidR="00795E39">
        <w:rPr>
          <w:rFonts w:cstheme="minorHAnsi"/>
        </w:rPr>
        <w:t>ing</w:t>
      </w:r>
      <w:r w:rsidR="00A01E95">
        <w:rPr>
          <w:rFonts w:cstheme="minorHAnsi"/>
        </w:rPr>
        <w:t xml:space="preserve"> that our linear predictor </w:t>
      </w:r>
      <w:r w:rsidR="00C03BFA">
        <w:rPr>
          <w:rFonts w:cstheme="minorHAnsi"/>
        </w:rPr>
        <w:t>was</w:t>
      </w:r>
      <w:r w:rsidR="00A01E95">
        <w:rPr>
          <w:rFonts w:cstheme="minorHAnsi"/>
        </w:rPr>
        <w:t xml:space="preserve"> only associated with </w:t>
      </w:r>
      <w:r w:rsidR="00F31751">
        <w:rPr>
          <w:rFonts w:cstheme="minorHAnsi"/>
        </w:rPr>
        <w:t xml:space="preserve">metastasising </w:t>
      </w:r>
      <w:r w:rsidR="00974DC7">
        <w:rPr>
          <w:rFonts w:cstheme="minorHAnsi"/>
        </w:rPr>
        <w:t xml:space="preserve">primary </w:t>
      </w:r>
      <w:r w:rsidR="00A01E95">
        <w:rPr>
          <w:rFonts w:cstheme="minorHAnsi"/>
        </w:rPr>
        <w:t>tumours</w:t>
      </w:r>
      <w:r w:rsidR="00E30D91">
        <w:rPr>
          <w:rFonts w:cstheme="minorHAnsi"/>
        </w:rPr>
        <w:t>.</w:t>
      </w:r>
    </w:p>
    <w:p w14:paraId="5B90D529" w14:textId="77777777" w:rsidR="0094063D" w:rsidRDefault="0094063D" w:rsidP="00EA6699">
      <w:pPr>
        <w:spacing w:before="100" w:beforeAutospacing="1" w:after="100" w:afterAutospacing="1" w:line="276" w:lineRule="auto"/>
        <w:jc w:val="both"/>
        <w:rPr>
          <w:rFonts w:cstheme="minorHAnsi"/>
        </w:rPr>
      </w:pPr>
    </w:p>
    <w:p w14:paraId="5F82A25F" w14:textId="2BA545B3" w:rsidR="00C2797E" w:rsidRDefault="00A34B92" w:rsidP="00AC5E88">
      <w:pPr>
        <w:spacing w:before="100" w:beforeAutospacing="1" w:after="100" w:afterAutospacing="1" w:line="276" w:lineRule="auto"/>
        <w:jc w:val="both"/>
      </w:pPr>
      <w:r>
        <w:rPr>
          <w:rFonts w:eastAsia="Times New Roman" w:cs="Calibri (Body)"/>
          <w:b/>
          <w:bCs/>
          <w:caps/>
          <w:lang w:eastAsia="en-GB"/>
        </w:rPr>
        <w:t>DISCUSSION</w:t>
      </w:r>
      <w:r w:rsidR="00CF0A2C">
        <w:rPr>
          <w:rFonts w:eastAsia="Times New Roman" w:cs="Calibri (Body)"/>
          <w:b/>
          <w:bCs/>
          <w:caps/>
          <w:lang w:eastAsia="en-GB"/>
        </w:rPr>
        <w:t xml:space="preserve"> </w:t>
      </w:r>
    </w:p>
    <w:p w14:paraId="6B83BF46" w14:textId="34283EEE" w:rsidR="00D87DAD" w:rsidRDefault="00D726C1" w:rsidP="00F050F4">
      <w:pPr>
        <w:spacing w:line="276" w:lineRule="auto"/>
        <w:jc w:val="both"/>
      </w:pPr>
      <w:r>
        <w:t xml:space="preserve">This study </w:t>
      </w:r>
      <w:r w:rsidR="005A22E8">
        <w:t xml:space="preserve">reports </w:t>
      </w:r>
      <w:r w:rsidR="00201A32">
        <w:t>a</w:t>
      </w:r>
      <w:r w:rsidR="00EA1399">
        <w:t xml:space="preserve"> 20-GEP signature that </w:t>
      </w:r>
      <w:r w:rsidR="00B67B0C">
        <w:t xml:space="preserve">predicts </w:t>
      </w:r>
      <w:r w:rsidR="00DE0498">
        <w:t xml:space="preserve">metastatic risk </w:t>
      </w:r>
      <w:r w:rsidR="00876603">
        <w:t xml:space="preserve">of primary </w:t>
      </w:r>
      <w:proofErr w:type="spellStart"/>
      <w:r w:rsidR="002B5B7A">
        <w:t>cSCC</w:t>
      </w:r>
      <w:proofErr w:type="spellEnd"/>
      <w:r w:rsidR="006328DB">
        <w:t xml:space="preserve">. It </w:t>
      </w:r>
      <w:r w:rsidR="00F07EAD">
        <w:t>was developed</w:t>
      </w:r>
      <w:r w:rsidR="00B43E5B">
        <w:t xml:space="preserve"> and validated</w:t>
      </w:r>
      <w:r w:rsidR="00A70EC9">
        <w:t xml:space="preserve"> </w:t>
      </w:r>
      <w:r w:rsidR="00201A32">
        <w:t>in</w:t>
      </w:r>
      <w:r w:rsidR="006328DB">
        <w:t xml:space="preserve"> </w:t>
      </w:r>
      <w:r w:rsidR="00867B5E">
        <w:t xml:space="preserve">a </w:t>
      </w:r>
      <w:r w:rsidR="0094068B">
        <w:t xml:space="preserve">UK </w:t>
      </w:r>
      <w:r w:rsidR="0023497B">
        <w:t xml:space="preserve">cohort </w:t>
      </w:r>
      <w:r w:rsidR="006328DB">
        <w:t>of</w:t>
      </w:r>
      <w:r w:rsidR="00880398">
        <w:t xml:space="preserve"> 237 </w:t>
      </w:r>
      <w:r w:rsidR="006328DB">
        <w:t xml:space="preserve">primary </w:t>
      </w:r>
      <w:proofErr w:type="spellStart"/>
      <w:r w:rsidR="006328DB">
        <w:t>cSCC</w:t>
      </w:r>
      <w:proofErr w:type="spellEnd"/>
      <w:r w:rsidR="006328DB">
        <w:t xml:space="preserve"> </w:t>
      </w:r>
      <w:r w:rsidR="00201A32">
        <w:t xml:space="preserve">from immunocompetent individuals using </w:t>
      </w:r>
      <w:r w:rsidR="00C253D7">
        <w:t>archiv</w:t>
      </w:r>
      <w:r w:rsidR="00941662">
        <w:t xml:space="preserve">al </w:t>
      </w:r>
      <w:r w:rsidR="00201A32">
        <w:t xml:space="preserve">FFPE </w:t>
      </w:r>
      <w:r w:rsidR="00941662">
        <w:t xml:space="preserve">tissue </w:t>
      </w:r>
      <w:r w:rsidR="00201A32">
        <w:t xml:space="preserve">in which whole-transcriptome analysis </w:t>
      </w:r>
      <w:r w:rsidR="00D56BE4">
        <w:t xml:space="preserve">with an unbiased discovery approach </w:t>
      </w:r>
      <w:r w:rsidR="00201A32">
        <w:t>was performed</w:t>
      </w:r>
      <w:r w:rsidR="009C2D92">
        <w:t>.</w:t>
      </w:r>
      <w:r w:rsidR="00661706">
        <w:t xml:space="preserve"> </w:t>
      </w:r>
      <w:r w:rsidR="008A23E5">
        <w:t xml:space="preserve">The </w:t>
      </w:r>
      <w:r w:rsidR="00826C01">
        <w:t xml:space="preserve">20-GEP signature </w:t>
      </w:r>
      <w:r w:rsidR="00403B94">
        <w:t xml:space="preserve">achieved </w:t>
      </w:r>
      <w:r w:rsidR="00E545BB">
        <w:t xml:space="preserve">an </w:t>
      </w:r>
      <w:r w:rsidR="008574CC">
        <w:t xml:space="preserve">accuracy of </w:t>
      </w:r>
      <w:r w:rsidR="00E24252">
        <w:t>86</w:t>
      </w:r>
      <w:r w:rsidR="00ED759E">
        <w:t>.</w:t>
      </w:r>
      <w:r w:rsidR="00E24252">
        <w:t>0</w:t>
      </w:r>
      <w:r w:rsidR="00ED759E">
        <w:t>%</w:t>
      </w:r>
      <w:r w:rsidR="006328DB">
        <w:t>,</w:t>
      </w:r>
      <w:r w:rsidR="00BB7E61">
        <w:t xml:space="preserve"> a </w:t>
      </w:r>
      <w:r w:rsidR="006328DB">
        <w:t>negative predictive value</w:t>
      </w:r>
      <w:r w:rsidR="00BB7E61">
        <w:t xml:space="preserve"> of </w:t>
      </w:r>
      <w:r w:rsidR="00BD51F6">
        <w:t>91.2%</w:t>
      </w:r>
      <w:r w:rsidR="00E24252">
        <w:t xml:space="preserve"> </w:t>
      </w:r>
      <w:r w:rsidR="006328DB">
        <w:t xml:space="preserve">and a positive predictive value of </w:t>
      </w:r>
      <w:r w:rsidR="00AF551F" w:rsidRPr="008A43DE">
        <w:t>78.3%</w:t>
      </w:r>
      <w:r w:rsidR="006328DB">
        <w:t xml:space="preserve"> for </w:t>
      </w:r>
      <w:r w:rsidR="004638BB">
        <w:t xml:space="preserve">predicting </w:t>
      </w:r>
      <w:r w:rsidR="006328DB">
        <w:t xml:space="preserve">metastasis in the </w:t>
      </w:r>
      <w:r w:rsidR="008A5AE4">
        <w:t>validation set (n=57)</w:t>
      </w:r>
      <w:r w:rsidR="00944303">
        <w:t xml:space="preserve">. </w:t>
      </w:r>
      <w:r w:rsidR="004F664A">
        <w:t>A</w:t>
      </w:r>
      <w:r w:rsidR="006328DB">
        <w:t xml:space="preserve"> </w:t>
      </w:r>
      <w:r w:rsidR="004A0F18">
        <w:t xml:space="preserve">linear </w:t>
      </w:r>
      <w:r w:rsidR="00767285">
        <w:t>predictor</w:t>
      </w:r>
      <w:r w:rsidR="00082350">
        <w:t xml:space="preserve"> </w:t>
      </w:r>
      <w:r w:rsidR="006328DB">
        <w:t>to facilitate potential clinical use of the 20-GEP was created based on the expression and fold changes of signature genes and had a</w:t>
      </w:r>
      <w:r w:rsidR="002B6281">
        <w:t>n</w:t>
      </w:r>
      <w:r w:rsidR="006328DB">
        <w:t xml:space="preserve"> </w:t>
      </w:r>
      <w:r w:rsidR="00082350">
        <w:t xml:space="preserve">AUC of </w:t>
      </w:r>
      <w:r w:rsidR="008C3107">
        <w:t>0.88</w:t>
      </w:r>
      <w:r w:rsidR="006328DB">
        <w:t xml:space="preserve">. </w:t>
      </w:r>
      <w:r w:rsidR="00DD46E8" w:rsidRPr="008A43DE">
        <w:t xml:space="preserve">UICC-8 TNM and BWH pathological </w:t>
      </w:r>
      <w:r w:rsidR="006328DB" w:rsidRPr="008A43DE">
        <w:t xml:space="preserve">staging systems performed unexpectedly well </w:t>
      </w:r>
      <w:r w:rsidR="00DD46E8" w:rsidRPr="008A43DE">
        <w:t xml:space="preserve">in risk prediction </w:t>
      </w:r>
      <w:r w:rsidR="006328DB" w:rsidRPr="008A43DE">
        <w:t>compared with previous reports. Nonetheless, the 20-GEP remained overall the most stable and accurate predictor of metastatic risk</w:t>
      </w:r>
      <w:r w:rsidR="00194A08" w:rsidRPr="008A43DE">
        <w:t xml:space="preserve">, and </w:t>
      </w:r>
      <w:r w:rsidR="00C269DA">
        <w:t xml:space="preserve">in contrast to histology, </w:t>
      </w:r>
      <w:r w:rsidR="0059579A">
        <w:t xml:space="preserve">the GEP </w:t>
      </w:r>
      <w:r w:rsidR="00BF39C0">
        <w:t xml:space="preserve">signature is unbiased </w:t>
      </w:r>
      <w:r w:rsidR="000F7CAF">
        <w:t xml:space="preserve">and </w:t>
      </w:r>
      <w:r w:rsidR="003D0996">
        <w:t>no</w:t>
      </w:r>
      <w:r w:rsidR="00C269DA">
        <w:t>t dependent on human evaluation and interpretation.</w:t>
      </w:r>
      <w:r w:rsidR="006328DB">
        <w:t xml:space="preserve"> </w:t>
      </w:r>
    </w:p>
    <w:p w14:paraId="7F3D48E3" w14:textId="77777777" w:rsidR="0094063D" w:rsidRDefault="0094063D" w:rsidP="00AC5E88">
      <w:pPr>
        <w:spacing w:line="276" w:lineRule="auto"/>
        <w:jc w:val="both"/>
      </w:pPr>
    </w:p>
    <w:p w14:paraId="2ADB3B5D" w14:textId="0173F483" w:rsidR="00046991" w:rsidRDefault="00046991" w:rsidP="00AC5E88">
      <w:pPr>
        <w:spacing w:line="276" w:lineRule="auto"/>
        <w:jc w:val="both"/>
      </w:pPr>
      <w:r>
        <w:t xml:space="preserve">There appeared to be a strong association between the 20-GEP and keratinisation. Key keratinisation genes, such as </w:t>
      </w:r>
      <w:r w:rsidRPr="00E0400B">
        <w:rPr>
          <w:i/>
          <w:iCs/>
        </w:rPr>
        <w:t>LCE1C</w:t>
      </w:r>
      <w:r>
        <w:t xml:space="preserve">, </w:t>
      </w:r>
      <w:r w:rsidRPr="00E0400B">
        <w:rPr>
          <w:i/>
          <w:iCs/>
        </w:rPr>
        <w:t>LCE2B/C</w:t>
      </w:r>
      <w:r>
        <w:t xml:space="preserve">, </w:t>
      </w:r>
      <w:r w:rsidRPr="00E0400B">
        <w:rPr>
          <w:i/>
          <w:iCs/>
        </w:rPr>
        <w:t>LCE3C</w:t>
      </w:r>
      <w:r>
        <w:t xml:space="preserve"> and </w:t>
      </w:r>
      <w:r w:rsidRPr="00E0400B">
        <w:rPr>
          <w:i/>
          <w:iCs/>
        </w:rPr>
        <w:t>CDSN</w:t>
      </w:r>
      <w:r>
        <w:t xml:space="preserve">, were all significantly downregulated in metastasising primary </w:t>
      </w:r>
      <w:proofErr w:type="spellStart"/>
      <w:r>
        <w:t>cSCC</w:t>
      </w:r>
      <w:proofErr w:type="spellEnd"/>
      <w:r>
        <w:t xml:space="preserve"> </w:t>
      </w:r>
      <w:r w:rsidR="00880398">
        <w:t xml:space="preserve">as were </w:t>
      </w:r>
      <w:r w:rsidR="009B729D">
        <w:t>t</w:t>
      </w:r>
      <w:r>
        <w:t>wo genes involved in alpha-Linolenic acid and ether lipid metabolism</w:t>
      </w:r>
      <w:r w:rsidR="009B729D">
        <w:t xml:space="preserve"> (</w:t>
      </w:r>
      <w:r w:rsidR="0086035C" w:rsidRPr="00E0400B">
        <w:rPr>
          <w:i/>
          <w:iCs/>
        </w:rPr>
        <w:t>PLA2G4E</w:t>
      </w:r>
      <w:r w:rsidR="00095262" w:rsidRPr="00E0400B">
        <w:rPr>
          <w:i/>
          <w:iCs/>
        </w:rPr>
        <w:t>/</w:t>
      </w:r>
      <w:r w:rsidR="009439B8" w:rsidRPr="00E0400B">
        <w:rPr>
          <w:i/>
          <w:iCs/>
        </w:rPr>
        <w:t>F</w:t>
      </w:r>
      <w:r w:rsidR="009B729D">
        <w:t>)</w:t>
      </w:r>
      <w:r>
        <w:t xml:space="preserve">, consistent with our GSEA results. </w:t>
      </w:r>
      <w:r w:rsidR="009B729D">
        <w:t xml:space="preserve">Only </w:t>
      </w:r>
      <w:r>
        <w:t xml:space="preserve">two genes, </w:t>
      </w:r>
      <w:r w:rsidRPr="00E0400B">
        <w:rPr>
          <w:i/>
          <w:iCs/>
        </w:rPr>
        <w:t>STMN1</w:t>
      </w:r>
      <w:r>
        <w:t xml:space="preserve"> and </w:t>
      </w:r>
      <w:r w:rsidRPr="00E0400B">
        <w:rPr>
          <w:i/>
          <w:iCs/>
        </w:rPr>
        <w:t>MDK</w:t>
      </w:r>
      <w:r>
        <w:t xml:space="preserve">, were significantly upregulated in metastasising samples. </w:t>
      </w:r>
      <w:r w:rsidRPr="00C41F9B">
        <w:t xml:space="preserve">STMN1 </w:t>
      </w:r>
      <w:r w:rsidR="00880398" w:rsidRPr="00C41F9B">
        <w:t>a microtubule-destabili</w:t>
      </w:r>
      <w:r w:rsidR="00880398">
        <w:t>s</w:t>
      </w:r>
      <w:r w:rsidR="00880398" w:rsidRPr="00C41F9B">
        <w:t xml:space="preserve">ing protein, </w:t>
      </w:r>
      <w:r w:rsidRPr="00C41F9B">
        <w:t>regulates the dynamics of microtubules</w:t>
      </w:r>
      <w:r>
        <w:t xml:space="preserve"> and</w:t>
      </w:r>
      <w:r w:rsidRPr="00C41F9B">
        <w:t xml:space="preserve"> cell cycle progress</w:t>
      </w:r>
      <w:r>
        <w:t xml:space="preserve"> (</w:t>
      </w:r>
      <w:r w:rsidR="00FE4A02">
        <w:t>2</w:t>
      </w:r>
      <w:r w:rsidR="000B1583">
        <w:t>0</w:t>
      </w:r>
      <w:r>
        <w:t>). Its high expression is associated with poor prognosis in oesophageal</w:t>
      </w:r>
      <w:r w:rsidR="00C269DA">
        <w:t xml:space="preserve"> (ESCC)</w:t>
      </w:r>
      <w:r>
        <w:t xml:space="preserve">, lung </w:t>
      </w:r>
      <w:r w:rsidR="00C269DA">
        <w:t xml:space="preserve">(LUSC) </w:t>
      </w:r>
      <w:r>
        <w:t>and oral SCC (</w:t>
      </w:r>
      <w:r w:rsidR="00C74E12">
        <w:t>2</w:t>
      </w:r>
      <w:r w:rsidR="007F545A">
        <w:t>1</w:t>
      </w:r>
      <w:r w:rsidR="001C0CD5">
        <w:t>-</w:t>
      </w:r>
      <w:r w:rsidR="00A23180">
        <w:t>2</w:t>
      </w:r>
      <w:r w:rsidR="007F545A">
        <w:t>3</w:t>
      </w:r>
      <w:r>
        <w:t xml:space="preserve">). </w:t>
      </w:r>
      <w:r w:rsidR="00E123C1">
        <w:t>I</w:t>
      </w:r>
      <w:r>
        <w:t>n ESCC and LUSC, it was reported to promote cell proliferation, migration, chemoradiation resistance</w:t>
      </w:r>
      <w:r w:rsidR="00EF1F75">
        <w:t xml:space="preserve"> (</w:t>
      </w:r>
      <w:r w:rsidR="0064235B">
        <w:t>2</w:t>
      </w:r>
      <w:r w:rsidR="002961D4">
        <w:t>1</w:t>
      </w:r>
      <w:r w:rsidR="00420918">
        <w:t>,</w:t>
      </w:r>
      <w:r w:rsidR="0064235B">
        <w:t>2</w:t>
      </w:r>
      <w:r w:rsidR="002961D4">
        <w:t>2</w:t>
      </w:r>
      <w:r w:rsidR="00453B2D">
        <w:t>,2</w:t>
      </w:r>
      <w:r w:rsidR="002961D4">
        <w:t>4</w:t>
      </w:r>
      <w:r w:rsidR="00453B2D">
        <w:t>)</w:t>
      </w:r>
      <w:r>
        <w:t>, and is strongly associated with lymph node metastasis in ESCC</w:t>
      </w:r>
      <w:r w:rsidR="00B25E85">
        <w:t xml:space="preserve"> (</w:t>
      </w:r>
      <w:r w:rsidR="004763B3">
        <w:t>2</w:t>
      </w:r>
      <w:r w:rsidR="007E010C">
        <w:t>5</w:t>
      </w:r>
      <w:r w:rsidR="004763B3">
        <w:t>,2</w:t>
      </w:r>
      <w:r w:rsidR="007E010C">
        <w:t>6</w:t>
      </w:r>
      <w:r w:rsidR="00B25E85">
        <w:t>)</w:t>
      </w:r>
      <w:r>
        <w:t xml:space="preserve">. </w:t>
      </w:r>
      <w:proofErr w:type="spellStart"/>
      <w:r w:rsidR="00157ACF" w:rsidRPr="00C0011B">
        <w:t>Midkine</w:t>
      </w:r>
      <w:proofErr w:type="spellEnd"/>
      <w:r w:rsidR="00157ACF">
        <w:t xml:space="preserve"> (MDK),</w:t>
      </w:r>
      <w:r w:rsidR="00157ACF" w:rsidRPr="00C0011B">
        <w:t xml:space="preserve"> a heparin-binding growth factor,</w:t>
      </w:r>
      <w:r w:rsidR="00157ACF">
        <w:t xml:space="preserve"> is </w:t>
      </w:r>
      <w:r w:rsidR="00157ACF">
        <w:lastRenderedPageBreak/>
        <w:t>also associated with cancer progression,</w:t>
      </w:r>
      <w:r w:rsidR="005E7EC7">
        <w:t xml:space="preserve"> </w:t>
      </w:r>
      <w:r w:rsidR="00157ACF">
        <w:t>drug resistance and a tolerogenic and immune-resistant state</w:t>
      </w:r>
      <w:r w:rsidR="00B3177E">
        <w:t xml:space="preserve"> </w:t>
      </w:r>
      <w:r>
        <w:t>(</w:t>
      </w:r>
      <w:r w:rsidR="00766F09">
        <w:t>2</w:t>
      </w:r>
      <w:r w:rsidR="00232DCF">
        <w:t>7</w:t>
      </w:r>
      <w:r w:rsidR="00D27105">
        <w:t>-30</w:t>
      </w:r>
      <w:r>
        <w:t xml:space="preserve">). </w:t>
      </w:r>
      <w:r w:rsidR="007754C6">
        <w:t>A r</w:t>
      </w:r>
      <w:r>
        <w:t>ecent stud</w:t>
      </w:r>
      <w:r w:rsidR="007754C6">
        <w:t>y</w:t>
      </w:r>
      <w:r>
        <w:t xml:space="preserve"> showed that </w:t>
      </w:r>
      <w:r w:rsidR="003C646A">
        <w:t>MDK</w:t>
      </w:r>
      <w:r w:rsidR="00E34C16">
        <w:t xml:space="preserve"> was highly expressed </w:t>
      </w:r>
      <w:r w:rsidR="003D0172">
        <w:t xml:space="preserve">by </w:t>
      </w:r>
      <w:r w:rsidR="003F423E">
        <w:t>stem-like tumour cells</w:t>
      </w:r>
      <w:r w:rsidR="00E748DB">
        <w:t xml:space="preserve"> and </w:t>
      </w:r>
      <w:r w:rsidR="0067647F">
        <w:t xml:space="preserve">led to </w:t>
      </w:r>
      <w:r w:rsidR="000E028B" w:rsidRPr="000E028B">
        <w:t xml:space="preserve">mTOR inhibition </w:t>
      </w:r>
      <w:r w:rsidR="00191AC4">
        <w:t xml:space="preserve">persistence </w:t>
      </w:r>
      <w:r w:rsidR="000E028B" w:rsidRPr="000E028B">
        <w:t>and an immune-suppressive microenvironment</w:t>
      </w:r>
      <w:r w:rsidR="00AC6164">
        <w:t xml:space="preserve"> (</w:t>
      </w:r>
      <w:r w:rsidR="00317117">
        <w:t>31</w:t>
      </w:r>
      <w:r w:rsidR="0099334A">
        <w:t xml:space="preserve">). </w:t>
      </w:r>
      <w:r w:rsidR="006F4158">
        <w:t>MDK</w:t>
      </w:r>
      <w:r w:rsidR="00953E98">
        <w:t xml:space="preserve"> re</w:t>
      </w:r>
      <w:r w:rsidR="006F4158">
        <w:t xml:space="preserve">presents </w:t>
      </w:r>
      <w:r w:rsidR="00560D90">
        <w:t xml:space="preserve">an interesting </w:t>
      </w:r>
      <w:r w:rsidR="00AF4710" w:rsidRPr="00AF4710">
        <w:t>therapeutic target</w:t>
      </w:r>
      <w:r w:rsidR="00AF4710">
        <w:t xml:space="preserve"> for advanced </w:t>
      </w:r>
      <w:proofErr w:type="spellStart"/>
      <w:r w:rsidR="0010222B">
        <w:t>cSCC</w:t>
      </w:r>
      <w:proofErr w:type="spellEnd"/>
      <w:r w:rsidR="0010222B">
        <w:t>.</w:t>
      </w:r>
    </w:p>
    <w:p w14:paraId="22D686D2" w14:textId="77777777" w:rsidR="00046991" w:rsidRDefault="00046991" w:rsidP="00AC5E88">
      <w:pPr>
        <w:spacing w:line="276" w:lineRule="auto"/>
        <w:jc w:val="both"/>
      </w:pPr>
    </w:p>
    <w:p w14:paraId="33BB9402" w14:textId="14600ABD" w:rsidR="00E447FC" w:rsidRDefault="00E447FC" w:rsidP="00BA7910">
      <w:pPr>
        <w:spacing w:line="276" w:lineRule="auto"/>
        <w:jc w:val="both"/>
      </w:pPr>
      <w:r>
        <w:t xml:space="preserve">Currently, clinical pathways determining treatment plans for patients with </w:t>
      </w:r>
      <w:proofErr w:type="spellStart"/>
      <w:r>
        <w:t>cSCC</w:t>
      </w:r>
      <w:proofErr w:type="spellEnd"/>
      <w:r>
        <w:t xml:space="preserve"> use clinicopathological staging systems</w:t>
      </w:r>
      <w:r w:rsidR="00880398">
        <w:t>.</w:t>
      </w:r>
      <w:r w:rsidR="00880398" w:rsidRPr="00880398">
        <w:t xml:space="preserve"> </w:t>
      </w:r>
      <w:r w:rsidR="00880398">
        <w:t xml:space="preserve">In practice, the predictive accuracy of staging systems for primary </w:t>
      </w:r>
      <w:proofErr w:type="spellStart"/>
      <w:r w:rsidR="00880398">
        <w:t>cSCC</w:t>
      </w:r>
      <w:proofErr w:type="spellEnd"/>
      <w:r w:rsidR="00880398">
        <w:t xml:space="preserve"> can vary significantly across reported studies </w:t>
      </w:r>
      <w:r w:rsidR="00C269DA">
        <w:t>(11</w:t>
      </w:r>
      <w:r w:rsidR="009A7DF7">
        <w:t>, 32-35</w:t>
      </w:r>
      <w:r w:rsidR="00297C53">
        <w:t>)</w:t>
      </w:r>
      <w:r w:rsidR="00C269DA">
        <w:t xml:space="preserve">. </w:t>
      </w:r>
      <w:r>
        <w:t xml:space="preserve">Factors possibly accounting for the variability in pathology staging </w:t>
      </w:r>
      <w:r w:rsidR="00F050F4">
        <w:t xml:space="preserve">include </w:t>
      </w:r>
      <w:r w:rsidR="00F050F4" w:rsidRPr="00F050F4">
        <w:t xml:space="preserve">non-standardised reporting of high-risk features (particularly poor differentiation and perineural invasion); </w:t>
      </w:r>
      <w:r>
        <w:t xml:space="preserve">problems defining the state of differentiation of an individual tumour; </w:t>
      </w:r>
      <w:r w:rsidR="00056661">
        <w:t xml:space="preserve">and </w:t>
      </w:r>
      <w:r>
        <w:t xml:space="preserve">variable practice in the use of </w:t>
      </w:r>
      <w:proofErr w:type="spellStart"/>
      <w:r>
        <w:t>Mohs’</w:t>
      </w:r>
      <w:proofErr w:type="spellEnd"/>
      <w:r>
        <w:t xml:space="preserve"> surgery</w:t>
      </w:r>
      <w:r w:rsidR="00297C53">
        <w:t xml:space="preserve"> which may affect detection of </w:t>
      </w:r>
      <w:r w:rsidR="00DF1516">
        <w:t>high-risk</w:t>
      </w:r>
      <w:r w:rsidR="00297C53">
        <w:t xml:space="preserve"> features</w:t>
      </w:r>
      <w:r w:rsidR="00F050F4">
        <w:t xml:space="preserve"> and lead to </w:t>
      </w:r>
      <w:proofErr w:type="spellStart"/>
      <w:r w:rsidR="00F050F4">
        <w:t>understaging</w:t>
      </w:r>
      <w:proofErr w:type="spellEnd"/>
      <w:r>
        <w:t xml:space="preserve"> </w:t>
      </w:r>
      <w:r w:rsidR="00056661">
        <w:t>(</w:t>
      </w:r>
      <w:r w:rsidR="00C269DA">
        <w:t>11</w:t>
      </w:r>
      <w:r w:rsidR="00056661">
        <w:t>)</w:t>
      </w:r>
      <w:r w:rsidR="00C269DA">
        <w:t>.</w:t>
      </w:r>
      <w:r w:rsidR="00B73192">
        <w:t xml:space="preserve"> </w:t>
      </w:r>
      <w:r>
        <w:t xml:space="preserve">In our study, careful </w:t>
      </w:r>
      <w:r w:rsidR="00C269DA">
        <w:t>central review by two highly experienced dermatopathologists adhering to the Royal College of Pathologists dataset</w:t>
      </w:r>
      <w:r>
        <w:t xml:space="preserve"> led to a much higher performance of pathology staging systems than previously published</w:t>
      </w:r>
      <w:r w:rsidR="00297C53">
        <w:t xml:space="preserve">. This </w:t>
      </w:r>
      <w:r w:rsidR="00523BF2">
        <w:t xml:space="preserve">highlights the need for </w:t>
      </w:r>
      <w:r w:rsidR="00297C53">
        <w:t xml:space="preserve">a more objective </w:t>
      </w:r>
      <w:r>
        <w:t xml:space="preserve">grading system such as </w:t>
      </w:r>
      <w:r w:rsidR="00523BF2">
        <w:t xml:space="preserve">that </w:t>
      </w:r>
      <w:r>
        <w:t>used worldwide in breast carcinoma</w:t>
      </w:r>
      <w:r w:rsidR="00C8376A">
        <w:t xml:space="preserve"> </w:t>
      </w:r>
      <w:r w:rsidR="00061ACB">
        <w:t>(3</w:t>
      </w:r>
      <w:r w:rsidR="00E27785">
        <w:t>6</w:t>
      </w:r>
      <w:r w:rsidR="00061ACB">
        <w:t>)</w:t>
      </w:r>
      <w:r w:rsidR="00281EB0">
        <w:t>.</w:t>
      </w:r>
    </w:p>
    <w:p w14:paraId="072FF25F" w14:textId="77777777" w:rsidR="009B729D" w:rsidRDefault="009B729D" w:rsidP="006328DB">
      <w:pPr>
        <w:spacing w:line="276" w:lineRule="auto"/>
        <w:jc w:val="both"/>
      </w:pPr>
    </w:p>
    <w:p w14:paraId="65A6A28C" w14:textId="1CE15C2E" w:rsidR="00B629B4" w:rsidRDefault="00F050F4" w:rsidP="006215C0">
      <w:pPr>
        <w:spacing w:line="276" w:lineRule="auto"/>
        <w:jc w:val="both"/>
      </w:pPr>
      <w:r>
        <w:t>Additional strengths of our study include</w:t>
      </w:r>
      <w:r w:rsidR="00B629B4">
        <w:t xml:space="preserve"> an unbiased discovery-driven approach using </w:t>
      </w:r>
      <w:r w:rsidR="00497F6D">
        <w:t xml:space="preserve">the whole transcriptome </w:t>
      </w:r>
      <w:r w:rsidR="000739E4">
        <w:t xml:space="preserve">of </w:t>
      </w:r>
      <w:r w:rsidR="00B629B4">
        <w:t xml:space="preserve">FFPE clinical samples to develop a prognostic signature suitable for routine </w:t>
      </w:r>
      <w:r w:rsidR="00E1164B">
        <w:t xml:space="preserve">clinical </w:t>
      </w:r>
      <w:r w:rsidR="00B629B4">
        <w:t xml:space="preserve">use. </w:t>
      </w:r>
      <w:r>
        <w:t>We also excluded immunosuppressed patients</w:t>
      </w:r>
      <w:r w:rsidR="00523BF2">
        <w:t xml:space="preserve"> as</w:t>
      </w:r>
      <w:r>
        <w:t xml:space="preserve"> </w:t>
      </w:r>
      <w:r w:rsidR="00523BF2">
        <w:t xml:space="preserve">iatrogenic and disease-associated </w:t>
      </w:r>
      <w:r>
        <w:t>i</w:t>
      </w:r>
      <w:r w:rsidR="00B629B4">
        <w:t xml:space="preserve">mmunosuppression is an important risk factor for poor outcomes in </w:t>
      </w:r>
      <w:proofErr w:type="spellStart"/>
      <w:r w:rsidR="00B629B4">
        <w:t>cSCC</w:t>
      </w:r>
      <w:proofErr w:type="spellEnd"/>
      <w:r w:rsidR="00B629B4">
        <w:t xml:space="preserve"> and variations in immune status and effects of immunosuppressive drugs are likely to impact on the transcriptome. Excluding confounding factors due to immunosuppression may have permitted generation of a more metastasis-specific gene signature of greater use for risk prediction. </w:t>
      </w:r>
      <w:r w:rsidR="00290A39" w:rsidRPr="00192333">
        <w:t xml:space="preserve">More work </w:t>
      </w:r>
      <w:r w:rsidR="00923AAA" w:rsidRPr="00192333">
        <w:t xml:space="preserve">is needed </w:t>
      </w:r>
      <w:r w:rsidR="00D01A7D" w:rsidRPr="00192333">
        <w:t xml:space="preserve">to </w:t>
      </w:r>
      <w:r w:rsidR="0070345B" w:rsidRPr="00192333">
        <w:t xml:space="preserve">test our </w:t>
      </w:r>
      <w:r w:rsidR="00D234E2" w:rsidRPr="00192333">
        <w:t xml:space="preserve">20-gene signature </w:t>
      </w:r>
      <w:r w:rsidR="00C937E8" w:rsidRPr="00192333">
        <w:t xml:space="preserve">in other </w:t>
      </w:r>
      <w:r w:rsidR="00911064" w:rsidRPr="00192333">
        <w:t xml:space="preserve">patient populations, </w:t>
      </w:r>
      <w:r w:rsidR="00E74548" w:rsidRPr="00192333">
        <w:t xml:space="preserve">such as </w:t>
      </w:r>
      <w:r w:rsidR="008514E5" w:rsidRPr="00192333">
        <w:t xml:space="preserve">those with </w:t>
      </w:r>
      <w:r w:rsidR="00C610E6" w:rsidRPr="00192333">
        <w:t>darker skin and in immunosuppressive populations.</w:t>
      </w:r>
    </w:p>
    <w:p w14:paraId="217EDAD2" w14:textId="644FFCBC" w:rsidR="0094063D" w:rsidRDefault="0094063D" w:rsidP="00F050F4">
      <w:pPr>
        <w:spacing w:line="276" w:lineRule="auto"/>
        <w:jc w:val="both"/>
      </w:pPr>
    </w:p>
    <w:p w14:paraId="4FAA1625" w14:textId="4D275CAC" w:rsidR="00464F9E" w:rsidRDefault="00F050F4" w:rsidP="006215C0">
      <w:pPr>
        <w:spacing w:line="276" w:lineRule="auto"/>
        <w:jc w:val="both"/>
      </w:pPr>
      <w:r>
        <w:t xml:space="preserve">The </w:t>
      </w:r>
      <w:r w:rsidRPr="00A4156F">
        <w:t xml:space="preserve">retrospective </w:t>
      </w:r>
      <w:r>
        <w:t xml:space="preserve">nature of this </w:t>
      </w:r>
      <w:r w:rsidRPr="00A4156F">
        <w:t xml:space="preserve">study </w:t>
      </w:r>
      <w:r>
        <w:t xml:space="preserve">was a limitation </w:t>
      </w:r>
      <w:r w:rsidRPr="00A4156F">
        <w:t>and</w:t>
      </w:r>
      <w:r>
        <w:t>,</w:t>
      </w:r>
      <w:r w:rsidRPr="00A4156F">
        <w:t xml:space="preserve"> </w:t>
      </w:r>
      <w:r w:rsidRPr="00192333">
        <w:t xml:space="preserve">although consecutive eligible primary </w:t>
      </w:r>
      <w:proofErr w:type="spellStart"/>
      <w:r w:rsidRPr="00192333">
        <w:t>cSCC</w:t>
      </w:r>
      <w:proofErr w:type="spellEnd"/>
      <w:r w:rsidRPr="00192333">
        <w:t xml:space="preserve"> were enrolled at each centre, the possibility of some bias relating to </w:t>
      </w:r>
      <w:r w:rsidR="004C4372" w:rsidRPr="00192333">
        <w:t xml:space="preserve">patient and </w:t>
      </w:r>
      <w:r w:rsidRPr="00192333">
        <w:t xml:space="preserve">sample selection cannot be excluded. The study size for the validation set was also a limitation and further validation </w:t>
      </w:r>
      <w:r w:rsidR="00464F9E" w:rsidRPr="00192333">
        <w:t xml:space="preserve">will require </w:t>
      </w:r>
      <w:r w:rsidRPr="00192333">
        <w:t>larger, prospective studies</w:t>
      </w:r>
      <w:r w:rsidR="00464F9E" w:rsidRPr="00CE73D9">
        <w:t xml:space="preserve"> </w:t>
      </w:r>
      <w:r w:rsidR="00BD7F0D" w:rsidRPr="00CE73D9">
        <w:t>(</w:t>
      </w:r>
      <w:r w:rsidR="006953AD" w:rsidRPr="00CE73D9">
        <w:t>5</w:t>
      </w:r>
      <w:r w:rsidR="00BD7F0D" w:rsidRPr="00CE73D9">
        <w:t>)</w:t>
      </w:r>
      <w:r w:rsidR="00464F9E" w:rsidRPr="00CE73D9">
        <w:t>.</w:t>
      </w:r>
      <w:r w:rsidR="00464F9E">
        <w:t xml:space="preserve"> </w:t>
      </w:r>
    </w:p>
    <w:p w14:paraId="21C9DDE3" w14:textId="77777777" w:rsidR="0094063D" w:rsidRDefault="0094063D" w:rsidP="00F050F4">
      <w:pPr>
        <w:spacing w:line="276" w:lineRule="auto"/>
        <w:jc w:val="both"/>
      </w:pPr>
    </w:p>
    <w:p w14:paraId="777C7E21" w14:textId="0B414AB8" w:rsidR="001147B1" w:rsidRPr="001147B1" w:rsidRDefault="00F050F4" w:rsidP="001147B1">
      <w:pPr>
        <w:spacing w:line="276" w:lineRule="auto"/>
        <w:jc w:val="both"/>
      </w:pPr>
      <w:r>
        <w:t xml:space="preserve">In conclusion, </w:t>
      </w:r>
      <w:r w:rsidR="001147B1" w:rsidRPr="001147B1">
        <w:t xml:space="preserve">we have used an unbiased discovery-driven approach </w:t>
      </w:r>
      <w:r w:rsidR="001147B1">
        <w:t xml:space="preserve">to </w:t>
      </w:r>
      <w:r w:rsidR="001147B1" w:rsidRPr="001147B1">
        <w:t xml:space="preserve">generate a promising candidate 20-GEP </w:t>
      </w:r>
      <w:r w:rsidR="001147B1">
        <w:t xml:space="preserve">prognostic </w:t>
      </w:r>
      <w:r w:rsidR="001147B1" w:rsidRPr="001147B1">
        <w:t xml:space="preserve">signature </w:t>
      </w:r>
      <w:r w:rsidR="001147B1">
        <w:t xml:space="preserve">for </w:t>
      </w:r>
      <w:proofErr w:type="spellStart"/>
      <w:r w:rsidR="001147B1">
        <w:t>cSCC</w:t>
      </w:r>
      <w:proofErr w:type="spellEnd"/>
      <w:r w:rsidR="001147B1">
        <w:t xml:space="preserve"> metastasis. </w:t>
      </w:r>
      <w:r w:rsidR="001147B1" w:rsidRPr="001147B1">
        <w:t xml:space="preserve"> </w:t>
      </w:r>
      <w:r w:rsidR="001147B1">
        <w:t>The GEP not only represents a novel an</w:t>
      </w:r>
      <w:r w:rsidR="00EE10A8">
        <w:t>d</w:t>
      </w:r>
      <w:r w:rsidR="001147B1">
        <w:t xml:space="preserve"> potentially clinically applicable prognostic tool but has also provided biological insights into the process of metastasis and potential therapeutic targets. In addition, there are biological and genomic mechanisms common to </w:t>
      </w:r>
      <w:proofErr w:type="spellStart"/>
      <w:r w:rsidR="001147B1">
        <w:t>cSCC</w:t>
      </w:r>
      <w:proofErr w:type="spellEnd"/>
      <w:r w:rsidR="001147B1">
        <w:t xml:space="preserve"> across different tissue types and this signature may provide further insights into common differentiation and stem</w:t>
      </w:r>
      <w:r w:rsidR="0056319C">
        <w:t>-like</w:t>
      </w:r>
      <w:r w:rsidR="001147B1">
        <w:t xml:space="preserve"> pathways underpinning these SCCs. Further prospective evaluation is now underway to </w:t>
      </w:r>
      <w:r w:rsidR="001147B1" w:rsidRPr="001147B1">
        <w:t>confirm clinical utility</w:t>
      </w:r>
      <w:r w:rsidR="00D56BE4">
        <w:t xml:space="preserve"> of this GEP</w:t>
      </w:r>
      <w:r w:rsidR="001147B1" w:rsidRPr="001147B1">
        <w:t xml:space="preserve"> in management </w:t>
      </w:r>
      <w:r w:rsidR="00D56BE4">
        <w:t xml:space="preserve">of </w:t>
      </w:r>
      <w:r w:rsidR="001147B1" w:rsidRPr="001147B1">
        <w:t xml:space="preserve">primary </w:t>
      </w:r>
      <w:proofErr w:type="spellStart"/>
      <w:r w:rsidR="001147B1" w:rsidRPr="001147B1">
        <w:t>cSCC</w:t>
      </w:r>
      <w:proofErr w:type="spellEnd"/>
      <w:r w:rsidR="001147B1" w:rsidRPr="001147B1">
        <w:t>.</w:t>
      </w:r>
    </w:p>
    <w:p w14:paraId="6BE653A8" w14:textId="77777777" w:rsidR="001147B1" w:rsidRDefault="001147B1" w:rsidP="00F050F4">
      <w:pPr>
        <w:spacing w:line="276" w:lineRule="auto"/>
        <w:jc w:val="both"/>
      </w:pPr>
    </w:p>
    <w:p w14:paraId="51D888F9" w14:textId="2A9E0F62" w:rsidR="0015714E" w:rsidRPr="001551B4" w:rsidRDefault="0015714E" w:rsidP="0015714E">
      <w:pPr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1551B4">
        <w:rPr>
          <w:rFonts w:ascii="Calibri" w:hAnsi="Calibri" w:cs="Calibri"/>
          <w:b/>
          <w:bCs/>
          <w:i/>
          <w:iCs/>
        </w:rPr>
        <w:lastRenderedPageBreak/>
        <w:t>Abbreviations used:</w:t>
      </w:r>
    </w:p>
    <w:p w14:paraId="7B0B94EB" w14:textId="77777777" w:rsidR="0015714E" w:rsidRDefault="0015714E" w:rsidP="0015714E">
      <w:pPr>
        <w:spacing w:line="276" w:lineRule="auto"/>
        <w:jc w:val="both"/>
        <w:rPr>
          <w:rFonts w:ascii="Calibri" w:hAnsi="Calibri" w:cs="Calibri"/>
        </w:rPr>
      </w:pPr>
      <w:r w:rsidRPr="00601C2A">
        <w:rPr>
          <w:rFonts w:ascii="Calibri" w:hAnsi="Calibri" w:cs="Calibri"/>
        </w:rPr>
        <w:t>AJCC: American Joint Committee on Cancer</w:t>
      </w:r>
    </w:p>
    <w:p w14:paraId="143F1057" w14:textId="39E50DD2" w:rsidR="00F554F4" w:rsidRPr="00601C2A" w:rsidRDefault="00F554F4" w:rsidP="0015714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UICC:</w:t>
      </w:r>
      <w:r w:rsidR="00D30645">
        <w:rPr>
          <w:rFonts w:ascii="Calibri" w:hAnsi="Calibri" w:cs="Calibri"/>
        </w:rPr>
        <w:t xml:space="preserve"> </w:t>
      </w:r>
      <w:r w:rsidR="008D75CD" w:rsidRPr="008D75CD">
        <w:rPr>
          <w:rFonts w:ascii="Calibri" w:hAnsi="Calibri" w:cs="Calibri"/>
        </w:rPr>
        <w:t>Union for International Cancer Control</w:t>
      </w:r>
    </w:p>
    <w:p w14:paraId="065CE639" w14:textId="77777777" w:rsidR="0015714E" w:rsidRPr="00601C2A" w:rsidRDefault="0015714E" w:rsidP="0015714E">
      <w:pPr>
        <w:spacing w:line="276" w:lineRule="auto"/>
        <w:jc w:val="both"/>
        <w:rPr>
          <w:rFonts w:ascii="Calibri" w:hAnsi="Calibri" w:cs="Calibri"/>
        </w:rPr>
      </w:pPr>
      <w:r w:rsidRPr="00601C2A">
        <w:rPr>
          <w:rFonts w:ascii="Calibri" w:hAnsi="Calibri" w:cs="Calibri"/>
        </w:rPr>
        <w:t>BWH: Brigham and Women’s Hospital</w:t>
      </w:r>
    </w:p>
    <w:p w14:paraId="34F8CD15" w14:textId="77777777" w:rsidR="0015714E" w:rsidRPr="00601C2A" w:rsidRDefault="0015714E" w:rsidP="0015714E">
      <w:pPr>
        <w:spacing w:line="276" w:lineRule="auto"/>
        <w:jc w:val="both"/>
        <w:rPr>
          <w:rFonts w:ascii="Calibri" w:hAnsi="Calibri" w:cs="Calibri"/>
        </w:rPr>
      </w:pPr>
      <w:proofErr w:type="spellStart"/>
      <w:r w:rsidRPr="00601C2A">
        <w:rPr>
          <w:rFonts w:ascii="Calibri" w:hAnsi="Calibri" w:cs="Calibri"/>
        </w:rPr>
        <w:t>cSCC</w:t>
      </w:r>
      <w:proofErr w:type="spellEnd"/>
      <w:r w:rsidRPr="00601C2A">
        <w:rPr>
          <w:rFonts w:ascii="Calibri" w:hAnsi="Calibri" w:cs="Calibri"/>
        </w:rPr>
        <w:t>: cutaneous squamous cell carcinoma</w:t>
      </w:r>
    </w:p>
    <w:p w14:paraId="47E07732" w14:textId="77777777" w:rsidR="0015714E" w:rsidRDefault="0015714E" w:rsidP="0015714E">
      <w:pPr>
        <w:spacing w:line="276" w:lineRule="auto"/>
        <w:jc w:val="both"/>
        <w:rPr>
          <w:rFonts w:ascii="Calibri" w:hAnsi="Calibri" w:cs="Calibri"/>
        </w:rPr>
      </w:pPr>
      <w:r w:rsidRPr="00601C2A">
        <w:rPr>
          <w:rFonts w:ascii="Calibri" w:hAnsi="Calibri" w:cs="Calibri"/>
        </w:rPr>
        <w:t>GEP: gene-expression profile</w:t>
      </w:r>
    </w:p>
    <w:p w14:paraId="486104B7" w14:textId="4B9B48AE" w:rsidR="008F5FB1" w:rsidRDefault="008F5FB1" w:rsidP="008F5FB1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</w:t>
      </w:r>
      <w:r w:rsidR="00E37F29">
        <w:rPr>
          <w:rFonts w:ascii="Calibri" w:hAnsi="Calibri" w:cs="Calibri"/>
        </w:rPr>
        <w:t>: differential expression</w:t>
      </w:r>
    </w:p>
    <w:p w14:paraId="2F0AB225" w14:textId="1A5390A6" w:rsidR="008F5FB1" w:rsidRPr="00601C2A" w:rsidRDefault="008F5FB1" w:rsidP="0015714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GSEA</w:t>
      </w:r>
      <w:r w:rsidR="0097280A">
        <w:rPr>
          <w:rFonts w:ascii="Calibri" w:hAnsi="Calibri" w:cs="Calibri"/>
        </w:rPr>
        <w:t>:</w:t>
      </w:r>
      <w:r w:rsidR="000D31B5">
        <w:rPr>
          <w:rFonts w:ascii="Calibri" w:hAnsi="Calibri" w:cs="Calibri"/>
        </w:rPr>
        <w:t xml:space="preserve"> Gene set enrichment analysis</w:t>
      </w:r>
    </w:p>
    <w:p w14:paraId="09498778" w14:textId="77777777" w:rsidR="0015714E" w:rsidRPr="00601C2A" w:rsidRDefault="0015714E" w:rsidP="0015714E">
      <w:pPr>
        <w:spacing w:line="276" w:lineRule="auto"/>
        <w:jc w:val="both"/>
        <w:rPr>
          <w:rFonts w:ascii="Calibri" w:hAnsi="Calibri" w:cs="Calibri"/>
        </w:rPr>
      </w:pPr>
      <w:r w:rsidRPr="00601C2A">
        <w:rPr>
          <w:rFonts w:ascii="Calibri" w:hAnsi="Calibri" w:cs="Calibri"/>
        </w:rPr>
        <w:t>HR: hazard ratio</w:t>
      </w:r>
    </w:p>
    <w:p w14:paraId="64DEB2F3" w14:textId="77777777" w:rsidR="0015714E" w:rsidRPr="00601C2A" w:rsidRDefault="0015714E" w:rsidP="0015714E">
      <w:pPr>
        <w:spacing w:line="276" w:lineRule="auto"/>
        <w:jc w:val="both"/>
        <w:rPr>
          <w:rFonts w:ascii="Calibri" w:hAnsi="Calibri" w:cs="Calibri"/>
        </w:rPr>
      </w:pPr>
      <w:r w:rsidRPr="00601C2A">
        <w:rPr>
          <w:rFonts w:ascii="Calibri" w:hAnsi="Calibri" w:cs="Calibri"/>
        </w:rPr>
        <w:t>LR: likelihood ratio</w:t>
      </w:r>
    </w:p>
    <w:p w14:paraId="4E84027F" w14:textId="77777777" w:rsidR="0015714E" w:rsidRPr="00601C2A" w:rsidRDefault="0015714E" w:rsidP="0015714E">
      <w:pPr>
        <w:spacing w:line="276" w:lineRule="auto"/>
        <w:jc w:val="both"/>
        <w:rPr>
          <w:rFonts w:ascii="Calibri" w:hAnsi="Calibri" w:cs="Calibri"/>
        </w:rPr>
      </w:pPr>
      <w:r w:rsidRPr="00601C2A">
        <w:rPr>
          <w:rFonts w:ascii="Calibri" w:hAnsi="Calibri" w:cs="Calibri"/>
        </w:rPr>
        <w:t>NPV: negative predictive value</w:t>
      </w:r>
    </w:p>
    <w:p w14:paraId="3960A365" w14:textId="77777777" w:rsidR="0015714E" w:rsidRDefault="0015714E" w:rsidP="0015714E">
      <w:pPr>
        <w:spacing w:line="276" w:lineRule="auto"/>
        <w:jc w:val="both"/>
        <w:rPr>
          <w:rFonts w:ascii="Calibri" w:hAnsi="Calibri" w:cs="Calibri"/>
        </w:rPr>
      </w:pPr>
      <w:r w:rsidRPr="00601C2A">
        <w:rPr>
          <w:rFonts w:ascii="Calibri" w:hAnsi="Calibri" w:cs="Calibri"/>
        </w:rPr>
        <w:t>PPV: positive predictive value</w:t>
      </w:r>
    </w:p>
    <w:p w14:paraId="4B692AB0" w14:textId="77777777" w:rsidR="0015714E" w:rsidRDefault="0015714E" w:rsidP="0015714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KNN: K-nearest neighbourhood</w:t>
      </w:r>
    </w:p>
    <w:p w14:paraId="019854FA" w14:textId="7E5DA353" w:rsidR="006D5DF1" w:rsidRDefault="0015714E" w:rsidP="00613F13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BCR: B-cell receptor</w:t>
      </w:r>
    </w:p>
    <w:p w14:paraId="53080028" w14:textId="77777777" w:rsidR="00613F13" w:rsidRDefault="00613F13" w:rsidP="00613F13">
      <w:pPr>
        <w:spacing w:line="276" w:lineRule="auto"/>
        <w:jc w:val="both"/>
        <w:rPr>
          <w:rFonts w:ascii="Calibri" w:hAnsi="Calibri" w:cs="Calibri"/>
        </w:rPr>
      </w:pPr>
    </w:p>
    <w:p w14:paraId="268AE51D" w14:textId="77777777" w:rsidR="00317F64" w:rsidRDefault="00317F64" w:rsidP="00613F13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5645C671" w14:textId="0331BF77" w:rsidR="00613F13" w:rsidRPr="00F77BC1" w:rsidRDefault="00E10C15" w:rsidP="00613F13">
      <w:pPr>
        <w:spacing w:line="276" w:lineRule="auto"/>
        <w:jc w:val="both"/>
        <w:rPr>
          <w:rFonts w:ascii="Calibri" w:hAnsi="Calibri" w:cs="Calibri"/>
          <w:b/>
          <w:bCs/>
        </w:rPr>
      </w:pPr>
      <w:r w:rsidRPr="00F77BC1">
        <w:rPr>
          <w:rFonts w:ascii="Calibri" w:hAnsi="Calibri" w:cs="Calibri"/>
          <w:b/>
          <w:bCs/>
        </w:rPr>
        <w:t>Author contributions</w:t>
      </w:r>
    </w:p>
    <w:p w14:paraId="73D6DA4A" w14:textId="77777777" w:rsidR="00E10C15" w:rsidRDefault="00E10C15" w:rsidP="00613F13">
      <w:pPr>
        <w:spacing w:line="276" w:lineRule="auto"/>
        <w:jc w:val="both"/>
        <w:rPr>
          <w:rFonts w:ascii="Calibri" w:hAnsi="Calibri" w:cs="Calibri"/>
        </w:rPr>
      </w:pPr>
    </w:p>
    <w:p w14:paraId="387EEB5A" w14:textId="4E055A24" w:rsidR="0092761E" w:rsidRDefault="00464B81" w:rsidP="00613F13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07D38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L, </w:t>
      </w:r>
      <w:r w:rsidR="00FE744F">
        <w:rPr>
          <w:rFonts w:ascii="Calibri" w:hAnsi="Calibri" w:cs="Calibri"/>
        </w:rPr>
        <w:t xml:space="preserve">JW and </w:t>
      </w:r>
      <w:r w:rsidR="00E82742">
        <w:rPr>
          <w:rFonts w:ascii="Calibri" w:hAnsi="Calibri" w:cs="Calibri"/>
        </w:rPr>
        <w:t xml:space="preserve">GJI </w:t>
      </w:r>
      <w:r w:rsidR="003D15C1">
        <w:rPr>
          <w:rFonts w:ascii="Calibri" w:hAnsi="Calibri" w:cs="Calibri"/>
        </w:rPr>
        <w:t xml:space="preserve">conceived and designed the study, and </w:t>
      </w:r>
      <w:r w:rsidR="000B4705">
        <w:rPr>
          <w:rFonts w:ascii="Calibri" w:hAnsi="Calibri" w:cs="Calibri"/>
        </w:rPr>
        <w:t>acquired the funding</w:t>
      </w:r>
      <w:r w:rsidR="00AA7B8F">
        <w:rPr>
          <w:rFonts w:ascii="Calibri" w:hAnsi="Calibri" w:cs="Calibri"/>
        </w:rPr>
        <w:t xml:space="preserve">. </w:t>
      </w:r>
      <w:r w:rsidR="006C7A8E">
        <w:rPr>
          <w:rFonts w:ascii="Calibri" w:hAnsi="Calibri" w:cs="Calibri"/>
        </w:rPr>
        <w:t xml:space="preserve">CAH, </w:t>
      </w:r>
      <w:r w:rsidR="004C403F">
        <w:rPr>
          <w:rFonts w:ascii="Calibri" w:hAnsi="Calibri" w:cs="Calibri"/>
        </w:rPr>
        <w:t xml:space="preserve">CP, </w:t>
      </w:r>
      <w:r w:rsidR="003E01E5">
        <w:rPr>
          <w:rFonts w:ascii="Calibri" w:hAnsi="Calibri" w:cs="Calibri"/>
        </w:rPr>
        <w:t xml:space="preserve">EH, </w:t>
      </w:r>
      <w:r w:rsidR="00CC6754">
        <w:rPr>
          <w:rFonts w:ascii="Calibri" w:hAnsi="Calibri" w:cs="Calibri"/>
        </w:rPr>
        <w:t xml:space="preserve">CL, </w:t>
      </w:r>
      <w:r w:rsidR="006C42B5">
        <w:rPr>
          <w:rFonts w:ascii="Calibri" w:hAnsi="Calibri" w:cs="Calibri"/>
        </w:rPr>
        <w:t xml:space="preserve">CM, </w:t>
      </w:r>
      <w:r w:rsidR="00C93710">
        <w:rPr>
          <w:rFonts w:ascii="Calibri" w:hAnsi="Calibri" w:cs="Calibri"/>
        </w:rPr>
        <w:t xml:space="preserve">JT and MJQ </w:t>
      </w:r>
      <w:r w:rsidR="001F0AB5">
        <w:rPr>
          <w:rFonts w:ascii="Calibri" w:hAnsi="Calibri" w:cs="Calibri"/>
        </w:rPr>
        <w:t xml:space="preserve">recruited the patient cohort and collected the clinical data. </w:t>
      </w:r>
      <w:r w:rsidR="00E65C8F">
        <w:rPr>
          <w:rFonts w:ascii="Calibri" w:hAnsi="Calibri" w:cs="Calibri"/>
        </w:rPr>
        <w:t xml:space="preserve">PC, WR and JM </w:t>
      </w:r>
      <w:r w:rsidR="0057286C">
        <w:rPr>
          <w:rFonts w:ascii="Calibri" w:hAnsi="Calibri" w:cs="Calibri"/>
        </w:rPr>
        <w:t xml:space="preserve">performed the </w:t>
      </w:r>
      <w:r w:rsidR="00DF5038">
        <w:rPr>
          <w:rFonts w:ascii="Calibri" w:hAnsi="Calibri" w:cs="Calibri"/>
        </w:rPr>
        <w:t xml:space="preserve">tumour grading and histology </w:t>
      </w:r>
      <w:r w:rsidR="00CE3A77">
        <w:rPr>
          <w:rFonts w:ascii="Calibri" w:hAnsi="Calibri" w:cs="Calibri"/>
        </w:rPr>
        <w:t xml:space="preserve">analysis. </w:t>
      </w:r>
      <w:r w:rsidR="00106347">
        <w:rPr>
          <w:rFonts w:ascii="Calibri" w:hAnsi="Calibri" w:cs="Calibri"/>
        </w:rPr>
        <w:t xml:space="preserve">EB, </w:t>
      </w:r>
      <w:r w:rsidR="00371E69">
        <w:rPr>
          <w:rFonts w:ascii="Calibri" w:hAnsi="Calibri" w:cs="Calibri"/>
        </w:rPr>
        <w:t xml:space="preserve">JW, </w:t>
      </w:r>
      <w:r w:rsidR="000F4F56">
        <w:rPr>
          <w:rFonts w:ascii="Calibri" w:hAnsi="Calibri" w:cs="Calibri"/>
        </w:rPr>
        <w:t xml:space="preserve">FBC and CAA performed the </w:t>
      </w:r>
      <w:r w:rsidR="00921746">
        <w:rPr>
          <w:rFonts w:ascii="Calibri" w:hAnsi="Calibri" w:cs="Calibri"/>
        </w:rPr>
        <w:t xml:space="preserve">bioinformatics and machine learning </w:t>
      </w:r>
      <w:r w:rsidR="004C59B5">
        <w:rPr>
          <w:rFonts w:ascii="Calibri" w:hAnsi="Calibri" w:cs="Calibri"/>
        </w:rPr>
        <w:t xml:space="preserve">data </w:t>
      </w:r>
      <w:r w:rsidR="00921746">
        <w:rPr>
          <w:rFonts w:ascii="Calibri" w:hAnsi="Calibri" w:cs="Calibri"/>
        </w:rPr>
        <w:t>analysis.</w:t>
      </w:r>
      <w:r w:rsidR="007F7108">
        <w:rPr>
          <w:rFonts w:ascii="Calibri" w:hAnsi="Calibri" w:cs="Calibri"/>
        </w:rPr>
        <w:t xml:space="preserve"> </w:t>
      </w:r>
      <w:r w:rsidR="003D20FC">
        <w:rPr>
          <w:rFonts w:ascii="Calibri" w:hAnsi="Calibri" w:cs="Calibri"/>
        </w:rPr>
        <w:t xml:space="preserve">CN, </w:t>
      </w:r>
      <w:r w:rsidR="00604EFB">
        <w:rPr>
          <w:rFonts w:ascii="Calibri" w:hAnsi="Calibri" w:cs="Calibri"/>
        </w:rPr>
        <w:t>CS and MTT performed the</w:t>
      </w:r>
      <w:r w:rsidR="00B51285">
        <w:rPr>
          <w:rFonts w:ascii="Calibri" w:hAnsi="Calibri" w:cs="Calibri"/>
        </w:rPr>
        <w:t xml:space="preserve"> </w:t>
      </w:r>
      <w:proofErr w:type="spellStart"/>
      <w:r w:rsidR="009D599B">
        <w:rPr>
          <w:rFonts w:ascii="Calibri" w:hAnsi="Calibri" w:cs="Calibri"/>
        </w:rPr>
        <w:t>TempO-seq</w:t>
      </w:r>
      <w:proofErr w:type="spellEnd"/>
      <w:r w:rsidR="009D599B">
        <w:rPr>
          <w:rFonts w:ascii="Calibri" w:hAnsi="Calibri" w:cs="Calibri"/>
        </w:rPr>
        <w:t xml:space="preserve"> </w:t>
      </w:r>
      <w:r w:rsidR="00765A6D">
        <w:rPr>
          <w:rFonts w:ascii="Calibri" w:hAnsi="Calibri" w:cs="Calibri"/>
        </w:rPr>
        <w:t>experiment</w:t>
      </w:r>
      <w:r w:rsidR="00DD341A">
        <w:rPr>
          <w:rFonts w:ascii="Calibri" w:hAnsi="Calibri" w:cs="Calibri"/>
        </w:rPr>
        <w:t xml:space="preserve">. </w:t>
      </w:r>
      <w:r w:rsidR="005D5EA7">
        <w:rPr>
          <w:rFonts w:ascii="Calibri" w:hAnsi="Calibri" w:cs="Calibri"/>
        </w:rPr>
        <w:t>JW, I</w:t>
      </w:r>
      <w:r w:rsidR="00716B27">
        <w:rPr>
          <w:rFonts w:ascii="Calibri" w:hAnsi="Calibri" w:cs="Calibri"/>
        </w:rPr>
        <w:t>M</w:t>
      </w:r>
      <w:r w:rsidR="005D5EA7">
        <w:rPr>
          <w:rFonts w:ascii="Calibri" w:hAnsi="Calibri" w:cs="Calibri"/>
        </w:rPr>
        <w:t xml:space="preserve">L, </w:t>
      </w:r>
      <w:r w:rsidR="000F32EA">
        <w:rPr>
          <w:rFonts w:ascii="Calibri" w:hAnsi="Calibri" w:cs="Calibri"/>
        </w:rPr>
        <w:t xml:space="preserve">GJI </w:t>
      </w:r>
      <w:r w:rsidR="005D5EA7">
        <w:rPr>
          <w:rFonts w:ascii="Calibri" w:hAnsi="Calibri" w:cs="Calibri"/>
        </w:rPr>
        <w:t>and</w:t>
      </w:r>
      <w:r w:rsidR="00862B7C">
        <w:rPr>
          <w:rFonts w:ascii="Calibri" w:hAnsi="Calibri" w:cs="Calibri"/>
        </w:rPr>
        <w:t xml:space="preserve"> CAH</w:t>
      </w:r>
      <w:r w:rsidR="005D5EA7">
        <w:rPr>
          <w:rFonts w:ascii="Calibri" w:hAnsi="Calibri" w:cs="Calibri"/>
        </w:rPr>
        <w:t xml:space="preserve"> </w:t>
      </w:r>
      <w:r w:rsidR="001A1B82">
        <w:rPr>
          <w:rFonts w:ascii="Calibri" w:hAnsi="Calibri" w:cs="Calibri"/>
        </w:rPr>
        <w:t>supervised the study,</w:t>
      </w:r>
      <w:r w:rsidR="005D5EA7">
        <w:rPr>
          <w:rFonts w:ascii="Calibri" w:hAnsi="Calibri" w:cs="Calibri"/>
        </w:rPr>
        <w:t xml:space="preserve"> </w:t>
      </w:r>
      <w:r w:rsidR="009655DB">
        <w:rPr>
          <w:rFonts w:ascii="Calibri" w:hAnsi="Calibri" w:cs="Calibri"/>
        </w:rPr>
        <w:t>analysed and interpreted the data</w:t>
      </w:r>
      <w:r w:rsidR="00724003">
        <w:rPr>
          <w:rFonts w:ascii="Calibri" w:hAnsi="Calibri" w:cs="Calibri"/>
        </w:rPr>
        <w:t xml:space="preserve">, </w:t>
      </w:r>
      <w:r w:rsidR="00596AFD">
        <w:rPr>
          <w:rFonts w:ascii="Calibri" w:hAnsi="Calibri" w:cs="Calibri"/>
        </w:rPr>
        <w:t xml:space="preserve">and </w:t>
      </w:r>
      <w:r w:rsidR="00B41E39">
        <w:rPr>
          <w:rFonts w:ascii="Calibri" w:hAnsi="Calibri" w:cs="Calibri"/>
        </w:rPr>
        <w:t>drafted the manuscript.</w:t>
      </w:r>
      <w:r w:rsidR="00F36CC5">
        <w:rPr>
          <w:rFonts w:ascii="Calibri" w:hAnsi="Calibri" w:cs="Calibri"/>
        </w:rPr>
        <w:t xml:space="preserve"> </w:t>
      </w:r>
      <w:r w:rsidR="009D2104">
        <w:rPr>
          <w:rFonts w:ascii="Calibri" w:hAnsi="Calibri" w:cs="Calibri"/>
        </w:rPr>
        <w:t xml:space="preserve">All authors </w:t>
      </w:r>
      <w:r w:rsidR="002E477F">
        <w:rPr>
          <w:rFonts w:ascii="Calibri" w:hAnsi="Calibri" w:cs="Calibri"/>
        </w:rPr>
        <w:t xml:space="preserve">critically revised the manuscript and </w:t>
      </w:r>
      <w:r w:rsidR="00DE166B">
        <w:rPr>
          <w:rFonts w:ascii="Calibri" w:hAnsi="Calibri" w:cs="Calibri"/>
        </w:rPr>
        <w:t>approved the final version to be submitted.</w:t>
      </w:r>
    </w:p>
    <w:p w14:paraId="3FF841D0" w14:textId="77777777" w:rsidR="0092761E" w:rsidRDefault="0092761E" w:rsidP="00613F13">
      <w:pPr>
        <w:spacing w:line="276" w:lineRule="auto"/>
        <w:jc w:val="both"/>
        <w:rPr>
          <w:rFonts w:ascii="Calibri" w:hAnsi="Calibri" w:cs="Calibri"/>
        </w:rPr>
      </w:pPr>
    </w:p>
    <w:p w14:paraId="3A79B53B" w14:textId="7817B143" w:rsidR="00E10C15" w:rsidRPr="00613F13" w:rsidRDefault="00B41E39" w:rsidP="00613F13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3688554" w14:textId="77777777" w:rsidR="0015714E" w:rsidRPr="00817053" w:rsidRDefault="0015714E" w:rsidP="0015714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n-GB"/>
        </w:rPr>
      </w:pPr>
      <w:r w:rsidRPr="00817053">
        <w:rPr>
          <w:rFonts w:eastAsia="Times New Roman" w:cstheme="minorHAnsi"/>
          <w:b/>
          <w:bCs/>
          <w:lang w:eastAsia="en-GB"/>
        </w:rPr>
        <w:t>Acknowledgements</w:t>
      </w:r>
    </w:p>
    <w:p w14:paraId="6BCFD356" w14:textId="43112482" w:rsidR="0015714E" w:rsidRPr="00523A0F" w:rsidRDefault="0015714E" w:rsidP="0015714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JW, EB, FBC and CAA acknowledge support from </w:t>
      </w:r>
      <w:r w:rsidRPr="00DE0CB0">
        <w:rPr>
          <w:rFonts w:eastAsia="Times New Roman" w:cstheme="minorHAnsi"/>
          <w:lang w:eastAsia="en-GB"/>
        </w:rPr>
        <w:t>Cancer Research UK</w:t>
      </w:r>
      <w:r>
        <w:rPr>
          <w:rFonts w:eastAsia="Times New Roman" w:cstheme="minorHAnsi"/>
          <w:lang w:eastAsia="en-GB"/>
        </w:rPr>
        <w:t xml:space="preserve"> City of London Major Centre core funding support to Barts Cancer Institute </w:t>
      </w:r>
      <w:r w:rsidRPr="002770F7">
        <w:rPr>
          <w:rFonts w:eastAsia="Times New Roman" w:cstheme="minorHAnsi"/>
          <w:lang w:eastAsia="en-GB"/>
        </w:rPr>
        <w:t>(C16420/A18066)</w:t>
      </w:r>
      <w:r>
        <w:rPr>
          <w:rFonts w:eastAsia="Times New Roman" w:cstheme="minorHAnsi"/>
          <w:lang w:eastAsia="en-GB"/>
        </w:rPr>
        <w:t>. JW, CH, EB and I</w:t>
      </w:r>
      <w:r w:rsidR="009319C0">
        <w:rPr>
          <w:rFonts w:eastAsia="Times New Roman" w:cstheme="minorHAnsi"/>
          <w:lang w:eastAsia="en-GB"/>
        </w:rPr>
        <w:t>M</w:t>
      </w:r>
      <w:r>
        <w:rPr>
          <w:rFonts w:eastAsia="Times New Roman" w:cstheme="minorHAnsi"/>
          <w:lang w:eastAsia="en-GB"/>
        </w:rPr>
        <w:t>L also acknowledge funding support from The Barts Charity Strategic Award of Barts Centre and Squamous Cancer (MGU0603).</w:t>
      </w:r>
      <w:r w:rsidR="00791D18" w:rsidRPr="00791D18">
        <w:rPr>
          <w:rFonts w:eastAsia="Times New Roman" w:cstheme="minorHAnsi"/>
          <w:lang w:eastAsia="en-GB"/>
        </w:rPr>
        <w:t xml:space="preserve"> </w:t>
      </w:r>
      <w:r w:rsidR="009B0486">
        <w:rPr>
          <w:rFonts w:eastAsia="Times New Roman" w:cstheme="minorHAnsi"/>
          <w:lang w:eastAsia="en-GB"/>
        </w:rPr>
        <w:t xml:space="preserve">JW also acknowledges support from </w:t>
      </w:r>
      <w:r w:rsidR="001832C9" w:rsidRPr="001832C9">
        <w:rPr>
          <w:rFonts w:eastAsia="Times New Roman" w:cstheme="minorHAnsi"/>
          <w:lang w:eastAsia="en-GB"/>
        </w:rPr>
        <w:t>Cancer Research UK (C355/A26819) and FC AECC and AIRC under the Accelerator Award Program</w:t>
      </w:r>
      <w:r w:rsidR="004A2778">
        <w:rPr>
          <w:rFonts w:eastAsia="Times New Roman" w:cstheme="minorHAnsi"/>
          <w:lang w:eastAsia="en-GB"/>
        </w:rPr>
        <w:t xml:space="preserve">, </w:t>
      </w:r>
      <w:r w:rsidR="00911127">
        <w:rPr>
          <w:rFonts w:eastAsia="Times New Roman" w:cstheme="minorHAnsi"/>
          <w:lang w:eastAsia="en-GB"/>
        </w:rPr>
        <w:t xml:space="preserve">and </w:t>
      </w:r>
      <w:r w:rsidR="004A2778" w:rsidRPr="004A2778">
        <w:rPr>
          <w:rFonts w:eastAsia="Times New Roman" w:cstheme="minorHAnsi"/>
          <w:lang w:eastAsia="en-GB"/>
        </w:rPr>
        <w:t>support from the Academy of Medical Sciences Springboard Award (SBF003\1025)</w:t>
      </w:r>
      <w:r w:rsidR="00DB50B6">
        <w:rPr>
          <w:rFonts w:eastAsia="Times New Roman" w:cstheme="minorHAnsi"/>
          <w:lang w:eastAsia="en-GB"/>
        </w:rPr>
        <w:t>.</w:t>
      </w:r>
      <w:r w:rsidR="00C7312B">
        <w:rPr>
          <w:rFonts w:eastAsia="Times New Roman" w:cstheme="minorHAnsi"/>
          <w:lang w:eastAsia="en-GB"/>
        </w:rPr>
        <w:t xml:space="preserve"> </w:t>
      </w:r>
      <w:r w:rsidR="00791D18">
        <w:rPr>
          <w:rFonts w:eastAsia="Times New Roman" w:cstheme="minorHAnsi"/>
          <w:lang w:eastAsia="en-GB"/>
        </w:rPr>
        <w:t xml:space="preserve">CN, CS, MTT and GJI acknowledge support from Cancer Research UK (A29802) and MTT is funded by a Cancer Research UK-Funded TRACC PhD studentship. </w:t>
      </w:r>
      <w:r w:rsidR="00A955A3">
        <w:rPr>
          <w:rFonts w:eastAsia="Times New Roman" w:cstheme="minorHAnsi"/>
          <w:lang w:eastAsia="en-GB"/>
        </w:rPr>
        <w:t xml:space="preserve">CL is funded by </w:t>
      </w:r>
      <w:r w:rsidR="0090091D">
        <w:rPr>
          <w:rFonts w:eastAsia="Times New Roman" w:cstheme="minorHAnsi"/>
          <w:lang w:eastAsia="en-GB"/>
        </w:rPr>
        <w:t xml:space="preserve">the </w:t>
      </w:r>
      <w:r w:rsidR="00A955A3">
        <w:rPr>
          <w:rFonts w:eastAsia="Times New Roman" w:cstheme="minorHAnsi"/>
          <w:lang w:eastAsia="en-GB"/>
        </w:rPr>
        <w:t>MRC</w:t>
      </w:r>
      <w:r w:rsidR="005D6934">
        <w:rPr>
          <w:rFonts w:eastAsia="Times New Roman" w:cstheme="minorHAnsi"/>
          <w:lang w:eastAsia="en-GB"/>
        </w:rPr>
        <w:t xml:space="preserve"> </w:t>
      </w:r>
      <w:r w:rsidR="005D6934" w:rsidRPr="005D6934">
        <w:rPr>
          <w:rFonts w:eastAsia="Times New Roman" w:cstheme="minorHAnsi"/>
          <w:lang w:eastAsia="en-GB"/>
        </w:rPr>
        <w:t>Clinical Academic Research Partnerships (CARP)</w:t>
      </w:r>
      <w:r w:rsidR="00E94248">
        <w:rPr>
          <w:rFonts w:eastAsia="Times New Roman" w:cstheme="minorHAnsi"/>
          <w:lang w:eastAsia="en-GB"/>
        </w:rPr>
        <w:t>.</w:t>
      </w:r>
    </w:p>
    <w:p w14:paraId="2D3B7AF2" w14:textId="22ACA750" w:rsidR="00950E9D" w:rsidRDefault="00950E9D" w:rsidP="00E0400B">
      <w:pPr>
        <w:spacing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549B75E9" w14:textId="77777777" w:rsidR="008D6E24" w:rsidRDefault="008D6E24" w:rsidP="00E0400B">
      <w:pPr>
        <w:spacing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385383AC" w14:textId="78683545" w:rsidR="00A1562E" w:rsidRDefault="009F78DA" w:rsidP="00090916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lang w:eastAsia="en-GB"/>
        </w:rPr>
      </w:pPr>
      <w:r w:rsidRPr="00817053">
        <w:rPr>
          <w:rFonts w:eastAsia="Times New Roman" w:cstheme="minorHAnsi"/>
          <w:b/>
          <w:bCs/>
          <w:lang w:eastAsia="en-GB"/>
        </w:rPr>
        <w:lastRenderedPageBreak/>
        <w:t>References</w:t>
      </w:r>
    </w:p>
    <w:p w14:paraId="54022B4E" w14:textId="77777777" w:rsidR="00822CC5" w:rsidRPr="00FE4019" w:rsidRDefault="00A25C8F" w:rsidP="00822CC5">
      <w:pPr>
        <w:pStyle w:val="CommentText"/>
        <w:jc w:val="both"/>
        <w:rPr>
          <w:rFonts w:asciiTheme="majorHAnsi" w:hAnsiTheme="majorHAnsi" w:cstheme="majorHAnsi"/>
          <w:sz w:val="24"/>
          <w:szCs w:val="24"/>
        </w:rPr>
      </w:pPr>
      <w:r w:rsidRPr="00FE4019">
        <w:rPr>
          <w:rFonts w:asciiTheme="majorHAnsi" w:hAnsiTheme="majorHAnsi" w:cstheme="majorHAnsi"/>
          <w:sz w:val="24"/>
          <w:szCs w:val="24"/>
        </w:rPr>
        <w:t>1.</w:t>
      </w:r>
      <w:r w:rsidR="00E71C15" w:rsidRPr="00FE4019">
        <w:rPr>
          <w:rFonts w:asciiTheme="majorHAnsi" w:hAnsiTheme="majorHAnsi" w:cstheme="majorHAnsi"/>
          <w:sz w:val="24"/>
          <w:szCs w:val="24"/>
        </w:rPr>
        <w:t xml:space="preserve"> </w:t>
      </w:r>
      <w:r w:rsidR="00822CC5" w:rsidRPr="00FE4019">
        <w:rPr>
          <w:rFonts w:asciiTheme="majorHAnsi" w:hAnsiTheme="majorHAnsi" w:cstheme="majorHAnsi"/>
          <w:sz w:val="24"/>
          <w:szCs w:val="24"/>
        </w:rPr>
        <w:t xml:space="preserve">Venables ZC, </w:t>
      </w:r>
      <w:proofErr w:type="spellStart"/>
      <w:r w:rsidR="00822CC5" w:rsidRPr="00FE4019">
        <w:rPr>
          <w:rFonts w:asciiTheme="majorHAnsi" w:hAnsiTheme="majorHAnsi" w:cstheme="majorHAnsi"/>
          <w:sz w:val="24"/>
          <w:szCs w:val="24"/>
        </w:rPr>
        <w:t>Nijsten</w:t>
      </w:r>
      <w:proofErr w:type="spellEnd"/>
      <w:r w:rsidR="00822CC5" w:rsidRPr="00FE4019">
        <w:rPr>
          <w:rFonts w:asciiTheme="majorHAnsi" w:hAnsiTheme="majorHAnsi" w:cstheme="majorHAnsi"/>
          <w:sz w:val="24"/>
          <w:szCs w:val="24"/>
        </w:rPr>
        <w:t xml:space="preserve"> T, Wong KF, </w:t>
      </w:r>
      <w:proofErr w:type="spellStart"/>
      <w:r w:rsidR="00822CC5" w:rsidRPr="00FE4019">
        <w:rPr>
          <w:rFonts w:asciiTheme="majorHAnsi" w:hAnsiTheme="majorHAnsi" w:cstheme="majorHAnsi"/>
          <w:sz w:val="24"/>
          <w:szCs w:val="24"/>
        </w:rPr>
        <w:t>Autier</w:t>
      </w:r>
      <w:proofErr w:type="spellEnd"/>
      <w:r w:rsidR="00822CC5" w:rsidRPr="00FE4019">
        <w:rPr>
          <w:rFonts w:asciiTheme="majorHAnsi" w:hAnsiTheme="majorHAnsi" w:cstheme="majorHAnsi"/>
          <w:sz w:val="24"/>
          <w:szCs w:val="24"/>
        </w:rPr>
        <w:t xml:space="preserve"> P, </w:t>
      </w:r>
      <w:proofErr w:type="spellStart"/>
      <w:r w:rsidR="00822CC5" w:rsidRPr="00FE4019">
        <w:rPr>
          <w:rFonts w:asciiTheme="majorHAnsi" w:hAnsiTheme="majorHAnsi" w:cstheme="majorHAnsi"/>
          <w:sz w:val="24"/>
          <w:szCs w:val="24"/>
        </w:rPr>
        <w:t>Broggio</w:t>
      </w:r>
      <w:proofErr w:type="spellEnd"/>
      <w:r w:rsidR="00822CC5" w:rsidRPr="00FE4019">
        <w:rPr>
          <w:rFonts w:asciiTheme="majorHAnsi" w:hAnsiTheme="majorHAnsi" w:cstheme="majorHAnsi"/>
          <w:sz w:val="24"/>
          <w:szCs w:val="24"/>
        </w:rPr>
        <w:t xml:space="preserve"> J, Deas A, Harwood CA, </w:t>
      </w:r>
      <w:proofErr w:type="spellStart"/>
      <w:r w:rsidR="00822CC5" w:rsidRPr="00FE4019">
        <w:rPr>
          <w:rFonts w:asciiTheme="majorHAnsi" w:hAnsiTheme="majorHAnsi" w:cstheme="majorHAnsi"/>
          <w:sz w:val="24"/>
          <w:szCs w:val="24"/>
        </w:rPr>
        <w:t>Hollestein</w:t>
      </w:r>
      <w:proofErr w:type="spellEnd"/>
      <w:r w:rsidR="00822CC5" w:rsidRPr="00FE4019">
        <w:rPr>
          <w:rFonts w:asciiTheme="majorHAnsi" w:hAnsiTheme="majorHAnsi" w:cstheme="majorHAnsi"/>
          <w:sz w:val="24"/>
          <w:szCs w:val="24"/>
        </w:rPr>
        <w:t xml:space="preserve"> LM, </w:t>
      </w:r>
      <w:proofErr w:type="spellStart"/>
      <w:r w:rsidR="00822CC5" w:rsidRPr="00FE4019">
        <w:rPr>
          <w:rFonts w:asciiTheme="majorHAnsi" w:hAnsiTheme="majorHAnsi" w:cstheme="majorHAnsi"/>
          <w:sz w:val="24"/>
          <w:szCs w:val="24"/>
        </w:rPr>
        <w:t>Langan</w:t>
      </w:r>
      <w:proofErr w:type="spellEnd"/>
      <w:r w:rsidR="00822CC5" w:rsidRPr="00FE4019">
        <w:rPr>
          <w:rFonts w:asciiTheme="majorHAnsi" w:hAnsiTheme="majorHAnsi" w:cstheme="majorHAnsi"/>
          <w:sz w:val="24"/>
          <w:szCs w:val="24"/>
        </w:rPr>
        <w:t xml:space="preserve"> SM, Morgan E, </w:t>
      </w:r>
      <w:proofErr w:type="spellStart"/>
      <w:r w:rsidR="00822CC5" w:rsidRPr="00FE4019">
        <w:rPr>
          <w:rFonts w:asciiTheme="majorHAnsi" w:hAnsiTheme="majorHAnsi" w:cstheme="majorHAnsi"/>
          <w:sz w:val="24"/>
          <w:szCs w:val="24"/>
        </w:rPr>
        <w:t>Proby</w:t>
      </w:r>
      <w:proofErr w:type="spellEnd"/>
      <w:r w:rsidR="00822CC5" w:rsidRPr="00FE4019">
        <w:rPr>
          <w:rFonts w:asciiTheme="majorHAnsi" w:hAnsiTheme="majorHAnsi" w:cstheme="majorHAnsi"/>
          <w:sz w:val="24"/>
          <w:szCs w:val="24"/>
        </w:rPr>
        <w:t xml:space="preserve"> CM, </w:t>
      </w:r>
      <w:proofErr w:type="spellStart"/>
      <w:r w:rsidR="00822CC5" w:rsidRPr="00FE4019">
        <w:rPr>
          <w:rFonts w:asciiTheme="majorHAnsi" w:hAnsiTheme="majorHAnsi" w:cstheme="majorHAnsi"/>
          <w:sz w:val="24"/>
          <w:szCs w:val="24"/>
        </w:rPr>
        <w:t>Rashbass</w:t>
      </w:r>
      <w:proofErr w:type="spellEnd"/>
      <w:r w:rsidR="00822CC5" w:rsidRPr="00FE4019">
        <w:rPr>
          <w:rFonts w:asciiTheme="majorHAnsi" w:hAnsiTheme="majorHAnsi" w:cstheme="majorHAnsi"/>
          <w:sz w:val="24"/>
          <w:szCs w:val="24"/>
        </w:rPr>
        <w:t xml:space="preserve"> J, Leigh IM. Epidemiology of basal and cutaneous squamous cell carcinoma in the U.K. 2013-15: a cohort study. Br J Dermatol. 2019 Sep;181(3):474-482. </w:t>
      </w:r>
    </w:p>
    <w:p w14:paraId="3D3B2229" w14:textId="6FC6A5BD" w:rsidR="00A25C8F" w:rsidRDefault="00A25C8F" w:rsidP="00B353BF">
      <w:pPr>
        <w:pStyle w:val="CommentText"/>
        <w:jc w:val="both"/>
        <w:rPr>
          <w:rFonts w:asciiTheme="majorHAnsi" w:hAnsiTheme="majorHAnsi" w:cstheme="majorHAnsi"/>
          <w:sz w:val="24"/>
          <w:szCs w:val="24"/>
        </w:rPr>
      </w:pPr>
      <w:r w:rsidRPr="00FE4019">
        <w:rPr>
          <w:rFonts w:asciiTheme="majorHAnsi" w:hAnsiTheme="majorHAnsi" w:cstheme="majorHAnsi"/>
          <w:sz w:val="24"/>
          <w:szCs w:val="24"/>
        </w:rPr>
        <w:t>2.</w:t>
      </w:r>
      <w:r w:rsidR="00E71C15" w:rsidRPr="00FE4019">
        <w:rPr>
          <w:rFonts w:asciiTheme="majorHAnsi" w:hAnsiTheme="majorHAnsi" w:cstheme="majorHAnsi"/>
          <w:sz w:val="24"/>
          <w:szCs w:val="24"/>
        </w:rPr>
        <w:t xml:space="preserve"> </w:t>
      </w:r>
      <w:r w:rsidR="00B353BF" w:rsidRPr="00FE4019">
        <w:rPr>
          <w:rFonts w:asciiTheme="majorHAnsi" w:hAnsiTheme="majorHAnsi" w:cstheme="majorHAnsi"/>
          <w:sz w:val="24"/>
          <w:szCs w:val="24"/>
        </w:rPr>
        <w:t xml:space="preserve">Venables ZC, </w:t>
      </w:r>
      <w:proofErr w:type="spellStart"/>
      <w:r w:rsidR="00B353BF" w:rsidRPr="00FE4019">
        <w:rPr>
          <w:rFonts w:asciiTheme="majorHAnsi" w:hAnsiTheme="majorHAnsi" w:cstheme="majorHAnsi"/>
          <w:sz w:val="24"/>
          <w:szCs w:val="24"/>
        </w:rPr>
        <w:t>Autier</w:t>
      </w:r>
      <w:proofErr w:type="spellEnd"/>
      <w:r w:rsidR="00B353BF" w:rsidRPr="00FE4019">
        <w:rPr>
          <w:rFonts w:asciiTheme="majorHAnsi" w:hAnsiTheme="majorHAnsi" w:cstheme="majorHAnsi"/>
          <w:sz w:val="24"/>
          <w:szCs w:val="24"/>
        </w:rPr>
        <w:t xml:space="preserve"> P, </w:t>
      </w:r>
      <w:proofErr w:type="spellStart"/>
      <w:r w:rsidR="00B353BF" w:rsidRPr="00FE4019">
        <w:rPr>
          <w:rFonts w:asciiTheme="majorHAnsi" w:hAnsiTheme="majorHAnsi" w:cstheme="majorHAnsi"/>
          <w:sz w:val="24"/>
          <w:szCs w:val="24"/>
        </w:rPr>
        <w:t>Nijsten</w:t>
      </w:r>
      <w:proofErr w:type="spellEnd"/>
      <w:r w:rsidR="00B353BF" w:rsidRPr="00FE4019">
        <w:rPr>
          <w:rFonts w:asciiTheme="majorHAnsi" w:hAnsiTheme="majorHAnsi" w:cstheme="majorHAnsi"/>
          <w:sz w:val="24"/>
          <w:szCs w:val="24"/>
        </w:rPr>
        <w:t xml:space="preserve"> T, Wong KF, </w:t>
      </w:r>
      <w:proofErr w:type="spellStart"/>
      <w:r w:rsidR="00B353BF" w:rsidRPr="00FE4019">
        <w:rPr>
          <w:rFonts w:asciiTheme="majorHAnsi" w:hAnsiTheme="majorHAnsi" w:cstheme="majorHAnsi"/>
          <w:sz w:val="24"/>
          <w:szCs w:val="24"/>
        </w:rPr>
        <w:t>Langan</w:t>
      </w:r>
      <w:proofErr w:type="spellEnd"/>
      <w:r w:rsidR="00B353BF" w:rsidRPr="00FE4019">
        <w:rPr>
          <w:rFonts w:asciiTheme="majorHAnsi" w:hAnsiTheme="majorHAnsi" w:cstheme="majorHAnsi"/>
          <w:sz w:val="24"/>
          <w:szCs w:val="24"/>
        </w:rPr>
        <w:t xml:space="preserve"> SM, Rous B, </w:t>
      </w:r>
      <w:proofErr w:type="spellStart"/>
      <w:r w:rsidR="00B353BF" w:rsidRPr="00FE4019">
        <w:rPr>
          <w:rFonts w:asciiTheme="majorHAnsi" w:hAnsiTheme="majorHAnsi" w:cstheme="majorHAnsi"/>
          <w:sz w:val="24"/>
          <w:szCs w:val="24"/>
        </w:rPr>
        <w:t>Broggio</w:t>
      </w:r>
      <w:proofErr w:type="spellEnd"/>
      <w:r w:rsidR="00B353BF" w:rsidRPr="00FE4019">
        <w:rPr>
          <w:rFonts w:asciiTheme="majorHAnsi" w:hAnsiTheme="majorHAnsi" w:cstheme="majorHAnsi"/>
          <w:sz w:val="24"/>
          <w:szCs w:val="24"/>
        </w:rPr>
        <w:t xml:space="preserve"> J, Harwood C, Henson K, </w:t>
      </w:r>
      <w:proofErr w:type="spellStart"/>
      <w:r w:rsidR="00B353BF" w:rsidRPr="00FE4019">
        <w:rPr>
          <w:rFonts w:asciiTheme="majorHAnsi" w:hAnsiTheme="majorHAnsi" w:cstheme="majorHAnsi"/>
          <w:sz w:val="24"/>
          <w:szCs w:val="24"/>
        </w:rPr>
        <w:t>Proby</w:t>
      </w:r>
      <w:proofErr w:type="spellEnd"/>
      <w:r w:rsidR="00B353BF" w:rsidRPr="00FE4019">
        <w:rPr>
          <w:rFonts w:asciiTheme="majorHAnsi" w:hAnsiTheme="majorHAnsi" w:cstheme="majorHAnsi"/>
          <w:sz w:val="24"/>
          <w:szCs w:val="24"/>
        </w:rPr>
        <w:t xml:space="preserve"> CM, </w:t>
      </w:r>
      <w:proofErr w:type="spellStart"/>
      <w:r w:rsidR="00B353BF" w:rsidRPr="00FE4019">
        <w:rPr>
          <w:rFonts w:asciiTheme="majorHAnsi" w:hAnsiTheme="majorHAnsi" w:cstheme="majorHAnsi"/>
          <w:sz w:val="24"/>
          <w:szCs w:val="24"/>
        </w:rPr>
        <w:t>Rashbass</w:t>
      </w:r>
      <w:proofErr w:type="spellEnd"/>
      <w:r w:rsidR="00B353BF" w:rsidRPr="00FE4019">
        <w:rPr>
          <w:rFonts w:asciiTheme="majorHAnsi" w:hAnsiTheme="majorHAnsi" w:cstheme="majorHAnsi"/>
          <w:sz w:val="24"/>
          <w:szCs w:val="24"/>
        </w:rPr>
        <w:t xml:space="preserve"> J, Leigh IM. Nationwide Incidence of Metastatic Cutaneous Squamous Cell Carcinoma in England. JAMA Dermatol. 2019 Mar 1;155(3):298-306.</w:t>
      </w:r>
    </w:p>
    <w:p w14:paraId="2E64EF3B" w14:textId="77777777" w:rsidR="00E97A15" w:rsidRDefault="00E97A15" w:rsidP="00E97A15">
      <w:pPr>
        <w:jc w:val="both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780F9C">
        <w:rPr>
          <w:rFonts w:asciiTheme="majorHAnsi" w:hAnsiTheme="majorHAnsi" w:cstheme="majorHAnsi"/>
        </w:rPr>
        <w:t xml:space="preserve">3. </w:t>
      </w:r>
      <w:proofErr w:type="spellStart"/>
      <w:r w:rsidRPr="00780F9C">
        <w:rPr>
          <w:rFonts w:asciiTheme="majorHAnsi" w:hAnsiTheme="majorHAnsi" w:cstheme="majorHAnsi"/>
          <w:color w:val="000000" w:themeColor="text1"/>
          <w:shd w:val="clear" w:color="auto" w:fill="FFFFFF"/>
        </w:rPr>
        <w:t>Kwiatkowska</w:t>
      </w:r>
      <w:proofErr w:type="spellEnd"/>
      <w:r w:rsidRPr="00780F9C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M, Ahmed S, Ardern-Jones MR, Bhatti LA, </w:t>
      </w:r>
      <w:proofErr w:type="spellStart"/>
      <w:r w:rsidRPr="00780F9C">
        <w:rPr>
          <w:rFonts w:asciiTheme="majorHAnsi" w:hAnsiTheme="majorHAnsi" w:cstheme="majorHAnsi"/>
          <w:color w:val="000000" w:themeColor="text1"/>
          <w:shd w:val="clear" w:color="auto" w:fill="FFFFFF"/>
        </w:rPr>
        <w:t>Bleiker</w:t>
      </w:r>
      <w:proofErr w:type="spellEnd"/>
      <w:r w:rsidRPr="00780F9C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TO, Gavin A, Hussain S, Huws DW, Irvine L, </w:t>
      </w:r>
      <w:proofErr w:type="spellStart"/>
      <w:r w:rsidRPr="00780F9C">
        <w:rPr>
          <w:rFonts w:asciiTheme="majorHAnsi" w:hAnsiTheme="majorHAnsi" w:cstheme="majorHAnsi"/>
          <w:color w:val="000000" w:themeColor="text1"/>
          <w:shd w:val="clear" w:color="auto" w:fill="FFFFFF"/>
        </w:rPr>
        <w:t>Langan</w:t>
      </w:r>
      <w:proofErr w:type="spellEnd"/>
      <w:r w:rsidRPr="00780F9C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SM, Millington GWM, Mitchell H, Murphy R, Paley L, </w:t>
      </w:r>
      <w:proofErr w:type="spellStart"/>
      <w:r w:rsidRPr="00780F9C">
        <w:rPr>
          <w:rFonts w:asciiTheme="majorHAnsi" w:hAnsiTheme="majorHAnsi" w:cstheme="majorHAnsi"/>
          <w:color w:val="000000" w:themeColor="text1"/>
          <w:shd w:val="clear" w:color="auto" w:fill="FFFFFF"/>
        </w:rPr>
        <w:t>Proby</w:t>
      </w:r>
      <w:proofErr w:type="spellEnd"/>
      <w:r w:rsidRPr="00780F9C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CM, Thomson CS, Thomas R, Turner C, Vernon S, Venables ZC.  A summary of the updated report on the incidence and epidemiological trends of keratinocyte cancers in the UK 2013-2018.</w:t>
      </w:r>
      <w:r w:rsidRPr="00780F9C">
        <w:rPr>
          <w:rFonts w:asciiTheme="majorHAnsi" w:hAnsiTheme="majorHAnsi" w:cstheme="majorHAnsi"/>
          <w:color w:val="000000" w:themeColor="text1"/>
        </w:rPr>
        <w:t xml:space="preserve"> </w:t>
      </w:r>
      <w:r w:rsidRPr="00780F9C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Br J Dermatol. 2022 Feb;186(2):367-369. </w:t>
      </w:r>
    </w:p>
    <w:p w14:paraId="713A852B" w14:textId="77777777" w:rsidR="00E97A15" w:rsidRDefault="00E97A15" w:rsidP="00E97A15">
      <w:pPr>
        <w:jc w:val="both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1B87996" w14:textId="1BBCA9AC" w:rsidR="00E97A15" w:rsidRDefault="00E97A15" w:rsidP="000B3826">
      <w:pPr>
        <w:jc w:val="both"/>
        <w:rPr>
          <w:rFonts w:asciiTheme="majorHAnsi" w:hAnsiTheme="majorHAnsi" w:cstheme="majorHAnsi"/>
          <w:color w:val="000000" w:themeColor="text1"/>
          <w:u w:val="single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4. Detailed statistics from the Get Data Out (&gt;Skin Tumours) programme, National Disease Registration Service, UK.  </w:t>
      </w:r>
      <w:hyperlink r:id="rId10" w:history="1">
        <w:r w:rsidRPr="009C29B8">
          <w:rPr>
            <w:rStyle w:val="Hyperlink"/>
            <w:rFonts w:asciiTheme="majorHAnsi" w:hAnsiTheme="majorHAnsi" w:cstheme="majorHAnsi"/>
            <w:shd w:val="clear" w:color="auto" w:fill="FFFFFF"/>
          </w:rPr>
          <w:t>https://www.cancerdata.nhs.uk/getdataout/skin</w:t>
        </w:r>
      </w:hyperlink>
    </w:p>
    <w:p w14:paraId="2FC5E09C" w14:textId="77777777" w:rsidR="00B35275" w:rsidRPr="000B3826" w:rsidRDefault="00B35275" w:rsidP="000B3826">
      <w:pPr>
        <w:jc w:val="both"/>
        <w:rPr>
          <w:rFonts w:asciiTheme="majorHAnsi" w:hAnsiTheme="majorHAnsi" w:cstheme="majorHAnsi"/>
          <w:color w:val="000000" w:themeColor="text1"/>
          <w:u w:val="single"/>
          <w:shd w:val="clear" w:color="auto" w:fill="FFFFFF"/>
        </w:rPr>
      </w:pPr>
    </w:p>
    <w:p w14:paraId="57B41E55" w14:textId="05D6CADC" w:rsidR="00A25C8F" w:rsidRPr="00FE4019" w:rsidRDefault="00793093" w:rsidP="00575E9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</w:t>
      </w:r>
      <w:r w:rsidR="00A25C8F" w:rsidRPr="00FE4019">
        <w:rPr>
          <w:rFonts w:asciiTheme="majorHAnsi" w:hAnsiTheme="majorHAnsi" w:cstheme="majorHAnsi"/>
        </w:rPr>
        <w:t xml:space="preserve">. </w:t>
      </w:r>
      <w:r w:rsidR="007F1EA0" w:rsidRPr="00FE4019">
        <w:rPr>
          <w:rFonts w:asciiTheme="majorHAnsi" w:hAnsiTheme="majorHAnsi" w:cstheme="majorHAnsi"/>
        </w:rPr>
        <w:t xml:space="preserve">Venables ZC, </w:t>
      </w:r>
      <w:proofErr w:type="spellStart"/>
      <w:r w:rsidR="007F1EA0" w:rsidRPr="00FE4019">
        <w:rPr>
          <w:rFonts w:asciiTheme="majorHAnsi" w:hAnsiTheme="majorHAnsi" w:cstheme="majorHAnsi"/>
        </w:rPr>
        <w:t>Tokez</w:t>
      </w:r>
      <w:proofErr w:type="spellEnd"/>
      <w:r w:rsidR="007F1EA0" w:rsidRPr="00FE4019">
        <w:rPr>
          <w:rFonts w:asciiTheme="majorHAnsi" w:hAnsiTheme="majorHAnsi" w:cstheme="majorHAnsi"/>
        </w:rPr>
        <w:t xml:space="preserve"> S, </w:t>
      </w:r>
      <w:proofErr w:type="spellStart"/>
      <w:r w:rsidR="007F1EA0" w:rsidRPr="00FE4019">
        <w:rPr>
          <w:rFonts w:asciiTheme="majorHAnsi" w:hAnsiTheme="majorHAnsi" w:cstheme="majorHAnsi"/>
        </w:rPr>
        <w:t>Hollestein</w:t>
      </w:r>
      <w:proofErr w:type="spellEnd"/>
      <w:r w:rsidR="007F1EA0" w:rsidRPr="00FE4019">
        <w:rPr>
          <w:rFonts w:asciiTheme="majorHAnsi" w:hAnsiTheme="majorHAnsi" w:cstheme="majorHAnsi"/>
        </w:rPr>
        <w:t xml:space="preserve"> LM, </w:t>
      </w:r>
      <w:proofErr w:type="spellStart"/>
      <w:r w:rsidR="007F1EA0" w:rsidRPr="00FE4019">
        <w:rPr>
          <w:rFonts w:asciiTheme="majorHAnsi" w:hAnsiTheme="majorHAnsi" w:cstheme="majorHAnsi"/>
        </w:rPr>
        <w:t>Mooyaart</w:t>
      </w:r>
      <w:proofErr w:type="spellEnd"/>
      <w:r w:rsidR="007F1EA0" w:rsidRPr="00FE4019">
        <w:rPr>
          <w:rFonts w:asciiTheme="majorHAnsi" w:hAnsiTheme="majorHAnsi" w:cstheme="majorHAnsi"/>
        </w:rPr>
        <w:t xml:space="preserve"> AL, van den Bos RR, Rous B, Leigh IM, </w:t>
      </w:r>
      <w:proofErr w:type="spellStart"/>
      <w:r w:rsidR="007F1EA0" w:rsidRPr="00FE4019">
        <w:rPr>
          <w:rFonts w:asciiTheme="majorHAnsi" w:hAnsiTheme="majorHAnsi" w:cstheme="majorHAnsi"/>
        </w:rPr>
        <w:t>Nijsten</w:t>
      </w:r>
      <w:proofErr w:type="spellEnd"/>
      <w:r w:rsidR="007F1EA0" w:rsidRPr="00FE4019">
        <w:rPr>
          <w:rFonts w:asciiTheme="majorHAnsi" w:hAnsiTheme="majorHAnsi" w:cstheme="majorHAnsi"/>
        </w:rPr>
        <w:t xml:space="preserve"> T, </w:t>
      </w:r>
      <w:proofErr w:type="spellStart"/>
      <w:r w:rsidR="007F1EA0" w:rsidRPr="00FE4019">
        <w:rPr>
          <w:rFonts w:asciiTheme="majorHAnsi" w:hAnsiTheme="majorHAnsi" w:cstheme="majorHAnsi"/>
        </w:rPr>
        <w:t>Wakkee</w:t>
      </w:r>
      <w:proofErr w:type="spellEnd"/>
      <w:r w:rsidR="007F1EA0" w:rsidRPr="00FE4019">
        <w:rPr>
          <w:rFonts w:asciiTheme="majorHAnsi" w:hAnsiTheme="majorHAnsi" w:cstheme="majorHAnsi"/>
        </w:rPr>
        <w:t xml:space="preserve"> M. Validation of four cutaneous squamous cell carcinoma staging systems using nationwide data. Br J Dermatol. 2022 May;186(5):835-842.</w:t>
      </w:r>
    </w:p>
    <w:p w14:paraId="33FC899B" w14:textId="77777777" w:rsidR="00A25C8F" w:rsidRPr="00FE4019" w:rsidRDefault="00A25C8F" w:rsidP="00575E90">
      <w:pPr>
        <w:jc w:val="both"/>
        <w:rPr>
          <w:rFonts w:asciiTheme="majorHAnsi" w:hAnsiTheme="majorHAnsi" w:cstheme="majorHAnsi"/>
        </w:rPr>
      </w:pPr>
    </w:p>
    <w:p w14:paraId="15681C23" w14:textId="1ED38B23" w:rsidR="00332239" w:rsidRPr="00FE4019" w:rsidRDefault="00793093" w:rsidP="0033223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</w:t>
      </w:r>
      <w:r w:rsidR="00A25C8F" w:rsidRPr="00FE4019">
        <w:rPr>
          <w:rFonts w:asciiTheme="majorHAnsi" w:hAnsiTheme="majorHAnsi" w:cstheme="majorHAnsi"/>
        </w:rPr>
        <w:t xml:space="preserve">. </w:t>
      </w:r>
      <w:proofErr w:type="spellStart"/>
      <w:r w:rsidR="00332239" w:rsidRPr="00FE4019">
        <w:rPr>
          <w:rFonts w:asciiTheme="majorHAnsi" w:hAnsiTheme="majorHAnsi" w:cstheme="majorHAnsi"/>
        </w:rPr>
        <w:t>Tokez</w:t>
      </w:r>
      <w:proofErr w:type="spellEnd"/>
      <w:r w:rsidR="00332239" w:rsidRPr="00FE4019">
        <w:rPr>
          <w:rFonts w:asciiTheme="majorHAnsi" w:hAnsiTheme="majorHAnsi" w:cstheme="majorHAnsi"/>
        </w:rPr>
        <w:t xml:space="preserve"> S, Venables ZC, </w:t>
      </w:r>
      <w:proofErr w:type="spellStart"/>
      <w:r w:rsidR="00332239" w:rsidRPr="00FE4019">
        <w:rPr>
          <w:rFonts w:asciiTheme="majorHAnsi" w:hAnsiTheme="majorHAnsi" w:cstheme="majorHAnsi"/>
        </w:rPr>
        <w:t>Hollestein</w:t>
      </w:r>
      <w:proofErr w:type="spellEnd"/>
      <w:r w:rsidR="00332239" w:rsidRPr="00FE4019">
        <w:rPr>
          <w:rFonts w:asciiTheme="majorHAnsi" w:hAnsiTheme="majorHAnsi" w:cstheme="majorHAnsi"/>
        </w:rPr>
        <w:t xml:space="preserve"> LM, Qi H, </w:t>
      </w:r>
      <w:proofErr w:type="spellStart"/>
      <w:r w:rsidR="00332239" w:rsidRPr="00FE4019">
        <w:rPr>
          <w:rFonts w:asciiTheme="majorHAnsi" w:hAnsiTheme="majorHAnsi" w:cstheme="majorHAnsi"/>
        </w:rPr>
        <w:t>Bramer</w:t>
      </w:r>
      <w:proofErr w:type="spellEnd"/>
      <w:r w:rsidR="00332239" w:rsidRPr="00FE4019">
        <w:rPr>
          <w:rFonts w:asciiTheme="majorHAnsi" w:hAnsiTheme="majorHAnsi" w:cstheme="majorHAnsi"/>
        </w:rPr>
        <w:t xml:space="preserve"> EM, </w:t>
      </w:r>
      <w:proofErr w:type="spellStart"/>
      <w:r w:rsidR="00332239" w:rsidRPr="00FE4019">
        <w:rPr>
          <w:rFonts w:asciiTheme="majorHAnsi" w:hAnsiTheme="majorHAnsi" w:cstheme="majorHAnsi"/>
        </w:rPr>
        <w:t>Rentroia</w:t>
      </w:r>
      <w:proofErr w:type="spellEnd"/>
      <w:r w:rsidR="00332239" w:rsidRPr="00FE4019">
        <w:rPr>
          <w:rFonts w:asciiTheme="majorHAnsi" w:hAnsiTheme="majorHAnsi" w:cstheme="majorHAnsi"/>
        </w:rPr>
        <w:t xml:space="preserve">-Pacheco B, van den Bos RR, Rous B, Leigh IM, </w:t>
      </w:r>
      <w:proofErr w:type="spellStart"/>
      <w:r w:rsidR="00332239" w:rsidRPr="00FE4019">
        <w:rPr>
          <w:rFonts w:asciiTheme="majorHAnsi" w:hAnsiTheme="majorHAnsi" w:cstheme="majorHAnsi"/>
        </w:rPr>
        <w:t>Nijsten</w:t>
      </w:r>
      <w:proofErr w:type="spellEnd"/>
      <w:r w:rsidR="00332239" w:rsidRPr="00FE4019">
        <w:rPr>
          <w:rFonts w:asciiTheme="majorHAnsi" w:hAnsiTheme="majorHAnsi" w:cstheme="majorHAnsi"/>
        </w:rPr>
        <w:t xml:space="preserve"> T, </w:t>
      </w:r>
      <w:proofErr w:type="spellStart"/>
      <w:r w:rsidR="00332239" w:rsidRPr="00FE4019">
        <w:rPr>
          <w:rFonts w:asciiTheme="majorHAnsi" w:hAnsiTheme="majorHAnsi" w:cstheme="majorHAnsi"/>
        </w:rPr>
        <w:t>Mooyaart</w:t>
      </w:r>
      <w:proofErr w:type="spellEnd"/>
      <w:r w:rsidR="00332239" w:rsidRPr="00FE4019">
        <w:rPr>
          <w:rFonts w:asciiTheme="majorHAnsi" w:hAnsiTheme="majorHAnsi" w:cstheme="majorHAnsi"/>
        </w:rPr>
        <w:t xml:space="preserve"> AL, </w:t>
      </w:r>
      <w:proofErr w:type="spellStart"/>
      <w:r w:rsidR="00332239" w:rsidRPr="00FE4019">
        <w:rPr>
          <w:rFonts w:asciiTheme="majorHAnsi" w:hAnsiTheme="majorHAnsi" w:cstheme="majorHAnsi"/>
        </w:rPr>
        <w:t>Wakkee</w:t>
      </w:r>
      <w:proofErr w:type="spellEnd"/>
      <w:r w:rsidR="00332239" w:rsidRPr="00FE4019">
        <w:rPr>
          <w:rFonts w:asciiTheme="majorHAnsi" w:hAnsiTheme="majorHAnsi" w:cstheme="majorHAnsi"/>
        </w:rPr>
        <w:t xml:space="preserve"> M. Risk factors for metastatic cutaneous squamous cell carcinoma: Refinement and replication based on 2 nationwide nested case-control studies. J Am </w:t>
      </w:r>
      <w:proofErr w:type="spellStart"/>
      <w:r w:rsidR="00332239" w:rsidRPr="00FE4019">
        <w:rPr>
          <w:rFonts w:asciiTheme="majorHAnsi" w:hAnsiTheme="majorHAnsi" w:cstheme="majorHAnsi"/>
        </w:rPr>
        <w:t>Acad</w:t>
      </w:r>
      <w:proofErr w:type="spellEnd"/>
      <w:r w:rsidR="00332239" w:rsidRPr="00FE4019">
        <w:rPr>
          <w:rFonts w:asciiTheme="majorHAnsi" w:hAnsiTheme="majorHAnsi" w:cstheme="majorHAnsi"/>
        </w:rPr>
        <w:t xml:space="preserve"> Dermatol. 2022 Jul;87(1):64-71. </w:t>
      </w:r>
    </w:p>
    <w:p w14:paraId="786C2E62" w14:textId="77777777" w:rsidR="00F15A23" w:rsidRPr="00FE4019" w:rsidRDefault="00F15A23" w:rsidP="00332239">
      <w:pPr>
        <w:jc w:val="both"/>
        <w:rPr>
          <w:rFonts w:asciiTheme="majorHAnsi" w:hAnsiTheme="majorHAnsi" w:cstheme="majorHAnsi"/>
          <w:color w:val="211E1E"/>
        </w:rPr>
      </w:pPr>
    </w:p>
    <w:p w14:paraId="3E794E25" w14:textId="33B779E5" w:rsidR="00A25C8F" w:rsidRPr="00FE4019" w:rsidRDefault="00793093" w:rsidP="00575E9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iCs/>
          <w:color w:val="000000"/>
        </w:rPr>
      </w:pPr>
      <w:r>
        <w:rPr>
          <w:rFonts w:asciiTheme="majorHAnsi" w:hAnsiTheme="majorHAnsi" w:cstheme="majorHAnsi"/>
          <w:iCs/>
          <w:color w:val="000000"/>
        </w:rPr>
        <w:t>7</w:t>
      </w:r>
      <w:r w:rsidR="00A25C8F" w:rsidRPr="00FE4019">
        <w:rPr>
          <w:rFonts w:asciiTheme="majorHAnsi" w:hAnsiTheme="majorHAnsi" w:cstheme="majorHAnsi"/>
          <w:iCs/>
          <w:color w:val="000000"/>
        </w:rPr>
        <w:t>.</w:t>
      </w:r>
      <w:r w:rsidR="00E71C15" w:rsidRPr="00FE4019">
        <w:rPr>
          <w:rFonts w:asciiTheme="majorHAnsi" w:hAnsiTheme="majorHAnsi" w:cstheme="majorHAnsi"/>
          <w:iCs/>
          <w:color w:val="000000"/>
        </w:rPr>
        <w:t xml:space="preserve"> </w:t>
      </w:r>
      <w:r w:rsidR="00A25C8F" w:rsidRPr="00FE4019">
        <w:rPr>
          <w:rFonts w:asciiTheme="majorHAnsi" w:hAnsiTheme="majorHAnsi" w:cstheme="majorHAnsi"/>
          <w:iCs/>
          <w:color w:val="000000"/>
        </w:rPr>
        <w:t xml:space="preserve">South AP, Purdie KJ, Watt SA, </w:t>
      </w:r>
      <w:proofErr w:type="spellStart"/>
      <w:r w:rsidR="00A25C8F" w:rsidRPr="00FE4019">
        <w:rPr>
          <w:rFonts w:asciiTheme="majorHAnsi" w:hAnsiTheme="majorHAnsi" w:cstheme="majorHAnsi"/>
          <w:iCs/>
          <w:color w:val="000000"/>
        </w:rPr>
        <w:t>Haldenby</w:t>
      </w:r>
      <w:proofErr w:type="spellEnd"/>
      <w:r w:rsidR="00A25C8F" w:rsidRPr="00FE4019">
        <w:rPr>
          <w:rFonts w:asciiTheme="majorHAnsi" w:hAnsiTheme="majorHAnsi" w:cstheme="majorHAnsi"/>
          <w:iCs/>
          <w:color w:val="000000"/>
        </w:rPr>
        <w:t xml:space="preserve"> S, </w:t>
      </w:r>
      <w:proofErr w:type="spellStart"/>
      <w:r w:rsidR="00A25C8F" w:rsidRPr="00FE4019">
        <w:rPr>
          <w:rFonts w:asciiTheme="majorHAnsi" w:hAnsiTheme="majorHAnsi" w:cstheme="majorHAnsi"/>
          <w:iCs/>
          <w:color w:val="000000"/>
        </w:rPr>
        <w:t>denBreem</w:t>
      </w:r>
      <w:proofErr w:type="spellEnd"/>
      <w:r w:rsidR="00A25C8F" w:rsidRPr="00FE4019">
        <w:rPr>
          <w:rFonts w:asciiTheme="majorHAnsi" w:hAnsiTheme="majorHAnsi" w:cstheme="majorHAnsi"/>
          <w:iCs/>
          <w:color w:val="000000"/>
        </w:rPr>
        <w:t xml:space="preserve"> N, </w:t>
      </w:r>
      <w:proofErr w:type="spellStart"/>
      <w:r w:rsidR="00A25C8F" w:rsidRPr="00FE4019">
        <w:rPr>
          <w:rFonts w:asciiTheme="majorHAnsi" w:hAnsiTheme="majorHAnsi" w:cstheme="majorHAnsi"/>
          <w:iCs/>
          <w:color w:val="000000"/>
        </w:rPr>
        <w:t>Dimon</w:t>
      </w:r>
      <w:proofErr w:type="spellEnd"/>
      <w:r w:rsidR="00A25C8F" w:rsidRPr="00FE4019">
        <w:rPr>
          <w:rFonts w:asciiTheme="majorHAnsi" w:hAnsiTheme="majorHAnsi" w:cstheme="majorHAnsi"/>
          <w:iCs/>
          <w:color w:val="000000"/>
        </w:rPr>
        <w:t xml:space="preserve"> M, Arron ST, McHugh A, </w:t>
      </w:r>
      <w:proofErr w:type="spellStart"/>
      <w:r w:rsidR="00A25C8F" w:rsidRPr="00FE4019">
        <w:rPr>
          <w:rFonts w:asciiTheme="majorHAnsi" w:hAnsiTheme="majorHAnsi" w:cstheme="majorHAnsi"/>
          <w:iCs/>
          <w:color w:val="000000"/>
        </w:rPr>
        <w:t>Xue</w:t>
      </w:r>
      <w:proofErr w:type="spellEnd"/>
      <w:r w:rsidR="00A25C8F" w:rsidRPr="00FE4019">
        <w:rPr>
          <w:rFonts w:asciiTheme="majorHAnsi" w:hAnsiTheme="majorHAnsi" w:cstheme="majorHAnsi"/>
          <w:iCs/>
          <w:color w:val="000000"/>
        </w:rPr>
        <w:t xml:space="preserve"> DJ, </w:t>
      </w:r>
      <w:proofErr w:type="spellStart"/>
      <w:r w:rsidR="00A25C8F" w:rsidRPr="00FE4019">
        <w:rPr>
          <w:rFonts w:asciiTheme="majorHAnsi" w:hAnsiTheme="majorHAnsi" w:cstheme="majorHAnsi"/>
          <w:iCs/>
          <w:color w:val="000000"/>
        </w:rPr>
        <w:t>Jasbani</w:t>
      </w:r>
      <w:proofErr w:type="spellEnd"/>
      <w:r w:rsidR="00A25C8F" w:rsidRPr="00FE4019">
        <w:rPr>
          <w:rFonts w:asciiTheme="majorHAnsi" w:hAnsiTheme="majorHAnsi" w:cstheme="majorHAnsi"/>
          <w:iCs/>
          <w:color w:val="000000"/>
        </w:rPr>
        <w:t xml:space="preserve"> HS, </w:t>
      </w:r>
      <w:proofErr w:type="spellStart"/>
      <w:r w:rsidR="00A25C8F" w:rsidRPr="00FE4019">
        <w:rPr>
          <w:rFonts w:asciiTheme="majorHAnsi" w:hAnsiTheme="majorHAnsi" w:cstheme="majorHAnsi"/>
          <w:iCs/>
          <w:color w:val="000000"/>
        </w:rPr>
        <w:t>Dayal</w:t>
      </w:r>
      <w:proofErr w:type="spellEnd"/>
      <w:r w:rsidR="00A25C8F" w:rsidRPr="00FE4019">
        <w:rPr>
          <w:rFonts w:asciiTheme="majorHAnsi" w:hAnsiTheme="majorHAnsi" w:cstheme="majorHAnsi"/>
          <w:iCs/>
          <w:color w:val="000000"/>
        </w:rPr>
        <w:t xml:space="preserve"> HS, </w:t>
      </w:r>
      <w:proofErr w:type="spellStart"/>
      <w:r w:rsidR="00A25C8F" w:rsidRPr="00FE4019">
        <w:rPr>
          <w:rFonts w:asciiTheme="majorHAnsi" w:hAnsiTheme="majorHAnsi" w:cstheme="majorHAnsi"/>
          <w:iCs/>
          <w:color w:val="000000"/>
        </w:rPr>
        <w:t>Proby</w:t>
      </w:r>
      <w:proofErr w:type="spellEnd"/>
      <w:r w:rsidR="00A25C8F" w:rsidRPr="00FE4019">
        <w:rPr>
          <w:rFonts w:asciiTheme="majorHAnsi" w:hAnsiTheme="majorHAnsi" w:cstheme="majorHAnsi"/>
          <w:iCs/>
          <w:color w:val="000000"/>
        </w:rPr>
        <w:t xml:space="preserve"> CM, Harwood CA, Leigh IM, </w:t>
      </w:r>
      <w:r w:rsidR="00A25C8F" w:rsidRPr="00FE4019">
        <w:rPr>
          <w:rFonts w:asciiTheme="majorHAnsi" w:hAnsiTheme="majorHAnsi" w:cstheme="majorHAnsi"/>
          <w:bCs/>
          <w:iCs/>
          <w:color w:val="000000"/>
        </w:rPr>
        <w:t>Prevalent NOTCH1 mutations in squamous cell carcinogenesis are an early event J Invest Dermatol 2014 :134; 2630-8</w:t>
      </w:r>
    </w:p>
    <w:p w14:paraId="4EB7BC41" w14:textId="77777777" w:rsidR="00A25C8F" w:rsidRPr="00FE4019" w:rsidRDefault="00A25C8F" w:rsidP="00575E90">
      <w:pPr>
        <w:jc w:val="both"/>
        <w:rPr>
          <w:rFonts w:asciiTheme="majorHAnsi" w:hAnsiTheme="majorHAnsi" w:cstheme="majorHAnsi"/>
          <w:iCs/>
        </w:rPr>
      </w:pPr>
    </w:p>
    <w:p w14:paraId="79BDE925" w14:textId="4DA2F65E" w:rsidR="00A25C8F" w:rsidRPr="00FE4019" w:rsidRDefault="00793093" w:rsidP="00575E90">
      <w:pPr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8</w:t>
      </w:r>
      <w:r w:rsidR="00A25C8F" w:rsidRPr="00FE4019">
        <w:rPr>
          <w:rFonts w:asciiTheme="majorHAnsi" w:hAnsiTheme="majorHAnsi" w:cstheme="majorHAnsi"/>
          <w:iCs/>
        </w:rPr>
        <w:t>.</w:t>
      </w:r>
      <w:r w:rsidR="00E71C15" w:rsidRPr="00FE4019">
        <w:rPr>
          <w:rFonts w:asciiTheme="majorHAnsi" w:hAnsiTheme="majorHAnsi" w:cstheme="majorHAnsi"/>
          <w:iCs/>
        </w:rPr>
        <w:t xml:space="preserve"> </w:t>
      </w:r>
      <w:proofErr w:type="spellStart"/>
      <w:r w:rsidR="00A25C8F" w:rsidRPr="00FE4019">
        <w:rPr>
          <w:rFonts w:asciiTheme="majorHAnsi" w:hAnsiTheme="majorHAnsi" w:cstheme="majorHAnsi"/>
          <w:iCs/>
        </w:rPr>
        <w:t>Cammameri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P, Rose AM, Vincent DF, Wang J, Nagano A, </w:t>
      </w:r>
      <w:proofErr w:type="spellStart"/>
      <w:r w:rsidR="00A25C8F" w:rsidRPr="00FE4019">
        <w:rPr>
          <w:rFonts w:asciiTheme="majorHAnsi" w:hAnsiTheme="majorHAnsi" w:cstheme="majorHAnsi"/>
          <w:iCs/>
        </w:rPr>
        <w:t>Libertini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S, </w:t>
      </w:r>
      <w:proofErr w:type="spellStart"/>
      <w:r w:rsidR="00A25C8F" w:rsidRPr="00FE4019">
        <w:rPr>
          <w:rFonts w:asciiTheme="majorHAnsi" w:hAnsiTheme="majorHAnsi" w:cstheme="majorHAnsi"/>
          <w:iCs/>
        </w:rPr>
        <w:t>Ridgeqay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RA, </w:t>
      </w:r>
      <w:proofErr w:type="spellStart"/>
      <w:r w:rsidR="00A25C8F" w:rsidRPr="00FE4019">
        <w:rPr>
          <w:rFonts w:asciiTheme="majorHAnsi" w:hAnsiTheme="majorHAnsi" w:cstheme="majorHAnsi"/>
          <w:iCs/>
        </w:rPr>
        <w:t>Athineos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D, Coates PJ, McHugh A, </w:t>
      </w:r>
      <w:proofErr w:type="spellStart"/>
      <w:r w:rsidR="00A25C8F" w:rsidRPr="00FE4019">
        <w:rPr>
          <w:rFonts w:asciiTheme="majorHAnsi" w:hAnsiTheme="majorHAnsi" w:cstheme="majorHAnsi"/>
          <w:iCs/>
        </w:rPr>
        <w:t>Pourreyron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C, </w:t>
      </w:r>
      <w:proofErr w:type="spellStart"/>
      <w:r w:rsidR="00A25C8F" w:rsidRPr="00FE4019">
        <w:rPr>
          <w:rFonts w:asciiTheme="majorHAnsi" w:hAnsiTheme="majorHAnsi" w:cstheme="majorHAnsi"/>
          <w:iCs/>
        </w:rPr>
        <w:t>Dayal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JH, Larsson J, </w:t>
      </w:r>
      <w:proofErr w:type="spellStart"/>
      <w:r w:rsidR="00A25C8F" w:rsidRPr="00FE4019">
        <w:rPr>
          <w:rFonts w:asciiTheme="majorHAnsi" w:hAnsiTheme="majorHAnsi" w:cstheme="majorHAnsi"/>
          <w:iCs/>
        </w:rPr>
        <w:t>Weidlich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S, Spender LC, Sapkota GP, Purdie KJ, </w:t>
      </w:r>
      <w:proofErr w:type="spellStart"/>
      <w:r w:rsidR="00A25C8F" w:rsidRPr="00FE4019">
        <w:rPr>
          <w:rFonts w:asciiTheme="majorHAnsi" w:hAnsiTheme="majorHAnsi" w:cstheme="majorHAnsi"/>
          <w:iCs/>
        </w:rPr>
        <w:t>Proby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CM, Harwood CA, Leigh IM, </w:t>
      </w:r>
      <w:proofErr w:type="spellStart"/>
      <w:r w:rsidR="00A25C8F" w:rsidRPr="00FE4019">
        <w:rPr>
          <w:rFonts w:asciiTheme="majorHAnsi" w:hAnsiTheme="majorHAnsi" w:cstheme="majorHAnsi"/>
          <w:iCs/>
        </w:rPr>
        <w:t>Clevers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H, Barker N, Karlsson S, Pritchard C, Marais R, </w:t>
      </w:r>
      <w:proofErr w:type="spellStart"/>
      <w:r w:rsidR="00A25C8F" w:rsidRPr="00FE4019">
        <w:rPr>
          <w:rFonts w:asciiTheme="majorHAnsi" w:hAnsiTheme="majorHAnsi" w:cstheme="majorHAnsi"/>
          <w:iCs/>
        </w:rPr>
        <w:t>Chelala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C, South AP, Sansom OJ, Inman GJ. Inactivation of </w:t>
      </w:r>
      <w:proofErr w:type="spellStart"/>
      <w:r w:rsidR="00A25C8F" w:rsidRPr="00FE4019">
        <w:rPr>
          <w:rFonts w:asciiTheme="majorHAnsi" w:hAnsiTheme="majorHAnsi" w:cstheme="majorHAnsi"/>
          <w:iCs/>
        </w:rPr>
        <w:t>TGFb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receptors in stem cell drives cutaneous squamous cell carcinoma. Nature </w:t>
      </w:r>
      <w:proofErr w:type="spellStart"/>
      <w:r w:rsidR="00A25C8F" w:rsidRPr="00FE4019">
        <w:rPr>
          <w:rFonts w:asciiTheme="majorHAnsi" w:hAnsiTheme="majorHAnsi" w:cstheme="majorHAnsi"/>
          <w:iCs/>
        </w:rPr>
        <w:t>Commun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</w:t>
      </w:r>
      <w:proofErr w:type="gramStart"/>
      <w:r w:rsidR="00A25C8F" w:rsidRPr="00FE4019">
        <w:rPr>
          <w:rFonts w:asciiTheme="majorHAnsi" w:hAnsiTheme="majorHAnsi" w:cstheme="majorHAnsi"/>
          <w:iCs/>
        </w:rPr>
        <w:t>2016  25</w:t>
      </w:r>
      <w:proofErr w:type="gramEnd"/>
      <w:r w:rsidR="00A25C8F" w:rsidRPr="00FE4019">
        <w:rPr>
          <w:rFonts w:asciiTheme="majorHAnsi" w:hAnsiTheme="majorHAnsi" w:cstheme="majorHAnsi"/>
          <w:iCs/>
        </w:rPr>
        <w:t>: 12493</w:t>
      </w:r>
    </w:p>
    <w:p w14:paraId="05A620FD" w14:textId="77777777" w:rsidR="00A25C8F" w:rsidRPr="00FE4019" w:rsidRDefault="00A25C8F" w:rsidP="00575E90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iCs/>
        </w:rPr>
      </w:pPr>
    </w:p>
    <w:p w14:paraId="73DEDC04" w14:textId="44037DB1" w:rsidR="00A25C8F" w:rsidRPr="00FE4019" w:rsidRDefault="00793093" w:rsidP="00B43521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9</w:t>
      </w:r>
      <w:r w:rsidR="00A25C8F" w:rsidRPr="00FE4019">
        <w:rPr>
          <w:rFonts w:asciiTheme="majorHAnsi" w:hAnsiTheme="majorHAnsi" w:cstheme="majorHAnsi"/>
          <w:iCs/>
        </w:rPr>
        <w:t>.</w:t>
      </w:r>
      <w:r w:rsidR="00E71C15" w:rsidRPr="00FE4019">
        <w:rPr>
          <w:rFonts w:asciiTheme="majorHAnsi" w:hAnsiTheme="majorHAnsi" w:cstheme="majorHAnsi"/>
          <w:iCs/>
        </w:rPr>
        <w:t xml:space="preserve"> </w:t>
      </w:r>
      <w:r w:rsidR="00A25C8F" w:rsidRPr="00FE4019">
        <w:rPr>
          <w:rFonts w:asciiTheme="majorHAnsi" w:hAnsiTheme="majorHAnsi" w:cstheme="majorHAnsi"/>
          <w:iCs/>
        </w:rPr>
        <w:t xml:space="preserve">Inman GJ, Wang AJ, Ai N, </w:t>
      </w:r>
      <w:proofErr w:type="spellStart"/>
      <w:r w:rsidR="00A25C8F" w:rsidRPr="00FE4019">
        <w:rPr>
          <w:rFonts w:asciiTheme="majorHAnsi" w:hAnsiTheme="majorHAnsi" w:cstheme="majorHAnsi"/>
          <w:iCs/>
        </w:rPr>
        <w:t>Alexandreev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L, </w:t>
      </w:r>
      <w:proofErr w:type="spellStart"/>
      <w:r w:rsidR="00A25C8F" w:rsidRPr="00FE4019">
        <w:rPr>
          <w:rFonts w:asciiTheme="majorHAnsi" w:hAnsiTheme="majorHAnsi" w:cstheme="majorHAnsi"/>
          <w:iCs/>
        </w:rPr>
        <w:t>Chelala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C, Stratton M, Harwood CA, Sherwood V, </w:t>
      </w:r>
      <w:proofErr w:type="spellStart"/>
      <w:r w:rsidR="00A25C8F" w:rsidRPr="00FE4019">
        <w:rPr>
          <w:rFonts w:asciiTheme="majorHAnsi" w:hAnsiTheme="majorHAnsi" w:cstheme="majorHAnsi"/>
          <w:iCs/>
        </w:rPr>
        <w:t>Proby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CM, Leigh IM. The genomic landscape of cutaneous squamous cell carcinoma from immunosuppressed and immunocompetent patients reveals common drivers and a novel mutational signature associated with chronic azathioprine exposure.  Nat </w:t>
      </w:r>
      <w:proofErr w:type="spellStart"/>
      <w:r w:rsidR="00A25C8F" w:rsidRPr="00FE4019">
        <w:rPr>
          <w:rFonts w:asciiTheme="majorHAnsi" w:hAnsiTheme="majorHAnsi" w:cstheme="majorHAnsi"/>
          <w:iCs/>
        </w:rPr>
        <w:t>Commun</w:t>
      </w:r>
      <w:proofErr w:type="spellEnd"/>
      <w:r w:rsidR="00A25C8F" w:rsidRPr="00FE4019">
        <w:rPr>
          <w:rFonts w:asciiTheme="majorHAnsi" w:hAnsiTheme="majorHAnsi" w:cstheme="majorHAnsi"/>
          <w:iCs/>
        </w:rPr>
        <w:t xml:space="preserve"> 2018 Sept 10 9(1) 3667. </w:t>
      </w:r>
    </w:p>
    <w:p w14:paraId="02F16590" w14:textId="77777777" w:rsidR="00B43521" w:rsidRPr="00FE4019" w:rsidRDefault="00B43521" w:rsidP="00B43521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36D0270C" w14:textId="12021774" w:rsidR="00744F86" w:rsidRPr="00FE4019" w:rsidRDefault="00793093" w:rsidP="00744F8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</w:t>
      </w:r>
      <w:r w:rsidR="00A25C8F" w:rsidRPr="00FE4019">
        <w:rPr>
          <w:rFonts w:asciiTheme="majorHAnsi" w:hAnsiTheme="majorHAnsi" w:cstheme="majorHAnsi"/>
        </w:rPr>
        <w:t xml:space="preserve">. Thomson J, </w:t>
      </w:r>
      <w:proofErr w:type="spellStart"/>
      <w:r w:rsidR="00A25C8F" w:rsidRPr="00FE4019">
        <w:rPr>
          <w:rFonts w:asciiTheme="majorHAnsi" w:hAnsiTheme="majorHAnsi" w:cstheme="majorHAnsi"/>
        </w:rPr>
        <w:t>Bewicke</w:t>
      </w:r>
      <w:proofErr w:type="spellEnd"/>
      <w:r w:rsidR="00A25C8F" w:rsidRPr="00FE4019">
        <w:rPr>
          <w:rFonts w:asciiTheme="majorHAnsi" w:hAnsiTheme="majorHAnsi" w:cstheme="majorHAnsi"/>
        </w:rPr>
        <w:t xml:space="preserve">-Copley F, </w:t>
      </w:r>
      <w:proofErr w:type="spellStart"/>
      <w:r w:rsidR="00A25C8F" w:rsidRPr="00FE4019">
        <w:rPr>
          <w:rFonts w:asciiTheme="majorHAnsi" w:hAnsiTheme="majorHAnsi" w:cstheme="majorHAnsi"/>
        </w:rPr>
        <w:t>Anene</w:t>
      </w:r>
      <w:proofErr w:type="spellEnd"/>
      <w:r w:rsidR="00A25C8F" w:rsidRPr="00FE4019">
        <w:rPr>
          <w:rFonts w:asciiTheme="majorHAnsi" w:hAnsiTheme="majorHAnsi" w:cstheme="majorHAnsi"/>
        </w:rPr>
        <w:t xml:space="preserve"> CA, Gulati A, Nagano A, Purdie K, Inman GJ, </w:t>
      </w:r>
      <w:proofErr w:type="spellStart"/>
      <w:r w:rsidR="00A25C8F" w:rsidRPr="00FE4019">
        <w:rPr>
          <w:rFonts w:asciiTheme="majorHAnsi" w:hAnsiTheme="majorHAnsi" w:cstheme="majorHAnsi"/>
        </w:rPr>
        <w:t>Proby</w:t>
      </w:r>
      <w:proofErr w:type="spellEnd"/>
      <w:r w:rsidR="00A25C8F" w:rsidRPr="00FE4019">
        <w:rPr>
          <w:rFonts w:asciiTheme="majorHAnsi" w:hAnsiTheme="majorHAnsi" w:cstheme="majorHAnsi"/>
        </w:rPr>
        <w:t xml:space="preserve"> CM, Leigh IM, Harwood </w:t>
      </w:r>
      <w:proofErr w:type="spellStart"/>
      <w:proofErr w:type="gramStart"/>
      <w:r w:rsidR="00A25C8F" w:rsidRPr="00FE4019">
        <w:rPr>
          <w:rFonts w:asciiTheme="majorHAnsi" w:hAnsiTheme="majorHAnsi" w:cstheme="majorHAnsi"/>
        </w:rPr>
        <w:t>CA,Wang</w:t>
      </w:r>
      <w:proofErr w:type="spellEnd"/>
      <w:proofErr w:type="gramEnd"/>
      <w:r w:rsidR="00A25C8F" w:rsidRPr="00FE4019">
        <w:rPr>
          <w:rFonts w:asciiTheme="majorHAnsi" w:hAnsiTheme="majorHAnsi" w:cstheme="majorHAnsi"/>
        </w:rPr>
        <w:t xml:space="preserve"> J. The genomic landscape of actinic keratosis. J Invest Dermatol </w:t>
      </w:r>
      <w:r w:rsidR="00A25C8F" w:rsidRPr="00FE4019">
        <w:rPr>
          <w:rStyle w:val="docsum-journal-citation"/>
          <w:rFonts w:asciiTheme="majorHAnsi" w:hAnsiTheme="majorHAnsi" w:cstheme="majorHAnsi"/>
        </w:rPr>
        <w:t xml:space="preserve">2021 Jul;141(7):1664-1674.e7. </w:t>
      </w:r>
    </w:p>
    <w:p w14:paraId="6AA08A92" w14:textId="77777777" w:rsidR="00744F86" w:rsidRPr="00FE4019" w:rsidRDefault="00744F86" w:rsidP="00744F86">
      <w:pPr>
        <w:jc w:val="both"/>
        <w:rPr>
          <w:rFonts w:asciiTheme="majorHAnsi" w:hAnsiTheme="majorHAnsi" w:cstheme="majorHAnsi"/>
        </w:rPr>
      </w:pPr>
    </w:p>
    <w:p w14:paraId="04D28C57" w14:textId="10A643DA" w:rsidR="00A25C8F" w:rsidRPr="00FE4019" w:rsidRDefault="006B4921" w:rsidP="00575E9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</w:t>
      </w:r>
      <w:r w:rsidR="00E069AB" w:rsidRPr="00FE4019">
        <w:rPr>
          <w:rFonts w:asciiTheme="majorHAnsi" w:hAnsiTheme="majorHAnsi" w:cstheme="majorHAnsi"/>
        </w:rPr>
        <w:t>.</w:t>
      </w:r>
      <w:r w:rsidR="00E71C15" w:rsidRPr="00FE4019">
        <w:rPr>
          <w:rFonts w:asciiTheme="majorHAnsi" w:hAnsiTheme="majorHAnsi" w:cstheme="majorHAnsi"/>
        </w:rPr>
        <w:t xml:space="preserve"> </w:t>
      </w:r>
      <w:proofErr w:type="spellStart"/>
      <w:r w:rsidR="00CD3DDC" w:rsidRPr="00FE4019">
        <w:rPr>
          <w:rFonts w:asciiTheme="majorHAnsi" w:hAnsiTheme="majorHAnsi" w:cstheme="majorHAnsi"/>
        </w:rPr>
        <w:t>Wysong</w:t>
      </w:r>
      <w:proofErr w:type="spellEnd"/>
      <w:r w:rsidR="00CD3DDC" w:rsidRPr="00FE4019">
        <w:rPr>
          <w:rFonts w:asciiTheme="majorHAnsi" w:hAnsiTheme="majorHAnsi" w:cstheme="majorHAnsi"/>
        </w:rPr>
        <w:t xml:space="preserve"> A, Newman JG, Covington KR, </w:t>
      </w:r>
      <w:proofErr w:type="spellStart"/>
      <w:r w:rsidR="00CD3DDC" w:rsidRPr="00FE4019">
        <w:rPr>
          <w:rFonts w:asciiTheme="majorHAnsi" w:hAnsiTheme="majorHAnsi" w:cstheme="majorHAnsi"/>
        </w:rPr>
        <w:t>Kurley</w:t>
      </w:r>
      <w:proofErr w:type="spellEnd"/>
      <w:r w:rsidR="00CD3DDC" w:rsidRPr="00FE4019">
        <w:rPr>
          <w:rFonts w:asciiTheme="majorHAnsi" w:hAnsiTheme="majorHAnsi" w:cstheme="majorHAnsi"/>
        </w:rPr>
        <w:t xml:space="preserve"> SJ, Ibrahim SF, </w:t>
      </w:r>
      <w:proofErr w:type="spellStart"/>
      <w:r w:rsidR="00CD3DDC" w:rsidRPr="00FE4019">
        <w:rPr>
          <w:rFonts w:asciiTheme="majorHAnsi" w:hAnsiTheme="majorHAnsi" w:cstheme="majorHAnsi"/>
        </w:rPr>
        <w:t>Farberg</w:t>
      </w:r>
      <w:proofErr w:type="spellEnd"/>
      <w:r w:rsidR="00CD3DDC" w:rsidRPr="00FE4019">
        <w:rPr>
          <w:rFonts w:asciiTheme="majorHAnsi" w:hAnsiTheme="majorHAnsi" w:cstheme="majorHAnsi"/>
        </w:rPr>
        <w:t xml:space="preserve"> AS, Bar A, Cleaver NJ, </w:t>
      </w:r>
      <w:proofErr w:type="spellStart"/>
      <w:r w:rsidR="00CD3DDC" w:rsidRPr="00FE4019">
        <w:rPr>
          <w:rFonts w:asciiTheme="majorHAnsi" w:hAnsiTheme="majorHAnsi" w:cstheme="majorHAnsi"/>
        </w:rPr>
        <w:t>Somani</w:t>
      </w:r>
      <w:proofErr w:type="spellEnd"/>
      <w:r w:rsidR="00CD3DDC" w:rsidRPr="00FE4019">
        <w:rPr>
          <w:rFonts w:asciiTheme="majorHAnsi" w:hAnsiTheme="majorHAnsi" w:cstheme="majorHAnsi"/>
        </w:rPr>
        <w:t xml:space="preserve"> AK, Panther D, </w:t>
      </w:r>
      <w:proofErr w:type="spellStart"/>
      <w:r w:rsidR="00CD3DDC" w:rsidRPr="00FE4019">
        <w:rPr>
          <w:rFonts w:asciiTheme="majorHAnsi" w:hAnsiTheme="majorHAnsi" w:cstheme="majorHAnsi"/>
        </w:rPr>
        <w:t>Brodland</w:t>
      </w:r>
      <w:proofErr w:type="spellEnd"/>
      <w:r w:rsidR="00CD3DDC" w:rsidRPr="00FE4019">
        <w:rPr>
          <w:rFonts w:asciiTheme="majorHAnsi" w:hAnsiTheme="majorHAnsi" w:cstheme="majorHAnsi"/>
        </w:rPr>
        <w:t xml:space="preserve"> DG, </w:t>
      </w:r>
      <w:proofErr w:type="spellStart"/>
      <w:r w:rsidR="00CD3DDC" w:rsidRPr="00FE4019">
        <w:rPr>
          <w:rFonts w:asciiTheme="majorHAnsi" w:hAnsiTheme="majorHAnsi" w:cstheme="majorHAnsi"/>
        </w:rPr>
        <w:t>Zitelli</w:t>
      </w:r>
      <w:proofErr w:type="spellEnd"/>
      <w:r w:rsidR="00CD3DDC" w:rsidRPr="00FE4019">
        <w:rPr>
          <w:rFonts w:asciiTheme="majorHAnsi" w:hAnsiTheme="majorHAnsi" w:cstheme="majorHAnsi"/>
        </w:rPr>
        <w:t xml:space="preserve"> J, </w:t>
      </w:r>
      <w:proofErr w:type="spellStart"/>
      <w:r w:rsidR="00CD3DDC" w:rsidRPr="00FE4019">
        <w:rPr>
          <w:rFonts w:asciiTheme="majorHAnsi" w:hAnsiTheme="majorHAnsi" w:cstheme="majorHAnsi"/>
        </w:rPr>
        <w:t>Toyohara</w:t>
      </w:r>
      <w:proofErr w:type="spellEnd"/>
      <w:r w:rsidR="00CD3DDC" w:rsidRPr="00FE4019">
        <w:rPr>
          <w:rFonts w:asciiTheme="majorHAnsi" w:hAnsiTheme="majorHAnsi" w:cstheme="majorHAnsi"/>
        </w:rPr>
        <w:t xml:space="preserve"> J, Maher IA, Xia Y, </w:t>
      </w:r>
      <w:proofErr w:type="spellStart"/>
      <w:r w:rsidR="00CD3DDC" w:rsidRPr="00FE4019">
        <w:rPr>
          <w:rFonts w:asciiTheme="majorHAnsi" w:hAnsiTheme="majorHAnsi" w:cstheme="majorHAnsi"/>
        </w:rPr>
        <w:t>Bibee</w:t>
      </w:r>
      <w:proofErr w:type="spellEnd"/>
      <w:r w:rsidR="00CD3DDC" w:rsidRPr="00FE4019">
        <w:rPr>
          <w:rFonts w:asciiTheme="majorHAnsi" w:hAnsiTheme="majorHAnsi" w:cstheme="majorHAnsi"/>
        </w:rPr>
        <w:t xml:space="preserve"> K, Griego R, Rigel DS, </w:t>
      </w:r>
      <w:proofErr w:type="spellStart"/>
      <w:r w:rsidR="00CD3DDC" w:rsidRPr="00FE4019">
        <w:rPr>
          <w:rFonts w:asciiTheme="majorHAnsi" w:hAnsiTheme="majorHAnsi" w:cstheme="majorHAnsi"/>
        </w:rPr>
        <w:t>Meldi</w:t>
      </w:r>
      <w:proofErr w:type="spellEnd"/>
      <w:r w:rsidR="00CD3DDC" w:rsidRPr="00FE4019">
        <w:rPr>
          <w:rFonts w:asciiTheme="majorHAnsi" w:hAnsiTheme="majorHAnsi" w:cstheme="majorHAnsi"/>
        </w:rPr>
        <w:t xml:space="preserve"> </w:t>
      </w:r>
      <w:proofErr w:type="spellStart"/>
      <w:r w:rsidR="00CD3DDC" w:rsidRPr="00FE4019">
        <w:rPr>
          <w:rFonts w:asciiTheme="majorHAnsi" w:hAnsiTheme="majorHAnsi" w:cstheme="majorHAnsi"/>
        </w:rPr>
        <w:t>Plasseraud</w:t>
      </w:r>
      <w:proofErr w:type="spellEnd"/>
      <w:r w:rsidR="00CD3DDC" w:rsidRPr="00FE4019">
        <w:rPr>
          <w:rFonts w:asciiTheme="majorHAnsi" w:hAnsiTheme="majorHAnsi" w:cstheme="majorHAnsi"/>
        </w:rPr>
        <w:t xml:space="preserve"> K, Estrada S, </w:t>
      </w:r>
      <w:proofErr w:type="spellStart"/>
      <w:r w:rsidR="00CD3DDC" w:rsidRPr="00FE4019">
        <w:rPr>
          <w:rFonts w:asciiTheme="majorHAnsi" w:hAnsiTheme="majorHAnsi" w:cstheme="majorHAnsi"/>
        </w:rPr>
        <w:t>Sholl</w:t>
      </w:r>
      <w:proofErr w:type="spellEnd"/>
      <w:r w:rsidR="00CD3DDC" w:rsidRPr="00FE4019">
        <w:rPr>
          <w:rFonts w:asciiTheme="majorHAnsi" w:hAnsiTheme="majorHAnsi" w:cstheme="majorHAnsi"/>
        </w:rPr>
        <w:t xml:space="preserve"> LM, Johnson C, Cook RW, </w:t>
      </w:r>
      <w:proofErr w:type="spellStart"/>
      <w:r w:rsidR="00CD3DDC" w:rsidRPr="00FE4019">
        <w:rPr>
          <w:rFonts w:asciiTheme="majorHAnsi" w:hAnsiTheme="majorHAnsi" w:cstheme="majorHAnsi"/>
        </w:rPr>
        <w:t>Schmults</w:t>
      </w:r>
      <w:proofErr w:type="spellEnd"/>
      <w:r w:rsidR="00CD3DDC" w:rsidRPr="00FE4019">
        <w:rPr>
          <w:rFonts w:asciiTheme="majorHAnsi" w:hAnsiTheme="majorHAnsi" w:cstheme="majorHAnsi"/>
        </w:rPr>
        <w:t xml:space="preserve"> CD, Arron ST. Validation of a 40-gene expression profile test to predict metastatic risk in localized high-risk cutaneous squamous cell carcinoma. J Am </w:t>
      </w:r>
      <w:proofErr w:type="spellStart"/>
      <w:r w:rsidR="00CD3DDC" w:rsidRPr="00FE4019">
        <w:rPr>
          <w:rFonts w:asciiTheme="majorHAnsi" w:hAnsiTheme="majorHAnsi" w:cstheme="majorHAnsi"/>
        </w:rPr>
        <w:t>Acad</w:t>
      </w:r>
      <w:proofErr w:type="spellEnd"/>
      <w:r w:rsidR="00CD3DDC" w:rsidRPr="00FE4019">
        <w:rPr>
          <w:rFonts w:asciiTheme="majorHAnsi" w:hAnsiTheme="majorHAnsi" w:cstheme="majorHAnsi"/>
        </w:rPr>
        <w:t xml:space="preserve"> Dermatol. 2021 Feb;84(2):361-369.</w:t>
      </w:r>
    </w:p>
    <w:p w14:paraId="7140CD89" w14:textId="4DCF4877" w:rsidR="00A25C8F" w:rsidRDefault="00A25C8F" w:rsidP="00575E90">
      <w:pPr>
        <w:spacing w:line="276" w:lineRule="auto"/>
        <w:jc w:val="both"/>
        <w:rPr>
          <w:rFonts w:asciiTheme="majorHAnsi" w:hAnsiTheme="majorHAnsi" w:cstheme="majorHAnsi"/>
        </w:rPr>
      </w:pPr>
    </w:p>
    <w:p w14:paraId="20A00BA1" w14:textId="35D0AD60" w:rsidR="00DE588C" w:rsidRDefault="00DE588C" w:rsidP="00DE588C">
      <w:pPr>
        <w:jc w:val="both"/>
        <w:rPr>
          <w:rStyle w:val="docsum-journal-citation"/>
          <w:rFonts w:asciiTheme="majorHAnsi" w:hAnsiTheme="majorHAnsi" w:cstheme="majorHAnsi"/>
          <w:color w:val="000000" w:themeColor="text1"/>
          <w:shd w:val="clear" w:color="auto" w:fill="FFFFFF"/>
        </w:rPr>
      </w:pPr>
      <w:r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 xml:space="preserve">12. </w:t>
      </w:r>
      <w:r w:rsidRPr="00333A41"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 xml:space="preserve">Ibrahim SF, </w:t>
      </w:r>
      <w:proofErr w:type="spellStart"/>
      <w:r w:rsidRPr="00333A41"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>Kasprzak</w:t>
      </w:r>
      <w:proofErr w:type="spellEnd"/>
      <w:r w:rsidRPr="00333A41"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 xml:space="preserve"> JM, Hall MA, Fitzgerald AL, Siegel JJ, </w:t>
      </w:r>
      <w:proofErr w:type="spellStart"/>
      <w:r w:rsidRPr="00333A41"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>Kurley</w:t>
      </w:r>
      <w:proofErr w:type="spellEnd"/>
      <w:r w:rsidRPr="00333A41"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 xml:space="preserve"> SJ, Covington KR, Goldberg MS, </w:t>
      </w:r>
      <w:proofErr w:type="spellStart"/>
      <w:r w:rsidRPr="00333A41"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>Farberg</w:t>
      </w:r>
      <w:proofErr w:type="spellEnd"/>
      <w:r w:rsidRPr="00333A41"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 xml:space="preserve"> AS, Trotter SC, Reed K, </w:t>
      </w:r>
      <w:proofErr w:type="spellStart"/>
      <w:r w:rsidRPr="00333A41"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>Brodland</w:t>
      </w:r>
      <w:proofErr w:type="spellEnd"/>
      <w:r w:rsidRPr="00333A41"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 xml:space="preserve"> DG, </w:t>
      </w:r>
      <w:proofErr w:type="spellStart"/>
      <w:r w:rsidRPr="00333A41"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>Koyfman</w:t>
      </w:r>
      <w:proofErr w:type="spellEnd"/>
      <w:r w:rsidRPr="00333A41"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 xml:space="preserve"> SA, </w:t>
      </w:r>
      <w:proofErr w:type="spellStart"/>
      <w:r w:rsidRPr="00333A41"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>Somani</w:t>
      </w:r>
      <w:proofErr w:type="spellEnd"/>
      <w:r w:rsidRPr="00333A41"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 xml:space="preserve"> AK, Arron ST, </w:t>
      </w:r>
      <w:proofErr w:type="spellStart"/>
      <w:r w:rsidRPr="00333A41"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>Wysong</w:t>
      </w:r>
      <w:proofErr w:type="spellEnd"/>
      <w:r w:rsidRPr="00333A41">
        <w:rPr>
          <w:rStyle w:val="docsum-authors"/>
          <w:rFonts w:asciiTheme="majorHAnsi" w:hAnsiTheme="majorHAnsi" w:cstheme="majorHAnsi"/>
          <w:color w:val="212121"/>
          <w:shd w:val="clear" w:color="auto" w:fill="FFFFFF"/>
        </w:rPr>
        <w:t xml:space="preserve"> A. </w:t>
      </w:r>
      <w:r w:rsidRPr="004C608D">
        <w:rPr>
          <w:rFonts w:asciiTheme="majorHAnsi" w:hAnsiTheme="majorHAnsi" w:cstheme="majorHAnsi"/>
          <w:shd w:val="clear" w:color="auto" w:fill="FFFFFF"/>
        </w:rPr>
        <w:t xml:space="preserve">Enhanced metastatic risk assessment in cutaneous squamous cell carcinoma with the 40-gene expression profile test. </w:t>
      </w:r>
      <w:r w:rsidRPr="00333A41">
        <w:rPr>
          <w:rStyle w:val="docsum-journal-citation"/>
          <w:rFonts w:asciiTheme="majorHAnsi" w:hAnsiTheme="majorHAnsi" w:cstheme="majorHAnsi"/>
          <w:color w:val="000000" w:themeColor="text1"/>
          <w:shd w:val="clear" w:color="auto" w:fill="FFFFFF"/>
        </w:rPr>
        <w:t xml:space="preserve">Future Oncol. 2022 Mar;18(7):833-847. </w:t>
      </w:r>
      <w:proofErr w:type="spellStart"/>
      <w:r w:rsidRPr="00333A41">
        <w:rPr>
          <w:rStyle w:val="docsum-journal-citation"/>
          <w:rFonts w:asciiTheme="majorHAnsi" w:hAnsiTheme="majorHAnsi" w:cstheme="majorHAnsi"/>
          <w:color w:val="000000" w:themeColor="text1"/>
          <w:shd w:val="clear" w:color="auto" w:fill="FFFFFF"/>
        </w:rPr>
        <w:t>doi</w:t>
      </w:r>
      <w:proofErr w:type="spellEnd"/>
      <w:r w:rsidRPr="00333A41">
        <w:rPr>
          <w:rStyle w:val="docsum-journal-citation"/>
          <w:rFonts w:asciiTheme="majorHAnsi" w:hAnsiTheme="majorHAnsi" w:cstheme="majorHAnsi"/>
          <w:color w:val="000000" w:themeColor="text1"/>
          <w:shd w:val="clear" w:color="auto" w:fill="FFFFFF"/>
        </w:rPr>
        <w:t xml:space="preserve">: 10.2217/fon-2021-1277. </w:t>
      </w:r>
    </w:p>
    <w:p w14:paraId="21981258" w14:textId="620484F8" w:rsidR="00E51C47" w:rsidRDefault="00E51C47" w:rsidP="00DE588C">
      <w:pPr>
        <w:jc w:val="both"/>
        <w:rPr>
          <w:rStyle w:val="docsum-journal-citation"/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626E177A" w14:textId="16BFE19F" w:rsidR="00E51C47" w:rsidRDefault="00E51C47" w:rsidP="00DE588C">
      <w:pPr>
        <w:jc w:val="both"/>
        <w:rPr>
          <w:rFonts w:asciiTheme="majorHAnsi" w:hAnsiTheme="majorHAnsi" w:cstheme="majorHAnsi"/>
        </w:rPr>
      </w:pPr>
      <w:r w:rsidRPr="00E51C47">
        <w:rPr>
          <w:rFonts w:asciiTheme="majorHAnsi" w:hAnsiTheme="majorHAnsi" w:cstheme="majorHAnsi"/>
        </w:rPr>
        <w:t xml:space="preserve">13. </w:t>
      </w:r>
      <w:proofErr w:type="spellStart"/>
      <w:r w:rsidRPr="00E51C47">
        <w:rPr>
          <w:rFonts w:asciiTheme="majorHAnsi" w:hAnsiTheme="majorHAnsi" w:cstheme="majorHAnsi"/>
        </w:rPr>
        <w:t>Yeakley</w:t>
      </w:r>
      <w:proofErr w:type="spellEnd"/>
      <w:r w:rsidRPr="00E51C47">
        <w:rPr>
          <w:rFonts w:asciiTheme="majorHAnsi" w:hAnsiTheme="majorHAnsi" w:cstheme="majorHAnsi"/>
        </w:rPr>
        <w:t xml:space="preserve"> JM, Shepard PJ, </w:t>
      </w:r>
      <w:proofErr w:type="spellStart"/>
      <w:r w:rsidRPr="00E51C47">
        <w:rPr>
          <w:rFonts w:asciiTheme="majorHAnsi" w:hAnsiTheme="majorHAnsi" w:cstheme="majorHAnsi"/>
        </w:rPr>
        <w:t>Goyena</w:t>
      </w:r>
      <w:proofErr w:type="spellEnd"/>
      <w:r w:rsidRPr="00E51C47">
        <w:rPr>
          <w:rFonts w:asciiTheme="majorHAnsi" w:hAnsiTheme="majorHAnsi" w:cstheme="majorHAnsi"/>
        </w:rPr>
        <w:t xml:space="preserve"> DE, </w:t>
      </w:r>
      <w:proofErr w:type="spellStart"/>
      <w:r w:rsidRPr="00E51C47">
        <w:rPr>
          <w:rFonts w:asciiTheme="majorHAnsi" w:hAnsiTheme="majorHAnsi" w:cstheme="majorHAnsi"/>
        </w:rPr>
        <w:t>VanSteenhouse</w:t>
      </w:r>
      <w:proofErr w:type="spellEnd"/>
      <w:r w:rsidRPr="00E51C47">
        <w:rPr>
          <w:rFonts w:asciiTheme="majorHAnsi" w:hAnsiTheme="majorHAnsi" w:cstheme="majorHAnsi"/>
        </w:rPr>
        <w:t xml:space="preserve"> HC, </w:t>
      </w:r>
      <w:proofErr w:type="spellStart"/>
      <w:r w:rsidRPr="00E51C47">
        <w:rPr>
          <w:rFonts w:asciiTheme="majorHAnsi" w:hAnsiTheme="majorHAnsi" w:cstheme="majorHAnsi"/>
        </w:rPr>
        <w:t>McComb</w:t>
      </w:r>
      <w:proofErr w:type="spellEnd"/>
      <w:r w:rsidRPr="00E51C47">
        <w:rPr>
          <w:rFonts w:asciiTheme="majorHAnsi" w:hAnsiTheme="majorHAnsi" w:cstheme="majorHAnsi"/>
        </w:rPr>
        <w:t xml:space="preserve"> JD, </w:t>
      </w:r>
      <w:proofErr w:type="spellStart"/>
      <w:r w:rsidRPr="00E51C47">
        <w:rPr>
          <w:rFonts w:asciiTheme="majorHAnsi" w:hAnsiTheme="majorHAnsi" w:cstheme="majorHAnsi"/>
        </w:rPr>
        <w:t>Seligmann</w:t>
      </w:r>
      <w:proofErr w:type="spellEnd"/>
      <w:r w:rsidRPr="00E51C47">
        <w:rPr>
          <w:rFonts w:asciiTheme="majorHAnsi" w:hAnsiTheme="majorHAnsi" w:cstheme="majorHAnsi"/>
        </w:rPr>
        <w:t xml:space="preserve"> BE. A </w:t>
      </w:r>
      <w:proofErr w:type="spellStart"/>
      <w:r w:rsidRPr="00E51C47">
        <w:rPr>
          <w:rFonts w:asciiTheme="majorHAnsi" w:hAnsiTheme="majorHAnsi" w:cstheme="majorHAnsi"/>
        </w:rPr>
        <w:t>trichostatin</w:t>
      </w:r>
      <w:proofErr w:type="spellEnd"/>
      <w:r w:rsidRPr="00E51C47">
        <w:rPr>
          <w:rFonts w:asciiTheme="majorHAnsi" w:hAnsiTheme="majorHAnsi" w:cstheme="majorHAnsi"/>
        </w:rPr>
        <w:t xml:space="preserve"> A expression signature identified by </w:t>
      </w:r>
      <w:proofErr w:type="spellStart"/>
      <w:r w:rsidRPr="00E51C47">
        <w:rPr>
          <w:rFonts w:asciiTheme="majorHAnsi" w:hAnsiTheme="majorHAnsi" w:cstheme="majorHAnsi"/>
        </w:rPr>
        <w:t>TempO-Seq</w:t>
      </w:r>
      <w:proofErr w:type="spellEnd"/>
      <w:r w:rsidRPr="00E51C47">
        <w:rPr>
          <w:rFonts w:asciiTheme="majorHAnsi" w:hAnsiTheme="majorHAnsi" w:cstheme="majorHAnsi"/>
        </w:rPr>
        <w:t xml:space="preserve"> targeted whole transcriptome profiling. </w:t>
      </w:r>
      <w:proofErr w:type="spellStart"/>
      <w:r w:rsidRPr="00E51C47">
        <w:rPr>
          <w:rFonts w:asciiTheme="majorHAnsi" w:hAnsiTheme="majorHAnsi" w:cstheme="majorHAnsi"/>
        </w:rPr>
        <w:t>PloS</w:t>
      </w:r>
      <w:proofErr w:type="spellEnd"/>
      <w:r w:rsidRPr="00E51C47">
        <w:rPr>
          <w:rFonts w:asciiTheme="majorHAnsi" w:hAnsiTheme="majorHAnsi" w:cstheme="majorHAnsi"/>
        </w:rPr>
        <w:t xml:space="preserve"> One. 2017;12(5</w:t>
      </w:r>
      <w:proofErr w:type="gramStart"/>
      <w:r w:rsidRPr="00E51C47">
        <w:rPr>
          <w:rFonts w:asciiTheme="majorHAnsi" w:hAnsiTheme="majorHAnsi" w:cstheme="majorHAnsi"/>
        </w:rPr>
        <w:t>):e</w:t>
      </w:r>
      <w:proofErr w:type="gramEnd"/>
      <w:r w:rsidRPr="00E51C47">
        <w:rPr>
          <w:rFonts w:asciiTheme="majorHAnsi" w:hAnsiTheme="majorHAnsi" w:cstheme="majorHAnsi"/>
        </w:rPr>
        <w:t>0178302.</w:t>
      </w:r>
    </w:p>
    <w:p w14:paraId="4BF7EE7E" w14:textId="77777777" w:rsidR="00A25C8F" w:rsidRPr="00FE4019" w:rsidRDefault="00A25C8F" w:rsidP="00575E90">
      <w:pPr>
        <w:spacing w:line="276" w:lineRule="auto"/>
        <w:jc w:val="both"/>
        <w:rPr>
          <w:rFonts w:asciiTheme="majorHAnsi" w:hAnsiTheme="majorHAnsi" w:cstheme="majorHAnsi"/>
        </w:rPr>
      </w:pPr>
    </w:p>
    <w:p w14:paraId="0185239B" w14:textId="0AE809A2" w:rsidR="00A25C8F" w:rsidRPr="00FE4019" w:rsidRDefault="00A25C8F" w:rsidP="00575E90">
      <w:pPr>
        <w:spacing w:line="276" w:lineRule="auto"/>
        <w:jc w:val="both"/>
        <w:rPr>
          <w:rFonts w:asciiTheme="majorHAnsi" w:hAnsiTheme="majorHAnsi" w:cstheme="majorHAnsi"/>
        </w:rPr>
      </w:pPr>
      <w:r w:rsidRPr="00FE4019">
        <w:rPr>
          <w:rFonts w:asciiTheme="majorHAnsi" w:hAnsiTheme="majorHAnsi" w:cstheme="majorHAnsi"/>
        </w:rPr>
        <w:t>1</w:t>
      </w:r>
      <w:r w:rsidR="00FB3B1F">
        <w:rPr>
          <w:rFonts w:asciiTheme="majorHAnsi" w:hAnsiTheme="majorHAnsi" w:cstheme="majorHAnsi"/>
        </w:rPr>
        <w:t>4</w:t>
      </w:r>
      <w:r w:rsidRPr="00FE4019">
        <w:rPr>
          <w:rFonts w:asciiTheme="majorHAnsi" w:hAnsiTheme="majorHAnsi" w:cstheme="majorHAnsi"/>
        </w:rPr>
        <w:t>.</w:t>
      </w:r>
      <w:r w:rsidR="00AA6868" w:rsidRPr="00FE4019">
        <w:rPr>
          <w:rFonts w:asciiTheme="majorHAnsi" w:hAnsiTheme="majorHAnsi" w:cstheme="majorHAnsi"/>
        </w:rPr>
        <w:t xml:space="preserve"> </w:t>
      </w:r>
      <w:r w:rsidRPr="00FE4019">
        <w:rPr>
          <w:rFonts w:asciiTheme="majorHAnsi" w:hAnsiTheme="majorHAnsi" w:cstheme="majorHAnsi"/>
        </w:rPr>
        <w:t xml:space="preserve">Ritchie ME, </w:t>
      </w:r>
      <w:proofErr w:type="spellStart"/>
      <w:r w:rsidRPr="00FE4019">
        <w:rPr>
          <w:rFonts w:asciiTheme="majorHAnsi" w:hAnsiTheme="majorHAnsi" w:cstheme="majorHAnsi"/>
        </w:rPr>
        <w:t>Phipson</w:t>
      </w:r>
      <w:proofErr w:type="spellEnd"/>
      <w:r w:rsidRPr="00FE4019">
        <w:rPr>
          <w:rFonts w:asciiTheme="majorHAnsi" w:hAnsiTheme="majorHAnsi" w:cstheme="majorHAnsi"/>
        </w:rPr>
        <w:t xml:space="preserve"> B, Wu D, Hu Y, Law CW, Shi W, Smyth GK. </w:t>
      </w:r>
      <w:proofErr w:type="spellStart"/>
      <w:r w:rsidR="00E123C1" w:rsidRPr="00FE4019">
        <w:rPr>
          <w:rFonts w:asciiTheme="majorHAnsi" w:hAnsiTheme="majorHAnsi" w:cstheme="majorHAnsi"/>
        </w:rPr>
        <w:t>L</w:t>
      </w:r>
      <w:r w:rsidRPr="00FE4019">
        <w:rPr>
          <w:rFonts w:asciiTheme="majorHAnsi" w:hAnsiTheme="majorHAnsi" w:cstheme="majorHAnsi"/>
        </w:rPr>
        <w:t>imma</w:t>
      </w:r>
      <w:proofErr w:type="spellEnd"/>
      <w:r w:rsidRPr="00FE4019">
        <w:rPr>
          <w:rFonts w:asciiTheme="majorHAnsi" w:hAnsiTheme="majorHAnsi" w:cstheme="majorHAnsi"/>
        </w:rPr>
        <w:t xml:space="preserve"> powers differential expression analyses for RNA-sequencing and microarray studies. Nucleic Acids Res. 2015 Apr 20;43(7</w:t>
      </w:r>
      <w:proofErr w:type="gramStart"/>
      <w:r w:rsidRPr="00FE4019">
        <w:rPr>
          <w:rFonts w:asciiTheme="majorHAnsi" w:hAnsiTheme="majorHAnsi" w:cstheme="majorHAnsi"/>
        </w:rPr>
        <w:t>):e</w:t>
      </w:r>
      <w:proofErr w:type="gramEnd"/>
      <w:r w:rsidRPr="00FE4019">
        <w:rPr>
          <w:rFonts w:asciiTheme="majorHAnsi" w:hAnsiTheme="majorHAnsi" w:cstheme="majorHAnsi"/>
        </w:rPr>
        <w:t xml:space="preserve">47. </w:t>
      </w:r>
    </w:p>
    <w:p w14:paraId="0672BAA4" w14:textId="77777777" w:rsidR="007344A4" w:rsidRDefault="007344A4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64BD1097" w14:textId="0C5876CB" w:rsidR="00A25C8F" w:rsidRDefault="00A25C8F" w:rsidP="00090916">
      <w:pPr>
        <w:spacing w:line="276" w:lineRule="auto"/>
        <w:jc w:val="both"/>
        <w:rPr>
          <w:rFonts w:asciiTheme="majorHAnsi" w:hAnsiTheme="majorHAnsi" w:cstheme="majorHAnsi"/>
        </w:rPr>
      </w:pPr>
      <w:r w:rsidRPr="00FE4019">
        <w:rPr>
          <w:rFonts w:asciiTheme="majorHAnsi" w:hAnsiTheme="majorHAnsi" w:cstheme="majorHAnsi"/>
        </w:rPr>
        <w:t>1</w:t>
      </w:r>
      <w:r w:rsidR="00FE2E97">
        <w:rPr>
          <w:rFonts w:asciiTheme="majorHAnsi" w:hAnsiTheme="majorHAnsi" w:cstheme="majorHAnsi"/>
        </w:rPr>
        <w:t>5</w:t>
      </w:r>
      <w:r w:rsidRPr="00FE4019">
        <w:rPr>
          <w:rFonts w:asciiTheme="majorHAnsi" w:hAnsiTheme="majorHAnsi" w:cstheme="majorHAnsi"/>
        </w:rPr>
        <w:t>.</w:t>
      </w:r>
      <w:r w:rsidR="00FE2E97">
        <w:rPr>
          <w:rFonts w:asciiTheme="majorHAnsi" w:hAnsiTheme="majorHAnsi" w:cstheme="majorHAnsi"/>
        </w:rPr>
        <w:t xml:space="preserve"> </w:t>
      </w:r>
      <w:r w:rsidRPr="00FE4019">
        <w:rPr>
          <w:rFonts w:asciiTheme="majorHAnsi" w:hAnsiTheme="majorHAnsi" w:cstheme="majorHAnsi"/>
        </w:rPr>
        <w:t xml:space="preserve">Leek JT, Johnson WE, Parker HS, </w:t>
      </w:r>
      <w:proofErr w:type="spellStart"/>
      <w:r w:rsidRPr="00FE4019">
        <w:rPr>
          <w:rFonts w:asciiTheme="majorHAnsi" w:hAnsiTheme="majorHAnsi" w:cstheme="majorHAnsi"/>
        </w:rPr>
        <w:t>Fertig</w:t>
      </w:r>
      <w:proofErr w:type="spellEnd"/>
      <w:r w:rsidRPr="00FE4019">
        <w:rPr>
          <w:rFonts w:asciiTheme="majorHAnsi" w:hAnsiTheme="majorHAnsi" w:cstheme="majorHAnsi"/>
        </w:rPr>
        <w:t xml:space="preserve"> EJ, Jaffe AE, Zhang Y, Storey JD, Torres LC. </w:t>
      </w:r>
      <w:proofErr w:type="spellStart"/>
      <w:r w:rsidR="00E123C1" w:rsidRPr="00FE4019">
        <w:rPr>
          <w:rFonts w:asciiTheme="majorHAnsi" w:hAnsiTheme="majorHAnsi" w:cstheme="majorHAnsi"/>
        </w:rPr>
        <w:t>S</w:t>
      </w:r>
      <w:r w:rsidRPr="00FE4019">
        <w:rPr>
          <w:rFonts w:asciiTheme="majorHAnsi" w:hAnsiTheme="majorHAnsi" w:cstheme="majorHAnsi"/>
        </w:rPr>
        <w:t>va</w:t>
      </w:r>
      <w:proofErr w:type="spellEnd"/>
      <w:r w:rsidRPr="00FE4019">
        <w:rPr>
          <w:rFonts w:asciiTheme="majorHAnsi" w:hAnsiTheme="majorHAnsi" w:cstheme="majorHAnsi"/>
        </w:rPr>
        <w:t xml:space="preserve">: Surrogate Variable Analysis. </w:t>
      </w:r>
      <w:r w:rsidR="000D614C" w:rsidRPr="00FE4019">
        <w:rPr>
          <w:rFonts w:asciiTheme="majorHAnsi" w:hAnsiTheme="majorHAnsi" w:cstheme="majorHAnsi"/>
        </w:rPr>
        <w:t xml:space="preserve">2022 </w:t>
      </w:r>
      <w:r w:rsidRPr="00FE4019">
        <w:rPr>
          <w:rFonts w:asciiTheme="majorHAnsi" w:hAnsiTheme="majorHAnsi" w:cstheme="majorHAnsi"/>
        </w:rPr>
        <w:t>R package version 3.44.0.</w:t>
      </w:r>
    </w:p>
    <w:p w14:paraId="23BE9834" w14:textId="033F4B4F" w:rsidR="000F5551" w:rsidRDefault="000F5551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2E38CC2C" w14:textId="6D142C8C" w:rsidR="00010A3A" w:rsidRPr="00FE4019" w:rsidRDefault="007C739E" w:rsidP="0009091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="00FE2E97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. </w:t>
      </w:r>
      <w:r w:rsidR="004B6292" w:rsidRPr="004B6292">
        <w:rPr>
          <w:rFonts w:asciiTheme="majorHAnsi" w:hAnsiTheme="majorHAnsi" w:cstheme="majorHAnsi"/>
        </w:rPr>
        <w:t xml:space="preserve">Huang da W, Sherman BT, </w:t>
      </w:r>
      <w:proofErr w:type="spellStart"/>
      <w:r w:rsidR="004B6292" w:rsidRPr="004B6292">
        <w:rPr>
          <w:rFonts w:asciiTheme="majorHAnsi" w:hAnsiTheme="majorHAnsi" w:cstheme="majorHAnsi"/>
        </w:rPr>
        <w:t>Lempicki</w:t>
      </w:r>
      <w:proofErr w:type="spellEnd"/>
      <w:r w:rsidR="004B6292" w:rsidRPr="004B6292">
        <w:rPr>
          <w:rFonts w:asciiTheme="majorHAnsi" w:hAnsiTheme="majorHAnsi" w:cstheme="majorHAnsi"/>
        </w:rPr>
        <w:t xml:space="preserve"> RA. Systematic and integrative analysis of large gene lists using DAVID bioinformatics resources. Nat </w:t>
      </w:r>
      <w:proofErr w:type="spellStart"/>
      <w:r w:rsidR="004B6292" w:rsidRPr="004B6292">
        <w:rPr>
          <w:rFonts w:asciiTheme="majorHAnsi" w:hAnsiTheme="majorHAnsi" w:cstheme="majorHAnsi"/>
        </w:rPr>
        <w:t>Protoc</w:t>
      </w:r>
      <w:proofErr w:type="spellEnd"/>
      <w:r w:rsidR="004B6292" w:rsidRPr="004B6292">
        <w:rPr>
          <w:rFonts w:asciiTheme="majorHAnsi" w:hAnsiTheme="majorHAnsi" w:cstheme="majorHAnsi"/>
        </w:rPr>
        <w:t>. 2009;4(1):44-57.</w:t>
      </w:r>
    </w:p>
    <w:p w14:paraId="72FB88B4" w14:textId="36B84B31" w:rsidR="000376FE" w:rsidRPr="00FE4019" w:rsidRDefault="000376FE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68D0B7E8" w14:textId="5B52DCB8" w:rsidR="000376FE" w:rsidRPr="00FE4019" w:rsidRDefault="000376FE" w:rsidP="000376FE">
      <w:pPr>
        <w:spacing w:line="276" w:lineRule="auto"/>
        <w:jc w:val="both"/>
        <w:rPr>
          <w:rFonts w:asciiTheme="majorHAnsi" w:hAnsiTheme="majorHAnsi" w:cstheme="majorHAnsi"/>
        </w:rPr>
      </w:pPr>
      <w:r w:rsidRPr="00FE4019">
        <w:rPr>
          <w:rFonts w:asciiTheme="majorHAnsi" w:hAnsiTheme="majorHAnsi" w:cstheme="majorHAnsi"/>
        </w:rPr>
        <w:t>1</w:t>
      </w:r>
      <w:r w:rsidR="00FE2E97">
        <w:rPr>
          <w:rFonts w:asciiTheme="majorHAnsi" w:hAnsiTheme="majorHAnsi" w:cstheme="majorHAnsi"/>
        </w:rPr>
        <w:t>7</w:t>
      </w:r>
      <w:r w:rsidRPr="00FE4019">
        <w:rPr>
          <w:rFonts w:asciiTheme="majorHAnsi" w:hAnsiTheme="majorHAnsi" w:cstheme="majorHAnsi"/>
        </w:rPr>
        <w:t xml:space="preserve">. Wu T, Hu E, Xu S, Chen M, Guo P, Dai Z, Feng T, Zhou L, Tang W, Zhan L, Fu X, Liu S, Bo X, Yu G. </w:t>
      </w:r>
      <w:proofErr w:type="spellStart"/>
      <w:r w:rsidRPr="00FE4019">
        <w:rPr>
          <w:rFonts w:asciiTheme="majorHAnsi" w:hAnsiTheme="majorHAnsi" w:cstheme="majorHAnsi"/>
        </w:rPr>
        <w:t>clusterProfiler</w:t>
      </w:r>
      <w:proofErr w:type="spellEnd"/>
      <w:r w:rsidRPr="00FE4019">
        <w:rPr>
          <w:rFonts w:asciiTheme="majorHAnsi" w:hAnsiTheme="majorHAnsi" w:cstheme="majorHAnsi"/>
        </w:rPr>
        <w:t xml:space="preserve"> 4.0: A universal enrichment tool for interpreting omics data. Innovation (</w:t>
      </w:r>
      <w:proofErr w:type="spellStart"/>
      <w:r w:rsidRPr="00FE4019">
        <w:rPr>
          <w:rFonts w:asciiTheme="majorHAnsi" w:hAnsiTheme="majorHAnsi" w:cstheme="majorHAnsi"/>
        </w:rPr>
        <w:t>Camb</w:t>
      </w:r>
      <w:proofErr w:type="spellEnd"/>
      <w:r w:rsidRPr="00FE4019">
        <w:rPr>
          <w:rFonts w:asciiTheme="majorHAnsi" w:hAnsiTheme="majorHAnsi" w:cstheme="majorHAnsi"/>
        </w:rPr>
        <w:t xml:space="preserve">). 2021 Jul 1;2(3):100141. </w:t>
      </w:r>
    </w:p>
    <w:p w14:paraId="4767F2F6" w14:textId="79E0B01D" w:rsidR="005A7F1C" w:rsidRPr="00FE4019" w:rsidRDefault="005A7F1C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3BD14631" w14:textId="43894F97" w:rsidR="005A7F1C" w:rsidRPr="00FE4019" w:rsidRDefault="00FF7BD1" w:rsidP="00090916">
      <w:pPr>
        <w:spacing w:line="276" w:lineRule="auto"/>
        <w:jc w:val="both"/>
        <w:rPr>
          <w:rFonts w:asciiTheme="majorHAnsi" w:hAnsiTheme="majorHAnsi" w:cstheme="majorHAnsi"/>
        </w:rPr>
      </w:pPr>
      <w:r w:rsidRPr="00FE4019">
        <w:rPr>
          <w:rFonts w:asciiTheme="majorHAnsi" w:hAnsiTheme="majorHAnsi" w:cstheme="majorHAnsi"/>
        </w:rPr>
        <w:t>1</w:t>
      </w:r>
      <w:r w:rsidR="00E04877">
        <w:rPr>
          <w:rFonts w:asciiTheme="majorHAnsi" w:hAnsiTheme="majorHAnsi" w:cstheme="majorHAnsi"/>
        </w:rPr>
        <w:t>8</w:t>
      </w:r>
      <w:r w:rsidRPr="00FE4019">
        <w:rPr>
          <w:rFonts w:asciiTheme="majorHAnsi" w:hAnsiTheme="majorHAnsi" w:cstheme="majorHAnsi"/>
        </w:rPr>
        <w:t xml:space="preserve">. </w:t>
      </w:r>
      <w:r w:rsidR="005A7F1C" w:rsidRPr="00FE4019">
        <w:rPr>
          <w:rFonts w:asciiTheme="majorHAnsi" w:hAnsiTheme="majorHAnsi" w:cstheme="majorHAnsi"/>
        </w:rPr>
        <w:t>Kuhn M. Building predictive models in R using the caret package. J Stat Softw</w:t>
      </w:r>
      <w:r w:rsidR="00515B1C" w:rsidRPr="00FE4019">
        <w:rPr>
          <w:rFonts w:asciiTheme="majorHAnsi" w:hAnsiTheme="majorHAnsi" w:cstheme="majorHAnsi"/>
        </w:rPr>
        <w:t>are</w:t>
      </w:r>
      <w:r w:rsidR="005A7F1C" w:rsidRPr="00FE4019">
        <w:rPr>
          <w:rFonts w:asciiTheme="majorHAnsi" w:hAnsiTheme="majorHAnsi" w:cstheme="majorHAnsi"/>
        </w:rPr>
        <w:t xml:space="preserve">. </w:t>
      </w:r>
      <w:proofErr w:type="gramStart"/>
      <w:r w:rsidR="005A7F1C" w:rsidRPr="00FE4019">
        <w:rPr>
          <w:rFonts w:asciiTheme="majorHAnsi" w:hAnsiTheme="majorHAnsi" w:cstheme="majorHAnsi"/>
        </w:rPr>
        <w:t>2008;28:1</w:t>
      </w:r>
      <w:proofErr w:type="gramEnd"/>
      <w:r w:rsidR="005A7F1C" w:rsidRPr="00FE4019">
        <w:rPr>
          <w:rFonts w:asciiTheme="majorHAnsi" w:hAnsiTheme="majorHAnsi" w:cstheme="majorHAnsi"/>
        </w:rPr>
        <w:t>–26.</w:t>
      </w:r>
    </w:p>
    <w:p w14:paraId="1F790303" w14:textId="77777777" w:rsidR="00A25C8F" w:rsidRPr="00FE4019" w:rsidRDefault="00A25C8F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007552ED" w14:textId="7D9BD97A" w:rsidR="00A25C8F" w:rsidRPr="00FE4019" w:rsidRDefault="00476D9B" w:rsidP="0009091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19</w:t>
      </w:r>
      <w:r w:rsidR="00A25C8F" w:rsidRPr="00FE4019">
        <w:rPr>
          <w:rFonts w:asciiTheme="majorHAnsi" w:hAnsiTheme="majorHAnsi" w:cstheme="majorHAnsi"/>
        </w:rPr>
        <w:t>.</w:t>
      </w:r>
      <w:r w:rsidR="001F5398">
        <w:rPr>
          <w:rFonts w:asciiTheme="majorHAnsi" w:hAnsiTheme="majorHAnsi" w:cstheme="majorHAnsi"/>
        </w:rPr>
        <w:t xml:space="preserve"> </w:t>
      </w:r>
      <w:r w:rsidR="00A25C8F" w:rsidRPr="00FE4019">
        <w:rPr>
          <w:rFonts w:asciiTheme="majorHAnsi" w:hAnsiTheme="majorHAnsi" w:cstheme="majorHAnsi"/>
        </w:rPr>
        <w:t xml:space="preserve">Robin X, </w:t>
      </w:r>
      <w:proofErr w:type="spellStart"/>
      <w:r w:rsidR="00A25C8F" w:rsidRPr="00FE4019">
        <w:rPr>
          <w:rFonts w:asciiTheme="majorHAnsi" w:hAnsiTheme="majorHAnsi" w:cstheme="majorHAnsi"/>
        </w:rPr>
        <w:t>Turck</w:t>
      </w:r>
      <w:proofErr w:type="spellEnd"/>
      <w:r w:rsidR="00A25C8F" w:rsidRPr="00FE4019">
        <w:rPr>
          <w:rFonts w:asciiTheme="majorHAnsi" w:hAnsiTheme="majorHAnsi" w:cstheme="majorHAnsi"/>
        </w:rPr>
        <w:t xml:space="preserve"> N, </w:t>
      </w:r>
      <w:proofErr w:type="spellStart"/>
      <w:r w:rsidR="00A25C8F" w:rsidRPr="00FE4019">
        <w:rPr>
          <w:rFonts w:asciiTheme="majorHAnsi" w:hAnsiTheme="majorHAnsi" w:cstheme="majorHAnsi"/>
        </w:rPr>
        <w:t>Hainard</w:t>
      </w:r>
      <w:proofErr w:type="spellEnd"/>
      <w:r w:rsidR="00A25C8F" w:rsidRPr="00FE4019">
        <w:rPr>
          <w:rFonts w:asciiTheme="majorHAnsi" w:hAnsiTheme="majorHAnsi" w:cstheme="majorHAnsi"/>
        </w:rPr>
        <w:t xml:space="preserve"> A, </w:t>
      </w:r>
      <w:proofErr w:type="spellStart"/>
      <w:r w:rsidR="00A25C8F" w:rsidRPr="00FE4019">
        <w:rPr>
          <w:rFonts w:asciiTheme="majorHAnsi" w:hAnsiTheme="majorHAnsi" w:cstheme="majorHAnsi"/>
        </w:rPr>
        <w:t>Tiberti</w:t>
      </w:r>
      <w:proofErr w:type="spellEnd"/>
      <w:r w:rsidR="00A25C8F" w:rsidRPr="00FE4019">
        <w:rPr>
          <w:rFonts w:asciiTheme="majorHAnsi" w:hAnsiTheme="majorHAnsi" w:cstheme="majorHAnsi"/>
        </w:rPr>
        <w:t xml:space="preserve"> N, </w:t>
      </w:r>
      <w:proofErr w:type="spellStart"/>
      <w:r w:rsidR="00A25C8F" w:rsidRPr="00FE4019">
        <w:rPr>
          <w:rFonts w:asciiTheme="majorHAnsi" w:hAnsiTheme="majorHAnsi" w:cstheme="majorHAnsi"/>
        </w:rPr>
        <w:t>Lisacek</w:t>
      </w:r>
      <w:proofErr w:type="spellEnd"/>
      <w:r w:rsidR="00A25C8F" w:rsidRPr="00FE4019">
        <w:rPr>
          <w:rFonts w:asciiTheme="majorHAnsi" w:hAnsiTheme="majorHAnsi" w:cstheme="majorHAnsi"/>
        </w:rPr>
        <w:t xml:space="preserve"> F, Sanchez JC, Müller M. </w:t>
      </w:r>
      <w:proofErr w:type="spellStart"/>
      <w:r w:rsidR="00A25C8F" w:rsidRPr="00FE4019">
        <w:rPr>
          <w:rFonts w:asciiTheme="majorHAnsi" w:hAnsiTheme="majorHAnsi" w:cstheme="majorHAnsi"/>
        </w:rPr>
        <w:t>pROC</w:t>
      </w:r>
      <w:proofErr w:type="spellEnd"/>
      <w:r w:rsidR="00A25C8F" w:rsidRPr="00FE4019">
        <w:rPr>
          <w:rFonts w:asciiTheme="majorHAnsi" w:hAnsiTheme="majorHAnsi" w:cstheme="majorHAnsi"/>
        </w:rPr>
        <w:t xml:space="preserve">: an open-source package for R and S+ to </w:t>
      </w:r>
      <w:proofErr w:type="spellStart"/>
      <w:r w:rsidR="00A25C8F" w:rsidRPr="00FE4019">
        <w:rPr>
          <w:rFonts w:asciiTheme="majorHAnsi" w:hAnsiTheme="majorHAnsi" w:cstheme="majorHAnsi"/>
        </w:rPr>
        <w:t>analyze</w:t>
      </w:r>
      <w:proofErr w:type="spellEnd"/>
      <w:r w:rsidR="00A25C8F" w:rsidRPr="00FE4019">
        <w:rPr>
          <w:rFonts w:asciiTheme="majorHAnsi" w:hAnsiTheme="majorHAnsi" w:cstheme="majorHAnsi"/>
        </w:rPr>
        <w:t xml:space="preserve"> and compare ROC curves. BMC Bioinformatics. 2011 Mar </w:t>
      </w:r>
      <w:proofErr w:type="gramStart"/>
      <w:r w:rsidR="00A25C8F" w:rsidRPr="00FE4019">
        <w:rPr>
          <w:rFonts w:asciiTheme="majorHAnsi" w:hAnsiTheme="majorHAnsi" w:cstheme="majorHAnsi"/>
        </w:rPr>
        <w:t>17;12:77</w:t>
      </w:r>
      <w:proofErr w:type="gramEnd"/>
      <w:r w:rsidR="00A25C8F" w:rsidRPr="00FE4019">
        <w:rPr>
          <w:rFonts w:asciiTheme="majorHAnsi" w:hAnsiTheme="majorHAnsi" w:cstheme="majorHAnsi"/>
        </w:rPr>
        <w:t xml:space="preserve">. </w:t>
      </w:r>
    </w:p>
    <w:p w14:paraId="33025709" w14:textId="2F638AD8" w:rsidR="00191AE5" w:rsidRDefault="00191AE5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18D253B8" w14:textId="5BE5EFE8" w:rsidR="00F41516" w:rsidRDefault="008B1D66" w:rsidP="0009091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CE6651">
        <w:rPr>
          <w:rFonts w:asciiTheme="majorHAnsi" w:hAnsiTheme="majorHAnsi" w:cstheme="majorHAnsi"/>
        </w:rPr>
        <w:t>0</w:t>
      </w:r>
      <w:r w:rsidR="00F41516">
        <w:rPr>
          <w:rFonts w:asciiTheme="majorHAnsi" w:hAnsiTheme="majorHAnsi" w:cstheme="majorHAnsi"/>
        </w:rPr>
        <w:t xml:space="preserve">. </w:t>
      </w:r>
      <w:r w:rsidR="00533B24" w:rsidRPr="00533B24">
        <w:rPr>
          <w:rFonts w:asciiTheme="majorHAnsi" w:hAnsiTheme="majorHAnsi" w:cstheme="majorHAnsi"/>
        </w:rPr>
        <w:t xml:space="preserve">Rubin CI, </w:t>
      </w:r>
      <w:proofErr w:type="spellStart"/>
      <w:r w:rsidR="00533B24" w:rsidRPr="00533B24">
        <w:rPr>
          <w:rFonts w:asciiTheme="majorHAnsi" w:hAnsiTheme="majorHAnsi" w:cstheme="majorHAnsi"/>
        </w:rPr>
        <w:t>Atweh</w:t>
      </w:r>
      <w:proofErr w:type="spellEnd"/>
      <w:r w:rsidR="00533B24" w:rsidRPr="00533B24">
        <w:rPr>
          <w:rFonts w:asciiTheme="majorHAnsi" w:hAnsiTheme="majorHAnsi" w:cstheme="majorHAnsi"/>
        </w:rPr>
        <w:t xml:space="preserve"> GF. The role of </w:t>
      </w:r>
      <w:proofErr w:type="spellStart"/>
      <w:r w:rsidR="00533B24" w:rsidRPr="00533B24">
        <w:rPr>
          <w:rFonts w:asciiTheme="majorHAnsi" w:hAnsiTheme="majorHAnsi" w:cstheme="majorHAnsi"/>
        </w:rPr>
        <w:t>stathmin</w:t>
      </w:r>
      <w:proofErr w:type="spellEnd"/>
      <w:r w:rsidR="00533B24" w:rsidRPr="00533B24">
        <w:rPr>
          <w:rFonts w:asciiTheme="majorHAnsi" w:hAnsiTheme="majorHAnsi" w:cstheme="majorHAnsi"/>
        </w:rPr>
        <w:t xml:space="preserve"> in the regulation of the cell cycle. J Cell </w:t>
      </w:r>
      <w:proofErr w:type="spellStart"/>
      <w:r w:rsidR="00533B24" w:rsidRPr="00533B24">
        <w:rPr>
          <w:rFonts w:asciiTheme="majorHAnsi" w:hAnsiTheme="majorHAnsi" w:cstheme="majorHAnsi"/>
        </w:rPr>
        <w:t>Biochem</w:t>
      </w:r>
      <w:proofErr w:type="spellEnd"/>
      <w:r w:rsidR="00533B24" w:rsidRPr="00533B24">
        <w:rPr>
          <w:rFonts w:asciiTheme="majorHAnsi" w:hAnsiTheme="majorHAnsi" w:cstheme="majorHAnsi"/>
        </w:rPr>
        <w:t>. 2004 Oct 1;93(2):242-50.</w:t>
      </w:r>
    </w:p>
    <w:p w14:paraId="7D4A20C7" w14:textId="25F20F5A" w:rsidR="005E4ADF" w:rsidRDefault="005E4ADF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5243AE42" w14:textId="498524A3" w:rsidR="005E4ADF" w:rsidRDefault="002011DB" w:rsidP="0009091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CE6651">
        <w:rPr>
          <w:rFonts w:asciiTheme="majorHAnsi" w:hAnsiTheme="majorHAnsi" w:cstheme="majorHAnsi"/>
        </w:rPr>
        <w:t>1</w:t>
      </w:r>
      <w:r w:rsidR="00163FE0">
        <w:rPr>
          <w:rFonts w:asciiTheme="majorHAnsi" w:hAnsiTheme="majorHAnsi" w:cstheme="majorHAnsi"/>
        </w:rPr>
        <w:t xml:space="preserve">. </w:t>
      </w:r>
      <w:r w:rsidR="001F6C0D" w:rsidRPr="001F6C0D">
        <w:rPr>
          <w:rFonts w:asciiTheme="majorHAnsi" w:hAnsiTheme="majorHAnsi" w:cstheme="majorHAnsi"/>
        </w:rPr>
        <w:t xml:space="preserve">Suzuki S, </w:t>
      </w:r>
      <w:proofErr w:type="spellStart"/>
      <w:r w:rsidR="001F6C0D" w:rsidRPr="001F6C0D">
        <w:rPr>
          <w:rFonts w:asciiTheme="majorHAnsi" w:hAnsiTheme="majorHAnsi" w:cstheme="majorHAnsi"/>
        </w:rPr>
        <w:t>Yokobori</w:t>
      </w:r>
      <w:proofErr w:type="spellEnd"/>
      <w:r w:rsidR="001F6C0D" w:rsidRPr="001F6C0D">
        <w:rPr>
          <w:rFonts w:asciiTheme="majorHAnsi" w:hAnsiTheme="majorHAnsi" w:cstheme="majorHAnsi"/>
        </w:rPr>
        <w:t xml:space="preserve"> T, </w:t>
      </w:r>
      <w:proofErr w:type="spellStart"/>
      <w:r w:rsidR="001F6C0D" w:rsidRPr="001F6C0D">
        <w:rPr>
          <w:rFonts w:asciiTheme="majorHAnsi" w:hAnsiTheme="majorHAnsi" w:cstheme="majorHAnsi"/>
        </w:rPr>
        <w:t>Altan</w:t>
      </w:r>
      <w:proofErr w:type="spellEnd"/>
      <w:r w:rsidR="001F6C0D" w:rsidRPr="001F6C0D">
        <w:rPr>
          <w:rFonts w:asciiTheme="majorHAnsi" w:hAnsiTheme="majorHAnsi" w:cstheme="majorHAnsi"/>
        </w:rPr>
        <w:t xml:space="preserve"> B, Hara K, Ozawa D, Tanaka N, Sakai M, Sano A, </w:t>
      </w:r>
      <w:proofErr w:type="spellStart"/>
      <w:r w:rsidR="001F6C0D" w:rsidRPr="001F6C0D">
        <w:rPr>
          <w:rFonts w:asciiTheme="majorHAnsi" w:hAnsiTheme="majorHAnsi" w:cstheme="majorHAnsi"/>
        </w:rPr>
        <w:t>Sohda</w:t>
      </w:r>
      <w:proofErr w:type="spellEnd"/>
      <w:r w:rsidR="001F6C0D" w:rsidRPr="001F6C0D">
        <w:rPr>
          <w:rFonts w:asciiTheme="majorHAnsi" w:hAnsiTheme="majorHAnsi" w:cstheme="majorHAnsi"/>
        </w:rPr>
        <w:t xml:space="preserve"> M, Bao H, Fukuchi M, Miyazaki T, Kaira K, Asao T, </w:t>
      </w:r>
      <w:proofErr w:type="spellStart"/>
      <w:r w:rsidR="001F6C0D" w:rsidRPr="001F6C0D">
        <w:rPr>
          <w:rFonts w:asciiTheme="majorHAnsi" w:hAnsiTheme="majorHAnsi" w:cstheme="majorHAnsi"/>
        </w:rPr>
        <w:t>Kuwano</w:t>
      </w:r>
      <w:proofErr w:type="spellEnd"/>
      <w:r w:rsidR="001F6C0D" w:rsidRPr="001F6C0D">
        <w:rPr>
          <w:rFonts w:asciiTheme="majorHAnsi" w:hAnsiTheme="majorHAnsi" w:cstheme="majorHAnsi"/>
        </w:rPr>
        <w:t xml:space="preserve"> H. High </w:t>
      </w:r>
      <w:proofErr w:type="spellStart"/>
      <w:r w:rsidR="001F6C0D" w:rsidRPr="001F6C0D">
        <w:rPr>
          <w:rFonts w:asciiTheme="majorHAnsi" w:hAnsiTheme="majorHAnsi" w:cstheme="majorHAnsi"/>
        </w:rPr>
        <w:t>stathmin</w:t>
      </w:r>
      <w:proofErr w:type="spellEnd"/>
      <w:r w:rsidR="001F6C0D" w:rsidRPr="001F6C0D">
        <w:rPr>
          <w:rFonts w:asciiTheme="majorHAnsi" w:hAnsiTheme="majorHAnsi" w:cstheme="majorHAnsi"/>
        </w:rPr>
        <w:t xml:space="preserve"> 1 expression is associated </w:t>
      </w:r>
      <w:r w:rsidR="001F6C0D" w:rsidRPr="001F6C0D">
        <w:rPr>
          <w:rFonts w:asciiTheme="majorHAnsi" w:hAnsiTheme="majorHAnsi" w:cstheme="majorHAnsi"/>
        </w:rPr>
        <w:lastRenderedPageBreak/>
        <w:t xml:space="preserve">with poor prognosis and chemoradiation resistance in </w:t>
      </w:r>
      <w:proofErr w:type="spellStart"/>
      <w:r w:rsidR="001F6C0D" w:rsidRPr="001F6C0D">
        <w:rPr>
          <w:rFonts w:asciiTheme="majorHAnsi" w:hAnsiTheme="majorHAnsi" w:cstheme="majorHAnsi"/>
        </w:rPr>
        <w:t>esophageal</w:t>
      </w:r>
      <w:proofErr w:type="spellEnd"/>
      <w:r w:rsidR="001F6C0D" w:rsidRPr="001F6C0D">
        <w:rPr>
          <w:rFonts w:asciiTheme="majorHAnsi" w:hAnsiTheme="majorHAnsi" w:cstheme="majorHAnsi"/>
        </w:rPr>
        <w:t xml:space="preserve"> squamous cell carcinoma. Int J Oncol. 2017 Apr;50(4):1184-1190.</w:t>
      </w:r>
    </w:p>
    <w:p w14:paraId="31A300E6" w14:textId="3533DECF" w:rsidR="00511C5F" w:rsidRDefault="00511C5F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21F778E7" w14:textId="61357A46" w:rsidR="00511C5F" w:rsidRDefault="00AF7989" w:rsidP="0009091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CE6651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. </w:t>
      </w:r>
      <w:r w:rsidR="00EB352A" w:rsidRPr="00EB352A">
        <w:rPr>
          <w:rFonts w:asciiTheme="majorHAnsi" w:hAnsiTheme="majorHAnsi" w:cstheme="majorHAnsi"/>
        </w:rPr>
        <w:t xml:space="preserve">Bao P, </w:t>
      </w:r>
      <w:proofErr w:type="spellStart"/>
      <w:r w:rsidR="00EB352A" w:rsidRPr="00EB352A">
        <w:rPr>
          <w:rFonts w:asciiTheme="majorHAnsi" w:hAnsiTheme="majorHAnsi" w:cstheme="majorHAnsi"/>
        </w:rPr>
        <w:t>Yokobori</w:t>
      </w:r>
      <w:proofErr w:type="spellEnd"/>
      <w:r w:rsidR="00EB352A" w:rsidRPr="00EB352A">
        <w:rPr>
          <w:rFonts w:asciiTheme="majorHAnsi" w:hAnsiTheme="majorHAnsi" w:cstheme="majorHAnsi"/>
        </w:rPr>
        <w:t xml:space="preserve"> T, </w:t>
      </w:r>
      <w:proofErr w:type="spellStart"/>
      <w:r w:rsidR="00EB352A" w:rsidRPr="00EB352A">
        <w:rPr>
          <w:rFonts w:asciiTheme="majorHAnsi" w:hAnsiTheme="majorHAnsi" w:cstheme="majorHAnsi"/>
        </w:rPr>
        <w:t>Altan</w:t>
      </w:r>
      <w:proofErr w:type="spellEnd"/>
      <w:r w:rsidR="00EB352A" w:rsidRPr="00EB352A">
        <w:rPr>
          <w:rFonts w:asciiTheme="majorHAnsi" w:hAnsiTheme="majorHAnsi" w:cstheme="majorHAnsi"/>
        </w:rPr>
        <w:t xml:space="preserve"> B, </w:t>
      </w:r>
      <w:proofErr w:type="spellStart"/>
      <w:r w:rsidR="00EB352A" w:rsidRPr="00EB352A">
        <w:rPr>
          <w:rFonts w:asciiTheme="majorHAnsi" w:hAnsiTheme="majorHAnsi" w:cstheme="majorHAnsi"/>
        </w:rPr>
        <w:t>Iijima</w:t>
      </w:r>
      <w:proofErr w:type="spellEnd"/>
      <w:r w:rsidR="00EB352A" w:rsidRPr="00EB352A">
        <w:rPr>
          <w:rFonts w:asciiTheme="majorHAnsi" w:hAnsiTheme="majorHAnsi" w:cstheme="majorHAnsi"/>
        </w:rPr>
        <w:t xml:space="preserve"> M, Azuma Y, </w:t>
      </w:r>
      <w:proofErr w:type="spellStart"/>
      <w:r w:rsidR="00EB352A" w:rsidRPr="00EB352A">
        <w:rPr>
          <w:rFonts w:asciiTheme="majorHAnsi" w:hAnsiTheme="majorHAnsi" w:cstheme="majorHAnsi"/>
        </w:rPr>
        <w:t>Onozato</w:t>
      </w:r>
      <w:proofErr w:type="spellEnd"/>
      <w:r w:rsidR="00EB352A" w:rsidRPr="00EB352A">
        <w:rPr>
          <w:rFonts w:asciiTheme="majorHAnsi" w:hAnsiTheme="majorHAnsi" w:cstheme="majorHAnsi"/>
        </w:rPr>
        <w:t xml:space="preserve"> R, </w:t>
      </w:r>
      <w:proofErr w:type="spellStart"/>
      <w:r w:rsidR="00EB352A" w:rsidRPr="00EB352A">
        <w:rPr>
          <w:rFonts w:asciiTheme="majorHAnsi" w:hAnsiTheme="majorHAnsi" w:cstheme="majorHAnsi"/>
        </w:rPr>
        <w:t>Yajima</w:t>
      </w:r>
      <w:proofErr w:type="spellEnd"/>
      <w:r w:rsidR="00EB352A" w:rsidRPr="00EB352A">
        <w:rPr>
          <w:rFonts w:asciiTheme="majorHAnsi" w:hAnsiTheme="majorHAnsi" w:cstheme="majorHAnsi"/>
        </w:rPr>
        <w:t xml:space="preserve"> T, Watanabe A, Mogi A, Shimizu K, Nagashima T, Ohtaki Y, Obayashi K, Nakazawa S, Bai T, Kawabata-</w:t>
      </w:r>
      <w:proofErr w:type="spellStart"/>
      <w:r w:rsidR="00EB352A" w:rsidRPr="00EB352A">
        <w:rPr>
          <w:rFonts w:asciiTheme="majorHAnsi" w:hAnsiTheme="majorHAnsi" w:cstheme="majorHAnsi"/>
        </w:rPr>
        <w:t>Iwakawa</w:t>
      </w:r>
      <w:proofErr w:type="spellEnd"/>
      <w:r w:rsidR="00EB352A" w:rsidRPr="00EB352A">
        <w:rPr>
          <w:rFonts w:asciiTheme="majorHAnsi" w:hAnsiTheme="majorHAnsi" w:cstheme="majorHAnsi"/>
        </w:rPr>
        <w:t xml:space="preserve"> R, Asao T, Kaira K, Nishiyama M, </w:t>
      </w:r>
      <w:proofErr w:type="spellStart"/>
      <w:r w:rsidR="00EB352A" w:rsidRPr="00EB352A">
        <w:rPr>
          <w:rFonts w:asciiTheme="majorHAnsi" w:hAnsiTheme="majorHAnsi" w:cstheme="majorHAnsi"/>
        </w:rPr>
        <w:t>Kuwano</w:t>
      </w:r>
      <w:proofErr w:type="spellEnd"/>
      <w:r w:rsidR="00EB352A" w:rsidRPr="00EB352A">
        <w:rPr>
          <w:rFonts w:asciiTheme="majorHAnsi" w:hAnsiTheme="majorHAnsi" w:cstheme="majorHAnsi"/>
        </w:rPr>
        <w:t xml:space="preserve"> H. High STMN1 Expression is Associated with Cancer Progression and Chemo-Resistance in Lung Squamous Cell Carcinoma. Ann </w:t>
      </w:r>
      <w:proofErr w:type="spellStart"/>
      <w:r w:rsidR="00EB352A" w:rsidRPr="00EB352A">
        <w:rPr>
          <w:rFonts w:asciiTheme="majorHAnsi" w:hAnsiTheme="majorHAnsi" w:cstheme="majorHAnsi"/>
        </w:rPr>
        <w:t>Surg</w:t>
      </w:r>
      <w:proofErr w:type="spellEnd"/>
      <w:r w:rsidR="00EB352A" w:rsidRPr="00EB352A">
        <w:rPr>
          <w:rFonts w:asciiTheme="majorHAnsi" w:hAnsiTheme="majorHAnsi" w:cstheme="majorHAnsi"/>
        </w:rPr>
        <w:t xml:space="preserve"> Oncol. 2017 Dec;24(13):4017-4024.</w:t>
      </w:r>
    </w:p>
    <w:p w14:paraId="47840377" w14:textId="195795C8" w:rsidR="00E123C1" w:rsidRDefault="00E123C1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5019C8DC" w14:textId="3FF1B210" w:rsidR="00E123C1" w:rsidRDefault="00F74503" w:rsidP="0009091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CE6651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 xml:space="preserve">. </w:t>
      </w:r>
      <w:r w:rsidR="00A3301B" w:rsidRPr="00A3301B">
        <w:rPr>
          <w:rFonts w:asciiTheme="majorHAnsi" w:hAnsiTheme="majorHAnsi" w:cstheme="majorHAnsi"/>
        </w:rPr>
        <w:t xml:space="preserve">Ma HL, </w:t>
      </w:r>
      <w:proofErr w:type="spellStart"/>
      <w:r w:rsidR="00A3301B" w:rsidRPr="00A3301B">
        <w:rPr>
          <w:rFonts w:asciiTheme="majorHAnsi" w:hAnsiTheme="majorHAnsi" w:cstheme="majorHAnsi"/>
        </w:rPr>
        <w:t>Jin</w:t>
      </w:r>
      <w:proofErr w:type="spellEnd"/>
      <w:r w:rsidR="00A3301B" w:rsidRPr="00A3301B">
        <w:rPr>
          <w:rFonts w:asciiTheme="majorHAnsi" w:hAnsiTheme="majorHAnsi" w:cstheme="majorHAnsi"/>
        </w:rPr>
        <w:t xml:space="preserve"> SF, Tao WJ, Zhang ML, Zhang ZY. Overexpression of </w:t>
      </w:r>
      <w:proofErr w:type="spellStart"/>
      <w:r w:rsidR="00A3301B" w:rsidRPr="00A3301B">
        <w:rPr>
          <w:rFonts w:asciiTheme="majorHAnsi" w:hAnsiTheme="majorHAnsi" w:cstheme="majorHAnsi"/>
        </w:rPr>
        <w:t>stathmin</w:t>
      </w:r>
      <w:proofErr w:type="spellEnd"/>
      <w:r w:rsidR="00A3301B" w:rsidRPr="00A3301B">
        <w:rPr>
          <w:rFonts w:asciiTheme="majorHAnsi" w:hAnsiTheme="majorHAnsi" w:cstheme="majorHAnsi"/>
        </w:rPr>
        <w:t xml:space="preserve">/oncoprotein 18 correlates with poorer prognosis and interacts with p53 in oral squamous cell carcinoma. J </w:t>
      </w:r>
      <w:proofErr w:type="spellStart"/>
      <w:r w:rsidR="00A3301B" w:rsidRPr="00A3301B">
        <w:rPr>
          <w:rFonts w:asciiTheme="majorHAnsi" w:hAnsiTheme="majorHAnsi" w:cstheme="majorHAnsi"/>
        </w:rPr>
        <w:t>Craniomaxillofac</w:t>
      </w:r>
      <w:proofErr w:type="spellEnd"/>
      <w:r w:rsidR="00A3301B" w:rsidRPr="00A3301B">
        <w:rPr>
          <w:rFonts w:asciiTheme="majorHAnsi" w:hAnsiTheme="majorHAnsi" w:cstheme="majorHAnsi"/>
        </w:rPr>
        <w:t xml:space="preserve"> Surg. 2016 Oct;44(10):1725-1732.</w:t>
      </w:r>
    </w:p>
    <w:p w14:paraId="57ACD0B9" w14:textId="1BE029BB" w:rsidR="00931CEB" w:rsidRDefault="00931CEB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01ADAE00" w14:textId="26387D57" w:rsidR="00931CEB" w:rsidRDefault="00931CEB" w:rsidP="0009091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CE6651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. </w:t>
      </w:r>
      <w:r w:rsidR="00B23A77" w:rsidRPr="00B23A77">
        <w:rPr>
          <w:rFonts w:asciiTheme="majorHAnsi" w:hAnsiTheme="majorHAnsi" w:cstheme="majorHAnsi"/>
        </w:rPr>
        <w:t xml:space="preserve">Ni PZ, He JZ, Wu ZY, Ji X, Chen LQ, Xu XE, Liao LD, Wu JY, Li EM, Xu LY. Overexpression of </w:t>
      </w:r>
      <w:proofErr w:type="spellStart"/>
      <w:r w:rsidR="00B23A77" w:rsidRPr="00B23A77">
        <w:rPr>
          <w:rFonts w:asciiTheme="majorHAnsi" w:hAnsiTheme="majorHAnsi" w:cstheme="majorHAnsi"/>
        </w:rPr>
        <w:t>Stathmin</w:t>
      </w:r>
      <w:proofErr w:type="spellEnd"/>
      <w:r w:rsidR="00B23A77" w:rsidRPr="00B23A77">
        <w:rPr>
          <w:rFonts w:asciiTheme="majorHAnsi" w:hAnsiTheme="majorHAnsi" w:cstheme="majorHAnsi"/>
        </w:rPr>
        <w:t xml:space="preserve"> 1 correlates with poor prognosis and promotes cell migration and proliferation in oesophageal squamous cell carcinoma. Oncol Rep. 2017 Dec;38(6):3608-3618.</w:t>
      </w:r>
    </w:p>
    <w:p w14:paraId="6829FEF0" w14:textId="144C110B" w:rsidR="00F61036" w:rsidRDefault="00F61036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45367E14" w14:textId="44C943DD" w:rsidR="00F61036" w:rsidRDefault="00F61036" w:rsidP="0009091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CE6651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. </w:t>
      </w:r>
      <w:r w:rsidR="008679A9" w:rsidRPr="008679A9">
        <w:rPr>
          <w:rFonts w:asciiTheme="majorHAnsi" w:hAnsiTheme="majorHAnsi" w:cstheme="majorHAnsi"/>
        </w:rPr>
        <w:t xml:space="preserve">Li J, Qi Z, Hu YP, Wang YX. Possible biomarkers for predicting lymph node metastasis of </w:t>
      </w:r>
      <w:proofErr w:type="spellStart"/>
      <w:r w:rsidR="008679A9" w:rsidRPr="008679A9">
        <w:rPr>
          <w:rFonts w:asciiTheme="majorHAnsi" w:hAnsiTheme="majorHAnsi" w:cstheme="majorHAnsi"/>
        </w:rPr>
        <w:t>esophageal</w:t>
      </w:r>
      <w:proofErr w:type="spellEnd"/>
      <w:r w:rsidR="008679A9" w:rsidRPr="008679A9">
        <w:rPr>
          <w:rFonts w:asciiTheme="majorHAnsi" w:hAnsiTheme="majorHAnsi" w:cstheme="majorHAnsi"/>
        </w:rPr>
        <w:t xml:space="preserve"> squamous cell carcinoma: a review. J Int Med Res. 2019 Feb;47(2):544-556.</w:t>
      </w:r>
    </w:p>
    <w:p w14:paraId="2DB2E2B9" w14:textId="7274F90A" w:rsidR="00E41DC4" w:rsidRDefault="00E41DC4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0C82EB3F" w14:textId="60F4E89C" w:rsidR="0067362C" w:rsidRDefault="0067362C" w:rsidP="0009091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CE6651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. </w:t>
      </w:r>
      <w:r w:rsidR="001072E6" w:rsidRPr="001072E6">
        <w:rPr>
          <w:rFonts w:asciiTheme="majorHAnsi" w:hAnsiTheme="majorHAnsi" w:cstheme="majorHAnsi"/>
        </w:rPr>
        <w:t xml:space="preserve">Jiang W, Huang S, Song L, Wang Z. STMN1, a prognostic predictor of </w:t>
      </w:r>
      <w:proofErr w:type="spellStart"/>
      <w:r w:rsidR="001072E6" w:rsidRPr="001072E6">
        <w:rPr>
          <w:rFonts w:asciiTheme="majorHAnsi" w:hAnsiTheme="majorHAnsi" w:cstheme="majorHAnsi"/>
        </w:rPr>
        <w:t>esophageal</w:t>
      </w:r>
      <w:proofErr w:type="spellEnd"/>
      <w:r w:rsidR="001072E6" w:rsidRPr="001072E6">
        <w:rPr>
          <w:rFonts w:asciiTheme="majorHAnsi" w:hAnsiTheme="majorHAnsi" w:cstheme="majorHAnsi"/>
        </w:rPr>
        <w:t xml:space="preserve"> squamous cell carcinoma, is a marker of the activation of the PI3K pathway. Oncol Rep. 2018 Feb;39(2):834-842.</w:t>
      </w:r>
    </w:p>
    <w:p w14:paraId="4E533B82" w14:textId="79B9BC52" w:rsidR="008910D6" w:rsidRDefault="008910D6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657A8967" w14:textId="608BA0D8" w:rsidR="008910D6" w:rsidRDefault="002C4216" w:rsidP="0009091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CE6651"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 xml:space="preserve">. </w:t>
      </w:r>
      <w:proofErr w:type="spellStart"/>
      <w:r w:rsidR="00987515" w:rsidRPr="00987515">
        <w:rPr>
          <w:rFonts w:asciiTheme="majorHAnsi" w:hAnsiTheme="majorHAnsi" w:cstheme="majorHAnsi"/>
        </w:rPr>
        <w:t>Filippou</w:t>
      </w:r>
      <w:proofErr w:type="spellEnd"/>
      <w:r w:rsidR="00987515" w:rsidRPr="00987515">
        <w:rPr>
          <w:rFonts w:asciiTheme="majorHAnsi" w:hAnsiTheme="majorHAnsi" w:cstheme="majorHAnsi"/>
        </w:rPr>
        <w:t xml:space="preserve"> PS, </w:t>
      </w:r>
      <w:proofErr w:type="spellStart"/>
      <w:r w:rsidR="00987515" w:rsidRPr="00987515">
        <w:rPr>
          <w:rFonts w:asciiTheme="majorHAnsi" w:hAnsiTheme="majorHAnsi" w:cstheme="majorHAnsi"/>
        </w:rPr>
        <w:t>Karagiannis</w:t>
      </w:r>
      <w:proofErr w:type="spellEnd"/>
      <w:r w:rsidR="00987515" w:rsidRPr="00987515">
        <w:rPr>
          <w:rFonts w:asciiTheme="majorHAnsi" w:hAnsiTheme="majorHAnsi" w:cstheme="majorHAnsi"/>
        </w:rPr>
        <w:t xml:space="preserve"> GS, </w:t>
      </w:r>
      <w:proofErr w:type="spellStart"/>
      <w:r w:rsidR="00987515" w:rsidRPr="00987515">
        <w:rPr>
          <w:rFonts w:asciiTheme="majorHAnsi" w:hAnsiTheme="majorHAnsi" w:cstheme="majorHAnsi"/>
        </w:rPr>
        <w:t>Constantinidou</w:t>
      </w:r>
      <w:proofErr w:type="spellEnd"/>
      <w:r w:rsidR="00987515" w:rsidRPr="00987515">
        <w:rPr>
          <w:rFonts w:asciiTheme="majorHAnsi" w:hAnsiTheme="majorHAnsi" w:cstheme="majorHAnsi"/>
        </w:rPr>
        <w:t xml:space="preserve"> A. </w:t>
      </w:r>
      <w:proofErr w:type="spellStart"/>
      <w:r w:rsidR="00987515" w:rsidRPr="00987515">
        <w:rPr>
          <w:rFonts w:asciiTheme="majorHAnsi" w:hAnsiTheme="majorHAnsi" w:cstheme="majorHAnsi"/>
        </w:rPr>
        <w:t>Midkine</w:t>
      </w:r>
      <w:proofErr w:type="spellEnd"/>
      <w:r w:rsidR="00987515" w:rsidRPr="00987515">
        <w:rPr>
          <w:rFonts w:asciiTheme="majorHAnsi" w:hAnsiTheme="majorHAnsi" w:cstheme="majorHAnsi"/>
        </w:rPr>
        <w:t xml:space="preserve"> (MDK) growth factor: a key player in cancer progression and a promising therapeutic target. Oncogene. 2020 Mar;39(10):2040-2054.</w:t>
      </w:r>
    </w:p>
    <w:p w14:paraId="284086A4" w14:textId="4E7A1B7E" w:rsidR="00DB72B1" w:rsidRDefault="00DB72B1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3D7D896A" w14:textId="469515FE" w:rsidR="00DB72B1" w:rsidRDefault="00AE03F6" w:rsidP="0009091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CE6651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 xml:space="preserve">. </w:t>
      </w:r>
      <w:r w:rsidR="00AB0DD7" w:rsidRPr="00AB0DD7">
        <w:rPr>
          <w:rFonts w:asciiTheme="majorHAnsi" w:hAnsiTheme="majorHAnsi" w:cstheme="majorHAnsi"/>
        </w:rPr>
        <w:t>Yu X, Zhou Z, Tang S, Zhang K, Peng X, Zhou P, Zhang M, Shen L, Yang L. MDK induces temozolomide resistance in glioblastoma by promoting cancer stem-like properties. Am J Cancer Res. 2022 Oct 15;12(10):4825-4839.</w:t>
      </w:r>
    </w:p>
    <w:p w14:paraId="607988B7" w14:textId="317EAD59" w:rsidR="002226DE" w:rsidRDefault="002226DE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63CCF324" w14:textId="334CE901" w:rsidR="002226DE" w:rsidRDefault="002226DE" w:rsidP="0009091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29. </w:t>
      </w:r>
      <w:proofErr w:type="spellStart"/>
      <w:r w:rsidRPr="002226DE">
        <w:rPr>
          <w:rFonts w:asciiTheme="majorHAnsi" w:hAnsiTheme="majorHAnsi" w:cstheme="majorHAnsi"/>
        </w:rPr>
        <w:t>Olmeda</w:t>
      </w:r>
      <w:proofErr w:type="spellEnd"/>
      <w:r w:rsidRPr="002226DE">
        <w:rPr>
          <w:rFonts w:asciiTheme="majorHAnsi" w:hAnsiTheme="majorHAnsi" w:cstheme="majorHAnsi"/>
        </w:rPr>
        <w:t xml:space="preserve"> D, </w:t>
      </w:r>
      <w:proofErr w:type="spellStart"/>
      <w:r w:rsidRPr="002226DE">
        <w:rPr>
          <w:rFonts w:asciiTheme="majorHAnsi" w:hAnsiTheme="majorHAnsi" w:cstheme="majorHAnsi"/>
        </w:rPr>
        <w:t>Cerezo</w:t>
      </w:r>
      <w:proofErr w:type="spellEnd"/>
      <w:r w:rsidRPr="002226DE">
        <w:rPr>
          <w:rFonts w:asciiTheme="majorHAnsi" w:hAnsiTheme="majorHAnsi" w:cstheme="majorHAnsi"/>
        </w:rPr>
        <w:t xml:space="preserve">-Wallis D, </w:t>
      </w:r>
      <w:proofErr w:type="spellStart"/>
      <w:r w:rsidRPr="002226DE">
        <w:rPr>
          <w:rFonts w:asciiTheme="majorHAnsi" w:hAnsiTheme="majorHAnsi" w:cstheme="majorHAnsi"/>
        </w:rPr>
        <w:t>Riveiro-Falkenbach</w:t>
      </w:r>
      <w:proofErr w:type="spellEnd"/>
      <w:r w:rsidRPr="002226DE">
        <w:rPr>
          <w:rFonts w:asciiTheme="majorHAnsi" w:hAnsiTheme="majorHAnsi" w:cstheme="majorHAnsi"/>
        </w:rPr>
        <w:t xml:space="preserve"> E, </w:t>
      </w:r>
      <w:proofErr w:type="spellStart"/>
      <w:r w:rsidRPr="002226DE">
        <w:rPr>
          <w:rFonts w:asciiTheme="majorHAnsi" w:hAnsiTheme="majorHAnsi" w:cstheme="majorHAnsi"/>
        </w:rPr>
        <w:t>Pennacchi</w:t>
      </w:r>
      <w:proofErr w:type="spellEnd"/>
      <w:r w:rsidRPr="002226DE">
        <w:rPr>
          <w:rFonts w:asciiTheme="majorHAnsi" w:hAnsiTheme="majorHAnsi" w:cstheme="majorHAnsi"/>
        </w:rPr>
        <w:t xml:space="preserve"> PC, Contreras-Alcalde M, </w:t>
      </w:r>
      <w:proofErr w:type="spellStart"/>
      <w:r w:rsidRPr="002226DE">
        <w:rPr>
          <w:rFonts w:asciiTheme="majorHAnsi" w:hAnsiTheme="majorHAnsi" w:cstheme="majorHAnsi"/>
        </w:rPr>
        <w:t>Ibarz</w:t>
      </w:r>
      <w:proofErr w:type="spellEnd"/>
      <w:r w:rsidRPr="002226DE">
        <w:rPr>
          <w:rFonts w:asciiTheme="majorHAnsi" w:hAnsiTheme="majorHAnsi" w:cstheme="majorHAnsi"/>
        </w:rPr>
        <w:t xml:space="preserve"> N, </w:t>
      </w:r>
      <w:proofErr w:type="spellStart"/>
      <w:r w:rsidRPr="002226DE">
        <w:rPr>
          <w:rFonts w:asciiTheme="majorHAnsi" w:hAnsiTheme="majorHAnsi" w:cstheme="majorHAnsi"/>
        </w:rPr>
        <w:t>Cifdaloz</w:t>
      </w:r>
      <w:proofErr w:type="spellEnd"/>
      <w:r w:rsidRPr="002226DE">
        <w:rPr>
          <w:rFonts w:asciiTheme="majorHAnsi" w:hAnsiTheme="majorHAnsi" w:cstheme="majorHAnsi"/>
        </w:rPr>
        <w:t xml:space="preserve"> M, Catena X, Calvo TG, </w:t>
      </w:r>
      <w:proofErr w:type="spellStart"/>
      <w:r w:rsidRPr="002226DE">
        <w:rPr>
          <w:rFonts w:asciiTheme="majorHAnsi" w:hAnsiTheme="majorHAnsi" w:cstheme="majorHAnsi"/>
        </w:rPr>
        <w:t>Cañón</w:t>
      </w:r>
      <w:proofErr w:type="spellEnd"/>
      <w:r w:rsidRPr="002226DE">
        <w:rPr>
          <w:rFonts w:asciiTheme="majorHAnsi" w:hAnsiTheme="majorHAnsi" w:cstheme="majorHAnsi"/>
        </w:rPr>
        <w:t xml:space="preserve"> E, Alonso-Curbelo D, Suarez J, </w:t>
      </w:r>
      <w:proofErr w:type="spellStart"/>
      <w:r w:rsidRPr="002226DE">
        <w:rPr>
          <w:rFonts w:asciiTheme="majorHAnsi" w:hAnsiTheme="majorHAnsi" w:cstheme="majorHAnsi"/>
        </w:rPr>
        <w:t>Osterloh</w:t>
      </w:r>
      <w:proofErr w:type="spellEnd"/>
      <w:r w:rsidRPr="002226DE">
        <w:rPr>
          <w:rFonts w:asciiTheme="majorHAnsi" w:hAnsiTheme="majorHAnsi" w:cstheme="majorHAnsi"/>
        </w:rPr>
        <w:t xml:space="preserve"> L, </w:t>
      </w:r>
      <w:proofErr w:type="spellStart"/>
      <w:r w:rsidRPr="002226DE">
        <w:rPr>
          <w:rFonts w:asciiTheme="majorHAnsi" w:hAnsiTheme="majorHAnsi" w:cstheme="majorHAnsi"/>
        </w:rPr>
        <w:t>Graña</w:t>
      </w:r>
      <w:proofErr w:type="spellEnd"/>
      <w:r w:rsidRPr="002226DE">
        <w:rPr>
          <w:rFonts w:asciiTheme="majorHAnsi" w:hAnsiTheme="majorHAnsi" w:cstheme="majorHAnsi"/>
        </w:rPr>
        <w:t xml:space="preserve"> O, </w:t>
      </w:r>
      <w:proofErr w:type="spellStart"/>
      <w:r w:rsidRPr="002226DE">
        <w:rPr>
          <w:rFonts w:asciiTheme="majorHAnsi" w:hAnsiTheme="majorHAnsi" w:cstheme="majorHAnsi"/>
        </w:rPr>
        <w:t>Mulero</w:t>
      </w:r>
      <w:proofErr w:type="spellEnd"/>
      <w:r w:rsidRPr="002226DE">
        <w:rPr>
          <w:rFonts w:asciiTheme="majorHAnsi" w:hAnsiTheme="majorHAnsi" w:cstheme="majorHAnsi"/>
        </w:rPr>
        <w:t xml:space="preserve"> F, </w:t>
      </w:r>
      <w:proofErr w:type="spellStart"/>
      <w:r w:rsidRPr="002226DE">
        <w:rPr>
          <w:rFonts w:asciiTheme="majorHAnsi" w:hAnsiTheme="majorHAnsi" w:cstheme="majorHAnsi"/>
        </w:rPr>
        <w:t>Megías</w:t>
      </w:r>
      <w:proofErr w:type="spellEnd"/>
      <w:r w:rsidRPr="002226DE">
        <w:rPr>
          <w:rFonts w:asciiTheme="majorHAnsi" w:hAnsiTheme="majorHAnsi" w:cstheme="majorHAnsi"/>
        </w:rPr>
        <w:t xml:space="preserve"> D, </w:t>
      </w:r>
      <w:proofErr w:type="spellStart"/>
      <w:r w:rsidRPr="002226DE">
        <w:rPr>
          <w:rFonts w:asciiTheme="majorHAnsi" w:hAnsiTheme="majorHAnsi" w:cstheme="majorHAnsi"/>
        </w:rPr>
        <w:t>Cañamero</w:t>
      </w:r>
      <w:proofErr w:type="spellEnd"/>
      <w:r w:rsidRPr="002226DE">
        <w:rPr>
          <w:rFonts w:asciiTheme="majorHAnsi" w:hAnsiTheme="majorHAnsi" w:cstheme="majorHAnsi"/>
        </w:rPr>
        <w:t xml:space="preserve"> M, Martínez-</w:t>
      </w:r>
      <w:proofErr w:type="spellStart"/>
      <w:r w:rsidRPr="002226DE">
        <w:rPr>
          <w:rFonts w:asciiTheme="majorHAnsi" w:hAnsiTheme="majorHAnsi" w:cstheme="majorHAnsi"/>
        </w:rPr>
        <w:t>Torrecuadrada</w:t>
      </w:r>
      <w:proofErr w:type="spellEnd"/>
      <w:r w:rsidRPr="002226DE">
        <w:rPr>
          <w:rFonts w:asciiTheme="majorHAnsi" w:hAnsiTheme="majorHAnsi" w:cstheme="majorHAnsi"/>
        </w:rPr>
        <w:t xml:space="preserve"> JL, Mondal C, Di Martino J, Lora D, Martinez-Corral I, Bravo-Cordero JJ, Muñoz J, Puig S, Ortiz-Romero P, Rodriguez-</w:t>
      </w:r>
      <w:proofErr w:type="spellStart"/>
      <w:r w:rsidRPr="002226DE">
        <w:rPr>
          <w:rFonts w:asciiTheme="majorHAnsi" w:hAnsiTheme="majorHAnsi" w:cstheme="majorHAnsi"/>
        </w:rPr>
        <w:t>Peralto</w:t>
      </w:r>
      <w:proofErr w:type="spellEnd"/>
      <w:r w:rsidRPr="002226DE">
        <w:rPr>
          <w:rFonts w:asciiTheme="majorHAnsi" w:hAnsiTheme="majorHAnsi" w:cstheme="majorHAnsi"/>
        </w:rPr>
        <w:t xml:space="preserve"> JL, Ortega S, </w:t>
      </w:r>
      <w:proofErr w:type="spellStart"/>
      <w:r w:rsidRPr="002226DE">
        <w:rPr>
          <w:rFonts w:asciiTheme="majorHAnsi" w:hAnsiTheme="majorHAnsi" w:cstheme="majorHAnsi"/>
        </w:rPr>
        <w:t>Soengas</w:t>
      </w:r>
      <w:proofErr w:type="spellEnd"/>
      <w:r w:rsidRPr="002226DE">
        <w:rPr>
          <w:rFonts w:asciiTheme="majorHAnsi" w:hAnsiTheme="majorHAnsi" w:cstheme="majorHAnsi"/>
        </w:rPr>
        <w:t xml:space="preserve"> MS. Whole-body imaging of </w:t>
      </w:r>
      <w:proofErr w:type="spellStart"/>
      <w:r w:rsidRPr="002226DE">
        <w:rPr>
          <w:rFonts w:asciiTheme="majorHAnsi" w:hAnsiTheme="majorHAnsi" w:cstheme="majorHAnsi"/>
        </w:rPr>
        <w:t>lymphovascular</w:t>
      </w:r>
      <w:proofErr w:type="spellEnd"/>
      <w:r w:rsidRPr="002226DE">
        <w:rPr>
          <w:rFonts w:asciiTheme="majorHAnsi" w:hAnsiTheme="majorHAnsi" w:cstheme="majorHAnsi"/>
        </w:rPr>
        <w:t xml:space="preserve"> niches identifies pre-metastatic roles of </w:t>
      </w:r>
      <w:proofErr w:type="spellStart"/>
      <w:r w:rsidRPr="002226DE">
        <w:rPr>
          <w:rFonts w:asciiTheme="majorHAnsi" w:hAnsiTheme="majorHAnsi" w:cstheme="majorHAnsi"/>
        </w:rPr>
        <w:t>midkine</w:t>
      </w:r>
      <w:proofErr w:type="spellEnd"/>
      <w:r w:rsidRPr="002226DE">
        <w:rPr>
          <w:rFonts w:asciiTheme="majorHAnsi" w:hAnsiTheme="majorHAnsi" w:cstheme="majorHAnsi"/>
        </w:rPr>
        <w:t>. Nature. 2017 Jun 28;546(7660):676-680.</w:t>
      </w:r>
    </w:p>
    <w:p w14:paraId="2893898E" w14:textId="3F10DD49" w:rsidR="009E3DB6" w:rsidRDefault="009E3DB6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0506050D" w14:textId="3CCA14AD" w:rsidR="009E3DB6" w:rsidRDefault="007F6C4F" w:rsidP="0009091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30. </w:t>
      </w:r>
      <w:proofErr w:type="spellStart"/>
      <w:r w:rsidRPr="007F6C4F">
        <w:rPr>
          <w:rFonts w:asciiTheme="majorHAnsi" w:hAnsiTheme="majorHAnsi" w:cstheme="majorHAnsi"/>
        </w:rPr>
        <w:t>Cerezo</w:t>
      </w:r>
      <w:proofErr w:type="spellEnd"/>
      <w:r w:rsidRPr="007F6C4F">
        <w:rPr>
          <w:rFonts w:asciiTheme="majorHAnsi" w:hAnsiTheme="majorHAnsi" w:cstheme="majorHAnsi"/>
        </w:rPr>
        <w:t xml:space="preserve">-Wallis D, Contreras-Alcalde M, </w:t>
      </w:r>
      <w:proofErr w:type="spellStart"/>
      <w:r w:rsidRPr="007F6C4F">
        <w:rPr>
          <w:rFonts w:asciiTheme="majorHAnsi" w:hAnsiTheme="majorHAnsi" w:cstheme="majorHAnsi"/>
        </w:rPr>
        <w:t>Troulé</w:t>
      </w:r>
      <w:proofErr w:type="spellEnd"/>
      <w:r w:rsidRPr="007F6C4F">
        <w:rPr>
          <w:rFonts w:asciiTheme="majorHAnsi" w:hAnsiTheme="majorHAnsi" w:cstheme="majorHAnsi"/>
        </w:rPr>
        <w:t xml:space="preserve"> K, Catena X, </w:t>
      </w:r>
      <w:proofErr w:type="spellStart"/>
      <w:r w:rsidRPr="007F6C4F">
        <w:rPr>
          <w:rFonts w:asciiTheme="majorHAnsi" w:hAnsiTheme="majorHAnsi" w:cstheme="majorHAnsi"/>
        </w:rPr>
        <w:t>Mucientes</w:t>
      </w:r>
      <w:proofErr w:type="spellEnd"/>
      <w:r w:rsidRPr="007F6C4F">
        <w:rPr>
          <w:rFonts w:asciiTheme="majorHAnsi" w:hAnsiTheme="majorHAnsi" w:cstheme="majorHAnsi"/>
        </w:rPr>
        <w:t xml:space="preserve"> C, Calvo TG, </w:t>
      </w:r>
      <w:proofErr w:type="spellStart"/>
      <w:r w:rsidRPr="007F6C4F">
        <w:rPr>
          <w:rFonts w:asciiTheme="majorHAnsi" w:hAnsiTheme="majorHAnsi" w:cstheme="majorHAnsi"/>
        </w:rPr>
        <w:t>Cañón</w:t>
      </w:r>
      <w:proofErr w:type="spellEnd"/>
      <w:r w:rsidRPr="007F6C4F">
        <w:rPr>
          <w:rFonts w:asciiTheme="majorHAnsi" w:hAnsiTheme="majorHAnsi" w:cstheme="majorHAnsi"/>
        </w:rPr>
        <w:t xml:space="preserve"> E, </w:t>
      </w:r>
      <w:proofErr w:type="spellStart"/>
      <w:r w:rsidRPr="007F6C4F">
        <w:rPr>
          <w:rFonts w:asciiTheme="majorHAnsi" w:hAnsiTheme="majorHAnsi" w:cstheme="majorHAnsi"/>
        </w:rPr>
        <w:t>Tejedo</w:t>
      </w:r>
      <w:proofErr w:type="spellEnd"/>
      <w:r w:rsidRPr="007F6C4F">
        <w:rPr>
          <w:rFonts w:asciiTheme="majorHAnsi" w:hAnsiTheme="majorHAnsi" w:cstheme="majorHAnsi"/>
        </w:rPr>
        <w:t xml:space="preserve"> C, </w:t>
      </w:r>
      <w:proofErr w:type="spellStart"/>
      <w:r w:rsidRPr="007F6C4F">
        <w:rPr>
          <w:rFonts w:asciiTheme="majorHAnsi" w:hAnsiTheme="majorHAnsi" w:cstheme="majorHAnsi"/>
        </w:rPr>
        <w:t>Pennacchi</w:t>
      </w:r>
      <w:proofErr w:type="spellEnd"/>
      <w:r w:rsidRPr="007F6C4F">
        <w:rPr>
          <w:rFonts w:asciiTheme="majorHAnsi" w:hAnsiTheme="majorHAnsi" w:cstheme="majorHAnsi"/>
        </w:rPr>
        <w:t xml:space="preserve"> PC, Hogan S, </w:t>
      </w:r>
      <w:proofErr w:type="spellStart"/>
      <w:r w:rsidRPr="007F6C4F">
        <w:rPr>
          <w:rFonts w:asciiTheme="majorHAnsi" w:hAnsiTheme="majorHAnsi" w:cstheme="majorHAnsi"/>
        </w:rPr>
        <w:t>Kölblinger</w:t>
      </w:r>
      <w:proofErr w:type="spellEnd"/>
      <w:r w:rsidRPr="007F6C4F">
        <w:rPr>
          <w:rFonts w:asciiTheme="majorHAnsi" w:hAnsiTheme="majorHAnsi" w:cstheme="majorHAnsi"/>
        </w:rPr>
        <w:t xml:space="preserve"> P, </w:t>
      </w:r>
      <w:proofErr w:type="spellStart"/>
      <w:r w:rsidRPr="007F6C4F">
        <w:rPr>
          <w:rFonts w:asciiTheme="majorHAnsi" w:hAnsiTheme="majorHAnsi" w:cstheme="majorHAnsi"/>
        </w:rPr>
        <w:t>Tejero</w:t>
      </w:r>
      <w:proofErr w:type="spellEnd"/>
      <w:r w:rsidRPr="007F6C4F">
        <w:rPr>
          <w:rFonts w:asciiTheme="majorHAnsi" w:hAnsiTheme="majorHAnsi" w:cstheme="majorHAnsi"/>
        </w:rPr>
        <w:t xml:space="preserve"> H, Chen AX, </w:t>
      </w:r>
      <w:proofErr w:type="spellStart"/>
      <w:r w:rsidRPr="007F6C4F">
        <w:rPr>
          <w:rFonts w:asciiTheme="majorHAnsi" w:hAnsiTheme="majorHAnsi" w:cstheme="majorHAnsi"/>
        </w:rPr>
        <w:t>Ibarz</w:t>
      </w:r>
      <w:proofErr w:type="spellEnd"/>
      <w:r w:rsidRPr="007F6C4F">
        <w:rPr>
          <w:rFonts w:asciiTheme="majorHAnsi" w:hAnsiTheme="majorHAnsi" w:cstheme="majorHAnsi"/>
        </w:rPr>
        <w:t xml:space="preserve"> N, </w:t>
      </w:r>
      <w:proofErr w:type="spellStart"/>
      <w:r w:rsidRPr="007F6C4F">
        <w:rPr>
          <w:rFonts w:asciiTheme="majorHAnsi" w:hAnsiTheme="majorHAnsi" w:cstheme="majorHAnsi"/>
        </w:rPr>
        <w:t>Graña</w:t>
      </w:r>
      <w:proofErr w:type="spellEnd"/>
      <w:r w:rsidRPr="007F6C4F">
        <w:rPr>
          <w:rFonts w:asciiTheme="majorHAnsi" w:hAnsiTheme="majorHAnsi" w:cstheme="majorHAnsi"/>
        </w:rPr>
        <w:t xml:space="preserve">-Castro O, </w:t>
      </w:r>
      <w:r w:rsidRPr="007F6C4F">
        <w:rPr>
          <w:rFonts w:asciiTheme="majorHAnsi" w:hAnsiTheme="majorHAnsi" w:cstheme="majorHAnsi"/>
        </w:rPr>
        <w:lastRenderedPageBreak/>
        <w:t>Martinez L, Muñoz J, Ortiz-Romero P, Rodriguez-</w:t>
      </w:r>
      <w:proofErr w:type="spellStart"/>
      <w:r w:rsidRPr="007F6C4F">
        <w:rPr>
          <w:rFonts w:asciiTheme="majorHAnsi" w:hAnsiTheme="majorHAnsi" w:cstheme="majorHAnsi"/>
        </w:rPr>
        <w:t>Peralto</w:t>
      </w:r>
      <w:proofErr w:type="spellEnd"/>
      <w:r w:rsidRPr="007F6C4F">
        <w:rPr>
          <w:rFonts w:asciiTheme="majorHAnsi" w:hAnsiTheme="majorHAnsi" w:cstheme="majorHAnsi"/>
        </w:rPr>
        <w:t xml:space="preserve"> JL, Gómez-López G, Al-</w:t>
      </w:r>
      <w:proofErr w:type="spellStart"/>
      <w:r w:rsidRPr="007F6C4F">
        <w:rPr>
          <w:rFonts w:asciiTheme="majorHAnsi" w:hAnsiTheme="majorHAnsi" w:cstheme="majorHAnsi"/>
        </w:rPr>
        <w:t>Shahrour</w:t>
      </w:r>
      <w:proofErr w:type="spellEnd"/>
      <w:r w:rsidRPr="007F6C4F">
        <w:rPr>
          <w:rFonts w:asciiTheme="majorHAnsi" w:hAnsiTheme="majorHAnsi" w:cstheme="majorHAnsi"/>
        </w:rPr>
        <w:t xml:space="preserve"> F, </w:t>
      </w:r>
      <w:proofErr w:type="spellStart"/>
      <w:r w:rsidRPr="007F6C4F">
        <w:rPr>
          <w:rFonts w:asciiTheme="majorHAnsi" w:hAnsiTheme="majorHAnsi" w:cstheme="majorHAnsi"/>
        </w:rPr>
        <w:t>Rabadán</w:t>
      </w:r>
      <w:proofErr w:type="spellEnd"/>
      <w:r w:rsidRPr="007F6C4F">
        <w:rPr>
          <w:rFonts w:asciiTheme="majorHAnsi" w:hAnsiTheme="majorHAnsi" w:cstheme="majorHAnsi"/>
        </w:rPr>
        <w:t xml:space="preserve"> R, Levesque MP, </w:t>
      </w:r>
      <w:proofErr w:type="spellStart"/>
      <w:r w:rsidRPr="007F6C4F">
        <w:rPr>
          <w:rFonts w:asciiTheme="majorHAnsi" w:hAnsiTheme="majorHAnsi" w:cstheme="majorHAnsi"/>
        </w:rPr>
        <w:t>Olmeda</w:t>
      </w:r>
      <w:proofErr w:type="spellEnd"/>
      <w:r w:rsidRPr="007F6C4F">
        <w:rPr>
          <w:rFonts w:asciiTheme="majorHAnsi" w:hAnsiTheme="majorHAnsi" w:cstheme="majorHAnsi"/>
        </w:rPr>
        <w:t xml:space="preserve"> D, </w:t>
      </w:r>
      <w:proofErr w:type="spellStart"/>
      <w:r w:rsidRPr="007F6C4F">
        <w:rPr>
          <w:rFonts w:asciiTheme="majorHAnsi" w:hAnsiTheme="majorHAnsi" w:cstheme="majorHAnsi"/>
        </w:rPr>
        <w:t>Soengas</w:t>
      </w:r>
      <w:proofErr w:type="spellEnd"/>
      <w:r w:rsidRPr="007F6C4F">
        <w:rPr>
          <w:rFonts w:asciiTheme="majorHAnsi" w:hAnsiTheme="majorHAnsi" w:cstheme="majorHAnsi"/>
        </w:rPr>
        <w:t xml:space="preserve"> MS. </w:t>
      </w:r>
      <w:proofErr w:type="spellStart"/>
      <w:r w:rsidRPr="007F6C4F">
        <w:rPr>
          <w:rFonts w:asciiTheme="majorHAnsi" w:hAnsiTheme="majorHAnsi" w:cstheme="majorHAnsi"/>
        </w:rPr>
        <w:t>Midkine</w:t>
      </w:r>
      <w:proofErr w:type="spellEnd"/>
      <w:r w:rsidRPr="007F6C4F">
        <w:rPr>
          <w:rFonts w:asciiTheme="majorHAnsi" w:hAnsiTheme="majorHAnsi" w:cstheme="majorHAnsi"/>
        </w:rPr>
        <w:t xml:space="preserve"> rewires the melanoma microenvironment toward a tolerogenic and immune-resistant state. Nat Med. 2020 Dec;26(12):1865-1877.</w:t>
      </w:r>
    </w:p>
    <w:p w14:paraId="07D088E6" w14:textId="1D7B30E8" w:rsidR="00ED5DFD" w:rsidRDefault="00ED5DFD" w:rsidP="00090916">
      <w:pPr>
        <w:spacing w:line="276" w:lineRule="auto"/>
        <w:jc w:val="both"/>
        <w:rPr>
          <w:rFonts w:asciiTheme="majorHAnsi" w:hAnsiTheme="majorHAnsi" w:cstheme="majorHAnsi"/>
        </w:rPr>
      </w:pPr>
    </w:p>
    <w:p w14:paraId="60DC1BBA" w14:textId="35EFCAAC" w:rsidR="00ED230E" w:rsidRDefault="00055A79" w:rsidP="00ED230E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31</w:t>
      </w:r>
      <w:r w:rsidR="0027063D">
        <w:rPr>
          <w:rFonts w:asciiTheme="majorHAnsi" w:hAnsiTheme="majorHAnsi" w:cstheme="majorHAnsi"/>
        </w:rPr>
        <w:t xml:space="preserve">. </w:t>
      </w:r>
      <w:r w:rsidR="003275AF" w:rsidRPr="003275AF">
        <w:rPr>
          <w:rFonts w:asciiTheme="majorHAnsi" w:hAnsiTheme="majorHAnsi" w:cstheme="majorHAnsi"/>
        </w:rPr>
        <w:t xml:space="preserve">Tang Y, Kwiatkowski DJ, Henske EP. </w:t>
      </w:r>
      <w:proofErr w:type="spellStart"/>
      <w:r w:rsidR="003275AF" w:rsidRPr="003275AF">
        <w:rPr>
          <w:rFonts w:asciiTheme="majorHAnsi" w:hAnsiTheme="majorHAnsi" w:cstheme="majorHAnsi"/>
        </w:rPr>
        <w:t>Midkine</w:t>
      </w:r>
      <w:proofErr w:type="spellEnd"/>
      <w:r w:rsidR="003275AF" w:rsidRPr="003275AF">
        <w:rPr>
          <w:rFonts w:asciiTheme="majorHAnsi" w:hAnsiTheme="majorHAnsi" w:cstheme="majorHAnsi"/>
        </w:rPr>
        <w:t xml:space="preserve"> expression by stem-like </w:t>
      </w:r>
      <w:proofErr w:type="spellStart"/>
      <w:r w:rsidR="003275AF" w:rsidRPr="003275AF">
        <w:rPr>
          <w:rFonts w:asciiTheme="majorHAnsi" w:hAnsiTheme="majorHAnsi" w:cstheme="majorHAnsi"/>
        </w:rPr>
        <w:t>tumor</w:t>
      </w:r>
      <w:proofErr w:type="spellEnd"/>
      <w:r w:rsidR="003275AF" w:rsidRPr="003275AF">
        <w:rPr>
          <w:rFonts w:asciiTheme="majorHAnsi" w:hAnsiTheme="majorHAnsi" w:cstheme="majorHAnsi"/>
        </w:rPr>
        <w:t xml:space="preserve"> cells drives persistence to mTOR inhibition and an immune-suppressive microenvironment. Nat </w:t>
      </w:r>
      <w:proofErr w:type="spellStart"/>
      <w:r w:rsidR="003275AF" w:rsidRPr="003275AF">
        <w:rPr>
          <w:rFonts w:asciiTheme="majorHAnsi" w:hAnsiTheme="majorHAnsi" w:cstheme="majorHAnsi"/>
        </w:rPr>
        <w:t>Commun</w:t>
      </w:r>
      <w:proofErr w:type="spellEnd"/>
      <w:r w:rsidR="003275AF" w:rsidRPr="003275AF">
        <w:rPr>
          <w:rFonts w:asciiTheme="majorHAnsi" w:hAnsiTheme="majorHAnsi" w:cstheme="majorHAnsi"/>
        </w:rPr>
        <w:t>. 2022 Aug 26;13(1):5018.</w:t>
      </w:r>
    </w:p>
    <w:p w14:paraId="4B3EF0F1" w14:textId="48AE19D4" w:rsidR="00297A25" w:rsidRDefault="00297A25" w:rsidP="00ED230E">
      <w:pPr>
        <w:spacing w:line="276" w:lineRule="auto"/>
        <w:jc w:val="both"/>
        <w:rPr>
          <w:rFonts w:asciiTheme="majorHAnsi" w:hAnsiTheme="majorHAnsi" w:cstheme="majorHAnsi"/>
        </w:rPr>
      </w:pPr>
    </w:p>
    <w:p w14:paraId="10FE51AD" w14:textId="455F15FB" w:rsidR="008B2776" w:rsidRDefault="008B2776" w:rsidP="008B277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</w:t>
      </w:r>
      <w:r w:rsidR="00E5540E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. </w:t>
      </w:r>
      <w:proofErr w:type="spellStart"/>
      <w:r w:rsidRPr="00E0400B">
        <w:rPr>
          <w:rFonts w:asciiTheme="majorHAnsi" w:hAnsiTheme="majorHAnsi" w:cstheme="majorHAnsi"/>
        </w:rPr>
        <w:t>Jambusaria-Pahlajani</w:t>
      </w:r>
      <w:proofErr w:type="spellEnd"/>
      <w:r w:rsidRPr="00E0400B">
        <w:rPr>
          <w:rFonts w:asciiTheme="majorHAnsi" w:hAnsiTheme="majorHAnsi" w:cstheme="majorHAnsi"/>
        </w:rPr>
        <w:t xml:space="preserve"> A, </w:t>
      </w:r>
      <w:proofErr w:type="spellStart"/>
      <w:r w:rsidRPr="00E0400B">
        <w:rPr>
          <w:rFonts w:asciiTheme="majorHAnsi" w:hAnsiTheme="majorHAnsi" w:cstheme="majorHAnsi"/>
        </w:rPr>
        <w:t>Kanetsky</w:t>
      </w:r>
      <w:proofErr w:type="spellEnd"/>
      <w:r w:rsidRPr="00E0400B">
        <w:rPr>
          <w:rFonts w:asciiTheme="majorHAnsi" w:hAnsiTheme="majorHAnsi" w:cstheme="majorHAnsi"/>
        </w:rPr>
        <w:t xml:space="preserve"> PA, </w:t>
      </w:r>
      <w:proofErr w:type="spellStart"/>
      <w:r w:rsidRPr="00E0400B">
        <w:rPr>
          <w:rFonts w:asciiTheme="majorHAnsi" w:hAnsiTheme="majorHAnsi" w:cstheme="majorHAnsi"/>
        </w:rPr>
        <w:t>Karia</w:t>
      </w:r>
      <w:proofErr w:type="spellEnd"/>
      <w:r w:rsidRPr="00E0400B">
        <w:rPr>
          <w:rFonts w:asciiTheme="majorHAnsi" w:hAnsiTheme="majorHAnsi" w:cstheme="majorHAnsi"/>
        </w:rPr>
        <w:t xml:space="preserve"> PS, Hwang WT, Gelfand JM, Whalen FM, </w:t>
      </w:r>
      <w:proofErr w:type="spellStart"/>
      <w:r w:rsidRPr="00E0400B">
        <w:rPr>
          <w:rFonts w:asciiTheme="majorHAnsi" w:hAnsiTheme="majorHAnsi" w:cstheme="majorHAnsi"/>
        </w:rPr>
        <w:t>Elenitsas</w:t>
      </w:r>
      <w:proofErr w:type="spellEnd"/>
      <w:r w:rsidRPr="00E0400B">
        <w:rPr>
          <w:rFonts w:asciiTheme="majorHAnsi" w:hAnsiTheme="majorHAnsi" w:cstheme="majorHAnsi"/>
        </w:rPr>
        <w:t xml:space="preserve"> R, Xu X, </w:t>
      </w:r>
      <w:proofErr w:type="spellStart"/>
      <w:r w:rsidRPr="00E0400B">
        <w:rPr>
          <w:rFonts w:asciiTheme="majorHAnsi" w:hAnsiTheme="majorHAnsi" w:cstheme="majorHAnsi"/>
        </w:rPr>
        <w:t>Schmults</w:t>
      </w:r>
      <w:proofErr w:type="spellEnd"/>
      <w:r w:rsidRPr="00E0400B">
        <w:rPr>
          <w:rFonts w:asciiTheme="majorHAnsi" w:hAnsiTheme="majorHAnsi" w:cstheme="majorHAnsi"/>
        </w:rPr>
        <w:t xml:space="preserve"> CD. Evaluation of AJCC </w:t>
      </w:r>
      <w:proofErr w:type="spellStart"/>
      <w:r w:rsidRPr="00E0400B">
        <w:rPr>
          <w:rFonts w:asciiTheme="majorHAnsi" w:hAnsiTheme="majorHAnsi" w:cstheme="majorHAnsi"/>
        </w:rPr>
        <w:t>tumor</w:t>
      </w:r>
      <w:proofErr w:type="spellEnd"/>
      <w:r w:rsidRPr="00E0400B">
        <w:rPr>
          <w:rFonts w:asciiTheme="majorHAnsi" w:hAnsiTheme="majorHAnsi" w:cstheme="majorHAnsi"/>
        </w:rPr>
        <w:t xml:space="preserve"> staging for cutaneous squamous cell carcinoma and a proposed alternative </w:t>
      </w:r>
      <w:proofErr w:type="spellStart"/>
      <w:r w:rsidRPr="00E0400B">
        <w:rPr>
          <w:rFonts w:asciiTheme="majorHAnsi" w:hAnsiTheme="majorHAnsi" w:cstheme="majorHAnsi"/>
        </w:rPr>
        <w:t>tumor</w:t>
      </w:r>
      <w:proofErr w:type="spellEnd"/>
      <w:r w:rsidRPr="00E0400B">
        <w:rPr>
          <w:rFonts w:asciiTheme="majorHAnsi" w:hAnsiTheme="majorHAnsi" w:cstheme="majorHAnsi"/>
        </w:rPr>
        <w:t xml:space="preserve"> staging system. JAMA Dermatol. 2013 Apr;149(4):402-10. </w:t>
      </w:r>
      <w:proofErr w:type="spellStart"/>
      <w:r w:rsidRPr="00E0400B">
        <w:rPr>
          <w:rFonts w:asciiTheme="majorHAnsi" w:hAnsiTheme="majorHAnsi" w:cstheme="majorHAnsi"/>
        </w:rPr>
        <w:t>doi</w:t>
      </w:r>
      <w:proofErr w:type="spellEnd"/>
      <w:r w:rsidRPr="00E0400B">
        <w:rPr>
          <w:rFonts w:asciiTheme="majorHAnsi" w:hAnsiTheme="majorHAnsi" w:cstheme="majorHAnsi"/>
        </w:rPr>
        <w:t>: 10.1001/jamadermatol.2013.2456. PMID: 23325457.</w:t>
      </w:r>
    </w:p>
    <w:p w14:paraId="0790157F" w14:textId="77777777" w:rsidR="008B2776" w:rsidRDefault="008B2776" w:rsidP="008B2776">
      <w:pPr>
        <w:spacing w:line="276" w:lineRule="auto"/>
        <w:jc w:val="both"/>
        <w:rPr>
          <w:rFonts w:asciiTheme="majorHAnsi" w:hAnsiTheme="majorHAnsi" w:cstheme="majorHAnsi"/>
        </w:rPr>
      </w:pPr>
    </w:p>
    <w:p w14:paraId="3D954CBA" w14:textId="4FA58ACF" w:rsidR="008B2776" w:rsidRDefault="008B2776" w:rsidP="008B2776">
      <w:pPr>
        <w:spacing w:line="276" w:lineRule="auto"/>
        <w:jc w:val="both"/>
        <w:rPr>
          <w:rFonts w:asciiTheme="majorHAnsi" w:hAnsiTheme="majorHAnsi" w:cstheme="majorHAnsi"/>
        </w:rPr>
      </w:pPr>
      <w:r w:rsidRPr="00585C42">
        <w:rPr>
          <w:rFonts w:asciiTheme="majorHAnsi" w:hAnsiTheme="majorHAnsi" w:cstheme="majorHAnsi"/>
        </w:rPr>
        <w:t>3</w:t>
      </w:r>
      <w:r w:rsidR="00E5540E">
        <w:rPr>
          <w:rFonts w:asciiTheme="majorHAnsi" w:hAnsiTheme="majorHAnsi" w:cstheme="majorHAnsi"/>
        </w:rPr>
        <w:t>3</w:t>
      </w:r>
      <w:r w:rsidRPr="00585C42">
        <w:rPr>
          <w:rFonts w:asciiTheme="majorHAnsi" w:hAnsiTheme="majorHAnsi" w:cstheme="majorHAnsi"/>
        </w:rPr>
        <w:t xml:space="preserve">. </w:t>
      </w:r>
      <w:proofErr w:type="spellStart"/>
      <w:r w:rsidRPr="00585C42">
        <w:rPr>
          <w:rFonts w:asciiTheme="majorHAnsi" w:hAnsiTheme="majorHAnsi" w:cstheme="majorHAnsi"/>
        </w:rPr>
        <w:t>Karia</w:t>
      </w:r>
      <w:proofErr w:type="spellEnd"/>
      <w:r w:rsidRPr="00585C42">
        <w:rPr>
          <w:rFonts w:asciiTheme="majorHAnsi" w:hAnsiTheme="majorHAnsi" w:cstheme="majorHAnsi"/>
        </w:rPr>
        <w:t xml:space="preserve"> PS, </w:t>
      </w:r>
      <w:proofErr w:type="spellStart"/>
      <w:r w:rsidRPr="00585C42">
        <w:rPr>
          <w:rFonts w:asciiTheme="majorHAnsi" w:hAnsiTheme="majorHAnsi" w:cstheme="majorHAnsi"/>
        </w:rPr>
        <w:t>Jambusaria-Pahlajani</w:t>
      </w:r>
      <w:proofErr w:type="spellEnd"/>
      <w:r w:rsidRPr="00585C42">
        <w:rPr>
          <w:rFonts w:asciiTheme="majorHAnsi" w:hAnsiTheme="majorHAnsi" w:cstheme="majorHAnsi"/>
        </w:rPr>
        <w:t xml:space="preserve"> A, Harrington DP, Murphy GF, Qureshi AA, </w:t>
      </w:r>
      <w:proofErr w:type="spellStart"/>
      <w:r w:rsidRPr="00585C42">
        <w:rPr>
          <w:rFonts w:asciiTheme="majorHAnsi" w:hAnsiTheme="majorHAnsi" w:cstheme="majorHAnsi"/>
        </w:rPr>
        <w:t>Schmults</w:t>
      </w:r>
      <w:proofErr w:type="spellEnd"/>
      <w:r w:rsidRPr="00585C42">
        <w:rPr>
          <w:rFonts w:asciiTheme="majorHAnsi" w:hAnsiTheme="majorHAnsi" w:cstheme="majorHAnsi"/>
        </w:rPr>
        <w:t xml:space="preserve"> CD. Evaluation of American Joint Committee on Cancer, International Union Against Cancer, and Brigham and Women’s Hospital </w:t>
      </w:r>
      <w:proofErr w:type="spellStart"/>
      <w:r w:rsidRPr="00585C42">
        <w:rPr>
          <w:rFonts w:asciiTheme="majorHAnsi" w:hAnsiTheme="majorHAnsi" w:cstheme="majorHAnsi"/>
        </w:rPr>
        <w:t>tumor</w:t>
      </w:r>
      <w:proofErr w:type="spellEnd"/>
      <w:r w:rsidRPr="00585C42">
        <w:rPr>
          <w:rFonts w:asciiTheme="majorHAnsi" w:hAnsiTheme="majorHAnsi" w:cstheme="majorHAnsi"/>
        </w:rPr>
        <w:t xml:space="preserve"> staging for cutaneous squamous cell carcinoma. J Clin Oncol. 2014;32(4):327-334. </w:t>
      </w:r>
      <w:proofErr w:type="spellStart"/>
      <w:r w:rsidRPr="00585C42">
        <w:rPr>
          <w:rFonts w:asciiTheme="majorHAnsi" w:hAnsiTheme="majorHAnsi" w:cstheme="majorHAnsi"/>
        </w:rPr>
        <w:t>doi</w:t>
      </w:r>
      <w:proofErr w:type="spellEnd"/>
      <w:r w:rsidRPr="00585C42">
        <w:rPr>
          <w:rFonts w:asciiTheme="majorHAnsi" w:hAnsiTheme="majorHAnsi" w:cstheme="majorHAnsi"/>
        </w:rPr>
        <w:t xml:space="preserve">: 10.1200/JCO.2012.48.5326 </w:t>
      </w:r>
    </w:p>
    <w:p w14:paraId="23AD6020" w14:textId="77777777" w:rsidR="008B2776" w:rsidRDefault="008B2776" w:rsidP="008B2776">
      <w:pPr>
        <w:spacing w:line="276" w:lineRule="auto"/>
        <w:jc w:val="both"/>
        <w:rPr>
          <w:rFonts w:asciiTheme="majorHAnsi" w:hAnsiTheme="majorHAnsi" w:cstheme="majorHAnsi"/>
        </w:rPr>
      </w:pPr>
    </w:p>
    <w:p w14:paraId="4D4D7C53" w14:textId="31CE7B7F" w:rsidR="008B2776" w:rsidRDefault="008B2776" w:rsidP="008B2776">
      <w:pPr>
        <w:spacing w:line="276" w:lineRule="auto"/>
        <w:jc w:val="both"/>
        <w:rPr>
          <w:rFonts w:asciiTheme="majorHAnsi" w:hAnsiTheme="majorHAnsi" w:cstheme="majorHAnsi"/>
        </w:rPr>
      </w:pPr>
      <w:r w:rsidRPr="00585C42">
        <w:rPr>
          <w:rFonts w:asciiTheme="majorHAnsi" w:hAnsiTheme="majorHAnsi" w:cstheme="majorHAnsi"/>
        </w:rPr>
        <w:t>3</w:t>
      </w:r>
      <w:r w:rsidR="00E5540E">
        <w:rPr>
          <w:rFonts w:asciiTheme="majorHAnsi" w:hAnsiTheme="majorHAnsi" w:cstheme="majorHAnsi"/>
        </w:rPr>
        <w:t>4</w:t>
      </w:r>
      <w:r w:rsidRPr="00585C42">
        <w:rPr>
          <w:rFonts w:asciiTheme="majorHAnsi" w:hAnsiTheme="majorHAnsi" w:cstheme="majorHAnsi"/>
        </w:rPr>
        <w:t xml:space="preserve">. </w:t>
      </w:r>
      <w:proofErr w:type="spellStart"/>
      <w:r w:rsidRPr="00585C42">
        <w:rPr>
          <w:rFonts w:asciiTheme="majorHAnsi" w:hAnsiTheme="majorHAnsi" w:cstheme="majorHAnsi"/>
        </w:rPr>
        <w:t>Karia</w:t>
      </w:r>
      <w:proofErr w:type="spellEnd"/>
      <w:r w:rsidRPr="00585C42">
        <w:rPr>
          <w:rFonts w:asciiTheme="majorHAnsi" w:hAnsiTheme="majorHAnsi" w:cstheme="majorHAnsi"/>
        </w:rPr>
        <w:t xml:space="preserve"> PS, Morgan FC, </w:t>
      </w:r>
      <w:proofErr w:type="spellStart"/>
      <w:r w:rsidRPr="00585C42">
        <w:rPr>
          <w:rFonts w:asciiTheme="majorHAnsi" w:hAnsiTheme="majorHAnsi" w:cstheme="majorHAnsi"/>
        </w:rPr>
        <w:t>Califano</w:t>
      </w:r>
      <w:proofErr w:type="spellEnd"/>
      <w:r w:rsidRPr="00585C42">
        <w:rPr>
          <w:rFonts w:asciiTheme="majorHAnsi" w:hAnsiTheme="majorHAnsi" w:cstheme="majorHAnsi"/>
        </w:rPr>
        <w:t xml:space="preserve"> JA, </w:t>
      </w:r>
      <w:proofErr w:type="spellStart"/>
      <w:r w:rsidRPr="00585C42">
        <w:rPr>
          <w:rFonts w:asciiTheme="majorHAnsi" w:hAnsiTheme="majorHAnsi" w:cstheme="majorHAnsi"/>
        </w:rPr>
        <w:t>Schmults</w:t>
      </w:r>
      <w:proofErr w:type="spellEnd"/>
      <w:r w:rsidRPr="00585C42">
        <w:rPr>
          <w:rFonts w:asciiTheme="majorHAnsi" w:hAnsiTheme="majorHAnsi" w:cstheme="majorHAnsi"/>
        </w:rPr>
        <w:t xml:space="preserve"> CD. Comparison of </w:t>
      </w:r>
      <w:proofErr w:type="spellStart"/>
      <w:r w:rsidRPr="00585C42">
        <w:rPr>
          <w:rFonts w:asciiTheme="majorHAnsi" w:hAnsiTheme="majorHAnsi" w:cstheme="majorHAnsi"/>
        </w:rPr>
        <w:t>tumor</w:t>
      </w:r>
      <w:proofErr w:type="spellEnd"/>
      <w:r w:rsidRPr="00585C42">
        <w:rPr>
          <w:rFonts w:asciiTheme="majorHAnsi" w:hAnsiTheme="majorHAnsi" w:cstheme="majorHAnsi"/>
        </w:rPr>
        <w:t xml:space="preserve"> classifications for cutaneous squamous cell carcinoma of the head and neck in the 7th vs 8th edition of the AJCC Cancer Staging Manual. JAMA Dermatol. 2018; 154:175-181. </w:t>
      </w:r>
    </w:p>
    <w:p w14:paraId="30A747AE" w14:textId="77777777" w:rsidR="008B2776" w:rsidRDefault="008B2776" w:rsidP="008B2776">
      <w:pPr>
        <w:spacing w:line="276" w:lineRule="auto"/>
        <w:jc w:val="both"/>
        <w:rPr>
          <w:rFonts w:asciiTheme="majorHAnsi" w:hAnsiTheme="majorHAnsi" w:cstheme="majorHAnsi"/>
        </w:rPr>
      </w:pPr>
    </w:p>
    <w:p w14:paraId="1C75BBA6" w14:textId="01CA1C1E" w:rsidR="008B2776" w:rsidRDefault="008B2776" w:rsidP="008B277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</w:t>
      </w:r>
      <w:r w:rsidR="00E5540E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. </w:t>
      </w:r>
      <w:r w:rsidRPr="00E0400B">
        <w:rPr>
          <w:rFonts w:asciiTheme="majorHAnsi" w:hAnsiTheme="majorHAnsi" w:cstheme="majorHAnsi"/>
        </w:rPr>
        <w:t xml:space="preserve">Ruiz ES, </w:t>
      </w:r>
      <w:proofErr w:type="spellStart"/>
      <w:r w:rsidRPr="00E0400B">
        <w:rPr>
          <w:rFonts w:asciiTheme="majorHAnsi" w:hAnsiTheme="majorHAnsi" w:cstheme="majorHAnsi"/>
        </w:rPr>
        <w:t>Karia</w:t>
      </w:r>
      <w:proofErr w:type="spellEnd"/>
      <w:r w:rsidRPr="00E0400B">
        <w:rPr>
          <w:rFonts w:asciiTheme="majorHAnsi" w:hAnsiTheme="majorHAnsi" w:cstheme="majorHAnsi"/>
        </w:rPr>
        <w:t xml:space="preserve"> PS, </w:t>
      </w:r>
      <w:proofErr w:type="spellStart"/>
      <w:r w:rsidRPr="00E0400B">
        <w:rPr>
          <w:rFonts w:asciiTheme="majorHAnsi" w:hAnsiTheme="majorHAnsi" w:cstheme="majorHAnsi"/>
        </w:rPr>
        <w:t>Besaw</w:t>
      </w:r>
      <w:proofErr w:type="spellEnd"/>
      <w:r w:rsidRPr="00E0400B">
        <w:rPr>
          <w:rFonts w:asciiTheme="majorHAnsi" w:hAnsiTheme="majorHAnsi" w:cstheme="majorHAnsi"/>
        </w:rPr>
        <w:t xml:space="preserve"> R, </w:t>
      </w:r>
      <w:proofErr w:type="spellStart"/>
      <w:r w:rsidRPr="00E0400B">
        <w:rPr>
          <w:rFonts w:asciiTheme="majorHAnsi" w:hAnsiTheme="majorHAnsi" w:cstheme="majorHAnsi"/>
        </w:rPr>
        <w:t>Schmults</w:t>
      </w:r>
      <w:proofErr w:type="spellEnd"/>
      <w:r w:rsidRPr="00E0400B">
        <w:rPr>
          <w:rFonts w:asciiTheme="majorHAnsi" w:hAnsiTheme="majorHAnsi" w:cstheme="majorHAnsi"/>
        </w:rPr>
        <w:t xml:space="preserve"> CD. Performance of the American Joint Committee on Cancer Staging Manual, 8th Edition vs the Brigham and Women’s Hospital </w:t>
      </w:r>
      <w:proofErr w:type="spellStart"/>
      <w:r w:rsidRPr="00E0400B">
        <w:rPr>
          <w:rFonts w:asciiTheme="majorHAnsi" w:hAnsiTheme="majorHAnsi" w:cstheme="majorHAnsi"/>
        </w:rPr>
        <w:t>Tumor</w:t>
      </w:r>
      <w:proofErr w:type="spellEnd"/>
      <w:r w:rsidRPr="00E0400B">
        <w:rPr>
          <w:rFonts w:asciiTheme="majorHAnsi" w:hAnsiTheme="majorHAnsi" w:cstheme="majorHAnsi"/>
        </w:rPr>
        <w:t xml:space="preserve"> Classification System for Cutaneous Squamous Cell Carcinoma. </w:t>
      </w:r>
      <w:r w:rsidRPr="00E0400B">
        <w:rPr>
          <w:rStyle w:val="Emphasis"/>
          <w:rFonts w:asciiTheme="majorHAnsi" w:hAnsiTheme="majorHAnsi" w:cstheme="majorHAnsi"/>
        </w:rPr>
        <w:t>JAMA Dermatol.</w:t>
      </w:r>
      <w:r w:rsidRPr="00E0400B">
        <w:rPr>
          <w:rFonts w:asciiTheme="majorHAnsi" w:hAnsiTheme="majorHAnsi" w:cstheme="majorHAnsi"/>
        </w:rPr>
        <w:t xml:space="preserve"> 2019;155(7):819–825. doi:10.1001/jamadermatol.2019.0032</w:t>
      </w:r>
    </w:p>
    <w:p w14:paraId="340A8C43" w14:textId="13B3C594" w:rsidR="008D3ACE" w:rsidRDefault="008D3ACE" w:rsidP="00EA02C0">
      <w:pPr>
        <w:spacing w:line="276" w:lineRule="auto"/>
        <w:jc w:val="both"/>
        <w:rPr>
          <w:rFonts w:asciiTheme="majorHAnsi" w:hAnsiTheme="majorHAnsi" w:cstheme="majorHAnsi"/>
        </w:rPr>
      </w:pPr>
    </w:p>
    <w:p w14:paraId="72AF6D12" w14:textId="4B67BCBA" w:rsidR="008D3ACE" w:rsidRDefault="008D3ACE" w:rsidP="00EA02C0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</w:t>
      </w:r>
      <w:r w:rsidR="006C10C3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. </w:t>
      </w:r>
      <w:r w:rsidR="00147F6E" w:rsidRPr="00147F6E">
        <w:rPr>
          <w:rFonts w:asciiTheme="majorHAnsi" w:hAnsiTheme="majorHAnsi" w:cstheme="majorHAnsi"/>
        </w:rPr>
        <w:t xml:space="preserve">Blamey RW, Ellis IO, Pinder SE, Lee AH, Macmillan RD, Morgan DA et al. Survival of invasive breast cancer according to the Nottingham Prognostic Index in cases diagnosed in 1990–1999. </w:t>
      </w:r>
      <w:proofErr w:type="spellStart"/>
      <w:r w:rsidR="00147F6E" w:rsidRPr="00147F6E">
        <w:rPr>
          <w:rFonts w:asciiTheme="majorHAnsi" w:hAnsiTheme="majorHAnsi" w:cstheme="majorHAnsi"/>
        </w:rPr>
        <w:t>Eur</w:t>
      </w:r>
      <w:proofErr w:type="spellEnd"/>
      <w:r w:rsidR="00147F6E" w:rsidRPr="00147F6E">
        <w:rPr>
          <w:rFonts w:asciiTheme="majorHAnsi" w:hAnsiTheme="majorHAnsi" w:cstheme="majorHAnsi"/>
        </w:rPr>
        <w:t xml:space="preserve"> J Cancer </w:t>
      </w:r>
      <w:proofErr w:type="gramStart"/>
      <w:r w:rsidR="00147F6E" w:rsidRPr="00147F6E">
        <w:rPr>
          <w:rFonts w:asciiTheme="majorHAnsi" w:hAnsiTheme="majorHAnsi" w:cstheme="majorHAnsi"/>
        </w:rPr>
        <w:t>2007;43:1548</w:t>
      </w:r>
      <w:proofErr w:type="gramEnd"/>
      <w:r w:rsidR="00147F6E" w:rsidRPr="00147F6E">
        <w:rPr>
          <w:rFonts w:asciiTheme="majorHAnsi" w:hAnsiTheme="majorHAnsi" w:cstheme="majorHAnsi"/>
        </w:rPr>
        <w:t>–1555.</w:t>
      </w:r>
    </w:p>
    <w:p w14:paraId="6648FD93" w14:textId="77777777" w:rsidR="00877729" w:rsidRDefault="00877729" w:rsidP="00090916">
      <w:pPr>
        <w:spacing w:line="276" w:lineRule="auto"/>
        <w:jc w:val="both"/>
        <w:rPr>
          <w:rFonts w:cstheme="minorHAnsi"/>
        </w:rPr>
      </w:pPr>
    </w:p>
    <w:p w14:paraId="37957F9C" w14:textId="77777777" w:rsidR="00191AE5" w:rsidRDefault="00191AE5" w:rsidP="00090916">
      <w:pPr>
        <w:spacing w:line="276" w:lineRule="auto"/>
        <w:jc w:val="both"/>
        <w:rPr>
          <w:rFonts w:cstheme="minorHAnsi"/>
        </w:rPr>
      </w:pPr>
    </w:p>
    <w:p w14:paraId="72BA7844" w14:textId="77777777" w:rsidR="005A5F35" w:rsidRDefault="005A5F35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2A54C2AF" w14:textId="77777777" w:rsidR="005A5F35" w:rsidRDefault="005A5F35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53206A98" w14:textId="77777777" w:rsidR="005A5F35" w:rsidRDefault="005A5F35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5E51C56F" w14:textId="77777777" w:rsidR="005318BC" w:rsidRDefault="005318BC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7FFE9669" w14:textId="21EF67E6" w:rsidR="001A06D1" w:rsidRDefault="000E4592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  <w:r w:rsidRPr="00817053">
        <w:rPr>
          <w:rFonts w:eastAsia="Times New Roman" w:cstheme="minorHAnsi"/>
          <w:b/>
          <w:bCs/>
          <w:lang w:eastAsia="en-GB"/>
        </w:rPr>
        <w:lastRenderedPageBreak/>
        <w:t xml:space="preserve">Figures </w:t>
      </w:r>
      <w:r w:rsidR="009425E9">
        <w:rPr>
          <w:rFonts w:eastAsia="Times New Roman" w:cstheme="minorHAnsi"/>
          <w:b/>
          <w:bCs/>
          <w:lang w:eastAsia="en-GB"/>
        </w:rPr>
        <w:t>Legend</w:t>
      </w:r>
    </w:p>
    <w:p w14:paraId="191F3EF8" w14:textId="440B78E8" w:rsidR="003C3EBA" w:rsidRDefault="000E4592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n-GB"/>
        </w:rPr>
      </w:pPr>
      <w:r w:rsidRPr="00FF0DB6">
        <w:rPr>
          <w:rFonts w:eastAsia="Times New Roman" w:cstheme="minorHAnsi"/>
          <w:b/>
          <w:bCs/>
          <w:lang w:eastAsia="en-GB"/>
        </w:rPr>
        <w:t xml:space="preserve">Fig </w:t>
      </w:r>
      <w:r w:rsidR="00B905B0">
        <w:rPr>
          <w:rFonts w:eastAsia="Times New Roman" w:cstheme="minorHAnsi"/>
          <w:b/>
          <w:bCs/>
          <w:lang w:eastAsia="en-GB"/>
        </w:rPr>
        <w:t>1</w:t>
      </w:r>
      <w:r w:rsidRPr="00FF0DB6">
        <w:rPr>
          <w:rFonts w:eastAsia="Times New Roman" w:cstheme="minorHAnsi"/>
          <w:b/>
          <w:bCs/>
          <w:lang w:eastAsia="en-GB"/>
        </w:rPr>
        <w:t>.</w:t>
      </w:r>
      <w:r>
        <w:rPr>
          <w:rFonts w:eastAsia="Times New Roman" w:cstheme="minorHAnsi"/>
          <w:lang w:eastAsia="en-GB"/>
        </w:rPr>
        <w:t xml:space="preserve"> Normalised enrichment scores (NES) of</w:t>
      </w:r>
      <w:r w:rsidR="004118B4">
        <w:rPr>
          <w:rFonts w:eastAsia="Times New Roman" w:cstheme="minorHAnsi"/>
          <w:lang w:eastAsia="en-GB"/>
        </w:rPr>
        <w:t xml:space="preserve"> the</w:t>
      </w:r>
      <w:r>
        <w:rPr>
          <w:rFonts w:eastAsia="Times New Roman" w:cstheme="minorHAnsi"/>
          <w:lang w:eastAsia="en-GB"/>
        </w:rPr>
        <w:t xml:space="preserve"> top dysregulated canonical pathways between metastasising and non-metastasising </w:t>
      </w:r>
      <w:proofErr w:type="spellStart"/>
      <w:r>
        <w:rPr>
          <w:rFonts w:eastAsia="Times New Roman" w:cstheme="minorHAnsi"/>
          <w:lang w:eastAsia="en-GB"/>
        </w:rPr>
        <w:t>cSCC</w:t>
      </w:r>
      <w:proofErr w:type="spellEnd"/>
      <w:r>
        <w:rPr>
          <w:rFonts w:eastAsia="Times New Roman" w:cstheme="minorHAnsi"/>
          <w:lang w:eastAsia="en-GB"/>
        </w:rPr>
        <w:t xml:space="preserve">. Pathways with positive NES (in red) were upregulated while pathways with negative NES (in blue) were downregulated </w:t>
      </w:r>
      <w:r w:rsidR="00394EDF">
        <w:rPr>
          <w:rFonts w:eastAsia="Times New Roman" w:cstheme="minorHAnsi"/>
          <w:lang w:eastAsia="en-GB"/>
        </w:rPr>
        <w:t xml:space="preserve">in metastasising compared to non-metastasising </w:t>
      </w:r>
      <w:r w:rsidR="00304ADA">
        <w:rPr>
          <w:rFonts w:eastAsia="Times New Roman" w:cstheme="minorHAnsi"/>
          <w:lang w:eastAsia="en-GB"/>
        </w:rPr>
        <w:t xml:space="preserve">primary </w:t>
      </w:r>
      <w:proofErr w:type="spellStart"/>
      <w:r w:rsidR="00394EDF">
        <w:rPr>
          <w:rFonts w:eastAsia="Times New Roman" w:cstheme="minorHAnsi"/>
          <w:lang w:eastAsia="en-GB"/>
        </w:rPr>
        <w:t>cSCC</w:t>
      </w:r>
      <w:proofErr w:type="spellEnd"/>
      <w:r w:rsidR="00394EDF">
        <w:rPr>
          <w:rFonts w:eastAsia="Times New Roman" w:cstheme="minorHAnsi"/>
          <w:lang w:eastAsia="en-GB"/>
        </w:rPr>
        <w:t xml:space="preserve">. </w:t>
      </w:r>
    </w:p>
    <w:p w14:paraId="4D9E7CEF" w14:textId="1C324455" w:rsidR="00771655" w:rsidRDefault="0078484A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n-GB"/>
        </w:rPr>
      </w:pPr>
      <w:r w:rsidRPr="004C5003">
        <w:rPr>
          <w:rFonts w:eastAsia="Times New Roman" w:cstheme="minorHAnsi"/>
          <w:b/>
          <w:bCs/>
          <w:lang w:eastAsia="en-GB"/>
        </w:rPr>
        <w:t xml:space="preserve">Fig </w:t>
      </w:r>
      <w:r w:rsidR="0079679F" w:rsidRPr="004C5003">
        <w:rPr>
          <w:rFonts w:eastAsia="Times New Roman" w:cstheme="minorHAnsi"/>
          <w:b/>
          <w:bCs/>
          <w:lang w:eastAsia="en-GB"/>
        </w:rPr>
        <w:t>2.</w:t>
      </w:r>
      <w:r w:rsidR="0079679F">
        <w:rPr>
          <w:rFonts w:eastAsia="Times New Roman" w:cstheme="minorHAnsi"/>
          <w:lang w:eastAsia="en-GB"/>
        </w:rPr>
        <w:t xml:space="preserve"> </w:t>
      </w:r>
      <w:r w:rsidR="006976A2">
        <w:rPr>
          <w:rFonts w:eastAsia="Times New Roman" w:cstheme="minorHAnsi"/>
          <w:lang w:eastAsia="en-GB"/>
        </w:rPr>
        <w:t>Kaplan</w:t>
      </w:r>
      <w:r w:rsidR="00AE4911">
        <w:rPr>
          <w:rFonts w:eastAsia="Times New Roman" w:cstheme="minorHAnsi"/>
          <w:lang w:eastAsia="en-GB"/>
        </w:rPr>
        <w:t xml:space="preserve">-Meier analysis of </w:t>
      </w:r>
      <w:r w:rsidR="00942109">
        <w:rPr>
          <w:rFonts w:eastAsia="Times New Roman" w:cstheme="minorHAnsi"/>
          <w:lang w:eastAsia="en-GB"/>
        </w:rPr>
        <w:t xml:space="preserve">the </w:t>
      </w:r>
      <w:r w:rsidR="007C2B70">
        <w:rPr>
          <w:rFonts w:eastAsia="Times New Roman" w:cstheme="minorHAnsi"/>
          <w:lang w:eastAsia="en-GB"/>
        </w:rPr>
        <w:t xml:space="preserve">20-GEP </w:t>
      </w:r>
      <w:r w:rsidR="00EA2DC1">
        <w:rPr>
          <w:rFonts w:eastAsia="Times New Roman" w:cstheme="minorHAnsi"/>
          <w:lang w:eastAsia="en-GB"/>
        </w:rPr>
        <w:t>prognostic</w:t>
      </w:r>
      <w:r w:rsidR="00265D8C">
        <w:rPr>
          <w:rFonts w:eastAsia="Times New Roman" w:cstheme="minorHAnsi"/>
          <w:lang w:eastAsia="en-GB"/>
        </w:rPr>
        <w:t xml:space="preserve"> </w:t>
      </w:r>
      <w:r w:rsidR="008C7946">
        <w:rPr>
          <w:rFonts w:eastAsia="Times New Roman" w:cstheme="minorHAnsi"/>
          <w:lang w:eastAsia="en-GB"/>
        </w:rPr>
        <w:t xml:space="preserve">test </w:t>
      </w:r>
      <w:r w:rsidR="00462139">
        <w:rPr>
          <w:rFonts w:eastAsia="Times New Roman" w:cstheme="minorHAnsi"/>
          <w:lang w:eastAsia="en-GB"/>
        </w:rPr>
        <w:t>and outcomes in terms</w:t>
      </w:r>
      <w:r w:rsidR="0054634B">
        <w:rPr>
          <w:rFonts w:eastAsia="Times New Roman" w:cstheme="minorHAnsi"/>
          <w:lang w:eastAsia="en-GB"/>
        </w:rPr>
        <w:t xml:space="preserve"> </w:t>
      </w:r>
      <w:r w:rsidR="00DA7CF4">
        <w:rPr>
          <w:rFonts w:eastAsia="Times New Roman" w:cstheme="minorHAnsi"/>
          <w:lang w:eastAsia="en-GB"/>
        </w:rPr>
        <w:t xml:space="preserve">of </w:t>
      </w:r>
      <w:r w:rsidR="003A7FBF">
        <w:rPr>
          <w:rFonts w:eastAsia="Times New Roman" w:cstheme="minorHAnsi"/>
          <w:lang w:eastAsia="en-GB"/>
        </w:rPr>
        <w:t>metastasis free survival</w:t>
      </w:r>
      <w:r w:rsidR="00EA2DC1">
        <w:rPr>
          <w:rFonts w:eastAsia="Times New Roman" w:cstheme="minorHAnsi"/>
          <w:lang w:eastAsia="en-GB"/>
        </w:rPr>
        <w:t xml:space="preserve"> in the </w:t>
      </w:r>
      <w:r w:rsidR="003D1011">
        <w:rPr>
          <w:rFonts w:eastAsia="Times New Roman" w:cstheme="minorHAnsi"/>
          <w:lang w:eastAsia="en-GB"/>
        </w:rPr>
        <w:t>validation dataset</w:t>
      </w:r>
      <w:r w:rsidR="004460B5">
        <w:rPr>
          <w:rFonts w:eastAsia="Times New Roman" w:cstheme="minorHAnsi"/>
          <w:lang w:eastAsia="en-GB"/>
        </w:rPr>
        <w:t>.</w:t>
      </w:r>
      <w:r w:rsidR="0053242C">
        <w:rPr>
          <w:rFonts w:eastAsia="Times New Roman" w:cstheme="minorHAnsi"/>
          <w:lang w:eastAsia="en-GB"/>
        </w:rPr>
        <w:t xml:space="preserve"> </w:t>
      </w:r>
      <w:r w:rsidR="00CF4916">
        <w:rPr>
          <w:rFonts w:eastAsia="Times New Roman" w:cstheme="minorHAnsi"/>
          <w:lang w:eastAsia="en-GB"/>
        </w:rPr>
        <w:t xml:space="preserve">No. at risk </w:t>
      </w:r>
      <w:r w:rsidR="00F5519E">
        <w:rPr>
          <w:rFonts w:eastAsia="Times New Roman" w:cstheme="minorHAnsi"/>
          <w:lang w:eastAsia="en-GB"/>
        </w:rPr>
        <w:t xml:space="preserve">in the follow-up </w:t>
      </w:r>
      <w:r w:rsidR="00D31F3D">
        <w:rPr>
          <w:rFonts w:eastAsia="Times New Roman" w:cstheme="minorHAnsi"/>
          <w:lang w:eastAsia="en-GB"/>
        </w:rPr>
        <w:t>was shown in the table below.</w:t>
      </w:r>
    </w:p>
    <w:p w14:paraId="64418C8E" w14:textId="1EF21893" w:rsidR="00D30C39" w:rsidRPr="00D10658" w:rsidRDefault="000E4592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n-GB"/>
        </w:rPr>
      </w:pPr>
      <w:r w:rsidRPr="00B50137">
        <w:rPr>
          <w:rFonts w:eastAsia="Times New Roman" w:cstheme="minorHAnsi"/>
          <w:b/>
          <w:bCs/>
          <w:lang w:eastAsia="en-GB"/>
        </w:rPr>
        <w:t>Fig 3.</w:t>
      </w:r>
      <w:r>
        <w:rPr>
          <w:rFonts w:eastAsia="Times New Roman" w:cstheme="minorHAnsi"/>
          <w:lang w:eastAsia="en-GB"/>
        </w:rPr>
        <w:t xml:space="preserve"> Area under the </w:t>
      </w:r>
      <w:r w:rsidRPr="00F254D0">
        <w:rPr>
          <w:rFonts w:eastAsia="Times New Roman" w:cstheme="minorHAnsi"/>
          <w:lang w:eastAsia="en-GB"/>
        </w:rPr>
        <w:t>receiver operating characteristic curve</w:t>
      </w:r>
      <w:r>
        <w:rPr>
          <w:rFonts w:eastAsia="Times New Roman" w:cstheme="minorHAnsi"/>
          <w:lang w:eastAsia="en-GB"/>
        </w:rPr>
        <w:t xml:space="preserve"> (AUC) of the performance of linear predictors correlating with the metastatic incidences. Linear predictors were produced based on the </w:t>
      </w:r>
      <w:r w:rsidR="00AA75D1">
        <w:rPr>
          <w:rFonts w:eastAsia="Times New Roman" w:cstheme="minorHAnsi"/>
          <w:lang w:eastAsia="en-GB"/>
        </w:rPr>
        <w:t>20</w:t>
      </w:r>
      <w:r>
        <w:rPr>
          <w:rFonts w:eastAsia="Times New Roman" w:cstheme="minorHAnsi"/>
          <w:lang w:eastAsia="en-GB"/>
        </w:rPr>
        <w:t>-GEP signature, and both training and testing data sets were included in the calculation. AUC and 95% confidence interval were shown.</w:t>
      </w:r>
    </w:p>
    <w:p w14:paraId="56938714" w14:textId="77777777" w:rsidR="00E161B1" w:rsidRDefault="00E161B1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66FBEED1" w14:textId="77777777" w:rsidR="00E161B1" w:rsidRDefault="00E161B1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7AF26A9F" w14:textId="77777777" w:rsidR="00E161B1" w:rsidRDefault="00E161B1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06396DF2" w14:textId="77777777" w:rsidR="00E161B1" w:rsidRDefault="00E161B1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5C94F8B2" w14:textId="77777777" w:rsidR="00E161B1" w:rsidRDefault="00E161B1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0DCA05DF" w14:textId="77777777" w:rsidR="00E161B1" w:rsidRDefault="00E161B1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06E2C8C0" w14:textId="77777777" w:rsidR="00E161B1" w:rsidRDefault="00E161B1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2FE49375" w14:textId="77777777" w:rsidR="00E161B1" w:rsidRDefault="00E161B1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7E6EF4FE" w14:textId="77777777" w:rsidR="00E161B1" w:rsidRDefault="00E161B1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4BCF03C2" w14:textId="77777777" w:rsidR="00E161B1" w:rsidRDefault="00E161B1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4983C9F4" w14:textId="77777777" w:rsidR="00E161B1" w:rsidRDefault="00E161B1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4F3BF5DE" w14:textId="77777777" w:rsidR="00E161B1" w:rsidRDefault="00E161B1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44E61456" w14:textId="77777777" w:rsidR="005611FA" w:rsidRDefault="005611FA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254EE669" w14:textId="77777777" w:rsidR="005611FA" w:rsidRDefault="005611FA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41EA0727" w14:textId="49A6F697" w:rsidR="000E4592" w:rsidRDefault="000E4592" w:rsidP="000E4592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n-GB"/>
        </w:rPr>
      </w:pPr>
      <w:r w:rsidRPr="00496446">
        <w:rPr>
          <w:rFonts w:eastAsia="Times New Roman" w:cstheme="minorHAnsi"/>
          <w:b/>
          <w:bCs/>
          <w:lang w:eastAsia="en-GB"/>
        </w:rPr>
        <w:lastRenderedPageBreak/>
        <w:t xml:space="preserve">Table </w:t>
      </w:r>
      <w:r>
        <w:rPr>
          <w:rFonts w:eastAsia="Times New Roman" w:cstheme="minorHAnsi"/>
          <w:b/>
          <w:bCs/>
          <w:lang w:eastAsia="en-GB"/>
        </w:rPr>
        <w:t>I</w:t>
      </w:r>
      <w:r w:rsidRPr="00496446">
        <w:rPr>
          <w:rFonts w:eastAsia="Times New Roman" w:cstheme="minorHAnsi"/>
          <w:b/>
          <w:bCs/>
          <w:lang w:eastAsia="en-GB"/>
        </w:rPr>
        <w:t>.</w:t>
      </w:r>
      <w:r>
        <w:rPr>
          <w:rFonts w:eastAsia="Times New Roman" w:cstheme="minorHAnsi"/>
          <w:lang w:eastAsia="en-GB"/>
        </w:rPr>
        <w:t xml:space="preserve"> Clinic</w:t>
      </w:r>
      <w:r w:rsidR="00C064DF">
        <w:rPr>
          <w:rFonts w:eastAsia="Times New Roman" w:cstheme="minorHAnsi"/>
          <w:lang w:eastAsia="en-GB"/>
        </w:rPr>
        <w:t xml:space="preserve">opathologic details of patients and primary </w:t>
      </w:r>
      <w:proofErr w:type="spellStart"/>
      <w:r w:rsidR="00C064DF">
        <w:rPr>
          <w:rFonts w:eastAsia="Times New Roman" w:cstheme="minorHAnsi"/>
          <w:lang w:eastAsia="en-GB"/>
        </w:rPr>
        <w:t>cSCC</w:t>
      </w:r>
      <w:proofErr w:type="spellEnd"/>
      <w:r w:rsidR="00C064DF">
        <w:rPr>
          <w:rFonts w:eastAsia="Times New Roman" w:cstheme="minorHAnsi"/>
          <w:lang w:eastAsia="en-GB"/>
        </w:rPr>
        <w:t xml:space="preserve"> samples</w:t>
      </w:r>
      <w:r>
        <w:rPr>
          <w:rFonts w:eastAsia="Times New Roman" w:cstheme="minorHAnsi"/>
          <w:lang w:eastAsia="en-GB"/>
        </w:rPr>
        <w:t xml:space="preserve"> </w:t>
      </w:r>
    </w:p>
    <w:tbl>
      <w:tblPr>
        <w:tblStyle w:val="GridTable4-Accent3"/>
        <w:tblW w:w="10774" w:type="dxa"/>
        <w:tblInd w:w="-889" w:type="dxa"/>
        <w:tblLook w:val="04A0" w:firstRow="1" w:lastRow="0" w:firstColumn="1" w:lastColumn="0" w:noHBand="0" w:noVBand="1"/>
      </w:tblPr>
      <w:tblGrid>
        <w:gridCol w:w="2640"/>
        <w:gridCol w:w="2451"/>
        <w:gridCol w:w="2526"/>
        <w:gridCol w:w="2385"/>
        <w:gridCol w:w="772"/>
      </w:tblGrid>
      <w:tr w:rsidR="00E01CD5" w:rsidRPr="00736247" w14:paraId="12301896" w14:textId="77777777" w:rsidTr="00621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449C7E57" w14:textId="77777777" w:rsidR="00E01CD5" w:rsidRPr="00736247" w:rsidRDefault="00E01CD5" w:rsidP="004B654A">
            <w:pPr>
              <w:rPr>
                <w:rFonts w:cstheme="minorHAnsi"/>
                <w:sz w:val="20"/>
                <w:szCs w:val="20"/>
              </w:rPr>
            </w:pPr>
            <w:r w:rsidRPr="00736247">
              <w:rPr>
                <w:rFonts w:cstheme="minorHAnsi"/>
                <w:sz w:val="20"/>
                <w:szCs w:val="20"/>
              </w:rPr>
              <w:t>Feature</w:t>
            </w:r>
          </w:p>
        </w:tc>
        <w:tc>
          <w:tcPr>
            <w:tcW w:w="2451" w:type="dxa"/>
          </w:tcPr>
          <w:p w14:paraId="42A79F41" w14:textId="77777777" w:rsidR="00E01CD5" w:rsidRPr="00736247" w:rsidRDefault="00E01CD5" w:rsidP="004B65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247">
              <w:rPr>
                <w:rFonts w:cstheme="minorHAnsi"/>
                <w:sz w:val="20"/>
                <w:szCs w:val="20"/>
              </w:rPr>
              <w:t>All</w:t>
            </w:r>
            <w:r>
              <w:rPr>
                <w:rFonts w:cstheme="minorHAnsi"/>
                <w:sz w:val="20"/>
                <w:szCs w:val="20"/>
              </w:rPr>
              <w:t xml:space="preserve"> (n=237)</w:t>
            </w:r>
          </w:p>
        </w:tc>
        <w:tc>
          <w:tcPr>
            <w:tcW w:w="2526" w:type="dxa"/>
          </w:tcPr>
          <w:p w14:paraId="33955DAD" w14:textId="77777777" w:rsidR="00E01CD5" w:rsidRPr="00736247" w:rsidRDefault="00E01CD5" w:rsidP="004B65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247">
              <w:rPr>
                <w:rFonts w:cstheme="minorHAnsi"/>
                <w:sz w:val="20"/>
                <w:szCs w:val="20"/>
              </w:rPr>
              <w:t>No metastasis</w:t>
            </w:r>
            <w:r>
              <w:rPr>
                <w:rFonts w:cstheme="minorHAnsi"/>
                <w:sz w:val="20"/>
                <w:szCs w:val="20"/>
              </w:rPr>
              <w:t xml:space="preserve"> (n=</w:t>
            </w:r>
            <w:proofErr w:type="gramStart"/>
            <w:r>
              <w:rPr>
                <w:rFonts w:cstheme="minorHAnsi"/>
                <w:sz w:val="20"/>
                <w:szCs w:val="20"/>
              </w:rPr>
              <w:t>151)*</w:t>
            </w:r>
            <w:proofErr w:type="gramEnd"/>
          </w:p>
        </w:tc>
        <w:tc>
          <w:tcPr>
            <w:tcW w:w="2385" w:type="dxa"/>
          </w:tcPr>
          <w:p w14:paraId="04378041" w14:textId="2746902C" w:rsidR="00E01CD5" w:rsidRPr="00736247" w:rsidRDefault="00E01CD5" w:rsidP="004B65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247">
              <w:rPr>
                <w:rFonts w:cstheme="minorHAnsi"/>
                <w:sz w:val="20"/>
                <w:szCs w:val="20"/>
              </w:rPr>
              <w:t>Metastasis</w:t>
            </w:r>
            <w:r>
              <w:rPr>
                <w:rFonts w:cstheme="minorHAnsi"/>
                <w:sz w:val="20"/>
                <w:szCs w:val="20"/>
              </w:rPr>
              <w:t xml:space="preserve"> (n=</w:t>
            </w:r>
            <w:proofErr w:type="gramStart"/>
            <w:r>
              <w:rPr>
                <w:rFonts w:cstheme="minorHAnsi"/>
                <w:sz w:val="20"/>
                <w:szCs w:val="20"/>
              </w:rPr>
              <w:t>86)</w:t>
            </w:r>
            <w:r w:rsidR="00D56BE4">
              <w:rPr>
                <w:rFonts w:cstheme="minorHAnsi"/>
                <w:sz w:val="20"/>
                <w:szCs w:val="20"/>
              </w:rPr>
              <w:t>*</w:t>
            </w:r>
            <w:proofErr w:type="gramEnd"/>
            <w:r w:rsidR="00D56BE4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772" w:type="dxa"/>
          </w:tcPr>
          <w:p w14:paraId="603FFF40" w14:textId="77777777" w:rsidR="00E01CD5" w:rsidRPr="00736247" w:rsidRDefault="00E01CD5" w:rsidP="004B65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247">
              <w:rPr>
                <w:rFonts w:cstheme="minorHAnsi"/>
                <w:sz w:val="20"/>
                <w:szCs w:val="20"/>
              </w:rPr>
              <w:t>P value</w:t>
            </w:r>
          </w:p>
        </w:tc>
      </w:tr>
      <w:tr w:rsidR="00E01CD5" w:rsidRPr="008C1716" w14:paraId="1FA7B7C3" w14:textId="77777777" w:rsidTr="0062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5A2C0044" w14:textId="77777777" w:rsidR="00E01CD5" w:rsidRPr="008C1716" w:rsidRDefault="00E01CD5" w:rsidP="004B654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Age, y, median (range)</w:t>
            </w:r>
          </w:p>
        </w:tc>
        <w:tc>
          <w:tcPr>
            <w:tcW w:w="2451" w:type="dxa"/>
          </w:tcPr>
          <w:p w14:paraId="65131F5F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 (39-100)</w:t>
            </w:r>
          </w:p>
        </w:tc>
        <w:tc>
          <w:tcPr>
            <w:tcW w:w="2526" w:type="dxa"/>
          </w:tcPr>
          <w:p w14:paraId="29A76438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 (39-100)</w:t>
            </w:r>
          </w:p>
        </w:tc>
        <w:tc>
          <w:tcPr>
            <w:tcW w:w="2385" w:type="dxa"/>
          </w:tcPr>
          <w:p w14:paraId="15BC709E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 (64-93)</w:t>
            </w:r>
          </w:p>
        </w:tc>
        <w:tc>
          <w:tcPr>
            <w:tcW w:w="772" w:type="dxa"/>
          </w:tcPr>
          <w:p w14:paraId="793920AE" w14:textId="6F409A5F" w:rsidR="00E01CD5" w:rsidRPr="008C1716" w:rsidRDefault="00FB73F3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.57</w:t>
            </w:r>
          </w:p>
        </w:tc>
      </w:tr>
      <w:tr w:rsidR="00E01CD5" w:rsidRPr="008C1716" w14:paraId="12FAA437" w14:textId="77777777" w:rsidTr="00621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004173C2" w14:textId="77777777" w:rsidR="00E01CD5" w:rsidRPr="008C1716" w:rsidRDefault="00E01CD5" w:rsidP="004B654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M</w:t>
            </w: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ale, n (%)</w:t>
            </w:r>
          </w:p>
        </w:tc>
        <w:tc>
          <w:tcPr>
            <w:tcW w:w="2451" w:type="dxa"/>
          </w:tcPr>
          <w:p w14:paraId="6A028AA1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142 (60)</w:t>
            </w:r>
          </w:p>
        </w:tc>
        <w:tc>
          <w:tcPr>
            <w:tcW w:w="2526" w:type="dxa"/>
          </w:tcPr>
          <w:p w14:paraId="7E8D2252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 (60)</w:t>
            </w:r>
          </w:p>
        </w:tc>
        <w:tc>
          <w:tcPr>
            <w:tcW w:w="2385" w:type="dxa"/>
          </w:tcPr>
          <w:p w14:paraId="076A983B" w14:textId="20B69608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 (</w:t>
            </w:r>
            <w:r w:rsidR="004F07C5">
              <w:rPr>
                <w:rFonts w:cstheme="minorHAnsi"/>
                <w:sz w:val="20"/>
                <w:szCs w:val="20"/>
              </w:rPr>
              <w:t>60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72" w:type="dxa"/>
          </w:tcPr>
          <w:p w14:paraId="1F5ECD67" w14:textId="7C91BF43" w:rsidR="00E01CD5" w:rsidRPr="008C1716" w:rsidRDefault="00FA6F60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E01CD5" w:rsidRPr="008C1716" w14:paraId="69E69CA7" w14:textId="77777777" w:rsidTr="0062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347A8382" w14:textId="77777777" w:rsidR="00E01CD5" w:rsidRDefault="00E01CD5" w:rsidP="004B654A">
            <w:pPr>
              <w:rPr>
                <w:rFonts w:cstheme="minorHAnsi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Located on head and neck, </w:t>
            </w:r>
          </w:p>
          <w:p w14:paraId="5B13EE89" w14:textId="24D8E263" w:rsidR="00E01CD5" w:rsidRPr="008C1716" w:rsidRDefault="00E01CD5" w:rsidP="004B654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n (</w:t>
            </w:r>
            <w:proofErr w:type="gramStart"/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%)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*</w:t>
            </w:r>
            <w:proofErr w:type="gramEnd"/>
            <w:r>
              <w:rPr>
                <w:rFonts w:cstheme="minorHAnsi"/>
                <w:b w:val="0"/>
                <w:bCs w:val="0"/>
                <w:sz w:val="20"/>
                <w:szCs w:val="20"/>
              </w:rPr>
              <w:t>*</w:t>
            </w:r>
            <w:r w:rsidR="00D56BE4">
              <w:rPr>
                <w:rFonts w:cstheme="minorHAnsi"/>
                <w:b w:val="0"/>
                <w:bCs w:val="0"/>
                <w:sz w:val="20"/>
                <w:szCs w:val="20"/>
              </w:rPr>
              <w:t>*</w:t>
            </w:r>
          </w:p>
        </w:tc>
        <w:tc>
          <w:tcPr>
            <w:tcW w:w="2451" w:type="dxa"/>
          </w:tcPr>
          <w:p w14:paraId="26B2F595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155 (65)</w:t>
            </w:r>
          </w:p>
        </w:tc>
        <w:tc>
          <w:tcPr>
            <w:tcW w:w="2526" w:type="dxa"/>
          </w:tcPr>
          <w:p w14:paraId="3A84199D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 (61)</w:t>
            </w:r>
          </w:p>
        </w:tc>
        <w:tc>
          <w:tcPr>
            <w:tcW w:w="2385" w:type="dxa"/>
          </w:tcPr>
          <w:p w14:paraId="78D7769F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 (74)</w:t>
            </w:r>
          </w:p>
        </w:tc>
        <w:tc>
          <w:tcPr>
            <w:tcW w:w="772" w:type="dxa"/>
          </w:tcPr>
          <w:p w14:paraId="7CEEA2C0" w14:textId="46667ED8" w:rsidR="00E01CD5" w:rsidRPr="008C1716" w:rsidRDefault="008B28CB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.033</w:t>
            </w:r>
          </w:p>
        </w:tc>
      </w:tr>
      <w:tr w:rsidR="00E01CD5" w:rsidRPr="008C1716" w14:paraId="579A9FF5" w14:textId="77777777" w:rsidTr="006215C0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4F14AB14" w14:textId="77777777" w:rsidR="00E01CD5" w:rsidRDefault="00E01CD5" w:rsidP="004B654A">
            <w:pPr>
              <w:rPr>
                <w:rFonts w:cstheme="minorHAnsi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Tumour diameter, cm, </w:t>
            </w:r>
          </w:p>
          <w:p w14:paraId="66F3F422" w14:textId="17A66343" w:rsidR="00D56BE4" w:rsidRPr="006215C0" w:rsidRDefault="00E01CD5" w:rsidP="004B654A">
            <w:pPr>
              <w:rPr>
                <w:rFonts w:cstheme="minorHAnsi"/>
                <w:iCs/>
                <w:sz w:val="20"/>
                <w:szCs w:val="20"/>
              </w:rPr>
            </w:pPr>
            <w:proofErr w:type="gramStart"/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mean 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(</w:t>
            </w:r>
            <w:proofErr w:type="gramEnd"/>
            <w:r>
              <w:rPr>
                <w:rFonts w:cstheme="minorHAnsi"/>
                <w:b w:val="0"/>
                <w:bCs w:val="0"/>
                <w:sz w:val="20"/>
                <w:szCs w:val="20"/>
              </w:rPr>
              <w:t>range)</w:t>
            </w:r>
            <w:r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 xml:space="preserve"> </w:t>
            </w:r>
            <w:r w:rsidR="00D56BE4">
              <w:rPr>
                <w:rFonts w:cstheme="minorHAnsi"/>
                <w:b w:val="0"/>
                <w:bCs w:val="0"/>
                <w:sz w:val="20"/>
                <w:szCs w:val="20"/>
              </w:rPr>
              <w:t>#</w:t>
            </w:r>
          </w:p>
        </w:tc>
        <w:tc>
          <w:tcPr>
            <w:tcW w:w="2451" w:type="dxa"/>
          </w:tcPr>
          <w:p w14:paraId="37E99C56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1.85 (0.18-9)</w:t>
            </w:r>
          </w:p>
        </w:tc>
        <w:tc>
          <w:tcPr>
            <w:tcW w:w="2526" w:type="dxa"/>
          </w:tcPr>
          <w:p w14:paraId="181F5CDF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1.31 (0.18-4.1)</w:t>
            </w:r>
          </w:p>
        </w:tc>
        <w:tc>
          <w:tcPr>
            <w:tcW w:w="2385" w:type="dxa"/>
          </w:tcPr>
          <w:p w14:paraId="063A9162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2.82 (1.6-9)</w:t>
            </w:r>
          </w:p>
        </w:tc>
        <w:tc>
          <w:tcPr>
            <w:tcW w:w="772" w:type="dxa"/>
          </w:tcPr>
          <w:p w14:paraId="0FE82330" w14:textId="583BE3E8" w:rsidR="00E01CD5" w:rsidRPr="008C1716" w:rsidRDefault="009C7AA4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&lt;.0001</w:t>
            </w:r>
          </w:p>
        </w:tc>
      </w:tr>
      <w:tr w:rsidR="00E01CD5" w:rsidRPr="008C1716" w14:paraId="2419D539" w14:textId="77777777" w:rsidTr="0062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61F76AB2" w14:textId="0F8D4CB9" w:rsidR="00E01CD5" w:rsidRPr="008C1716" w:rsidRDefault="00E01CD5" w:rsidP="004B654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Tumour thickness, mm, mean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(range) #</w:t>
            </w:r>
            <w:r w:rsidR="00D56BE4">
              <w:rPr>
                <w:rFonts w:cstheme="minorHAnsi"/>
                <w:b w:val="0"/>
                <w:bCs w:val="0"/>
                <w:sz w:val="20"/>
                <w:szCs w:val="20"/>
              </w:rPr>
              <w:t>#</w:t>
            </w:r>
          </w:p>
        </w:tc>
        <w:tc>
          <w:tcPr>
            <w:tcW w:w="2451" w:type="dxa"/>
          </w:tcPr>
          <w:p w14:paraId="6BC50FB2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3.94 (0.2-26.7)</w:t>
            </w:r>
          </w:p>
        </w:tc>
        <w:tc>
          <w:tcPr>
            <w:tcW w:w="2526" w:type="dxa"/>
          </w:tcPr>
          <w:p w14:paraId="01F80220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2.96 (0.2-13)</w:t>
            </w:r>
          </w:p>
        </w:tc>
        <w:tc>
          <w:tcPr>
            <w:tcW w:w="2385" w:type="dxa"/>
          </w:tcPr>
          <w:p w14:paraId="22762CD1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5.65 (0.3-26.7)</w:t>
            </w:r>
          </w:p>
        </w:tc>
        <w:tc>
          <w:tcPr>
            <w:tcW w:w="772" w:type="dxa"/>
          </w:tcPr>
          <w:p w14:paraId="2AA20155" w14:textId="20D087C1" w:rsidR="00E01CD5" w:rsidRPr="008C1716" w:rsidRDefault="00593D61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&lt;.0001</w:t>
            </w:r>
          </w:p>
        </w:tc>
      </w:tr>
      <w:tr w:rsidR="00E01CD5" w:rsidRPr="008C1716" w14:paraId="4742403E" w14:textId="77777777" w:rsidTr="00621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0E15C028" w14:textId="77777777" w:rsidR="00E01CD5" w:rsidRPr="008C1716" w:rsidRDefault="00E01CD5" w:rsidP="004B654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Poorly differentiated, n (%)</w:t>
            </w:r>
          </w:p>
        </w:tc>
        <w:tc>
          <w:tcPr>
            <w:tcW w:w="2451" w:type="dxa"/>
          </w:tcPr>
          <w:p w14:paraId="737966D7" w14:textId="041BBD79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115 (48.3) </w:t>
            </w:r>
          </w:p>
        </w:tc>
        <w:tc>
          <w:tcPr>
            <w:tcW w:w="2526" w:type="dxa"/>
          </w:tcPr>
          <w:p w14:paraId="136B3BAC" w14:textId="404AB97B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 (30.9)</w:t>
            </w:r>
          </w:p>
        </w:tc>
        <w:tc>
          <w:tcPr>
            <w:tcW w:w="2385" w:type="dxa"/>
          </w:tcPr>
          <w:p w14:paraId="13DCE8D0" w14:textId="43E4AC94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 (79.1)</w:t>
            </w:r>
          </w:p>
        </w:tc>
        <w:tc>
          <w:tcPr>
            <w:tcW w:w="772" w:type="dxa"/>
          </w:tcPr>
          <w:p w14:paraId="1CDC374D" w14:textId="26FEF21F" w:rsidR="00E01CD5" w:rsidRPr="008C1716" w:rsidRDefault="00F26CE0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&lt;.0001</w:t>
            </w:r>
          </w:p>
        </w:tc>
      </w:tr>
      <w:tr w:rsidR="00E01CD5" w:rsidRPr="008C1716" w14:paraId="44A88BEB" w14:textId="77777777" w:rsidTr="0062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53A75800" w14:textId="77777777" w:rsidR="00E01CD5" w:rsidRDefault="00E01CD5" w:rsidP="004B654A">
            <w:pPr>
              <w:rPr>
                <w:rFonts w:cstheme="minorHAnsi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Clark level 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&gt; </w:t>
            </w: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V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 (beyond fat)</w:t>
            </w: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, </w:t>
            </w:r>
          </w:p>
          <w:p w14:paraId="55E7CACB" w14:textId="77777777" w:rsidR="00E01CD5" w:rsidRPr="008C1716" w:rsidRDefault="00E01CD5" w:rsidP="004B654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n (</w:t>
            </w:r>
            <w:proofErr w:type="gramStart"/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%)</w:t>
            </w:r>
            <w:r>
              <w:rPr>
                <w:rFonts w:cstheme="minorHAnsi"/>
                <w:sz w:val="20"/>
                <w:szCs w:val="20"/>
              </w:rPr>
              <w:t>§</w:t>
            </w:r>
            <w:proofErr w:type="gramEnd"/>
          </w:p>
        </w:tc>
        <w:tc>
          <w:tcPr>
            <w:tcW w:w="2451" w:type="dxa"/>
          </w:tcPr>
          <w:p w14:paraId="385BC2EF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 (18.6)</w:t>
            </w:r>
          </w:p>
        </w:tc>
        <w:tc>
          <w:tcPr>
            <w:tcW w:w="2526" w:type="dxa"/>
          </w:tcPr>
          <w:p w14:paraId="335227F6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(6.7)</w:t>
            </w:r>
          </w:p>
        </w:tc>
        <w:tc>
          <w:tcPr>
            <w:tcW w:w="2385" w:type="dxa"/>
          </w:tcPr>
          <w:p w14:paraId="71D3D9BD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 (40.2)</w:t>
            </w:r>
          </w:p>
        </w:tc>
        <w:tc>
          <w:tcPr>
            <w:tcW w:w="772" w:type="dxa"/>
          </w:tcPr>
          <w:p w14:paraId="67550B8A" w14:textId="44A8BE92" w:rsidR="00E01CD5" w:rsidRPr="008C1716" w:rsidRDefault="001F159C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&lt;.0001</w:t>
            </w:r>
          </w:p>
        </w:tc>
      </w:tr>
      <w:tr w:rsidR="00E01CD5" w:rsidRPr="008C1716" w14:paraId="14A910C2" w14:textId="77777777" w:rsidTr="00621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110C8799" w14:textId="77777777" w:rsidR="00E01CD5" w:rsidRPr="008C1716" w:rsidRDefault="00E01CD5" w:rsidP="004B654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PNI, n (</w:t>
            </w:r>
            <w:proofErr w:type="gramStart"/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%)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¶</w:t>
            </w:r>
            <w:proofErr w:type="gramEnd"/>
          </w:p>
        </w:tc>
        <w:tc>
          <w:tcPr>
            <w:tcW w:w="2451" w:type="dxa"/>
          </w:tcPr>
          <w:p w14:paraId="28BAA82A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1BD213D9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5" w:type="dxa"/>
          </w:tcPr>
          <w:p w14:paraId="65503556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dxa"/>
          </w:tcPr>
          <w:p w14:paraId="511B0559" w14:textId="046CF1C1" w:rsidR="00E01CD5" w:rsidRPr="008C1716" w:rsidRDefault="007B7D61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.0004</w:t>
            </w:r>
          </w:p>
        </w:tc>
      </w:tr>
      <w:tr w:rsidR="00E01CD5" w:rsidRPr="008C1716" w14:paraId="2E02E58B" w14:textId="77777777" w:rsidTr="0062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34F4ABC2" w14:textId="77777777" w:rsidR="00E01CD5" w:rsidRPr="008C1716" w:rsidRDefault="00E01CD5" w:rsidP="004B654A">
            <w:pPr>
              <w:jc w:val="righ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Present (</w:t>
            </w: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sym w:font="Symbol" w:char="F0B3"/>
            </w: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0.1mm)</w:t>
            </w:r>
          </w:p>
        </w:tc>
        <w:tc>
          <w:tcPr>
            <w:tcW w:w="2451" w:type="dxa"/>
          </w:tcPr>
          <w:p w14:paraId="296DFDAE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 (8.6)</w:t>
            </w:r>
          </w:p>
        </w:tc>
        <w:tc>
          <w:tcPr>
            <w:tcW w:w="2526" w:type="dxa"/>
          </w:tcPr>
          <w:p w14:paraId="7BA9CBA2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 (5.3)</w:t>
            </w:r>
          </w:p>
        </w:tc>
        <w:tc>
          <w:tcPr>
            <w:tcW w:w="2385" w:type="dxa"/>
          </w:tcPr>
          <w:p w14:paraId="3BF5F45F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 (14.6)</w:t>
            </w:r>
          </w:p>
        </w:tc>
        <w:tc>
          <w:tcPr>
            <w:tcW w:w="772" w:type="dxa"/>
          </w:tcPr>
          <w:p w14:paraId="65ACB75A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01CD5" w:rsidRPr="008C1716" w14:paraId="5B2A435D" w14:textId="77777777" w:rsidTr="00621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402CC3E9" w14:textId="77777777" w:rsidR="00E01CD5" w:rsidRPr="008C1716" w:rsidRDefault="00E01CD5" w:rsidP="004B654A">
            <w:pPr>
              <w:jc w:val="righ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Present (&lt;0.1mm or unknown)</w:t>
            </w:r>
          </w:p>
        </w:tc>
        <w:tc>
          <w:tcPr>
            <w:tcW w:w="2451" w:type="dxa"/>
          </w:tcPr>
          <w:p w14:paraId="1064A740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 (4.7)</w:t>
            </w:r>
          </w:p>
        </w:tc>
        <w:tc>
          <w:tcPr>
            <w:tcW w:w="2526" w:type="dxa"/>
          </w:tcPr>
          <w:p w14:paraId="0071016B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(1.99)</w:t>
            </w:r>
          </w:p>
        </w:tc>
        <w:tc>
          <w:tcPr>
            <w:tcW w:w="2385" w:type="dxa"/>
          </w:tcPr>
          <w:p w14:paraId="0A501E12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 (9.8)</w:t>
            </w:r>
          </w:p>
        </w:tc>
        <w:tc>
          <w:tcPr>
            <w:tcW w:w="772" w:type="dxa"/>
          </w:tcPr>
          <w:p w14:paraId="3E9E54DC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01CD5" w:rsidRPr="008C1716" w14:paraId="41A5C11E" w14:textId="77777777" w:rsidTr="0062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7F673B38" w14:textId="77777777" w:rsidR="00E01CD5" w:rsidRPr="008C1716" w:rsidRDefault="00E01CD5" w:rsidP="004B654A">
            <w:pPr>
              <w:jc w:val="righ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Not present</w:t>
            </w:r>
          </w:p>
        </w:tc>
        <w:tc>
          <w:tcPr>
            <w:tcW w:w="2451" w:type="dxa"/>
          </w:tcPr>
          <w:p w14:paraId="3657DDE3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 (86.7)</w:t>
            </w:r>
          </w:p>
        </w:tc>
        <w:tc>
          <w:tcPr>
            <w:tcW w:w="2526" w:type="dxa"/>
          </w:tcPr>
          <w:p w14:paraId="63E821C2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140 (92.7)</w:t>
            </w:r>
          </w:p>
        </w:tc>
        <w:tc>
          <w:tcPr>
            <w:tcW w:w="2385" w:type="dxa"/>
          </w:tcPr>
          <w:p w14:paraId="5B63F694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 (75.6)</w:t>
            </w:r>
          </w:p>
        </w:tc>
        <w:tc>
          <w:tcPr>
            <w:tcW w:w="772" w:type="dxa"/>
          </w:tcPr>
          <w:p w14:paraId="24F76335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01CD5" w:rsidRPr="008C1716" w14:paraId="67672478" w14:textId="77777777" w:rsidTr="00621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0EEE8613" w14:textId="77777777" w:rsidR="00E01CD5" w:rsidRPr="00943AEC" w:rsidRDefault="00E01CD5" w:rsidP="004B654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943AEC">
              <w:rPr>
                <w:rFonts w:cstheme="minorHAnsi"/>
                <w:b w:val="0"/>
                <w:bCs w:val="0"/>
                <w:sz w:val="20"/>
                <w:szCs w:val="20"/>
              </w:rPr>
              <w:t>Lymphovascular</w:t>
            </w:r>
            <w:proofErr w:type="spellEnd"/>
            <w:r w:rsidRPr="00943AEC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invasion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∞</w:t>
            </w:r>
          </w:p>
        </w:tc>
        <w:tc>
          <w:tcPr>
            <w:tcW w:w="2451" w:type="dxa"/>
          </w:tcPr>
          <w:p w14:paraId="6F9A4923" w14:textId="77777777" w:rsidR="00E01CD5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 (6.5)</w:t>
            </w:r>
          </w:p>
        </w:tc>
        <w:tc>
          <w:tcPr>
            <w:tcW w:w="2526" w:type="dxa"/>
          </w:tcPr>
          <w:p w14:paraId="0CF4B370" w14:textId="77777777" w:rsidR="00E01CD5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(0.66)</w:t>
            </w:r>
          </w:p>
        </w:tc>
        <w:tc>
          <w:tcPr>
            <w:tcW w:w="2385" w:type="dxa"/>
          </w:tcPr>
          <w:p w14:paraId="22947C92" w14:textId="77777777" w:rsidR="00E01CD5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 (17.5)</w:t>
            </w:r>
          </w:p>
        </w:tc>
        <w:tc>
          <w:tcPr>
            <w:tcW w:w="772" w:type="dxa"/>
          </w:tcPr>
          <w:p w14:paraId="357BBF50" w14:textId="2621C7AA" w:rsidR="00E01CD5" w:rsidRPr="008C1716" w:rsidRDefault="00A66654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&lt;.0001</w:t>
            </w:r>
          </w:p>
        </w:tc>
      </w:tr>
      <w:tr w:rsidR="00E01CD5" w:rsidRPr="008C1716" w14:paraId="4F1403D5" w14:textId="77777777" w:rsidTr="0062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7AEF0993" w14:textId="77777777" w:rsidR="00E01CD5" w:rsidRPr="008C1716" w:rsidRDefault="00E01CD5" w:rsidP="004B654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UICC T stage, n (</w:t>
            </w:r>
            <w:proofErr w:type="gramStart"/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%)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§</w:t>
            </w:r>
            <w:proofErr w:type="gramEnd"/>
            <w:r>
              <w:rPr>
                <w:rFonts w:cstheme="minorHAnsi"/>
                <w:b w:val="0"/>
                <w:bCs w:val="0"/>
                <w:sz w:val="20"/>
                <w:szCs w:val="20"/>
              </w:rPr>
              <w:t>§</w:t>
            </w:r>
          </w:p>
        </w:tc>
        <w:tc>
          <w:tcPr>
            <w:tcW w:w="2451" w:type="dxa"/>
          </w:tcPr>
          <w:p w14:paraId="3F4F4184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5E913B32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5" w:type="dxa"/>
          </w:tcPr>
          <w:p w14:paraId="0498C9A1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dxa"/>
          </w:tcPr>
          <w:p w14:paraId="747BDE81" w14:textId="76DC966F" w:rsidR="00E01CD5" w:rsidRPr="008C1716" w:rsidRDefault="00F01A0C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&lt;.0001</w:t>
            </w:r>
          </w:p>
        </w:tc>
      </w:tr>
      <w:tr w:rsidR="00E01CD5" w:rsidRPr="008C1716" w14:paraId="5D152EFA" w14:textId="77777777" w:rsidTr="00621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4DE3DDB7" w14:textId="77777777" w:rsidR="00E01CD5" w:rsidRPr="008C1716" w:rsidRDefault="00E01CD5" w:rsidP="004B654A">
            <w:pPr>
              <w:jc w:val="righ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T1</w:t>
            </w:r>
          </w:p>
        </w:tc>
        <w:tc>
          <w:tcPr>
            <w:tcW w:w="2451" w:type="dxa"/>
          </w:tcPr>
          <w:p w14:paraId="39BD9F6E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134 (59.3)</w:t>
            </w:r>
          </w:p>
        </w:tc>
        <w:tc>
          <w:tcPr>
            <w:tcW w:w="2526" w:type="dxa"/>
          </w:tcPr>
          <w:p w14:paraId="3A9A12A8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115 (78.8)</w:t>
            </w:r>
          </w:p>
        </w:tc>
        <w:tc>
          <w:tcPr>
            <w:tcW w:w="2385" w:type="dxa"/>
          </w:tcPr>
          <w:p w14:paraId="43CA8CC0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 (23.75)</w:t>
            </w:r>
          </w:p>
        </w:tc>
        <w:tc>
          <w:tcPr>
            <w:tcW w:w="772" w:type="dxa"/>
          </w:tcPr>
          <w:p w14:paraId="4C8673CC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01CD5" w:rsidRPr="008C1716" w14:paraId="0B86F38E" w14:textId="77777777" w:rsidTr="0062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10B80CCF" w14:textId="77777777" w:rsidR="00E01CD5" w:rsidRPr="008C1716" w:rsidRDefault="00E01CD5" w:rsidP="004B654A">
            <w:pPr>
              <w:jc w:val="righ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T2</w:t>
            </w:r>
          </w:p>
        </w:tc>
        <w:tc>
          <w:tcPr>
            <w:tcW w:w="2451" w:type="dxa"/>
          </w:tcPr>
          <w:p w14:paraId="7FD00875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 (11.1)</w:t>
            </w:r>
          </w:p>
        </w:tc>
        <w:tc>
          <w:tcPr>
            <w:tcW w:w="2526" w:type="dxa"/>
          </w:tcPr>
          <w:p w14:paraId="6AE17799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 (7.5)</w:t>
            </w:r>
          </w:p>
        </w:tc>
        <w:tc>
          <w:tcPr>
            <w:tcW w:w="2385" w:type="dxa"/>
          </w:tcPr>
          <w:p w14:paraId="66B6159A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 (17.5)</w:t>
            </w:r>
          </w:p>
        </w:tc>
        <w:tc>
          <w:tcPr>
            <w:tcW w:w="772" w:type="dxa"/>
          </w:tcPr>
          <w:p w14:paraId="726799DF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01CD5" w:rsidRPr="008C1716" w14:paraId="2B24B317" w14:textId="77777777" w:rsidTr="00621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533A45A8" w14:textId="77777777" w:rsidR="00E01CD5" w:rsidRPr="008C1716" w:rsidRDefault="00E01CD5" w:rsidP="004B654A">
            <w:pPr>
              <w:jc w:val="righ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T3</w:t>
            </w:r>
          </w:p>
        </w:tc>
        <w:tc>
          <w:tcPr>
            <w:tcW w:w="2451" w:type="dxa"/>
          </w:tcPr>
          <w:p w14:paraId="7D8F2B46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 (29.6)</w:t>
            </w:r>
          </w:p>
        </w:tc>
        <w:tc>
          <w:tcPr>
            <w:tcW w:w="2526" w:type="dxa"/>
          </w:tcPr>
          <w:p w14:paraId="787C162F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 (13.7)</w:t>
            </w:r>
          </w:p>
        </w:tc>
        <w:tc>
          <w:tcPr>
            <w:tcW w:w="2385" w:type="dxa"/>
          </w:tcPr>
          <w:p w14:paraId="4B6C0FB8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 (58.75)</w:t>
            </w:r>
          </w:p>
        </w:tc>
        <w:tc>
          <w:tcPr>
            <w:tcW w:w="772" w:type="dxa"/>
          </w:tcPr>
          <w:p w14:paraId="0BA3EF6C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01CD5" w:rsidRPr="008C1716" w14:paraId="51C4619D" w14:textId="77777777" w:rsidTr="0062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39F73D51" w14:textId="77777777" w:rsidR="00E01CD5" w:rsidRPr="008C1716" w:rsidRDefault="00E01CD5" w:rsidP="004B654A">
            <w:pPr>
              <w:jc w:val="righ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T4</w:t>
            </w:r>
          </w:p>
        </w:tc>
        <w:tc>
          <w:tcPr>
            <w:tcW w:w="2451" w:type="dxa"/>
          </w:tcPr>
          <w:p w14:paraId="5CF81C99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526" w:type="dxa"/>
          </w:tcPr>
          <w:p w14:paraId="356E010F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14:paraId="582B705E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72" w:type="dxa"/>
          </w:tcPr>
          <w:p w14:paraId="1582B0C6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01CD5" w:rsidRPr="008C1716" w14:paraId="0C8418D4" w14:textId="77777777" w:rsidTr="00621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75E19B06" w14:textId="77777777" w:rsidR="00E01CD5" w:rsidRPr="008C1716" w:rsidRDefault="00E01CD5" w:rsidP="004B654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BWH T stage, n (</w:t>
            </w:r>
            <w:proofErr w:type="gramStart"/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%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)¶</w:t>
            </w:r>
            <w:proofErr w:type="gramEnd"/>
            <w:r>
              <w:rPr>
                <w:rFonts w:cstheme="minorHAnsi"/>
                <w:b w:val="0"/>
                <w:bCs w:val="0"/>
                <w:sz w:val="20"/>
                <w:szCs w:val="20"/>
              </w:rPr>
              <w:t>¶</w:t>
            </w:r>
          </w:p>
        </w:tc>
        <w:tc>
          <w:tcPr>
            <w:tcW w:w="2451" w:type="dxa"/>
          </w:tcPr>
          <w:p w14:paraId="6B0530F5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413429E7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5" w:type="dxa"/>
          </w:tcPr>
          <w:p w14:paraId="09386959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dxa"/>
          </w:tcPr>
          <w:p w14:paraId="542E3A6C" w14:textId="22FA2413" w:rsidR="00E01CD5" w:rsidRPr="008C1716" w:rsidRDefault="00721FBC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&lt;.0001</w:t>
            </w:r>
          </w:p>
        </w:tc>
      </w:tr>
      <w:tr w:rsidR="00E01CD5" w:rsidRPr="008C1716" w14:paraId="03299879" w14:textId="77777777" w:rsidTr="0062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42B93D74" w14:textId="77777777" w:rsidR="00E01CD5" w:rsidRPr="008C1716" w:rsidRDefault="00E01CD5" w:rsidP="004B654A">
            <w:pPr>
              <w:jc w:val="righ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T1</w:t>
            </w:r>
          </w:p>
        </w:tc>
        <w:tc>
          <w:tcPr>
            <w:tcW w:w="2451" w:type="dxa"/>
          </w:tcPr>
          <w:p w14:paraId="57776D12" w14:textId="7C222AD9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B58A0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Pr="004B58A0">
              <w:rPr>
                <w:rFonts w:cstheme="minorHAnsi"/>
                <w:color w:val="000000" w:themeColor="text1"/>
                <w:sz w:val="20"/>
                <w:szCs w:val="20"/>
              </w:rPr>
              <w:t xml:space="preserve"> (3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7.7</w:t>
            </w:r>
            <w:r w:rsidRPr="004B58A0">
              <w:rPr>
                <w:rFonts w:cstheme="minorHAnsi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526" w:type="dxa"/>
          </w:tcPr>
          <w:p w14:paraId="1BA034E4" w14:textId="4798928F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 (56.75)</w:t>
            </w:r>
          </w:p>
        </w:tc>
        <w:tc>
          <w:tcPr>
            <w:tcW w:w="2385" w:type="dxa"/>
          </w:tcPr>
          <w:p w14:paraId="6C19D123" w14:textId="57E09453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(2.5) </w:t>
            </w:r>
          </w:p>
        </w:tc>
        <w:tc>
          <w:tcPr>
            <w:tcW w:w="772" w:type="dxa"/>
          </w:tcPr>
          <w:p w14:paraId="35792267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01CD5" w:rsidRPr="008C1716" w14:paraId="71ABB1C5" w14:textId="77777777" w:rsidTr="00621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6DCAFF45" w14:textId="77777777" w:rsidR="00E01CD5" w:rsidRPr="008C1716" w:rsidRDefault="00E01CD5" w:rsidP="004B654A">
            <w:pPr>
              <w:jc w:val="righ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T2a</w:t>
            </w:r>
          </w:p>
        </w:tc>
        <w:tc>
          <w:tcPr>
            <w:tcW w:w="2451" w:type="dxa"/>
          </w:tcPr>
          <w:p w14:paraId="1FAFE571" w14:textId="76252F33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 (28.5)</w:t>
            </w:r>
          </w:p>
        </w:tc>
        <w:tc>
          <w:tcPr>
            <w:tcW w:w="2526" w:type="dxa"/>
          </w:tcPr>
          <w:p w14:paraId="3A01F5B2" w14:textId="5B373E6C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 (29.7)</w:t>
            </w:r>
          </w:p>
        </w:tc>
        <w:tc>
          <w:tcPr>
            <w:tcW w:w="2385" w:type="dxa"/>
          </w:tcPr>
          <w:p w14:paraId="783B78BD" w14:textId="7BFECE26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21 (26.25) </w:t>
            </w:r>
          </w:p>
        </w:tc>
        <w:tc>
          <w:tcPr>
            <w:tcW w:w="772" w:type="dxa"/>
          </w:tcPr>
          <w:p w14:paraId="1C93EB04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01CD5" w:rsidRPr="008C1716" w14:paraId="3C40BE89" w14:textId="77777777" w:rsidTr="0062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62CFD10B" w14:textId="77777777" w:rsidR="00E01CD5" w:rsidRPr="008C1716" w:rsidRDefault="00E01CD5" w:rsidP="004B654A">
            <w:pPr>
              <w:jc w:val="righ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T2b</w:t>
            </w:r>
          </w:p>
        </w:tc>
        <w:tc>
          <w:tcPr>
            <w:tcW w:w="2451" w:type="dxa"/>
          </w:tcPr>
          <w:p w14:paraId="59938436" w14:textId="3E4862E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71 (31.1)</w:t>
            </w:r>
          </w:p>
        </w:tc>
        <w:tc>
          <w:tcPr>
            <w:tcW w:w="2526" w:type="dxa"/>
          </w:tcPr>
          <w:p w14:paraId="0B43F711" w14:textId="70587EE8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 (13.5)</w:t>
            </w:r>
          </w:p>
        </w:tc>
        <w:tc>
          <w:tcPr>
            <w:tcW w:w="2385" w:type="dxa"/>
          </w:tcPr>
          <w:p w14:paraId="496A0CC9" w14:textId="465F2E1E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51  (</w:t>
            </w:r>
            <w:proofErr w:type="gramEnd"/>
            <w:r>
              <w:rPr>
                <w:rFonts w:cstheme="minorHAnsi"/>
                <w:sz w:val="20"/>
                <w:szCs w:val="20"/>
              </w:rPr>
              <w:t>63.75)</w:t>
            </w:r>
          </w:p>
        </w:tc>
        <w:tc>
          <w:tcPr>
            <w:tcW w:w="772" w:type="dxa"/>
          </w:tcPr>
          <w:p w14:paraId="04794B0C" w14:textId="77777777" w:rsidR="00E01CD5" w:rsidRPr="008C1716" w:rsidRDefault="00E01CD5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01CD5" w:rsidRPr="008C1716" w14:paraId="6A0E8A86" w14:textId="77777777" w:rsidTr="00621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1ADA69EF" w14:textId="77777777" w:rsidR="00E01CD5" w:rsidRPr="008C1716" w:rsidRDefault="00E01CD5" w:rsidP="004B654A">
            <w:pPr>
              <w:jc w:val="righ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T3</w:t>
            </w:r>
          </w:p>
        </w:tc>
        <w:tc>
          <w:tcPr>
            <w:tcW w:w="2451" w:type="dxa"/>
          </w:tcPr>
          <w:p w14:paraId="481EB956" w14:textId="73515E80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 (2.6) </w:t>
            </w:r>
          </w:p>
        </w:tc>
        <w:tc>
          <w:tcPr>
            <w:tcW w:w="2526" w:type="dxa"/>
          </w:tcPr>
          <w:p w14:paraId="5DB8E4F8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385" w:type="dxa"/>
          </w:tcPr>
          <w:p w14:paraId="1934D7EF" w14:textId="7DAA9FD6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6  (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7.5)  </w:t>
            </w:r>
          </w:p>
        </w:tc>
        <w:tc>
          <w:tcPr>
            <w:tcW w:w="772" w:type="dxa"/>
          </w:tcPr>
          <w:p w14:paraId="1B4CBD80" w14:textId="77777777" w:rsidR="00E01CD5" w:rsidRPr="008C1716" w:rsidRDefault="00E01CD5" w:rsidP="004B6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56BE4" w:rsidRPr="008C1716" w14:paraId="48A2D61A" w14:textId="77777777" w:rsidTr="00D56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0" w:type="dxa"/>
          </w:tcPr>
          <w:p w14:paraId="559D3EAA" w14:textId="77777777" w:rsidR="00D56BE4" w:rsidRDefault="00D56BE4" w:rsidP="004B654A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51" w:type="dxa"/>
          </w:tcPr>
          <w:p w14:paraId="0C79F10E" w14:textId="77777777" w:rsidR="00D56BE4" w:rsidRPr="008C1716" w:rsidRDefault="00D56BE4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6" w:type="dxa"/>
          </w:tcPr>
          <w:p w14:paraId="3D214BC6" w14:textId="77777777" w:rsidR="00D56BE4" w:rsidRPr="008C1716" w:rsidRDefault="00D56BE4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5" w:type="dxa"/>
          </w:tcPr>
          <w:p w14:paraId="4164D2C8" w14:textId="77777777" w:rsidR="00D56BE4" w:rsidRPr="008C1716" w:rsidRDefault="00D56BE4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2" w:type="dxa"/>
          </w:tcPr>
          <w:p w14:paraId="53F7130E" w14:textId="77777777" w:rsidR="00D56BE4" w:rsidRPr="008C1716" w:rsidRDefault="00D56BE4" w:rsidP="004B6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49019492" w14:textId="77777777" w:rsidR="00D56BE4" w:rsidRDefault="00D56BE4" w:rsidP="00BB5729">
      <w:pPr>
        <w:pStyle w:val="ListParagraph"/>
      </w:pPr>
    </w:p>
    <w:p w14:paraId="0E5088D9" w14:textId="73ABF398" w:rsidR="00BB5729" w:rsidRDefault="00BB5729" w:rsidP="00BB5729">
      <w:pPr>
        <w:pStyle w:val="ListParagraph"/>
      </w:pPr>
      <w:r>
        <w:t xml:space="preserve">*Total number of primary </w:t>
      </w:r>
      <w:proofErr w:type="spellStart"/>
      <w:r>
        <w:t>cSCC</w:t>
      </w:r>
      <w:proofErr w:type="spellEnd"/>
      <w:r>
        <w:t xml:space="preserve"> which did not metastasise =152 (one patient had 2 separate </w:t>
      </w:r>
      <w:r w:rsidR="00C064DF">
        <w:t xml:space="preserve">primary </w:t>
      </w:r>
      <w:proofErr w:type="spellStart"/>
      <w:r>
        <w:t>cSCCs</w:t>
      </w:r>
      <w:proofErr w:type="spellEnd"/>
      <w:r>
        <w:t>)</w:t>
      </w:r>
      <w:r w:rsidR="00D56BE4">
        <w:t>; median follow-up was 76 months</w:t>
      </w:r>
    </w:p>
    <w:p w14:paraId="26AD043C" w14:textId="20ACC653" w:rsidR="00D56BE4" w:rsidRDefault="00D56BE4" w:rsidP="00BB5729">
      <w:pPr>
        <w:pStyle w:val="ListParagraph"/>
      </w:pPr>
      <w:r>
        <w:t xml:space="preserve">** median time from primary </w:t>
      </w:r>
      <w:proofErr w:type="spellStart"/>
      <w:r>
        <w:t>cSCC</w:t>
      </w:r>
      <w:proofErr w:type="spellEnd"/>
      <w:r>
        <w:t xml:space="preserve"> to metastasis was 9.9 months </w:t>
      </w:r>
    </w:p>
    <w:p w14:paraId="429EA268" w14:textId="44EE7D6E" w:rsidR="00BB5729" w:rsidRDefault="00BB5729" w:rsidP="00BB5729">
      <w:pPr>
        <w:pStyle w:val="ListParagraph"/>
      </w:pPr>
      <w:r>
        <w:t>**</w:t>
      </w:r>
      <w:r w:rsidR="00D56BE4">
        <w:t>*</w:t>
      </w:r>
      <w:r>
        <w:t xml:space="preserve"> Location not recorded for 2 </w:t>
      </w:r>
      <w:proofErr w:type="spellStart"/>
      <w:r>
        <w:t>cSCCs</w:t>
      </w:r>
      <w:proofErr w:type="spellEnd"/>
      <w:r>
        <w:t xml:space="preserve"> (both non-</w:t>
      </w:r>
      <w:r w:rsidR="00C064DF">
        <w:t>metastasising</w:t>
      </w:r>
      <w:r>
        <w:t>)</w:t>
      </w:r>
    </w:p>
    <w:p w14:paraId="5AC944C0" w14:textId="6C21B5DF" w:rsidR="00BB5729" w:rsidRDefault="00D56BE4" w:rsidP="00BB5729">
      <w:pPr>
        <w:pStyle w:val="ListParagraph"/>
      </w:pPr>
      <w:r>
        <w:rPr>
          <w:rFonts w:cstheme="minorHAnsi"/>
          <w:sz w:val="20"/>
          <w:szCs w:val="20"/>
        </w:rPr>
        <w:t>#</w:t>
      </w:r>
      <w:r w:rsidR="00BB5729">
        <w:t xml:space="preserve"> not available for</w:t>
      </w:r>
      <w:r w:rsidR="00C064DF">
        <w:t xml:space="preserve"> 10 </w:t>
      </w:r>
      <w:proofErr w:type="spellStart"/>
      <w:r w:rsidR="00C064DF">
        <w:t>cSCC</w:t>
      </w:r>
      <w:proofErr w:type="spellEnd"/>
      <w:r w:rsidR="00C064DF">
        <w:t xml:space="preserve"> (</w:t>
      </w:r>
      <w:r w:rsidR="00BB5729">
        <w:t>5 non-</w:t>
      </w:r>
      <w:r w:rsidR="00C064DF">
        <w:t>metastasising</w:t>
      </w:r>
      <w:r w:rsidR="00BB5729">
        <w:t xml:space="preserve"> and 5 </w:t>
      </w:r>
      <w:r w:rsidR="00C064DF">
        <w:t>metastasising)</w:t>
      </w:r>
    </w:p>
    <w:p w14:paraId="765F52D6" w14:textId="26682408" w:rsidR="00BB5729" w:rsidRDefault="00BB5729" w:rsidP="00BB5729">
      <w:pPr>
        <w:pStyle w:val="ListParagraph"/>
      </w:pPr>
      <w:r>
        <w:t>#</w:t>
      </w:r>
      <w:r w:rsidR="00D56BE4">
        <w:rPr>
          <w:rFonts w:cstheme="minorHAnsi"/>
          <w:sz w:val="20"/>
          <w:szCs w:val="20"/>
        </w:rPr>
        <w:t>#</w:t>
      </w:r>
      <w:r>
        <w:t xml:space="preserve"> not available for 15 </w:t>
      </w:r>
      <w:proofErr w:type="spellStart"/>
      <w:r>
        <w:t>cSCC</w:t>
      </w:r>
      <w:proofErr w:type="spellEnd"/>
      <w:r>
        <w:t xml:space="preserve"> (10 non-</w:t>
      </w:r>
      <w:r w:rsidR="00C064DF">
        <w:t xml:space="preserve">metastasising </w:t>
      </w:r>
      <w:r>
        <w:t>and 5</w:t>
      </w:r>
      <w:r w:rsidR="00C064DF">
        <w:t xml:space="preserve"> metastasising</w:t>
      </w:r>
      <w:r>
        <w:t>)</w:t>
      </w:r>
      <w:r w:rsidR="00C064DF" w:rsidRPr="00C064DF">
        <w:t xml:space="preserve"> </w:t>
      </w:r>
    </w:p>
    <w:p w14:paraId="41F9DAD2" w14:textId="5CF685FA" w:rsidR="00BB5729" w:rsidRDefault="00BB5729" w:rsidP="00BB5729">
      <w:pPr>
        <w:pStyle w:val="ListParagraph"/>
      </w:pPr>
      <w:r>
        <w:t xml:space="preserve">§ Invasion through or beyond subcutaneous fat: not available for 7 </w:t>
      </w:r>
      <w:proofErr w:type="spellStart"/>
      <w:r>
        <w:t>cSCC</w:t>
      </w:r>
      <w:proofErr w:type="spellEnd"/>
      <w:r>
        <w:t xml:space="preserve"> (3 non-</w:t>
      </w:r>
      <w:r w:rsidR="00C064DF" w:rsidRPr="00C064DF">
        <w:t xml:space="preserve"> </w:t>
      </w:r>
      <w:r w:rsidR="00C064DF">
        <w:t>metastasising</w:t>
      </w:r>
      <w:r>
        <w:t xml:space="preserve"> and 4</w:t>
      </w:r>
      <w:r w:rsidR="00C064DF" w:rsidRPr="00C064DF">
        <w:t xml:space="preserve"> </w:t>
      </w:r>
      <w:r w:rsidR="00C064DF">
        <w:t>metastasising</w:t>
      </w:r>
      <w:r>
        <w:t>)</w:t>
      </w:r>
    </w:p>
    <w:p w14:paraId="294C8687" w14:textId="3BE065AE" w:rsidR="00BB5729" w:rsidRDefault="00BB5729" w:rsidP="00BB5729">
      <w:pPr>
        <w:pStyle w:val="ListParagraph"/>
      </w:pPr>
      <w:r>
        <w:t xml:space="preserve">¶ not available for 5 </w:t>
      </w:r>
      <w:proofErr w:type="spellStart"/>
      <w:r>
        <w:t>cSCC</w:t>
      </w:r>
      <w:proofErr w:type="spellEnd"/>
      <w:r>
        <w:t xml:space="preserve"> (1 non-metasta</w:t>
      </w:r>
      <w:r w:rsidR="00C064DF">
        <w:t>sising</w:t>
      </w:r>
      <w:r>
        <w:t xml:space="preserve"> and 4 metasta</w:t>
      </w:r>
      <w:r w:rsidR="00C064DF">
        <w:t xml:space="preserve">sising </w:t>
      </w:r>
      <w:proofErr w:type="spellStart"/>
      <w:r w:rsidR="00C064DF">
        <w:t>cSCC</w:t>
      </w:r>
      <w:proofErr w:type="spellEnd"/>
      <w:r>
        <w:t>)</w:t>
      </w:r>
    </w:p>
    <w:p w14:paraId="77D1B385" w14:textId="44D9D028" w:rsidR="00BB5729" w:rsidRDefault="00BB5729" w:rsidP="00BB5729">
      <w:pPr>
        <w:pStyle w:val="ListParagraph"/>
      </w:pPr>
      <w:r>
        <w:t xml:space="preserve">∞ </w:t>
      </w:r>
      <w:proofErr w:type="spellStart"/>
      <w:r>
        <w:t>Lymphovascular</w:t>
      </w:r>
      <w:proofErr w:type="spellEnd"/>
      <w:r>
        <w:t xml:space="preserve"> invasion not available for 6 </w:t>
      </w:r>
      <w:proofErr w:type="spellStart"/>
      <w:r w:rsidR="00C064DF">
        <w:t>cSCC</w:t>
      </w:r>
      <w:proofErr w:type="spellEnd"/>
      <w:r w:rsidR="00C064DF">
        <w:t xml:space="preserve"> </w:t>
      </w:r>
      <w:r>
        <w:t>(</w:t>
      </w:r>
      <w:r w:rsidR="00C064DF">
        <w:t>all</w:t>
      </w:r>
      <w:r w:rsidR="00C064DF" w:rsidRPr="00C064DF">
        <w:t xml:space="preserve"> </w:t>
      </w:r>
      <w:r w:rsidR="00C064DF">
        <w:t>metastasising</w:t>
      </w:r>
      <w:r>
        <w:t>)</w:t>
      </w:r>
    </w:p>
    <w:p w14:paraId="42E0E449" w14:textId="7875802E" w:rsidR="00BB5729" w:rsidRDefault="00BB5729" w:rsidP="00BB5729">
      <w:pPr>
        <w:pStyle w:val="ListParagraph"/>
      </w:pPr>
      <w:r>
        <w:t xml:space="preserve">§§ not available for 12 </w:t>
      </w:r>
      <w:proofErr w:type="spellStart"/>
      <w:r>
        <w:t>cSCC</w:t>
      </w:r>
      <w:proofErr w:type="spellEnd"/>
      <w:r>
        <w:t xml:space="preserve"> (6 non-</w:t>
      </w:r>
      <w:r w:rsidR="00C064DF" w:rsidRPr="00C064DF">
        <w:t xml:space="preserve"> </w:t>
      </w:r>
      <w:r w:rsidR="00C064DF">
        <w:t>metastasising</w:t>
      </w:r>
      <w:r>
        <w:t xml:space="preserve"> and 6</w:t>
      </w:r>
      <w:r w:rsidR="00C064DF" w:rsidRPr="00C064DF">
        <w:t xml:space="preserve"> </w:t>
      </w:r>
      <w:r w:rsidR="00C064DF">
        <w:t>metastasising</w:t>
      </w:r>
      <w:r>
        <w:t xml:space="preserve">) </w:t>
      </w:r>
    </w:p>
    <w:p w14:paraId="48A29ECF" w14:textId="3481670F" w:rsidR="00BB5729" w:rsidRDefault="00BB5729" w:rsidP="00BB5729">
      <w:pPr>
        <w:pStyle w:val="ListParagraph"/>
      </w:pPr>
      <w:r>
        <w:t xml:space="preserve">¶¶ not available for 10 </w:t>
      </w:r>
      <w:proofErr w:type="spellStart"/>
      <w:r>
        <w:t>cSCC</w:t>
      </w:r>
      <w:proofErr w:type="spellEnd"/>
      <w:r>
        <w:t xml:space="preserve"> (4 non-</w:t>
      </w:r>
      <w:r w:rsidR="00C064DF">
        <w:t>metastasising</w:t>
      </w:r>
      <w:r>
        <w:t xml:space="preserve"> and 6</w:t>
      </w:r>
      <w:r w:rsidR="00C064DF" w:rsidRPr="00C064DF">
        <w:t xml:space="preserve"> </w:t>
      </w:r>
      <w:r w:rsidR="00C064DF">
        <w:t>metastasising</w:t>
      </w:r>
      <w:r>
        <w:t>)</w:t>
      </w:r>
    </w:p>
    <w:p w14:paraId="5A4E7B35" w14:textId="77777777" w:rsidR="00511DB2" w:rsidRDefault="00511DB2" w:rsidP="00BB5729">
      <w:pPr>
        <w:pStyle w:val="ListParagraph"/>
      </w:pPr>
    </w:p>
    <w:p w14:paraId="7D389B7A" w14:textId="77777777" w:rsidR="00CB065D" w:rsidRDefault="00CB065D" w:rsidP="00BB5729">
      <w:pPr>
        <w:pStyle w:val="ListParagraph"/>
      </w:pPr>
    </w:p>
    <w:p w14:paraId="1257E96E" w14:textId="77777777" w:rsidR="00540249" w:rsidRDefault="00540249" w:rsidP="007726C8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</w:p>
    <w:p w14:paraId="4C5D8DFB" w14:textId="5BDB97B5" w:rsidR="009F78DA" w:rsidRDefault="000E4592" w:rsidP="007726C8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n-GB"/>
        </w:rPr>
      </w:pPr>
      <w:r w:rsidRPr="00DF10CD">
        <w:rPr>
          <w:rFonts w:eastAsia="Times New Roman" w:cstheme="minorHAnsi"/>
          <w:b/>
          <w:bCs/>
          <w:lang w:eastAsia="en-GB"/>
        </w:rPr>
        <w:lastRenderedPageBreak/>
        <w:t xml:space="preserve">Table </w:t>
      </w:r>
      <w:r>
        <w:rPr>
          <w:rFonts w:eastAsia="Times New Roman" w:cstheme="minorHAnsi"/>
          <w:b/>
          <w:bCs/>
          <w:lang w:eastAsia="en-GB"/>
        </w:rPr>
        <w:t>II</w:t>
      </w:r>
      <w:r w:rsidRPr="00DF10CD">
        <w:rPr>
          <w:rFonts w:eastAsia="Times New Roman" w:cstheme="minorHAnsi"/>
          <w:b/>
          <w:bCs/>
          <w:lang w:eastAsia="en-GB"/>
        </w:rPr>
        <w:t>.</w:t>
      </w:r>
      <w:r>
        <w:rPr>
          <w:rFonts w:eastAsia="Times New Roman" w:cstheme="minorHAnsi"/>
          <w:lang w:eastAsia="en-GB"/>
        </w:rPr>
        <w:t xml:space="preserve"> Accuracy</w:t>
      </w:r>
      <w:r w:rsidR="00BE26FE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 xml:space="preserve">of the prediction of metastatic risks of the </w:t>
      </w:r>
      <w:r w:rsidR="007311CC">
        <w:rPr>
          <w:rFonts w:eastAsia="Times New Roman" w:cstheme="minorHAnsi"/>
          <w:lang w:eastAsia="en-GB"/>
        </w:rPr>
        <w:t>20-GEP</w:t>
      </w:r>
      <w:r>
        <w:rPr>
          <w:rFonts w:eastAsia="Times New Roman" w:cstheme="minorHAnsi"/>
          <w:lang w:eastAsia="en-GB"/>
        </w:rPr>
        <w:t xml:space="preserve"> signature</w:t>
      </w:r>
      <w:r w:rsidR="00EB30D3">
        <w:rPr>
          <w:rFonts w:eastAsia="Times New Roman" w:cstheme="minorHAnsi"/>
          <w:lang w:eastAsia="en-GB"/>
        </w:rPr>
        <w:t xml:space="preserve"> and other risk assessment </w:t>
      </w:r>
      <w:r w:rsidR="00022F3A">
        <w:rPr>
          <w:rFonts w:eastAsia="Times New Roman" w:cstheme="minorHAnsi"/>
          <w:lang w:eastAsia="en-GB"/>
        </w:rPr>
        <w:t xml:space="preserve">methods </w:t>
      </w:r>
      <w:r>
        <w:rPr>
          <w:rFonts w:eastAsia="Times New Roman" w:cstheme="minorHAnsi"/>
          <w:lang w:eastAsia="en-GB"/>
        </w:rPr>
        <w:t>(n=5</w:t>
      </w:r>
      <w:r w:rsidR="00CE7B46">
        <w:rPr>
          <w:rFonts w:eastAsia="Times New Roman" w:cstheme="minorHAnsi"/>
          <w:lang w:eastAsia="en-GB"/>
        </w:rPr>
        <w:t>7</w:t>
      </w:r>
      <w:r>
        <w:rPr>
          <w:rFonts w:eastAsia="Times New Roman" w:cstheme="minorHAnsi"/>
          <w:lang w:eastAsia="en-GB"/>
        </w:rPr>
        <w:t>).</w:t>
      </w:r>
    </w:p>
    <w:tbl>
      <w:tblPr>
        <w:tblStyle w:val="TableGrid"/>
        <w:tblW w:w="9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434"/>
        <w:gridCol w:w="1587"/>
        <w:gridCol w:w="1569"/>
        <w:gridCol w:w="881"/>
        <w:gridCol w:w="914"/>
        <w:gridCol w:w="717"/>
        <w:gridCol w:w="717"/>
      </w:tblGrid>
      <w:tr w:rsidR="003B1EF7" w14:paraId="5F4E65F3" w14:textId="77777777" w:rsidTr="00E0400B">
        <w:trPr>
          <w:trHeight w:val="38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14B87E02" w14:textId="25D638F1" w:rsidR="003B1EF7" w:rsidRPr="000176FA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0176FA">
              <w:rPr>
                <w:rFonts w:eastAsia="Times New Roman" w:cstheme="minorHAnsi"/>
                <w:b/>
                <w:bCs/>
                <w:lang w:eastAsia="en-GB"/>
              </w:rPr>
              <w:t>Classifier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4C6D138" w14:textId="5FE2193D" w:rsidR="003B1EF7" w:rsidRPr="000176FA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0176FA">
              <w:rPr>
                <w:rFonts w:eastAsia="Times New Roman" w:cstheme="minorHAnsi"/>
                <w:b/>
                <w:bCs/>
                <w:lang w:eastAsia="en-GB"/>
              </w:rPr>
              <w:t>Accuracy%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0D755DA2" w14:textId="02237568" w:rsidR="003B1EF7" w:rsidRPr="000176FA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0176FA">
              <w:rPr>
                <w:rFonts w:eastAsia="Times New Roman" w:cstheme="minorHAnsi"/>
                <w:b/>
                <w:bCs/>
                <w:lang w:eastAsia="en-GB"/>
              </w:rPr>
              <w:t>Sensitivity%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14:paraId="6A95C86C" w14:textId="255BCAB5" w:rsidR="003B1EF7" w:rsidRPr="000176FA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0176FA">
              <w:rPr>
                <w:rFonts w:eastAsia="Times New Roman" w:cstheme="minorHAnsi"/>
                <w:b/>
                <w:bCs/>
                <w:lang w:eastAsia="en-GB"/>
              </w:rPr>
              <w:t>Specificity%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14:paraId="0F36B666" w14:textId="4D7C56E0" w:rsidR="003B1EF7" w:rsidRPr="000176FA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0176FA">
              <w:rPr>
                <w:rFonts w:eastAsia="Times New Roman" w:cstheme="minorHAnsi"/>
                <w:b/>
                <w:bCs/>
                <w:lang w:eastAsia="en-GB"/>
              </w:rPr>
              <w:t>PPV%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41000E64" w14:textId="361DA70B" w:rsidR="003B1EF7" w:rsidRPr="000176FA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0176FA">
              <w:rPr>
                <w:rFonts w:eastAsia="Times New Roman" w:cstheme="minorHAnsi"/>
                <w:b/>
                <w:bCs/>
                <w:lang w:eastAsia="en-GB"/>
              </w:rPr>
              <w:t>NPV%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3A34FA08" w14:textId="62F820C0" w:rsidR="003B1EF7" w:rsidRPr="000176FA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0176FA">
              <w:rPr>
                <w:rFonts w:eastAsia="Times New Roman" w:cstheme="minorHAnsi"/>
                <w:b/>
                <w:bCs/>
                <w:lang w:eastAsia="en-GB"/>
              </w:rPr>
              <w:t>+LR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1D68C75F" w14:textId="0F904408" w:rsidR="003B1EF7" w:rsidRPr="000176FA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0176FA">
              <w:rPr>
                <w:rFonts w:eastAsia="Times New Roman" w:cstheme="minorHAnsi"/>
                <w:b/>
                <w:bCs/>
                <w:lang w:eastAsia="en-GB"/>
              </w:rPr>
              <w:t>-LR</w:t>
            </w:r>
          </w:p>
        </w:tc>
      </w:tr>
      <w:tr w:rsidR="003B1EF7" w14:paraId="149F1530" w14:textId="77777777" w:rsidTr="00E0400B">
        <w:trPr>
          <w:trHeight w:val="372"/>
        </w:trPr>
        <w:tc>
          <w:tcPr>
            <w:tcW w:w="1242" w:type="dxa"/>
            <w:tcBorders>
              <w:top w:val="single" w:sz="4" w:space="0" w:color="auto"/>
            </w:tcBorders>
          </w:tcPr>
          <w:p w14:paraId="5DAA0E11" w14:textId="319E4D96" w:rsidR="003B1EF7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20-GEP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FEA8681" w14:textId="10D50A1A" w:rsidR="003B1EF7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86.0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2BFCC8B5" w14:textId="790D6B2B" w:rsidR="003B1EF7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85.7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1BACA411" w14:textId="5DB3AE60" w:rsidR="003B1EF7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86.1</w:t>
            </w:r>
          </w:p>
        </w:tc>
        <w:tc>
          <w:tcPr>
            <w:tcW w:w="881" w:type="dxa"/>
            <w:tcBorders>
              <w:top w:val="single" w:sz="4" w:space="0" w:color="auto"/>
            </w:tcBorders>
          </w:tcPr>
          <w:p w14:paraId="491EF19F" w14:textId="09853ABB" w:rsidR="003B1EF7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78.3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14:paraId="43284B9C" w14:textId="4B40746F" w:rsidR="003B1EF7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91.2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7BE97A42" w14:textId="3D191922" w:rsidR="003B1EF7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6.17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470426F8" w14:textId="4B26EE94" w:rsidR="003B1EF7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0.17</w:t>
            </w:r>
          </w:p>
        </w:tc>
      </w:tr>
      <w:tr w:rsidR="00E405FA" w:rsidRPr="00063D82" w14:paraId="08AF75EF" w14:textId="77777777" w:rsidTr="00E0400B">
        <w:trPr>
          <w:trHeight w:val="385"/>
        </w:trPr>
        <w:tc>
          <w:tcPr>
            <w:tcW w:w="1242" w:type="dxa"/>
          </w:tcPr>
          <w:p w14:paraId="35FCA157" w14:textId="5357FA0A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UICC</w:t>
            </w:r>
            <w:r w:rsidR="006F0017" w:rsidRPr="00063D82">
              <w:rPr>
                <w:rFonts w:eastAsia="Times New Roman" w:cstheme="minorHAnsi"/>
                <w:lang w:eastAsia="en-GB"/>
              </w:rPr>
              <w:t>-8</w:t>
            </w:r>
          </w:p>
        </w:tc>
        <w:tc>
          <w:tcPr>
            <w:tcW w:w="1434" w:type="dxa"/>
          </w:tcPr>
          <w:p w14:paraId="37C64459" w14:textId="3CDE7709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85.4</w:t>
            </w:r>
          </w:p>
        </w:tc>
        <w:tc>
          <w:tcPr>
            <w:tcW w:w="1587" w:type="dxa"/>
          </w:tcPr>
          <w:p w14:paraId="3BB35362" w14:textId="3D896D96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81.0</w:t>
            </w:r>
          </w:p>
        </w:tc>
        <w:tc>
          <w:tcPr>
            <w:tcW w:w="1569" w:type="dxa"/>
          </w:tcPr>
          <w:p w14:paraId="6992B1C9" w14:textId="5C3DDABF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88.2</w:t>
            </w:r>
          </w:p>
        </w:tc>
        <w:tc>
          <w:tcPr>
            <w:tcW w:w="881" w:type="dxa"/>
          </w:tcPr>
          <w:p w14:paraId="3BBB6E65" w14:textId="4BFDC7A0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81.0</w:t>
            </w:r>
          </w:p>
        </w:tc>
        <w:tc>
          <w:tcPr>
            <w:tcW w:w="914" w:type="dxa"/>
          </w:tcPr>
          <w:p w14:paraId="2086F4A1" w14:textId="61E010BA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88.2</w:t>
            </w:r>
          </w:p>
        </w:tc>
        <w:tc>
          <w:tcPr>
            <w:tcW w:w="717" w:type="dxa"/>
          </w:tcPr>
          <w:p w14:paraId="74639974" w14:textId="6BEE93F9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6.88</w:t>
            </w:r>
          </w:p>
        </w:tc>
        <w:tc>
          <w:tcPr>
            <w:tcW w:w="717" w:type="dxa"/>
          </w:tcPr>
          <w:p w14:paraId="2C02F698" w14:textId="3AAFA095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0.22</w:t>
            </w:r>
          </w:p>
        </w:tc>
      </w:tr>
      <w:tr w:rsidR="00E405FA" w:rsidRPr="00063D82" w14:paraId="32836EF3" w14:textId="77777777" w:rsidTr="00E0400B">
        <w:trPr>
          <w:trHeight w:val="385"/>
        </w:trPr>
        <w:tc>
          <w:tcPr>
            <w:tcW w:w="1242" w:type="dxa"/>
          </w:tcPr>
          <w:p w14:paraId="4E4C182E" w14:textId="4BC5FF1C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BWH</w:t>
            </w:r>
          </w:p>
        </w:tc>
        <w:tc>
          <w:tcPr>
            <w:tcW w:w="1434" w:type="dxa"/>
          </w:tcPr>
          <w:p w14:paraId="58488C0E" w14:textId="05D8C57E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85.4</w:t>
            </w:r>
          </w:p>
        </w:tc>
        <w:tc>
          <w:tcPr>
            <w:tcW w:w="1587" w:type="dxa"/>
          </w:tcPr>
          <w:p w14:paraId="7B637133" w14:textId="681D30F6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95.2</w:t>
            </w:r>
          </w:p>
        </w:tc>
        <w:tc>
          <w:tcPr>
            <w:tcW w:w="1569" w:type="dxa"/>
          </w:tcPr>
          <w:p w14:paraId="30FA9E8D" w14:textId="42EC446E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79.4</w:t>
            </w:r>
          </w:p>
        </w:tc>
        <w:tc>
          <w:tcPr>
            <w:tcW w:w="881" w:type="dxa"/>
          </w:tcPr>
          <w:p w14:paraId="19A145CA" w14:textId="7D09FB7C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74.1</w:t>
            </w:r>
          </w:p>
        </w:tc>
        <w:tc>
          <w:tcPr>
            <w:tcW w:w="914" w:type="dxa"/>
          </w:tcPr>
          <w:p w14:paraId="5AFF238F" w14:textId="0301C7DA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96.4</w:t>
            </w:r>
          </w:p>
        </w:tc>
        <w:tc>
          <w:tcPr>
            <w:tcW w:w="717" w:type="dxa"/>
          </w:tcPr>
          <w:p w14:paraId="0904023D" w14:textId="765C96C9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4.63</w:t>
            </w:r>
          </w:p>
        </w:tc>
        <w:tc>
          <w:tcPr>
            <w:tcW w:w="717" w:type="dxa"/>
          </w:tcPr>
          <w:p w14:paraId="79D6971A" w14:textId="59119DBF" w:rsidR="00E405FA" w:rsidRPr="00063D82" w:rsidRDefault="00E405FA" w:rsidP="00E405FA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0.06</w:t>
            </w:r>
          </w:p>
        </w:tc>
      </w:tr>
      <w:tr w:rsidR="00F35EDC" w:rsidRPr="00063D82" w14:paraId="1C996421" w14:textId="77777777" w:rsidTr="00E0400B">
        <w:trPr>
          <w:trHeight w:val="385"/>
        </w:trPr>
        <w:tc>
          <w:tcPr>
            <w:tcW w:w="1242" w:type="dxa"/>
          </w:tcPr>
          <w:p w14:paraId="76F360B6" w14:textId="0B61FE35" w:rsidR="00F35EDC" w:rsidRPr="00063D82" w:rsidRDefault="00F35EDC" w:rsidP="00F35ED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 xml:space="preserve">BWH </w:t>
            </w:r>
            <w:r w:rsidR="001755E6" w:rsidRPr="00063D82">
              <w:rPr>
                <w:rFonts w:eastAsia="Times New Roman" w:cstheme="minorHAnsi"/>
                <w:lang w:eastAsia="en-GB"/>
              </w:rPr>
              <w:t>v1</w:t>
            </w:r>
          </w:p>
        </w:tc>
        <w:tc>
          <w:tcPr>
            <w:tcW w:w="1434" w:type="dxa"/>
          </w:tcPr>
          <w:p w14:paraId="71D20FB0" w14:textId="3ADE1D07" w:rsidR="00F35EDC" w:rsidRPr="00063D82" w:rsidRDefault="00F35EDC" w:rsidP="00F35ED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81.8</w:t>
            </w:r>
          </w:p>
        </w:tc>
        <w:tc>
          <w:tcPr>
            <w:tcW w:w="1587" w:type="dxa"/>
          </w:tcPr>
          <w:p w14:paraId="743F2238" w14:textId="760C74D9" w:rsidR="00F35EDC" w:rsidRPr="00063D82" w:rsidRDefault="00F35EDC" w:rsidP="00F35ED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76.2</w:t>
            </w:r>
          </w:p>
        </w:tc>
        <w:tc>
          <w:tcPr>
            <w:tcW w:w="1569" w:type="dxa"/>
          </w:tcPr>
          <w:p w14:paraId="3510B7BB" w14:textId="56EBAAD5" w:rsidR="00F35EDC" w:rsidRPr="00063D82" w:rsidRDefault="00F35EDC" w:rsidP="00F35ED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85.3</w:t>
            </w:r>
          </w:p>
        </w:tc>
        <w:tc>
          <w:tcPr>
            <w:tcW w:w="881" w:type="dxa"/>
          </w:tcPr>
          <w:p w14:paraId="5D653E4C" w14:textId="2A058CEA" w:rsidR="00F35EDC" w:rsidRPr="00063D82" w:rsidRDefault="00F35EDC" w:rsidP="00F35ED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76.2</w:t>
            </w:r>
          </w:p>
        </w:tc>
        <w:tc>
          <w:tcPr>
            <w:tcW w:w="914" w:type="dxa"/>
          </w:tcPr>
          <w:p w14:paraId="1013E0C0" w14:textId="31FBB730" w:rsidR="00F35EDC" w:rsidRPr="00063D82" w:rsidRDefault="00F35EDC" w:rsidP="00F35ED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85.3</w:t>
            </w:r>
          </w:p>
        </w:tc>
        <w:tc>
          <w:tcPr>
            <w:tcW w:w="717" w:type="dxa"/>
          </w:tcPr>
          <w:p w14:paraId="65A1D1E1" w14:textId="20AF7F89" w:rsidR="00F35EDC" w:rsidRPr="00063D82" w:rsidRDefault="00F35EDC" w:rsidP="00F35ED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5.18</w:t>
            </w:r>
          </w:p>
        </w:tc>
        <w:tc>
          <w:tcPr>
            <w:tcW w:w="717" w:type="dxa"/>
          </w:tcPr>
          <w:p w14:paraId="0BFDA46B" w14:textId="07BC6F1C" w:rsidR="00F35EDC" w:rsidRPr="00063D82" w:rsidRDefault="00F35EDC" w:rsidP="00F35ED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0.28</w:t>
            </w:r>
          </w:p>
        </w:tc>
      </w:tr>
      <w:tr w:rsidR="003B1EF7" w:rsidRPr="00063D82" w14:paraId="7E16E69E" w14:textId="77777777" w:rsidTr="00E0400B">
        <w:trPr>
          <w:trHeight w:val="385"/>
        </w:trPr>
        <w:tc>
          <w:tcPr>
            <w:tcW w:w="1242" w:type="dxa"/>
          </w:tcPr>
          <w:p w14:paraId="54E4E28F" w14:textId="50192905" w:rsidR="003B1EF7" w:rsidRPr="00063D82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22-GEP*</w:t>
            </w:r>
          </w:p>
        </w:tc>
        <w:tc>
          <w:tcPr>
            <w:tcW w:w="1434" w:type="dxa"/>
          </w:tcPr>
          <w:p w14:paraId="6BD47BDC" w14:textId="00D7F6F6" w:rsidR="003B1EF7" w:rsidRPr="00063D82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64.0</w:t>
            </w:r>
          </w:p>
        </w:tc>
        <w:tc>
          <w:tcPr>
            <w:tcW w:w="1587" w:type="dxa"/>
          </w:tcPr>
          <w:p w14:paraId="1B356894" w14:textId="5FA0F800" w:rsidR="003B1EF7" w:rsidRPr="00063D82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41.2</w:t>
            </w:r>
          </w:p>
        </w:tc>
        <w:tc>
          <w:tcPr>
            <w:tcW w:w="1569" w:type="dxa"/>
          </w:tcPr>
          <w:p w14:paraId="6AF9BAD9" w14:textId="1BE0E9B7" w:rsidR="003B1EF7" w:rsidRPr="00063D82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75.8</w:t>
            </w:r>
          </w:p>
        </w:tc>
        <w:tc>
          <w:tcPr>
            <w:tcW w:w="881" w:type="dxa"/>
          </w:tcPr>
          <w:p w14:paraId="098202CF" w14:textId="25730D79" w:rsidR="003B1EF7" w:rsidRPr="00063D82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46.7</w:t>
            </w:r>
          </w:p>
        </w:tc>
        <w:tc>
          <w:tcPr>
            <w:tcW w:w="914" w:type="dxa"/>
          </w:tcPr>
          <w:p w14:paraId="5BB268EF" w14:textId="5D623490" w:rsidR="003B1EF7" w:rsidRPr="00063D82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71.4</w:t>
            </w:r>
          </w:p>
        </w:tc>
        <w:tc>
          <w:tcPr>
            <w:tcW w:w="717" w:type="dxa"/>
          </w:tcPr>
          <w:p w14:paraId="66707954" w14:textId="510FD84C" w:rsidR="003B1EF7" w:rsidRPr="00063D82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1.70</w:t>
            </w:r>
          </w:p>
        </w:tc>
        <w:tc>
          <w:tcPr>
            <w:tcW w:w="717" w:type="dxa"/>
          </w:tcPr>
          <w:p w14:paraId="03EB89EC" w14:textId="08104EB8" w:rsidR="003B1EF7" w:rsidRPr="00063D82" w:rsidRDefault="003B1EF7" w:rsidP="00396505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0.78</w:t>
            </w:r>
          </w:p>
        </w:tc>
      </w:tr>
      <w:tr w:rsidR="00996659" w:rsidRPr="00063D82" w14:paraId="7D7D2437" w14:textId="77777777" w:rsidTr="00E0400B">
        <w:trPr>
          <w:trHeight w:val="385"/>
        </w:trPr>
        <w:tc>
          <w:tcPr>
            <w:tcW w:w="1242" w:type="dxa"/>
          </w:tcPr>
          <w:p w14:paraId="5F732A6A" w14:textId="3C516370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UICC</w:t>
            </w:r>
            <w:r w:rsidR="006F0017" w:rsidRPr="00063D82">
              <w:rPr>
                <w:rFonts w:eastAsia="Times New Roman" w:cstheme="minorHAnsi"/>
                <w:lang w:eastAsia="en-GB"/>
              </w:rPr>
              <w:t>-8</w:t>
            </w:r>
            <w:r w:rsidRPr="00063D82">
              <w:rPr>
                <w:rFonts w:eastAsia="Times New Roman" w:cstheme="minorHAnsi"/>
                <w:lang w:eastAsia="en-GB"/>
              </w:rPr>
              <w:t>**</w:t>
            </w:r>
          </w:p>
        </w:tc>
        <w:tc>
          <w:tcPr>
            <w:tcW w:w="1434" w:type="dxa"/>
          </w:tcPr>
          <w:p w14:paraId="602F113A" w14:textId="174A88EC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76.5</w:t>
            </w:r>
          </w:p>
        </w:tc>
        <w:tc>
          <w:tcPr>
            <w:tcW w:w="1587" w:type="dxa"/>
          </w:tcPr>
          <w:p w14:paraId="08B4CD6B" w14:textId="21738367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58.8</w:t>
            </w:r>
          </w:p>
        </w:tc>
        <w:tc>
          <w:tcPr>
            <w:tcW w:w="1569" w:type="dxa"/>
          </w:tcPr>
          <w:p w14:paraId="1B393234" w14:textId="6784CCB3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86.3</w:t>
            </w:r>
          </w:p>
        </w:tc>
        <w:tc>
          <w:tcPr>
            <w:tcW w:w="881" w:type="dxa"/>
          </w:tcPr>
          <w:p w14:paraId="7C47AE6F" w14:textId="6CADD766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70.1</w:t>
            </w:r>
          </w:p>
        </w:tc>
        <w:tc>
          <w:tcPr>
            <w:tcW w:w="914" w:type="dxa"/>
          </w:tcPr>
          <w:p w14:paraId="64FBC558" w14:textId="642D653B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79.2</w:t>
            </w:r>
          </w:p>
        </w:tc>
        <w:tc>
          <w:tcPr>
            <w:tcW w:w="717" w:type="dxa"/>
          </w:tcPr>
          <w:p w14:paraId="29CEA5E6" w14:textId="3C9167F8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4.29</w:t>
            </w:r>
          </w:p>
        </w:tc>
        <w:tc>
          <w:tcPr>
            <w:tcW w:w="717" w:type="dxa"/>
          </w:tcPr>
          <w:p w14:paraId="77BF35BA" w14:textId="314E5F46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0.48</w:t>
            </w:r>
          </w:p>
        </w:tc>
      </w:tr>
      <w:tr w:rsidR="00996659" w:rsidRPr="00063D82" w14:paraId="7859823C" w14:textId="77777777" w:rsidTr="00E0400B">
        <w:trPr>
          <w:trHeight w:val="385"/>
        </w:trPr>
        <w:tc>
          <w:tcPr>
            <w:tcW w:w="1242" w:type="dxa"/>
            <w:tcBorders>
              <w:bottom w:val="single" w:sz="4" w:space="0" w:color="auto"/>
            </w:tcBorders>
          </w:tcPr>
          <w:p w14:paraId="279A35F2" w14:textId="26A9D387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BWH**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2145EC0" w14:textId="5C24A660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81.1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283E3C9" w14:textId="050FA3E5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71.2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58C66F68" w14:textId="440F34B3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86.5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4FACDD5E" w14:textId="16658CD3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74.0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35B55144" w14:textId="50D82D4E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84.8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07FB69AF" w14:textId="104EDB16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5.27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53121918" w14:textId="3C3794FD" w:rsidR="00996659" w:rsidRPr="00063D82" w:rsidRDefault="00996659" w:rsidP="00996659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063D82">
              <w:rPr>
                <w:rFonts w:eastAsia="Times New Roman" w:cstheme="minorHAnsi"/>
                <w:lang w:eastAsia="en-GB"/>
              </w:rPr>
              <w:t>0.33</w:t>
            </w:r>
          </w:p>
        </w:tc>
      </w:tr>
    </w:tbl>
    <w:p w14:paraId="5ACAFC1B" w14:textId="550A9918" w:rsidR="007726C8" w:rsidRDefault="00192C6E" w:rsidP="00043E2E">
      <w:p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UICC</w:t>
      </w:r>
      <w:r w:rsidR="009D3583">
        <w:rPr>
          <w:rFonts w:eastAsia="Times New Roman" w:cstheme="minorHAnsi"/>
          <w:lang w:eastAsia="en-GB"/>
        </w:rPr>
        <w:t xml:space="preserve">: </w:t>
      </w:r>
      <w:r w:rsidR="00387B87" w:rsidRPr="008D75CD">
        <w:rPr>
          <w:rFonts w:ascii="Calibri" w:hAnsi="Calibri" w:cs="Calibri"/>
        </w:rPr>
        <w:t>Union for International Cancer Control</w:t>
      </w:r>
      <w:r w:rsidR="00043E2E" w:rsidRPr="00043E2E">
        <w:rPr>
          <w:rFonts w:eastAsia="Times New Roman" w:cstheme="minorHAnsi"/>
          <w:lang w:eastAsia="en-GB"/>
        </w:rPr>
        <w:t>; BWH, Brigham and Women's Hospital</w:t>
      </w:r>
      <w:r w:rsidR="0077634C">
        <w:rPr>
          <w:rFonts w:eastAsia="Times New Roman" w:cstheme="minorHAnsi"/>
          <w:lang w:eastAsia="en-GB"/>
        </w:rPr>
        <w:t xml:space="preserve"> Staging System </w:t>
      </w:r>
      <w:r w:rsidR="007B3FCE">
        <w:rPr>
          <w:rFonts w:eastAsia="Times New Roman" w:cstheme="minorHAnsi"/>
          <w:lang w:eastAsia="en-GB"/>
        </w:rPr>
        <w:t xml:space="preserve">after the </w:t>
      </w:r>
      <w:r w:rsidR="00921232">
        <w:rPr>
          <w:rFonts w:eastAsia="Times New Roman" w:cstheme="minorHAnsi"/>
          <w:lang w:eastAsia="en-GB"/>
        </w:rPr>
        <w:t>central review</w:t>
      </w:r>
      <w:r w:rsidR="00043E2E" w:rsidRPr="00043E2E">
        <w:rPr>
          <w:rFonts w:eastAsia="Times New Roman" w:cstheme="minorHAnsi"/>
          <w:lang w:eastAsia="en-GB"/>
        </w:rPr>
        <w:t>;</w:t>
      </w:r>
      <w:r w:rsidR="00A405E3">
        <w:rPr>
          <w:rFonts w:eastAsia="Times New Roman" w:cstheme="minorHAnsi"/>
          <w:lang w:eastAsia="en-GB"/>
        </w:rPr>
        <w:t xml:space="preserve"> </w:t>
      </w:r>
      <w:r w:rsidR="00A405E3" w:rsidRPr="000369D2">
        <w:rPr>
          <w:rFonts w:eastAsia="Times New Roman" w:cstheme="minorHAnsi"/>
          <w:lang w:eastAsia="en-GB"/>
        </w:rPr>
        <w:t>BWH v1</w:t>
      </w:r>
      <w:r w:rsidR="00B25B75">
        <w:rPr>
          <w:rFonts w:eastAsia="Times New Roman" w:cstheme="minorHAnsi"/>
          <w:lang w:eastAsia="en-GB"/>
        </w:rPr>
        <w:t xml:space="preserve">: </w:t>
      </w:r>
      <w:r w:rsidR="00CC525C">
        <w:rPr>
          <w:rFonts w:eastAsia="Times New Roman" w:cstheme="minorHAnsi"/>
          <w:lang w:eastAsia="en-GB"/>
        </w:rPr>
        <w:t>derived from original pathology reports</w:t>
      </w:r>
      <w:r w:rsidR="00B60658">
        <w:rPr>
          <w:rFonts w:eastAsia="Times New Roman" w:cstheme="minorHAnsi"/>
          <w:lang w:eastAsia="en-GB"/>
        </w:rPr>
        <w:t xml:space="preserve"> before </w:t>
      </w:r>
      <w:r w:rsidR="00CC525C">
        <w:rPr>
          <w:rFonts w:eastAsia="Times New Roman" w:cstheme="minorHAnsi"/>
          <w:lang w:eastAsia="en-GB"/>
        </w:rPr>
        <w:t>central pathology revie</w:t>
      </w:r>
      <w:r w:rsidR="00B60658">
        <w:rPr>
          <w:rFonts w:eastAsia="Times New Roman" w:cstheme="minorHAnsi"/>
          <w:lang w:eastAsia="en-GB"/>
        </w:rPr>
        <w:t>w</w:t>
      </w:r>
      <w:r w:rsidR="00CC525C">
        <w:rPr>
          <w:rFonts w:eastAsia="Times New Roman" w:cstheme="minorHAnsi"/>
          <w:lang w:eastAsia="en-GB"/>
        </w:rPr>
        <w:t>;</w:t>
      </w:r>
      <w:r w:rsidR="00043E2E" w:rsidRPr="00043E2E">
        <w:rPr>
          <w:rFonts w:eastAsia="Times New Roman" w:cstheme="minorHAnsi"/>
          <w:lang w:eastAsia="en-GB"/>
        </w:rPr>
        <w:t xml:space="preserve"> GEP, gene expression profile;</w:t>
      </w:r>
      <w:r w:rsidR="000A0303" w:rsidRPr="000A0303">
        <w:t xml:space="preserve"> </w:t>
      </w:r>
      <w:r w:rsidR="000A0303" w:rsidRPr="000A0303">
        <w:rPr>
          <w:rFonts w:eastAsia="Times New Roman" w:cstheme="minorHAnsi"/>
          <w:lang w:eastAsia="en-GB"/>
        </w:rPr>
        <w:t>PPV: Positive Predictive Value; NPV: Negative Predictive Value; +LR: Positive Likelihood Ratio; -LR: Negative Likelihood Ratio.</w:t>
      </w:r>
    </w:p>
    <w:p w14:paraId="279A2E21" w14:textId="2C95CF2E" w:rsidR="00050433" w:rsidRDefault="00050433" w:rsidP="00043E2E">
      <w:p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22-GEP*</w:t>
      </w:r>
      <w:r w:rsidR="00977870">
        <w:rPr>
          <w:rFonts w:eastAsia="Times New Roman" w:cstheme="minorHAnsi"/>
          <w:lang w:eastAsia="en-GB"/>
        </w:rPr>
        <w:t xml:space="preserve"> </w:t>
      </w:r>
      <w:r w:rsidR="0039428F" w:rsidRPr="0039428F">
        <w:rPr>
          <w:rFonts w:eastAsia="Times New Roman" w:cstheme="minorHAnsi"/>
          <w:lang w:eastAsia="en-GB"/>
        </w:rPr>
        <w:t>was derived from normal adjacent samples only.</w:t>
      </w:r>
    </w:p>
    <w:p w14:paraId="1D030FD9" w14:textId="0ACCCBDB" w:rsidR="007726C8" w:rsidRPr="007726C8" w:rsidRDefault="00BA7F71" w:rsidP="002455C2">
      <w:pPr>
        <w:spacing w:before="100" w:beforeAutospacing="1" w:after="100" w:afterAutospacing="1" w:line="276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** </w:t>
      </w:r>
      <w:r w:rsidR="00E1381A">
        <w:rPr>
          <w:rFonts w:eastAsia="Times New Roman" w:cstheme="minorHAnsi"/>
          <w:lang w:eastAsia="en-GB"/>
        </w:rPr>
        <w:t>S</w:t>
      </w:r>
      <w:r>
        <w:rPr>
          <w:rFonts w:eastAsia="Times New Roman" w:cstheme="minorHAnsi"/>
          <w:lang w:eastAsia="en-GB"/>
        </w:rPr>
        <w:t>tatistics were derived from the whole cohort</w:t>
      </w:r>
      <w:r w:rsidR="00541DCE">
        <w:rPr>
          <w:rFonts w:eastAsia="Times New Roman" w:cstheme="minorHAnsi"/>
          <w:lang w:eastAsia="en-GB"/>
        </w:rPr>
        <w:t xml:space="preserve"> (n=237)</w:t>
      </w:r>
    </w:p>
    <w:sectPr w:rsidR="007726C8" w:rsidRPr="007726C8" w:rsidSect="00FF092B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6C33" w14:textId="77777777" w:rsidR="00737D5F" w:rsidRDefault="00737D5F" w:rsidP="000F5ADE">
      <w:r>
        <w:separator/>
      </w:r>
    </w:p>
  </w:endnote>
  <w:endnote w:type="continuationSeparator" w:id="0">
    <w:p w14:paraId="3FC5EF08" w14:textId="77777777" w:rsidR="00737D5F" w:rsidRDefault="00737D5F" w:rsidP="000F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(Body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0899058"/>
      <w:docPartObj>
        <w:docPartGallery w:val="Page Numbers (Bottom of Page)"/>
        <w:docPartUnique/>
      </w:docPartObj>
    </w:sdtPr>
    <w:sdtContent>
      <w:p w14:paraId="350025DD" w14:textId="1FA9D1D1" w:rsidR="008A2CBC" w:rsidRDefault="008A2CBC" w:rsidP="00B50AE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C7A489" w14:textId="77777777" w:rsidR="008A2CBC" w:rsidRDefault="008A2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89606605"/>
      <w:docPartObj>
        <w:docPartGallery w:val="Page Numbers (Bottom of Page)"/>
        <w:docPartUnique/>
      </w:docPartObj>
    </w:sdtPr>
    <w:sdtContent>
      <w:p w14:paraId="483E39D6" w14:textId="6C3AF0D8" w:rsidR="008A2CBC" w:rsidRDefault="008A2CBC" w:rsidP="00B50AE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066ADC" w14:textId="77777777" w:rsidR="008A2CBC" w:rsidRDefault="008A2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63A7" w14:textId="77777777" w:rsidR="00737D5F" w:rsidRDefault="00737D5F" w:rsidP="000F5ADE">
      <w:r>
        <w:separator/>
      </w:r>
    </w:p>
  </w:footnote>
  <w:footnote w:type="continuationSeparator" w:id="0">
    <w:p w14:paraId="630F239D" w14:textId="77777777" w:rsidR="00737D5F" w:rsidRDefault="00737D5F" w:rsidP="000F5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F08"/>
    <w:multiLevelType w:val="hybridMultilevel"/>
    <w:tmpl w:val="41C6C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72BB8"/>
    <w:multiLevelType w:val="hybridMultilevel"/>
    <w:tmpl w:val="94145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324F0"/>
    <w:multiLevelType w:val="multilevel"/>
    <w:tmpl w:val="706E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83287"/>
    <w:multiLevelType w:val="multilevel"/>
    <w:tmpl w:val="1FB6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067B1"/>
    <w:multiLevelType w:val="multilevel"/>
    <w:tmpl w:val="70FC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324944">
    <w:abstractNumId w:val="2"/>
  </w:num>
  <w:num w:numId="2" w16cid:durableId="1393118001">
    <w:abstractNumId w:val="4"/>
  </w:num>
  <w:num w:numId="3" w16cid:durableId="1269502538">
    <w:abstractNumId w:val="3"/>
  </w:num>
  <w:num w:numId="4" w16cid:durableId="348068773">
    <w:abstractNumId w:val="1"/>
  </w:num>
  <w:num w:numId="5" w16cid:durableId="64455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F78DA"/>
    <w:rsid w:val="0000064E"/>
    <w:rsid w:val="00000CAD"/>
    <w:rsid w:val="00000FE3"/>
    <w:rsid w:val="00001748"/>
    <w:rsid w:val="00001B63"/>
    <w:rsid w:val="000026A9"/>
    <w:rsid w:val="00003AF5"/>
    <w:rsid w:val="00003EF3"/>
    <w:rsid w:val="00005B7D"/>
    <w:rsid w:val="00006E90"/>
    <w:rsid w:val="000070CB"/>
    <w:rsid w:val="000072F8"/>
    <w:rsid w:val="0000749D"/>
    <w:rsid w:val="000078D2"/>
    <w:rsid w:val="000104B5"/>
    <w:rsid w:val="00010915"/>
    <w:rsid w:val="00010A3A"/>
    <w:rsid w:val="0001238D"/>
    <w:rsid w:val="00013C12"/>
    <w:rsid w:val="00014208"/>
    <w:rsid w:val="00014ABD"/>
    <w:rsid w:val="00014CF5"/>
    <w:rsid w:val="00015385"/>
    <w:rsid w:val="00015524"/>
    <w:rsid w:val="000176FA"/>
    <w:rsid w:val="00017817"/>
    <w:rsid w:val="00017B7B"/>
    <w:rsid w:val="00017BB1"/>
    <w:rsid w:val="00017D8E"/>
    <w:rsid w:val="000201ED"/>
    <w:rsid w:val="00020DF3"/>
    <w:rsid w:val="000221EB"/>
    <w:rsid w:val="00022F3A"/>
    <w:rsid w:val="000232DE"/>
    <w:rsid w:val="00023F17"/>
    <w:rsid w:val="000260C0"/>
    <w:rsid w:val="000264C4"/>
    <w:rsid w:val="00027381"/>
    <w:rsid w:val="00030B17"/>
    <w:rsid w:val="00030E4C"/>
    <w:rsid w:val="000320E2"/>
    <w:rsid w:val="00033D2F"/>
    <w:rsid w:val="00033D93"/>
    <w:rsid w:val="00033EBA"/>
    <w:rsid w:val="00034373"/>
    <w:rsid w:val="000344C8"/>
    <w:rsid w:val="000350AC"/>
    <w:rsid w:val="0003674A"/>
    <w:rsid w:val="000369D2"/>
    <w:rsid w:val="00036FE7"/>
    <w:rsid w:val="000376FE"/>
    <w:rsid w:val="000408C8"/>
    <w:rsid w:val="00042A0F"/>
    <w:rsid w:val="00043279"/>
    <w:rsid w:val="00043E2E"/>
    <w:rsid w:val="00043F82"/>
    <w:rsid w:val="00044DAA"/>
    <w:rsid w:val="0004532C"/>
    <w:rsid w:val="00045B0F"/>
    <w:rsid w:val="000468AE"/>
    <w:rsid w:val="00046991"/>
    <w:rsid w:val="00047292"/>
    <w:rsid w:val="00050433"/>
    <w:rsid w:val="00050A26"/>
    <w:rsid w:val="000510FA"/>
    <w:rsid w:val="00051C03"/>
    <w:rsid w:val="00051DBC"/>
    <w:rsid w:val="00051F43"/>
    <w:rsid w:val="00052467"/>
    <w:rsid w:val="00052B57"/>
    <w:rsid w:val="00052BF8"/>
    <w:rsid w:val="00052DEC"/>
    <w:rsid w:val="0005328B"/>
    <w:rsid w:val="00053E4F"/>
    <w:rsid w:val="00054DD4"/>
    <w:rsid w:val="00054EFA"/>
    <w:rsid w:val="00055243"/>
    <w:rsid w:val="00055296"/>
    <w:rsid w:val="000559B8"/>
    <w:rsid w:val="00055A79"/>
    <w:rsid w:val="00055FA1"/>
    <w:rsid w:val="00056661"/>
    <w:rsid w:val="00057877"/>
    <w:rsid w:val="000578D0"/>
    <w:rsid w:val="00057D04"/>
    <w:rsid w:val="000608B8"/>
    <w:rsid w:val="00060E88"/>
    <w:rsid w:val="0006127B"/>
    <w:rsid w:val="0006187C"/>
    <w:rsid w:val="00061ACB"/>
    <w:rsid w:val="0006244C"/>
    <w:rsid w:val="000625B8"/>
    <w:rsid w:val="0006306C"/>
    <w:rsid w:val="00063D82"/>
    <w:rsid w:val="00063ECE"/>
    <w:rsid w:val="0006415E"/>
    <w:rsid w:val="0006624A"/>
    <w:rsid w:val="000669D7"/>
    <w:rsid w:val="00066BBD"/>
    <w:rsid w:val="0007255A"/>
    <w:rsid w:val="00072C6D"/>
    <w:rsid w:val="00073250"/>
    <w:rsid w:val="000732D5"/>
    <w:rsid w:val="000739E4"/>
    <w:rsid w:val="00074189"/>
    <w:rsid w:val="0007421D"/>
    <w:rsid w:val="00075959"/>
    <w:rsid w:val="00080257"/>
    <w:rsid w:val="0008061E"/>
    <w:rsid w:val="000806F0"/>
    <w:rsid w:val="000811DA"/>
    <w:rsid w:val="0008152D"/>
    <w:rsid w:val="000822E1"/>
    <w:rsid w:val="00082350"/>
    <w:rsid w:val="000833C6"/>
    <w:rsid w:val="000835F0"/>
    <w:rsid w:val="000838A5"/>
    <w:rsid w:val="00083E06"/>
    <w:rsid w:val="0008434E"/>
    <w:rsid w:val="00085A96"/>
    <w:rsid w:val="000879AF"/>
    <w:rsid w:val="00087E26"/>
    <w:rsid w:val="00090916"/>
    <w:rsid w:val="00091D2F"/>
    <w:rsid w:val="00092994"/>
    <w:rsid w:val="00093415"/>
    <w:rsid w:val="0009389C"/>
    <w:rsid w:val="00093901"/>
    <w:rsid w:val="00093D80"/>
    <w:rsid w:val="00094E64"/>
    <w:rsid w:val="00095262"/>
    <w:rsid w:val="000958CB"/>
    <w:rsid w:val="000963FE"/>
    <w:rsid w:val="00096723"/>
    <w:rsid w:val="00096CE0"/>
    <w:rsid w:val="000972F0"/>
    <w:rsid w:val="00097683"/>
    <w:rsid w:val="000A0036"/>
    <w:rsid w:val="000A00D0"/>
    <w:rsid w:val="000A0144"/>
    <w:rsid w:val="000A0303"/>
    <w:rsid w:val="000A266F"/>
    <w:rsid w:val="000A2B9F"/>
    <w:rsid w:val="000A3721"/>
    <w:rsid w:val="000A3B42"/>
    <w:rsid w:val="000A411C"/>
    <w:rsid w:val="000A52E2"/>
    <w:rsid w:val="000A5B6B"/>
    <w:rsid w:val="000A64DF"/>
    <w:rsid w:val="000A664F"/>
    <w:rsid w:val="000B02EC"/>
    <w:rsid w:val="000B0BCA"/>
    <w:rsid w:val="000B1583"/>
    <w:rsid w:val="000B173D"/>
    <w:rsid w:val="000B1759"/>
    <w:rsid w:val="000B1E06"/>
    <w:rsid w:val="000B23AA"/>
    <w:rsid w:val="000B35A1"/>
    <w:rsid w:val="000B3826"/>
    <w:rsid w:val="000B417C"/>
    <w:rsid w:val="000B4390"/>
    <w:rsid w:val="000B4705"/>
    <w:rsid w:val="000B4AD0"/>
    <w:rsid w:val="000B4F5A"/>
    <w:rsid w:val="000B566C"/>
    <w:rsid w:val="000B623C"/>
    <w:rsid w:val="000B658E"/>
    <w:rsid w:val="000B66BD"/>
    <w:rsid w:val="000B6B55"/>
    <w:rsid w:val="000B6D06"/>
    <w:rsid w:val="000B75B0"/>
    <w:rsid w:val="000B7E4E"/>
    <w:rsid w:val="000B7E97"/>
    <w:rsid w:val="000C0BD4"/>
    <w:rsid w:val="000C248C"/>
    <w:rsid w:val="000C27DC"/>
    <w:rsid w:val="000C2F4F"/>
    <w:rsid w:val="000C42BC"/>
    <w:rsid w:val="000C5604"/>
    <w:rsid w:val="000C57CC"/>
    <w:rsid w:val="000C5AB7"/>
    <w:rsid w:val="000C7119"/>
    <w:rsid w:val="000C78D3"/>
    <w:rsid w:val="000C7A5A"/>
    <w:rsid w:val="000D0752"/>
    <w:rsid w:val="000D31B5"/>
    <w:rsid w:val="000D34C8"/>
    <w:rsid w:val="000D426F"/>
    <w:rsid w:val="000D507C"/>
    <w:rsid w:val="000D5CB4"/>
    <w:rsid w:val="000D614C"/>
    <w:rsid w:val="000D6487"/>
    <w:rsid w:val="000D6AFF"/>
    <w:rsid w:val="000D7C48"/>
    <w:rsid w:val="000E028B"/>
    <w:rsid w:val="000E0A40"/>
    <w:rsid w:val="000E0A44"/>
    <w:rsid w:val="000E17D8"/>
    <w:rsid w:val="000E1CEE"/>
    <w:rsid w:val="000E416C"/>
    <w:rsid w:val="000E4592"/>
    <w:rsid w:val="000E4ECD"/>
    <w:rsid w:val="000E5206"/>
    <w:rsid w:val="000E6325"/>
    <w:rsid w:val="000E6661"/>
    <w:rsid w:val="000F0591"/>
    <w:rsid w:val="000F05CC"/>
    <w:rsid w:val="000F1330"/>
    <w:rsid w:val="000F1B19"/>
    <w:rsid w:val="000F22EA"/>
    <w:rsid w:val="000F2F13"/>
    <w:rsid w:val="000F32EA"/>
    <w:rsid w:val="000F342D"/>
    <w:rsid w:val="000F42C6"/>
    <w:rsid w:val="000F466E"/>
    <w:rsid w:val="000F4768"/>
    <w:rsid w:val="000F48B5"/>
    <w:rsid w:val="000F4F56"/>
    <w:rsid w:val="000F50D4"/>
    <w:rsid w:val="000F52C9"/>
    <w:rsid w:val="000F5551"/>
    <w:rsid w:val="000F5ADE"/>
    <w:rsid w:val="000F5B34"/>
    <w:rsid w:val="000F65A1"/>
    <w:rsid w:val="000F7362"/>
    <w:rsid w:val="000F7577"/>
    <w:rsid w:val="000F7963"/>
    <w:rsid w:val="000F7C2B"/>
    <w:rsid w:val="000F7CAF"/>
    <w:rsid w:val="000F7E29"/>
    <w:rsid w:val="00100218"/>
    <w:rsid w:val="0010021D"/>
    <w:rsid w:val="001005B6"/>
    <w:rsid w:val="0010087B"/>
    <w:rsid w:val="00100B22"/>
    <w:rsid w:val="00100E59"/>
    <w:rsid w:val="00101332"/>
    <w:rsid w:val="0010170D"/>
    <w:rsid w:val="00101FCF"/>
    <w:rsid w:val="0010222B"/>
    <w:rsid w:val="00102CA3"/>
    <w:rsid w:val="00103563"/>
    <w:rsid w:val="001047E4"/>
    <w:rsid w:val="001050A6"/>
    <w:rsid w:val="0010605D"/>
    <w:rsid w:val="00106191"/>
    <w:rsid w:val="00106347"/>
    <w:rsid w:val="00106BCD"/>
    <w:rsid w:val="00106D09"/>
    <w:rsid w:val="001072E6"/>
    <w:rsid w:val="00107D38"/>
    <w:rsid w:val="00110F0A"/>
    <w:rsid w:val="00111242"/>
    <w:rsid w:val="001115B2"/>
    <w:rsid w:val="00112069"/>
    <w:rsid w:val="001147B1"/>
    <w:rsid w:val="0011487C"/>
    <w:rsid w:val="00114A1B"/>
    <w:rsid w:val="00114EA1"/>
    <w:rsid w:val="00114F46"/>
    <w:rsid w:val="00115621"/>
    <w:rsid w:val="0011651D"/>
    <w:rsid w:val="001169A7"/>
    <w:rsid w:val="00116A1A"/>
    <w:rsid w:val="00117AFB"/>
    <w:rsid w:val="001207C9"/>
    <w:rsid w:val="001210D2"/>
    <w:rsid w:val="00121AE5"/>
    <w:rsid w:val="001225A5"/>
    <w:rsid w:val="001230DF"/>
    <w:rsid w:val="00123630"/>
    <w:rsid w:val="00123E79"/>
    <w:rsid w:val="0012402D"/>
    <w:rsid w:val="001241BD"/>
    <w:rsid w:val="00124F5D"/>
    <w:rsid w:val="0012552C"/>
    <w:rsid w:val="001257E7"/>
    <w:rsid w:val="00131199"/>
    <w:rsid w:val="00131332"/>
    <w:rsid w:val="00131A40"/>
    <w:rsid w:val="00131A81"/>
    <w:rsid w:val="00133343"/>
    <w:rsid w:val="00133E50"/>
    <w:rsid w:val="00134EB4"/>
    <w:rsid w:val="001350A2"/>
    <w:rsid w:val="0013683B"/>
    <w:rsid w:val="0013699C"/>
    <w:rsid w:val="00137E02"/>
    <w:rsid w:val="00137EE0"/>
    <w:rsid w:val="0014058D"/>
    <w:rsid w:val="00140C5D"/>
    <w:rsid w:val="0014100C"/>
    <w:rsid w:val="0014137D"/>
    <w:rsid w:val="00141524"/>
    <w:rsid w:val="0014196B"/>
    <w:rsid w:val="00142E44"/>
    <w:rsid w:val="00142FFE"/>
    <w:rsid w:val="00143554"/>
    <w:rsid w:val="001435A4"/>
    <w:rsid w:val="0014370F"/>
    <w:rsid w:val="00143766"/>
    <w:rsid w:val="00144C81"/>
    <w:rsid w:val="00144D33"/>
    <w:rsid w:val="00145B5E"/>
    <w:rsid w:val="00145D93"/>
    <w:rsid w:val="0014670C"/>
    <w:rsid w:val="00147D1E"/>
    <w:rsid w:val="00147F6E"/>
    <w:rsid w:val="001517E0"/>
    <w:rsid w:val="00151F09"/>
    <w:rsid w:val="00152112"/>
    <w:rsid w:val="00152549"/>
    <w:rsid w:val="001533C2"/>
    <w:rsid w:val="00153D2B"/>
    <w:rsid w:val="0015421D"/>
    <w:rsid w:val="00154F0D"/>
    <w:rsid w:val="001551B4"/>
    <w:rsid w:val="00156463"/>
    <w:rsid w:val="001566F7"/>
    <w:rsid w:val="00156D63"/>
    <w:rsid w:val="0015714E"/>
    <w:rsid w:val="001573C5"/>
    <w:rsid w:val="00157ACF"/>
    <w:rsid w:val="0016021A"/>
    <w:rsid w:val="00160B33"/>
    <w:rsid w:val="00160B4A"/>
    <w:rsid w:val="00160B7B"/>
    <w:rsid w:val="00160D06"/>
    <w:rsid w:val="001615CA"/>
    <w:rsid w:val="001615CC"/>
    <w:rsid w:val="00161695"/>
    <w:rsid w:val="00161BD2"/>
    <w:rsid w:val="001623A6"/>
    <w:rsid w:val="00163FE0"/>
    <w:rsid w:val="0016404A"/>
    <w:rsid w:val="00164F66"/>
    <w:rsid w:val="001656EA"/>
    <w:rsid w:val="00166552"/>
    <w:rsid w:val="00167130"/>
    <w:rsid w:val="00167532"/>
    <w:rsid w:val="00167E5F"/>
    <w:rsid w:val="00167FDA"/>
    <w:rsid w:val="001701FE"/>
    <w:rsid w:val="0017058C"/>
    <w:rsid w:val="00170740"/>
    <w:rsid w:val="00170AC0"/>
    <w:rsid w:val="00171783"/>
    <w:rsid w:val="0017182B"/>
    <w:rsid w:val="00171C6D"/>
    <w:rsid w:val="00171D5F"/>
    <w:rsid w:val="00172203"/>
    <w:rsid w:val="00172ADF"/>
    <w:rsid w:val="001752E8"/>
    <w:rsid w:val="001755E6"/>
    <w:rsid w:val="00175792"/>
    <w:rsid w:val="00177C8E"/>
    <w:rsid w:val="001805F8"/>
    <w:rsid w:val="00180B2F"/>
    <w:rsid w:val="00180F2E"/>
    <w:rsid w:val="001812A7"/>
    <w:rsid w:val="001815EC"/>
    <w:rsid w:val="00181E20"/>
    <w:rsid w:val="001824BF"/>
    <w:rsid w:val="001826F5"/>
    <w:rsid w:val="00182FB4"/>
    <w:rsid w:val="00183220"/>
    <w:rsid w:val="001832C9"/>
    <w:rsid w:val="0018410E"/>
    <w:rsid w:val="00185814"/>
    <w:rsid w:val="00186B10"/>
    <w:rsid w:val="00190113"/>
    <w:rsid w:val="00190B97"/>
    <w:rsid w:val="001914DB"/>
    <w:rsid w:val="001916AE"/>
    <w:rsid w:val="0019195B"/>
    <w:rsid w:val="00191AC4"/>
    <w:rsid w:val="00191AE5"/>
    <w:rsid w:val="00192333"/>
    <w:rsid w:val="0019259A"/>
    <w:rsid w:val="00192C6E"/>
    <w:rsid w:val="00193C36"/>
    <w:rsid w:val="00193E50"/>
    <w:rsid w:val="00194473"/>
    <w:rsid w:val="00194A08"/>
    <w:rsid w:val="00196D95"/>
    <w:rsid w:val="00196F3E"/>
    <w:rsid w:val="0019780C"/>
    <w:rsid w:val="001978CF"/>
    <w:rsid w:val="001979AE"/>
    <w:rsid w:val="001A0009"/>
    <w:rsid w:val="001A002D"/>
    <w:rsid w:val="001A06D1"/>
    <w:rsid w:val="001A156B"/>
    <w:rsid w:val="001A1B82"/>
    <w:rsid w:val="001A1E04"/>
    <w:rsid w:val="001A1F12"/>
    <w:rsid w:val="001A1F3E"/>
    <w:rsid w:val="001A270C"/>
    <w:rsid w:val="001A348D"/>
    <w:rsid w:val="001A34A2"/>
    <w:rsid w:val="001A3571"/>
    <w:rsid w:val="001A36A6"/>
    <w:rsid w:val="001A4021"/>
    <w:rsid w:val="001A4B29"/>
    <w:rsid w:val="001A4DF1"/>
    <w:rsid w:val="001A5B45"/>
    <w:rsid w:val="001A5E7C"/>
    <w:rsid w:val="001A679A"/>
    <w:rsid w:val="001A7464"/>
    <w:rsid w:val="001A7938"/>
    <w:rsid w:val="001B0607"/>
    <w:rsid w:val="001B16A0"/>
    <w:rsid w:val="001B1EAA"/>
    <w:rsid w:val="001B2104"/>
    <w:rsid w:val="001B2EA0"/>
    <w:rsid w:val="001B3D3F"/>
    <w:rsid w:val="001B3F7C"/>
    <w:rsid w:val="001B41C0"/>
    <w:rsid w:val="001B6A6D"/>
    <w:rsid w:val="001B72DD"/>
    <w:rsid w:val="001C08CF"/>
    <w:rsid w:val="001C0CD5"/>
    <w:rsid w:val="001C1477"/>
    <w:rsid w:val="001C178C"/>
    <w:rsid w:val="001C1889"/>
    <w:rsid w:val="001C254B"/>
    <w:rsid w:val="001C33F8"/>
    <w:rsid w:val="001C390C"/>
    <w:rsid w:val="001C4000"/>
    <w:rsid w:val="001C42B7"/>
    <w:rsid w:val="001C5518"/>
    <w:rsid w:val="001C5D01"/>
    <w:rsid w:val="001C7E8E"/>
    <w:rsid w:val="001D0C4A"/>
    <w:rsid w:val="001D11E4"/>
    <w:rsid w:val="001D15D0"/>
    <w:rsid w:val="001D2036"/>
    <w:rsid w:val="001D2C72"/>
    <w:rsid w:val="001D3EE7"/>
    <w:rsid w:val="001D4180"/>
    <w:rsid w:val="001D4D31"/>
    <w:rsid w:val="001D5B5A"/>
    <w:rsid w:val="001D6CB5"/>
    <w:rsid w:val="001D6F9A"/>
    <w:rsid w:val="001D7093"/>
    <w:rsid w:val="001D79F2"/>
    <w:rsid w:val="001E1C20"/>
    <w:rsid w:val="001E2736"/>
    <w:rsid w:val="001E3DC5"/>
    <w:rsid w:val="001E41ED"/>
    <w:rsid w:val="001E429C"/>
    <w:rsid w:val="001E42EF"/>
    <w:rsid w:val="001E4937"/>
    <w:rsid w:val="001E619B"/>
    <w:rsid w:val="001E65BA"/>
    <w:rsid w:val="001E6A52"/>
    <w:rsid w:val="001E7578"/>
    <w:rsid w:val="001E7D57"/>
    <w:rsid w:val="001F0364"/>
    <w:rsid w:val="001F0AB5"/>
    <w:rsid w:val="001F12A0"/>
    <w:rsid w:val="001F159C"/>
    <w:rsid w:val="001F1E1C"/>
    <w:rsid w:val="001F2CB4"/>
    <w:rsid w:val="001F38A3"/>
    <w:rsid w:val="001F4086"/>
    <w:rsid w:val="001F4159"/>
    <w:rsid w:val="001F4178"/>
    <w:rsid w:val="001F422E"/>
    <w:rsid w:val="001F48FC"/>
    <w:rsid w:val="001F4D23"/>
    <w:rsid w:val="001F4EBA"/>
    <w:rsid w:val="001F5398"/>
    <w:rsid w:val="001F6C09"/>
    <w:rsid w:val="001F6C0D"/>
    <w:rsid w:val="001F7FD2"/>
    <w:rsid w:val="00200046"/>
    <w:rsid w:val="002000B9"/>
    <w:rsid w:val="002007D3"/>
    <w:rsid w:val="002011DB"/>
    <w:rsid w:val="00201A32"/>
    <w:rsid w:val="00201F0E"/>
    <w:rsid w:val="0020297C"/>
    <w:rsid w:val="002032F0"/>
    <w:rsid w:val="0020352B"/>
    <w:rsid w:val="002035C1"/>
    <w:rsid w:val="00203D76"/>
    <w:rsid w:val="00203F18"/>
    <w:rsid w:val="002057D5"/>
    <w:rsid w:val="00206B10"/>
    <w:rsid w:val="002074F2"/>
    <w:rsid w:val="00207DD3"/>
    <w:rsid w:val="00211736"/>
    <w:rsid w:val="0021214B"/>
    <w:rsid w:val="0021399D"/>
    <w:rsid w:val="00214FD0"/>
    <w:rsid w:val="002160F2"/>
    <w:rsid w:val="00216A60"/>
    <w:rsid w:val="00216A8B"/>
    <w:rsid w:val="00216C53"/>
    <w:rsid w:val="00217770"/>
    <w:rsid w:val="00220A49"/>
    <w:rsid w:val="00222605"/>
    <w:rsid w:val="002226DE"/>
    <w:rsid w:val="002231C4"/>
    <w:rsid w:val="0022350B"/>
    <w:rsid w:val="00223798"/>
    <w:rsid w:val="00223B59"/>
    <w:rsid w:val="00223C40"/>
    <w:rsid w:val="00224A55"/>
    <w:rsid w:val="00224A58"/>
    <w:rsid w:val="0022541F"/>
    <w:rsid w:val="00225492"/>
    <w:rsid w:val="00225C34"/>
    <w:rsid w:val="00225F09"/>
    <w:rsid w:val="002262F3"/>
    <w:rsid w:val="00226816"/>
    <w:rsid w:val="00226DB7"/>
    <w:rsid w:val="0022720E"/>
    <w:rsid w:val="00227693"/>
    <w:rsid w:val="00227EFB"/>
    <w:rsid w:val="00230CEB"/>
    <w:rsid w:val="00231FF5"/>
    <w:rsid w:val="00232DCF"/>
    <w:rsid w:val="0023318C"/>
    <w:rsid w:val="0023388B"/>
    <w:rsid w:val="00233D4F"/>
    <w:rsid w:val="002342EA"/>
    <w:rsid w:val="00234474"/>
    <w:rsid w:val="0023497B"/>
    <w:rsid w:val="00235CD7"/>
    <w:rsid w:val="00235D27"/>
    <w:rsid w:val="00235F11"/>
    <w:rsid w:val="00236659"/>
    <w:rsid w:val="00237984"/>
    <w:rsid w:val="00241776"/>
    <w:rsid w:val="0024209B"/>
    <w:rsid w:val="002422CD"/>
    <w:rsid w:val="002439AE"/>
    <w:rsid w:val="0024516E"/>
    <w:rsid w:val="0024554C"/>
    <w:rsid w:val="002455C2"/>
    <w:rsid w:val="0024575F"/>
    <w:rsid w:val="00245A05"/>
    <w:rsid w:val="00245EB6"/>
    <w:rsid w:val="00246134"/>
    <w:rsid w:val="00246AA8"/>
    <w:rsid w:val="00247451"/>
    <w:rsid w:val="0024795B"/>
    <w:rsid w:val="00247E3E"/>
    <w:rsid w:val="00247EEF"/>
    <w:rsid w:val="0025062E"/>
    <w:rsid w:val="00251B43"/>
    <w:rsid w:val="00251D99"/>
    <w:rsid w:val="0025233C"/>
    <w:rsid w:val="00253014"/>
    <w:rsid w:val="002534DB"/>
    <w:rsid w:val="00253C74"/>
    <w:rsid w:val="00253CF9"/>
    <w:rsid w:val="00253D10"/>
    <w:rsid w:val="00254DBF"/>
    <w:rsid w:val="00257851"/>
    <w:rsid w:val="00257AEA"/>
    <w:rsid w:val="00260135"/>
    <w:rsid w:val="002617D4"/>
    <w:rsid w:val="00262522"/>
    <w:rsid w:val="00262D6A"/>
    <w:rsid w:val="00263164"/>
    <w:rsid w:val="002637FC"/>
    <w:rsid w:val="00265D8C"/>
    <w:rsid w:val="00265E47"/>
    <w:rsid w:val="00266088"/>
    <w:rsid w:val="002701FB"/>
    <w:rsid w:val="0027063D"/>
    <w:rsid w:val="002717D9"/>
    <w:rsid w:val="00271ED9"/>
    <w:rsid w:val="002723DD"/>
    <w:rsid w:val="002725EE"/>
    <w:rsid w:val="00272619"/>
    <w:rsid w:val="00276440"/>
    <w:rsid w:val="002768EB"/>
    <w:rsid w:val="002770F7"/>
    <w:rsid w:val="00277929"/>
    <w:rsid w:val="00277EA2"/>
    <w:rsid w:val="0028012E"/>
    <w:rsid w:val="002802C3"/>
    <w:rsid w:val="002816B6"/>
    <w:rsid w:val="00281A45"/>
    <w:rsid w:val="00281EB0"/>
    <w:rsid w:val="00282EB3"/>
    <w:rsid w:val="0028365F"/>
    <w:rsid w:val="00284925"/>
    <w:rsid w:val="00284C26"/>
    <w:rsid w:val="00284F15"/>
    <w:rsid w:val="00285164"/>
    <w:rsid w:val="00285289"/>
    <w:rsid w:val="0028579C"/>
    <w:rsid w:val="00287113"/>
    <w:rsid w:val="002875A1"/>
    <w:rsid w:val="002878BE"/>
    <w:rsid w:val="00290254"/>
    <w:rsid w:val="00290631"/>
    <w:rsid w:val="00290A39"/>
    <w:rsid w:val="00290D06"/>
    <w:rsid w:val="00290F79"/>
    <w:rsid w:val="00294A33"/>
    <w:rsid w:val="00294BCF"/>
    <w:rsid w:val="002961D4"/>
    <w:rsid w:val="002962A3"/>
    <w:rsid w:val="00296922"/>
    <w:rsid w:val="00297A25"/>
    <w:rsid w:val="00297BE4"/>
    <w:rsid w:val="00297C53"/>
    <w:rsid w:val="002A08E5"/>
    <w:rsid w:val="002A0AEA"/>
    <w:rsid w:val="002A1954"/>
    <w:rsid w:val="002A29EF"/>
    <w:rsid w:val="002A3903"/>
    <w:rsid w:val="002A3DEC"/>
    <w:rsid w:val="002A43DD"/>
    <w:rsid w:val="002A4A79"/>
    <w:rsid w:val="002A4FFA"/>
    <w:rsid w:val="002A619D"/>
    <w:rsid w:val="002A6F84"/>
    <w:rsid w:val="002A71AB"/>
    <w:rsid w:val="002B0234"/>
    <w:rsid w:val="002B0EDD"/>
    <w:rsid w:val="002B1386"/>
    <w:rsid w:val="002B1EEC"/>
    <w:rsid w:val="002B2F63"/>
    <w:rsid w:val="002B3A7C"/>
    <w:rsid w:val="002B4003"/>
    <w:rsid w:val="002B46C5"/>
    <w:rsid w:val="002B49BA"/>
    <w:rsid w:val="002B5B7A"/>
    <w:rsid w:val="002B5B86"/>
    <w:rsid w:val="002B60AB"/>
    <w:rsid w:val="002B6281"/>
    <w:rsid w:val="002C0377"/>
    <w:rsid w:val="002C1256"/>
    <w:rsid w:val="002C1C76"/>
    <w:rsid w:val="002C29A7"/>
    <w:rsid w:val="002C4216"/>
    <w:rsid w:val="002C5691"/>
    <w:rsid w:val="002C5A9C"/>
    <w:rsid w:val="002C649C"/>
    <w:rsid w:val="002C6C63"/>
    <w:rsid w:val="002C7356"/>
    <w:rsid w:val="002D026A"/>
    <w:rsid w:val="002D0320"/>
    <w:rsid w:val="002D0325"/>
    <w:rsid w:val="002D081C"/>
    <w:rsid w:val="002D1907"/>
    <w:rsid w:val="002D1B30"/>
    <w:rsid w:val="002D1DE3"/>
    <w:rsid w:val="002D22F5"/>
    <w:rsid w:val="002D406B"/>
    <w:rsid w:val="002D448D"/>
    <w:rsid w:val="002D4AF3"/>
    <w:rsid w:val="002D5048"/>
    <w:rsid w:val="002D554A"/>
    <w:rsid w:val="002D5DE5"/>
    <w:rsid w:val="002D65D7"/>
    <w:rsid w:val="002D681A"/>
    <w:rsid w:val="002D6845"/>
    <w:rsid w:val="002D6ED5"/>
    <w:rsid w:val="002D6F8F"/>
    <w:rsid w:val="002D71A9"/>
    <w:rsid w:val="002D71DC"/>
    <w:rsid w:val="002E021F"/>
    <w:rsid w:val="002E08D8"/>
    <w:rsid w:val="002E117E"/>
    <w:rsid w:val="002E1507"/>
    <w:rsid w:val="002E3952"/>
    <w:rsid w:val="002E444B"/>
    <w:rsid w:val="002E477F"/>
    <w:rsid w:val="002E5582"/>
    <w:rsid w:val="002E5E8F"/>
    <w:rsid w:val="002E6342"/>
    <w:rsid w:val="002E636F"/>
    <w:rsid w:val="002E7070"/>
    <w:rsid w:val="002E7F29"/>
    <w:rsid w:val="002F0933"/>
    <w:rsid w:val="002F0D68"/>
    <w:rsid w:val="002F0E67"/>
    <w:rsid w:val="002F0F77"/>
    <w:rsid w:val="002F3555"/>
    <w:rsid w:val="002F4A15"/>
    <w:rsid w:val="002F500E"/>
    <w:rsid w:val="0030043E"/>
    <w:rsid w:val="00301600"/>
    <w:rsid w:val="00301FC8"/>
    <w:rsid w:val="00302525"/>
    <w:rsid w:val="003027ED"/>
    <w:rsid w:val="003035DF"/>
    <w:rsid w:val="00303639"/>
    <w:rsid w:val="003038D2"/>
    <w:rsid w:val="00304ADA"/>
    <w:rsid w:val="0030670A"/>
    <w:rsid w:val="00306A77"/>
    <w:rsid w:val="00306D6A"/>
    <w:rsid w:val="0031010E"/>
    <w:rsid w:val="003104E6"/>
    <w:rsid w:val="00310726"/>
    <w:rsid w:val="00310C9E"/>
    <w:rsid w:val="00311A3E"/>
    <w:rsid w:val="00312163"/>
    <w:rsid w:val="003133D8"/>
    <w:rsid w:val="00314063"/>
    <w:rsid w:val="003146B3"/>
    <w:rsid w:val="003152DF"/>
    <w:rsid w:val="00315344"/>
    <w:rsid w:val="003155D6"/>
    <w:rsid w:val="00316475"/>
    <w:rsid w:val="00316886"/>
    <w:rsid w:val="00317117"/>
    <w:rsid w:val="00317F64"/>
    <w:rsid w:val="003201B7"/>
    <w:rsid w:val="00320845"/>
    <w:rsid w:val="003228C2"/>
    <w:rsid w:val="00322E49"/>
    <w:rsid w:val="00323794"/>
    <w:rsid w:val="00323D1C"/>
    <w:rsid w:val="00323E6A"/>
    <w:rsid w:val="00324F3E"/>
    <w:rsid w:val="00324FD1"/>
    <w:rsid w:val="00325254"/>
    <w:rsid w:val="00325B86"/>
    <w:rsid w:val="003275AF"/>
    <w:rsid w:val="00327A0C"/>
    <w:rsid w:val="00330388"/>
    <w:rsid w:val="0033065C"/>
    <w:rsid w:val="003306AA"/>
    <w:rsid w:val="003308DA"/>
    <w:rsid w:val="00330DEE"/>
    <w:rsid w:val="00330FD2"/>
    <w:rsid w:val="00331668"/>
    <w:rsid w:val="00332239"/>
    <w:rsid w:val="00332B6C"/>
    <w:rsid w:val="0033334F"/>
    <w:rsid w:val="0033392C"/>
    <w:rsid w:val="003346F7"/>
    <w:rsid w:val="003349ED"/>
    <w:rsid w:val="00334B8A"/>
    <w:rsid w:val="00334C6F"/>
    <w:rsid w:val="00335473"/>
    <w:rsid w:val="00335747"/>
    <w:rsid w:val="00335998"/>
    <w:rsid w:val="00335F39"/>
    <w:rsid w:val="0033681E"/>
    <w:rsid w:val="0033683E"/>
    <w:rsid w:val="00337637"/>
    <w:rsid w:val="003409AE"/>
    <w:rsid w:val="00340A5C"/>
    <w:rsid w:val="003414AD"/>
    <w:rsid w:val="00341E95"/>
    <w:rsid w:val="003432AB"/>
    <w:rsid w:val="003436F5"/>
    <w:rsid w:val="00343B71"/>
    <w:rsid w:val="0034552A"/>
    <w:rsid w:val="00346325"/>
    <w:rsid w:val="003471CA"/>
    <w:rsid w:val="00347EE9"/>
    <w:rsid w:val="003504B0"/>
    <w:rsid w:val="003504DA"/>
    <w:rsid w:val="00351512"/>
    <w:rsid w:val="00351B04"/>
    <w:rsid w:val="00351E76"/>
    <w:rsid w:val="003521D0"/>
    <w:rsid w:val="0035279F"/>
    <w:rsid w:val="00353300"/>
    <w:rsid w:val="00353B70"/>
    <w:rsid w:val="00354638"/>
    <w:rsid w:val="00354DF4"/>
    <w:rsid w:val="003557C0"/>
    <w:rsid w:val="0035599C"/>
    <w:rsid w:val="003573D5"/>
    <w:rsid w:val="0035779B"/>
    <w:rsid w:val="00357D4B"/>
    <w:rsid w:val="00360163"/>
    <w:rsid w:val="003602CA"/>
    <w:rsid w:val="00360754"/>
    <w:rsid w:val="00360AD2"/>
    <w:rsid w:val="00360CA2"/>
    <w:rsid w:val="003621B0"/>
    <w:rsid w:val="00362290"/>
    <w:rsid w:val="00362D0E"/>
    <w:rsid w:val="00362D60"/>
    <w:rsid w:val="00363FF8"/>
    <w:rsid w:val="0036417F"/>
    <w:rsid w:val="003644EA"/>
    <w:rsid w:val="003646B0"/>
    <w:rsid w:val="00364EAB"/>
    <w:rsid w:val="00365B83"/>
    <w:rsid w:val="003668D8"/>
    <w:rsid w:val="00366A10"/>
    <w:rsid w:val="003677FA"/>
    <w:rsid w:val="00367B1A"/>
    <w:rsid w:val="00370A4B"/>
    <w:rsid w:val="0037112B"/>
    <w:rsid w:val="00371600"/>
    <w:rsid w:val="00371E69"/>
    <w:rsid w:val="00373B32"/>
    <w:rsid w:val="00374354"/>
    <w:rsid w:val="00374C5F"/>
    <w:rsid w:val="003753F5"/>
    <w:rsid w:val="003756AF"/>
    <w:rsid w:val="00375B73"/>
    <w:rsid w:val="00375E39"/>
    <w:rsid w:val="0037722B"/>
    <w:rsid w:val="003777E5"/>
    <w:rsid w:val="00380548"/>
    <w:rsid w:val="00380700"/>
    <w:rsid w:val="0038142D"/>
    <w:rsid w:val="003814F5"/>
    <w:rsid w:val="003819B5"/>
    <w:rsid w:val="00382E28"/>
    <w:rsid w:val="0038657C"/>
    <w:rsid w:val="003878C6"/>
    <w:rsid w:val="00387B87"/>
    <w:rsid w:val="003908BE"/>
    <w:rsid w:val="003929EE"/>
    <w:rsid w:val="00392C7F"/>
    <w:rsid w:val="003931DC"/>
    <w:rsid w:val="00393273"/>
    <w:rsid w:val="00393579"/>
    <w:rsid w:val="0039428F"/>
    <w:rsid w:val="00394EDF"/>
    <w:rsid w:val="00396505"/>
    <w:rsid w:val="00396669"/>
    <w:rsid w:val="00397219"/>
    <w:rsid w:val="003979D9"/>
    <w:rsid w:val="003A07B2"/>
    <w:rsid w:val="003A19BE"/>
    <w:rsid w:val="003A1FF5"/>
    <w:rsid w:val="003A4437"/>
    <w:rsid w:val="003A453D"/>
    <w:rsid w:val="003A46A6"/>
    <w:rsid w:val="003A544B"/>
    <w:rsid w:val="003A5669"/>
    <w:rsid w:val="003A588A"/>
    <w:rsid w:val="003A7FBF"/>
    <w:rsid w:val="003B015A"/>
    <w:rsid w:val="003B0883"/>
    <w:rsid w:val="003B1EF7"/>
    <w:rsid w:val="003B261F"/>
    <w:rsid w:val="003B47D2"/>
    <w:rsid w:val="003B589F"/>
    <w:rsid w:val="003C0634"/>
    <w:rsid w:val="003C0E30"/>
    <w:rsid w:val="003C12AF"/>
    <w:rsid w:val="003C2B29"/>
    <w:rsid w:val="003C31A6"/>
    <w:rsid w:val="003C39E1"/>
    <w:rsid w:val="003C3EBA"/>
    <w:rsid w:val="003C5339"/>
    <w:rsid w:val="003C5FC3"/>
    <w:rsid w:val="003C646A"/>
    <w:rsid w:val="003C648F"/>
    <w:rsid w:val="003C67FC"/>
    <w:rsid w:val="003C6F88"/>
    <w:rsid w:val="003D0172"/>
    <w:rsid w:val="003D0819"/>
    <w:rsid w:val="003D0987"/>
    <w:rsid w:val="003D0996"/>
    <w:rsid w:val="003D1011"/>
    <w:rsid w:val="003D15C1"/>
    <w:rsid w:val="003D1C0B"/>
    <w:rsid w:val="003D20FC"/>
    <w:rsid w:val="003D2943"/>
    <w:rsid w:val="003D5320"/>
    <w:rsid w:val="003D5836"/>
    <w:rsid w:val="003D654F"/>
    <w:rsid w:val="003D6D5E"/>
    <w:rsid w:val="003D7B4D"/>
    <w:rsid w:val="003E01E5"/>
    <w:rsid w:val="003E097B"/>
    <w:rsid w:val="003E1066"/>
    <w:rsid w:val="003E1595"/>
    <w:rsid w:val="003E20B3"/>
    <w:rsid w:val="003E23FF"/>
    <w:rsid w:val="003E34FA"/>
    <w:rsid w:val="003E4278"/>
    <w:rsid w:val="003E4754"/>
    <w:rsid w:val="003E4F5C"/>
    <w:rsid w:val="003E5610"/>
    <w:rsid w:val="003E5998"/>
    <w:rsid w:val="003E5C75"/>
    <w:rsid w:val="003E6B18"/>
    <w:rsid w:val="003E6E30"/>
    <w:rsid w:val="003E7F87"/>
    <w:rsid w:val="003F0F1A"/>
    <w:rsid w:val="003F1296"/>
    <w:rsid w:val="003F1495"/>
    <w:rsid w:val="003F1FEE"/>
    <w:rsid w:val="003F39CF"/>
    <w:rsid w:val="003F423E"/>
    <w:rsid w:val="003F43EF"/>
    <w:rsid w:val="003F56DD"/>
    <w:rsid w:val="003F5E08"/>
    <w:rsid w:val="003F6288"/>
    <w:rsid w:val="003F650F"/>
    <w:rsid w:val="003F671E"/>
    <w:rsid w:val="003F6D41"/>
    <w:rsid w:val="003F75D3"/>
    <w:rsid w:val="003F7C25"/>
    <w:rsid w:val="003F7C29"/>
    <w:rsid w:val="00400187"/>
    <w:rsid w:val="00400A08"/>
    <w:rsid w:val="0040101F"/>
    <w:rsid w:val="00401940"/>
    <w:rsid w:val="004027FC"/>
    <w:rsid w:val="00403B94"/>
    <w:rsid w:val="00403C81"/>
    <w:rsid w:val="004042D8"/>
    <w:rsid w:val="00404A77"/>
    <w:rsid w:val="0040618F"/>
    <w:rsid w:val="004067B7"/>
    <w:rsid w:val="00407855"/>
    <w:rsid w:val="004079BF"/>
    <w:rsid w:val="004101EC"/>
    <w:rsid w:val="00410F6B"/>
    <w:rsid w:val="00411441"/>
    <w:rsid w:val="004118B4"/>
    <w:rsid w:val="004118F4"/>
    <w:rsid w:val="00412BF7"/>
    <w:rsid w:val="004135FF"/>
    <w:rsid w:val="004141E1"/>
    <w:rsid w:val="00415039"/>
    <w:rsid w:val="004159FD"/>
    <w:rsid w:val="0041633B"/>
    <w:rsid w:val="0041716E"/>
    <w:rsid w:val="00417402"/>
    <w:rsid w:val="004175DF"/>
    <w:rsid w:val="0042029F"/>
    <w:rsid w:val="004203FC"/>
    <w:rsid w:val="0042077B"/>
    <w:rsid w:val="00420918"/>
    <w:rsid w:val="00420BC4"/>
    <w:rsid w:val="00420EF1"/>
    <w:rsid w:val="00421596"/>
    <w:rsid w:val="004221AE"/>
    <w:rsid w:val="00422920"/>
    <w:rsid w:val="00422F87"/>
    <w:rsid w:val="0042470A"/>
    <w:rsid w:val="00424808"/>
    <w:rsid w:val="00424FF2"/>
    <w:rsid w:val="00426E60"/>
    <w:rsid w:val="004273AC"/>
    <w:rsid w:val="00430013"/>
    <w:rsid w:val="0043074C"/>
    <w:rsid w:val="00430C3E"/>
    <w:rsid w:val="00432D74"/>
    <w:rsid w:val="00432DF9"/>
    <w:rsid w:val="004330A0"/>
    <w:rsid w:val="00434135"/>
    <w:rsid w:val="0043417A"/>
    <w:rsid w:val="00434817"/>
    <w:rsid w:val="004365F1"/>
    <w:rsid w:val="00436D33"/>
    <w:rsid w:val="00437302"/>
    <w:rsid w:val="00437719"/>
    <w:rsid w:val="00437900"/>
    <w:rsid w:val="00440EEA"/>
    <w:rsid w:val="004432F1"/>
    <w:rsid w:val="004446C9"/>
    <w:rsid w:val="00444707"/>
    <w:rsid w:val="004448F9"/>
    <w:rsid w:val="0044588C"/>
    <w:rsid w:val="004460B5"/>
    <w:rsid w:val="0044630B"/>
    <w:rsid w:val="0044656C"/>
    <w:rsid w:val="00446EBE"/>
    <w:rsid w:val="00446F2A"/>
    <w:rsid w:val="00447569"/>
    <w:rsid w:val="00447778"/>
    <w:rsid w:val="00447B07"/>
    <w:rsid w:val="00451940"/>
    <w:rsid w:val="00451D83"/>
    <w:rsid w:val="004520B6"/>
    <w:rsid w:val="00453246"/>
    <w:rsid w:val="00453425"/>
    <w:rsid w:val="004534FB"/>
    <w:rsid w:val="0045353F"/>
    <w:rsid w:val="00453B28"/>
    <w:rsid w:val="00453B2D"/>
    <w:rsid w:val="00453B99"/>
    <w:rsid w:val="00453E6B"/>
    <w:rsid w:val="004541E0"/>
    <w:rsid w:val="0045622A"/>
    <w:rsid w:val="0045675A"/>
    <w:rsid w:val="00457683"/>
    <w:rsid w:val="00460B82"/>
    <w:rsid w:val="00462139"/>
    <w:rsid w:val="004622D4"/>
    <w:rsid w:val="00462B2C"/>
    <w:rsid w:val="004638BB"/>
    <w:rsid w:val="00463BA1"/>
    <w:rsid w:val="00463D9B"/>
    <w:rsid w:val="00464A72"/>
    <w:rsid w:val="00464B81"/>
    <w:rsid w:val="00464F9E"/>
    <w:rsid w:val="0046568B"/>
    <w:rsid w:val="00465834"/>
    <w:rsid w:val="00465A08"/>
    <w:rsid w:val="004662C5"/>
    <w:rsid w:val="00466F7C"/>
    <w:rsid w:val="00467C17"/>
    <w:rsid w:val="00467F40"/>
    <w:rsid w:val="00470823"/>
    <w:rsid w:val="00470E2F"/>
    <w:rsid w:val="00470EDD"/>
    <w:rsid w:val="0047290B"/>
    <w:rsid w:val="00472DAA"/>
    <w:rsid w:val="00473DEA"/>
    <w:rsid w:val="00474426"/>
    <w:rsid w:val="00474631"/>
    <w:rsid w:val="0047509D"/>
    <w:rsid w:val="004750C9"/>
    <w:rsid w:val="004754ED"/>
    <w:rsid w:val="004763B3"/>
    <w:rsid w:val="00476700"/>
    <w:rsid w:val="00476D9B"/>
    <w:rsid w:val="004809C0"/>
    <w:rsid w:val="00480CA1"/>
    <w:rsid w:val="00480DD7"/>
    <w:rsid w:val="00482AB7"/>
    <w:rsid w:val="00482B1D"/>
    <w:rsid w:val="004839E7"/>
    <w:rsid w:val="00485EC9"/>
    <w:rsid w:val="004862EE"/>
    <w:rsid w:val="0048630F"/>
    <w:rsid w:val="004902A0"/>
    <w:rsid w:val="0049060A"/>
    <w:rsid w:val="004909A3"/>
    <w:rsid w:val="00490BF1"/>
    <w:rsid w:val="00491290"/>
    <w:rsid w:val="00491D9C"/>
    <w:rsid w:val="004920A0"/>
    <w:rsid w:val="00494318"/>
    <w:rsid w:val="00494551"/>
    <w:rsid w:val="0049483B"/>
    <w:rsid w:val="004948D8"/>
    <w:rsid w:val="00494921"/>
    <w:rsid w:val="00495376"/>
    <w:rsid w:val="00495FCB"/>
    <w:rsid w:val="00496069"/>
    <w:rsid w:val="00496446"/>
    <w:rsid w:val="00496E79"/>
    <w:rsid w:val="00497016"/>
    <w:rsid w:val="004970E5"/>
    <w:rsid w:val="00497F6D"/>
    <w:rsid w:val="004A00BD"/>
    <w:rsid w:val="004A0D7B"/>
    <w:rsid w:val="004A0F18"/>
    <w:rsid w:val="004A16B9"/>
    <w:rsid w:val="004A2550"/>
    <w:rsid w:val="004A2778"/>
    <w:rsid w:val="004A28BE"/>
    <w:rsid w:val="004A2EFA"/>
    <w:rsid w:val="004A2F75"/>
    <w:rsid w:val="004A37EC"/>
    <w:rsid w:val="004A4664"/>
    <w:rsid w:val="004A47AE"/>
    <w:rsid w:val="004A55BD"/>
    <w:rsid w:val="004A56DB"/>
    <w:rsid w:val="004A5CD6"/>
    <w:rsid w:val="004A5EE0"/>
    <w:rsid w:val="004A68CF"/>
    <w:rsid w:val="004B0C1F"/>
    <w:rsid w:val="004B10D5"/>
    <w:rsid w:val="004B1131"/>
    <w:rsid w:val="004B14EC"/>
    <w:rsid w:val="004B176A"/>
    <w:rsid w:val="004B2D32"/>
    <w:rsid w:val="004B2E53"/>
    <w:rsid w:val="004B35AD"/>
    <w:rsid w:val="004B3B49"/>
    <w:rsid w:val="004B40AC"/>
    <w:rsid w:val="004B4461"/>
    <w:rsid w:val="004B6292"/>
    <w:rsid w:val="004B6388"/>
    <w:rsid w:val="004B74E7"/>
    <w:rsid w:val="004B79D5"/>
    <w:rsid w:val="004B7AC9"/>
    <w:rsid w:val="004C11F9"/>
    <w:rsid w:val="004C29BC"/>
    <w:rsid w:val="004C2AD6"/>
    <w:rsid w:val="004C2D3F"/>
    <w:rsid w:val="004C2F8E"/>
    <w:rsid w:val="004C367A"/>
    <w:rsid w:val="004C398C"/>
    <w:rsid w:val="004C3E3A"/>
    <w:rsid w:val="004C403F"/>
    <w:rsid w:val="004C4372"/>
    <w:rsid w:val="004C5003"/>
    <w:rsid w:val="004C59B5"/>
    <w:rsid w:val="004C5D65"/>
    <w:rsid w:val="004C608D"/>
    <w:rsid w:val="004C62C7"/>
    <w:rsid w:val="004C695D"/>
    <w:rsid w:val="004C70F9"/>
    <w:rsid w:val="004C7163"/>
    <w:rsid w:val="004C760B"/>
    <w:rsid w:val="004C7AD9"/>
    <w:rsid w:val="004C7ADB"/>
    <w:rsid w:val="004D0001"/>
    <w:rsid w:val="004D159F"/>
    <w:rsid w:val="004D1D8A"/>
    <w:rsid w:val="004D243D"/>
    <w:rsid w:val="004D27DF"/>
    <w:rsid w:val="004D33A2"/>
    <w:rsid w:val="004D39FA"/>
    <w:rsid w:val="004D4156"/>
    <w:rsid w:val="004D4B10"/>
    <w:rsid w:val="004D713C"/>
    <w:rsid w:val="004D7EF2"/>
    <w:rsid w:val="004E254F"/>
    <w:rsid w:val="004E2625"/>
    <w:rsid w:val="004E28C1"/>
    <w:rsid w:val="004E2934"/>
    <w:rsid w:val="004E3016"/>
    <w:rsid w:val="004E3E9E"/>
    <w:rsid w:val="004E4145"/>
    <w:rsid w:val="004E495A"/>
    <w:rsid w:val="004E5270"/>
    <w:rsid w:val="004E5AFC"/>
    <w:rsid w:val="004E67C7"/>
    <w:rsid w:val="004E72F9"/>
    <w:rsid w:val="004E7534"/>
    <w:rsid w:val="004E7B88"/>
    <w:rsid w:val="004F0299"/>
    <w:rsid w:val="004F07C5"/>
    <w:rsid w:val="004F109B"/>
    <w:rsid w:val="004F1A4B"/>
    <w:rsid w:val="004F26D0"/>
    <w:rsid w:val="004F2792"/>
    <w:rsid w:val="004F2F99"/>
    <w:rsid w:val="004F30A2"/>
    <w:rsid w:val="004F4794"/>
    <w:rsid w:val="004F5308"/>
    <w:rsid w:val="004F58EA"/>
    <w:rsid w:val="004F664A"/>
    <w:rsid w:val="004F6A82"/>
    <w:rsid w:val="005003F9"/>
    <w:rsid w:val="00500667"/>
    <w:rsid w:val="00501520"/>
    <w:rsid w:val="005015C5"/>
    <w:rsid w:val="00501D4D"/>
    <w:rsid w:val="00503ADF"/>
    <w:rsid w:val="00504FDC"/>
    <w:rsid w:val="005057BD"/>
    <w:rsid w:val="005058D7"/>
    <w:rsid w:val="00505A2B"/>
    <w:rsid w:val="00505B22"/>
    <w:rsid w:val="00505CD0"/>
    <w:rsid w:val="00505ECD"/>
    <w:rsid w:val="00506491"/>
    <w:rsid w:val="0050668F"/>
    <w:rsid w:val="00506D2E"/>
    <w:rsid w:val="00510B3E"/>
    <w:rsid w:val="00510C8F"/>
    <w:rsid w:val="00511986"/>
    <w:rsid w:val="00511C5F"/>
    <w:rsid w:val="00511DB2"/>
    <w:rsid w:val="00511EA7"/>
    <w:rsid w:val="0051226A"/>
    <w:rsid w:val="00512A7A"/>
    <w:rsid w:val="00513394"/>
    <w:rsid w:val="00513898"/>
    <w:rsid w:val="00514732"/>
    <w:rsid w:val="005158C9"/>
    <w:rsid w:val="00515B1C"/>
    <w:rsid w:val="00515F68"/>
    <w:rsid w:val="0051702D"/>
    <w:rsid w:val="0051706C"/>
    <w:rsid w:val="0051711A"/>
    <w:rsid w:val="00517860"/>
    <w:rsid w:val="00517D59"/>
    <w:rsid w:val="00517E47"/>
    <w:rsid w:val="005204D8"/>
    <w:rsid w:val="00521084"/>
    <w:rsid w:val="00522108"/>
    <w:rsid w:val="005221C6"/>
    <w:rsid w:val="005221FE"/>
    <w:rsid w:val="0052243B"/>
    <w:rsid w:val="00522501"/>
    <w:rsid w:val="005232A5"/>
    <w:rsid w:val="00523A0F"/>
    <w:rsid w:val="00523BF2"/>
    <w:rsid w:val="00524B56"/>
    <w:rsid w:val="00525BD5"/>
    <w:rsid w:val="00526762"/>
    <w:rsid w:val="00526F48"/>
    <w:rsid w:val="0052705D"/>
    <w:rsid w:val="0052718A"/>
    <w:rsid w:val="00527AF9"/>
    <w:rsid w:val="00527B1C"/>
    <w:rsid w:val="00530F42"/>
    <w:rsid w:val="005318BC"/>
    <w:rsid w:val="0053200F"/>
    <w:rsid w:val="0053242C"/>
    <w:rsid w:val="00532A48"/>
    <w:rsid w:val="005335B3"/>
    <w:rsid w:val="00533729"/>
    <w:rsid w:val="00533887"/>
    <w:rsid w:val="00533B24"/>
    <w:rsid w:val="00533D32"/>
    <w:rsid w:val="0053463C"/>
    <w:rsid w:val="00535978"/>
    <w:rsid w:val="005360F7"/>
    <w:rsid w:val="005374F0"/>
    <w:rsid w:val="00537FB1"/>
    <w:rsid w:val="00540249"/>
    <w:rsid w:val="0054113F"/>
    <w:rsid w:val="00541DCE"/>
    <w:rsid w:val="005433C4"/>
    <w:rsid w:val="0054386D"/>
    <w:rsid w:val="005438AF"/>
    <w:rsid w:val="00543B95"/>
    <w:rsid w:val="0054476A"/>
    <w:rsid w:val="00545101"/>
    <w:rsid w:val="00545823"/>
    <w:rsid w:val="0054620A"/>
    <w:rsid w:val="0054634B"/>
    <w:rsid w:val="00546789"/>
    <w:rsid w:val="005467AE"/>
    <w:rsid w:val="00546A49"/>
    <w:rsid w:val="0054782A"/>
    <w:rsid w:val="005478F8"/>
    <w:rsid w:val="005500E3"/>
    <w:rsid w:val="005505F3"/>
    <w:rsid w:val="00551AFE"/>
    <w:rsid w:val="0055250E"/>
    <w:rsid w:val="00553093"/>
    <w:rsid w:val="005530D1"/>
    <w:rsid w:val="00553C5F"/>
    <w:rsid w:val="00554514"/>
    <w:rsid w:val="00554F6B"/>
    <w:rsid w:val="005550C5"/>
    <w:rsid w:val="005559A2"/>
    <w:rsid w:val="00556510"/>
    <w:rsid w:val="005565FB"/>
    <w:rsid w:val="005567D3"/>
    <w:rsid w:val="00557B75"/>
    <w:rsid w:val="00557DC5"/>
    <w:rsid w:val="00560D90"/>
    <w:rsid w:val="005611FA"/>
    <w:rsid w:val="00561EF4"/>
    <w:rsid w:val="005620E9"/>
    <w:rsid w:val="00562146"/>
    <w:rsid w:val="00562E00"/>
    <w:rsid w:val="0056319C"/>
    <w:rsid w:val="00564187"/>
    <w:rsid w:val="005659B1"/>
    <w:rsid w:val="005661C0"/>
    <w:rsid w:val="005665CE"/>
    <w:rsid w:val="00566B0A"/>
    <w:rsid w:val="00567691"/>
    <w:rsid w:val="00567A00"/>
    <w:rsid w:val="00567D67"/>
    <w:rsid w:val="0057004B"/>
    <w:rsid w:val="00570173"/>
    <w:rsid w:val="00570406"/>
    <w:rsid w:val="00570CE4"/>
    <w:rsid w:val="00572866"/>
    <w:rsid w:val="0057286C"/>
    <w:rsid w:val="00573115"/>
    <w:rsid w:val="00574B6B"/>
    <w:rsid w:val="00575616"/>
    <w:rsid w:val="00575E90"/>
    <w:rsid w:val="0058052B"/>
    <w:rsid w:val="00580755"/>
    <w:rsid w:val="005832F5"/>
    <w:rsid w:val="00583F5B"/>
    <w:rsid w:val="005842DC"/>
    <w:rsid w:val="005856E2"/>
    <w:rsid w:val="00585C42"/>
    <w:rsid w:val="00586215"/>
    <w:rsid w:val="005862BA"/>
    <w:rsid w:val="0058660E"/>
    <w:rsid w:val="00587372"/>
    <w:rsid w:val="00587BD5"/>
    <w:rsid w:val="00587BF3"/>
    <w:rsid w:val="00587CC1"/>
    <w:rsid w:val="00590644"/>
    <w:rsid w:val="00590F80"/>
    <w:rsid w:val="005920CF"/>
    <w:rsid w:val="005932E3"/>
    <w:rsid w:val="00593D61"/>
    <w:rsid w:val="0059416E"/>
    <w:rsid w:val="00594E95"/>
    <w:rsid w:val="00594F67"/>
    <w:rsid w:val="005950DB"/>
    <w:rsid w:val="0059537C"/>
    <w:rsid w:val="0059579A"/>
    <w:rsid w:val="0059644F"/>
    <w:rsid w:val="00596AFD"/>
    <w:rsid w:val="00596F45"/>
    <w:rsid w:val="005972E3"/>
    <w:rsid w:val="0059737D"/>
    <w:rsid w:val="00597406"/>
    <w:rsid w:val="005979C6"/>
    <w:rsid w:val="005A030D"/>
    <w:rsid w:val="005A18A3"/>
    <w:rsid w:val="005A1958"/>
    <w:rsid w:val="005A22E8"/>
    <w:rsid w:val="005A2FFD"/>
    <w:rsid w:val="005A3CF9"/>
    <w:rsid w:val="005A4477"/>
    <w:rsid w:val="005A468A"/>
    <w:rsid w:val="005A5DCA"/>
    <w:rsid w:val="005A5E91"/>
    <w:rsid w:val="005A5F35"/>
    <w:rsid w:val="005A5F65"/>
    <w:rsid w:val="005A695D"/>
    <w:rsid w:val="005A7F1C"/>
    <w:rsid w:val="005B19D6"/>
    <w:rsid w:val="005B2687"/>
    <w:rsid w:val="005B2BEF"/>
    <w:rsid w:val="005B2CD3"/>
    <w:rsid w:val="005B3746"/>
    <w:rsid w:val="005B5045"/>
    <w:rsid w:val="005B5E04"/>
    <w:rsid w:val="005B646A"/>
    <w:rsid w:val="005B670B"/>
    <w:rsid w:val="005B7142"/>
    <w:rsid w:val="005C0702"/>
    <w:rsid w:val="005C1621"/>
    <w:rsid w:val="005C1A54"/>
    <w:rsid w:val="005C2ADF"/>
    <w:rsid w:val="005C3337"/>
    <w:rsid w:val="005C422B"/>
    <w:rsid w:val="005C44D7"/>
    <w:rsid w:val="005C5103"/>
    <w:rsid w:val="005C5202"/>
    <w:rsid w:val="005C5CE1"/>
    <w:rsid w:val="005C5EB0"/>
    <w:rsid w:val="005C6023"/>
    <w:rsid w:val="005C7F50"/>
    <w:rsid w:val="005D00FA"/>
    <w:rsid w:val="005D1996"/>
    <w:rsid w:val="005D1FA5"/>
    <w:rsid w:val="005D26CF"/>
    <w:rsid w:val="005D2DD0"/>
    <w:rsid w:val="005D3A49"/>
    <w:rsid w:val="005D46C8"/>
    <w:rsid w:val="005D4EC6"/>
    <w:rsid w:val="005D54EC"/>
    <w:rsid w:val="005D593A"/>
    <w:rsid w:val="005D5EA7"/>
    <w:rsid w:val="005D6934"/>
    <w:rsid w:val="005D6FF3"/>
    <w:rsid w:val="005D75E3"/>
    <w:rsid w:val="005E02C6"/>
    <w:rsid w:val="005E1049"/>
    <w:rsid w:val="005E1298"/>
    <w:rsid w:val="005E1D35"/>
    <w:rsid w:val="005E2665"/>
    <w:rsid w:val="005E2AF0"/>
    <w:rsid w:val="005E35F3"/>
    <w:rsid w:val="005E3880"/>
    <w:rsid w:val="005E4031"/>
    <w:rsid w:val="005E4ADF"/>
    <w:rsid w:val="005E4E0A"/>
    <w:rsid w:val="005E6F2A"/>
    <w:rsid w:val="005E7EC7"/>
    <w:rsid w:val="005F0904"/>
    <w:rsid w:val="005F0B86"/>
    <w:rsid w:val="005F0E45"/>
    <w:rsid w:val="005F13EF"/>
    <w:rsid w:val="005F3565"/>
    <w:rsid w:val="005F3DC0"/>
    <w:rsid w:val="005F6540"/>
    <w:rsid w:val="005F66E7"/>
    <w:rsid w:val="005F7628"/>
    <w:rsid w:val="00600C46"/>
    <w:rsid w:val="00600F27"/>
    <w:rsid w:val="0060158A"/>
    <w:rsid w:val="00601C2A"/>
    <w:rsid w:val="006020A2"/>
    <w:rsid w:val="006022D9"/>
    <w:rsid w:val="00602832"/>
    <w:rsid w:val="00603AF2"/>
    <w:rsid w:val="00604EFB"/>
    <w:rsid w:val="00605D29"/>
    <w:rsid w:val="00605D53"/>
    <w:rsid w:val="00606A8A"/>
    <w:rsid w:val="00606F0A"/>
    <w:rsid w:val="006078ED"/>
    <w:rsid w:val="0061061C"/>
    <w:rsid w:val="00612116"/>
    <w:rsid w:val="00612B18"/>
    <w:rsid w:val="00612B48"/>
    <w:rsid w:val="00613C3B"/>
    <w:rsid w:val="00613F13"/>
    <w:rsid w:val="006146E5"/>
    <w:rsid w:val="0061491D"/>
    <w:rsid w:val="00614C0A"/>
    <w:rsid w:val="006150D5"/>
    <w:rsid w:val="0061569B"/>
    <w:rsid w:val="00615A9B"/>
    <w:rsid w:val="0061624B"/>
    <w:rsid w:val="006166B9"/>
    <w:rsid w:val="00616BE7"/>
    <w:rsid w:val="00617530"/>
    <w:rsid w:val="00617A7C"/>
    <w:rsid w:val="006215A5"/>
    <w:rsid w:val="006215C0"/>
    <w:rsid w:val="0062166E"/>
    <w:rsid w:val="0062248A"/>
    <w:rsid w:val="00623206"/>
    <w:rsid w:val="00623513"/>
    <w:rsid w:val="00624A96"/>
    <w:rsid w:val="0062615A"/>
    <w:rsid w:val="006264B8"/>
    <w:rsid w:val="00631653"/>
    <w:rsid w:val="00632136"/>
    <w:rsid w:val="006328DB"/>
    <w:rsid w:val="00632B02"/>
    <w:rsid w:val="00634595"/>
    <w:rsid w:val="00634A53"/>
    <w:rsid w:val="00634FA8"/>
    <w:rsid w:val="0063651C"/>
    <w:rsid w:val="00636F4E"/>
    <w:rsid w:val="00636FAF"/>
    <w:rsid w:val="00637B8C"/>
    <w:rsid w:val="00637F79"/>
    <w:rsid w:val="0064002F"/>
    <w:rsid w:val="0064092E"/>
    <w:rsid w:val="00640C8E"/>
    <w:rsid w:val="00641134"/>
    <w:rsid w:val="0064235B"/>
    <w:rsid w:val="00642DF3"/>
    <w:rsid w:val="0064302D"/>
    <w:rsid w:val="00643124"/>
    <w:rsid w:val="00643835"/>
    <w:rsid w:val="00644792"/>
    <w:rsid w:val="00644902"/>
    <w:rsid w:val="0064632E"/>
    <w:rsid w:val="0064779B"/>
    <w:rsid w:val="00647BA9"/>
    <w:rsid w:val="00647F6F"/>
    <w:rsid w:val="0065106F"/>
    <w:rsid w:val="006516A6"/>
    <w:rsid w:val="00651A54"/>
    <w:rsid w:val="00651F84"/>
    <w:rsid w:val="00652CCE"/>
    <w:rsid w:val="006532A3"/>
    <w:rsid w:val="006534DF"/>
    <w:rsid w:val="0065371B"/>
    <w:rsid w:val="00655D92"/>
    <w:rsid w:val="0065692C"/>
    <w:rsid w:val="00657101"/>
    <w:rsid w:val="006571AB"/>
    <w:rsid w:val="00657499"/>
    <w:rsid w:val="00660781"/>
    <w:rsid w:val="00660EC3"/>
    <w:rsid w:val="006613AD"/>
    <w:rsid w:val="00661706"/>
    <w:rsid w:val="00661794"/>
    <w:rsid w:val="0066431E"/>
    <w:rsid w:val="00666B6F"/>
    <w:rsid w:val="00666F64"/>
    <w:rsid w:val="006702E0"/>
    <w:rsid w:val="00670EE4"/>
    <w:rsid w:val="00671285"/>
    <w:rsid w:val="00671BB3"/>
    <w:rsid w:val="00671C1F"/>
    <w:rsid w:val="006721F4"/>
    <w:rsid w:val="006734FA"/>
    <w:rsid w:val="0067362C"/>
    <w:rsid w:val="00674CE5"/>
    <w:rsid w:val="0067647F"/>
    <w:rsid w:val="00676B8F"/>
    <w:rsid w:val="00677745"/>
    <w:rsid w:val="00680173"/>
    <w:rsid w:val="00681D5D"/>
    <w:rsid w:val="006829E6"/>
    <w:rsid w:val="00682D3F"/>
    <w:rsid w:val="00683220"/>
    <w:rsid w:val="00683953"/>
    <w:rsid w:val="006840C9"/>
    <w:rsid w:val="0068436C"/>
    <w:rsid w:val="00685869"/>
    <w:rsid w:val="00685EB7"/>
    <w:rsid w:val="00685FDF"/>
    <w:rsid w:val="006861D1"/>
    <w:rsid w:val="00686675"/>
    <w:rsid w:val="00687433"/>
    <w:rsid w:val="00687472"/>
    <w:rsid w:val="00687713"/>
    <w:rsid w:val="00691082"/>
    <w:rsid w:val="006912E0"/>
    <w:rsid w:val="006920D8"/>
    <w:rsid w:val="006922CD"/>
    <w:rsid w:val="006929BE"/>
    <w:rsid w:val="00693F48"/>
    <w:rsid w:val="006940BB"/>
    <w:rsid w:val="00694181"/>
    <w:rsid w:val="006953AD"/>
    <w:rsid w:val="00695B2C"/>
    <w:rsid w:val="00696CAD"/>
    <w:rsid w:val="0069764E"/>
    <w:rsid w:val="006976A2"/>
    <w:rsid w:val="006A0429"/>
    <w:rsid w:val="006A26A8"/>
    <w:rsid w:val="006A2E68"/>
    <w:rsid w:val="006A2E9B"/>
    <w:rsid w:val="006A3A0E"/>
    <w:rsid w:val="006A58C5"/>
    <w:rsid w:val="006A5C51"/>
    <w:rsid w:val="006A6B02"/>
    <w:rsid w:val="006A7329"/>
    <w:rsid w:val="006A7841"/>
    <w:rsid w:val="006B03FE"/>
    <w:rsid w:val="006B0A37"/>
    <w:rsid w:val="006B1280"/>
    <w:rsid w:val="006B16E2"/>
    <w:rsid w:val="006B1802"/>
    <w:rsid w:val="006B1950"/>
    <w:rsid w:val="006B1AB5"/>
    <w:rsid w:val="006B29AA"/>
    <w:rsid w:val="006B2A3C"/>
    <w:rsid w:val="006B2CEF"/>
    <w:rsid w:val="006B3A64"/>
    <w:rsid w:val="006B4102"/>
    <w:rsid w:val="006B473D"/>
    <w:rsid w:val="006B4921"/>
    <w:rsid w:val="006B6588"/>
    <w:rsid w:val="006B6A4A"/>
    <w:rsid w:val="006B7CC5"/>
    <w:rsid w:val="006C0CC8"/>
    <w:rsid w:val="006C10C3"/>
    <w:rsid w:val="006C1D3E"/>
    <w:rsid w:val="006C23F1"/>
    <w:rsid w:val="006C38E2"/>
    <w:rsid w:val="006C426F"/>
    <w:rsid w:val="006C42B5"/>
    <w:rsid w:val="006C47BC"/>
    <w:rsid w:val="006C56B9"/>
    <w:rsid w:val="006C57DB"/>
    <w:rsid w:val="006C5991"/>
    <w:rsid w:val="006C5BF4"/>
    <w:rsid w:val="006C5FFC"/>
    <w:rsid w:val="006C64B4"/>
    <w:rsid w:val="006C75E4"/>
    <w:rsid w:val="006C7A8E"/>
    <w:rsid w:val="006D0228"/>
    <w:rsid w:val="006D0A58"/>
    <w:rsid w:val="006D1696"/>
    <w:rsid w:val="006D2051"/>
    <w:rsid w:val="006D2550"/>
    <w:rsid w:val="006D2593"/>
    <w:rsid w:val="006D2808"/>
    <w:rsid w:val="006D2DA7"/>
    <w:rsid w:val="006D2EC9"/>
    <w:rsid w:val="006D304D"/>
    <w:rsid w:val="006D47BF"/>
    <w:rsid w:val="006D4D3F"/>
    <w:rsid w:val="006D4D7F"/>
    <w:rsid w:val="006D5356"/>
    <w:rsid w:val="006D5AF4"/>
    <w:rsid w:val="006D5DF1"/>
    <w:rsid w:val="006D721D"/>
    <w:rsid w:val="006D7919"/>
    <w:rsid w:val="006D7EA8"/>
    <w:rsid w:val="006E2DEE"/>
    <w:rsid w:val="006E3073"/>
    <w:rsid w:val="006E36D2"/>
    <w:rsid w:val="006E41BB"/>
    <w:rsid w:val="006E4BAF"/>
    <w:rsid w:val="006E5244"/>
    <w:rsid w:val="006E563F"/>
    <w:rsid w:val="006E5A8E"/>
    <w:rsid w:val="006E5B05"/>
    <w:rsid w:val="006E5DD0"/>
    <w:rsid w:val="006E633F"/>
    <w:rsid w:val="006E6728"/>
    <w:rsid w:val="006E7680"/>
    <w:rsid w:val="006E7B69"/>
    <w:rsid w:val="006E7FEC"/>
    <w:rsid w:val="006F0017"/>
    <w:rsid w:val="006F1627"/>
    <w:rsid w:val="006F2230"/>
    <w:rsid w:val="006F2CF3"/>
    <w:rsid w:val="006F2D53"/>
    <w:rsid w:val="006F35E1"/>
    <w:rsid w:val="006F4158"/>
    <w:rsid w:val="006F7173"/>
    <w:rsid w:val="006F7BF1"/>
    <w:rsid w:val="00701F59"/>
    <w:rsid w:val="007024B8"/>
    <w:rsid w:val="007025D9"/>
    <w:rsid w:val="007026B5"/>
    <w:rsid w:val="007027AC"/>
    <w:rsid w:val="00702971"/>
    <w:rsid w:val="0070345B"/>
    <w:rsid w:val="00704D46"/>
    <w:rsid w:val="00705C44"/>
    <w:rsid w:val="00705F83"/>
    <w:rsid w:val="00706450"/>
    <w:rsid w:val="007064DF"/>
    <w:rsid w:val="00706775"/>
    <w:rsid w:val="00706923"/>
    <w:rsid w:val="00707094"/>
    <w:rsid w:val="007101BB"/>
    <w:rsid w:val="0071096C"/>
    <w:rsid w:val="0071154D"/>
    <w:rsid w:val="00711D91"/>
    <w:rsid w:val="007121E6"/>
    <w:rsid w:val="00712245"/>
    <w:rsid w:val="00713E72"/>
    <w:rsid w:val="00713EA2"/>
    <w:rsid w:val="00714D33"/>
    <w:rsid w:val="00715196"/>
    <w:rsid w:val="007153C1"/>
    <w:rsid w:val="007159EB"/>
    <w:rsid w:val="00715FB0"/>
    <w:rsid w:val="00716290"/>
    <w:rsid w:val="00716591"/>
    <w:rsid w:val="00716B27"/>
    <w:rsid w:val="00716D51"/>
    <w:rsid w:val="0071704D"/>
    <w:rsid w:val="00717086"/>
    <w:rsid w:val="0071782B"/>
    <w:rsid w:val="00717843"/>
    <w:rsid w:val="00717E51"/>
    <w:rsid w:val="007204A2"/>
    <w:rsid w:val="00720585"/>
    <w:rsid w:val="007208F6"/>
    <w:rsid w:val="0072099F"/>
    <w:rsid w:val="00721A38"/>
    <w:rsid w:val="00721B04"/>
    <w:rsid w:val="00721BA9"/>
    <w:rsid w:val="00721FBC"/>
    <w:rsid w:val="00722A43"/>
    <w:rsid w:val="007232F0"/>
    <w:rsid w:val="007234EA"/>
    <w:rsid w:val="00724003"/>
    <w:rsid w:val="0072461E"/>
    <w:rsid w:val="00725153"/>
    <w:rsid w:val="007256A9"/>
    <w:rsid w:val="00725935"/>
    <w:rsid w:val="007272AE"/>
    <w:rsid w:val="00730FBA"/>
    <w:rsid w:val="007311CC"/>
    <w:rsid w:val="00731794"/>
    <w:rsid w:val="007317D9"/>
    <w:rsid w:val="0073182D"/>
    <w:rsid w:val="00733102"/>
    <w:rsid w:val="0073331A"/>
    <w:rsid w:val="00733907"/>
    <w:rsid w:val="00733B8B"/>
    <w:rsid w:val="00733DB7"/>
    <w:rsid w:val="007340C5"/>
    <w:rsid w:val="007344A4"/>
    <w:rsid w:val="00734717"/>
    <w:rsid w:val="007347D8"/>
    <w:rsid w:val="00735851"/>
    <w:rsid w:val="00736B85"/>
    <w:rsid w:val="00737048"/>
    <w:rsid w:val="00737D5F"/>
    <w:rsid w:val="00740373"/>
    <w:rsid w:val="00740460"/>
    <w:rsid w:val="00740D29"/>
    <w:rsid w:val="00741670"/>
    <w:rsid w:val="00741B26"/>
    <w:rsid w:val="00741B76"/>
    <w:rsid w:val="007425E2"/>
    <w:rsid w:val="00742817"/>
    <w:rsid w:val="00744439"/>
    <w:rsid w:val="00744F86"/>
    <w:rsid w:val="00746285"/>
    <w:rsid w:val="00750823"/>
    <w:rsid w:val="00750E49"/>
    <w:rsid w:val="007513B4"/>
    <w:rsid w:val="00751D36"/>
    <w:rsid w:val="00751E17"/>
    <w:rsid w:val="007525E1"/>
    <w:rsid w:val="00752698"/>
    <w:rsid w:val="00752D75"/>
    <w:rsid w:val="00752E72"/>
    <w:rsid w:val="00753710"/>
    <w:rsid w:val="00753ACD"/>
    <w:rsid w:val="00755541"/>
    <w:rsid w:val="007559DB"/>
    <w:rsid w:val="00755BFD"/>
    <w:rsid w:val="00755DA3"/>
    <w:rsid w:val="00755DC8"/>
    <w:rsid w:val="0075614A"/>
    <w:rsid w:val="0075745D"/>
    <w:rsid w:val="007600D9"/>
    <w:rsid w:val="007604AB"/>
    <w:rsid w:val="0076071B"/>
    <w:rsid w:val="0076081E"/>
    <w:rsid w:val="007609A2"/>
    <w:rsid w:val="007615BB"/>
    <w:rsid w:val="007618B5"/>
    <w:rsid w:val="00762B3A"/>
    <w:rsid w:val="00762C57"/>
    <w:rsid w:val="007630E7"/>
    <w:rsid w:val="0076310D"/>
    <w:rsid w:val="007635E0"/>
    <w:rsid w:val="007637B3"/>
    <w:rsid w:val="0076599E"/>
    <w:rsid w:val="00765A6D"/>
    <w:rsid w:val="00766F09"/>
    <w:rsid w:val="00767285"/>
    <w:rsid w:val="00767829"/>
    <w:rsid w:val="00770929"/>
    <w:rsid w:val="00770FC1"/>
    <w:rsid w:val="00771224"/>
    <w:rsid w:val="00771655"/>
    <w:rsid w:val="00771B7C"/>
    <w:rsid w:val="00771CA0"/>
    <w:rsid w:val="007726C8"/>
    <w:rsid w:val="0077275B"/>
    <w:rsid w:val="007741EC"/>
    <w:rsid w:val="00774825"/>
    <w:rsid w:val="007751B8"/>
    <w:rsid w:val="007754C6"/>
    <w:rsid w:val="00775E7E"/>
    <w:rsid w:val="007762A4"/>
    <w:rsid w:val="0077634C"/>
    <w:rsid w:val="007776D2"/>
    <w:rsid w:val="00780C82"/>
    <w:rsid w:val="00781B11"/>
    <w:rsid w:val="00781FBA"/>
    <w:rsid w:val="00782120"/>
    <w:rsid w:val="00782AAE"/>
    <w:rsid w:val="00784379"/>
    <w:rsid w:val="0078484A"/>
    <w:rsid w:val="0078532F"/>
    <w:rsid w:val="00785BC0"/>
    <w:rsid w:val="00787F25"/>
    <w:rsid w:val="00791D18"/>
    <w:rsid w:val="00791E5A"/>
    <w:rsid w:val="007921F4"/>
    <w:rsid w:val="00792F02"/>
    <w:rsid w:val="00793082"/>
    <w:rsid w:val="00793093"/>
    <w:rsid w:val="0079346C"/>
    <w:rsid w:val="00793C7B"/>
    <w:rsid w:val="00794F25"/>
    <w:rsid w:val="00795090"/>
    <w:rsid w:val="00795476"/>
    <w:rsid w:val="00795694"/>
    <w:rsid w:val="00795D5F"/>
    <w:rsid w:val="00795E39"/>
    <w:rsid w:val="00795FE8"/>
    <w:rsid w:val="0079679F"/>
    <w:rsid w:val="00796826"/>
    <w:rsid w:val="00797362"/>
    <w:rsid w:val="00797732"/>
    <w:rsid w:val="007979E5"/>
    <w:rsid w:val="007A01F9"/>
    <w:rsid w:val="007A0E16"/>
    <w:rsid w:val="007A1017"/>
    <w:rsid w:val="007A17EB"/>
    <w:rsid w:val="007A2B68"/>
    <w:rsid w:val="007A311B"/>
    <w:rsid w:val="007A3442"/>
    <w:rsid w:val="007A4304"/>
    <w:rsid w:val="007A43F2"/>
    <w:rsid w:val="007A4AD7"/>
    <w:rsid w:val="007A522F"/>
    <w:rsid w:val="007A552F"/>
    <w:rsid w:val="007A56A9"/>
    <w:rsid w:val="007A59D3"/>
    <w:rsid w:val="007A5DB2"/>
    <w:rsid w:val="007A64D1"/>
    <w:rsid w:val="007A6C19"/>
    <w:rsid w:val="007A7452"/>
    <w:rsid w:val="007B0DBF"/>
    <w:rsid w:val="007B1390"/>
    <w:rsid w:val="007B1B8C"/>
    <w:rsid w:val="007B2012"/>
    <w:rsid w:val="007B2640"/>
    <w:rsid w:val="007B2EAC"/>
    <w:rsid w:val="007B3559"/>
    <w:rsid w:val="007B3812"/>
    <w:rsid w:val="007B3B16"/>
    <w:rsid w:val="007B3CEC"/>
    <w:rsid w:val="007B3DB0"/>
    <w:rsid w:val="007B3FCE"/>
    <w:rsid w:val="007B528C"/>
    <w:rsid w:val="007B52B9"/>
    <w:rsid w:val="007B5555"/>
    <w:rsid w:val="007B5623"/>
    <w:rsid w:val="007B687F"/>
    <w:rsid w:val="007B6DC2"/>
    <w:rsid w:val="007B7D61"/>
    <w:rsid w:val="007C05DD"/>
    <w:rsid w:val="007C0B0A"/>
    <w:rsid w:val="007C0BFE"/>
    <w:rsid w:val="007C2B70"/>
    <w:rsid w:val="007C30B4"/>
    <w:rsid w:val="007C346B"/>
    <w:rsid w:val="007C4332"/>
    <w:rsid w:val="007C4974"/>
    <w:rsid w:val="007C4CBA"/>
    <w:rsid w:val="007C507C"/>
    <w:rsid w:val="007C5AF0"/>
    <w:rsid w:val="007C619E"/>
    <w:rsid w:val="007C7174"/>
    <w:rsid w:val="007C739E"/>
    <w:rsid w:val="007C76FE"/>
    <w:rsid w:val="007C7FBD"/>
    <w:rsid w:val="007D0ED0"/>
    <w:rsid w:val="007D1597"/>
    <w:rsid w:val="007D2C68"/>
    <w:rsid w:val="007D3635"/>
    <w:rsid w:val="007D364B"/>
    <w:rsid w:val="007D4B21"/>
    <w:rsid w:val="007D5772"/>
    <w:rsid w:val="007D5D1F"/>
    <w:rsid w:val="007D5DDF"/>
    <w:rsid w:val="007D5F7E"/>
    <w:rsid w:val="007D60F1"/>
    <w:rsid w:val="007D6320"/>
    <w:rsid w:val="007D6601"/>
    <w:rsid w:val="007D6702"/>
    <w:rsid w:val="007D6A99"/>
    <w:rsid w:val="007E010C"/>
    <w:rsid w:val="007E1F10"/>
    <w:rsid w:val="007E2792"/>
    <w:rsid w:val="007E2D8F"/>
    <w:rsid w:val="007E334B"/>
    <w:rsid w:val="007E3445"/>
    <w:rsid w:val="007E34F3"/>
    <w:rsid w:val="007E4EC7"/>
    <w:rsid w:val="007E5637"/>
    <w:rsid w:val="007E5E62"/>
    <w:rsid w:val="007E6284"/>
    <w:rsid w:val="007E68F3"/>
    <w:rsid w:val="007E68F7"/>
    <w:rsid w:val="007E6A45"/>
    <w:rsid w:val="007E6A63"/>
    <w:rsid w:val="007E6BEB"/>
    <w:rsid w:val="007E6E26"/>
    <w:rsid w:val="007E79C7"/>
    <w:rsid w:val="007F0370"/>
    <w:rsid w:val="007F0498"/>
    <w:rsid w:val="007F0BBA"/>
    <w:rsid w:val="007F1EA0"/>
    <w:rsid w:val="007F1F2E"/>
    <w:rsid w:val="007F263E"/>
    <w:rsid w:val="007F3F95"/>
    <w:rsid w:val="007F4610"/>
    <w:rsid w:val="007F4B35"/>
    <w:rsid w:val="007F4F6B"/>
    <w:rsid w:val="007F545A"/>
    <w:rsid w:val="007F5968"/>
    <w:rsid w:val="007F5CF7"/>
    <w:rsid w:val="007F5DF6"/>
    <w:rsid w:val="007F6C4F"/>
    <w:rsid w:val="007F6C67"/>
    <w:rsid w:val="007F7108"/>
    <w:rsid w:val="007F725A"/>
    <w:rsid w:val="0080166E"/>
    <w:rsid w:val="008019F7"/>
    <w:rsid w:val="00801CE5"/>
    <w:rsid w:val="00802944"/>
    <w:rsid w:val="00802A54"/>
    <w:rsid w:val="00804323"/>
    <w:rsid w:val="0080449E"/>
    <w:rsid w:val="008048AE"/>
    <w:rsid w:val="00805266"/>
    <w:rsid w:val="0080631E"/>
    <w:rsid w:val="00806741"/>
    <w:rsid w:val="008075DC"/>
    <w:rsid w:val="00810241"/>
    <w:rsid w:val="00810C48"/>
    <w:rsid w:val="00811DB9"/>
    <w:rsid w:val="008120DB"/>
    <w:rsid w:val="00812C9B"/>
    <w:rsid w:val="0081357F"/>
    <w:rsid w:val="008139A2"/>
    <w:rsid w:val="00814967"/>
    <w:rsid w:val="00814BB9"/>
    <w:rsid w:val="00814D9F"/>
    <w:rsid w:val="008151FF"/>
    <w:rsid w:val="0081534D"/>
    <w:rsid w:val="00815F02"/>
    <w:rsid w:val="00815F6B"/>
    <w:rsid w:val="00817053"/>
    <w:rsid w:val="0081717B"/>
    <w:rsid w:val="0081742C"/>
    <w:rsid w:val="0082051D"/>
    <w:rsid w:val="00820751"/>
    <w:rsid w:val="008215F5"/>
    <w:rsid w:val="00822C35"/>
    <w:rsid w:val="00822CC5"/>
    <w:rsid w:val="008234E6"/>
    <w:rsid w:val="00823F34"/>
    <w:rsid w:val="00824059"/>
    <w:rsid w:val="00824072"/>
    <w:rsid w:val="0082422D"/>
    <w:rsid w:val="00824464"/>
    <w:rsid w:val="00825E74"/>
    <w:rsid w:val="00826C01"/>
    <w:rsid w:val="00827E36"/>
    <w:rsid w:val="00831911"/>
    <w:rsid w:val="00831D65"/>
    <w:rsid w:val="00831DF6"/>
    <w:rsid w:val="00831EC3"/>
    <w:rsid w:val="008329F8"/>
    <w:rsid w:val="008344C9"/>
    <w:rsid w:val="00835A87"/>
    <w:rsid w:val="00836191"/>
    <w:rsid w:val="0083639A"/>
    <w:rsid w:val="0083658A"/>
    <w:rsid w:val="00837154"/>
    <w:rsid w:val="008375A6"/>
    <w:rsid w:val="00837603"/>
    <w:rsid w:val="008376A0"/>
    <w:rsid w:val="008407BD"/>
    <w:rsid w:val="008407F2"/>
    <w:rsid w:val="00841AA8"/>
    <w:rsid w:val="00842051"/>
    <w:rsid w:val="008428A3"/>
    <w:rsid w:val="00842957"/>
    <w:rsid w:val="008436AB"/>
    <w:rsid w:val="00843CD9"/>
    <w:rsid w:val="00843D47"/>
    <w:rsid w:val="00844861"/>
    <w:rsid w:val="00844BDE"/>
    <w:rsid w:val="008455AD"/>
    <w:rsid w:val="00845736"/>
    <w:rsid w:val="00845C62"/>
    <w:rsid w:val="00845CDE"/>
    <w:rsid w:val="008461D7"/>
    <w:rsid w:val="00846D35"/>
    <w:rsid w:val="00846E9E"/>
    <w:rsid w:val="008470B6"/>
    <w:rsid w:val="008473B1"/>
    <w:rsid w:val="0084769B"/>
    <w:rsid w:val="00847DE1"/>
    <w:rsid w:val="00847E06"/>
    <w:rsid w:val="008514E5"/>
    <w:rsid w:val="00852DED"/>
    <w:rsid w:val="0085423C"/>
    <w:rsid w:val="00854624"/>
    <w:rsid w:val="0085516C"/>
    <w:rsid w:val="0085582B"/>
    <w:rsid w:val="00855CA0"/>
    <w:rsid w:val="00856183"/>
    <w:rsid w:val="008564A5"/>
    <w:rsid w:val="008574CC"/>
    <w:rsid w:val="00857B65"/>
    <w:rsid w:val="00860170"/>
    <w:rsid w:val="0086035C"/>
    <w:rsid w:val="008608A5"/>
    <w:rsid w:val="00860C62"/>
    <w:rsid w:val="00861232"/>
    <w:rsid w:val="008612B8"/>
    <w:rsid w:val="0086187F"/>
    <w:rsid w:val="008628D3"/>
    <w:rsid w:val="00862B7C"/>
    <w:rsid w:val="00862F65"/>
    <w:rsid w:val="008637C9"/>
    <w:rsid w:val="00863AEC"/>
    <w:rsid w:val="008643E0"/>
    <w:rsid w:val="008653D0"/>
    <w:rsid w:val="0086787C"/>
    <w:rsid w:val="008679A9"/>
    <w:rsid w:val="00867B5E"/>
    <w:rsid w:val="00867B71"/>
    <w:rsid w:val="00867CCA"/>
    <w:rsid w:val="0087048F"/>
    <w:rsid w:val="00870708"/>
    <w:rsid w:val="0087088E"/>
    <w:rsid w:val="00870CE8"/>
    <w:rsid w:val="008716A1"/>
    <w:rsid w:val="0087289E"/>
    <w:rsid w:val="008738BD"/>
    <w:rsid w:val="00875201"/>
    <w:rsid w:val="00876603"/>
    <w:rsid w:val="00876E30"/>
    <w:rsid w:val="00877729"/>
    <w:rsid w:val="00880398"/>
    <w:rsid w:val="0088071C"/>
    <w:rsid w:val="00880A49"/>
    <w:rsid w:val="00880CE0"/>
    <w:rsid w:val="00881CCE"/>
    <w:rsid w:val="00881EF1"/>
    <w:rsid w:val="008820AF"/>
    <w:rsid w:val="0088241C"/>
    <w:rsid w:val="008860ED"/>
    <w:rsid w:val="008864A9"/>
    <w:rsid w:val="00887314"/>
    <w:rsid w:val="00887592"/>
    <w:rsid w:val="008877DA"/>
    <w:rsid w:val="00887802"/>
    <w:rsid w:val="00890A35"/>
    <w:rsid w:val="008910D6"/>
    <w:rsid w:val="008910EC"/>
    <w:rsid w:val="008911F2"/>
    <w:rsid w:val="00891391"/>
    <w:rsid w:val="008924F9"/>
    <w:rsid w:val="008925D5"/>
    <w:rsid w:val="008928EB"/>
    <w:rsid w:val="008932DB"/>
    <w:rsid w:val="0089358D"/>
    <w:rsid w:val="008937DF"/>
    <w:rsid w:val="008942C0"/>
    <w:rsid w:val="008959A1"/>
    <w:rsid w:val="00895A8C"/>
    <w:rsid w:val="00896AB6"/>
    <w:rsid w:val="00896BED"/>
    <w:rsid w:val="00897D20"/>
    <w:rsid w:val="008A0EE9"/>
    <w:rsid w:val="008A2265"/>
    <w:rsid w:val="008A23E5"/>
    <w:rsid w:val="008A24E1"/>
    <w:rsid w:val="008A2CBC"/>
    <w:rsid w:val="008A2EDA"/>
    <w:rsid w:val="008A43C7"/>
    <w:rsid w:val="008A43DE"/>
    <w:rsid w:val="008A4712"/>
    <w:rsid w:val="008A564D"/>
    <w:rsid w:val="008A5A47"/>
    <w:rsid w:val="008A5AE4"/>
    <w:rsid w:val="008A6343"/>
    <w:rsid w:val="008A7D12"/>
    <w:rsid w:val="008B0686"/>
    <w:rsid w:val="008B0FAE"/>
    <w:rsid w:val="008B119F"/>
    <w:rsid w:val="008B1C95"/>
    <w:rsid w:val="008B1D66"/>
    <w:rsid w:val="008B1FC7"/>
    <w:rsid w:val="008B2776"/>
    <w:rsid w:val="008B28CB"/>
    <w:rsid w:val="008B2F36"/>
    <w:rsid w:val="008B331F"/>
    <w:rsid w:val="008B3769"/>
    <w:rsid w:val="008B38B8"/>
    <w:rsid w:val="008B3B1D"/>
    <w:rsid w:val="008B435B"/>
    <w:rsid w:val="008B4E4E"/>
    <w:rsid w:val="008B50A4"/>
    <w:rsid w:val="008B7258"/>
    <w:rsid w:val="008B7B7F"/>
    <w:rsid w:val="008C03C4"/>
    <w:rsid w:val="008C0F32"/>
    <w:rsid w:val="008C19C8"/>
    <w:rsid w:val="008C1E10"/>
    <w:rsid w:val="008C1EB1"/>
    <w:rsid w:val="008C2321"/>
    <w:rsid w:val="008C303D"/>
    <w:rsid w:val="008C3107"/>
    <w:rsid w:val="008C36E9"/>
    <w:rsid w:val="008C3D77"/>
    <w:rsid w:val="008C4DA2"/>
    <w:rsid w:val="008C501F"/>
    <w:rsid w:val="008C56A0"/>
    <w:rsid w:val="008C5E55"/>
    <w:rsid w:val="008C6084"/>
    <w:rsid w:val="008C6A87"/>
    <w:rsid w:val="008C6F89"/>
    <w:rsid w:val="008C7077"/>
    <w:rsid w:val="008C7946"/>
    <w:rsid w:val="008D0841"/>
    <w:rsid w:val="008D15D6"/>
    <w:rsid w:val="008D25E9"/>
    <w:rsid w:val="008D2C4C"/>
    <w:rsid w:val="008D2CBC"/>
    <w:rsid w:val="008D3239"/>
    <w:rsid w:val="008D3ACE"/>
    <w:rsid w:val="008D4AC7"/>
    <w:rsid w:val="008D6231"/>
    <w:rsid w:val="008D64AB"/>
    <w:rsid w:val="008D6E24"/>
    <w:rsid w:val="008D75CD"/>
    <w:rsid w:val="008E124B"/>
    <w:rsid w:val="008E1E4B"/>
    <w:rsid w:val="008E27DD"/>
    <w:rsid w:val="008E34D8"/>
    <w:rsid w:val="008E3D18"/>
    <w:rsid w:val="008E3E06"/>
    <w:rsid w:val="008E3FC8"/>
    <w:rsid w:val="008E51D2"/>
    <w:rsid w:val="008E5A21"/>
    <w:rsid w:val="008E6024"/>
    <w:rsid w:val="008E64A9"/>
    <w:rsid w:val="008E7098"/>
    <w:rsid w:val="008E774F"/>
    <w:rsid w:val="008E7F1D"/>
    <w:rsid w:val="008F0052"/>
    <w:rsid w:val="008F1221"/>
    <w:rsid w:val="008F24EB"/>
    <w:rsid w:val="008F2AD3"/>
    <w:rsid w:val="008F3F91"/>
    <w:rsid w:val="008F49B8"/>
    <w:rsid w:val="008F5408"/>
    <w:rsid w:val="008F5C8E"/>
    <w:rsid w:val="008F5FB1"/>
    <w:rsid w:val="008F65B1"/>
    <w:rsid w:val="008F7361"/>
    <w:rsid w:val="008F7386"/>
    <w:rsid w:val="008F7576"/>
    <w:rsid w:val="008F794C"/>
    <w:rsid w:val="00900301"/>
    <w:rsid w:val="009004AD"/>
    <w:rsid w:val="009007D6"/>
    <w:rsid w:val="0090091D"/>
    <w:rsid w:val="00900A88"/>
    <w:rsid w:val="00901235"/>
    <w:rsid w:val="00901BBB"/>
    <w:rsid w:val="009024C4"/>
    <w:rsid w:val="009036A0"/>
    <w:rsid w:val="009048C3"/>
    <w:rsid w:val="009057D4"/>
    <w:rsid w:val="00905D2C"/>
    <w:rsid w:val="00906457"/>
    <w:rsid w:val="00906826"/>
    <w:rsid w:val="00906E56"/>
    <w:rsid w:val="00907CE4"/>
    <w:rsid w:val="0091047B"/>
    <w:rsid w:val="00910ED3"/>
    <w:rsid w:val="00911064"/>
    <w:rsid w:val="00911127"/>
    <w:rsid w:val="00911926"/>
    <w:rsid w:val="00913492"/>
    <w:rsid w:val="00913786"/>
    <w:rsid w:val="009138A9"/>
    <w:rsid w:val="00914F0D"/>
    <w:rsid w:val="0091528A"/>
    <w:rsid w:val="00915CD5"/>
    <w:rsid w:val="009161DF"/>
    <w:rsid w:val="00916511"/>
    <w:rsid w:val="009166D7"/>
    <w:rsid w:val="009169F9"/>
    <w:rsid w:val="00917892"/>
    <w:rsid w:val="00917F66"/>
    <w:rsid w:val="00920481"/>
    <w:rsid w:val="009205E1"/>
    <w:rsid w:val="0092101C"/>
    <w:rsid w:val="00921232"/>
    <w:rsid w:val="00921746"/>
    <w:rsid w:val="009227BF"/>
    <w:rsid w:val="00923AAA"/>
    <w:rsid w:val="00923C4E"/>
    <w:rsid w:val="00924161"/>
    <w:rsid w:val="00924D04"/>
    <w:rsid w:val="00924EE7"/>
    <w:rsid w:val="009258D9"/>
    <w:rsid w:val="0092609A"/>
    <w:rsid w:val="00926537"/>
    <w:rsid w:val="00926F3B"/>
    <w:rsid w:val="0092712E"/>
    <w:rsid w:val="0092761E"/>
    <w:rsid w:val="00930023"/>
    <w:rsid w:val="00930B6D"/>
    <w:rsid w:val="00930C39"/>
    <w:rsid w:val="00930EAA"/>
    <w:rsid w:val="009319C0"/>
    <w:rsid w:val="00931CEB"/>
    <w:rsid w:val="00931DF4"/>
    <w:rsid w:val="00933329"/>
    <w:rsid w:val="00933499"/>
    <w:rsid w:val="00933E21"/>
    <w:rsid w:val="00935441"/>
    <w:rsid w:val="00935C9D"/>
    <w:rsid w:val="00935D36"/>
    <w:rsid w:val="00936751"/>
    <w:rsid w:val="00937217"/>
    <w:rsid w:val="00937A9C"/>
    <w:rsid w:val="00937EB7"/>
    <w:rsid w:val="0094063D"/>
    <w:rsid w:val="0094068B"/>
    <w:rsid w:val="009409C9"/>
    <w:rsid w:val="00940C6B"/>
    <w:rsid w:val="009412F0"/>
    <w:rsid w:val="00941449"/>
    <w:rsid w:val="009414CC"/>
    <w:rsid w:val="00941662"/>
    <w:rsid w:val="00941902"/>
    <w:rsid w:val="00942109"/>
    <w:rsid w:val="009425E9"/>
    <w:rsid w:val="00943238"/>
    <w:rsid w:val="009439B8"/>
    <w:rsid w:val="00944303"/>
    <w:rsid w:val="00944D55"/>
    <w:rsid w:val="009456FC"/>
    <w:rsid w:val="00945E34"/>
    <w:rsid w:val="00946B68"/>
    <w:rsid w:val="00947401"/>
    <w:rsid w:val="0094772F"/>
    <w:rsid w:val="00947AD7"/>
    <w:rsid w:val="00947F44"/>
    <w:rsid w:val="0095050B"/>
    <w:rsid w:val="009508D7"/>
    <w:rsid w:val="009509E0"/>
    <w:rsid w:val="00950E9D"/>
    <w:rsid w:val="00952090"/>
    <w:rsid w:val="00953324"/>
    <w:rsid w:val="0095344E"/>
    <w:rsid w:val="00953D61"/>
    <w:rsid w:val="00953E98"/>
    <w:rsid w:val="00954C81"/>
    <w:rsid w:val="00956277"/>
    <w:rsid w:val="0095655F"/>
    <w:rsid w:val="0095729E"/>
    <w:rsid w:val="009626DC"/>
    <w:rsid w:val="00962C67"/>
    <w:rsid w:val="00963059"/>
    <w:rsid w:val="009630FC"/>
    <w:rsid w:val="00963152"/>
    <w:rsid w:val="009638DA"/>
    <w:rsid w:val="00964323"/>
    <w:rsid w:val="009655DB"/>
    <w:rsid w:val="00965FC5"/>
    <w:rsid w:val="00972402"/>
    <w:rsid w:val="00972627"/>
    <w:rsid w:val="0097280A"/>
    <w:rsid w:val="00972E6F"/>
    <w:rsid w:val="00972FA4"/>
    <w:rsid w:val="00973B83"/>
    <w:rsid w:val="009741A7"/>
    <w:rsid w:val="00974DC7"/>
    <w:rsid w:val="00974F31"/>
    <w:rsid w:val="00976F6D"/>
    <w:rsid w:val="00977870"/>
    <w:rsid w:val="00980206"/>
    <w:rsid w:val="009803BF"/>
    <w:rsid w:val="00981140"/>
    <w:rsid w:val="00983A5F"/>
    <w:rsid w:val="00983B3A"/>
    <w:rsid w:val="00985DF8"/>
    <w:rsid w:val="009873D4"/>
    <w:rsid w:val="0098750C"/>
    <w:rsid w:val="00987515"/>
    <w:rsid w:val="0098766E"/>
    <w:rsid w:val="009877CF"/>
    <w:rsid w:val="0099007C"/>
    <w:rsid w:val="00990E11"/>
    <w:rsid w:val="00991251"/>
    <w:rsid w:val="009922E3"/>
    <w:rsid w:val="0099334A"/>
    <w:rsid w:val="00993D77"/>
    <w:rsid w:val="009943AE"/>
    <w:rsid w:val="00996659"/>
    <w:rsid w:val="009966E7"/>
    <w:rsid w:val="009968F7"/>
    <w:rsid w:val="009A0866"/>
    <w:rsid w:val="009A1013"/>
    <w:rsid w:val="009A469E"/>
    <w:rsid w:val="009A563F"/>
    <w:rsid w:val="009A6BDF"/>
    <w:rsid w:val="009A7DF7"/>
    <w:rsid w:val="009B00D2"/>
    <w:rsid w:val="009B0486"/>
    <w:rsid w:val="009B1E2C"/>
    <w:rsid w:val="009B29AE"/>
    <w:rsid w:val="009B3007"/>
    <w:rsid w:val="009B3446"/>
    <w:rsid w:val="009B3470"/>
    <w:rsid w:val="009B36AE"/>
    <w:rsid w:val="009B427E"/>
    <w:rsid w:val="009B4828"/>
    <w:rsid w:val="009B4991"/>
    <w:rsid w:val="009B6F1C"/>
    <w:rsid w:val="009B6F3A"/>
    <w:rsid w:val="009B729D"/>
    <w:rsid w:val="009B7959"/>
    <w:rsid w:val="009C02BE"/>
    <w:rsid w:val="009C0391"/>
    <w:rsid w:val="009C2175"/>
    <w:rsid w:val="009C2245"/>
    <w:rsid w:val="009C266D"/>
    <w:rsid w:val="009C2D92"/>
    <w:rsid w:val="009C2DDE"/>
    <w:rsid w:val="009C2F86"/>
    <w:rsid w:val="009C36D3"/>
    <w:rsid w:val="009C46F8"/>
    <w:rsid w:val="009C5452"/>
    <w:rsid w:val="009C65F7"/>
    <w:rsid w:val="009C73C3"/>
    <w:rsid w:val="009C7AA4"/>
    <w:rsid w:val="009C7AB9"/>
    <w:rsid w:val="009C7E1D"/>
    <w:rsid w:val="009C7FF9"/>
    <w:rsid w:val="009D0624"/>
    <w:rsid w:val="009D0E9C"/>
    <w:rsid w:val="009D1FCE"/>
    <w:rsid w:val="009D20FD"/>
    <w:rsid w:val="009D2104"/>
    <w:rsid w:val="009D2506"/>
    <w:rsid w:val="009D251F"/>
    <w:rsid w:val="009D277C"/>
    <w:rsid w:val="009D2A89"/>
    <w:rsid w:val="009D30C2"/>
    <w:rsid w:val="009D3541"/>
    <w:rsid w:val="009D3583"/>
    <w:rsid w:val="009D3CAB"/>
    <w:rsid w:val="009D4266"/>
    <w:rsid w:val="009D4758"/>
    <w:rsid w:val="009D54B5"/>
    <w:rsid w:val="009D599B"/>
    <w:rsid w:val="009D6E47"/>
    <w:rsid w:val="009D736D"/>
    <w:rsid w:val="009D79FF"/>
    <w:rsid w:val="009D7ECF"/>
    <w:rsid w:val="009E02F5"/>
    <w:rsid w:val="009E0534"/>
    <w:rsid w:val="009E18BB"/>
    <w:rsid w:val="009E33B6"/>
    <w:rsid w:val="009E3AFA"/>
    <w:rsid w:val="009E3DB6"/>
    <w:rsid w:val="009E4290"/>
    <w:rsid w:val="009E5B36"/>
    <w:rsid w:val="009E6874"/>
    <w:rsid w:val="009E6998"/>
    <w:rsid w:val="009E719A"/>
    <w:rsid w:val="009E7683"/>
    <w:rsid w:val="009F07EC"/>
    <w:rsid w:val="009F0B0B"/>
    <w:rsid w:val="009F0B81"/>
    <w:rsid w:val="009F20B0"/>
    <w:rsid w:val="009F2D21"/>
    <w:rsid w:val="009F2F00"/>
    <w:rsid w:val="009F3C01"/>
    <w:rsid w:val="009F4653"/>
    <w:rsid w:val="009F562B"/>
    <w:rsid w:val="009F6286"/>
    <w:rsid w:val="009F6AA2"/>
    <w:rsid w:val="009F78DA"/>
    <w:rsid w:val="009F7DC6"/>
    <w:rsid w:val="00A01735"/>
    <w:rsid w:val="00A018B5"/>
    <w:rsid w:val="00A01E95"/>
    <w:rsid w:val="00A02A90"/>
    <w:rsid w:val="00A02FED"/>
    <w:rsid w:val="00A032F4"/>
    <w:rsid w:val="00A04651"/>
    <w:rsid w:val="00A04786"/>
    <w:rsid w:val="00A0508E"/>
    <w:rsid w:val="00A0524C"/>
    <w:rsid w:val="00A0634B"/>
    <w:rsid w:val="00A066C2"/>
    <w:rsid w:val="00A074ED"/>
    <w:rsid w:val="00A07CEC"/>
    <w:rsid w:val="00A07FE4"/>
    <w:rsid w:val="00A1169F"/>
    <w:rsid w:val="00A12904"/>
    <w:rsid w:val="00A13728"/>
    <w:rsid w:val="00A14A17"/>
    <w:rsid w:val="00A153FC"/>
    <w:rsid w:val="00A1562E"/>
    <w:rsid w:val="00A160DB"/>
    <w:rsid w:val="00A16776"/>
    <w:rsid w:val="00A16ED0"/>
    <w:rsid w:val="00A17BAF"/>
    <w:rsid w:val="00A17C19"/>
    <w:rsid w:val="00A20AD4"/>
    <w:rsid w:val="00A20C87"/>
    <w:rsid w:val="00A2152E"/>
    <w:rsid w:val="00A21952"/>
    <w:rsid w:val="00A224E8"/>
    <w:rsid w:val="00A23180"/>
    <w:rsid w:val="00A233E3"/>
    <w:rsid w:val="00A25C8F"/>
    <w:rsid w:val="00A26873"/>
    <w:rsid w:val="00A27696"/>
    <w:rsid w:val="00A279AE"/>
    <w:rsid w:val="00A27AF1"/>
    <w:rsid w:val="00A27D87"/>
    <w:rsid w:val="00A3034B"/>
    <w:rsid w:val="00A30B63"/>
    <w:rsid w:val="00A32203"/>
    <w:rsid w:val="00A32D4E"/>
    <w:rsid w:val="00A3301B"/>
    <w:rsid w:val="00A334F4"/>
    <w:rsid w:val="00A336DF"/>
    <w:rsid w:val="00A34204"/>
    <w:rsid w:val="00A34734"/>
    <w:rsid w:val="00A34B92"/>
    <w:rsid w:val="00A34ED8"/>
    <w:rsid w:val="00A36821"/>
    <w:rsid w:val="00A405E3"/>
    <w:rsid w:val="00A408BB"/>
    <w:rsid w:val="00A41464"/>
    <w:rsid w:val="00A415F0"/>
    <w:rsid w:val="00A41624"/>
    <w:rsid w:val="00A41B8E"/>
    <w:rsid w:val="00A425BD"/>
    <w:rsid w:val="00A42E55"/>
    <w:rsid w:val="00A43345"/>
    <w:rsid w:val="00A455A9"/>
    <w:rsid w:val="00A466F5"/>
    <w:rsid w:val="00A468DA"/>
    <w:rsid w:val="00A46B44"/>
    <w:rsid w:val="00A46E2A"/>
    <w:rsid w:val="00A47E03"/>
    <w:rsid w:val="00A50BEE"/>
    <w:rsid w:val="00A537B1"/>
    <w:rsid w:val="00A54BD2"/>
    <w:rsid w:val="00A54CC5"/>
    <w:rsid w:val="00A54F64"/>
    <w:rsid w:val="00A5548D"/>
    <w:rsid w:val="00A55C03"/>
    <w:rsid w:val="00A5608C"/>
    <w:rsid w:val="00A5662F"/>
    <w:rsid w:val="00A56BB1"/>
    <w:rsid w:val="00A57EE4"/>
    <w:rsid w:val="00A6015B"/>
    <w:rsid w:val="00A63212"/>
    <w:rsid w:val="00A63445"/>
    <w:rsid w:val="00A639D2"/>
    <w:rsid w:val="00A63A42"/>
    <w:rsid w:val="00A63D99"/>
    <w:rsid w:val="00A64088"/>
    <w:rsid w:val="00A64948"/>
    <w:rsid w:val="00A65FDF"/>
    <w:rsid w:val="00A66654"/>
    <w:rsid w:val="00A66894"/>
    <w:rsid w:val="00A6785A"/>
    <w:rsid w:val="00A70D70"/>
    <w:rsid w:val="00A70EC9"/>
    <w:rsid w:val="00A7132A"/>
    <w:rsid w:val="00A71574"/>
    <w:rsid w:val="00A71842"/>
    <w:rsid w:val="00A72556"/>
    <w:rsid w:val="00A7323D"/>
    <w:rsid w:val="00A735A5"/>
    <w:rsid w:val="00A73F88"/>
    <w:rsid w:val="00A7496F"/>
    <w:rsid w:val="00A75337"/>
    <w:rsid w:val="00A75D3E"/>
    <w:rsid w:val="00A75DD1"/>
    <w:rsid w:val="00A75F29"/>
    <w:rsid w:val="00A76B86"/>
    <w:rsid w:val="00A77789"/>
    <w:rsid w:val="00A80835"/>
    <w:rsid w:val="00A80B1D"/>
    <w:rsid w:val="00A80B27"/>
    <w:rsid w:val="00A81205"/>
    <w:rsid w:val="00A814DD"/>
    <w:rsid w:val="00A815F6"/>
    <w:rsid w:val="00A817C3"/>
    <w:rsid w:val="00A819BC"/>
    <w:rsid w:val="00A81AB7"/>
    <w:rsid w:val="00A81B1A"/>
    <w:rsid w:val="00A82108"/>
    <w:rsid w:val="00A83DE7"/>
    <w:rsid w:val="00A84F36"/>
    <w:rsid w:val="00A854D1"/>
    <w:rsid w:val="00A866CF"/>
    <w:rsid w:val="00A866FE"/>
    <w:rsid w:val="00A86719"/>
    <w:rsid w:val="00A86BAD"/>
    <w:rsid w:val="00A877BD"/>
    <w:rsid w:val="00A903C4"/>
    <w:rsid w:val="00A909CB"/>
    <w:rsid w:val="00A9203A"/>
    <w:rsid w:val="00A92A87"/>
    <w:rsid w:val="00A934D6"/>
    <w:rsid w:val="00A936D5"/>
    <w:rsid w:val="00A93F98"/>
    <w:rsid w:val="00A94370"/>
    <w:rsid w:val="00A94D03"/>
    <w:rsid w:val="00A952D5"/>
    <w:rsid w:val="00A955A3"/>
    <w:rsid w:val="00A95F5F"/>
    <w:rsid w:val="00A97101"/>
    <w:rsid w:val="00A97967"/>
    <w:rsid w:val="00AA1BCB"/>
    <w:rsid w:val="00AA2B48"/>
    <w:rsid w:val="00AA4288"/>
    <w:rsid w:val="00AA4FBB"/>
    <w:rsid w:val="00AA6868"/>
    <w:rsid w:val="00AA6B04"/>
    <w:rsid w:val="00AA6CEE"/>
    <w:rsid w:val="00AA75D1"/>
    <w:rsid w:val="00AA7731"/>
    <w:rsid w:val="00AA7B8F"/>
    <w:rsid w:val="00AB01B7"/>
    <w:rsid w:val="00AB0208"/>
    <w:rsid w:val="00AB0DD7"/>
    <w:rsid w:val="00AB3113"/>
    <w:rsid w:val="00AB32B5"/>
    <w:rsid w:val="00AB345F"/>
    <w:rsid w:val="00AB350B"/>
    <w:rsid w:val="00AB52FE"/>
    <w:rsid w:val="00AB5CE9"/>
    <w:rsid w:val="00AB7118"/>
    <w:rsid w:val="00AB75AB"/>
    <w:rsid w:val="00AB7CDE"/>
    <w:rsid w:val="00AC0A2B"/>
    <w:rsid w:val="00AC13F4"/>
    <w:rsid w:val="00AC179C"/>
    <w:rsid w:val="00AC2550"/>
    <w:rsid w:val="00AC271F"/>
    <w:rsid w:val="00AC2D44"/>
    <w:rsid w:val="00AC335F"/>
    <w:rsid w:val="00AC414C"/>
    <w:rsid w:val="00AC41DB"/>
    <w:rsid w:val="00AC424D"/>
    <w:rsid w:val="00AC459D"/>
    <w:rsid w:val="00AC4C45"/>
    <w:rsid w:val="00AC52A7"/>
    <w:rsid w:val="00AC5C3A"/>
    <w:rsid w:val="00AC5C84"/>
    <w:rsid w:val="00AC5E88"/>
    <w:rsid w:val="00AC6164"/>
    <w:rsid w:val="00AD0A65"/>
    <w:rsid w:val="00AD1168"/>
    <w:rsid w:val="00AD1370"/>
    <w:rsid w:val="00AD1702"/>
    <w:rsid w:val="00AD24BE"/>
    <w:rsid w:val="00AD26AE"/>
    <w:rsid w:val="00AD27EE"/>
    <w:rsid w:val="00AD2BF5"/>
    <w:rsid w:val="00AD2C69"/>
    <w:rsid w:val="00AD3053"/>
    <w:rsid w:val="00AD30EE"/>
    <w:rsid w:val="00AD3658"/>
    <w:rsid w:val="00AD5A9C"/>
    <w:rsid w:val="00AD5DE7"/>
    <w:rsid w:val="00AD60A7"/>
    <w:rsid w:val="00AD66BE"/>
    <w:rsid w:val="00AD671A"/>
    <w:rsid w:val="00AD7E50"/>
    <w:rsid w:val="00AE03F6"/>
    <w:rsid w:val="00AE0478"/>
    <w:rsid w:val="00AE146D"/>
    <w:rsid w:val="00AE186A"/>
    <w:rsid w:val="00AE2218"/>
    <w:rsid w:val="00AE2906"/>
    <w:rsid w:val="00AE3AEC"/>
    <w:rsid w:val="00AE4247"/>
    <w:rsid w:val="00AE4911"/>
    <w:rsid w:val="00AE4B85"/>
    <w:rsid w:val="00AE5EF1"/>
    <w:rsid w:val="00AF0209"/>
    <w:rsid w:val="00AF058D"/>
    <w:rsid w:val="00AF06E0"/>
    <w:rsid w:val="00AF0DA7"/>
    <w:rsid w:val="00AF2EBE"/>
    <w:rsid w:val="00AF2F0F"/>
    <w:rsid w:val="00AF2FF3"/>
    <w:rsid w:val="00AF3EE7"/>
    <w:rsid w:val="00AF4549"/>
    <w:rsid w:val="00AF4710"/>
    <w:rsid w:val="00AF5180"/>
    <w:rsid w:val="00AF551F"/>
    <w:rsid w:val="00AF5A67"/>
    <w:rsid w:val="00AF61D7"/>
    <w:rsid w:val="00AF6228"/>
    <w:rsid w:val="00AF6302"/>
    <w:rsid w:val="00AF6819"/>
    <w:rsid w:val="00AF7989"/>
    <w:rsid w:val="00B00150"/>
    <w:rsid w:val="00B00296"/>
    <w:rsid w:val="00B009B7"/>
    <w:rsid w:val="00B02592"/>
    <w:rsid w:val="00B03FBC"/>
    <w:rsid w:val="00B05B13"/>
    <w:rsid w:val="00B05B2C"/>
    <w:rsid w:val="00B07670"/>
    <w:rsid w:val="00B101C1"/>
    <w:rsid w:val="00B1089F"/>
    <w:rsid w:val="00B10BEE"/>
    <w:rsid w:val="00B10C74"/>
    <w:rsid w:val="00B118BA"/>
    <w:rsid w:val="00B11CE8"/>
    <w:rsid w:val="00B123A8"/>
    <w:rsid w:val="00B12D34"/>
    <w:rsid w:val="00B133FF"/>
    <w:rsid w:val="00B13C04"/>
    <w:rsid w:val="00B13EED"/>
    <w:rsid w:val="00B13F2E"/>
    <w:rsid w:val="00B13F49"/>
    <w:rsid w:val="00B1448D"/>
    <w:rsid w:val="00B14741"/>
    <w:rsid w:val="00B14908"/>
    <w:rsid w:val="00B14AB6"/>
    <w:rsid w:val="00B1590E"/>
    <w:rsid w:val="00B16111"/>
    <w:rsid w:val="00B16482"/>
    <w:rsid w:val="00B164C8"/>
    <w:rsid w:val="00B172E0"/>
    <w:rsid w:val="00B174D9"/>
    <w:rsid w:val="00B20088"/>
    <w:rsid w:val="00B20395"/>
    <w:rsid w:val="00B20546"/>
    <w:rsid w:val="00B20C58"/>
    <w:rsid w:val="00B20E7C"/>
    <w:rsid w:val="00B210C9"/>
    <w:rsid w:val="00B21148"/>
    <w:rsid w:val="00B21529"/>
    <w:rsid w:val="00B21B44"/>
    <w:rsid w:val="00B228C4"/>
    <w:rsid w:val="00B22FE8"/>
    <w:rsid w:val="00B23179"/>
    <w:rsid w:val="00B23A77"/>
    <w:rsid w:val="00B25B75"/>
    <w:rsid w:val="00B25E85"/>
    <w:rsid w:val="00B2750A"/>
    <w:rsid w:val="00B27A13"/>
    <w:rsid w:val="00B3177E"/>
    <w:rsid w:val="00B31D48"/>
    <w:rsid w:val="00B31D50"/>
    <w:rsid w:val="00B320A5"/>
    <w:rsid w:val="00B32A13"/>
    <w:rsid w:val="00B331CA"/>
    <w:rsid w:val="00B33B6F"/>
    <w:rsid w:val="00B33E86"/>
    <w:rsid w:val="00B33FFE"/>
    <w:rsid w:val="00B3413B"/>
    <w:rsid w:val="00B344A1"/>
    <w:rsid w:val="00B35275"/>
    <w:rsid w:val="00B353BF"/>
    <w:rsid w:val="00B3670C"/>
    <w:rsid w:val="00B37AB5"/>
    <w:rsid w:val="00B37E95"/>
    <w:rsid w:val="00B37EFC"/>
    <w:rsid w:val="00B409DB"/>
    <w:rsid w:val="00B41E39"/>
    <w:rsid w:val="00B426FD"/>
    <w:rsid w:val="00B43521"/>
    <w:rsid w:val="00B43E5B"/>
    <w:rsid w:val="00B447FB"/>
    <w:rsid w:val="00B45DC5"/>
    <w:rsid w:val="00B45DFB"/>
    <w:rsid w:val="00B4698C"/>
    <w:rsid w:val="00B469EF"/>
    <w:rsid w:val="00B46F06"/>
    <w:rsid w:val="00B46F64"/>
    <w:rsid w:val="00B50137"/>
    <w:rsid w:val="00B50843"/>
    <w:rsid w:val="00B50E49"/>
    <w:rsid w:val="00B511D1"/>
    <w:rsid w:val="00B51285"/>
    <w:rsid w:val="00B51921"/>
    <w:rsid w:val="00B52963"/>
    <w:rsid w:val="00B54FF3"/>
    <w:rsid w:val="00B550D4"/>
    <w:rsid w:val="00B5535C"/>
    <w:rsid w:val="00B55464"/>
    <w:rsid w:val="00B55FFB"/>
    <w:rsid w:val="00B56788"/>
    <w:rsid w:val="00B56A93"/>
    <w:rsid w:val="00B605A8"/>
    <w:rsid w:val="00B60658"/>
    <w:rsid w:val="00B607F7"/>
    <w:rsid w:val="00B60AEF"/>
    <w:rsid w:val="00B619F1"/>
    <w:rsid w:val="00B61CAF"/>
    <w:rsid w:val="00B629B4"/>
    <w:rsid w:val="00B63B93"/>
    <w:rsid w:val="00B63D09"/>
    <w:rsid w:val="00B64B9C"/>
    <w:rsid w:val="00B6594C"/>
    <w:rsid w:val="00B660E5"/>
    <w:rsid w:val="00B6693D"/>
    <w:rsid w:val="00B67B0C"/>
    <w:rsid w:val="00B70AE5"/>
    <w:rsid w:val="00B70CAD"/>
    <w:rsid w:val="00B70E94"/>
    <w:rsid w:val="00B715A3"/>
    <w:rsid w:val="00B72756"/>
    <w:rsid w:val="00B72A55"/>
    <w:rsid w:val="00B73192"/>
    <w:rsid w:val="00B73D21"/>
    <w:rsid w:val="00B73F41"/>
    <w:rsid w:val="00B7452C"/>
    <w:rsid w:val="00B75B8E"/>
    <w:rsid w:val="00B76BFF"/>
    <w:rsid w:val="00B775A6"/>
    <w:rsid w:val="00B77BBE"/>
    <w:rsid w:val="00B77F34"/>
    <w:rsid w:val="00B821FE"/>
    <w:rsid w:val="00B82E59"/>
    <w:rsid w:val="00B83127"/>
    <w:rsid w:val="00B83220"/>
    <w:rsid w:val="00B842AA"/>
    <w:rsid w:val="00B8441A"/>
    <w:rsid w:val="00B8527B"/>
    <w:rsid w:val="00B862AF"/>
    <w:rsid w:val="00B86A99"/>
    <w:rsid w:val="00B90130"/>
    <w:rsid w:val="00B9046A"/>
    <w:rsid w:val="00B905B0"/>
    <w:rsid w:val="00B92355"/>
    <w:rsid w:val="00B9373F"/>
    <w:rsid w:val="00B93B7D"/>
    <w:rsid w:val="00B94FE0"/>
    <w:rsid w:val="00B95DC2"/>
    <w:rsid w:val="00B96657"/>
    <w:rsid w:val="00B96B9F"/>
    <w:rsid w:val="00B9747D"/>
    <w:rsid w:val="00BA0962"/>
    <w:rsid w:val="00BA0BDC"/>
    <w:rsid w:val="00BA2360"/>
    <w:rsid w:val="00BA2578"/>
    <w:rsid w:val="00BA3527"/>
    <w:rsid w:val="00BA3969"/>
    <w:rsid w:val="00BA3A5D"/>
    <w:rsid w:val="00BA45A6"/>
    <w:rsid w:val="00BA4FD5"/>
    <w:rsid w:val="00BA5769"/>
    <w:rsid w:val="00BA5BC9"/>
    <w:rsid w:val="00BA667F"/>
    <w:rsid w:val="00BA7861"/>
    <w:rsid w:val="00BA7910"/>
    <w:rsid w:val="00BA7996"/>
    <w:rsid w:val="00BA7C1D"/>
    <w:rsid w:val="00BA7CD9"/>
    <w:rsid w:val="00BA7EED"/>
    <w:rsid w:val="00BA7F71"/>
    <w:rsid w:val="00BB1CE3"/>
    <w:rsid w:val="00BB279F"/>
    <w:rsid w:val="00BB2844"/>
    <w:rsid w:val="00BB5373"/>
    <w:rsid w:val="00BB5729"/>
    <w:rsid w:val="00BB5EF5"/>
    <w:rsid w:val="00BB6325"/>
    <w:rsid w:val="00BB635F"/>
    <w:rsid w:val="00BB69D1"/>
    <w:rsid w:val="00BB7980"/>
    <w:rsid w:val="00BB7CB3"/>
    <w:rsid w:val="00BB7CDC"/>
    <w:rsid w:val="00BB7E61"/>
    <w:rsid w:val="00BB7E70"/>
    <w:rsid w:val="00BC097B"/>
    <w:rsid w:val="00BC1AFE"/>
    <w:rsid w:val="00BC1B87"/>
    <w:rsid w:val="00BC27EA"/>
    <w:rsid w:val="00BC3777"/>
    <w:rsid w:val="00BC3848"/>
    <w:rsid w:val="00BC38EC"/>
    <w:rsid w:val="00BC3D23"/>
    <w:rsid w:val="00BC4377"/>
    <w:rsid w:val="00BC486D"/>
    <w:rsid w:val="00BC49AD"/>
    <w:rsid w:val="00BC5B02"/>
    <w:rsid w:val="00BC6C15"/>
    <w:rsid w:val="00BC6CAB"/>
    <w:rsid w:val="00BD0030"/>
    <w:rsid w:val="00BD0049"/>
    <w:rsid w:val="00BD04E9"/>
    <w:rsid w:val="00BD05F4"/>
    <w:rsid w:val="00BD0DFE"/>
    <w:rsid w:val="00BD0F7B"/>
    <w:rsid w:val="00BD2845"/>
    <w:rsid w:val="00BD2DA1"/>
    <w:rsid w:val="00BD2F85"/>
    <w:rsid w:val="00BD39E2"/>
    <w:rsid w:val="00BD51F6"/>
    <w:rsid w:val="00BD52B8"/>
    <w:rsid w:val="00BD6645"/>
    <w:rsid w:val="00BD6EA7"/>
    <w:rsid w:val="00BD7173"/>
    <w:rsid w:val="00BD73AB"/>
    <w:rsid w:val="00BD73D5"/>
    <w:rsid w:val="00BD79CE"/>
    <w:rsid w:val="00BD7C49"/>
    <w:rsid w:val="00BD7F0D"/>
    <w:rsid w:val="00BE0C31"/>
    <w:rsid w:val="00BE0EFE"/>
    <w:rsid w:val="00BE138B"/>
    <w:rsid w:val="00BE1A25"/>
    <w:rsid w:val="00BE1D45"/>
    <w:rsid w:val="00BE2447"/>
    <w:rsid w:val="00BE26FE"/>
    <w:rsid w:val="00BE2D16"/>
    <w:rsid w:val="00BE43BC"/>
    <w:rsid w:val="00BE56FD"/>
    <w:rsid w:val="00BE576C"/>
    <w:rsid w:val="00BE632F"/>
    <w:rsid w:val="00BF0037"/>
    <w:rsid w:val="00BF08C7"/>
    <w:rsid w:val="00BF0E19"/>
    <w:rsid w:val="00BF0F5A"/>
    <w:rsid w:val="00BF1388"/>
    <w:rsid w:val="00BF21DF"/>
    <w:rsid w:val="00BF228F"/>
    <w:rsid w:val="00BF2DF4"/>
    <w:rsid w:val="00BF3452"/>
    <w:rsid w:val="00BF39C0"/>
    <w:rsid w:val="00BF3E95"/>
    <w:rsid w:val="00BF4A3C"/>
    <w:rsid w:val="00BF4C6E"/>
    <w:rsid w:val="00BF547F"/>
    <w:rsid w:val="00BF581F"/>
    <w:rsid w:val="00BF5C41"/>
    <w:rsid w:val="00BF79C7"/>
    <w:rsid w:val="00C0011B"/>
    <w:rsid w:val="00C0019B"/>
    <w:rsid w:val="00C007A3"/>
    <w:rsid w:val="00C0176B"/>
    <w:rsid w:val="00C02729"/>
    <w:rsid w:val="00C02BE7"/>
    <w:rsid w:val="00C03BFA"/>
    <w:rsid w:val="00C045B2"/>
    <w:rsid w:val="00C04921"/>
    <w:rsid w:val="00C053CD"/>
    <w:rsid w:val="00C064DF"/>
    <w:rsid w:val="00C06A3A"/>
    <w:rsid w:val="00C10329"/>
    <w:rsid w:val="00C10508"/>
    <w:rsid w:val="00C10F23"/>
    <w:rsid w:val="00C11A71"/>
    <w:rsid w:val="00C12A80"/>
    <w:rsid w:val="00C13B0E"/>
    <w:rsid w:val="00C13B6B"/>
    <w:rsid w:val="00C13CC9"/>
    <w:rsid w:val="00C148A5"/>
    <w:rsid w:val="00C14CBF"/>
    <w:rsid w:val="00C15C7F"/>
    <w:rsid w:val="00C15EC7"/>
    <w:rsid w:val="00C16539"/>
    <w:rsid w:val="00C170A8"/>
    <w:rsid w:val="00C173B4"/>
    <w:rsid w:val="00C205E7"/>
    <w:rsid w:val="00C2082E"/>
    <w:rsid w:val="00C21CD0"/>
    <w:rsid w:val="00C253D7"/>
    <w:rsid w:val="00C269DA"/>
    <w:rsid w:val="00C2797E"/>
    <w:rsid w:val="00C27E82"/>
    <w:rsid w:val="00C30276"/>
    <w:rsid w:val="00C302AE"/>
    <w:rsid w:val="00C31F9F"/>
    <w:rsid w:val="00C3225A"/>
    <w:rsid w:val="00C324A1"/>
    <w:rsid w:val="00C33800"/>
    <w:rsid w:val="00C33CEC"/>
    <w:rsid w:val="00C342B0"/>
    <w:rsid w:val="00C35577"/>
    <w:rsid w:val="00C3654F"/>
    <w:rsid w:val="00C374EC"/>
    <w:rsid w:val="00C403DC"/>
    <w:rsid w:val="00C4110A"/>
    <w:rsid w:val="00C41F9B"/>
    <w:rsid w:val="00C4258A"/>
    <w:rsid w:val="00C4273D"/>
    <w:rsid w:val="00C44133"/>
    <w:rsid w:val="00C443CE"/>
    <w:rsid w:val="00C446A5"/>
    <w:rsid w:val="00C4573E"/>
    <w:rsid w:val="00C46154"/>
    <w:rsid w:val="00C462AA"/>
    <w:rsid w:val="00C4658D"/>
    <w:rsid w:val="00C47261"/>
    <w:rsid w:val="00C4762C"/>
    <w:rsid w:val="00C47AE4"/>
    <w:rsid w:val="00C47E49"/>
    <w:rsid w:val="00C47FAB"/>
    <w:rsid w:val="00C51787"/>
    <w:rsid w:val="00C522C7"/>
    <w:rsid w:val="00C52729"/>
    <w:rsid w:val="00C528B5"/>
    <w:rsid w:val="00C52F13"/>
    <w:rsid w:val="00C534A8"/>
    <w:rsid w:val="00C535DF"/>
    <w:rsid w:val="00C56082"/>
    <w:rsid w:val="00C56206"/>
    <w:rsid w:val="00C56A26"/>
    <w:rsid w:val="00C56B35"/>
    <w:rsid w:val="00C57707"/>
    <w:rsid w:val="00C57E60"/>
    <w:rsid w:val="00C6010F"/>
    <w:rsid w:val="00C60188"/>
    <w:rsid w:val="00C6090C"/>
    <w:rsid w:val="00C60C8E"/>
    <w:rsid w:val="00C610E6"/>
    <w:rsid w:val="00C6365D"/>
    <w:rsid w:val="00C63BA9"/>
    <w:rsid w:val="00C63D20"/>
    <w:rsid w:val="00C6424F"/>
    <w:rsid w:val="00C6435B"/>
    <w:rsid w:val="00C6454D"/>
    <w:rsid w:val="00C648F7"/>
    <w:rsid w:val="00C64D2A"/>
    <w:rsid w:val="00C64DF6"/>
    <w:rsid w:val="00C65719"/>
    <w:rsid w:val="00C65C77"/>
    <w:rsid w:val="00C66577"/>
    <w:rsid w:val="00C669CA"/>
    <w:rsid w:val="00C6713A"/>
    <w:rsid w:val="00C67297"/>
    <w:rsid w:val="00C67FB3"/>
    <w:rsid w:val="00C70B02"/>
    <w:rsid w:val="00C70EFB"/>
    <w:rsid w:val="00C71260"/>
    <w:rsid w:val="00C71D50"/>
    <w:rsid w:val="00C72189"/>
    <w:rsid w:val="00C725B5"/>
    <w:rsid w:val="00C72D8F"/>
    <w:rsid w:val="00C7312B"/>
    <w:rsid w:val="00C738EC"/>
    <w:rsid w:val="00C74E12"/>
    <w:rsid w:val="00C766F2"/>
    <w:rsid w:val="00C76C12"/>
    <w:rsid w:val="00C775DA"/>
    <w:rsid w:val="00C77CBF"/>
    <w:rsid w:val="00C77E9B"/>
    <w:rsid w:val="00C80C6C"/>
    <w:rsid w:val="00C81B69"/>
    <w:rsid w:val="00C81BB0"/>
    <w:rsid w:val="00C82769"/>
    <w:rsid w:val="00C82B6C"/>
    <w:rsid w:val="00C82C7B"/>
    <w:rsid w:val="00C82D6F"/>
    <w:rsid w:val="00C8376A"/>
    <w:rsid w:val="00C8409F"/>
    <w:rsid w:val="00C87669"/>
    <w:rsid w:val="00C879C2"/>
    <w:rsid w:val="00C9057B"/>
    <w:rsid w:val="00C90C8D"/>
    <w:rsid w:val="00C911B8"/>
    <w:rsid w:val="00C928BE"/>
    <w:rsid w:val="00C931D6"/>
    <w:rsid w:val="00C93710"/>
    <w:rsid w:val="00C937E8"/>
    <w:rsid w:val="00C93FF6"/>
    <w:rsid w:val="00C940D0"/>
    <w:rsid w:val="00C942B4"/>
    <w:rsid w:val="00C94676"/>
    <w:rsid w:val="00C950D6"/>
    <w:rsid w:val="00C954BB"/>
    <w:rsid w:val="00C9635B"/>
    <w:rsid w:val="00C96BA3"/>
    <w:rsid w:val="00C971FB"/>
    <w:rsid w:val="00C9752D"/>
    <w:rsid w:val="00C9785F"/>
    <w:rsid w:val="00C979E8"/>
    <w:rsid w:val="00CA0792"/>
    <w:rsid w:val="00CA14A7"/>
    <w:rsid w:val="00CA14FA"/>
    <w:rsid w:val="00CA1774"/>
    <w:rsid w:val="00CA1A30"/>
    <w:rsid w:val="00CA1EEE"/>
    <w:rsid w:val="00CA2B3F"/>
    <w:rsid w:val="00CA2FA6"/>
    <w:rsid w:val="00CA332D"/>
    <w:rsid w:val="00CA43AC"/>
    <w:rsid w:val="00CA4E27"/>
    <w:rsid w:val="00CA60EF"/>
    <w:rsid w:val="00CA6506"/>
    <w:rsid w:val="00CA6560"/>
    <w:rsid w:val="00CA6753"/>
    <w:rsid w:val="00CA69AE"/>
    <w:rsid w:val="00CB065D"/>
    <w:rsid w:val="00CB13B6"/>
    <w:rsid w:val="00CB13D3"/>
    <w:rsid w:val="00CB24B0"/>
    <w:rsid w:val="00CB36FA"/>
    <w:rsid w:val="00CB4843"/>
    <w:rsid w:val="00CB48EC"/>
    <w:rsid w:val="00CB49FF"/>
    <w:rsid w:val="00CB51E7"/>
    <w:rsid w:val="00CB56A9"/>
    <w:rsid w:val="00CB6236"/>
    <w:rsid w:val="00CC09EA"/>
    <w:rsid w:val="00CC11BA"/>
    <w:rsid w:val="00CC13E9"/>
    <w:rsid w:val="00CC144B"/>
    <w:rsid w:val="00CC1F9B"/>
    <w:rsid w:val="00CC2137"/>
    <w:rsid w:val="00CC21E2"/>
    <w:rsid w:val="00CC2AFA"/>
    <w:rsid w:val="00CC364E"/>
    <w:rsid w:val="00CC441E"/>
    <w:rsid w:val="00CC4C6A"/>
    <w:rsid w:val="00CC4CC6"/>
    <w:rsid w:val="00CC4DD6"/>
    <w:rsid w:val="00CC525C"/>
    <w:rsid w:val="00CC5A34"/>
    <w:rsid w:val="00CC5BFA"/>
    <w:rsid w:val="00CC5D0F"/>
    <w:rsid w:val="00CC6616"/>
    <w:rsid w:val="00CC6754"/>
    <w:rsid w:val="00CC6FC7"/>
    <w:rsid w:val="00CC7DE3"/>
    <w:rsid w:val="00CD0084"/>
    <w:rsid w:val="00CD04E4"/>
    <w:rsid w:val="00CD09FE"/>
    <w:rsid w:val="00CD0A4C"/>
    <w:rsid w:val="00CD27AC"/>
    <w:rsid w:val="00CD2810"/>
    <w:rsid w:val="00CD29CD"/>
    <w:rsid w:val="00CD2D6A"/>
    <w:rsid w:val="00CD3892"/>
    <w:rsid w:val="00CD3DDC"/>
    <w:rsid w:val="00CD447B"/>
    <w:rsid w:val="00CD5DE8"/>
    <w:rsid w:val="00CD5F8E"/>
    <w:rsid w:val="00CD70A4"/>
    <w:rsid w:val="00CE0950"/>
    <w:rsid w:val="00CE0CDF"/>
    <w:rsid w:val="00CE1136"/>
    <w:rsid w:val="00CE29A2"/>
    <w:rsid w:val="00CE2A54"/>
    <w:rsid w:val="00CE2E65"/>
    <w:rsid w:val="00CE331E"/>
    <w:rsid w:val="00CE3463"/>
    <w:rsid w:val="00CE361E"/>
    <w:rsid w:val="00CE3A77"/>
    <w:rsid w:val="00CE4FE2"/>
    <w:rsid w:val="00CE5611"/>
    <w:rsid w:val="00CE58EF"/>
    <w:rsid w:val="00CE6651"/>
    <w:rsid w:val="00CE73D9"/>
    <w:rsid w:val="00CE781E"/>
    <w:rsid w:val="00CE7B46"/>
    <w:rsid w:val="00CF09DC"/>
    <w:rsid w:val="00CF0A2C"/>
    <w:rsid w:val="00CF22FA"/>
    <w:rsid w:val="00CF2558"/>
    <w:rsid w:val="00CF4916"/>
    <w:rsid w:val="00CF542A"/>
    <w:rsid w:val="00CF60F7"/>
    <w:rsid w:val="00CF61A4"/>
    <w:rsid w:val="00CF6378"/>
    <w:rsid w:val="00CF6FC0"/>
    <w:rsid w:val="00D0012E"/>
    <w:rsid w:val="00D00F6F"/>
    <w:rsid w:val="00D01A7D"/>
    <w:rsid w:val="00D01B05"/>
    <w:rsid w:val="00D03152"/>
    <w:rsid w:val="00D032D9"/>
    <w:rsid w:val="00D03346"/>
    <w:rsid w:val="00D06B13"/>
    <w:rsid w:val="00D071A1"/>
    <w:rsid w:val="00D07E34"/>
    <w:rsid w:val="00D07EA7"/>
    <w:rsid w:val="00D105A2"/>
    <w:rsid w:val="00D10658"/>
    <w:rsid w:val="00D1197D"/>
    <w:rsid w:val="00D13804"/>
    <w:rsid w:val="00D13B42"/>
    <w:rsid w:val="00D13CCC"/>
    <w:rsid w:val="00D13FCD"/>
    <w:rsid w:val="00D14B24"/>
    <w:rsid w:val="00D1664C"/>
    <w:rsid w:val="00D17CE4"/>
    <w:rsid w:val="00D20386"/>
    <w:rsid w:val="00D21ACE"/>
    <w:rsid w:val="00D22174"/>
    <w:rsid w:val="00D22C0E"/>
    <w:rsid w:val="00D23020"/>
    <w:rsid w:val="00D2312D"/>
    <w:rsid w:val="00D23369"/>
    <w:rsid w:val="00D234E2"/>
    <w:rsid w:val="00D2359F"/>
    <w:rsid w:val="00D23A23"/>
    <w:rsid w:val="00D24404"/>
    <w:rsid w:val="00D252FB"/>
    <w:rsid w:val="00D2547A"/>
    <w:rsid w:val="00D2652F"/>
    <w:rsid w:val="00D26662"/>
    <w:rsid w:val="00D26C95"/>
    <w:rsid w:val="00D27105"/>
    <w:rsid w:val="00D27216"/>
    <w:rsid w:val="00D27294"/>
    <w:rsid w:val="00D30645"/>
    <w:rsid w:val="00D30C39"/>
    <w:rsid w:val="00D31E12"/>
    <w:rsid w:val="00D31F3D"/>
    <w:rsid w:val="00D32126"/>
    <w:rsid w:val="00D33A19"/>
    <w:rsid w:val="00D34BE7"/>
    <w:rsid w:val="00D354AB"/>
    <w:rsid w:val="00D35DF2"/>
    <w:rsid w:val="00D36C78"/>
    <w:rsid w:val="00D36EEB"/>
    <w:rsid w:val="00D41050"/>
    <w:rsid w:val="00D41F25"/>
    <w:rsid w:val="00D45ADB"/>
    <w:rsid w:val="00D4651C"/>
    <w:rsid w:val="00D47B6C"/>
    <w:rsid w:val="00D47E4D"/>
    <w:rsid w:val="00D504C8"/>
    <w:rsid w:val="00D50829"/>
    <w:rsid w:val="00D50A7A"/>
    <w:rsid w:val="00D51B7B"/>
    <w:rsid w:val="00D52439"/>
    <w:rsid w:val="00D52AF6"/>
    <w:rsid w:val="00D53867"/>
    <w:rsid w:val="00D540C3"/>
    <w:rsid w:val="00D5418E"/>
    <w:rsid w:val="00D54ACB"/>
    <w:rsid w:val="00D54DC1"/>
    <w:rsid w:val="00D54F9D"/>
    <w:rsid w:val="00D557D3"/>
    <w:rsid w:val="00D55FBF"/>
    <w:rsid w:val="00D563DE"/>
    <w:rsid w:val="00D56831"/>
    <w:rsid w:val="00D56BE4"/>
    <w:rsid w:val="00D56DB6"/>
    <w:rsid w:val="00D56DF4"/>
    <w:rsid w:val="00D60528"/>
    <w:rsid w:val="00D605BC"/>
    <w:rsid w:val="00D61612"/>
    <w:rsid w:val="00D61EC7"/>
    <w:rsid w:val="00D62E17"/>
    <w:rsid w:val="00D63751"/>
    <w:rsid w:val="00D63A63"/>
    <w:rsid w:val="00D647CB"/>
    <w:rsid w:val="00D65408"/>
    <w:rsid w:val="00D660C0"/>
    <w:rsid w:val="00D66400"/>
    <w:rsid w:val="00D671F2"/>
    <w:rsid w:val="00D67A4A"/>
    <w:rsid w:val="00D67B73"/>
    <w:rsid w:val="00D67B87"/>
    <w:rsid w:val="00D7159C"/>
    <w:rsid w:val="00D72570"/>
    <w:rsid w:val="00D726C1"/>
    <w:rsid w:val="00D74EF4"/>
    <w:rsid w:val="00D76BF3"/>
    <w:rsid w:val="00D77C3E"/>
    <w:rsid w:val="00D80534"/>
    <w:rsid w:val="00D80E80"/>
    <w:rsid w:val="00D81622"/>
    <w:rsid w:val="00D82700"/>
    <w:rsid w:val="00D82FA1"/>
    <w:rsid w:val="00D83695"/>
    <w:rsid w:val="00D84283"/>
    <w:rsid w:val="00D84B9B"/>
    <w:rsid w:val="00D85CD6"/>
    <w:rsid w:val="00D860DA"/>
    <w:rsid w:val="00D8626C"/>
    <w:rsid w:val="00D86C3C"/>
    <w:rsid w:val="00D8722D"/>
    <w:rsid w:val="00D879E2"/>
    <w:rsid w:val="00D87AEE"/>
    <w:rsid w:val="00D87DAD"/>
    <w:rsid w:val="00D900B6"/>
    <w:rsid w:val="00D900CC"/>
    <w:rsid w:val="00D91ADA"/>
    <w:rsid w:val="00D91F77"/>
    <w:rsid w:val="00D92BBE"/>
    <w:rsid w:val="00D93772"/>
    <w:rsid w:val="00D939EC"/>
    <w:rsid w:val="00D948BF"/>
    <w:rsid w:val="00D96329"/>
    <w:rsid w:val="00D96B73"/>
    <w:rsid w:val="00D97069"/>
    <w:rsid w:val="00D970A1"/>
    <w:rsid w:val="00D97EF8"/>
    <w:rsid w:val="00DA093D"/>
    <w:rsid w:val="00DA17A8"/>
    <w:rsid w:val="00DA1888"/>
    <w:rsid w:val="00DA1DD8"/>
    <w:rsid w:val="00DA578B"/>
    <w:rsid w:val="00DA6074"/>
    <w:rsid w:val="00DA6A82"/>
    <w:rsid w:val="00DA6A9E"/>
    <w:rsid w:val="00DA6D2C"/>
    <w:rsid w:val="00DA7345"/>
    <w:rsid w:val="00DA74E9"/>
    <w:rsid w:val="00DA7CF4"/>
    <w:rsid w:val="00DB02A5"/>
    <w:rsid w:val="00DB19BA"/>
    <w:rsid w:val="00DB2B47"/>
    <w:rsid w:val="00DB34C3"/>
    <w:rsid w:val="00DB369E"/>
    <w:rsid w:val="00DB3822"/>
    <w:rsid w:val="00DB392B"/>
    <w:rsid w:val="00DB39AB"/>
    <w:rsid w:val="00DB4C14"/>
    <w:rsid w:val="00DB50B6"/>
    <w:rsid w:val="00DB592F"/>
    <w:rsid w:val="00DB61F1"/>
    <w:rsid w:val="00DB6AD2"/>
    <w:rsid w:val="00DB6EAA"/>
    <w:rsid w:val="00DB72B1"/>
    <w:rsid w:val="00DB733E"/>
    <w:rsid w:val="00DB73BE"/>
    <w:rsid w:val="00DB76F6"/>
    <w:rsid w:val="00DB7B71"/>
    <w:rsid w:val="00DB7DF2"/>
    <w:rsid w:val="00DC0551"/>
    <w:rsid w:val="00DC0706"/>
    <w:rsid w:val="00DC07E0"/>
    <w:rsid w:val="00DC109C"/>
    <w:rsid w:val="00DC1FE4"/>
    <w:rsid w:val="00DC283A"/>
    <w:rsid w:val="00DC2984"/>
    <w:rsid w:val="00DC406A"/>
    <w:rsid w:val="00DC4B10"/>
    <w:rsid w:val="00DC52C5"/>
    <w:rsid w:val="00DC581C"/>
    <w:rsid w:val="00DC6200"/>
    <w:rsid w:val="00DD0595"/>
    <w:rsid w:val="00DD1780"/>
    <w:rsid w:val="00DD25A4"/>
    <w:rsid w:val="00DD2C56"/>
    <w:rsid w:val="00DD341A"/>
    <w:rsid w:val="00DD39EF"/>
    <w:rsid w:val="00DD46E8"/>
    <w:rsid w:val="00DD4C0D"/>
    <w:rsid w:val="00DD5066"/>
    <w:rsid w:val="00DD7064"/>
    <w:rsid w:val="00DD7122"/>
    <w:rsid w:val="00DD7335"/>
    <w:rsid w:val="00DD75AC"/>
    <w:rsid w:val="00DD787E"/>
    <w:rsid w:val="00DD7EE4"/>
    <w:rsid w:val="00DE0043"/>
    <w:rsid w:val="00DE0224"/>
    <w:rsid w:val="00DE0498"/>
    <w:rsid w:val="00DE0CB0"/>
    <w:rsid w:val="00DE0CB4"/>
    <w:rsid w:val="00DE166B"/>
    <w:rsid w:val="00DE1EBD"/>
    <w:rsid w:val="00DE2614"/>
    <w:rsid w:val="00DE2F7B"/>
    <w:rsid w:val="00DE2FA8"/>
    <w:rsid w:val="00DE357F"/>
    <w:rsid w:val="00DE3CFF"/>
    <w:rsid w:val="00DE3DA9"/>
    <w:rsid w:val="00DE3F44"/>
    <w:rsid w:val="00DE588C"/>
    <w:rsid w:val="00DE5FD0"/>
    <w:rsid w:val="00DE6A67"/>
    <w:rsid w:val="00DE78EF"/>
    <w:rsid w:val="00DF10CD"/>
    <w:rsid w:val="00DF1516"/>
    <w:rsid w:val="00DF37F9"/>
    <w:rsid w:val="00DF3A23"/>
    <w:rsid w:val="00DF42B7"/>
    <w:rsid w:val="00DF446D"/>
    <w:rsid w:val="00DF5038"/>
    <w:rsid w:val="00DF5214"/>
    <w:rsid w:val="00DF5CAF"/>
    <w:rsid w:val="00DF5CDF"/>
    <w:rsid w:val="00DF6B13"/>
    <w:rsid w:val="00DF7246"/>
    <w:rsid w:val="00DF7FE0"/>
    <w:rsid w:val="00E01A22"/>
    <w:rsid w:val="00E01CD5"/>
    <w:rsid w:val="00E0215C"/>
    <w:rsid w:val="00E02204"/>
    <w:rsid w:val="00E02448"/>
    <w:rsid w:val="00E02D49"/>
    <w:rsid w:val="00E036AB"/>
    <w:rsid w:val="00E03AE4"/>
    <w:rsid w:val="00E0400B"/>
    <w:rsid w:val="00E04877"/>
    <w:rsid w:val="00E04A40"/>
    <w:rsid w:val="00E04CA4"/>
    <w:rsid w:val="00E04E7E"/>
    <w:rsid w:val="00E05B42"/>
    <w:rsid w:val="00E05B73"/>
    <w:rsid w:val="00E05C95"/>
    <w:rsid w:val="00E05E3B"/>
    <w:rsid w:val="00E06101"/>
    <w:rsid w:val="00E062F5"/>
    <w:rsid w:val="00E069AB"/>
    <w:rsid w:val="00E077E8"/>
    <w:rsid w:val="00E078DF"/>
    <w:rsid w:val="00E07C7D"/>
    <w:rsid w:val="00E102D8"/>
    <w:rsid w:val="00E10C15"/>
    <w:rsid w:val="00E1164B"/>
    <w:rsid w:val="00E123C1"/>
    <w:rsid w:val="00E12FE8"/>
    <w:rsid w:val="00E13299"/>
    <w:rsid w:val="00E1381A"/>
    <w:rsid w:val="00E1423C"/>
    <w:rsid w:val="00E14DD6"/>
    <w:rsid w:val="00E150C3"/>
    <w:rsid w:val="00E15CEE"/>
    <w:rsid w:val="00E161B1"/>
    <w:rsid w:val="00E16BB2"/>
    <w:rsid w:val="00E17228"/>
    <w:rsid w:val="00E17BFF"/>
    <w:rsid w:val="00E20722"/>
    <w:rsid w:val="00E2086A"/>
    <w:rsid w:val="00E20B7D"/>
    <w:rsid w:val="00E20D34"/>
    <w:rsid w:val="00E20DBF"/>
    <w:rsid w:val="00E216DF"/>
    <w:rsid w:val="00E21E60"/>
    <w:rsid w:val="00E22A0C"/>
    <w:rsid w:val="00E22BAB"/>
    <w:rsid w:val="00E23F3E"/>
    <w:rsid w:val="00E24252"/>
    <w:rsid w:val="00E24373"/>
    <w:rsid w:val="00E24A33"/>
    <w:rsid w:val="00E25591"/>
    <w:rsid w:val="00E25DFD"/>
    <w:rsid w:val="00E26365"/>
    <w:rsid w:val="00E27785"/>
    <w:rsid w:val="00E27887"/>
    <w:rsid w:val="00E30D91"/>
    <w:rsid w:val="00E31820"/>
    <w:rsid w:val="00E321B3"/>
    <w:rsid w:val="00E33A66"/>
    <w:rsid w:val="00E33B5E"/>
    <w:rsid w:val="00E34764"/>
    <w:rsid w:val="00E34C16"/>
    <w:rsid w:val="00E35318"/>
    <w:rsid w:val="00E36A5C"/>
    <w:rsid w:val="00E37C12"/>
    <w:rsid w:val="00E37CF1"/>
    <w:rsid w:val="00E37F29"/>
    <w:rsid w:val="00E37F67"/>
    <w:rsid w:val="00E405FA"/>
    <w:rsid w:val="00E40976"/>
    <w:rsid w:val="00E41454"/>
    <w:rsid w:val="00E41DC4"/>
    <w:rsid w:val="00E41FA4"/>
    <w:rsid w:val="00E42222"/>
    <w:rsid w:val="00E422F1"/>
    <w:rsid w:val="00E42321"/>
    <w:rsid w:val="00E42444"/>
    <w:rsid w:val="00E434F3"/>
    <w:rsid w:val="00E4367E"/>
    <w:rsid w:val="00E437C1"/>
    <w:rsid w:val="00E43B87"/>
    <w:rsid w:val="00E43F0D"/>
    <w:rsid w:val="00E441A1"/>
    <w:rsid w:val="00E44601"/>
    <w:rsid w:val="00E447FC"/>
    <w:rsid w:val="00E4486E"/>
    <w:rsid w:val="00E45064"/>
    <w:rsid w:val="00E450C3"/>
    <w:rsid w:val="00E458D3"/>
    <w:rsid w:val="00E46A53"/>
    <w:rsid w:val="00E4745A"/>
    <w:rsid w:val="00E477A9"/>
    <w:rsid w:val="00E478EF"/>
    <w:rsid w:val="00E47CD1"/>
    <w:rsid w:val="00E47DB4"/>
    <w:rsid w:val="00E5003F"/>
    <w:rsid w:val="00E500DE"/>
    <w:rsid w:val="00E513F0"/>
    <w:rsid w:val="00E515CE"/>
    <w:rsid w:val="00E51C47"/>
    <w:rsid w:val="00E52DB9"/>
    <w:rsid w:val="00E52FAB"/>
    <w:rsid w:val="00E53275"/>
    <w:rsid w:val="00E53588"/>
    <w:rsid w:val="00E54221"/>
    <w:rsid w:val="00E545BB"/>
    <w:rsid w:val="00E5485B"/>
    <w:rsid w:val="00E55100"/>
    <w:rsid w:val="00E5540E"/>
    <w:rsid w:val="00E55DE8"/>
    <w:rsid w:val="00E56DCC"/>
    <w:rsid w:val="00E57634"/>
    <w:rsid w:val="00E576F6"/>
    <w:rsid w:val="00E60505"/>
    <w:rsid w:val="00E608DA"/>
    <w:rsid w:val="00E62D6A"/>
    <w:rsid w:val="00E631A5"/>
    <w:rsid w:val="00E6398D"/>
    <w:rsid w:val="00E64218"/>
    <w:rsid w:val="00E64D08"/>
    <w:rsid w:val="00E64D77"/>
    <w:rsid w:val="00E65C8F"/>
    <w:rsid w:val="00E6619D"/>
    <w:rsid w:val="00E67398"/>
    <w:rsid w:val="00E67629"/>
    <w:rsid w:val="00E677CE"/>
    <w:rsid w:val="00E70DEF"/>
    <w:rsid w:val="00E70E57"/>
    <w:rsid w:val="00E713FB"/>
    <w:rsid w:val="00E71C15"/>
    <w:rsid w:val="00E73451"/>
    <w:rsid w:val="00E7393D"/>
    <w:rsid w:val="00E74153"/>
    <w:rsid w:val="00E74548"/>
    <w:rsid w:val="00E748DB"/>
    <w:rsid w:val="00E74986"/>
    <w:rsid w:val="00E74C30"/>
    <w:rsid w:val="00E753E8"/>
    <w:rsid w:val="00E75826"/>
    <w:rsid w:val="00E75A2C"/>
    <w:rsid w:val="00E77B79"/>
    <w:rsid w:val="00E77D0E"/>
    <w:rsid w:val="00E8121C"/>
    <w:rsid w:val="00E81B90"/>
    <w:rsid w:val="00E81C52"/>
    <w:rsid w:val="00E824F6"/>
    <w:rsid w:val="00E82742"/>
    <w:rsid w:val="00E848AA"/>
    <w:rsid w:val="00E84A33"/>
    <w:rsid w:val="00E85058"/>
    <w:rsid w:val="00E86C78"/>
    <w:rsid w:val="00E90B05"/>
    <w:rsid w:val="00E9103E"/>
    <w:rsid w:val="00E9151F"/>
    <w:rsid w:val="00E9201F"/>
    <w:rsid w:val="00E92601"/>
    <w:rsid w:val="00E92F31"/>
    <w:rsid w:val="00E9330D"/>
    <w:rsid w:val="00E9368C"/>
    <w:rsid w:val="00E93A81"/>
    <w:rsid w:val="00E93C2D"/>
    <w:rsid w:val="00E93F32"/>
    <w:rsid w:val="00E94248"/>
    <w:rsid w:val="00E94FFF"/>
    <w:rsid w:val="00E95018"/>
    <w:rsid w:val="00E95B7B"/>
    <w:rsid w:val="00E96C13"/>
    <w:rsid w:val="00E96F6E"/>
    <w:rsid w:val="00E971D3"/>
    <w:rsid w:val="00E979DF"/>
    <w:rsid w:val="00E97A15"/>
    <w:rsid w:val="00EA02C0"/>
    <w:rsid w:val="00EA0319"/>
    <w:rsid w:val="00EA039D"/>
    <w:rsid w:val="00EA1399"/>
    <w:rsid w:val="00EA16D5"/>
    <w:rsid w:val="00EA1F0F"/>
    <w:rsid w:val="00EA2DC1"/>
    <w:rsid w:val="00EA4064"/>
    <w:rsid w:val="00EA5136"/>
    <w:rsid w:val="00EA5741"/>
    <w:rsid w:val="00EA5DA6"/>
    <w:rsid w:val="00EA6288"/>
    <w:rsid w:val="00EA64A0"/>
    <w:rsid w:val="00EA6568"/>
    <w:rsid w:val="00EA6699"/>
    <w:rsid w:val="00EA728C"/>
    <w:rsid w:val="00EA7D77"/>
    <w:rsid w:val="00EA7E1E"/>
    <w:rsid w:val="00EA7F0D"/>
    <w:rsid w:val="00EB09B5"/>
    <w:rsid w:val="00EB1A85"/>
    <w:rsid w:val="00EB23C6"/>
    <w:rsid w:val="00EB30D3"/>
    <w:rsid w:val="00EB352A"/>
    <w:rsid w:val="00EB37DE"/>
    <w:rsid w:val="00EB3CC2"/>
    <w:rsid w:val="00EB55DE"/>
    <w:rsid w:val="00EB55E2"/>
    <w:rsid w:val="00EB6FDC"/>
    <w:rsid w:val="00EB7252"/>
    <w:rsid w:val="00EB74B7"/>
    <w:rsid w:val="00EB7629"/>
    <w:rsid w:val="00EB7C93"/>
    <w:rsid w:val="00EC069D"/>
    <w:rsid w:val="00EC0A5E"/>
    <w:rsid w:val="00EC0ABB"/>
    <w:rsid w:val="00EC2B15"/>
    <w:rsid w:val="00EC3D5D"/>
    <w:rsid w:val="00EC3E83"/>
    <w:rsid w:val="00EC4DAC"/>
    <w:rsid w:val="00EC5728"/>
    <w:rsid w:val="00EC5992"/>
    <w:rsid w:val="00EC5E90"/>
    <w:rsid w:val="00EC62FC"/>
    <w:rsid w:val="00EC64FB"/>
    <w:rsid w:val="00EC6F07"/>
    <w:rsid w:val="00EC7609"/>
    <w:rsid w:val="00EC762B"/>
    <w:rsid w:val="00EC76F8"/>
    <w:rsid w:val="00EC7944"/>
    <w:rsid w:val="00ED0A05"/>
    <w:rsid w:val="00ED230E"/>
    <w:rsid w:val="00ED3223"/>
    <w:rsid w:val="00ED3B4B"/>
    <w:rsid w:val="00ED4B28"/>
    <w:rsid w:val="00ED4DAD"/>
    <w:rsid w:val="00ED563B"/>
    <w:rsid w:val="00ED5DFD"/>
    <w:rsid w:val="00ED65C2"/>
    <w:rsid w:val="00ED68AB"/>
    <w:rsid w:val="00ED6F43"/>
    <w:rsid w:val="00ED7454"/>
    <w:rsid w:val="00ED759E"/>
    <w:rsid w:val="00EE0A75"/>
    <w:rsid w:val="00EE10A8"/>
    <w:rsid w:val="00EE1347"/>
    <w:rsid w:val="00EE17DC"/>
    <w:rsid w:val="00EE2FC0"/>
    <w:rsid w:val="00EE3A6E"/>
    <w:rsid w:val="00EE3E21"/>
    <w:rsid w:val="00EE4E07"/>
    <w:rsid w:val="00EE55F4"/>
    <w:rsid w:val="00EE5A19"/>
    <w:rsid w:val="00EE5CF4"/>
    <w:rsid w:val="00EE6178"/>
    <w:rsid w:val="00EE690A"/>
    <w:rsid w:val="00EE76E0"/>
    <w:rsid w:val="00EE7DC2"/>
    <w:rsid w:val="00EF01F6"/>
    <w:rsid w:val="00EF062E"/>
    <w:rsid w:val="00EF1F75"/>
    <w:rsid w:val="00EF2ACD"/>
    <w:rsid w:val="00EF3416"/>
    <w:rsid w:val="00EF357D"/>
    <w:rsid w:val="00EF3A8F"/>
    <w:rsid w:val="00EF3F24"/>
    <w:rsid w:val="00EF5492"/>
    <w:rsid w:val="00EF65CF"/>
    <w:rsid w:val="00F006DA"/>
    <w:rsid w:val="00F019D7"/>
    <w:rsid w:val="00F01A0C"/>
    <w:rsid w:val="00F02C48"/>
    <w:rsid w:val="00F02DC8"/>
    <w:rsid w:val="00F031C6"/>
    <w:rsid w:val="00F049C7"/>
    <w:rsid w:val="00F050F4"/>
    <w:rsid w:val="00F05C9C"/>
    <w:rsid w:val="00F067C9"/>
    <w:rsid w:val="00F07A48"/>
    <w:rsid w:val="00F07C96"/>
    <w:rsid w:val="00F07CA2"/>
    <w:rsid w:val="00F07EAD"/>
    <w:rsid w:val="00F11026"/>
    <w:rsid w:val="00F11049"/>
    <w:rsid w:val="00F11C9B"/>
    <w:rsid w:val="00F12657"/>
    <w:rsid w:val="00F12C6B"/>
    <w:rsid w:val="00F131C8"/>
    <w:rsid w:val="00F1325E"/>
    <w:rsid w:val="00F13293"/>
    <w:rsid w:val="00F13AF9"/>
    <w:rsid w:val="00F14A55"/>
    <w:rsid w:val="00F15A23"/>
    <w:rsid w:val="00F15D93"/>
    <w:rsid w:val="00F165E2"/>
    <w:rsid w:val="00F17045"/>
    <w:rsid w:val="00F17402"/>
    <w:rsid w:val="00F216DD"/>
    <w:rsid w:val="00F21FE8"/>
    <w:rsid w:val="00F227DC"/>
    <w:rsid w:val="00F2458E"/>
    <w:rsid w:val="00F24BF0"/>
    <w:rsid w:val="00F254D0"/>
    <w:rsid w:val="00F2581C"/>
    <w:rsid w:val="00F265EE"/>
    <w:rsid w:val="00F265F0"/>
    <w:rsid w:val="00F26CE0"/>
    <w:rsid w:val="00F30E49"/>
    <w:rsid w:val="00F31751"/>
    <w:rsid w:val="00F32918"/>
    <w:rsid w:val="00F335DC"/>
    <w:rsid w:val="00F34438"/>
    <w:rsid w:val="00F3599D"/>
    <w:rsid w:val="00F35EDC"/>
    <w:rsid w:val="00F36CC5"/>
    <w:rsid w:val="00F371C0"/>
    <w:rsid w:val="00F37C90"/>
    <w:rsid w:val="00F41516"/>
    <w:rsid w:val="00F4155C"/>
    <w:rsid w:val="00F41B86"/>
    <w:rsid w:val="00F41C91"/>
    <w:rsid w:val="00F457BC"/>
    <w:rsid w:val="00F45D1B"/>
    <w:rsid w:val="00F45FC0"/>
    <w:rsid w:val="00F4635F"/>
    <w:rsid w:val="00F46B07"/>
    <w:rsid w:val="00F47123"/>
    <w:rsid w:val="00F476D8"/>
    <w:rsid w:val="00F477E3"/>
    <w:rsid w:val="00F47B01"/>
    <w:rsid w:val="00F50B74"/>
    <w:rsid w:val="00F52520"/>
    <w:rsid w:val="00F52BAC"/>
    <w:rsid w:val="00F532A4"/>
    <w:rsid w:val="00F54BDC"/>
    <w:rsid w:val="00F54C73"/>
    <w:rsid w:val="00F5519E"/>
    <w:rsid w:val="00F554F4"/>
    <w:rsid w:val="00F56535"/>
    <w:rsid w:val="00F56640"/>
    <w:rsid w:val="00F570F5"/>
    <w:rsid w:val="00F57A2F"/>
    <w:rsid w:val="00F57FEE"/>
    <w:rsid w:val="00F60D69"/>
    <w:rsid w:val="00F60D9B"/>
    <w:rsid w:val="00F61036"/>
    <w:rsid w:val="00F61D09"/>
    <w:rsid w:val="00F61E14"/>
    <w:rsid w:val="00F620C5"/>
    <w:rsid w:val="00F638F4"/>
    <w:rsid w:val="00F63B54"/>
    <w:rsid w:val="00F64A1D"/>
    <w:rsid w:val="00F64CAE"/>
    <w:rsid w:val="00F666B5"/>
    <w:rsid w:val="00F66E6C"/>
    <w:rsid w:val="00F67837"/>
    <w:rsid w:val="00F700B8"/>
    <w:rsid w:val="00F70B67"/>
    <w:rsid w:val="00F70CB5"/>
    <w:rsid w:val="00F71D23"/>
    <w:rsid w:val="00F731C2"/>
    <w:rsid w:val="00F737F4"/>
    <w:rsid w:val="00F74503"/>
    <w:rsid w:val="00F74F35"/>
    <w:rsid w:val="00F75868"/>
    <w:rsid w:val="00F7608C"/>
    <w:rsid w:val="00F760A8"/>
    <w:rsid w:val="00F7643D"/>
    <w:rsid w:val="00F77BC1"/>
    <w:rsid w:val="00F82B1B"/>
    <w:rsid w:val="00F8368A"/>
    <w:rsid w:val="00F83A9F"/>
    <w:rsid w:val="00F83EE6"/>
    <w:rsid w:val="00F84A46"/>
    <w:rsid w:val="00F84FFB"/>
    <w:rsid w:val="00F86CF5"/>
    <w:rsid w:val="00F8786C"/>
    <w:rsid w:val="00F87E57"/>
    <w:rsid w:val="00F9076F"/>
    <w:rsid w:val="00F909D3"/>
    <w:rsid w:val="00F90CA1"/>
    <w:rsid w:val="00F90CAB"/>
    <w:rsid w:val="00F91391"/>
    <w:rsid w:val="00F91AFC"/>
    <w:rsid w:val="00F91B99"/>
    <w:rsid w:val="00F928E4"/>
    <w:rsid w:val="00F92EA5"/>
    <w:rsid w:val="00F93977"/>
    <w:rsid w:val="00F94081"/>
    <w:rsid w:val="00F9413B"/>
    <w:rsid w:val="00F94B7E"/>
    <w:rsid w:val="00F950A0"/>
    <w:rsid w:val="00F952F6"/>
    <w:rsid w:val="00F96299"/>
    <w:rsid w:val="00F965D0"/>
    <w:rsid w:val="00F97712"/>
    <w:rsid w:val="00F97DB9"/>
    <w:rsid w:val="00F97E5B"/>
    <w:rsid w:val="00FA004F"/>
    <w:rsid w:val="00FA03FE"/>
    <w:rsid w:val="00FA064C"/>
    <w:rsid w:val="00FA07AD"/>
    <w:rsid w:val="00FA085E"/>
    <w:rsid w:val="00FA0F36"/>
    <w:rsid w:val="00FA116B"/>
    <w:rsid w:val="00FA1336"/>
    <w:rsid w:val="00FA289E"/>
    <w:rsid w:val="00FA28CB"/>
    <w:rsid w:val="00FA309A"/>
    <w:rsid w:val="00FA30BB"/>
    <w:rsid w:val="00FA3DFB"/>
    <w:rsid w:val="00FA3F21"/>
    <w:rsid w:val="00FA448E"/>
    <w:rsid w:val="00FA5849"/>
    <w:rsid w:val="00FA60EA"/>
    <w:rsid w:val="00FA6391"/>
    <w:rsid w:val="00FA6BE5"/>
    <w:rsid w:val="00FA6E49"/>
    <w:rsid w:val="00FA6F60"/>
    <w:rsid w:val="00FA737B"/>
    <w:rsid w:val="00FB03FC"/>
    <w:rsid w:val="00FB073D"/>
    <w:rsid w:val="00FB09A5"/>
    <w:rsid w:val="00FB187E"/>
    <w:rsid w:val="00FB39BC"/>
    <w:rsid w:val="00FB3B1F"/>
    <w:rsid w:val="00FB467D"/>
    <w:rsid w:val="00FB5F07"/>
    <w:rsid w:val="00FB60A6"/>
    <w:rsid w:val="00FB6CD8"/>
    <w:rsid w:val="00FB71F1"/>
    <w:rsid w:val="00FB73F3"/>
    <w:rsid w:val="00FC1425"/>
    <w:rsid w:val="00FC1A17"/>
    <w:rsid w:val="00FC1DA2"/>
    <w:rsid w:val="00FC2571"/>
    <w:rsid w:val="00FC27D8"/>
    <w:rsid w:val="00FC2864"/>
    <w:rsid w:val="00FC2B6D"/>
    <w:rsid w:val="00FC3D54"/>
    <w:rsid w:val="00FC4063"/>
    <w:rsid w:val="00FC439C"/>
    <w:rsid w:val="00FC4481"/>
    <w:rsid w:val="00FC450C"/>
    <w:rsid w:val="00FC6A97"/>
    <w:rsid w:val="00FC6E83"/>
    <w:rsid w:val="00FC7775"/>
    <w:rsid w:val="00FD06A1"/>
    <w:rsid w:val="00FD10C6"/>
    <w:rsid w:val="00FD160D"/>
    <w:rsid w:val="00FD161E"/>
    <w:rsid w:val="00FD1937"/>
    <w:rsid w:val="00FD1C65"/>
    <w:rsid w:val="00FD206C"/>
    <w:rsid w:val="00FD20D1"/>
    <w:rsid w:val="00FD373E"/>
    <w:rsid w:val="00FD40C3"/>
    <w:rsid w:val="00FD5189"/>
    <w:rsid w:val="00FD5F69"/>
    <w:rsid w:val="00FD70BD"/>
    <w:rsid w:val="00FD7C62"/>
    <w:rsid w:val="00FE076E"/>
    <w:rsid w:val="00FE0898"/>
    <w:rsid w:val="00FE0B7B"/>
    <w:rsid w:val="00FE0E28"/>
    <w:rsid w:val="00FE1171"/>
    <w:rsid w:val="00FE1BE3"/>
    <w:rsid w:val="00FE224F"/>
    <w:rsid w:val="00FE2E97"/>
    <w:rsid w:val="00FE3609"/>
    <w:rsid w:val="00FE3AA9"/>
    <w:rsid w:val="00FE4019"/>
    <w:rsid w:val="00FE4453"/>
    <w:rsid w:val="00FE4579"/>
    <w:rsid w:val="00FE4A02"/>
    <w:rsid w:val="00FE4F78"/>
    <w:rsid w:val="00FE56AF"/>
    <w:rsid w:val="00FE59C4"/>
    <w:rsid w:val="00FE6070"/>
    <w:rsid w:val="00FE744F"/>
    <w:rsid w:val="00FE7746"/>
    <w:rsid w:val="00FE7AC8"/>
    <w:rsid w:val="00FE7AF3"/>
    <w:rsid w:val="00FF092B"/>
    <w:rsid w:val="00FF0DB6"/>
    <w:rsid w:val="00FF1433"/>
    <w:rsid w:val="00FF1A52"/>
    <w:rsid w:val="00FF1EB2"/>
    <w:rsid w:val="00FF2DC9"/>
    <w:rsid w:val="00FF3A69"/>
    <w:rsid w:val="00FF44E5"/>
    <w:rsid w:val="00FF4751"/>
    <w:rsid w:val="00FF4796"/>
    <w:rsid w:val="00FF48DA"/>
    <w:rsid w:val="00FF5730"/>
    <w:rsid w:val="00FF5E2A"/>
    <w:rsid w:val="00FF6545"/>
    <w:rsid w:val="00FF6578"/>
    <w:rsid w:val="00FF6781"/>
    <w:rsid w:val="00FF7006"/>
    <w:rsid w:val="00FF7BD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52FE"/>
  <w15:chartTrackingRefBased/>
  <w15:docId w15:val="{9E9BB6E6-391D-554F-80A7-C32F8C3A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700"/>
  </w:style>
  <w:style w:type="paragraph" w:styleId="Heading1">
    <w:name w:val="heading 1"/>
    <w:basedOn w:val="Normal"/>
    <w:next w:val="Normal"/>
    <w:link w:val="Heading1Char"/>
    <w:uiPriority w:val="9"/>
    <w:qFormat/>
    <w:rsid w:val="00E05E3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6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F78DA"/>
    <w:rPr>
      <w:rFonts w:ascii="Consolas" w:eastAsiaTheme="minorEastAsia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78DA"/>
    <w:rPr>
      <w:rFonts w:ascii="Consolas" w:eastAsiaTheme="minorEastAsia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F78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78D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25C8F"/>
  </w:style>
  <w:style w:type="character" w:customStyle="1" w:styleId="docsum-authors">
    <w:name w:val="docsum-authors"/>
    <w:basedOn w:val="DefaultParagraphFont"/>
    <w:rsid w:val="00A25C8F"/>
  </w:style>
  <w:style w:type="character" w:customStyle="1" w:styleId="docsum-journal-citation">
    <w:name w:val="docsum-journal-citation"/>
    <w:basedOn w:val="DefaultParagraphFont"/>
    <w:rsid w:val="00A25C8F"/>
  </w:style>
  <w:style w:type="character" w:customStyle="1" w:styleId="citation-part">
    <w:name w:val="citation-part"/>
    <w:basedOn w:val="DefaultParagraphFont"/>
    <w:rsid w:val="00A25C8F"/>
  </w:style>
  <w:style w:type="character" w:customStyle="1" w:styleId="docsum-pmid">
    <w:name w:val="docsum-pmid"/>
    <w:basedOn w:val="DefaultParagraphFont"/>
    <w:rsid w:val="00A25C8F"/>
  </w:style>
  <w:style w:type="paragraph" w:styleId="CommentText">
    <w:name w:val="annotation text"/>
    <w:basedOn w:val="Normal"/>
    <w:link w:val="CommentTextChar"/>
    <w:uiPriority w:val="99"/>
    <w:unhideWhenUsed/>
    <w:rsid w:val="00A25C8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C8F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A25C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F5AD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5AD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5AD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05E3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bidi="en-US"/>
    </w:rPr>
  </w:style>
  <w:style w:type="paragraph" w:styleId="Bibliography">
    <w:name w:val="Bibliography"/>
    <w:basedOn w:val="Normal"/>
    <w:next w:val="Normal"/>
    <w:uiPriority w:val="37"/>
    <w:unhideWhenUsed/>
    <w:rsid w:val="00E05E3B"/>
  </w:style>
  <w:style w:type="character" w:customStyle="1" w:styleId="Heading3Char">
    <w:name w:val="Heading 3 Char"/>
    <w:basedOn w:val="DefaultParagraphFont"/>
    <w:link w:val="Heading3"/>
    <w:uiPriority w:val="9"/>
    <w:semiHidden/>
    <w:rsid w:val="0047463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752E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12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21C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21C"/>
    <w:rPr>
      <w:b/>
      <w:bCs/>
      <w:sz w:val="20"/>
      <w:szCs w:val="20"/>
    </w:rPr>
  </w:style>
  <w:style w:type="table" w:styleId="GridTable4-Accent3">
    <w:name w:val="Grid Table 4 Accent 3"/>
    <w:basedOn w:val="TableNormal"/>
    <w:uiPriority w:val="49"/>
    <w:rsid w:val="00E01CD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733B8B"/>
  </w:style>
  <w:style w:type="paragraph" w:customStyle="1" w:styleId="get-citation-citation">
    <w:name w:val="get-citation-citation"/>
    <w:basedOn w:val="Normal"/>
    <w:rsid w:val="00C064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C064D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90A3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A2C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CBC"/>
  </w:style>
  <w:style w:type="character" w:styleId="PageNumber">
    <w:name w:val="page number"/>
    <w:basedOn w:val="DefaultParagraphFont"/>
    <w:uiPriority w:val="99"/>
    <w:semiHidden/>
    <w:unhideWhenUsed/>
    <w:rsid w:val="008A2CBC"/>
  </w:style>
  <w:style w:type="paragraph" w:customStyle="1" w:styleId="EndNoteBibliography">
    <w:name w:val="EndNote Bibliography"/>
    <w:basedOn w:val="Normal"/>
    <w:link w:val="EndNoteBibliographyChar"/>
    <w:rsid w:val="00713E72"/>
    <w:pPr>
      <w:spacing w:after="160"/>
    </w:pPr>
    <w:rPr>
      <w:rFonts w:ascii="Calibri" w:hAnsi="Calibri" w:cs="Calibri"/>
      <w:noProof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13E72"/>
    <w:rPr>
      <w:rFonts w:ascii="Calibri" w:hAnsi="Calibri" w:cs="Calibri"/>
      <w:noProof/>
      <w:sz w:val="22"/>
      <w:szCs w:val="22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FF0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689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1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C3801F17-098F-1441-A873-27A6AE63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16</Pages>
  <Words>5590</Words>
  <Characters>31866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Leigh</dc:creator>
  <cp:keywords/>
  <dc:description/>
  <cp:lastModifiedBy>Jun Wang</cp:lastModifiedBy>
  <cp:revision>3699</cp:revision>
  <dcterms:created xsi:type="dcterms:W3CDTF">2023-02-21T20:10:00Z</dcterms:created>
  <dcterms:modified xsi:type="dcterms:W3CDTF">2023-08-09T08:54:00Z</dcterms:modified>
</cp:coreProperties>
</file>