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4AFC0" w14:textId="603AB962" w:rsidR="00CE4764" w:rsidRPr="009F78DA" w:rsidRDefault="00CE4764" w:rsidP="00CE4764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lang w:eastAsia="en-GB"/>
        </w:rPr>
      </w:pPr>
      <w:r w:rsidRPr="009F78DA">
        <w:rPr>
          <w:rFonts w:eastAsia="Times New Roman" w:cstheme="minorHAnsi"/>
          <w:b/>
          <w:bCs/>
          <w:lang w:eastAsia="en-GB"/>
        </w:rPr>
        <w:t xml:space="preserve">Transcriptomic analysis of cutaneous squamous cell carcinoma reveals a </w:t>
      </w:r>
      <w:r>
        <w:rPr>
          <w:rFonts w:eastAsia="Times New Roman" w:cstheme="minorHAnsi"/>
          <w:b/>
          <w:bCs/>
          <w:lang w:eastAsia="en-GB"/>
        </w:rPr>
        <w:t xml:space="preserve">multi-gene prognostic </w:t>
      </w:r>
      <w:r w:rsidRPr="009F78DA">
        <w:rPr>
          <w:rFonts w:eastAsia="Times New Roman" w:cstheme="minorHAnsi"/>
          <w:b/>
          <w:bCs/>
          <w:lang w:eastAsia="en-GB"/>
        </w:rPr>
        <w:t>signature associated with metastasis</w:t>
      </w:r>
    </w:p>
    <w:p w14:paraId="22092191" w14:textId="6E340AA0" w:rsidR="00781132" w:rsidRDefault="00B21883" w:rsidP="00EB3F1C">
      <w:pPr>
        <w:spacing w:line="276" w:lineRule="auto"/>
        <w:jc w:val="both"/>
      </w:pPr>
      <w:r>
        <w:t xml:space="preserve">Wang et al., </w:t>
      </w:r>
      <w:r w:rsidR="00B10282">
        <w:t xml:space="preserve">JAAD </w:t>
      </w:r>
      <w:r w:rsidR="0044757B">
        <w:t>manuscript</w:t>
      </w:r>
      <w:r w:rsidR="00AE7D2D">
        <w:t>, 202</w:t>
      </w:r>
      <w:r w:rsidR="00EC10B4">
        <w:t>3</w:t>
      </w:r>
      <w:r w:rsidR="002D4EAD">
        <w:t xml:space="preserve"> Accepted</w:t>
      </w:r>
    </w:p>
    <w:p w14:paraId="13BC1890" w14:textId="77777777" w:rsidR="0044757B" w:rsidRDefault="0044757B" w:rsidP="00EB3F1C">
      <w:pPr>
        <w:spacing w:line="276" w:lineRule="auto"/>
        <w:jc w:val="both"/>
      </w:pPr>
    </w:p>
    <w:p w14:paraId="19ECEB0E" w14:textId="626EBFDB" w:rsidR="008805EB" w:rsidRPr="008805EB" w:rsidRDefault="008805EB" w:rsidP="00EB3F1C">
      <w:pPr>
        <w:spacing w:line="276" w:lineRule="auto"/>
        <w:jc w:val="both"/>
        <w:rPr>
          <w:rFonts w:ascii="Calibri" w:hAnsi="Calibri" w:cs="Calibri"/>
        </w:rPr>
      </w:pPr>
      <w:r w:rsidRPr="00160B33">
        <w:rPr>
          <w:rFonts w:ascii="Calibri" w:hAnsi="Calibri" w:cs="Calibri"/>
        </w:rPr>
        <w:t xml:space="preserve">Jun Wang, </w:t>
      </w:r>
      <w:proofErr w:type="spellStart"/>
      <w:r w:rsidRPr="00160B33">
        <w:rPr>
          <w:rFonts w:ascii="Calibri" w:hAnsi="Calibri" w:cs="Calibri"/>
        </w:rPr>
        <w:t>PhD,</w:t>
      </w:r>
      <w:r w:rsidRPr="00160B33">
        <w:rPr>
          <w:rFonts w:ascii="Calibri" w:hAnsi="Calibri" w:cs="Calibri"/>
          <w:vertAlign w:val="superscript"/>
        </w:rPr>
        <w:t>a</w:t>
      </w:r>
      <w:proofErr w:type="spellEnd"/>
      <w:r w:rsidRPr="00160B33">
        <w:rPr>
          <w:rFonts w:ascii="Calibri" w:hAnsi="Calibri" w:cs="Calibri"/>
        </w:rPr>
        <w:t xml:space="preserve"> Catherine </w:t>
      </w:r>
      <w:r>
        <w:rPr>
          <w:rFonts w:ascii="Calibri" w:hAnsi="Calibri" w:cs="Calibri"/>
        </w:rPr>
        <w:t xml:space="preserve">A. </w:t>
      </w:r>
      <w:r w:rsidRPr="00160B33">
        <w:rPr>
          <w:rFonts w:ascii="Calibri" w:hAnsi="Calibri" w:cs="Calibri"/>
        </w:rPr>
        <w:t xml:space="preserve">Harwood, </w:t>
      </w:r>
      <w:r>
        <w:rPr>
          <w:rFonts w:ascii="Calibri" w:hAnsi="Calibri" w:cs="Calibri"/>
        </w:rPr>
        <w:t xml:space="preserve">MD </w:t>
      </w:r>
      <w:proofErr w:type="spellStart"/>
      <w:r w:rsidRPr="00160B33">
        <w:rPr>
          <w:rFonts w:ascii="Calibri" w:hAnsi="Calibri" w:cs="Calibri"/>
        </w:rPr>
        <w:t>PhD,</w:t>
      </w:r>
      <w:r w:rsidRPr="00160B33">
        <w:rPr>
          <w:rFonts w:ascii="Calibri" w:hAnsi="Calibri" w:cs="Calibri"/>
          <w:vertAlign w:val="superscript"/>
        </w:rPr>
        <w:t>a,b</w:t>
      </w:r>
      <w:proofErr w:type="spellEnd"/>
      <w:r w:rsidRPr="00160B33">
        <w:rPr>
          <w:rFonts w:ascii="Calibri" w:hAnsi="Calibri" w:cs="Calibri"/>
        </w:rPr>
        <w:t xml:space="preserve"> Emma Bailey, </w:t>
      </w:r>
      <w:proofErr w:type="spellStart"/>
      <w:r w:rsidRPr="00160B33">
        <w:rPr>
          <w:rFonts w:ascii="Calibri" w:hAnsi="Calibri" w:cs="Calibri"/>
        </w:rPr>
        <w:t>PhD,</w:t>
      </w:r>
      <w:r w:rsidRPr="00160B33">
        <w:rPr>
          <w:rFonts w:ascii="Calibri" w:hAnsi="Calibri" w:cs="Calibri"/>
          <w:vertAlign w:val="superscript"/>
        </w:rPr>
        <w:t>a</w:t>
      </w:r>
      <w:proofErr w:type="spellEnd"/>
      <w:r w:rsidRPr="00160B33">
        <w:rPr>
          <w:rFonts w:ascii="Calibri" w:hAnsi="Calibri" w:cs="Calibri"/>
        </w:rPr>
        <w:t xml:space="preserve"> Findlay </w:t>
      </w:r>
      <w:proofErr w:type="spellStart"/>
      <w:r w:rsidRPr="00B33FFE">
        <w:rPr>
          <w:rFonts w:ascii="Calibri" w:hAnsi="Calibri" w:cs="Calibri"/>
        </w:rPr>
        <w:t>Bewicke</w:t>
      </w:r>
      <w:proofErr w:type="spellEnd"/>
      <w:r w:rsidRPr="00B33FFE">
        <w:rPr>
          <w:rFonts w:ascii="Calibri" w:hAnsi="Calibri" w:cs="Calibri"/>
        </w:rPr>
        <w:t>-Copley</w:t>
      </w:r>
      <w:r w:rsidRPr="00160B33">
        <w:rPr>
          <w:rFonts w:ascii="Calibri" w:hAnsi="Calibri" w:cs="Calibri"/>
        </w:rPr>
        <w:t xml:space="preserve">, </w:t>
      </w:r>
      <w:proofErr w:type="spellStart"/>
      <w:r w:rsidRPr="00160B33">
        <w:rPr>
          <w:rFonts w:ascii="Calibri" w:hAnsi="Calibri" w:cs="Calibri"/>
        </w:rPr>
        <w:t>PhD,</w:t>
      </w:r>
      <w:r w:rsidRPr="00160B33">
        <w:rPr>
          <w:rFonts w:ascii="Calibri" w:hAnsi="Calibri" w:cs="Calibri"/>
          <w:vertAlign w:val="superscript"/>
        </w:rPr>
        <w:t>a</w:t>
      </w:r>
      <w:proofErr w:type="spellEnd"/>
      <w:r w:rsidRPr="00160B33">
        <w:rPr>
          <w:rFonts w:ascii="Calibri" w:hAnsi="Calibri" w:cs="Calibri"/>
        </w:rPr>
        <w:t xml:space="preserve"> Chinedu Anthony </w:t>
      </w:r>
      <w:proofErr w:type="spellStart"/>
      <w:r w:rsidRPr="00160B33">
        <w:rPr>
          <w:rFonts w:ascii="Calibri" w:hAnsi="Calibri" w:cs="Calibri"/>
        </w:rPr>
        <w:t>Anene</w:t>
      </w:r>
      <w:proofErr w:type="spellEnd"/>
      <w:r w:rsidRPr="00160B33">
        <w:rPr>
          <w:rFonts w:ascii="Calibri" w:hAnsi="Calibri" w:cs="Calibri"/>
        </w:rPr>
        <w:t xml:space="preserve">, </w:t>
      </w:r>
      <w:proofErr w:type="spellStart"/>
      <w:r w:rsidRPr="00160B33">
        <w:rPr>
          <w:rFonts w:ascii="Calibri" w:hAnsi="Calibri" w:cs="Calibri"/>
        </w:rPr>
        <w:t>PhD,</w:t>
      </w:r>
      <w:r w:rsidRPr="00160B33">
        <w:rPr>
          <w:rFonts w:ascii="Calibri" w:hAnsi="Calibri" w:cs="Calibri"/>
          <w:vertAlign w:val="superscript"/>
        </w:rPr>
        <w:t>a</w:t>
      </w:r>
      <w:r>
        <w:rPr>
          <w:rFonts w:ascii="Calibri" w:hAnsi="Calibri" w:cs="Calibri"/>
          <w:vertAlign w:val="superscript"/>
        </w:rPr>
        <w:t>,c</w:t>
      </w:r>
      <w:proofErr w:type="spellEnd"/>
      <w:r w:rsidRPr="00160B33">
        <w:rPr>
          <w:rFonts w:ascii="Calibri" w:hAnsi="Calibri" w:cs="Calibri"/>
        </w:rPr>
        <w:t xml:space="preserve"> Jason Thomson, </w:t>
      </w:r>
      <w:proofErr w:type="spellStart"/>
      <w:r w:rsidRPr="00160B33">
        <w:rPr>
          <w:rFonts w:ascii="Calibri" w:hAnsi="Calibri" w:cs="Calibri"/>
        </w:rPr>
        <w:t>MD,</w:t>
      </w:r>
      <w:r w:rsidRPr="00160B33">
        <w:rPr>
          <w:rFonts w:ascii="Calibri" w:hAnsi="Calibri" w:cs="Calibri"/>
          <w:vertAlign w:val="superscript"/>
        </w:rPr>
        <w:t>a</w:t>
      </w:r>
      <w:r>
        <w:rPr>
          <w:rFonts w:ascii="Calibri" w:hAnsi="Calibri" w:cs="Calibri"/>
          <w:vertAlign w:val="superscript"/>
        </w:rPr>
        <w:t>,b</w:t>
      </w:r>
      <w:proofErr w:type="spellEnd"/>
      <w:r w:rsidRPr="00160B33">
        <w:rPr>
          <w:rFonts w:ascii="Calibri" w:hAnsi="Calibri" w:cs="Calibri"/>
        </w:rPr>
        <w:t xml:space="preserve"> </w:t>
      </w:r>
      <w:proofErr w:type="spellStart"/>
      <w:r w:rsidRPr="00160B33">
        <w:rPr>
          <w:rFonts w:ascii="Calibri" w:hAnsi="Calibri" w:cs="Calibri"/>
        </w:rPr>
        <w:t>Mah</w:t>
      </w:r>
      <w:proofErr w:type="spellEnd"/>
      <w:r w:rsidRPr="00160B33">
        <w:rPr>
          <w:rFonts w:ascii="Calibri" w:hAnsi="Calibri" w:cs="Calibri"/>
        </w:rPr>
        <w:t xml:space="preserve"> </w:t>
      </w:r>
      <w:proofErr w:type="spellStart"/>
      <w:r w:rsidRPr="00160B33">
        <w:rPr>
          <w:rFonts w:ascii="Calibri" w:hAnsi="Calibri" w:cs="Calibri"/>
        </w:rPr>
        <w:t>Jabeen</w:t>
      </w:r>
      <w:proofErr w:type="spellEnd"/>
      <w:r w:rsidRPr="00160B33">
        <w:rPr>
          <w:rFonts w:ascii="Calibri" w:hAnsi="Calibri" w:cs="Calibri"/>
        </w:rPr>
        <w:t xml:space="preserve"> </w:t>
      </w:r>
      <w:proofErr w:type="spellStart"/>
      <w:r w:rsidRPr="00160B33">
        <w:rPr>
          <w:rFonts w:ascii="Calibri" w:hAnsi="Calibri" w:cs="Calibri"/>
        </w:rPr>
        <w:t>Qamar,</w:t>
      </w:r>
      <w:r w:rsidRPr="00160B33">
        <w:rPr>
          <w:rFonts w:ascii="Calibri" w:hAnsi="Calibri" w:cs="Calibri"/>
          <w:vertAlign w:val="superscript"/>
        </w:rPr>
        <w:t>a,b</w:t>
      </w:r>
      <w:proofErr w:type="spellEnd"/>
      <w:r w:rsidRPr="00160B33">
        <w:rPr>
          <w:rFonts w:ascii="Calibri" w:hAnsi="Calibri" w:cs="Calibri"/>
        </w:rPr>
        <w:t xml:space="preserve"> </w:t>
      </w:r>
      <w:r w:rsidRPr="00192333">
        <w:rPr>
          <w:rFonts w:ascii="Calibri" w:hAnsi="Calibri" w:cs="Calibri"/>
        </w:rPr>
        <w:t xml:space="preserve">Rhiannon </w:t>
      </w:r>
      <w:proofErr w:type="spellStart"/>
      <w:r w:rsidRPr="00192333">
        <w:rPr>
          <w:rFonts w:ascii="Calibri" w:hAnsi="Calibri" w:cs="Calibri"/>
        </w:rPr>
        <w:t>Laban,</w:t>
      </w:r>
      <w:r w:rsidRPr="00192333">
        <w:rPr>
          <w:rFonts w:ascii="Calibri" w:hAnsi="Calibri" w:cs="Calibri"/>
          <w:vertAlign w:val="superscript"/>
        </w:rPr>
        <w:t>a,b</w:t>
      </w:r>
      <w:proofErr w:type="spellEnd"/>
      <w:r>
        <w:rPr>
          <w:rFonts w:ascii="Calibri" w:hAnsi="Calibri" w:cs="Calibri"/>
        </w:rPr>
        <w:t xml:space="preserve"> Craig </w:t>
      </w:r>
      <w:proofErr w:type="spellStart"/>
      <w:r>
        <w:rPr>
          <w:rFonts w:ascii="Calibri" w:hAnsi="Calibri" w:cs="Calibri"/>
        </w:rPr>
        <w:t>Nourse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PhD,</w:t>
      </w:r>
      <w:r>
        <w:rPr>
          <w:rFonts w:ascii="Calibri" w:hAnsi="Calibri" w:cs="Calibri"/>
          <w:vertAlign w:val="superscript"/>
        </w:rPr>
        <w:t>d</w:t>
      </w:r>
      <w:proofErr w:type="spellEnd"/>
      <w:r>
        <w:rPr>
          <w:rFonts w:ascii="Calibri" w:hAnsi="Calibri" w:cs="Calibri"/>
        </w:rPr>
        <w:t xml:space="preserve"> Christina Schoenherr, </w:t>
      </w:r>
      <w:proofErr w:type="spellStart"/>
      <w:r>
        <w:rPr>
          <w:rFonts w:ascii="Calibri" w:hAnsi="Calibri" w:cs="Calibri"/>
        </w:rPr>
        <w:t>PhD,</w:t>
      </w:r>
      <w:r>
        <w:rPr>
          <w:rFonts w:ascii="Calibri" w:hAnsi="Calibri" w:cs="Calibri"/>
          <w:vertAlign w:val="superscript"/>
        </w:rPr>
        <w:t>d</w:t>
      </w:r>
      <w:proofErr w:type="spellEnd"/>
      <w:r>
        <w:rPr>
          <w:rFonts w:ascii="Calibri" w:hAnsi="Calibri" w:cs="Calibri"/>
        </w:rPr>
        <w:t xml:space="preserve"> </w:t>
      </w:r>
      <w:r w:rsidRPr="00160B33">
        <w:rPr>
          <w:rFonts w:ascii="Calibri" w:hAnsi="Calibri" w:cs="Calibri"/>
        </w:rPr>
        <w:t>Mairi Treanor-Taylor,</w:t>
      </w:r>
      <w:r w:rsidRPr="00D23A23">
        <w:rPr>
          <w:rFonts w:ascii="Calibri" w:hAnsi="Calibri" w:cs="Calibri"/>
        </w:rPr>
        <w:t xml:space="preserve"> </w:t>
      </w:r>
      <w:proofErr w:type="spellStart"/>
      <w:r w:rsidRPr="00160B33">
        <w:rPr>
          <w:rFonts w:ascii="Calibri" w:hAnsi="Calibri" w:cs="Calibri"/>
        </w:rPr>
        <w:t>MD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vertAlign w:val="superscript"/>
        </w:rPr>
        <w:t>d</w:t>
      </w:r>
      <w:r w:rsidRPr="00160B33">
        <w:rPr>
          <w:rFonts w:ascii="Calibri" w:hAnsi="Calibri" w:cs="Calibri"/>
          <w:vertAlign w:val="superscript"/>
        </w:rPr>
        <w:t>,</w:t>
      </w:r>
      <w:r>
        <w:rPr>
          <w:rFonts w:ascii="Calibri" w:hAnsi="Calibri" w:cs="Calibri"/>
          <w:vertAlign w:val="superscript"/>
        </w:rPr>
        <w:t>e</w:t>
      </w:r>
      <w:proofErr w:type="spellEnd"/>
      <w:r w:rsidRPr="00160B33">
        <w:rPr>
          <w:rFonts w:ascii="Calibri" w:hAnsi="Calibri" w:cs="Calibri"/>
        </w:rPr>
        <w:t xml:space="preserve">, Eugene Healy, </w:t>
      </w:r>
      <w:r>
        <w:rPr>
          <w:rFonts w:ascii="Calibri" w:hAnsi="Calibri" w:cs="Calibri"/>
        </w:rPr>
        <w:t xml:space="preserve">MB </w:t>
      </w:r>
      <w:proofErr w:type="spellStart"/>
      <w:r w:rsidRPr="00160B33">
        <w:rPr>
          <w:rFonts w:ascii="Calibri" w:hAnsi="Calibri" w:cs="Calibri"/>
        </w:rPr>
        <w:t>PhD,</w:t>
      </w:r>
      <w:r>
        <w:rPr>
          <w:rFonts w:ascii="Calibri" w:hAnsi="Calibri" w:cs="Calibri"/>
          <w:vertAlign w:val="superscript"/>
        </w:rPr>
        <w:t>f,g</w:t>
      </w:r>
      <w:proofErr w:type="spellEnd"/>
      <w:r w:rsidRPr="00160B33">
        <w:rPr>
          <w:rFonts w:ascii="Calibri" w:hAnsi="Calibri" w:cs="Calibri"/>
        </w:rPr>
        <w:t xml:space="preserve"> Chester Lai, </w:t>
      </w:r>
      <w:r>
        <w:rPr>
          <w:rFonts w:ascii="Calibri" w:hAnsi="Calibri" w:cs="Calibri"/>
        </w:rPr>
        <w:t xml:space="preserve">BM </w:t>
      </w:r>
      <w:proofErr w:type="spellStart"/>
      <w:r w:rsidRPr="00160B33">
        <w:rPr>
          <w:rFonts w:ascii="Calibri" w:hAnsi="Calibri" w:cs="Calibri"/>
        </w:rPr>
        <w:t>PhD,</w:t>
      </w:r>
      <w:r>
        <w:rPr>
          <w:rFonts w:ascii="Calibri" w:hAnsi="Calibri" w:cs="Calibri"/>
          <w:vertAlign w:val="superscript"/>
        </w:rPr>
        <w:t>f,g</w:t>
      </w:r>
      <w:proofErr w:type="spellEnd"/>
      <w:r w:rsidRPr="00160B33">
        <w:rPr>
          <w:rFonts w:ascii="Calibri" w:hAnsi="Calibri" w:cs="Calibri"/>
        </w:rPr>
        <w:t xml:space="preserve"> Paul </w:t>
      </w:r>
      <w:proofErr w:type="spellStart"/>
      <w:r w:rsidRPr="00160B33">
        <w:rPr>
          <w:rFonts w:ascii="Calibri" w:hAnsi="Calibri" w:cs="Calibri"/>
        </w:rPr>
        <w:t>Craig,</w:t>
      </w:r>
      <w:r>
        <w:rPr>
          <w:rFonts w:ascii="Calibri" w:hAnsi="Calibri" w:cs="Calibri"/>
          <w:vertAlign w:val="superscript"/>
        </w:rPr>
        <w:t>h</w:t>
      </w:r>
      <w:proofErr w:type="spellEnd"/>
      <w:r w:rsidRPr="00160B33">
        <w:rPr>
          <w:rFonts w:ascii="Calibri" w:hAnsi="Calibri" w:cs="Calibri"/>
        </w:rPr>
        <w:t xml:space="preserve"> Colin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Moyes</w:t>
      </w:r>
      <w:r w:rsidRPr="00160B33">
        <w:rPr>
          <w:rFonts w:ascii="Calibri" w:hAnsi="Calibri" w:cs="Calibri"/>
        </w:rPr>
        <w:t>,</w:t>
      </w:r>
      <w:r>
        <w:rPr>
          <w:rFonts w:ascii="Calibri" w:hAnsi="Calibri" w:cs="Calibri"/>
          <w:vertAlign w:val="superscript"/>
        </w:rPr>
        <w:t>i</w:t>
      </w:r>
      <w:proofErr w:type="spellEnd"/>
      <w:r w:rsidRPr="00160B33">
        <w:rPr>
          <w:rFonts w:ascii="Calibri" w:hAnsi="Calibri" w:cs="Calibri"/>
        </w:rPr>
        <w:t xml:space="preserve"> </w:t>
      </w:r>
      <w:r w:rsidRPr="00192333">
        <w:rPr>
          <w:rFonts w:ascii="Calibri" w:hAnsi="Calibri" w:cs="Calibri"/>
        </w:rPr>
        <w:t>William</w:t>
      </w:r>
      <w:r w:rsidRPr="00160B33">
        <w:rPr>
          <w:rFonts w:ascii="Calibri" w:hAnsi="Calibri" w:cs="Calibri"/>
        </w:rPr>
        <w:t xml:space="preserve"> </w:t>
      </w:r>
      <w:proofErr w:type="spellStart"/>
      <w:r w:rsidRPr="00160B33">
        <w:rPr>
          <w:rFonts w:ascii="Calibri" w:hAnsi="Calibri" w:cs="Calibri"/>
        </w:rPr>
        <w:t>Rickaby,</w:t>
      </w:r>
      <w:r>
        <w:rPr>
          <w:rFonts w:ascii="Calibri" w:hAnsi="Calibri" w:cs="Calibri"/>
          <w:vertAlign w:val="superscript"/>
        </w:rPr>
        <w:t>j</w:t>
      </w:r>
      <w:proofErr w:type="spellEnd"/>
      <w:r w:rsidRPr="00160B33">
        <w:rPr>
          <w:rFonts w:ascii="Calibri" w:hAnsi="Calibri" w:cs="Calibri"/>
        </w:rPr>
        <w:t xml:space="preserve"> Joanne Martin, </w:t>
      </w:r>
      <w:proofErr w:type="spellStart"/>
      <w:r w:rsidRPr="00160B33">
        <w:rPr>
          <w:rFonts w:ascii="Calibri" w:hAnsi="Calibri" w:cs="Calibri"/>
        </w:rPr>
        <w:t>PhD,</w:t>
      </w:r>
      <w:r w:rsidRPr="00160B33">
        <w:rPr>
          <w:rFonts w:ascii="Calibri" w:hAnsi="Calibri" w:cs="Calibri"/>
          <w:vertAlign w:val="superscript"/>
        </w:rPr>
        <w:t>a</w:t>
      </w:r>
      <w:proofErr w:type="spellEnd"/>
      <w:r w:rsidRPr="00160B33">
        <w:rPr>
          <w:rFonts w:ascii="Calibri" w:hAnsi="Calibri" w:cs="Calibri"/>
        </w:rPr>
        <w:t xml:space="preserve"> Charlotte </w:t>
      </w:r>
      <w:proofErr w:type="spellStart"/>
      <w:r w:rsidRPr="00160B33">
        <w:rPr>
          <w:rFonts w:ascii="Calibri" w:hAnsi="Calibri" w:cs="Calibri"/>
        </w:rPr>
        <w:t>Proby</w:t>
      </w:r>
      <w:proofErr w:type="spellEnd"/>
      <w:r w:rsidRPr="00160B33">
        <w:rPr>
          <w:rFonts w:ascii="Calibri" w:hAnsi="Calibri" w:cs="Calibri"/>
        </w:rPr>
        <w:t xml:space="preserve">, </w:t>
      </w:r>
      <w:proofErr w:type="spellStart"/>
      <w:r w:rsidRPr="00160B33">
        <w:rPr>
          <w:rFonts w:ascii="Calibri" w:hAnsi="Calibri" w:cs="Calibri"/>
        </w:rPr>
        <w:t>MD,</w:t>
      </w:r>
      <w:r>
        <w:rPr>
          <w:rFonts w:ascii="Calibri" w:hAnsi="Calibri" w:cs="Calibri"/>
          <w:vertAlign w:val="superscript"/>
        </w:rPr>
        <w:t>k</w:t>
      </w:r>
      <w:proofErr w:type="spellEnd"/>
      <w:r w:rsidRPr="00160B33">
        <w:rPr>
          <w:rFonts w:ascii="Calibri" w:hAnsi="Calibri" w:cs="Calibri"/>
        </w:rPr>
        <w:t xml:space="preserve"> Gareth </w:t>
      </w:r>
      <w:r>
        <w:rPr>
          <w:rFonts w:ascii="Calibri" w:hAnsi="Calibri" w:cs="Calibri"/>
        </w:rPr>
        <w:t xml:space="preserve">J. </w:t>
      </w:r>
      <w:r w:rsidRPr="00160B33">
        <w:rPr>
          <w:rFonts w:ascii="Calibri" w:hAnsi="Calibri" w:cs="Calibri"/>
        </w:rPr>
        <w:t xml:space="preserve">Inman, </w:t>
      </w:r>
      <w:proofErr w:type="spellStart"/>
      <w:r w:rsidRPr="00160B33">
        <w:rPr>
          <w:rFonts w:ascii="Calibri" w:hAnsi="Calibri" w:cs="Calibri"/>
        </w:rPr>
        <w:t>PhD,</w:t>
      </w:r>
      <w:r>
        <w:rPr>
          <w:rFonts w:ascii="Calibri" w:hAnsi="Calibri" w:cs="Calibri"/>
          <w:vertAlign w:val="superscript"/>
        </w:rPr>
        <w:t>d</w:t>
      </w:r>
      <w:r w:rsidRPr="00160B33">
        <w:rPr>
          <w:rFonts w:ascii="Calibri" w:hAnsi="Calibri" w:cs="Calibri"/>
          <w:vertAlign w:val="superscript"/>
        </w:rPr>
        <w:t>,</w:t>
      </w:r>
      <w:r>
        <w:rPr>
          <w:rFonts w:ascii="Calibri" w:hAnsi="Calibri" w:cs="Calibri"/>
          <w:vertAlign w:val="superscript"/>
        </w:rPr>
        <w:t>e</w:t>
      </w:r>
      <w:proofErr w:type="spellEnd"/>
      <w:r w:rsidRPr="00160B33">
        <w:rPr>
          <w:rFonts w:ascii="Calibri" w:hAnsi="Calibri" w:cs="Calibri"/>
        </w:rPr>
        <w:t xml:space="preserve"> Irene </w:t>
      </w:r>
      <w:r>
        <w:rPr>
          <w:rFonts w:ascii="Calibri" w:hAnsi="Calibri" w:cs="Calibri"/>
        </w:rPr>
        <w:t xml:space="preserve">M. </w:t>
      </w:r>
      <w:r w:rsidRPr="00160B33">
        <w:rPr>
          <w:rFonts w:ascii="Calibri" w:hAnsi="Calibri" w:cs="Calibri"/>
        </w:rPr>
        <w:t xml:space="preserve">Leigh, CBE, </w:t>
      </w:r>
      <w:proofErr w:type="spellStart"/>
      <w:r w:rsidRPr="00160B33">
        <w:rPr>
          <w:rFonts w:ascii="Calibri" w:hAnsi="Calibri" w:cs="Calibri"/>
        </w:rPr>
        <w:t>DSc</w:t>
      </w:r>
      <w:r w:rsidRPr="00160B33">
        <w:rPr>
          <w:rFonts w:ascii="Calibri" w:hAnsi="Calibri" w:cs="Calibri"/>
          <w:vertAlign w:val="superscript"/>
        </w:rPr>
        <w:t>a</w:t>
      </w:r>
      <w:proofErr w:type="spellEnd"/>
    </w:p>
    <w:p w14:paraId="60297C94" w14:textId="77777777" w:rsidR="008805EB" w:rsidRDefault="008805EB" w:rsidP="00EB3F1C">
      <w:pPr>
        <w:spacing w:line="276" w:lineRule="auto"/>
        <w:jc w:val="both"/>
      </w:pPr>
    </w:p>
    <w:p w14:paraId="2F02EA70" w14:textId="77777777" w:rsidR="002C6620" w:rsidRDefault="002C6620" w:rsidP="00EB3F1C">
      <w:pPr>
        <w:spacing w:line="276" w:lineRule="auto"/>
        <w:jc w:val="both"/>
        <w:rPr>
          <w:b/>
          <w:bCs/>
        </w:rPr>
      </w:pPr>
    </w:p>
    <w:p w14:paraId="26106A25" w14:textId="1C7426D8" w:rsidR="002A0C0E" w:rsidRPr="003459E9" w:rsidRDefault="00656E13" w:rsidP="00EB3F1C">
      <w:pPr>
        <w:spacing w:line="276" w:lineRule="auto"/>
        <w:jc w:val="both"/>
        <w:rPr>
          <w:b/>
          <w:bCs/>
        </w:rPr>
      </w:pPr>
      <w:r w:rsidRPr="003459E9">
        <w:rPr>
          <w:b/>
          <w:bCs/>
        </w:rPr>
        <w:t>Supplement</w:t>
      </w:r>
      <w:r w:rsidR="00150A09">
        <w:rPr>
          <w:b/>
          <w:bCs/>
        </w:rPr>
        <w:t>al</w:t>
      </w:r>
      <w:r w:rsidRPr="003459E9">
        <w:rPr>
          <w:b/>
          <w:bCs/>
        </w:rPr>
        <w:t xml:space="preserve"> </w:t>
      </w:r>
      <w:r w:rsidR="00B01787" w:rsidRPr="003459E9">
        <w:rPr>
          <w:b/>
          <w:bCs/>
        </w:rPr>
        <w:t>Materials</w:t>
      </w:r>
    </w:p>
    <w:p w14:paraId="23F627F8" w14:textId="3568262B" w:rsidR="00C57012" w:rsidRDefault="00C57012" w:rsidP="00EB3F1C">
      <w:pPr>
        <w:spacing w:line="276" w:lineRule="auto"/>
        <w:jc w:val="both"/>
      </w:pPr>
    </w:p>
    <w:p w14:paraId="2C4EAFB4" w14:textId="626E20A4" w:rsidR="006F2610" w:rsidRPr="00AF75A0" w:rsidRDefault="004A487F" w:rsidP="00EB3F1C">
      <w:pPr>
        <w:spacing w:line="276" w:lineRule="auto"/>
        <w:jc w:val="both"/>
        <w:rPr>
          <w:rFonts w:cstheme="minorHAnsi"/>
          <w:b/>
          <w:bCs/>
        </w:rPr>
      </w:pPr>
      <w:r w:rsidRPr="00AF75A0">
        <w:rPr>
          <w:rFonts w:cstheme="minorHAnsi"/>
          <w:b/>
          <w:bCs/>
        </w:rPr>
        <w:t>Pathological review and sample selection</w:t>
      </w:r>
    </w:p>
    <w:p w14:paraId="7E6B0FF9" w14:textId="3D91072C" w:rsidR="006F2610" w:rsidRDefault="00AF75A0" w:rsidP="00EB3F1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6F2610">
        <w:rPr>
          <w:rFonts w:cstheme="minorHAnsi"/>
        </w:rPr>
        <w:t xml:space="preserve"> standard H and E section was marked to identify tumour regions (ideally 10mm</w:t>
      </w:r>
      <w:r w:rsidR="006F2610" w:rsidRPr="00B53CE8">
        <w:rPr>
          <w:rFonts w:cs="Calibri (Body)"/>
          <w:vertAlign w:val="superscript"/>
        </w:rPr>
        <w:t>2</w:t>
      </w:r>
      <w:r w:rsidR="006F2610">
        <w:rPr>
          <w:rFonts w:cstheme="minorHAnsi"/>
        </w:rPr>
        <w:t xml:space="preserve"> with a minimum 2mm</w:t>
      </w:r>
      <w:r w:rsidR="006F2610" w:rsidRPr="004A04DE">
        <w:rPr>
          <w:rFonts w:cs="Calibri (Body)"/>
          <w:vertAlign w:val="superscript"/>
        </w:rPr>
        <w:t>2</w:t>
      </w:r>
      <w:r w:rsidR="006F2610">
        <w:rPr>
          <w:rFonts w:cstheme="minorHAnsi"/>
        </w:rPr>
        <w:t xml:space="preserve">) and a similar sized region of normal </w:t>
      </w:r>
      <w:r w:rsidR="009B7CF0">
        <w:rPr>
          <w:rFonts w:cstheme="minorHAnsi"/>
        </w:rPr>
        <w:t>‘</w:t>
      </w:r>
      <w:r w:rsidR="006F2610">
        <w:rPr>
          <w:rFonts w:cstheme="minorHAnsi"/>
        </w:rPr>
        <w:t>perilesional</w:t>
      </w:r>
      <w:r w:rsidR="009B7CF0">
        <w:rPr>
          <w:rFonts w:cstheme="minorHAnsi"/>
        </w:rPr>
        <w:t>’</w:t>
      </w:r>
      <w:r w:rsidR="006F2610">
        <w:rPr>
          <w:rFonts w:cstheme="minorHAnsi"/>
        </w:rPr>
        <w:t xml:space="preserve"> skin at least </w:t>
      </w:r>
      <w:r w:rsidR="00E36D0C">
        <w:rPr>
          <w:rFonts w:cstheme="minorHAnsi"/>
        </w:rPr>
        <w:t>2</w:t>
      </w:r>
      <w:r w:rsidR="006F2610">
        <w:rPr>
          <w:rFonts w:cstheme="minorHAnsi"/>
        </w:rPr>
        <w:t>mm away from the tumour region</w:t>
      </w:r>
      <w:r w:rsidR="00FF4DF0">
        <w:rPr>
          <w:rFonts w:cstheme="minorHAnsi"/>
        </w:rPr>
        <w:t>.</w:t>
      </w:r>
      <w:r w:rsidR="00C651A6">
        <w:rPr>
          <w:rFonts w:cstheme="minorHAnsi"/>
        </w:rPr>
        <w:t xml:space="preserve"> </w:t>
      </w:r>
      <w:r w:rsidR="006F2610">
        <w:rPr>
          <w:rFonts w:cstheme="minorHAnsi"/>
        </w:rPr>
        <w:t>A second slide (10</w:t>
      </w:r>
      <w:r w:rsidR="00374FD7" w:rsidRPr="00F66296">
        <w:rPr>
          <w:rFonts w:ascii="Symbol" w:hAnsi="Symbol" w:cstheme="minorHAnsi"/>
        </w:rPr>
        <w:t>m</w:t>
      </w:r>
      <w:r w:rsidR="00374FD7">
        <w:rPr>
          <w:rFonts w:cstheme="minorHAnsi"/>
        </w:rPr>
        <w:t>m section</w:t>
      </w:r>
      <w:r w:rsidR="006F2610">
        <w:rPr>
          <w:rFonts w:cstheme="minorHAnsi"/>
        </w:rPr>
        <w:t>) slide</w:t>
      </w:r>
      <w:r w:rsidR="00C7029B">
        <w:rPr>
          <w:rFonts w:cstheme="minorHAnsi"/>
        </w:rPr>
        <w:t xml:space="preserve"> </w:t>
      </w:r>
      <w:r w:rsidR="006F2610">
        <w:rPr>
          <w:rFonts w:cstheme="minorHAnsi"/>
        </w:rPr>
        <w:t>was matched and marked on the reverse of the unstained section and was submitted for</w:t>
      </w:r>
      <w:r w:rsidR="00EC3B9C">
        <w:rPr>
          <w:rFonts w:cstheme="minorHAnsi"/>
        </w:rPr>
        <w:t xml:space="preserve"> </w:t>
      </w:r>
      <w:r w:rsidR="00577192">
        <w:rPr>
          <w:rFonts w:cstheme="minorHAnsi"/>
        </w:rPr>
        <w:t xml:space="preserve">the transcriptomics </w:t>
      </w:r>
      <w:r w:rsidR="006F2610">
        <w:rPr>
          <w:rFonts w:cstheme="minorHAnsi"/>
        </w:rPr>
        <w:t>analysis</w:t>
      </w:r>
      <w:r w:rsidR="0044214B">
        <w:rPr>
          <w:rFonts w:cstheme="minorHAnsi"/>
        </w:rPr>
        <w:t>.</w:t>
      </w:r>
    </w:p>
    <w:p w14:paraId="0B0617DF" w14:textId="03CE81CF" w:rsidR="00BE27C4" w:rsidRDefault="00BE27C4" w:rsidP="00EB3F1C">
      <w:pPr>
        <w:spacing w:line="276" w:lineRule="auto"/>
        <w:jc w:val="both"/>
        <w:rPr>
          <w:rFonts w:cstheme="minorHAnsi"/>
        </w:rPr>
      </w:pPr>
    </w:p>
    <w:p w14:paraId="245693BB" w14:textId="77042305" w:rsidR="00BE27C4" w:rsidRDefault="00A33906" w:rsidP="00EB3F1C">
      <w:pPr>
        <w:spacing w:line="276" w:lineRule="auto"/>
        <w:jc w:val="both"/>
        <w:rPr>
          <w:rFonts w:cstheme="minorHAnsi"/>
        </w:rPr>
      </w:pPr>
      <w:r w:rsidRPr="00020DF3">
        <w:rPr>
          <w:rFonts w:cstheme="minorHAnsi"/>
        </w:rPr>
        <w:t xml:space="preserve">The H&amp;E sections were digitally scanned with a Leica scanner and </w:t>
      </w:r>
      <w:proofErr w:type="spellStart"/>
      <w:r w:rsidRPr="00020DF3">
        <w:rPr>
          <w:rFonts w:cstheme="minorHAnsi"/>
        </w:rPr>
        <w:t>Aperio</w:t>
      </w:r>
      <w:proofErr w:type="spellEnd"/>
      <w:r w:rsidRPr="00020DF3">
        <w:rPr>
          <w:rFonts w:cstheme="minorHAnsi"/>
        </w:rPr>
        <w:t xml:space="preserve"> software and images </w:t>
      </w:r>
      <w:r w:rsidR="002A657C">
        <w:rPr>
          <w:rFonts w:cstheme="minorHAnsi"/>
        </w:rPr>
        <w:t xml:space="preserve">were </w:t>
      </w:r>
      <w:r w:rsidRPr="00020DF3">
        <w:rPr>
          <w:rFonts w:cstheme="minorHAnsi"/>
        </w:rPr>
        <w:t>reviewed independently by two expert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>dermatopathologists (PC, WR) who possess the Royal College of Pathologists UK (</w:t>
      </w:r>
      <w:proofErr w:type="spellStart"/>
      <w:r>
        <w:rPr>
          <w:rFonts w:cstheme="minorHAnsi"/>
        </w:rPr>
        <w:t>RCPath</w:t>
      </w:r>
      <w:proofErr w:type="spellEnd"/>
      <w:r>
        <w:rPr>
          <w:rFonts w:cstheme="minorHAnsi"/>
        </w:rPr>
        <w:t xml:space="preserve">) Diploma in Dermatopathology where the standard is of an expert referral level dermatopathologist. The diagnosis of </w:t>
      </w:r>
      <w:proofErr w:type="spellStart"/>
      <w:r>
        <w:rPr>
          <w:rFonts w:cstheme="minorHAnsi"/>
        </w:rPr>
        <w:t>cSCC</w:t>
      </w:r>
      <w:proofErr w:type="spellEnd"/>
      <w:r>
        <w:rPr>
          <w:rFonts w:cstheme="minorHAnsi"/>
        </w:rPr>
        <w:t xml:space="preserve"> was confirmed</w:t>
      </w:r>
      <w:r w:rsidRPr="00A66894">
        <w:rPr>
          <w:rFonts w:cstheme="minorHAnsi"/>
        </w:rPr>
        <w:t xml:space="preserve"> </w:t>
      </w:r>
      <w:r>
        <w:rPr>
          <w:rFonts w:cstheme="minorHAnsi"/>
        </w:rPr>
        <w:t xml:space="preserve">and a consensus formed in any case where there was discrepancy for any of these features. </w:t>
      </w:r>
    </w:p>
    <w:p w14:paraId="778D07A0" w14:textId="14F29063" w:rsidR="00C57012" w:rsidRDefault="00C57012" w:rsidP="00EB3F1C">
      <w:pPr>
        <w:spacing w:line="276" w:lineRule="auto"/>
        <w:jc w:val="both"/>
      </w:pPr>
    </w:p>
    <w:p w14:paraId="55FA27EA" w14:textId="543D2851" w:rsidR="008D3B03" w:rsidRPr="0065640A" w:rsidRDefault="00AD79D2" w:rsidP="00EB3F1C">
      <w:pPr>
        <w:spacing w:line="276" w:lineRule="auto"/>
        <w:jc w:val="both"/>
        <w:rPr>
          <w:b/>
          <w:bCs/>
        </w:rPr>
      </w:pPr>
      <w:proofErr w:type="spellStart"/>
      <w:r w:rsidRPr="0065640A">
        <w:rPr>
          <w:b/>
          <w:bCs/>
        </w:rPr>
        <w:t>TempO-seq</w:t>
      </w:r>
      <w:proofErr w:type="spellEnd"/>
      <w:r w:rsidRPr="0065640A">
        <w:rPr>
          <w:b/>
          <w:bCs/>
        </w:rPr>
        <w:t xml:space="preserve"> </w:t>
      </w:r>
      <w:r w:rsidR="00BB1871" w:rsidRPr="0065640A">
        <w:rPr>
          <w:b/>
          <w:bCs/>
        </w:rPr>
        <w:t xml:space="preserve">data </w:t>
      </w:r>
      <w:r w:rsidR="00AB653B">
        <w:rPr>
          <w:b/>
          <w:bCs/>
        </w:rPr>
        <w:t>analysis</w:t>
      </w:r>
    </w:p>
    <w:p w14:paraId="02007053" w14:textId="5A8D1A66" w:rsidR="00F73CDE" w:rsidRDefault="00742EF4" w:rsidP="00EB3F1C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Samples with a total raw read count less than 1M reads </w:t>
      </w:r>
      <w:r w:rsidRPr="002C6C63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 xml:space="preserve">note that </w:t>
      </w:r>
      <w:r w:rsidRPr="002C6C63">
        <w:rPr>
          <w:rFonts w:cstheme="minorHAnsi"/>
          <w:lang w:val="en-US"/>
        </w:rPr>
        <w:t>t</w:t>
      </w:r>
      <w:r w:rsidRPr="00042A0F">
        <w:rPr>
          <w:rFonts w:cstheme="minorHAnsi"/>
          <w:lang w:val="en-US"/>
        </w:rPr>
        <w:t>he average raw read count was ~5M across samples</w:t>
      </w:r>
      <w:r w:rsidRPr="002C6C63">
        <w:rPr>
          <w:rFonts w:cstheme="minorHAnsi"/>
          <w:lang w:val="en-US"/>
        </w:rPr>
        <w:t>)</w:t>
      </w:r>
      <w:r>
        <w:rPr>
          <w:rFonts w:cstheme="minorHAnsi"/>
          <w:lang w:val="en-US"/>
        </w:rPr>
        <w:t xml:space="preserve"> were excluded from our analysis.</w:t>
      </w:r>
      <w:r>
        <w:rPr>
          <w:rFonts w:cstheme="minorHAnsi"/>
        </w:rPr>
        <w:t xml:space="preserve"> </w:t>
      </w:r>
      <w:r w:rsidR="005848C9">
        <w:rPr>
          <w:rFonts w:cstheme="minorHAnsi"/>
        </w:rPr>
        <w:t xml:space="preserve">Raw read counts of captured </w:t>
      </w:r>
      <w:r w:rsidR="009862C2">
        <w:rPr>
          <w:rFonts w:cstheme="minorHAnsi"/>
        </w:rPr>
        <w:t xml:space="preserve">probes / </w:t>
      </w:r>
      <w:r w:rsidR="005848C9">
        <w:rPr>
          <w:rFonts w:cstheme="minorHAnsi"/>
        </w:rPr>
        <w:t>genes were processed</w:t>
      </w:r>
      <w:r w:rsidR="00217E3B">
        <w:rPr>
          <w:rFonts w:cstheme="minorHAnsi"/>
        </w:rPr>
        <w:t xml:space="preserve"> for </w:t>
      </w:r>
      <w:r w:rsidR="009F2B22">
        <w:rPr>
          <w:rFonts w:cstheme="minorHAnsi"/>
        </w:rPr>
        <w:t xml:space="preserve">the following </w:t>
      </w:r>
      <w:r w:rsidR="00AD4975">
        <w:rPr>
          <w:rFonts w:cstheme="minorHAnsi"/>
        </w:rPr>
        <w:t>analysis</w:t>
      </w:r>
      <w:r w:rsidR="005848C9">
        <w:rPr>
          <w:rFonts w:cstheme="minorHAnsi"/>
        </w:rPr>
        <w:t xml:space="preserve"> using </w:t>
      </w:r>
      <w:proofErr w:type="spellStart"/>
      <w:r w:rsidR="005848C9">
        <w:rPr>
          <w:rFonts w:cstheme="minorHAnsi"/>
        </w:rPr>
        <w:t>limma</w:t>
      </w:r>
      <w:proofErr w:type="spellEnd"/>
      <w:r w:rsidR="005848C9">
        <w:rPr>
          <w:rFonts w:cstheme="minorHAnsi"/>
        </w:rPr>
        <w:t xml:space="preserve"> R package.</w:t>
      </w:r>
      <w:r w:rsidR="002F1FFA">
        <w:t xml:space="preserve"> </w:t>
      </w:r>
      <w:r w:rsidR="008D3B03">
        <w:rPr>
          <w:rFonts w:cstheme="minorHAnsi"/>
        </w:rPr>
        <w:t xml:space="preserve">First, probes that </w:t>
      </w:r>
      <w:r w:rsidR="008D3B03" w:rsidRPr="002D53B2">
        <w:rPr>
          <w:rFonts w:cstheme="minorHAnsi"/>
          <w:lang w:val="en-US"/>
        </w:rPr>
        <w:t>consistently ha</w:t>
      </w:r>
      <w:r w:rsidR="008D3B03">
        <w:rPr>
          <w:rFonts w:cstheme="minorHAnsi"/>
          <w:lang w:val="en-US"/>
        </w:rPr>
        <w:t>d</w:t>
      </w:r>
      <w:r w:rsidR="008D3B03" w:rsidRPr="002D53B2">
        <w:rPr>
          <w:rFonts w:cstheme="minorHAnsi"/>
          <w:lang w:val="en-US"/>
        </w:rPr>
        <w:t xml:space="preserve"> zero or very low counts</w:t>
      </w:r>
      <w:r w:rsidR="008D3B03">
        <w:rPr>
          <w:rFonts w:cstheme="minorHAnsi"/>
          <w:lang w:val="en-US"/>
        </w:rPr>
        <w:t xml:space="preserve"> across all samples were excluded using the default setting in </w:t>
      </w:r>
      <w:proofErr w:type="spellStart"/>
      <w:r w:rsidR="0009242D">
        <w:rPr>
          <w:rFonts w:cstheme="minorHAnsi"/>
          <w:lang w:val="en-US"/>
        </w:rPr>
        <w:t>limma</w:t>
      </w:r>
      <w:proofErr w:type="spellEnd"/>
      <w:r w:rsidR="008D3B03">
        <w:rPr>
          <w:rFonts w:cstheme="minorHAnsi"/>
          <w:lang w:val="en-US"/>
        </w:rPr>
        <w:t xml:space="preserve"> gene filtering, leading to 21,701 retained probes.</w:t>
      </w:r>
      <w:r w:rsidR="00957A14">
        <w:rPr>
          <w:lang w:val="en-US"/>
        </w:rPr>
        <w:t xml:space="preserve"> </w:t>
      </w:r>
      <w:r w:rsidR="006267FB">
        <w:rPr>
          <w:rFonts w:cstheme="minorHAnsi"/>
          <w:lang w:val="en-US"/>
        </w:rPr>
        <w:t xml:space="preserve">Raw read counts were further </w:t>
      </w:r>
      <w:proofErr w:type="spellStart"/>
      <w:r w:rsidR="006267FB">
        <w:rPr>
          <w:rFonts w:cstheme="minorHAnsi"/>
          <w:lang w:val="en-US"/>
        </w:rPr>
        <w:t>normalised</w:t>
      </w:r>
      <w:proofErr w:type="spellEnd"/>
      <w:r w:rsidR="006267FB">
        <w:rPr>
          <w:rFonts w:cstheme="minorHAnsi"/>
          <w:lang w:val="en-US"/>
        </w:rPr>
        <w:t xml:space="preserve"> using the </w:t>
      </w:r>
      <w:proofErr w:type="spellStart"/>
      <w:r w:rsidR="006267FB">
        <w:rPr>
          <w:rFonts w:cstheme="minorHAnsi"/>
          <w:lang w:val="en-US"/>
        </w:rPr>
        <w:t>limma</w:t>
      </w:r>
      <w:proofErr w:type="spellEnd"/>
      <w:r w:rsidR="006267FB">
        <w:rPr>
          <w:rFonts w:cstheme="minorHAnsi"/>
          <w:lang w:val="en-US"/>
        </w:rPr>
        <w:t xml:space="preserve"> </w:t>
      </w:r>
      <w:proofErr w:type="spellStart"/>
      <w:r w:rsidR="006267FB">
        <w:rPr>
          <w:rFonts w:cstheme="minorHAnsi"/>
          <w:lang w:val="en-US"/>
        </w:rPr>
        <w:t>voom</w:t>
      </w:r>
      <w:proofErr w:type="spellEnd"/>
      <w:r w:rsidR="006267FB">
        <w:rPr>
          <w:rFonts w:cstheme="minorHAnsi"/>
          <w:lang w:val="en-US"/>
        </w:rPr>
        <w:t xml:space="preserve"> function. Next, a gene expression matrix using the gene symbols as the unique identifiers</w:t>
      </w:r>
      <w:r w:rsidR="00194300">
        <w:rPr>
          <w:rFonts w:cstheme="minorHAnsi"/>
          <w:lang w:val="en-US"/>
        </w:rPr>
        <w:t xml:space="preserve"> was created</w:t>
      </w:r>
      <w:r w:rsidR="008B691F">
        <w:rPr>
          <w:rFonts w:cstheme="minorHAnsi"/>
          <w:lang w:val="en-US"/>
        </w:rPr>
        <w:t xml:space="preserve"> using the </w:t>
      </w:r>
      <w:r w:rsidR="00B6567D">
        <w:rPr>
          <w:rFonts w:cstheme="minorHAnsi"/>
          <w:lang w:val="en-US"/>
        </w:rPr>
        <w:t>following strategy</w:t>
      </w:r>
      <w:r w:rsidR="00B82EE7">
        <w:rPr>
          <w:rFonts w:cstheme="minorHAnsi"/>
          <w:lang w:val="en-US"/>
        </w:rPr>
        <w:t xml:space="preserve"> </w:t>
      </w:r>
      <w:r w:rsidR="00CF2066">
        <w:rPr>
          <w:rFonts w:cstheme="minorHAnsi"/>
          <w:lang w:val="en-US"/>
        </w:rPr>
        <w:t>(1)</w:t>
      </w:r>
      <w:r w:rsidR="00C82A3D">
        <w:rPr>
          <w:rFonts w:cstheme="minorHAnsi"/>
          <w:lang w:val="en-US"/>
        </w:rPr>
        <w:t xml:space="preserve">. </w:t>
      </w:r>
      <w:r w:rsidR="008B11C5">
        <w:rPr>
          <w:rFonts w:cstheme="minorHAnsi"/>
          <w:lang w:val="en-US"/>
        </w:rPr>
        <w:t xml:space="preserve">For genes with </w:t>
      </w:r>
      <w:r w:rsidR="008B11C5" w:rsidRPr="0026428A">
        <w:rPr>
          <w:rFonts w:cstheme="minorHAnsi"/>
          <w:lang w:val="en-US"/>
        </w:rPr>
        <w:t>≤</w:t>
      </w:r>
      <w:r w:rsidR="008B11C5">
        <w:rPr>
          <w:rFonts w:cstheme="minorHAnsi"/>
          <w:lang w:val="en-US"/>
        </w:rPr>
        <w:t xml:space="preserve">2 probes, we calculated the median value of the probes as the expression value of the gene. For genes with &gt;2 probes, </w:t>
      </w:r>
      <w:r w:rsidR="008B11C5" w:rsidRPr="007D061D">
        <w:rPr>
          <w:rFonts w:cstheme="minorHAnsi"/>
          <w:lang w:val="en-US"/>
        </w:rPr>
        <w:t>we calculated the correlation among probes, selected the most correlated probes (</w:t>
      </w:r>
      <w:r w:rsidR="008B11C5">
        <w:rPr>
          <w:rFonts w:cstheme="minorHAnsi"/>
          <w:lang w:val="en-US"/>
        </w:rPr>
        <w:t>correlation coefficient, r</w:t>
      </w:r>
      <w:r w:rsidR="008B11C5" w:rsidRPr="007D061D">
        <w:rPr>
          <w:rFonts w:cstheme="minorHAnsi"/>
          <w:lang w:val="en-US"/>
        </w:rPr>
        <w:t>&gt;0.5) and used the median value of these correlated probes</w:t>
      </w:r>
      <w:r w:rsidR="008B11C5">
        <w:rPr>
          <w:rFonts w:cstheme="minorHAnsi"/>
          <w:lang w:val="en-US"/>
        </w:rPr>
        <w:t xml:space="preserve"> as the expression value of the gene</w:t>
      </w:r>
      <w:r w:rsidR="0020092C">
        <w:rPr>
          <w:rFonts w:cstheme="minorHAnsi"/>
          <w:lang w:val="en-US"/>
        </w:rPr>
        <w:t xml:space="preserve">. </w:t>
      </w:r>
      <w:r w:rsidR="00F73CDE">
        <w:rPr>
          <w:rFonts w:cstheme="minorHAnsi"/>
          <w:lang w:val="en-US"/>
        </w:rPr>
        <w:t>This led to 19,072 genes sufficiently profiled in our data set.</w:t>
      </w:r>
      <w:r w:rsidR="00F548CF" w:rsidRPr="00F548CF">
        <w:rPr>
          <w:rFonts w:cstheme="minorHAnsi"/>
          <w:lang w:val="en-US"/>
        </w:rPr>
        <w:t xml:space="preserve"> </w:t>
      </w:r>
      <w:r w:rsidR="00F548CF">
        <w:rPr>
          <w:rFonts w:cstheme="minorHAnsi"/>
          <w:lang w:val="en-US"/>
        </w:rPr>
        <w:t>Principle component analysis (PCA) was used to inspect the full data set in terms of sample clustering and grouping based on clinical annotation.</w:t>
      </w:r>
      <w:r w:rsidR="00391E37" w:rsidRPr="00391E37">
        <w:rPr>
          <w:rFonts w:cstheme="minorHAnsi"/>
          <w:lang w:val="en-US"/>
        </w:rPr>
        <w:t xml:space="preserve"> </w:t>
      </w:r>
      <w:r w:rsidR="007835E7">
        <w:rPr>
          <w:rFonts w:cstheme="minorHAnsi"/>
          <w:lang w:val="en-US"/>
        </w:rPr>
        <w:t xml:space="preserve">Differential </w:t>
      </w:r>
      <w:r w:rsidR="007835E7">
        <w:rPr>
          <w:rFonts w:cstheme="minorHAnsi"/>
          <w:lang w:val="en-US"/>
        </w:rPr>
        <w:lastRenderedPageBreak/>
        <w:t xml:space="preserve">expression (DE) analysis was performed using </w:t>
      </w:r>
      <w:proofErr w:type="spellStart"/>
      <w:r w:rsidR="007835E7">
        <w:rPr>
          <w:rFonts w:cstheme="minorHAnsi"/>
          <w:lang w:val="en-US"/>
        </w:rPr>
        <w:t>limma</w:t>
      </w:r>
      <w:proofErr w:type="spellEnd"/>
      <w:r w:rsidR="007171E7">
        <w:rPr>
          <w:rFonts w:cstheme="minorHAnsi"/>
          <w:lang w:val="en-US"/>
        </w:rPr>
        <w:t xml:space="preserve"> (2)</w:t>
      </w:r>
      <w:r w:rsidR="007835E7">
        <w:rPr>
          <w:rFonts w:cstheme="minorHAnsi"/>
          <w:lang w:val="en-US"/>
        </w:rPr>
        <w:t xml:space="preserve">. </w:t>
      </w:r>
      <w:r w:rsidR="00391E37">
        <w:rPr>
          <w:rFonts w:cstheme="minorHAnsi"/>
          <w:lang w:val="en-US"/>
        </w:rPr>
        <w:t>Significant DE genes were defined as those with the absolute value of log</w:t>
      </w:r>
      <w:r w:rsidR="00391E37" w:rsidRPr="00FD06A1">
        <w:rPr>
          <w:rFonts w:cs="Calibri (Body)"/>
          <w:vertAlign w:val="subscript"/>
          <w:lang w:val="en-US"/>
        </w:rPr>
        <w:t>2</w:t>
      </w:r>
      <w:r w:rsidR="00391E37">
        <w:rPr>
          <w:rFonts w:cstheme="minorHAnsi"/>
          <w:lang w:val="en-US"/>
        </w:rPr>
        <w:t xml:space="preserve"> fold change &gt;1 and adjusted p-value &lt; 0.05 in the </w:t>
      </w:r>
      <w:proofErr w:type="spellStart"/>
      <w:r w:rsidR="00391E37">
        <w:rPr>
          <w:rFonts w:cstheme="minorHAnsi"/>
          <w:lang w:val="en-US"/>
        </w:rPr>
        <w:t>limma</w:t>
      </w:r>
      <w:proofErr w:type="spellEnd"/>
      <w:r w:rsidR="00391E37">
        <w:rPr>
          <w:rFonts w:cstheme="minorHAnsi"/>
          <w:lang w:val="en-US"/>
        </w:rPr>
        <w:t xml:space="preserve"> analysis.</w:t>
      </w:r>
    </w:p>
    <w:p w14:paraId="6874E679" w14:textId="67BA8F7D" w:rsidR="00662AC1" w:rsidRDefault="00662AC1" w:rsidP="00EB3F1C">
      <w:pPr>
        <w:spacing w:line="276" w:lineRule="auto"/>
        <w:jc w:val="both"/>
        <w:rPr>
          <w:rFonts w:cstheme="minorHAnsi"/>
          <w:lang w:val="en-US"/>
        </w:rPr>
      </w:pPr>
    </w:p>
    <w:p w14:paraId="7B1F9EF3" w14:textId="3A8A8AED" w:rsidR="00662AC1" w:rsidRPr="00325ABA" w:rsidRDefault="00524389" w:rsidP="00EB3F1C">
      <w:pPr>
        <w:spacing w:line="276" w:lineRule="auto"/>
        <w:jc w:val="both"/>
        <w:rPr>
          <w:rFonts w:cstheme="minorHAnsi"/>
          <w:b/>
          <w:bCs/>
          <w:lang w:val="en-US"/>
        </w:rPr>
      </w:pPr>
      <w:r w:rsidRPr="00325ABA">
        <w:rPr>
          <w:rFonts w:cstheme="minorHAnsi"/>
          <w:b/>
          <w:bCs/>
          <w:lang w:val="en-US"/>
        </w:rPr>
        <w:t>Machine learning process</w:t>
      </w:r>
    </w:p>
    <w:p w14:paraId="215D1EEF" w14:textId="3EB931A7" w:rsidR="00524389" w:rsidRDefault="004B6FE1" w:rsidP="00EB3F1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A range of ML techniques were used and compared, </w:t>
      </w:r>
      <w:r w:rsidR="000D5AB7">
        <w:rPr>
          <w:rFonts w:cstheme="minorHAnsi"/>
        </w:rPr>
        <w:t xml:space="preserve">including </w:t>
      </w:r>
      <w:r w:rsidR="000D5AB7" w:rsidRPr="0009723D">
        <w:rPr>
          <w:rFonts w:cstheme="minorHAnsi"/>
        </w:rPr>
        <w:t>Support Vector Machines with Radial Basis Function Kernel</w:t>
      </w:r>
      <w:r w:rsidR="000D5AB7">
        <w:rPr>
          <w:rFonts w:cstheme="minorHAnsi"/>
        </w:rPr>
        <w:t xml:space="preserve"> (SVM Radial), random forest, PAM with the </w:t>
      </w:r>
      <w:r w:rsidR="000D5AB7" w:rsidRPr="00BF3A26">
        <w:rPr>
          <w:rFonts w:cstheme="minorHAnsi"/>
        </w:rPr>
        <w:t>Nearest Shrunken Centroids</w:t>
      </w:r>
      <w:r w:rsidR="000D5AB7">
        <w:rPr>
          <w:rFonts w:cstheme="minorHAnsi"/>
        </w:rPr>
        <w:t xml:space="preserve">, </w:t>
      </w:r>
      <w:r w:rsidR="000D5AB7" w:rsidRPr="004C2B3F">
        <w:rPr>
          <w:rFonts w:cstheme="minorHAnsi"/>
        </w:rPr>
        <w:t>Linear Discriminant Analysis</w:t>
      </w:r>
      <w:r w:rsidR="000D5AB7">
        <w:rPr>
          <w:rFonts w:cstheme="minorHAnsi"/>
        </w:rPr>
        <w:t xml:space="preserve"> and K-nearest neighbours (KNN).</w:t>
      </w:r>
      <w:r w:rsidR="002A711E">
        <w:rPr>
          <w:rFonts w:cstheme="minorHAnsi"/>
        </w:rPr>
        <w:t xml:space="preserve"> </w:t>
      </w:r>
      <w:r w:rsidR="00B44CF4">
        <w:rPr>
          <w:lang w:val="en-US"/>
        </w:rPr>
        <w:t>T</w:t>
      </w:r>
      <w:r w:rsidR="00743BFC" w:rsidRPr="00743BFC">
        <w:t>he best performing set of genes for each ML algorithm (i.e., feature selection) was determined using the Recursive Feature Elimination procedure, with 10-fold repeated cross validation of five repeats</w:t>
      </w:r>
      <w:r w:rsidR="00E24240">
        <w:t xml:space="preserve">. </w:t>
      </w:r>
      <w:r w:rsidR="00A77897">
        <w:rPr>
          <w:rFonts w:cstheme="minorHAnsi"/>
        </w:rPr>
        <w:t>Briefly, the method</w:t>
      </w:r>
      <w:r w:rsidR="00A77897" w:rsidRPr="00C3113D">
        <w:t xml:space="preserve"> </w:t>
      </w:r>
      <w:r w:rsidR="00A77897" w:rsidRPr="00C3113D">
        <w:rPr>
          <w:rFonts w:cstheme="minorHAnsi"/>
        </w:rPr>
        <w:t>evaluate</w:t>
      </w:r>
      <w:r w:rsidR="00A77897">
        <w:rPr>
          <w:rFonts w:cstheme="minorHAnsi"/>
        </w:rPr>
        <w:t>s</w:t>
      </w:r>
      <w:r w:rsidR="00A77897" w:rsidRPr="00C3113D">
        <w:rPr>
          <w:rFonts w:cstheme="minorHAnsi"/>
        </w:rPr>
        <w:t xml:space="preserve"> multiple models using procedures that add and/or remove predictors to find the optimal combination that maximi</w:t>
      </w:r>
      <w:r w:rsidR="00A77897">
        <w:rPr>
          <w:rFonts w:cstheme="minorHAnsi"/>
        </w:rPr>
        <w:t>s</w:t>
      </w:r>
      <w:r w:rsidR="00A77897" w:rsidRPr="00C3113D">
        <w:rPr>
          <w:rFonts w:cstheme="minorHAnsi"/>
        </w:rPr>
        <w:t>es</w:t>
      </w:r>
      <w:r w:rsidR="00A77897">
        <w:rPr>
          <w:rFonts w:cstheme="minorHAnsi"/>
        </w:rPr>
        <w:t xml:space="preserve"> the</w:t>
      </w:r>
      <w:r w:rsidR="00A77897" w:rsidRPr="00C3113D">
        <w:rPr>
          <w:rFonts w:cstheme="minorHAnsi"/>
        </w:rPr>
        <w:t xml:space="preserve"> model performance</w:t>
      </w:r>
      <w:r w:rsidR="00A77897">
        <w:rPr>
          <w:rFonts w:cstheme="minorHAnsi"/>
        </w:rPr>
        <w:t>, to determine a top performing model based only on a subset of predictive genes</w:t>
      </w:r>
      <w:r w:rsidR="00BE6E2B">
        <w:rPr>
          <w:rFonts w:cstheme="minorHAnsi"/>
        </w:rPr>
        <w:t xml:space="preserve">. The final number of predictors </w:t>
      </w:r>
      <w:r w:rsidR="00180114">
        <w:rPr>
          <w:rFonts w:cstheme="minorHAnsi"/>
        </w:rPr>
        <w:t>(</w:t>
      </w:r>
      <w:r w:rsidR="00BE6E2B">
        <w:rPr>
          <w:rFonts w:cstheme="minorHAnsi"/>
        </w:rPr>
        <w:t>genes</w:t>
      </w:r>
      <w:r w:rsidR="00180114">
        <w:rPr>
          <w:rFonts w:cstheme="minorHAnsi"/>
        </w:rPr>
        <w:t>)</w:t>
      </w:r>
      <w:r w:rsidR="00BE6E2B">
        <w:rPr>
          <w:rFonts w:cstheme="minorHAnsi"/>
        </w:rPr>
        <w:t xml:space="preserve"> for each ML algorithm was determined using the elbow plot of accuracy against the number of variables (genes) in the training set.</w:t>
      </w:r>
    </w:p>
    <w:p w14:paraId="467D29FD" w14:textId="4AC0BB2E" w:rsidR="00AD7CAA" w:rsidRDefault="00AD7CAA" w:rsidP="00EB3F1C">
      <w:pPr>
        <w:spacing w:line="276" w:lineRule="auto"/>
        <w:jc w:val="both"/>
        <w:rPr>
          <w:rFonts w:cstheme="minorHAnsi"/>
        </w:rPr>
      </w:pPr>
    </w:p>
    <w:p w14:paraId="17E5B1A3" w14:textId="77777777" w:rsidR="00121269" w:rsidRPr="00A34204" w:rsidRDefault="00121269" w:rsidP="00121269">
      <w:pPr>
        <w:spacing w:line="276" w:lineRule="auto"/>
        <w:jc w:val="both"/>
        <w:rPr>
          <w:rFonts w:cstheme="minorHAnsi"/>
          <w:b/>
          <w:bCs/>
        </w:rPr>
      </w:pPr>
      <w:r w:rsidRPr="00A34204">
        <w:rPr>
          <w:rFonts w:cstheme="minorHAnsi"/>
          <w:b/>
          <w:bCs/>
        </w:rPr>
        <w:t>Generation of the linear predictor</w:t>
      </w:r>
    </w:p>
    <w:p w14:paraId="61DC70D6" w14:textId="77777777" w:rsidR="00121269" w:rsidRDefault="00121269" w:rsidP="00121269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 weighted linear predictor was generated for each sample based on the expression of the final set of genes in the model and their fold changes in the DE analysis, as</w:t>
      </w:r>
    </w:p>
    <w:p w14:paraId="60E1AB8A" w14:textId="77777777" w:rsidR="00121269" w:rsidRPr="000A1A2D" w:rsidRDefault="00121269" w:rsidP="00121269">
      <w:pPr>
        <w:spacing w:line="276" w:lineRule="auto"/>
        <w:jc w:val="both"/>
        <w:rPr>
          <w:rFonts w:cstheme="minorHAnsi"/>
        </w:rPr>
      </w:pPr>
      <m:oMathPara>
        <m:oMath>
          <m:r>
            <w:rPr>
              <w:rFonts w:ascii="Cambria Math" w:hAnsi="Cambria Math" w:cstheme="minorHAnsi"/>
            </w:rPr>
            <m:t xml:space="preserve">linear predictor= </m:t>
          </m:r>
          <m:nary>
            <m:naryPr>
              <m:chr m:val="∑"/>
              <m:limLoc m:val="undOvr"/>
              <m:ctrlPr>
                <w:rPr>
                  <w:rFonts w:ascii="Cambria Math" w:hAnsi="Cambria Math" w:cstheme="minorHAnsi"/>
                  <w:i/>
                </w:rPr>
              </m:ctrlPr>
            </m:naryPr>
            <m:sub>
              <m:r>
                <w:rPr>
                  <w:rFonts w:ascii="Cambria Math" w:hAnsi="Cambria Math" w:cstheme="minorHAnsi"/>
                </w:rPr>
                <m:t>i=1</m:t>
              </m:r>
            </m:sub>
            <m:sup>
              <m:r>
                <w:rPr>
                  <w:rFonts w:ascii="Cambria Math" w:hAnsi="Cambria Math" w:cstheme="minorHAnsi"/>
                </w:rPr>
                <m:t>n</m:t>
              </m:r>
            </m:sup>
            <m:e>
              <m:r>
                <w:rPr>
                  <w:rFonts w:ascii="Cambria Math" w:hAnsi="Cambria Math" w:cstheme="minorHAnsi"/>
                </w:rPr>
                <m:t>(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log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FC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hAnsi="Cambria Math" w:cstheme="minorHAnsi"/>
                </w:rPr>
                <m:t>×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Exp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i</m:t>
                  </m:r>
                </m:sub>
              </m:sSub>
              <m:r>
                <w:rPr>
                  <w:rFonts w:ascii="Cambria Math" w:hAnsi="Cambria Math" w:cstheme="minorHAnsi"/>
                </w:rPr>
                <m:t>)</m:t>
              </m:r>
            </m:e>
          </m:nary>
        </m:oMath>
      </m:oMathPara>
    </w:p>
    <w:p w14:paraId="5ED9BF9B" w14:textId="2F091996" w:rsidR="00AD7CAA" w:rsidRPr="00100DD5" w:rsidRDefault="00121269" w:rsidP="00EB3F1C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where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log</m:t>
            </m:r>
          </m:e>
          <m:sub>
            <m:r>
              <w:rPr>
                <w:rFonts w:ascii="Cambria Math" w:hAnsi="Cambria Math" w:cstheme="minorHAnsi"/>
              </w:rPr>
              <m:t>2</m:t>
            </m:r>
          </m:sub>
        </m:sSub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FC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</m:sSub>
      </m:oMath>
      <w:r>
        <w:rPr>
          <w:rFonts w:cstheme="minorHAnsi"/>
        </w:rPr>
        <w:t xml:space="preserve"> is the log</w:t>
      </w:r>
      <w:r w:rsidRPr="00AE0034">
        <w:rPr>
          <w:rFonts w:cs="Calibri (Body)"/>
          <w:vertAlign w:val="subscript"/>
        </w:rPr>
        <w:t>2</w:t>
      </w:r>
      <w:r>
        <w:rPr>
          <w:rFonts w:cstheme="minorHAnsi"/>
        </w:rPr>
        <w:t xml:space="preserve"> fold change of the </w:t>
      </w:r>
      <w:proofErr w:type="spellStart"/>
      <w:r w:rsidRPr="00AE0034">
        <w:rPr>
          <w:rFonts w:cstheme="minorHAnsi"/>
          <w:i/>
          <w:iCs/>
        </w:rPr>
        <w:t>i</w:t>
      </w:r>
      <w:r>
        <w:rPr>
          <w:rFonts w:cstheme="minorHAnsi"/>
        </w:rPr>
        <w:t>th</w:t>
      </w:r>
      <w:proofErr w:type="spellEnd"/>
      <w:r>
        <w:rPr>
          <w:rFonts w:cstheme="minorHAnsi"/>
        </w:rPr>
        <w:t xml:space="preserve"> gene comparing </w:t>
      </w:r>
      <w:proofErr w:type="spellStart"/>
      <w:r>
        <w:rPr>
          <w:rFonts w:cstheme="minorHAnsi"/>
          <w:lang w:val="en-US"/>
        </w:rPr>
        <w:t>metastasising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cSCC</w:t>
      </w:r>
      <w:proofErr w:type="spellEnd"/>
      <w:r>
        <w:rPr>
          <w:rFonts w:cstheme="minorHAnsi"/>
          <w:lang w:val="en-US"/>
        </w:rPr>
        <w:t xml:space="preserve"> and non-</w:t>
      </w:r>
      <w:proofErr w:type="spellStart"/>
      <w:r>
        <w:rPr>
          <w:rFonts w:cstheme="minorHAnsi"/>
          <w:lang w:val="en-US"/>
        </w:rPr>
        <w:t>metastasising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cSCC</w:t>
      </w:r>
      <w:proofErr w:type="spellEnd"/>
      <w:r>
        <w:rPr>
          <w:rFonts w:cstheme="minorHAnsi"/>
          <w:lang w:val="en-US"/>
        </w:rPr>
        <w:t xml:space="preserve">; </w:t>
      </w:r>
      <m:oMath>
        <m:sSub>
          <m:sSubPr>
            <m:ctrlPr>
              <w:rPr>
                <w:rFonts w:ascii="Cambria Math" w:hAnsi="Cambria Math" w:cstheme="minorHAnsi"/>
                <w:i/>
              </w:rPr>
            </m:ctrlPr>
          </m:sSubPr>
          <m:e>
            <m:r>
              <w:rPr>
                <w:rFonts w:ascii="Cambria Math" w:hAnsi="Cambria Math" w:cstheme="minorHAnsi"/>
              </w:rPr>
              <m:t>Exp</m:t>
            </m:r>
          </m:e>
          <m:sub>
            <m:r>
              <w:rPr>
                <w:rFonts w:ascii="Cambria Math" w:hAnsi="Cambria Math" w:cstheme="minorHAnsi"/>
              </w:rPr>
              <m:t>i</m:t>
            </m:r>
          </m:sub>
        </m:sSub>
      </m:oMath>
      <w:r>
        <w:rPr>
          <w:rFonts w:cstheme="minorHAnsi"/>
        </w:rPr>
        <w:t xml:space="preserve"> is the log</w:t>
      </w:r>
      <w:r w:rsidRPr="00236DC5">
        <w:rPr>
          <w:rFonts w:cs="Calibri (Body)"/>
          <w:vertAlign w:val="subscript"/>
        </w:rPr>
        <w:t>2</w:t>
      </w:r>
      <w:r>
        <w:rPr>
          <w:rFonts w:cs="Calibri (Body)"/>
          <w:vertAlign w:val="subscript"/>
        </w:rPr>
        <w:t xml:space="preserve"> </w:t>
      </w:r>
      <w:r>
        <w:rPr>
          <w:rFonts w:cstheme="minorHAnsi"/>
        </w:rPr>
        <w:t xml:space="preserve">normalised expression value of the </w:t>
      </w:r>
      <w:proofErr w:type="spellStart"/>
      <w:r w:rsidRPr="00236DC5">
        <w:rPr>
          <w:rFonts w:cstheme="minorHAnsi"/>
          <w:i/>
          <w:iCs/>
        </w:rPr>
        <w:t>i</w:t>
      </w:r>
      <w:r>
        <w:rPr>
          <w:rFonts w:cstheme="minorHAnsi"/>
        </w:rPr>
        <w:t>th</w:t>
      </w:r>
      <w:proofErr w:type="spellEnd"/>
      <w:r>
        <w:rPr>
          <w:rFonts w:cstheme="minorHAnsi"/>
        </w:rPr>
        <w:t xml:space="preserve"> gene in this sample, and </w:t>
      </w:r>
      <w:r w:rsidRPr="00AE0034">
        <w:rPr>
          <w:rFonts w:cstheme="minorHAnsi"/>
          <w:i/>
          <w:iCs/>
        </w:rPr>
        <w:t>n</w:t>
      </w:r>
      <w:r>
        <w:rPr>
          <w:rFonts w:cstheme="minorHAnsi"/>
        </w:rPr>
        <w:t xml:space="preserve"> is the number of genes in the model. Linear predictors were compared between clinical groups and correlated with classes. The area under the ROC curve (AUC) was calculated using the </w:t>
      </w:r>
      <w:proofErr w:type="spellStart"/>
      <w:r>
        <w:rPr>
          <w:rFonts w:cstheme="minorHAnsi"/>
        </w:rPr>
        <w:t>pROC</w:t>
      </w:r>
      <w:proofErr w:type="spellEnd"/>
      <w:r>
        <w:rPr>
          <w:rFonts w:cstheme="minorHAnsi"/>
        </w:rPr>
        <w:t xml:space="preserve"> package (</w:t>
      </w:r>
      <w:r w:rsidR="00391DD9">
        <w:rPr>
          <w:rFonts w:cstheme="minorHAnsi"/>
        </w:rPr>
        <w:t>3</w:t>
      </w:r>
      <w:r>
        <w:rPr>
          <w:rFonts w:cstheme="minorHAnsi"/>
        </w:rPr>
        <w:t>)</w:t>
      </w:r>
      <w:r w:rsidR="00C2426E">
        <w:rPr>
          <w:rFonts w:cstheme="minorHAnsi"/>
        </w:rPr>
        <w:t>.</w:t>
      </w:r>
    </w:p>
    <w:p w14:paraId="0439C9FF" w14:textId="3806F868" w:rsidR="0056778E" w:rsidRDefault="0056778E" w:rsidP="00EB3F1C">
      <w:pPr>
        <w:spacing w:line="276" w:lineRule="auto"/>
        <w:jc w:val="both"/>
        <w:rPr>
          <w:rFonts w:cstheme="minorHAnsi"/>
          <w:lang w:val="en-US"/>
        </w:rPr>
      </w:pPr>
    </w:p>
    <w:p w14:paraId="7E746D2B" w14:textId="2590A733" w:rsidR="0056778E" w:rsidRPr="00B65EE4" w:rsidRDefault="000E4C37" w:rsidP="00EB3F1C">
      <w:pPr>
        <w:spacing w:line="276" w:lineRule="auto"/>
        <w:jc w:val="both"/>
        <w:rPr>
          <w:rFonts w:cstheme="minorHAnsi"/>
          <w:b/>
          <w:bCs/>
          <w:lang w:val="en-US"/>
        </w:rPr>
      </w:pPr>
      <w:r w:rsidRPr="00B65EE4">
        <w:rPr>
          <w:rFonts w:cstheme="minorHAnsi"/>
          <w:b/>
          <w:bCs/>
          <w:lang w:val="en-US"/>
        </w:rPr>
        <w:t xml:space="preserve">Code </w:t>
      </w:r>
      <w:r w:rsidR="00D63473">
        <w:rPr>
          <w:rFonts w:cstheme="minorHAnsi"/>
          <w:b/>
          <w:bCs/>
          <w:lang w:val="en-US"/>
        </w:rPr>
        <w:t xml:space="preserve">and data </w:t>
      </w:r>
      <w:r w:rsidR="009618BF" w:rsidRPr="00B65EE4">
        <w:rPr>
          <w:rFonts w:cstheme="minorHAnsi"/>
          <w:b/>
          <w:bCs/>
          <w:lang w:val="en-US"/>
        </w:rPr>
        <w:t>availability</w:t>
      </w:r>
    </w:p>
    <w:p w14:paraId="4251C46B" w14:textId="36A18648" w:rsidR="006925EE" w:rsidRDefault="007339A0" w:rsidP="00EB3F1C">
      <w:pPr>
        <w:spacing w:line="276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All the code used to </w:t>
      </w:r>
      <w:proofErr w:type="spellStart"/>
      <w:r>
        <w:rPr>
          <w:rFonts w:cstheme="minorHAnsi"/>
          <w:lang w:val="en-US"/>
        </w:rPr>
        <w:t>analyse</w:t>
      </w:r>
      <w:proofErr w:type="spellEnd"/>
      <w:r>
        <w:rPr>
          <w:rFonts w:cstheme="minorHAnsi"/>
          <w:lang w:val="en-US"/>
        </w:rPr>
        <w:t xml:space="preserve"> the data </w:t>
      </w:r>
      <w:r w:rsidR="00AD1B81">
        <w:rPr>
          <w:rFonts w:cstheme="minorHAnsi"/>
          <w:lang w:val="en-US"/>
        </w:rPr>
        <w:t>are</w:t>
      </w:r>
      <w:r w:rsidR="00E92983">
        <w:rPr>
          <w:rFonts w:cstheme="minorHAnsi"/>
          <w:lang w:val="en-US"/>
        </w:rPr>
        <w:t xml:space="preserve"> </w:t>
      </w:r>
      <w:r w:rsidR="006F121D">
        <w:rPr>
          <w:rFonts w:cstheme="minorHAnsi"/>
          <w:lang w:val="en-US"/>
        </w:rPr>
        <w:t xml:space="preserve">available at </w:t>
      </w:r>
      <w:r w:rsidR="00C950E0">
        <w:rPr>
          <w:rFonts w:cstheme="minorHAnsi"/>
          <w:lang w:val="en-US"/>
        </w:rPr>
        <w:t xml:space="preserve">our </w:t>
      </w:r>
      <w:proofErr w:type="spellStart"/>
      <w:r w:rsidR="00C950E0">
        <w:rPr>
          <w:rFonts w:cstheme="minorHAnsi"/>
          <w:lang w:val="en-US"/>
        </w:rPr>
        <w:t>Github</w:t>
      </w:r>
      <w:proofErr w:type="spellEnd"/>
      <w:r w:rsidR="00C950E0">
        <w:rPr>
          <w:rFonts w:cstheme="minorHAnsi"/>
          <w:lang w:val="en-US"/>
        </w:rPr>
        <w:t xml:space="preserve"> page</w:t>
      </w:r>
      <w:r w:rsidR="00C20C4C">
        <w:rPr>
          <w:rFonts w:cstheme="minorHAnsi"/>
          <w:lang w:val="en-US"/>
        </w:rPr>
        <w:t xml:space="preserve">, </w:t>
      </w:r>
      <w:r w:rsidR="00C20C4C" w:rsidRPr="00C20C4C">
        <w:rPr>
          <w:rFonts w:cstheme="minorHAnsi"/>
          <w:lang w:val="en-US"/>
        </w:rPr>
        <w:t>https://github.com/BioInforCore-BCI</w:t>
      </w:r>
      <w:r w:rsidR="008B3209">
        <w:rPr>
          <w:rFonts w:cstheme="minorHAnsi"/>
          <w:lang w:val="en-US"/>
        </w:rPr>
        <w:t>/20gene_signature</w:t>
      </w:r>
      <w:r w:rsidR="00F81842">
        <w:rPr>
          <w:rFonts w:cstheme="minorHAnsi"/>
          <w:lang w:val="en-US"/>
        </w:rPr>
        <w:t>.</w:t>
      </w:r>
      <w:r w:rsidR="00604AFC">
        <w:rPr>
          <w:rFonts w:cstheme="minorHAnsi"/>
          <w:lang w:val="en-US"/>
        </w:rPr>
        <w:t xml:space="preserve"> </w:t>
      </w:r>
      <w:r w:rsidR="00676A29">
        <w:rPr>
          <w:rFonts w:cstheme="minorHAnsi"/>
          <w:lang w:val="en-US"/>
        </w:rPr>
        <w:t xml:space="preserve">The data </w:t>
      </w:r>
      <w:r w:rsidR="009A5893">
        <w:rPr>
          <w:rFonts w:cstheme="minorHAnsi"/>
          <w:lang w:val="en-US"/>
        </w:rPr>
        <w:t xml:space="preserve">used in this study </w:t>
      </w:r>
      <w:r w:rsidR="00E00190">
        <w:rPr>
          <w:rFonts w:cstheme="minorHAnsi"/>
          <w:lang w:val="en-US"/>
        </w:rPr>
        <w:t>are</w:t>
      </w:r>
      <w:r w:rsidR="009A5893">
        <w:rPr>
          <w:rFonts w:cstheme="minorHAnsi"/>
          <w:lang w:val="en-US"/>
        </w:rPr>
        <w:t xml:space="preserve"> </w:t>
      </w:r>
      <w:r w:rsidR="00063ADA">
        <w:rPr>
          <w:rFonts w:cstheme="minorHAnsi"/>
          <w:lang w:val="en-US"/>
        </w:rPr>
        <w:t xml:space="preserve">still part of an ongoing effort </w:t>
      </w:r>
      <w:r w:rsidR="00754259">
        <w:rPr>
          <w:rFonts w:cstheme="minorHAnsi"/>
          <w:lang w:val="en-US"/>
        </w:rPr>
        <w:t xml:space="preserve">of </w:t>
      </w:r>
      <w:r w:rsidR="002968DA">
        <w:rPr>
          <w:rFonts w:cstheme="minorHAnsi"/>
          <w:lang w:val="en-US"/>
        </w:rPr>
        <w:t>multi-</w:t>
      </w:r>
      <w:proofErr w:type="spellStart"/>
      <w:r w:rsidR="002968DA">
        <w:rPr>
          <w:rFonts w:cstheme="minorHAnsi"/>
          <w:lang w:val="en-US"/>
        </w:rPr>
        <w:t>omic</w:t>
      </w:r>
      <w:proofErr w:type="spellEnd"/>
      <w:r w:rsidR="002968DA">
        <w:rPr>
          <w:rFonts w:cstheme="minorHAnsi"/>
          <w:lang w:val="en-US"/>
        </w:rPr>
        <w:t xml:space="preserve"> integration to develop a j</w:t>
      </w:r>
      <w:r w:rsidR="00B34292">
        <w:rPr>
          <w:rFonts w:cstheme="minorHAnsi"/>
          <w:lang w:val="en-US"/>
        </w:rPr>
        <w:t>oint genomic-transcriptomic prognostic signature. However, requests</w:t>
      </w:r>
      <w:r w:rsidR="00564177">
        <w:rPr>
          <w:rFonts w:cstheme="minorHAnsi"/>
          <w:lang w:val="en-US"/>
        </w:rPr>
        <w:t xml:space="preserve"> </w:t>
      </w:r>
      <w:r w:rsidR="00A4315D">
        <w:rPr>
          <w:rFonts w:cstheme="minorHAnsi"/>
          <w:lang w:val="en-US"/>
        </w:rPr>
        <w:t xml:space="preserve">to access the </w:t>
      </w:r>
      <w:r w:rsidR="001B3A59">
        <w:rPr>
          <w:rFonts w:cstheme="minorHAnsi"/>
          <w:lang w:val="en-US"/>
        </w:rPr>
        <w:t>transcriptomic data</w:t>
      </w:r>
      <w:r w:rsidR="00B34292">
        <w:rPr>
          <w:rFonts w:cstheme="minorHAnsi"/>
          <w:lang w:val="en-US"/>
        </w:rPr>
        <w:t xml:space="preserve"> can be ma</w:t>
      </w:r>
      <w:r w:rsidR="006925EE">
        <w:rPr>
          <w:rFonts w:cstheme="minorHAnsi"/>
          <w:lang w:val="en-US"/>
        </w:rPr>
        <w:t xml:space="preserve">de </w:t>
      </w:r>
      <w:r w:rsidR="007D3476">
        <w:rPr>
          <w:rFonts w:cstheme="minorHAnsi"/>
          <w:lang w:val="en-US"/>
        </w:rPr>
        <w:t>to</w:t>
      </w:r>
      <w:r w:rsidR="002860BC">
        <w:rPr>
          <w:rFonts w:cstheme="minorHAnsi"/>
          <w:lang w:val="en-US"/>
        </w:rPr>
        <w:t xml:space="preserve"> the corresponding author </w:t>
      </w:r>
      <w:r w:rsidR="006C6A1D" w:rsidRPr="006C6A1D">
        <w:rPr>
          <w:rFonts w:cstheme="minorHAnsi"/>
          <w:lang w:val="en-US"/>
        </w:rPr>
        <w:t xml:space="preserve">for non-commercial research purposes. Access will be granted upon review of a project proposal, which will be evaluated by a </w:t>
      </w:r>
      <w:r w:rsidR="00E74A7E">
        <w:rPr>
          <w:rFonts w:cstheme="minorHAnsi"/>
          <w:lang w:val="en-US"/>
        </w:rPr>
        <w:t>PERMEDID</w:t>
      </w:r>
      <w:r w:rsidR="006C6A1D" w:rsidRPr="006C6A1D">
        <w:rPr>
          <w:rFonts w:cstheme="minorHAnsi"/>
          <w:lang w:val="en-US"/>
        </w:rPr>
        <w:t xml:space="preserve"> data access committee, and entering into an appropriate data access agreement, subject to any applicable ethical approvals.</w:t>
      </w:r>
    </w:p>
    <w:p w14:paraId="446C0A84" w14:textId="77777777" w:rsidR="00BB5393" w:rsidRDefault="00BB5393" w:rsidP="00EB3F1C">
      <w:pPr>
        <w:spacing w:line="276" w:lineRule="auto"/>
        <w:jc w:val="both"/>
        <w:rPr>
          <w:b/>
          <w:bCs/>
        </w:rPr>
      </w:pPr>
    </w:p>
    <w:p w14:paraId="4288CFBF" w14:textId="77777777" w:rsidR="00BB5393" w:rsidRDefault="00BB5393" w:rsidP="00EB3F1C">
      <w:pPr>
        <w:spacing w:line="276" w:lineRule="auto"/>
        <w:jc w:val="both"/>
        <w:rPr>
          <w:b/>
          <w:bCs/>
        </w:rPr>
      </w:pPr>
    </w:p>
    <w:p w14:paraId="50D5C92D" w14:textId="21BF410C" w:rsidR="005366CC" w:rsidRPr="00482A94" w:rsidRDefault="005366CC" w:rsidP="005366CC">
      <w:pPr>
        <w:spacing w:line="276" w:lineRule="auto"/>
        <w:jc w:val="both"/>
        <w:rPr>
          <w:rFonts w:asciiTheme="majorHAnsi" w:hAnsiTheme="majorHAnsi" w:cstheme="majorHAnsi"/>
        </w:rPr>
      </w:pPr>
      <w:r w:rsidRPr="00482A94">
        <w:t>1.</w:t>
      </w:r>
      <w:r w:rsidRPr="00482A94">
        <w:rPr>
          <w:rFonts w:asciiTheme="majorHAnsi" w:hAnsiTheme="majorHAnsi" w:cstheme="majorHAnsi"/>
        </w:rPr>
        <w:t xml:space="preserve"> Sha C, </w:t>
      </w:r>
      <w:proofErr w:type="spellStart"/>
      <w:r w:rsidRPr="00482A94">
        <w:rPr>
          <w:rFonts w:asciiTheme="majorHAnsi" w:hAnsiTheme="majorHAnsi" w:cstheme="majorHAnsi"/>
        </w:rPr>
        <w:t>Barrans</w:t>
      </w:r>
      <w:proofErr w:type="spellEnd"/>
      <w:r w:rsidRPr="00482A94">
        <w:rPr>
          <w:rFonts w:asciiTheme="majorHAnsi" w:hAnsiTheme="majorHAnsi" w:cstheme="majorHAnsi"/>
        </w:rPr>
        <w:t xml:space="preserve"> S, </w:t>
      </w:r>
      <w:proofErr w:type="spellStart"/>
      <w:r w:rsidRPr="00482A94">
        <w:rPr>
          <w:rFonts w:asciiTheme="majorHAnsi" w:hAnsiTheme="majorHAnsi" w:cstheme="majorHAnsi"/>
        </w:rPr>
        <w:t>Cucco</w:t>
      </w:r>
      <w:proofErr w:type="spellEnd"/>
      <w:r w:rsidRPr="00482A94">
        <w:rPr>
          <w:rFonts w:asciiTheme="majorHAnsi" w:hAnsiTheme="majorHAnsi" w:cstheme="majorHAnsi"/>
        </w:rPr>
        <w:t xml:space="preserve"> F, Bentley MA, Care MA, </w:t>
      </w:r>
      <w:proofErr w:type="spellStart"/>
      <w:r w:rsidRPr="00482A94">
        <w:rPr>
          <w:rFonts w:asciiTheme="majorHAnsi" w:hAnsiTheme="majorHAnsi" w:cstheme="majorHAnsi"/>
        </w:rPr>
        <w:t>Cummin</w:t>
      </w:r>
      <w:proofErr w:type="spellEnd"/>
      <w:r w:rsidRPr="00482A94">
        <w:rPr>
          <w:rFonts w:asciiTheme="majorHAnsi" w:hAnsiTheme="majorHAnsi" w:cstheme="majorHAnsi"/>
        </w:rPr>
        <w:t xml:space="preserve"> T, et al. Molecular High-Grade B-Cell Lymphoma: Defining a Poor-Risk Group That Requires Different Approaches to Therapy. J Clin Oncol. 2019;37(3):202-12.</w:t>
      </w:r>
    </w:p>
    <w:p w14:paraId="18B45067" w14:textId="0476F2E2" w:rsidR="00BB5393" w:rsidRDefault="00E76D72" w:rsidP="00EB3F1C">
      <w:pPr>
        <w:spacing w:line="276" w:lineRule="auto"/>
        <w:jc w:val="both"/>
        <w:rPr>
          <w:rFonts w:asciiTheme="majorHAnsi" w:hAnsiTheme="majorHAnsi" w:cstheme="majorHAnsi"/>
        </w:rPr>
      </w:pPr>
      <w:r>
        <w:lastRenderedPageBreak/>
        <w:t xml:space="preserve">2. </w:t>
      </w:r>
      <w:r w:rsidR="00883829" w:rsidRPr="00FE4019">
        <w:rPr>
          <w:rFonts w:asciiTheme="majorHAnsi" w:hAnsiTheme="majorHAnsi" w:cstheme="majorHAnsi"/>
        </w:rPr>
        <w:t xml:space="preserve">Ritchie ME, </w:t>
      </w:r>
      <w:proofErr w:type="spellStart"/>
      <w:r w:rsidR="00883829" w:rsidRPr="00FE4019">
        <w:rPr>
          <w:rFonts w:asciiTheme="majorHAnsi" w:hAnsiTheme="majorHAnsi" w:cstheme="majorHAnsi"/>
        </w:rPr>
        <w:t>Phipson</w:t>
      </w:r>
      <w:proofErr w:type="spellEnd"/>
      <w:r w:rsidR="00883829" w:rsidRPr="00FE4019">
        <w:rPr>
          <w:rFonts w:asciiTheme="majorHAnsi" w:hAnsiTheme="majorHAnsi" w:cstheme="majorHAnsi"/>
        </w:rPr>
        <w:t xml:space="preserve"> B, Wu D, Hu Y, Law CW, Shi W, Smyth GK. </w:t>
      </w:r>
      <w:proofErr w:type="spellStart"/>
      <w:r w:rsidR="00883829" w:rsidRPr="00FE4019">
        <w:rPr>
          <w:rFonts w:asciiTheme="majorHAnsi" w:hAnsiTheme="majorHAnsi" w:cstheme="majorHAnsi"/>
        </w:rPr>
        <w:t>Limma</w:t>
      </w:r>
      <w:proofErr w:type="spellEnd"/>
      <w:r w:rsidR="00883829" w:rsidRPr="00FE4019">
        <w:rPr>
          <w:rFonts w:asciiTheme="majorHAnsi" w:hAnsiTheme="majorHAnsi" w:cstheme="majorHAnsi"/>
        </w:rPr>
        <w:t xml:space="preserve"> powers differential expression analyses for RNA-sequencing and microarray studies. Nucleic Acids Res. 2015 Apr 20;43(7</w:t>
      </w:r>
      <w:proofErr w:type="gramStart"/>
      <w:r w:rsidR="00883829" w:rsidRPr="00FE4019">
        <w:rPr>
          <w:rFonts w:asciiTheme="majorHAnsi" w:hAnsiTheme="majorHAnsi" w:cstheme="majorHAnsi"/>
        </w:rPr>
        <w:t>):e</w:t>
      </w:r>
      <w:proofErr w:type="gramEnd"/>
      <w:r w:rsidR="00883829" w:rsidRPr="00FE4019">
        <w:rPr>
          <w:rFonts w:asciiTheme="majorHAnsi" w:hAnsiTheme="majorHAnsi" w:cstheme="majorHAnsi"/>
        </w:rPr>
        <w:t>47.</w:t>
      </w:r>
    </w:p>
    <w:p w14:paraId="0E207F17" w14:textId="77777777" w:rsidR="00BD6B84" w:rsidRPr="00FE4019" w:rsidRDefault="00812909" w:rsidP="00BD6B84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 </w:t>
      </w:r>
      <w:r w:rsidR="00BD6B84" w:rsidRPr="00FE4019">
        <w:rPr>
          <w:rFonts w:asciiTheme="majorHAnsi" w:hAnsiTheme="majorHAnsi" w:cstheme="majorHAnsi"/>
        </w:rPr>
        <w:t xml:space="preserve">Robin X, </w:t>
      </w:r>
      <w:proofErr w:type="spellStart"/>
      <w:r w:rsidR="00BD6B84" w:rsidRPr="00FE4019">
        <w:rPr>
          <w:rFonts w:asciiTheme="majorHAnsi" w:hAnsiTheme="majorHAnsi" w:cstheme="majorHAnsi"/>
        </w:rPr>
        <w:t>Turck</w:t>
      </w:r>
      <w:proofErr w:type="spellEnd"/>
      <w:r w:rsidR="00BD6B84" w:rsidRPr="00FE4019">
        <w:rPr>
          <w:rFonts w:asciiTheme="majorHAnsi" w:hAnsiTheme="majorHAnsi" w:cstheme="majorHAnsi"/>
        </w:rPr>
        <w:t xml:space="preserve"> N, </w:t>
      </w:r>
      <w:proofErr w:type="spellStart"/>
      <w:r w:rsidR="00BD6B84" w:rsidRPr="00FE4019">
        <w:rPr>
          <w:rFonts w:asciiTheme="majorHAnsi" w:hAnsiTheme="majorHAnsi" w:cstheme="majorHAnsi"/>
        </w:rPr>
        <w:t>Hainard</w:t>
      </w:r>
      <w:proofErr w:type="spellEnd"/>
      <w:r w:rsidR="00BD6B84" w:rsidRPr="00FE4019">
        <w:rPr>
          <w:rFonts w:asciiTheme="majorHAnsi" w:hAnsiTheme="majorHAnsi" w:cstheme="majorHAnsi"/>
        </w:rPr>
        <w:t xml:space="preserve"> A, </w:t>
      </w:r>
      <w:proofErr w:type="spellStart"/>
      <w:r w:rsidR="00BD6B84" w:rsidRPr="00FE4019">
        <w:rPr>
          <w:rFonts w:asciiTheme="majorHAnsi" w:hAnsiTheme="majorHAnsi" w:cstheme="majorHAnsi"/>
        </w:rPr>
        <w:t>Tiberti</w:t>
      </w:r>
      <w:proofErr w:type="spellEnd"/>
      <w:r w:rsidR="00BD6B84" w:rsidRPr="00FE4019">
        <w:rPr>
          <w:rFonts w:asciiTheme="majorHAnsi" w:hAnsiTheme="majorHAnsi" w:cstheme="majorHAnsi"/>
        </w:rPr>
        <w:t xml:space="preserve"> N, </w:t>
      </w:r>
      <w:proofErr w:type="spellStart"/>
      <w:r w:rsidR="00BD6B84" w:rsidRPr="00FE4019">
        <w:rPr>
          <w:rFonts w:asciiTheme="majorHAnsi" w:hAnsiTheme="majorHAnsi" w:cstheme="majorHAnsi"/>
        </w:rPr>
        <w:t>Lisacek</w:t>
      </w:r>
      <w:proofErr w:type="spellEnd"/>
      <w:r w:rsidR="00BD6B84" w:rsidRPr="00FE4019">
        <w:rPr>
          <w:rFonts w:asciiTheme="majorHAnsi" w:hAnsiTheme="majorHAnsi" w:cstheme="majorHAnsi"/>
        </w:rPr>
        <w:t xml:space="preserve"> F, Sanchez JC, Müller M. </w:t>
      </w:r>
      <w:proofErr w:type="spellStart"/>
      <w:r w:rsidR="00BD6B84" w:rsidRPr="00FE4019">
        <w:rPr>
          <w:rFonts w:asciiTheme="majorHAnsi" w:hAnsiTheme="majorHAnsi" w:cstheme="majorHAnsi"/>
        </w:rPr>
        <w:t>pROC</w:t>
      </w:r>
      <w:proofErr w:type="spellEnd"/>
      <w:r w:rsidR="00BD6B84" w:rsidRPr="00FE4019">
        <w:rPr>
          <w:rFonts w:asciiTheme="majorHAnsi" w:hAnsiTheme="majorHAnsi" w:cstheme="majorHAnsi"/>
        </w:rPr>
        <w:t xml:space="preserve">: an open-source package for R and S+ to </w:t>
      </w:r>
      <w:proofErr w:type="spellStart"/>
      <w:r w:rsidR="00BD6B84" w:rsidRPr="00FE4019">
        <w:rPr>
          <w:rFonts w:asciiTheme="majorHAnsi" w:hAnsiTheme="majorHAnsi" w:cstheme="majorHAnsi"/>
        </w:rPr>
        <w:t>analyze</w:t>
      </w:r>
      <w:proofErr w:type="spellEnd"/>
      <w:r w:rsidR="00BD6B84" w:rsidRPr="00FE4019">
        <w:rPr>
          <w:rFonts w:asciiTheme="majorHAnsi" w:hAnsiTheme="majorHAnsi" w:cstheme="majorHAnsi"/>
        </w:rPr>
        <w:t xml:space="preserve"> and compare ROC curves. BMC Bioinformatics. 2011 Mar </w:t>
      </w:r>
      <w:proofErr w:type="gramStart"/>
      <w:r w:rsidR="00BD6B84" w:rsidRPr="00FE4019">
        <w:rPr>
          <w:rFonts w:asciiTheme="majorHAnsi" w:hAnsiTheme="majorHAnsi" w:cstheme="majorHAnsi"/>
        </w:rPr>
        <w:t>17;12:77</w:t>
      </w:r>
      <w:proofErr w:type="gramEnd"/>
      <w:r w:rsidR="00BD6B84" w:rsidRPr="00FE4019">
        <w:rPr>
          <w:rFonts w:asciiTheme="majorHAnsi" w:hAnsiTheme="majorHAnsi" w:cstheme="majorHAnsi"/>
        </w:rPr>
        <w:t xml:space="preserve">. </w:t>
      </w:r>
    </w:p>
    <w:p w14:paraId="5A931943" w14:textId="0FB8551F" w:rsidR="00812909" w:rsidRPr="00482A94" w:rsidRDefault="00812909" w:rsidP="00EB3F1C">
      <w:pPr>
        <w:spacing w:line="276" w:lineRule="auto"/>
        <w:jc w:val="both"/>
      </w:pPr>
    </w:p>
    <w:p w14:paraId="56192564" w14:textId="77777777" w:rsidR="00BB5393" w:rsidRPr="00482A94" w:rsidRDefault="00BB5393" w:rsidP="00EB3F1C">
      <w:pPr>
        <w:spacing w:line="276" w:lineRule="auto"/>
        <w:jc w:val="both"/>
      </w:pPr>
    </w:p>
    <w:p w14:paraId="5BE903F2" w14:textId="52D919E6" w:rsidR="00BB5393" w:rsidRPr="00482A94" w:rsidRDefault="00BB5393" w:rsidP="00EB3F1C">
      <w:pPr>
        <w:spacing w:line="276" w:lineRule="auto"/>
        <w:jc w:val="both"/>
      </w:pPr>
    </w:p>
    <w:p w14:paraId="304D1AF8" w14:textId="77777777" w:rsidR="00604C4C" w:rsidRDefault="00604C4C" w:rsidP="00EB3F1C">
      <w:pPr>
        <w:spacing w:line="276" w:lineRule="auto"/>
        <w:jc w:val="both"/>
      </w:pPr>
    </w:p>
    <w:p w14:paraId="10F82936" w14:textId="77777777" w:rsidR="00F93078" w:rsidRDefault="00F93078" w:rsidP="00EB3F1C">
      <w:pPr>
        <w:spacing w:line="276" w:lineRule="auto"/>
        <w:jc w:val="both"/>
      </w:pPr>
    </w:p>
    <w:p w14:paraId="27A6BCD9" w14:textId="77777777" w:rsidR="00F93078" w:rsidRDefault="00F93078" w:rsidP="00EB3F1C">
      <w:pPr>
        <w:spacing w:line="276" w:lineRule="auto"/>
        <w:jc w:val="both"/>
      </w:pPr>
    </w:p>
    <w:p w14:paraId="35767838" w14:textId="77777777" w:rsidR="00F93078" w:rsidRDefault="00F93078" w:rsidP="00EB3F1C">
      <w:pPr>
        <w:spacing w:line="276" w:lineRule="auto"/>
        <w:jc w:val="both"/>
      </w:pPr>
    </w:p>
    <w:p w14:paraId="0E06A401" w14:textId="77777777" w:rsidR="00F93078" w:rsidRDefault="00F93078" w:rsidP="00EB3F1C">
      <w:pPr>
        <w:spacing w:line="276" w:lineRule="auto"/>
        <w:jc w:val="both"/>
      </w:pPr>
    </w:p>
    <w:p w14:paraId="1ED131D7" w14:textId="77777777" w:rsidR="00F93078" w:rsidRDefault="00F93078" w:rsidP="00EB3F1C">
      <w:pPr>
        <w:spacing w:line="276" w:lineRule="auto"/>
        <w:jc w:val="both"/>
      </w:pPr>
    </w:p>
    <w:p w14:paraId="5747635C" w14:textId="77777777" w:rsidR="00F93078" w:rsidRDefault="00F93078" w:rsidP="00EB3F1C">
      <w:pPr>
        <w:spacing w:line="276" w:lineRule="auto"/>
        <w:jc w:val="both"/>
      </w:pPr>
    </w:p>
    <w:p w14:paraId="0397C5CC" w14:textId="77777777" w:rsidR="00F93078" w:rsidRDefault="00F93078" w:rsidP="00EB3F1C">
      <w:pPr>
        <w:spacing w:line="276" w:lineRule="auto"/>
        <w:jc w:val="both"/>
      </w:pPr>
    </w:p>
    <w:p w14:paraId="3D4A05F8" w14:textId="77777777" w:rsidR="00F93078" w:rsidRDefault="00F93078" w:rsidP="00EB3F1C">
      <w:pPr>
        <w:spacing w:line="276" w:lineRule="auto"/>
        <w:jc w:val="both"/>
      </w:pPr>
    </w:p>
    <w:p w14:paraId="691B20CE" w14:textId="77777777" w:rsidR="00F93078" w:rsidRDefault="00F93078" w:rsidP="00EB3F1C">
      <w:pPr>
        <w:spacing w:line="276" w:lineRule="auto"/>
        <w:jc w:val="both"/>
      </w:pPr>
    </w:p>
    <w:p w14:paraId="65C5E530" w14:textId="77777777" w:rsidR="00F93078" w:rsidRDefault="00F93078" w:rsidP="00EB3F1C">
      <w:pPr>
        <w:spacing w:line="276" w:lineRule="auto"/>
        <w:jc w:val="both"/>
      </w:pPr>
    </w:p>
    <w:p w14:paraId="4BDD1A26" w14:textId="77777777" w:rsidR="00F93078" w:rsidRDefault="00F93078" w:rsidP="00EB3F1C">
      <w:pPr>
        <w:spacing w:line="276" w:lineRule="auto"/>
        <w:jc w:val="both"/>
      </w:pPr>
    </w:p>
    <w:p w14:paraId="663DDE5E" w14:textId="77777777" w:rsidR="00F93078" w:rsidRDefault="00F93078" w:rsidP="00EB3F1C">
      <w:pPr>
        <w:spacing w:line="276" w:lineRule="auto"/>
        <w:jc w:val="both"/>
      </w:pPr>
    </w:p>
    <w:p w14:paraId="0BE5BA72" w14:textId="77777777" w:rsidR="00F93078" w:rsidRDefault="00F93078" w:rsidP="00EB3F1C">
      <w:pPr>
        <w:spacing w:line="276" w:lineRule="auto"/>
        <w:jc w:val="both"/>
      </w:pPr>
    </w:p>
    <w:p w14:paraId="164546D1" w14:textId="77777777" w:rsidR="00F93078" w:rsidRDefault="00F93078" w:rsidP="00EB3F1C">
      <w:pPr>
        <w:spacing w:line="276" w:lineRule="auto"/>
        <w:jc w:val="both"/>
      </w:pPr>
    </w:p>
    <w:p w14:paraId="5EF83BEE" w14:textId="77777777" w:rsidR="00F93078" w:rsidRDefault="00F93078" w:rsidP="00EB3F1C">
      <w:pPr>
        <w:spacing w:line="276" w:lineRule="auto"/>
        <w:jc w:val="both"/>
      </w:pPr>
    </w:p>
    <w:p w14:paraId="0DE467AD" w14:textId="77777777" w:rsidR="00F93078" w:rsidRPr="00482A94" w:rsidRDefault="00F93078" w:rsidP="00EB3F1C">
      <w:pPr>
        <w:spacing w:line="276" w:lineRule="auto"/>
        <w:jc w:val="both"/>
      </w:pPr>
    </w:p>
    <w:p w14:paraId="50747A96" w14:textId="057FF4AE" w:rsidR="004D2DC2" w:rsidRPr="00817053" w:rsidRDefault="00784294" w:rsidP="004D2DC2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noProof/>
          <w:lang w:eastAsia="en-GB"/>
        </w:rPr>
        <w:lastRenderedPageBreak/>
        <w:drawing>
          <wp:inline distT="0" distB="0" distL="0" distR="0" wp14:anchorId="18DA703C" wp14:editId="3F34506A">
            <wp:extent cx="3745523" cy="3218110"/>
            <wp:effectExtent l="0" t="0" r="1270" b="0"/>
            <wp:docPr id="603489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48990" name="Picture 603489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1014" cy="3222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FB9F7" w14:textId="4AB8218C" w:rsidR="004D2DC2" w:rsidRDefault="000E77B3" w:rsidP="004D2DC2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en-GB"/>
        </w:rPr>
      </w:pPr>
      <w:r w:rsidRPr="00ED78EB">
        <w:rPr>
          <w:b/>
          <w:bCs/>
        </w:rPr>
        <w:t>Supplemental Fig 1</w:t>
      </w:r>
      <w:r w:rsidR="004D2DC2" w:rsidRPr="007E3445">
        <w:rPr>
          <w:rFonts w:eastAsia="Times New Roman" w:cstheme="minorHAnsi"/>
          <w:b/>
          <w:bCs/>
          <w:lang w:eastAsia="en-GB"/>
        </w:rPr>
        <w:t>.</w:t>
      </w:r>
      <w:r w:rsidR="004D2DC2">
        <w:rPr>
          <w:rFonts w:eastAsia="Times New Roman" w:cstheme="minorHAnsi"/>
          <w:lang w:eastAsia="en-GB"/>
        </w:rPr>
        <w:t xml:space="preserve"> Princip</w:t>
      </w:r>
      <w:r w:rsidR="001530CA">
        <w:rPr>
          <w:rFonts w:eastAsia="Times New Roman" w:cstheme="minorHAnsi"/>
          <w:lang w:eastAsia="en-GB"/>
        </w:rPr>
        <w:t>al</w:t>
      </w:r>
      <w:r w:rsidR="004D2DC2">
        <w:rPr>
          <w:rFonts w:eastAsia="Times New Roman" w:cstheme="minorHAnsi"/>
          <w:lang w:eastAsia="en-GB"/>
        </w:rPr>
        <w:t xml:space="preserve"> component analysis of 433 samples from four clinical groups sufficiently profiled by </w:t>
      </w:r>
      <w:proofErr w:type="spellStart"/>
      <w:r w:rsidR="004D2DC2">
        <w:rPr>
          <w:rFonts w:eastAsia="Times New Roman" w:cstheme="minorHAnsi"/>
          <w:lang w:eastAsia="en-GB"/>
        </w:rPr>
        <w:t>TempO</w:t>
      </w:r>
      <w:proofErr w:type="spellEnd"/>
      <w:r w:rsidR="004D2DC2">
        <w:rPr>
          <w:rFonts w:eastAsia="Times New Roman" w:cstheme="minorHAnsi"/>
          <w:lang w:eastAsia="en-GB"/>
        </w:rPr>
        <w:t xml:space="preserve">-seq. </w:t>
      </w:r>
      <w:proofErr w:type="spellStart"/>
      <w:r w:rsidR="004D2DC2">
        <w:rPr>
          <w:rFonts w:eastAsia="Times New Roman" w:cstheme="minorHAnsi"/>
          <w:lang w:eastAsia="en-GB"/>
        </w:rPr>
        <w:t>Tum_met</w:t>
      </w:r>
      <w:proofErr w:type="spellEnd"/>
      <w:r w:rsidR="004D2DC2">
        <w:rPr>
          <w:rFonts w:eastAsia="Times New Roman" w:cstheme="minorHAnsi"/>
          <w:lang w:eastAsia="en-GB"/>
        </w:rPr>
        <w:t xml:space="preserve">: metastasising primary </w:t>
      </w:r>
      <w:proofErr w:type="spellStart"/>
      <w:r w:rsidR="004D2DC2">
        <w:rPr>
          <w:rFonts w:eastAsia="Times New Roman" w:cstheme="minorHAnsi"/>
          <w:lang w:eastAsia="en-GB"/>
        </w:rPr>
        <w:t>cSCC</w:t>
      </w:r>
      <w:proofErr w:type="spellEnd"/>
      <w:r w:rsidR="004D2DC2">
        <w:rPr>
          <w:rFonts w:eastAsia="Times New Roman" w:cstheme="minorHAnsi"/>
          <w:lang w:eastAsia="en-GB"/>
        </w:rPr>
        <w:t xml:space="preserve">; </w:t>
      </w:r>
      <w:proofErr w:type="spellStart"/>
      <w:r w:rsidR="004D2DC2">
        <w:rPr>
          <w:rFonts w:eastAsia="Times New Roman" w:cstheme="minorHAnsi"/>
          <w:lang w:eastAsia="en-GB"/>
        </w:rPr>
        <w:t>Tum_no_met</w:t>
      </w:r>
      <w:proofErr w:type="spellEnd"/>
      <w:r w:rsidR="004D2DC2">
        <w:rPr>
          <w:rFonts w:eastAsia="Times New Roman" w:cstheme="minorHAnsi"/>
          <w:lang w:eastAsia="en-GB"/>
        </w:rPr>
        <w:t xml:space="preserve">: non-metastasising primary </w:t>
      </w:r>
      <w:proofErr w:type="spellStart"/>
      <w:r w:rsidR="004D2DC2">
        <w:rPr>
          <w:rFonts w:eastAsia="Times New Roman" w:cstheme="minorHAnsi"/>
          <w:lang w:eastAsia="en-GB"/>
        </w:rPr>
        <w:t>cSCC</w:t>
      </w:r>
      <w:proofErr w:type="spellEnd"/>
      <w:r w:rsidR="004D2DC2">
        <w:rPr>
          <w:rFonts w:eastAsia="Times New Roman" w:cstheme="minorHAnsi"/>
          <w:lang w:eastAsia="en-GB"/>
        </w:rPr>
        <w:t xml:space="preserve">; </w:t>
      </w:r>
      <w:proofErr w:type="spellStart"/>
      <w:r w:rsidR="004D2DC2">
        <w:rPr>
          <w:rFonts w:eastAsia="Times New Roman" w:cstheme="minorHAnsi"/>
          <w:lang w:eastAsia="en-GB"/>
        </w:rPr>
        <w:t>Norm_with_met</w:t>
      </w:r>
      <w:proofErr w:type="spellEnd"/>
      <w:r w:rsidR="004D2DC2">
        <w:rPr>
          <w:rFonts w:eastAsia="Times New Roman" w:cstheme="minorHAnsi"/>
          <w:lang w:eastAsia="en-GB"/>
        </w:rPr>
        <w:t xml:space="preserve">: normal adjacent samples to metastasising primary </w:t>
      </w:r>
      <w:proofErr w:type="spellStart"/>
      <w:r w:rsidR="004D2DC2">
        <w:rPr>
          <w:rFonts w:eastAsia="Times New Roman" w:cstheme="minorHAnsi"/>
          <w:lang w:eastAsia="en-GB"/>
        </w:rPr>
        <w:t>cSCC</w:t>
      </w:r>
      <w:proofErr w:type="spellEnd"/>
      <w:r w:rsidR="004D2DC2">
        <w:rPr>
          <w:rFonts w:eastAsia="Times New Roman" w:cstheme="minorHAnsi"/>
          <w:lang w:eastAsia="en-GB"/>
        </w:rPr>
        <w:t xml:space="preserve">; </w:t>
      </w:r>
      <w:proofErr w:type="spellStart"/>
      <w:r w:rsidR="004D2DC2">
        <w:rPr>
          <w:rFonts w:eastAsia="Times New Roman" w:cstheme="minorHAnsi"/>
          <w:lang w:eastAsia="en-GB"/>
        </w:rPr>
        <w:t>Norm_no_met</w:t>
      </w:r>
      <w:proofErr w:type="spellEnd"/>
      <w:r w:rsidR="004D2DC2">
        <w:rPr>
          <w:rFonts w:eastAsia="Times New Roman" w:cstheme="minorHAnsi"/>
          <w:lang w:eastAsia="en-GB"/>
        </w:rPr>
        <w:t xml:space="preserve">: normal adjacent samples to non-metastasising primary </w:t>
      </w:r>
      <w:proofErr w:type="spellStart"/>
      <w:r w:rsidR="004D2DC2">
        <w:rPr>
          <w:rFonts w:eastAsia="Times New Roman" w:cstheme="minorHAnsi"/>
          <w:lang w:eastAsia="en-GB"/>
        </w:rPr>
        <w:t>cSCC</w:t>
      </w:r>
      <w:proofErr w:type="spellEnd"/>
      <w:r w:rsidR="004D2DC2">
        <w:rPr>
          <w:rFonts w:eastAsia="Times New Roman" w:cstheme="minorHAnsi"/>
          <w:lang w:eastAsia="en-GB"/>
        </w:rPr>
        <w:t>.</w:t>
      </w:r>
    </w:p>
    <w:p w14:paraId="7559C342" w14:textId="6FBA55E1" w:rsidR="003653CA" w:rsidRDefault="003653CA" w:rsidP="00EB3F1C">
      <w:pPr>
        <w:spacing w:line="276" w:lineRule="auto"/>
        <w:jc w:val="both"/>
        <w:rPr>
          <w:b/>
          <w:bCs/>
        </w:rPr>
      </w:pPr>
    </w:p>
    <w:p w14:paraId="5A7D9318" w14:textId="1E80F163" w:rsidR="000E26DC" w:rsidRDefault="000E26DC" w:rsidP="00EB3F1C">
      <w:pPr>
        <w:spacing w:line="276" w:lineRule="auto"/>
        <w:jc w:val="both"/>
        <w:rPr>
          <w:b/>
          <w:bCs/>
        </w:rPr>
      </w:pPr>
    </w:p>
    <w:p w14:paraId="53B92B7F" w14:textId="01C67A63" w:rsidR="000E26DC" w:rsidRDefault="000E26DC" w:rsidP="00EB3F1C">
      <w:pPr>
        <w:spacing w:line="276" w:lineRule="auto"/>
        <w:jc w:val="both"/>
        <w:rPr>
          <w:b/>
          <w:bCs/>
        </w:rPr>
      </w:pPr>
    </w:p>
    <w:p w14:paraId="3651D3E0" w14:textId="7C39FCC9" w:rsidR="000E26DC" w:rsidRDefault="000E26DC" w:rsidP="00EB3F1C">
      <w:pPr>
        <w:spacing w:line="276" w:lineRule="auto"/>
        <w:jc w:val="both"/>
        <w:rPr>
          <w:b/>
          <w:bCs/>
        </w:rPr>
      </w:pPr>
    </w:p>
    <w:p w14:paraId="57A395A4" w14:textId="39B0A0B3" w:rsidR="000E26DC" w:rsidRDefault="000E26DC" w:rsidP="00EB3F1C">
      <w:pPr>
        <w:spacing w:line="276" w:lineRule="auto"/>
        <w:jc w:val="both"/>
        <w:rPr>
          <w:b/>
          <w:bCs/>
        </w:rPr>
      </w:pPr>
    </w:p>
    <w:p w14:paraId="4811D0FD" w14:textId="6E8B4B34" w:rsidR="000E26DC" w:rsidRDefault="000E26DC" w:rsidP="00EB3F1C">
      <w:pPr>
        <w:spacing w:line="276" w:lineRule="auto"/>
        <w:jc w:val="both"/>
        <w:rPr>
          <w:b/>
          <w:bCs/>
        </w:rPr>
      </w:pPr>
    </w:p>
    <w:p w14:paraId="70D10D2A" w14:textId="1EF2E717" w:rsidR="000E26DC" w:rsidRDefault="000E26DC" w:rsidP="00EB3F1C">
      <w:pPr>
        <w:spacing w:line="276" w:lineRule="auto"/>
        <w:jc w:val="both"/>
        <w:rPr>
          <w:b/>
          <w:bCs/>
        </w:rPr>
      </w:pPr>
    </w:p>
    <w:p w14:paraId="6798274F" w14:textId="5328E641" w:rsidR="000E26DC" w:rsidRDefault="000E26DC" w:rsidP="00EB3F1C">
      <w:pPr>
        <w:spacing w:line="276" w:lineRule="auto"/>
        <w:jc w:val="both"/>
        <w:rPr>
          <w:b/>
          <w:bCs/>
        </w:rPr>
      </w:pPr>
    </w:p>
    <w:p w14:paraId="63161C4F" w14:textId="6248F497" w:rsidR="000E26DC" w:rsidRDefault="000E26DC" w:rsidP="00EB3F1C">
      <w:pPr>
        <w:spacing w:line="276" w:lineRule="auto"/>
        <w:jc w:val="both"/>
        <w:rPr>
          <w:b/>
          <w:bCs/>
        </w:rPr>
      </w:pPr>
    </w:p>
    <w:p w14:paraId="23DC224B" w14:textId="4F1C5E21" w:rsidR="000E26DC" w:rsidRDefault="000E26DC" w:rsidP="00EB3F1C">
      <w:pPr>
        <w:spacing w:line="276" w:lineRule="auto"/>
        <w:jc w:val="both"/>
        <w:rPr>
          <w:b/>
          <w:bCs/>
        </w:rPr>
      </w:pPr>
    </w:p>
    <w:p w14:paraId="00AD58AB" w14:textId="77777777" w:rsidR="000E26DC" w:rsidRDefault="000E26DC" w:rsidP="00EB3F1C">
      <w:pPr>
        <w:spacing w:line="276" w:lineRule="auto"/>
        <w:jc w:val="both"/>
        <w:rPr>
          <w:b/>
          <w:bCs/>
        </w:rPr>
      </w:pPr>
    </w:p>
    <w:p w14:paraId="4799CC94" w14:textId="77777777" w:rsidR="003653CA" w:rsidRDefault="003653CA" w:rsidP="00EB3F1C">
      <w:pPr>
        <w:spacing w:line="276" w:lineRule="auto"/>
        <w:jc w:val="both"/>
        <w:rPr>
          <w:b/>
          <w:bCs/>
        </w:rPr>
      </w:pPr>
    </w:p>
    <w:p w14:paraId="01A011DC" w14:textId="3A22DC55" w:rsidR="00571FBF" w:rsidRDefault="00B525CC" w:rsidP="00EB3F1C">
      <w:pPr>
        <w:spacing w:line="276" w:lineRule="auto"/>
        <w:jc w:val="both"/>
        <w:rPr>
          <w:b/>
          <w:bCs/>
        </w:rPr>
      </w:pPr>
      <w:r>
        <w:rPr>
          <w:noProof/>
        </w:rPr>
        <w:lastRenderedPageBreak/>
        <w:t xml:space="preserve">   </w:t>
      </w:r>
      <w:r w:rsidR="00885FFC" w:rsidRPr="00885FFC">
        <w:rPr>
          <w:noProof/>
        </w:rPr>
        <w:drawing>
          <wp:inline distT="0" distB="0" distL="0" distR="0" wp14:anchorId="56B18EF6" wp14:editId="3299C8B4">
            <wp:extent cx="5462546" cy="247389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4642" cy="247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6C83">
        <w:rPr>
          <w:noProof/>
        </w:rPr>
        <w:t xml:space="preserve">  </w:t>
      </w:r>
    </w:p>
    <w:p w14:paraId="6746C9D3" w14:textId="075CA00C" w:rsidR="001D083F" w:rsidRDefault="00C7768A" w:rsidP="00EB3F1C">
      <w:pPr>
        <w:spacing w:line="276" w:lineRule="auto"/>
        <w:jc w:val="both"/>
        <w:rPr>
          <w:rFonts w:cstheme="minorHAnsi"/>
          <w:lang w:val="en-US"/>
        </w:rPr>
      </w:pPr>
      <w:r w:rsidRPr="00ED78EB">
        <w:rPr>
          <w:b/>
          <w:bCs/>
        </w:rPr>
        <w:t xml:space="preserve">Supplemental Fig </w:t>
      </w:r>
      <w:r w:rsidR="00A06FF2">
        <w:rPr>
          <w:b/>
          <w:bCs/>
        </w:rPr>
        <w:t>2</w:t>
      </w:r>
      <w:r w:rsidR="001A3272" w:rsidRPr="00ED78EB">
        <w:rPr>
          <w:b/>
          <w:bCs/>
        </w:rPr>
        <w:t>.</w:t>
      </w:r>
      <w:r w:rsidR="001A3272" w:rsidRPr="00ED78EB">
        <w:t xml:space="preserve"> </w:t>
      </w:r>
      <w:r w:rsidR="00BF7C12" w:rsidRPr="00ED78EB">
        <w:t xml:space="preserve">Gene set over-representation test on </w:t>
      </w:r>
      <w:r w:rsidR="00727D00" w:rsidRPr="00ED78EB">
        <w:t xml:space="preserve">canonical pathways and cellular signatures for </w:t>
      </w:r>
      <w:r w:rsidR="004003D4" w:rsidRPr="00ED78EB">
        <w:t xml:space="preserve">1,274 </w:t>
      </w:r>
      <w:r w:rsidR="00727D00" w:rsidRPr="00ED78EB">
        <w:t xml:space="preserve">DE genes </w:t>
      </w:r>
      <w:r w:rsidR="007549C2" w:rsidRPr="00ED78EB">
        <w:t xml:space="preserve">between metastasising and non-metastasising </w:t>
      </w:r>
      <w:r w:rsidR="003F058F" w:rsidRPr="00ED78EB">
        <w:t xml:space="preserve">primary </w:t>
      </w:r>
      <w:proofErr w:type="spellStart"/>
      <w:r w:rsidR="003F058F" w:rsidRPr="00ED78EB">
        <w:t>cSCC</w:t>
      </w:r>
      <w:proofErr w:type="spellEnd"/>
      <w:r w:rsidR="003F058F" w:rsidRPr="00ED78EB">
        <w:t xml:space="preserve">. </w:t>
      </w:r>
      <w:r w:rsidR="00472B79">
        <w:t xml:space="preserve">(A) </w:t>
      </w:r>
      <w:r w:rsidR="00247CE3">
        <w:t>Selected highly significan</w:t>
      </w:r>
      <w:r w:rsidR="00601773">
        <w:t xml:space="preserve">tly </w:t>
      </w:r>
      <w:r w:rsidR="00AD22B5">
        <w:t>over-represented pathways</w:t>
      </w:r>
      <w:r w:rsidR="00AB7D75">
        <w:t>,</w:t>
      </w:r>
      <w:r w:rsidR="00254FC8">
        <w:t xml:space="preserve"> (B) </w:t>
      </w:r>
      <w:r w:rsidR="00AB7D75">
        <w:t>high</w:t>
      </w:r>
      <w:r w:rsidR="003F6AC4">
        <w:t>ly</w:t>
      </w:r>
      <w:r w:rsidR="00AB7D75">
        <w:t xml:space="preserve"> significantly over-represented cellular signatures </w:t>
      </w:r>
      <w:r w:rsidR="00B4423A">
        <w:t xml:space="preserve">for </w:t>
      </w:r>
      <w:r w:rsidR="002C477E">
        <w:t>DE genes.</w:t>
      </w:r>
      <w:r w:rsidR="00BC1672">
        <w:t xml:space="preserve"> All analysis was performed using </w:t>
      </w:r>
      <w:r w:rsidR="00697FFB">
        <w:t xml:space="preserve">the </w:t>
      </w:r>
      <w:proofErr w:type="spellStart"/>
      <w:r w:rsidR="00592961" w:rsidRPr="00DF0A44">
        <w:rPr>
          <w:rFonts w:cstheme="minorHAnsi"/>
          <w:lang w:val="en-US"/>
        </w:rPr>
        <w:t>clusterProfiler</w:t>
      </w:r>
      <w:proofErr w:type="spellEnd"/>
      <w:r w:rsidR="00603177">
        <w:rPr>
          <w:rFonts w:cstheme="minorHAnsi"/>
          <w:lang w:val="en-US"/>
        </w:rPr>
        <w:t xml:space="preserve"> R package.</w:t>
      </w:r>
    </w:p>
    <w:p w14:paraId="052479C8" w14:textId="77777777" w:rsidR="00D37D5A" w:rsidRPr="003A7C42" w:rsidRDefault="00D37D5A" w:rsidP="00EB3F1C">
      <w:pPr>
        <w:spacing w:line="276" w:lineRule="auto"/>
        <w:jc w:val="both"/>
      </w:pPr>
    </w:p>
    <w:p w14:paraId="0149E5FE" w14:textId="77777777" w:rsidR="001D083F" w:rsidRDefault="001D083F" w:rsidP="00EB3F1C">
      <w:pPr>
        <w:spacing w:line="276" w:lineRule="auto"/>
        <w:jc w:val="both"/>
        <w:rPr>
          <w:b/>
          <w:bCs/>
        </w:rPr>
      </w:pPr>
    </w:p>
    <w:p w14:paraId="525A8ED7" w14:textId="5021A547" w:rsidR="00151B11" w:rsidRDefault="003A7C42" w:rsidP="00EB3F1C">
      <w:pPr>
        <w:spacing w:line="276" w:lineRule="auto"/>
        <w:jc w:val="both"/>
        <w:rPr>
          <w:b/>
          <w:bCs/>
        </w:rPr>
      </w:pPr>
      <w:r w:rsidRPr="003A7C42">
        <w:rPr>
          <w:b/>
          <w:bCs/>
          <w:noProof/>
        </w:rPr>
        <w:drawing>
          <wp:inline distT="0" distB="0" distL="0" distR="0" wp14:anchorId="35CE7860" wp14:editId="4F4D2CED">
            <wp:extent cx="5727700" cy="3711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46055" w14:textId="56538F4C" w:rsidR="00BB5393" w:rsidRDefault="00BB5393" w:rsidP="00EB3F1C">
      <w:pPr>
        <w:spacing w:line="276" w:lineRule="auto"/>
        <w:jc w:val="both"/>
        <w:rPr>
          <w:b/>
          <w:bCs/>
        </w:rPr>
      </w:pPr>
    </w:p>
    <w:p w14:paraId="783AC785" w14:textId="760B02CD" w:rsidR="0073732E" w:rsidRPr="00960B0E" w:rsidRDefault="0073732E" w:rsidP="0073732E">
      <w:pPr>
        <w:spacing w:line="276" w:lineRule="auto"/>
        <w:jc w:val="both"/>
      </w:pPr>
      <w:r w:rsidRPr="006A25E2">
        <w:rPr>
          <w:b/>
          <w:bCs/>
        </w:rPr>
        <w:t xml:space="preserve">Supplemental Fig </w:t>
      </w:r>
      <w:r w:rsidR="00D14C2C">
        <w:rPr>
          <w:b/>
          <w:bCs/>
        </w:rPr>
        <w:t>3</w:t>
      </w:r>
      <w:r w:rsidR="0061277A">
        <w:rPr>
          <w:b/>
          <w:bCs/>
        </w:rPr>
        <w:t xml:space="preserve">. </w:t>
      </w:r>
      <w:r w:rsidR="00960B0E">
        <w:t xml:space="preserve">Heatmap of </w:t>
      </w:r>
      <w:r w:rsidR="007405C3">
        <w:t xml:space="preserve">the 20 genes derived from the </w:t>
      </w:r>
      <w:r w:rsidR="000568BE">
        <w:t xml:space="preserve">K-nearest </w:t>
      </w:r>
      <w:proofErr w:type="gramStart"/>
      <w:r w:rsidR="000568BE">
        <w:t>neighbours</w:t>
      </w:r>
      <w:proofErr w:type="gramEnd"/>
      <w:r w:rsidR="00F22B65">
        <w:t xml:space="preserve"> </w:t>
      </w:r>
      <w:r w:rsidR="007405C3">
        <w:t xml:space="preserve">model </w:t>
      </w:r>
      <w:r w:rsidR="00954823">
        <w:t>across all primary tumour samples.</w:t>
      </w:r>
      <w:r w:rsidR="005B5DF7">
        <w:t xml:space="preserve"> </w:t>
      </w:r>
      <w:proofErr w:type="spellStart"/>
      <w:r w:rsidR="005B5DF7">
        <w:t>Tum_met</w:t>
      </w:r>
      <w:proofErr w:type="spellEnd"/>
      <w:r w:rsidR="005B5DF7">
        <w:t xml:space="preserve">: </w:t>
      </w:r>
      <w:r w:rsidR="001A7C60">
        <w:t xml:space="preserve">metastasising </w:t>
      </w:r>
      <w:r w:rsidR="000D15CE">
        <w:t xml:space="preserve">primary </w:t>
      </w:r>
      <w:proofErr w:type="spellStart"/>
      <w:r w:rsidR="000D15CE">
        <w:t>cSCC</w:t>
      </w:r>
      <w:proofErr w:type="spellEnd"/>
      <w:r w:rsidR="000D15CE">
        <w:t xml:space="preserve">; </w:t>
      </w:r>
      <w:proofErr w:type="spellStart"/>
      <w:r w:rsidR="000D15CE">
        <w:t>Tum_no_met</w:t>
      </w:r>
      <w:proofErr w:type="spellEnd"/>
      <w:r w:rsidR="000D15CE">
        <w:t xml:space="preserve">: </w:t>
      </w:r>
      <w:r w:rsidR="00392629">
        <w:t xml:space="preserve">non-metastasising </w:t>
      </w:r>
      <w:r w:rsidR="002A1367">
        <w:t xml:space="preserve">primary </w:t>
      </w:r>
      <w:proofErr w:type="spellStart"/>
      <w:r w:rsidR="000067EC">
        <w:t>cSCC</w:t>
      </w:r>
      <w:proofErr w:type="spellEnd"/>
      <w:r w:rsidR="000067EC">
        <w:t>.</w:t>
      </w:r>
    </w:p>
    <w:p w14:paraId="0D37EA67" w14:textId="77777777" w:rsidR="001E7FBC" w:rsidRDefault="001E7FBC" w:rsidP="00EB3F1C">
      <w:pPr>
        <w:spacing w:line="276" w:lineRule="auto"/>
        <w:jc w:val="both"/>
        <w:rPr>
          <w:b/>
          <w:bCs/>
        </w:rPr>
      </w:pPr>
    </w:p>
    <w:p w14:paraId="5EDD2538" w14:textId="4AA71CD6" w:rsidR="001E7FBC" w:rsidRDefault="001E7FBC" w:rsidP="00EB3F1C">
      <w:pPr>
        <w:spacing w:line="276" w:lineRule="auto"/>
        <w:jc w:val="both"/>
        <w:rPr>
          <w:b/>
          <w:bCs/>
        </w:rPr>
      </w:pPr>
    </w:p>
    <w:p w14:paraId="080A26DF" w14:textId="798A63CA" w:rsidR="00D347DE" w:rsidRDefault="0075034E" w:rsidP="00EB3F1C">
      <w:pPr>
        <w:spacing w:line="276" w:lineRule="auto"/>
        <w:jc w:val="both"/>
        <w:rPr>
          <w:b/>
          <w:bCs/>
        </w:rPr>
      </w:pPr>
      <w:r w:rsidRPr="0075034E">
        <w:rPr>
          <w:b/>
          <w:bCs/>
          <w:noProof/>
        </w:rPr>
        <w:drawing>
          <wp:inline distT="0" distB="0" distL="0" distR="0" wp14:anchorId="4D23382A" wp14:editId="16A88EB3">
            <wp:extent cx="3763926" cy="256631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0730" cy="25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FC6862" w14:textId="1E3E6F9A" w:rsidR="0056778E" w:rsidRPr="00041ED7" w:rsidRDefault="00A11204" w:rsidP="00EB3F1C">
      <w:pPr>
        <w:spacing w:line="276" w:lineRule="auto"/>
        <w:jc w:val="both"/>
      </w:pPr>
      <w:r w:rsidRPr="006A25E2">
        <w:rPr>
          <w:b/>
          <w:bCs/>
        </w:rPr>
        <w:t xml:space="preserve">Supplemental </w:t>
      </w:r>
      <w:r w:rsidR="007D634E" w:rsidRPr="006A25E2">
        <w:rPr>
          <w:b/>
          <w:bCs/>
        </w:rPr>
        <w:t xml:space="preserve">Fig </w:t>
      </w:r>
      <w:r w:rsidR="0038385D">
        <w:rPr>
          <w:b/>
          <w:bCs/>
        </w:rPr>
        <w:t>4</w:t>
      </w:r>
      <w:r w:rsidR="001D7B96" w:rsidRPr="006A25E2">
        <w:rPr>
          <w:b/>
          <w:bCs/>
        </w:rPr>
        <w:t>.</w:t>
      </w:r>
      <w:r w:rsidR="00004A04" w:rsidRPr="006A25E2">
        <w:rPr>
          <w:b/>
          <w:bCs/>
        </w:rPr>
        <w:t xml:space="preserve"> </w:t>
      </w:r>
      <w:r w:rsidR="00D554DE" w:rsidRPr="00041ED7">
        <w:t xml:space="preserve">Boxplots of </w:t>
      </w:r>
      <w:r w:rsidR="000418A5" w:rsidRPr="00041ED7">
        <w:t xml:space="preserve">linear predictors </w:t>
      </w:r>
      <w:r w:rsidR="0078029A" w:rsidRPr="00041ED7">
        <w:t xml:space="preserve">between </w:t>
      </w:r>
      <w:proofErr w:type="spellStart"/>
      <w:r w:rsidR="00FF4724" w:rsidRPr="00041ED7">
        <w:rPr>
          <w:rFonts w:cstheme="minorHAnsi"/>
          <w:lang w:val="en-US"/>
        </w:rPr>
        <w:t>metastasising</w:t>
      </w:r>
      <w:proofErr w:type="spellEnd"/>
      <w:r w:rsidR="00FF4724" w:rsidRPr="00041ED7">
        <w:rPr>
          <w:rFonts w:cstheme="minorHAnsi"/>
          <w:lang w:val="en-US"/>
        </w:rPr>
        <w:t xml:space="preserve"> and non-</w:t>
      </w:r>
      <w:proofErr w:type="spellStart"/>
      <w:r w:rsidR="00FF4724" w:rsidRPr="00041ED7">
        <w:rPr>
          <w:rFonts w:cstheme="minorHAnsi"/>
          <w:lang w:val="en-US"/>
        </w:rPr>
        <w:t>metastasising</w:t>
      </w:r>
      <w:proofErr w:type="spellEnd"/>
      <w:r w:rsidR="00FF4724" w:rsidRPr="00041ED7">
        <w:rPr>
          <w:rFonts w:cstheme="minorHAnsi"/>
          <w:lang w:val="en-US"/>
        </w:rPr>
        <w:t xml:space="preserve"> primary </w:t>
      </w:r>
      <w:proofErr w:type="spellStart"/>
      <w:r w:rsidR="00FF4724" w:rsidRPr="00041ED7">
        <w:rPr>
          <w:rFonts w:cstheme="minorHAnsi"/>
          <w:lang w:val="en-US"/>
        </w:rPr>
        <w:t>cSCC</w:t>
      </w:r>
      <w:proofErr w:type="spellEnd"/>
      <w:r w:rsidR="004B573A" w:rsidRPr="00041ED7">
        <w:rPr>
          <w:rFonts w:cstheme="minorHAnsi"/>
          <w:lang w:val="en-US"/>
        </w:rPr>
        <w:t xml:space="preserve"> in the discovery</w:t>
      </w:r>
      <w:r w:rsidR="00180745">
        <w:rPr>
          <w:rFonts w:cstheme="minorHAnsi"/>
          <w:lang w:val="en-US"/>
        </w:rPr>
        <w:t xml:space="preserve"> (training)</w:t>
      </w:r>
      <w:r w:rsidR="004B573A" w:rsidRPr="00041ED7">
        <w:rPr>
          <w:rFonts w:cstheme="minorHAnsi"/>
          <w:lang w:val="en-US"/>
        </w:rPr>
        <w:t xml:space="preserve"> and testing data sets.</w:t>
      </w:r>
      <w:r w:rsidR="00D97F81">
        <w:rPr>
          <w:rFonts w:cstheme="minorHAnsi"/>
          <w:lang w:val="en-US"/>
        </w:rPr>
        <w:t xml:space="preserve"> </w:t>
      </w:r>
      <w:r w:rsidR="00A005CF">
        <w:rPr>
          <w:rFonts w:cstheme="minorHAnsi"/>
          <w:lang w:val="en-US"/>
        </w:rPr>
        <w:t>The statistical p-value based on the Wilcoxon Rank</w:t>
      </w:r>
      <w:r w:rsidR="00D7038B">
        <w:rPr>
          <w:rFonts w:cstheme="minorHAnsi"/>
          <w:lang w:val="en-US"/>
        </w:rPr>
        <w:t xml:space="preserve"> </w:t>
      </w:r>
      <w:r w:rsidR="00A005CF">
        <w:rPr>
          <w:rFonts w:cstheme="minorHAnsi"/>
          <w:lang w:val="en-US"/>
        </w:rPr>
        <w:t xml:space="preserve">Sum test </w:t>
      </w:r>
      <w:r w:rsidR="00EE7F10">
        <w:rPr>
          <w:rFonts w:cstheme="minorHAnsi"/>
          <w:lang w:val="en-US"/>
        </w:rPr>
        <w:t>is</w:t>
      </w:r>
      <w:r w:rsidR="00D7038B">
        <w:rPr>
          <w:rFonts w:cstheme="minorHAnsi"/>
          <w:lang w:val="en-US"/>
        </w:rPr>
        <w:t xml:space="preserve"> shown</w:t>
      </w:r>
      <w:r w:rsidR="00003E13">
        <w:rPr>
          <w:rFonts w:cstheme="minorHAnsi"/>
          <w:lang w:val="en-US"/>
        </w:rPr>
        <w:t>.</w:t>
      </w:r>
      <w:r w:rsidR="00B45AAE">
        <w:rPr>
          <w:rFonts w:cstheme="minorHAnsi"/>
          <w:lang w:val="en-US"/>
        </w:rPr>
        <w:t xml:space="preserve"> Y: </w:t>
      </w:r>
      <w:proofErr w:type="spellStart"/>
      <w:r w:rsidR="00E57347">
        <w:rPr>
          <w:rFonts w:cstheme="minorHAnsi"/>
          <w:lang w:val="en-US"/>
        </w:rPr>
        <w:t>metastasising</w:t>
      </w:r>
      <w:proofErr w:type="spellEnd"/>
      <w:r w:rsidR="00E57347">
        <w:rPr>
          <w:rFonts w:cstheme="minorHAnsi"/>
          <w:lang w:val="en-US"/>
        </w:rPr>
        <w:t xml:space="preserve"> </w:t>
      </w:r>
      <w:proofErr w:type="spellStart"/>
      <w:r w:rsidR="00E57347">
        <w:rPr>
          <w:rFonts w:cstheme="minorHAnsi"/>
          <w:lang w:val="en-US"/>
        </w:rPr>
        <w:t>cSCC</w:t>
      </w:r>
      <w:proofErr w:type="spellEnd"/>
      <w:r w:rsidR="00E57347">
        <w:rPr>
          <w:rFonts w:cstheme="minorHAnsi"/>
          <w:lang w:val="en-US"/>
        </w:rPr>
        <w:t>; N: non-</w:t>
      </w:r>
      <w:proofErr w:type="spellStart"/>
      <w:r w:rsidR="00E57347">
        <w:rPr>
          <w:rFonts w:cstheme="minorHAnsi"/>
          <w:lang w:val="en-US"/>
        </w:rPr>
        <w:t>metastasising</w:t>
      </w:r>
      <w:proofErr w:type="spellEnd"/>
      <w:r w:rsidR="00E57347">
        <w:rPr>
          <w:rFonts w:cstheme="minorHAnsi"/>
          <w:lang w:val="en-US"/>
        </w:rPr>
        <w:t xml:space="preserve"> </w:t>
      </w:r>
      <w:proofErr w:type="spellStart"/>
      <w:r w:rsidR="00E57347">
        <w:rPr>
          <w:rFonts w:cstheme="minorHAnsi"/>
          <w:lang w:val="en-US"/>
        </w:rPr>
        <w:t>cSCC</w:t>
      </w:r>
      <w:proofErr w:type="spellEnd"/>
      <w:r w:rsidR="00736A5A">
        <w:rPr>
          <w:rFonts w:cstheme="minorHAnsi"/>
          <w:lang w:val="en-US"/>
        </w:rPr>
        <w:t>.</w:t>
      </w:r>
    </w:p>
    <w:p w14:paraId="056BC6DA" w14:textId="23742257" w:rsidR="002F3E97" w:rsidRDefault="002F3E97" w:rsidP="00EB3F1C">
      <w:pPr>
        <w:spacing w:line="276" w:lineRule="auto"/>
        <w:jc w:val="both"/>
      </w:pPr>
    </w:p>
    <w:p w14:paraId="395632CE" w14:textId="2E42C85F" w:rsidR="005858EE" w:rsidRDefault="005858EE" w:rsidP="00EB3F1C">
      <w:pPr>
        <w:spacing w:line="276" w:lineRule="auto"/>
        <w:jc w:val="both"/>
      </w:pPr>
    </w:p>
    <w:p w14:paraId="0508C178" w14:textId="77777777" w:rsidR="001A0FD0" w:rsidRDefault="001A0FD0" w:rsidP="00EB3F1C">
      <w:pPr>
        <w:spacing w:line="276" w:lineRule="auto"/>
        <w:jc w:val="both"/>
      </w:pPr>
    </w:p>
    <w:p w14:paraId="2179CB44" w14:textId="5877A653" w:rsidR="00D22647" w:rsidRDefault="00D22647" w:rsidP="00EB3F1C">
      <w:pPr>
        <w:spacing w:line="276" w:lineRule="auto"/>
        <w:jc w:val="both"/>
      </w:pPr>
    </w:p>
    <w:p w14:paraId="0134A7F5" w14:textId="588DFDF1" w:rsidR="00D22647" w:rsidRDefault="00077750" w:rsidP="00EB3F1C">
      <w:pPr>
        <w:spacing w:line="276" w:lineRule="auto"/>
        <w:jc w:val="both"/>
      </w:pPr>
      <w:r w:rsidRPr="00077750">
        <w:rPr>
          <w:noProof/>
        </w:rPr>
        <w:t xml:space="preserve"> </w:t>
      </w:r>
      <w:r w:rsidR="0067281B">
        <w:rPr>
          <w:noProof/>
        </w:rPr>
        <w:drawing>
          <wp:inline distT="0" distB="0" distL="0" distR="0" wp14:anchorId="5A53DAD8" wp14:editId="15C14F15">
            <wp:extent cx="3710354" cy="2758496"/>
            <wp:effectExtent l="0" t="0" r="0" b="0"/>
            <wp:docPr id="5821663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66310" name="Picture 582166310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145" cy="276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BA781" w14:textId="5D752844" w:rsidR="00D11693" w:rsidRDefault="00D9209A" w:rsidP="00D11693">
      <w:pPr>
        <w:spacing w:line="276" w:lineRule="auto"/>
        <w:jc w:val="both"/>
        <w:rPr>
          <w:rFonts w:eastAsia="Times New Roman" w:cstheme="minorHAnsi"/>
          <w:lang w:eastAsia="en-GB"/>
        </w:rPr>
      </w:pPr>
      <w:r w:rsidRPr="006A25E2">
        <w:rPr>
          <w:b/>
          <w:bCs/>
        </w:rPr>
        <w:t xml:space="preserve">Supplemental Fig </w:t>
      </w:r>
      <w:r w:rsidR="00ED6F9B">
        <w:rPr>
          <w:b/>
          <w:bCs/>
        </w:rPr>
        <w:t>5</w:t>
      </w:r>
      <w:r w:rsidRPr="006A25E2">
        <w:rPr>
          <w:b/>
          <w:bCs/>
        </w:rPr>
        <w:t xml:space="preserve">. </w:t>
      </w:r>
      <w:r w:rsidRPr="00A15E14">
        <w:t>Boxplots of linear predictors</w:t>
      </w:r>
      <w:r w:rsidR="005F2A67" w:rsidRPr="00A15E14">
        <w:t xml:space="preserve"> across the four clinical groups in our cohort</w:t>
      </w:r>
      <w:r w:rsidR="00D11693">
        <w:t xml:space="preserve">. </w:t>
      </w:r>
      <w:r w:rsidR="00D11693">
        <w:rPr>
          <w:rFonts w:cstheme="minorHAnsi"/>
          <w:lang w:val="en-US"/>
        </w:rPr>
        <w:t xml:space="preserve">The statistical p-value based on the Wilcoxon Rank Sum test </w:t>
      </w:r>
      <w:r w:rsidR="00C62918">
        <w:rPr>
          <w:rFonts w:cstheme="minorHAnsi"/>
          <w:lang w:val="en-US"/>
        </w:rPr>
        <w:t>is</w:t>
      </w:r>
      <w:r w:rsidR="00D11693">
        <w:rPr>
          <w:rFonts w:cstheme="minorHAnsi"/>
          <w:lang w:val="en-US"/>
        </w:rPr>
        <w:t xml:space="preserve"> shown.</w:t>
      </w:r>
      <w:r w:rsidR="00033D6E">
        <w:rPr>
          <w:rFonts w:cstheme="minorHAnsi"/>
          <w:lang w:val="en-US"/>
        </w:rPr>
        <w:t xml:space="preserve"> </w:t>
      </w:r>
      <w:proofErr w:type="spellStart"/>
      <w:r w:rsidR="00033D6E">
        <w:rPr>
          <w:rFonts w:eastAsia="Times New Roman" w:cstheme="minorHAnsi"/>
          <w:lang w:eastAsia="en-GB"/>
        </w:rPr>
        <w:t>Tum_met</w:t>
      </w:r>
      <w:proofErr w:type="spellEnd"/>
      <w:r w:rsidR="00033D6E">
        <w:rPr>
          <w:rFonts w:eastAsia="Times New Roman" w:cstheme="minorHAnsi"/>
          <w:lang w:eastAsia="en-GB"/>
        </w:rPr>
        <w:t xml:space="preserve">: metastasising primary </w:t>
      </w:r>
      <w:proofErr w:type="spellStart"/>
      <w:r w:rsidR="00033D6E">
        <w:rPr>
          <w:rFonts w:eastAsia="Times New Roman" w:cstheme="minorHAnsi"/>
          <w:lang w:eastAsia="en-GB"/>
        </w:rPr>
        <w:t>cSCC</w:t>
      </w:r>
      <w:proofErr w:type="spellEnd"/>
      <w:r w:rsidR="00033D6E">
        <w:rPr>
          <w:rFonts w:eastAsia="Times New Roman" w:cstheme="minorHAnsi"/>
          <w:lang w:eastAsia="en-GB"/>
        </w:rPr>
        <w:t xml:space="preserve">; </w:t>
      </w:r>
      <w:proofErr w:type="spellStart"/>
      <w:r w:rsidR="00033D6E">
        <w:rPr>
          <w:rFonts w:eastAsia="Times New Roman" w:cstheme="minorHAnsi"/>
          <w:lang w:eastAsia="en-GB"/>
        </w:rPr>
        <w:t>Tum_no_met</w:t>
      </w:r>
      <w:proofErr w:type="spellEnd"/>
      <w:r w:rsidR="00033D6E">
        <w:rPr>
          <w:rFonts w:eastAsia="Times New Roman" w:cstheme="minorHAnsi"/>
          <w:lang w:eastAsia="en-GB"/>
        </w:rPr>
        <w:t xml:space="preserve">: non-metastasising primary </w:t>
      </w:r>
      <w:proofErr w:type="spellStart"/>
      <w:r w:rsidR="00033D6E">
        <w:rPr>
          <w:rFonts w:eastAsia="Times New Roman" w:cstheme="minorHAnsi"/>
          <w:lang w:eastAsia="en-GB"/>
        </w:rPr>
        <w:t>cSCC</w:t>
      </w:r>
      <w:proofErr w:type="spellEnd"/>
      <w:r w:rsidR="00033D6E">
        <w:rPr>
          <w:rFonts w:eastAsia="Times New Roman" w:cstheme="minorHAnsi"/>
          <w:lang w:eastAsia="en-GB"/>
        </w:rPr>
        <w:t xml:space="preserve">; </w:t>
      </w:r>
      <w:proofErr w:type="spellStart"/>
      <w:r w:rsidR="00033D6E">
        <w:rPr>
          <w:rFonts w:eastAsia="Times New Roman" w:cstheme="minorHAnsi"/>
          <w:lang w:eastAsia="en-GB"/>
        </w:rPr>
        <w:t>Norm_with_met</w:t>
      </w:r>
      <w:proofErr w:type="spellEnd"/>
      <w:r w:rsidR="00033D6E">
        <w:rPr>
          <w:rFonts w:eastAsia="Times New Roman" w:cstheme="minorHAnsi"/>
          <w:lang w:eastAsia="en-GB"/>
        </w:rPr>
        <w:t xml:space="preserve">: normal adjacent samples to metastasising primary </w:t>
      </w:r>
      <w:proofErr w:type="spellStart"/>
      <w:r w:rsidR="00033D6E">
        <w:rPr>
          <w:rFonts w:eastAsia="Times New Roman" w:cstheme="minorHAnsi"/>
          <w:lang w:eastAsia="en-GB"/>
        </w:rPr>
        <w:t>cSCC</w:t>
      </w:r>
      <w:proofErr w:type="spellEnd"/>
      <w:r w:rsidR="00033D6E">
        <w:rPr>
          <w:rFonts w:eastAsia="Times New Roman" w:cstheme="minorHAnsi"/>
          <w:lang w:eastAsia="en-GB"/>
        </w:rPr>
        <w:t xml:space="preserve">; </w:t>
      </w:r>
      <w:proofErr w:type="spellStart"/>
      <w:r w:rsidR="00033D6E">
        <w:rPr>
          <w:rFonts w:eastAsia="Times New Roman" w:cstheme="minorHAnsi"/>
          <w:lang w:eastAsia="en-GB"/>
        </w:rPr>
        <w:t>Norm_no_met</w:t>
      </w:r>
      <w:proofErr w:type="spellEnd"/>
      <w:r w:rsidR="00033D6E">
        <w:rPr>
          <w:rFonts w:eastAsia="Times New Roman" w:cstheme="minorHAnsi"/>
          <w:lang w:eastAsia="en-GB"/>
        </w:rPr>
        <w:t xml:space="preserve">: normal adjacent samples to non-metastasising primary </w:t>
      </w:r>
      <w:proofErr w:type="spellStart"/>
      <w:r w:rsidR="00033D6E">
        <w:rPr>
          <w:rFonts w:eastAsia="Times New Roman" w:cstheme="minorHAnsi"/>
          <w:lang w:eastAsia="en-GB"/>
        </w:rPr>
        <w:t>cSCC</w:t>
      </w:r>
      <w:proofErr w:type="spellEnd"/>
      <w:r w:rsidR="00033D6E">
        <w:rPr>
          <w:rFonts w:eastAsia="Times New Roman" w:cstheme="minorHAnsi"/>
          <w:lang w:eastAsia="en-GB"/>
        </w:rPr>
        <w:t>.</w:t>
      </w:r>
    </w:p>
    <w:p w14:paraId="5885611A" w14:textId="0FEB0C06" w:rsidR="00CB50B3" w:rsidRDefault="00CB50B3" w:rsidP="00D11693">
      <w:pPr>
        <w:spacing w:line="276" w:lineRule="auto"/>
        <w:jc w:val="both"/>
        <w:rPr>
          <w:rFonts w:eastAsia="Times New Roman" w:cstheme="minorHAnsi"/>
          <w:lang w:eastAsia="en-GB"/>
        </w:rPr>
      </w:pPr>
    </w:p>
    <w:p w14:paraId="12BDD2BC" w14:textId="00CE45C3" w:rsidR="00533413" w:rsidRPr="008971A4" w:rsidRDefault="00533413" w:rsidP="00EB3F1C">
      <w:pPr>
        <w:spacing w:line="276" w:lineRule="auto"/>
        <w:jc w:val="both"/>
        <w:rPr>
          <w:b/>
          <w:bCs/>
        </w:rPr>
      </w:pPr>
      <w:r w:rsidRPr="008971A4">
        <w:rPr>
          <w:b/>
          <w:bCs/>
        </w:rPr>
        <w:lastRenderedPageBreak/>
        <w:t xml:space="preserve">Supplemental </w:t>
      </w:r>
      <w:r w:rsidR="004F20CB" w:rsidRPr="008971A4">
        <w:rPr>
          <w:b/>
          <w:bCs/>
        </w:rPr>
        <w:t xml:space="preserve">Table I. </w:t>
      </w:r>
      <w:r w:rsidR="00DA3EF3" w:rsidRPr="001D4E3B">
        <w:t xml:space="preserve">The number of samples </w:t>
      </w:r>
      <w:r w:rsidR="00010EFC" w:rsidRPr="001D4E3B">
        <w:t xml:space="preserve">successfully profiled </w:t>
      </w:r>
      <w:r w:rsidR="00EA5289" w:rsidRPr="001D4E3B">
        <w:t xml:space="preserve">in </w:t>
      </w:r>
      <w:proofErr w:type="spellStart"/>
      <w:r w:rsidR="00EA5289" w:rsidRPr="001D4E3B">
        <w:t>TempO-seq</w:t>
      </w:r>
      <w:proofErr w:type="spellEnd"/>
      <w:r w:rsidR="00EA5289" w:rsidRPr="001D4E3B">
        <w:t xml:space="preserve"> </w:t>
      </w:r>
      <w:r w:rsidR="00DA3703" w:rsidRPr="001D4E3B">
        <w:t xml:space="preserve">used for </w:t>
      </w:r>
      <w:r w:rsidR="00AE6D43" w:rsidRPr="001D4E3B">
        <w:t>downstream analysis</w:t>
      </w:r>
      <w:r w:rsidR="00070E4A" w:rsidRPr="001D4E3B">
        <w:t>.</w:t>
      </w:r>
    </w:p>
    <w:p w14:paraId="396E8404" w14:textId="6CE051BD" w:rsidR="00D22647" w:rsidRDefault="00D22647" w:rsidP="00EB3F1C">
      <w:pPr>
        <w:spacing w:line="276" w:lineRule="auto"/>
        <w:jc w:val="both"/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3"/>
        <w:gridCol w:w="3341"/>
        <w:gridCol w:w="1701"/>
        <w:gridCol w:w="1507"/>
      </w:tblGrid>
      <w:tr w:rsidR="00536A37" w14:paraId="4F1C923C" w14:textId="77777777" w:rsidTr="00FC7340">
        <w:trPr>
          <w:trHeight w:val="342"/>
        </w:trPr>
        <w:tc>
          <w:tcPr>
            <w:tcW w:w="2183" w:type="dxa"/>
            <w:tcBorders>
              <w:top w:val="single" w:sz="4" w:space="0" w:color="auto"/>
              <w:bottom w:val="single" w:sz="4" w:space="0" w:color="auto"/>
            </w:tcBorders>
          </w:tcPr>
          <w:p w14:paraId="49CCFEB1" w14:textId="0FE53194" w:rsidR="00536A37" w:rsidRDefault="00536A37" w:rsidP="006C0B74">
            <w:pPr>
              <w:spacing w:line="276" w:lineRule="auto"/>
              <w:jc w:val="center"/>
            </w:pPr>
            <w:r>
              <w:t>Group</w:t>
            </w:r>
          </w:p>
        </w:tc>
        <w:tc>
          <w:tcPr>
            <w:tcW w:w="3341" w:type="dxa"/>
            <w:tcBorders>
              <w:top w:val="single" w:sz="4" w:space="0" w:color="auto"/>
              <w:bottom w:val="single" w:sz="4" w:space="0" w:color="auto"/>
            </w:tcBorders>
          </w:tcPr>
          <w:p w14:paraId="58539E0C" w14:textId="074FCF6E" w:rsidR="00536A37" w:rsidRDefault="00536A37" w:rsidP="006C0B74">
            <w:pPr>
              <w:spacing w:line="276" w:lineRule="auto"/>
              <w:jc w:val="center"/>
            </w:pPr>
            <w:r>
              <w:t>Annotation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AE312B8" w14:textId="15EBCEBB" w:rsidR="00536A37" w:rsidRDefault="00536A37" w:rsidP="006C0B74">
            <w:pPr>
              <w:spacing w:line="276" w:lineRule="auto"/>
              <w:jc w:val="center"/>
            </w:pPr>
            <w:r>
              <w:t># samples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451E6F3" w14:textId="606F8E52" w:rsidR="00536A37" w:rsidRDefault="00536A37" w:rsidP="006C0B74">
            <w:pPr>
              <w:spacing w:line="276" w:lineRule="auto"/>
              <w:jc w:val="center"/>
            </w:pPr>
            <w:r>
              <w:t># patients</w:t>
            </w:r>
          </w:p>
        </w:tc>
      </w:tr>
      <w:tr w:rsidR="00536A37" w14:paraId="555D0EF0" w14:textId="77777777" w:rsidTr="00FC7340">
        <w:trPr>
          <w:trHeight w:val="330"/>
        </w:trPr>
        <w:tc>
          <w:tcPr>
            <w:tcW w:w="2183" w:type="dxa"/>
            <w:tcBorders>
              <w:top w:val="single" w:sz="4" w:space="0" w:color="auto"/>
            </w:tcBorders>
          </w:tcPr>
          <w:p w14:paraId="1622FA71" w14:textId="64A32C6A" w:rsidR="00536A37" w:rsidRDefault="0049628B" w:rsidP="00DB2A5E">
            <w:pPr>
              <w:jc w:val="center"/>
            </w:pPr>
            <w:proofErr w:type="spellStart"/>
            <w:r w:rsidRPr="0049628B">
              <w:rPr>
                <w:lang w:val="en-US"/>
              </w:rPr>
              <w:t>Norm_no_met</w:t>
            </w:r>
            <w:proofErr w:type="spellEnd"/>
          </w:p>
        </w:tc>
        <w:tc>
          <w:tcPr>
            <w:tcW w:w="3341" w:type="dxa"/>
            <w:tcBorders>
              <w:top w:val="single" w:sz="4" w:space="0" w:color="auto"/>
            </w:tcBorders>
          </w:tcPr>
          <w:p w14:paraId="56EE7114" w14:textId="2724B3AD" w:rsidR="00536A37" w:rsidRDefault="006B22A9" w:rsidP="00DB2A5E">
            <w:pPr>
              <w:jc w:val="center"/>
            </w:pPr>
            <w:r w:rsidRPr="006B22A9">
              <w:rPr>
                <w:lang w:val="en-US"/>
              </w:rPr>
              <w:t>Normal adjacent to non-</w:t>
            </w:r>
            <w:proofErr w:type="spellStart"/>
            <w:r w:rsidRPr="006B22A9">
              <w:rPr>
                <w:lang w:val="en-US"/>
              </w:rPr>
              <w:t>metasta</w:t>
            </w:r>
            <w:r w:rsidR="008431D3">
              <w:rPr>
                <w:lang w:val="en-US"/>
              </w:rPr>
              <w:t>sising</w:t>
            </w:r>
            <w:proofErr w:type="spellEnd"/>
            <w:r w:rsidRPr="006B22A9">
              <w:rPr>
                <w:lang w:val="en-US"/>
              </w:rPr>
              <w:t xml:space="preserve"> </w:t>
            </w:r>
            <w:proofErr w:type="spellStart"/>
            <w:r w:rsidRPr="006B22A9">
              <w:rPr>
                <w:lang w:val="en-US"/>
              </w:rPr>
              <w:t>cSCC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474F6AB" w14:textId="3567547E" w:rsidR="00536A37" w:rsidRDefault="00EC7C6B" w:rsidP="00DB2A5E">
            <w:pPr>
              <w:jc w:val="center"/>
            </w:pPr>
            <w:r>
              <w:t>132</w:t>
            </w:r>
          </w:p>
        </w:tc>
        <w:tc>
          <w:tcPr>
            <w:tcW w:w="1507" w:type="dxa"/>
            <w:tcBorders>
              <w:top w:val="single" w:sz="4" w:space="0" w:color="auto"/>
            </w:tcBorders>
          </w:tcPr>
          <w:p w14:paraId="6627AEE6" w14:textId="167915D5" w:rsidR="00536A37" w:rsidRDefault="00F90F11" w:rsidP="00DB2A5E">
            <w:pPr>
              <w:jc w:val="center"/>
            </w:pPr>
            <w:r>
              <w:t>127</w:t>
            </w:r>
          </w:p>
        </w:tc>
      </w:tr>
      <w:tr w:rsidR="00536A37" w14:paraId="064D4CE0" w14:textId="77777777" w:rsidTr="00FC7340">
        <w:trPr>
          <w:trHeight w:val="342"/>
        </w:trPr>
        <w:tc>
          <w:tcPr>
            <w:tcW w:w="2183" w:type="dxa"/>
            <w:tcBorders>
              <w:top w:val="nil"/>
            </w:tcBorders>
          </w:tcPr>
          <w:p w14:paraId="6E12F449" w14:textId="43AC194E" w:rsidR="00536A37" w:rsidRDefault="002B3EC1" w:rsidP="00DB2A5E">
            <w:pPr>
              <w:jc w:val="center"/>
            </w:pPr>
            <w:proofErr w:type="spellStart"/>
            <w:r w:rsidRPr="002B3EC1">
              <w:rPr>
                <w:lang w:val="en-US"/>
              </w:rPr>
              <w:t>Norm_with_met</w:t>
            </w:r>
            <w:proofErr w:type="spellEnd"/>
          </w:p>
        </w:tc>
        <w:tc>
          <w:tcPr>
            <w:tcW w:w="3341" w:type="dxa"/>
            <w:tcBorders>
              <w:top w:val="nil"/>
            </w:tcBorders>
          </w:tcPr>
          <w:p w14:paraId="68329252" w14:textId="19B46791" w:rsidR="00536A37" w:rsidRDefault="00116BBA" w:rsidP="00116BBA">
            <w:pPr>
              <w:jc w:val="center"/>
            </w:pPr>
            <w:r w:rsidRPr="00116BBA">
              <w:rPr>
                <w:lang w:val="en-US"/>
              </w:rPr>
              <w:t xml:space="preserve">Normal adjacent to metastasizing </w:t>
            </w:r>
            <w:proofErr w:type="spellStart"/>
            <w:r w:rsidRPr="00116BBA">
              <w:rPr>
                <w:lang w:val="en-US"/>
              </w:rPr>
              <w:t>cSCC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14:paraId="77245317" w14:textId="0C47D618" w:rsidR="00536A37" w:rsidRDefault="00EC7C6B" w:rsidP="00DB2A5E">
            <w:pPr>
              <w:jc w:val="center"/>
            </w:pPr>
            <w:r>
              <w:t>71</w:t>
            </w:r>
          </w:p>
        </w:tc>
        <w:tc>
          <w:tcPr>
            <w:tcW w:w="1507" w:type="dxa"/>
            <w:tcBorders>
              <w:top w:val="nil"/>
            </w:tcBorders>
          </w:tcPr>
          <w:p w14:paraId="47948A7F" w14:textId="166D8F1C" w:rsidR="00536A37" w:rsidRDefault="00564915" w:rsidP="00DB2A5E">
            <w:pPr>
              <w:jc w:val="center"/>
            </w:pPr>
            <w:r>
              <w:t>69</w:t>
            </w:r>
          </w:p>
        </w:tc>
      </w:tr>
      <w:tr w:rsidR="00536A37" w14:paraId="7CF5EBD6" w14:textId="77777777" w:rsidTr="00FC7340">
        <w:trPr>
          <w:trHeight w:val="342"/>
        </w:trPr>
        <w:tc>
          <w:tcPr>
            <w:tcW w:w="2183" w:type="dxa"/>
            <w:tcBorders>
              <w:top w:val="nil"/>
            </w:tcBorders>
          </w:tcPr>
          <w:p w14:paraId="5E8ACE6B" w14:textId="0B94F667" w:rsidR="00536A37" w:rsidRDefault="00DE19FF" w:rsidP="00DB2A5E">
            <w:pPr>
              <w:jc w:val="center"/>
            </w:pPr>
            <w:proofErr w:type="spellStart"/>
            <w:r w:rsidRPr="00DE19FF">
              <w:rPr>
                <w:lang w:val="en-US"/>
              </w:rPr>
              <w:t>Tum_no_met</w:t>
            </w:r>
            <w:proofErr w:type="spellEnd"/>
          </w:p>
        </w:tc>
        <w:tc>
          <w:tcPr>
            <w:tcW w:w="3341" w:type="dxa"/>
            <w:tcBorders>
              <w:top w:val="nil"/>
            </w:tcBorders>
          </w:tcPr>
          <w:p w14:paraId="0E1DBCAF" w14:textId="44D9152C" w:rsidR="00536A37" w:rsidRDefault="00CF64DC" w:rsidP="00562619">
            <w:pPr>
              <w:jc w:val="center"/>
            </w:pPr>
            <w:r w:rsidRPr="00CF64DC">
              <w:rPr>
                <w:lang w:val="en-US"/>
              </w:rPr>
              <w:t>Non-</w:t>
            </w:r>
            <w:proofErr w:type="spellStart"/>
            <w:r w:rsidRPr="00CF64DC">
              <w:rPr>
                <w:lang w:val="en-US"/>
              </w:rPr>
              <w:t>metasta</w:t>
            </w:r>
            <w:r w:rsidR="0013675F">
              <w:rPr>
                <w:lang w:val="en-US"/>
              </w:rPr>
              <w:t>sising</w:t>
            </w:r>
            <w:proofErr w:type="spellEnd"/>
            <w:r w:rsidRPr="00CF64DC">
              <w:rPr>
                <w:lang w:val="en-US"/>
              </w:rPr>
              <w:t xml:space="preserve"> primary </w:t>
            </w:r>
            <w:proofErr w:type="spellStart"/>
            <w:r w:rsidRPr="00CF64DC">
              <w:rPr>
                <w:lang w:val="en-US"/>
              </w:rPr>
              <w:t>cSCC</w:t>
            </w:r>
            <w:proofErr w:type="spellEnd"/>
          </w:p>
        </w:tc>
        <w:tc>
          <w:tcPr>
            <w:tcW w:w="1701" w:type="dxa"/>
            <w:tcBorders>
              <w:top w:val="nil"/>
            </w:tcBorders>
          </w:tcPr>
          <w:p w14:paraId="25DC48F0" w14:textId="1F2E1F68" w:rsidR="00536A37" w:rsidRDefault="00054713" w:rsidP="00DB2A5E">
            <w:pPr>
              <w:jc w:val="center"/>
            </w:pPr>
            <w:r>
              <w:t>146</w:t>
            </w:r>
          </w:p>
        </w:tc>
        <w:tc>
          <w:tcPr>
            <w:tcW w:w="1507" w:type="dxa"/>
            <w:tcBorders>
              <w:top w:val="nil"/>
            </w:tcBorders>
          </w:tcPr>
          <w:p w14:paraId="0EE6DDFB" w14:textId="22253A01" w:rsidR="00536A37" w:rsidRDefault="0010589B" w:rsidP="00DB2A5E">
            <w:pPr>
              <w:jc w:val="center"/>
            </w:pPr>
            <w:r>
              <w:t>143</w:t>
            </w:r>
          </w:p>
        </w:tc>
      </w:tr>
      <w:tr w:rsidR="00536A37" w14:paraId="7820D00C" w14:textId="77777777" w:rsidTr="00FC7340">
        <w:trPr>
          <w:trHeight w:val="330"/>
        </w:trPr>
        <w:tc>
          <w:tcPr>
            <w:tcW w:w="2183" w:type="dxa"/>
            <w:tcBorders>
              <w:top w:val="nil"/>
              <w:bottom w:val="single" w:sz="4" w:space="0" w:color="auto"/>
            </w:tcBorders>
          </w:tcPr>
          <w:p w14:paraId="699CB09D" w14:textId="7D18BCCE" w:rsidR="00536A37" w:rsidRDefault="00596856" w:rsidP="00DB2A5E">
            <w:pPr>
              <w:jc w:val="center"/>
            </w:pPr>
            <w:proofErr w:type="spellStart"/>
            <w:r w:rsidRPr="00596856">
              <w:rPr>
                <w:lang w:val="en-US"/>
              </w:rPr>
              <w:t>Tum_met</w:t>
            </w:r>
            <w:proofErr w:type="spellEnd"/>
          </w:p>
        </w:tc>
        <w:tc>
          <w:tcPr>
            <w:tcW w:w="3341" w:type="dxa"/>
            <w:tcBorders>
              <w:top w:val="nil"/>
              <w:bottom w:val="single" w:sz="4" w:space="0" w:color="auto"/>
            </w:tcBorders>
          </w:tcPr>
          <w:p w14:paraId="3B30688D" w14:textId="4B65AF7D" w:rsidR="00536A37" w:rsidRDefault="007F0FCC" w:rsidP="001911AC">
            <w:pPr>
              <w:jc w:val="center"/>
            </w:pPr>
            <w:proofErr w:type="spellStart"/>
            <w:r w:rsidRPr="007F0FCC">
              <w:rPr>
                <w:lang w:val="en-US"/>
              </w:rPr>
              <w:t>Metastasi</w:t>
            </w:r>
            <w:r w:rsidR="006E7780">
              <w:rPr>
                <w:lang w:val="en-US"/>
              </w:rPr>
              <w:t>s</w:t>
            </w:r>
            <w:r w:rsidRPr="007F0FCC">
              <w:rPr>
                <w:lang w:val="en-US"/>
              </w:rPr>
              <w:t>ing</w:t>
            </w:r>
            <w:proofErr w:type="spellEnd"/>
            <w:r w:rsidRPr="007F0FCC">
              <w:rPr>
                <w:lang w:val="en-US"/>
              </w:rPr>
              <w:t xml:space="preserve"> primary </w:t>
            </w:r>
            <w:proofErr w:type="spellStart"/>
            <w:r w:rsidRPr="007F0FCC">
              <w:rPr>
                <w:lang w:val="en-US"/>
              </w:rPr>
              <w:t>cSCC</w:t>
            </w:r>
            <w:proofErr w:type="spellEnd"/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B27CA2E" w14:textId="54F85BD9" w:rsidR="00536A37" w:rsidRDefault="00054713" w:rsidP="00DB2A5E">
            <w:pPr>
              <w:jc w:val="center"/>
            </w:pPr>
            <w:r>
              <w:t>84</w:t>
            </w:r>
          </w:p>
        </w:tc>
        <w:tc>
          <w:tcPr>
            <w:tcW w:w="1507" w:type="dxa"/>
            <w:tcBorders>
              <w:top w:val="nil"/>
              <w:bottom w:val="single" w:sz="4" w:space="0" w:color="auto"/>
            </w:tcBorders>
          </w:tcPr>
          <w:p w14:paraId="50842233" w14:textId="69597A6C" w:rsidR="00536A37" w:rsidRDefault="0010589B" w:rsidP="00DB2A5E">
            <w:pPr>
              <w:jc w:val="center"/>
            </w:pPr>
            <w:r>
              <w:t>82</w:t>
            </w:r>
          </w:p>
        </w:tc>
      </w:tr>
    </w:tbl>
    <w:p w14:paraId="6DD39456" w14:textId="381865F8" w:rsidR="006024C3" w:rsidRDefault="006024C3" w:rsidP="00EB3F1C">
      <w:pPr>
        <w:spacing w:line="276" w:lineRule="auto"/>
        <w:jc w:val="both"/>
      </w:pPr>
    </w:p>
    <w:p w14:paraId="1B0CBBD4" w14:textId="528E7A99" w:rsidR="00EA759F" w:rsidRDefault="00EA759F" w:rsidP="00EB3F1C">
      <w:pPr>
        <w:spacing w:line="276" w:lineRule="auto"/>
        <w:jc w:val="both"/>
      </w:pPr>
    </w:p>
    <w:p w14:paraId="3F021D78" w14:textId="4F314EEC" w:rsidR="00EA759F" w:rsidRDefault="00EA759F" w:rsidP="00EB3F1C">
      <w:pPr>
        <w:spacing w:line="276" w:lineRule="auto"/>
        <w:jc w:val="both"/>
      </w:pPr>
    </w:p>
    <w:p w14:paraId="31AD94C5" w14:textId="6B3105A8" w:rsidR="00EA759F" w:rsidRDefault="00EA759F" w:rsidP="00EB3F1C">
      <w:pPr>
        <w:spacing w:line="276" w:lineRule="auto"/>
        <w:jc w:val="both"/>
      </w:pPr>
    </w:p>
    <w:p w14:paraId="52B2F1CB" w14:textId="35F2EB03" w:rsidR="00EA759F" w:rsidRDefault="00EA759F" w:rsidP="00EB3F1C">
      <w:pPr>
        <w:spacing w:line="276" w:lineRule="auto"/>
        <w:jc w:val="both"/>
      </w:pPr>
    </w:p>
    <w:p w14:paraId="432EAC01" w14:textId="70897B00" w:rsidR="00EA759F" w:rsidRDefault="00EA759F" w:rsidP="00EB3F1C">
      <w:pPr>
        <w:spacing w:line="276" w:lineRule="auto"/>
        <w:jc w:val="both"/>
      </w:pPr>
    </w:p>
    <w:p w14:paraId="6540AAA1" w14:textId="7CDED799" w:rsidR="00EA759F" w:rsidRDefault="00EA759F" w:rsidP="00EB3F1C">
      <w:pPr>
        <w:spacing w:line="276" w:lineRule="auto"/>
        <w:jc w:val="both"/>
      </w:pPr>
    </w:p>
    <w:p w14:paraId="0C02051E" w14:textId="448AFF2E" w:rsidR="00EA759F" w:rsidRDefault="00EA759F" w:rsidP="00EB3F1C">
      <w:pPr>
        <w:spacing w:line="276" w:lineRule="auto"/>
        <w:jc w:val="both"/>
      </w:pPr>
    </w:p>
    <w:p w14:paraId="236C52CB" w14:textId="0DB0E960" w:rsidR="00EA759F" w:rsidRDefault="00EA759F" w:rsidP="00EB3F1C">
      <w:pPr>
        <w:spacing w:line="276" w:lineRule="auto"/>
        <w:jc w:val="both"/>
      </w:pPr>
    </w:p>
    <w:p w14:paraId="56F5C11F" w14:textId="2CFE9369" w:rsidR="00EA759F" w:rsidRDefault="00EA759F" w:rsidP="00EB3F1C">
      <w:pPr>
        <w:spacing w:line="276" w:lineRule="auto"/>
        <w:jc w:val="both"/>
      </w:pPr>
    </w:p>
    <w:p w14:paraId="3D69F21F" w14:textId="247A53F9" w:rsidR="00EA759F" w:rsidRDefault="00EA759F" w:rsidP="00EB3F1C">
      <w:pPr>
        <w:spacing w:line="276" w:lineRule="auto"/>
        <w:jc w:val="both"/>
      </w:pPr>
    </w:p>
    <w:p w14:paraId="03F44097" w14:textId="4C5E9F1F" w:rsidR="00EA759F" w:rsidRDefault="00EA759F" w:rsidP="00EB3F1C">
      <w:pPr>
        <w:spacing w:line="276" w:lineRule="auto"/>
        <w:jc w:val="both"/>
      </w:pPr>
    </w:p>
    <w:p w14:paraId="650B3FED" w14:textId="7BA054DD" w:rsidR="00EA759F" w:rsidRDefault="00EA759F" w:rsidP="00EB3F1C">
      <w:pPr>
        <w:spacing w:line="276" w:lineRule="auto"/>
        <w:jc w:val="both"/>
      </w:pPr>
    </w:p>
    <w:p w14:paraId="50E4A675" w14:textId="6ED2C03A" w:rsidR="00EA759F" w:rsidRDefault="00EA759F" w:rsidP="00EB3F1C">
      <w:pPr>
        <w:spacing w:line="276" w:lineRule="auto"/>
        <w:jc w:val="both"/>
      </w:pPr>
    </w:p>
    <w:p w14:paraId="2625563A" w14:textId="0169AAF1" w:rsidR="00EA759F" w:rsidRDefault="00EA759F" w:rsidP="00EB3F1C">
      <w:pPr>
        <w:spacing w:line="276" w:lineRule="auto"/>
        <w:jc w:val="both"/>
      </w:pPr>
    </w:p>
    <w:p w14:paraId="4DCF980C" w14:textId="3008DC8D" w:rsidR="00EA759F" w:rsidRDefault="00EA759F" w:rsidP="00EB3F1C">
      <w:pPr>
        <w:spacing w:line="276" w:lineRule="auto"/>
        <w:jc w:val="both"/>
      </w:pPr>
    </w:p>
    <w:p w14:paraId="5F01EA82" w14:textId="678E5C89" w:rsidR="00EA759F" w:rsidRDefault="00EA759F" w:rsidP="00EB3F1C">
      <w:pPr>
        <w:spacing w:line="276" w:lineRule="auto"/>
        <w:jc w:val="both"/>
      </w:pPr>
    </w:p>
    <w:p w14:paraId="5B80CF68" w14:textId="77A1A83D" w:rsidR="00EA759F" w:rsidRDefault="00EA759F" w:rsidP="00EB3F1C">
      <w:pPr>
        <w:spacing w:line="276" w:lineRule="auto"/>
        <w:jc w:val="both"/>
      </w:pPr>
    </w:p>
    <w:p w14:paraId="0FC015BD" w14:textId="570EA496" w:rsidR="00EA759F" w:rsidRDefault="00EA759F" w:rsidP="00EB3F1C">
      <w:pPr>
        <w:spacing w:line="276" w:lineRule="auto"/>
        <w:jc w:val="both"/>
      </w:pPr>
    </w:p>
    <w:p w14:paraId="67CCFFC8" w14:textId="3E7D8E12" w:rsidR="00EA759F" w:rsidRDefault="00EA759F" w:rsidP="00EB3F1C">
      <w:pPr>
        <w:spacing w:line="276" w:lineRule="auto"/>
        <w:jc w:val="both"/>
      </w:pPr>
    </w:p>
    <w:p w14:paraId="71C03063" w14:textId="750D3CB9" w:rsidR="00EA759F" w:rsidRDefault="00EA759F" w:rsidP="00EB3F1C">
      <w:pPr>
        <w:spacing w:line="276" w:lineRule="auto"/>
        <w:jc w:val="both"/>
      </w:pPr>
    </w:p>
    <w:p w14:paraId="17DF81AA" w14:textId="747E255B" w:rsidR="00EA759F" w:rsidRDefault="00EA759F" w:rsidP="00EB3F1C">
      <w:pPr>
        <w:spacing w:line="276" w:lineRule="auto"/>
        <w:jc w:val="both"/>
      </w:pPr>
    </w:p>
    <w:p w14:paraId="266C02A8" w14:textId="3782446E" w:rsidR="00EA759F" w:rsidRDefault="00EA759F" w:rsidP="00EB3F1C">
      <w:pPr>
        <w:spacing w:line="276" w:lineRule="auto"/>
        <w:jc w:val="both"/>
      </w:pPr>
    </w:p>
    <w:p w14:paraId="1B87FDBD" w14:textId="77777777" w:rsidR="00D71E56" w:rsidRDefault="00D71E56" w:rsidP="00EB3F1C">
      <w:pPr>
        <w:spacing w:line="276" w:lineRule="auto"/>
        <w:jc w:val="both"/>
      </w:pPr>
    </w:p>
    <w:p w14:paraId="7DFFB82C" w14:textId="56495942" w:rsidR="00EA759F" w:rsidRDefault="00EA759F" w:rsidP="00EB3F1C">
      <w:pPr>
        <w:spacing w:line="276" w:lineRule="auto"/>
        <w:jc w:val="both"/>
      </w:pPr>
    </w:p>
    <w:p w14:paraId="56F21AC2" w14:textId="77777777" w:rsidR="00EA759F" w:rsidRDefault="00EA759F" w:rsidP="00EB3F1C">
      <w:pPr>
        <w:spacing w:line="276" w:lineRule="auto"/>
        <w:jc w:val="both"/>
      </w:pPr>
    </w:p>
    <w:p w14:paraId="18CFD2C6" w14:textId="77D5B2B2" w:rsidR="00803BFF" w:rsidRDefault="00803BFF" w:rsidP="00EB3F1C">
      <w:pPr>
        <w:spacing w:line="276" w:lineRule="auto"/>
        <w:jc w:val="both"/>
        <w:rPr>
          <w:rFonts w:cstheme="minorHAnsi"/>
          <w:b/>
          <w:bCs/>
          <w:lang w:val="en-US"/>
        </w:rPr>
      </w:pPr>
    </w:p>
    <w:p w14:paraId="5C353C6A" w14:textId="015BA220" w:rsidR="00803BFF" w:rsidRDefault="00803BFF" w:rsidP="00EB3F1C">
      <w:pPr>
        <w:spacing w:line="276" w:lineRule="auto"/>
        <w:jc w:val="both"/>
        <w:rPr>
          <w:rFonts w:cstheme="minorHAnsi"/>
          <w:b/>
          <w:bCs/>
          <w:lang w:val="en-US"/>
        </w:rPr>
      </w:pPr>
    </w:p>
    <w:p w14:paraId="4060AAF6" w14:textId="77777777" w:rsidR="00EE1395" w:rsidRDefault="00EE1395" w:rsidP="00EB3F1C">
      <w:pPr>
        <w:spacing w:line="276" w:lineRule="auto"/>
        <w:jc w:val="both"/>
        <w:rPr>
          <w:rFonts w:cstheme="minorHAnsi"/>
          <w:b/>
          <w:bCs/>
          <w:lang w:val="en-US"/>
        </w:rPr>
      </w:pPr>
    </w:p>
    <w:p w14:paraId="740BD7CA" w14:textId="1F68B450" w:rsidR="003A7438" w:rsidRPr="00761AC0" w:rsidRDefault="00803BFF" w:rsidP="00EB3F1C">
      <w:pPr>
        <w:spacing w:line="276" w:lineRule="auto"/>
        <w:jc w:val="both"/>
        <w:rPr>
          <w:rFonts w:cstheme="minorHAnsi"/>
          <w:lang w:val="en-US"/>
        </w:rPr>
      </w:pPr>
      <w:r w:rsidRPr="00B725D8">
        <w:rPr>
          <w:rFonts w:cstheme="minorHAnsi"/>
          <w:b/>
          <w:bCs/>
          <w:lang w:val="en-US"/>
        </w:rPr>
        <w:lastRenderedPageBreak/>
        <w:t xml:space="preserve">Supplemental Table </w:t>
      </w:r>
      <w:r w:rsidR="00CA1230">
        <w:rPr>
          <w:rFonts w:cstheme="minorHAnsi"/>
          <w:b/>
          <w:bCs/>
          <w:lang w:val="en-US"/>
        </w:rPr>
        <w:t>II</w:t>
      </w:r>
      <w:r w:rsidR="00631FF3" w:rsidRPr="00B725D8">
        <w:rPr>
          <w:rFonts w:cstheme="minorHAnsi"/>
          <w:b/>
          <w:bCs/>
          <w:lang w:val="en-US"/>
        </w:rPr>
        <w:t xml:space="preserve">. </w:t>
      </w:r>
      <w:r w:rsidR="003A7438" w:rsidRPr="00761AC0">
        <w:rPr>
          <w:rFonts w:cstheme="minorHAnsi"/>
          <w:lang w:val="en-US"/>
        </w:rPr>
        <w:t xml:space="preserve">Top </w:t>
      </w:r>
      <w:r w:rsidR="00082EA0">
        <w:rPr>
          <w:rFonts w:cstheme="minorHAnsi"/>
          <w:lang w:val="en-US"/>
        </w:rPr>
        <w:t xml:space="preserve">25 </w:t>
      </w:r>
      <w:r w:rsidR="003A7438" w:rsidRPr="00761AC0">
        <w:rPr>
          <w:rFonts w:cstheme="minorHAnsi"/>
          <w:lang w:val="en-US"/>
        </w:rPr>
        <w:t>dysregulated pathways based on the GSEA analysis</w:t>
      </w:r>
      <w:r w:rsidR="005A2097">
        <w:rPr>
          <w:rFonts w:cstheme="minorHAnsi"/>
          <w:lang w:val="en-US"/>
        </w:rPr>
        <w:t xml:space="preserve"> (Q value)</w:t>
      </w:r>
      <w:r w:rsidR="003A7438" w:rsidRPr="00761AC0">
        <w:rPr>
          <w:rFonts w:cstheme="minorHAnsi"/>
          <w:lang w:val="en-US"/>
        </w:rPr>
        <w:t xml:space="preserve"> comparing </w:t>
      </w:r>
      <w:r w:rsidR="00385A1A" w:rsidRPr="00761AC0">
        <w:rPr>
          <w:rFonts w:cstheme="minorHAnsi"/>
          <w:lang w:val="en-US"/>
        </w:rPr>
        <w:t xml:space="preserve">normal </w:t>
      </w:r>
      <w:r w:rsidR="00FE4ABD" w:rsidRPr="00761AC0">
        <w:rPr>
          <w:rFonts w:cstheme="minorHAnsi"/>
          <w:lang w:val="en-US"/>
        </w:rPr>
        <w:t xml:space="preserve">samples adjacent to </w:t>
      </w:r>
      <w:proofErr w:type="spellStart"/>
      <w:r w:rsidR="003A7438" w:rsidRPr="00761AC0">
        <w:rPr>
          <w:rFonts w:cstheme="minorHAnsi"/>
          <w:lang w:val="en-US"/>
        </w:rPr>
        <w:t>metastasising</w:t>
      </w:r>
      <w:proofErr w:type="spellEnd"/>
      <w:r w:rsidR="003A7438" w:rsidRPr="00761AC0">
        <w:rPr>
          <w:rFonts w:cstheme="minorHAnsi"/>
          <w:lang w:val="en-US"/>
        </w:rPr>
        <w:t xml:space="preserve"> and </w:t>
      </w:r>
      <w:r w:rsidR="005D684D" w:rsidRPr="00761AC0">
        <w:rPr>
          <w:rFonts w:cstheme="minorHAnsi"/>
          <w:lang w:val="en-US"/>
        </w:rPr>
        <w:t xml:space="preserve">normal </w:t>
      </w:r>
      <w:r w:rsidR="00700C60" w:rsidRPr="00761AC0">
        <w:rPr>
          <w:rFonts w:cstheme="minorHAnsi"/>
          <w:lang w:val="en-US"/>
        </w:rPr>
        <w:t xml:space="preserve">adjacent to </w:t>
      </w:r>
      <w:r w:rsidR="003A7438" w:rsidRPr="00761AC0">
        <w:rPr>
          <w:rFonts w:cstheme="minorHAnsi"/>
          <w:lang w:val="en-US"/>
        </w:rPr>
        <w:t>non-</w:t>
      </w:r>
      <w:proofErr w:type="spellStart"/>
      <w:r w:rsidR="003A7438" w:rsidRPr="00761AC0">
        <w:rPr>
          <w:rFonts w:cstheme="minorHAnsi"/>
          <w:lang w:val="en-US"/>
        </w:rPr>
        <w:t>metastasising</w:t>
      </w:r>
      <w:proofErr w:type="spellEnd"/>
      <w:r w:rsidR="003A7438" w:rsidRPr="00761AC0">
        <w:rPr>
          <w:rFonts w:cstheme="minorHAnsi"/>
          <w:lang w:val="en-US"/>
        </w:rPr>
        <w:t xml:space="preserve"> primary </w:t>
      </w:r>
      <w:proofErr w:type="spellStart"/>
      <w:r w:rsidR="003A7438" w:rsidRPr="00761AC0">
        <w:rPr>
          <w:rFonts w:cstheme="minorHAnsi"/>
          <w:lang w:val="en-US"/>
        </w:rPr>
        <w:t>cSCC</w:t>
      </w:r>
      <w:proofErr w:type="spellEnd"/>
      <w:r w:rsidR="003A7438" w:rsidRPr="00761AC0">
        <w:rPr>
          <w:rFonts w:cstheme="minorHAnsi"/>
          <w:lang w:val="en-US"/>
        </w:rPr>
        <w:t>.</w:t>
      </w:r>
    </w:p>
    <w:p w14:paraId="33676384" w14:textId="056261F0" w:rsidR="00803BFF" w:rsidRPr="00A156CC" w:rsidRDefault="00803BFF" w:rsidP="00EB3F1C">
      <w:pPr>
        <w:spacing w:line="276" w:lineRule="auto"/>
        <w:jc w:val="both"/>
        <w:rPr>
          <w:rFonts w:cstheme="minorHAnsi"/>
          <w:b/>
          <w:bCs/>
          <w:lang w:val="en-US"/>
        </w:rPr>
      </w:pPr>
    </w:p>
    <w:p w14:paraId="4ED8E569" w14:textId="12A0BF2C" w:rsidR="00F95945" w:rsidRDefault="00F95945" w:rsidP="00EB3F1C">
      <w:pPr>
        <w:spacing w:line="276" w:lineRule="auto"/>
        <w:jc w:val="both"/>
        <w:rPr>
          <w:lang w:val="en-US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629"/>
        <w:gridCol w:w="1344"/>
        <w:gridCol w:w="1409"/>
        <w:gridCol w:w="1345"/>
        <w:gridCol w:w="1256"/>
        <w:gridCol w:w="1223"/>
      </w:tblGrid>
      <w:tr w:rsidR="00834DC9" w14:paraId="3A8B3B60" w14:textId="34F0D3F0" w:rsidTr="007A07A7">
        <w:trPr>
          <w:trHeight w:val="1017"/>
        </w:trPr>
        <w:tc>
          <w:tcPr>
            <w:tcW w:w="3629" w:type="dxa"/>
          </w:tcPr>
          <w:p w14:paraId="6448F209" w14:textId="35AB6719" w:rsidR="003B0850" w:rsidRDefault="003B0850" w:rsidP="00D92DF4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Description</w:t>
            </w:r>
          </w:p>
        </w:tc>
        <w:tc>
          <w:tcPr>
            <w:tcW w:w="1344" w:type="dxa"/>
          </w:tcPr>
          <w:p w14:paraId="5D7A353C" w14:textId="49B4AB5D" w:rsidR="003B0850" w:rsidRDefault="003B0850" w:rsidP="00D92DF4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Enrichment Score</w:t>
            </w:r>
          </w:p>
        </w:tc>
        <w:tc>
          <w:tcPr>
            <w:tcW w:w="1409" w:type="dxa"/>
          </w:tcPr>
          <w:p w14:paraId="34592334" w14:textId="35F4DAA7" w:rsidR="003B0850" w:rsidRDefault="003B0850" w:rsidP="00D92DF4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 w:rsidRPr="003B0850">
              <w:rPr>
                <w:rFonts w:cstheme="minorHAnsi"/>
              </w:rPr>
              <w:t>Normalised</w:t>
            </w:r>
            <w:r>
              <w:rPr>
                <w:rFonts w:cstheme="minorHAnsi"/>
                <w:lang w:val="en-US"/>
              </w:rPr>
              <w:t xml:space="preserve"> Enrichment Score</w:t>
            </w:r>
            <w:r w:rsidR="00594D78">
              <w:rPr>
                <w:rFonts w:cstheme="minorHAnsi"/>
                <w:lang w:val="en-US"/>
              </w:rPr>
              <w:t>*</w:t>
            </w:r>
          </w:p>
        </w:tc>
        <w:tc>
          <w:tcPr>
            <w:tcW w:w="1345" w:type="dxa"/>
          </w:tcPr>
          <w:p w14:paraId="5AA844A7" w14:textId="77777777" w:rsidR="003B0850" w:rsidRDefault="003B0850" w:rsidP="00D92DF4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 value</w:t>
            </w:r>
          </w:p>
        </w:tc>
        <w:tc>
          <w:tcPr>
            <w:tcW w:w="1256" w:type="dxa"/>
          </w:tcPr>
          <w:p w14:paraId="045E8E71" w14:textId="77777777" w:rsidR="003B0850" w:rsidRDefault="003B0850" w:rsidP="00D92DF4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Adjusted p-value</w:t>
            </w:r>
          </w:p>
        </w:tc>
        <w:tc>
          <w:tcPr>
            <w:tcW w:w="1223" w:type="dxa"/>
          </w:tcPr>
          <w:p w14:paraId="15FF6F56" w14:textId="7D5C135A" w:rsidR="003B0850" w:rsidRDefault="003B0850" w:rsidP="00D92DF4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Q value</w:t>
            </w:r>
          </w:p>
        </w:tc>
      </w:tr>
      <w:tr w:rsidR="003E68E9" w14:paraId="3890C34D" w14:textId="035F0538" w:rsidTr="009B2939">
        <w:trPr>
          <w:trHeight w:val="113"/>
        </w:trPr>
        <w:tc>
          <w:tcPr>
            <w:tcW w:w="3629" w:type="dxa"/>
            <w:vAlign w:val="bottom"/>
          </w:tcPr>
          <w:p w14:paraId="0A719FCE" w14:textId="6B1DEE6A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CD22 Mediated BCR Regulation</w:t>
            </w:r>
          </w:p>
        </w:tc>
        <w:tc>
          <w:tcPr>
            <w:tcW w:w="1344" w:type="dxa"/>
            <w:vAlign w:val="bottom"/>
          </w:tcPr>
          <w:p w14:paraId="440C51B7" w14:textId="7F8B3C59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0.815</w:t>
            </w:r>
          </w:p>
        </w:tc>
        <w:tc>
          <w:tcPr>
            <w:tcW w:w="1409" w:type="dxa"/>
            <w:vAlign w:val="bottom"/>
          </w:tcPr>
          <w:p w14:paraId="27A7B5F2" w14:textId="10CCAB3E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2.734</w:t>
            </w:r>
          </w:p>
        </w:tc>
        <w:tc>
          <w:tcPr>
            <w:tcW w:w="1345" w:type="dxa"/>
            <w:vAlign w:val="bottom"/>
          </w:tcPr>
          <w:p w14:paraId="67FBBDEF" w14:textId="17616725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1.00E-10</w:t>
            </w:r>
          </w:p>
        </w:tc>
        <w:tc>
          <w:tcPr>
            <w:tcW w:w="1256" w:type="dxa"/>
            <w:vAlign w:val="bottom"/>
          </w:tcPr>
          <w:p w14:paraId="3FB25C6E" w14:textId="47F31B38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4.98E-09</w:t>
            </w:r>
          </w:p>
        </w:tc>
        <w:tc>
          <w:tcPr>
            <w:tcW w:w="1223" w:type="dxa"/>
            <w:vAlign w:val="bottom"/>
          </w:tcPr>
          <w:p w14:paraId="6F57FA0D" w14:textId="357E44E1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3.44E-09</w:t>
            </w:r>
          </w:p>
        </w:tc>
      </w:tr>
      <w:tr w:rsidR="003E68E9" w14:paraId="788C885A" w14:textId="1D20B438" w:rsidTr="007A07A7">
        <w:trPr>
          <w:trHeight w:val="304"/>
        </w:trPr>
        <w:tc>
          <w:tcPr>
            <w:tcW w:w="3629" w:type="dxa"/>
            <w:vAlign w:val="bottom"/>
          </w:tcPr>
          <w:p w14:paraId="24A1248F" w14:textId="565E8DCB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FCGR Activation</w:t>
            </w:r>
          </w:p>
        </w:tc>
        <w:tc>
          <w:tcPr>
            <w:tcW w:w="1344" w:type="dxa"/>
            <w:vAlign w:val="bottom"/>
          </w:tcPr>
          <w:p w14:paraId="550455A5" w14:textId="39941977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0.783</w:t>
            </w:r>
          </w:p>
        </w:tc>
        <w:tc>
          <w:tcPr>
            <w:tcW w:w="1409" w:type="dxa"/>
            <w:vAlign w:val="bottom"/>
          </w:tcPr>
          <w:p w14:paraId="225670A9" w14:textId="32E0BB42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2.696</w:t>
            </w:r>
          </w:p>
        </w:tc>
        <w:tc>
          <w:tcPr>
            <w:tcW w:w="1345" w:type="dxa"/>
            <w:vAlign w:val="bottom"/>
          </w:tcPr>
          <w:p w14:paraId="692CD570" w14:textId="34914481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1.00E-10</w:t>
            </w:r>
          </w:p>
        </w:tc>
        <w:tc>
          <w:tcPr>
            <w:tcW w:w="1256" w:type="dxa"/>
            <w:vAlign w:val="bottom"/>
          </w:tcPr>
          <w:p w14:paraId="780525EA" w14:textId="7D53AC0B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4.98E-09</w:t>
            </w:r>
          </w:p>
        </w:tc>
        <w:tc>
          <w:tcPr>
            <w:tcW w:w="1223" w:type="dxa"/>
            <w:vAlign w:val="bottom"/>
          </w:tcPr>
          <w:p w14:paraId="0AAE869D" w14:textId="1B825E3E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3.44E-09</w:t>
            </w:r>
          </w:p>
        </w:tc>
      </w:tr>
      <w:tr w:rsidR="003E68E9" w14:paraId="05124677" w14:textId="646EE656" w:rsidTr="007A07A7">
        <w:trPr>
          <w:trHeight w:val="321"/>
        </w:trPr>
        <w:tc>
          <w:tcPr>
            <w:tcW w:w="3629" w:type="dxa"/>
            <w:vAlign w:val="bottom"/>
          </w:tcPr>
          <w:p w14:paraId="4257D8C2" w14:textId="34EF5297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Initial Triggering of Complement</w:t>
            </w:r>
          </w:p>
        </w:tc>
        <w:tc>
          <w:tcPr>
            <w:tcW w:w="1344" w:type="dxa"/>
            <w:vAlign w:val="bottom"/>
          </w:tcPr>
          <w:p w14:paraId="3F237241" w14:textId="260E8F91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0.752</w:t>
            </w:r>
          </w:p>
        </w:tc>
        <w:tc>
          <w:tcPr>
            <w:tcW w:w="1409" w:type="dxa"/>
            <w:vAlign w:val="bottom"/>
          </w:tcPr>
          <w:p w14:paraId="4DE2F10B" w14:textId="6670D540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2.654</w:t>
            </w:r>
          </w:p>
        </w:tc>
        <w:tc>
          <w:tcPr>
            <w:tcW w:w="1345" w:type="dxa"/>
            <w:vAlign w:val="bottom"/>
          </w:tcPr>
          <w:p w14:paraId="16460D23" w14:textId="700334EF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1.00E-10</w:t>
            </w:r>
          </w:p>
        </w:tc>
        <w:tc>
          <w:tcPr>
            <w:tcW w:w="1256" w:type="dxa"/>
            <w:vAlign w:val="bottom"/>
          </w:tcPr>
          <w:p w14:paraId="1872BEE6" w14:textId="57921576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4.98E-09</w:t>
            </w:r>
          </w:p>
        </w:tc>
        <w:tc>
          <w:tcPr>
            <w:tcW w:w="1223" w:type="dxa"/>
            <w:vAlign w:val="bottom"/>
          </w:tcPr>
          <w:p w14:paraId="0D875F04" w14:textId="43AB760A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3.44E-09</w:t>
            </w:r>
          </w:p>
        </w:tc>
      </w:tr>
      <w:tr w:rsidR="003E68E9" w14:paraId="4CC6FE33" w14:textId="1D54D3E7" w:rsidTr="007A07A7">
        <w:trPr>
          <w:trHeight w:val="304"/>
        </w:trPr>
        <w:tc>
          <w:tcPr>
            <w:tcW w:w="3629" w:type="dxa"/>
            <w:vAlign w:val="bottom"/>
          </w:tcPr>
          <w:p w14:paraId="2925EC98" w14:textId="505D64BE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Role of Phospholipids in Phagocytosis</w:t>
            </w:r>
          </w:p>
        </w:tc>
        <w:tc>
          <w:tcPr>
            <w:tcW w:w="1344" w:type="dxa"/>
            <w:vAlign w:val="bottom"/>
          </w:tcPr>
          <w:p w14:paraId="2EF240E3" w14:textId="4592464A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0.728</w:t>
            </w:r>
          </w:p>
        </w:tc>
        <w:tc>
          <w:tcPr>
            <w:tcW w:w="1409" w:type="dxa"/>
            <w:vAlign w:val="bottom"/>
          </w:tcPr>
          <w:p w14:paraId="1EB00AC0" w14:textId="59E77B06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2.601</w:t>
            </w:r>
          </w:p>
        </w:tc>
        <w:tc>
          <w:tcPr>
            <w:tcW w:w="1345" w:type="dxa"/>
            <w:vAlign w:val="bottom"/>
          </w:tcPr>
          <w:p w14:paraId="629929C3" w14:textId="3A268F7B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1.00E-10</w:t>
            </w:r>
          </w:p>
        </w:tc>
        <w:tc>
          <w:tcPr>
            <w:tcW w:w="1256" w:type="dxa"/>
            <w:vAlign w:val="bottom"/>
          </w:tcPr>
          <w:p w14:paraId="28E3F8A8" w14:textId="6BB6AD76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4.98E-09</w:t>
            </w:r>
          </w:p>
        </w:tc>
        <w:tc>
          <w:tcPr>
            <w:tcW w:w="1223" w:type="dxa"/>
            <w:vAlign w:val="bottom"/>
          </w:tcPr>
          <w:p w14:paraId="5A520847" w14:textId="031A1189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3.44E-09</w:t>
            </w:r>
          </w:p>
        </w:tc>
      </w:tr>
      <w:tr w:rsidR="003E68E9" w14:paraId="12DDF8AF" w14:textId="181470F3" w:rsidTr="007A07A7">
        <w:trPr>
          <w:trHeight w:val="304"/>
        </w:trPr>
        <w:tc>
          <w:tcPr>
            <w:tcW w:w="3629" w:type="dxa"/>
            <w:vAlign w:val="bottom"/>
          </w:tcPr>
          <w:p w14:paraId="0912DB13" w14:textId="428D2373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Signaling</w:t>
            </w:r>
            <w:proofErr w:type="spellEnd"/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 the B Cell Receptor BCR</w:t>
            </w:r>
          </w:p>
        </w:tc>
        <w:tc>
          <w:tcPr>
            <w:tcW w:w="1344" w:type="dxa"/>
            <w:vAlign w:val="bottom"/>
          </w:tcPr>
          <w:p w14:paraId="336B14A3" w14:textId="7B003047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0.577</w:t>
            </w:r>
          </w:p>
        </w:tc>
        <w:tc>
          <w:tcPr>
            <w:tcW w:w="1409" w:type="dxa"/>
            <w:vAlign w:val="bottom"/>
          </w:tcPr>
          <w:p w14:paraId="2E03758D" w14:textId="794C4981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2.210</w:t>
            </w:r>
          </w:p>
        </w:tc>
        <w:tc>
          <w:tcPr>
            <w:tcW w:w="1345" w:type="dxa"/>
            <w:vAlign w:val="bottom"/>
          </w:tcPr>
          <w:p w14:paraId="55C16EE0" w14:textId="4775F883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1.00E-10</w:t>
            </w:r>
          </w:p>
        </w:tc>
        <w:tc>
          <w:tcPr>
            <w:tcW w:w="1256" w:type="dxa"/>
            <w:vAlign w:val="bottom"/>
          </w:tcPr>
          <w:p w14:paraId="78C75A3E" w14:textId="04F7A839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4.98E-09</w:t>
            </w:r>
          </w:p>
        </w:tc>
        <w:tc>
          <w:tcPr>
            <w:tcW w:w="1223" w:type="dxa"/>
            <w:vAlign w:val="bottom"/>
          </w:tcPr>
          <w:p w14:paraId="633DD5FE" w14:textId="2C9D2037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3.44E-09</w:t>
            </w:r>
          </w:p>
        </w:tc>
      </w:tr>
      <w:tr w:rsidR="003E68E9" w14:paraId="25C5FADE" w14:textId="5647688F" w:rsidTr="007A07A7">
        <w:trPr>
          <w:trHeight w:val="304"/>
        </w:trPr>
        <w:tc>
          <w:tcPr>
            <w:tcW w:w="3629" w:type="dxa"/>
            <w:vAlign w:val="bottom"/>
          </w:tcPr>
          <w:p w14:paraId="689A044C" w14:textId="7A3550DB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Chemokine Receptors bind Chemokines</w:t>
            </w:r>
          </w:p>
        </w:tc>
        <w:tc>
          <w:tcPr>
            <w:tcW w:w="1344" w:type="dxa"/>
            <w:vAlign w:val="bottom"/>
          </w:tcPr>
          <w:p w14:paraId="77A3D6AF" w14:textId="4703101F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0.565</w:t>
            </w:r>
          </w:p>
        </w:tc>
        <w:tc>
          <w:tcPr>
            <w:tcW w:w="1409" w:type="dxa"/>
            <w:vAlign w:val="bottom"/>
          </w:tcPr>
          <w:p w14:paraId="636FFA2C" w14:textId="7EFBB8EA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1.975</w:t>
            </w:r>
          </w:p>
        </w:tc>
        <w:tc>
          <w:tcPr>
            <w:tcW w:w="1345" w:type="dxa"/>
            <w:vAlign w:val="bottom"/>
          </w:tcPr>
          <w:p w14:paraId="59DD5AE6" w14:textId="6ED4C239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1.14E-06</w:t>
            </w:r>
          </w:p>
        </w:tc>
        <w:tc>
          <w:tcPr>
            <w:tcW w:w="1256" w:type="dxa"/>
            <w:vAlign w:val="bottom"/>
          </w:tcPr>
          <w:p w14:paraId="1BF51F7F" w14:textId="798BDE8F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3.17E-05</w:t>
            </w:r>
          </w:p>
        </w:tc>
        <w:tc>
          <w:tcPr>
            <w:tcW w:w="1223" w:type="dxa"/>
            <w:vAlign w:val="bottom"/>
          </w:tcPr>
          <w:p w14:paraId="0C831663" w14:textId="66FBE9C6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2.18E-05</w:t>
            </w:r>
          </w:p>
        </w:tc>
      </w:tr>
      <w:tr w:rsidR="003E68E9" w14:paraId="148BEDDC" w14:textId="1BFE7EAD" w:rsidTr="007A07A7">
        <w:trPr>
          <w:trHeight w:val="304"/>
        </w:trPr>
        <w:tc>
          <w:tcPr>
            <w:tcW w:w="3629" w:type="dxa"/>
            <w:vAlign w:val="bottom"/>
          </w:tcPr>
          <w:p w14:paraId="3735E52D" w14:textId="7B5F88BD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Interleukin 10 </w:t>
            </w:r>
            <w:proofErr w:type="spellStart"/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1344" w:type="dxa"/>
            <w:vAlign w:val="bottom"/>
          </w:tcPr>
          <w:p w14:paraId="29A5B09D" w14:textId="7714757B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0.571</w:t>
            </w:r>
          </w:p>
        </w:tc>
        <w:tc>
          <w:tcPr>
            <w:tcW w:w="1409" w:type="dxa"/>
            <w:vAlign w:val="bottom"/>
          </w:tcPr>
          <w:p w14:paraId="54753287" w14:textId="05923B74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1.921</w:t>
            </w:r>
          </w:p>
        </w:tc>
        <w:tc>
          <w:tcPr>
            <w:tcW w:w="1345" w:type="dxa"/>
            <w:vAlign w:val="bottom"/>
          </w:tcPr>
          <w:p w14:paraId="2F20476D" w14:textId="45BD9C83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2.62E-05</w:t>
            </w:r>
          </w:p>
        </w:tc>
        <w:tc>
          <w:tcPr>
            <w:tcW w:w="1256" w:type="dxa"/>
            <w:vAlign w:val="bottom"/>
          </w:tcPr>
          <w:p w14:paraId="0460E709" w14:textId="693D63E2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5.09E-04</w:t>
            </w:r>
          </w:p>
        </w:tc>
        <w:tc>
          <w:tcPr>
            <w:tcW w:w="1223" w:type="dxa"/>
            <w:vAlign w:val="bottom"/>
          </w:tcPr>
          <w:p w14:paraId="0D4E7ADB" w14:textId="3C88AF1C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3.51E-04</w:t>
            </w:r>
          </w:p>
        </w:tc>
      </w:tr>
      <w:tr w:rsidR="003E68E9" w14:paraId="5A515582" w14:textId="16CBEC64" w:rsidTr="007A07A7">
        <w:trPr>
          <w:trHeight w:val="304"/>
        </w:trPr>
        <w:tc>
          <w:tcPr>
            <w:tcW w:w="3629" w:type="dxa"/>
            <w:vAlign w:val="bottom"/>
          </w:tcPr>
          <w:p w14:paraId="5730BD21" w14:textId="2B5C0BB8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Rho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  <w:proofErr w:type="spellEnd"/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GTPase Cycle</w:t>
            </w:r>
          </w:p>
        </w:tc>
        <w:tc>
          <w:tcPr>
            <w:tcW w:w="1344" w:type="dxa"/>
            <w:vAlign w:val="bottom"/>
          </w:tcPr>
          <w:p w14:paraId="03D47B46" w14:textId="0388E767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0.581</w:t>
            </w:r>
          </w:p>
        </w:tc>
        <w:tc>
          <w:tcPr>
            <w:tcW w:w="1409" w:type="dxa"/>
            <w:vAlign w:val="bottom"/>
          </w:tcPr>
          <w:p w14:paraId="0989EF92" w14:textId="515114D3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1.885</w:t>
            </w:r>
          </w:p>
        </w:tc>
        <w:tc>
          <w:tcPr>
            <w:tcW w:w="1345" w:type="dxa"/>
            <w:vAlign w:val="bottom"/>
          </w:tcPr>
          <w:p w14:paraId="0BB85DED" w14:textId="32E8F1F1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8.88E-05</w:t>
            </w:r>
          </w:p>
        </w:tc>
        <w:tc>
          <w:tcPr>
            <w:tcW w:w="1256" w:type="dxa"/>
            <w:vAlign w:val="bottom"/>
          </w:tcPr>
          <w:p w14:paraId="3AF8152E" w14:textId="7EA48D10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1.26E-03</w:t>
            </w:r>
          </w:p>
        </w:tc>
        <w:tc>
          <w:tcPr>
            <w:tcW w:w="1223" w:type="dxa"/>
            <w:vAlign w:val="bottom"/>
          </w:tcPr>
          <w:p w14:paraId="28388116" w14:textId="55B39E08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8.67E-04</w:t>
            </w:r>
          </w:p>
        </w:tc>
      </w:tr>
      <w:tr w:rsidR="003E68E9" w14:paraId="3218A886" w14:textId="1ABCEAC8" w:rsidTr="007A07A7">
        <w:trPr>
          <w:trHeight w:val="304"/>
        </w:trPr>
        <w:tc>
          <w:tcPr>
            <w:tcW w:w="3629" w:type="dxa"/>
            <w:vAlign w:val="bottom"/>
          </w:tcPr>
          <w:p w14:paraId="7D4A4739" w14:textId="4DE0EDBD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TCR </w:t>
            </w:r>
            <w:proofErr w:type="spellStart"/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1344" w:type="dxa"/>
            <w:vAlign w:val="bottom"/>
          </w:tcPr>
          <w:p w14:paraId="259B3E3C" w14:textId="1CBFF638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0.494</w:t>
            </w:r>
          </w:p>
        </w:tc>
        <w:tc>
          <w:tcPr>
            <w:tcW w:w="1409" w:type="dxa"/>
            <w:vAlign w:val="bottom"/>
          </w:tcPr>
          <w:p w14:paraId="4FAF4642" w14:textId="699B5F31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1.868</w:t>
            </w:r>
          </w:p>
        </w:tc>
        <w:tc>
          <w:tcPr>
            <w:tcW w:w="1345" w:type="dxa"/>
            <w:vAlign w:val="bottom"/>
          </w:tcPr>
          <w:p w14:paraId="1227303D" w14:textId="731B1B27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3.29E-08</w:t>
            </w:r>
          </w:p>
        </w:tc>
        <w:tc>
          <w:tcPr>
            <w:tcW w:w="1256" w:type="dxa"/>
            <w:vAlign w:val="bottom"/>
          </w:tcPr>
          <w:p w14:paraId="04725AF9" w14:textId="4116090E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1.24E-06</w:t>
            </w:r>
          </w:p>
        </w:tc>
        <w:tc>
          <w:tcPr>
            <w:tcW w:w="1223" w:type="dxa"/>
            <w:vAlign w:val="bottom"/>
          </w:tcPr>
          <w:p w14:paraId="5C87C090" w14:textId="3D70D14A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8.57E-07</w:t>
            </w:r>
          </w:p>
        </w:tc>
      </w:tr>
      <w:tr w:rsidR="003E68E9" w14:paraId="1456012A" w14:textId="5EF34035" w:rsidTr="007A07A7">
        <w:trPr>
          <w:trHeight w:val="304"/>
        </w:trPr>
        <w:tc>
          <w:tcPr>
            <w:tcW w:w="3629" w:type="dxa"/>
            <w:vAlign w:val="bottom"/>
          </w:tcPr>
          <w:p w14:paraId="7705DAA4" w14:textId="74033A6A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Elastic Fibre Formation</w:t>
            </w:r>
          </w:p>
        </w:tc>
        <w:tc>
          <w:tcPr>
            <w:tcW w:w="1344" w:type="dxa"/>
            <w:vAlign w:val="bottom"/>
          </w:tcPr>
          <w:p w14:paraId="36A1CE19" w14:textId="7C8CBBDC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0.549</w:t>
            </w:r>
          </w:p>
        </w:tc>
        <w:tc>
          <w:tcPr>
            <w:tcW w:w="1409" w:type="dxa"/>
            <w:vAlign w:val="bottom"/>
          </w:tcPr>
          <w:p w14:paraId="786C6D1F" w14:textId="041C9D33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1.850</w:t>
            </w:r>
          </w:p>
        </w:tc>
        <w:tc>
          <w:tcPr>
            <w:tcW w:w="1345" w:type="dxa"/>
            <w:vAlign w:val="bottom"/>
          </w:tcPr>
          <w:p w14:paraId="72A32882" w14:textId="73E9D4A5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1.04E-04</w:t>
            </w:r>
          </w:p>
        </w:tc>
        <w:tc>
          <w:tcPr>
            <w:tcW w:w="1256" w:type="dxa"/>
            <w:vAlign w:val="bottom"/>
          </w:tcPr>
          <w:p w14:paraId="7855F2F1" w14:textId="5F92D93A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1.42E-03</w:t>
            </w:r>
          </w:p>
        </w:tc>
        <w:tc>
          <w:tcPr>
            <w:tcW w:w="1223" w:type="dxa"/>
            <w:vAlign w:val="bottom"/>
          </w:tcPr>
          <w:p w14:paraId="34F320AC" w14:textId="02112786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9.80E-04</w:t>
            </w:r>
          </w:p>
        </w:tc>
      </w:tr>
      <w:tr w:rsidR="003E68E9" w14:paraId="4956394C" w14:textId="6E394424" w:rsidTr="007A07A7">
        <w:trPr>
          <w:trHeight w:val="304"/>
        </w:trPr>
        <w:tc>
          <w:tcPr>
            <w:tcW w:w="3629" w:type="dxa"/>
            <w:vAlign w:val="bottom"/>
          </w:tcPr>
          <w:p w14:paraId="4277543E" w14:textId="3735C877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Cellular Response to Hypoxia</w:t>
            </w:r>
          </w:p>
        </w:tc>
        <w:tc>
          <w:tcPr>
            <w:tcW w:w="1344" w:type="dxa"/>
            <w:vAlign w:val="bottom"/>
          </w:tcPr>
          <w:p w14:paraId="76E799E6" w14:textId="45486ACB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0.498</w:t>
            </w:r>
          </w:p>
        </w:tc>
        <w:tc>
          <w:tcPr>
            <w:tcW w:w="1409" w:type="dxa"/>
            <w:vAlign w:val="bottom"/>
          </w:tcPr>
          <w:p w14:paraId="2E08026B" w14:textId="594D6A9E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1.798</w:t>
            </w:r>
          </w:p>
        </w:tc>
        <w:tc>
          <w:tcPr>
            <w:tcW w:w="1345" w:type="dxa"/>
            <w:vAlign w:val="bottom"/>
          </w:tcPr>
          <w:p w14:paraId="04519213" w14:textId="41B3B533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3.82E-05</w:t>
            </w:r>
          </w:p>
        </w:tc>
        <w:tc>
          <w:tcPr>
            <w:tcW w:w="1256" w:type="dxa"/>
            <w:vAlign w:val="bottom"/>
          </w:tcPr>
          <w:p w14:paraId="485D9627" w14:textId="486B3CCC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6.81E-04</w:t>
            </w:r>
          </w:p>
        </w:tc>
        <w:tc>
          <w:tcPr>
            <w:tcW w:w="1223" w:type="dxa"/>
            <w:vAlign w:val="bottom"/>
          </w:tcPr>
          <w:p w14:paraId="25F81B3B" w14:textId="36E15C41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4.69E-04</w:t>
            </w:r>
          </w:p>
        </w:tc>
      </w:tr>
      <w:tr w:rsidR="003E68E9" w14:paraId="03566B99" w14:textId="3A396D8B" w:rsidTr="007A07A7">
        <w:trPr>
          <w:trHeight w:val="304"/>
        </w:trPr>
        <w:tc>
          <w:tcPr>
            <w:tcW w:w="3629" w:type="dxa"/>
            <w:vAlign w:val="bottom"/>
          </w:tcPr>
          <w:p w14:paraId="0BE0FE5E" w14:textId="651C5308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mRNA Splicing</w:t>
            </w:r>
          </w:p>
        </w:tc>
        <w:tc>
          <w:tcPr>
            <w:tcW w:w="1344" w:type="dxa"/>
            <w:vAlign w:val="bottom"/>
          </w:tcPr>
          <w:p w14:paraId="518B02E3" w14:textId="40DA5DAD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0.454</w:t>
            </w:r>
          </w:p>
        </w:tc>
        <w:tc>
          <w:tcPr>
            <w:tcW w:w="1409" w:type="dxa"/>
            <w:vAlign w:val="bottom"/>
          </w:tcPr>
          <w:p w14:paraId="5CFA94C8" w14:textId="3F2A5FB2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1.761</w:t>
            </w:r>
          </w:p>
        </w:tc>
        <w:tc>
          <w:tcPr>
            <w:tcW w:w="1345" w:type="dxa"/>
            <w:vAlign w:val="bottom"/>
          </w:tcPr>
          <w:p w14:paraId="142AA017" w14:textId="173D71BF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4.95E-08</w:t>
            </w:r>
          </w:p>
        </w:tc>
        <w:tc>
          <w:tcPr>
            <w:tcW w:w="1256" w:type="dxa"/>
            <w:vAlign w:val="bottom"/>
          </w:tcPr>
          <w:p w14:paraId="424C4741" w14:textId="06DC2964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1.81E-06</w:t>
            </w:r>
          </w:p>
        </w:tc>
        <w:tc>
          <w:tcPr>
            <w:tcW w:w="1223" w:type="dxa"/>
            <w:vAlign w:val="bottom"/>
          </w:tcPr>
          <w:p w14:paraId="482C2F6F" w14:textId="148EF1ED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1.25E-06</w:t>
            </w:r>
          </w:p>
        </w:tc>
      </w:tr>
      <w:tr w:rsidR="003E68E9" w14:paraId="6F21B490" w14:textId="6224892B" w:rsidTr="007A07A7">
        <w:trPr>
          <w:trHeight w:val="304"/>
        </w:trPr>
        <w:tc>
          <w:tcPr>
            <w:tcW w:w="3629" w:type="dxa"/>
            <w:vAlign w:val="bottom"/>
          </w:tcPr>
          <w:p w14:paraId="256A7E09" w14:textId="1E0D57AE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DNA Double Strand Break Response</w:t>
            </w:r>
          </w:p>
        </w:tc>
        <w:tc>
          <w:tcPr>
            <w:tcW w:w="1344" w:type="dxa"/>
            <w:vAlign w:val="bottom"/>
          </w:tcPr>
          <w:p w14:paraId="0171F49E" w14:textId="18EA39D9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0.525</w:t>
            </w:r>
          </w:p>
        </w:tc>
        <w:tc>
          <w:tcPr>
            <w:tcW w:w="1409" w:type="dxa"/>
            <w:vAlign w:val="bottom"/>
          </w:tcPr>
          <w:p w14:paraId="0BC2009B" w14:textId="34BD8245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1.760</w:t>
            </w:r>
          </w:p>
        </w:tc>
        <w:tc>
          <w:tcPr>
            <w:tcW w:w="1345" w:type="dxa"/>
            <w:vAlign w:val="bottom"/>
          </w:tcPr>
          <w:p w14:paraId="2C9DFE6C" w14:textId="30FD34EC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4.27E-04</w:t>
            </w:r>
          </w:p>
        </w:tc>
        <w:tc>
          <w:tcPr>
            <w:tcW w:w="1256" w:type="dxa"/>
            <w:vAlign w:val="bottom"/>
          </w:tcPr>
          <w:p w14:paraId="4436387C" w14:textId="564D64B6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4.22E-03</w:t>
            </w:r>
          </w:p>
        </w:tc>
        <w:tc>
          <w:tcPr>
            <w:tcW w:w="1223" w:type="dxa"/>
            <w:vAlign w:val="bottom"/>
          </w:tcPr>
          <w:p w14:paraId="2EAF1A47" w14:textId="7015C2BE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2.91E-03</w:t>
            </w:r>
          </w:p>
        </w:tc>
      </w:tr>
      <w:tr w:rsidR="003E68E9" w14:paraId="49D4D061" w14:textId="0E8FDF9A" w:rsidTr="007A07A7">
        <w:trPr>
          <w:trHeight w:val="304"/>
        </w:trPr>
        <w:tc>
          <w:tcPr>
            <w:tcW w:w="3629" w:type="dxa"/>
            <w:vAlign w:val="bottom"/>
          </w:tcPr>
          <w:p w14:paraId="7B18F3CB" w14:textId="6C1BFB7A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Interleukin 1 Family </w:t>
            </w:r>
            <w:proofErr w:type="spellStart"/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1344" w:type="dxa"/>
            <w:vAlign w:val="bottom"/>
          </w:tcPr>
          <w:p w14:paraId="074D99C7" w14:textId="661F67E9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0.454</w:t>
            </w:r>
          </w:p>
        </w:tc>
        <w:tc>
          <w:tcPr>
            <w:tcW w:w="1409" w:type="dxa"/>
            <w:vAlign w:val="bottom"/>
          </w:tcPr>
          <w:p w14:paraId="4711117A" w14:textId="4ABD08C7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1.729</w:t>
            </w:r>
          </w:p>
        </w:tc>
        <w:tc>
          <w:tcPr>
            <w:tcW w:w="1345" w:type="dxa"/>
            <w:vAlign w:val="bottom"/>
          </w:tcPr>
          <w:p w14:paraId="74D85946" w14:textId="03F21397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2.13E-06</w:t>
            </w:r>
          </w:p>
        </w:tc>
        <w:tc>
          <w:tcPr>
            <w:tcW w:w="1256" w:type="dxa"/>
            <w:vAlign w:val="bottom"/>
          </w:tcPr>
          <w:p w14:paraId="2AE5B81C" w14:textId="313D378C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5.52E-05</w:t>
            </w:r>
          </w:p>
        </w:tc>
        <w:tc>
          <w:tcPr>
            <w:tcW w:w="1223" w:type="dxa"/>
            <w:vAlign w:val="bottom"/>
          </w:tcPr>
          <w:p w14:paraId="4081C733" w14:textId="5D2DB360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3.80E-05</w:t>
            </w:r>
          </w:p>
        </w:tc>
      </w:tr>
      <w:tr w:rsidR="003E68E9" w14:paraId="3D321412" w14:textId="4DC3C877" w:rsidTr="007A07A7">
        <w:trPr>
          <w:trHeight w:val="304"/>
        </w:trPr>
        <w:tc>
          <w:tcPr>
            <w:tcW w:w="3629" w:type="dxa"/>
            <w:vAlign w:val="bottom"/>
          </w:tcPr>
          <w:p w14:paraId="044AFAA6" w14:textId="71DB16B4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Dissolution of Fibrin Clot</w:t>
            </w:r>
          </w:p>
        </w:tc>
        <w:tc>
          <w:tcPr>
            <w:tcW w:w="1344" w:type="dxa"/>
            <w:vAlign w:val="bottom"/>
          </w:tcPr>
          <w:p w14:paraId="4B7E6AE0" w14:textId="71B9C3D0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0.682</w:t>
            </w:r>
          </w:p>
        </w:tc>
        <w:tc>
          <w:tcPr>
            <w:tcW w:w="1409" w:type="dxa"/>
            <w:vAlign w:val="bottom"/>
          </w:tcPr>
          <w:p w14:paraId="4BD6F289" w14:textId="74F03061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1.728</w:t>
            </w:r>
          </w:p>
        </w:tc>
        <w:tc>
          <w:tcPr>
            <w:tcW w:w="1345" w:type="dxa"/>
            <w:vAlign w:val="bottom"/>
          </w:tcPr>
          <w:p w14:paraId="10233F79" w14:textId="7CA88ABF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2.16E-03</w:t>
            </w:r>
          </w:p>
        </w:tc>
        <w:tc>
          <w:tcPr>
            <w:tcW w:w="1256" w:type="dxa"/>
            <w:vAlign w:val="bottom"/>
          </w:tcPr>
          <w:p w14:paraId="3346C64C" w14:textId="689D0BD9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1.50E-02</w:t>
            </w:r>
          </w:p>
        </w:tc>
        <w:tc>
          <w:tcPr>
            <w:tcW w:w="1223" w:type="dxa"/>
            <w:vAlign w:val="bottom"/>
          </w:tcPr>
          <w:p w14:paraId="6AEE6E5F" w14:textId="02F65F26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1.04E-02</w:t>
            </w:r>
          </w:p>
        </w:tc>
      </w:tr>
      <w:tr w:rsidR="003E68E9" w14:paraId="1E7B864A" w14:textId="580D16FD" w:rsidTr="007A07A7">
        <w:trPr>
          <w:trHeight w:val="304"/>
        </w:trPr>
        <w:tc>
          <w:tcPr>
            <w:tcW w:w="3629" w:type="dxa"/>
            <w:vAlign w:val="bottom"/>
          </w:tcPr>
          <w:p w14:paraId="4538D4CD" w14:textId="42D6B529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Synthesis of DNA</w:t>
            </w:r>
          </w:p>
        </w:tc>
        <w:tc>
          <w:tcPr>
            <w:tcW w:w="1344" w:type="dxa"/>
            <w:vAlign w:val="bottom"/>
          </w:tcPr>
          <w:p w14:paraId="30488348" w14:textId="4BDE8222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0.456</w:t>
            </w:r>
          </w:p>
        </w:tc>
        <w:tc>
          <w:tcPr>
            <w:tcW w:w="1409" w:type="dxa"/>
            <w:vAlign w:val="bottom"/>
          </w:tcPr>
          <w:p w14:paraId="68E12D95" w14:textId="6FF10872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1.720</w:t>
            </w:r>
          </w:p>
        </w:tc>
        <w:tc>
          <w:tcPr>
            <w:tcW w:w="1345" w:type="dxa"/>
            <w:vAlign w:val="bottom"/>
          </w:tcPr>
          <w:p w14:paraId="219E9176" w14:textId="383B2C0B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1.73E-05</w:t>
            </w:r>
          </w:p>
        </w:tc>
        <w:tc>
          <w:tcPr>
            <w:tcW w:w="1256" w:type="dxa"/>
            <w:vAlign w:val="bottom"/>
          </w:tcPr>
          <w:p w14:paraId="5B3F17A9" w14:textId="40DAAB4D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3.79E-04</w:t>
            </w:r>
          </w:p>
        </w:tc>
        <w:tc>
          <w:tcPr>
            <w:tcW w:w="1223" w:type="dxa"/>
            <w:vAlign w:val="bottom"/>
          </w:tcPr>
          <w:p w14:paraId="0937D815" w14:textId="031F11F0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2.61E-04</w:t>
            </w:r>
          </w:p>
        </w:tc>
      </w:tr>
      <w:tr w:rsidR="003E68E9" w14:paraId="1BA49217" w14:textId="3E694DE2" w:rsidTr="007A07A7">
        <w:trPr>
          <w:trHeight w:val="304"/>
        </w:trPr>
        <w:tc>
          <w:tcPr>
            <w:tcW w:w="3629" w:type="dxa"/>
            <w:vAlign w:val="bottom"/>
          </w:tcPr>
          <w:p w14:paraId="03DB7AD6" w14:textId="449D21FA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DNA Replication</w:t>
            </w:r>
          </w:p>
        </w:tc>
        <w:tc>
          <w:tcPr>
            <w:tcW w:w="1344" w:type="dxa"/>
            <w:vAlign w:val="bottom"/>
          </w:tcPr>
          <w:p w14:paraId="16040ED4" w14:textId="76BAFF06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0.444</w:t>
            </w:r>
          </w:p>
        </w:tc>
        <w:tc>
          <w:tcPr>
            <w:tcW w:w="1409" w:type="dxa"/>
            <w:vAlign w:val="bottom"/>
          </w:tcPr>
          <w:p w14:paraId="34B99F80" w14:textId="0891F8A5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1.686</w:t>
            </w:r>
          </w:p>
        </w:tc>
        <w:tc>
          <w:tcPr>
            <w:tcW w:w="1345" w:type="dxa"/>
            <w:vAlign w:val="bottom"/>
          </w:tcPr>
          <w:p w14:paraId="5028CC16" w14:textId="0B5AF9C6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2.91E-05</w:t>
            </w:r>
          </w:p>
        </w:tc>
        <w:tc>
          <w:tcPr>
            <w:tcW w:w="1256" w:type="dxa"/>
            <w:vAlign w:val="bottom"/>
          </w:tcPr>
          <w:p w14:paraId="482A58FC" w14:textId="1DBDF863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5.50E-04</w:t>
            </w:r>
          </w:p>
        </w:tc>
        <w:tc>
          <w:tcPr>
            <w:tcW w:w="1223" w:type="dxa"/>
            <w:vAlign w:val="bottom"/>
          </w:tcPr>
          <w:p w14:paraId="68DDB00A" w14:textId="30E74D5B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3.79E-04</w:t>
            </w:r>
          </w:p>
        </w:tc>
      </w:tr>
      <w:tr w:rsidR="003E68E9" w14:paraId="71240844" w14:textId="1BB760C7" w:rsidTr="007A07A7">
        <w:trPr>
          <w:trHeight w:val="322"/>
        </w:trPr>
        <w:tc>
          <w:tcPr>
            <w:tcW w:w="3629" w:type="dxa"/>
            <w:vAlign w:val="bottom"/>
          </w:tcPr>
          <w:p w14:paraId="13854E54" w14:textId="7D96D6A3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Activation of Matrix Metalloproteinases</w:t>
            </w:r>
          </w:p>
        </w:tc>
        <w:tc>
          <w:tcPr>
            <w:tcW w:w="1344" w:type="dxa"/>
            <w:vAlign w:val="bottom"/>
          </w:tcPr>
          <w:p w14:paraId="7C1ABB69" w14:textId="290A25B4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0.524</w:t>
            </w:r>
          </w:p>
        </w:tc>
        <w:tc>
          <w:tcPr>
            <w:tcW w:w="1409" w:type="dxa"/>
            <w:vAlign w:val="bottom"/>
          </w:tcPr>
          <w:p w14:paraId="2894B59D" w14:textId="310255CF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1.657</w:t>
            </w:r>
          </w:p>
        </w:tc>
        <w:tc>
          <w:tcPr>
            <w:tcW w:w="1345" w:type="dxa"/>
            <w:vAlign w:val="bottom"/>
          </w:tcPr>
          <w:p w14:paraId="6C081549" w14:textId="18D6D207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2.84E-03</w:t>
            </w:r>
          </w:p>
        </w:tc>
        <w:tc>
          <w:tcPr>
            <w:tcW w:w="1256" w:type="dxa"/>
            <w:vAlign w:val="bottom"/>
          </w:tcPr>
          <w:p w14:paraId="0D2575C7" w14:textId="4235887F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1.83E-02</w:t>
            </w:r>
          </w:p>
        </w:tc>
        <w:tc>
          <w:tcPr>
            <w:tcW w:w="1223" w:type="dxa"/>
            <w:vAlign w:val="bottom"/>
          </w:tcPr>
          <w:p w14:paraId="65087068" w14:textId="29CAF6EF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1.26E-02</w:t>
            </w:r>
          </w:p>
        </w:tc>
      </w:tr>
      <w:tr w:rsidR="003E68E9" w14:paraId="29117350" w14:textId="0FCD35E1" w:rsidTr="007A07A7">
        <w:trPr>
          <w:trHeight w:val="304"/>
        </w:trPr>
        <w:tc>
          <w:tcPr>
            <w:tcW w:w="3629" w:type="dxa"/>
            <w:vAlign w:val="bottom"/>
          </w:tcPr>
          <w:p w14:paraId="0E5E02A8" w14:textId="660F1EAE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Extracellular Matrix Organization</w:t>
            </w:r>
          </w:p>
        </w:tc>
        <w:tc>
          <w:tcPr>
            <w:tcW w:w="1344" w:type="dxa"/>
            <w:vAlign w:val="bottom"/>
          </w:tcPr>
          <w:p w14:paraId="47989483" w14:textId="6E50F547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0.412</w:t>
            </w:r>
          </w:p>
        </w:tc>
        <w:tc>
          <w:tcPr>
            <w:tcW w:w="1409" w:type="dxa"/>
            <w:vAlign w:val="bottom"/>
          </w:tcPr>
          <w:p w14:paraId="4386493F" w14:textId="203EF57A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1.633</w:t>
            </w:r>
          </w:p>
        </w:tc>
        <w:tc>
          <w:tcPr>
            <w:tcW w:w="1345" w:type="dxa"/>
            <w:vAlign w:val="bottom"/>
          </w:tcPr>
          <w:p w14:paraId="11B4BFB2" w14:textId="260C4F23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2.74E-08</w:t>
            </w:r>
          </w:p>
        </w:tc>
        <w:tc>
          <w:tcPr>
            <w:tcW w:w="1256" w:type="dxa"/>
            <w:vAlign w:val="bottom"/>
          </w:tcPr>
          <w:p w14:paraId="5E2ABFEB" w14:textId="041A1C9A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1.07E-06</w:t>
            </w:r>
          </w:p>
        </w:tc>
        <w:tc>
          <w:tcPr>
            <w:tcW w:w="1223" w:type="dxa"/>
            <w:vAlign w:val="bottom"/>
          </w:tcPr>
          <w:p w14:paraId="4E98A206" w14:textId="2AD21C66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7.36E-07</w:t>
            </w:r>
          </w:p>
        </w:tc>
      </w:tr>
      <w:tr w:rsidR="003E68E9" w14:paraId="000B1F8A" w14:textId="508C9D3D" w:rsidTr="007A07A7">
        <w:trPr>
          <w:trHeight w:val="288"/>
        </w:trPr>
        <w:tc>
          <w:tcPr>
            <w:tcW w:w="3629" w:type="dxa"/>
            <w:vAlign w:val="bottom"/>
          </w:tcPr>
          <w:p w14:paraId="1D818ED8" w14:textId="3FD01EA0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DNA Repair</w:t>
            </w:r>
          </w:p>
        </w:tc>
        <w:tc>
          <w:tcPr>
            <w:tcW w:w="1344" w:type="dxa"/>
            <w:vAlign w:val="bottom"/>
          </w:tcPr>
          <w:p w14:paraId="0E51B296" w14:textId="137D32DE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0.411</w:t>
            </w:r>
          </w:p>
        </w:tc>
        <w:tc>
          <w:tcPr>
            <w:tcW w:w="1409" w:type="dxa"/>
            <w:vAlign w:val="bottom"/>
          </w:tcPr>
          <w:p w14:paraId="6F3CEE38" w14:textId="594EDA54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1.625</w:t>
            </w:r>
          </w:p>
        </w:tc>
        <w:tc>
          <w:tcPr>
            <w:tcW w:w="1345" w:type="dxa"/>
            <w:vAlign w:val="bottom"/>
          </w:tcPr>
          <w:p w14:paraId="0F8BD05C" w14:textId="356613A5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5.30E-08</w:t>
            </w:r>
          </w:p>
        </w:tc>
        <w:tc>
          <w:tcPr>
            <w:tcW w:w="1256" w:type="dxa"/>
            <w:vAlign w:val="bottom"/>
          </w:tcPr>
          <w:p w14:paraId="01C51033" w14:textId="023697AD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1.89E-06</w:t>
            </w:r>
          </w:p>
        </w:tc>
        <w:tc>
          <w:tcPr>
            <w:tcW w:w="1223" w:type="dxa"/>
            <w:vAlign w:val="bottom"/>
          </w:tcPr>
          <w:p w14:paraId="3D791DED" w14:textId="67EB28CE" w:rsidR="003E68E9" w:rsidRPr="003E68E9" w:rsidRDefault="003E68E9" w:rsidP="003E68E9">
            <w:pPr>
              <w:jc w:val="center"/>
              <w:rPr>
                <w:sz w:val="22"/>
                <w:szCs w:val="22"/>
                <w:lang w:val="en-US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1.30E-06</w:t>
            </w:r>
          </w:p>
        </w:tc>
      </w:tr>
      <w:tr w:rsidR="003E68E9" w14:paraId="4078EC4C" w14:textId="77777777" w:rsidTr="007A07A7">
        <w:trPr>
          <w:trHeight w:val="288"/>
        </w:trPr>
        <w:tc>
          <w:tcPr>
            <w:tcW w:w="3629" w:type="dxa"/>
            <w:vAlign w:val="bottom"/>
          </w:tcPr>
          <w:p w14:paraId="2ABD1C25" w14:textId="08D80515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Signaling</w:t>
            </w:r>
            <w:proofErr w:type="spellEnd"/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by NOTCH4</w:t>
            </w:r>
          </w:p>
        </w:tc>
        <w:tc>
          <w:tcPr>
            <w:tcW w:w="1344" w:type="dxa"/>
            <w:vAlign w:val="bottom"/>
          </w:tcPr>
          <w:p w14:paraId="33ED7FC0" w14:textId="71CE858E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0.440</w:t>
            </w:r>
          </w:p>
        </w:tc>
        <w:tc>
          <w:tcPr>
            <w:tcW w:w="1409" w:type="dxa"/>
            <w:vAlign w:val="bottom"/>
          </w:tcPr>
          <w:p w14:paraId="394AA717" w14:textId="1BB6ECC0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1.607</w:t>
            </w:r>
          </w:p>
        </w:tc>
        <w:tc>
          <w:tcPr>
            <w:tcW w:w="1345" w:type="dxa"/>
            <w:vAlign w:val="bottom"/>
          </w:tcPr>
          <w:p w14:paraId="7FF8FBFC" w14:textId="05C0CF2F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1.33E-03</w:t>
            </w:r>
          </w:p>
        </w:tc>
        <w:tc>
          <w:tcPr>
            <w:tcW w:w="1256" w:type="dxa"/>
            <w:vAlign w:val="bottom"/>
          </w:tcPr>
          <w:p w14:paraId="0DE80290" w14:textId="2D3065F9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1.07E-02</w:t>
            </w:r>
          </w:p>
        </w:tc>
        <w:tc>
          <w:tcPr>
            <w:tcW w:w="1223" w:type="dxa"/>
            <w:vAlign w:val="bottom"/>
          </w:tcPr>
          <w:p w14:paraId="18B70649" w14:textId="7F5461D2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7.36E-03</w:t>
            </w:r>
          </w:p>
        </w:tc>
      </w:tr>
      <w:tr w:rsidR="003E68E9" w14:paraId="3C4816DC" w14:textId="77777777" w:rsidTr="007A07A7">
        <w:trPr>
          <w:trHeight w:val="288"/>
        </w:trPr>
        <w:tc>
          <w:tcPr>
            <w:tcW w:w="3629" w:type="dxa"/>
            <w:vAlign w:val="bottom"/>
          </w:tcPr>
          <w:p w14:paraId="5E4DBB83" w14:textId="37A6D7F0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Cell Cycle Mitotic</w:t>
            </w:r>
          </w:p>
        </w:tc>
        <w:tc>
          <w:tcPr>
            <w:tcW w:w="1344" w:type="dxa"/>
            <w:vAlign w:val="bottom"/>
          </w:tcPr>
          <w:p w14:paraId="671F824B" w14:textId="01E5C197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0.398</w:t>
            </w:r>
          </w:p>
        </w:tc>
        <w:tc>
          <w:tcPr>
            <w:tcW w:w="1409" w:type="dxa"/>
            <w:vAlign w:val="bottom"/>
          </w:tcPr>
          <w:p w14:paraId="3ED65668" w14:textId="51EC742E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1.602</w:t>
            </w:r>
          </w:p>
        </w:tc>
        <w:tc>
          <w:tcPr>
            <w:tcW w:w="1345" w:type="dxa"/>
            <w:vAlign w:val="bottom"/>
          </w:tcPr>
          <w:p w14:paraId="3FBDA17B" w14:textId="52792E1D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1.00E-10</w:t>
            </w:r>
          </w:p>
        </w:tc>
        <w:tc>
          <w:tcPr>
            <w:tcW w:w="1256" w:type="dxa"/>
            <w:vAlign w:val="bottom"/>
          </w:tcPr>
          <w:p w14:paraId="68E8D362" w14:textId="0A4E609E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4.98E-09</w:t>
            </w:r>
          </w:p>
        </w:tc>
        <w:tc>
          <w:tcPr>
            <w:tcW w:w="1223" w:type="dxa"/>
            <w:vAlign w:val="bottom"/>
          </w:tcPr>
          <w:p w14:paraId="47023F6D" w14:textId="70D27145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3.44E-09</w:t>
            </w:r>
          </w:p>
        </w:tc>
      </w:tr>
      <w:tr w:rsidR="003E68E9" w14:paraId="624E0790" w14:textId="77777777" w:rsidTr="007A07A7">
        <w:trPr>
          <w:trHeight w:val="288"/>
        </w:trPr>
        <w:tc>
          <w:tcPr>
            <w:tcW w:w="3629" w:type="dxa"/>
            <w:vAlign w:val="bottom"/>
          </w:tcPr>
          <w:p w14:paraId="2F211B89" w14:textId="2A0409BF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Integrin Cell Surface Interactions</w:t>
            </w:r>
          </w:p>
        </w:tc>
        <w:tc>
          <w:tcPr>
            <w:tcW w:w="1344" w:type="dxa"/>
            <w:vAlign w:val="bottom"/>
          </w:tcPr>
          <w:p w14:paraId="242A2BD1" w14:textId="4F6B2E90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0.428</w:t>
            </w:r>
          </w:p>
        </w:tc>
        <w:tc>
          <w:tcPr>
            <w:tcW w:w="1409" w:type="dxa"/>
            <w:vAlign w:val="bottom"/>
          </w:tcPr>
          <w:p w14:paraId="00DFAAA0" w14:textId="6003097A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1.569</w:t>
            </w:r>
          </w:p>
        </w:tc>
        <w:tc>
          <w:tcPr>
            <w:tcW w:w="1345" w:type="dxa"/>
            <w:vAlign w:val="bottom"/>
          </w:tcPr>
          <w:p w14:paraId="1FA16A5C" w14:textId="6F3B361C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2.62E-03</w:t>
            </w:r>
          </w:p>
        </w:tc>
        <w:tc>
          <w:tcPr>
            <w:tcW w:w="1256" w:type="dxa"/>
            <w:vAlign w:val="bottom"/>
          </w:tcPr>
          <w:p w14:paraId="0E7A01AD" w14:textId="538C4B59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1.72E-02</w:t>
            </w:r>
          </w:p>
        </w:tc>
        <w:tc>
          <w:tcPr>
            <w:tcW w:w="1223" w:type="dxa"/>
            <w:vAlign w:val="bottom"/>
          </w:tcPr>
          <w:p w14:paraId="799EF5F1" w14:textId="76D56CD2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1.18E-02</w:t>
            </w:r>
          </w:p>
        </w:tc>
      </w:tr>
      <w:tr w:rsidR="003E68E9" w14:paraId="0D5F8BEB" w14:textId="77777777" w:rsidTr="007A07A7">
        <w:trPr>
          <w:trHeight w:val="288"/>
        </w:trPr>
        <w:tc>
          <w:tcPr>
            <w:tcW w:w="3629" w:type="dxa"/>
            <w:vAlign w:val="bottom"/>
          </w:tcPr>
          <w:p w14:paraId="7E271B0E" w14:textId="03099E1E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Platelet Activation </w:t>
            </w:r>
            <w:proofErr w:type="spellStart"/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Signaling</w:t>
            </w:r>
            <w:proofErr w:type="spellEnd"/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and Aggregation</w:t>
            </w:r>
          </w:p>
        </w:tc>
        <w:tc>
          <w:tcPr>
            <w:tcW w:w="1344" w:type="dxa"/>
            <w:vAlign w:val="bottom"/>
          </w:tcPr>
          <w:p w14:paraId="3D45D2EF" w14:textId="5C9A654E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0.383</w:t>
            </w:r>
          </w:p>
        </w:tc>
        <w:tc>
          <w:tcPr>
            <w:tcW w:w="1409" w:type="dxa"/>
            <w:vAlign w:val="bottom"/>
          </w:tcPr>
          <w:p w14:paraId="3AB9F590" w14:textId="278E3921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1.507</w:t>
            </w:r>
          </w:p>
        </w:tc>
        <w:tc>
          <w:tcPr>
            <w:tcW w:w="1345" w:type="dxa"/>
            <w:vAlign w:val="bottom"/>
          </w:tcPr>
          <w:p w14:paraId="0B0E6DE2" w14:textId="27B956E4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2.08E-05</w:t>
            </w:r>
          </w:p>
        </w:tc>
        <w:tc>
          <w:tcPr>
            <w:tcW w:w="1256" w:type="dxa"/>
            <w:vAlign w:val="bottom"/>
          </w:tcPr>
          <w:p w14:paraId="439A1F0A" w14:textId="23515D41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4.25E-04</w:t>
            </w:r>
          </w:p>
        </w:tc>
        <w:tc>
          <w:tcPr>
            <w:tcW w:w="1223" w:type="dxa"/>
            <w:vAlign w:val="bottom"/>
          </w:tcPr>
          <w:p w14:paraId="0AA5955B" w14:textId="7959D590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2.93E-04</w:t>
            </w:r>
          </w:p>
        </w:tc>
      </w:tr>
      <w:tr w:rsidR="003E68E9" w14:paraId="0618A777" w14:textId="77777777" w:rsidTr="007A07A7">
        <w:trPr>
          <w:trHeight w:val="288"/>
        </w:trPr>
        <w:tc>
          <w:tcPr>
            <w:tcW w:w="3629" w:type="dxa"/>
            <w:vAlign w:val="bottom"/>
          </w:tcPr>
          <w:p w14:paraId="02BD4F24" w14:textId="1D96F8F2" w:rsidR="003E68E9" w:rsidRPr="003E68E9" w:rsidRDefault="003E68E9" w:rsidP="003E68E9">
            <w:pPr>
              <w:spacing w:line="276" w:lineRule="auto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Golgi to ER Retrograde Transport</w:t>
            </w:r>
          </w:p>
        </w:tc>
        <w:tc>
          <w:tcPr>
            <w:tcW w:w="1344" w:type="dxa"/>
            <w:vAlign w:val="bottom"/>
          </w:tcPr>
          <w:p w14:paraId="3391CFAD" w14:textId="7C9739D0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0.379</w:t>
            </w:r>
          </w:p>
        </w:tc>
        <w:tc>
          <w:tcPr>
            <w:tcW w:w="1409" w:type="dxa"/>
            <w:vAlign w:val="bottom"/>
          </w:tcPr>
          <w:p w14:paraId="7BD8F125" w14:textId="042F95FF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1.443</w:t>
            </w:r>
          </w:p>
        </w:tc>
        <w:tc>
          <w:tcPr>
            <w:tcW w:w="1345" w:type="dxa"/>
            <w:vAlign w:val="bottom"/>
          </w:tcPr>
          <w:p w14:paraId="4CA80C5B" w14:textId="1F9DD53D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4.68E-03</w:t>
            </w:r>
          </w:p>
        </w:tc>
        <w:tc>
          <w:tcPr>
            <w:tcW w:w="1256" w:type="dxa"/>
            <w:vAlign w:val="bottom"/>
          </w:tcPr>
          <w:p w14:paraId="65EED8E5" w14:textId="740BF84E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2.71E-02</w:t>
            </w:r>
          </w:p>
        </w:tc>
        <w:tc>
          <w:tcPr>
            <w:tcW w:w="1223" w:type="dxa"/>
            <w:vAlign w:val="bottom"/>
          </w:tcPr>
          <w:p w14:paraId="1703C13B" w14:textId="19B13CB5" w:rsidR="003E68E9" w:rsidRPr="003E68E9" w:rsidRDefault="003E68E9" w:rsidP="003E68E9">
            <w:pPr>
              <w:jc w:val="center"/>
              <w:rPr>
                <w:sz w:val="22"/>
                <w:szCs w:val="22"/>
              </w:rPr>
            </w:pPr>
            <w:r w:rsidRPr="003E68E9">
              <w:rPr>
                <w:rFonts w:ascii="Calibri" w:hAnsi="Calibri" w:cs="Calibri"/>
                <w:color w:val="000000"/>
                <w:sz w:val="22"/>
                <w:szCs w:val="22"/>
              </w:rPr>
              <w:t>1.87E-02</w:t>
            </w:r>
          </w:p>
        </w:tc>
      </w:tr>
    </w:tbl>
    <w:p w14:paraId="3BD2A851" w14:textId="0658EF63" w:rsidR="007E7A99" w:rsidRDefault="007E7A99" w:rsidP="00EB3F1C">
      <w:pPr>
        <w:spacing w:line="276" w:lineRule="auto"/>
        <w:jc w:val="both"/>
        <w:rPr>
          <w:lang w:val="en-US"/>
        </w:rPr>
      </w:pPr>
    </w:p>
    <w:p w14:paraId="2B0CAD2D" w14:textId="0856B50D" w:rsidR="00955BA1" w:rsidRPr="00761AC0" w:rsidRDefault="00F80053" w:rsidP="00955BA1">
      <w:pPr>
        <w:spacing w:line="276" w:lineRule="auto"/>
        <w:jc w:val="both"/>
        <w:rPr>
          <w:rFonts w:cstheme="minorHAnsi"/>
          <w:lang w:val="en-US"/>
        </w:rPr>
      </w:pPr>
      <w:r>
        <w:rPr>
          <w:lang w:val="en-US"/>
        </w:rPr>
        <w:t xml:space="preserve">* </w:t>
      </w:r>
      <w:r w:rsidR="00BE29AA">
        <w:rPr>
          <w:lang w:val="en-US"/>
        </w:rPr>
        <w:t>P</w:t>
      </w:r>
      <w:r w:rsidR="00AC6B6B">
        <w:rPr>
          <w:lang w:val="en-US"/>
        </w:rPr>
        <w:t xml:space="preserve">ositive </w:t>
      </w:r>
      <w:proofErr w:type="spellStart"/>
      <w:r w:rsidR="00955BA1">
        <w:rPr>
          <w:lang w:val="en-US"/>
        </w:rPr>
        <w:t>normali</w:t>
      </w:r>
      <w:r w:rsidR="00441F89">
        <w:rPr>
          <w:lang w:val="en-US"/>
        </w:rPr>
        <w:t>s</w:t>
      </w:r>
      <w:r w:rsidR="00955BA1">
        <w:rPr>
          <w:lang w:val="en-US"/>
        </w:rPr>
        <w:t>ed</w:t>
      </w:r>
      <w:proofErr w:type="spellEnd"/>
      <w:r w:rsidR="00955BA1">
        <w:rPr>
          <w:lang w:val="en-US"/>
        </w:rPr>
        <w:t xml:space="preserve"> enrichment scores indicat</w:t>
      </w:r>
      <w:r w:rsidR="00F564C6">
        <w:rPr>
          <w:lang w:val="en-US"/>
        </w:rPr>
        <w:t xml:space="preserve">e </w:t>
      </w:r>
      <w:r w:rsidR="00955BA1">
        <w:rPr>
          <w:lang w:val="en-US"/>
        </w:rPr>
        <w:t xml:space="preserve">upregulated activities in </w:t>
      </w:r>
      <w:r w:rsidR="00955BA1" w:rsidRPr="00761AC0">
        <w:rPr>
          <w:rFonts w:cstheme="minorHAnsi"/>
          <w:lang w:val="en-US"/>
        </w:rPr>
        <w:t xml:space="preserve">normal samples adjacent to </w:t>
      </w:r>
      <w:proofErr w:type="spellStart"/>
      <w:r w:rsidR="00955BA1">
        <w:rPr>
          <w:rFonts w:cstheme="minorHAnsi"/>
          <w:lang w:val="en-US"/>
        </w:rPr>
        <w:t>metastasi</w:t>
      </w:r>
      <w:r w:rsidR="00DA57B1">
        <w:rPr>
          <w:rFonts w:cstheme="minorHAnsi"/>
          <w:lang w:val="en-US"/>
        </w:rPr>
        <w:t>s</w:t>
      </w:r>
      <w:r w:rsidR="00955BA1">
        <w:rPr>
          <w:rFonts w:cstheme="minorHAnsi"/>
          <w:lang w:val="en-US"/>
        </w:rPr>
        <w:t>ing</w:t>
      </w:r>
      <w:proofErr w:type="spellEnd"/>
      <w:r w:rsidR="00955BA1">
        <w:rPr>
          <w:rFonts w:cstheme="minorHAnsi"/>
          <w:lang w:val="en-US"/>
        </w:rPr>
        <w:t xml:space="preserve"> compared to </w:t>
      </w:r>
      <w:r w:rsidR="00955BA1" w:rsidRPr="00761AC0">
        <w:rPr>
          <w:rFonts w:cstheme="minorHAnsi"/>
          <w:lang w:val="en-US"/>
        </w:rPr>
        <w:t>normal adjacent to non-</w:t>
      </w:r>
      <w:proofErr w:type="spellStart"/>
      <w:r w:rsidR="00955BA1" w:rsidRPr="00761AC0">
        <w:rPr>
          <w:rFonts w:cstheme="minorHAnsi"/>
          <w:lang w:val="en-US"/>
        </w:rPr>
        <w:t>metastasising</w:t>
      </w:r>
      <w:proofErr w:type="spellEnd"/>
      <w:r w:rsidR="00955BA1" w:rsidRPr="00761AC0">
        <w:rPr>
          <w:rFonts w:cstheme="minorHAnsi"/>
          <w:lang w:val="en-US"/>
        </w:rPr>
        <w:t xml:space="preserve"> primary </w:t>
      </w:r>
      <w:proofErr w:type="spellStart"/>
      <w:r w:rsidR="00955BA1" w:rsidRPr="00761AC0">
        <w:rPr>
          <w:rFonts w:cstheme="minorHAnsi"/>
          <w:lang w:val="en-US"/>
        </w:rPr>
        <w:t>cSCC</w:t>
      </w:r>
      <w:proofErr w:type="spellEnd"/>
      <w:r w:rsidR="00955BA1" w:rsidRPr="00761AC0">
        <w:rPr>
          <w:rFonts w:cstheme="minorHAnsi"/>
          <w:lang w:val="en-US"/>
        </w:rPr>
        <w:t>.</w:t>
      </w:r>
      <w:r w:rsidR="006613FB">
        <w:rPr>
          <w:rFonts w:cstheme="minorHAnsi"/>
          <w:lang w:val="en-US"/>
        </w:rPr>
        <w:t xml:space="preserve"> The higher</w:t>
      </w:r>
      <w:r w:rsidR="001161C7">
        <w:rPr>
          <w:rFonts w:cstheme="minorHAnsi"/>
          <w:lang w:val="en-US"/>
        </w:rPr>
        <w:t xml:space="preserve"> the score</w:t>
      </w:r>
      <w:r w:rsidR="006613FB">
        <w:rPr>
          <w:rFonts w:cstheme="minorHAnsi"/>
          <w:lang w:val="en-US"/>
        </w:rPr>
        <w:t>, the more upregulated.</w:t>
      </w:r>
    </w:p>
    <w:p w14:paraId="1CE450E7" w14:textId="205C6DE4" w:rsidR="00F93034" w:rsidRDefault="00F93034" w:rsidP="00EB3F1C">
      <w:pPr>
        <w:spacing w:line="276" w:lineRule="auto"/>
        <w:jc w:val="both"/>
        <w:rPr>
          <w:lang w:val="en-US"/>
        </w:rPr>
      </w:pPr>
    </w:p>
    <w:p w14:paraId="5425E437" w14:textId="77777777" w:rsidR="00607084" w:rsidRDefault="00607084" w:rsidP="00EB3F1C">
      <w:pPr>
        <w:spacing w:line="276" w:lineRule="auto"/>
        <w:jc w:val="both"/>
        <w:rPr>
          <w:rFonts w:cstheme="minorHAnsi"/>
          <w:b/>
          <w:bCs/>
          <w:lang w:val="en-US"/>
        </w:rPr>
      </w:pPr>
    </w:p>
    <w:p w14:paraId="3A8486C3" w14:textId="77777777" w:rsidR="00607084" w:rsidRDefault="00607084" w:rsidP="00EB3F1C">
      <w:pPr>
        <w:spacing w:line="276" w:lineRule="auto"/>
        <w:jc w:val="both"/>
        <w:rPr>
          <w:rFonts w:cstheme="minorHAnsi"/>
          <w:b/>
          <w:bCs/>
          <w:lang w:val="en-US"/>
        </w:rPr>
      </w:pPr>
    </w:p>
    <w:p w14:paraId="7E88BA7C" w14:textId="2D924CBC" w:rsidR="007E7A99" w:rsidRPr="007C39D6" w:rsidRDefault="003B0307" w:rsidP="00EB3F1C">
      <w:pPr>
        <w:spacing w:line="276" w:lineRule="auto"/>
        <w:jc w:val="both"/>
        <w:rPr>
          <w:rFonts w:cstheme="minorHAnsi"/>
          <w:lang w:val="en-US"/>
        </w:rPr>
      </w:pPr>
      <w:r w:rsidRPr="00545BF2">
        <w:rPr>
          <w:rFonts w:cstheme="minorHAnsi"/>
          <w:b/>
          <w:bCs/>
          <w:lang w:val="en-US"/>
        </w:rPr>
        <w:lastRenderedPageBreak/>
        <w:t xml:space="preserve">Supplemental Table </w:t>
      </w:r>
      <w:r w:rsidR="00A21A76">
        <w:rPr>
          <w:rFonts w:cstheme="minorHAnsi"/>
          <w:b/>
          <w:bCs/>
          <w:lang w:val="en-US"/>
        </w:rPr>
        <w:t>III</w:t>
      </w:r>
      <w:r w:rsidR="00AC18A2" w:rsidRPr="00545BF2">
        <w:rPr>
          <w:rFonts w:cstheme="minorHAnsi"/>
          <w:b/>
          <w:bCs/>
          <w:lang w:val="en-US"/>
        </w:rPr>
        <w:t xml:space="preserve">. </w:t>
      </w:r>
      <w:r w:rsidR="00B72B4B" w:rsidRPr="007C39D6">
        <w:rPr>
          <w:rFonts w:cstheme="minorHAnsi"/>
          <w:lang w:val="en-US"/>
        </w:rPr>
        <w:t xml:space="preserve">A </w:t>
      </w:r>
      <w:r w:rsidR="007E10DB" w:rsidRPr="007C39D6">
        <w:rPr>
          <w:rFonts w:cstheme="minorHAnsi"/>
          <w:lang w:val="en-US"/>
        </w:rPr>
        <w:t>20-</w:t>
      </w:r>
      <w:r w:rsidR="00B72B4B" w:rsidRPr="007C39D6">
        <w:rPr>
          <w:rFonts w:cstheme="minorHAnsi"/>
          <w:lang w:val="en-US"/>
        </w:rPr>
        <w:t xml:space="preserve">gene GEP signature derived from the </w:t>
      </w:r>
      <w:r w:rsidR="00D67611" w:rsidRPr="007C39D6">
        <w:rPr>
          <w:rFonts w:cstheme="minorHAnsi"/>
          <w:lang w:val="en-US"/>
        </w:rPr>
        <w:t>KNN</w:t>
      </w:r>
      <w:r w:rsidR="00B72B4B" w:rsidRPr="007C39D6">
        <w:rPr>
          <w:rFonts w:cstheme="minorHAnsi"/>
          <w:lang w:val="en-US"/>
        </w:rPr>
        <w:t xml:space="preserve"> model</w:t>
      </w:r>
      <w:r w:rsidR="001114BC">
        <w:rPr>
          <w:rFonts w:cstheme="minorHAnsi"/>
          <w:lang w:val="en-US"/>
        </w:rPr>
        <w:t>.</w:t>
      </w:r>
    </w:p>
    <w:p w14:paraId="0234F9F7" w14:textId="3739260D" w:rsidR="00B72B4B" w:rsidRDefault="00B72B4B" w:rsidP="00EB3F1C">
      <w:pPr>
        <w:spacing w:line="276" w:lineRule="auto"/>
        <w:jc w:val="both"/>
        <w:rPr>
          <w:rFonts w:cstheme="minorHAnsi"/>
          <w:lang w:val="en-US"/>
        </w:rPr>
      </w:pPr>
    </w:p>
    <w:tbl>
      <w:tblPr>
        <w:tblStyle w:val="TableGrid"/>
        <w:tblW w:w="9864" w:type="dxa"/>
        <w:tblInd w:w="-572" w:type="dxa"/>
        <w:tblLook w:val="04A0" w:firstRow="1" w:lastRow="0" w:firstColumn="1" w:lastColumn="0" w:noHBand="0" w:noVBand="1"/>
      </w:tblPr>
      <w:tblGrid>
        <w:gridCol w:w="1134"/>
        <w:gridCol w:w="5103"/>
        <w:gridCol w:w="1206"/>
        <w:gridCol w:w="1167"/>
        <w:gridCol w:w="1254"/>
      </w:tblGrid>
      <w:tr w:rsidR="003322A3" w14:paraId="69B8EBDA" w14:textId="77777777" w:rsidTr="00052750">
        <w:trPr>
          <w:trHeight w:val="888"/>
        </w:trPr>
        <w:tc>
          <w:tcPr>
            <w:tcW w:w="1134" w:type="dxa"/>
          </w:tcPr>
          <w:p w14:paraId="25270477" w14:textId="1CDEA634" w:rsidR="00286281" w:rsidRDefault="00DD341A" w:rsidP="0005275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Gene </w:t>
            </w:r>
            <w:r w:rsidR="006669E9">
              <w:rPr>
                <w:rFonts w:cstheme="minorHAnsi"/>
                <w:lang w:val="en-US"/>
              </w:rPr>
              <w:t>Symbol</w:t>
            </w:r>
          </w:p>
        </w:tc>
        <w:tc>
          <w:tcPr>
            <w:tcW w:w="5103" w:type="dxa"/>
          </w:tcPr>
          <w:p w14:paraId="64E305EC" w14:textId="0D08577E" w:rsidR="00286281" w:rsidRDefault="00DD341A" w:rsidP="0005275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Description</w:t>
            </w:r>
          </w:p>
        </w:tc>
        <w:tc>
          <w:tcPr>
            <w:tcW w:w="1206" w:type="dxa"/>
          </w:tcPr>
          <w:p w14:paraId="74670D84" w14:textId="1C7CC951" w:rsidR="00286281" w:rsidRDefault="00A63418" w:rsidP="0005275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Log2 fold change</w:t>
            </w:r>
            <w:r w:rsidR="0099264A">
              <w:rPr>
                <w:rFonts w:cstheme="minorHAnsi"/>
                <w:lang w:val="en-US"/>
              </w:rPr>
              <w:t>*</w:t>
            </w:r>
          </w:p>
        </w:tc>
        <w:tc>
          <w:tcPr>
            <w:tcW w:w="1167" w:type="dxa"/>
          </w:tcPr>
          <w:p w14:paraId="307E788A" w14:textId="1581643D" w:rsidR="00286281" w:rsidRDefault="0022155B" w:rsidP="0005275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 value</w:t>
            </w:r>
          </w:p>
        </w:tc>
        <w:tc>
          <w:tcPr>
            <w:tcW w:w="1254" w:type="dxa"/>
          </w:tcPr>
          <w:p w14:paraId="7EE31C12" w14:textId="68B987C9" w:rsidR="00286281" w:rsidRDefault="00964E29" w:rsidP="00052750">
            <w:pPr>
              <w:spacing w:line="27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A</w:t>
            </w:r>
            <w:r w:rsidR="00824F4F">
              <w:rPr>
                <w:rFonts w:cstheme="minorHAnsi"/>
                <w:lang w:val="en-US"/>
              </w:rPr>
              <w:t>djust</w:t>
            </w:r>
            <w:r>
              <w:rPr>
                <w:rFonts w:cstheme="minorHAnsi"/>
                <w:lang w:val="en-US"/>
              </w:rPr>
              <w:t>ed p-value</w:t>
            </w:r>
          </w:p>
        </w:tc>
      </w:tr>
      <w:tr w:rsidR="003322A3" w14:paraId="0F2B69CB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763CFA36" w14:textId="21368EFB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STMN1</w:t>
            </w:r>
          </w:p>
        </w:tc>
        <w:tc>
          <w:tcPr>
            <w:tcW w:w="5103" w:type="dxa"/>
            <w:vAlign w:val="center"/>
          </w:tcPr>
          <w:p w14:paraId="1C57D8AA" w14:textId="36037CFC" w:rsidR="00955D7E" w:rsidRPr="007A07A7" w:rsidRDefault="00BB74F8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7A07A7">
              <w:rPr>
                <w:rFonts w:cstheme="minorHAnsi"/>
                <w:sz w:val="22"/>
                <w:szCs w:val="22"/>
                <w:lang w:val="en-US"/>
              </w:rPr>
              <w:t>stathmin</w:t>
            </w:r>
            <w:proofErr w:type="spellEnd"/>
            <w:r w:rsidRPr="007A07A7">
              <w:rPr>
                <w:rFonts w:cstheme="minorHAnsi"/>
                <w:sz w:val="22"/>
                <w:szCs w:val="22"/>
                <w:lang w:val="en-US"/>
              </w:rPr>
              <w:t xml:space="preserve"> 1</w:t>
            </w:r>
          </w:p>
        </w:tc>
        <w:tc>
          <w:tcPr>
            <w:tcW w:w="1206" w:type="dxa"/>
            <w:vAlign w:val="center"/>
          </w:tcPr>
          <w:p w14:paraId="711FACB9" w14:textId="1463B90D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1.447</w:t>
            </w:r>
          </w:p>
        </w:tc>
        <w:tc>
          <w:tcPr>
            <w:tcW w:w="1167" w:type="dxa"/>
            <w:vAlign w:val="center"/>
          </w:tcPr>
          <w:p w14:paraId="67323389" w14:textId="547C5B75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1.41E-10</w:t>
            </w:r>
          </w:p>
        </w:tc>
        <w:tc>
          <w:tcPr>
            <w:tcW w:w="1254" w:type="dxa"/>
            <w:vAlign w:val="center"/>
          </w:tcPr>
          <w:p w14:paraId="0BEFF234" w14:textId="3CDACB47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1.62E-08</w:t>
            </w:r>
          </w:p>
        </w:tc>
      </w:tr>
      <w:tr w:rsidR="003322A3" w14:paraId="2F3CDC5D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0F864D5E" w14:textId="4517E649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CALML3</w:t>
            </w:r>
          </w:p>
        </w:tc>
        <w:tc>
          <w:tcPr>
            <w:tcW w:w="5103" w:type="dxa"/>
            <w:vAlign w:val="center"/>
          </w:tcPr>
          <w:p w14:paraId="2E52C09A" w14:textId="47489566" w:rsidR="00955D7E" w:rsidRPr="007A07A7" w:rsidRDefault="00BB74F8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calmodulin-like 3</w:t>
            </w:r>
          </w:p>
        </w:tc>
        <w:tc>
          <w:tcPr>
            <w:tcW w:w="1206" w:type="dxa"/>
            <w:vAlign w:val="center"/>
          </w:tcPr>
          <w:p w14:paraId="37B3A94A" w14:textId="461CB77E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-2.07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7" w:type="dxa"/>
            <w:vAlign w:val="center"/>
          </w:tcPr>
          <w:p w14:paraId="02725174" w14:textId="1779E95D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3.3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E-19</w:t>
            </w:r>
          </w:p>
        </w:tc>
        <w:tc>
          <w:tcPr>
            <w:tcW w:w="1254" w:type="dxa"/>
            <w:vAlign w:val="center"/>
          </w:tcPr>
          <w:p w14:paraId="76AB933F" w14:textId="6849090D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1.61E-15</w:t>
            </w:r>
          </w:p>
        </w:tc>
      </w:tr>
      <w:tr w:rsidR="003322A3" w14:paraId="52F11A7B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4CDEABBC" w14:textId="40EA53B7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CDSN</w:t>
            </w:r>
          </w:p>
        </w:tc>
        <w:tc>
          <w:tcPr>
            <w:tcW w:w="5103" w:type="dxa"/>
            <w:vAlign w:val="center"/>
          </w:tcPr>
          <w:p w14:paraId="156F1DDF" w14:textId="5C1AD941" w:rsidR="00955D7E" w:rsidRPr="007A07A7" w:rsidRDefault="00F1288D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7A07A7">
              <w:rPr>
                <w:rFonts w:cstheme="minorHAnsi"/>
                <w:sz w:val="22"/>
                <w:szCs w:val="22"/>
                <w:lang w:val="en-US"/>
              </w:rPr>
              <w:t>corneodesmosin</w:t>
            </w:r>
            <w:proofErr w:type="spellEnd"/>
          </w:p>
        </w:tc>
        <w:tc>
          <w:tcPr>
            <w:tcW w:w="1206" w:type="dxa"/>
            <w:vAlign w:val="center"/>
          </w:tcPr>
          <w:p w14:paraId="62D9ADEE" w14:textId="71C99116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-3.02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7" w:type="dxa"/>
            <w:vAlign w:val="center"/>
          </w:tcPr>
          <w:p w14:paraId="53F26CF6" w14:textId="7F0DFD2C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5.0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E-18</w:t>
            </w:r>
          </w:p>
        </w:tc>
        <w:tc>
          <w:tcPr>
            <w:tcW w:w="1254" w:type="dxa"/>
            <w:vAlign w:val="center"/>
          </w:tcPr>
          <w:p w14:paraId="164AE99E" w14:textId="5A2FB4D2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1.06E-14</w:t>
            </w:r>
          </w:p>
        </w:tc>
      </w:tr>
      <w:tr w:rsidR="003322A3" w14:paraId="5ECD0598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0691B07C" w14:textId="789A5B1C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FAM25C</w:t>
            </w:r>
          </w:p>
        </w:tc>
        <w:tc>
          <w:tcPr>
            <w:tcW w:w="5103" w:type="dxa"/>
            <w:vAlign w:val="center"/>
          </w:tcPr>
          <w:p w14:paraId="1E2C49AF" w14:textId="1AEB5437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f</w:t>
            </w:r>
            <w:r w:rsidR="00F1288D" w:rsidRPr="007A07A7">
              <w:rPr>
                <w:rFonts w:cstheme="minorHAnsi"/>
                <w:sz w:val="22"/>
                <w:szCs w:val="22"/>
                <w:lang w:val="en-US"/>
              </w:rPr>
              <w:t xml:space="preserve">amily </w:t>
            </w:r>
            <w:r w:rsidRPr="007A07A7">
              <w:rPr>
                <w:rFonts w:cstheme="minorHAnsi"/>
                <w:sz w:val="22"/>
                <w:szCs w:val="22"/>
                <w:lang w:val="en-US"/>
              </w:rPr>
              <w:t>w</w:t>
            </w:r>
            <w:r w:rsidR="00F1288D" w:rsidRPr="007A07A7">
              <w:rPr>
                <w:rFonts w:cstheme="minorHAnsi"/>
                <w:sz w:val="22"/>
                <w:szCs w:val="22"/>
                <w:lang w:val="en-US"/>
              </w:rPr>
              <w:t xml:space="preserve">ith </w:t>
            </w:r>
            <w:r w:rsidRPr="007A07A7">
              <w:rPr>
                <w:rFonts w:cstheme="minorHAnsi"/>
                <w:sz w:val="22"/>
                <w:szCs w:val="22"/>
                <w:lang w:val="en-US"/>
              </w:rPr>
              <w:t>s</w:t>
            </w:r>
            <w:r w:rsidR="00F1288D" w:rsidRPr="007A07A7">
              <w:rPr>
                <w:rFonts w:cstheme="minorHAnsi"/>
                <w:sz w:val="22"/>
                <w:szCs w:val="22"/>
                <w:lang w:val="en-US"/>
              </w:rPr>
              <w:t xml:space="preserve">equence </w:t>
            </w:r>
            <w:r w:rsidRPr="007A07A7">
              <w:rPr>
                <w:rFonts w:cstheme="minorHAnsi"/>
                <w:sz w:val="22"/>
                <w:szCs w:val="22"/>
                <w:lang w:val="en-US"/>
              </w:rPr>
              <w:t>s</w:t>
            </w:r>
            <w:r w:rsidR="00F1288D" w:rsidRPr="007A07A7">
              <w:rPr>
                <w:rFonts w:cstheme="minorHAnsi"/>
                <w:sz w:val="22"/>
                <w:szCs w:val="22"/>
                <w:lang w:val="en-US"/>
              </w:rPr>
              <w:t xml:space="preserve">imilarity 25 </w:t>
            </w:r>
            <w:r w:rsidRPr="007A07A7">
              <w:rPr>
                <w:rFonts w:cstheme="minorHAnsi"/>
                <w:sz w:val="22"/>
                <w:szCs w:val="22"/>
                <w:lang w:val="en-US"/>
              </w:rPr>
              <w:t>m</w:t>
            </w:r>
            <w:r w:rsidR="00F1288D" w:rsidRPr="007A07A7">
              <w:rPr>
                <w:rFonts w:cstheme="minorHAnsi"/>
                <w:sz w:val="22"/>
                <w:szCs w:val="22"/>
                <w:lang w:val="en-US"/>
              </w:rPr>
              <w:t>ember C</w:t>
            </w:r>
          </w:p>
        </w:tc>
        <w:tc>
          <w:tcPr>
            <w:tcW w:w="1206" w:type="dxa"/>
            <w:vAlign w:val="center"/>
          </w:tcPr>
          <w:p w14:paraId="241380BD" w14:textId="31080B61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-2.89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67" w:type="dxa"/>
            <w:vAlign w:val="center"/>
          </w:tcPr>
          <w:p w14:paraId="1B3E950D" w14:textId="6189BA26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2.1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E-19</w:t>
            </w:r>
          </w:p>
        </w:tc>
        <w:tc>
          <w:tcPr>
            <w:tcW w:w="1254" w:type="dxa"/>
            <w:vAlign w:val="center"/>
          </w:tcPr>
          <w:p w14:paraId="4AE8C4A7" w14:textId="3B2F381E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E-15</w:t>
            </w:r>
          </w:p>
        </w:tc>
      </w:tr>
      <w:tr w:rsidR="003322A3" w14:paraId="2784EA9C" w14:textId="77777777" w:rsidTr="003322A3">
        <w:trPr>
          <w:trHeight w:val="267"/>
        </w:trPr>
        <w:tc>
          <w:tcPr>
            <w:tcW w:w="1134" w:type="dxa"/>
            <w:vAlign w:val="center"/>
          </w:tcPr>
          <w:p w14:paraId="7A5C8AA2" w14:textId="54A633E3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SPNS2</w:t>
            </w:r>
          </w:p>
        </w:tc>
        <w:tc>
          <w:tcPr>
            <w:tcW w:w="5103" w:type="dxa"/>
            <w:vAlign w:val="center"/>
          </w:tcPr>
          <w:p w14:paraId="4B3F50B4" w14:textId="6B4BF646" w:rsidR="00955D7E" w:rsidRPr="007A07A7" w:rsidRDefault="00F1288D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SPNS lysolipid transporter 2, sphingosine-1-phosphate</w:t>
            </w:r>
          </w:p>
        </w:tc>
        <w:tc>
          <w:tcPr>
            <w:tcW w:w="1206" w:type="dxa"/>
            <w:vAlign w:val="center"/>
          </w:tcPr>
          <w:p w14:paraId="5707D9F0" w14:textId="2680E955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-1.69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14:paraId="6340B024" w14:textId="496380D8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2.3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E-20</w:t>
            </w:r>
          </w:p>
        </w:tc>
        <w:tc>
          <w:tcPr>
            <w:tcW w:w="1254" w:type="dxa"/>
            <w:vAlign w:val="center"/>
          </w:tcPr>
          <w:p w14:paraId="43B23AC2" w14:textId="2002538F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2.24E-16</w:t>
            </w:r>
          </w:p>
        </w:tc>
      </w:tr>
      <w:tr w:rsidR="003322A3" w14:paraId="50354588" w14:textId="77777777" w:rsidTr="003322A3">
        <w:trPr>
          <w:trHeight w:val="321"/>
        </w:trPr>
        <w:tc>
          <w:tcPr>
            <w:tcW w:w="1134" w:type="dxa"/>
            <w:vAlign w:val="center"/>
          </w:tcPr>
          <w:p w14:paraId="31293D1D" w14:textId="072168E7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LCE3C</w:t>
            </w:r>
          </w:p>
        </w:tc>
        <w:tc>
          <w:tcPr>
            <w:tcW w:w="5103" w:type="dxa"/>
            <w:vAlign w:val="center"/>
          </w:tcPr>
          <w:p w14:paraId="161A3E3B" w14:textId="228C470F" w:rsidR="00955D7E" w:rsidRPr="007A07A7" w:rsidRDefault="00F1288D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late cornified envelope 3C</w:t>
            </w:r>
          </w:p>
        </w:tc>
        <w:tc>
          <w:tcPr>
            <w:tcW w:w="1206" w:type="dxa"/>
            <w:vAlign w:val="center"/>
          </w:tcPr>
          <w:p w14:paraId="07D215DC" w14:textId="3A841E46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-3.453</w:t>
            </w:r>
          </w:p>
        </w:tc>
        <w:tc>
          <w:tcPr>
            <w:tcW w:w="1167" w:type="dxa"/>
            <w:vAlign w:val="center"/>
          </w:tcPr>
          <w:p w14:paraId="219D43C8" w14:textId="5EFA9DFD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2.80E-21</w:t>
            </w:r>
          </w:p>
        </w:tc>
        <w:tc>
          <w:tcPr>
            <w:tcW w:w="1254" w:type="dxa"/>
            <w:vAlign w:val="center"/>
          </w:tcPr>
          <w:p w14:paraId="293E259A" w14:textId="11EDB037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5.34E-17</w:t>
            </w:r>
          </w:p>
        </w:tc>
      </w:tr>
      <w:tr w:rsidR="003322A3" w14:paraId="4228A5E6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26B96247" w14:textId="27C22CCD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TREX2</w:t>
            </w:r>
          </w:p>
        </w:tc>
        <w:tc>
          <w:tcPr>
            <w:tcW w:w="5103" w:type="dxa"/>
            <w:vAlign w:val="center"/>
          </w:tcPr>
          <w:p w14:paraId="30FBF88A" w14:textId="54FC9EEA" w:rsidR="00955D7E" w:rsidRPr="007A07A7" w:rsidRDefault="00F1288D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three prime repair exonuclease 2</w:t>
            </w:r>
          </w:p>
        </w:tc>
        <w:tc>
          <w:tcPr>
            <w:tcW w:w="1206" w:type="dxa"/>
            <w:vAlign w:val="center"/>
          </w:tcPr>
          <w:p w14:paraId="4D7A8931" w14:textId="43EDB950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-1.90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7" w:type="dxa"/>
            <w:vAlign w:val="center"/>
          </w:tcPr>
          <w:p w14:paraId="70EE0C71" w14:textId="709CC3A9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9.6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E-17</w:t>
            </w:r>
          </w:p>
        </w:tc>
        <w:tc>
          <w:tcPr>
            <w:tcW w:w="1254" w:type="dxa"/>
            <w:vAlign w:val="center"/>
          </w:tcPr>
          <w:p w14:paraId="77603D9D" w14:textId="54D8638E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1.0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E-13</w:t>
            </w:r>
          </w:p>
        </w:tc>
      </w:tr>
      <w:tr w:rsidR="003322A3" w14:paraId="4632E0AA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60034C7B" w14:textId="5F3D87DE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LCE2B</w:t>
            </w:r>
          </w:p>
        </w:tc>
        <w:tc>
          <w:tcPr>
            <w:tcW w:w="5103" w:type="dxa"/>
            <w:vAlign w:val="center"/>
          </w:tcPr>
          <w:p w14:paraId="799A0663" w14:textId="2A05AAB8" w:rsidR="00955D7E" w:rsidRPr="007A07A7" w:rsidRDefault="00F1288D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late cornified envelope 2B</w:t>
            </w:r>
          </w:p>
        </w:tc>
        <w:tc>
          <w:tcPr>
            <w:tcW w:w="1206" w:type="dxa"/>
            <w:vAlign w:val="center"/>
          </w:tcPr>
          <w:p w14:paraId="24F3FFE6" w14:textId="11EB0683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-3.742</w:t>
            </w:r>
          </w:p>
        </w:tc>
        <w:tc>
          <w:tcPr>
            <w:tcW w:w="1167" w:type="dxa"/>
            <w:vAlign w:val="center"/>
          </w:tcPr>
          <w:p w14:paraId="3FACDED1" w14:textId="553E9074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1.28E-18</w:t>
            </w:r>
          </w:p>
        </w:tc>
        <w:tc>
          <w:tcPr>
            <w:tcW w:w="1254" w:type="dxa"/>
            <w:vAlign w:val="center"/>
          </w:tcPr>
          <w:p w14:paraId="65ECBD9B" w14:textId="04F3565E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4.89E-15</w:t>
            </w:r>
          </w:p>
        </w:tc>
      </w:tr>
      <w:tr w:rsidR="003322A3" w14:paraId="0E2CFDF4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28E1AF2E" w14:textId="56922FDB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HAL</w:t>
            </w:r>
          </w:p>
        </w:tc>
        <w:tc>
          <w:tcPr>
            <w:tcW w:w="5103" w:type="dxa"/>
            <w:vAlign w:val="center"/>
          </w:tcPr>
          <w:p w14:paraId="750A2DE2" w14:textId="4A3D01E1" w:rsidR="00955D7E" w:rsidRPr="007A07A7" w:rsidRDefault="00F1288D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histidine ammonia-lyase</w:t>
            </w:r>
          </w:p>
        </w:tc>
        <w:tc>
          <w:tcPr>
            <w:tcW w:w="1206" w:type="dxa"/>
            <w:vAlign w:val="center"/>
          </w:tcPr>
          <w:p w14:paraId="228F1D75" w14:textId="006577E8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-2.787</w:t>
            </w:r>
          </w:p>
        </w:tc>
        <w:tc>
          <w:tcPr>
            <w:tcW w:w="1167" w:type="dxa"/>
            <w:vAlign w:val="center"/>
          </w:tcPr>
          <w:p w14:paraId="6769C9C6" w14:textId="3C8FB5E6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2.55E-18</w:t>
            </w:r>
          </w:p>
        </w:tc>
        <w:tc>
          <w:tcPr>
            <w:tcW w:w="1254" w:type="dxa"/>
            <w:vAlign w:val="center"/>
          </w:tcPr>
          <w:p w14:paraId="606E9A94" w14:textId="4E273AFB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6.65E-15</w:t>
            </w:r>
          </w:p>
        </w:tc>
      </w:tr>
      <w:tr w:rsidR="003322A3" w14:paraId="3091F149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6F17397A" w14:textId="4142C717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CYP4F22</w:t>
            </w:r>
          </w:p>
        </w:tc>
        <w:tc>
          <w:tcPr>
            <w:tcW w:w="5103" w:type="dxa"/>
            <w:vAlign w:val="center"/>
          </w:tcPr>
          <w:p w14:paraId="6904F43B" w14:textId="3A430FCF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cytochrome P450 family 4 subfamily F member 22</w:t>
            </w:r>
          </w:p>
        </w:tc>
        <w:tc>
          <w:tcPr>
            <w:tcW w:w="1206" w:type="dxa"/>
            <w:vAlign w:val="center"/>
          </w:tcPr>
          <w:p w14:paraId="7E1A5F76" w14:textId="06FF6085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-2.59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67" w:type="dxa"/>
            <w:vAlign w:val="center"/>
          </w:tcPr>
          <w:p w14:paraId="54CD1E83" w14:textId="0F1ED3E5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1.07E-16</w:t>
            </w:r>
          </w:p>
        </w:tc>
        <w:tc>
          <w:tcPr>
            <w:tcW w:w="1254" w:type="dxa"/>
            <w:vAlign w:val="center"/>
          </w:tcPr>
          <w:p w14:paraId="5C18701D" w14:textId="79AC12F3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1.13E-13</w:t>
            </w:r>
          </w:p>
        </w:tc>
      </w:tr>
      <w:tr w:rsidR="003322A3" w14:paraId="3B01825C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69E254CF" w14:textId="39DC91BA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FAM25E</w:t>
            </w:r>
          </w:p>
        </w:tc>
        <w:tc>
          <w:tcPr>
            <w:tcW w:w="5103" w:type="dxa"/>
            <w:vAlign w:val="center"/>
          </w:tcPr>
          <w:p w14:paraId="2ADC7A7E" w14:textId="1B672730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family with sequence similarity 25 member E</w:t>
            </w:r>
          </w:p>
        </w:tc>
        <w:tc>
          <w:tcPr>
            <w:tcW w:w="1206" w:type="dxa"/>
            <w:vAlign w:val="center"/>
          </w:tcPr>
          <w:p w14:paraId="6753FFD3" w14:textId="741AB3C3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-2.93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14:paraId="1C8A2981" w14:textId="748BD806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E-14</w:t>
            </w:r>
          </w:p>
        </w:tc>
        <w:tc>
          <w:tcPr>
            <w:tcW w:w="1254" w:type="dxa"/>
            <w:vAlign w:val="center"/>
          </w:tcPr>
          <w:p w14:paraId="7B670A42" w14:textId="26694F47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7.71E-12</w:t>
            </w:r>
          </w:p>
        </w:tc>
      </w:tr>
      <w:tr w:rsidR="003322A3" w14:paraId="04C23ADD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43F2CAFA" w14:textId="5DCF5446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LCE1C</w:t>
            </w:r>
          </w:p>
        </w:tc>
        <w:tc>
          <w:tcPr>
            <w:tcW w:w="5103" w:type="dxa"/>
            <w:vAlign w:val="center"/>
          </w:tcPr>
          <w:p w14:paraId="5461C491" w14:textId="1CE4AF00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late cornified envelope 1C</w:t>
            </w:r>
          </w:p>
        </w:tc>
        <w:tc>
          <w:tcPr>
            <w:tcW w:w="1206" w:type="dxa"/>
            <w:vAlign w:val="center"/>
          </w:tcPr>
          <w:p w14:paraId="45BED028" w14:textId="3FBAEDFA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-3.00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67" w:type="dxa"/>
            <w:vAlign w:val="center"/>
          </w:tcPr>
          <w:p w14:paraId="4444746F" w14:textId="161298DB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1.74E-14</w:t>
            </w:r>
          </w:p>
        </w:tc>
        <w:tc>
          <w:tcPr>
            <w:tcW w:w="1254" w:type="dxa"/>
            <w:vAlign w:val="center"/>
          </w:tcPr>
          <w:p w14:paraId="1133A15E" w14:textId="3C87C744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7.7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E-12</w:t>
            </w:r>
          </w:p>
        </w:tc>
      </w:tr>
      <w:tr w:rsidR="003322A3" w14:paraId="3194159F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2A58EE1A" w14:textId="75E0FB1C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FAM25G</w:t>
            </w:r>
          </w:p>
        </w:tc>
        <w:tc>
          <w:tcPr>
            <w:tcW w:w="5103" w:type="dxa"/>
            <w:vAlign w:val="center"/>
          </w:tcPr>
          <w:p w14:paraId="30B32FAA" w14:textId="3DFAA586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family with sequence similarity 25 member G</w:t>
            </w:r>
          </w:p>
        </w:tc>
        <w:tc>
          <w:tcPr>
            <w:tcW w:w="1206" w:type="dxa"/>
            <w:vAlign w:val="center"/>
          </w:tcPr>
          <w:p w14:paraId="65386CE4" w14:textId="50EAD700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-3.14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7" w:type="dxa"/>
            <w:vAlign w:val="center"/>
          </w:tcPr>
          <w:p w14:paraId="40B64264" w14:textId="537BC56C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1.52E-17</w:t>
            </w:r>
          </w:p>
        </w:tc>
        <w:tc>
          <w:tcPr>
            <w:tcW w:w="1254" w:type="dxa"/>
            <w:vAlign w:val="center"/>
          </w:tcPr>
          <w:p w14:paraId="2B1DCED2" w14:textId="5B0555D4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2.5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E-14</w:t>
            </w:r>
          </w:p>
        </w:tc>
      </w:tr>
      <w:tr w:rsidR="003322A3" w14:paraId="48055D64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190E4B9B" w14:textId="530E60C6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MDK</w:t>
            </w:r>
          </w:p>
        </w:tc>
        <w:tc>
          <w:tcPr>
            <w:tcW w:w="5103" w:type="dxa"/>
            <w:vAlign w:val="center"/>
          </w:tcPr>
          <w:p w14:paraId="547740CA" w14:textId="266821B8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proofErr w:type="spellStart"/>
            <w:r w:rsidRPr="007A07A7">
              <w:rPr>
                <w:rFonts w:cstheme="minorHAnsi"/>
                <w:sz w:val="22"/>
                <w:szCs w:val="22"/>
                <w:lang w:val="en-US"/>
              </w:rPr>
              <w:t>midkine</w:t>
            </w:r>
            <w:proofErr w:type="spellEnd"/>
          </w:p>
        </w:tc>
        <w:tc>
          <w:tcPr>
            <w:tcW w:w="1206" w:type="dxa"/>
            <w:vAlign w:val="center"/>
          </w:tcPr>
          <w:p w14:paraId="7DFD6A28" w14:textId="5C46EA80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1.316</w:t>
            </w:r>
          </w:p>
        </w:tc>
        <w:tc>
          <w:tcPr>
            <w:tcW w:w="1167" w:type="dxa"/>
            <w:vAlign w:val="center"/>
          </w:tcPr>
          <w:p w14:paraId="7DDE8C7E" w14:textId="6E9F1275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1.3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E-14</w:t>
            </w:r>
          </w:p>
        </w:tc>
        <w:tc>
          <w:tcPr>
            <w:tcW w:w="1254" w:type="dxa"/>
            <w:vAlign w:val="center"/>
          </w:tcPr>
          <w:p w14:paraId="5DC0C9AA" w14:textId="47C5A82D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6.45E-12</w:t>
            </w:r>
          </w:p>
        </w:tc>
      </w:tr>
      <w:tr w:rsidR="003322A3" w14:paraId="038BC3D6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4504E905" w14:textId="69A372A7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ASPRV1</w:t>
            </w:r>
          </w:p>
        </w:tc>
        <w:tc>
          <w:tcPr>
            <w:tcW w:w="5103" w:type="dxa"/>
            <w:vAlign w:val="center"/>
          </w:tcPr>
          <w:p w14:paraId="686C2DCB" w14:textId="1FB70931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aspartic peptidase retroviral like 1</w:t>
            </w:r>
          </w:p>
        </w:tc>
        <w:tc>
          <w:tcPr>
            <w:tcW w:w="1206" w:type="dxa"/>
            <w:vAlign w:val="center"/>
          </w:tcPr>
          <w:p w14:paraId="1925C1CE" w14:textId="1B793BFD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-2.65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14:paraId="5888B561" w14:textId="59C7622C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5.0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E-17</w:t>
            </w:r>
          </w:p>
        </w:tc>
        <w:tc>
          <w:tcPr>
            <w:tcW w:w="1254" w:type="dxa"/>
            <w:vAlign w:val="center"/>
          </w:tcPr>
          <w:p w14:paraId="0FA33743" w14:textId="3F9A0D01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6.97E-14</w:t>
            </w:r>
          </w:p>
        </w:tc>
      </w:tr>
      <w:tr w:rsidR="003322A3" w14:paraId="48213B5C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23E48897" w14:textId="3E7271FF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PLA2G4F</w:t>
            </w:r>
          </w:p>
        </w:tc>
        <w:tc>
          <w:tcPr>
            <w:tcW w:w="5103" w:type="dxa"/>
            <w:vAlign w:val="center"/>
          </w:tcPr>
          <w:p w14:paraId="1158C3E7" w14:textId="66FF8CBC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phospholipase A2 group IVF</w:t>
            </w:r>
          </w:p>
        </w:tc>
        <w:tc>
          <w:tcPr>
            <w:tcW w:w="1206" w:type="dxa"/>
            <w:vAlign w:val="center"/>
          </w:tcPr>
          <w:p w14:paraId="15602D7E" w14:textId="170C8954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-2.06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14:paraId="25BDF392" w14:textId="0CDDF2A4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4.29E-16</w:t>
            </w:r>
          </w:p>
        </w:tc>
        <w:tc>
          <w:tcPr>
            <w:tcW w:w="1254" w:type="dxa"/>
            <w:vAlign w:val="center"/>
          </w:tcPr>
          <w:p w14:paraId="0335F5BE" w14:textId="19C9BB2E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3.1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E-13</w:t>
            </w:r>
          </w:p>
        </w:tc>
      </w:tr>
      <w:tr w:rsidR="003322A3" w14:paraId="34699C9A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3DEF2140" w14:textId="478C0ABE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FAM25A</w:t>
            </w:r>
          </w:p>
        </w:tc>
        <w:tc>
          <w:tcPr>
            <w:tcW w:w="5103" w:type="dxa"/>
            <w:vAlign w:val="center"/>
          </w:tcPr>
          <w:p w14:paraId="19DB6327" w14:textId="3094FB31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family with sequence similarity 25 member A</w:t>
            </w:r>
          </w:p>
        </w:tc>
        <w:tc>
          <w:tcPr>
            <w:tcW w:w="1206" w:type="dxa"/>
            <w:vAlign w:val="center"/>
          </w:tcPr>
          <w:p w14:paraId="10778CEA" w14:textId="56FD2A6A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-3.106</w:t>
            </w:r>
          </w:p>
        </w:tc>
        <w:tc>
          <w:tcPr>
            <w:tcW w:w="1167" w:type="dxa"/>
            <w:vAlign w:val="center"/>
          </w:tcPr>
          <w:p w14:paraId="556593E5" w14:textId="1A07F84B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1.26E-17</w:t>
            </w:r>
          </w:p>
        </w:tc>
        <w:tc>
          <w:tcPr>
            <w:tcW w:w="1254" w:type="dxa"/>
            <w:vAlign w:val="center"/>
          </w:tcPr>
          <w:p w14:paraId="34E79C72" w14:textId="061A584A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2.40E-14</w:t>
            </w:r>
          </w:p>
        </w:tc>
      </w:tr>
      <w:tr w:rsidR="003322A3" w14:paraId="34828460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52A99BF5" w14:textId="62850352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C10orf99</w:t>
            </w:r>
          </w:p>
        </w:tc>
        <w:tc>
          <w:tcPr>
            <w:tcW w:w="5103" w:type="dxa"/>
            <w:vAlign w:val="center"/>
          </w:tcPr>
          <w:p w14:paraId="4FD0E1F1" w14:textId="5972873E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G protein-coupled receptor 15 ligand</w:t>
            </w:r>
          </w:p>
        </w:tc>
        <w:tc>
          <w:tcPr>
            <w:tcW w:w="1206" w:type="dxa"/>
            <w:vAlign w:val="center"/>
          </w:tcPr>
          <w:p w14:paraId="1B78AF86" w14:textId="44C43C49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-2.91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14:paraId="7FF25A67" w14:textId="0ECDB536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1.17E-14</w:t>
            </w:r>
          </w:p>
        </w:tc>
        <w:tc>
          <w:tcPr>
            <w:tcW w:w="1254" w:type="dxa"/>
            <w:vAlign w:val="center"/>
          </w:tcPr>
          <w:p w14:paraId="0F832080" w14:textId="0565E6A5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5.7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E-12</w:t>
            </w:r>
          </w:p>
        </w:tc>
      </w:tr>
      <w:tr w:rsidR="003322A3" w14:paraId="77A6DE9A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0E1D215B" w14:textId="23DD5B00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LCE2C</w:t>
            </w:r>
          </w:p>
        </w:tc>
        <w:tc>
          <w:tcPr>
            <w:tcW w:w="5103" w:type="dxa"/>
            <w:vAlign w:val="center"/>
          </w:tcPr>
          <w:p w14:paraId="0E9568AB" w14:textId="235E78E2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late cornified envelope 2C</w:t>
            </w:r>
          </w:p>
        </w:tc>
        <w:tc>
          <w:tcPr>
            <w:tcW w:w="1206" w:type="dxa"/>
            <w:vAlign w:val="center"/>
          </w:tcPr>
          <w:p w14:paraId="14DD1BF9" w14:textId="3749A0C6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-2.954</w:t>
            </w:r>
          </w:p>
        </w:tc>
        <w:tc>
          <w:tcPr>
            <w:tcW w:w="1167" w:type="dxa"/>
            <w:vAlign w:val="center"/>
          </w:tcPr>
          <w:p w14:paraId="0186ED9D" w14:textId="69AAAF48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6.0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E-16</w:t>
            </w:r>
          </w:p>
        </w:tc>
        <w:tc>
          <w:tcPr>
            <w:tcW w:w="1254" w:type="dxa"/>
            <w:vAlign w:val="center"/>
          </w:tcPr>
          <w:p w14:paraId="30563E75" w14:textId="1699500B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3.9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E-13</w:t>
            </w:r>
          </w:p>
        </w:tc>
      </w:tr>
      <w:tr w:rsidR="003322A3" w14:paraId="39B72E96" w14:textId="77777777" w:rsidTr="003322A3">
        <w:trPr>
          <w:trHeight w:val="304"/>
        </w:trPr>
        <w:tc>
          <w:tcPr>
            <w:tcW w:w="1134" w:type="dxa"/>
            <w:vAlign w:val="center"/>
          </w:tcPr>
          <w:p w14:paraId="57B6A5F4" w14:textId="7DF8CC4A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PLA2G4E</w:t>
            </w:r>
          </w:p>
        </w:tc>
        <w:tc>
          <w:tcPr>
            <w:tcW w:w="5103" w:type="dxa"/>
            <w:vAlign w:val="center"/>
          </w:tcPr>
          <w:p w14:paraId="1509685F" w14:textId="1600655D" w:rsidR="00955D7E" w:rsidRPr="007A07A7" w:rsidRDefault="003322A3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cstheme="minorHAnsi"/>
                <w:sz w:val="22"/>
                <w:szCs w:val="22"/>
                <w:lang w:val="en-US"/>
              </w:rPr>
              <w:t>phospholipase A2 group IVE</w:t>
            </w:r>
          </w:p>
        </w:tc>
        <w:tc>
          <w:tcPr>
            <w:tcW w:w="1206" w:type="dxa"/>
            <w:vAlign w:val="center"/>
          </w:tcPr>
          <w:p w14:paraId="24F5B91D" w14:textId="1EA9A71F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-2.126</w:t>
            </w:r>
          </w:p>
        </w:tc>
        <w:tc>
          <w:tcPr>
            <w:tcW w:w="1167" w:type="dxa"/>
            <w:vAlign w:val="center"/>
          </w:tcPr>
          <w:p w14:paraId="01CB54A5" w14:textId="03A2B76E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4.6</w:t>
            </w:r>
            <w:r w:rsidR="00611EA3"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E-15</w:t>
            </w:r>
          </w:p>
        </w:tc>
        <w:tc>
          <w:tcPr>
            <w:tcW w:w="1254" w:type="dxa"/>
            <w:vAlign w:val="center"/>
          </w:tcPr>
          <w:p w14:paraId="707AFFE0" w14:textId="67CEAC06" w:rsidR="00955D7E" w:rsidRPr="007A07A7" w:rsidRDefault="00955D7E" w:rsidP="003322A3">
            <w:pPr>
              <w:spacing w:line="276" w:lineRule="auto"/>
              <w:jc w:val="center"/>
              <w:rPr>
                <w:rFonts w:cstheme="minorHAnsi"/>
                <w:sz w:val="22"/>
                <w:szCs w:val="22"/>
                <w:lang w:val="en-US"/>
              </w:rPr>
            </w:pPr>
            <w:r w:rsidRPr="007A07A7">
              <w:rPr>
                <w:rFonts w:ascii="Calibri" w:hAnsi="Calibri" w:cs="Calibri"/>
                <w:color w:val="000000"/>
                <w:sz w:val="22"/>
                <w:szCs w:val="22"/>
              </w:rPr>
              <w:t>2.48E-12</w:t>
            </w:r>
          </w:p>
        </w:tc>
      </w:tr>
    </w:tbl>
    <w:p w14:paraId="26758908" w14:textId="77777777" w:rsidR="009A062A" w:rsidRDefault="009A062A" w:rsidP="00EB3F1C">
      <w:pPr>
        <w:spacing w:line="276" w:lineRule="auto"/>
        <w:jc w:val="both"/>
        <w:rPr>
          <w:rFonts w:cstheme="minorHAnsi"/>
          <w:lang w:val="en-US"/>
        </w:rPr>
      </w:pPr>
    </w:p>
    <w:p w14:paraId="0A749F40" w14:textId="12C31276" w:rsidR="007C7201" w:rsidRDefault="00804623" w:rsidP="00EB3F1C">
      <w:pPr>
        <w:spacing w:line="276" w:lineRule="auto"/>
        <w:jc w:val="both"/>
        <w:rPr>
          <w:lang w:val="en-US"/>
        </w:rPr>
      </w:pPr>
      <w:r>
        <w:rPr>
          <w:lang w:val="en-US"/>
        </w:rPr>
        <w:t>*</w:t>
      </w:r>
      <w:r w:rsidR="00D91460">
        <w:rPr>
          <w:lang w:val="en-US"/>
        </w:rPr>
        <w:t>Log</w:t>
      </w:r>
      <w:r w:rsidR="00D91460" w:rsidRPr="00033C1A">
        <w:rPr>
          <w:rFonts w:cs="Times New Roman (Body CS)"/>
          <w:vertAlign w:val="subscript"/>
          <w:lang w:val="en-US"/>
        </w:rPr>
        <w:t>2</w:t>
      </w:r>
      <w:r w:rsidR="00D91460">
        <w:rPr>
          <w:lang w:val="en-US"/>
        </w:rPr>
        <w:t xml:space="preserve"> fold change</w:t>
      </w:r>
      <w:r w:rsidR="00A1411C">
        <w:rPr>
          <w:lang w:val="en-US"/>
        </w:rPr>
        <w:t xml:space="preserve"> </w:t>
      </w:r>
      <w:r w:rsidR="00AC7485">
        <w:rPr>
          <w:lang w:val="en-US"/>
        </w:rPr>
        <w:t xml:space="preserve">in the comparison of </w:t>
      </w:r>
      <w:proofErr w:type="spellStart"/>
      <w:r w:rsidR="005008AE">
        <w:rPr>
          <w:lang w:val="en-US"/>
        </w:rPr>
        <w:t>metastasi</w:t>
      </w:r>
      <w:r w:rsidR="00A64516">
        <w:rPr>
          <w:lang w:val="en-US"/>
        </w:rPr>
        <w:t>s</w:t>
      </w:r>
      <w:r w:rsidR="005008AE">
        <w:rPr>
          <w:lang w:val="en-US"/>
        </w:rPr>
        <w:t>ing</w:t>
      </w:r>
      <w:proofErr w:type="spellEnd"/>
      <w:r w:rsidR="005008AE">
        <w:rPr>
          <w:lang w:val="en-US"/>
        </w:rPr>
        <w:t xml:space="preserve"> versus </w:t>
      </w:r>
      <w:r w:rsidR="00A64516">
        <w:rPr>
          <w:lang w:val="en-US"/>
        </w:rPr>
        <w:t>non-</w:t>
      </w:r>
      <w:proofErr w:type="spellStart"/>
      <w:r w:rsidR="00A64516">
        <w:rPr>
          <w:lang w:val="en-US"/>
        </w:rPr>
        <w:t>metastasising</w:t>
      </w:r>
      <w:proofErr w:type="spellEnd"/>
      <w:r w:rsidR="00A64516">
        <w:rPr>
          <w:lang w:val="en-US"/>
        </w:rPr>
        <w:t xml:space="preserve"> primary </w:t>
      </w:r>
      <w:proofErr w:type="spellStart"/>
      <w:r w:rsidR="00A64516">
        <w:rPr>
          <w:lang w:val="en-US"/>
        </w:rPr>
        <w:t>cSCC</w:t>
      </w:r>
      <w:proofErr w:type="spellEnd"/>
      <w:r w:rsidR="00FB79EA">
        <w:rPr>
          <w:lang w:val="en-US"/>
        </w:rPr>
        <w:t>. This was used to calculate the linear predictor</w:t>
      </w:r>
      <w:r w:rsidR="00670319">
        <w:rPr>
          <w:lang w:val="en-US"/>
        </w:rPr>
        <w:t>.</w:t>
      </w:r>
    </w:p>
    <w:p w14:paraId="332B537B" w14:textId="202E72AC" w:rsidR="007C7201" w:rsidRDefault="007C7201" w:rsidP="00EB3F1C">
      <w:pPr>
        <w:spacing w:line="276" w:lineRule="auto"/>
        <w:jc w:val="both"/>
        <w:rPr>
          <w:lang w:val="en-US"/>
        </w:rPr>
      </w:pPr>
    </w:p>
    <w:p w14:paraId="30F1F3EC" w14:textId="77777777" w:rsidR="007C7201" w:rsidRDefault="007C7201" w:rsidP="00EB3F1C">
      <w:pPr>
        <w:spacing w:line="276" w:lineRule="auto"/>
        <w:jc w:val="both"/>
        <w:rPr>
          <w:lang w:val="en-US"/>
        </w:rPr>
      </w:pPr>
    </w:p>
    <w:p w14:paraId="35C13AED" w14:textId="50FE71A9" w:rsidR="007E7A99" w:rsidRDefault="007E7A99" w:rsidP="00EB3F1C">
      <w:pPr>
        <w:spacing w:line="276" w:lineRule="auto"/>
        <w:jc w:val="both"/>
        <w:rPr>
          <w:lang w:val="en-US"/>
        </w:rPr>
      </w:pPr>
    </w:p>
    <w:p w14:paraId="4C5B38E2" w14:textId="77777777" w:rsidR="007E7A99" w:rsidRDefault="007E7A99" w:rsidP="00EB3F1C">
      <w:pPr>
        <w:spacing w:line="276" w:lineRule="auto"/>
        <w:jc w:val="both"/>
        <w:rPr>
          <w:lang w:val="en-US"/>
        </w:rPr>
      </w:pPr>
    </w:p>
    <w:p w14:paraId="178B1DA9" w14:textId="4EFD9E1B" w:rsidR="00F95945" w:rsidRDefault="00F95945" w:rsidP="00EB3F1C">
      <w:pPr>
        <w:spacing w:line="276" w:lineRule="auto"/>
        <w:jc w:val="both"/>
        <w:rPr>
          <w:lang w:val="en-US"/>
        </w:rPr>
      </w:pPr>
    </w:p>
    <w:p w14:paraId="72A7571C" w14:textId="18C5BD31" w:rsidR="00F95945" w:rsidRDefault="00F95945" w:rsidP="00EB3F1C">
      <w:pPr>
        <w:spacing w:line="276" w:lineRule="auto"/>
        <w:jc w:val="both"/>
        <w:rPr>
          <w:lang w:val="en-US"/>
        </w:rPr>
      </w:pPr>
    </w:p>
    <w:p w14:paraId="74F7C98E" w14:textId="77777777" w:rsidR="00F95945" w:rsidRDefault="00F95945" w:rsidP="00EB3F1C">
      <w:pPr>
        <w:spacing w:line="276" w:lineRule="auto"/>
        <w:jc w:val="both"/>
        <w:rPr>
          <w:lang w:val="en-US"/>
        </w:rPr>
      </w:pPr>
    </w:p>
    <w:p w14:paraId="503F985F" w14:textId="77777777" w:rsidR="00551992" w:rsidRDefault="00551992" w:rsidP="00EB3F1C">
      <w:pPr>
        <w:spacing w:line="276" w:lineRule="auto"/>
        <w:jc w:val="both"/>
        <w:rPr>
          <w:lang w:val="en-US"/>
        </w:rPr>
      </w:pPr>
    </w:p>
    <w:p w14:paraId="5589CDCF" w14:textId="77777777" w:rsidR="00551992" w:rsidRDefault="00551992" w:rsidP="00EB3F1C">
      <w:pPr>
        <w:spacing w:line="276" w:lineRule="auto"/>
        <w:jc w:val="both"/>
        <w:rPr>
          <w:lang w:val="en-US"/>
        </w:rPr>
      </w:pPr>
    </w:p>
    <w:p w14:paraId="13F8081F" w14:textId="77777777" w:rsidR="00551992" w:rsidRDefault="00551992" w:rsidP="00EB3F1C">
      <w:pPr>
        <w:spacing w:line="276" w:lineRule="auto"/>
        <w:jc w:val="both"/>
        <w:rPr>
          <w:lang w:val="en-US"/>
        </w:rPr>
      </w:pPr>
    </w:p>
    <w:p w14:paraId="49BBC6D8" w14:textId="77777777" w:rsidR="00551992" w:rsidRDefault="00551992" w:rsidP="00EB3F1C">
      <w:pPr>
        <w:spacing w:line="276" w:lineRule="auto"/>
        <w:jc w:val="both"/>
        <w:rPr>
          <w:lang w:val="en-US"/>
        </w:rPr>
      </w:pPr>
    </w:p>
    <w:p w14:paraId="15F94C41" w14:textId="77777777" w:rsidR="00551992" w:rsidRDefault="00551992" w:rsidP="00EB3F1C">
      <w:pPr>
        <w:spacing w:line="276" w:lineRule="auto"/>
        <w:jc w:val="both"/>
        <w:rPr>
          <w:lang w:val="en-US"/>
        </w:rPr>
      </w:pPr>
    </w:p>
    <w:p w14:paraId="4C03786D" w14:textId="77777777" w:rsidR="00551992" w:rsidRDefault="00551992" w:rsidP="00EB3F1C">
      <w:pPr>
        <w:spacing w:line="276" w:lineRule="auto"/>
        <w:jc w:val="both"/>
        <w:rPr>
          <w:lang w:val="en-US"/>
        </w:rPr>
      </w:pPr>
    </w:p>
    <w:p w14:paraId="6F6A2869" w14:textId="77777777" w:rsidR="00551992" w:rsidRDefault="00551992" w:rsidP="00EB3F1C">
      <w:pPr>
        <w:spacing w:line="276" w:lineRule="auto"/>
        <w:jc w:val="both"/>
        <w:rPr>
          <w:lang w:val="en-US"/>
        </w:rPr>
      </w:pPr>
    </w:p>
    <w:p w14:paraId="0B9A7A6B" w14:textId="77777777" w:rsidR="008C6BA6" w:rsidRDefault="008C6BA6" w:rsidP="00EB3F1C">
      <w:pPr>
        <w:spacing w:line="276" w:lineRule="auto"/>
        <w:jc w:val="both"/>
        <w:rPr>
          <w:lang w:val="en-US"/>
        </w:rPr>
      </w:pPr>
    </w:p>
    <w:p w14:paraId="20E38793" w14:textId="5FCB0D4C" w:rsidR="008C6BA6" w:rsidRPr="00B90499" w:rsidRDefault="008C6BA6" w:rsidP="008C6BA6">
      <w:pPr>
        <w:spacing w:line="276" w:lineRule="auto"/>
        <w:jc w:val="both"/>
        <w:rPr>
          <w:rFonts w:cstheme="minorHAnsi"/>
          <w:lang w:val="en-US"/>
        </w:rPr>
      </w:pPr>
      <w:r w:rsidRPr="00545BF2">
        <w:rPr>
          <w:rFonts w:cstheme="minorHAnsi"/>
          <w:b/>
          <w:bCs/>
          <w:lang w:val="en-US"/>
        </w:rPr>
        <w:t xml:space="preserve">Supplemental Table </w:t>
      </w:r>
      <w:r>
        <w:rPr>
          <w:rFonts w:cstheme="minorHAnsi"/>
          <w:b/>
          <w:bCs/>
          <w:lang w:val="en-US"/>
        </w:rPr>
        <w:t>I</w:t>
      </w:r>
      <w:r w:rsidR="003C00C9">
        <w:rPr>
          <w:rFonts w:cstheme="minorHAnsi"/>
          <w:b/>
          <w:bCs/>
          <w:lang w:val="en-US"/>
        </w:rPr>
        <w:t>V</w:t>
      </w:r>
      <w:r w:rsidRPr="00545BF2">
        <w:rPr>
          <w:rFonts w:cstheme="minorHAnsi"/>
          <w:b/>
          <w:bCs/>
          <w:lang w:val="en-US"/>
        </w:rPr>
        <w:t xml:space="preserve">. </w:t>
      </w:r>
      <w:r w:rsidR="00C367EB" w:rsidRPr="00B90499">
        <w:rPr>
          <w:rFonts w:cstheme="minorHAnsi"/>
          <w:lang w:val="en-US"/>
        </w:rPr>
        <w:t>M</w:t>
      </w:r>
      <w:r w:rsidR="001E239D" w:rsidRPr="00B90499">
        <w:rPr>
          <w:rFonts w:cstheme="minorHAnsi"/>
          <w:lang w:val="en-US"/>
        </w:rPr>
        <w:t>atrices of BWH T-staging based on original pathology reports without central consensus review</w:t>
      </w:r>
      <w:r w:rsidR="00915C1D">
        <w:rPr>
          <w:rFonts w:cstheme="minorHAnsi"/>
          <w:lang w:val="en-US"/>
        </w:rPr>
        <w:t xml:space="preserve"> (BWH v1)</w:t>
      </w:r>
      <w:r w:rsidR="001E239D" w:rsidRPr="00B90499">
        <w:rPr>
          <w:rFonts w:cstheme="minorHAnsi"/>
          <w:lang w:val="en-US"/>
        </w:rPr>
        <w:t xml:space="preserve"> were also shown in “poorly differentiated” and “BWH T stage” fields</w:t>
      </w:r>
      <w:r w:rsidR="00134A4A">
        <w:rPr>
          <w:rFonts w:cstheme="minorHAnsi"/>
          <w:lang w:val="en-US"/>
        </w:rPr>
        <w:t>.</w:t>
      </w:r>
    </w:p>
    <w:p w14:paraId="682CFC9A" w14:textId="77777777" w:rsidR="008C6BA6" w:rsidRDefault="008C6BA6" w:rsidP="00EB3F1C">
      <w:pPr>
        <w:spacing w:line="276" w:lineRule="auto"/>
        <w:jc w:val="both"/>
        <w:rPr>
          <w:lang w:val="en-US"/>
        </w:rPr>
      </w:pPr>
    </w:p>
    <w:tbl>
      <w:tblPr>
        <w:tblStyle w:val="GridTable4-Accent3"/>
        <w:tblW w:w="9498" w:type="dxa"/>
        <w:tblInd w:w="-289" w:type="dxa"/>
        <w:tblLook w:val="04A0" w:firstRow="1" w:lastRow="0" w:firstColumn="1" w:lastColumn="0" w:noHBand="0" w:noVBand="1"/>
      </w:tblPr>
      <w:tblGrid>
        <w:gridCol w:w="2411"/>
        <w:gridCol w:w="1984"/>
        <w:gridCol w:w="2268"/>
        <w:gridCol w:w="1985"/>
        <w:gridCol w:w="850"/>
      </w:tblGrid>
      <w:tr w:rsidR="00FC4876" w:rsidRPr="00736247" w14:paraId="5E661A1A" w14:textId="77777777" w:rsidTr="00FC48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5C0C4A3" w14:textId="77777777" w:rsidR="007F6FDF" w:rsidRPr="00736247" w:rsidRDefault="007F6FDF" w:rsidP="00A57F87">
            <w:pPr>
              <w:rPr>
                <w:rFonts w:cstheme="minorHAnsi"/>
                <w:sz w:val="20"/>
                <w:szCs w:val="20"/>
              </w:rPr>
            </w:pPr>
            <w:r w:rsidRPr="00736247">
              <w:rPr>
                <w:rFonts w:cstheme="minorHAnsi"/>
                <w:sz w:val="20"/>
                <w:szCs w:val="20"/>
              </w:rPr>
              <w:t>Feature</w:t>
            </w:r>
          </w:p>
        </w:tc>
        <w:tc>
          <w:tcPr>
            <w:tcW w:w="1984" w:type="dxa"/>
          </w:tcPr>
          <w:p w14:paraId="5F447E80" w14:textId="77777777" w:rsidR="007F6FDF" w:rsidRPr="00736247" w:rsidRDefault="007F6FDF" w:rsidP="00A57F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247">
              <w:rPr>
                <w:rFonts w:cstheme="minorHAnsi"/>
                <w:sz w:val="20"/>
                <w:szCs w:val="20"/>
              </w:rPr>
              <w:t>All</w:t>
            </w:r>
            <w:r>
              <w:rPr>
                <w:rFonts w:cstheme="minorHAnsi"/>
                <w:sz w:val="20"/>
                <w:szCs w:val="20"/>
              </w:rPr>
              <w:t xml:space="preserve"> (n=237)</w:t>
            </w:r>
          </w:p>
        </w:tc>
        <w:tc>
          <w:tcPr>
            <w:tcW w:w="2268" w:type="dxa"/>
          </w:tcPr>
          <w:p w14:paraId="61B5D3CF" w14:textId="77777777" w:rsidR="007F6FDF" w:rsidRPr="00736247" w:rsidRDefault="007F6FDF" w:rsidP="00A57F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247">
              <w:rPr>
                <w:rFonts w:cstheme="minorHAnsi"/>
                <w:sz w:val="20"/>
                <w:szCs w:val="20"/>
              </w:rPr>
              <w:t>No metastasis</w:t>
            </w:r>
            <w:r>
              <w:rPr>
                <w:rFonts w:cstheme="minorHAnsi"/>
                <w:sz w:val="20"/>
                <w:szCs w:val="20"/>
              </w:rPr>
              <w:t xml:space="preserve"> (n=</w:t>
            </w:r>
            <w:proofErr w:type="gramStart"/>
            <w:r>
              <w:rPr>
                <w:rFonts w:cstheme="minorHAnsi"/>
                <w:sz w:val="20"/>
                <w:szCs w:val="20"/>
              </w:rPr>
              <w:t>151)*</w:t>
            </w:r>
            <w:proofErr w:type="gramEnd"/>
          </w:p>
        </w:tc>
        <w:tc>
          <w:tcPr>
            <w:tcW w:w="1985" w:type="dxa"/>
          </w:tcPr>
          <w:p w14:paraId="178B87D7" w14:textId="77777777" w:rsidR="007F6FDF" w:rsidRPr="00736247" w:rsidRDefault="007F6FDF" w:rsidP="00A57F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247">
              <w:rPr>
                <w:rFonts w:cstheme="minorHAnsi"/>
                <w:sz w:val="20"/>
                <w:szCs w:val="20"/>
              </w:rPr>
              <w:t>Metastasis</w:t>
            </w:r>
            <w:r>
              <w:rPr>
                <w:rFonts w:cstheme="minorHAnsi"/>
                <w:sz w:val="20"/>
                <w:szCs w:val="20"/>
              </w:rPr>
              <w:t xml:space="preserve"> (n=</w:t>
            </w:r>
            <w:proofErr w:type="gramStart"/>
            <w:r>
              <w:rPr>
                <w:rFonts w:cstheme="minorHAnsi"/>
                <w:sz w:val="20"/>
                <w:szCs w:val="20"/>
              </w:rPr>
              <w:t>86)*</w:t>
            </w:r>
            <w:proofErr w:type="gramEnd"/>
            <w:r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5EE6FC33" w14:textId="77777777" w:rsidR="007F6FDF" w:rsidRPr="00736247" w:rsidRDefault="007F6FDF" w:rsidP="00A57F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736247">
              <w:rPr>
                <w:rFonts w:cstheme="minorHAnsi"/>
                <w:sz w:val="20"/>
                <w:szCs w:val="20"/>
              </w:rPr>
              <w:t>P value</w:t>
            </w:r>
          </w:p>
        </w:tc>
      </w:tr>
      <w:tr w:rsidR="00FC4876" w:rsidRPr="008C1716" w14:paraId="012DAA2B" w14:textId="77777777" w:rsidTr="00FC4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420F8C31" w14:textId="77777777" w:rsidR="007F6FDF" w:rsidRPr="008C1716" w:rsidRDefault="007F6FDF" w:rsidP="00A57F87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Poorly differentiated, n (%)</w:t>
            </w:r>
          </w:p>
        </w:tc>
        <w:tc>
          <w:tcPr>
            <w:tcW w:w="1984" w:type="dxa"/>
          </w:tcPr>
          <w:p w14:paraId="69820672" w14:textId="07F026F8" w:rsidR="007F6FDF" w:rsidRPr="00090583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79 (33.2)</w:t>
            </w:r>
          </w:p>
        </w:tc>
        <w:tc>
          <w:tcPr>
            <w:tcW w:w="2268" w:type="dxa"/>
          </w:tcPr>
          <w:p w14:paraId="3C3E2AAA" w14:textId="13C1973E" w:rsidR="007F6FDF" w:rsidRPr="00090583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20 (13.2)</w:t>
            </w:r>
          </w:p>
        </w:tc>
        <w:tc>
          <w:tcPr>
            <w:tcW w:w="1985" w:type="dxa"/>
          </w:tcPr>
          <w:p w14:paraId="37F7A123" w14:textId="689137FC" w:rsidR="007F6FDF" w:rsidRPr="00090583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59 (68.6)</w:t>
            </w:r>
          </w:p>
        </w:tc>
        <w:tc>
          <w:tcPr>
            <w:tcW w:w="850" w:type="dxa"/>
          </w:tcPr>
          <w:p w14:paraId="31ED8C57" w14:textId="77777777" w:rsidR="007F6FDF" w:rsidRPr="008C1716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&lt;.0001</w:t>
            </w:r>
          </w:p>
        </w:tc>
      </w:tr>
      <w:tr w:rsidR="00FC4876" w:rsidRPr="008C1716" w14:paraId="41A8BEBE" w14:textId="77777777" w:rsidTr="00FC4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B7D7A06" w14:textId="77777777" w:rsidR="007F6FDF" w:rsidRPr="008C1716" w:rsidRDefault="007F6FDF" w:rsidP="00A57F87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BWH T stage, n (</w:t>
            </w:r>
            <w:proofErr w:type="gramStart"/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%</w:t>
            </w:r>
            <w:r>
              <w:rPr>
                <w:rFonts w:cstheme="minorHAnsi"/>
                <w:b w:val="0"/>
                <w:bCs w:val="0"/>
                <w:sz w:val="20"/>
                <w:szCs w:val="20"/>
              </w:rPr>
              <w:t>)¶</w:t>
            </w:r>
            <w:proofErr w:type="gramEnd"/>
            <w:r>
              <w:rPr>
                <w:rFonts w:cstheme="minorHAnsi"/>
                <w:b w:val="0"/>
                <w:bCs w:val="0"/>
                <w:sz w:val="20"/>
                <w:szCs w:val="20"/>
              </w:rPr>
              <w:t>¶</w:t>
            </w:r>
          </w:p>
        </w:tc>
        <w:tc>
          <w:tcPr>
            <w:tcW w:w="1984" w:type="dxa"/>
          </w:tcPr>
          <w:p w14:paraId="07BF140C" w14:textId="77777777" w:rsidR="007F6FDF" w:rsidRPr="00090583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870B7FF" w14:textId="77777777" w:rsidR="007F6FDF" w:rsidRPr="00090583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74F8ED9" w14:textId="77777777" w:rsidR="007F6FDF" w:rsidRPr="00090583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27F32C" w14:textId="77777777" w:rsidR="007F6FDF" w:rsidRPr="008C1716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&lt;.0001</w:t>
            </w:r>
          </w:p>
        </w:tc>
      </w:tr>
      <w:tr w:rsidR="006431B2" w:rsidRPr="008C1716" w14:paraId="1520EE1C" w14:textId="77777777" w:rsidTr="00FC4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01AA5E1D" w14:textId="77777777" w:rsidR="007F6FDF" w:rsidRPr="008C1716" w:rsidRDefault="007F6FDF" w:rsidP="00A57F87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T1</w:t>
            </w:r>
          </w:p>
        </w:tc>
        <w:tc>
          <w:tcPr>
            <w:tcW w:w="1984" w:type="dxa"/>
          </w:tcPr>
          <w:p w14:paraId="7FE91EE7" w14:textId="55062617" w:rsidR="007F6FDF" w:rsidRPr="00090583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104 (45.6)</w:t>
            </w:r>
          </w:p>
        </w:tc>
        <w:tc>
          <w:tcPr>
            <w:tcW w:w="2268" w:type="dxa"/>
          </w:tcPr>
          <w:p w14:paraId="2D536FBE" w14:textId="18688801" w:rsidR="007F6FDF" w:rsidRPr="00090583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101 (68.2)</w:t>
            </w:r>
          </w:p>
        </w:tc>
        <w:tc>
          <w:tcPr>
            <w:tcW w:w="1985" w:type="dxa"/>
          </w:tcPr>
          <w:p w14:paraId="74F299B9" w14:textId="6614EE96" w:rsidR="007F6FDF" w:rsidRPr="00090583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3 (3.8)</w:t>
            </w:r>
          </w:p>
        </w:tc>
        <w:tc>
          <w:tcPr>
            <w:tcW w:w="850" w:type="dxa"/>
          </w:tcPr>
          <w:p w14:paraId="1A0035E9" w14:textId="77777777" w:rsidR="007F6FDF" w:rsidRPr="008C1716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C4876" w:rsidRPr="008C1716" w14:paraId="38A3212A" w14:textId="77777777" w:rsidTr="00FC4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2B5B6012" w14:textId="77777777" w:rsidR="007F6FDF" w:rsidRPr="008C1716" w:rsidRDefault="007F6FDF" w:rsidP="00A57F87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T2a</w:t>
            </w:r>
          </w:p>
        </w:tc>
        <w:tc>
          <w:tcPr>
            <w:tcW w:w="1984" w:type="dxa"/>
          </w:tcPr>
          <w:p w14:paraId="6B815958" w14:textId="67F02847" w:rsidR="007F6FDF" w:rsidRPr="00090583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58 (25.4)</w:t>
            </w:r>
          </w:p>
        </w:tc>
        <w:tc>
          <w:tcPr>
            <w:tcW w:w="2268" w:type="dxa"/>
          </w:tcPr>
          <w:p w14:paraId="5C4D77C2" w14:textId="7D365099" w:rsidR="007F6FDF" w:rsidRPr="00090583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33 (21.6)</w:t>
            </w:r>
          </w:p>
        </w:tc>
        <w:tc>
          <w:tcPr>
            <w:tcW w:w="1985" w:type="dxa"/>
          </w:tcPr>
          <w:p w14:paraId="22F831CF" w14:textId="4C11F0EB" w:rsidR="007F6FDF" w:rsidRPr="00090583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25 (31.25)</w:t>
            </w:r>
          </w:p>
        </w:tc>
        <w:tc>
          <w:tcPr>
            <w:tcW w:w="850" w:type="dxa"/>
          </w:tcPr>
          <w:p w14:paraId="269B8DFE" w14:textId="77777777" w:rsidR="007F6FDF" w:rsidRPr="008C1716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431B2" w:rsidRPr="008C1716" w14:paraId="1A3E8210" w14:textId="77777777" w:rsidTr="00FC4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53C2491" w14:textId="77777777" w:rsidR="007F6FDF" w:rsidRPr="008C1716" w:rsidRDefault="007F6FDF" w:rsidP="00A57F87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T2b</w:t>
            </w:r>
          </w:p>
        </w:tc>
        <w:tc>
          <w:tcPr>
            <w:tcW w:w="1984" w:type="dxa"/>
          </w:tcPr>
          <w:p w14:paraId="4F53C67C" w14:textId="4D95B4B3" w:rsidR="007F6FDF" w:rsidRPr="00090583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60 (28)</w:t>
            </w:r>
          </w:p>
        </w:tc>
        <w:tc>
          <w:tcPr>
            <w:tcW w:w="2268" w:type="dxa"/>
          </w:tcPr>
          <w:p w14:paraId="5BF26DE5" w14:textId="27BF044E" w:rsidR="007F6FDF" w:rsidRPr="00090583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14 (9.46)</w:t>
            </w:r>
          </w:p>
        </w:tc>
        <w:tc>
          <w:tcPr>
            <w:tcW w:w="1985" w:type="dxa"/>
          </w:tcPr>
          <w:p w14:paraId="7E6EC4C7" w14:textId="67544DF2" w:rsidR="007F6FDF" w:rsidRPr="00090583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46 (57.5)</w:t>
            </w:r>
          </w:p>
        </w:tc>
        <w:tc>
          <w:tcPr>
            <w:tcW w:w="850" w:type="dxa"/>
          </w:tcPr>
          <w:p w14:paraId="7A7FF748" w14:textId="77777777" w:rsidR="007F6FDF" w:rsidRPr="008C1716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C4876" w:rsidRPr="008C1716" w14:paraId="36C914A3" w14:textId="77777777" w:rsidTr="00FC48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6B1071DB" w14:textId="77777777" w:rsidR="007F6FDF" w:rsidRPr="008C1716" w:rsidRDefault="007F6FDF" w:rsidP="00A57F87">
            <w:pPr>
              <w:jc w:val="right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8C1716">
              <w:rPr>
                <w:rFonts w:cstheme="minorHAnsi"/>
                <w:b w:val="0"/>
                <w:bCs w:val="0"/>
                <w:sz w:val="20"/>
                <w:szCs w:val="20"/>
              </w:rPr>
              <w:t>T3</w:t>
            </w:r>
          </w:p>
        </w:tc>
        <w:tc>
          <w:tcPr>
            <w:tcW w:w="1984" w:type="dxa"/>
          </w:tcPr>
          <w:p w14:paraId="70ECDAC9" w14:textId="03420FE5" w:rsidR="007F6FDF" w:rsidRPr="00090583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6 (2.6)</w:t>
            </w:r>
          </w:p>
        </w:tc>
        <w:tc>
          <w:tcPr>
            <w:tcW w:w="2268" w:type="dxa"/>
          </w:tcPr>
          <w:p w14:paraId="49925784" w14:textId="77777777" w:rsidR="007F6FDF" w:rsidRPr="00090583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14:paraId="0E343E98" w14:textId="283F304E" w:rsidR="007F6FDF" w:rsidRPr="00090583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583">
              <w:rPr>
                <w:rFonts w:cstheme="minorHAnsi"/>
                <w:sz w:val="20"/>
                <w:szCs w:val="20"/>
              </w:rPr>
              <w:t>6 (7.5)</w:t>
            </w:r>
          </w:p>
        </w:tc>
        <w:tc>
          <w:tcPr>
            <w:tcW w:w="850" w:type="dxa"/>
          </w:tcPr>
          <w:p w14:paraId="05520651" w14:textId="77777777" w:rsidR="007F6FDF" w:rsidRPr="008C1716" w:rsidRDefault="007F6FDF" w:rsidP="00A57F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6431B2" w:rsidRPr="008C1716" w14:paraId="7078D33D" w14:textId="77777777" w:rsidTr="00FC4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1" w:type="dxa"/>
          </w:tcPr>
          <w:p w14:paraId="5B29886E" w14:textId="77777777" w:rsidR="007F6FDF" w:rsidRDefault="007F6FDF" w:rsidP="00A57F87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63CE48" w14:textId="77777777" w:rsidR="007F6FDF" w:rsidRPr="008C1716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ED96B2" w14:textId="77777777" w:rsidR="007F6FDF" w:rsidRPr="008C1716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BAEBC6" w14:textId="77777777" w:rsidR="007F6FDF" w:rsidRPr="008C1716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F40537" w14:textId="77777777" w:rsidR="007F6FDF" w:rsidRPr="008C1716" w:rsidRDefault="007F6FDF" w:rsidP="00A57F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</w:tbl>
    <w:p w14:paraId="6A4E1C56" w14:textId="77777777" w:rsidR="00551992" w:rsidRPr="00F95945" w:rsidRDefault="00551992" w:rsidP="00EB3F1C">
      <w:pPr>
        <w:spacing w:line="276" w:lineRule="auto"/>
        <w:jc w:val="both"/>
        <w:rPr>
          <w:lang w:val="en-US"/>
        </w:rPr>
      </w:pPr>
    </w:p>
    <w:sectPr w:rsidR="00551992" w:rsidRPr="00F95945" w:rsidSect="002B76D3">
      <w:footerReference w:type="even" r:id="rId12"/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24C9" w14:textId="77777777" w:rsidR="007D3EA5" w:rsidRDefault="007D3EA5" w:rsidP="006F539F">
      <w:r>
        <w:separator/>
      </w:r>
    </w:p>
  </w:endnote>
  <w:endnote w:type="continuationSeparator" w:id="0">
    <w:p w14:paraId="41EB5F97" w14:textId="77777777" w:rsidR="007D3EA5" w:rsidRDefault="007D3EA5" w:rsidP="006F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60439072"/>
      <w:docPartObj>
        <w:docPartGallery w:val="Page Numbers (Bottom of Page)"/>
        <w:docPartUnique/>
      </w:docPartObj>
    </w:sdtPr>
    <w:sdtContent>
      <w:p w14:paraId="63B80DDC" w14:textId="2CFAD272" w:rsidR="006F539F" w:rsidRDefault="006F539F" w:rsidP="00B50AE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49142AF" w14:textId="77777777" w:rsidR="006F539F" w:rsidRDefault="006F53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88912859"/>
      <w:docPartObj>
        <w:docPartGallery w:val="Page Numbers (Bottom of Page)"/>
        <w:docPartUnique/>
      </w:docPartObj>
    </w:sdtPr>
    <w:sdtContent>
      <w:p w14:paraId="2315F193" w14:textId="4F6BF859" w:rsidR="006F539F" w:rsidRDefault="006F539F" w:rsidP="00B50AE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11D7B74" w14:textId="77777777" w:rsidR="006F539F" w:rsidRDefault="006F53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7B4CB" w14:textId="77777777" w:rsidR="007D3EA5" w:rsidRDefault="007D3EA5" w:rsidP="006F539F">
      <w:r>
        <w:separator/>
      </w:r>
    </w:p>
  </w:footnote>
  <w:footnote w:type="continuationSeparator" w:id="0">
    <w:p w14:paraId="76B53CF2" w14:textId="77777777" w:rsidR="007D3EA5" w:rsidRDefault="007D3EA5" w:rsidP="006F5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E13"/>
    <w:rsid w:val="00002257"/>
    <w:rsid w:val="00003E13"/>
    <w:rsid w:val="00004A04"/>
    <w:rsid w:val="000067EC"/>
    <w:rsid w:val="00010EFC"/>
    <w:rsid w:val="00017EFA"/>
    <w:rsid w:val="00020C5B"/>
    <w:rsid w:val="00022DA9"/>
    <w:rsid w:val="00024000"/>
    <w:rsid w:val="00025696"/>
    <w:rsid w:val="00025720"/>
    <w:rsid w:val="00031A56"/>
    <w:rsid w:val="00033C1A"/>
    <w:rsid w:val="00033D6E"/>
    <w:rsid w:val="00033F83"/>
    <w:rsid w:val="000340B7"/>
    <w:rsid w:val="0003419F"/>
    <w:rsid w:val="000418A5"/>
    <w:rsid w:val="00041ED7"/>
    <w:rsid w:val="00052750"/>
    <w:rsid w:val="00054713"/>
    <w:rsid w:val="00056589"/>
    <w:rsid w:val="000568BE"/>
    <w:rsid w:val="00061775"/>
    <w:rsid w:val="00063ADA"/>
    <w:rsid w:val="00065D11"/>
    <w:rsid w:val="00067568"/>
    <w:rsid w:val="00070187"/>
    <w:rsid w:val="00070E4A"/>
    <w:rsid w:val="00071F3C"/>
    <w:rsid w:val="00072B1D"/>
    <w:rsid w:val="00073A17"/>
    <w:rsid w:val="000768F6"/>
    <w:rsid w:val="00077750"/>
    <w:rsid w:val="00082EA0"/>
    <w:rsid w:val="00085D56"/>
    <w:rsid w:val="00087BEC"/>
    <w:rsid w:val="00090583"/>
    <w:rsid w:val="00090868"/>
    <w:rsid w:val="00090E99"/>
    <w:rsid w:val="0009242D"/>
    <w:rsid w:val="000A3BB6"/>
    <w:rsid w:val="000A3C5A"/>
    <w:rsid w:val="000B13C0"/>
    <w:rsid w:val="000B25A4"/>
    <w:rsid w:val="000B310B"/>
    <w:rsid w:val="000B3EDE"/>
    <w:rsid w:val="000B5462"/>
    <w:rsid w:val="000B6301"/>
    <w:rsid w:val="000B7C48"/>
    <w:rsid w:val="000C04D9"/>
    <w:rsid w:val="000C2235"/>
    <w:rsid w:val="000C3437"/>
    <w:rsid w:val="000D15CE"/>
    <w:rsid w:val="000D1BE8"/>
    <w:rsid w:val="000D31C1"/>
    <w:rsid w:val="000D52BE"/>
    <w:rsid w:val="000D5A7D"/>
    <w:rsid w:val="000D5AB7"/>
    <w:rsid w:val="000E08C4"/>
    <w:rsid w:val="000E26DC"/>
    <w:rsid w:val="000E2B96"/>
    <w:rsid w:val="000E4C37"/>
    <w:rsid w:val="000E61E6"/>
    <w:rsid w:val="000E74DA"/>
    <w:rsid w:val="000E77B3"/>
    <w:rsid w:val="000F0C98"/>
    <w:rsid w:val="00100DD5"/>
    <w:rsid w:val="001054BE"/>
    <w:rsid w:val="0010589B"/>
    <w:rsid w:val="00106AEB"/>
    <w:rsid w:val="001114BC"/>
    <w:rsid w:val="00114B57"/>
    <w:rsid w:val="001161C7"/>
    <w:rsid w:val="00116BBA"/>
    <w:rsid w:val="001206F4"/>
    <w:rsid w:val="00121269"/>
    <w:rsid w:val="0012512C"/>
    <w:rsid w:val="0012672E"/>
    <w:rsid w:val="00127572"/>
    <w:rsid w:val="00134A4A"/>
    <w:rsid w:val="0013675F"/>
    <w:rsid w:val="00137873"/>
    <w:rsid w:val="00137DA2"/>
    <w:rsid w:val="00141282"/>
    <w:rsid w:val="00141C5F"/>
    <w:rsid w:val="0014396C"/>
    <w:rsid w:val="00147141"/>
    <w:rsid w:val="00150A09"/>
    <w:rsid w:val="001516E8"/>
    <w:rsid w:val="00151B11"/>
    <w:rsid w:val="00152C6A"/>
    <w:rsid w:val="001530CA"/>
    <w:rsid w:val="001574C0"/>
    <w:rsid w:val="00163E96"/>
    <w:rsid w:val="0016579E"/>
    <w:rsid w:val="00170FCD"/>
    <w:rsid w:val="00173E91"/>
    <w:rsid w:val="00176571"/>
    <w:rsid w:val="00180114"/>
    <w:rsid w:val="00180745"/>
    <w:rsid w:val="00183A00"/>
    <w:rsid w:val="00187A60"/>
    <w:rsid w:val="00190799"/>
    <w:rsid w:val="00190C36"/>
    <w:rsid w:val="001911AC"/>
    <w:rsid w:val="00191804"/>
    <w:rsid w:val="00194300"/>
    <w:rsid w:val="001A0E35"/>
    <w:rsid w:val="001A0FD0"/>
    <w:rsid w:val="001A3272"/>
    <w:rsid w:val="001A7C60"/>
    <w:rsid w:val="001B0186"/>
    <w:rsid w:val="001B029D"/>
    <w:rsid w:val="001B202A"/>
    <w:rsid w:val="001B2A63"/>
    <w:rsid w:val="001B3A59"/>
    <w:rsid w:val="001B5E4E"/>
    <w:rsid w:val="001C0A97"/>
    <w:rsid w:val="001C0E9C"/>
    <w:rsid w:val="001C28D0"/>
    <w:rsid w:val="001C465E"/>
    <w:rsid w:val="001C51EE"/>
    <w:rsid w:val="001C5545"/>
    <w:rsid w:val="001C66E8"/>
    <w:rsid w:val="001D0048"/>
    <w:rsid w:val="001D083F"/>
    <w:rsid w:val="001D0C5A"/>
    <w:rsid w:val="001D1551"/>
    <w:rsid w:val="001D4BCF"/>
    <w:rsid w:val="001D4E3B"/>
    <w:rsid w:val="001D575D"/>
    <w:rsid w:val="001D7B96"/>
    <w:rsid w:val="001E1229"/>
    <w:rsid w:val="001E239D"/>
    <w:rsid w:val="001E3E7B"/>
    <w:rsid w:val="001E55E3"/>
    <w:rsid w:val="001E573E"/>
    <w:rsid w:val="001E6C75"/>
    <w:rsid w:val="001E7FBC"/>
    <w:rsid w:val="001F0D7A"/>
    <w:rsid w:val="001F1D9F"/>
    <w:rsid w:val="001F295C"/>
    <w:rsid w:val="001F385A"/>
    <w:rsid w:val="001F75F6"/>
    <w:rsid w:val="0020092C"/>
    <w:rsid w:val="00200B32"/>
    <w:rsid w:val="00201E21"/>
    <w:rsid w:val="00206512"/>
    <w:rsid w:val="00206B5C"/>
    <w:rsid w:val="00214FFE"/>
    <w:rsid w:val="00217E3B"/>
    <w:rsid w:val="0022155B"/>
    <w:rsid w:val="00233491"/>
    <w:rsid w:val="00234E00"/>
    <w:rsid w:val="00241070"/>
    <w:rsid w:val="00246DCE"/>
    <w:rsid w:val="002471F4"/>
    <w:rsid w:val="00247CE3"/>
    <w:rsid w:val="00250001"/>
    <w:rsid w:val="002523E7"/>
    <w:rsid w:val="00254FC8"/>
    <w:rsid w:val="002563BB"/>
    <w:rsid w:val="00261B26"/>
    <w:rsid w:val="00264B27"/>
    <w:rsid w:val="00265681"/>
    <w:rsid w:val="0027171C"/>
    <w:rsid w:val="00275B55"/>
    <w:rsid w:val="00280F50"/>
    <w:rsid w:val="002815DC"/>
    <w:rsid w:val="00283987"/>
    <w:rsid w:val="00283F4F"/>
    <w:rsid w:val="002860BC"/>
    <w:rsid w:val="00286281"/>
    <w:rsid w:val="00287CF2"/>
    <w:rsid w:val="00290C70"/>
    <w:rsid w:val="002912D9"/>
    <w:rsid w:val="0029466A"/>
    <w:rsid w:val="002968DA"/>
    <w:rsid w:val="002A03D0"/>
    <w:rsid w:val="002A05CC"/>
    <w:rsid w:val="002A0C0E"/>
    <w:rsid w:val="002A1367"/>
    <w:rsid w:val="002A29BD"/>
    <w:rsid w:val="002A48DC"/>
    <w:rsid w:val="002A657C"/>
    <w:rsid w:val="002A711E"/>
    <w:rsid w:val="002B1CDE"/>
    <w:rsid w:val="002B2B7B"/>
    <w:rsid w:val="002B3EC1"/>
    <w:rsid w:val="002B76D3"/>
    <w:rsid w:val="002C477E"/>
    <w:rsid w:val="002C6620"/>
    <w:rsid w:val="002D0ACF"/>
    <w:rsid w:val="002D1DBA"/>
    <w:rsid w:val="002D3C1B"/>
    <w:rsid w:val="002D49EB"/>
    <w:rsid w:val="002D4EAD"/>
    <w:rsid w:val="002D5C5C"/>
    <w:rsid w:val="002D6E8E"/>
    <w:rsid w:val="002F1FFA"/>
    <w:rsid w:val="002F3E97"/>
    <w:rsid w:val="00302FDE"/>
    <w:rsid w:val="00312BCB"/>
    <w:rsid w:val="00315BF7"/>
    <w:rsid w:val="003166F9"/>
    <w:rsid w:val="00320A16"/>
    <w:rsid w:val="003251DA"/>
    <w:rsid w:val="00325ABA"/>
    <w:rsid w:val="003267B2"/>
    <w:rsid w:val="00326FD2"/>
    <w:rsid w:val="003313CB"/>
    <w:rsid w:val="003322A3"/>
    <w:rsid w:val="00333B99"/>
    <w:rsid w:val="00334005"/>
    <w:rsid w:val="003459E9"/>
    <w:rsid w:val="00345DA0"/>
    <w:rsid w:val="00346BAA"/>
    <w:rsid w:val="00347359"/>
    <w:rsid w:val="003529B3"/>
    <w:rsid w:val="00354338"/>
    <w:rsid w:val="0035788E"/>
    <w:rsid w:val="00360072"/>
    <w:rsid w:val="00360217"/>
    <w:rsid w:val="003653CA"/>
    <w:rsid w:val="0036766C"/>
    <w:rsid w:val="00370CD9"/>
    <w:rsid w:val="00371168"/>
    <w:rsid w:val="0037148D"/>
    <w:rsid w:val="0037375F"/>
    <w:rsid w:val="00374CE4"/>
    <w:rsid w:val="00374FD7"/>
    <w:rsid w:val="00375AF6"/>
    <w:rsid w:val="0038385D"/>
    <w:rsid w:val="00385A1A"/>
    <w:rsid w:val="0038712C"/>
    <w:rsid w:val="00387A87"/>
    <w:rsid w:val="00390EA5"/>
    <w:rsid w:val="00390F98"/>
    <w:rsid w:val="00391DD9"/>
    <w:rsid w:val="00391E37"/>
    <w:rsid w:val="00392629"/>
    <w:rsid w:val="00396921"/>
    <w:rsid w:val="003A19BC"/>
    <w:rsid w:val="003A7438"/>
    <w:rsid w:val="003A7C42"/>
    <w:rsid w:val="003B0307"/>
    <w:rsid w:val="003B0850"/>
    <w:rsid w:val="003B180B"/>
    <w:rsid w:val="003B4ABC"/>
    <w:rsid w:val="003B54B2"/>
    <w:rsid w:val="003B5C8A"/>
    <w:rsid w:val="003C00C9"/>
    <w:rsid w:val="003C312A"/>
    <w:rsid w:val="003C42C1"/>
    <w:rsid w:val="003C6B4F"/>
    <w:rsid w:val="003D1867"/>
    <w:rsid w:val="003D6ED0"/>
    <w:rsid w:val="003E09D6"/>
    <w:rsid w:val="003E5563"/>
    <w:rsid w:val="003E68E9"/>
    <w:rsid w:val="003E74C0"/>
    <w:rsid w:val="003F058F"/>
    <w:rsid w:val="003F081E"/>
    <w:rsid w:val="003F1C3E"/>
    <w:rsid w:val="003F5793"/>
    <w:rsid w:val="003F6AC4"/>
    <w:rsid w:val="003F7089"/>
    <w:rsid w:val="004003D4"/>
    <w:rsid w:val="004024E3"/>
    <w:rsid w:val="00403488"/>
    <w:rsid w:val="00407D81"/>
    <w:rsid w:val="0041775F"/>
    <w:rsid w:val="0042036F"/>
    <w:rsid w:val="004218CA"/>
    <w:rsid w:val="00426A2F"/>
    <w:rsid w:val="00427A49"/>
    <w:rsid w:val="00430EE5"/>
    <w:rsid w:val="00432EB4"/>
    <w:rsid w:val="00435D9A"/>
    <w:rsid w:val="00440D60"/>
    <w:rsid w:val="00441F89"/>
    <w:rsid w:val="0044214B"/>
    <w:rsid w:val="00443059"/>
    <w:rsid w:val="00444038"/>
    <w:rsid w:val="0044580A"/>
    <w:rsid w:val="00445DD8"/>
    <w:rsid w:val="00446414"/>
    <w:rsid w:val="0044757B"/>
    <w:rsid w:val="004478AB"/>
    <w:rsid w:val="00450A0F"/>
    <w:rsid w:val="00455955"/>
    <w:rsid w:val="00456AE8"/>
    <w:rsid w:val="00461186"/>
    <w:rsid w:val="00463725"/>
    <w:rsid w:val="0046412F"/>
    <w:rsid w:val="00471263"/>
    <w:rsid w:val="00471D6D"/>
    <w:rsid w:val="00471EC7"/>
    <w:rsid w:val="00472B79"/>
    <w:rsid w:val="00477831"/>
    <w:rsid w:val="004809AA"/>
    <w:rsid w:val="00482A94"/>
    <w:rsid w:val="00486DCD"/>
    <w:rsid w:val="00491F35"/>
    <w:rsid w:val="004921FB"/>
    <w:rsid w:val="0049628B"/>
    <w:rsid w:val="004A04DE"/>
    <w:rsid w:val="004A2B43"/>
    <w:rsid w:val="004A339C"/>
    <w:rsid w:val="004A352E"/>
    <w:rsid w:val="004A487F"/>
    <w:rsid w:val="004A7950"/>
    <w:rsid w:val="004A7E3A"/>
    <w:rsid w:val="004B062D"/>
    <w:rsid w:val="004B11D8"/>
    <w:rsid w:val="004B45A6"/>
    <w:rsid w:val="004B573A"/>
    <w:rsid w:val="004B6FE1"/>
    <w:rsid w:val="004C4607"/>
    <w:rsid w:val="004C4D19"/>
    <w:rsid w:val="004D04C0"/>
    <w:rsid w:val="004D2518"/>
    <w:rsid w:val="004D2DC2"/>
    <w:rsid w:val="004D4C71"/>
    <w:rsid w:val="004D73E6"/>
    <w:rsid w:val="004E4C2A"/>
    <w:rsid w:val="004E57D3"/>
    <w:rsid w:val="004F02E3"/>
    <w:rsid w:val="004F17F3"/>
    <w:rsid w:val="004F20CB"/>
    <w:rsid w:val="005008AE"/>
    <w:rsid w:val="00500A4F"/>
    <w:rsid w:val="00502F9B"/>
    <w:rsid w:val="00505B2A"/>
    <w:rsid w:val="0050681A"/>
    <w:rsid w:val="00514345"/>
    <w:rsid w:val="0051583D"/>
    <w:rsid w:val="00522729"/>
    <w:rsid w:val="00523862"/>
    <w:rsid w:val="00524389"/>
    <w:rsid w:val="00525058"/>
    <w:rsid w:val="00526173"/>
    <w:rsid w:val="00526F0C"/>
    <w:rsid w:val="00533413"/>
    <w:rsid w:val="0053643F"/>
    <w:rsid w:val="005366CC"/>
    <w:rsid w:val="00536A37"/>
    <w:rsid w:val="00536D3E"/>
    <w:rsid w:val="005418F5"/>
    <w:rsid w:val="00542E1F"/>
    <w:rsid w:val="00545BF2"/>
    <w:rsid w:val="005462EC"/>
    <w:rsid w:val="005468C6"/>
    <w:rsid w:val="00550514"/>
    <w:rsid w:val="00551992"/>
    <w:rsid w:val="0055369C"/>
    <w:rsid w:val="00562619"/>
    <w:rsid w:val="00564177"/>
    <w:rsid w:val="00564915"/>
    <w:rsid w:val="00566AC3"/>
    <w:rsid w:val="0056778E"/>
    <w:rsid w:val="005714AC"/>
    <w:rsid w:val="00571FBF"/>
    <w:rsid w:val="00577192"/>
    <w:rsid w:val="0057766D"/>
    <w:rsid w:val="005848C9"/>
    <w:rsid w:val="005858EE"/>
    <w:rsid w:val="005870D5"/>
    <w:rsid w:val="005870F6"/>
    <w:rsid w:val="005903F5"/>
    <w:rsid w:val="00592961"/>
    <w:rsid w:val="00594D78"/>
    <w:rsid w:val="00596856"/>
    <w:rsid w:val="005A2097"/>
    <w:rsid w:val="005A2383"/>
    <w:rsid w:val="005A4958"/>
    <w:rsid w:val="005A4C03"/>
    <w:rsid w:val="005A5888"/>
    <w:rsid w:val="005A7517"/>
    <w:rsid w:val="005B05A8"/>
    <w:rsid w:val="005B5DF7"/>
    <w:rsid w:val="005B6A0D"/>
    <w:rsid w:val="005B78BA"/>
    <w:rsid w:val="005C3ECF"/>
    <w:rsid w:val="005C4C7A"/>
    <w:rsid w:val="005C7A94"/>
    <w:rsid w:val="005D2FA6"/>
    <w:rsid w:val="005D684D"/>
    <w:rsid w:val="005E2140"/>
    <w:rsid w:val="005E3AD2"/>
    <w:rsid w:val="005E3BDA"/>
    <w:rsid w:val="005E619A"/>
    <w:rsid w:val="005F06C5"/>
    <w:rsid w:val="005F29C7"/>
    <w:rsid w:val="005F2A67"/>
    <w:rsid w:val="005F4DC9"/>
    <w:rsid w:val="005F5FFD"/>
    <w:rsid w:val="00600428"/>
    <w:rsid w:val="00601773"/>
    <w:rsid w:val="006024C3"/>
    <w:rsid w:val="00603177"/>
    <w:rsid w:val="0060330E"/>
    <w:rsid w:val="00604AFC"/>
    <w:rsid w:val="00604C4C"/>
    <w:rsid w:val="00606FE6"/>
    <w:rsid w:val="00607084"/>
    <w:rsid w:val="00611EA3"/>
    <w:rsid w:val="0061277A"/>
    <w:rsid w:val="00612B65"/>
    <w:rsid w:val="006138DE"/>
    <w:rsid w:val="006209E6"/>
    <w:rsid w:val="0062261A"/>
    <w:rsid w:val="006267FB"/>
    <w:rsid w:val="0063156D"/>
    <w:rsid w:val="00631FF3"/>
    <w:rsid w:val="006334DC"/>
    <w:rsid w:val="006342A4"/>
    <w:rsid w:val="00634D31"/>
    <w:rsid w:val="0063530D"/>
    <w:rsid w:val="00642AA4"/>
    <w:rsid w:val="006431B2"/>
    <w:rsid w:val="0064504D"/>
    <w:rsid w:val="00646640"/>
    <w:rsid w:val="00650FD6"/>
    <w:rsid w:val="00655151"/>
    <w:rsid w:val="0065640A"/>
    <w:rsid w:val="00656970"/>
    <w:rsid w:val="00656E13"/>
    <w:rsid w:val="006605EC"/>
    <w:rsid w:val="006613FB"/>
    <w:rsid w:val="00662AC1"/>
    <w:rsid w:val="00665AA5"/>
    <w:rsid w:val="0066672D"/>
    <w:rsid w:val="006669E9"/>
    <w:rsid w:val="00667F59"/>
    <w:rsid w:val="00670319"/>
    <w:rsid w:val="006722F2"/>
    <w:rsid w:val="0067281B"/>
    <w:rsid w:val="006730B1"/>
    <w:rsid w:val="00676A29"/>
    <w:rsid w:val="006808CF"/>
    <w:rsid w:val="00682C1B"/>
    <w:rsid w:val="00683D55"/>
    <w:rsid w:val="006925EE"/>
    <w:rsid w:val="00692913"/>
    <w:rsid w:val="00693884"/>
    <w:rsid w:val="00695DB8"/>
    <w:rsid w:val="006979D8"/>
    <w:rsid w:val="00697FFB"/>
    <w:rsid w:val="006A0D42"/>
    <w:rsid w:val="006A0FAB"/>
    <w:rsid w:val="006A1A6A"/>
    <w:rsid w:val="006A25E2"/>
    <w:rsid w:val="006A2F2D"/>
    <w:rsid w:val="006A38F3"/>
    <w:rsid w:val="006A3D59"/>
    <w:rsid w:val="006B0EFA"/>
    <w:rsid w:val="006B22A9"/>
    <w:rsid w:val="006B585B"/>
    <w:rsid w:val="006B6F6C"/>
    <w:rsid w:val="006C0B74"/>
    <w:rsid w:val="006C6768"/>
    <w:rsid w:val="006C6A1D"/>
    <w:rsid w:val="006C6EFD"/>
    <w:rsid w:val="006C7151"/>
    <w:rsid w:val="006C7C02"/>
    <w:rsid w:val="006D2D91"/>
    <w:rsid w:val="006E0413"/>
    <w:rsid w:val="006E0FAF"/>
    <w:rsid w:val="006E29B0"/>
    <w:rsid w:val="006E4EF7"/>
    <w:rsid w:val="006E7780"/>
    <w:rsid w:val="006F112D"/>
    <w:rsid w:val="006F121D"/>
    <w:rsid w:val="006F2610"/>
    <w:rsid w:val="006F52CD"/>
    <w:rsid w:val="006F539F"/>
    <w:rsid w:val="006F6039"/>
    <w:rsid w:val="00700C60"/>
    <w:rsid w:val="00701F7B"/>
    <w:rsid w:val="00704A98"/>
    <w:rsid w:val="00707601"/>
    <w:rsid w:val="00713EAF"/>
    <w:rsid w:val="00713ED1"/>
    <w:rsid w:val="0071409C"/>
    <w:rsid w:val="00714749"/>
    <w:rsid w:val="007171E7"/>
    <w:rsid w:val="0071785C"/>
    <w:rsid w:val="00726070"/>
    <w:rsid w:val="00727D00"/>
    <w:rsid w:val="00731F13"/>
    <w:rsid w:val="007339A0"/>
    <w:rsid w:val="00736A5A"/>
    <w:rsid w:val="0073732E"/>
    <w:rsid w:val="007405C3"/>
    <w:rsid w:val="007409D5"/>
    <w:rsid w:val="00742E87"/>
    <w:rsid w:val="00742EF4"/>
    <w:rsid w:val="00743BFC"/>
    <w:rsid w:val="007449FD"/>
    <w:rsid w:val="0075034E"/>
    <w:rsid w:val="007511DC"/>
    <w:rsid w:val="007513A6"/>
    <w:rsid w:val="00753341"/>
    <w:rsid w:val="00753828"/>
    <w:rsid w:val="00754259"/>
    <w:rsid w:val="007549C2"/>
    <w:rsid w:val="007555B6"/>
    <w:rsid w:val="0075682C"/>
    <w:rsid w:val="00757E10"/>
    <w:rsid w:val="00760080"/>
    <w:rsid w:val="00761AC0"/>
    <w:rsid w:val="00767230"/>
    <w:rsid w:val="00770269"/>
    <w:rsid w:val="00770F0D"/>
    <w:rsid w:val="007745AF"/>
    <w:rsid w:val="00775492"/>
    <w:rsid w:val="00777A45"/>
    <w:rsid w:val="0078029A"/>
    <w:rsid w:val="00780D4A"/>
    <w:rsid w:val="00781132"/>
    <w:rsid w:val="007835E7"/>
    <w:rsid w:val="00784294"/>
    <w:rsid w:val="007847A3"/>
    <w:rsid w:val="0078482C"/>
    <w:rsid w:val="0078590E"/>
    <w:rsid w:val="00785A69"/>
    <w:rsid w:val="00785D02"/>
    <w:rsid w:val="00787D13"/>
    <w:rsid w:val="00787F27"/>
    <w:rsid w:val="0079170B"/>
    <w:rsid w:val="00791ECB"/>
    <w:rsid w:val="0079436E"/>
    <w:rsid w:val="00794F12"/>
    <w:rsid w:val="00795438"/>
    <w:rsid w:val="00797671"/>
    <w:rsid w:val="007A07A7"/>
    <w:rsid w:val="007A0B03"/>
    <w:rsid w:val="007A167F"/>
    <w:rsid w:val="007A3516"/>
    <w:rsid w:val="007A42FB"/>
    <w:rsid w:val="007B7778"/>
    <w:rsid w:val="007C0AA5"/>
    <w:rsid w:val="007C114C"/>
    <w:rsid w:val="007C39D6"/>
    <w:rsid w:val="007C7201"/>
    <w:rsid w:val="007D2D7E"/>
    <w:rsid w:val="007D3476"/>
    <w:rsid w:val="007D35C2"/>
    <w:rsid w:val="007D3EA5"/>
    <w:rsid w:val="007D634E"/>
    <w:rsid w:val="007E10DB"/>
    <w:rsid w:val="007E61E6"/>
    <w:rsid w:val="007E7A99"/>
    <w:rsid w:val="007F0FCC"/>
    <w:rsid w:val="007F356F"/>
    <w:rsid w:val="007F4F58"/>
    <w:rsid w:val="007F6FDF"/>
    <w:rsid w:val="00802A07"/>
    <w:rsid w:val="00803BFF"/>
    <w:rsid w:val="00804623"/>
    <w:rsid w:val="008057EE"/>
    <w:rsid w:val="00805A86"/>
    <w:rsid w:val="008071EB"/>
    <w:rsid w:val="0080720B"/>
    <w:rsid w:val="00807F77"/>
    <w:rsid w:val="00811F70"/>
    <w:rsid w:val="00812075"/>
    <w:rsid w:val="00812826"/>
    <w:rsid w:val="00812909"/>
    <w:rsid w:val="00817C98"/>
    <w:rsid w:val="00820254"/>
    <w:rsid w:val="00823057"/>
    <w:rsid w:val="00824C0E"/>
    <w:rsid w:val="00824F4F"/>
    <w:rsid w:val="00827AAD"/>
    <w:rsid w:val="00830B21"/>
    <w:rsid w:val="008314CA"/>
    <w:rsid w:val="00831BD2"/>
    <w:rsid w:val="00834975"/>
    <w:rsid w:val="00834DC9"/>
    <w:rsid w:val="008431D3"/>
    <w:rsid w:val="00846E05"/>
    <w:rsid w:val="00850B7E"/>
    <w:rsid w:val="00855D15"/>
    <w:rsid w:val="00865551"/>
    <w:rsid w:val="00870FA9"/>
    <w:rsid w:val="00872924"/>
    <w:rsid w:val="008743A3"/>
    <w:rsid w:val="00875DCE"/>
    <w:rsid w:val="00876EC0"/>
    <w:rsid w:val="008805EB"/>
    <w:rsid w:val="0088251C"/>
    <w:rsid w:val="00883829"/>
    <w:rsid w:val="00884E26"/>
    <w:rsid w:val="00885A75"/>
    <w:rsid w:val="00885FFC"/>
    <w:rsid w:val="00887621"/>
    <w:rsid w:val="008971A4"/>
    <w:rsid w:val="008A1FCE"/>
    <w:rsid w:val="008A2E18"/>
    <w:rsid w:val="008B0A04"/>
    <w:rsid w:val="008B11C5"/>
    <w:rsid w:val="008B3209"/>
    <w:rsid w:val="008B346A"/>
    <w:rsid w:val="008B521B"/>
    <w:rsid w:val="008B691F"/>
    <w:rsid w:val="008B72EC"/>
    <w:rsid w:val="008C6BA6"/>
    <w:rsid w:val="008C7A67"/>
    <w:rsid w:val="008C7ED9"/>
    <w:rsid w:val="008D2D31"/>
    <w:rsid w:val="008D30EF"/>
    <w:rsid w:val="008D3B03"/>
    <w:rsid w:val="008D7768"/>
    <w:rsid w:val="008E0343"/>
    <w:rsid w:val="008E08D0"/>
    <w:rsid w:val="008E0CB7"/>
    <w:rsid w:val="008E1377"/>
    <w:rsid w:val="008E3640"/>
    <w:rsid w:val="008E77AE"/>
    <w:rsid w:val="008F2974"/>
    <w:rsid w:val="008F3D2C"/>
    <w:rsid w:val="009003F3"/>
    <w:rsid w:val="009013B7"/>
    <w:rsid w:val="00902753"/>
    <w:rsid w:val="00904B97"/>
    <w:rsid w:val="00905DA9"/>
    <w:rsid w:val="00911963"/>
    <w:rsid w:val="00915348"/>
    <w:rsid w:val="00915C1D"/>
    <w:rsid w:val="00916B0B"/>
    <w:rsid w:val="0092098E"/>
    <w:rsid w:val="009212B5"/>
    <w:rsid w:val="00924F47"/>
    <w:rsid w:val="00925470"/>
    <w:rsid w:val="00925488"/>
    <w:rsid w:val="00926602"/>
    <w:rsid w:val="00933AD5"/>
    <w:rsid w:val="00940645"/>
    <w:rsid w:val="0094140B"/>
    <w:rsid w:val="00942404"/>
    <w:rsid w:val="00945B8B"/>
    <w:rsid w:val="0094625C"/>
    <w:rsid w:val="00947AF4"/>
    <w:rsid w:val="00952875"/>
    <w:rsid w:val="00952C52"/>
    <w:rsid w:val="00954823"/>
    <w:rsid w:val="00955BA1"/>
    <w:rsid w:val="00955D7E"/>
    <w:rsid w:val="009569EC"/>
    <w:rsid w:val="00957A14"/>
    <w:rsid w:val="00960B0E"/>
    <w:rsid w:val="00960FD0"/>
    <w:rsid w:val="009618BF"/>
    <w:rsid w:val="00964933"/>
    <w:rsid w:val="00964E29"/>
    <w:rsid w:val="00966339"/>
    <w:rsid w:val="00974C4B"/>
    <w:rsid w:val="0097506C"/>
    <w:rsid w:val="00982C88"/>
    <w:rsid w:val="00984EFC"/>
    <w:rsid w:val="009862C2"/>
    <w:rsid w:val="00986947"/>
    <w:rsid w:val="00990BF3"/>
    <w:rsid w:val="0099264A"/>
    <w:rsid w:val="00994927"/>
    <w:rsid w:val="009978F7"/>
    <w:rsid w:val="009A062A"/>
    <w:rsid w:val="009A5893"/>
    <w:rsid w:val="009B382C"/>
    <w:rsid w:val="009B7CF0"/>
    <w:rsid w:val="009C3834"/>
    <w:rsid w:val="009C53D8"/>
    <w:rsid w:val="009D485E"/>
    <w:rsid w:val="009D49C6"/>
    <w:rsid w:val="009D61A7"/>
    <w:rsid w:val="009E0907"/>
    <w:rsid w:val="009E1C1B"/>
    <w:rsid w:val="009E4B12"/>
    <w:rsid w:val="009E4D0B"/>
    <w:rsid w:val="009E5530"/>
    <w:rsid w:val="009E585F"/>
    <w:rsid w:val="009F0B8C"/>
    <w:rsid w:val="009F18F9"/>
    <w:rsid w:val="009F20E4"/>
    <w:rsid w:val="009F2B22"/>
    <w:rsid w:val="009F2C78"/>
    <w:rsid w:val="009F4751"/>
    <w:rsid w:val="00A005CF"/>
    <w:rsid w:val="00A00EA5"/>
    <w:rsid w:val="00A01AB3"/>
    <w:rsid w:val="00A06FF2"/>
    <w:rsid w:val="00A11204"/>
    <w:rsid w:val="00A11D5D"/>
    <w:rsid w:val="00A121CE"/>
    <w:rsid w:val="00A13928"/>
    <w:rsid w:val="00A1411C"/>
    <w:rsid w:val="00A14DB2"/>
    <w:rsid w:val="00A156CC"/>
    <w:rsid w:val="00A15E14"/>
    <w:rsid w:val="00A168DA"/>
    <w:rsid w:val="00A21A76"/>
    <w:rsid w:val="00A25575"/>
    <w:rsid w:val="00A26BCC"/>
    <w:rsid w:val="00A323DE"/>
    <w:rsid w:val="00A33906"/>
    <w:rsid w:val="00A353E8"/>
    <w:rsid w:val="00A40FEA"/>
    <w:rsid w:val="00A4293A"/>
    <w:rsid w:val="00A4315D"/>
    <w:rsid w:val="00A52B21"/>
    <w:rsid w:val="00A5369B"/>
    <w:rsid w:val="00A5520D"/>
    <w:rsid w:val="00A566F4"/>
    <w:rsid w:val="00A620EA"/>
    <w:rsid w:val="00A62420"/>
    <w:rsid w:val="00A62447"/>
    <w:rsid w:val="00A63418"/>
    <w:rsid w:val="00A63A38"/>
    <w:rsid w:val="00A642B4"/>
    <w:rsid w:val="00A64516"/>
    <w:rsid w:val="00A7324B"/>
    <w:rsid w:val="00A76BF7"/>
    <w:rsid w:val="00A77897"/>
    <w:rsid w:val="00A86D82"/>
    <w:rsid w:val="00A9075A"/>
    <w:rsid w:val="00A94083"/>
    <w:rsid w:val="00AA7A2D"/>
    <w:rsid w:val="00AB653B"/>
    <w:rsid w:val="00AB7D75"/>
    <w:rsid w:val="00AC18A2"/>
    <w:rsid w:val="00AC226E"/>
    <w:rsid w:val="00AC5152"/>
    <w:rsid w:val="00AC6B6B"/>
    <w:rsid w:val="00AC7485"/>
    <w:rsid w:val="00AD0264"/>
    <w:rsid w:val="00AD0B3E"/>
    <w:rsid w:val="00AD1B81"/>
    <w:rsid w:val="00AD22B5"/>
    <w:rsid w:val="00AD4975"/>
    <w:rsid w:val="00AD5109"/>
    <w:rsid w:val="00AD5CC3"/>
    <w:rsid w:val="00AD79D2"/>
    <w:rsid w:val="00AD7CAA"/>
    <w:rsid w:val="00AE275C"/>
    <w:rsid w:val="00AE449B"/>
    <w:rsid w:val="00AE4863"/>
    <w:rsid w:val="00AE6D43"/>
    <w:rsid w:val="00AE7D2D"/>
    <w:rsid w:val="00AF0360"/>
    <w:rsid w:val="00AF3BFB"/>
    <w:rsid w:val="00AF410B"/>
    <w:rsid w:val="00AF50D4"/>
    <w:rsid w:val="00AF75A0"/>
    <w:rsid w:val="00B01787"/>
    <w:rsid w:val="00B045D5"/>
    <w:rsid w:val="00B04C36"/>
    <w:rsid w:val="00B07B06"/>
    <w:rsid w:val="00B10282"/>
    <w:rsid w:val="00B116DB"/>
    <w:rsid w:val="00B119FF"/>
    <w:rsid w:val="00B16F93"/>
    <w:rsid w:val="00B21883"/>
    <w:rsid w:val="00B221EE"/>
    <w:rsid w:val="00B24840"/>
    <w:rsid w:val="00B24D30"/>
    <w:rsid w:val="00B30F87"/>
    <w:rsid w:val="00B329BD"/>
    <w:rsid w:val="00B34292"/>
    <w:rsid w:val="00B356D2"/>
    <w:rsid w:val="00B40727"/>
    <w:rsid w:val="00B40A4F"/>
    <w:rsid w:val="00B42F1D"/>
    <w:rsid w:val="00B4423A"/>
    <w:rsid w:val="00B44CF4"/>
    <w:rsid w:val="00B44E8B"/>
    <w:rsid w:val="00B45AAE"/>
    <w:rsid w:val="00B525CC"/>
    <w:rsid w:val="00B53CE8"/>
    <w:rsid w:val="00B5563F"/>
    <w:rsid w:val="00B5682B"/>
    <w:rsid w:val="00B6567D"/>
    <w:rsid w:val="00B65EE4"/>
    <w:rsid w:val="00B725D8"/>
    <w:rsid w:val="00B72B4B"/>
    <w:rsid w:val="00B76905"/>
    <w:rsid w:val="00B82EE7"/>
    <w:rsid w:val="00B83943"/>
    <w:rsid w:val="00B83EF5"/>
    <w:rsid w:val="00B85B0F"/>
    <w:rsid w:val="00B85BCF"/>
    <w:rsid w:val="00B86145"/>
    <w:rsid w:val="00B90499"/>
    <w:rsid w:val="00B906AC"/>
    <w:rsid w:val="00B90F54"/>
    <w:rsid w:val="00B93CDB"/>
    <w:rsid w:val="00B94583"/>
    <w:rsid w:val="00B96D54"/>
    <w:rsid w:val="00BA0387"/>
    <w:rsid w:val="00BB1871"/>
    <w:rsid w:val="00BB5393"/>
    <w:rsid w:val="00BB6B06"/>
    <w:rsid w:val="00BB7418"/>
    <w:rsid w:val="00BB74F8"/>
    <w:rsid w:val="00BC0331"/>
    <w:rsid w:val="00BC1672"/>
    <w:rsid w:val="00BC4D8B"/>
    <w:rsid w:val="00BD129D"/>
    <w:rsid w:val="00BD6B84"/>
    <w:rsid w:val="00BE27C4"/>
    <w:rsid w:val="00BE29AA"/>
    <w:rsid w:val="00BE5561"/>
    <w:rsid w:val="00BE6E2B"/>
    <w:rsid w:val="00BE77D4"/>
    <w:rsid w:val="00BE7D1D"/>
    <w:rsid w:val="00BF0EA7"/>
    <w:rsid w:val="00BF3337"/>
    <w:rsid w:val="00BF35D1"/>
    <w:rsid w:val="00BF3B0C"/>
    <w:rsid w:val="00BF7C12"/>
    <w:rsid w:val="00C00753"/>
    <w:rsid w:val="00C02AD1"/>
    <w:rsid w:val="00C04636"/>
    <w:rsid w:val="00C07E7E"/>
    <w:rsid w:val="00C15B6C"/>
    <w:rsid w:val="00C20C4C"/>
    <w:rsid w:val="00C22109"/>
    <w:rsid w:val="00C2426E"/>
    <w:rsid w:val="00C24439"/>
    <w:rsid w:val="00C323AA"/>
    <w:rsid w:val="00C330B0"/>
    <w:rsid w:val="00C34C78"/>
    <w:rsid w:val="00C34F4C"/>
    <w:rsid w:val="00C367EB"/>
    <w:rsid w:val="00C45DFE"/>
    <w:rsid w:val="00C47AC3"/>
    <w:rsid w:val="00C52F13"/>
    <w:rsid w:val="00C57012"/>
    <w:rsid w:val="00C573AA"/>
    <w:rsid w:val="00C60FD1"/>
    <w:rsid w:val="00C62774"/>
    <w:rsid w:val="00C62918"/>
    <w:rsid w:val="00C634D9"/>
    <w:rsid w:val="00C651A6"/>
    <w:rsid w:val="00C652B5"/>
    <w:rsid w:val="00C66ECD"/>
    <w:rsid w:val="00C7029B"/>
    <w:rsid w:val="00C73213"/>
    <w:rsid w:val="00C7460A"/>
    <w:rsid w:val="00C7768A"/>
    <w:rsid w:val="00C825A0"/>
    <w:rsid w:val="00C82A3D"/>
    <w:rsid w:val="00C82ACF"/>
    <w:rsid w:val="00C86C83"/>
    <w:rsid w:val="00C86E5A"/>
    <w:rsid w:val="00C9235C"/>
    <w:rsid w:val="00C92C90"/>
    <w:rsid w:val="00C94B4F"/>
    <w:rsid w:val="00C950E0"/>
    <w:rsid w:val="00CA1230"/>
    <w:rsid w:val="00CA1846"/>
    <w:rsid w:val="00CA1C16"/>
    <w:rsid w:val="00CA312A"/>
    <w:rsid w:val="00CA430E"/>
    <w:rsid w:val="00CA7967"/>
    <w:rsid w:val="00CB17B1"/>
    <w:rsid w:val="00CB2F69"/>
    <w:rsid w:val="00CB50B3"/>
    <w:rsid w:val="00CB7AB1"/>
    <w:rsid w:val="00CD1D39"/>
    <w:rsid w:val="00CD4841"/>
    <w:rsid w:val="00CD5FDA"/>
    <w:rsid w:val="00CE4764"/>
    <w:rsid w:val="00CE64D0"/>
    <w:rsid w:val="00CF03D2"/>
    <w:rsid w:val="00CF0A33"/>
    <w:rsid w:val="00CF2066"/>
    <w:rsid w:val="00CF2407"/>
    <w:rsid w:val="00CF353B"/>
    <w:rsid w:val="00CF64DC"/>
    <w:rsid w:val="00D00FE8"/>
    <w:rsid w:val="00D010CE"/>
    <w:rsid w:val="00D029E1"/>
    <w:rsid w:val="00D11693"/>
    <w:rsid w:val="00D14C2C"/>
    <w:rsid w:val="00D1503F"/>
    <w:rsid w:val="00D203B8"/>
    <w:rsid w:val="00D22647"/>
    <w:rsid w:val="00D23EE7"/>
    <w:rsid w:val="00D25A5B"/>
    <w:rsid w:val="00D263D4"/>
    <w:rsid w:val="00D347DE"/>
    <w:rsid w:val="00D36321"/>
    <w:rsid w:val="00D36359"/>
    <w:rsid w:val="00D37D5A"/>
    <w:rsid w:val="00D4113D"/>
    <w:rsid w:val="00D43532"/>
    <w:rsid w:val="00D554DE"/>
    <w:rsid w:val="00D555E1"/>
    <w:rsid w:val="00D63473"/>
    <w:rsid w:val="00D67611"/>
    <w:rsid w:val="00D7038B"/>
    <w:rsid w:val="00D71E56"/>
    <w:rsid w:val="00D72C1F"/>
    <w:rsid w:val="00D73D1B"/>
    <w:rsid w:val="00D8497D"/>
    <w:rsid w:val="00D87827"/>
    <w:rsid w:val="00D91460"/>
    <w:rsid w:val="00D9209A"/>
    <w:rsid w:val="00D97F81"/>
    <w:rsid w:val="00DA0B03"/>
    <w:rsid w:val="00DA3703"/>
    <w:rsid w:val="00DA3EF3"/>
    <w:rsid w:val="00DA51E9"/>
    <w:rsid w:val="00DA541A"/>
    <w:rsid w:val="00DA57B1"/>
    <w:rsid w:val="00DA7AD7"/>
    <w:rsid w:val="00DB2881"/>
    <w:rsid w:val="00DB2A5E"/>
    <w:rsid w:val="00DB2BE9"/>
    <w:rsid w:val="00DB57C4"/>
    <w:rsid w:val="00DB6503"/>
    <w:rsid w:val="00DC5C0D"/>
    <w:rsid w:val="00DC6547"/>
    <w:rsid w:val="00DD0289"/>
    <w:rsid w:val="00DD341A"/>
    <w:rsid w:val="00DD5A76"/>
    <w:rsid w:val="00DD609B"/>
    <w:rsid w:val="00DE19FF"/>
    <w:rsid w:val="00DE1BD6"/>
    <w:rsid w:val="00DE597D"/>
    <w:rsid w:val="00DF0516"/>
    <w:rsid w:val="00DF47A5"/>
    <w:rsid w:val="00DF55FB"/>
    <w:rsid w:val="00E00190"/>
    <w:rsid w:val="00E03CEA"/>
    <w:rsid w:val="00E0608C"/>
    <w:rsid w:val="00E06CC1"/>
    <w:rsid w:val="00E11A4C"/>
    <w:rsid w:val="00E122F1"/>
    <w:rsid w:val="00E12521"/>
    <w:rsid w:val="00E13760"/>
    <w:rsid w:val="00E16AF5"/>
    <w:rsid w:val="00E17C44"/>
    <w:rsid w:val="00E22EBE"/>
    <w:rsid w:val="00E23235"/>
    <w:rsid w:val="00E24240"/>
    <w:rsid w:val="00E26209"/>
    <w:rsid w:val="00E31CDA"/>
    <w:rsid w:val="00E31D98"/>
    <w:rsid w:val="00E3202A"/>
    <w:rsid w:val="00E32D65"/>
    <w:rsid w:val="00E35450"/>
    <w:rsid w:val="00E36D0C"/>
    <w:rsid w:val="00E403F7"/>
    <w:rsid w:val="00E45826"/>
    <w:rsid w:val="00E462C6"/>
    <w:rsid w:val="00E46A19"/>
    <w:rsid w:val="00E52707"/>
    <w:rsid w:val="00E57347"/>
    <w:rsid w:val="00E61E5E"/>
    <w:rsid w:val="00E748B9"/>
    <w:rsid w:val="00E74A7E"/>
    <w:rsid w:val="00E76D72"/>
    <w:rsid w:val="00E80049"/>
    <w:rsid w:val="00E90FEA"/>
    <w:rsid w:val="00E9109B"/>
    <w:rsid w:val="00E92983"/>
    <w:rsid w:val="00EA1370"/>
    <w:rsid w:val="00EA5289"/>
    <w:rsid w:val="00EA759F"/>
    <w:rsid w:val="00EB2B6E"/>
    <w:rsid w:val="00EB3BDA"/>
    <w:rsid w:val="00EB3F1C"/>
    <w:rsid w:val="00EB64EA"/>
    <w:rsid w:val="00EB77B9"/>
    <w:rsid w:val="00EC10B4"/>
    <w:rsid w:val="00EC1161"/>
    <w:rsid w:val="00EC2A8D"/>
    <w:rsid w:val="00EC3B9C"/>
    <w:rsid w:val="00EC4543"/>
    <w:rsid w:val="00EC4D58"/>
    <w:rsid w:val="00EC6910"/>
    <w:rsid w:val="00EC7501"/>
    <w:rsid w:val="00EC7C6B"/>
    <w:rsid w:val="00EC7EE4"/>
    <w:rsid w:val="00ED6F9B"/>
    <w:rsid w:val="00ED78EB"/>
    <w:rsid w:val="00EE1395"/>
    <w:rsid w:val="00EE3596"/>
    <w:rsid w:val="00EE39D2"/>
    <w:rsid w:val="00EE70DE"/>
    <w:rsid w:val="00EE7F10"/>
    <w:rsid w:val="00EF1592"/>
    <w:rsid w:val="00EF223B"/>
    <w:rsid w:val="00EF4139"/>
    <w:rsid w:val="00F0108D"/>
    <w:rsid w:val="00F02DCE"/>
    <w:rsid w:val="00F064B7"/>
    <w:rsid w:val="00F07EA8"/>
    <w:rsid w:val="00F111A1"/>
    <w:rsid w:val="00F11475"/>
    <w:rsid w:val="00F1288D"/>
    <w:rsid w:val="00F22B65"/>
    <w:rsid w:val="00F27752"/>
    <w:rsid w:val="00F27E4B"/>
    <w:rsid w:val="00F300EE"/>
    <w:rsid w:val="00F31DDF"/>
    <w:rsid w:val="00F327DE"/>
    <w:rsid w:val="00F353CD"/>
    <w:rsid w:val="00F37EFD"/>
    <w:rsid w:val="00F434CD"/>
    <w:rsid w:val="00F46650"/>
    <w:rsid w:val="00F478A0"/>
    <w:rsid w:val="00F528C9"/>
    <w:rsid w:val="00F53EF5"/>
    <w:rsid w:val="00F548CF"/>
    <w:rsid w:val="00F563F6"/>
    <w:rsid w:val="00F564C6"/>
    <w:rsid w:val="00F66C78"/>
    <w:rsid w:val="00F73CDE"/>
    <w:rsid w:val="00F77FF0"/>
    <w:rsid w:val="00F80053"/>
    <w:rsid w:val="00F81842"/>
    <w:rsid w:val="00F81E46"/>
    <w:rsid w:val="00F83D4B"/>
    <w:rsid w:val="00F85006"/>
    <w:rsid w:val="00F857A9"/>
    <w:rsid w:val="00F85800"/>
    <w:rsid w:val="00F85CB2"/>
    <w:rsid w:val="00F90F11"/>
    <w:rsid w:val="00F93034"/>
    <w:rsid w:val="00F93078"/>
    <w:rsid w:val="00F95945"/>
    <w:rsid w:val="00FA36ED"/>
    <w:rsid w:val="00FA53ED"/>
    <w:rsid w:val="00FA6B6C"/>
    <w:rsid w:val="00FA768B"/>
    <w:rsid w:val="00FB0E54"/>
    <w:rsid w:val="00FB2372"/>
    <w:rsid w:val="00FB79EA"/>
    <w:rsid w:val="00FC005B"/>
    <w:rsid w:val="00FC4876"/>
    <w:rsid w:val="00FC54CC"/>
    <w:rsid w:val="00FC617F"/>
    <w:rsid w:val="00FC61C5"/>
    <w:rsid w:val="00FC7340"/>
    <w:rsid w:val="00FD3937"/>
    <w:rsid w:val="00FD462D"/>
    <w:rsid w:val="00FE0480"/>
    <w:rsid w:val="00FE4ABD"/>
    <w:rsid w:val="00FE62D8"/>
    <w:rsid w:val="00FE7C2A"/>
    <w:rsid w:val="00FE7C60"/>
    <w:rsid w:val="00FF01B5"/>
    <w:rsid w:val="00FF4724"/>
    <w:rsid w:val="00FF4DF0"/>
    <w:rsid w:val="00FF69D5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DBCA1"/>
  <w15:chartTrackingRefBased/>
  <w15:docId w15:val="{1316FD7A-E986-5341-85C9-99A4178D7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6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053"/>
    <w:pPr>
      <w:ind w:left="720"/>
      <w:contextualSpacing/>
    </w:pPr>
  </w:style>
  <w:style w:type="paragraph" w:styleId="Revision">
    <w:name w:val="Revision"/>
    <w:hidden/>
    <w:uiPriority w:val="99"/>
    <w:semiHidden/>
    <w:rsid w:val="006F6039"/>
  </w:style>
  <w:style w:type="character" w:styleId="CommentReference">
    <w:name w:val="annotation reference"/>
    <w:basedOn w:val="DefaultParagraphFont"/>
    <w:uiPriority w:val="99"/>
    <w:semiHidden/>
    <w:unhideWhenUsed/>
    <w:rsid w:val="000568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BE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5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39F"/>
  </w:style>
  <w:style w:type="character" w:styleId="PageNumber">
    <w:name w:val="page number"/>
    <w:basedOn w:val="DefaultParagraphFont"/>
    <w:uiPriority w:val="99"/>
    <w:semiHidden/>
    <w:unhideWhenUsed/>
    <w:rsid w:val="006F539F"/>
  </w:style>
  <w:style w:type="character" w:styleId="Hyperlink">
    <w:name w:val="Hyperlink"/>
    <w:basedOn w:val="DefaultParagraphFont"/>
    <w:uiPriority w:val="99"/>
    <w:unhideWhenUsed/>
    <w:rsid w:val="00C20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C4C"/>
    <w:rPr>
      <w:color w:val="605E5C"/>
      <w:shd w:val="clear" w:color="auto" w:fill="E1DFDD"/>
    </w:rPr>
  </w:style>
  <w:style w:type="table" w:styleId="GridTable4-Accent3">
    <w:name w:val="Grid Table 4 Accent 3"/>
    <w:basedOn w:val="TableNormal"/>
    <w:uiPriority w:val="49"/>
    <w:rsid w:val="007F6FDF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Hei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SimSun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FD7A8F-8448-7C47-A828-06F8FF3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1802</Words>
  <Characters>10275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Wang</dc:creator>
  <cp:keywords/>
  <dc:description/>
  <cp:lastModifiedBy>Jun Wang</cp:lastModifiedBy>
  <cp:revision>632</cp:revision>
  <dcterms:created xsi:type="dcterms:W3CDTF">2023-02-12T10:22:00Z</dcterms:created>
  <dcterms:modified xsi:type="dcterms:W3CDTF">2023-08-08T11:40:00Z</dcterms:modified>
</cp:coreProperties>
</file>