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630A" w14:textId="77777777" w:rsidR="00C122A9" w:rsidRPr="00C122A9" w:rsidRDefault="00C122A9" w:rsidP="00C122A9">
      <w:pPr>
        <w:pStyle w:val="BodyText"/>
        <w:tabs>
          <w:tab w:val="left" w:pos="7797"/>
        </w:tabs>
        <w:spacing w:line="276" w:lineRule="auto"/>
        <w:jc w:val="left"/>
        <w:rPr>
          <w:rFonts w:ascii="Times New Roman" w:hAnsi="Times New Roman" w:cs="Times New Roman"/>
          <w:b/>
          <w:bCs/>
          <w:color w:val="231F20"/>
          <w:sz w:val="24"/>
          <w:szCs w:val="24"/>
        </w:rPr>
      </w:pPr>
      <w:r w:rsidRPr="00C122A9">
        <w:rPr>
          <w:rFonts w:ascii="Times New Roman" w:hAnsi="Times New Roman" w:cs="Times New Roman"/>
          <w:b/>
          <w:bCs/>
          <w:color w:val="231F20"/>
          <w:sz w:val="24"/>
          <w:szCs w:val="24"/>
        </w:rPr>
        <w:t>John McAleer</w:t>
      </w:r>
    </w:p>
    <w:p w14:paraId="42DEE17D" w14:textId="77777777" w:rsidR="00C122A9" w:rsidRPr="00C122A9" w:rsidRDefault="00C122A9" w:rsidP="00C122A9">
      <w:pPr>
        <w:pStyle w:val="BodyText"/>
        <w:tabs>
          <w:tab w:val="left" w:pos="7797"/>
        </w:tabs>
        <w:spacing w:line="276" w:lineRule="auto"/>
        <w:jc w:val="left"/>
        <w:rPr>
          <w:rFonts w:ascii="Times New Roman" w:hAnsi="Times New Roman" w:cs="Times New Roman"/>
          <w:b/>
          <w:bCs/>
          <w:color w:val="231F20"/>
          <w:sz w:val="24"/>
          <w:szCs w:val="24"/>
        </w:rPr>
      </w:pPr>
    </w:p>
    <w:p w14:paraId="5ED69678" w14:textId="573C6440" w:rsidR="00C122A9" w:rsidRPr="00C122A9" w:rsidRDefault="00C122A9" w:rsidP="00C122A9">
      <w:pPr>
        <w:pStyle w:val="BodyText"/>
        <w:tabs>
          <w:tab w:val="left" w:pos="7797"/>
        </w:tabs>
        <w:spacing w:line="276" w:lineRule="auto"/>
        <w:jc w:val="left"/>
        <w:rPr>
          <w:rFonts w:ascii="Times New Roman" w:hAnsi="Times New Roman" w:cs="Times New Roman"/>
          <w:b/>
          <w:bCs/>
          <w:i/>
          <w:iCs/>
          <w:color w:val="231F20"/>
          <w:sz w:val="24"/>
          <w:szCs w:val="24"/>
        </w:rPr>
      </w:pPr>
      <w:r w:rsidRPr="00C122A9">
        <w:rPr>
          <w:rFonts w:ascii="Times New Roman" w:hAnsi="Times New Roman" w:cs="Times New Roman"/>
          <w:b/>
          <w:bCs/>
          <w:color w:val="231F20"/>
          <w:sz w:val="24"/>
          <w:szCs w:val="24"/>
        </w:rPr>
        <w:t>Essay Review: ‘</w:t>
      </w:r>
      <w:r w:rsidRPr="00C122A9">
        <w:rPr>
          <w:rFonts w:ascii="Times New Roman" w:hAnsi="Times New Roman" w:cs="Times New Roman"/>
          <w:b/>
          <w:bCs/>
          <w:color w:val="231F20"/>
          <w:sz w:val="24"/>
          <w:szCs w:val="24"/>
        </w:rPr>
        <w:t>Panoramic Visions</w:t>
      </w:r>
      <w:r w:rsidRPr="00C122A9">
        <w:rPr>
          <w:rFonts w:ascii="Times New Roman" w:hAnsi="Times New Roman" w:cs="Times New Roman"/>
          <w:b/>
          <w:bCs/>
          <w:color w:val="231F20"/>
          <w:sz w:val="24"/>
          <w:szCs w:val="24"/>
        </w:rPr>
        <w:t>’:</w:t>
      </w:r>
      <w:r w:rsidRPr="00C122A9">
        <w:rPr>
          <w:rFonts w:ascii="Times New Roman" w:hAnsi="Times New Roman" w:cs="Times New Roman"/>
          <w:b/>
          <w:bCs/>
          <w:color w:val="231F20"/>
          <w:sz w:val="24"/>
          <w:szCs w:val="24"/>
        </w:rPr>
        <w:t xml:space="preserve"> Denise Blake </w:t>
      </w:r>
      <w:proofErr w:type="spellStart"/>
      <w:r w:rsidRPr="00C122A9">
        <w:rPr>
          <w:rFonts w:ascii="Times New Roman" w:hAnsi="Times New Roman" w:cs="Times New Roman"/>
          <w:b/>
          <w:bCs/>
          <w:color w:val="231F20"/>
          <w:sz w:val="24"/>
          <w:szCs w:val="24"/>
        </w:rPr>
        <w:t>Oleksijczuk</w:t>
      </w:r>
      <w:proofErr w:type="spellEnd"/>
      <w:r w:rsidRPr="00C122A9">
        <w:rPr>
          <w:rFonts w:ascii="Times New Roman" w:hAnsi="Times New Roman" w:cs="Times New Roman"/>
          <w:b/>
          <w:bCs/>
          <w:color w:val="231F20"/>
          <w:sz w:val="24"/>
          <w:szCs w:val="24"/>
        </w:rPr>
        <w:t xml:space="preserve">, </w:t>
      </w:r>
      <w:r w:rsidRPr="00C122A9">
        <w:rPr>
          <w:rFonts w:ascii="Times New Roman" w:hAnsi="Times New Roman" w:cs="Times New Roman"/>
          <w:b/>
          <w:bCs/>
          <w:i/>
          <w:iCs/>
          <w:color w:val="231F20"/>
          <w:sz w:val="24"/>
          <w:szCs w:val="24"/>
        </w:rPr>
        <w:t>The First Panoramas</w:t>
      </w:r>
      <w:r w:rsidRPr="00C122A9">
        <w:rPr>
          <w:rFonts w:ascii="Times New Roman" w:hAnsi="Times New Roman" w:cs="Times New Roman"/>
          <w:b/>
          <w:bCs/>
          <w:color w:val="231F20"/>
          <w:sz w:val="24"/>
          <w:szCs w:val="24"/>
        </w:rPr>
        <w:t xml:space="preserve">; </w:t>
      </w:r>
      <w:proofErr w:type="spellStart"/>
      <w:r w:rsidRPr="00C122A9">
        <w:rPr>
          <w:rFonts w:ascii="Times New Roman" w:hAnsi="Times New Roman" w:cs="Times New Roman"/>
          <w:b/>
          <w:bCs/>
          <w:color w:val="231F20"/>
          <w:sz w:val="24"/>
          <w:szCs w:val="24"/>
        </w:rPr>
        <w:t>Erkki</w:t>
      </w:r>
      <w:proofErr w:type="spellEnd"/>
      <w:r w:rsidRPr="00C122A9">
        <w:rPr>
          <w:rFonts w:ascii="Times New Roman" w:hAnsi="Times New Roman" w:cs="Times New Roman"/>
          <w:b/>
          <w:bCs/>
          <w:color w:val="231F20"/>
          <w:sz w:val="24"/>
          <w:szCs w:val="24"/>
        </w:rPr>
        <w:t xml:space="preserve"> </w:t>
      </w:r>
      <w:proofErr w:type="spellStart"/>
      <w:r w:rsidRPr="00C122A9">
        <w:rPr>
          <w:rFonts w:ascii="Times New Roman" w:hAnsi="Times New Roman" w:cs="Times New Roman"/>
          <w:b/>
          <w:bCs/>
          <w:color w:val="231F20"/>
          <w:sz w:val="24"/>
          <w:szCs w:val="24"/>
        </w:rPr>
        <w:t>Huhtamo</w:t>
      </w:r>
      <w:proofErr w:type="spellEnd"/>
      <w:r w:rsidRPr="00C122A9">
        <w:rPr>
          <w:rFonts w:ascii="Times New Roman" w:hAnsi="Times New Roman" w:cs="Times New Roman"/>
          <w:b/>
          <w:bCs/>
          <w:color w:val="231F20"/>
          <w:sz w:val="24"/>
          <w:szCs w:val="24"/>
        </w:rPr>
        <w:t xml:space="preserve">, </w:t>
      </w:r>
      <w:r w:rsidRPr="00C122A9">
        <w:rPr>
          <w:rFonts w:ascii="Times New Roman" w:hAnsi="Times New Roman" w:cs="Times New Roman"/>
          <w:b/>
          <w:bCs/>
          <w:i/>
          <w:iCs/>
          <w:color w:val="231F20"/>
          <w:sz w:val="24"/>
          <w:szCs w:val="24"/>
        </w:rPr>
        <w:t>Illusions in Motion</w:t>
      </w:r>
    </w:p>
    <w:p w14:paraId="3CF86F46" w14:textId="21D19E0F" w:rsidR="00C122A9" w:rsidRPr="00C122A9" w:rsidRDefault="00C122A9" w:rsidP="00C122A9">
      <w:pPr>
        <w:pStyle w:val="BodyText"/>
        <w:tabs>
          <w:tab w:val="left" w:pos="7797"/>
        </w:tabs>
        <w:spacing w:line="276" w:lineRule="auto"/>
        <w:jc w:val="left"/>
        <w:rPr>
          <w:rFonts w:ascii="Times New Roman" w:hAnsi="Times New Roman" w:cs="Times New Roman"/>
          <w:b/>
          <w:bCs/>
          <w:i/>
          <w:iCs/>
          <w:color w:val="231F20"/>
          <w:sz w:val="24"/>
          <w:szCs w:val="24"/>
        </w:rPr>
      </w:pPr>
    </w:p>
    <w:p w14:paraId="01A95FD3" w14:textId="5A333F21" w:rsidR="00C122A9" w:rsidRPr="00C122A9" w:rsidRDefault="00C122A9" w:rsidP="00C122A9">
      <w:pPr>
        <w:pStyle w:val="BodyText"/>
        <w:tabs>
          <w:tab w:val="left" w:pos="7797"/>
        </w:tabs>
        <w:spacing w:line="276" w:lineRule="auto"/>
        <w:jc w:val="left"/>
        <w:rPr>
          <w:rFonts w:ascii="Times New Roman" w:hAnsi="Times New Roman" w:cs="Times New Roman"/>
          <w:b/>
          <w:bCs/>
          <w:color w:val="231F20"/>
          <w:sz w:val="24"/>
          <w:szCs w:val="24"/>
        </w:rPr>
      </w:pPr>
      <w:r w:rsidRPr="00C122A9">
        <w:rPr>
          <w:rFonts w:ascii="Times New Roman" w:hAnsi="Times New Roman" w:cs="Times New Roman"/>
          <w:b/>
          <w:bCs/>
          <w:i/>
          <w:iCs/>
          <w:color w:val="231F20"/>
          <w:sz w:val="24"/>
          <w:szCs w:val="24"/>
        </w:rPr>
        <w:t>Technology and Culture</w:t>
      </w:r>
      <w:r w:rsidRPr="00C122A9">
        <w:rPr>
          <w:rFonts w:ascii="Times New Roman" w:hAnsi="Times New Roman" w:cs="Times New Roman"/>
          <w:b/>
          <w:bCs/>
          <w:color w:val="231F20"/>
          <w:sz w:val="24"/>
          <w:szCs w:val="24"/>
        </w:rPr>
        <w:t xml:space="preserve"> </w:t>
      </w:r>
      <w:r>
        <w:rPr>
          <w:rFonts w:ascii="Times New Roman" w:hAnsi="Times New Roman" w:cs="Times New Roman"/>
          <w:b/>
          <w:bCs/>
          <w:color w:val="231F20"/>
          <w:sz w:val="24"/>
          <w:szCs w:val="24"/>
        </w:rPr>
        <w:t xml:space="preserve">55:1 </w:t>
      </w:r>
      <w:r w:rsidRPr="00C122A9">
        <w:rPr>
          <w:rFonts w:ascii="Times New Roman" w:hAnsi="Times New Roman" w:cs="Times New Roman"/>
          <w:b/>
          <w:bCs/>
          <w:color w:val="231F20"/>
          <w:sz w:val="24"/>
          <w:szCs w:val="24"/>
        </w:rPr>
        <w:t>(January 2014), pp.</w:t>
      </w:r>
      <w:r>
        <w:rPr>
          <w:rFonts w:ascii="Times New Roman" w:hAnsi="Times New Roman" w:cs="Times New Roman"/>
          <w:b/>
          <w:bCs/>
          <w:color w:val="231F20"/>
          <w:sz w:val="24"/>
          <w:szCs w:val="24"/>
        </w:rPr>
        <w:t xml:space="preserve"> 237–40.</w:t>
      </w:r>
    </w:p>
    <w:p w14:paraId="7AA3B93C"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57173043"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115F90FF" w14:textId="3F0BBB19"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1788,</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Robert</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Barker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exhibited</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his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i/>
          <w:color w:val="231F20"/>
          <w:sz w:val="24"/>
          <w:szCs w:val="24"/>
        </w:rPr>
        <w:t>View</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i/>
          <w:color w:val="231F20"/>
          <w:sz w:val="24"/>
          <w:szCs w:val="24"/>
        </w:rPr>
        <w:t>of</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i/>
          <w:color w:val="231F20"/>
          <w:sz w:val="24"/>
          <w:szCs w:val="24"/>
        </w:rPr>
        <w:t>Edinburgh</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i/>
          <w:color w:val="231F20"/>
          <w:sz w:val="24"/>
          <w:szCs w:val="24"/>
        </w:rPr>
        <w:t>and</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i/>
          <w:color w:val="231F20"/>
          <w:sz w:val="24"/>
          <w:szCs w:val="24"/>
        </w:rPr>
        <w:t>the</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i/>
          <w:color w:val="231F20"/>
          <w:sz w:val="24"/>
          <w:szCs w:val="24"/>
        </w:rPr>
        <w:t xml:space="preserve">Surrounding Country from the </w:t>
      </w:r>
      <w:proofErr w:type="spellStart"/>
      <w:r w:rsidRPr="00C122A9">
        <w:rPr>
          <w:rFonts w:ascii="Times New Roman" w:hAnsi="Times New Roman" w:cs="Times New Roman"/>
          <w:i/>
          <w:color w:val="231F20"/>
          <w:sz w:val="24"/>
          <w:szCs w:val="24"/>
        </w:rPr>
        <w:t>Calton</w:t>
      </w:r>
      <w:proofErr w:type="spellEnd"/>
      <w:r w:rsidRPr="00C122A9">
        <w:rPr>
          <w:rFonts w:ascii="Times New Roman" w:hAnsi="Times New Roman" w:cs="Times New Roman"/>
          <w:i/>
          <w:color w:val="231F20"/>
          <w:sz w:val="24"/>
          <w:szCs w:val="24"/>
        </w:rPr>
        <w:t xml:space="preserve"> Hill </w:t>
      </w:r>
      <w:r w:rsidRPr="00C122A9">
        <w:rPr>
          <w:rFonts w:ascii="Times New Roman" w:hAnsi="Times New Roman" w:cs="Times New Roman"/>
          <w:color w:val="231F20"/>
          <w:sz w:val="24"/>
          <w:szCs w:val="24"/>
        </w:rPr>
        <w:t xml:space="preserve">in the Scottish capital. This was no ordinary landscape view, however; instead, it was the first exhibition of a new form of public entertainment for which Barker had secured a patent the previous year. His immense paintings, of which this was the first example, were displayed on the inside of an enormous cylinder that surrounded the observer. They heralded the start of what </w:t>
      </w:r>
      <w:proofErr w:type="spellStart"/>
      <w:r w:rsidRPr="00C122A9">
        <w:rPr>
          <w:rFonts w:ascii="Times New Roman" w:hAnsi="Times New Roman" w:cs="Times New Roman"/>
          <w:color w:val="231F20"/>
          <w:sz w:val="24"/>
          <w:szCs w:val="24"/>
        </w:rPr>
        <w:t>Erkki</w:t>
      </w:r>
      <w:proofErr w:type="spellEnd"/>
      <w:r w:rsidRPr="00C122A9">
        <w:rPr>
          <w:rFonts w:ascii="Times New Roman" w:hAnsi="Times New Roman" w:cs="Times New Roman"/>
          <w:color w:val="231F20"/>
          <w:sz w:val="24"/>
          <w:szCs w:val="24"/>
        </w:rPr>
        <w:t xml:space="preserve"> </w:t>
      </w:r>
      <w:proofErr w:type="spellStart"/>
      <w:r w:rsidRPr="00C122A9">
        <w:rPr>
          <w:rFonts w:ascii="Times New Roman" w:hAnsi="Times New Roman" w:cs="Times New Roman"/>
          <w:color w:val="231F20"/>
          <w:sz w:val="24"/>
          <w:szCs w:val="24"/>
        </w:rPr>
        <w:t>Huhtamo’s</w:t>
      </w:r>
      <w:proofErr w:type="spellEnd"/>
      <w:r w:rsidRPr="00C122A9">
        <w:rPr>
          <w:rFonts w:ascii="Times New Roman" w:hAnsi="Times New Roman" w:cs="Times New Roman"/>
          <w:color w:val="231F20"/>
          <w:sz w:val="24"/>
          <w:szCs w:val="24"/>
        </w:rPr>
        <w:t xml:space="preserve"> </w:t>
      </w:r>
      <w:r w:rsidRPr="00C122A9">
        <w:rPr>
          <w:rFonts w:ascii="Times New Roman" w:hAnsi="Times New Roman" w:cs="Times New Roman"/>
          <w:i/>
          <w:color w:val="231F20"/>
          <w:sz w:val="24"/>
          <w:szCs w:val="24"/>
        </w:rPr>
        <w:t xml:space="preserve">Illusions in Motion: Media Archaeology of the Moving Panorama and Related Spectacles </w:t>
      </w:r>
      <w:r w:rsidRPr="00C122A9">
        <w:rPr>
          <w:rFonts w:ascii="Times New Roman" w:hAnsi="Times New Roman" w:cs="Times New Roman"/>
          <w:color w:val="231F20"/>
          <w:sz w:val="24"/>
          <w:szCs w:val="24"/>
        </w:rPr>
        <w:t>(Cambridge, MA: MIT Press, 2013. Pp. xx+456. $45) calls a form of “visual immersion” that became increasingly sophisticated as the eighteenth</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century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gave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way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nineteenth</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(p.</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xvii).</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few</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years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later,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Barker described his innovation as “The Panorama” (combining the Greek words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“all”</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“view”)—a</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new</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term</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that</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appeared</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print</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first time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advertisement</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i/>
          <w:color w:val="231F20"/>
          <w:sz w:val="24"/>
          <w:szCs w:val="24"/>
        </w:rPr>
        <w:t>Oracle</w:t>
      </w:r>
      <w:r w:rsidRPr="00C122A9">
        <w:rPr>
          <w:rFonts w:ascii="Times New Roman" w:hAnsi="Times New Roman" w:cs="Times New Roman"/>
          <w:i/>
          <w:color w:val="231F20"/>
          <w:spacing w:val="-5"/>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18</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May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1791.</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soon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moved</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his panoramas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purpose-built</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rotunda</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Leicester</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Square,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designed</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 architect Robert Mitchell. And Barker predicted that his invention would prove to be “the greatest improvement to the art of painting that has ever yet been discovered” (</w:t>
      </w:r>
      <w:r w:rsidRPr="00C122A9">
        <w:rPr>
          <w:rFonts w:ascii="Times New Roman" w:hAnsi="Times New Roman" w:cs="Times New Roman"/>
          <w:i/>
          <w:color w:val="231F20"/>
          <w:sz w:val="24"/>
          <w:szCs w:val="24"/>
        </w:rPr>
        <w:t>Illusions in Motion</w:t>
      </w:r>
      <w:r w:rsidRPr="00C122A9">
        <w:rPr>
          <w:rFonts w:ascii="Times New Roman" w:hAnsi="Times New Roman" w:cs="Times New Roman"/>
          <w:color w:val="231F20"/>
          <w:sz w:val="24"/>
          <w:szCs w:val="24"/>
        </w:rPr>
        <w:t>, p. 1).</w:t>
      </w:r>
    </w:p>
    <w:p w14:paraId="6C771263" w14:textId="2F0947F7"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46BAB58D" w14:textId="173FA110"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r w:rsidRPr="00C122A9">
        <w:rPr>
          <w:rFonts w:ascii="Times New Roman" w:hAnsi="Times New Roman" w:cs="Times New Roman"/>
          <w:color w:val="231F20"/>
          <w:sz w:val="24"/>
          <w:szCs w:val="24"/>
        </w:rPr>
        <w:t>Over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next</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fifty</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years,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huge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circular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panoramas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presented</w:t>
      </w:r>
      <w:r w:rsidRPr="00C122A9">
        <w:rPr>
          <w:rFonts w:ascii="Times New Roman" w:hAnsi="Times New Roman" w:cs="Times New Roman"/>
          <w:color w:val="231F20"/>
          <w:spacing w:val="-2"/>
          <w:sz w:val="24"/>
          <w:szCs w:val="24"/>
        </w:rPr>
        <w:t xml:space="preserve"> audiences</w:t>
      </w:r>
      <w:r w:rsidRPr="00C122A9">
        <w:rPr>
          <w:rFonts w:ascii="Times New Roman" w:hAnsi="Times New Roman" w:cs="Times New Roman"/>
          <w:sz w:val="24"/>
          <w:szCs w:val="24"/>
        </w:rPr>
        <w:t xml:space="preserve"> </w:t>
      </w:r>
      <w:r w:rsidRPr="00C122A9">
        <w:rPr>
          <w:rFonts w:ascii="Times New Roman" w:hAnsi="Times New Roman" w:cs="Times New Roman"/>
          <w:color w:val="231F20"/>
          <w:sz w:val="24"/>
          <w:szCs w:val="24"/>
        </w:rPr>
        <w:t>with increasingly sophisticated images, ranging from representations of historic battle scenes to depictions of foreign and exotic locations. As he had forecast, Barker’s invention was an immediate and sustained success, spawning</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raft</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imitations:</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some</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126</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panoramas</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were</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exhibited</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London</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between</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1793</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1863.</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end</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nineteenth</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z w:val="24"/>
          <w:szCs w:val="24"/>
        </w:rPr>
        <w:t>century,</w:t>
      </w:r>
      <w:r w:rsidRPr="00C122A9">
        <w:rPr>
          <w:rFonts w:ascii="Times New Roman" w:hAnsi="Times New Roman" w:cs="Times New Roman"/>
          <w:color w:val="231F20"/>
          <w:spacing w:val="17"/>
          <w:sz w:val="24"/>
          <w:szCs w:val="24"/>
        </w:rPr>
        <w:t xml:space="preserve"> </w:t>
      </w:r>
      <w:r w:rsidRPr="00C122A9">
        <w:rPr>
          <w:rFonts w:ascii="Times New Roman" w:hAnsi="Times New Roman" w:cs="Times New Roman"/>
          <w:color w:val="231F20"/>
          <w:spacing w:val="-4"/>
          <w:sz w:val="24"/>
          <w:szCs w:val="24"/>
        </w:rPr>
        <w:t>most</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major</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European</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cities</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featured</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more</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than</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one</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purpose-built</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structure</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presenting panoramas</w:t>
      </w:r>
      <w:r w:rsidRPr="00C122A9">
        <w:rPr>
          <w:rFonts w:ascii="Times New Roman" w:hAnsi="Times New Roman" w:cs="Times New Roman"/>
          <w:color w:val="231F20"/>
          <w:sz w:val="24"/>
          <w:szCs w:val="24"/>
        </w:rPr>
        <w:t>.</w:t>
      </w:r>
    </w:p>
    <w:p w14:paraId="6A9AFDBC"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567ED21D" w14:textId="11E8EC88"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r w:rsidRPr="00C122A9">
        <w:rPr>
          <w:rFonts w:ascii="Times New Roman" w:hAnsi="Times New Roman" w:cs="Times New Roman"/>
          <w:color w:val="231F20"/>
          <w:sz w:val="24"/>
          <w:szCs w:val="24"/>
        </w:rPr>
        <w:t xml:space="preserve">Both </w:t>
      </w:r>
      <w:proofErr w:type="spellStart"/>
      <w:r w:rsidRPr="00C122A9">
        <w:rPr>
          <w:rFonts w:ascii="Times New Roman" w:hAnsi="Times New Roman" w:cs="Times New Roman"/>
          <w:color w:val="231F20"/>
          <w:sz w:val="24"/>
          <w:szCs w:val="24"/>
        </w:rPr>
        <w:t>Huhtamo</w:t>
      </w:r>
      <w:proofErr w:type="spellEnd"/>
      <w:r w:rsidRPr="00C122A9">
        <w:rPr>
          <w:rFonts w:ascii="Times New Roman" w:hAnsi="Times New Roman" w:cs="Times New Roman"/>
          <w:color w:val="231F20"/>
          <w:sz w:val="24"/>
          <w:szCs w:val="24"/>
        </w:rPr>
        <w:t xml:space="preserve"> and Denise Blake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z w:val="24"/>
          <w:szCs w:val="24"/>
        </w:rPr>
        <w:t xml:space="preserve"> begin their respective books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detailing</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genesis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panorama</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Barker’s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images.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Despite this,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however,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their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texts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soon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diverge,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take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readers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on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two</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very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pacing w:val="-4"/>
          <w:sz w:val="24"/>
          <w:szCs w:val="24"/>
        </w:rPr>
        <w:t>dif</w:t>
      </w:r>
      <w:r w:rsidRPr="00C122A9">
        <w:rPr>
          <w:rFonts w:ascii="Times New Roman" w:hAnsi="Times New Roman" w:cs="Times New Roman"/>
          <w:color w:val="231F20"/>
          <w:sz w:val="24"/>
          <w:szCs w:val="24"/>
        </w:rPr>
        <w:t>ferent</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journeys</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through</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this</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crucial</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chapter</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history</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3"/>
          <w:sz w:val="24"/>
          <w:szCs w:val="24"/>
        </w:rPr>
        <w:t xml:space="preserve"> </w:t>
      </w:r>
      <w:r w:rsidRPr="00C122A9">
        <w:rPr>
          <w:rFonts w:ascii="Times New Roman" w:hAnsi="Times New Roman" w:cs="Times New Roman"/>
          <w:color w:val="231F20"/>
          <w:spacing w:val="-2"/>
          <w:sz w:val="24"/>
          <w:szCs w:val="24"/>
        </w:rPr>
        <w:t>visualization.</w:t>
      </w:r>
      <w:r>
        <w:rPr>
          <w:rFonts w:ascii="Times New Roman" w:hAnsi="Times New Roman" w:cs="Times New Roman"/>
          <w:color w:val="231F20"/>
          <w:spacing w:val="-2"/>
          <w:sz w:val="24"/>
          <w:szCs w:val="24"/>
        </w:rPr>
        <w:t xml:space="preserve"> </w:t>
      </w:r>
      <w:proofErr w:type="spellStart"/>
      <w:r w:rsidRPr="00C122A9">
        <w:rPr>
          <w:rFonts w:ascii="Times New Roman" w:hAnsi="Times New Roman" w:cs="Times New Roman"/>
          <w:color w:val="231F20"/>
          <w:sz w:val="24"/>
          <w:szCs w:val="24"/>
        </w:rPr>
        <w:t>Oleksijczuk’s</w:t>
      </w:r>
      <w:proofErr w:type="spellEnd"/>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i/>
          <w:color w:val="231F20"/>
          <w:sz w:val="24"/>
          <w:szCs w:val="24"/>
        </w:rPr>
        <w:t>The</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First</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Panoramas:</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Visions</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of</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British</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i/>
          <w:color w:val="231F20"/>
          <w:sz w:val="24"/>
          <w:szCs w:val="24"/>
        </w:rPr>
        <w:t>Imperialism</w:t>
      </w:r>
      <w:r w:rsidRPr="00C122A9">
        <w:rPr>
          <w:rFonts w:ascii="Times New Roman" w:hAnsi="Times New Roman" w:cs="Times New Roman"/>
          <w:i/>
          <w:color w:val="231F20"/>
          <w:spacing w:val="-1"/>
          <w:sz w:val="24"/>
          <w:szCs w:val="24"/>
        </w:rPr>
        <w:t xml:space="preserve"> </w:t>
      </w:r>
      <w:r w:rsidRPr="00C122A9">
        <w:rPr>
          <w:rFonts w:ascii="Times New Roman" w:hAnsi="Times New Roman" w:cs="Times New Roman"/>
          <w:color w:val="231F20"/>
          <w:sz w:val="24"/>
          <w:szCs w:val="24"/>
        </w:rPr>
        <w:t>(Minneapolis: University of Minnesota Press, 2011. Pp. vi+222. $29.95) focuses squarely on Barker and the ramifications of his invention. She considers the impact of the panorama on viewers in Britain and investigates what early efforts in this medium can tell us about British ideas of identity at a particularly</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febrile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moment</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European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history,</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with</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Britain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engaged</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 xml:space="preserve">a military struggle with revolutionary France. In order to do so,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z w:val="24"/>
          <w:szCs w:val="24"/>
        </w:rPr>
        <w:t xml:space="preserve"> concentrates on a small number of specific examples and reconstructs, as far as possible, the public responses to them</w:t>
      </w:r>
      <w:r>
        <w:rPr>
          <w:rFonts w:ascii="Times New Roman" w:hAnsi="Times New Roman" w:cs="Times New Roman"/>
          <w:color w:val="231F20"/>
          <w:sz w:val="24"/>
          <w:szCs w:val="24"/>
        </w:rPr>
        <w:t>.</w:t>
      </w:r>
    </w:p>
    <w:p w14:paraId="360D046D"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p>
    <w:p w14:paraId="3D7206BE" w14:textId="1B25A532"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z w:val="24"/>
          <w:szCs w:val="24"/>
        </w:rPr>
        <w:t xml:space="preserve"> suggests that viewers, who flocked to see panoramas in droves, sometimes </w:t>
      </w:r>
      <w:r w:rsidRPr="00C122A9">
        <w:rPr>
          <w:rFonts w:ascii="Times New Roman" w:hAnsi="Times New Roman" w:cs="Times New Roman"/>
          <w:color w:val="231F20"/>
          <w:sz w:val="24"/>
          <w:szCs w:val="24"/>
        </w:rPr>
        <w:lastRenderedPageBreak/>
        <w:t>paying up to three shillings to stand on a central platform under a skylight that offered even lighting across the entire canvas, would have “read,” or interpreted, these images in complex ways. Their responses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were,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she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argues,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necessarily</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shaped</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their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own</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political</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agendas and experiences, as well as reflecting broader national concerns. Put simply, developing ideas about nationalism and imperialism—forged in the smithy of global war with France—were deeply entwined with the development</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this</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technology.</w:t>
      </w:r>
      <w:r w:rsidRPr="00C122A9">
        <w:rPr>
          <w:rFonts w:ascii="Times New Roman" w:hAnsi="Times New Roman" w:cs="Times New Roman"/>
          <w:color w:val="231F20"/>
          <w:spacing w:val="-9"/>
          <w:sz w:val="24"/>
          <w:szCs w:val="24"/>
        </w:rPr>
        <w:t xml:space="preserve">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maintains</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that</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panoramas of</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Barker</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others)</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shrank</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world</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as</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they</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enlarged</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Britain’s</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place</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in it” (p. 171).</w:t>
      </w:r>
    </w:p>
    <w:p w14:paraId="036E0328"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p>
    <w:p w14:paraId="7BF740DC" w14:textId="77777777" w:rsid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r w:rsidRPr="00C122A9">
        <w:rPr>
          <w:rFonts w:ascii="Times New Roman" w:hAnsi="Times New Roman" w:cs="Times New Roman"/>
          <w:color w:val="231F20"/>
          <w:sz w:val="24"/>
          <w:szCs w:val="24"/>
        </w:rPr>
        <w:t xml:space="preserve">The exhibition in 1793 of the </w:t>
      </w:r>
      <w:r w:rsidRPr="00C122A9">
        <w:rPr>
          <w:rFonts w:ascii="Times New Roman" w:hAnsi="Times New Roman" w:cs="Times New Roman"/>
          <w:i/>
          <w:color w:val="231F20"/>
          <w:sz w:val="24"/>
          <w:szCs w:val="24"/>
        </w:rPr>
        <w:t>View of the Grand Fleet Moored at Spithead</w:t>
      </w:r>
      <w:r w:rsidRPr="00C122A9">
        <w:rPr>
          <w:rFonts w:ascii="Times New Roman" w:hAnsi="Times New Roman" w:cs="Times New Roman"/>
          <w:i/>
          <w:color w:val="231F20"/>
          <w:spacing w:val="-2"/>
          <w:sz w:val="24"/>
          <w:szCs w:val="24"/>
        </w:rPr>
        <w:t xml:space="preserve"> </w:t>
      </w:r>
      <w:r w:rsidRPr="00C122A9">
        <w:rPr>
          <w:rFonts w:ascii="Times New Roman" w:hAnsi="Times New Roman" w:cs="Times New Roman"/>
          <w:color w:val="231F20"/>
          <w:sz w:val="24"/>
          <w:szCs w:val="24"/>
        </w:rPr>
        <w:t>offers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pertinent</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example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this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process.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canvas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brought</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view of Royal Navy ships, the country’s key military weapon, to the heart of London. The fleet was assembled off the south coast as part of the British effort to force the Russians to settle their territorial dispute with the Ottomans.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On</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display</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Leicester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Square,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however,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image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brought</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viewers into close proximity with the “wooden walls” of England—the best bulwark</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against</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invasion</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country</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could</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muster.</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few</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years</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later,</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1801–02,</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British</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alliance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with</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Ottomans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was</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reinforced</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4"/>
          <w:sz w:val="24"/>
          <w:szCs w:val="24"/>
        </w:rPr>
        <w:t xml:space="preserve"> </w:t>
      </w:r>
      <w:r w:rsidRPr="00C122A9">
        <w:rPr>
          <w:rFonts w:ascii="Times New Roman" w:hAnsi="Times New Roman" w:cs="Times New Roman"/>
          <w:color w:val="231F20"/>
          <w:sz w:val="24"/>
          <w:szCs w:val="24"/>
        </w:rPr>
        <w:t>exhibition of</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panorama</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Constantinople,</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which</w:t>
      </w:r>
      <w:r w:rsidRPr="00C122A9">
        <w:rPr>
          <w:rFonts w:ascii="Times New Roman" w:hAnsi="Times New Roman" w:cs="Times New Roman"/>
          <w:color w:val="231F20"/>
          <w:spacing w:val="11"/>
          <w:sz w:val="24"/>
          <w:szCs w:val="24"/>
        </w:rPr>
        <w:t xml:space="preserve">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discusses</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pacing w:val="-2"/>
          <w:sz w:val="24"/>
          <w:szCs w:val="24"/>
        </w:rPr>
        <w:t>chapter</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4. Intriguingly, this scene was shown in two separate panoramas, offering viewpoints on opposite sides of the Bosporus. The sheer visual power of the medium to affect early audiences is probably lost on us today, but it is an</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important</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point</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one</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made</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eloquently</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at</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various</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points</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color w:val="231F20"/>
          <w:sz w:val="24"/>
          <w:szCs w:val="24"/>
        </w:rPr>
        <w:t xml:space="preserve">book. </w:t>
      </w:r>
    </w:p>
    <w:p w14:paraId="6EC4C079" w14:textId="77777777" w:rsid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0D3C6D58" w14:textId="0D18D666"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5"/>
          <w:sz w:val="24"/>
          <w:szCs w:val="24"/>
        </w:rPr>
      </w:pPr>
      <w:r w:rsidRPr="00C122A9">
        <w:rPr>
          <w:rFonts w:ascii="Times New Roman" w:hAnsi="Times New Roman" w:cs="Times New Roman"/>
          <w:color w:val="231F20"/>
          <w:sz w:val="24"/>
          <w:szCs w:val="24"/>
        </w:rPr>
        <w:t>Notwithstanding</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their</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size</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visual</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power,</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however,</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these</w:t>
      </w:r>
      <w:r w:rsidRPr="00C122A9">
        <w:rPr>
          <w:rFonts w:ascii="Times New Roman" w:hAnsi="Times New Roman" w:cs="Times New Roman"/>
          <w:color w:val="231F20"/>
          <w:spacing w:val="38"/>
          <w:sz w:val="24"/>
          <w:szCs w:val="24"/>
        </w:rPr>
        <w:t xml:space="preserve"> </w:t>
      </w:r>
      <w:r w:rsidRPr="00C122A9">
        <w:rPr>
          <w:rFonts w:ascii="Times New Roman" w:hAnsi="Times New Roman" w:cs="Times New Roman"/>
          <w:color w:val="231F20"/>
          <w:sz w:val="24"/>
          <w:szCs w:val="24"/>
        </w:rPr>
        <w:t>panoramas were ephemeral. Very few survive from any era. One of the greatest difficulties in writing about them, therefore, is trying to convey a sense of what</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they</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might</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have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looked</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like.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mitigate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this,</w:t>
      </w:r>
      <w:r w:rsidRPr="00C122A9">
        <w:rPr>
          <w:rFonts w:ascii="Times New Roman" w:hAnsi="Times New Roman" w:cs="Times New Roman"/>
          <w:color w:val="231F20"/>
          <w:spacing w:val="1"/>
          <w:sz w:val="24"/>
          <w:szCs w:val="24"/>
        </w:rPr>
        <w:t xml:space="preserve">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has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pacing w:val="-2"/>
          <w:sz w:val="24"/>
          <w:szCs w:val="24"/>
        </w:rPr>
        <w:t>identi</w:t>
      </w:r>
      <w:r w:rsidRPr="00C122A9">
        <w:rPr>
          <w:rFonts w:ascii="Times New Roman" w:hAnsi="Times New Roman" w:cs="Times New Roman"/>
          <w:color w:val="231F20"/>
          <w:sz w:val="24"/>
          <w:szCs w:val="24"/>
        </w:rPr>
        <w:t xml:space="preserve">fied some of the prints and engravings derived from them, and these are deployed to useful effect. </w:t>
      </w:r>
      <w:r w:rsidRPr="00C122A9">
        <w:rPr>
          <w:rFonts w:ascii="Times New Roman" w:hAnsi="Times New Roman" w:cs="Times New Roman"/>
          <w:i/>
          <w:color w:val="231F20"/>
          <w:sz w:val="24"/>
          <w:szCs w:val="24"/>
        </w:rPr>
        <w:t xml:space="preserve">The First Panoramas </w:t>
      </w:r>
      <w:r w:rsidRPr="00C122A9">
        <w:rPr>
          <w:rFonts w:ascii="Times New Roman" w:hAnsi="Times New Roman" w:cs="Times New Roman"/>
          <w:color w:val="231F20"/>
          <w:sz w:val="24"/>
          <w:szCs w:val="24"/>
        </w:rPr>
        <w:t xml:space="preserve">is rich in illustration, for which the University of Minnesota Press should be congratulated. A complete set of J. </w:t>
      </w:r>
      <w:proofErr w:type="spellStart"/>
      <w:r w:rsidRPr="00C122A9">
        <w:rPr>
          <w:rFonts w:ascii="Times New Roman" w:hAnsi="Times New Roman" w:cs="Times New Roman"/>
          <w:color w:val="231F20"/>
          <w:sz w:val="24"/>
          <w:szCs w:val="24"/>
        </w:rPr>
        <w:t>Wells’s</w:t>
      </w:r>
      <w:proofErr w:type="spellEnd"/>
      <w:r w:rsidRPr="00C122A9">
        <w:rPr>
          <w:rFonts w:ascii="Times New Roman" w:hAnsi="Times New Roman" w:cs="Times New Roman"/>
          <w:color w:val="231F20"/>
          <w:sz w:val="24"/>
          <w:szCs w:val="24"/>
        </w:rPr>
        <w:t xml:space="preserve"> images of Barker’s panoramic view of Edinburgh is included, for example; a color foldout reproduces aquatints of the three city</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views</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(Edinburgh,</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London,</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Constantinople)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discussed</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detail</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pacing w:val="-5"/>
          <w:sz w:val="24"/>
          <w:szCs w:val="24"/>
        </w:rPr>
        <w:t>the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text. The book also offers a useful timeline of panorama exhibitions from 1794 to 1821</w:t>
      </w:r>
      <w:r w:rsidRPr="00C122A9">
        <w:rPr>
          <w:rFonts w:ascii="Times New Roman" w:hAnsi="Times New Roman" w:cs="Times New Roman"/>
          <w:color w:val="231F20"/>
          <w:sz w:val="24"/>
          <w:szCs w:val="24"/>
        </w:rPr>
        <w:t>.</w:t>
      </w:r>
    </w:p>
    <w:p w14:paraId="1F3BD1ED"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5"/>
          <w:sz w:val="24"/>
          <w:szCs w:val="24"/>
        </w:rPr>
      </w:pPr>
    </w:p>
    <w:p w14:paraId="1D161618" w14:textId="09C2602B" w:rsid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r w:rsidRPr="00C122A9">
        <w:rPr>
          <w:rFonts w:ascii="Times New Roman" w:hAnsi="Times New Roman" w:cs="Times New Roman"/>
          <w:color w:val="231F20"/>
          <w:sz w:val="24"/>
          <w:szCs w:val="24"/>
        </w:rPr>
        <w:t>One of the key features of the book is the author’s juxtaposition of the panoramas with the whole host of derivative images and explanatory texts that</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inspired.</w:t>
      </w:r>
      <w:r w:rsidRPr="00C122A9">
        <w:rPr>
          <w:rFonts w:ascii="Times New Roman" w:hAnsi="Times New Roman" w:cs="Times New Roman"/>
          <w:color w:val="231F20"/>
          <w:spacing w:val="-5"/>
          <w:sz w:val="24"/>
          <w:szCs w:val="24"/>
        </w:rPr>
        <w:t xml:space="preserve">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has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done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fine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job</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identifying</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these.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Her interpretation</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specific</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panoramas</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is</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informed</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careful</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 xml:space="preserve">interpretation of the printed “keys”—leaflets and descriptive booklets that accompanied them. She cites an impressively wide array of the printed material, period ephemera, and unpublished sources that accompanied these images. The tracing of such panoramas through published keys and contemporary reports is one of the most fruitful ways of recovering and understanding audiences’ responses and reactions. This is combined with other sources, such as diaries, reviews, personal letters, and advertisements. Explanatory keys to nearly every one of Barker’s early views survive, and by painstakingly comparing them, </w:t>
      </w:r>
      <w:proofErr w:type="spellStart"/>
      <w:r w:rsidRPr="00C122A9">
        <w:rPr>
          <w:rFonts w:ascii="Times New Roman" w:hAnsi="Times New Roman" w:cs="Times New Roman"/>
          <w:color w:val="231F20"/>
          <w:sz w:val="24"/>
          <w:szCs w:val="24"/>
        </w:rPr>
        <w:t>Oleksijczuk</w:t>
      </w:r>
      <w:proofErr w:type="spellEnd"/>
      <w:r w:rsidRPr="00C122A9">
        <w:rPr>
          <w:rFonts w:ascii="Times New Roman" w:hAnsi="Times New Roman" w:cs="Times New Roman"/>
          <w:color w:val="231F20"/>
          <w:sz w:val="24"/>
          <w:szCs w:val="24"/>
        </w:rPr>
        <w:t xml:space="preserve"> shows that these images are far more sophisticated and intriguing than many might have assumed. By at least </w:t>
      </w:r>
      <w:r w:rsidRPr="00C122A9">
        <w:rPr>
          <w:rFonts w:ascii="Times New Roman" w:hAnsi="Times New Roman" w:cs="Times New Roman"/>
          <w:color w:val="231F20"/>
          <w:spacing w:val="-2"/>
          <w:sz w:val="24"/>
          <w:szCs w:val="24"/>
        </w:rPr>
        <w:t xml:space="preserve">partially overcoming the problems of reconstructing viewers’ </w:t>
      </w:r>
      <w:r w:rsidRPr="00C122A9">
        <w:rPr>
          <w:rFonts w:ascii="Times New Roman" w:hAnsi="Times New Roman" w:cs="Times New Roman"/>
          <w:color w:val="231F20"/>
          <w:spacing w:val="-2"/>
          <w:sz w:val="24"/>
          <w:szCs w:val="24"/>
        </w:rPr>
        <w:lastRenderedPageBreak/>
        <w:t xml:space="preserve">responses, she </w:t>
      </w:r>
      <w:r w:rsidRPr="00C122A9">
        <w:rPr>
          <w:rFonts w:ascii="Times New Roman" w:hAnsi="Times New Roman" w:cs="Times New Roman"/>
          <w:color w:val="231F20"/>
          <w:sz w:val="24"/>
          <w:szCs w:val="24"/>
        </w:rPr>
        <w:t>is able to make her claim that the panorama had an important “role as a context</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formulating</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new</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subjectivities”</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(p.</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19)</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with</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some</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force,</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it</w:t>
      </w:r>
      <w:r w:rsidRPr="00C122A9">
        <w:rPr>
          <w:rFonts w:ascii="Times New Roman" w:hAnsi="Times New Roman" w:cs="Times New Roman"/>
          <w:color w:val="231F20"/>
          <w:spacing w:val="-11"/>
          <w:sz w:val="24"/>
          <w:szCs w:val="24"/>
        </w:rPr>
        <w:t xml:space="preserve"> </w:t>
      </w:r>
      <w:r w:rsidRPr="00C122A9">
        <w:rPr>
          <w:rFonts w:ascii="Times New Roman" w:hAnsi="Times New Roman" w:cs="Times New Roman"/>
          <w:color w:val="231F20"/>
          <w:sz w:val="24"/>
          <w:szCs w:val="24"/>
        </w:rPr>
        <w:t>is a useful argument for historians of visual and popular media to consider</w:t>
      </w:r>
      <w:r w:rsidRPr="00C122A9">
        <w:rPr>
          <w:rFonts w:ascii="Times New Roman" w:hAnsi="Times New Roman" w:cs="Times New Roman"/>
          <w:color w:val="231F20"/>
          <w:sz w:val="24"/>
          <w:szCs w:val="24"/>
        </w:rPr>
        <w:t>.</w:t>
      </w:r>
    </w:p>
    <w:p w14:paraId="00F013B6"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1EDFE997" w14:textId="1055AB30" w:rsidR="00C122A9" w:rsidRPr="00C122A9" w:rsidRDefault="00C122A9" w:rsidP="00C122A9">
      <w:pPr>
        <w:pStyle w:val="BodyText"/>
        <w:tabs>
          <w:tab w:val="left" w:pos="7797"/>
        </w:tabs>
        <w:spacing w:line="276" w:lineRule="auto"/>
        <w:jc w:val="left"/>
        <w:rPr>
          <w:rFonts w:ascii="Times New Roman" w:hAnsi="Times New Roman" w:cs="Times New Roman"/>
          <w:iCs/>
          <w:color w:val="231F20"/>
          <w:spacing w:val="-2"/>
          <w:sz w:val="24"/>
          <w:szCs w:val="24"/>
        </w:rPr>
      </w:pPr>
      <w:r w:rsidRPr="00C122A9">
        <w:rPr>
          <w:rFonts w:ascii="Times New Roman" w:hAnsi="Times New Roman" w:cs="Times New Roman"/>
          <w:color w:val="231F20"/>
          <w:sz w:val="24"/>
          <w:szCs w:val="24"/>
        </w:rPr>
        <w:t xml:space="preserve">At times, the analysis of the panoramas and other visual artifacts is somewhat overshadowed by the author’s extended discussions of various theories of visualization, ranging from Jacques Lacan to Henri Lefebvre. Nevertheless, this work adds to the impressive earlier scholarship of Richard </w:t>
      </w:r>
      <w:proofErr w:type="spellStart"/>
      <w:r w:rsidRPr="00C122A9">
        <w:rPr>
          <w:rFonts w:ascii="Times New Roman" w:hAnsi="Times New Roman" w:cs="Times New Roman"/>
          <w:color w:val="231F20"/>
          <w:sz w:val="24"/>
          <w:szCs w:val="24"/>
        </w:rPr>
        <w:t>Altick</w:t>
      </w:r>
      <w:proofErr w:type="spellEnd"/>
      <w:r w:rsidRPr="00C122A9">
        <w:rPr>
          <w:rFonts w:ascii="Times New Roman" w:hAnsi="Times New Roman" w:cs="Times New Roman"/>
          <w:color w:val="231F20"/>
          <w:sz w:val="24"/>
          <w:szCs w:val="24"/>
        </w:rPr>
        <w:t xml:space="preserve"> (</w:t>
      </w:r>
      <w:r w:rsidRPr="00C122A9">
        <w:rPr>
          <w:rFonts w:ascii="Times New Roman" w:hAnsi="Times New Roman" w:cs="Times New Roman"/>
          <w:i/>
          <w:color w:val="231F20"/>
          <w:sz w:val="24"/>
          <w:szCs w:val="24"/>
        </w:rPr>
        <w:t xml:space="preserve">The Shows of London </w:t>
      </w:r>
      <w:r w:rsidRPr="00C122A9">
        <w:rPr>
          <w:rFonts w:ascii="Times New Roman" w:hAnsi="Times New Roman" w:cs="Times New Roman"/>
          <w:color w:val="231F20"/>
          <w:sz w:val="24"/>
          <w:szCs w:val="24"/>
        </w:rPr>
        <w:t>[1978]) and Ralph Hyde (</w:t>
      </w:r>
      <w:proofErr w:type="spellStart"/>
      <w:r w:rsidRPr="00C122A9">
        <w:rPr>
          <w:rFonts w:ascii="Times New Roman" w:hAnsi="Times New Roman" w:cs="Times New Roman"/>
          <w:i/>
          <w:color w:val="231F20"/>
          <w:sz w:val="24"/>
          <w:szCs w:val="24"/>
        </w:rPr>
        <w:t>Panoramania</w:t>
      </w:r>
      <w:proofErr w:type="spellEnd"/>
      <w:r w:rsidRPr="00C122A9">
        <w:rPr>
          <w:rFonts w:ascii="Times New Roman" w:hAnsi="Times New Roman" w:cs="Times New Roman"/>
          <w:i/>
          <w:color w:val="231F20"/>
          <w:sz w:val="24"/>
          <w:szCs w:val="24"/>
        </w:rPr>
        <w:t xml:space="preserve">! </w:t>
      </w:r>
      <w:r w:rsidRPr="00C122A9">
        <w:rPr>
          <w:rFonts w:ascii="Times New Roman" w:hAnsi="Times New Roman" w:cs="Times New Roman"/>
          <w:color w:val="231F20"/>
          <w:sz w:val="24"/>
          <w:szCs w:val="24"/>
        </w:rPr>
        <w:t>[1988]). Although, as its name suggests, it is essentially the history of Barker’s invention, offering detailed readings of just three of Barker’s images,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i/>
          <w:color w:val="231F20"/>
          <w:sz w:val="24"/>
          <w:szCs w:val="24"/>
        </w:rPr>
        <w:t>The</w:t>
      </w:r>
      <w:r w:rsidRPr="00C122A9">
        <w:rPr>
          <w:rFonts w:ascii="Times New Roman" w:hAnsi="Times New Roman" w:cs="Times New Roman"/>
          <w:i/>
          <w:color w:val="231F20"/>
          <w:spacing w:val="-5"/>
          <w:sz w:val="24"/>
          <w:szCs w:val="24"/>
        </w:rPr>
        <w:t xml:space="preserve"> </w:t>
      </w:r>
      <w:r w:rsidRPr="00C122A9">
        <w:rPr>
          <w:rFonts w:ascii="Times New Roman" w:hAnsi="Times New Roman" w:cs="Times New Roman"/>
          <w:i/>
          <w:color w:val="231F20"/>
          <w:sz w:val="24"/>
          <w:szCs w:val="24"/>
        </w:rPr>
        <w:t>First</w:t>
      </w:r>
      <w:r w:rsidRPr="00C122A9">
        <w:rPr>
          <w:rFonts w:ascii="Times New Roman" w:hAnsi="Times New Roman" w:cs="Times New Roman"/>
          <w:i/>
          <w:color w:val="231F20"/>
          <w:spacing w:val="-5"/>
          <w:sz w:val="24"/>
          <w:szCs w:val="24"/>
        </w:rPr>
        <w:t xml:space="preserve"> </w:t>
      </w:r>
      <w:r w:rsidRPr="00C122A9">
        <w:rPr>
          <w:rFonts w:ascii="Times New Roman" w:hAnsi="Times New Roman" w:cs="Times New Roman"/>
          <w:i/>
          <w:color w:val="231F20"/>
          <w:sz w:val="24"/>
          <w:szCs w:val="24"/>
        </w:rPr>
        <w:t>Panoramas</w:t>
      </w:r>
      <w:r w:rsidRPr="00C122A9">
        <w:rPr>
          <w:rFonts w:ascii="Times New Roman" w:hAnsi="Times New Roman" w:cs="Times New Roman"/>
          <w:i/>
          <w:color w:val="231F20"/>
          <w:spacing w:val="-6"/>
          <w:sz w:val="24"/>
          <w:szCs w:val="24"/>
        </w:rPr>
        <w:t xml:space="preserve"> </w:t>
      </w:r>
      <w:r w:rsidRPr="00C122A9">
        <w:rPr>
          <w:rFonts w:ascii="Times New Roman" w:hAnsi="Times New Roman" w:cs="Times New Roman"/>
          <w:color w:val="231F20"/>
          <w:sz w:val="24"/>
          <w:szCs w:val="24"/>
        </w:rPr>
        <w:t>is</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contribution</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broader</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history</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5"/>
          <w:sz w:val="24"/>
          <w:szCs w:val="24"/>
        </w:rPr>
        <w:t xml:space="preserve"> </w:t>
      </w:r>
      <w:r w:rsidRPr="00C122A9">
        <w:rPr>
          <w:rFonts w:ascii="Times New Roman" w:hAnsi="Times New Roman" w:cs="Times New Roman"/>
          <w:color w:val="231F20"/>
          <w:sz w:val="24"/>
          <w:szCs w:val="24"/>
        </w:rPr>
        <w:t xml:space="preserve">the technologies of visualization, which is also true of </w:t>
      </w:r>
      <w:proofErr w:type="spellStart"/>
      <w:r w:rsidRPr="00C122A9">
        <w:rPr>
          <w:rFonts w:ascii="Times New Roman" w:hAnsi="Times New Roman" w:cs="Times New Roman"/>
          <w:color w:val="231F20"/>
          <w:sz w:val="24"/>
          <w:szCs w:val="24"/>
        </w:rPr>
        <w:t>Huhtamo’s</w:t>
      </w:r>
      <w:proofErr w:type="spellEnd"/>
      <w:r w:rsidRPr="00C122A9">
        <w:rPr>
          <w:rFonts w:ascii="Times New Roman" w:hAnsi="Times New Roman" w:cs="Times New Roman"/>
          <w:color w:val="231F20"/>
          <w:sz w:val="24"/>
          <w:szCs w:val="24"/>
        </w:rPr>
        <w:t xml:space="preserve"> </w:t>
      </w:r>
      <w:r w:rsidRPr="00C122A9">
        <w:rPr>
          <w:rFonts w:ascii="Times New Roman" w:hAnsi="Times New Roman" w:cs="Times New Roman"/>
          <w:i/>
          <w:color w:val="231F20"/>
          <w:sz w:val="24"/>
          <w:szCs w:val="24"/>
        </w:rPr>
        <w:t xml:space="preserve">Illusions in </w:t>
      </w:r>
      <w:r w:rsidRPr="00C122A9">
        <w:rPr>
          <w:rFonts w:ascii="Times New Roman" w:hAnsi="Times New Roman" w:cs="Times New Roman"/>
          <w:i/>
          <w:color w:val="231F20"/>
          <w:spacing w:val="-2"/>
          <w:sz w:val="24"/>
          <w:szCs w:val="24"/>
        </w:rPr>
        <w:t>Motion</w:t>
      </w:r>
      <w:r w:rsidRPr="00C122A9">
        <w:rPr>
          <w:rFonts w:ascii="Times New Roman" w:hAnsi="Times New Roman" w:cs="Times New Roman"/>
          <w:iCs/>
          <w:color w:val="231F20"/>
          <w:spacing w:val="-2"/>
          <w:sz w:val="24"/>
          <w:szCs w:val="24"/>
        </w:rPr>
        <w:t>.</w:t>
      </w:r>
    </w:p>
    <w:p w14:paraId="1CF4589E" w14:textId="77777777" w:rsidR="00C122A9" w:rsidRPr="00C122A9" w:rsidRDefault="00C122A9" w:rsidP="00C122A9">
      <w:pPr>
        <w:pStyle w:val="BodyText"/>
        <w:tabs>
          <w:tab w:val="left" w:pos="7797"/>
        </w:tabs>
        <w:spacing w:line="276" w:lineRule="auto"/>
        <w:jc w:val="left"/>
        <w:rPr>
          <w:rFonts w:ascii="Times New Roman" w:hAnsi="Times New Roman" w:cs="Times New Roman"/>
          <w:iCs/>
          <w:color w:val="231F20"/>
          <w:spacing w:val="-2"/>
          <w:sz w:val="24"/>
          <w:szCs w:val="24"/>
        </w:rPr>
      </w:pPr>
    </w:p>
    <w:p w14:paraId="3C1A7BEF"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proofErr w:type="spellStart"/>
      <w:r w:rsidRPr="00C122A9">
        <w:rPr>
          <w:rFonts w:ascii="Times New Roman" w:hAnsi="Times New Roman" w:cs="Times New Roman"/>
          <w:color w:val="231F20"/>
          <w:sz w:val="24"/>
          <w:szCs w:val="24"/>
        </w:rPr>
        <w:t>Huhtamo</w:t>
      </w:r>
      <w:proofErr w:type="spellEnd"/>
      <w:r w:rsidRPr="00C122A9">
        <w:rPr>
          <w:rFonts w:ascii="Times New Roman" w:hAnsi="Times New Roman" w:cs="Times New Roman"/>
          <w:color w:val="231F20"/>
          <w:sz w:val="24"/>
          <w:szCs w:val="24"/>
        </w:rPr>
        <w:t xml:space="preserve"> takes up the idea of the panorama, but the focus of his book is not on the immense though static panoramas of Barker and his imitators; instead, he concentrates on those of the “moving” variety, of which there were hundreds. Their history has been largely ignored until now— indeed, the author candidly admits that he only became aware of the phenomenon during the 1990s. The moving panorama was a long painting that</w:t>
      </w:r>
      <w:r w:rsidRPr="00C122A9">
        <w:rPr>
          <w:rFonts w:ascii="Times New Roman" w:hAnsi="Times New Roman" w:cs="Times New Roman"/>
          <w:color w:val="231F20"/>
          <w:spacing w:val="-8"/>
          <w:sz w:val="24"/>
          <w:szCs w:val="24"/>
        </w:rPr>
        <w:t xml:space="preserve"> </w:t>
      </w:r>
      <w:proofErr w:type="spellStart"/>
      <w:r w:rsidRPr="00C122A9">
        <w:rPr>
          <w:rFonts w:ascii="Times New Roman" w:hAnsi="Times New Roman" w:cs="Times New Roman"/>
          <w:color w:val="231F20"/>
          <w:sz w:val="24"/>
          <w:szCs w:val="24"/>
        </w:rPr>
        <w:t>unscrolled</w:t>
      </w:r>
      <w:proofErr w:type="spellEnd"/>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behind</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“window”</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means</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a</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mechanical</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cranking</w:t>
      </w:r>
      <w:r w:rsidRPr="00C122A9">
        <w:rPr>
          <w:rFonts w:ascii="Times New Roman" w:hAnsi="Times New Roman" w:cs="Times New Roman"/>
          <w:color w:val="231F20"/>
          <w:spacing w:val="-8"/>
          <w:sz w:val="24"/>
          <w:szCs w:val="24"/>
        </w:rPr>
        <w:t xml:space="preserve"> </w:t>
      </w:r>
      <w:r w:rsidRPr="00C122A9">
        <w:rPr>
          <w:rFonts w:ascii="Times New Roman" w:hAnsi="Times New Roman" w:cs="Times New Roman"/>
          <w:color w:val="231F20"/>
          <w:sz w:val="24"/>
          <w:szCs w:val="24"/>
        </w:rPr>
        <w:t>system.</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 xml:space="preserve">It lent itself to being accompanied by a lecture, music, and </w:t>
      </w:r>
      <w:r w:rsidRPr="00C122A9">
        <w:rPr>
          <w:rFonts w:ascii="Times New Roman" w:hAnsi="Times New Roman" w:cs="Times New Roman"/>
          <w:color w:val="231F20"/>
          <w:spacing w:val="-2"/>
          <w:sz w:val="24"/>
          <w:szCs w:val="24"/>
        </w:rPr>
        <w:t>sometimes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 xml:space="preserve">sound-and-light effects. Showmen exhibited such panoramas across Europe and America in venues that ranged from opera houses to church </w:t>
      </w:r>
      <w:r w:rsidRPr="00C122A9">
        <w:rPr>
          <w:rFonts w:ascii="Times New Roman" w:hAnsi="Times New Roman" w:cs="Times New Roman"/>
          <w:color w:val="231F20"/>
          <w:spacing w:val="-2"/>
          <w:sz w:val="24"/>
          <w:szCs w:val="24"/>
        </w:rPr>
        <w:t>halls</w:t>
      </w:r>
      <w:r w:rsidRPr="00C122A9">
        <w:rPr>
          <w:rFonts w:ascii="Times New Roman" w:hAnsi="Times New Roman" w:cs="Times New Roman"/>
          <w:color w:val="231F20"/>
          <w:spacing w:val="-2"/>
          <w:sz w:val="24"/>
          <w:szCs w:val="24"/>
        </w:rPr>
        <w:t xml:space="preserve">. </w:t>
      </w:r>
    </w:p>
    <w:p w14:paraId="37CEFEC0" w14:textId="77777777" w:rsidR="00C122A9" w:rsidRPr="00C122A9" w:rsidRDefault="00C122A9" w:rsidP="00C122A9">
      <w:pPr>
        <w:pStyle w:val="BodyText"/>
        <w:tabs>
          <w:tab w:val="left" w:pos="7797"/>
        </w:tabs>
        <w:spacing w:line="276" w:lineRule="auto"/>
        <w:jc w:val="left"/>
        <w:rPr>
          <w:rFonts w:ascii="Times New Roman" w:hAnsi="Times New Roman" w:cs="Times New Roman"/>
          <w:color w:val="231F20"/>
          <w:spacing w:val="-2"/>
          <w:sz w:val="24"/>
          <w:szCs w:val="24"/>
        </w:rPr>
      </w:pPr>
    </w:p>
    <w:p w14:paraId="3C7E280C" w14:textId="5C3836B0"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roofErr w:type="spellStart"/>
      <w:r w:rsidRPr="00C122A9">
        <w:rPr>
          <w:rFonts w:ascii="Times New Roman" w:hAnsi="Times New Roman" w:cs="Times New Roman"/>
          <w:color w:val="231F20"/>
          <w:sz w:val="24"/>
          <w:szCs w:val="24"/>
        </w:rPr>
        <w:t>Huhtamo’s</w:t>
      </w:r>
      <w:proofErr w:type="spellEnd"/>
      <w:r w:rsidRPr="00C122A9">
        <w:rPr>
          <w:rFonts w:ascii="Times New Roman" w:hAnsi="Times New Roman" w:cs="Times New Roman"/>
          <w:color w:val="231F20"/>
          <w:sz w:val="24"/>
          <w:szCs w:val="24"/>
        </w:rPr>
        <w:t xml:space="preserve"> intellectual canvas is, perhaps inevitably, broad; his text ranges over the history of moving panoramas, bringing us from the early years</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its</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invention</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its</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mid-nineteenth-century</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apogee</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22"/>
          <w:sz w:val="24"/>
          <w:szCs w:val="24"/>
        </w:rPr>
        <w:t xml:space="preserve"> </w:t>
      </w:r>
      <w:r w:rsidRPr="00C122A9">
        <w:rPr>
          <w:rFonts w:ascii="Times New Roman" w:hAnsi="Times New Roman" w:cs="Times New Roman"/>
          <w:color w:val="231F20"/>
          <w:spacing w:val="-2"/>
          <w:sz w:val="24"/>
          <w:szCs w:val="24"/>
        </w:rPr>
        <w:t>beyond.</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example,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closest</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parallel</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to</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Barker</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as</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central</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figure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 xml:space="preserve">moving panorama might be British journalist and writer Albert Smith, whose </w:t>
      </w:r>
      <w:r w:rsidRPr="00C122A9">
        <w:rPr>
          <w:rFonts w:ascii="Times New Roman" w:hAnsi="Times New Roman" w:cs="Times New Roman"/>
          <w:i/>
          <w:color w:val="231F20"/>
          <w:sz w:val="24"/>
          <w:szCs w:val="24"/>
        </w:rPr>
        <w:t>Albert</w:t>
      </w:r>
      <w:r w:rsidRPr="00C122A9">
        <w:rPr>
          <w:rFonts w:ascii="Times New Roman" w:hAnsi="Times New Roman" w:cs="Times New Roman"/>
          <w:i/>
          <w:color w:val="231F20"/>
          <w:spacing w:val="-9"/>
          <w:sz w:val="24"/>
          <w:szCs w:val="24"/>
        </w:rPr>
        <w:t xml:space="preserve"> </w:t>
      </w:r>
      <w:r w:rsidRPr="00C122A9">
        <w:rPr>
          <w:rFonts w:ascii="Times New Roman" w:hAnsi="Times New Roman" w:cs="Times New Roman"/>
          <w:i/>
          <w:color w:val="231F20"/>
          <w:sz w:val="24"/>
          <w:szCs w:val="24"/>
        </w:rPr>
        <w:t>Smith’s</w:t>
      </w:r>
      <w:r w:rsidRPr="00C122A9">
        <w:rPr>
          <w:rFonts w:ascii="Times New Roman" w:hAnsi="Times New Roman" w:cs="Times New Roman"/>
          <w:i/>
          <w:color w:val="231F20"/>
          <w:spacing w:val="-9"/>
          <w:sz w:val="24"/>
          <w:szCs w:val="24"/>
        </w:rPr>
        <w:t xml:space="preserve"> </w:t>
      </w:r>
      <w:r w:rsidRPr="00C122A9">
        <w:rPr>
          <w:rFonts w:ascii="Times New Roman" w:hAnsi="Times New Roman" w:cs="Times New Roman"/>
          <w:i/>
          <w:color w:val="231F20"/>
          <w:sz w:val="24"/>
          <w:szCs w:val="24"/>
        </w:rPr>
        <w:t>Ascent</w:t>
      </w:r>
      <w:r w:rsidRPr="00C122A9">
        <w:rPr>
          <w:rFonts w:ascii="Times New Roman" w:hAnsi="Times New Roman" w:cs="Times New Roman"/>
          <w:i/>
          <w:color w:val="231F20"/>
          <w:spacing w:val="-9"/>
          <w:sz w:val="24"/>
          <w:szCs w:val="24"/>
        </w:rPr>
        <w:t xml:space="preserve"> </w:t>
      </w:r>
      <w:r w:rsidRPr="00C122A9">
        <w:rPr>
          <w:rFonts w:ascii="Times New Roman" w:hAnsi="Times New Roman" w:cs="Times New Roman"/>
          <w:i/>
          <w:color w:val="231F20"/>
          <w:sz w:val="24"/>
          <w:szCs w:val="24"/>
        </w:rPr>
        <w:t>of</w:t>
      </w:r>
      <w:r w:rsidRPr="00C122A9">
        <w:rPr>
          <w:rFonts w:ascii="Times New Roman" w:hAnsi="Times New Roman" w:cs="Times New Roman"/>
          <w:i/>
          <w:color w:val="231F20"/>
          <w:spacing w:val="-9"/>
          <w:sz w:val="24"/>
          <w:szCs w:val="24"/>
        </w:rPr>
        <w:t xml:space="preserve"> </w:t>
      </w:r>
      <w:r w:rsidRPr="00C122A9">
        <w:rPr>
          <w:rFonts w:ascii="Times New Roman" w:hAnsi="Times New Roman" w:cs="Times New Roman"/>
          <w:i/>
          <w:color w:val="231F20"/>
          <w:sz w:val="24"/>
          <w:szCs w:val="24"/>
        </w:rPr>
        <w:t>Mont</w:t>
      </w:r>
      <w:r w:rsidRPr="00C122A9">
        <w:rPr>
          <w:rFonts w:ascii="Times New Roman" w:hAnsi="Times New Roman" w:cs="Times New Roman"/>
          <w:i/>
          <w:color w:val="231F20"/>
          <w:spacing w:val="-9"/>
          <w:sz w:val="24"/>
          <w:szCs w:val="24"/>
        </w:rPr>
        <w:t xml:space="preserve"> </w:t>
      </w:r>
      <w:r w:rsidRPr="00C122A9">
        <w:rPr>
          <w:rFonts w:ascii="Times New Roman" w:hAnsi="Times New Roman" w:cs="Times New Roman"/>
          <w:i/>
          <w:color w:val="231F20"/>
          <w:sz w:val="24"/>
          <w:szCs w:val="24"/>
        </w:rPr>
        <w:t>Blanc</w:t>
      </w:r>
      <w:r w:rsidRPr="00C122A9">
        <w:rPr>
          <w:rFonts w:ascii="Times New Roman" w:hAnsi="Times New Roman" w:cs="Times New Roman"/>
          <w:color w:val="231F20"/>
          <w:sz w:val="24"/>
          <w:szCs w:val="24"/>
        </w:rPr>
        <w:t>,</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performed</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seven</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consecutive</w:t>
      </w:r>
      <w:r w:rsidRPr="00C122A9">
        <w:rPr>
          <w:rFonts w:ascii="Times New Roman" w:hAnsi="Times New Roman" w:cs="Times New Roman"/>
          <w:color w:val="231F20"/>
          <w:spacing w:val="-9"/>
          <w:sz w:val="24"/>
          <w:szCs w:val="24"/>
        </w:rPr>
        <w:t xml:space="preserve"> </w:t>
      </w:r>
      <w:r w:rsidRPr="00C122A9">
        <w:rPr>
          <w:rFonts w:ascii="Times New Roman" w:hAnsi="Times New Roman" w:cs="Times New Roman"/>
          <w:color w:val="231F20"/>
          <w:sz w:val="24"/>
          <w:szCs w:val="24"/>
        </w:rPr>
        <w:t>years (1852–58) at London’s Egyptian Hall, was perhaps the most successful moving panorama show of all time. (In addition, Smith’s career might be said to offer a study in microcosm of the formation of the modern media industry.) One might write a book about Smith; here, we find chapter 7 dedicated to him, with much history having come before and much to come</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after,</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for</w:t>
      </w:r>
      <w:r w:rsidRPr="00C122A9">
        <w:rPr>
          <w:rFonts w:ascii="Times New Roman" w:hAnsi="Times New Roman" w:cs="Times New Roman"/>
          <w:color w:val="231F20"/>
          <w:spacing w:val="-6"/>
          <w:sz w:val="24"/>
          <w:szCs w:val="24"/>
        </w:rPr>
        <w:t xml:space="preserve"> </w:t>
      </w:r>
      <w:r w:rsidRPr="00C122A9">
        <w:rPr>
          <w:rFonts w:ascii="Times New Roman" w:hAnsi="Times New Roman" w:cs="Times New Roman"/>
          <w:i/>
          <w:color w:val="231F20"/>
          <w:sz w:val="24"/>
          <w:szCs w:val="24"/>
        </w:rPr>
        <w:t>Illusions</w:t>
      </w:r>
      <w:r w:rsidRPr="00C122A9">
        <w:rPr>
          <w:rFonts w:ascii="Times New Roman" w:hAnsi="Times New Roman" w:cs="Times New Roman"/>
          <w:i/>
          <w:color w:val="231F20"/>
          <w:spacing w:val="-7"/>
          <w:sz w:val="24"/>
          <w:szCs w:val="24"/>
        </w:rPr>
        <w:t xml:space="preserve"> </w:t>
      </w:r>
      <w:r w:rsidRPr="00C122A9">
        <w:rPr>
          <w:rFonts w:ascii="Times New Roman" w:hAnsi="Times New Roman" w:cs="Times New Roman"/>
          <w:i/>
          <w:color w:val="231F20"/>
          <w:sz w:val="24"/>
          <w:szCs w:val="24"/>
        </w:rPr>
        <w:t>in</w:t>
      </w:r>
      <w:r w:rsidRPr="00C122A9">
        <w:rPr>
          <w:rFonts w:ascii="Times New Roman" w:hAnsi="Times New Roman" w:cs="Times New Roman"/>
          <w:i/>
          <w:color w:val="231F20"/>
          <w:spacing w:val="-7"/>
          <w:sz w:val="24"/>
          <w:szCs w:val="24"/>
        </w:rPr>
        <w:t xml:space="preserve"> </w:t>
      </w:r>
      <w:r w:rsidRPr="00C122A9">
        <w:rPr>
          <w:rFonts w:ascii="Times New Roman" w:hAnsi="Times New Roman" w:cs="Times New Roman"/>
          <w:i/>
          <w:color w:val="231F20"/>
          <w:sz w:val="24"/>
          <w:szCs w:val="24"/>
        </w:rPr>
        <w:t>Motion</w:t>
      </w:r>
      <w:r w:rsidRPr="00C122A9">
        <w:rPr>
          <w:rFonts w:ascii="Times New Roman" w:hAnsi="Times New Roman" w:cs="Times New Roman"/>
          <w:i/>
          <w:color w:val="231F20"/>
          <w:spacing w:val="-7"/>
          <w:sz w:val="24"/>
          <w:szCs w:val="24"/>
        </w:rPr>
        <w:t xml:space="preserve"> </w:t>
      </w:r>
      <w:r w:rsidRPr="00C122A9">
        <w:rPr>
          <w:rFonts w:ascii="Times New Roman" w:hAnsi="Times New Roman" w:cs="Times New Roman"/>
          <w:color w:val="231F20"/>
          <w:sz w:val="24"/>
          <w:szCs w:val="24"/>
        </w:rPr>
        <w:t>does</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not</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stop</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with</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Smith.</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Rather,</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it</w:t>
      </w:r>
      <w:r w:rsidRPr="00C122A9">
        <w:rPr>
          <w:rFonts w:ascii="Times New Roman" w:hAnsi="Times New Roman" w:cs="Times New Roman"/>
          <w:color w:val="231F20"/>
          <w:spacing w:val="-7"/>
          <w:sz w:val="24"/>
          <w:szCs w:val="24"/>
        </w:rPr>
        <w:t xml:space="preserve"> </w:t>
      </w:r>
      <w:r w:rsidRPr="00C122A9">
        <w:rPr>
          <w:rFonts w:ascii="Times New Roman" w:hAnsi="Times New Roman" w:cs="Times New Roman"/>
          <w:color w:val="231F20"/>
          <w:sz w:val="24"/>
          <w:szCs w:val="24"/>
        </w:rPr>
        <w:t>considers</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competition</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faced</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by</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moving</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panorama</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from</w:t>
      </w:r>
      <w:r w:rsidRPr="00C122A9">
        <w:rPr>
          <w:rFonts w:ascii="Times New Roman" w:hAnsi="Times New Roman" w:cs="Times New Roman"/>
          <w:color w:val="231F20"/>
          <w:spacing w:val="-1"/>
          <w:sz w:val="24"/>
          <w:szCs w:val="24"/>
        </w:rPr>
        <w:t xml:space="preserve"> </w:t>
      </w:r>
      <w:r w:rsidRPr="00C122A9">
        <w:rPr>
          <w:rFonts w:ascii="Times New Roman" w:hAnsi="Times New Roman" w:cs="Times New Roman"/>
          <w:color w:val="231F20"/>
          <w:sz w:val="24"/>
          <w:szCs w:val="24"/>
        </w:rPr>
        <w:t>magic-lantern shows,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and</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it</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explores</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final</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flowering</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of</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panorama</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in</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the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late</w:t>
      </w:r>
      <w:r w:rsidRPr="00C122A9">
        <w:rPr>
          <w:rFonts w:ascii="Times New Roman" w:hAnsi="Times New Roman" w:cs="Times New Roman"/>
          <w:color w:val="231F20"/>
          <w:spacing w:val="-2"/>
          <w:sz w:val="24"/>
          <w:szCs w:val="24"/>
        </w:rPr>
        <w:t xml:space="preserve"> </w:t>
      </w:r>
      <w:r w:rsidRPr="00C122A9">
        <w:rPr>
          <w:rFonts w:ascii="Times New Roman" w:hAnsi="Times New Roman" w:cs="Times New Roman"/>
          <w:color w:val="231F20"/>
          <w:sz w:val="24"/>
          <w:szCs w:val="24"/>
        </w:rPr>
        <w:t>nineteenth century. The final chapters of the book are more reflective, considering the afterlife of the panorama and its place in twentieth- and twenty-first-century literature, journalism, science, philosophy, and propaganda. An appendix provides details of surviving moving panoramas and their current locations</w:t>
      </w:r>
      <w:r w:rsidRPr="00C122A9">
        <w:rPr>
          <w:rFonts w:ascii="Times New Roman" w:hAnsi="Times New Roman" w:cs="Times New Roman"/>
          <w:color w:val="231F20"/>
          <w:sz w:val="24"/>
          <w:szCs w:val="24"/>
        </w:rPr>
        <w:t>.</w:t>
      </w:r>
    </w:p>
    <w:p w14:paraId="42DB6380" w14:textId="7584FF90" w:rsidR="00C122A9" w:rsidRPr="00C122A9" w:rsidRDefault="00C122A9" w:rsidP="00C122A9">
      <w:pPr>
        <w:pStyle w:val="BodyText"/>
        <w:tabs>
          <w:tab w:val="left" w:pos="7797"/>
        </w:tabs>
        <w:spacing w:line="276" w:lineRule="auto"/>
        <w:jc w:val="left"/>
        <w:rPr>
          <w:rFonts w:ascii="Times New Roman" w:hAnsi="Times New Roman" w:cs="Times New Roman"/>
          <w:color w:val="231F20"/>
          <w:sz w:val="24"/>
          <w:szCs w:val="24"/>
        </w:rPr>
      </w:pPr>
    </w:p>
    <w:p w14:paraId="7367AFB5" w14:textId="32E45259" w:rsidR="00FC727F" w:rsidRPr="00C122A9" w:rsidRDefault="00C122A9" w:rsidP="00C122A9">
      <w:pPr>
        <w:pStyle w:val="BodyText"/>
        <w:tabs>
          <w:tab w:val="left" w:pos="7797"/>
        </w:tabs>
        <w:spacing w:line="276" w:lineRule="auto"/>
        <w:jc w:val="left"/>
        <w:rPr>
          <w:sz w:val="24"/>
          <w:szCs w:val="24"/>
        </w:rPr>
      </w:pPr>
      <w:proofErr w:type="spellStart"/>
      <w:r w:rsidRPr="00C122A9">
        <w:rPr>
          <w:rFonts w:ascii="Times New Roman" w:hAnsi="Times New Roman" w:cs="Times New Roman"/>
          <w:color w:val="231F20"/>
          <w:sz w:val="24"/>
          <w:szCs w:val="24"/>
        </w:rPr>
        <w:t>Huhtamo’s</w:t>
      </w:r>
      <w:proofErr w:type="spellEnd"/>
      <w:r w:rsidRPr="00C122A9">
        <w:rPr>
          <w:rFonts w:ascii="Times New Roman" w:hAnsi="Times New Roman" w:cs="Times New Roman"/>
          <w:color w:val="231F20"/>
          <w:sz w:val="24"/>
          <w:szCs w:val="24"/>
        </w:rPr>
        <w:t xml:space="preserve"> book is a contribution to what he refers to as “media archaeology,” an approach that surveys the surviving material evidence to gain greater understandings of how media were written about, designed, used, received, represented, and preserved. Both books will offer insights to readers in a number of academic disciplines and scholarly fields, from art history and media studies to imperial history, literature, and cultural studies. In doing so, the coverage of both is almost as wide as the panoramas that form the basis of their analyses</w:t>
      </w:r>
      <w:r w:rsidRPr="00C122A9">
        <w:rPr>
          <w:rFonts w:ascii="Times New Roman" w:hAnsi="Times New Roman" w:cs="Times New Roman"/>
          <w:color w:val="231F20"/>
          <w:sz w:val="24"/>
          <w:szCs w:val="24"/>
        </w:rPr>
        <w:t>.</w:t>
      </w:r>
    </w:p>
    <w:sectPr w:rsidR="00FC727F" w:rsidRPr="00C12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A9"/>
    <w:rsid w:val="00360BFA"/>
    <w:rsid w:val="00C117A4"/>
    <w:rsid w:val="00C122A9"/>
    <w:rsid w:val="00FC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3E01"/>
  <w15:chartTrackingRefBased/>
  <w15:docId w15:val="{67111F6E-45A3-46C8-BEBC-370F2D4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22A9"/>
    <w:pPr>
      <w:widowControl w:val="0"/>
      <w:autoSpaceDE w:val="0"/>
      <w:autoSpaceDN w:val="0"/>
      <w:spacing w:before="1" w:after="0" w:line="240" w:lineRule="auto"/>
      <w:ind w:left="470"/>
      <w:outlineLvl w:val="0"/>
    </w:pPr>
    <w:rPr>
      <w:rFonts w:ascii="Trebuchet MS" w:eastAsia="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22A9"/>
    <w:pPr>
      <w:widowControl w:val="0"/>
      <w:autoSpaceDE w:val="0"/>
      <w:autoSpaceDN w:val="0"/>
      <w:spacing w:after="0" w:line="240" w:lineRule="auto"/>
      <w:jc w:val="both"/>
    </w:pPr>
    <w:rPr>
      <w:rFonts w:ascii="Minion Pro" w:eastAsia="Minion Pro" w:hAnsi="Minion Pro" w:cs="Minion Pro"/>
      <w:sz w:val="20"/>
      <w:szCs w:val="20"/>
      <w:lang w:val="en-US"/>
    </w:rPr>
  </w:style>
  <w:style w:type="character" w:customStyle="1" w:styleId="BodyTextChar">
    <w:name w:val="Body Text Char"/>
    <w:basedOn w:val="DefaultParagraphFont"/>
    <w:link w:val="BodyText"/>
    <w:uiPriority w:val="1"/>
    <w:rsid w:val="00C122A9"/>
    <w:rPr>
      <w:rFonts w:ascii="Minion Pro" w:eastAsia="Minion Pro" w:hAnsi="Minion Pro" w:cs="Minion Pro"/>
      <w:sz w:val="20"/>
      <w:szCs w:val="20"/>
      <w:lang w:val="en-US"/>
    </w:rPr>
  </w:style>
  <w:style w:type="character" w:customStyle="1" w:styleId="Heading1Char">
    <w:name w:val="Heading 1 Char"/>
    <w:basedOn w:val="DefaultParagraphFont"/>
    <w:link w:val="Heading1"/>
    <w:uiPriority w:val="9"/>
    <w:rsid w:val="00C122A9"/>
    <w:rPr>
      <w:rFonts w:ascii="Trebuchet MS" w:eastAsia="Trebuchet MS" w:hAnsi="Trebuchet MS" w:cs="Trebuchet M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Mcaleer</dc:creator>
  <cp:keywords/>
  <dc:description/>
  <cp:lastModifiedBy>John Mcaleer</cp:lastModifiedBy>
  <cp:revision>1</cp:revision>
  <dcterms:created xsi:type="dcterms:W3CDTF">2023-09-13T07:44:00Z</dcterms:created>
  <dcterms:modified xsi:type="dcterms:W3CDTF">2023-09-13T07:56:00Z</dcterms:modified>
</cp:coreProperties>
</file>