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6721" w14:textId="5F121C8F" w:rsidR="000559E1" w:rsidRPr="00602CCA" w:rsidRDefault="001C1452" w:rsidP="007544AE">
      <w:pPr>
        <w:spacing w:line="480" w:lineRule="auto"/>
        <w:jc w:val="center"/>
        <w:rPr>
          <w:rFonts w:cstheme="minorHAnsi"/>
          <w:b/>
          <w:bCs/>
        </w:rPr>
      </w:pPr>
      <w:r>
        <w:rPr>
          <w:rFonts w:cstheme="minorHAnsi"/>
          <w:b/>
          <w:bCs/>
        </w:rPr>
        <w:t xml:space="preserve"> </w:t>
      </w:r>
      <w:bookmarkStart w:id="0" w:name="_Hlk121753349"/>
      <w:bookmarkStart w:id="1" w:name="_Hlk131841746"/>
      <w:r w:rsidR="00AC667A">
        <w:rPr>
          <w:rFonts w:cstheme="minorHAnsi"/>
          <w:b/>
          <w:bCs/>
        </w:rPr>
        <w:t>Anomalies in</w:t>
      </w:r>
      <w:r w:rsidR="00E63367">
        <w:rPr>
          <w:rFonts w:cstheme="minorHAnsi"/>
          <w:b/>
          <w:bCs/>
        </w:rPr>
        <w:t xml:space="preserve"> </w:t>
      </w:r>
      <w:r w:rsidR="00B15131">
        <w:rPr>
          <w:rFonts w:cstheme="minorHAnsi"/>
          <w:b/>
          <w:bCs/>
        </w:rPr>
        <w:t xml:space="preserve">the </w:t>
      </w:r>
      <w:r w:rsidR="00B50C77">
        <w:rPr>
          <w:rFonts w:cstheme="minorHAnsi"/>
          <w:b/>
          <w:bCs/>
        </w:rPr>
        <w:t xml:space="preserve">review process and </w:t>
      </w:r>
      <w:r w:rsidR="00E63367">
        <w:rPr>
          <w:rFonts w:cstheme="minorHAnsi"/>
          <w:b/>
          <w:bCs/>
        </w:rPr>
        <w:t>interpret</w:t>
      </w:r>
      <w:r w:rsidR="00B50C77">
        <w:rPr>
          <w:rFonts w:cstheme="minorHAnsi"/>
          <w:b/>
          <w:bCs/>
        </w:rPr>
        <w:t>ation of</w:t>
      </w:r>
      <w:r w:rsidR="00E63367">
        <w:rPr>
          <w:rFonts w:cstheme="minorHAnsi"/>
          <w:b/>
          <w:bCs/>
        </w:rPr>
        <w:t xml:space="preserve"> the evid</w:t>
      </w:r>
      <w:r w:rsidR="003956C9">
        <w:rPr>
          <w:rFonts w:cstheme="minorHAnsi"/>
          <w:b/>
          <w:bCs/>
        </w:rPr>
        <w:t>e</w:t>
      </w:r>
      <w:r w:rsidR="00E63367">
        <w:rPr>
          <w:rFonts w:cstheme="minorHAnsi"/>
          <w:b/>
          <w:bCs/>
        </w:rPr>
        <w:t>nce</w:t>
      </w:r>
      <w:r w:rsidR="002D18FD">
        <w:rPr>
          <w:rFonts w:cstheme="minorHAnsi"/>
          <w:b/>
          <w:bCs/>
        </w:rPr>
        <w:t xml:space="preserve"> </w:t>
      </w:r>
      <w:r w:rsidR="0094291D">
        <w:rPr>
          <w:rFonts w:cstheme="minorHAnsi"/>
          <w:b/>
          <w:bCs/>
        </w:rPr>
        <w:t>in</w:t>
      </w:r>
      <w:r w:rsidR="002D18FD">
        <w:rPr>
          <w:rFonts w:cstheme="minorHAnsi"/>
          <w:b/>
          <w:bCs/>
        </w:rPr>
        <w:t xml:space="preserve"> the </w:t>
      </w:r>
      <w:r w:rsidR="002D18FD" w:rsidRPr="002D18FD">
        <w:rPr>
          <w:rFonts w:cstheme="minorHAnsi"/>
          <w:b/>
          <w:bCs/>
        </w:rPr>
        <w:t>NICE guideline for chronic fatigue syndrome and myalgic encephalomyelitis</w:t>
      </w:r>
      <w:bookmarkEnd w:id="0"/>
    </w:p>
    <w:bookmarkEnd w:id="1"/>
    <w:p w14:paraId="2B413B04" w14:textId="20878E8D" w:rsidR="007A6580" w:rsidRPr="00E47412" w:rsidRDefault="007A6580" w:rsidP="007544AE">
      <w:pPr>
        <w:spacing w:line="480" w:lineRule="auto"/>
        <w:rPr>
          <w:rFonts w:cstheme="minorHAnsi"/>
          <w:vertAlign w:val="superscript"/>
        </w:rPr>
      </w:pPr>
      <w:r w:rsidRPr="0030124F">
        <w:rPr>
          <w:rFonts w:cstheme="minorHAnsi"/>
        </w:rPr>
        <w:t>Peter White</w:t>
      </w:r>
      <w:r w:rsidRPr="0030124F">
        <w:rPr>
          <w:rFonts w:cstheme="minorHAnsi"/>
          <w:vertAlign w:val="superscript"/>
        </w:rPr>
        <w:t>1</w:t>
      </w:r>
      <w:r w:rsidR="00187B21">
        <w:rPr>
          <w:rFonts w:cstheme="minorHAnsi"/>
        </w:rPr>
        <w:t xml:space="preserve">, </w:t>
      </w:r>
      <w:r w:rsidR="006F5CD9">
        <w:rPr>
          <w:rFonts w:cstheme="minorHAnsi"/>
        </w:rPr>
        <w:t>Susan Abbey</w:t>
      </w:r>
      <w:r w:rsidR="001634F7">
        <w:rPr>
          <w:rFonts w:cstheme="minorHAnsi"/>
          <w:vertAlign w:val="superscript"/>
        </w:rPr>
        <w:t>2</w:t>
      </w:r>
      <w:r w:rsidR="006F5CD9">
        <w:rPr>
          <w:rFonts w:cstheme="minorHAnsi"/>
        </w:rPr>
        <w:t xml:space="preserve">, </w:t>
      </w:r>
      <w:r w:rsidR="00E773A4">
        <w:rPr>
          <w:rFonts w:cstheme="minorHAnsi"/>
        </w:rPr>
        <w:t>Brian Angus</w:t>
      </w:r>
      <w:r w:rsidR="001634F7">
        <w:rPr>
          <w:rFonts w:cstheme="minorHAnsi"/>
          <w:vertAlign w:val="superscript"/>
        </w:rPr>
        <w:t>3</w:t>
      </w:r>
      <w:r w:rsidR="00E773A4">
        <w:rPr>
          <w:rFonts w:cstheme="minorHAnsi"/>
        </w:rPr>
        <w:t xml:space="preserve">, </w:t>
      </w:r>
      <w:r w:rsidR="00DC671A">
        <w:rPr>
          <w:rFonts w:cstheme="minorHAnsi"/>
        </w:rPr>
        <w:t>Harriet A Ball</w:t>
      </w:r>
      <w:r w:rsidR="001634F7">
        <w:rPr>
          <w:rFonts w:cstheme="minorHAnsi"/>
          <w:vertAlign w:val="superscript"/>
        </w:rPr>
        <w:t>4</w:t>
      </w:r>
      <w:r w:rsidR="00DC671A">
        <w:rPr>
          <w:rFonts w:cstheme="minorHAnsi"/>
        </w:rPr>
        <w:t xml:space="preserve">, </w:t>
      </w:r>
      <w:r w:rsidR="00A653E4">
        <w:rPr>
          <w:rFonts w:cstheme="minorHAnsi"/>
        </w:rPr>
        <w:t>Dedra Buchwald</w:t>
      </w:r>
      <w:r w:rsidR="001634F7">
        <w:rPr>
          <w:rFonts w:cstheme="minorHAnsi"/>
          <w:vertAlign w:val="superscript"/>
        </w:rPr>
        <w:t>5</w:t>
      </w:r>
      <w:r w:rsidR="00A653E4">
        <w:rPr>
          <w:rFonts w:cstheme="minorHAnsi"/>
        </w:rPr>
        <w:t xml:space="preserve">, </w:t>
      </w:r>
      <w:r w:rsidR="003345CA">
        <w:rPr>
          <w:rFonts w:cstheme="minorHAnsi"/>
        </w:rPr>
        <w:t>Christine Burness</w:t>
      </w:r>
      <w:r w:rsidR="001634F7">
        <w:rPr>
          <w:rFonts w:cstheme="minorHAnsi"/>
          <w:vertAlign w:val="superscript"/>
        </w:rPr>
        <w:t>6</w:t>
      </w:r>
      <w:r w:rsidR="003345CA">
        <w:rPr>
          <w:rFonts w:cstheme="minorHAnsi"/>
        </w:rPr>
        <w:t xml:space="preserve">, </w:t>
      </w:r>
      <w:r w:rsidRPr="0030124F">
        <w:rPr>
          <w:rFonts w:cstheme="minorHAnsi"/>
        </w:rPr>
        <w:t>Alan Carson</w:t>
      </w:r>
      <w:r w:rsidR="001634F7">
        <w:rPr>
          <w:rFonts w:cstheme="minorHAnsi"/>
          <w:vertAlign w:val="superscript"/>
        </w:rPr>
        <w:t>7</w:t>
      </w:r>
      <w:r w:rsidR="00187B21">
        <w:rPr>
          <w:rFonts w:cstheme="minorHAnsi"/>
        </w:rPr>
        <w:t xml:space="preserve">, </w:t>
      </w:r>
      <w:r w:rsidRPr="0030124F">
        <w:rPr>
          <w:rFonts w:cstheme="minorHAnsi"/>
        </w:rPr>
        <w:t>Trudie Chalder</w:t>
      </w:r>
      <w:r w:rsidR="001634F7">
        <w:rPr>
          <w:rFonts w:cstheme="minorHAnsi"/>
          <w:vertAlign w:val="superscript"/>
        </w:rPr>
        <w:t>8</w:t>
      </w:r>
      <w:r w:rsidR="00161632">
        <w:rPr>
          <w:rFonts w:cstheme="minorHAnsi"/>
          <w:vertAlign w:val="superscript"/>
        </w:rPr>
        <w:t>*</w:t>
      </w:r>
      <w:r w:rsidR="00187B21">
        <w:rPr>
          <w:rFonts w:cstheme="minorHAnsi"/>
        </w:rPr>
        <w:t xml:space="preserve">, </w:t>
      </w:r>
      <w:r w:rsidR="00BE2D28">
        <w:rPr>
          <w:rFonts w:cstheme="minorHAnsi"/>
        </w:rPr>
        <w:t>Dan</w:t>
      </w:r>
      <w:r w:rsidR="00D804A0">
        <w:rPr>
          <w:rFonts w:cstheme="minorHAnsi"/>
        </w:rPr>
        <w:t>iel</w:t>
      </w:r>
      <w:r w:rsidR="00BE2D28">
        <w:rPr>
          <w:rFonts w:cstheme="minorHAnsi"/>
        </w:rPr>
        <w:t xml:space="preserve"> </w:t>
      </w:r>
      <w:r w:rsidR="008C4A8C">
        <w:rPr>
          <w:rFonts w:cstheme="minorHAnsi"/>
        </w:rPr>
        <w:t xml:space="preserve">J </w:t>
      </w:r>
      <w:r w:rsidR="00BE2D28">
        <w:rPr>
          <w:rFonts w:cstheme="minorHAnsi"/>
        </w:rPr>
        <w:t>Clauw</w:t>
      </w:r>
      <w:r w:rsidR="001634F7">
        <w:rPr>
          <w:rFonts w:cstheme="minorHAnsi"/>
          <w:vertAlign w:val="superscript"/>
        </w:rPr>
        <w:t>9</w:t>
      </w:r>
      <w:r w:rsidR="00BE2D28">
        <w:rPr>
          <w:rFonts w:cstheme="minorHAnsi"/>
        </w:rPr>
        <w:t xml:space="preserve">, </w:t>
      </w:r>
      <w:r w:rsidR="003B3C41">
        <w:rPr>
          <w:rFonts w:cstheme="minorHAnsi"/>
        </w:rPr>
        <w:t>Jan A Coebergh</w:t>
      </w:r>
      <w:r w:rsidR="001634F7">
        <w:rPr>
          <w:rFonts w:cstheme="minorHAnsi"/>
          <w:vertAlign w:val="superscript"/>
        </w:rPr>
        <w:t>10</w:t>
      </w:r>
      <w:r w:rsidR="003B3C41">
        <w:rPr>
          <w:rFonts w:cstheme="minorHAnsi"/>
        </w:rPr>
        <w:t xml:space="preserve">, </w:t>
      </w:r>
      <w:r w:rsidR="00651D7A">
        <w:rPr>
          <w:rFonts w:cstheme="minorHAnsi"/>
        </w:rPr>
        <w:t>Anthony</w:t>
      </w:r>
      <w:r w:rsidR="00BE2D28">
        <w:rPr>
          <w:rFonts w:cstheme="minorHAnsi"/>
        </w:rPr>
        <w:t xml:space="preserve"> David</w:t>
      </w:r>
      <w:r w:rsidR="001634F7">
        <w:rPr>
          <w:rFonts w:cstheme="minorHAnsi"/>
          <w:vertAlign w:val="superscript"/>
        </w:rPr>
        <w:t>11</w:t>
      </w:r>
      <w:r w:rsidR="00BE2D28">
        <w:rPr>
          <w:rFonts w:cstheme="minorHAnsi"/>
        </w:rPr>
        <w:t xml:space="preserve">, </w:t>
      </w:r>
      <w:r w:rsidR="00496924">
        <w:rPr>
          <w:rFonts w:cstheme="minorHAnsi"/>
        </w:rPr>
        <w:t>Barbara A Dworetzky</w:t>
      </w:r>
      <w:r w:rsidR="001634F7">
        <w:rPr>
          <w:rFonts w:cstheme="minorHAnsi"/>
          <w:vertAlign w:val="superscript"/>
        </w:rPr>
        <w:t>12</w:t>
      </w:r>
      <w:r w:rsidR="00496924">
        <w:rPr>
          <w:rFonts w:cstheme="minorHAnsi"/>
        </w:rPr>
        <w:t xml:space="preserve">, </w:t>
      </w:r>
      <w:r w:rsidR="00DB2DEF">
        <w:rPr>
          <w:rFonts w:cstheme="minorHAnsi"/>
        </w:rPr>
        <w:t>Mark</w:t>
      </w:r>
      <w:r w:rsidR="004C413A">
        <w:rPr>
          <w:rFonts w:cstheme="minorHAnsi"/>
        </w:rPr>
        <w:t xml:space="preserve"> J</w:t>
      </w:r>
      <w:r w:rsidR="00DB2DEF">
        <w:rPr>
          <w:rFonts w:cstheme="minorHAnsi"/>
        </w:rPr>
        <w:t xml:space="preserve"> Edwards</w:t>
      </w:r>
      <w:r w:rsidR="001634F7">
        <w:rPr>
          <w:rFonts w:cstheme="minorHAnsi"/>
          <w:vertAlign w:val="superscript"/>
        </w:rPr>
        <w:t>13</w:t>
      </w:r>
      <w:r w:rsidR="00DB2DEF">
        <w:rPr>
          <w:rFonts w:cstheme="minorHAnsi"/>
        </w:rPr>
        <w:t xml:space="preserve">, </w:t>
      </w:r>
      <w:r w:rsidR="00FB2B4D" w:rsidRPr="00FB2B4D">
        <w:rPr>
          <w:rFonts w:cstheme="minorHAnsi"/>
        </w:rPr>
        <w:t>Alberto J Espay</w:t>
      </w:r>
      <w:r w:rsidR="001634F7">
        <w:rPr>
          <w:rFonts w:cstheme="minorHAnsi"/>
          <w:vertAlign w:val="superscript"/>
        </w:rPr>
        <w:t>14</w:t>
      </w:r>
      <w:r w:rsidR="00FB2B4D">
        <w:rPr>
          <w:rFonts w:cstheme="minorHAnsi"/>
        </w:rPr>
        <w:t xml:space="preserve">, </w:t>
      </w:r>
      <w:r w:rsidR="00B42771">
        <w:rPr>
          <w:rFonts w:cstheme="minorHAnsi"/>
        </w:rPr>
        <w:t>John Etherington</w:t>
      </w:r>
      <w:r w:rsidR="001634F7">
        <w:rPr>
          <w:rFonts w:cstheme="minorHAnsi"/>
          <w:vertAlign w:val="superscript"/>
        </w:rPr>
        <w:t>15</w:t>
      </w:r>
      <w:r w:rsidR="00B42771">
        <w:rPr>
          <w:rFonts w:cstheme="minorHAnsi"/>
        </w:rPr>
        <w:t xml:space="preserve">, </w:t>
      </w:r>
      <w:r w:rsidR="00A74352">
        <w:rPr>
          <w:rFonts w:cstheme="minorHAnsi"/>
        </w:rPr>
        <w:t>Per Fink</w:t>
      </w:r>
      <w:r w:rsidR="0031734E">
        <w:rPr>
          <w:rFonts w:cstheme="minorHAnsi"/>
          <w:vertAlign w:val="superscript"/>
        </w:rPr>
        <w:t>16</w:t>
      </w:r>
      <w:r w:rsidR="00A74352">
        <w:rPr>
          <w:rFonts w:cstheme="minorHAnsi"/>
        </w:rPr>
        <w:t xml:space="preserve">, </w:t>
      </w:r>
      <w:r w:rsidR="00BE2D28">
        <w:rPr>
          <w:rFonts w:cstheme="minorHAnsi"/>
        </w:rPr>
        <w:t>Signe Flottorp</w:t>
      </w:r>
      <w:r w:rsidR="0031734E">
        <w:rPr>
          <w:rFonts w:cstheme="minorHAnsi"/>
          <w:vertAlign w:val="superscript"/>
        </w:rPr>
        <w:t>17</w:t>
      </w:r>
      <w:r w:rsidR="00BE2D28">
        <w:rPr>
          <w:rFonts w:cstheme="minorHAnsi"/>
        </w:rPr>
        <w:t xml:space="preserve">, </w:t>
      </w:r>
      <w:r w:rsidR="005E3D44" w:rsidRPr="005E3D44">
        <w:rPr>
          <w:rFonts w:cstheme="minorHAnsi"/>
        </w:rPr>
        <w:t>Beatrice Garcin</w:t>
      </w:r>
      <w:r w:rsidR="0031734E">
        <w:rPr>
          <w:rFonts w:cstheme="minorHAnsi"/>
          <w:vertAlign w:val="superscript"/>
        </w:rPr>
        <w:t>18</w:t>
      </w:r>
      <w:r w:rsidR="005E3D44">
        <w:rPr>
          <w:rFonts w:cstheme="minorHAnsi"/>
        </w:rPr>
        <w:t xml:space="preserve">, </w:t>
      </w:r>
      <w:r w:rsidRPr="0030124F">
        <w:rPr>
          <w:rFonts w:cstheme="minorHAnsi"/>
        </w:rPr>
        <w:t>Paul Garner</w:t>
      </w:r>
      <w:r w:rsidR="0031734E">
        <w:rPr>
          <w:rFonts w:cstheme="minorHAnsi"/>
          <w:vertAlign w:val="superscript"/>
        </w:rPr>
        <w:t>19</w:t>
      </w:r>
      <w:r w:rsidR="00187B21">
        <w:rPr>
          <w:rFonts w:cstheme="minorHAnsi"/>
        </w:rPr>
        <w:t xml:space="preserve">, </w:t>
      </w:r>
      <w:r w:rsidR="00857D53">
        <w:rPr>
          <w:rFonts w:cstheme="minorHAnsi"/>
        </w:rPr>
        <w:t>Paul Glasziou</w:t>
      </w:r>
      <w:r w:rsidR="0031734E">
        <w:rPr>
          <w:rFonts w:cstheme="minorHAnsi"/>
          <w:vertAlign w:val="superscript"/>
        </w:rPr>
        <w:t>20</w:t>
      </w:r>
      <w:r w:rsidR="00857D53">
        <w:rPr>
          <w:rFonts w:cstheme="minorHAnsi"/>
        </w:rPr>
        <w:t xml:space="preserve">, </w:t>
      </w:r>
      <w:r w:rsidR="00BE2D28">
        <w:rPr>
          <w:rFonts w:cstheme="minorHAnsi"/>
        </w:rPr>
        <w:t>William Hamilton</w:t>
      </w:r>
      <w:r w:rsidR="0031734E">
        <w:rPr>
          <w:rFonts w:cstheme="minorHAnsi"/>
          <w:vertAlign w:val="superscript"/>
        </w:rPr>
        <w:t>21</w:t>
      </w:r>
      <w:r w:rsidR="00BE2D28">
        <w:rPr>
          <w:rFonts w:cstheme="minorHAnsi"/>
        </w:rPr>
        <w:t>,</w:t>
      </w:r>
      <w:r w:rsidR="00FE249A">
        <w:rPr>
          <w:rFonts w:cstheme="minorHAnsi"/>
        </w:rPr>
        <w:t xml:space="preserve"> Peter Henningsen</w:t>
      </w:r>
      <w:r w:rsidR="0031734E">
        <w:rPr>
          <w:rFonts w:cstheme="minorHAnsi"/>
          <w:vertAlign w:val="superscript"/>
        </w:rPr>
        <w:t>22</w:t>
      </w:r>
      <w:r w:rsidR="00FE249A">
        <w:rPr>
          <w:rFonts w:cstheme="minorHAnsi"/>
        </w:rPr>
        <w:t xml:space="preserve">, </w:t>
      </w:r>
      <w:r w:rsidR="00D55269">
        <w:rPr>
          <w:rFonts w:cstheme="minorHAnsi"/>
        </w:rPr>
        <w:t>Ingrid Hoeritzauer</w:t>
      </w:r>
      <w:r w:rsidR="0031734E">
        <w:rPr>
          <w:rFonts w:cstheme="minorHAnsi"/>
          <w:vertAlign w:val="superscript"/>
        </w:rPr>
        <w:t>23</w:t>
      </w:r>
      <w:r w:rsidR="00D55269">
        <w:rPr>
          <w:rFonts w:cstheme="minorHAnsi"/>
        </w:rPr>
        <w:t xml:space="preserve">, </w:t>
      </w:r>
      <w:r w:rsidR="00BE2D28">
        <w:rPr>
          <w:rFonts w:cstheme="minorHAnsi"/>
        </w:rPr>
        <w:t>Muj</w:t>
      </w:r>
      <w:r w:rsidR="005A6EA3">
        <w:rPr>
          <w:rFonts w:cstheme="minorHAnsi"/>
        </w:rPr>
        <w:t>taba</w:t>
      </w:r>
      <w:r w:rsidR="00BE2D28">
        <w:rPr>
          <w:rFonts w:cstheme="minorHAnsi"/>
        </w:rPr>
        <w:t xml:space="preserve"> Husain</w:t>
      </w:r>
      <w:r w:rsidR="0031734E">
        <w:rPr>
          <w:rFonts w:cstheme="minorHAnsi"/>
          <w:vertAlign w:val="superscript"/>
        </w:rPr>
        <w:t>24</w:t>
      </w:r>
      <w:r w:rsidR="00BE2D28">
        <w:rPr>
          <w:rFonts w:cstheme="minorHAnsi"/>
        </w:rPr>
        <w:t xml:space="preserve">, </w:t>
      </w:r>
      <w:r w:rsidR="00DC4969" w:rsidRPr="00DC4969">
        <w:rPr>
          <w:rFonts w:cstheme="minorHAnsi"/>
        </w:rPr>
        <w:t>Anne-Catherine ML Huys</w:t>
      </w:r>
      <w:r w:rsidR="0031734E">
        <w:rPr>
          <w:rFonts w:cstheme="minorHAnsi"/>
          <w:vertAlign w:val="superscript"/>
        </w:rPr>
        <w:t>25</w:t>
      </w:r>
      <w:r w:rsidR="00DC4969">
        <w:rPr>
          <w:rFonts w:cstheme="minorHAnsi"/>
        </w:rPr>
        <w:t xml:space="preserve">, </w:t>
      </w:r>
      <w:r w:rsidR="00A74352">
        <w:rPr>
          <w:rFonts w:cstheme="minorHAnsi"/>
        </w:rPr>
        <w:t>Hans Knoop</w:t>
      </w:r>
      <w:r w:rsidR="0031734E">
        <w:rPr>
          <w:rFonts w:cstheme="minorHAnsi"/>
          <w:vertAlign w:val="superscript"/>
        </w:rPr>
        <w:t>26</w:t>
      </w:r>
      <w:r w:rsidR="00A74352">
        <w:rPr>
          <w:rFonts w:cstheme="minorHAnsi"/>
        </w:rPr>
        <w:t xml:space="preserve">, </w:t>
      </w:r>
      <w:r w:rsidR="00DB7557">
        <w:rPr>
          <w:rFonts w:cstheme="minorHAnsi"/>
        </w:rPr>
        <w:t>Kurt Kroenke</w:t>
      </w:r>
      <w:r w:rsidR="0031734E">
        <w:rPr>
          <w:rFonts w:cstheme="minorHAnsi"/>
          <w:vertAlign w:val="superscript"/>
        </w:rPr>
        <w:t>27</w:t>
      </w:r>
      <w:r w:rsidR="00DB7557">
        <w:rPr>
          <w:rFonts w:cstheme="minorHAnsi"/>
        </w:rPr>
        <w:t xml:space="preserve">, </w:t>
      </w:r>
      <w:r w:rsidR="009E5715">
        <w:rPr>
          <w:rFonts w:cstheme="minorHAnsi"/>
        </w:rPr>
        <w:t>Alexander Lehn</w:t>
      </w:r>
      <w:r w:rsidR="0031734E">
        <w:rPr>
          <w:rFonts w:cstheme="minorHAnsi"/>
          <w:vertAlign w:val="superscript"/>
        </w:rPr>
        <w:t>28</w:t>
      </w:r>
      <w:r w:rsidR="009E5715">
        <w:rPr>
          <w:rFonts w:cstheme="minorHAnsi"/>
        </w:rPr>
        <w:t xml:space="preserve">, </w:t>
      </w:r>
      <w:r w:rsidR="00A74352">
        <w:rPr>
          <w:rFonts w:cstheme="minorHAnsi"/>
        </w:rPr>
        <w:t xml:space="preserve">James </w:t>
      </w:r>
      <w:r w:rsidR="00F947D4">
        <w:rPr>
          <w:rFonts w:cstheme="minorHAnsi"/>
        </w:rPr>
        <w:t xml:space="preserve">L </w:t>
      </w:r>
      <w:r w:rsidR="00A74352">
        <w:rPr>
          <w:rFonts w:cstheme="minorHAnsi"/>
        </w:rPr>
        <w:t>Levenson</w:t>
      </w:r>
      <w:r w:rsidR="0031734E">
        <w:rPr>
          <w:rFonts w:cstheme="minorHAnsi"/>
          <w:vertAlign w:val="superscript"/>
        </w:rPr>
        <w:t>29</w:t>
      </w:r>
      <w:r w:rsidR="00A74352">
        <w:rPr>
          <w:rFonts w:cstheme="minorHAnsi"/>
        </w:rPr>
        <w:t xml:space="preserve">, </w:t>
      </w:r>
      <w:r w:rsidR="00E857FA">
        <w:rPr>
          <w:rFonts w:cstheme="minorHAnsi"/>
        </w:rPr>
        <w:t>Paul Little</w:t>
      </w:r>
      <w:r w:rsidR="0031734E">
        <w:rPr>
          <w:rFonts w:cstheme="minorHAnsi"/>
          <w:vertAlign w:val="superscript"/>
        </w:rPr>
        <w:t>30</w:t>
      </w:r>
      <w:r w:rsidR="00E857FA">
        <w:rPr>
          <w:rFonts w:cstheme="minorHAnsi"/>
        </w:rPr>
        <w:t xml:space="preserve">, </w:t>
      </w:r>
      <w:r w:rsidR="00A74352">
        <w:rPr>
          <w:rFonts w:cstheme="minorHAnsi"/>
        </w:rPr>
        <w:t>Andrew Lloyd</w:t>
      </w:r>
      <w:r w:rsidR="00FC4304">
        <w:rPr>
          <w:rFonts w:cstheme="minorHAnsi"/>
          <w:vertAlign w:val="superscript"/>
        </w:rPr>
        <w:t>31</w:t>
      </w:r>
      <w:r w:rsidR="00A74352">
        <w:rPr>
          <w:rFonts w:cstheme="minorHAnsi"/>
        </w:rPr>
        <w:t xml:space="preserve">, </w:t>
      </w:r>
      <w:r w:rsidR="00BF2E03">
        <w:rPr>
          <w:rFonts w:cstheme="minorHAnsi"/>
        </w:rPr>
        <w:t>Ira Madan</w:t>
      </w:r>
      <w:r w:rsidR="00FC4304">
        <w:rPr>
          <w:rFonts w:cstheme="minorHAnsi"/>
          <w:vertAlign w:val="superscript"/>
        </w:rPr>
        <w:t>32</w:t>
      </w:r>
      <w:r w:rsidR="00BF2E03">
        <w:rPr>
          <w:rFonts w:cstheme="minorHAnsi"/>
        </w:rPr>
        <w:t xml:space="preserve">, </w:t>
      </w:r>
      <w:r w:rsidR="002275F3">
        <w:rPr>
          <w:rFonts w:cstheme="minorHAnsi"/>
        </w:rPr>
        <w:t>J</w:t>
      </w:r>
      <w:r w:rsidR="002275F3" w:rsidRPr="002275F3">
        <w:rPr>
          <w:rFonts w:cstheme="minorHAnsi"/>
        </w:rPr>
        <w:t>os WM van der Meer</w:t>
      </w:r>
      <w:r w:rsidR="00FC4304">
        <w:rPr>
          <w:rFonts w:cstheme="minorHAnsi"/>
          <w:vertAlign w:val="superscript"/>
        </w:rPr>
        <w:t>33</w:t>
      </w:r>
      <w:r w:rsidR="002275F3">
        <w:rPr>
          <w:rFonts w:cstheme="minorHAnsi"/>
        </w:rPr>
        <w:t xml:space="preserve">, </w:t>
      </w:r>
      <w:r w:rsidRPr="0030124F">
        <w:rPr>
          <w:rFonts w:cstheme="minorHAnsi"/>
        </w:rPr>
        <w:t>Alastair Miller</w:t>
      </w:r>
      <w:r w:rsidR="00661F4B">
        <w:rPr>
          <w:rFonts w:cstheme="minorHAnsi"/>
          <w:vertAlign w:val="superscript"/>
        </w:rPr>
        <w:t>34</w:t>
      </w:r>
      <w:r w:rsidR="00187B21">
        <w:rPr>
          <w:rFonts w:cstheme="minorHAnsi"/>
        </w:rPr>
        <w:t xml:space="preserve">, </w:t>
      </w:r>
      <w:r w:rsidR="00E857FA">
        <w:rPr>
          <w:rFonts w:cstheme="minorHAnsi"/>
        </w:rPr>
        <w:t>Maurice Murphy</w:t>
      </w:r>
      <w:r w:rsidR="00661F4B">
        <w:rPr>
          <w:rFonts w:cstheme="minorHAnsi"/>
          <w:vertAlign w:val="superscript"/>
        </w:rPr>
        <w:t>35</w:t>
      </w:r>
      <w:r w:rsidR="00E857FA">
        <w:rPr>
          <w:rFonts w:cstheme="minorHAnsi"/>
        </w:rPr>
        <w:t xml:space="preserve">, </w:t>
      </w:r>
      <w:r w:rsidR="00EE7CB7">
        <w:rPr>
          <w:rFonts w:cstheme="minorHAnsi"/>
        </w:rPr>
        <w:t>Irwin Nazareth</w:t>
      </w:r>
      <w:r w:rsidR="00661F4B">
        <w:rPr>
          <w:rFonts w:cstheme="minorHAnsi"/>
          <w:vertAlign w:val="superscript"/>
        </w:rPr>
        <w:t>36</w:t>
      </w:r>
      <w:r w:rsidR="00EE7CB7">
        <w:rPr>
          <w:rFonts w:cstheme="minorHAnsi"/>
        </w:rPr>
        <w:t xml:space="preserve">, </w:t>
      </w:r>
      <w:r w:rsidR="005263A9">
        <w:rPr>
          <w:rFonts w:cstheme="minorHAnsi"/>
        </w:rPr>
        <w:t>David L Perez</w:t>
      </w:r>
      <w:r w:rsidR="00661F4B">
        <w:rPr>
          <w:rFonts w:cstheme="minorHAnsi"/>
          <w:vertAlign w:val="superscript"/>
        </w:rPr>
        <w:t>37</w:t>
      </w:r>
      <w:r w:rsidR="005263A9">
        <w:rPr>
          <w:rFonts w:cstheme="minorHAnsi"/>
        </w:rPr>
        <w:t xml:space="preserve">, </w:t>
      </w:r>
      <w:r w:rsidR="00092197">
        <w:rPr>
          <w:rFonts w:cstheme="minorHAnsi"/>
        </w:rPr>
        <w:t>Wendy Phillips</w:t>
      </w:r>
      <w:r w:rsidR="0059259F">
        <w:rPr>
          <w:rFonts w:cstheme="minorHAnsi"/>
          <w:vertAlign w:val="superscript"/>
        </w:rPr>
        <w:t>25</w:t>
      </w:r>
      <w:r w:rsidR="00092197">
        <w:rPr>
          <w:rFonts w:cstheme="minorHAnsi"/>
        </w:rPr>
        <w:t xml:space="preserve">, </w:t>
      </w:r>
      <w:r w:rsidR="002F7F6C">
        <w:rPr>
          <w:rFonts w:cstheme="minorHAnsi"/>
        </w:rPr>
        <w:t>Mar</w:t>
      </w:r>
      <w:r w:rsidR="00E34786">
        <w:rPr>
          <w:rFonts w:cstheme="minorHAnsi"/>
        </w:rPr>
        <w:t>k</w:t>
      </w:r>
      <w:r w:rsidR="002F7F6C">
        <w:rPr>
          <w:rFonts w:cstheme="minorHAnsi"/>
        </w:rPr>
        <w:t>us Reuber</w:t>
      </w:r>
      <w:r w:rsidR="00D31611">
        <w:rPr>
          <w:rFonts w:cstheme="minorHAnsi"/>
          <w:vertAlign w:val="superscript"/>
        </w:rPr>
        <w:t>3</w:t>
      </w:r>
      <w:r w:rsidR="0059259F">
        <w:rPr>
          <w:rFonts w:cstheme="minorHAnsi"/>
          <w:vertAlign w:val="superscript"/>
        </w:rPr>
        <w:t>8</w:t>
      </w:r>
      <w:r w:rsidR="002F7F6C">
        <w:rPr>
          <w:rFonts w:cstheme="minorHAnsi"/>
        </w:rPr>
        <w:t xml:space="preserve">, </w:t>
      </w:r>
      <w:r w:rsidR="00EA3DA4">
        <w:rPr>
          <w:rFonts w:cstheme="minorHAnsi"/>
        </w:rPr>
        <w:t>Winfried Rief</w:t>
      </w:r>
      <w:r w:rsidR="0059259F">
        <w:rPr>
          <w:rFonts w:cstheme="minorHAnsi"/>
          <w:vertAlign w:val="superscript"/>
        </w:rPr>
        <w:t>39</w:t>
      </w:r>
      <w:r w:rsidR="00EA3DA4">
        <w:rPr>
          <w:rFonts w:cstheme="minorHAnsi"/>
        </w:rPr>
        <w:t xml:space="preserve">, </w:t>
      </w:r>
      <w:r w:rsidR="00271E01">
        <w:rPr>
          <w:rFonts w:cstheme="minorHAnsi"/>
        </w:rPr>
        <w:t>Alastair Santhouse</w:t>
      </w:r>
      <w:r w:rsidR="00457117">
        <w:rPr>
          <w:rFonts w:cstheme="minorHAnsi"/>
          <w:vertAlign w:val="superscript"/>
        </w:rPr>
        <w:t>24</w:t>
      </w:r>
      <w:r w:rsidR="00271E01">
        <w:rPr>
          <w:rFonts w:cstheme="minorHAnsi"/>
        </w:rPr>
        <w:t xml:space="preserve">, </w:t>
      </w:r>
      <w:r w:rsidR="002178AB" w:rsidRPr="002178AB">
        <w:rPr>
          <w:rFonts w:cstheme="minorHAnsi"/>
        </w:rPr>
        <w:t>Tereza Serranova</w:t>
      </w:r>
      <w:r w:rsidR="00D31611">
        <w:rPr>
          <w:rFonts w:cstheme="minorHAnsi"/>
          <w:vertAlign w:val="superscript"/>
        </w:rPr>
        <w:t>4</w:t>
      </w:r>
      <w:r w:rsidR="00457117">
        <w:rPr>
          <w:rFonts w:cstheme="minorHAnsi"/>
          <w:vertAlign w:val="superscript"/>
        </w:rPr>
        <w:t>0</w:t>
      </w:r>
      <w:r w:rsidR="002178AB">
        <w:rPr>
          <w:rFonts w:cstheme="minorHAnsi"/>
        </w:rPr>
        <w:t xml:space="preserve">, </w:t>
      </w:r>
      <w:r w:rsidRPr="0030124F">
        <w:rPr>
          <w:rFonts w:cstheme="minorHAnsi"/>
        </w:rPr>
        <w:t>Michael Sharpe</w:t>
      </w:r>
      <w:r w:rsidR="00D31611">
        <w:rPr>
          <w:rFonts w:cstheme="minorHAnsi"/>
          <w:vertAlign w:val="superscript"/>
        </w:rPr>
        <w:t>4</w:t>
      </w:r>
      <w:r w:rsidR="00457117">
        <w:rPr>
          <w:rFonts w:cstheme="minorHAnsi"/>
          <w:vertAlign w:val="superscript"/>
        </w:rPr>
        <w:t>1</w:t>
      </w:r>
      <w:r w:rsidR="00187B21">
        <w:rPr>
          <w:rFonts w:cstheme="minorHAnsi"/>
        </w:rPr>
        <w:t>,</w:t>
      </w:r>
      <w:r w:rsidR="00EE7CB7">
        <w:rPr>
          <w:rFonts w:cstheme="minorHAnsi"/>
        </w:rPr>
        <w:t xml:space="preserve"> Biba Stanton</w:t>
      </w:r>
      <w:r w:rsidR="00D31611">
        <w:rPr>
          <w:rFonts w:cstheme="minorHAnsi"/>
          <w:vertAlign w:val="superscript"/>
        </w:rPr>
        <w:t>4</w:t>
      </w:r>
      <w:r w:rsidR="00457117">
        <w:rPr>
          <w:rFonts w:cstheme="minorHAnsi"/>
          <w:vertAlign w:val="superscript"/>
        </w:rPr>
        <w:t>2</w:t>
      </w:r>
      <w:r w:rsidR="00EE7CB7">
        <w:rPr>
          <w:rFonts w:cstheme="minorHAnsi"/>
        </w:rPr>
        <w:t>,</w:t>
      </w:r>
      <w:r w:rsidR="00187B21">
        <w:rPr>
          <w:rFonts w:cstheme="minorHAnsi"/>
        </w:rPr>
        <w:t xml:space="preserve"> </w:t>
      </w:r>
      <w:r w:rsidR="00B97FD4" w:rsidRPr="00B97FD4">
        <w:rPr>
          <w:rFonts w:cstheme="minorHAnsi"/>
        </w:rPr>
        <w:t>Donna E Stewart</w:t>
      </w:r>
      <w:r w:rsidR="00D31611">
        <w:rPr>
          <w:rFonts w:cstheme="minorHAnsi"/>
          <w:vertAlign w:val="superscript"/>
        </w:rPr>
        <w:t>4</w:t>
      </w:r>
      <w:r w:rsidR="00457117">
        <w:rPr>
          <w:rFonts w:cstheme="minorHAnsi"/>
          <w:vertAlign w:val="superscript"/>
        </w:rPr>
        <w:t>3</w:t>
      </w:r>
      <w:r w:rsidR="00B97FD4">
        <w:rPr>
          <w:rFonts w:cstheme="minorHAnsi"/>
        </w:rPr>
        <w:t xml:space="preserve">, </w:t>
      </w:r>
      <w:r w:rsidRPr="0030124F">
        <w:rPr>
          <w:rFonts w:cstheme="minorHAnsi"/>
        </w:rPr>
        <w:t>Jon Stone</w:t>
      </w:r>
      <w:r w:rsidR="00D31611">
        <w:rPr>
          <w:rFonts w:cstheme="minorHAnsi"/>
          <w:vertAlign w:val="superscript"/>
        </w:rPr>
        <w:t>4</w:t>
      </w:r>
      <w:r w:rsidR="00457117">
        <w:rPr>
          <w:rFonts w:cstheme="minorHAnsi"/>
          <w:vertAlign w:val="superscript"/>
        </w:rPr>
        <w:t>4</w:t>
      </w:r>
      <w:r w:rsidR="00187B21">
        <w:rPr>
          <w:rFonts w:cstheme="minorHAnsi"/>
        </w:rPr>
        <w:t xml:space="preserve">, </w:t>
      </w:r>
      <w:r w:rsidR="00A00D89">
        <w:rPr>
          <w:rFonts w:cstheme="minorHAnsi"/>
        </w:rPr>
        <w:t>Michele Tinazzi</w:t>
      </w:r>
      <w:r w:rsidR="00D31611">
        <w:rPr>
          <w:rFonts w:cstheme="minorHAnsi"/>
          <w:vertAlign w:val="superscript"/>
        </w:rPr>
        <w:t>4</w:t>
      </w:r>
      <w:r w:rsidR="00457117">
        <w:rPr>
          <w:rFonts w:cstheme="minorHAnsi"/>
          <w:vertAlign w:val="superscript"/>
        </w:rPr>
        <w:t>5</w:t>
      </w:r>
      <w:r w:rsidR="00A00D89">
        <w:rPr>
          <w:rFonts w:cstheme="minorHAnsi"/>
        </w:rPr>
        <w:t xml:space="preserve">, </w:t>
      </w:r>
      <w:r w:rsidR="00BE2D28">
        <w:rPr>
          <w:rFonts w:cstheme="minorHAnsi"/>
        </w:rPr>
        <w:t xml:space="preserve">Derick </w:t>
      </w:r>
      <w:r w:rsidR="000B5CA0">
        <w:rPr>
          <w:rFonts w:cstheme="minorHAnsi"/>
        </w:rPr>
        <w:t xml:space="preserve">T </w:t>
      </w:r>
      <w:r w:rsidR="00BE2D28">
        <w:rPr>
          <w:rFonts w:cstheme="minorHAnsi"/>
        </w:rPr>
        <w:t>Wade</w:t>
      </w:r>
      <w:r w:rsidR="00D31611">
        <w:rPr>
          <w:rFonts w:cstheme="minorHAnsi"/>
          <w:vertAlign w:val="superscript"/>
        </w:rPr>
        <w:t>4</w:t>
      </w:r>
      <w:r w:rsidR="00457117">
        <w:rPr>
          <w:rFonts w:cstheme="minorHAnsi"/>
          <w:vertAlign w:val="superscript"/>
        </w:rPr>
        <w:t>6</w:t>
      </w:r>
      <w:r w:rsidR="00BE2D28">
        <w:rPr>
          <w:rFonts w:cstheme="minorHAnsi"/>
        </w:rPr>
        <w:t xml:space="preserve">, </w:t>
      </w:r>
      <w:r w:rsidRPr="0030124F">
        <w:rPr>
          <w:rFonts w:cstheme="minorHAnsi"/>
        </w:rPr>
        <w:t>Simon Wessely</w:t>
      </w:r>
      <w:r w:rsidR="001634F7">
        <w:rPr>
          <w:rFonts w:cstheme="minorHAnsi"/>
          <w:vertAlign w:val="superscript"/>
        </w:rPr>
        <w:t>8</w:t>
      </w:r>
      <w:r w:rsidR="00A74352">
        <w:rPr>
          <w:rFonts w:cstheme="minorHAnsi"/>
        </w:rPr>
        <w:t>, Vegard Wyller</w:t>
      </w:r>
      <w:r w:rsidR="00EF4289">
        <w:rPr>
          <w:rFonts w:cstheme="minorHAnsi"/>
          <w:vertAlign w:val="superscript"/>
        </w:rPr>
        <w:t>4</w:t>
      </w:r>
      <w:r w:rsidR="00457117">
        <w:rPr>
          <w:rFonts w:cstheme="minorHAnsi"/>
          <w:vertAlign w:val="superscript"/>
        </w:rPr>
        <w:t>7</w:t>
      </w:r>
      <w:r w:rsidR="00EB1142">
        <w:rPr>
          <w:rFonts w:cstheme="minorHAnsi"/>
        </w:rPr>
        <w:t>, Adam Zeman</w:t>
      </w:r>
      <w:r w:rsidR="0059259F">
        <w:rPr>
          <w:rFonts w:cstheme="minorHAnsi"/>
          <w:vertAlign w:val="superscript"/>
        </w:rPr>
        <w:t>4</w:t>
      </w:r>
      <w:r w:rsidR="00457117">
        <w:rPr>
          <w:rFonts w:cstheme="minorHAnsi"/>
          <w:vertAlign w:val="superscript"/>
        </w:rPr>
        <w:t>8</w:t>
      </w:r>
    </w:p>
    <w:p w14:paraId="78644F72" w14:textId="18C56411" w:rsidR="008449C6" w:rsidRDefault="008449C6" w:rsidP="007544AE">
      <w:pPr>
        <w:spacing w:line="480" w:lineRule="auto"/>
        <w:rPr>
          <w:rFonts w:cstheme="minorHAnsi"/>
          <w:b/>
          <w:bCs/>
        </w:rPr>
      </w:pPr>
      <w:r w:rsidRPr="00602CCA">
        <w:rPr>
          <w:rFonts w:cstheme="minorHAnsi"/>
          <w:b/>
          <w:bCs/>
        </w:rPr>
        <w:t>Affiliations</w:t>
      </w:r>
    </w:p>
    <w:p w14:paraId="679CA495" w14:textId="43796BD6" w:rsidR="007A6580" w:rsidRPr="0030124F" w:rsidRDefault="007A6580" w:rsidP="007544AE">
      <w:pPr>
        <w:spacing w:line="480" w:lineRule="auto"/>
        <w:rPr>
          <w:rFonts w:cstheme="minorHAnsi"/>
        </w:rPr>
      </w:pPr>
      <w:r w:rsidRPr="0030124F">
        <w:rPr>
          <w:rFonts w:cstheme="minorHAnsi"/>
        </w:rPr>
        <w:t>1.</w:t>
      </w:r>
      <w:r w:rsidR="00CE3F2B" w:rsidRPr="0030124F">
        <w:rPr>
          <w:rFonts w:cstheme="minorHAnsi"/>
        </w:rPr>
        <w:t xml:space="preserve"> </w:t>
      </w:r>
      <w:r w:rsidR="003B0CCA">
        <w:rPr>
          <w:rFonts w:cstheme="minorHAnsi"/>
        </w:rPr>
        <w:t>Wolfson Institute for P</w:t>
      </w:r>
      <w:r w:rsidR="0074154D">
        <w:rPr>
          <w:rFonts w:cstheme="minorHAnsi"/>
        </w:rPr>
        <w:t>opulation Health</w:t>
      </w:r>
      <w:r w:rsidR="003B0CCA">
        <w:rPr>
          <w:rFonts w:cstheme="minorHAnsi"/>
        </w:rPr>
        <w:t xml:space="preserve">, </w:t>
      </w:r>
      <w:r w:rsidR="0074154D" w:rsidRPr="0074154D">
        <w:rPr>
          <w:rFonts w:cstheme="minorHAnsi"/>
        </w:rPr>
        <w:t>St Bartholomew’s and The London School of Medicine and Dentistry,</w:t>
      </w:r>
      <w:r w:rsidR="0074154D">
        <w:rPr>
          <w:rFonts w:cstheme="minorHAnsi"/>
        </w:rPr>
        <w:t xml:space="preserve"> </w:t>
      </w:r>
      <w:r w:rsidR="00CE3F2B" w:rsidRPr="0030124F">
        <w:rPr>
          <w:rFonts w:cstheme="minorHAnsi"/>
        </w:rPr>
        <w:t>Queen Mary University of London, London</w:t>
      </w:r>
      <w:r w:rsidR="0074154D">
        <w:rPr>
          <w:rFonts w:cstheme="minorHAnsi"/>
        </w:rPr>
        <w:t xml:space="preserve"> EC1A 7BE, UK</w:t>
      </w:r>
    </w:p>
    <w:p w14:paraId="5F825F22" w14:textId="2B00E730" w:rsidR="006F5CD9" w:rsidRDefault="001634F7" w:rsidP="00212F7D">
      <w:pPr>
        <w:spacing w:line="480" w:lineRule="auto"/>
        <w:rPr>
          <w:rFonts w:cstheme="minorHAnsi"/>
        </w:rPr>
      </w:pPr>
      <w:r>
        <w:rPr>
          <w:rFonts w:cstheme="minorHAnsi"/>
        </w:rPr>
        <w:t>2.</w:t>
      </w:r>
      <w:r w:rsidR="006F5CD9">
        <w:rPr>
          <w:rFonts w:cstheme="minorHAnsi"/>
        </w:rPr>
        <w:t xml:space="preserve"> </w:t>
      </w:r>
      <w:r w:rsidR="00F87196" w:rsidRPr="00F87196">
        <w:rPr>
          <w:rFonts w:cstheme="minorHAnsi"/>
        </w:rPr>
        <w:t>Toronto General Hospital Research Institute</w:t>
      </w:r>
      <w:r w:rsidR="00F87196">
        <w:rPr>
          <w:rFonts w:cstheme="minorHAnsi"/>
        </w:rPr>
        <w:t>, University of Toronto, Canada</w:t>
      </w:r>
    </w:p>
    <w:p w14:paraId="3076DB8F" w14:textId="3FC9A8D5" w:rsidR="00E773A4" w:rsidRDefault="001634F7" w:rsidP="00212F7D">
      <w:pPr>
        <w:spacing w:line="480" w:lineRule="auto"/>
        <w:rPr>
          <w:rFonts w:cstheme="minorHAnsi"/>
        </w:rPr>
      </w:pPr>
      <w:r>
        <w:rPr>
          <w:rFonts w:cstheme="minorHAnsi"/>
        </w:rPr>
        <w:t>3.</w:t>
      </w:r>
      <w:r w:rsidR="00E773A4" w:rsidRPr="00E773A4">
        <w:t xml:space="preserve"> </w:t>
      </w:r>
      <w:r w:rsidR="00E773A4" w:rsidRPr="00E773A4">
        <w:rPr>
          <w:rFonts w:cstheme="minorHAnsi"/>
        </w:rPr>
        <w:t>Nuffield Department of Medicine, Oxford University</w:t>
      </w:r>
      <w:r w:rsidR="00E773A4">
        <w:rPr>
          <w:rFonts w:cstheme="minorHAnsi"/>
        </w:rPr>
        <w:t xml:space="preserve">, Oxford, UK  </w:t>
      </w:r>
    </w:p>
    <w:p w14:paraId="686BCDD2" w14:textId="31512BD5" w:rsidR="00DC671A" w:rsidRDefault="001634F7" w:rsidP="00212F7D">
      <w:pPr>
        <w:spacing w:line="480" w:lineRule="auto"/>
        <w:rPr>
          <w:rFonts w:cstheme="minorHAnsi"/>
        </w:rPr>
      </w:pPr>
      <w:r>
        <w:rPr>
          <w:rFonts w:cstheme="minorHAnsi"/>
        </w:rPr>
        <w:t>4.</w:t>
      </w:r>
      <w:r w:rsidR="00DC671A">
        <w:rPr>
          <w:rFonts w:cstheme="minorHAnsi"/>
        </w:rPr>
        <w:t xml:space="preserve"> </w:t>
      </w:r>
      <w:r w:rsidR="00483EB1" w:rsidRPr="00483EB1">
        <w:rPr>
          <w:rFonts w:cstheme="minorHAnsi"/>
        </w:rPr>
        <w:t>Population Health Sciences, Bristol Medical School, University of Bristol, UK</w:t>
      </w:r>
    </w:p>
    <w:p w14:paraId="49EEC05E" w14:textId="1F7E89DE" w:rsidR="00A653E4" w:rsidRDefault="001634F7" w:rsidP="00A653E4">
      <w:pPr>
        <w:spacing w:line="480" w:lineRule="auto"/>
        <w:rPr>
          <w:rFonts w:cstheme="minorHAnsi"/>
        </w:rPr>
      </w:pPr>
      <w:r>
        <w:rPr>
          <w:rFonts w:cstheme="minorHAnsi"/>
        </w:rPr>
        <w:t>5.</w:t>
      </w:r>
      <w:r w:rsidR="00A653E4">
        <w:rPr>
          <w:rFonts w:cstheme="minorHAnsi"/>
        </w:rPr>
        <w:t xml:space="preserve"> </w:t>
      </w:r>
      <w:r w:rsidR="00A653E4" w:rsidRPr="00A653E4">
        <w:rPr>
          <w:rFonts w:cstheme="minorHAnsi"/>
        </w:rPr>
        <w:t>Institute for Research and Education to Advance Community Health</w:t>
      </w:r>
      <w:r w:rsidR="00A653E4">
        <w:rPr>
          <w:rFonts w:cstheme="minorHAnsi"/>
        </w:rPr>
        <w:t>,</w:t>
      </w:r>
      <w:r>
        <w:rPr>
          <w:rFonts w:cstheme="minorHAnsi"/>
        </w:rPr>
        <w:t xml:space="preserve"> </w:t>
      </w:r>
      <w:r w:rsidR="00A653E4" w:rsidRPr="00A653E4">
        <w:rPr>
          <w:rFonts w:cstheme="minorHAnsi"/>
        </w:rPr>
        <w:t>Washington State University</w:t>
      </w:r>
      <w:r w:rsidR="00A653E4">
        <w:rPr>
          <w:rFonts w:cstheme="minorHAnsi"/>
        </w:rPr>
        <w:t>, Seattle, USA</w:t>
      </w:r>
    </w:p>
    <w:p w14:paraId="55ECA8AB" w14:textId="4E27E00C" w:rsidR="003345CA" w:rsidRDefault="001634F7" w:rsidP="00A653E4">
      <w:pPr>
        <w:spacing w:line="480" w:lineRule="auto"/>
        <w:rPr>
          <w:rFonts w:cstheme="minorHAnsi"/>
        </w:rPr>
      </w:pPr>
      <w:r>
        <w:rPr>
          <w:rFonts w:cstheme="minorHAnsi"/>
        </w:rPr>
        <w:t>6.</w:t>
      </w:r>
      <w:r w:rsidR="003345CA">
        <w:rPr>
          <w:rFonts w:cstheme="minorHAnsi"/>
        </w:rPr>
        <w:t xml:space="preserve"> </w:t>
      </w:r>
      <w:r w:rsidR="003345CA" w:rsidRPr="003345CA">
        <w:rPr>
          <w:rFonts w:cstheme="minorHAnsi"/>
        </w:rPr>
        <w:t>The Walton Centre</w:t>
      </w:r>
      <w:r w:rsidR="003345CA">
        <w:rPr>
          <w:rFonts w:cstheme="minorHAnsi"/>
        </w:rPr>
        <w:t>, The Walton Centre</w:t>
      </w:r>
      <w:r w:rsidR="003345CA" w:rsidRPr="003345CA">
        <w:rPr>
          <w:rFonts w:cstheme="minorHAnsi"/>
        </w:rPr>
        <w:t xml:space="preserve"> NHS Foundation Trust</w:t>
      </w:r>
      <w:r w:rsidR="003345CA">
        <w:rPr>
          <w:rFonts w:cstheme="minorHAnsi"/>
        </w:rPr>
        <w:t>, Liverpool, UK</w:t>
      </w:r>
    </w:p>
    <w:p w14:paraId="58E7D74B" w14:textId="2B070A85" w:rsidR="00AB6667" w:rsidRDefault="001634F7" w:rsidP="00A653E4">
      <w:pPr>
        <w:spacing w:line="480" w:lineRule="auto"/>
        <w:rPr>
          <w:rFonts w:cstheme="minorHAnsi"/>
        </w:rPr>
      </w:pPr>
      <w:r>
        <w:rPr>
          <w:rFonts w:cstheme="minorHAnsi"/>
        </w:rPr>
        <w:t>7.</w:t>
      </w:r>
      <w:r w:rsidR="00AB6667" w:rsidRPr="00AB6667">
        <w:rPr>
          <w:rFonts w:cstheme="minorHAnsi"/>
        </w:rPr>
        <w:t xml:space="preserve"> Centre for Clinical Brain Sciences, University of Edinburgh, Royal Infirmary, Edinburgh, UK</w:t>
      </w:r>
    </w:p>
    <w:p w14:paraId="3B325013" w14:textId="6E4CA484" w:rsidR="006F0EBE" w:rsidRDefault="001634F7" w:rsidP="00A653E4">
      <w:pPr>
        <w:spacing w:line="480" w:lineRule="auto"/>
        <w:rPr>
          <w:rFonts w:cstheme="minorHAnsi"/>
        </w:rPr>
      </w:pPr>
      <w:r>
        <w:rPr>
          <w:rFonts w:cstheme="minorHAnsi"/>
        </w:rPr>
        <w:lastRenderedPageBreak/>
        <w:t>8.</w:t>
      </w:r>
      <w:r w:rsidR="006F0EBE" w:rsidRPr="006F0EBE">
        <w:rPr>
          <w:rFonts w:cstheme="minorHAnsi"/>
        </w:rPr>
        <w:t xml:space="preserve"> Department of Psychological Medicine, Institute of Psychiatry, Psychology &amp; Neuroscience, King’s College London, London, UK</w:t>
      </w:r>
    </w:p>
    <w:p w14:paraId="37259FF5" w14:textId="365EC9C6" w:rsidR="00212F7D" w:rsidRDefault="001634F7" w:rsidP="00212F7D">
      <w:pPr>
        <w:spacing w:line="480" w:lineRule="auto"/>
        <w:rPr>
          <w:rFonts w:cstheme="minorHAnsi"/>
        </w:rPr>
      </w:pPr>
      <w:r>
        <w:rPr>
          <w:rFonts w:cstheme="minorHAnsi"/>
        </w:rPr>
        <w:t>9.</w:t>
      </w:r>
      <w:r w:rsidR="00212F7D">
        <w:rPr>
          <w:rFonts w:cstheme="minorHAnsi"/>
        </w:rPr>
        <w:t xml:space="preserve"> Departments of </w:t>
      </w:r>
      <w:r w:rsidR="00212F7D" w:rsidRPr="00212F7D">
        <w:rPr>
          <w:rFonts w:cstheme="minorHAnsi"/>
        </w:rPr>
        <w:t>Anesthesiology, Medicine and Psychiatry</w:t>
      </w:r>
      <w:r w:rsidR="00212F7D">
        <w:rPr>
          <w:rFonts w:cstheme="minorHAnsi"/>
        </w:rPr>
        <w:t xml:space="preserve">, </w:t>
      </w:r>
      <w:r w:rsidR="00212F7D" w:rsidRPr="00212F7D">
        <w:rPr>
          <w:rFonts w:cstheme="minorHAnsi"/>
        </w:rPr>
        <w:t>University of Michigan</w:t>
      </w:r>
      <w:r w:rsidR="00212F7D">
        <w:rPr>
          <w:rFonts w:cstheme="minorHAnsi"/>
        </w:rPr>
        <w:t>, USA</w:t>
      </w:r>
    </w:p>
    <w:p w14:paraId="79602954" w14:textId="2A2C85CB" w:rsidR="00F553B5" w:rsidRDefault="001634F7" w:rsidP="00212F7D">
      <w:pPr>
        <w:spacing w:line="480" w:lineRule="auto"/>
        <w:rPr>
          <w:rFonts w:cstheme="minorHAnsi"/>
        </w:rPr>
      </w:pPr>
      <w:r>
        <w:rPr>
          <w:rFonts w:cstheme="minorHAnsi"/>
        </w:rPr>
        <w:t>10.</w:t>
      </w:r>
      <w:r w:rsidR="00153C63">
        <w:rPr>
          <w:rFonts w:cstheme="minorHAnsi"/>
        </w:rPr>
        <w:t xml:space="preserve"> </w:t>
      </w:r>
      <w:r w:rsidR="00153C63" w:rsidRPr="00153C63">
        <w:rPr>
          <w:rFonts w:cstheme="minorHAnsi"/>
        </w:rPr>
        <w:t>Ashford St Peter</w:t>
      </w:r>
      <w:r w:rsidR="00D31611">
        <w:rPr>
          <w:rFonts w:cstheme="minorHAnsi"/>
        </w:rPr>
        <w:t>’</w:t>
      </w:r>
      <w:r w:rsidR="00153C63" w:rsidRPr="00153C63">
        <w:rPr>
          <w:rFonts w:cstheme="minorHAnsi"/>
        </w:rPr>
        <w:t>s NHS Foundation Trust, Chertsey and St George</w:t>
      </w:r>
      <w:r w:rsidR="00D31611">
        <w:rPr>
          <w:rFonts w:cstheme="minorHAnsi"/>
        </w:rPr>
        <w:t>’</w:t>
      </w:r>
      <w:r w:rsidR="00153C63" w:rsidRPr="00153C63">
        <w:rPr>
          <w:rFonts w:cstheme="minorHAnsi"/>
        </w:rPr>
        <w:t>s University Hospitals, London</w:t>
      </w:r>
      <w:r w:rsidR="005218A4">
        <w:rPr>
          <w:rFonts w:cstheme="minorHAnsi"/>
        </w:rPr>
        <w:t>, UK</w:t>
      </w:r>
    </w:p>
    <w:p w14:paraId="61447441" w14:textId="23CC9472" w:rsidR="002A37C8" w:rsidRDefault="001634F7" w:rsidP="00212F7D">
      <w:pPr>
        <w:spacing w:line="480" w:lineRule="auto"/>
        <w:rPr>
          <w:rFonts w:cstheme="minorHAnsi"/>
        </w:rPr>
      </w:pPr>
      <w:r>
        <w:rPr>
          <w:rFonts w:cstheme="minorHAnsi"/>
        </w:rPr>
        <w:t>11.</w:t>
      </w:r>
      <w:r w:rsidR="002A37C8">
        <w:rPr>
          <w:rFonts w:cstheme="minorHAnsi"/>
        </w:rPr>
        <w:t xml:space="preserve"> </w:t>
      </w:r>
      <w:r w:rsidR="002A37C8" w:rsidRPr="002A37C8">
        <w:rPr>
          <w:rFonts w:cstheme="minorHAnsi"/>
        </w:rPr>
        <w:t>Institute of Mental Health, University College London,  London</w:t>
      </w:r>
      <w:r w:rsidR="005218A4">
        <w:rPr>
          <w:rFonts w:cstheme="minorHAnsi"/>
        </w:rPr>
        <w:t>, UK</w:t>
      </w:r>
    </w:p>
    <w:p w14:paraId="57637EA3" w14:textId="73D67869" w:rsidR="00762812" w:rsidRDefault="001634F7" w:rsidP="00212F7D">
      <w:pPr>
        <w:spacing w:line="480" w:lineRule="auto"/>
        <w:rPr>
          <w:rFonts w:cstheme="minorHAnsi"/>
        </w:rPr>
      </w:pPr>
      <w:r>
        <w:rPr>
          <w:rFonts w:cstheme="minorHAnsi"/>
        </w:rPr>
        <w:t>12.</w:t>
      </w:r>
      <w:r w:rsidR="00762812">
        <w:rPr>
          <w:rFonts w:cstheme="minorHAnsi"/>
        </w:rPr>
        <w:t xml:space="preserve"> </w:t>
      </w:r>
      <w:r w:rsidR="00A37CDD" w:rsidRPr="00A37CDD">
        <w:rPr>
          <w:rFonts w:cstheme="minorHAnsi"/>
        </w:rPr>
        <w:t>Department of Neurology, Brigham and Women</w:t>
      </w:r>
      <w:r w:rsidR="00D31611">
        <w:rPr>
          <w:rFonts w:cstheme="minorHAnsi"/>
        </w:rPr>
        <w:t>’</w:t>
      </w:r>
      <w:r w:rsidR="00A37CDD" w:rsidRPr="00A37CDD">
        <w:rPr>
          <w:rFonts w:cstheme="minorHAnsi"/>
        </w:rPr>
        <w:t>s Hospital, Harvard Medical School, Boston, MA, USA</w:t>
      </w:r>
    </w:p>
    <w:p w14:paraId="0BB554B7" w14:textId="4BD6B1B7" w:rsidR="004C413A" w:rsidRDefault="0031734E" w:rsidP="00212F7D">
      <w:pPr>
        <w:spacing w:line="480" w:lineRule="auto"/>
        <w:rPr>
          <w:rFonts w:cstheme="minorHAnsi"/>
        </w:rPr>
      </w:pPr>
      <w:r>
        <w:rPr>
          <w:rFonts w:cstheme="minorHAnsi"/>
        </w:rPr>
        <w:t>13.</w:t>
      </w:r>
      <w:r w:rsidR="004C413A">
        <w:rPr>
          <w:rFonts w:cstheme="minorHAnsi"/>
        </w:rPr>
        <w:t xml:space="preserve"> Neuroscience Research Centre, St George’s University of London, Cranmer Terrace, London, UK</w:t>
      </w:r>
    </w:p>
    <w:p w14:paraId="789BAF10" w14:textId="3F69DBBE" w:rsidR="00FB2B4D" w:rsidRDefault="0031734E" w:rsidP="00212F7D">
      <w:pPr>
        <w:spacing w:line="480" w:lineRule="auto"/>
        <w:rPr>
          <w:rFonts w:cstheme="minorHAnsi"/>
        </w:rPr>
      </w:pPr>
      <w:r>
        <w:rPr>
          <w:rFonts w:cstheme="minorHAnsi"/>
        </w:rPr>
        <w:t>14.</w:t>
      </w:r>
      <w:r w:rsidR="00FB2B4D">
        <w:rPr>
          <w:rFonts w:cstheme="minorHAnsi"/>
        </w:rPr>
        <w:t xml:space="preserve"> </w:t>
      </w:r>
      <w:r w:rsidR="00FB2B4D" w:rsidRPr="00FB2B4D">
        <w:rPr>
          <w:rFonts w:cstheme="minorHAnsi"/>
        </w:rPr>
        <w:t>James J. and Joan A. Gardner Family Center for Parkinson’s disease and Movement Disorders, Department of Neurology, University of Cincinnati, Cincinnati, Ohio, USA</w:t>
      </w:r>
    </w:p>
    <w:p w14:paraId="2A80EE13" w14:textId="62EF1E61" w:rsidR="00F553B5" w:rsidRDefault="0031734E" w:rsidP="00212F7D">
      <w:pPr>
        <w:spacing w:line="480" w:lineRule="auto"/>
        <w:rPr>
          <w:rFonts w:cstheme="minorHAnsi"/>
        </w:rPr>
      </w:pPr>
      <w:r>
        <w:rPr>
          <w:rFonts w:cstheme="minorHAnsi"/>
        </w:rPr>
        <w:t>15.</w:t>
      </w:r>
      <w:r w:rsidR="00F553B5" w:rsidRPr="00F553B5">
        <w:rPr>
          <w:rFonts w:cstheme="minorHAnsi"/>
        </w:rPr>
        <w:t xml:space="preserve"> Pure Sports Medicine, London, UK</w:t>
      </w:r>
    </w:p>
    <w:p w14:paraId="301B8152" w14:textId="0AF2E622" w:rsidR="00CB5652" w:rsidRPr="00CB5652" w:rsidRDefault="0031734E" w:rsidP="00CB5652">
      <w:pPr>
        <w:spacing w:line="480" w:lineRule="auto"/>
        <w:rPr>
          <w:rFonts w:cstheme="minorHAnsi"/>
        </w:rPr>
      </w:pPr>
      <w:r>
        <w:rPr>
          <w:rFonts w:cstheme="minorHAnsi"/>
        </w:rPr>
        <w:t>16.</w:t>
      </w:r>
      <w:r w:rsidR="00CB5652">
        <w:rPr>
          <w:rFonts w:cstheme="minorHAnsi"/>
        </w:rPr>
        <w:t xml:space="preserve"> </w:t>
      </w:r>
      <w:r w:rsidR="00CB5652" w:rsidRPr="00CB5652">
        <w:rPr>
          <w:rFonts w:cstheme="minorHAnsi"/>
        </w:rPr>
        <w:t xml:space="preserve">Department of Clinical Medicine </w:t>
      </w:r>
      <w:r w:rsidR="00D31611">
        <w:rPr>
          <w:rFonts w:cstheme="minorHAnsi"/>
        </w:rPr>
        <w:t>–</w:t>
      </w:r>
      <w:r w:rsidR="00CB5652" w:rsidRPr="00CB5652">
        <w:rPr>
          <w:rFonts w:cstheme="minorHAnsi"/>
        </w:rPr>
        <w:t xml:space="preserve"> Research clinic for Functional Disorders</w:t>
      </w:r>
      <w:r w:rsidR="00CB5652">
        <w:rPr>
          <w:rFonts w:cstheme="minorHAnsi"/>
        </w:rPr>
        <w:t>, Department of Clinical Medicine, University of Aarhus, Denmark</w:t>
      </w:r>
    </w:p>
    <w:p w14:paraId="012E8CC2" w14:textId="2FD9F38E" w:rsidR="00F553B5" w:rsidRDefault="0031734E" w:rsidP="00212F7D">
      <w:pPr>
        <w:spacing w:line="480" w:lineRule="auto"/>
        <w:rPr>
          <w:rFonts w:cstheme="minorHAnsi"/>
        </w:rPr>
      </w:pPr>
      <w:r>
        <w:rPr>
          <w:rFonts w:cstheme="minorHAnsi"/>
        </w:rPr>
        <w:t>17.</w:t>
      </w:r>
      <w:r w:rsidR="00CB5652">
        <w:rPr>
          <w:rFonts w:cstheme="minorHAnsi"/>
        </w:rPr>
        <w:t xml:space="preserve"> </w:t>
      </w:r>
      <w:r w:rsidR="00C85A95" w:rsidRPr="00C85A95">
        <w:rPr>
          <w:rFonts w:cstheme="minorHAnsi"/>
        </w:rPr>
        <w:t>Centre for Epidemic Interventions Research, Division for Health Services, Norwegian Institute of Public Health, Oslo, Norway</w:t>
      </w:r>
    </w:p>
    <w:p w14:paraId="34F462E7" w14:textId="2B9D6655" w:rsidR="005E3D44" w:rsidRDefault="0031734E" w:rsidP="00212F7D">
      <w:pPr>
        <w:spacing w:line="480" w:lineRule="auto"/>
        <w:rPr>
          <w:rFonts w:cstheme="minorHAnsi"/>
        </w:rPr>
      </w:pPr>
      <w:r>
        <w:rPr>
          <w:rFonts w:cstheme="minorHAnsi"/>
        </w:rPr>
        <w:t>18.</w:t>
      </w:r>
      <w:r w:rsidR="005E3D44" w:rsidRPr="005E3D44">
        <w:rPr>
          <w:rFonts w:cstheme="minorHAnsi"/>
        </w:rPr>
        <w:t xml:space="preserve"> </w:t>
      </w:r>
      <w:r w:rsidR="0090028A" w:rsidRPr="0090028A">
        <w:rPr>
          <w:rFonts w:cstheme="minorHAnsi"/>
        </w:rPr>
        <w:t xml:space="preserve">Sorbonne Paris Nord, </w:t>
      </w:r>
      <w:r w:rsidR="0090028A">
        <w:rPr>
          <w:rFonts w:cstheme="minorHAnsi"/>
        </w:rPr>
        <w:t>H</w:t>
      </w:r>
      <w:r w:rsidR="0090028A" w:rsidRPr="0090028A">
        <w:rPr>
          <w:rFonts w:cstheme="minorHAnsi"/>
        </w:rPr>
        <w:t>opital Avicenne, Bobigny,</w:t>
      </w:r>
      <w:r w:rsidR="0090028A">
        <w:rPr>
          <w:rFonts w:cstheme="minorHAnsi"/>
        </w:rPr>
        <w:t xml:space="preserve"> France </w:t>
      </w:r>
      <w:r w:rsidR="0090028A" w:rsidRPr="0090028A">
        <w:rPr>
          <w:rFonts w:cstheme="minorHAnsi"/>
        </w:rPr>
        <w:t xml:space="preserve"> </w:t>
      </w:r>
    </w:p>
    <w:p w14:paraId="34F31FCA" w14:textId="377D697C" w:rsidR="006F0EBE" w:rsidRDefault="0031734E" w:rsidP="00212F7D">
      <w:pPr>
        <w:spacing w:line="480" w:lineRule="auto"/>
        <w:rPr>
          <w:rFonts w:cstheme="minorHAnsi"/>
        </w:rPr>
      </w:pPr>
      <w:r>
        <w:rPr>
          <w:rFonts w:cstheme="minorHAnsi"/>
        </w:rPr>
        <w:t>19.</w:t>
      </w:r>
      <w:r w:rsidR="006F0EBE" w:rsidRPr="006F0EBE">
        <w:rPr>
          <w:rFonts w:cstheme="minorHAnsi"/>
        </w:rPr>
        <w:t xml:space="preserve"> Centre for Evidence Synthesis in Global Health, Liverpool School of Tropical Medicine, Liverpool, UK</w:t>
      </w:r>
    </w:p>
    <w:p w14:paraId="232D4CB6" w14:textId="2285F294" w:rsidR="00857D53" w:rsidRDefault="0031734E" w:rsidP="00857D53">
      <w:pPr>
        <w:spacing w:line="480" w:lineRule="auto"/>
        <w:rPr>
          <w:rFonts w:cstheme="minorHAnsi"/>
        </w:rPr>
      </w:pPr>
      <w:r>
        <w:rPr>
          <w:rFonts w:cstheme="minorHAnsi"/>
        </w:rPr>
        <w:t>20.</w:t>
      </w:r>
      <w:r w:rsidR="00857D53">
        <w:rPr>
          <w:rFonts w:cstheme="minorHAnsi"/>
        </w:rPr>
        <w:t xml:space="preserve"> </w:t>
      </w:r>
      <w:r w:rsidR="00857D53" w:rsidRPr="00857D53">
        <w:rPr>
          <w:rFonts w:cstheme="minorHAnsi"/>
        </w:rPr>
        <w:t>Institute for Evidence-Based Healthcare</w:t>
      </w:r>
      <w:r w:rsidR="00857D53">
        <w:rPr>
          <w:rFonts w:cstheme="minorHAnsi"/>
        </w:rPr>
        <w:t xml:space="preserve">, </w:t>
      </w:r>
      <w:r w:rsidR="00857D53" w:rsidRPr="00857D53">
        <w:rPr>
          <w:rFonts w:cstheme="minorHAnsi"/>
        </w:rPr>
        <w:t>Faculty of Health Sciences &amp; Medicine</w:t>
      </w:r>
      <w:r w:rsidR="00857D53">
        <w:rPr>
          <w:rFonts w:cstheme="minorHAnsi"/>
        </w:rPr>
        <w:t>, Bond University, Queensland, Australia</w:t>
      </w:r>
    </w:p>
    <w:p w14:paraId="5519BFDF" w14:textId="5EE2CC8E" w:rsidR="00F553B5" w:rsidRDefault="0031734E" w:rsidP="00212F7D">
      <w:pPr>
        <w:spacing w:line="480" w:lineRule="auto"/>
        <w:rPr>
          <w:rFonts w:cstheme="minorHAnsi"/>
        </w:rPr>
      </w:pPr>
      <w:r>
        <w:rPr>
          <w:rFonts w:cstheme="minorHAnsi"/>
        </w:rPr>
        <w:t>21.</w:t>
      </w:r>
      <w:r w:rsidR="00F553B5" w:rsidRPr="00F553B5">
        <w:rPr>
          <w:rFonts w:cstheme="minorHAnsi"/>
        </w:rPr>
        <w:t xml:space="preserve"> Institute of Health Research, University of Exeter, College House, Magdalen Road, Exeter, UK </w:t>
      </w:r>
    </w:p>
    <w:p w14:paraId="1EEA79A0" w14:textId="2DFA84C8" w:rsidR="00F553B5" w:rsidRDefault="0031734E" w:rsidP="00212F7D">
      <w:pPr>
        <w:spacing w:line="480" w:lineRule="auto"/>
        <w:rPr>
          <w:rFonts w:cstheme="minorHAnsi"/>
        </w:rPr>
      </w:pPr>
      <w:r>
        <w:rPr>
          <w:rFonts w:cstheme="minorHAnsi"/>
        </w:rPr>
        <w:t>22.</w:t>
      </w:r>
      <w:r w:rsidR="00F553B5" w:rsidRPr="00F553B5">
        <w:rPr>
          <w:rFonts w:cstheme="minorHAnsi"/>
        </w:rPr>
        <w:t xml:space="preserve"> Dep</w:t>
      </w:r>
      <w:r>
        <w:rPr>
          <w:rFonts w:cstheme="minorHAnsi"/>
        </w:rPr>
        <w:t>artment</w:t>
      </w:r>
      <w:r w:rsidR="00F553B5" w:rsidRPr="00F553B5">
        <w:rPr>
          <w:rFonts w:cstheme="minorHAnsi"/>
        </w:rPr>
        <w:t xml:space="preserve"> of Psychosomatic Medicine and Psychotherapy, Technical University of Munich, Germany</w:t>
      </w:r>
    </w:p>
    <w:p w14:paraId="2092843B" w14:textId="49FA0026" w:rsidR="001961E4" w:rsidRDefault="0031734E" w:rsidP="00212F7D">
      <w:pPr>
        <w:spacing w:line="480" w:lineRule="auto"/>
        <w:rPr>
          <w:rFonts w:cstheme="minorHAnsi"/>
        </w:rPr>
      </w:pPr>
      <w:r>
        <w:rPr>
          <w:rFonts w:cstheme="minorHAnsi"/>
        </w:rPr>
        <w:t>23.</w:t>
      </w:r>
      <w:r w:rsidR="001961E4">
        <w:rPr>
          <w:rFonts w:cstheme="minorHAnsi"/>
        </w:rPr>
        <w:t xml:space="preserve"> </w:t>
      </w:r>
      <w:r w:rsidR="001961E4" w:rsidRPr="001961E4">
        <w:rPr>
          <w:rFonts w:cstheme="minorHAnsi"/>
        </w:rPr>
        <w:t>Centre for Clinical Brain Sciences</w:t>
      </w:r>
      <w:r w:rsidR="001961E4">
        <w:rPr>
          <w:rFonts w:cstheme="minorHAnsi"/>
        </w:rPr>
        <w:t xml:space="preserve">, University of Edinburgh, </w:t>
      </w:r>
      <w:r w:rsidR="00696106">
        <w:rPr>
          <w:rFonts w:cstheme="minorHAnsi"/>
        </w:rPr>
        <w:t xml:space="preserve">Edinburgh, </w:t>
      </w:r>
      <w:r w:rsidR="001961E4">
        <w:rPr>
          <w:rFonts w:cstheme="minorHAnsi"/>
        </w:rPr>
        <w:t>UK</w:t>
      </w:r>
    </w:p>
    <w:p w14:paraId="24A3C307" w14:textId="04908850" w:rsidR="00F553B5" w:rsidRDefault="0031734E" w:rsidP="00212F7D">
      <w:pPr>
        <w:spacing w:line="480" w:lineRule="auto"/>
        <w:rPr>
          <w:rFonts w:cstheme="minorHAnsi"/>
        </w:rPr>
      </w:pPr>
      <w:r>
        <w:rPr>
          <w:rFonts w:cstheme="minorHAnsi"/>
        </w:rPr>
        <w:t>24.</w:t>
      </w:r>
      <w:r w:rsidR="0063261F">
        <w:rPr>
          <w:rFonts w:cstheme="minorHAnsi"/>
        </w:rPr>
        <w:t xml:space="preserve"> </w:t>
      </w:r>
      <w:r w:rsidR="0063261F" w:rsidRPr="0063261F">
        <w:rPr>
          <w:rFonts w:cstheme="minorHAnsi"/>
        </w:rPr>
        <w:t>South London and Maudsley NHS Foundation Trust, London, UK</w:t>
      </w:r>
    </w:p>
    <w:p w14:paraId="22DB0B95" w14:textId="78BCF8BD" w:rsidR="00DC4969" w:rsidRPr="00DC4969" w:rsidRDefault="0031734E" w:rsidP="00DC4969">
      <w:pPr>
        <w:spacing w:line="480" w:lineRule="auto"/>
        <w:rPr>
          <w:rFonts w:cstheme="minorHAnsi"/>
        </w:rPr>
      </w:pPr>
      <w:r>
        <w:rPr>
          <w:rFonts w:cstheme="minorHAnsi"/>
        </w:rPr>
        <w:t>25.</w:t>
      </w:r>
      <w:r w:rsidR="00DC4969">
        <w:rPr>
          <w:rFonts w:cstheme="minorHAnsi"/>
        </w:rPr>
        <w:t xml:space="preserve"> Department of Neurology, </w:t>
      </w:r>
      <w:r w:rsidR="00DC4969" w:rsidRPr="00DC4969">
        <w:rPr>
          <w:rFonts w:cstheme="minorHAnsi"/>
        </w:rPr>
        <w:t>Cambridge University Hospitals NHS Foundation Trust</w:t>
      </w:r>
      <w:r w:rsidR="00DC4969">
        <w:rPr>
          <w:rFonts w:cstheme="minorHAnsi"/>
        </w:rPr>
        <w:t xml:space="preserve">, </w:t>
      </w:r>
    </w:p>
    <w:p w14:paraId="5B428606" w14:textId="48580BD9" w:rsidR="00DC4969" w:rsidRDefault="00DC4969" w:rsidP="00DC4969">
      <w:pPr>
        <w:spacing w:line="480" w:lineRule="auto"/>
        <w:rPr>
          <w:rFonts w:cstheme="minorHAnsi"/>
        </w:rPr>
      </w:pPr>
      <w:r w:rsidRPr="00DC4969">
        <w:rPr>
          <w:rFonts w:cstheme="minorHAnsi"/>
        </w:rPr>
        <w:t>Cambridge, UK</w:t>
      </w:r>
    </w:p>
    <w:p w14:paraId="50A04A9D" w14:textId="60D910EB" w:rsidR="006823E4" w:rsidRDefault="0031734E" w:rsidP="00212F7D">
      <w:pPr>
        <w:spacing w:line="480" w:lineRule="auto"/>
        <w:rPr>
          <w:rFonts w:cstheme="minorHAnsi"/>
        </w:rPr>
      </w:pPr>
      <w:r>
        <w:rPr>
          <w:rFonts w:cstheme="minorHAnsi"/>
        </w:rPr>
        <w:t>26.</w:t>
      </w:r>
      <w:r w:rsidR="006823E4">
        <w:rPr>
          <w:rFonts w:cstheme="minorHAnsi"/>
        </w:rPr>
        <w:t xml:space="preserve"> </w:t>
      </w:r>
      <w:r w:rsidR="006823E4" w:rsidRPr="006823E4">
        <w:rPr>
          <w:rFonts w:cstheme="minorHAnsi"/>
        </w:rPr>
        <w:t xml:space="preserve">Department of </w:t>
      </w:r>
      <w:r w:rsidR="006823E4">
        <w:rPr>
          <w:rFonts w:cstheme="minorHAnsi"/>
        </w:rPr>
        <w:t>M</w:t>
      </w:r>
      <w:r w:rsidR="006823E4" w:rsidRPr="006823E4">
        <w:rPr>
          <w:rFonts w:cstheme="minorHAnsi"/>
        </w:rPr>
        <w:t xml:space="preserve">edical </w:t>
      </w:r>
      <w:r w:rsidR="006823E4">
        <w:rPr>
          <w:rFonts w:cstheme="minorHAnsi"/>
        </w:rPr>
        <w:t>P</w:t>
      </w:r>
      <w:r w:rsidR="006823E4" w:rsidRPr="006823E4">
        <w:rPr>
          <w:rFonts w:cstheme="minorHAnsi"/>
        </w:rPr>
        <w:t xml:space="preserve">sychology, Amsterdam UMC and Amsterdam Public Health, </w:t>
      </w:r>
      <w:r w:rsidR="006823E4">
        <w:rPr>
          <w:rFonts w:cstheme="minorHAnsi"/>
        </w:rPr>
        <w:t>U</w:t>
      </w:r>
      <w:r w:rsidR="006823E4" w:rsidRPr="006823E4">
        <w:rPr>
          <w:rFonts w:cstheme="minorHAnsi"/>
        </w:rPr>
        <w:t>niversity of Amsterdam, Amsterdam, The Netherlands</w:t>
      </w:r>
    </w:p>
    <w:p w14:paraId="2D7B4D1A" w14:textId="4B113025" w:rsidR="00DB7557" w:rsidRDefault="0031734E" w:rsidP="00212F7D">
      <w:pPr>
        <w:spacing w:line="480" w:lineRule="auto"/>
        <w:rPr>
          <w:rFonts w:cstheme="minorHAnsi"/>
        </w:rPr>
      </w:pPr>
      <w:r>
        <w:rPr>
          <w:rFonts w:cstheme="minorHAnsi"/>
        </w:rPr>
        <w:t>27.</w:t>
      </w:r>
      <w:r w:rsidR="00DB7557">
        <w:rPr>
          <w:rFonts w:cstheme="minorHAnsi"/>
        </w:rPr>
        <w:t xml:space="preserve"> </w:t>
      </w:r>
      <w:r w:rsidR="00A75691" w:rsidRPr="00A75691">
        <w:rPr>
          <w:rFonts w:cstheme="minorHAnsi"/>
        </w:rPr>
        <w:t xml:space="preserve">Indiana University School of Medicine, Regenstrief </w:t>
      </w:r>
      <w:r w:rsidR="0095464C" w:rsidRPr="00A75691">
        <w:rPr>
          <w:rFonts w:cstheme="minorHAnsi"/>
        </w:rPr>
        <w:t>Institute</w:t>
      </w:r>
      <w:r w:rsidR="00A75691" w:rsidRPr="00A75691">
        <w:rPr>
          <w:rFonts w:cstheme="minorHAnsi"/>
        </w:rPr>
        <w:t>, Indianapolis, IN, USA</w:t>
      </w:r>
    </w:p>
    <w:p w14:paraId="49F47597" w14:textId="0B797501" w:rsidR="00326AE3" w:rsidRDefault="0031734E" w:rsidP="00212F7D">
      <w:pPr>
        <w:spacing w:line="480" w:lineRule="auto"/>
        <w:rPr>
          <w:rFonts w:cstheme="minorHAnsi"/>
        </w:rPr>
      </w:pPr>
      <w:r>
        <w:rPr>
          <w:rFonts w:cstheme="minorHAnsi"/>
        </w:rPr>
        <w:t>28.</w:t>
      </w:r>
      <w:r w:rsidR="00326AE3">
        <w:rPr>
          <w:rFonts w:cstheme="minorHAnsi"/>
        </w:rPr>
        <w:t xml:space="preserve"> </w:t>
      </w:r>
      <w:r w:rsidR="00326AE3" w:rsidRPr="00326AE3">
        <w:rPr>
          <w:rFonts w:cstheme="minorHAnsi"/>
        </w:rPr>
        <w:t>University of Queensland, Brisbane, Queensland, Australia</w:t>
      </w:r>
    </w:p>
    <w:p w14:paraId="09533B70" w14:textId="77777777" w:rsidR="00FC4304" w:rsidRDefault="0031734E" w:rsidP="00212F7D">
      <w:pPr>
        <w:spacing w:line="480" w:lineRule="auto"/>
        <w:rPr>
          <w:rFonts w:cstheme="minorHAnsi"/>
        </w:rPr>
      </w:pPr>
      <w:r>
        <w:rPr>
          <w:rFonts w:cstheme="minorHAnsi"/>
        </w:rPr>
        <w:t>29.</w:t>
      </w:r>
      <w:r w:rsidR="00AB6667" w:rsidRPr="00AB6667">
        <w:rPr>
          <w:rFonts w:cstheme="minorHAnsi"/>
        </w:rPr>
        <w:t xml:space="preserve"> </w:t>
      </w:r>
      <w:r w:rsidR="00FC4304" w:rsidRPr="00FC4304">
        <w:rPr>
          <w:rFonts w:cstheme="minorHAnsi"/>
        </w:rPr>
        <w:t>Department of Psychiatry, Virginia Commonwealth University, Richmond, VA, USA</w:t>
      </w:r>
    </w:p>
    <w:p w14:paraId="59074F59" w14:textId="740D868B" w:rsidR="00AB6667" w:rsidRDefault="00FC4304" w:rsidP="00212F7D">
      <w:pPr>
        <w:spacing w:line="480" w:lineRule="auto"/>
        <w:rPr>
          <w:rFonts w:cstheme="minorHAnsi"/>
        </w:rPr>
      </w:pPr>
      <w:r>
        <w:rPr>
          <w:rFonts w:cstheme="minorHAnsi"/>
        </w:rPr>
        <w:t xml:space="preserve">30. </w:t>
      </w:r>
      <w:r w:rsidR="00AB6667" w:rsidRPr="00AB6667">
        <w:rPr>
          <w:rFonts w:cstheme="minorHAnsi"/>
        </w:rPr>
        <w:t>Primary Care Research Centre, Primary Care Population Sciences and Medical Education Unit, Faculty of Medicine, University of Southampton, UK</w:t>
      </w:r>
    </w:p>
    <w:p w14:paraId="52DDDB4F" w14:textId="77B4B605" w:rsidR="00577079" w:rsidRDefault="00FC4304" w:rsidP="00212F7D">
      <w:pPr>
        <w:spacing w:line="480" w:lineRule="auto"/>
        <w:rPr>
          <w:rFonts w:cstheme="minorHAnsi"/>
        </w:rPr>
      </w:pPr>
      <w:r>
        <w:rPr>
          <w:rFonts w:cstheme="minorHAnsi"/>
        </w:rPr>
        <w:t>31.</w:t>
      </w:r>
      <w:r w:rsidR="00577079">
        <w:rPr>
          <w:rFonts w:cstheme="minorHAnsi"/>
        </w:rPr>
        <w:t xml:space="preserve"> </w:t>
      </w:r>
      <w:r w:rsidR="00577079" w:rsidRPr="00577079">
        <w:rPr>
          <w:rFonts w:cstheme="minorHAnsi"/>
        </w:rPr>
        <w:t>Kirby Institute, University of New South Wales, Sydney, Australia</w:t>
      </w:r>
    </w:p>
    <w:p w14:paraId="7E167A19" w14:textId="209C2B49" w:rsidR="00BF2E03" w:rsidRDefault="00FC4304" w:rsidP="00BF2E03">
      <w:pPr>
        <w:spacing w:line="480" w:lineRule="auto"/>
        <w:rPr>
          <w:rFonts w:cstheme="minorHAnsi"/>
        </w:rPr>
      </w:pPr>
      <w:r>
        <w:rPr>
          <w:rFonts w:cstheme="minorHAnsi"/>
        </w:rPr>
        <w:t>32.</w:t>
      </w:r>
      <w:r w:rsidR="00BF2E03">
        <w:rPr>
          <w:rFonts w:cstheme="minorHAnsi"/>
        </w:rPr>
        <w:t xml:space="preserve"> </w:t>
      </w:r>
      <w:r w:rsidR="00A7094F" w:rsidRPr="00A7094F">
        <w:rPr>
          <w:rFonts w:cstheme="minorHAnsi"/>
        </w:rPr>
        <w:t xml:space="preserve">Guy’s and St Thomas’ NHS </w:t>
      </w:r>
      <w:r w:rsidR="00762AEC">
        <w:rPr>
          <w:rFonts w:cstheme="minorHAnsi"/>
        </w:rPr>
        <w:t xml:space="preserve">Foundation </w:t>
      </w:r>
      <w:r w:rsidR="00A7094F" w:rsidRPr="00A7094F">
        <w:rPr>
          <w:rFonts w:cstheme="minorHAnsi"/>
        </w:rPr>
        <w:t>Trust</w:t>
      </w:r>
      <w:r w:rsidR="0077687B">
        <w:rPr>
          <w:rFonts w:cstheme="minorHAnsi"/>
        </w:rPr>
        <w:t>, London, UK</w:t>
      </w:r>
    </w:p>
    <w:p w14:paraId="4BFAB94A" w14:textId="1F3038BB" w:rsidR="00FC4304" w:rsidRDefault="00FC4304" w:rsidP="00BF2E03">
      <w:pPr>
        <w:spacing w:line="480" w:lineRule="auto"/>
        <w:rPr>
          <w:rFonts w:cstheme="minorHAnsi"/>
        </w:rPr>
      </w:pPr>
      <w:r>
        <w:rPr>
          <w:rFonts w:cstheme="minorHAnsi"/>
        </w:rPr>
        <w:t>33.</w:t>
      </w:r>
      <w:r w:rsidRPr="00FC4304">
        <w:rPr>
          <w:rFonts w:cstheme="minorHAnsi"/>
        </w:rPr>
        <w:t xml:space="preserve"> Department of Internal Medicine, Radboud University Medical College, Nijmegen, </w:t>
      </w:r>
      <w:r w:rsidR="00E47412">
        <w:rPr>
          <w:rFonts w:cstheme="minorHAnsi"/>
        </w:rPr>
        <w:t xml:space="preserve">The </w:t>
      </w:r>
      <w:r w:rsidRPr="00FC4304">
        <w:rPr>
          <w:rFonts w:cstheme="minorHAnsi"/>
        </w:rPr>
        <w:t>Netherlands</w:t>
      </w:r>
    </w:p>
    <w:p w14:paraId="38887DA2" w14:textId="5DC9F04D" w:rsidR="006F0EBE" w:rsidRPr="00BF2E03" w:rsidRDefault="00661F4B" w:rsidP="00BF2E03">
      <w:pPr>
        <w:spacing w:line="480" w:lineRule="auto"/>
        <w:rPr>
          <w:rFonts w:cstheme="minorHAnsi"/>
        </w:rPr>
      </w:pPr>
      <w:r>
        <w:rPr>
          <w:rFonts w:cstheme="minorHAnsi"/>
        </w:rPr>
        <w:t>34.</w:t>
      </w:r>
      <w:r w:rsidR="006F0EBE" w:rsidRPr="006F0EBE">
        <w:rPr>
          <w:rFonts w:cstheme="minorHAnsi"/>
        </w:rPr>
        <w:t xml:space="preserve"> Department of Medicine, Cumberland Infirmary Carlisle, Newton Road, Carlisle, Cumbria, UK</w:t>
      </w:r>
    </w:p>
    <w:p w14:paraId="79CE5CCB" w14:textId="503D5EA8" w:rsidR="0078390E" w:rsidRDefault="00661F4B" w:rsidP="0078390E">
      <w:pPr>
        <w:spacing w:line="480" w:lineRule="auto"/>
        <w:rPr>
          <w:rFonts w:cstheme="minorHAnsi"/>
        </w:rPr>
      </w:pPr>
      <w:r>
        <w:rPr>
          <w:rFonts w:cstheme="minorHAnsi"/>
        </w:rPr>
        <w:t>35.</w:t>
      </w:r>
      <w:r w:rsidR="0078390E">
        <w:rPr>
          <w:rFonts w:cstheme="minorHAnsi"/>
        </w:rPr>
        <w:t xml:space="preserve"> </w:t>
      </w:r>
      <w:r w:rsidR="0078390E" w:rsidRPr="0078390E">
        <w:rPr>
          <w:rFonts w:cstheme="minorHAnsi"/>
        </w:rPr>
        <w:t>Department of Infection and Immunity</w:t>
      </w:r>
      <w:r w:rsidR="0078390E">
        <w:rPr>
          <w:rFonts w:cstheme="minorHAnsi"/>
        </w:rPr>
        <w:t xml:space="preserve">, </w:t>
      </w:r>
      <w:r w:rsidR="0078390E" w:rsidRPr="0078390E">
        <w:rPr>
          <w:rFonts w:cstheme="minorHAnsi"/>
        </w:rPr>
        <w:t>Division of Medicine</w:t>
      </w:r>
      <w:r w:rsidR="0078390E">
        <w:rPr>
          <w:rFonts w:cstheme="minorHAnsi"/>
        </w:rPr>
        <w:t xml:space="preserve">, </w:t>
      </w:r>
      <w:r w:rsidR="0078390E" w:rsidRPr="0078390E">
        <w:rPr>
          <w:rFonts w:cstheme="minorHAnsi"/>
        </w:rPr>
        <w:t>Royal London Hospital</w:t>
      </w:r>
      <w:r w:rsidR="0078390E">
        <w:rPr>
          <w:rFonts w:cstheme="minorHAnsi"/>
        </w:rPr>
        <w:t xml:space="preserve">, </w:t>
      </w:r>
      <w:r w:rsidR="0078390E" w:rsidRPr="0078390E">
        <w:rPr>
          <w:rFonts w:cstheme="minorHAnsi"/>
        </w:rPr>
        <w:t>Barts Health NHS Trust</w:t>
      </w:r>
      <w:r w:rsidR="0078390E">
        <w:rPr>
          <w:rFonts w:cstheme="minorHAnsi"/>
        </w:rPr>
        <w:t xml:space="preserve">, </w:t>
      </w:r>
      <w:r w:rsidR="0078390E" w:rsidRPr="0078390E">
        <w:rPr>
          <w:rFonts w:cstheme="minorHAnsi"/>
        </w:rPr>
        <w:t>London</w:t>
      </w:r>
      <w:r w:rsidR="0078390E">
        <w:rPr>
          <w:rFonts w:cstheme="minorHAnsi"/>
        </w:rPr>
        <w:t>, UK</w:t>
      </w:r>
    </w:p>
    <w:p w14:paraId="7C510C66" w14:textId="6E40FC13" w:rsidR="00A9474A" w:rsidRDefault="00661F4B" w:rsidP="00A9474A">
      <w:pPr>
        <w:spacing w:line="480" w:lineRule="auto"/>
        <w:rPr>
          <w:rFonts w:cstheme="minorHAnsi"/>
        </w:rPr>
      </w:pPr>
      <w:r>
        <w:rPr>
          <w:rFonts w:cstheme="minorHAnsi"/>
        </w:rPr>
        <w:t>36.</w:t>
      </w:r>
      <w:r w:rsidR="00A9474A">
        <w:rPr>
          <w:rFonts w:cstheme="minorHAnsi"/>
        </w:rPr>
        <w:t xml:space="preserve"> </w:t>
      </w:r>
      <w:r w:rsidR="00A9474A" w:rsidRPr="00A9474A">
        <w:rPr>
          <w:rFonts w:cstheme="minorHAnsi"/>
        </w:rPr>
        <w:t>Primary Care &amp; Population Sciences</w:t>
      </w:r>
      <w:r w:rsidR="00A9474A">
        <w:rPr>
          <w:rFonts w:cstheme="minorHAnsi"/>
        </w:rPr>
        <w:t xml:space="preserve">, </w:t>
      </w:r>
      <w:r w:rsidR="00E47412">
        <w:rPr>
          <w:rFonts w:cstheme="minorHAnsi"/>
        </w:rPr>
        <w:t xml:space="preserve">Royal Free Campus, </w:t>
      </w:r>
      <w:r w:rsidR="00A9474A" w:rsidRPr="00A9474A">
        <w:rPr>
          <w:rFonts w:cstheme="minorHAnsi"/>
        </w:rPr>
        <w:t>University College London</w:t>
      </w:r>
      <w:r w:rsidR="00A9474A">
        <w:rPr>
          <w:rFonts w:cstheme="minorHAnsi"/>
        </w:rPr>
        <w:t xml:space="preserve">, </w:t>
      </w:r>
      <w:r w:rsidR="00A9474A" w:rsidRPr="00A9474A">
        <w:rPr>
          <w:rFonts w:cstheme="minorHAnsi"/>
        </w:rPr>
        <w:t>London</w:t>
      </w:r>
      <w:r>
        <w:rPr>
          <w:rFonts w:cstheme="minorHAnsi"/>
        </w:rPr>
        <w:t>, UK</w:t>
      </w:r>
    </w:p>
    <w:p w14:paraId="17AAFA90" w14:textId="6AA53BCA" w:rsidR="005263A9" w:rsidRDefault="00D31611" w:rsidP="00A9474A">
      <w:pPr>
        <w:spacing w:line="480" w:lineRule="auto"/>
        <w:rPr>
          <w:rFonts w:cstheme="minorHAnsi"/>
        </w:rPr>
      </w:pPr>
      <w:r>
        <w:rPr>
          <w:rFonts w:cstheme="minorHAnsi"/>
        </w:rPr>
        <w:t>37.</w:t>
      </w:r>
      <w:r w:rsidR="005263A9">
        <w:rPr>
          <w:rFonts w:cstheme="minorHAnsi"/>
        </w:rPr>
        <w:t xml:space="preserve"> </w:t>
      </w:r>
      <w:r w:rsidR="005263A9" w:rsidRPr="005263A9">
        <w:rPr>
          <w:rFonts w:cstheme="minorHAnsi"/>
        </w:rPr>
        <w:t>Departments of Neurology and Psychiatry, Massachusetts General Hospital, Harvard Medical School, Boston, MA, USA</w:t>
      </w:r>
    </w:p>
    <w:p w14:paraId="703FD9CA" w14:textId="75E67C3D" w:rsidR="00AB6667" w:rsidRDefault="00D31611" w:rsidP="00A9474A">
      <w:pPr>
        <w:spacing w:line="480" w:lineRule="auto"/>
        <w:rPr>
          <w:rFonts w:cstheme="minorHAnsi"/>
        </w:rPr>
      </w:pPr>
      <w:r>
        <w:rPr>
          <w:rFonts w:cstheme="minorHAnsi"/>
        </w:rPr>
        <w:t>38.</w:t>
      </w:r>
      <w:r w:rsidR="00092197">
        <w:rPr>
          <w:rFonts w:cstheme="minorHAnsi"/>
        </w:rPr>
        <w:t xml:space="preserve"> </w:t>
      </w:r>
      <w:r w:rsidR="00F45C61">
        <w:rPr>
          <w:rFonts w:cstheme="minorHAnsi"/>
        </w:rPr>
        <w:t>Department of Neuroscience, The Medical School, University of Sheffield, UK</w:t>
      </w:r>
    </w:p>
    <w:p w14:paraId="045A4B67" w14:textId="48F53C29" w:rsidR="00D136E6" w:rsidRDefault="006B6A24" w:rsidP="00A9474A">
      <w:pPr>
        <w:spacing w:line="480" w:lineRule="auto"/>
        <w:rPr>
          <w:rFonts w:cstheme="minorHAnsi"/>
        </w:rPr>
      </w:pPr>
      <w:r>
        <w:rPr>
          <w:rFonts w:cstheme="minorHAnsi"/>
        </w:rPr>
        <w:t>39</w:t>
      </w:r>
      <w:r w:rsidR="00D31611">
        <w:rPr>
          <w:rFonts w:cstheme="minorHAnsi"/>
        </w:rPr>
        <w:t>.</w:t>
      </w:r>
      <w:r w:rsidR="00D136E6">
        <w:rPr>
          <w:rFonts w:cstheme="minorHAnsi"/>
        </w:rPr>
        <w:t xml:space="preserve"> </w:t>
      </w:r>
      <w:r w:rsidR="00D136E6" w:rsidRPr="00D136E6">
        <w:rPr>
          <w:rFonts w:cstheme="minorHAnsi"/>
        </w:rPr>
        <w:t>Div</w:t>
      </w:r>
      <w:r w:rsidR="00D136E6">
        <w:rPr>
          <w:rFonts w:cstheme="minorHAnsi"/>
        </w:rPr>
        <w:t>ision</w:t>
      </w:r>
      <w:r w:rsidR="00D136E6" w:rsidRPr="00D136E6">
        <w:rPr>
          <w:rFonts w:cstheme="minorHAnsi"/>
        </w:rPr>
        <w:t xml:space="preserve"> of Clinical Psychology</w:t>
      </w:r>
      <w:r w:rsidR="00D136E6">
        <w:rPr>
          <w:rFonts w:cstheme="minorHAnsi"/>
        </w:rPr>
        <w:t xml:space="preserve"> and </w:t>
      </w:r>
      <w:r w:rsidR="00D136E6" w:rsidRPr="00D136E6">
        <w:rPr>
          <w:rFonts w:cstheme="minorHAnsi"/>
        </w:rPr>
        <w:t>Psychotherapy Clinic, University of Marburg</w:t>
      </w:r>
      <w:r w:rsidR="00D136E6">
        <w:rPr>
          <w:rFonts w:cstheme="minorHAnsi"/>
        </w:rPr>
        <w:t>, Germany</w:t>
      </w:r>
    </w:p>
    <w:p w14:paraId="7868D9F2" w14:textId="59CB68A2" w:rsidR="002178AB" w:rsidRDefault="00D31611" w:rsidP="007544AE">
      <w:pPr>
        <w:spacing w:line="480" w:lineRule="auto"/>
        <w:rPr>
          <w:rFonts w:cstheme="minorHAnsi"/>
        </w:rPr>
      </w:pPr>
      <w:r>
        <w:rPr>
          <w:rFonts w:cstheme="minorHAnsi"/>
        </w:rPr>
        <w:t>4</w:t>
      </w:r>
      <w:r w:rsidR="006B6A24">
        <w:rPr>
          <w:rFonts w:cstheme="minorHAnsi"/>
        </w:rPr>
        <w:t>0</w:t>
      </w:r>
      <w:r>
        <w:rPr>
          <w:rFonts w:cstheme="minorHAnsi"/>
        </w:rPr>
        <w:t>.</w:t>
      </w:r>
      <w:r w:rsidR="00710D55">
        <w:rPr>
          <w:rFonts w:cstheme="minorHAnsi"/>
        </w:rPr>
        <w:t xml:space="preserve"> </w:t>
      </w:r>
      <w:r w:rsidR="002178AB" w:rsidRPr="002178AB">
        <w:rPr>
          <w:rFonts w:cstheme="minorHAnsi"/>
        </w:rPr>
        <w:t>Department of Neurology and Center of Clinical Neuroscience, 1</w:t>
      </w:r>
      <w:r w:rsidR="002178AB" w:rsidRPr="00BA4648">
        <w:rPr>
          <w:rFonts w:cstheme="minorHAnsi"/>
          <w:vertAlign w:val="superscript"/>
        </w:rPr>
        <w:t>st</w:t>
      </w:r>
      <w:r w:rsidR="002178AB" w:rsidRPr="002178AB">
        <w:rPr>
          <w:rFonts w:cstheme="minorHAnsi"/>
        </w:rPr>
        <w:t xml:space="preserve"> Faculty of Medicine and General University Hospital in Prague, Charles University, Prague, Czech Republic</w:t>
      </w:r>
    </w:p>
    <w:p w14:paraId="3916D830" w14:textId="6B7A03F6" w:rsidR="00AB6667" w:rsidRDefault="00D31611" w:rsidP="007544AE">
      <w:pPr>
        <w:spacing w:line="480" w:lineRule="auto"/>
        <w:rPr>
          <w:rFonts w:cstheme="minorHAnsi"/>
        </w:rPr>
      </w:pPr>
      <w:r>
        <w:rPr>
          <w:rFonts w:cstheme="minorHAnsi"/>
        </w:rPr>
        <w:t>4</w:t>
      </w:r>
      <w:r w:rsidR="00457117">
        <w:rPr>
          <w:rFonts w:cstheme="minorHAnsi"/>
        </w:rPr>
        <w:t>1</w:t>
      </w:r>
      <w:r>
        <w:rPr>
          <w:rFonts w:cstheme="minorHAnsi"/>
        </w:rPr>
        <w:t>.</w:t>
      </w:r>
      <w:r w:rsidR="00AB6667" w:rsidRPr="00AB6667">
        <w:rPr>
          <w:rFonts w:cstheme="minorHAnsi"/>
        </w:rPr>
        <w:t xml:space="preserve"> Psychological Medicine Research, University of Oxford Department of Psychiatry, Warneford Hospital, Oxford, UK</w:t>
      </w:r>
    </w:p>
    <w:p w14:paraId="7CD010BF" w14:textId="42F6F0E6" w:rsidR="00AB6667" w:rsidRDefault="00D31611" w:rsidP="007544AE">
      <w:pPr>
        <w:spacing w:line="480" w:lineRule="auto"/>
        <w:rPr>
          <w:rFonts w:cstheme="minorHAnsi"/>
        </w:rPr>
      </w:pPr>
      <w:r>
        <w:rPr>
          <w:rFonts w:cstheme="minorHAnsi"/>
        </w:rPr>
        <w:t>4</w:t>
      </w:r>
      <w:r w:rsidR="00457117">
        <w:rPr>
          <w:rFonts w:cstheme="minorHAnsi"/>
        </w:rPr>
        <w:t>2</w:t>
      </w:r>
      <w:r>
        <w:rPr>
          <w:rFonts w:cstheme="minorHAnsi"/>
        </w:rPr>
        <w:t>.</w:t>
      </w:r>
      <w:r w:rsidR="00477B0B">
        <w:rPr>
          <w:rFonts w:cstheme="minorHAnsi"/>
        </w:rPr>
        <w:t xml:space="preserve"> </w:t>
      </w:r>
      <w:r w:rsidR="00841874">
        <w:rPr>
          <w:rFonts w:cstheme="minorHAnsi"/>
        </w:rPr>
        <w:t xml:space="preserve">Department of Neurology, </w:t>
      </w:r>
      <w:r w:rsidR="00477B0B" w:rsidRPr="00477B0B">
        <w:rPr>
          <w:rFonts w:cstheme="minorHAnsi"/>
        </w:rPr>
        <w:t>King</w:t>
      </w:r>
      <w:r w:rsidR="00477B0B">
        <w:rPr>
          <w:rFonts w:cstheme="minorHAnsi"/>
        </w:rPr>
        <w:t>’</w:t>
      </w:r>
      <w:r w:rsidR="00477B0B" w:rsidRPr="00477B0B">
        <w:rPr>
          <w:rFonts w:cstheme="minorHAnsi"/>
        </w:rPr>
        <w:t>s College Hospital and South London &amp; Maudsley NHS Trusts</w:t>
      </w:r>
      <w:r w:rsidR="00477B0B">
        <w:rPr>
          <w:rFonts w:cstheme="minorHAnsi"/>
        </w:rPr>
        <w:t>, London,</w:t>
      </w:r>
      <w:r w:rsidR="00841874">
        <w:rPr>
          <w:rFonts w:cstheme="minorHAnsi"/>
        </w:rPr>
        <w:t xml:space="preserve"> </w:t>
      </w:r>
      <w:r w:rsidR="00477B0B">
        <w:rPr>
          <w:rFonts w:cstheme="minorHAnsi"/>
        </w:rPr>
        <w:t>UK</w:t>
      </w:r>
    </w:p>
    <w:p w14:paraId="77986355" w14:textId="16847D33" w:rsidR="00B97FD4" w:rsidRDefault="00D31611" w:rsidP="007544AE">
      <w:pPr>
        <w:spacing w:line="480" w:lineRule="auto"/>
        <w:rPr>
          <w:rFonts w:cstheme="minorHAnsi"/>
        </w:rPr>
      </w:pPr>
      <w:r>
        <w:rPr>
          <w:rFonts w:cstheme="minorHAnsi"/>
        </w:rPr>
        <w:t>4</w:t>
      </w:r>
      <w:r w:rsidR="00457117">
        <w:rPr>
          <w:rFonts w:cstheme="minorHAnsi"/>
        </w:rPr>
        <w:t>3</w:t>
      </w:r>
      <w:r>
        <w:rPr>
          <w:rFonts w:cstheme="minorHAnsi"/>
        </w:rPr>
        <w:t>.</w:t>
      </w:r>
      <w:r w:rsidR="00B97FD4">
        <w:rPr>
          <w:rFonts w:cstheme="minorHAnsi"/>
        </w:rPr>
        <w:t xml:space="preserve"> </w:t>
      </w:r>
      <w:r w:rsidR="00B97FD4" w:rsidRPr="00B97FD4">
        <w:rPr>
          <w:rFonts w:cstheme="minorHAnsi"/>
        </w:rPr>
        <w:t>University of Toronto, Centre for Mental Health, University Health Network, Toronto, C</w:t>
      </w:r>
      <w:r w:rsidR="00B97FD4">
        <w:rPr>
          <w:rFonts w:cstheme="minorHAnsi"/>
        </w:rPr>
        <w:t>anada</w:t>
      </w:r>
    </w:p>
    <w:p w14:paraId="623CF4EA" w14:textId="73C3D89A" w:rsidR="00D31611" w:rsidRDefault="00D31611" w:rsidP="007544AE">
      <w:pPr>
        <w:spacing w:line="480" w:lineRule="auto"/>
        <w:rPr>
          <w:rFonts w:cstheme="minorHAnsi"/>
        </w:rPr>
      </w:pPr>
      <w:r>
        <w:rPr>
          <w:rFonts w:cstheme="minorHAnsi"/>
        </w:rPr>
        <w:t>4</w:t>
      </w:r>
      <w:r w:rsidR="00457117">
        <w:rPr>
          <w:rFonts w:cstheme="minorHAnsi"/>
        </w:rPr>
        <w:t>4</w:t>
      </w:r>
      <w:r>
        <w:rPr>
          <w:rFonts w:cstheme="minorHAnsi"/>
        </w:rPr>
        <w:t>.</w:t>
      </w:r>
      <w:r w:rsidRPr="00D31611">
        <w:t xml:space="preserve"> </w:t>
      </w:r>
      <w:r w:rsidRPr="00D31611">
        <w:rPr>
          <w:rFonts w:cstheme="minorHAnsi"/>
        </w:rPr>
        <w:t>Centre for Clinical Brain Sciences, University of Edinburgh, Royal Infirmary, Edinburgh, UK</w:t>
      </w:r>
    </w:p>
    <w:p w14:paraId="1FD86A49" w14:textId="3B598C4C" w:rsidR="00A00D89" w:rsidRDefault="00D31611" w:rsidP="007544AE">
      <w:pPr>
        <w:spacing w:line="480" w:lineRule="auto"/>
        <w:rPr>
          <w:rFonts w:cstheme="minorHAnsi"/>
        </w:rPr>
      </w:pPr>
      <w:r>
        <w:rPr>
          <w:rFonts w:cstheme="minorHAnsi"/>
        </w:rPr>
        <w:t>4</w:t>
      </w:r>
      <w:r w:rsidR="00457117">
        <w:rPr>
          <w:rFonts w:cstheme="minorHAnsi"/>
        </w:rPr>
        <w:t>5</w:t>
      </w:r>
      <w:r>
        <w:rPr>
          <w:rFonts w:cstheme="minorHAnsi"/>
        </w:rPr>
        <w:t>.</w:t>
      </w:r>
      <w:r w:rsidR="00A00D89">
        <w:rPr>
          <w:rFonts w:cstheme="minorHAnsi"/>
        </w:rPr>
        <w:t xml:space="preserve"> </w:t>
      </w:r>
      <w:r w:rsidR="00A00D89" w:rsidRPr="00A00D89">
        <w:rPr>
          <w:rFonts w:cstheme="minorHAnsi"/>
        </w:rPr>
        <w:t>Department of Neurosciences, Biomedicine and Movement, University of Verona, Italy</w:t>
      </w:r>
    </w:p>
    <w:p w14:paraId="0DC37033" w14:textId="75681F4A" w:rsidR="00AB6667" w:rsidRDefault="00D31611" w:rsidP="007544AE">
      <w:pPr>
        <w:spacing w:line="480" w:lineRule="auto"/>
        <w:rPr>
          <w:rFonts w:cstheme="minorHAnsi"/>
        </w:rPr>
      </w:pPr>
      <w:r>
        <w:rPr>
          <w:rFonts w:cstheme="minorHAnsi"/>
        </w:rPr>
        <w:t>4</w:t>
      </w:r>
      <w:r w:rsidR="00457117">
        <w:rPr>
          <w:rFonts w:cstheme="minorHAnsi"/>
        </w:rPr>
        <w:t>6</w:t>
      </w:r>
      <w:r>
        <w:rPr>
          <w:rFonts w:cstheme="minorHAnsi"/>
        </w:rPr>
        <w:t>.</w:t>
      </w:r>
      <w:r w:rsidR="0062583F">
        <w:rPr>
          <w:rFonts w:cstheme="minorHAnsi"/>
        </w:rPr>
        <w:t xml:space="preserve"> </w:t>
      </w:r>
      <w:r w:rsidR="0062583F" w:rsidRPr="0062583F">
        <w:rPr>
          <w:rFonts w:cstheme="minorHAnsi"/>
        </w:rPr>
        <w:t>Centre for Movement, Occupational and Rehabilitation Sciences</w:t>
      </w:r>
      <w:r w:rsidR="0062583F">
        <w:rPr>
          <w:rFonts w:cstheme="minorHAnsi"/>
        </w:rPr>
        <w:t>, Oxford Brookes University, Oxford, UK</w:t>
      </w:r>
    </w:p>
    <w:p w14:paraId="44B95F3D" w14:textId="3685585D" w:rsidR="00AB6667" w:rsidRDefault="00D31611" w:rsidP="007544AE">
      <w:pPr>
        <w:spacing w:line="480" w:lineRule="auto"/>
        <w:rPr>
          <w:rFonts w:cstheme="minorHAnsi"/>
        </w:rPr>
      </w:pPr>
      <w:r>
        <w:rPr>
          <w:rFonts w:cstheme="minorHAnsi"/>
        </w:rPr>
        <w:t>4</w:t>
      </w:r>
      <w:r w:rsidR="00457117">
        <w:rPr>
          <w:rFonts w:cstheme="minorHAnsi"/>
        </w:rPr>
        <w:t>7</w:t>
      </w:r>
      <w:r>
        <w:rPr>
          <w:rFonts w:cstheme="minorHAnsi"/>
        </w:rPr>
        <w:t>.</w:t>
      </w:r>
      <w:r w:rsidR="000B774E">
        <w:rPr>
          <w:rFonts w:cstheme="minorHAnsi"/>
        </w:rPr>
        <w:t xml:space="preserve"> </w:t>
      </w:r>
      <w:r w:rsidR="000B774E" w:rsidRPr="000B774E">
        <w:rPr>
          <w:rFonts w:cstheme="minorHAnsi"/>
        </w:rPr>
        <w:t>Division of Medicine and Laboratory Sciences</w:t>
      </w:r>
      <w:r w:rsidR="000B774E">
        <w:rPr>
          <w:rFonts w:cstheme="minorHAnsi"/>
        </w:rPr>
        <w:t>, Institute of Clinical Medicine, University of Oslo, Norway</w:t>
      </w:r>
    </w:p>
    <w:p w14:paraId="420963D0" w14:textId="349BB2A4" w:rsidR="00EB1142" w:rsidRDefault="006B6A24" w:rsidP="007544AE">
      <w:pPr>
        <w:spacing w:line="480" w:lineRule="auto"/>
        <w:rPr>
          <w:rFonts w:cstheme="minorHAnsi"/>
        </w:rPr>
      </w:pPr>
      <w:r>
        <w:rPr>
          <w:rFonts w:cstheme="minorHAnsi"/>
        </w:rPr>
        <w:t>4</w:t>
      </w:r>
      <w:r w:rsidR="00457117">
        <w:rPr>
          <w:rFonts w:cstheme="minorHAnsi"/>
        </w:rPr>
        <w:t>8</w:t>
      </w:r>
      <w:r w:rsidR="00EF4289">
        <w:rPr>
          <w:rFonts w:cstheme="minorHAnsi"/>
        </w:rPr>
        <w:t>.</w:t>
      </w:r>
      <w:r w:rsidR="00EB1142">
        <w:rPr>
          <w:rFonts w:cstheme="minorHAnsi"/>
        </w:rPr>
        <w:t xml:space="preserve"> </w:t>
      </w:r>
      <w:r w:rsidR="0095464C" w:rsidRPr="00EB1142">
        <w:rPr>
          <w:rFonts w:cstheme="minorHAnsi"/>
        </w:rPr>
        <w:t>Cognitive</w:t>
      </w:r>
      <w:r w:rsidR="00EB1142" w:rsidRPr="00EB1142">
        <w:rPr>
          <w:rFonts w:cstheme="minorHAnsi"/>
        </w:rPr>
        <w:t xml:space="preserve"> Neurology Research Group, University of Exeter Medical School, Exeter, UK</w:t>
      </w:r>
    </w:p>
    <w:p w14:paraId="10806383" w14:textId="569AD7BF" w:rsidR="00161632" w:rsidRPr="00307068" w:rsidRDefault="00161632" w:rsidP="007544AE">
      <w:pPr>
        <w:spacing w:line="480" w:lineRule="auto"/>
        <w:rPr>
          <w:rFonts w:cstheme="minorHAnsi"/>
        </w:rPr>
      </w:pPr>
      <w:r>
        <w:rPr>
          <w:rFonts w:cstheme="minorHAnsi"/>
        </w:rPr>
        <w:t>* Correspond</w:t>
      </w:r>
      <w:r w:rsidR="00B0747C">
        <w:rPr>
          <w:rFonts w:cstheme="minorHAnsi"/>
        </w:rPr>
        <w:t>ence to</w:t>
      </w:r>
      <w:r w:rsidR="00FC65BA">
        <w:rPr>
          <w:rFonts w:cstheme="minorHAnsi"/>
        </w:rPr>
        <w:t xml:space="preserve">: Professor T Chalder, </w:t>
      </w:r>
      <w:r w:rsidR="0074154D" w:rsidRPr="0074154D">
        <w:rPr>
          <w:rFonts w:cstheme="minorHAnsi"/>
        </w:rPr>
        <w:t>Department of Psychological Medicine, Institute of  Psychiatry, Psychology &amp; Neuroscience, King’s College London, 16, De Crespigny Park, London  SE5  8AF, UK</w:t>
      </w:r>
      <w:r w:rsidR="00FC65BA">
        <w:rPr>
          <w:rFonts w:cstheme="minorHAnsi"/>
        </w:rPr>
        <w:t>, Trudie.Chalder@kcl.ac.uk</w:t>
      </w:r>
    </w:p>
    <w:p w14:paraId="34D6A1EF" w14:textId="77A48EED" w:rsidR="003460DD" w:rsidRPr="006C7108" w:rsidRDefault="001A5FFE" w:rsidP="007544AE">
      <w:pPr>
        <w:spacing w:line="480" w:lineRule="auto"/>
        <w:rPr>
          <w:rFonts w:cstheme="minorHAnsi"/>
        </w:rPr>
      </w:pPr>
      <w:r w:rsidRPr="006C7108">
        <w:rPr>
          <w:rFonts w:cstheme="minorHAnsi"/>
        </w:rPr>
        <w:t>Key Words: chronic fatigue syndrome, myalgic encephalomyelitis, National Institute of Health and Clinical Excellence, management, treatment, cognitive behaviour therapy, graded exercise therapy</w:t>
      </w:r>
    </w:p>
    <w:p w14:paraId="6EB847DF" w14:textId="4AB4373F" w:rsidR="003460DD" w:rsidRDefault="003460DD" w:rsidP="007544AE">
      <w:pPr>
        <w:spacing w:line="480" w:lineRule="auto"/>
        <w:rPr>
          <w:rFonts w:cstheme="minorHAnsi"/>
          <w:b/>
          <w:bCs/>
        </w:rPr>
      </w:pPr>
      <w:r>
        <w:rPr>
          <w:rFonts w:cstheme="minorHAnsi"/>
          <w:b/>
          <w:bCs/>
        </w:rPr>
        <w:t xml:space="preserve">Abstract – </w:t>
      </w:r>
      <w:r w:rsidR="003E2613">
        <w:rPr>
          <w:rFonts w:cstheme="minorHAnsi"/>
          <w:b/>
          <w:bCs/>
        </w:rPr>
        <w:t>2</w:t>
      </w:r>
      <w:r w:rsidR="008E3CCF">
        <w:rPr>
          <w:rFonts w:cstheme="minorHAnsi"/>
          <w:b/>
          <w:bCs/>
        </w:rPr>
        <w:t>5</w:t>
      </w:r>
      <w:r w:rsidR="00D54285">
        <w:rPr>
          <w:rFonts w:cstheme="minorHAnsi"/>
          <w:b/>
          <w:bCs/>
        </w:rPr>
        <w:t>3</w:t>
      </w:r>
      <w:r w:rsidR="00A50273">
        <w:rPr>
          <w:rFonts w:cstheme="minorHAnsi"/>
          <w:b/>
          <w:bCs/>
        </w:rPr>
        <w:t xml:space="preserve"> </w:t>
      </w:r>
      <w:r>
        <w:rPr>
          <w:rFonts w:cstheme="minorHAnsi"/>
          <w:b/>
          <w:bCs/>
        </w:rPr>
        <w:t>words</w:t>
      </w:r>
      <w:r w:rsidR="003E2613">
        <w:rPr>
          <w:rFonts w:cstheme="minorHAnsi"/>
          <w:b/>
          <w:bCs/>
        </w:rPr>
        <w:t xml:space="preserve"> </w:t>
      </w:r>
    </w:p>
    <w:p w14:paraId="4797F11B" w14:textId="14CFBD19" w:rsidR="00AF6507" w:rsidRDefault="003460DD" w:rsidP="007544AE">
      <w:pPr>
        <w:spacing w:line="480" w:lineRule="auto"/>
        <w:rPr>
          <w:rFonts w:cstheme="minorHAnsi"/>
          <w:b/>
          <w:bCs/>
        </w:rPr>
      </w:pPr>
      <w:r>
        <w:rPr>
          <w:rFonts w:cstheme="minorHAnsi"/>
          <w:b/>
          <w:bCs/>
        </w:rPr>
        <w:t xml:space="preserve">Text – </w:t>
      </w:r>
      <w:r w:rsidR="00E22DA3">
        <w:rPr>
          <w:rFonts w:cstheme="minorHAnsi"/>
          <w:b/>
          <w:bCs/>
        </w:rPr>
        <w:t>3</w:t>
      </w:r>
      <w:r w:rsidR="00D54285">
        <w:rPr>
          <w:rFonts w:cstheme="minorHAnsi"/>
          <w:b/>
          <w:bCs/>
        </w:rPr>
        <w:t>27</w:t>
      </w:r>
      <w:r w:rsidR="000314EA">
        <w:rPr>
          <w:rFonts w:cstheme="minorHAnsi"/>
          <w:b/>
          <w:bCs/>
        </w:rPr>
        <w:t>7</w:t>
      </w:r>
      <w:r>
        <w:rPr>
          <w:rFonts w:cstheme="minorHAnsi"/>
          <w:b/>
          <w:bCs/>
        </w:rPr>
        <w:t xml:space="preserve"> words</w:t>
      </w:r>
      <w:r w:rsidR="003E2613">
        <w:rPr>
          <w:rFonts w:cstheme="minorHAnsi"/>
          <w:b/>
          <w:bCs/>
        </w:rPr>
        <w:t xml:space="preserve"> </w:t>
      </w:r>
    </w:p>
    <w:p w14:paraId="5263A66A" w14:textId="1C3897E9" w:rsidR="003460DD" w:rsidRDefault="00AF6507" w:rsidP="007544AE">
      <w:pPr>
        <w:spacing w:line="480" w:lineRule="auto"/>
        <w:rPr>
          <w:rFonts w:cstheme="minorHAnsi"/>
          <w:b/>
          <w:bCs/>
        </w:rPr>
      </w:pPr>
      <w:r>
        <w:rPr>
          <w:rFonts w:cstheme="minorHAnsi"/>
          <w:b/>
          <w:bCs/>
        </w:rPr>
        <w:t>2</w:t>
      </w:r>
      <w:r w:rsidR="00B92F42">
        <w:rPr>
          <w:rFonts w:cstheme="minorHAnsi"/>
          <w:b/>
          <w:bCs/>
        </w:rPr>
        <w:t xml:space="preserve"> boxes</w:t>
      </w:r>
      <w:r w:rsidR="00E22DA3">
        <w:rPr>
          <w:rFonts w:cstheme="minorHAnsi"/>
          <w:b/>
          <w:bCs/>
        </w:rPr>
        <w:t>, 2 tables</w:t>
      </w:r>
      <w:r w:rsidR="00D54285">
        <w:rPr>
          <w:rFonts w:cstheme="minorHAnsi"/>
          <w:b/>
          <w:bCs/>
        </w:rPr>
        <w:t>, 1 supplementary table</w:t>
      </w:r>
    </w:p>
    <w:p w14:paraId="2CB631E7" w14:textId="33C22122" w:rsidR="003E2613" w:rsidRDefault="00EF4289" w:rsidP="007544AE">
      <w:pPr>
        <w:spacing w:line="480" w:lineRule="auto"/>
        <w:rPr>
          <w:rFonts w:cstheme="minorHAnsi"/>
          <w:b/>
          <w:bCs/>
        </w:rPr>
      </w:pPr>
      <w:r>
        <w:rPr>
          <w:rFonts w:cstheme="minorHAnsi"/>
          <w:b/>
          <w:bCs/>
        </w:rPr>
        <w:t>5</w:t>
      </w:r>
      <w:r w:rsidR="00E22DA3">
        <w:rPr>
          <w:rFonts w:cstheme="minorHAnsi"/>
          <w:b/>
          <w:bCs/>
        </w:rPr>
        <w:t>2</w:t>
      </w:r>
      <w:r w:rsidR="00AF6507">
        <w:rPr>
          <w:rFonts w:cstheme="minorHAnsi"/>
          <w:b/>
          <w:bCs/>
        </w:rPr>
        <w:t xml:space="preserve"> </w:t>
      </w:r>
      <w:r w:rsidR="003E2613">
        <w:rPr>
          <w:rFonts w:cstheme="minorHAnsi"/>
          <w:b/>
          <w:bCs/>
        </w:rPr>
        <w:t xml:space="preserve">refs </w:t>
      </w:r>
    </w:p>
    <w:p w14:paraId="3BDBC959" w14:textId="0A66A9A5" w:rsidR="00E22DA3" w:rsidRDefault="006A35FD">
      <w:pPr>
        <w:rPr>
          <w:rFonts w:cstheme="minorHAnsi"/>
          <w:b/>
          <w:bCs/>
        </w:rPr>
      </w:pPr>
      <w:r>
        <w:rPr>
          <w:rFonts w:cstheme="minorHAnsi"/>
          <w:b/>
          <w:bCs/>
        </w:rPr>
        <w:br w:type="page"/>
      </w:r>
      <w:r w:rsidR="00E22DA3">
        <w:rPr>
          <w:rFonts w:cstheme="minorHAnsi"/>
          <w:b/>
          <w:bCs/>
        </w:rPr>
        <w:br w:type="page"/>
      </w:r>
    </w:p>
    <w:p w14:paraId="1F86DDF5" w14:textId="77777777" w:rsidR="006A35FD" w:rsidRDefault="006A35FD" w:rsidP="007544AE">
      <w:pPr>
        <w:spacing w:line="480" w:lineRule="auto"/>
        <w:rPr>
          <w:rFonts w:cstheme="minorHAnsi"/>
          <w:b/>
          <w:bCs/>
        </w:rPr>
      </w:pPr>
    </w:p>
    <w:p w14:paraId="1FE04DC4" w14:textId="589C90C7" w:rsidR="008449C6" w:rsidRPr="00C570BA" w:rsidRDefault="00187B21" w:rsidP="007544AE">
      <w:pPr>
        <w:spacing w:line="480" w:lineRule="auto"/>
        <w:rPr>
          <w:rFonts w:cstheme="minorHAnsi"/>
          <w:b/>
          <w:bCs/>
          <w:sz w:val="28"/>
          <w:szCs w:val="28"/>
        </w:rPr>
      </w:pPr>
      <w:r w:rsidRPr="00C570BA">
        <w:rPr>
          <w:rFonts w:cstheme="minorHAnsi"/>
          <w:b/>
          <w:bCs/>
          <w:sz w:val="28"/>
          <w:szCs w:val="28"/>
        </w:rPr>
        <w:t>Abstract</w:t>
      </w:r>
    </w:p>
    <w:p w14:paraId="79D55FF1" w14:textId="6406C878" w:rsidR="00E31E88" w:rsidRPr="00602CCA" w:rsidRDefault="00E64EE3" w:rsidP="007544AE">
      <w:pPr>
        <w:spacing w:line="480" w:lineRule="auto"/>
        <w:rPr>
          <w:rFonts w:cstheme="minorHAnsi"/>
        </w:rPr>
      </w:pPr>
      <w:r>
        <w:rPr>
          <w:rFonts w:cstheme="minorHAnsi"/>
        </w:rPr>
        <w:t>Chronic Fatigue Syndrome</w:t>
      </w:r>
      <w:r w:rsidR="00676C7E">
        <w:rPr>
          <w:rFonts w:cstheme="minorHAnsi"/>
        </w:rPr>
        <w:t>/Myalgic Encephalomyelitis</w:t>
      </w:r>
      <w:r w:rsidR="00957A23">
        <w:rPr>
          <w:rFonts w:cstheme="minorHAnsi"/>
        </w:rPr>
        <w:t xml:space="preserve"> (CFS/ME</w:t>
      </w:r>
      <w:r>
        <w:rPr>
          <w:rFonts w:cstheme="minorHAnsi"/>
        </w:rPr>
        <w:t>) is a disabling long-term condition</w:t>
      </w:r>
      <w:r w:rsidR="00307068">
        <w:rPr>
          <w:rFonts w:cstheme="minorHAnsi"/>
        </w:rPr>
        <w:t xml:space="preserve"> of unknown cause</w:t>
      </w:r>
      <w:r w:rsidR="002D6810">
        <w:rPr>
          <w:rFonts w:cstheme="minorHAnsi"/>
        </w:rPr>
        <w:t>.</w:t>
      </w:r>
      <w:r w:rsidR="00A27015">
        <w:rPr>
          <w:rFonts w:cstheme="minorHAnsi"/>
        </w:rPr>
        <w:t xml:space="preserve"> </w:t>
      </w:r>
      <w:r w:rsidR="00C337C4">
        <w:rPr>
          <w:rFonts w:cstheme="minorHAnsi"/>
        </w:rPr>
        <w:t>Th</w:t>
      </w:r>
      <w:r w:rsidR="00CA54AC" w:rsidRPr="00602CCA">
        <w:rPr>
          <w:rFonts w:cstheme="minorHAnsi"/>
        </w:rPr>
        <w:t xml:space="preserve">e National Institute of Health and Clinical Excellence (NICE) </w:t>
      </w:r>
      <w:r w:rsidR="00A81457">
        <w:rPr>
          <w:rFonts w:cstheme="minorHAnsi"/>
        </w:rPr>
        <w:t xml:space="preserve">published </w:t>
      </w:r>
      <w:r w:rsidR="0007649F">
        <w:rPr>
          <w:rFonts w:cstheme="minorHAnsi"/>
        </w:rPr>
        <w:t xml:space="preserve">a </w:t>
      </w:r>
      <w:r w:rsidR="00A81457">
        <w:rPr>
          <w:rFonts w:cstheme="minorHAnsi"/>
        </w:rPr>
        <w:t xml:space="preserve">guideline </w:t>
      </w:r>
      <w:r w:rsidR="00752D0D">
        <w:rPr>
          <w:rFonts w:cstheme="minorHAnsi"/>
        </w:rPr>
        <w:t xml:space="preserve"> </w:t>
      </w:r>
      <w:r w:rsidR="00C337C4">
        <w:rPr>
          <w:rFonts w:cstheme="minorHAnsi"/>
        </w:rPr>
        <w:t xml:space="preserve">in 2021 </w:t>
      </w:r>
      <w:r w:rsidR="00A81457">
        <w:rPr>
          <w:rFonts w:cstheme="minorHAnsi"/>
        </w:rPr>
        <w:t xml:space="preserve">that </w:t>
      </w:r>
      <w:r>
        <w:rPr>
          <w:rFonts w:cstheme="minorHAnsi"/>
        </w:rPr>
        <w:t>highlight</w:t>
      </w:r>
      <w:r w:rsidR="006A1F5F">
        <w:rPr>
          <w:rFonts w:cstheme="minorHAnsi"/>
        </w:rPr>
        <w:t>ed</w:t>
      </w:r>
      <w:r>
        <w:rPr>
          <w:rFonts w:cstheme="minorHAnsi"/>
        </w:rPr>
        <w:t xml:space="preserve"> the seriousness of the </w:t>
      </w:r>
      <w:r w:rsidR="001E432D">
        <w:rPr>
          <w:rFonts w:cstheme="minorHAnsi"/>
        </w:rPr>
        <w:t>condition</w:t>
      </w:r>
      <w:r w:rsidR="004F7641">
        <w:rPr>
          <w:rFonts w:cstheme="minorHAnsi"/>
        </w:rPr>
        <w:t>,</w:t>
      </w:r>
      <w:r>
        <w:rPr>
          <w:rFonts w:cstheme="minorHAnsi"/>
        </w:rPr>
        <w:t xml:space="preserve"> but also </w:t>
      </w:r>
      <w:r w:rsidR="00CA54AC" w:rsidRPr="00602CCA">
        <w:rPr>
          <w:rFonts w:cstheme="minorHAnsi"/>
        </w:rPr>
        <w:t>recommended</w:t>
      </w:r>
      <w:r w:rsidR="000159E4">
        <w:rPr>
          <w:rFonts w:cstheme="minorHAnsi"/>
        </w:rPr>
        <w:t xml:space="preserve"> that</w:t>
      </w:r>
      <w:r w:rsidR="00CA54AC" w:rsidRPr="00602CCA">
        <w:rPr>
          <w:rFonts w:cstheme="minorHAnsi"/>
        </w:rPr>
        <w:t xml:space="preserve"> </w:t>
      </w:r>
      <w:r w:rsidR="00450026" w:rsidRPr="00602CCA">
        <w:rPr>
          <w:rFonts w:cstheme="minorHAnsi"/>
        </w:rPr>
        <w:t xml:space="preserve">graded exercise therapy (GET) </w:t>
      </w:r>
      <w:r w:rsidR="000159E4">
        <w:rPr>
          <w:rFonts w:cstheme="minorHAnsi"/>
        </w:rPr>
        <w:t xml:space="preserve">should not be used </w:t>
      </w:r>
      <w:r w:rsidR="00450026" w:rsidRPr="00602CCA">
        <w:rPr>
          <w:rFonts w:cstheme="minorHAnsi"/>
        </w:rPr>
        <w:t>and cognitive behaviour therapy (CBT)</w:t>
      </w:r>
      <w:r w:rsidR="00CA54AC" w:rsidRPr="00602CCA">
        <w:rPr>
          <w:rFonts w:cstheme="minorHAnsi"/>
        </w:rPr>
        <w:t xml:space="preserve"> </w:t>
      </w:r>
      <w:r w:rsidR="000159E4">
        <w:rPr>
          <w:rFonts w:cstheme="minorHAnsi"/>
        </w:rPr>
        <w:t xml:space="preserve">should only be used to </w:t>
      </w:r>
      <w:r w:rsidR="00957A23">
        <w:rPr>
          <w:rFonts w:cstheme="minorHAnsi"/>
        </w:rPr>
        <w:t xml:space="preserve">manage symptoms and </w:t>
      </w:r>
      <w:r w:rsidR="000159E4">
        <w:rPr>
          <w:rFonts w:cstheme="minorHAnsi"/>
        </w:rPr>
        <w:t>reduce</w:t>
      </w:r>
      <w:r w:rsidR="00EE4536">
        <w:rPr>
          <w:rFonts w:cstheme="minorHAnsi"/>
        </w:rPr>
        <w:t xml:space="preserve"> </w:t>
      </w:r>
      <w:r w:rsidR="000159E4">
        <w:rPr>
          <w:rFonts w:cstheme="minorHAnsi"/>
        </w:rPr>
        <w:t>distress</w:t>
      </w:r>
      <w:r w:rsidR="00B83F5B">
        <w:rPr>
          <w:rFonts w:cstheme="minorHAnsi"/>
        </w:rPr>
        <w:t>,</w:t>
      </w:r>
      <w:r w:rsidR="00684038">
        <w:rPr>
          <w:rFonts w:cstheme="minorHAnsi"/>
        </w:rPr>
        <w:t xml:space="preserve"> </w:t>
      </w:r>
      <w:r w:rsidR="00943A00">
        <w:rPr>
          <w:rFonts w:cstheme="minorHAnsi"/>
        </w:rPr>
        <w:t xml:space="preserve">not to </w:t>
      </w:r>
      <w:r w:rsidR="00B83F5B">
        <w:rPr>
          <w:rFonts w:cstheme="minorHAnsi"/>
        </w:rPr>
        <w:t>aid</w:t>
      </w:r>
      <w:r w:rsidR="00943A00">
        <w:rPr>
          <w:rFonts w:cstheme="minorHAnsi"/>
        </w:rPr>
        <w:t xml:space="preserve"> </w:t>
      </w:r>
      <w:r w:rsidR="00DD75C8">
        <w:rPr>
          <w:rFonts w:cstheme="minorHAnsi"/>
        </w:rPr>
        <w:t>recovery</w:t>
      </w:r>
      <w:r w:rsidR="001259EB">
        <w:rPr>
          <w:rFonts w:cstheme="minorHAnsi"/>
        </w:rPr>
        <w:t>.</w:t>
      </w:r>
      <w:r w:rsidR="00DD75C8">
        <w:rPr>
          <w:rFonts w:cstheme="minorHAnsi"/>
        </w:rPr>
        <w:t xml:space="preserve"> </w:t>
      </w:r>
      <w:r w:rsidR="000159E4">
        <w:rPr>
          <w:rFonts w:cstheme="minorHAnsi"/>
        </w:rPr>
        <w:t xml:space="preserve">This U-turn in recommendations from the </w:t>
      </w:r>
      <w:r w:rsidR="008776CF">
        <w:rPr>
          <w:rFonts w:cstheme="minorHAnsi"/>
        </w:rPr>
        <w:t xml:space="preserve">previous </w:t>
      </w:r>
      <w:r w:rsidR="000159E4">
        <w:rPr>
          <w:rFonts w:cstheme="minorHAnsi"/>
        </w:rPr>
        <w:t>2007 guideline</w:t>
      </w:r>
      <w:r w:rsidR="00B8125E">
        <w:rPr>
          <w:rFonts w:cstheme="minorHAnsi"/>
        </w:rPr>
        <w:t xml:space="preserve"> </w:t>
      </w:r>
      <w:r w:rsidR="00957A23">
        <w:rPr>
          <w:rFonts w:cstheme="minorHAnsi"/>
        </w:rPr>
        <w:t>is</w:t>
      </w:r>
      <w:r w:rsidR="00705FC8">
        <w:rPr>
          <w:rFonts w:cstheme="minorHAnsi"/>
        </w:rPr>
        <w:t xml:space="preserve"> controversial</w:t>
      </w:r>
      <w:r w:rsidR="00510B7A" w:rsidRPr="00602CCA">
        <w:rPr>
          <w:rFonts w:cstheme="minorHAnsi"/>
        </w:rPr>
        <w:t xml:space="preserve">. </w:t>
      </w:r>
    </w:p>
    <w:p w14:paraId="0021C719" w14:textId="2FAE8C33" w:rsidR="00F57F97" w:rsidRDefault="00A50273" w:rsidP="007544AE">
      <w:pPr>
        <w:spacing w:line="480" w:lineRule="auto"/>
        <w:rPr>
          <w:rFonts w:cstheme="minorHAnsi"/>
        </w:rPr>
      </w:pPr>
      <w:r>
        <w:rPr>
          <w:rFonts w:cstheme="minorHAnsi"/>
        </w:rPr>
        <w:t>W</w:t>
      </w:r>
      <w:r w:rsidR="000159E4" w:rsidRPr="00F57F97">
        <w:rPr>
          <w:rFonts w:cstheme="minorHAnsi"/>
        </w:rPr>
        <w:t xml:space="preserve">e </w:t>
      </w:r>
      <w:r w:rsidR="00705FC8">
        <w:rPr>
          <w:rFonts w:cstheme="minorHAnsi"/>
        </w:rPr>
        <w:t>suggest that the controversy stems from</w:t>
      </w:r>
      <w:r w:rsidR="000159E4" w:rsidRPr="00F57F97">
        <w:rPr>
          <w:rFonts w:cstheme="minorHAnsi"/>
        </w:rPr>
        <w:t xml:space="preserve"> </w:t>
      </w:r>
      <w:r w:rsidR="00E04548">
        <w:rPr>
          <w:rFonts w:cstheme="minorHAnsi"/>
        </w:rPr>
        <w:t>anomalies</w:t>
      </w:r>
      <w:r w:rsidR="00943A00">
        <w:rPr>
          <w:rFonts w:cstheme="minorHAnsi"/>
        </w:rPr>
        <w:t xml:space="preserve"> </w:t>
      </w:r>
      <w:r w:rsidR="00870F28">
        <w:rPr>
          <w:rFonts w:cstheme="minorHAnsi"/>
        </w:rPr>
        <w:t>in both</w:t>
      </w:r>
      <w:r w:rsidR="004A0814">
        <w:rPr>
          <w:rFonts w:cstheme="minorHAnsi"/>
        </w:rPr>
        <w:t xml:space="preserve"> </w:t>
      </w:r>
      <w:r w:rsidR="001E432D">
        <w:rPr>
          <w:rFonts w:cstheme="minorHAnsi"/>
        </w:rPr>
        <w:t>process</w:t>
      </w:r>
      <w:r w:rsidR="00A464A0">
        <w:rPr>
          <w:rFonts w:cstheme="minorHAnsi"/>
        </w:rPr>
        <w:t>ing</w:t>
      </w:r>
      <w:r w:rsidR="001E432D">
        <w:rPr>
          <w:rFonts w:cstheme="minorHAnsi"/>
        </w:rPr>
        <w:t xml:space="preserve"> and interpretation of</w:t>
      </w:r>
      <w:r w:rsidR="00E64EE3" w:rsidRPr="00F57F97">
        <w:rPr>
          <w:rFonts w:cstheme="minorHAnsi"/>
        </w:rPr>
        <w:t xml:space="preserve"> </w:t>
      </w:r>
      <w:r w:rsidR="003127B2" w:rsidRPr="00F57F97">
        <w:rPr>
          <w:rFonts w:cstheme="minorHAnsi"/>
        </w:rPr>
        <w:t>the evidence</w:t>
      </w:r>
      <w:r w:rsidR="00705FC8">
        <w:rPr>
          <w:rFonts w:cstheme="minorHAnsi"/>
        </w:rPr>
        <w:t xml:space="preserve"> by the NICE committee</w:t>
      </w:r>
      <w:r w:rsidR="003127B2" w:rsidRPr="00F57F97">
        <w:rPr>
          <w:rFonts w:cstheme="minorHAnsi"/>
        </w:rPr>
        <w:t xml:space="preserve">. </w:t>
      </w:r>
      <w:r w:rsidR="00D448B0">
        <w:rPr>
          <w:rFonts w:cstheme="minorHAnsi"/>
        </w:rPr>
        <w:t>The</w:t>
      </w:r>
      <w:r w:rsidR="009B43D5">
        <w:rPr>
          <w:rFonts w:cstheme="minorHAnsi"/>
        </w:rPr>
        <w:t xml:space="preserve"> committee</w:t>
      </w:r>
      <w:r w:rsidR="00F57F97">
        <w:rPr>
          <w:rFonts w:cstheme="minorHAnsi"/>
        </w:rPr>
        <w:t>: 1)</w:t>
      </w:r>
      <w:r w:rsidR="003127B2" w:rsidRPr="00F57F97">
        <w:rPr>
          <w:rFonts w:cstheme="minorHAnsi"/>
        </w:rPr>
        <w:t xml:space="preserve"> </w:t>
      </w:r>
      <w:r w:rsidR="00F57F97" w:rsidRPr="00F57F97">
        <w:rPr>
          <w:rFonts w:cstheme="minorHAnsi"/>
        </w:rPr>
        <w:t>Creat</w:t>
      </w:r>
      <w:r w:rsidR="00161632">
        <w:rPr>
          <w:rFonts w:cstheme="minorHAnsi"/>
        </w:rPr>
        <w:t>ed</w:t>
      </w:r>
      <w:r w:rsidR="00F57F97" w:rsidRPr="00F57F97">
        <w:rPr>
          <w:rFonts w:cstheme="minorHAnsi"/>
        </w:rPr>
        <w:t xml:space="preserve"> a new definition of </w:t>
      </w:r>
      <w:r w:rsidR="004F59A0">
        <w:rPr>
          <w:rFonts w:cstheme="minorHAnsi"/>
        </w:rPr>
        <w:t>CFS/ME</w:t>
      </w:r>
      <w:r w:rsidR="00E86D91">
        <w:rPr>
          <w:rFonts w:cstheme="minorHAnsi"/>
        </w:rPr>
        <w:t xml:space="preserve">, which </w:t>
      </w:r>
      <w:r w:rsidR="00F57F97" w:rsidRPr="00F57F97">
        <w:rPr>
          <w:rFonts w:cstheme="minorHAnsi"/>
        </w:rPr>
        <w:t xml:space="preserve"> “down</w:t>
      </w:r>
      <w:r w:rsidR="00C254E0">
        <w:rPr>
          <w:rFonts w:cstheme="minorHAnsi"/>
        </w:rPr>
        <w:t>-</w:t>
      </w:r>
      <w:r w:rsidR="00F57F97" w:rsidRPr="00F57F97">
        <w:rPr>
          <w:rFonts w:cstheme="minorHAnsi"/>
        </w:rPr>
        <w:t>grad</w:t>
      </w:r>
      <w:r w:rsidR="004C0CD9">
        <w:rPr>
          <w:rFonts w:cstheme="minorHAnsi"/>
        </w:rPr>
        <w:t>ed</w:t>
      </w:r>
      <w:r w:rsidR="00F57F97" w:rsidRPr="00F57F97">
        <w:rPr>
          <w:rFonts w:cstheme="minorHAnsi"/>
        </w:rPr>
        <w:t xml:space="preserve">” </w:t>
      </w:r>
      <w:r w:rsidR="00B8125E">
        <w:rPr>
          <w:rFonts w:cstheme="minorHAnsi"/>
        </w:rPr>
        <w:t xml:space="preserve">the certainty </w:t>
      </w:r>
      <w:r w:rsidR="00F57F97" w:rsidRPr="00F57F97">
        <w:rPr>
          <w:rFonts w:cstheme="minorHAnsi"/>
        </w:rPr>
        <w:t xml:space="preserve">of </w:t>
      </w:r>
      <w:r w:rsidR="00D448B0">
        <w:rPr>
          <w:rFonts w:cstheme="minorHAnsi"/>
        </w:rPr>
        <w:t>trial</w:t>
      </w:r>
      <w:r w:rsidR="00F57F97" w:rsidRPr="00F57F97">
        <w:rPr>
          <w:rFonts w:cstheme="minorHAnsi"/>
        </w:rPr>
        <w:t xml:space="preserve"> evidence</w:t>
      </w:r>
      <w:r w:rsidR="00F57F97">
        <w:rPr>
          <w:rFonts w:cstheme="minorHAnsi"/>
        </w:rPr>
        <w:t xml:space="preserve">; 2) </w:t>
      </w:r>
      <w:r w:rsidR="0007649F">
        <w:rPr>
          <w:rFonts w:cstheme="minorHAnsi"/>
        </w:rPr>
        <w:t>Omi</w:t>
      </w:r>
      <w:r w:rsidR="004A0814">
        <w:rPr>
          <w:rFonts w:cstheme="minorHAnsi"/>
        </w:rPr>
        <w:t>tted</w:t>
      </w:r>
      <w:r w:rsidR="00F57F97" w:rsidRPr="00F57F97">
        <w:rPr>
          <w:rFonts w:cstheme="minorHAnsi"/>
        </w:rPr>
        <w:t xml:space="preserve"> data from </w:t>
      </w:r>
      <w:r w:rsidR="0007649F">
        <w:rPr>
          <w:rFonts w:cstheme="minorHAnsi"/>
        </w:rPr>
        <w:t>standard trial end</w:t>
      </w:r>
      <w:r w:rsidR="00F57F97" w:rsidRPr="00F57F97">
        <w:rPr>
          <w:rFonts w:cstheme="minorHAnsi"/>
        </w:rPr>
        <w:t xml:space="preserve"> points</w:t>
      </w:r>
      <w:r w:rsidR="007E7114">
        <w:rPr>
          <w:rFonts w:cstheme="minorHAnsi"/>
        </w:rPr>
        <w:t xml:space="preserve"> used to assess efficacy</w:t>
      </w:r>
      <w:r w:rsidR="005A0CFA">
        <w:rPr>
          <w:rFonts w:cstheme="minorHAnsi"/>
        </w:rPr>
        <w:t>;</w:t>
      </w:r>
      <w:r w:rsidR="00F57F97">
        <w:rPr>
          <w:rFonts w:cstheme="minorHAnsi"/>
        </w:rPr>
        <w:t xml:space="preserve"> </w:t>
      </w:r>
      <w:r w:rsidR="00EE4A8E">
        <w:rPr>
          <w:rFonts w:cstheme="minorHAnsi"/>
        </w:rPr>
        <w:t>3</w:t>
      </w:r>
      <w:r w:rsidR="00F57F97">
        <w:rPr>
          <w:rFonts w:cstheme="minorHAnsi"/>
        </w:rPr>
        <w:t xml:space="preserve">) </w:t>
      </w:r>
      <w:r w:rsidR="00BD6B5B">
        <w:rPr>
          <w:rFonts w:cstheme="minorHAnsi"/>
        </w:rPr>
        <w:t>Discounted</w:t>
      </w:r>
      <w:r w:rsidR="006A1F5F">
        <w:rPr>
          <w:rFonts w:cstheme="minorHAnsi"/>
        </w:rPr>
        <w:t xml:space="preserve"> </w:t>
      </w:r>
      <w:r w:rsidR="00C337C4">
        <w:rPr>
          <w:rFonts w:cstheme="minorHAnsi"/>
        </w:rPr>
        <w:t xml:space="preserve">trial </w:t>
      </w:r>
      <w:r w:rsidR="00F57F97" w:rsidRPr="00F57F97">
        <w:rPr>
          <w:rFonts w:cstheme="minorHAnsi"/>
        </w:rPr>
        <w:t xml:space="preserve">data </w:t>
      </w:r>
      <w:r w:rsidR="00D448B0">
        <w:rPr>
          <w:rFonts w:cstheme="minorHAnsi"/>
        </w:rPr>
        <w:t xml:space="preserve">when assessing </w:t>
      </w:r>
      <w:r w:rsidR="007852F4">
        <w:rPr>
          <w:rFonts w:cstheme="minorHAnsi"/>
        </w:rPr>
        <w:t xml:space="preserve">treatment </w:t>
      </w:r>
      <w:r w:rsidR="00D448B0">
        <w:rPr>
          <w:rFonts w:cstheme="minorHAnsi"/>
        </w:rPr>
        <w:t>harm in favour of</w:t>
      </w:r>
      <w:r w:rsidR="00F57F97" w:rsidRPr="00F57F97">
        <w:rPr>
          <w:rFonts w:cstheme="minorHAnsi"/>
        </w:rPr>
        <w:t xml:space="preserve"> lower quality survey</w:t>
      </w:r>
      <w:r>
        <w:rPr>
          <w:rFonts w:cstheme="minorHAnsi"/>
        </w:rPr>
        <w:t>s</w:t>
      </w:r>
      <w:r w:rsidR="00F57F97" w:rsidRPr="00F57F97">
        <w:rPr>
          <w:rFonts w:cstheme="minorHAnsi"/>
        </w:rPr>
        <w:t xml:space="preserve"> and </w:t>
      </w:r>
      <w:r w:rsidR="005A0CFA">
        <w:rPr>
          <w:rFonts w:cstheme="minorHAnsi"/>
        </w:rPr>
        <w:t>qualitative</w:t>
      </w:r>
      <w:r w:rsidR="00F57F97" w:rsidRPr="00F57F97">
        <w:rPr>
          <w:rFonts w:cstheme="minorHAnsi"/>
        </w:rPr>
        <w:t xml:space="preserve"> </w:t>
      </w:r>
      <w:r w:rsidR="00FD6736">
        <w:rPr>
          <w:rFonts w:cstheme="minorHAnsi"/>
        </w:rPr>
        <w:t>studies</w:t>
      </w:r>
      <w:r w:rsidR="005A0CFA">
        <w:rPr>
          <w:rFonts w:cstheme="minorHAnsi"/>
        </w:rPr>
        <w:t>;</w:t>
      </w:r>
      <w:r w:rsidR="00F57F97">
        <w:rPr>
          <w:rFonts w:cstheme="minorHAnsi"/>
        </w:rPr>
        <w:t xml:space="preserve"> </w:t>
      </w:r>
      <w:r w:rsidR="00EE4A8E">
        <w:rPr>
          <w:rFonts w:cstheme="minorHAnsi"/>
        </w:rPr>
        <w:t>4</w:t>
      </w:r>
      <w:r w:rsidR="00F57F97">
        <w:rPr>
          <w:rFonts w:cstheme="minorHAnsi"/>
        </w:rPr>
        <w:t xml:space="preserve">) </w:t>
      </w:r>
      <w:bookmarkStart w:id="2" w:name="_Hlk107918118"/>
      <w:r w:rsidR="00D879BE">
        <w:rPr>
          <w:rFonts w:cstheme="minorHAnsi"/>
        </w:rPr>
        <w:t>M</w:t>
      </w:r>
      <w:r w:rsidR="003F597F">
        <w:rPr>
          <w:rFonts w:cstheme="minorHAnsi"/>
        </w:rPr>
        <w:t>inimized</w:t>
      </w:r>
      <w:r w:rsidR="006A2424">
        <w:rPr>
          <w:rFonts w:cstheme="minorHAnsi"/>
        </w:rPr>
        <w:t xml:space="preserve"> the importance of </w:t>
      </w:r>
      <w:r w:rsidR="00F57F97" w:rsidRPr="00F57F97">
        <w:rPr>
          <w:rFonts w:cstheme="minorHAnsi"/>
        </w:rPr>
        <w:t>fatigue</w:t>
      </w:r>
      <w:r w:rsidR="00D448B0">
        <w:rPr>
          <w:rFonts w:cstheme="minorHAnsi"/>
        </w:rPr>
        <w:t xml:space="preserve"> as an outcome</w:t>
      </w:r>
      <w:bookmarkEnd w:id="2"/>
      <w:r w:rsidR="005A0CFA">
        <w:rPr>
          <w:rFonts w:cstheme="minorHAnsi"/>
        </w:rPr>
        <w:t>;</w:t>
      </w:r>
      <w:r w:rsidR="00F57F97">
        <w:rPr>
          <w:rFonts w:cstheme="minorHAnsi"/>
        </w:rPr>
        <w:t xml:space="preserve"> </w:t>
      </w:r>
      <w:r w:rsidR="00EE4A8E">
        <w:rPr>
          <w:rFonts w:cstheme="minorHAnsi"/>
        </w:rPr>
        <w:t>5</w:t>
      </w:r>
      <w:r w:rsidR="00F57F97">
        <w:rPr>
          <w:rFonts w:cstheme="minorHAnsi"/>
        </w:rPr>
        <w:t xml:space="preserve">) </w:t>
      </w:r>
      <w:r w:rsidR="00EE05FF">
        <w:rPr>
          <w:rFonts w:cstheme="minorHAnsi"/>
        </w:rPr>
        <w:t>Did not</w:t>
      </w:r>
      <w:r w:rsidR="00F57F97" w:rsidRPr="00F57F97">
        <w:rPr>
          <w:rFonts w:cstheme="minorHAnsi"/>
        </w:rPr>
        <w:t xml:space="preserve"> </w:t>
      </w:r>
      <w:r w:rsidR="003F597F">
        <w:rPr>
          <w:rFonts w:cstheme="minorHAnsi"/>
        </w:rPr>
        <w:t xml:space="preserve">use accepted practices to </w:t>
      </w:r>
      <w:r w:rsidR="009B4EAE">
        <w:rPr>
          <w:rFonts w:cstheme="minorHAnsi"/>
        </w:rPr>
        <w:t>synthes</w:t>
      </w:r>
      <w:r w:rsidR="00A72452">
        <w:rPr>
          <w:rFonts w:cstheme="minorHAnsi"/>
        </w:rPr>
        <w:t>is</w:t>
      </w:r>
      <w:r w:rsidR="009B4EAE">
        <w:rPr>
          <w:rFonts w:cstheme="minorHAnsi"/>
        </w:rPr>
        <w:t xml:space="preserve">e and GRADE </w:t>
      </w:r>
      <w:r w:rsidR="00F57F97" w:rsidRPr="00F57F97">
        <w:rPr>
          <w:rFonts w:cstheme="minorHAnsi"/>
        </w:rPr>
        <w:t xml:space="preserve">trial </w:t>
      </w:r>
      <w:r w:rsidR="0054318E">
        <w:rPr>
          <w:rFonts w:cstheme="minorHAnsi"/>
        </w:rPr>
        <w:t>evidence</w:t>
      </w:r>
      <w:r w:rsidR="00F57F97">
        <w:rPr>
          <w:rFonts w:cstheme="minorHAnsi"/>
        </w:rPr>
        <w:t xml:space="preserve">; </w:t>
      </w:r>
      <w:r w:rsidR="00EE4A8E">
        <w:rPr>
          <w:rFonts w:cstheme="minorHAnsi"/>
        </w:rPr>
        <w:t>6</w:t>
      </w:r>
      <w:r w:rsidR="00F57F97">
        <w:rPr>
          <w:rFonts w:cstheme="minorHAnsi"/>
        </w:rPr>
        <w:t xml:space="preserve">) </w:t>
      </w:r>
      <w:r w:rsidR="00D879BE">
        <w:rPr>
          <w:rFonts w:cstheme="minorHAnsi"/>
        </w:rPr>
        <w:t>I</w:t>
      </w:r>
      <w:r w:rsidR="003F597F">
        <w:rPr>
          <w:rFonts w:cstheme="minorHAnsi"/>
        </w:rPr>
        <w:t xml:space="preserve">nterpreted </w:t>
      </w:r>
      <w:r w:rsidR="00EE4A8E" w:rsidRPr="00EE4A8E">
        <w:rPr>
          <w:rFonts w:cstheme="minorHAnsi"/>
        </w:rPr>
        <w:t xml:space="preserve">GET as </w:t>
      </w:r>
      <w:r w:rsidR="00FC7519">
        <w:rPr>
          <w:rFonts w:cstheme="minorHAnsi"/>
        </w:rPr>
        <w:t>mandating</w:t>
      </w:r>
      <w:r w:rsidR="00EE4A8E" w:rsidRPr="00EE4A8E">
        <w:rPr>
          <w:rFonts w:cstheme="minorHAnsi"/>
        </w:rPr>
        <w:t xml:space="preserve"> fixed increments of change when trials de</w:t>
      </w:r>
      <w:r w:rsidR="00EE4A8E">
        <w:rPr>
          <w:rFonts w:cstheme="minorHAnsi"/>
        </w:rPr>
        <w:t>fine</w:t>
      </w:r>
      <w:r w:rsidR="006A1F5F">
        <w:rPr>
          <w:rFonts w:cstheme="minorHAnsi"/>
        </w:rPr>
        <w:t>d</w:t>
      </w:r>
      <w:r w:rsidR="00EE4A8E" w:rsidRPr="00EE4A8E">
        <w:rPr>
          <w:rFonts w:cstheme="minorHAnsi"/>
        </w:rPr>
        <w:t xml:space="preserve"> it as collaborative</w:t>
      </w:r>
      <w:r w:rsidR="00FD6736">
        <w:rPr>
          <w:rFonts w:cstheme="minorHAnsi"/>
        </w:rPr>
        <w:t xml:space="preserve">, negotiated, </w:t>
      </w:r>
      <w:r w:rsidR="00EE4A8E" w:rsidRPr="00EE4A8E">
        <w:rPr>
          <w:rFonts w:cstheme="minorHAnsi"/>
        </w:rPr>
        <w:t>and symptom dependent;</w:t>
      </w:r>
      <w:r w:rsidR="00ED2658">
        <w:rPr>
          <w:rFonts w:cstheme="minorHAnsi"/>
        </w:rPr>
        <w:t xml:space="preserve"> </w:t>
      </w:r>
      <w:r w:rsidR="00EE4A8E">
        <w:rPr>
          <w:rFonts w:cstheme="minorHAnsi"/>
        </w:rPr>
        <w:t xml:space="preserve">7) </w:t>
      </w:r>
      <w:r w:rsidR="00C337C4">
        <w:rPr>
          <w:rFonts w:cstheme="minorHAnsi"/>
        </w:rPr>
        <w:t xml:space="preserve">Deviated from </w:t>
      </w:r>
      <w:r w:rsidR="00F57F97" w:rsidRPr="00F57F97">
        <w:rPr>
          <w:rFonts w:cstheme="minorHAnsi"/>
        </w:rPr>
        <w:t xml:space="preserve">NICE recommendations </w:t>
      </w:r>
      <w:r w:rsidR="00982CA1">
        <w:rPr>
          <w:rFonts w:cstheme="minorHAnsi"/>
        </w:rPr>
        <w:t>of</w:t>
      </w:r>
      <w:r w:rsidR="00F57F97" w:rsidRPr="00F57F97">
        <w:rPr>
          <w:rFonts w:cstheme="minorHAnsi"/>
        </w:rPr>
        <w:t xml:space="preserve"> rehabilitation </w:t>
      </w:r>
      <w:r w:rsidR="00982CA1">
        <w:rPr>
          <w:rFonts w:cstheme="minorHAnsi"/>
        </w:rPr>
        <w:t>for</w:t>
      </w:r>
      <w:r w:rsidR="00F57F97" w:rsidRPr="00F57F97">
        <w:rPr>
          <w:rFonts w:cstheme="minorHAnsi"/>
        </w:rPr>
        <w:t xml:space="preserve"> </w:t>
      </w:r>
      <w:r w:rsidR="00D448B0">
        <w:rPr>
          <w:rFonts w:cstheme="minorHAnsi"/>
        </w:rPr>
        <w:t xml:space="preserve">related conditions, such as </w:t>
      </w:r>
      <w:r w:rsidR="00F57F97" w:rsidRPr="00F57F97">
        <w:rPr>
          <w:rFonts w:cstheme="minorHAnsi"/>
        </w:rPr>
        <w:t>chronic primary pain</w:t>
      </w:r>
      <w:r w:rsidR="00E0569C">
        <w:rPr>
          <w:rFonts w:cstheme="minorHAnsi"/>
        </w:rPr>
        <w:t xml:space="preserve">; 8) </w:t>
      </w:r>
      <w:r w:rsidR="00E0569C" w:rsidRPr="00E0569C">
        <w:rPr>
          <w:rFonts w:cstheme="minorHAnsi"/>
        </w:rPr>
        <w:t>Recommend</w:t>
      </w:r>
      <w:r w:rsidR="006A1F5F">
        <w:rPr>
          <w:rFonts w:cstheme="minorHAnsi"/>
        </w:rPr>
        <w:t>ed</w:t>
      </w:r>
      <w:r w:rsidR="00161632">
        <w:rPr>
          <w:rFonts w:cstheme="minorHAnsi"/>
        </w:rPr>
        <w:t xml:space="preserve"> </w:t>
      </w:r>
      <w:r w:rsidR="008131AA">
        <w:rPr>
          <w:rFonts w:cstheme="minorHAnsi"/>
        </w:rPr>
        <w:t xml:space="preserve">an </w:t>
      </w:r>
      <w:r w:rsidR="00D448B0">
        <w:rPr>
          <w:rFonts w:cstheme="minorHAnsi"/>
        </w:rPr>
        <w:t xml:space="preserve">energy management </w:t>
      </w:r>
      <w:r w:rsidR="008131AA">
        <w:rPr>
          <w:rFonts w:cstheme="minorHAnsi"/>
        </w:rPr>
        <w:t xml:space="preserve">approach </w:t>
      </w:r>
      <w:r w:rsidR="00E0569C" w:rsidRPr="00E0569C">
        <w:rPr>
          <w:rFonts w:cstheme="minorHAnsi"/>
        </w:rPr>
        <w:t xml:space="preserve">in the absence of supportive </w:t>
      </w:r>
      <w:r w:rsidR="009B4EAE">
        <w:rPr>
          <w:rFonts w:cstheme="minorHAnsi"/>
        </w:rPr>
        <w:t xml:space="preserve">research </w:t>
      </w:r>
      <w:r w:rsidR="00E0569C" w:rsidRPr="00E0569C">
        <w:rPr>
          <w:rFonts w:cstheme="minorHAnsi"/>
        </w:rPr>
        <w:t>evidence</w:t>
      </w:r>
      <w:r w:rsidR="00E0569C">
        <w:rPr>
          <w:rFonts w:cstheme="minorHAnsi"/>
        </w:rPr>
        <w:t>.</w:t>
      </w:r>
    </w:p>
    <w:p w14:paraId="75E55CE9" w14:textId="7E9DD54C" w:rsidR="008449C6" w:rsidRPr="00602CCA" w:rsidRDefault="008947D2" w:rsidP="007544AE">
      <w:pPr>
        <w:spacing w:line="480" w:lineRule="auto"/>
        <w:rPr>
          <w:rFonts w:cstheme="minorHAnsi"/>
        </w:rPr>
      </w:pPr>
      <w:r>
        <w:rPr>
          <w:rFonts w:cstheme="minorHAnsi"/>
        </w:rPr>
        <w:t xml:space="preserve">We conclude that </w:t>
      </w:r>
      <w:r w:rsidR="00192BCC">
        <w:rPr>
          <w:rFonts w:cstheme="minorHAnsi"/>
        </w:rPr>
        <w:t xml:space="preserve">the </w:t>
      </w:r>
      <w:r w:rsidR="00C55469">
        <w:rPr>
          <w:rFonts w:cstheme="minorHAnsi"/>
        </w:rPr>
        <w:t>dissonance</w:t>
      </w:r>
      <w:r w:rsidR="00192BCC">
        <w:rPr>
          <w:rFonts w:cstheme="minorHAnsi"/>
        </w:rPr>
        <w:t xml:space="preserve"> </w:t>
      </w:r>
      <w:r w:rsidR="00825CAA">
        <w:rPr>
          <w:rFonts w:cstheme="minorHAnsi"/>
        </w:rPr>
        <w:t xml:space="preserve">between </w:t>
      </w:r>
      <w:r>
        <w:rPr>
          <w:rFonts w:cstheme="minorHAnsi"/>
        </w:rPr>
        <w:t>th</w:t>
      </w:r>
      <w:r w:rsidR="007F7CC5">
        <w:rPr>
          <w:rFonts w:cstheme="minorHAnsi"/>
        </w:rPr>
        <w:t>is</w:t>
      </w:r>
      <w:r>
        <w:rPr>
          <w:rFonts w:cstheme="minorHAnsi"/>
        </w:rPr>
        <w:t xml:space="preserve"> </w:t>
      </w:r>
      <w:r w:rsidR="00C64178">
        <w:rPr>
          <w:rFonts w:cstheme="minorHAnsi"/>
        </w:rPr>
        <w:t>and the previous guideline</w:t>
      </w:r>
      <w:r>
        <w:rPr>
          <w:rFonts w:cstheme="minorHAnsi"/>
        </w:rPr>
        <w:t xml:space="preserve"> </w:t>
      </w:r>
      <w:r w:rsidR="00C64178">
        <w:rPr>
          <w:rFonts w:cstheme="minorHAnsi"/>
        </w:rPr>
        <w:t>was</w:t>
      </w:r>
      <w:r w:rsidR="00187751">
        <w:rPr>
          <w:rFonts w:cstheme="minorHAnsi"/>
        </w:rPr>
        <w:t xml:space="preserve"> </w:t>
      </w:r>
      <w:r w:rsidR="008131AA">
        <w:rPr>
          <w:rFonts w:cstheme="minorHAnsi"/>
        </w:rPr>
        <w:t xml:space="preserve">the result of </w:t>
      </w:r>
      <w:r w:rsidR="003F597F">
        <w:rPr>
          <w:rFonts w:cstheme="minorHAnsi"/>
        </w:rPr>
        <w:t>deviating from</w:t>
      </w:r>
      <w:r w:rsidR="002D3905">
        <w:rPr>
          <w:rFonts w:cstheme="minorHAnsi"/>
        </w:rPr>
        <w:t xml:space="preserve"> </w:t>
      </w:r>
      <w:r w:rsidR="00FC3797">
        <w:rPr>
          <w:rFonts w:cstheme="minorHAnsi"/>
        </w:rPr>
        <w:t>usual</w:t>
      </w:r>
      <w:r>
        <w:rPr>
          <w:rFonts w:cstheme="minorHAnsi"/>
        </w:rPr>
        <w:t xml:space="preserve"> scientific standards of the NICE process</w:t>
      </w:r>
      <w:r w:rsidR="004A5E1C">
        <w:rPr>
          <w:rFonts w:cstheme="minorHAnsi"/>
        </w:rPr>
        <w:t>. The</w:t>
      </w:r>
      <w:r>
        <w:rPr>
          <w:rFonts w:cstheme="minorHAnsi"/>
        </w:rPr>
        <w:t xml:space="preserve"> </w:t>
      </w:r>
      <w:r w:rsidR="00684038">
        <w:rPr>
          <w:rFonts w:cstheme="minorHAnsi"/>
        </w:rPr>
        <w:t>consequence</w:t>
      </w:r>
      <w:r w:rsidR="00D879BE">
        <w:rPr>
          <w:rFonts w:cstheme="minorHAnsi"/>
        </w:rPr>
        <w:t>s</w:t>
      </w:r>
      <w:r w:rsidR="00684038">
        <w:rPr>
          <w:rFonts w:cstheme="minorHAnsi"/>
        </w:rPr>
        <w:t xml:space="preserve"> of </w:t>
      </w:r>
      <w:r w:rsidR="00883750">
        <w:rPr>
          <w:rFonts w:cstheme="minorHAnsi"/>
        </w:rPr>
        <w:t xml:space="preserve">this </w:t>
      </w:r>
      <w:r w:rsidR="00D879BE">
        <w:rPr>
          <w:rFonts w:cstheme="minorHAnsi"/>
        </w:rPr>
        <w:t>are</w:t>
      </w:r>
      <w:r w:rsidR="00883750">
        <w:rPr>
          <w:rFonts w:cstheme="minorHAnsi"/>
        </w:rPr>
        <w:t xml:space="preserve"> that</w:t>
      </w:r>
      <w:r w:rsidR="00684038">
        <w:rPr>
          <w:rFonts w:cstheme="minorHAnsi"/>
        </w:rPr>
        <w:t xml:space="preserve"> </w:t>
      </w:r>
      <w:r>
        <w:rPr>
          <w:rFonts w:cstheme="minorHAnsi"/>
        </w:rPr>
        <w:t>patients</w:t>
      </w:r>
      <w:r w:rsidR="00883750">
        <w:rPr>
          <w:rFonts w:cstheme="minorHAnsi"/>
        </w:rPr>
        <w:t xml:space="preserve"> </w:t>
      </w:r>
      <w:r w:rsidR="00EC3595">
        <w:rPr>
          <w:rFonts w:cstheme="minorHAnsi"/>
        </w:rPr>
        <w:t>may</w:t>
      </w:r>
      <w:r w:rsidR="00684038">
        <w:rPr>
          <w:rFonts w:cstheme="minorHAnsi"/>
        </w:rPr>
        <w:t xml:space="preserve"> </w:t>
      </w:r>
      <w:r w:rsidR="00883750">
        <w:rPr>
          <w:rFonts w:cstheme="minorHAnsi"/>
        </w:rPr>
        <w:t xml:space="preserve">be </w:t>
      </w:r>
      <w:r w:rsidR="00943A00">
        <w:rPr>
          <w:rFonts w:cstheme="minorHAnsi"/>
        </w:rPr>
        <w:t>denied</w:t>
      </w:r>
      <w:r w:rsidR="00D306A6">
        <w:rPr>
          <w:rFonts w:cstheme="minorHAnsi"/>
        </w:rPr>
        <w:t xml:space="preserve"> </w:t>
      </w:r>
      <w:r w:rsidR="00684038">
        <w:rPr>
          <w:rFonts w:cstheme="minorHAnsi"/>
        </w:rPr>
        <w:t>helpful treatments</w:t>
      </w:r>
      <w:r w:rsidR="00FA29A7">
        <w:rPr>
          <w:rFonts w:cstheme="minorHAnsi"/>
        </w:rPr>
        <w:t xml:space="preserve"> </w:t>
      </w:r>
      <w:r w:rsidR="00684038">
        <w:rPr>
          <w:rFonts w:cstheme="minorHAnsi"/>
        </w:rPr>
        <w:t xml:space="preserve">and </w:t>
      </w:r>
      <w:r w:rsidR="00D879BE">
        <w:rPr>
          <w:rFonts w:cstheme="minorHAnsi"/>
        </w:rPr>
        <w:t xml:space="preserve">therefore </w:t>
      </w:r>
      <w:r w:rsidR="003E3C0F">
        <w:rPr>
          <w:rFonts w:cstheme="minorHAnsi"/>
        </w:rPr>
        <w:t xml:space="preserve">risk persistent </w:t>
      </w:r>
      <w:r w:rsidR="00684038">
        <w:rPr>
          <w:rFonts w:cstheme="minorHAnsi"/>
        </w:rPr>
        <w:t>ill health and disability</w:t>
      </w:r>
      <w:r>
        <w:rPr>
          <w:rFonts w:cstheme="minorHAnsi"/>
        </w:rPr>
        <w:t>.</w:t>
      </w:r>
    </w:p>
    <w:p w14:paraId="302DCB3E" w14:textId="77777777" w:rsidR="00E22DA3" w:rsidRDefault="00E22DA3">
      <w:pPr>
        <w:rPr>
          <w:rFonts w:cstheme="minorHAnsi"/>
          <w:b/>
          <w:bCs/>
        </w:rPr>
      </w:pPr>
      <w:r>
        <w:rPr>
          <w:rFonts w:cstheme="minorHAnsi"/>
          <w:b/>
          <w:bCs/>
        </w:rPr>
        <w:br w:type="page"/>
      </w:r>
    </w:p>
    <w:p w14:paraId="4B1F95DF" w14:textId="635DE780" w:rsidR="00871398" w:rsidRPr="00C570BA" w:rsidRDefault="00187B21" w:rsidP="007544AE">
      <w:pPr>
        <w:spacing w:line="480" w:lineRule="auto"/>
        <w:rPr>
          <w:rFonts w:cstheme="minorHAnsi"/>
          <w:b/>
          <w:bCs/>
          <w:sz w:val="28"/>
          <w:szCs w:val="28"/>
        </w:rPr>
      </w:pPr>
      <w:r w:rsidRPr="00C570BA">
        <w:rPr>
          <w:rFonts w:cstheme="minorHAnsi"/>
          <w:b/>
          <w:bCs/>
          <w:sz w:val="28"/>
          <w:szCs w:val="28"/>
        </w:rPr>
        <w:t>Introduction</w:t>
      </w:r>
    </w:p>
    <w:p w14:paraId="6C6B0551" w14:textId="4E2AB49D" w:rsidR="002A473F" w:rsidRDefault="00871398" w:rsidP="007544AE">
      <w:pPr>
        <w:spacing w:line="480" w:lineRule="auto"/>
        <w:rPr>
          <w:rFonts w:cstheme="minorHAnsi"/>
        </w:rPr>
      </w:pPr>
      <w:r w:rsidRPr="00602CCA">
        <w:rPr>
          <w:rFonts w:cstheme="minorHAnsi"/>
        </w:rPr>
        <w:t>Chronic fatigue syndrome</w:t>
      </w:r>
      <w:r w:rsidR="001B0997" w:rsidRPr="00602CCA">
        <w:rPr>
          <w:rFonts w:cstheme="minorHAnsi"/>
        </w:rPr>
        <w:t xml:space="preserve"> (CFS)</w:t>
      </w:r>
      <w:r w:rsidR="00D879BE">
        <w:rPr>
          <w:rFonts w:cstheme="minorHAnsi"/>
        </w:rPr>
        <w:t xml:space="preserve">, </w:t>
      </w:r>
      <w:r w:rsidR="00831E49">
        <w:rPr>
          <w:rFonts w:cstheme="minorHAnsi"/>
        </w:rPr>
        <w:t>also</w:t>
      </w:r>
      <w:r w:rsidR="00D879BE">
        <w:rPr>
          <w:rFonts w:cstheme="minorHAnsi"/>
        </w:rPr>
        <w:t xml:space="preserve"> known as myalgic encephalomyelitis (ME),</w:t>
      </w:r>
      <w:r w:rsidRPr="00602CCA">
        <w:rPr>
          <w:rFonts w:cstheme="minorHAnsi"/>
        </w:rPr>
        <w:t xml:space="preserve"> is a disabling long-term condition, characterised by severe fatigue, </w:t>
      </w:r>
      <w:r w:rsidR="001B0997" w:rsidRPr="00602CCA">
        <w:rPr>
          <w:rFonts w:cstheme="minorHAnsi"/>
        </w:rPr>
        <w:t xml:space="preserve">and other symptoms that are </w:t>
      </w:r>
      <w:r w:rsidR="00A5266F" w:rsidRPr="00602CCA">
        <w:rPr>
          <w:rFonts w:cstheme="minorHAnsi"/>
        </w:rPr>
        <w:t xml:space="preserve">typically </w:t>
      </w:r>
      <w:r w:rsidR="003127B2" w:rsidRPr="00602CCA">
        <w:rPr>
          <w:rFonts w:cstheme="minorHAnsi"/>
        </w:rPr>
        <w:t xml:space="preserve">made worse </w:t>
      </w:r>
      <w:r w:rsidRPr="00602CCA">
        <w:rPr>
          <w:rFonts w:cstheme="minorHAnsi"/>
        </w:rPr>
        <w:t xml:space="preserve">by minimal </w:t>
      </w:r>
      <w:r w:rsidR="000A0AA5">
        <w:rPr>
          <w:rFonts w:cstheme="minorHAnsi"/>
        </w:rPr>
        <w:t xml:space="preserve">physical or mental </w:t>
      </w:r>
      <w:r w:rsidRPr="00602CCA">
        <w:rPr>
          <w:rFonts w:cstheme="minorHAnsi"/>
        </w:rPr>
        <w:t>exertion</w:t>
      </w:r>
      <w:r w:rsidR="009003D5" w:rsidRPr="00602CCA">
        <w:rPr>
          <w:rFonts w:cstheme="minorHAnsi"/>
        </w:rPr>
        <w:t xml:space="preserve"> (post-exertional fatigue and malaise)</w:t>
      </w:r>
      <w:r w:rsidR="007F19B0" w:rsidRPr="00602CCA">
        <w:rPr>
          <w:rFonts w:cstheme="minorHAnsi"/>
        </w:rPr>
        <w:t>.</w:t>
      </w:r>
      <w:r w:rsidR="00A812DA" w:rsidRPr="00602CCA">
        <w:rPr>
          <w:rFonts w:cstheme="minorHAnsi"/>
          <w:vertAlign w:val="superscript"/>
        </w:rPr>
        <w:t>1</w:t>
      </w:r>
      <w:r w:rsidR="00831E49">
        <w:rPr>
          <w:rFonts w:cstheme="minorHAnsi"/>
          <w:vertAlign w:val="superscript"/>
        </w:rPr>
        <w:t>, 2</w:t>
      </w:r>
      <w:r w:rsidRPr="00602CCA">
        <w:rPr>
          <w:rFonts w:cstheme="minorHAnsi"/>
        </w:rPr>
        <w:t xml:space="preserve"> </w:t>
      </w:r>
      <w:r w:rsidR="009546F8">
        <w:rPr>
          <w:rFonts w:cstheme="minorHAnsi"/>
        </w:rPr>
        <w:t xml:space="preserve">In addition to </w:t>
      </w:r>
      <w:r w:rsidR="001B0997" w:rsidRPr="00602CCA">
        <w:rPr>
          <w:rFonts w:cstheme="minorHAnsi"/>
        </w:rPr>
        <w:t xml:space="preserve"> fatigue</w:t>
      </w:r>
      <w:r w:rsidR="00F52C0D">
        <w:rPr>
          <w:rFonts w:cstheme="minorHAnsi"/>
        </w:rPr>
        <w:t>,</w:t>
      </w:r>
      <w:r w:rsidR="001B0997" w:rsidRPr="00602CCA">
        <w:rPr>
          <w:rFonts w:cstheme="minorHAnsi"/>
        </w:rPr>
        <w:t xml:space="preserve"> </w:t>
      </w:r>
      <w:r w:rsidRPr="00602CCA">
        <w:rPr>
          <w:rFonts w:cstheme="minorHAnsi"/>
        </w:rPr>
        <w:t xml:space="preserve">other </w:t>
      </w:r>
      <w:r w:rsidR="0075766C">
        <w:rPr>
          <w:rFonts w:cstheme="minorHAnsi"/>
        </w:rPr>
        <w:t xml:space="preserve">common </w:t>
      </w:r>
      <w:r w:rsidRPr="00602CCA">
        <w:rPr>
          <w:rFonts w:cstheme="minorHAnsi"/>
        </w:rPr>
        <w:t>symptoms</w:t>
      </w:r>
      <w:r w:rsidR="001B0997" w:rsidRPr="00602CCA">
        <w:rPr>
          <w:rFonts w:cstheme="minorHAnsi"/>
        </w:rPr>
        <w:t xml:space="preserve"> include</w:t>
      </w:r>
      <w:r w:rsidRPr="00602CCA">
        <w:rPr>
          <w:rFonts w:cstheme="minorHAnsi"/>
        </w:rPr>
        <w:t xml:space="preserve"> cognitive difficulties, sleep disturbance, and muscle pain.</w:t>
      </w:r>
      <w:r w:rsidR="004F0EED">
        <w:rPr>
          <w:rFonts w:cstheme="minorHAnsi"/>
          <w:vertAlign w:val="superscript"/>
        </w:rPr>
        <w:t>1, 2</w:t>
      </w:r>
      <w:r w:rsidR="003207F5" w:rsidRPr="00602CCA">
        <w:rPr>
          <w:rFonts w:cstheme="minorHAnsi"/>
        </w:rPr>
        <w:t xml:space="preserve"> </w:t>
      </w:r>
    </w:p>
    <w:p w14:paraId="3799DAA8" w14:textId="54932CEE" w:rsidR="00D92E52" w:rsidRPr="00602CCA" w:rsidRDefault="00693D6E" w:rsidP="00693D6E">
      <w:pPr>
        <w:spacing w:line="480" w:lineRule="auto"/>
        <w:rPr>
          <w:rFonts w:cstheme="minorHAnsi"/>
        </w:rPr>
      </w:pPr>
      <w:r w:rsidRPr="00693D6E">
        <w:rPr>
          <w:rFonts w:cstheme="minorHAnsi"/>
        </w:rPr>
        <w:t>The United Kingdom National Institute for Health and Care Excellence (NICE) was founded in 1999. “Although NICE has authority only in England, their publications are generally seen as providing high-quality evidence-based summaries that are highly influential in shaping clinical practice world-wide.”</w:t>
      </w:r>
      <w:r w:rsidR="00521D32">
        <w:rPr>
          <w:rFonts w:cstheme="minorHAnsi"/>
          <w:vertAlign w:val="superscript"/>
        </w:rPr>
        <w:t>3</w:t>
      </w:r>
      <w:r w:rsidRPr="00693D6E">
        <w:rPr>
          <w:rFonts w:cstheme="minorHAnsi"/>
        </w:rPr>
        <w:t xml:space="preserve"> </w:t>
      </w:r>
      <w:r w:rsidR="000551F2">
        <w:rPr>
          <w:rFonts w:cstheme="minorHAnsi"/>
        </w:rPr>
        <w:t xml:space="preserve">The </w:t>
      </w:r>
      <w:r w:rsidR="00546743">
        <w:rPr>
          <w:rFonts w:cstheme="minorHAnsi"/>
        </w:rPr>
        <w:t xml:space="preserve">NICE </w:t>
      </w:r>
      <w:r w:rsidR="00741ABA">
        <w:rPr>
          <w:rFonts w:cstheme="minorHAnsi"/>
        </w:rPr>
        <w:t xml:space="preserve">2007 </w:t>
      </w:r>
      <w:r w:rsidR="000238E8">
        <w:rPr>
          <w:rFonts w:cstheme="minorHAnsi"/>
        </w:rPr>
        <w:t xml:space="preserve">CFS/ME </w:t>
      </w:r>
      <w:r w:rsidR="00741ABA">
        <w:rPr>
          <w:rFonts w:cstheme="minorHAnsi"/>
        </w:rPr>
        <w:t>guideline</w:t>
      </w:r>
      <w:r w:rsidR="00546743">
        <w:rPr>
          <w:rFonts w:cstheme="minorHAnsi"/>
        </w:rPr>
        <w:t xml:space="preserve"> recommended offering </w:t>
      </w:r>
      <w:r w:rsidR="00AF1B9C">
        <w:rPr>
          <w:rFonts w:cstheme="minorHAnsi"/>
        </w:rPr>
        <w:t xml:space="preserve">two </w:t>
      </w:r>
      <w:r w:rsidR="007F19B0" w:rsidRPr="00602CCA">
        <w:rPr>
          <w:rFonts w:cstheme="minorHAnsi"/>
        </w:rPr>
        <w:t xml:space="preserve">specific </w:t>
      </w:r>
      <w:r w:rsidR="00F009FF">
        <w:rPr>
          <w:rFonts w:cstheme="minorHAnsi"/>
        </w:rPr>
        <w:t xml:space="preserve">forms of </w:t>
      </w:r>
      <w:r w:rsidR="007F19B0" w:rsidRPr="00602CCA">
        <w:rPr>
          <w:rFonts w:cstheme="minorHAnsi"/>
        </w:rPr>
        <w:t>rehabilitat</w:t>
      </w:r>
      <w:r w:rsidR="00F009FF">
        <w:rPr>
          <w:rFonts w:cstheme="minorHAnsi"/>
        </w:rPr>
        <w:t>ion</w:t>
      </w:r>
      <w:r w:rsidR="007F19B0" w:rsidRPr="00602CCA">
        <w:rPr>
          <w:rFonts w:cstheme="minorHAnsi"/>
        </w:rPr>
        <w:t xml:space="preserve">, namely </w:t>
      </w:r>
      <w:r w:rsidR="00EE2D6F" w:rsidRPr="00602CCA">
        <w:rPr>
          <w:rFonts w:cstheme="minorHAnsi"/>
        </w:rPr>
        <w:t>graded exercise therapy (GET) and cognitive behaviour therapy (CBT)</w:t>
      </w:r>
      <w:r w:rsidR="00053A52">
        <w:rPr>
          <w:rFonts w:cstheme="minorHAnsi"/>
        </w:rPr>
        <w:t>,</w:t>
      </w:r>
      <w:r w:rsidR="00741ABA">
        <w:rPr>
          <w:rFonts w:cstheme="minorHAnsi"/>
        </w:rPr>
        <w:t xml:space="preserve"> </w:t>
      </w:r>
      <w:r w:rsidR="00546743">
        <w:rPr>
          <w:rFonts w:cstheme="minorHAnsi"/>
        </w:rPr>
        <w:t xml:space="preserve">to those with mild or moderately severe </w:t>
      </w:r>
      <w:r w:rsidR="004F59A0">
        <w:rPr>
          <w:rFonts w:cstheme="minorHAnsi"/>
        </w:rPr>
        <w:t>CFS/ME</w:t>
      </w:r>
      <w:r w:rsidR="004E4287" w:rsidRPr="00602CCA">
        <w:rPr>
          <w:rFonts w:cstheme="minorHAnsi"/>
        </w:rPr>
        <w:t>.</w:t>
      </w:r>
      <w:r w:rsidR="00521D32">
        <w:rPr>
          <w:rFonts w:cstheme="minorHAnsi"/>
          <w:vertAlign w:val="superscript"/>
        </w:rPr>
        <w:t>4</w:t>
      </w:r>
      <w:r w:rsidR="005760B6" w:rsidRPr="00602CCA">
        <w:rPr>
          <w:rFonts w:cstheme="minorHAnsi"/>
        </w:rPr>
        <w:t xml:space="preserve"> </w:t>
      </w:r>
      <w:r w:rsidR="00546743">
        <w:rPr>
          <w:rFonts w:cstheme="minorHAnsi"/>
        </w:rPr>
        <w:t xml:space="preserve">These recommendations were based on </w:t>
      </w:r>
      <w:r w:rsidR="00F009FF">
        <w:rPr>
          <w:rFonts w:cstheme="minorHAnsi"/>
        </w:rPr>
        <w:t xml:space="preserve">the evidence </w:t>
      </w:r>
      <w:r w:rsidR="003F09D1" w:rsidRPr="003F09D1">
        <w:rPr>
          <w:rFonts w:cstheme="minorHAnsi"/>
        </w:rPr>
        <w:t xml:space="preserve">review </w:t>
      </w:r>
      <w:r w:rsidR="0035124D">
        <w:rPr>
          <w:rFonts w:cstheme="minorHAnsi"/>
        </w:rPr>
        <w:t xml:space="preserve">that </w:t>
      </w:r>
      <w:r w:rsidR="00F009FF">
        <w:rPr>
          <w:rFonts w:cstheme="minorHAnsi"/>
        </w:rPr>
        <w:t>NICE</w:t>
      </w:r>
      <w:r w:rsidR="00406893">
        <w:rPr>
          <w:rFonts w:cstheme="minorHAnsi"/>
        </w:rPr>
        <w:t xml:space="preserve"> </w:t>
      </w:r>
      <w:r w:rsidR="00F009FF">
        <w:rPr>
          <w:rFonts w:cstheme="minorHAnsi"/>
        </w:rPr>
        <w:t>commissioned</w:t>
      </w:r>
      <w:r w:rsidR="0075766C">
        <w:rPr>
          <w:rFonts w:cstheme="minorHAnsi"/>
        </w:rPr>
        <w:t>, which</w:t>
      </w:r>
      <w:r w:rsidR="00B25F5E">
        <w:rPr>
          <w:rFonts w:cstheme="minorHAnsi"/>
        </w:rPr>
        <w:t xml:space="preserve"> </w:t>
      </w:r>
      <w:r w:rsidR="003F09D1" w:rsidRPr="003F09D1">
        <w:rPr>
          <w:rFonts w:cstheme="minorHAnsi"/>
        </w:rPr>
        <w:t>concluded that</w:t>
      </w:r>
      <w:r w:rsidR="00DC4CB1">
        <w:rPr>
          <w:rFonts w:cstheme="minorHAnsi"/>
        </w:rPr>
        <w:t>:</w:t>
      </w:r>
      <w:r w:rsidR="003F09D1" w:rsidRPr="003F09D1">
        <w:rPr>
          <w:rFonts w:cstheme="minorHAnsi"/>
        </w:rPr>
        <w:t xml:space="preserve"> “Graded exercise therapy and cognitive behaviour therapy appeared to reduce symptoms and improve function</w:t>
      </w:r>
      <w:r w:rsidR="006A1F5F">
        <w:rPr>
          <w:rFonts w:cstheme="minorHAnsi"/>
        </w:rPr>
        <w:t>,</w:t>
      </w:r>
      <w:r w:rsidR="003F09D1" w:rsidRPr="003F09D1">
        <w:rPr>
          <w:rFonts w:cstheme="minorHAnsi"/>
        </w:rPr>
        <w:t xml:space="preserve"> based on evidence from RCTs.”</w:t>
      </w:r>
      <w:r w:rsidR="00521D32">
        <w:rPr>
          <w:rFonts w:cstheme="minorHAnsi"/>
          <w:vertAlign w:val="superscript"/>
        </w:rPr>
        <w:t>5</w:t>
      </w:r>
    </w:p>
    <w:p w14:paraId="53A67E84" w14:textId="59612EC2" w:rsidR="00AD35A1" w:rsidRDefault="00F46B26" w:rsidP="007544AE">
      <w:pPr>
        <w:spacing w:line="480" w:lineRule="auto"/>
        <w:rPr>
          <w:rFonts w:cstheme="minorHAnsi"/>
        </w:rPr>
      </w:pPr>
      <w:r w:rsidRPr="00C570BA">
        <w:rPr>
          <w:rFonts w:cstheme="minorHAnsi"/>
        </w:rPr>
        <w:t xml:space="preserve">NICE published </w:t>
      </w:r>
      <w:r w:rsidR="00D1768E">
        <w:rPr>
          <w:rFonts w:cstheme="minorHAnsi"/>
        </w:rPr>
        <w:t xml:space="preserve">a </w:t>
      </w:r>
      <w:r w:rsidRPr="00C570BA">
        <w:rPr>
          <w:rFonts w:cstheme="minorHAnsi"/>
        </w:rPr>
        <w:t xml:space="preserve">new guideline </w:t>
      </w:r>
      <w:r w:rsidR="00C80D78">
        <w:rPr>
          <w:rFonts w:cstheme="minorHAnsi"/>
        </w:rPr>
        <w:t xml:space="preserve">in October 2021, </w:t>
      </w:r>
      <w:r w:rsidR="008145C4">
        <w:rPr>
          <w:rFonts w:cstheme="minorHAnsi"/>
        </w:rPr>
        <w:t>which concluded</w:t>
      </w:r>
      <w:r w:rsidR="00D202F7" w:rsidRPr="00C570BA">
        <w:rPr>
          <w:rFonts w:cstheme="minorHAnsi"/>
        </w:rPr>
        <w:t xml:space="preserve"> that the </w:t>
      </w:r>
      <w:r w:rsidR="003E0946" w:rsidRPr="00C570BA">
        <w:rPr>
          <w:rFonts w:cstheme="minorHAnsi"/>
        </w:rPr>
        <w:t>evidence</w:t>
      </w:r>
      <w:r w:rsidR="003127B2" w:rsidRPr="00C570BA">
        <w:rPr>
          <w:rFonts w:cstheme="minorHAnsi"/>
        </w:rPr>
        <w:t xml:space="preserve"> of benefit</w:t>
      </w:r>
      <w:r w:rsidR="003E0946" w:rsidRPr="00C570BA">
        <w:rPr>
          <w:rFonts w:cstheme="minorHAnsi"/>
        </w:rPr>
        <w:t xml:space="preserve"> for </w:t>
      </w:r>
      <w:r w:rsidR="008145C4">
        <w:rPr>
          <w:rFonts w:cstheme="minorHAnsi"/>
        </w:rPr>
        <w:t xml:space="preserve">rehabilitation in general and specifically for </w:t>
      </w:r>
      <w:r w:rsidR="003E0946" w:rsidRPr="00C570BA">
        <w:rPr>
          <w:rFonts w:cstheme="minorHAnsi"/>
        </w:rPr>
        <w:t>both CBT and GET was</w:t>
      </w:r>
      <w:r w:rsidR="00761549" w:rsidRPr="00C570BA">
        <w:rPr>
          <w:rFonts w:cstheme="minorHAnsi"/>
        </w:rPr>
        <w:t xml:space="preserve"> </w:t>
      </w:r>
      <w:r w:rsidR="003E0946" w:rsidRPr="00C570BA">
        <w:rPr>
          <w:rFonts w:cstheme="minorHAnsi"/>
        </w:rPr>
        <w:t>of low or very low certainty</w:t>
      </w:r>
      <w:r w:rsidR="00E5695D" w:rsidRPr="00C570BA">
        <w:rPr>
          <w:rFonts w:cstheme="minorHAnsi"/>
        </w:rPr>
        <w:t>,</w:t>
      </w:r>
      <w:r w:rsidR="005E63B0" w:rsidRPr="00C570BA">
        <w:rPr>
          <w:rFonts w:cstheme="minorHAnsi"/>
        </w:rPr>
        <w:t xml:space="preserve"> using the GRADE evidence appraisal approach</w:t>
      </w:r>
      <w:r w:rsidR="00353924" w:rsidRPr="00C570BA">
        <w:rPr>
          <w:rFonts w:cstheme="minorHAnsi"/>
        </w:rPr>
        <w:t>.</w:t>
      </w:r>
      <w:r w:rsidR="00C80D78">
        <w:rPr>
          <w:rFonts w:cstheme="minorHAnsi"/>
          <w:vertAlign w:val="superscript"/>
        </w:rPr>
        <w:t>6</w:t>
      </w:r>
      <w:r w:rsidR="00353924" w:rsidRPr="00C570BA">
        <w:rPr>
          <w:rFonts w:cstheme="minorHAnsi"/>
        </w:rPr>
        <w:t xml:space="preserve"> </w:t>
      </w:r>
      <w:r w:rsidR="002D30B6" w:rsidRPr="00C570BA">
        <w:rPr>
          <w:rFonts w:cstheme="minorHAnsi"/>
        </w:rPr>
        <w:t xml:space="preserve">The guideline </w:t>
      </w:r>
      <w:r w:rsidR="008145C4">
        <w:rPr>
          <w:rFonts w:cstheme="minorHAnsi"/>
        </w:rPr>
        <w:t xml:space="preserve">recommended </w:t>
      </w:r>
      <w:r w:rsidR="002D30B6" w:rsidRPr="00C570BA">
        <w:rPr>
          <w:rFonts w:cstheme="minorHAnsi"/>
        </w:rPr>
        <w:t xml:space="preserve">that GET should not be </w:t>
      </w:r>
      <w:r w:rsidR="008145C4">
        <w:rPr>
          <w:rFonts w:cstheme="minorHAnsi"/>
        </w:rPr>
        <w:t>provided</w:t>
      </w:r>
      <w:r w:rsidR="002D30B6" w:rsidRPr="00C570BA">
        <w:rPr>
          <w:rFonts w:cstheme="minorHAnsi"/>
        </w:rPr>
        <w:t xml:space="preserve"> and </w:t>
      </w:r>
      <w:r w:rsidR="00FB4576" w:rsidRPr="00C570BA">
        <w:rPr>
          <w:rFonts w:cstheme="minorHAnsi"/>
        </w:rPr>
        <w:t>qualif</w:t>
      </w:r>
      <w:r w:rsidR="00D202F7" w:rsidRPr="00C570BA">
        <w:rPr>
          <w:rFonts w:cstheme="minorHAnsi"/>
        </w:rPr>
        <w:t>ied</w:t>
      </w:r>
      <w:r w:rsidR="00FB4576" w:rsidRPr="00C570BA">
        <w:rPr>
          <w:rFonts w:cstheme="minorHAnsi"/>
        </w:rPr>
        <w:t xml:space="preserve"> the use of CBT</w:t>
      </w:r>
      <w:r w:rsidR="00053A52" w:rsidRPr="00C570BA">
        <w:rPr>
          <w:rFonts w:cstheme="minorHAnsi"/>
        </w:rPr>
        <w:t>,</w:t>
      </w:r>
      <w:r w:rsidR="00D202F7" w:rsidRPr="00C570BA">
        <w:rPr>
          <w:rFonts w:cstheme="minorHAnsi"/>
        </w:rPr>
        <w:t xml:space="preserve"> which they </w:t>
      </w:r>
      <w:r w:rsidR="008145C4">
        <w:rPr>
          <w:rFonts w:cstheme="minorHAnsi"/>
        </w:rPr>
        <w:t xml:space="preserve">concluded </w:t>
      </w:r>
      <w:r w:rsidR="00D202F7" w:rsidRPr="00C570BA">
        <w:rPr>
          <w:rFonts w:cstheme="minorHAnsi"/>
        </w:rPr>
        <w:t xml:space="preserve">was only </w:t>
      </w:r>
      <w:r w:rsidR="008C1AB8" w:rsidRPr="00C570BA">
        <w:rPr>
          <w:rFonts w:cstheme="minorHAnsi"/>
        </w:rPr>
        <w:t xml:space="preserve">useful for </w:t>
      </w:r>
      <w:r w:rsidR="000A0AA5">
        <w:rPr>
          <w:rFonts w:cstheme="minorHAnsi"/>
        </w:rPr>
        <w:t xml:space="preserve">managing symptoms and </w:t>
      </w:r>
      <w:r w:rsidR="002C12A5" w:rsidRPr="00C570BA">
        <w:rPr>
          <w:rFonts w:cstheme="minorHAnsi"/>
        </w:rPr>
        <w:t>t</w:t>
      </w:r>
      <w:r w:rsidR="000A0AA5">
        <w:rPr>
          <w:rFonts w:cstheme="minorHAnsi"/>
        </w:rPr>
        <w:t>reating</w:t>
      </w:r>
      <w:r w:rsidR="006558A1">
        <w:rPr>
          <w:rFonts w:cstheme="minorHAnsi"/>
        </w:rPr>
        <w:t xml:space="preserve"> </w:t>
      </w:r>
      <w:r w:rsidR="002C12A5" w:rsidRPr="00C570BA">
        <w:rPr>
          <w:rFonts w:cstheme="minorHAnsi"/>
        </w:rPr>
        <w:t>distress</w:t>
      </w:r>
      <w:r w:rsidR="00053A52" w:rsidRPr="00C570BA">
        <w:rPr>
          <w:rFonts w:cstheme="minorHAnsi"/>
        </w:rPr>
        <w:t>,</w:t>
      </w:r>
      <w:r w:rsidR="002D30B6" w:rsidRPr="00C570BA">
        <w:rPr>
          <w:rFonts w:cstheme="minorHAnsi"/>
        </w:rPr>
        <w:t xml:space="preserve"> but</w:t>
      </w:r>
      <w:r w:rsidR="00B87418">
        <w:rPr>
          <w:rFonts w:cstheme="minorHAnsi"/>
        </w:rPr>
        <w:t xml:space="preserve"> was</w:t>
      </w:r>
      <w:r w:rsidR="002D30B6" w:rsidRPr="00C570BA">
        <w:rPr>
          <w:rFonts w:cstheme="minorHAnsi"/>
        </w:rPr>
        <w:t xml:space="preserve"> not </w:t>
      </w:r>
      <w:r w:rsidR="00F25B02">
        <w:rPr>
          <w:rFonts w:cstheme="minorHAnsi"/>
        </w:rPr>
        <w:t xml:space="preserve">a treatment </w:t>
      </w:r>
      <w:r w:rsidR="00222312">
        <w:rPr>
          <w:rFonts w:cstheme="minorHAnsi"/>
        </w:rPr>
        <w:t>of</w:t>
      </w:r>
      <w:r w:rsidR="00124326">
        <w:rPr>
          <w:rFonts w:cstheme="minorHAnsi"/>
        </w:rPr>
        <w:t xml:space="preserve"> </w:t>
      </w:r>
      <w:r w:rsidR="0083788B" w:rsidRPr="00C570BA">
        <w:rPr>
          <w:rFonts w:cstheme="minorHAnsi"/>
        </w:rPr>
        <w:t xml:space="preserve">the </w:t>
      </w:r>
      <w:r w:rsidR="00AC36B3">
        <w:rPr>
          <w:rFonts w:cstheme="minorHAnsi"/>
        </w:rPr>
        <w:t xml:space="preserve">core </w:t>
      </w:r>
      <w:r w:rsidR="0083788B" w:rsidRPr="00C570BA">
        <w:rPr>
          <w:rFonts w:cstheme="minorHAnsi"/>
        </w:rPr>
        <w:t>illness itself</w:t>
      </w:r>
      <w:r w:rsidR="00FB4576" w:rsidRPr="00C570BA">
        <w:rPr>
          <w:rFonts w:cstheme="minorHAnsi"/>
        </w:rPr>
        <w:t>.</w:t>
      </w:r>
      <w:r w:rsidR="00C80D78">
        <w:rPr>
          <w:rFonts w:cstheme="minorHAnsi"/>
          <w:vertAlign w:val="superscript"/>
        </w:rPr>
        <w:t>6</w:t>
      </w:r>
      <w:r w:rsidR="0083788B" w:rsidRPr="00C570BA">
        <w:rPr>
          <w:rFonts w:cstheme="minorHAnsi"/>
        </w:rPr>
        <w:t xml:space="preserve"> </w:t>
      </w:r>
    </w:p>
    <w:p w14:paraId="476DF356" w14:textId="6F416F1A" w:rsidR="008E7AFF" w:rsidRDefault="008145C4" w:rsidP="007544AE">
      <w:pPr>
        <w:spacing w:line="480" w:lineRule="auto"/>
        <w:rPr>
          <w:rFonts w:cstheme="minorHAnsi"/>
        </w:rPr>
      </w:pPr>
      <w:r>
        <w:rPr>
          <w:rFonts w:cstheme="minorHAnsi"/>
        </w:rPr>
        <w:t>Such a</w:t>
      </w:r>
      <w:r w:rsidR="00883C95" w:rsidRPr="00602CCA">
        <w:rPr>
          <w:rFonts w:cstheme="minorHAnsi"/>
        </w:rPr>
        <w:t xml:space="preserve"> substantial</w:t>
      </w:r>
      <w:r w:rsidR="00F46B26">
        <w:rPr>
          <w:rFonts w:cstheme="minorHAnsi"/>
        </w:rPr>
        <w:t xml:space="preserve"> </w:t>
      </w:r>
      <w:r w:rsidR="002C12A5" w:rsidRPr="00602CCA">
        <w:rPr>
          <w:rFonts w:cstheme="minorHAnsi"/>
        </w:rPr>
        <w:t>change</w:t>
      </w:r>
      <w:r w:rsidR="00F46B26">
        <w:rPr>
          <w:rFonts w:cstheme="minorHAnsi"/>
        </w:rPr>
        <w:t xml:space="preserve"> to</w:t>
      </w:r>
      <w:r w:rsidR="002C12A5" w:rsidRPr="00602CCA">
        <w:rPr>
          <w:rFonts w:cstheme="minorHAnsi"/>
        </w:rPr>
        <w:t xml:space="preserve"> </w:t>
      </w:r>
      <w:r w:rsidR="00D202F7" w:rsidRPr="00602CCA">
        <w:rPr>
          <w:rFonts w:cstheme="minorHAnsi"/>
        </w:rPr>
        <w:t>the</w:t>
      </w:r>
      <w:r w:rsidR="00E5695D">
        <w:rPr>
          <w:rFonts w:cstheme="minorHAnsi"/>
        </w:rPr>
        <w:t xml:space="preserve"> previous</w:t>
      </w:r>
      <w:r w:rsidR="00D202F7" w:rsidRPr="00602CCA">
        <w:rPr>
          <w:rFonts w:cstheme="minorHAnsi"/>
        </w:rPr>
        <w:t xml:space="preserve"> recommendations would be understandable if the </w:t>
      </w:r>
      <w:r>
        <w:rPr>
          <w:rFonts w:cstheme="minorHAnsi"/>
        </w:rPr>
        <w:t xml:space="preserve">balance of the </w:t>
      </w:r>
      <w:r w:rsidR="00D202F7" w:rsidRPr="00602CCA">
        <w:rPr>
          <w:rFonts w:cstheme="minorHAnsi"/>
        </w:rPr>
        <w:t xml:space="preserve">evidence had fundamentally changed. </w:t>
      </w:r>
      <w:r w:rsidR="007D2D41">
        <w:rPr>
          <w:rFonts w:cstheme="minorHAnsi"/>
        </w:rPr>
        <w:t>A</w:t>
      </w:r>
      <w:r w:rsidR="00AD35A1">
        <w:rPr>
          <w:rFonts w:cstheme="minorHAnsi"/>
        </w:rPr>
        <w:t>n internal NICE Review in 2017 had concluded that there was no new evidence to justify a revision</w:t>
      </w:r>
      <w:r>
        <w:rPr>
          <w:rFonts w:cstheme="minorHAnsi"/>
        </w:rPr>
        <w:t xml:space="preserve"> of the previous guideline</w:t>
      </w:r>
      <w:r w:rsidR="00AD35A1">
        <w:rPr>
          <w:rFonts w:cstheme="minorHAnsi"/>
        </w:rPr>
        <w:t xml:space="preserve">. </w:t>
      </w:r>
      <w:r w:rsidR="009E38E5">
        <w:rPr>
          <w:rFonts w:cstheme="minorHAnsi"/>
        </w:rPr>
        <w:t>Table 1</w:t>
      </w:r>
      <w:r w:rsidR="007D2D41">
        <w:rPr>
          <w:rFonts w:cstheme="minorHAnsi"/>
        </w:rPr>
        <w:t xml:space="preserve"> </w:t>
      </w:r>
      <w:r w:rsidR="009E38E5">
        <w:rPr>
          <w:rFonts w:cstheme="minorHAnsi"/>
        </w:rPr>
        <w:t xml:space="preserve">provides </w:t>
      </w:r>
      <w:r w:rsidR="007D2D41">
        <w:rPr>
          <w:rFonts w:cstheme="minorHAnsi"/>
        </w:rPr>
        <w:t xml:space="preserve">the </w:t>
      </w:r>
      <w:r w:rsidR="000C3116">
        <w:rPr>
          <w:rFonts w:cstheme="minorHAnsi"/>
        </w:rPr>
        <w:t xml:space="preserve">conclusions of the </w:t>
      </w:r>
      <w:r w:rsidR="0050166D">
        <w:rPr>
          <w:rFonts w:cstheme="minorHAnsi"/>
        </w:rPr>
        <w:t>meta-analyses of behavioural intervention</w:t>
      </w:r>
      <w:r w:rsidR="000C3116">
        <w:rPr>
          <w:rFonts w:cstheme="minorHAnsi"/>
        </w:rPr>
        <w:t xml:space="preserve"> trial</w:t>
      </w:r>
      <w:r w:rsidR="0050166D">
        <w:rPr>
          <w:rFonts w:cstheme="minorHAnsi"/>
        </w:rPr>
        <w:t>s</w:t>
      </w:r>
      <w:r w:rsidR="007D2D41">
        <w:rPr>
          <w:rFonts w:cstheme="minorHAnsi"/>
        </w:rPr>
        <w:t xml:space="preserve"> published since 2007</w:t>
      </w:r>
      <w:r w:rsidR="00C662FC">
        <w:rPr>
          <w:rFonts w:cstheme="minorHAnsi"/>
        </w:rPr>
        <w:t>.</w:t>
      </w:r>
      <w:r w:rsidR="00C662FC" w:rsidRPr="00C662FC">
        <w:t xml:space="preserve"> </w:t>
      </w:r>
      <w:r w:rsidR="003303F2">
        <w:t xml:space="preserve">Although some reviews mentioned limitations in the evidence, </w:t>
      </w:r>
      <w:r w:rsidR="00D30FE4">
        <w:rPr>
          <w:rFonts w:cstheme="minorHAnsi"/>
        </w:rPr>
        <w:t xml:space="preserve">every review concluded that </w:t>
      </w:r>
      <w:r w:rsidR="00C662FC" w:rsidRPr="00C662FC">
        <w:rPr>
          <w:rFonts w:cstheme="minorHAnsi"/>
        </w:rPr>
        <w:t xml:space="preserve">CBT and GET </w:t>
      </w:r>
      <w:r w:rsidR="00D30FE4">
        <w:rPr>
          <w:rFonts w:cstheme="minorHAnsi"/>
        </w:rPr>
        <w:t>improved fatigue and other outcomes</w:t>
      </w:r>
      <w:r w:rsidR="00C662FC" w:rsidRPr="00C662FC">
        <w:rPr>
          <w:rFonts w:cstheme="minorHAnsi"/>
        </w:rPr>
        <w:t>.</w:t>
      </w:r>
      <w:r w:rsidR="00C662FC">
        <w:rPr>
          <w:rFonts w:cstheme="minorHAnsi"/>
        </w:rPr>
        <w:t xml:space="preserve"> </w:t>
      </w:r>
      <w:r w:rsidR="007D2D41">
        <w:rPr>
          <w:rFonts w:cstheme="minorHAnsi"/>
        </w:rPr>
        <w:t xml:space="preserve"> </w:t>
      </w:r>
      <w:r w:rsidR="00C96F4E" w:rsidRPr="00602CCA">
        <w:rPr>
          <w:rFonts w:cstheme="minorHAnsi"/>
        </w:rPr>
        <w:t xml:space="preserve"> </w:t>
      </w:r>
    </w:p>
    <w:tbl>
      <w:tblPr>
        <w:tblStyle w:val="PlainTable2"/>
        <w:tblW w:w="0" w:type="auto"/>
        <w:tblLook w:val="04A0" w:firstRow="1" w:lastRow="0" w:firstColumn="1" w:lastColumn="0" w:noHBand="0" w:noVBand="1"/>
      </w:tblPr>
      <w:tblGrid>
        <w:gridCol w:w="1314"/>
        <w:gridCol w:w="975"/>
        <w:gridCol w:w="6737"/>
      </w:tblGrid>
      <w:tr w:rsidR="00EC5C3E" w:rsidRPr="00E84F36" w14:paraId="3A44491D" w14:textId="77777777" w:rsidTr="00A2737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gridSpan w:val="3"/>
          </w:tcPr>
          <w:p w14:paraId="74AA09BB" w14:textId="77777777" w:rsidR="00EC5C3E" w:rsidRPr="004772DA" w:rsidRDefault="00EC5C3E" w:rsidP="00A27374">
            <w:pPr>
              <w:spacing w:line="480" w:lineRule="auto"/>
              <w:rPr>
                <w:rFonts w:cstheme="minorHAnsi"/>
                <w:b w:val="0"/>
                <w:bCs w:val="0"/>
              </w:rPr>
            </w:pPr>
            <w:r>
              <w:rPr>
                <w:rFonts w:cstheme="minorHAnsi"/>
              </w:rPr>
              <w:t>Table</w:t>
            </w:r>
            <w:r w:rsidRPr="004772DA">
              <w:rPr>
                <w:rFonts w:cstheme="minorHAnsi"/>
              </w:rPr>
              <w:t xml:space="preserve"> </w:t>
            </w:r>
            <w:r>
              <w:rPr>
                <w:rFonts w:cstheme="minorHAnsi"/>
              </w:rPr>
              <w:t>1</w:t>
            </w:r>
            <w:r w:rsidRPr="004772DA">
              <w:rPr>
                <w:rFonts w:cstheme="minorHAnsi"/>
              </w:rPr>
              <w:t>.</w:t>
            </w:r>
            <w:r>
              <w:rPr>
                <w:rFonts w:cstheme="minorHAnsi"/>
              </w:rPr>
              <w:t xml:space="preserve"> </w:t>
            </w:r>
            <w:r w:rsidRPr="005A637C">
              <w:rPr>
                <w:rFonts w:cstheme="minorHAnsi"/>
                <w:b w:val="0"/>
                <w:bCs w:val="0"/>
              </w:rPr>
              <w:t>Summary of  meta-analyses published since 2007</w:t>
            </w:r>
          </w:p>
        </w:tc>
      </w:tr>
      <w:tr w:rsidR="00EC5C3E" w:rsidRPr="00E84F36" w14:paraId="373A044F" w14:textId="77777777" w:rsidTr="00A2737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68B5B2E0" w14:textId="77777777" w:rsidR="00EC5C3E" w:rsidRPr="001259EB" w:rsidRDefault="00EC5C3E" w:rsidP="00A27374">
            <w:pPr>
              <w:spacing w:line="480" w:lineRule="auto"/>
              <w:rPr>
                <w:rFonts w:cstheme="minorHAnsi"/>
              </w:rPr>
            </w:pPr>
            <w:r w:rsidRPr="00F65DF4">
              <w:rPr>
                <w:rFonts w:cstheme="minorHAnsi"/>
              </w:rPr>
              <w:t>Meta-analyses</w:t>
            </w:r>
          </w:p>
        </w:tc>
        <w:tc>
          <w:tcPr>
            <w:tcW w:w="1276" w:type="dxa"/>
            <w:tcBorders>
              <w:bottom w:val="single" w:sz="4" w:space="0" w:color="auto"/>
            </w:tcBorders>
          </w:tcPr>
          <w:p w14:paraId="1D9C374F"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1259EB">
              <w:rPr>
                <w:rFonts w:cstheme="minorHAnsi"/>
                <w:b/>
                <w:bCs/>
              </w:rPr>
              <w:t>N of trials*</w:t>
            </w:r>
          </w:p>
        </w:tc>
        <w:tc>
          <w:tcPr>
            <w:tcW w:w="15063" w:type="dxa"/>
            <w:tcBorders>
              <w:bottom w:val="single" w:sz="4" w:space="0" w:color="auto"/>
            </w:tcBorders>
          </w:tcPr>
          <w:p w14:paraId="0D0295D0" w14:textId="77777777" w:rsidR="00EC5C3E" w:rsidRPr="001259EB" w:rsidRDefault="00EC5C3E" w:rsidP="00A27374">
            <w:pPr>
              <w:spacing w:line="480"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259EB">
              <w:rPr>
                <w:rFonts w:cstheme="minorHAnsi"/>
                <w:b/>
                <w:bCs/>
              </w:rPr>
              <w:t>Conclusions</w:t>
            </w:r>
          </w:p>
        </w:tc>
      </w:tr>
      <w:tr w:rsidR="00EC5C3E" w:rsidRPr="00E84F36" w14:paraId="45A63BEE" w14:textId="77777777" w:rsidTr="00A27374">
        <w:trPr>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47C429EF" w14:textId="77777777" w:rsidR="00EC5C3E" w:rsidRPr="001259EB" w:rsidRDefault="00EC5C3E" w:rsidP="00A27374">
            <w:pPr>
              <w:spacing w:line="480" w:lineRule="auto"/>
              <w:rPr>
                <w:rFonts w:cstheme="minorHAnsi"/>
                <w:b w:val="0"/>
                <w:bCs w:val="0"/>
                <w:vertAlign w:val="superscript"/>
              </w:rPr>
            </w:pPr>
            <w:r>
              <w:rPr>
                <w:rFonts w:cstheme="minorHAnsi"/>
                <w:b w:val="0"/>
                <w:bCs w:val="0"/>
              </w:rPr>
              <w:t>Price, 2008</w:t>
            </w:r>
            <w:r>
              <w:rPr>
                <w:rFonts w:cstheme="minorHAnsi"/>
                <w:b w:val="0"/>
                <w:bCs w:val="0"/>
                <w:vertAlign w:val="superscript"/>
              </w:rPr>
              <w:t>7</w:t>
            </w:r>
          </w:p>
        </w:tc>
        <w:tc>
          <w:tcPr>
            <w:tcW w:w="1276" w:type="dxa"/>
            <w:tcBorders>
              <w:top w:val="single" w:sz="4" w:space="0" w:color="auto"/>
              <w:bottom w:val="single" w:sz="4" w:space="0" w:color="auto"/>
            </w:tcBorders>
          </w:tcPr>
          <w:p w14:paraId="4B898A7E"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15 </w:t>
            </w:r>
          </w:p>
          <w:p w14:paraId="7692E75A"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(only CBT)</w:t>
            </w:r>
          </w:p>
        </w:tc>
        <w:tc>
          <w:tcPr>
            <w:tcW w:w="15063" w:type="dxa"/>
            <w:tcBorders>
              <w:top w:val="single" w:sz="4" w:space="0" w:color="auto"/>
              <w:bottom w:val="single" w:sz="4" w:space="0" w:color="auto"/>
            </w:tcBorders>
          </w:tcPr>
          <w:p w14:paraId="7CC250E4"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EB086E">
              <w:rPr>
                <w:rFonts w:cstheme="minorHAnsi"/>
              </w:rPr>
              <w:t>CBT is e</w:t>
            </w:r>
            <w:r>
              <w:rPr>
                <w:rFonts w:cstheme="minorHAnsi"/>
              </w:rPr>
              <w:t>ff</w:t>
            </w:r>
            <w:r w:rsidRPr="00EB086E">
              <w:rPr>
                <w:rFonts w:cstheme="minorHAnsi"/>
              </w:rPr>
              <w:t xml:space="preserve">ective in reducing the symptoms of fatigue at post-treatment compared with usual </w:t>
            </w:r>
            <w:proofErr w:type="gramStart"/>
            <w:r w:rsidRPr="00EB086E">
              <w:rPr>
                <w:rFonts w:cstheme="minorHAnsi"/>
              </w:rPr>
              <w:t>care, and</w:t>
            </w:r>
            <w:proofErr w:type="gramEnd"/>
            <w:r w:rsidRPr="00EB086E">
              <w:rPr>
                <w:rFonts w:cstheme="minorHAnsi"/>
              </w:rPr>
              <w:t xml:space="preserve"> may be more e</w:t>
            </w:r>
            <w:r>
              <w:rPr>
                <w:rFonts w:cstheme="minorHAnsi"/>
              </w:rPr>
              <w:t>ff</w:t>
            </w:r>
            <w:r w:rsidRPr="00EB086E">
              <w:rPr>
                <w:rFonts w:cstheme="minorHAnsi"/>
              </w:rPr>
              <w:t>ective in reducing</w:t>
            </w:r>
            <w:r>
              <w:rPr>
                <w:rFonts w:cstheme="minorHAnsi"/>
              </w:rPr>
              <w:t xml:space="preserve"> </w:t>
            </w:r>
            <w:r w:rsidRPr="00EB086E">
              <w:rPr>
                <w:rFonts w:cstheme="minorHAnsi"/>
              </w:rPr>
              <w:t>fatigue symptoms compared with other psychological therapies</w:t>
            </w:r>
            <w:r>
              <w:rPr>
                <w:rFonts w:cstheme="minorHAnsi"/>
              </w:rPr>
              <w:t>.”</w:t>
            </w:r>
          </w:p>
        </w:tc>
      </w:tr>
      <w:tr w:rsidR="00EC5C3E" w:rsidRPr="00E84F36" w14:paraId="56A120DC" w14:textId="77777777" w:rsidTr="00A2737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1555F21B" w14:textId="77777777" w:rsidR="00EC5C3E" w:rsidRPr="001259EB" w:rsidRDefault="00EC5C3E" w:rsidP="00A27374">
            <w:pPr>
              <w:spacing w:line="480" w:lineRule="auto"/>
              <w:rPr>
                <w:rFonts w:cstheme="minorHAnsi"/>
                <w:b w:val="0"/>
                <w:bCs w:val="0"/>
                <w:vertAlign w:val="superscript"/>
              </w:rPr>
            </w:pPr>
            <w:r>
              <w:rPr>
                <w:rFonts w:cstheme="minorHAnsi"/>
                <w:b w:val="0"/>
                <w:bCs w:val="0"/>
              </w:rPr>
              <w:t>Malouff, 2008</w:t>
            </w:r>
            <w:r>
              <w:rPr>
                <w:rFonts w:cstheme="minorHAnsi"/>
                <w:b w:val="0"/>
                <w:bCs w:val="0"/>
                <w:vertAlign w:val="superscript"/>
              </w:rPr>
              <w:t>8</w:t>
            </w:r>
          </w:p>
        </w:tc>
        <w:tc>
          <w:tcPr>
            <w:tcW w:w="1276" w:type="dxa"/>
            <w:tcBorders>
              <w:top w:val="single" w:sz="4" w:space="0" w:color="auto"/>
              <w:bottom w:val="single" w:sz="4" w:space="0" w:color="auto"/>
            </w:tcBorders>
          </w:tcPr>
          <w:p w14:paraId="1D35A4B7" w14:textId="77777777" w:rsidR="00EC5C3E" w:rsidRPr="002452F4"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w:t>
            </w:r>
          </w:p>
        </w:tc>
        <w:tc>
          <w:tcPr>
            <w:tcW w:w="15063" w:type="dxa"/>
            <w:tcBorders>
              <w:top w:val="single" w:sz="4" w:space="0" w:color="auto"/>
              <w:bottom w:val="single" w:sz="4" w:space="0" w:color="auto"/>
            </w:tcBorders>
          </w:tcPr>
          <w:p w14:paraId="2DFCCF15"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CC4A39">
              <w:rPr>
                <w:rFonts w:cstheme="minorHAnsi"/>
              </w:rPr>
              <w:t>Results indicate</w:t>
            </w:r>
            <w:r>
              <w:rPr>
                <w:rFonts w:cstheme="minorHAnsi"/>
              </w:rPr>
              <w:t xml:space="preserve"> </w:t>
            </w:r>
            <w:r w:rsidRPr="00CC4A39">
              <w:rPr>
                <w:rFonts w:cstheme="minorHAnsi"/>
              </w:rPr>
              <w:t>that CBT for chronic fatigue syndrome tends to be moderately efficacious.</w:t>
            </w:r>
            <w:r>
              <w:rPr>
                <w:rFonts w:cstheme="minorHAnsi"/>
              </w:rPr>
              <w:t>”</w:t>
            </w:r>
          </w:p>
        </w:tc>
      </w:tr>
      <w:tr w:rsidR="00EC5C3E" w:rsidRPr="00E84F36" w14:paraId="6A9CD6B1" w14:textId="77777777" w:rsidTr="00A27374">
        <w:trPr>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7E7675A7" w14:textId="77777777" w:rsidR="00EC5C3E" w:rsidRPr="001259EB" w:rsidRDefault="00EC5C3E" w:rsidP="00A27374">
            <w:pPr>
              <w:spacing w:line="480" w:lineRule="auto"/>
              <w:rPr>
                <w:rFonts w:cstheme="minorHAnsi"/>
                <w:b w:val="0"/>
                <w:bCs w:val="0"/>
                <w:vertAlign w:val="superscript"/>
              </w:rPr>
            </w:pPr>
            <w:r>
              <w:rPr>
                <w:rFonts w:cstheme="minorHAnsi"/>
                <w:b w:val="0"/>
                <w:bCs w:val="0"/>
              </w:rPr>
              <w:t>Castell, 2011</w:t>
            </w:r>
            <w:r>
              <w:rPr>
                <w:rFonts w:cstheme="minorHAnsi"/>
                <w:b w:val="0"/>
                <w:bCs w:val="0"/>
                <w:vertAlign w:val="superscript"/>
              </w:rPr>
              <w:t>9</w:t>
            </w:r>
          </w:p>
        </w:tc>
        <w:tc>
          <w:tcPr>
            <w:tcW w:w="1276" w:type="dxa"/>
            <w:tcBorders>
              <w:top w:val="single" w:sz="4" w:space="0" w:color="auto"/>
              <w:bottom w:val="single" w:sz="4" w:space="0" w:color="auto"/>
            </w:tcBorders>
          </w:tcPr>
          <w:p w14:paraId="218C90CA"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15063" w:type="dxa"/>
            <w:tcBorders>
              <w:top w:val="single" w:sz="4" w:space="0" w:color="auto"/>
              <w:bottom w:val="single" w:sz="4" w:space="0" w:color="auto"/>
            </w:tcBorders>
          </w:tcPr>
          <w:p w14:paraId="289B5872" w14:textId="77777777" w:rsidR="00EC5C3E" w:rsidRPr="001259EB"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1259EB">
              <w:rPr>
                <w:rFonts w:cstheme="minorHAnsi"/>
              </w:rPr>
              <w:t>The results suggested that</w:t>
            </w:r>
            <w:r>
              <w:rPr>
                <w:rFonts w:cstheme="minorHAnsi"/>
              </w:rPr>
              <w:t xml:space="preserve"> </w:t>
            </w:r>
            <w:r w:rsidRPr="001259EB">
              <w:rPr>
                <w:rFonts w:cstheme="minorHAnsi"/>
              </w:rPr>
              <w:t>both CBT and GET are promising treatments for CFS,</w:t>
            </w:r>
            <w:r>
              <w:rPr>
                <w:rFonts w:cstheme="minorHAnsi"/>
              </w:rPr>
              <w:t xml:space="preserve"> </w:t>
            </w:r>
            <w:r w:rsidRPr="001259EB">
              <w:rPr>
                <w:rFonts w:cstheme="minorHAnsi"/>
              </w:rPr>
              <w:t>although CBT may be a more effective treatment when</w:t>
            </w:r>
            <w:r>
              <w:rPr>
                <w:rFonts w:cstheme="minorHAnsi"/>
              </w:rPr>
              <w:t xml:space="preserve"> </w:t>
            </w:r>
            <w:r w:rsidRPr="001259EB">
              <w:rPr>
                <w:rFonts w:cstheme="minorHAnsi"/>
              </w:rPr>
              <w:t>patients have comorbid anxiety and depressive symptoms.</w:t>
            </w:r>
            <w:r>
              <w:rPr>
                <w:rFonts w:cstheme="minorHAnsi"/>
              </w:rPr>
              <w:t>”</w:t>
            </w:r>
          </w:p>
        </w:tc>
      </w:tr>
      <w:tr w:rsidR="00EC5C3E" w:rsidRPr="00E84F36" w14:paraId="333E554B" w14:textId="77777777" w:rsidTr="00A2737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1DE536DE" w14:textId="77777777" w:rsidR="00EC5C3E" w:rsidRPr="001259EB" w:rsidRDefault="00EC5C3E" w:rsidP="00A27374">
            <w:pPr>
              <w:spacing w:line="480" w:lineRule="auto"/>
              <w:rPr>
                <w:rFonts w:cstheme="minorHAnsi"/>
                <w:b w:val="0"/>
                <w:bCs w:val="0"/>
                <w:vertAlign w:val="superscript"/>
              </w:rPr>
            </w:pPr>
            <w:r>
              <w:rPr>
                <w:rFonts w:cstheme="minorHAnsi"/>
                <w:b w:val="0"/>
                <w:bCs w:val="0"/>
              </w:rPr>
              <w:t>Marques, 2015</w:t>
            </w:r>
            <w:r>
              <w:rPr>
                <w:rFonts w:cstheme="minorHAnsi"/>
                <w:b w:val="0"/>
                <w:bCs w:val="0"/>
                <w:vertAlign w:val="superscript"/>
              </w:rPr>
              <w:t>10</w:t>
            </w:r>
          </w:p>
        </w:tc>
        <w:tc>
          <w:tcPr>
            <w:tcW w:w="1276" w:type="dxa"/>
            <w:tcBorders>
              <w:top w:val="single" w:sz="4" w:space="0" w:color="auto"/>
              <w:bottom w:val="single" w:sz="4" w:space="0" w:color="auto"/>
            </w:tcBorders>
          </w:tcPr>
          <w:p w14:paraId="7D76B212"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sidRPr="001259EB">
              <w:rPr>
                <w:rFonts w:cstheme="minorHAnsi"/>
              </w:rPr>
              <w:t>16</w:t>
            </w:r>
          </w:p>
        </w:tc>
        <w:tc>
          <w:tcPr>
            <w:tcW w:w="15063" w:type="dxa"/>
            <w:tcBorders>
              <w:top w:val="single" w:sz="4" w:space="0" w:color="auto"/>
              <w:bottom w:val="single" w:sz="4" w:space="0" w:color="auto"/>
            </w:tcBorders>
          </w:tcPr>
          <w:p w14:paraId="4D9A4B0F" w14:textId="77777777" w:rsidR="00EC5C3E" w:rsidRPr="004772DA"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rPr>
              <w:t>“</w:t>
            </w:r>
            <w:r w:rsidRPr="001259EB">
              <w:rPr>
                <w:rFonts w:cstheme="minorHAnsi"/>
              </w:rPr>
              <w:t>This meta-analysis of behavioral and psychological interventions</w:t>
            </w:r>
            <w:r>
              <w:rPr>
                <w:rFonts w:cstheme="minorHAnsi"/>
              </w:rPr>
              <w:t xml:space="preserve"> </w:t>
            </w:r>
            <w:r w:rsidRPr="001259EB">
              <w:rPr>
                <w:rFonts w:cstheme="minorHAnsi"/>
              </w:rPr>
              <w:t>targeting graded activity suggests that these interventions have</w:t>
            </w:r>
            <w:r>
              <w:rPr>
                <w:rFonts w:cstheme="minorHAnsi"/>
              </w:rPr>
              <w:t xml:space="preserve"> </w:t>
            </w:r>
            <w:r w:rsidRPr="001259EB">
              <w:rPr>
                <w:rFonts w:cstheme="minorHAnsi"/>
              </w:rPr>
              <w:t>sustained beneficial effects on chronic fatigue management, in particular on fatigue severity reduction for which a medium effect was found.</w:t>
            </w:r>
            <w:r>
              <w:rPr>
                <w:rFonts w:cstheme="minorHAnsi"/>
              </w:rPr>
              <w:t>”</w:t>
            </w:r>
          </w:p>
        </w:tc>
      </w:tr>
      <w:tr w:rsidR="00EC5C3E" w:rsidRPr="00E84F36" w14:paraId="20E1623A" w14:textId="77777777" w:rsidTr="00A27374">
        <w:trPr>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795AE5B9" w14:textId="77777777" w:rsidR="00EC5C3E" w:rsidRPr="001259EB" w:rsidRDefault="00EC5C3E" w:rsidP="00A27374">
            <w:pPr>
              <w:spacing w:line="480" w:lineRule="auto"/>
              <w:rPr>
                <w:rFonts w:cstheme="minorHAnsi"/>
                <w:b w:val="0"/>
                <w:bCs w:val="0"/>
                <w:vertAlign w:val="superscript"/>
              </w:rPr>
            </w:pPr>
            <w:r>
              <w:rPr>
                <w:rFonts w:cstheme="minorHAnsi"/>
                <w:b w:val="0"/>
                <w:bCs w:val="0"/>
              </w:rPr>
              <w:t>Smith, 2015</w:t>
            </w:r>
            <w:r>
              <w:rPr>
                <w:rFonts w:cstheme="minorHAnsi"/>
                <w:b w:val="0"/>
                <w:bCs w:val="0"/>
                <w:vertAlign w:val="superscript"/>
              </w:rPr>
              <w:t>11</w:t>
            </w:r>
          </w:p>
        </w:tc>
        <w:tc>
          <w:tcPr>
            <w:tcW w:w="1276" w:type="dxa"/>
            <w:tcBorders>
              <w:top w:val="single" w:sz="4" w:space="0" w:color="auto"/>
              <w:bottom w:val="single" w:sz="4" w:space="0" w:color="auto"/>
            </w:tcBorders>
          </w:tcPr>
          <w:p w14:paraId="2F2BF55A" w14:textId="77777777" w:rsidR="00EC5C3E" w:rsidRPr="004670EA"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w:t>
            </w:r>
          </w:p>
        </w:tc>
        <w:tc>
          <w:tcPr>
            <w:tcW w:w="15063" w:type="dxa"/>
            <w:tcBorders>
              <w:top w:val="single" w:sz="4" w:space="0" w:color="auto"/>
              <w:bottom w:val="single" w:sz="4" w:space="0" w:color="auto"/>
            </w:tcBorders>
          </w:tcPr>
          <w:p w14:paraId="44703D03" w14:textId="77777777" w:rsidR="00EC5C3E" w:rsidRPr="004670EA"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4670EA">
              <w:rPr>
                <w:rFonts w:cstheme="minorHAnsi"/>
              </w:rPr>
              <w:t xml:space="preserve">Trials of rintatolimod, </w:t>
            </w:r>
            <w:r>
              <w:rPr>
                <w:rFonts w:cstheme="minorHAnsi"/>
              </w:rPr>
              <w:pgNum/>
            </w:r>
            <w:r>
              <w:rPr>
                <w:rFonts w:cstheme="minorHAnsi"/>
              </w:rPr>
              <w:t>counselling</w:t>
            </w:r>
            <w:r w:rsidRPr="004670EA">
              <w:rPr>
                <w:rFonts w:cstheme="minorHAnsi"/>
              </w:rPr>
              <w:t xml:space="preserve"> therapies, and graded exercise therapy suggest benefit for some patients meeting case definitions for CFS, whereas evidence for other treatments and harms is insufficient.</w:t>
            </w:r>
            <w:r>
              <w:rPr>
                <w:rFonts w:cstheme="minorHAnsi"/>
              </w:rPr>
              <w:t>”</w:t>
            </w:r>
          </w:p>
        </w:tc>
      </w:tr>
      <w:tr w:rsidR="00EC5C3E" w:rsidRPr="00E84F36" w14:paraId="645B2192" w14:textId="77777777" w:rsidTr="00A2737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0181FF26" w14:textId="77777777" w:rsidR="00EC5C3E" w:rsidRPr="00D54285" w:rsidRDefault="00EC5C3E" w:rsidP="00A27374">
            <w:pPr>
              <w:spacing w:line="480" w:lineRule="auto"/>
              <w:rPr>
                <w:rFonts w:cstheme="minorHAnsi"/>
                <w:b w:val="0"/>
                <w:bCs w:val="0"/>
              </w:rPr>
            </w:pPr>
            <w:r w:rsidRPr="00D54285">
              <w:rPr>
                <w:rFonts w:cstheme="minorHAnsi"/>
                <w:b w:val="0"/>
                <w:bCs w:val="0"/>
              </w:rPr>
              <w:t>Smith, 2016</w:t>
            </w:r>
            <w:r w:rsidRPr="00D54285">
              <w:rPr>
                <w:rFonts w:cstheme="minorHAnsi"/>
                <w:b w:val="0"/>
                <w:bCs w:val="0"/>
                <w:vertAlign w:val="superscript"/>
              </w:rPr>
              <w:t>12</w:t>
            </w:r>
            <w:r w:rsidRPr="00D54285">
              <w:rPr>
                <w:rFonts w:cstheme="minorHAnsi"/>
                <w:b w:val="0"/>
                <w:bCs w:val="0"/>
              </w:rPr>
              <w:sym w:font="Wingdings" w:char="F0E1"/>
            </w:r>
          </w:p>
        </w:tc>
        <w:tc>
          <w:tcPr>
            <w:tcW w:w="1276" w:type="dxa"/>
            <w:tcBorders>
              <w:top w:val="single" w:sz="4" w:space="0" w:color="auto"/>
              <w:bottom w:val="single" w:sz="4" w:space="0" w:color="auto"/>
            </w:tcBorders>
          </w:tcPr>
          <w:p w14:paraId="7326117E" w14:textId="77777777" w:rsidR="00EC5C3E" w:rsidRPr="002F7C05"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w:t>
            </w:r>
          </w:p>
        </w:tc>
        <w:tc>
          <w:tcPr>
            <w:tcW w:w="15063" w:type="dxa"/>
            <w:tcBorders>
              <w:top w:val="single" w:sz="4" w:space="0" w:color="auto"/>
              <w:bottom w:val="single" w:sz="4" w:space="0" w:color="auto"/>
            </w:tcBorders>
          </w:tcPr>
          <w:p w14:paraId="167A13ED" w14:textId="77777777" w:rsidR="00EC5C3E"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570843">
              <w:rPr>
                <w:rFonts w:cstheme="minorHAnsi"/>
              </w:rPr>
              <w:t xml:space="preserve">Rintatolimod improves exercise performance in some patients (low strength of evidence), while </w:t>
            </w:r>
            <w:r>
              <w:rPr>
                <w:rFonts w:cstheme="minorHAnsi"/>
              </w:rPr>
              <w:t>counselling</w:t>
            </w:r>
            <w:r w:rsidRPr="00570843">
              <w:rPr>
                <w:rFonts w:cstheme="minorHAnsi"/>
              </w:rPr>
              <w:t xml:space="preserve"> therapies and GET have broader benefit but have not been adequately tested in more disabled populations (low to moderate strength of evidence).</w:t>
            </w:r>
            <w:r>
              <w:rPr>
                <w:rFonts w:cstheme="minorHAnsi"/>
              </w:rPr>
              <w:t>”</w:t>
            </w:r>
          </w:p>
        </w:tc>
      </w:tr>
      <w:tr w:rsidR="00EC5C3E" w:rsidRPr="00E84F36" w14:paraId="1B0FAB5B" w14:textId="77777777" w:rsidTr="00A27374">
        <w:trPr>
          <w:trHeight w:val="102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1723B9E7" w14:textId="77777777" w:rsidR="00EC5C3E" w:rsidRPr="001259EB" w:rsidRDefault="00EC5C3E" w:rsidP="00A27374">
            <w:pPr>
              <w:spacing w:line="480" w:lineRule="auto"/>
              <w:rPr>
                <w:rFonts w:cstheme="minorHAnsi"/>
                <w:b w:val="0"/>
                <w:bCs w:val="0"/>
                <w:vertAlign w:val="superscript"/>
              </w:rPr>
            </w:pPr>
            <w:r>
              <w:rPr>
                <w:rFonts w:cstheme="minorHAnsi"/>
                <w:b w:val="0"/>
                <w:bCs w:val="0"/>
              </w:rPr>
              <w:t>Larun, 2019</w:t>
            </w:r>
            <w:r>
              <w:rPr>
                <w:rFonts w:cstheme="minorHAnsi"/>
                <w:b w:val="0"/>
                <w:bCs w:val="0"/>
                <w:vertAlign w:val="superscript"/>
              </w:rPr>
              <w:t>13</w:t>
            </w:r>
          </w:p>
        </w:tc>
        <w:tc>
          <w:tcPr>
            <w:tcW w:w="1276" w:type="dxa"/>
            <w:tcBorders>
              <w:top w:val="single" w:sz="4" w:space="0" w:color="auto"/>
              <w:bottom w:val="single" w:sz="4" w:space="0" w:color="auto"/>
            </w:tcBorders>
          </w:tcPr>
          <w:p w14:paraId="509FA0EB"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8 </w:t>
            </w:r>
          </w:p>
          <w:p w14:paraId="16ED3496" w14:textId="77777777" w:rsidR="00EC5C3E" w:rsidRPr="002452F4"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(Only GET)</w:t>
            </w:r>
          </w:p>
        </w:tc>
        <w:tc>
          <w:tcPr>
            <w:tcW w:w="15063" w:type="dxa"/>
            <w:tcBorders>
              <w:top w:val="single" w:sz="4" w:space="0" w:color="auto"/>
              <w:bottom w:val="single" w:sz="4" w:space="0" w:color="auto"/>
            </w:tcBorders>
          </w:tcPr>
          <w:p w14:paraId="25071079" w14:textId="77777777" w:rsidR="00EC5C3E" w:rsidRPr="001259EB"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003B6D">
              <w:rPr>
                <w:rFonts w:cstheme="minorHAnsi"/>
              </w:rPr>
              <w:t>Exercise therapy probably has a positive effect on fatigue in adults with CFS compared to usual care or passive therapies.</w:t>
            </w:r>
            <w:r>
              <w:rPr>
                <w:rFonts w:cstheme="minorHAnsi"/>
              </w:rPr>
              <w:t>”</w:t>
            </w:r>
          </w:p>
        </w:tc>
      </w:tr>
      <w:tr w:rsidR="00EC5C3E" w:rsidRPr="00E84F36" w14:paraId="5CAC7D78" w14:textId="77777777" w:rsidTr="00A27374">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432D7AC8" w14:textId="77777777" w:rsidR="00EC5C3E" w:rsidRPr="001259EB" w:rsidRDefault="00EC5C3E" w:rsidP="00A27374">
            <w:pPr>
              <w:spacing w:line="480" w:lineRule="auto"/>
              <w:rPr>
                <w:rFonts w:cstheme="minorHAnsi"/>
                <w:b w:val="0"/>
                <w:bCs w:val="0"/>
                <w:vertAlign w:val="superscript"/>
              </w:rPr>
            </w:pPr>
            <w:r>
              <w:rPr>
                <w:rFonts w:cstheme="minorHAnsi"/>
                <w:b w:val="0"/>
                <w:bCs w:val="0"/>
              </w:rPr>
              <w:t>Casson, 2022</w:t>
            </w:r>
            <w:r>
              <w:rPr>
                <w:rFonts w:cstheme="minorHAnsi"/>
                <w:b w:val="0"/>
                <w:bCs w:val="0"/>
                <w:vertAlign w:val="superscript"/>
              </w:rPr>
              <w:t>14</w:t>
            </w:r>
          </w:p>
        </w:tc>
        <w:tc>
          <w:tcPr>
            <w:tcW w:w="1276" w:type="dxa"/>
            <w:tcBorders>
              <w:top w:val="single" w:sz="4" w:space="0" w:color="auto"/>
              <w:bottom w:val="single" w:sz="4" w:space="0" w:color="auto"/>
            </w:tcBorders>
          </w:tcPr>
          <w:p w14:paraId="42CC1164" w14:textId="77777777" w:rsidR="00EC5C3E"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sidRPr="00EC0B75">
              <w:rPr>
                <w:rFonts w:cstheme="minorHAnsi"/>
              </w:rPr>
              <w:t>1</w:t>
            </w:r>
            <w:r>
              <w:rPr>
                <w:rFonts w:cstheme="minorHAnsi"/>
              </w:rPr>
              <w:t>4</w:t>
            </w:r>
            <w:r>
              <w:rPr>
                <w:rFonts w:cstheme="minorHAnsi"/>
              </w:rPr>
              <w:sym w:font="Wingdings" w:char="F0E2"/>
            </w:r>
          </w:p>
        </w:tc>
        <w:tc>
          <w:tcPr>
            <w:tcW w:w="15063" w:type="dxa"/>
            <w:tcBorders>
              <w:top w:val="single" w:sz="4" w:space="0" w:color="auto"/>
              <w:bottom w:val="single" w:sz="4" w:space="0" w:color="auto"/>
            </w:tcBorders>
          </w:tcPr>
          <w:p w14:paraId="29C3EECA"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EC0B75">
              <w:rPr>
                <w:rFonts w:cstheme="minorHAnsi"/>
              </w:rPr>
              <w:t>Activity pacing interventions are effective in reducing fatigue and psychological distress and improving physical function in CFS, particularly when people are encouraged to gradually increase activities.</w:t>
            </w:r>
            <w:r>
              <w:rPr>
                <w:rFonts w:cstheme="minorHAnsi"/>
              </w:rPr>
              <w:t>”</w:t>
            </w:r>
          </w:p>
        </w:tc>
      </w:tr>
      <w:tr w:rsidR="00EC5C3E" w:rsidRPr="00E84F36" w14:paraId="1FB96143" w14:textId="77777777" w:rsidTr="00A27374">
        <w:trPr>
          <w:trHeight w:val="11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60564660" w14:textId="77777777" w:rsidR="00EC5C3E" w:rsidRPr="00964DAD" w:rsidRDefault="00EC5C3E" w:rsidP="00A27374">
            <w:pPr>
              <w:spacing w:line="480" w:lineRule="auto"/>
              <w:rPr>
                <w:rFonts w:cstheme="minorHAnsi"/>
                <w:b w:val="0"/>
                <w:bCs w:val="0"/>
              </w:rPr>
            </w:pPr>
            <w:r w:rsidRPr="00964DAD">
              <w:rPr>
                <w:rFonts w:cstheme="minorHAnsi"/>
                <w:b w:val="0"/>
                <w:bCs w:val="0"/>
              </w:rPr>
              <w:t>Ingman, 2022</w:t>
            </w:r>
            <w:r w:rsidRPr="00964DAD">
              <w:rPr>
                <w:rFonts w:cstheme="minorHAnsi"/>
                <w:b w:val="0"/>
                <w:bCs w:val="0"/>
                <w:vertAlign w:val="superscript"/>
              </w:rPr>
              <w:t>15</w:t>
            </w:r>
            <w:r w:rsidRPr="00964DAD">
              <w:rPr>
                <w:rFonts w:cstheme="minorHAnsi"/>
                <w:b w:val="0"/>
                <w:bCs w:val="0"/>
              </w:rPr>
              <w:t>β</w:t>
            </w:r>
          </w:p>
        </w:tc>
        <w:tc>
          <w:tcPr>
            <w:tcW w:w="1276" w:type="dxa"/>
            <w:tcBorders>
              <w:top w:val="single" w:sz="4" w:space="0" w:color="auto"/>
              <w:bottom w:val="single" w:sz="4" w:space="0" w:color="auto"/>
            </w:tcBorders>
          </w:tcPr>
          <w:p w14:paraId="68D6AC49" w14:textId="77777777" w:rsidR="00EC5C3E" w:rsidRPr="00EC0B75"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5063" w:type="dxa"/>
            <w:tcBorders>
              <w:top w:val="single" w:sz="4" w:space="0" w:color="auto"/>
              <w:bottom w:val="single" w:sz="4" w:space="0" w:color="auto"/>
            </w:tcBorders>
          </w:tcPr>
          <w:p w14:paraId="0E9C5D71" w14:textId="77777777" w:rsidR="00EC5C3E" w:rsidRDefault="00EC5C3E" w:rsidP="00A27374">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8B4E9F">
              <w:rPr>
                <w:rFonts w:cstheme="minorHAnsi"/>
              </w:rPr>
              <w:t>Results suggest some support for the positive effects of CBT and</w:t>
            </w:r>
            <w:r>
              <w:rPr>
                <w:rFonts w:cstheme="minorHAnsi"/>
              </w:rPr>
              <w:t xml:space="preserve"> </w:t>
            </w:r>
            <w:r w:rsidRPr="008B4E9F">
              <w:rPr>
                <w:rFonts w:cstheme="minorHAnsi"/>
              </w:rPr>
              <w:t>GET at short-term to medium-term follow-up although this requires further investigation</w:t>
            </w:r>
            <w:r>
              <w:rPr>
                <w:rFonts w:cstheme="minorHAnsi"/>
              </w:rPr>
              <w:t xml:space="preserve"> </w:t>
            </w:r>
            <w:r w:rsidRPr="008B4E9F">
              <w:rPr>
                <w:rFonts w:cstheme="minorHAnsi"/>
              </w:rPr>
              <w:t>given the inconsistent findings of previous reviews.</w:t>
            </w:r>
            <w:r>
              <w:rPr>
                <w:rFonts w:cstheme="minorHAnsi"/>
              </w:rPr>
              <w:t>”</w:t>
            </w:r>
          </w:p>
        </w:tc>
      </w:tr>
      <w:tr w:rsidR="00EC5C3E" w:rsidRPr="00E84F36" w14:paraId="7145276F" w14:textId="77777777" w:rsidTr="00A2737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5D51D6F" w14:textId="77777777" w:rsidR="00EC5C3E" w:rsidRPr="001259EB" w:rsidRDefault="00EC5C3E" w:rsidP="00A27374">
            <w:pPr>
              <w:spacing w:line="480" w:lineRule="auto"/>
              <w:rPr>
                <w:rFonts w:cstheme="minorHAnsi"/>
                <w:b w:val="0"/>
                <w:bCs w:val="0"/>
                <w:vertAlign w:val="superscript"/>
              </w:rPr>
            </w:pPr>
            <w:r>
              <w:rPr>
                <w:rFonts w:cstheme="minorHAnsi"/>
                <w:b w:val="0"/>
                <w:bCs w:val="0"/>
              </w:rPr>
              <w:t>Chou, 2022</w:t>
            </w:r>
            <w:r>
              <w:rPr>
                <w:rFonts w:cstheme="minorHAnsi"/>
                <w:b w:val="0"/>
                <w:bCs w:val="0"/>
                <w:vertAlign w:val="superscript"/>
              </w:rPr>
              <w:t>16</w:t>
            </w:r>
          </w:p>
        </w:tc>
        <w:tc>
          <w:tcPr>
            <w:tcW w:w="1276" w:type="dxa"/>
            <w:tcBorders>
              <w:top w:val="single" w:sz="4" w:space="0" w:color="auto"/>
              <w:bottom w:val="single" w:sz="4" w:space="0" w:color="auto"/>
            </w:tcBorders>
          </w:tcPr>
          <w:p w14:paraId="7BD6F9D9"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w:t>
            </w:r>
          </w:p>
        </w:tc>
        <w:tc>
          <w:tcPr>
            <w:tcW w:w="15063" w:type="dxa"/>
            <w:tcBorders>
              <w:top w:val="single" w:sz="4" w:space="0" w:color="auto"/>
            </w:tcBorders>
          </w:tcPr>
          <w:p w14:paraId="013BE176" w14:textId="77777777" w:rsidR="00EC5C3E" w:rsidRPr="001259EB" w:rsidRDefault="00EC5C3E" w:rsidP="00A27374">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D857AB">
              <w:rPr>
                <w:rFonts w:cstheme="minorHAnsi"/>
              </w:rPr>
              <w:t>Cognitive Behavioral Therapy</w:t>
            </w:r>
            <w:r>
              <w:rPr>
                <w:rFonts w:cstheme="minorHAnsi"/>
              </w:rPr>
              <w:t xml:space="preserve"> </w:t>
            </w:r>
            <w:r w:rsidRPr="00D857AB">
              <w:rPr>
                <w:rFonts w:cstheme="minorHAnsi"/>
              </w:rPr>
              <w:t>(CBT) and exercise therapy were associated with improved fatigue, function, and other outcomes</w:t>
            </w:r>
            <w:r>
              <w:rPr>
                <w:rFonts w:cstheme="minorHAnsi"/>
              </w:rPr>
              <w:t xml:space="preserve"> </w:t>
            </w:r>
            <w:r w:rsidRPr="00D857AB">
              <w:rPr>
                <w:rFonts w:cstheme="minorHAnsi"/>
              </w:rPr>
              <w:t>versus inactive control therapies, but the magnitude of effects based on average benefits was small to moderate</w:t>
            </w:r>
            <w:r>
              <w:rPr>
                <w:rFonts w:cstheme="minorHAnsi"/>
              </w:rPr>
              <w:t xml:space="preserve">. … </w:t>
            </w:r>
            <w:r w:rsidRPr="001259EB">
              <w:rPr>
                <w:rFonts w:cstheme="minorHAnsi"/>
              </w:rPr>
              <w:t>The strength of evidence supporting the use of</w:t>
            </w:r>
            <w:r>
              <w:rPr>
                <w:rFonts w:cstheme="minorHAnsi"/>
              </w:rPr>
              <w:t xml:space="preserve"> </w:t>
            </w:r>
            <w:r w:rsidRPr="001259EB">
              <w:rPr>
                <w:rFonts w:cstheme="minorHAnsi"/>
              </w:rPr>
              <w:t>graded exercise and CBT was low and the magnitude of benefits was small to moderate, with inadequate evidence in patients diagnosed with more current case definitions, limited reporting</w:t>
            </w:r>
            <w:r>
              <w:rPr>
                <w:rFonts w:cstheme="minorHAnsi"/>
              </w:rPr>
              <w:t xml:space="preserve"> </w:t>
            </w:r>
            <w:r w:rsidRPr="001259EB">
              <w:rPr>
                <w:rFonts w:cstheme="minorHAnsi"/>
              </w:rPr>
              <w:t>of harms, and inadequate evaluation in severely affected patients.</w:t>
            </w:r>
            <w:r>
              <w:rPr>
                <w:rFonts w:cstheme="minorHAnsi"/>
              </w:rPr>
              <w:t>”</w:t>
            </w:r>
          </w:p>
        </w:tc>
      </w:tr>
    </w:tbl>
    <w:p w14:paraId="55FD5993" w14:textId="190E71D2" w:rsidR="004A061B" w:rsidRDefault="00E85E62" w:rsidP="00E85E62">
      <w:pPr>
        <w:spacing w:line="480" w:lineRule="auto"/>
        <w:rPr>
          <w:rFonts w:cstheme="minorHAnsi"/>
        </w:rPr>
      </w:pPr>
      <w:bookmarkStart w:id="3" w:name="_Hlk131507165"/>
      <w:r w:rsidRPr="00E85E62">
        <w:rPr>
          <w:rFonts w:cstheme="minorHAnsi"/>
        </w:rPr>
        <w:t xml:space="preserve">* </w:t>
      </w:r>
      <w:r>
        <w:rPr>
          <w:rFonts w:cstheme="minorHAnsi"/>
        </w:rPr>
        <w:t>Number of trials of behavioural interventions reviewed</w:t>
      </w:r>
    </w:p>
    <w:p w14:paraId="5A3149FF" w14:textId="22FCF9F8" w:rsidR="002F7C05" w:rsidRDefault="00AE7BC3" w:rsidP="00E85E62">
      <w:pPr>
        <w:spacing w:line="480" w:lineRule="auto"/>
        <w:rPr>
          <w:rFonts w:cstheme="minorHAnsi"/>
        </w:rPr>
      </w:pPr>
      <w:r>
        <w:rPr>
          <w:rFonts w:cstheme="minorHAnsi"/>
        </w:rPr>
        <w:sym w:font="Wingdings" w:char="F0E1"/>
      </w:r>
      <w:r w:rsidR="002F7C05">
        <w:rPr>
          <w:rFonts w:cstheme="minorHAnsi"/>
        </w:rPr>
        <w:t xml:space="preserve"> Reanalysis of Smith 2016 </w:t>
      </w:r>
      <w:r w:rsidR="00F65DF4">
        <w:rPr>
          <w:rFonts w:cstheme="minorHAnsi"/>
        </w:rPr>
        <w:t>exclud</w:t>
      </w:r>
      <w:r w:rsidR="00DD6632">
        <w:rPr>
          <w:rFonts w:cstheme="minorHAnsi"/>
        </w:rPr>
        <w:t>ed</w:t>
      </w:r>
      <w:r w:rsidR="00F65DF4">
        <w:rPr>
          <w:rFonts w:cstheme="minorHAnsi"/>
        </w:rPr>
        <w:t xml:space="preserve"> </w:t>
      </w:r>
      <w:r w:rsidR="002F7C05">
        <w:rPr>
          <w:rFonts w:cstheme="minorHAnsi"/>
        </w:rPr>
        <w:t>trials using Oxford definition of CFS</w:t>
      </w:r>
    </w:p>
    <w:p w14:paraId="2FA29170" w14:textId="65CF0699" w:rsidR="00DC7DDC" w:rsidRDefault="00DC7DDC" w:rsidP="00E85E62">
      <w:pPr>
        <w:spacing w:line="480" w:lineRule="auto"/>
        <w:rPr>
          <w:rFonts w:cstheme="minorHAnsi"/>
        </w:rPr>
      </w:pPr>
      <w:r>
        <w:rPr>
          <w:rFonts w:cstheme="minorHAnsi"/>
        </w:rPr>
        <w:t xml:space="preserve"> </w:t>
      </w:r>
      <w:r w:rsidR="00AE7BC3">
        <w:rPr>
          <w:rFonts w:cstheme="minorHAnsi"/>
        </w:rPr>
        <w:sym w:font="Wingdings" w:char="F0E2"/>
      </w:r>
      <w:r w:rsidR="00AE7BC3">
        <w:rPr>
          <w:rFonts w:cstheme="minorHAnsi"/>
        </w:rPr>
        <w:t xml:space="preserve"> </w:t>
      </w:r>
      <w:r>
        <w:rPr>
          <w:rFonts w:cstheme="minorHAnsi"/>
        </w:rPr>
        <w:t>“</w:t>
      </w:r>
      <w:r w:rsidR="008B4E9F">
        <w:rPr>
          <w:rFonts w:cstheme="minorHAnsi"/>
        </w:rPr>
        <w:t>A</w:t>
      </w:r>
      <w:r>
        <w:rPr>
          <w:rFonts w:cstheme="minorHAnsi"/>
        </w:rPr>
        <w:t>ctivity pacing</w:t>
      </w:r>
      <w:r w:rsidR="00DF7B36">
        <w:rPr>
          <w:rFonts w:cstheme="minorHAnsi"/>
        </w:rPr>
        <w:t>”</w:t>
      </w:r>
      <w:r>
        <w:rPr>
          <w:rFonts w:cstheme="minorHAnsi"/>
        </w:rPr>
        <w:t xml:space="preserve"> interventions included CBT and GET </w:t>
      </w:r>
    </w:p>
    <w:p w14:paraId="0419BB01" w14:textId="054760D3" w:rsidR="00AE7BC3" w:rsidRPr="00E85E62" w:rsidRDefault="00AE7BC3" w:rsidP="00E85E62">
      <w:pPr>
        <w:spacing w:line="480" w:lineRule="auto"/>
        <w:rPr>
          <w:rFonts w:cstheme="minorHAnsi"/>
        </w:rPr>
      </w:pPr>
      <w:r>
        <w:rPr>
          <w:rFonts w:cstheme="minorHAnsi"/>
        </w:rPr>
        <w:t xml:space="preserve">β Systematic review, not </w:t>
      </w:r>
      <w:r w:rsidR="002948A2">
        <w:rPr>
          <w:rFonts w:cstheme="minorHAnsi"/>
        </w:rPr>
        <w:t xml:space="preserve">a </w:t>
      </w:r>
      <w:r>
        <w:rPr>
          <w:rFonts w:cstheme="minorHAnsi"/>
        </w:rPr>
        <w:t>meta-analysis</w:t>
      </w:r>
    </w:p>
    <w:bookmarkEnd w:id="3"/>
    <w:p w14:paraId="1497F8BC" w14:textId="718F84A1" w:rsidR="002D1A75" w:rsidRPr="00BE68AA" w:rsidRDefault="00AD35A1" w:rsidP="007544AE">
      <w:pPr>
        <w:spacing w:line="480" w:lineRule="auto"/>
        <w:rPr>
          <w:rFonts w:cstheme="minorHAnsi"/>
          <w:vertAlign w:val="superscript"/>
        </w:rPr>
      </w:pPr>
      <w:r>
        <w:rPr>
          <w:rFonts w:cstheme="minorHAnsi"/>
        </w:rPr>
        <w:t>Yet despite t</w:t>
      </w:r>
      <w:r w:rsidR="00E42073">
        <w:rPr>
          <w:rFonts w:cstheme="minorHAnsi"/>
        </w:rPr>
        <w:t>he</w:t>
      </w:r>
      <w:r w:rsidR="00AF47BA">
        <w:rPr>
          <w:rFonts w:cstheme="minorHAnsi"/>
        </w:rPr>
        <w:t xml:space="preserve"> findings of the</w:t>
      </w:r>
      <w:r w:rsidR="00E42073">
        <w:rPr>
          <w:rFonts w:cstheme="minorHAnsi"/>
        </w:rPr>
        <w:t>se reviews</w:t>
      </w:r>
      <w:r>
        <w:rPr>
          <w:rFonts w:cstheme="minorHAnsi"/>
        </w:rPr>
        <w:t xml:space="preserve">, NICE </w:t>
      </w:r>
      <w:r w:rsidR="00124326">
        <w:rPr>
          <w:rFonts w:cstheme="minorHAnsi"/>
        </w:rPr>
        <w:t>decided</w:t>
      </w:r>
      <w:r w:rsidR="00BD18EE">
        <w:rPr>
          <w:rFonts w:cstheme="minorHAnsi"/>
        </w:rPr>
        <w:t xml:space="preserve"> to revise</w:t>
      </w:r>
      <w:r>
        <w:rPr>
          <w:rFonts w:cstheme="minorHAnsi"/>
        </w:rPr>
        <w:t xml:space="preserve"> the 2007 </w:t>
      </w:r>
      <w:r w:rsidR="00C570BA">
        <w:rPr>
          <w:rFonts w:cstheme="minorHAnsi"/>
        </w:rPr>
        <w:t>g</w:t>
      </w:r>
      <w:r>
        <w:rPr>
          <w:rFonts w:cstheme="minorHAnsi"/>
        </w:rPr>
        <w:t xml:space="preserve">uideline. </w:t>
      </w:r>
      <w:r w:rsidR="00E42073">
        <w:rPr>
          <w:rFonts w:cstheme="minorHAnsi"/>
        </w:rPr>
        <w:t>This revision has met considerable opposition.</w:t>
      </w:r>
      <w:r w:rsidR="00C80D78">
        <w:rPr>
          <w:rFonts w:cstheme="minorHAnsi"/>
          <w:vertAlign w:val="superscript"/>
        </w:rPr>
        <w:t>1</w:t>
      </w:r>
      <w:r w:rsidR="000F569A">
        <w:rPr>
          <w:rFonts w:cstheme="minorHAnsi"/>
          <w:vertAlign w:val="superscript"/>
        </w:rPr>
        <w:t>7</w:t>
      </w:r>
      <w:r w:rsidR="00E42073">
        <w:rPr>
          <w:rFonts w:cstheme="minorHAnsi"/>
        </w:rPr>
        <w:t xml:space="preserve"> Three clinicians working in the field</w:t>
      </w:r>
      <w:r w:rsidR="00DF7B36">
        <w:rPr>
          <w:rFonts w:cstheme="minorHAnsi"/>
        </w:rPr>
        <w:t>, who were on the NICE guideline committee,</w:t>
      </w:r>
      <w:r w:rsidR="00E42073">
        <w:rPr>
          <w:rFonts w:cstheme="minorHAnsi"/>
        </w:rPr>
        <w:t xml:space="preserve"> resigned </w:t>
      </w:r>
      <w:r w:rsidR="002D1A75">
        <w:rPr>
          <w:rFonts w:cstheme="minorHAnsi"/>
        </w:rPr>
        <w:t>before publication.</w:t>
      </w:r>
      <w:r w:rsidR="006558A1">
        <w:rPr>
          <w:rFonts w:cstheme="minorHAnsi"/>
          <w:vertAlign w:val="superscript"/>
        </w:rPr>
        <w:t>1</w:t>
      </w:r>
      <w:r w:rsidR="000F569A">
        <w:rPr>
          <w:rFonts w:cstheme="minorHAnsi"/>
          <w:vertAlign w:val="superscript"/>
        </w:rPr>
        <w:t>8</w:t>
      </w:r>
      <w:r w:rsidR="002D1A75">
        <w:rPr>
          <w:rFonts w:cstheme="minorHAnsi"/>
        </w:rPr>
        <w:t xml:space="preserve"> F</w:t>
      </w:r>
      <w:r w:rsidR="00E42073">
        <w:rPr>
          <w:rFonts w:cstheme="minorHAnsi"/>
        </w:rPr>
        <w:t xml:space="preserve">our Royal Colleges of Medicine concluded that </w:t>
      </w:r>
      <w:r w:rsidR="002D1A75" w:rsidRPr="002D1A75">
        <w:rPr>
          <w:rFonts w:cstheme="minorHAnsi"/>
        </w:rPr>
        <w:t>“Graded Exercise Therapy as defined in the guidance is not reflective of the personalised paced exercise programmes that are currently used in the NHS and termed GET. These have provided benefit to many patients and should not be discontinued.”</w:t>
      </w:r>
      <w:r w:rsidR="006558A1">
        <w:rPr>
          <w:rFonts w:cstheme="minorHAnsi"/>
          <w:vertAlign w:val="superscript"/>
        </w:rPr>
        <w:t>1</w:t>
      </w:r>
      <w:r w:rsidR="000F569A">
        <w:rPr>
          <w:rFonts w:cstheme="minorHAnsi"/>
          <w:vertAlign w:val="superscript"/>
        </w:rPr>
        <w:t>9</w:t>
      </w:r>
      <w:r w:rsidR="002D1A75" w:rsidRPr="002D1A75">
        <w:rPr>
          <w:rFonts w:cstheme="minorHAnsi"/>
        </w:rPr>
        <w:t xml:space="preserve"> And</w:t>
      </w:r>
      <w:r w:rsidR="00BE68AA">
        <w:rPr>
          <w:rFonts w:cstheme="minorHAnsi"/>
        </w:rPr>
        <w:t>:</w:t>
      </w:r>
      <w:r w:rsidR="002D1A75" w:rsidRPr="002D1A75">
        <w:rPr>
          <w:rFonts w:cstheme="minorHAnsi"/>
        </w:rPr>
        <w:t xml:space="preserve"> “CBT remains a valuable treatment for alleviating symptoms in </w:t>
      </w:r>
      <w:r w:rsidR="004F59A0">
        <w:rPr>
          <w:rFonts w:cstheme="minorHAnsi"/>
        </w:rPr>
        <w:t>CFS/ME</w:t>
      </w:r>
      <w:r w:rsidR="002D1A75" w:rsidRPr="002D1A75">
        <w:rPr>
          <w:rFonts w:cstheme="minorHAnsi"/>
        </w:rPr>
        <w:t xml:space="preserve"> and services should ensure patients have access to this… .”</w:t>
      </w:r>
      <w:r w:rsidR="006558A1">
        <w:rPr>
          <w:rFonts w:cstheme="minorHAnsi"/>
          <w:vertAlign w:val="superscript"/>
        </w:rPr>
        <w:t>1</w:t>
      </w:r>
      <w:r w:rsidR="000F569A">
        <w:rPr>
          <w:rFonts w:cstheme="minorHAnsi"/>
          <w:vertAlign w:val="superscript"/>
        </w:rPr>
        <w:t>9</w:t>
      </w:r>
      <w:r w:rsidR="002D1A75">
        <w:rPr>
          <w:rFonts w:cstheme="minorHAnsi"/>
        </w:rPr>
        <w:t xml:space="preserve"> A Lancet commentary </w:t>
      </w:r>
      <w:r w:rsidR="002E4763">
        <w:rPr>
          <w:rFonts w:cstheme="minorHAnsi"/>
        </w:rPr>
        <w:t>concluded that: “</w:t>
      </w:r>
      <w:r w:rsidR="002E4763" w:rsidRPr="002E4763">
        <w:rPr>
          <w:rFonts w:cstheme="minorHAnsi"/>
        </w:rPr>
        <w:t>By selective use of the evidence from randomised</w:t>
      </w:r>
      <w:r w:rsidR="002E4763">
        <w:rPr>
          <w:rFonts w:cstheme="minorHAnsi"/>
        </w:rPr>
        <w:t xml:space="preserve"> </w:t>
      </w:r>
      <w:r w:rsidR="002E4763" w:rsidRPr="002E4763">
        <w:rPr>
          <w:rFonts w:cstheme="minorHAnsi"/>
        </w:rPr>
        <w:t>studies, cherry-picking statements from qualitative studies, and relying on the opinions of the committee,</w:t>
      </w:r>
      <w:r w:rsidR="002E4763">
        <w:rPr>
          <w:rFonts w:cstheme="minorHAnsi"/>
        </w:rPr>
        <w:t xml:space="preserve"> </w:t>
      </w:r>
      <w:r w:rsidR="002E4763" w:rsidRPr="002E4763">
        <w:rPr>
          <w:rFonts w:cstheme="minorHAnsi"/>
        </w:rPr>
        <w:t>NICE disregarded the best available research evidence and tarnished the guideline process.</w:t>
      </w:r>
      <w:r w:rsidR="002E4763">
        <w:rPr>
          <w:rFonts w:cstheme="minorHAnsi"/>
        </w:rPr>
        <w:t>”</w:t>
      </w:r>
      <w:r w:rsidR="000F569A">
        <w:rPr>
          <w:rFonts w:cstheme="minorHAnsi"/>
          <w:vertAlign w:val="superscript"/>
        </w:rPr>
        <w:t>20</w:t>
      </w:r>
    </w:p>
    <w:p w14:paraId="1E92285D" w14:textId="1DD80E6D" w:rsidR="00755034" w:rsidRDefault="008D0A0C" w:rsidP="007544AE">
      <w:pPr>
        <w:spacing w:line="480" w:lineRule="auto"/>
        <w:rPr>
          <w:rFonts w:cstheme="minorHAnsi"/>
        </w:rPr>
      </w:pPr>
      <w:r w:rsidRPr="00602CCA">
        <w:rPr>
          <w:rFonts w:cstheme="minorHAnsi"/>
        </w:rPr>
        <w:t>So,</w:t>
      </w:r>
      <w:r w:rsidR="00412DA8" w:rsidRPr="00602CCA">
        <w:rPr>
          <w:rFonts w:cstheme="minorHAnsi"/>
        </w:rPr>
        <w:t xml:space="preserve"> </w:t>
      </w:r>
      <w:r w:rsidR="00461B5B" w:rsidRPr="00602CCA">
        <w:rPr>
          <w:rFonts w:cstheme="minorHAnsi"/>
        </w:rPr>
        <w:t xml:space="preserve">what </w:t>
      </w:r>
      <w:r w:rsidR="008C57B3">
        <w:rPr>
          <w:rFonts w:cstheme="minorHAnsi"/>
        </w:rPr>
        <w:t>went wrong</w:t>
      </w:r>
      <w:r w:rsidR="00461B5B" w:rsidRPr="00602CCA">
        <w:rPr>
          <w:rFonts w:cstheme="minorHAnsi"/>
        </w:rPr>
        <w:t>?</w:t>
      </w:r>
      <w:r w:rsidR="00D202F7" w:rsidRPr="00602CCA">
        <w:rPr>
          <w:rFonts w:cstheme="minorHAnsi"/>
        </w:rPr>
        <w:t xml:space="preserve"> </w:t>
      </w:r>
      <w:r w:rsidR="008E7AFF">
        <w:rPr>
          <w:rFonts w:cstheme="minorHAnsi"/>
        </w:rPr>
        <w:t xml:space="preserve">In this article we </w:t>
      </w:r>
      <w:r w:rsidR="00D378CC">
        <w:rPr>
          <w:rFonts w:cstheme="minorHAnsi"/>
        </w:rPr>
        <w:t>raise concerns regarding</w:t>
      </w:r>
      <w:r w:rsidR="00F009FF">
        <w:rPr>
          <w:rFonts w:cstheme="minorHAnsi"/>
        </w:rPr>
        <w:t xml:space="preserve"> the </w:t>
      </w:r>
      <w:r w:rsidR="005E63B0">
        <w:rPr>
          <w:rFonts w:cstheme="minorHAnsi"/>
        </w:rPr>
        <w:t xml:space="preserve">evidence synthesis, </w:t>
      </w:r>
      <w:r w:rsidR="00FB4576" w:rsidRPr="00602CCA">
        <w:rPr>
          <w:rFonts w:cstheme="minorHAnsi"/>
        </w:rPr>
        <w:t>apprais</w:t>
      </w:r>
      <w:r w:rsidR="00F54BF4">
        <w:rPr>
          <w:rFonts w:cstheme="minorHAnsi"/>
        </w:rPr>
        <w:t>al</w:t>
      </w:r>
      <w:r w:rsidR="00FB4576" w:rsidRPr="00602CCA">
        <w:rPr>
          <w:rFonts w:cstheme="minorHAnsi"/>
        </w:rPr>
        <w:t xml:space="preserve"> and interpret</w:t>
      </w:r>
      <w:r w:rsidR="00F54BF4">
        <w:rPr>
          <w:rFonts w:cstheme="minorHAnsi"/>
        </w:rPr>
        <w:t>ation</w:t>
      </w:r>
      <w:r w:rsidR="008E7AFF">
        <w:rPr>
          <w:rFonts w:cstheme="minorHAnsi"/>
        </w:rPr>
        <w:t xml:space="preserve"> that</w:t>
      </w:r>
      <w:r w:rsidR="00F009FF">
        <w:rPr>
          <w:rFonts w:cstheme="minorHAnsi"/>
        </w:rPr>
        <w:t xml:space="preserve"> appear to have</w:t>
      </w:r>
      <w:r w:rsidR="008E7AFF">
        <w:rPr>
          <w:rFonts w:cstheme="minorHAnsi"/>
        </w:rPr>
        <w:t xml:space="preserve"> </w:t>
      </w:r>
      <w:r w:rsidR="00AF47BA">
        <w:rPr>
          <w:rFonts w:cstheme="minorHAnsi"/>
        </w:rPr>
        <w:t>underpinned</w:t>
      </w:r>
      <w:r w:rsidR="008E7AFF">
        <w:rPr>
          <w:rFonts w:cstheme="minorHAnsi"/>
        </w:rPr>
        <w:t xml:space="preserve"> </w:t>
      </w:r>
      <w:r>
        <w:rPr>
          <w:rFonts w:cstheme="minorHAnsi"/>
        </w:rPr>
        <w:t>the</w:t>
      </w:r>
      <w:r w:rsidR="008C57B3">
        <w:rPr>
          <w:rFonts w:cstheme="minorHAnsi"/>
        </w:rPr>
        <w:t xml:space="preserve"> revised guidance</w:t>
      </w:r>
      <w:r w:rsidR="006B6DF0" w:rsidRPr="00602CCA">
        <w:rPr>
          <w:rFonts w:cstheme="minorHAnsi"/>
        </w:rPr>
        <w:t>.</w:t>
      </w:r>
      <w:r w:rsidR="006B6DF0">
        <w:rPr>
          <w:rFonts w:cstheme="minorHAnsi"/>
        </w:rPr>
        <w:t xml:space="preserve"> </w:t>
      </w:r>
    </w:p>
    <w:p w14:paraId="19FF1C58" w14:textId="77777777" w:rsidR="00A50273" w:rsidRDefault="00A50273" w:rsidP="007544AE">
      <w:pPr>
        <w:spacing w:line="480" w:lineRule="auto"/>
        <w:rPr>
          <w:rFonts w:cstheme="minorHAnsi"/>
        </w:rPr>
      </w:pPr>
    </w:p>
    <w:p w14:paraId="315175F0" w14:textId="4A396246" w:rsidR="00755034" w:rsidRPr="00C570BA" w:rsidRDefault="008C57B3" w:rsidP="007544AE">
      <w:pPr>
        <w:spacing w:line="480" w:lineRule="auto"/>
        <w:rPr>
          <w:rFonts w:cstheme="minorHAnsi"/>
          <w:b/>
          <w:bCs/>
          <w:sz w:val="28"/>
          <w:szCs w:val="28"/>
        </w:rPr>
      </w:pPr>
      <w:r>
        <w:rPr>
          <w:rFonts w:cstheme="minorHAnsi"/>
          <w:b/>
          <w:bCs/>
          <w:sz w:val="28"/>
          <w:szCs w:val="28"/>
        </w:rPr>
        <w:t>The u</w:t>
      </w:r>
      <w:r w:rsidR="00187B21" w:rsidRPr="00C570BA">
        <w:rPr>
          <w:rFonts w:cstheme="minorHAnsi"/>
          <w:b/>
          <w:bCs/>
          <w:sz w:val="28"/>
          <w:szCs w:val="28"/>
        </w:rPr>
        <w:t>ncontroversial conclusions</w:t>
      </w:r>
      <w:r w:rsidR="009059F1" w:rsidRPr="00C570BA">
        <w:rPr>
          <w:rFonts w:cstheme="minorHAnsi"/>
          <w:b/>
          <w:bCs/>
          <w:sz w:val="28"/>
          <w:szCs w:val="28"/>
        </w:rPr>
        <w:t xml:space="preserve"> </w:t>
      </w:r>
      <w:r w:rsidR="00187B21" w:rsidRPr="00C570BA">
        <w:rPr>
          <w:rFonts w:cstheme="minorHAnsi"/>
          <w:b/>
          <w:bCs/>
          <w:sz w:val="28"/>
          <w:szCs w:val="28"/>
        </w:rPr>
        <w:t xml:space="preserve">about </w:t>
      </w:r>
      <w:r w:rsidR="004F59A0">
        <w:rPr>
          <w:rFonts w:cstheme="minorHAnsi"/>
          <w:b/>
          <w:bCs/>
          <w:sz w:val="28"/>
          <w:szCs w:val="28"/>
        </w:rPr>
        <w:t>CFS/ME</w:t>
      </w:r>
      <w:r w:rsidR="00C570BA" w:rsidRPr="00C570BA">
        <w:rPr>
          <w:rFonts w:cstheme="minorHAnsi"/>
          <w:b/>
          <w:bCs/>
          <w:sz w:val="28"/>
          <w:szCs w:val="28"/>
        </w:rPr>
        <w:t xml:space="preserve"> </w:t>
      </w:r>
      <w:r w:rsidR="00187B21" w:rsidRPr="00C570BA">
        <w:rPr>
          <w:rFonts w:cstheme="minorHAnsi"/>
          <w:b/>
          <w:bCs/>
          <w:sz w:val="28"/>
          <w:szCs w:val="28"/>
        </w:rPr>
        <w:t>in the guideline</w:t>
      </w:r>
    </w:p>
    <w:p w14:paraId="2E93741F" w14:textId="3B121616" w:rsidR="005930E7" w:rsidRDefault="00FF22A2" w:rsidP="007544AE">
      <w:pPr>
        <w:spacing w:line="480" w:lineRule="auto"/>
        <w:rPr>
          <w:rFonts w:cstheme="minorHAnsi"/>
        </w:rPr>
      </w:pPr>
      <w:r>
        <w:rPr>
          <w:rFonts w:cstheme="minorHAnsi"/>
        </w:rPr>
        <w:t>First,</w:t>
      </w:r>
      <w:r w:rsidR="00755034">
        <w:rPr>
          <w:rFonts w:cstheme="minorHAnsi"/>
        </w:rPr>
        <w:t xml:space="preserve"> we want to make clear that there are many things </w:t>
      </w:r>
      <w:r w:rsidR="001E696C">
        <w:rPr>
          <w:rFonts w:cstheme="minorHAnsi"/>
        </w:rPr>
        <w:t xml:space="preserve">known about this illness, which are </w:t>
      </w:r>
      <w:r w:rsidR="00D80534">
        <w:rPr>
          <w:rFonts w:cstheme="minorHAnsi"/>
        </w:rPr>
        <w:t>agreed</w:t>
      </w:r>
      <w:r w:rsidR="001E696C">
        <w:rPr>
          <w:rFonts w:cstheme="minorHAnsi"/>
        </w:rPr>
        <w:t xml:space="preserve"> by all, </w:t>
      </w:r>
      <w:r w:rsidR="00DD0E87">
        <w:rPr>
          <w:rFonts w:cstheme="minorHAnsi"/>
        </w:rPr>
        <w:t xml:space="preserve">and </w:t>
      </w:r>
      <w:r w:rsidR="001E696C">
        <w:rPr>
          <w:rFonts w:cstheme="minorHAnsi"/>
        </w:rPr>
        <w:t>which</w:t>
      </w:r>
      <w:r w:rsidR="00755034">
        <w:rPr>
          <w:rFonts w:cstheme="minorHAnsi"/>
        </w:rPr>
        <w:t xml:space="preserve"> </w:t>
      </w:r>
      <w:r w:rsidR="0030124F">
        <w:rPr>
          <w:rFonts w:cstheme="minorHAnsi"/>
        </w:rPr>
        <w:t>we</w:t>
      </w:r>
      <w:r w:rsidR="001E696C">
        <w:rPr>
          <w:rFonts w:cstheme="minorHAnsi"/>
        </w:rPr>
        <w:t xml:space="preserve">re included in </w:t>
      </w:r>
      <w:r w:rsidR="00755034">
        <w:rPr>
          <w:rFonts w:cstheme="minorHAnsi"/>
        </w:rPr>
        <w:t>the guideline.</w:t>
      </w:r>
      <w:r w:rsidR="00D1768E">
        <w:rPr>
          <w:rFonts w:cstheme="minorHAnsi"/>
          <w:vertAlign w:val="superscript"/>
        </w:rPr>
        <w:t>6</w:t>
      </w:r>
      <w:r w:rsidR="003E3C0F">
        <w:rPr>
          <w:rFonts w:cstheme="minorHAnsi"/>
        </w:rPr>
        <w:t xml:space="preserve"> </w:t>
      </w:r>
      <w:r w:rsidR="00B66E4E">
        <w:rPr>
          <w:rFonts w:cstheme="minorHAnsi"/>
        </w:rPr>
        <w:t>Some of the main</w:t>
      </w:r>
      <w:r w:rsidR="008C57B3">
        <w:rPr>
          <w:rFonts w:cstheme="minorHAnsi"/>
        </w:rPr>
        <w:t xml:space="preserve"> </w:t>
      </w:r>
      <w:r w:rsidR="00D378CC">
        <w:rPr>
          <w:rFonts w:cstheme="minorHAnsi"/>
        </w:rPr>
        <w:t xml:space="preserve">points of </w:t>
      </w:r>
      <w:r w:rsidR="003B4F73">
        <w:rPr>
          <w:rFonts w:cstheme="minorHAnsi"/>
        </w:rPr>
        <w:t>agreement</w:t>
      </w:r>
      <w:r w:rsidR="00D378CC">
        <w:rPr>
          <w:rFonts w:cstheme="minorHAnsi"/>
        </w:rPr>
        <w:t xml:space="preserve"> are summarized in box 1. </w:t>
      </w:r>
    </w:p>
    <w:p w14:paraId="44F5436C" w14:textId="31247565" w:rsidR="005930E7" w:rsidRDefault="005930E7" w:rsidP="007544AE">
      <w:pPr>
        <w:spacing w:line="480" w:lineRule="auto"/>
        <w:rPr>
          <w:rFonts w:cstheme="minorHAnsi"/>
        </w:rPr>
      </w:pPr>
    </w:p>
    <w:tbl>
      <w:tblPr>
        <w:tblStyle w:val="TableGrid"/>
        <w:tblW w:w="0" w:type="auto"/>
        <w:tblLook w:val="04A0" w:firstRow="1" w:lastRow="0" w:firstColumn="1" w:lastColumn="0" w:noHBand="0" w:noVBand="1"/>
      </w:tblPr>
      <w:tblGrid>
        <w:gridCol w:w="9016"/>
      </w:tblGrid>
      <w:tr w:rsidR="005930E7" w:rsidRPr="00E84F36" w14:paraId="145DEDF4" w14:textId="54CAAF4B" w:rsidTr="006C7108">
        <w:trPr>
          <w:trHeight w:val="2587"/>
        </w:trPr>
        <w:tc>
          <w:tcPr>
            <w:tcW w:w="9016" w:type="dxa"/>
            <w:shd w:val="clear" w:color="auto" w:fill="DEEAF6" w:themeFill="accent5" w:themeFillTint="33"/>
          </w:tcPr>
          <w:p w14:paraId="10287282" w14:textId="19FF63AE" w:rsidR="005930E7" w:rsidRDefault="005930E7" w:rsidP="007544AE">
            <w:pPr>
              <w:spacing w:line="480" w:lineRule="auto"/>
              <w:rPr>
                <w:rFonts w:cstheme="minorHAnsi"/>
                <w:b/>
                <w:bCs/>
              </w:rPr>
            </w:pPr>
            <w:bookmarkStart w:id="4" w:name="_Hlk130895669"/>
            <w:r w:rsidRPr="004772DA">
              <w:rPr>
                <w:rFonts w:cstheme="minorHAnsi"/>
                <w:b/>
                <w:bCs/>
              </w:rPr>
              <w:t xml:space="preserve">Box </w:t>
            </w:r>
            <w:r w:rsidR="0048006D">
              <w:rPr>
                <w:rFonts w:cstheme="minorHAnsi"/>
                <w:b/>
                <w:bCs/>
              </w:rPr>
              <w:t>1</w:t>
            </w:r>
            <w:r w:rsidRPr="004772DA">
              <w:rPr>
                <w:rFonts w:cstheme="minorHAnsi"/>
                <w:b/>
                <w:bCs/>
              </w:rPr>
              <w:t>.</w:t>
            </w:r>
            <w:r w:rsidR="008A46B4">
              <w:rPr>
                <w:rFonts w:cstheme="minorHAnsi"/>
                <w:b/>
                <w:bCs/>
              </w:rPr>
              <w:t xml:space="preserve"> Uncontroversial conclusion</w:t>
            </w:r>
            <w:r w:rsidR="00FA06B0">
              <w:rPr>
                <w:rFonts w:cstheme="minorHAnsi"/>
                <w:b/>
                <w:bCs/>
              </w:rPr>
              <w:t>s</w:t>
            </w:r>
            <w:r w:rsidR="008A46B4">
              <w:rPr>
                <w:rFonts w:cstheme="minorHAnsi"/>
                <w:b/>
                <w:bCs/>
              </w:rPr>
              <w:t xml:space="preserve"> </w:t>
            </w:r>
            <w:r w:rsidR="0062352B">
              <w:rPr>
                <w:rFonts w:cstheme="minorHAnsi"/>
                <w:b/>
                <w:bCs/>
              </w:rPr>
              <w:t xml:space="preserve">about </w:t>
            </w:r>
            <w:r w:rsidR="004F59A0">
              <w:rPr>
                <w:rFonts w:cstheme="minorHAnsi"/>
                <w:b/>
                <w:bCs/>
              </w:rPr>
              <w:t>CFS/ME</w:t>
            </w:r>
            <w:r w:rsidR="0062352B">
              <w:rPr>
                <w:rFonts w:cstheme="minorHAnsi"/>
                <w:b/>
                <w:bCs/>
              </w:rPr>
              <w:t xml:space="preserve"> in the </w:t>
            </w:r>
            <w:r>
              <w:rPr>
                <w:rFonts w:cstheme="minorHAnsi"/>
                <w:b/>
                <w:bCs/>
              </w:rPr>
              <w:t>guideline</w:t>
            </w:r>
          </w:p>
          <w:p w14:paraId="7ABDAAC2" w14:textId="7D2A144E" w:rsidR="005930E7" w:rsidRPr="004772DA" w:rsidRDefault="005930E7" w:rsidP="007544AE">
            <w:pPr>
              <w:spacing w:line="480" w:lineRule="auto"/>
              <w:rPr>
                <w:rFonts w:cstheme="minorHAnsi"/>
                <w:b/>
                <w:bCs/>
              </w:rPr>
            </w:pPr>
          </w:p>
          <w:p w14:paraId="594CC3E5" w14:textId="759FDAD5" w:rsidR="005930E7" w:rsidRDefault="004F59A0" w:rsidP="007544AE">
            <w:pPr>
              <w:pStyle w:val="ListParagraph"/>
              <w:numPr>
                <w:ilvl w:val="0"/>
                <w:numId w:val="9"/>
              </w:numPr>
              <w:spacing w:line="480" w:lineRule="auto"/>
              <w:rPr>
                <w:rFonts w:cstheme="minorHAnsi"/>
              </w:rPr>
            </w:pPr>
            <w:r>
              <w:rPr>
                <w:rFonts w:cstheme="minorHAnsi"/>
              </w:rPr>
              <w:t>CFS/ME</w:t>
            </w:r>
            <w:r w:rsidR="005930E7">
              <w:rPr>
                <w:rFonts w:cstheme="minorHAnsi"/>
              </w:rPr>
              <w:t xml:space="preserve"> is a serious and debilitating condition</w:t>
            </w:r>
          </w:p>
          <w:p w14:paraId="5752AC4A" w14:textId="14974001" w:rsidR="0062352B" w:rsidRDefault="0062352B" w:rsidP="007544AE">
            <w:pPr>
              <w:pStyle w:val="ListParagraph"/>
              <w:numPr>
                <w:ilvl w:val="0"/>
                <w:numId w:val="9"/>
              </w:numPr>
              <w:spacing w:line="480" w:lineRule="auto"/>
              <w:rPr>
                <w:rFonts w:cstheme="minorHAnsi"/>
              </w:rPr>
            </w:pPr>
            <w:r>
              <w:rPr>
                <w:rFonts w:cstheme="minorHAnsi"/>
              </w:rPr>
              <w:t xml:space="preserve">Some patients are severely disabled, which </w:t>
            </w:r>
            <w:r w:rsidR="0084647A">
              <w:rPr>
                <w:rFonts w:cstheme="minorHAnsi"/>
              </w:rPr>
              <w:t>may</w:t>
            </w:r>
            <w:r>
              <w:rPr>
                <w:rFonts w:cstheme="minorHAnsi"/>
              </w:rPr>
              <w:t xml:space="preserve"> </w:t>
            </w:r>
            <w:r w:rsidR="00E63367">
              <w:rPr>
                <w:rFonts w:cstheme="minorHAnsi"/>
              </w:rPr>
              <w:t>limit</w:t>
            </w:r>
            <w:r>
              <w:rPr>
                <w:rFonts w:cstheme="minorHAnsi"/>
              </w:rPr>
              <w:t xml:space="preserve"> access to care</w:t>
            </w:r>
            <w:r w:rsidR="0084647A">
              <w:rPr>
                <w:rFonts w:cstheme="minorHAnsi"/>
              </w:rPr>
              <w:t xml:space="preserve"> and treatment</w:t>
            </w:r>
          </w:p>
          <w:p w14:paraId="097F29CD" w14:textId="7910062B" w:rsidR="00F07214" w:rsidRDefault="00F07214" w:rsidP="007544AE">
            <w:pPr>
              <w:pStyle w:val="ListParagraph"/>
              <w:numPr>
                <w:ilvl w:val="0"/>
                <w:numId w:val="9"/>
              </w:numPr>
              <w:spacing w:line="480" w:lineRule="auto"/>
              <w:rPr>
                <w:rFonts w:cstheme="minorHAnsi"/>
              </w:rPr>
            </w:pPr>
            <w:bookmarkStart w:id="5" w:name="_Hlk106265389"/>
            <w:r w:rsidRPr="00F07214">
              <w:rPr>
                <w:rFonts w:cstheme="minorHAnsi"/>
              </w:rPr>
              <w:t>Post-exertional malaise is a</w:t>
            </w:r>
            <w:r w:rsidR="002C01AC">
              <w:rPr>
                <w:rFonts w:cstheme="minorHAnsi"/>
              </w:rPr>
              <w:t xml:space="preserve"> common and</w:t>
            </w:r>
            <w:r w:rsidRPr="00F07214">
              <w:rPr>
                <w:rFonts w:cstheme="minorHAnsi"/>
              </w:rPr>
              <w:t xml:space="preserve"> important symptom of the illness</w:t>
            </w:r>
          </w:p>
          <w:bookmarkEnd w:id="5"/>
          <w:p w14:paraId="567DC84E" w14:textId="4D487E5D" w:rsidR="00686DE3" w:rsidRDefault="004F59A0" w:rsidP="007544AE">
            <w:pPr>
              <w:pStyle w:val="ListParagraph"/>
              <w:numPr>
                <w:ilvl w:val="0"/>
                <w:numId w:val="9"/>
              </w:numPr>
              <w:spacing w:line="480" w:lineRule="auto"/>
              <w:rPr>
                <w:rFonts w:cstheme="minorHAnsi"/>
              </w:rPr>
            </w:pPr>
            <w:r>
              <w:rPr>
                <w:rFonts w:cstheme="minorHAnsi"/>
              </w:rPr>
              <w:t>CFS/ME</w:t>
            </w:r>
            <w:r w:rsidR="00686DE3">
              <w:rPr>
                <w:rFonts w:cstheme="minorHAnsi"/>
              </w:rPr>
              <w:t xml:space="preserve"> shows pathophysiological changes, but the</w:t>
            </w:r>
            <w:r w:rsidR="00A464A0">
              <w:rPr>
                <w:rFonts w:cstheme="minorHAnsi"/>
              </w:rPr>
              <w:t>re are no diagnostic tests</w:t>
            </w:r>
          </w:p>
          <w:p w14:paraId="426437DA" w14:textId="40820FC3" w:rsidR="005930E7" w:rsidRPr="00FA568F" w:rsidRDefault="005930E7" w:rsidP="007544AE">
            <w:pPr>
              <w:pStyle w:val="ListParagraph"/>
              <w:numPr>
                <w:ilvl w:val="0"/>
                <w:numId w:val="9"/>
              </w:numPr>
              <w:spacing w:line="480" w:lineRule="auto"/>
              <w:rPr>
                <w:rFonts w:cstheme="minorHAnsi"/>
              </w:rPr>
            </w:pPr>
            <w:r>
              <w:rPr>
                <w:rFonts w:cstheme="minorHAnsi"/>
              </w:rPr>
              <w:t xml:space="preserve">People with </w:t>
            </w:r>
            <w:r w:rsidR="004F59A0">
              <w:rPr>
                <w:rFonts w:cstheme="minorHAnsi"/>
              </w:rPr>
              <w:t>CFS/ME</w:t>
            </w:r>
            <w:r>
              <w:rPr>
                <w:rFonts w:cstheme="minorHAnsi"/>
              </w:rPr>
              <w:t xml:space="preserve"> </w:t>
            </w:r>
            <w:r w:rsidR="00847D27">
              <w:rPr>
                <w:rFonts w:cstheme="minorHAnsi"/>
              </w:rPr>
              <w:t>may</w:t>
            </w:r>
            <w:r w:rsidR="00E63367">
              <w:rPr>
                <w:rFonts w:cstheme="minorHAnsi"/>
              </w:rPr>
              <w:t xml:space="preserve"> not have their illness </w:t>
            </w:r>
            <w:r>
              <w:rPr>
                <w:rFonts w:cstheme="minorHAnsi"/>
              </w:rPr>
              <w:t>taken</w:t>
            </w:r>
            <w:r w:rsidR="00E63367">
              <w:rPr>
                <w:rFonts w:cstheme="minorHAnsi"/>
              </w:rPr>
              <w:t xml:space="preserve"> sufficiently</w:t>
            </w:r>
            <w:r>
              <w:rPr>
                <w:rFonts w:cstheme="minorHAnsi"/>
              </w:rPr>
              <w:t xml:space="preserve"> seriously by health </w:t>
            </w:r>
            <w:r w:rsidR="000926E2">
              <w:rPr>
                <w:rFonts w:cstheme="minorHAnsi"/>
              </w:rPr>
              <w:t xml:space="preserve">and other </w:t>
            </w:r>
            <w:r>
              <w:rPr>
                <w:rFonts w:cstheme="minorHAnsi"/>
              </w:rPr>
              <w:t>professionals</w:t>
            </w:r>
          </w:p>
          <w:p w14:paraId="19BF8F9F" w14:textId="06D70C31" w:rsidR="005930E7" w:rsidRDefault="00E63367" w:rsidP="007544AE">
            <w:pPr>
              <w:pStyle w:val="ListParagraph"/>
              <w:numPr>
                <w:ilvl w:val="0"/>
                <w:numId w:val="9"/>
              </w:numPr>
              <w:spacing w:line="480" w:lineRule="auto"/>
              <w:rPr>
                <w:rFonts w:cstheme="minorHAnsi"/>
              </w:rPr>
            </w:pPr>
            <w:r>
              <w:rPr>
                <w:rFonts w:cstheme="minorHAnsi"/>
              </w:rPr>
              <w:t>T</w:t>
            </w:r>
            <w:r w:rsidR="00026743">
              <w:rPr>
                <w:rFonts w:cstheme="minorHAnsi"/>
              </w:rPr>
              <w:t xml:space="preserve">reatments </w:t>
            </w:r>
            <w:r>
              <w:rPr>
                <w:rFonts w:cstheme="minorHAnsi"/>
              </w:rPr>
              <w:t xml:space="preserve">for </w:t>
            </w:r>
            <w:r w:rsidR="004F59A0">
              <w:rPr>
                <w:rFonts w:cstheme="minorHAnsi"/>
              </w:rPr>
              <w:t>CFS/ME</w:t>
            </w:r>
            <w:r>
              <w:rPr>
                <w:rFonts w:cstheme="minorHAnsi"/>
              </w:rPr>
              <w:t xml:space="preserve"> </w:t>
            </w:r>
            <w:r w:rsidR="00026743">
              <w:rPr>
                <w:rFonts w:cstheme="minorHAnsi"/>
              </w:rPr>
              <w:t xml:space="preserve">should be negotiated between healthcare professionals and patients and </w:t>
            </w:r>
            <w:r>
              <w:rPr>
                <w:rFonts w:cstheme="minorHAnsi"/>
              </w:rPr>
              <w:t xml:space="preserve">should </w:t>
            </w:r>
            <w:r w:rsidR="00026743">
              <w:rPr>
                <w:rFonts w:cstheme="minorHAnsi"/>
              </w:rPr>
              <w:t>always</w:t>
            </w:r>
            <w:r>
              <w:rPr>
                <w:rFonts w:cstheme="minorHAnsi"/>
              </w:rPr>
              <w:t xml:space="preserve"> be delivered </w:t>
            </w:r>
            <w:r w:rsidR="00026743">
              <w:rPr>
                <w:rFonts w:cstheme="minorHAnsi"/>
              </w:rPr>
              <w:t>collaborativ</w:t>
            </w:r>
            <w:r>
              <w:rPr>
                <w:rFonts w:cstheme="minorHAnsi"/>
              </w:rPr>
              <w:t>e</w:t>
            </w:r>
            <w:r w:rsidR="00DE179F">
              <w:rPr>
                <w:rFonts w:cstheme="minorHAnsi"/>
              </w:rPr>
              <w:t>ly</w:t>
            </w:r>
          </w:p>
          <w:p w14:paraId="02FB669B" w14:textId="3A6C6529" w:rsidR="002C1D59" w:rsidRPr="00157577" w:rsidRDefault="00BD6B5B" w:rsidP="007544AE">
            <w:pPr>
              <w:pStyle w:val="ListParagraph"/>
              <w:numPr>
                <w:ilvl w:val="0"/>
                <w:numId w:val="9"/>
              </w:numPr>
              <w:spacing w:line="480" w:lineRule="auto"/>
              <w:rPr>
                <w:rFonts w:cstheme="minorHAnsi"/>
              </w:rPr>
            </w:pPr>
            <w:r>
              <w:rPr>
                <w:rFonts w:cstheme="minorHAnsi"/>
              </w:rPr>
              <w:t>Simply t</w:t>
            </w:r>
            <w:r w:rsidR="002C1D59">
              <w:rPr>
                <w:rFonts w:cstheme="minorHAnsi"/>
              </w:rPr>
              <w:t xml:space="preserve">elling patients to exercise </w:t>
            </w:r>
            <w:r w:rsidR="00120728">
              <w:rPr>
                <w:rFonts w:cstheme="minorHAnsi"/>
              </w:rPr>
              <w:t xml:space="preserve">more </w:t>
            </w:r>
            <w:r w:rsidR="002C1D59">
              <w:rPr>
                <w:rFonts w:cstheme="minorHAnsi"/>
              </w:rPr>
              <w:t>may make them worse</w:t>
            </w:r>
          </w:p>
          <w:p w14:paraId="3BA3C233" w14:textId="2F50CFF7" w:rsidR="005930E7" w:rsidRPr="00E84F36" w:rsidRDefault="00C466EA" w:rsidP="007544AE">
            <w:pPr>
              <w:pStyle w:val="ListParagraph"/>
              <w:numPr>
                <w:ilvl w:val="0"/>
                <w:numId w:val="9"/>
              </w:numPr>
              <w:spacing w:line="480" w:lineRule="auto"/>
              <w:rPr>
                <w:rFonts w:cstheme="minorHAnsi"/>
              </w:rPr>
            </w:pPr>
            <w:r>
              <w:rPr>
                <w:rFonts w:cstheme="minorHAnsi"/>
              </w:rPr>
              <w:t>Evidenced based t</w:t>
            </w:r>
            <w:r w:rsidR="005930E7">
              <w:rPr>
                <w:rFonts w:cstheme="minorHAnsi"/>
              </w:rPr>
              <w:t xml:space="preserve">herapies </w:t>
            </w:r>
            <w:r w:rsidR="00E63367">
              <w:rPr>
                <w:rFonts w:cstheme="minorHAnsi"/>
              </w:rPr>
              <w:t xml:space="preserve">for </w:t>
            </w:r>
            <w:r w:rsidR="004F59A0">
              <w:rPr>
                <w:rFonts w:cstheme="minorHAnsi"/>
              </w:rPr>
              <w:t>CFS/ME</w:t>
            </w:r>
            <w:r w:rsidR="009A5090">
              <w:rPr>
                <w:rFonts w:cstheme="minorHAnsi"/>
              </w:rPr>
              <w:t>, such as CBT and GET</w:t>
            </w:r>
            <w:r w:rsidR="00D36F37">
              <w:rPr>
                <w:rFonts w:cstheme="minorHAnsi"/>
              </w:rPr>
              <w:t>,</w:t>
            </w:r>
            <w:r w:rsidR="009A5090">
              <w:rPr>
                <w:rFonts w:cstheme="minorHAnsi"/>
              </w:rPr>
              <w:t xml:space="preserve"> </w:t>
            </w:r>
            <w:r w:rsidR="006B6DF0">
              <w:rPr>
                <w:rFonts w:cstheme="minorHAnsi"/>
              </w:rPr>
              <w:t>do not</w:t>
            </w:r>
            <w:r w:rsidR="005930E7">
              <w:rPr>
                <w:rFonts w:cstheme="minorHAnsi"/>
              </w:rPr>
              <w:t xml:space="preserve"> benefit all patients</w:t>
            </w:r>
          </w:p>
        </w:tc>
      </w:tr>
      <w:bookmarkEnd w:id="4"/>
    </w:tbl>
    <w:p w14:paraId="4C7FCE98" w14:textId="77777777" w:rsidR="005930E7" w:rsidRDefault="005930E7" w:rsidP="007544AE">
      <w:pPr>
        <w:spacing w:line="480" w:lineRule="auto"/>
        <w:rPr>
          <w:rFonts w:cstheme="minorHAnsi"/>
        </w:rPr>
      </w:pPr>
    </w:p>
    <w:p w14:paraId="6BBB274C" w14:textId="7EB85156" w:rsidR="008A46B4" w:rsidRPr="00C570BA" w:rsidRDefault="00FB54B8" w:rsidP="007544AE">
      <w:pPr>
        <w:spacing w:line="480" w:lineRule="auto"/>
        <w:rPr>
          <w:rFonts w:cstheme="minorHAnsi"/>
          <w:b/>
          <w:bCs/>
          <w:sz w:val="28"/>
          <w:szCs w:val="28"/>
        </w:rPr>
      </w:pPr>
      <w:r>
        <w:rPr>
          <w:rFonts w:cstheme="minorHAnsi"/>
          <w:b/>
          <w:bCs/>
          <w:sz w:val="28"/>
          <w:szCs w:val="28"/>
        </w:rPr>
        <w:t xml:space="preserve">The </w:t>
      </w:r>
      <w:r w:rsidR="00F236F9">
        <w:rPr>
          <w:rFonts w:cstheme="minorHAnsi"/>
          <w:b/>
          <w:bCs/>
          <w:sz w:val="28"/>
          <w:szCs w:val="28"/>
        </w:rPr>
        <w:t>change</w:t>
      </w:r>
      <w:r>
        <w:rPr>
          <w:rFonts w:cstheme="minorHAnsi"/>
          <w:b/>
          <w:bCs/>
          <w:sz w:val="28"/>
          <w:szCs w:val="28"/>
        </w:rPr>
        <w:t>s</w:t>
      </w:r>
      <w:r w:rsidR="00F236F9">
        <w:rPr>
          <w:rFonts w:cstheme="minorHAnsi"/>
          <w:b/>
          <w:bCs/>
          <w:sz w:val="28"/>
          <w:szCs w:val="28"/>
        </w:rPr>
        <w:t xml:space="preserve"> in </w:t>
      </w:r>
      <w:r w:rsidR="00187B21" w:rsidRPr="00C570BA">
        <w:rPr>
          <w:rFonts w:cstheme="minorHAnsi"/>
          <w:b/>
          <w:bCs/>
          <w:sz w:val="28"/>
          <w:szCs w:val="28"/>
        </w:rPr>
        <w:t xml:space="preserve">recommendations </w:t>
      </w:r>
      <w:r>
        <w:rPr>
          <w:rFonts w:cstheme="minorHAnsi"/>
          <w:b/>
          <w:bCs/>
          <w:sz w:val="28"/>
          <w:szCs w:val="28"/>
        </w:rPr>
        <w:t>regarding</w:t>
      </w:r>
      <w:r w:rsidR="00187B21" w:rsidRPr="00C570BA">
        <w:rPr>
          <w:rFonts w:cstheme="minorHAnsi"/>
          <w:b/>
          <w:bCs/>
          <w:sz w:val="28"/>
          <w:szCs w:val="28"/>
        </w:rPr>
        <w:t xml:space="preserve"> the management of </w:t>
      </w:r>
      <w:r w:rsidR="004F59A0">
        <w:rPr>
          <w:rFonts w:cstheme="minorHAnsi"/>
          <w:b/>
          <w:bCs/>
          <w:sz w:val="28"/>
          <w:szCs w:val="28"/>
        </w:rPr>
        <w:t>CFS/ME</w:t>
      </w:r>
      <w:r w:rsidR="00C570BA" w:rsidRPr="00C570BA">
        <w:rPr>
          <w:rFonts w:cstheme="minorHAnsi"/>
          <w:b/>
          <w:bCs/>
          <w:sz w:val="28"/>
          <w:szCs w:val="28"/>
        </w:rPr>
        <w:t xml:space="preserve"> </w:t>
      </w:r>
    </w:p>
    <w:p w14:paraId="5A67EE94" w14:textId="222D3A2D" w:rsidR="0026792E" w:rsidRPr="00C6463F" w:rsidRDefault="008A46B4" w:rsidP="007544AE">
      <w:pPr>
        <w:spacing w:line="480" w:lineRule="auto"/>
        <w:rPr>
          <w:rFonts w:cstheme="minorHAnsi"/>
        </w:rPr>
      </w:pPr>
      <w:r>
        <w:rPr>
          <w:rFonts w:cstheme="minorHAnsi"/>
        </w:rPr>
        <w:t xml:space="preserve">We </w:t>
      </w:r>
      <w:r w:rsidR="00AC4AB9">
        <w:rPr>
          <w:rFonts w:cstheme="minorHAnsi"/>
        </w:rPr>
        <w:t>suggest</w:t>
      </w:r>
      <w:r>
        <w:rPr>
          <w:rFonts w:cstheme="minorHAnsi"/>
        </w:rPr>
        <w:t xml:space="preserve"> that the </w:t>
      </w:r>
      <w:r w:rsidR="00F236F9">
        <w:rPr>
          <w:rFonts w:cstheme="minorHAnsi"/>
        </w:rPr>
        <w:t>change</w:t>
      </w:r>
      <w:r w:rsidR="00FB54B8">
        <w:rPr>
          <w:rFonts w:cstheme="minorHAnsi"/>
        </w:rPr>
        <w:t>s</w:t>
      </w:r>
      <w:r w:rsidR="00F236F9">
        <w:rPr>
          <w:rFonts w:cstheme="minorHAnsi"/>
        </w:rPr>
        <w:t xml:space="preserve"> in </w:t>
      </w:r>
      <w:r w:rsidR="009059F1">
        <w:rPr>
          <w:rFonts w:cstheme="minorHAnsi"/>
        </w:rPr>
        <w:t>recommendations</w:t>
      </w:r>
      <w:r>
        <w:rPr>
          <w:rFonts w:cstheme="minorHAnsi"/>
        </w:rPr>
        <w:t xml:space="preserve"> </w:t>
      </w:r>
      <w:r w:rsidR="00FB54B8">
        <w:rPr>
          <w:rFonts w:cstheme="minorHAnsi"/>
        </w:rPr>
        <w:t>concerning</w:t>
      </w:r>
      <w:r>
        <w:rPr>
          <w:rFonts w:cstheme="minorHAnsi"/>
        </w:rPr>
        <w:t xml:space="preserve"> </w:t>
      </w:r>
      <w:r w:rsidR="009059F1">
        <w:rPr>
          <w:rFonts w:cstheme="minorHAnsi"/>
        </w:rPr>
        <w:t xml:space="preserve">the management of </w:t>
      </w:r>
      <w:r w:rsidR="004F59A0">
        <w:rPr>
          <w:rFonts w:cstheme="minorHAnsi"/>
        </w:rPr>
        <w:t>CFS/ME</w:t>
      </w:r>
      <w:r>
        <w:rPr>
          <w:rFonts w:cstheme="minorHAnsi"/>
        </w:rPr>
        <w:t xml:space="preserve"> </w:t>
      </w:r>
      <w:r w:rsidR="00C407D0">
        <w:rPr>
          <w:rFonts w:cstheme="minorHAnsi"/>
        </w:rPr>
        <w:t>derive</w:t>
      </w:r>
      <w:r w:rsidR="00FB54B8">
        <w:rPr>
          <w:rFonts w:cstheme="minorHAnsi"/>
        </w:rPr>
        <w:t>d</w:t>
      </w:r>
      <w:r w:rsidR="00C407D0">
        <w:rPr>
          <w:rFonts w:cstheme="minorHAnsi"/>
        </w:rPr>
        <w:t xml:space="preserve"> from the process</w:t>
      </w:r>
      <w:r w:rsidR="000F569A">
        <w:rPr>
          <w:rFonts w:cstheme="minorHAnsi"/>
        </w:rPr>
        <w:t>es</w:t>
      </w:r>
      <w:r w:rsidR="00C407D0">
        <w:rPr>
          <w:rFonts w:cstheme="minorHAnsi"/>
        </w:rPr>
        <w:t xml:space="preserve"> </w:t>
      </w:r>
      <w:r w:rsidR="000F569A">
        <w:rPr>
          <w:rFonts w:cstheme="minorHAnsi"/>
        </w:rPr>
        <w:t>chosen for</w:t>
      </w:r>
      <w:r w:rsidR="00EA3450">
        <w:rPr>
          <w:rFonts w:cstheme="minorHAnsi"/>
        </w:rPr>
        <w:t xml:space="preserve"> </w:t>
      </w:r>
      <w:r>
        <w:rPr>
          <w:rFonts w:cstheme="minorHAnsi"/>
        </w:rPr>
        <w:t>identif</w:t>
      </w:r>
      <w:r w:rsidR="00C407D0">
        <w:rPr>
          <w:rFonts w:cstheme="minorHAnsi"/>
        </w:rPr>
        <w:t>ying</w:t>
      </w:r>
      <w:r>
        <w:rPr>
          <w:rFonts w:cstheme="minorHAnsi"/>
        </w:rPr>
        <w:t xml:space="preserve"> </w:t>
      </w:r>
      <w:r w:rsidR="00C6463F" w:rsidRPr="004F7641">
        <w:rPr>
          <w:rFonts w:cstheme="minorHAnsi"/>
        </w:rPr>
        <w:t>and synthesi</w:t>
      </w:r>
      <w:r w:rsidR="00C407D0">
        <w:rPr>
          <w:rFonts w:cstheme="minorHAnsi"/>
        </w:rPr>
        <w:t>zing</w:t>
      </w:r>
      <w:r w:rsidR="00C6463F" w:rsidRPr="004F7641">
        <w:rPr>
          <w:rFonts w:cstheme="minorHAnsi"/>
        </w:rPr>
        <w:t xml:space="preserve"> data for the NICE guideline. </w:t>
      </w:r>
      <w:r w:rsidR="008C19B5">
        <w:rPr>
          <w:rFonts w:cstheme="minorHAnsi"/>
        </w:rPr>
        <w:t xml:space="preserve">For full details of </w:t>
      </w:r>
      <w:r w:rsidR="00C407D0">
        <w:rPr>
          <w:rFonts w:cstheme="minorHAnsi"/>
        </w:rPr>
        <w:t>concerns over</w:t>
      </w:r>
      <w:r>
        <w:rPr>
          <w:rFonts w:cstheme="minorHAnsi"/>
        </w:rPr>
        <w:t xml:space="preserve"> the </w:t>
      </w:r>
      <w:r w:rsidR="009777AA">
        <w:rPr>
          <w:rFonts w:cstheme="minorHAnsi"/>
        </w:rPr>
        <w:t xml:space="preserve">review </w:t>
      </w:r>
      <w:r>
        <w:rPr>
          <w:rFonts w:cstheme="minorHAnsi"/>
        </w:rPr>
        <w:t>process,</w:t>
      </w:r>
      <w:r w:rsidR="008C19B5">
        <w:rPr>
          <w:rFonts w:cstheme="minorHAnsi"/>
        </w:rPr>
        <w:t xml:space="preserve"> please refer to </w:t>
      </w:r>
      <w:r w:rsidR="00C407D0">
        <w:rPr>
          <w:rFonts w:cstheme="minorHAnsi"/>
        </w:rPr>
        <w:t xml:space="preserve">the </w:t>
      </w:r>
      <w:r w:rsidR="009A5090">
        <w:rPr>
          <w:rFonts w:cstheme="minorHAnsi"/>
        </w:rPr>
        <w:t>response</w:t>
      </w:r>
      <w:r w:rsidR="00FB54B8">
        <w:rPr>
          <w:rFonts w:cstheme="minorHAnsi"/>
        </w:rPr>
        <w:t>s</w:t>
      </w:r>
      <w:r w:rsidR="009A5090">
        <w:rPr>
          <w:rFonts w:cstheme="minorHAnsi"/>
        </w:rPr>
        <w:t xml:space="preserve"> to consultation </w:t>
      </w:r>
      <w:r w:rsidR="00F44BDE">
        <w:rPr>
          <w:rFonts w:cstheme="minorHAnsi"/>
        </w:rPr>
        <w:t>of</w:t>
      </w:r>
      <w:r w:rsidR="00C407D0">
        <w:rPr>
          <w:rFonts w:cstheme="minorHAnsi"/>
        </w:rPr>
        <w:t xml:space="preserve"> </w:t>
      </w:r>
      <w:r w:rsidR="009A5090">
        <w:rPr>
          <w:rFonts w:cstheme="minorHAnsi"/>
        </w:rPr>
        <w:t xml:space="preserve">the draft guideline </w:t>
      </w:r>
      <w:r w:rsidR="008C19B5">
        <w:rPr>
          <w:rFonts w:cstheme="minorHAnsi"/>
        </w:rPr>
        <w:t xml:space="preserve">by four Royal Colleges </w:t>
      </w:r>
      <w:r w:rsidR="00D52747">
        <w:rPr>
          <w:rFonts w:cstheme="minorHAnsi"/>
        </w:rPr>
        <w:t xml:space="preserve">of Medicine </w:t>
      </w:r>
      <w:r w:rsidR="008C19B5">
        <w:rPr>
          <w:rFonts w:cstheme="minorHAnsi"/>
        </w:rPr>
        <w:t>and the Association of British Neurologists</w:t>
      </w:r>
      <w:r w:rsidR="00046DBF">
        <w:rPr>
          <w:rFonts w:cstheme="minorHAnsi"/>
        </w:rPr>
        <w:t>,</w:t>
      </w:r>
      <w:r w:rsidR="008C19B5">
        <w:rPr>
          <w:rFonts w:cstheme="minorHAnsi"/>
        </w:rPr>
        <w:t xml:space="preserve"> </w:t>
      </w:r>
      <w:r w:rsidR="00E5175A">
        <w:rPr>
          <w:rFonts w:cstheme="minorHAnsi"/>
        </w:rPr>
        <w:t>among other</w:t>
      </w:r>
      <w:r w:rsidR="00AF0264">
        <w:rPr>
          <w:rFonts w:cstheme="minorHAnsi"/>
        </w:rPr>
        <w:t>s</w:t>
      </w:r>
      <w:r w:rsidR="00E5175A">
        <w:rPr>
          <w:rFonts w:cstheme="minorHAnsi"/>
        </w:rPr>
        <w:t xml:space="preserve">, </w:t>
      </w:r>
      <w:r w:rsidR="008C19B5">
        <w:rPr>
          <w:rFonts w:cstheme="minorHAnsi"/>
        </w:rPr>
        <w:t>which are available on the NICE Guideline website</w:t>
      </w:r>
      <w:r w:rsidR="00E5175A">
        <w:rPr>
          <w:rFonts w:cstheme="minorHAnsi"/>
        </w:rPr>
        <w:t>.</w:t>
      </w:r>
      <w:r w:rsidR="00FD6083">
        <w:rPr>
          <w:rFonts w:cstheme="minorHAnsi"/>
          <w:vertAlign w:val="superscript"/>
        </w:rPr>
        <w:t>21, 22</w:t>
      </w:r>
      <w:r w:rsidR="00F104C4">
        <w:rPr>
          <w:rFonts w:cstheme="minorHAnsi"/>
          <w:vertAlign w:val="superscript"/>
        </w:rPr>
        <w:t xml:space="preserve"> </w:t>
      </w:r>
      <w:r w:rsidR="009A5090">
        <w:rPr>
          <w:rFonts w:cstheme="minorHAnsi"/>
        </w:rPr>
        <w:t xml:space="preserve">There was </w:t>
      </w:r>
      <w:r w:rsidR="00AC4AB9">
        <w:rPr>
          <w:rFonts w:cstheme="minorHAnsi"/>
        </w:rPr>
        <w:t xml:space="preserve">a </w:t>
      </w:r>
      <w:r w:rsidR="009A5090">
        <w:rPr>
          <w:rFonts w:cstheme="minorHAnsi"/>
        </w:rPr>
        <w:t xml:space="preserve">remarkable consistency in the criticisms </w:t>
      </w:r>
      <w:r w:rsidR="00F104C4">
        <w:rPr>
          <w:rFonts w:cstheme="minorHAnsi"/>
        </w:rPr>
        <w:t>made by</w:t>
      </w:r>
      <w:r w:rsidR="009A5090">
        <w:rPr>
          <w:rFonts w:cstheme="minorHAnsi"/>
        </w:rPr>
        <w:t xml:space="preserve"> these organisations.</w:t>
      </w:r>
    </w:p>
    <w:tbl>
      <w:tblPr>
        <w:tblStyle w:val="TableGrid"/>
        <w:tblW w:w="0" w:type="auto"/>
        <w:tblLook w:val="04A0" w:firstRow="1" w:lastRow="0" w:firstColumn="1" w:lastColumn="0" w:noHBand="0" w:noVBand="1"/>
      </w:tblPr>
      <w:tblGrid>
        <w:gridCol w:w="9016"/>
      </w:tblGrid>
      <w:tr w:rsidR="00711320" w:rsidRPr="00E84F36" w14:paraId="4CA56967" w14:textId="77777777" w:rsidTr="007A516A">
        <w:trPr>
          <w:trHeight w:val="2526"/>
        </w:trPr>
        <w:tc>
          <w:tcPr>
            <w:tcW w:w="9016" w:type="dxa"/>
            <w:shd w:val="clear" w:color="auto" w:fill="DEEAF6" w:themeFill="accent5" w:themeFillTint="33"/>
          </w:tcPr>
          <w:p w14:paraId="28CEDC1B" w14:textId="26E536CB" w:rsidR="00711320" w:rsidRDefault="00711320" w:rsidP="007544AE">
            <w:pPr>
              <w:spacing w:line="480" w:lineRule="auto"/>
              <w:rPr>
                <w:rFonts w:cstheme="minorHAnsi"/>
                <w:b/>
                <w:bCs/>
              </w:rPr>
            </w:pPr>
            <w:r w:rsidRPr="004772DA">
              <w:rPr>
                <w:rFonts w:cstheme="minorHAnsi"/>
                <w:b/>
                <w:bCs/>
              </w:rPr>
              <w:t xml:space="preserve">Box </w:t>
            </w:r>
            <w:r w:rsidR="00B26B40">
              <w:rPr>
                <w:rFonts w:cstheme="minorHAnsi"/>
                <w:b/>
                <w:bCs/>
              </w:rPr>
              <w:t>2</w:t>
            </w:r>
            <w:r w:rsidRPr="004772DA">
              <w:rPr>
                <w:rFonts w:cstheme="minorHAnsi"/>
                <w:b/>
                <w:bCs/>
              </w:rPr>
              <w:t>.</w:t>
            </w:r>
            <w:r w:rsidR="00872060">
              <w:rPr>
                <w:rFonts w:cstheme="minorHAnsi"/>
                <w:b/>
                <w:bCs/>
              </w:rPr>
              <w:t xml:space="preserve"> </w:t>
            </w:r>
            <w:r w:rsidR="00FB54B8">
              <w:rPr>
                <w:rFonts w:cstheme="minorHAnsi"/>
                <w:b/>
                <w:bCs/>
              </w:rPr>
              <w:t>E</w:t>
            </w:r>
            <w:r w:rsidR="00C407D0">
              <w:rPr>
                <w:rFonts w:cstheme="minorHAnsi"/>
                <w:b/>
                <w:bCs/>
              </w:rPr>
              <w:t xml:space="preserve">ight </w:t>
            </w:r>
            <w:r w:rsidR="007A52B6">
              <w:rPr>
                <w:rFonts w:cstheme="minorHAnsi"/>
                <w:b/>
                <w:bCs/>
              </w:rPr>
              <w:t>anomalies</w:t>
            </w:r>
            <w:r w:rsidR="00C407D0">
              <w:rPr>
                <w:rFonts w:cstheme="minorHAnsi"/>
                <w:b/>
                <w:bCs/>
              </w:rPr>
              <w:t xml:space="preserve"> </w:t>
            </w:r>
            <w:r w:rsidR="007A52B6">
              <w:rPr>
                <w:rFonts w:cstheme="minorHAnsi"/>
                <w:b/>
                <w:bCs/>
              </w:rPr>
              <w:t>of</w:t>
            </w:r>
            <w:r w:rsidR="00C407D0">
              <w:rPr>
                <w:rFonts w:cstheme="minorHAnsi"/>
                <w:b/>
                <w:bCs/>
              </w:rPr>
              <w:t xml:space="preserve"> the </w:t>
            </w:r>
            <w:r w:rsidR="00872060">
              <w:rPr>
                <w:rFonts w:cstheme="minorHAnsi"/>
                <w:b/>
                <w:bCs/>
              </w:rPr>
              <w:t>NICE</w:t>
            </w:r>
            <w:r w:rsidR="00046DBF">
              <w:rPr>
                <w:rFonts w:cstheme="minorHAnsi"/>
                <w:b/>
                <w:bCs/>
              </w:rPr>
              <w:t xml:space="preserve"> committee</w:t>
            </w:r>
            <w:r w:rsidR="00872060">
              <w:rPr>
                <w:rFonts w:cstheme="minorHAnsi"/>
                <w:b/>
                <w:bCs/>
              </w:rPr>
              <w:t xml:space="preserve">’s </w:t>
            </w:r>
            <w:r w:rsidR="004F59A0">
              <w:rPr>
                <w:rFonts w:cstheme="minorHAnsi"/>
                <w:b/>
                <w:bCs/>
              </w:rPr>
              <w:t>CFS/ME</w:t>
            </w:r>
            <w:r w:rsidRPr="004772DA">
              <w:rPr>
                <w:rFonts w:cstheme="minorHAnsi"/>
                <w:b/>
                <w:bCs/>
              </w:rPr>
              <w:t xml:space="preserve"> 2021 guideline process</w:t>
            </w:r>
            <w:r w:rsidR="004767D9">
              <w:rPr>
                <w:rFonts w:cstheme="minorHAnsi"/>
                <w:b/>
                <w:bCs/>
              </w:rPr>
              <w:t xml:space="preserve"> and </w:t>
            </w:r>
            <w:r w:rsidR="00C407D0">
              <w:rPr>
                <w:rFonts w:cstheme="minorHAnsi"/>
                <w:b/>
                <w:bCs/>
              </w:rPr>
              <w:t>conclusions</w:t>
            </w:r>
          </w:p>
          <w:p w14:paraId="22DEC789" w14:textId="77777777" w:rsidR="00711320" w:rsidRPr="004772DA" w:rsidRDefault="00711320" w:rsidP="007544AE">
            <w:pPr>
              <w:spacing w:line="480" w:lineRule="auto"/>
              <w:rPr>
                <w:rFonts w:cstheme="minorHAnsi"/>
                <w:b/>
                <w:bCs/>
              </w:rPr>
            </w:pPr>
          </w:p>
          <w:p w14:paraId="5799906F" w14:textId="101FCEBF" w:rsidR="00711320" w:rsidRPr="004772DA" w:rsidRDefault="005F22F0" w:rsidP="007544AE">
            <w:pPr>
              <w:pStyle w:val="ListParagraph"/>
              <w:numPr>
                <w:ilvl w:val="0"/>
                <w:numId w:val="9"/>
              </w:numPr>
              <w:spacing w:line="480" w:lineRule="auto"/>
              <w:rPr>
                <w:rFonts w:cstheme="minorHAnsi"/>
              </w:rPr>
            </w:pPr>
            <w:r>
              <w:rPr>
                <w:rFonts w:cstheme="minorHAnsi"/>
              </w:rPr>
              <w:t xml:space="preserve">The </w:t>
            </w:r>
            <w:r w:rsidR="00CE356F">
              <w:rPr>
                <w:rFonts w:cstheme="minorHAnsi"/>
              </w:rPr>
              <w:t>use</w:t>
            </w:r>
            <w:r w:rsidR="00FB54B8">
              <w:rPr>
                <w:rFonts w:cstheme="minorHAnsi"/>
              </w:rPr>
              <w:t xml:space="preserve"> of</w:t>
            </w:r>
            <w:r w:rsidR="00872060">
              <w:rPr>
                <w:rFonts w:cstheme="minorHAnsi"/>
              </w:rPr>
              <w:t xml:space="preserve"> </w:t>
            </w:r>
            <w:r w:rsidR="00711320" w:rsidRPr="00E84F36">
              <w:rPr>
                <w:rFonts w:cstheme="minorHAnsi"/>
              </w:rPr>
              <w:t xml:space="preserve">a new definition of </w:t>
            </w:r>
            <w:r w:rsidR="004F59A0">
              <w:rPr>
                <w:rFonts w:cstheme="minorHAnsi"/>
              </w:rPr>
              <w:t>CFS/ME</w:t>
            </w:r>
            <w:r>
              <w:rPr>
                <w:rFonts w:cstheme="minorHAnsi"/>
              </w:rPr>
              <w:t xml:space="preserve"> </w:t>
            </w:r>
            <w:r w:rsidR="0095464C" w:rsidRPr="00E84F36">
              <w:rPr>
                <w:rFonts w:cstheme="minorHAnsi"/>
              </w:rPr>
              <w:t>down</w:t>
            </w:r>
            <w:r w:rsidR="0095464C">
              <w:rPr>
                <w:rFonts w:cstheme="minorHAnsi"/>
              </w:rPr>
              <w:t>graded</w:t>
            </w:r>
            <w:r w:rsidR="00711320" w:rsidRPr="00E84F36">
              <w:rPr>
                <w:rFonts w:cstheme="minorHAnsi"/>
              </w:rPr>
              <w:t xml:space="preserve"> </w:t>
            </w:r>
            <w:r w:rsidR="007E7114">
              <w:rPr>
                <w:rFonts w:cstheme="minorHAnsi"/>
              </w:rPr>
              <w:t xml:space="preserve">the certainty </w:t>
            </w:r>
            <w:r w:rsidR="00711320" w:rsidRPr="00E84F36">
              <w:rPr>
                <w:rFonts w:cstheme="minorHAnsi"/>
              </w:rPr>
              <w:t xml:space="preserve">of  </w:t>
            </w:r>
            <w:r w:rsidR="00872060">
              <w:rPr>
                <w:rFonts w:cstheme="minorHAnsi"/>
              </w:rPr>
              <w:t xml:space="preserve">trial </w:t>
            </w:r>
            <w:r w:rsidR="007E7114">
              <w:rPr>
                <w:rFonts w:cstheme="minorHAnsi"/>
              </w:rPr>
              <w:t>evidence</w:t>
            </w:r>
          </w:p>
          <w:p w14:paraId="3946DEF9" w14:textId="5CA589EF" w:rsidR="00711320" w:rsidRPr="00E84F36" w:rsidRDefault="00872060" w:rsidP="007544AE">
            <w:pPr>
              <w:pStyle w:val="ListParagraph"/>
              <w:numPr>
                <w:ilvl w:val="0"/>
                <w:numId w:val="9"/>
              </w:numPr>
              <w:spacing w:line="480" w:lineRule="auto"/>
              <w:rPr>
                <w:rFonts w:cstheme="minorHAnsi"/>
              </w:rPr>
            </w:pPr>
            <w:r>
              <w:rPr>
                <w:rFonts w:cstheme="minorHAnsi"/>
              </w:rPr>
              <w:t>Omi</w:t>
            </w:r>
            <w:r w:rsidR="00FB54B8">
              <w:rPr>
                <w:rFonts w:cstheme="minorHAnsi"/>
              </w:rPr>
              <w:t xml:space="preserve">ssion of </w:t>
            </w:r>
            <w:r w:rsidR="00FC7D8C">
              <w:rPr>
                <w:rFonts w:cstheme="minorHAnsi"/>
              </w:rPr>
              <w:t xml:space="preserve">outcome </w:t>
            </w:r>
            <w:r w:rsidR="007E7114">
              <w:rPr>
                <w:rFonts w:cstheme="minorHAnsi"/>
              </w:rPr>
              <w:t>data</w:t>
            </w:r>
            <w:r>
              <w:rPr>
                <w:rFonts w:cstheme="minorHAnsi"/>
              </w:rPr>
              <w:t xml:space="preserve"> </w:t>
            </w:r>
            <w:r w:rsidR="00711320" w:rsidRPr="00E84F36">
              <w:rPr>
                <w:rFonts w:cstheme="minorHAnsi"/>
              </w:rPr>
              <w:t xml:space="preserve">from </w:t>
            </w:r>
            <w:r w:rsidR="007E7114">
              <w:rPr>
                <w:rFonts w:cstheme="minorHAnsi"/>
              </w:rPr>
              <w:t>standard trial</w:t>
            </w:r>
            <w:r w:rsidR="00782591">
              <w:rPr>
                <w:rFonts w:cstheme="minorHAnsi"/>
              </w:rPr>
              <w:t xml:space="preserve"> end</w:t>
            </w:r>
            <w:r w:rsidR="00782591" w:rsidRPr="00E84F36">
              <w:rPr>
                <w:rFonts w:cstheme="minorHAnsi"/>
              </w:rPr>
              <w:t xml:space="preserve"> </w:t>
            </w:r>
            <w:r w:rsidR="00711320" w:rsidRPr="00E84F36">
              <w:rPr>
                <w:rFonts w:cstheme="minorHAnsi"/>
              </w:rPr>
              <w:t xml:space="preserve">points </w:t>
            </w:r>
            <w:r w:rsidR="00A256C2">
              <w:rPr>
                <w:rFonts w:cstheme="minorHAnsi"/>
              </w:rPr>
              <w:t>used to assess efficacy</w:t>
            </w:r>
          </w:p>
          <w:p w14:paraId="5785AE68" w14:textId="2F4B3394" w:rsidR="00711320" w:rsidRPr="00E84F36" w:rsidRDefault="007E7114" w:rsidP="007544AE">
            <w:pPr>
              <w:pStyle w:val="ListParagraph"/>
              <w:numPr>
                <w:ilvl w:val="0"/>
                <w:numId w:val="9"/>
              </w:numPr>
              <w:spacing w:line="480" w:lineRule="auto"/>
              <w:rPr>
                <w:rFonts w:cstheme="minorHAnsi"/>
              </w:rPr>
            </w:pPr>
            <w:r w:rsidRPr="007E7114">
              <w:rPr>
                <w:rFonts w:cstheme="minorHAnsi"/>
              </w:rPr>
              <w:t>Discount</w:t>
            </w:r>
            <w:r w:rsidR="00FB54B8">
              <w:rPr>
                <w:rFonts w:cstheme="minorHAnsi"/>
              </w:rPr>
              <w:t>ing</w:t>
            </w:r>
            <w:r w:rsidRPr="007E7114">
              <w:rPr>
                <w:rFonts w:cstheme="minorHAnsi"/>
              </w:rPr>
              <w:t xml:space="preserve"> trial data when assessing </w:t>
            </w:r>
            <w:r w:rsidR="007852F4">
              <w:rPr>
                <w:rFonts w:cstheme="minorHAnsi"/>
              </w:rPr>
              <w:t xml:space="preserve">treatment </w:t>
            </w:r>
            <w:r w:rsidRPr="007E7114">
              <w:rPr>
                <w:rFonts w:cstheme="minorHAnsi"/>
              </w:rPr>
              <w:t xml:space="preserve">harm in favour of lower quality </w:t>
            </w:r>
            <w:r w:rsidR="00C414CF">
              <w:rPr>
                <w:rFonts w:cstheme="minorHAnsi"/>
              </w:rPr>
              <w:t>reports</w:t>
            </w:r>
          </w:p>
          <w:p w14:paraId="3E80AB51" w14:textId="46E546EB" w:rsidR="00711320" w:rsidRDefault="00FB54B8" w:rsidP="007544AE">
            <w:pPr>
              <w:pStyle w:val="ListParagraph"/>
              <w:numPr>
                <w:ilvl w:val="0"/>
                <w:numId w:val="9"/>
              </w:numPr>
              <w:spacing w:line="480" w:lineRule="auto"/>
              <w:rPr>
                <w:rFonts w:cstheme="minorHAnsi"/>
              </w:rPr>
            </w:pPr>
            <w:r>
              <w:rPr>
                <w:rFonts w:cstheme="minorHAnsi"/>
              </w:rPr>
              <w:t>M</w:t>
            </w:r>
            <w:r w:rsidR="00C407D0">
              <w:rPr>
                <w:rFonts w:cstheme="minorHAnsi"/>
              </w:rPr>
              <w:t>inimiz</w:t>
            </w:r>
            <w:r>
              <w:rPr>
                <w:rFonts w:cstheme="minorHAnsi"/>
              </w:rPr>
              <w:t xml:space="preserve">ation of </w:t>
            </w:r>
            <w:r w:rsidR="00DC2BB9">
              <w:rPr>
                <w:rFonts w:cstheme="minorHAnsi"/>
              </w:rPr>
              <w:t xml:space="preserve">the importance of </w:t>
            </w:r>
            <w:r w:rsidR="00711320" w:rsidRPr="00E84F36">
              <w:rPr>
                <w:rFonts w:cstheme="minorHAnsi"/>
              </w:rPr>
              <w:t xml:space="preserve">fatigue </w:t>
            </w:r>
            <w:r w:rsidR="00872060">
              <w:rPr>
                <w:rFonts w:cstheme="minorHAnsi"/>
              </w:rPr>
              <w:t>as a</w:t>
            </w:r>
            <w:r w:rsidR="00DC2BB9">
              <w:rPr>
                <w:rFonts w:cstheme="minorHAnsi"/>
              </w:rPr>
              <w:t>n outcome</w:t>
            </w:r>
          </w:p>
          <w:p w14:paraId="0B278CCC" w14:textId="30879680" w:rsidR="00F35FE5" w:rsidRDefault="00FB54B8" w:rsidP="007544AE">
            <w:pPr>
              <w:pStyle w:val="ListParagraph"/>
              <w:numPr>
                <w:ilvl w:val="0"/>
                <w:numId w:val="9"/>
              </w:numPr>
              <w:spacing w:line="480" w:lineRule="auto"/>
              <w:rPr>
                <w:rFonts w:cstheme="minorHAnsi"/>
              </w:rPr>
            </w:pPr>
            <w:r>
              <w:rPr>
                <w:rFonts w:cstheme="minorHAnsi"/>
              </w:rPr>
              <w:t>N</w:t>
            </w:r>
            <w:r w:rsidR="00E22DA3">
              <w:rPr>
                <w:rFonts w:cstheme="minorHAnsi"/>
              </w:rPr>
              <w:t>o</w:t>
            </w:r>
            <w:r w:rsidR="00C407D0">
              <w:rPr>
                <w:rFonts w:cstheme="minorHAnsi"/>
              </w:rPr>
              <w:t>n-standard</w:t>
            </w:r>
            <w:r w:rsidR="002E2D2B">
              <w:rPr>
                <w:rFonts w:cstheme="minorHAnsi"/>
              </w:rPr>
              <w:t xml:space="preserve"> use of </w:t>
            </w:r>
            <w:r w:rsidR="00872060">
              <w:rPr>
                <w:rFonts w:cstheme="minorHAnsi"/>
              </w:rPr>
              <w:t>GRADE</w:t>
            </w:r>
            <w:r w:rsidR="00DC2BB9">
              <w:rPr>
                <w:rFonts w:cstheme="minorHAnsi"/>
              </w:rPr>
              <w:t xml:space="preserve"> </w:t>
            </w:r>
            <w:r w:rsidR="002E2D2B">
              <w:rPr>
                <w:rFonts w:cstheme="minorHAnsi"/>
              </w:rPr>
              <w:t xml:space="preserve">to assess the </w:t>
            </w:r>
            <w:r w:rsidR="00DC2BB9">
              <w:rPr>
                <w:rFonts w:cstheme="minorHAnsi"/>
              </w:rPr>
              <w:t xml:space="preserve">trial </w:t>
            </w:r>
            <w:r w:rsidR="0054318E">
              <w:rPr>
                <w:rFonts w:cstheme="minorHAnsi"/>
              </w:rPr>
              <w:t>evidence</w:t>
            </w:r>
          </w:p>
          <w:p w14:paraId="69B66A17" w14:textId="0BBAE444" w:rsidR="00EE4A8E" w:rsidRPr="00EE4A8E" w:rsidRDefault="00FB54B8" w:rsidP="007544AE">
            <w:pPr>
              <w:pStyle w:val="ListParagraph"/>
              <w:numPr>
                <w:ilvl w:val="0"/>
                <w:numId w:val="9"/>
              </w:numPr>
              <w:spacing w:line="480" w:lineRule="auto"/>
              <w:rPr>
                <w:rFonts w:cstheme="minorHAnsi"/>
              </w:rPr>
            </w:pPr>
            <w:r>
              <w:rPr>
                <w:rFonts w:cstheme="minorHAnsi"/>
              </w:rPr>
              <w:t>I</w:t>
            </w:r>
            <w:r w:rsidR="002E2D2B">
              <w:rPr>
                <w:rFonts w:cstheme="minorHAnsi"/>
              </w:rPr>
              <w:t>nterpretation of</w:t>
            </w:r>
            <w:r w:rsidR="00EE4A8E" w:rsidRPr="00EE4A8E">
              <w:rPr>
                <w:rFonts w:cstheme="minorHAnsi"/>
              </w:rPr>
              <w:t xml:space="preserve"> graded exercise therapy as </w:t>
            </w:r>
            <w:r w:rsidR="00FC7519">
              <w:rPr>
                <w:rFonts w:cstheme="minorHAnsi"/>
              </w:rPr>
              <w:t>mandating</w:t>
            </w:r>
            <w:r w:rsidR="00EE51F6">
              <w:rPr>
                <w:rFonts w:cstheme="minorHAnsi"/>
              </w:rPr>
              <w:t xml:space="preserve"> </w:t>
            </w:r>
            <w:r w:rsidR="00EE4A8E" w:rsidRPr="00EE4A8E">
              <w:rPr>
                <w:rFonts w:cstheme="minorHAnsi"/>
              </w:rPr>
              <w:t xml:space="preserve">fixed increments of change when  trials </w:t>
            </w:r>
            <w:r w:rsidR="00EE51F6">
              <w:rPr>
                <w:rFonts w:cstheme="minorHAnsi"/>
              </w:rPr>
              <w:t xml:space="preserve">defined </w:t>
            </w:r>
            <w:r w:rsidR="00EE4A8E" w:rsidRPr="00EE4A8E">
              <w:rPr>
                <w:rFonts w:cstheme="minorHAnsi"/>
              </w:rPr>
              <w:t>it as collaborative</w:t>
            </w:r>
            <w:r w:rsidR="00EE51F6">
              <w:rPr>
                <w:rFonts w:cstheme="minorHAnsi"/>
              </w:rPr>
              <w:t>, negotiated,</w:t>
            </w:r>
            <w:r w:rsidR="00EE4A8E" w:rsidRPr="00EE4A8E">
              <w:rPr>
                <w:rFonts w:cstheme="minorHAnsi"/>
              </w:rPr>
              <w:t xml:space="preserve"> and symptom dependent</w:t>
            </w:r>
          </w:p>
          <w:p w14:paraId="4A449F15" w14:textId="1BD3C8D1" w:rsidR="004767D9" w:rsidRDefault="002E2D2B" w:rsidP="007544AE">
            <w:pPr>
              <w:pStyle w:val="ListParagraph"/>
              <w:numPr>
                <w:ilvl w:val="0"/>
                <w:numId w:val="9"/>
              </w:numPr>
              <w:spacing w:line="480" w:lineRule="auto"/>
              <w:rPr>
                <w:rFonts w:cstheme="minorHAnsi"/>
              </w:rPr>
            </w:pPr>
            <w:r>
              <w:rPr>
                <w:rFonts w:cstheme="minorHAnsi"/>
              </w:rPr>
              <w:t>Inconsistency with</w:t>
            </w:r>
            <w:r w:rsidR="00F75022" w:rsidRPr="00F75022">
              <w:rPr>
                <w:rFonts w:cstheme="minorHAnsi"/>
              </w:rPr>
              <w:t xml:space="preserve"> NICE recommendations </w:t>
            </w:r>
            <w:r w:rsidR="00982CA1">
              <w:rPr>
                <w:rFonts w:cstheme="minorHAnsi"/>
              </w:rPr>
              <w:t>of</w:t>
            </w:r>
            <w:r w:rsidR="00F75022" w:rsidRPr="00F75022">
              <w:rPr>
                <w:rFonts w:cstheme="minorHAnsi"/>
              </w:rPr>
              <w:t xml:space="preserve"> rehabilitation </w:t>
            </w:r>
            <w:r w:rsidR="00982CA1">
              <w:rPr>
                <w:rFonts w:cstheme="minorHAnsi"/>
              </w:rPr>
              <w:t>for</w:t>
            </w:r>
            <w:r w:rsidR="00F75022" w:rsidRPr="00F75022">
              <w:rPr>
                <w:rFonts w:cstheme="minorHAnsi"/>
              </w:rPr>
              <w:t xml:space="preserve"> related conditions, such as chronic primary pain</w:t>
            </w:r>
          </w:p>
          <w:p w14:paraId="69390C9A" w14:textId="6F6BF2B7" w:rsidR="00711320" w:rsidRPr="0070354A" w:rsidRDefault="00872060" w:rsidP="0070354A">
            <w:pPr>
              <w:pStyle w:val="ListParagraph"/>
              <w:numPr>
                <w:ilvl w:val="0"/>
                <w:numId w:val="9"/>
              </w:numPr>
              <w:spacing w:line="480" w:lineRule="auto"/>
              <w:rPr>
                <w:rFonts w:cstheme="minorHAnsi"/>
              </w:rPr>
            </w:pPr>
            <w:r w:rsidRPr="0070354A">
              <w:rPr>
                <w:rFonts w:cstheme="minorHAnsi"/>
              </w:rPr>
              <w:t>Recommend</w:t>
            </w:r>
            <w:r w:rsidR="00FB54B8">
              <w:rPr>
                <w:rFonts w:cstheme="minorHAnsi"/>
              </w:rPr>
              <w:t xml:space="preserve">ation of </w:t>
            </w:r>
            <w:r w:rsidR="00656ED1" w:rsidRPr="0070354A">
              <w:rPr>
                <w:rFonts w:cstheme="minorHAnsi"/>
              </w:rPr>
              <w:t>a</w:t>
            </w:r>
            <w:r w:rsidR="00F75022" w:rsidRPr="0070354A">
              <w:rPr>
                <w:rFonts w:cstheme="minorHAnsi"/>
              </w:rPr>
              <w:t>n energy</w:t>
            </w:r>
            <w:r w:rsidR="00656ED1" w:rsidRPr="0070354A">
              <w:rPr>
                <w:rFonts w:cstheme="minorHAnsi"/>
              </w:rPr>
              <w:t xml:space="preserve"> management approach in the absence of </w:t>
            </w:r>
            <w:r w:rsidR="00F75022" w:rsidRPr="0070354A">
              <w:rPr>
                <w:rFonts w:cstheme="minorHAnsi"/>
              </w:rPr>
              <w:t>supportive research evidence</w:t>
            </w:r>
          </w:p>
        </w:tc>
      </w:tr>
    </w:tbl>
    <w:p w14:paraId="563B1F5C" w14:textId="77777777" w:rsidR="00C6463F" w:rsidRDefault="00C6463F" w:rsidP="007544AE">
      <w:pPr>
        <w:spacing w:line="480" w:lineRule="auto"/>
        <w:rPr>
          <w:rFonts w:cstheme="minorHAnsi"/>
          <w:b/>
          <w:bCs/>
        </w:rPr>
      </w:pPr>
    </w:p>
    <w:p w14:paraId="0C0F98A3" w14:textId="59675F35" w:rsidR="00711320" w:rsidRPr="00AF0264" w:rsidRDefault="004C6A7E" w:rsidP="00AF0264">
      <w:pPr>
        <w:spacing w:line="480" w:lineRule="auto"/>
        <w:rPr>
          <w:rFonts w:cstheme="minorHAnsi"/>
          <w:b/>
          <w:bCs/>
        </w:rPr>
      </w:pPr>
      <w:r w:rsidRPr="00AF0264">
        <w:rPr>
          <w:rFonts w:cstheme="minorHAnsi"/>
          <w:b/>
          <w:bCs/>
        </w:rPr>
        <w:t xml:space="preserve">1. </w:t>
      </w:r>
      <w:r w:rsidR="008617C7">
        <w:rPr>
          <w:rFonts w:cstheme="minorHAnsi"/>
          <w:b/>
          <w:bCs/>
        </w:rPr>
        <w:t>Use</w:t>
      </w:r>
      <w:r w:rsidR="005F22F0">
        <w:rPr>
          <w:rFonts w:cstheme="minorHAnsi"/>
          <w:b/>
          <w:bCs/>
        </w:rPr>
        <w:t xml:space="preserve"> of a new </w:t>
      </w:r>
      <w:r w:rsidR="00711320" w:rsidRPr="00AF0264">
        <w:rPr>
          <w:rFonts w:cstheme="minorHAnsi"/>
          <w:b/>
          <w:bCs/>
        </w:rPr>
        <w:t xml:space="preserve"> definition of </w:t>
      </w:r>
      <w:r w:rsidR="004F59A0" w:rsidRPr="00AF0264">
        <w:rPr>
          <w:rFonts w:cstheme="minorHAnsi"/>
          <w:b/>
          <w:bCs/>
        </w:rPr>
        <w:t>CFS/ME</w:t>
      </w:r>
      <w:r w:rsidR="0070354A">
        <w:rPr>
          <w:rFonts w:cstheme="minorHAnsi"/>
          <w:b/>
          <w:bCs/>
        </w:rPr>
        <w:t xml:space="preserve"> </w:t>
      </w:r>
      <w:r w:rsidR="0095464C" w:rsidRPr="00AF0264">
        <w:rPr>
          <w:rFonts w:cstheme="minorHAnsi"/>
          <w:b/>
          <w:bCs/>
        </w:rPr>
        <w:t>down</w:t>
      </w:r>
      <w:r w:rsidR="0095464C">
        <w:rPr>
          <w:rFonts w:cstheme="minorHAnsi"/>
          <w:b/>
          <w:bCs/>
        </w:rPr>
        <w:t>graded</w:t>
      </w:r>
      <w:r w:rsidR="00A772A8">
        <w:rPr>
          <w:rFonts w:cstheme="minorHAnsi"/>
          <w:b/>
          <w:bCs/>
        </w:rPr>
        <w:t xml:space="preserve"> the certainty of trial evidence</w:t>
      </w:r>
      <w:r w:rsidR="00872060" w:rsidRPr="00AF0264">
        <w:rPr>
          <w:rFonts w:cstheme="minorHAnsi"/>
          <w:b/>
          <w:bCs/>
        </w:rPr>
        <w:t xml:space="preserve"> </w:t>
      </w:r>
    </w:p>
    <w:p w14:paraId="3D0766EA" w14:textId="57A17F14" w:rsidR="0097710A" w:rsidRDefault="00710476" w:rsidP="007544AE">
      <w:pPr>
        <w:spacing w:line="480" w:lineRule="auto"/>
        <w:rPr>
          <w:rFonts w:cstheme="minorHAnsi"/>
        </w:rPr>
      </w:pPr>
      <w:r>
        <w:rPr>
          <w:rFonts w:cstheme="minorHAnsi"/>
          <w:bCs/>
        </w:rPr>
        <w:t>A</w:t>
      </w:r>
      <w:r w:rsidR="00711320">
        <w:rPr>
          <w:rFonts w:cstheme="minorHAnsi"/>
          <w:bCs/>
        </w:rPr>
        <w:t xml:space="preserve"> new set of diagnostic criteria for </w:t>
      </w:r>
      <w:r w:rsidR="004F59A0">
        <w:rPr>
          <w:rFonts w:cstheme="minorHAnsi"/>
          <w:bCs/>
        </w:rPr>
        <w:t>CFS/ME</w:t>
      </w:r>
      <w:r w:rsidR="00711320">
        <w:rPr>
          <w:rFonts w:cstheme="minorHAnsi"/>
          <w:bCs/>
        </w:rPr>
        <w:t xml:space="preserve"> was devised </w:t>
      </w:r>
      <w:r w:rsidR="009A5090">
        <w:rPr>
          <w:rFonts w:cstheme="minorHAnsi"/>
          <w:bCs/>
        </w:rPr>
        <w:t xml:space="preserve">by the NICE committee creating </w:t>
      </w:r>
      <w:r w:rsidR="00711320">
        <w:rPr>
          <w:rFonts w:cstheme="minorHAnsi"/>
          <w:bCs/>
        </w:rPr>
        <w:t>the</w:t>
      </w:r>
      <w:r w:rsidR="00C97429">
        <w:rPr>
          <w:rFonts w:cstheme="minorHAnsi"/>
          <w:bCs/>
        </w:rPr>
        <w:t xml:space="preserve"> guideline.</w:t>
      </w:r>
      <w:r w:rsidR="00AF0264">
        <w:rPr>
          <w:rFonts w:cstheme="minorHAnsi"/>
          <w:bCs/>
          <w:vertAlign w:val="superscript"/>
        </w:rPr>
        <w:t>6</w:t>
      </w:r>
      <w:r w:rsidR="00797DAE">
        <w:rPr>
          <w:rFonts w:cstheme="minorHAnsi"/>
          <w:bCs/>
        </w:rPr>
        <w:t xml:space="preserve"> </w:t>
      </w:r>
      <w:r w:rsidR="00605E3D">
        <w:rPr>
          <w:rFonts w:cstheme="minorHAnsi"/>
          <w:bCs/>
        </w:rPr>
        <w:t>P</w:t>
      </w:r>
      <w:r w:rsidR="00844FC9">
        <w:rPr>
          <w:rFonts w:cstheme="minorHAnsi"/>
          <w:bCs/>
        </w:rPr>
        <w:t>artially based on a previous</w:t>
      </w:r>
      <w:r w:rsidR="00797DAE">
        <w:rPr>
          <w:rFonts w:cstheme="minorHAnsi"/>
          <w:bCs/>
        </w:rPr>
        <w:t xml:space="preserve"> review of the evidence</w:t>
      </w:r>
      <w:r w:rsidR="00844FC9">
        <w:rPr>
          <w:rFonts w:cstheme="minorHAnsi"/>
          <w:bCs/>
        </w:rPr>
        <w:t>,</w:t>
      </w:r>
      <w:r w:rsidR="00844FC9">
        <w:rPr>
          <w:rFonts w:cstheme="minorHAnsi"/>
          <w:bCs/>
          <w:vertAlign w:val="superscript"/>
        </w:rPr>
        <w:t>1</w:t>
      </w:r>
      <w:r w:rsidR="00D8445B">
        <w:rPr>
          <w:rFonts w:cstheme="minorHAnsi"/>
          <w:bCs/>
        </w:rPr>
        <w:t xml:space="preserve"> </w:t>
      </w:r>
      <w:r w:rsidR="006E1547">
        <w:rPr>
          <w:rFonts w:cstheme="minorHAnsi"/>
          <w:bCs/>
        </w:rPr>
        <w:t>but</w:t>
      </w:r>
      <w:r w:rsidR="00A87003">
        <w:rPr>
          <w:rFonts w:cstheme="minorHAnsi"/>
          <w:bCs/>
        </w:rPr>
        <w:t xml:space="preserve"> not appear</w:t>
      </w:r>
      <w:r w:rsidR="006E1547">
        <w:rPr>
          <w:rFonts w:cstheme="minorHAnsi"/>
          <w:bCs/>
        </w:rPr>
        <w:t>ing</w:t>
      </w:r>
      <w:r w:rsidR="00A87003">
        <w:rPr>
          <w:rFonts w:cstheme="minorHAnsi"/>
          <w:bCs/>
        </w:rPr>
        <w:t xml:space="preserve"> to have been guided</w:t>
      </w:r>
      <w:r w:rsidR="00D8445B" w:rsidRPr="00D8445B">
        <w:rPr>
          <w:rFonts w:cstheme="minorHAnsi"/>
          <w:bCs/>
        </w:rPr>
        <w:t xml:space="preserve"> by </w:t>
      </w:r>
      <w:r w:rsidR="00D8445B">
        <w:rPr>
          <w:rFonts w:cstheme="minorHAnsi"/>
          <w:bCs/>
        </w:rPr>
        <w:t xml:space="preserve">the </w:t>
      </w:r>
      <w:r w:rsidR="00D8445B" w:rsidRPr="00D8445B">
        <w:rPr>
          <w:rFonts w:cstheme="minorHAnsi"/>
          <w:bCs/>
        </w:rPr>
        <w:t>Guidelines International Network checklist for modifying disease definitions</w:t>
      </w:r>
      <w:r w:rsidR="00D8445B">
        <w:rPr>
          <w:rFonts w:cstheme="minorHAnsi"/>
          <w:bCs/>
        </w:rPr>
        <w:t>,</w:t>
      </w:r>
      <w:r w:rsidR="00CE1878">
        <w:rPr>
          <w:rFonts w:cstheme="minorHAnsi"/>
          <w:bCs/>
          <w:vertAlign w:val="superscript"/>
        </w:rPr>
        <w:t>2</w:t>
      </w:r>
      <w:r w:rsidR="00FD6083">
        <w:rPr>
          <w:rFonts w:cstheme="minorHAnsi"/>
          <w:bCs/>
          <w:vertAlign w:val="superscript"/>
        </w:rPr>
        <w:t>3</w:t>
      </w:r>
      <w:r w:rsidR="00D8445B" w:rsidRPr="00D8445B">
        <w:rPr>
          <w:rFonts w:cstheme="minorHAnsi"/>
          <w:bCs/>
        </w:rPr>
        <w:t xml:space="preserve"> </w:t>
      </w:r>
      <w:r w:rsidR="00797DAE">
        <w:rPr>
          <w:rFonts w:cstheme="minorHAnsi"/>
          <w:bCs/>
        </w:rPr>
        <w:t xml:space="preserve">the committee </w:t>
      </w:r>
      <w:r w:rsidR="00D8445B">
        <w:rPr>
          <w:rFonts w:cstheme="minorHAnsi"/>
          <w:bCs/>
        </w:rPr>
        <w:t xml:space="preserve">decided </w:t>
      </w:r>
      <w:r w:rsidR="00797DAE">
        <w:rPr>
          <w:rFonts w:cstheme="minorHAnsi"/>
          <w:bCs/>
        </w:rPr>
        <w:t xml:space="preserve">that </w:t>
      </w:r>
      <w:r w:rsidR="00E108E4">
        <w:rPr>
          <w:rFonts w:cstheme="minorHAnsi"/>
          <w:bCs/>
        </w:rPr>
        <w:t xml:space="preserve">a </w:t>
      </w:r>
      <w:r w:rsidR="00797DAE">
        <w:rPr>
          <w:rFonts w:cstheme="minorHAnsi"/>
          <w:bCs/>
        </w:rPr>
        <w:t xml:space="preserve">provisional diagnosis of </w:t>
      </w:r>
      <w:r w:rsidR="004F59A0">
        <w:rPr>
          <w:rFonts w:cstheme="minorHAnsi"/>
          <w:bCs/>
        </w:rPr>
        <w:t>CFS/ME</w:t>
      </w:r>
      <w:r w:rsidR="00797DAE">
        <w:rPr>
          <w:rFonts w:cstheme="minorHAnsi"/>
          <w:bCs/>
        </w:rPr>
        <w:t xml:space="preserve"> should only be </w:t>
      </w:r>
      <w:r w:rsidR="00797DAE" w:rsidRPr="005A40DD">
        <w:rPr>
          <w:rFonts w:cstheme="minorHAnsi"/>
          <w:bCs/>
        </w:rPr>
        <w:t xml:space="preserve">made if patients have </w:t>
      </w:r>
      <w:r w:rsidR="00B318E9" w:rsidRPr="00951D1D">
        <w:rPr>
          <w:rFonts w:cstheme="minorHAnsi"/>
          <w:bCs/>
        </w:rPr>
        <w:t xml:space="preserve">all four symptoms </w:t>
      </w:r>
      <w:r w:rsidR="00FD22DD" w:rsidRPr="00951D1D">
        <w:rPr>
          <w:rFonts w:cstheme="minorHAnsi"/>
          <w:bCs/>
        </w:rPr>
        <w:t>of</w:t>
      </w:r>
      <w:r w:rsidR="00355A1E">
        <w:rPr>
          <w:rFonts w:cstheme="minorHAnsi"/>
          <w:bCs/>
        </w:rPr>
        <w:t>:</w:t>
      </w:r>
      <w:r w:rsidR="00FD22DD" w:rsidRPr="00951D1D">
        <w:rPr>
          <w:rFonts w:cstheme="minorHAnsi"/>
          <w:bCs/>
        </w:rPr>
        <w:t xml:space="preserve"> </w:t>
      </w:r>
      <w:r w:rsidR="00B318E9" w:rsidRPr="00ED2658">
        <w:t>debilitating fatigability, post-exertional symptom exacerbation, unrefreshing sleep and cognitive difficulties.</w:t>
      </w:r>
      <w:r w:rsidR="00AF0264">
        <w:rPr>
          <w:vertAlign w:val="superscript"/>
        </w:rPr>
        <w:t>6</w:t>
      </w:r>
      <w:r w:rsidR="00B318E9" w:rsidRPr="00ED2658">
        <w:t xml:space="preserve"> </w:t>
      </w:r>
      <w:r w:rsidR="00335AB3">
        <w:t xml:space="preserve">(The committee preferred the term “post-exertional symptom exacerbation” to “post-exertional malaise” (PEM)). </w:t>
      </w:r>
      <w:r w:rsidR="00B318E9" w:rsidRPr="005A40DD">
        <w:rPr>
          <w:rFonts w:cstheme="minorHAnsi"/>
        </w:rPr>
        <w:t xml:space="preserve">Whilst there is </w:t>
      </w:r>
      <w:r w:rsidR="007D041C">
        <w:rPr>
          <w:rFonts w:cstheme="minorHAnsi"/>
        </w:rPr>
        <w:t xml:space="preserve">strong </w:t>
      </w:r>
      <w:r w:rsidR="00B318E9" w:rsidRPr="005A40DD">
        <w:rPr>
          <w:rFonts w:cstheme="minorHAnsi"/>
        </w:rPr>
        <w:t>evidence</w:t>
      </w:r>
      <w:r w:rsidR="00B318E9" w:rsidRPr="00602CCA">
        <w:rPr>
          <w:rFonts w:cstheme="minorHAnsi"/>
        </w:rPr>
        <w:t xml:space="preserve"> that </w:t>
      </w:r>
      <w:r w:rsidR="00335AB3">
        <w:rPr>
          <w:rFonts w:cstheme="minorHAnsi"/>
        </w:rPr>
        <w:t>PEM</w:t>
      </w:r>
      <w:r w:rsidR="00B318E9" w:rsidRPr="00602CCA">
        <w:rPr>
          <w:rFonts w:cstheme="minorHAnsi"/>
        </w:rPr>
        <w:t xml:space="preserve"> is </w:t>
      </w:r>
      <w:r w:rsidR="00F07214">
        <w:rPr>
          <w:rFonts w:cstheme="minorHAnsi"/>
        </w:rPr>
        <w:t xml:space="preserve">an important </w:t>
      </w:r>
      <w:r w:rsidR="00EC5DF2">
        <w:rPr>
          <w:rFonts w:cstheme="minorHAnsi"/>
        </w:rPr>
        <w:t xml:space="preserve">and common </w:t>
      </w:r>
      <w:r w:rsidR="00B318E9" w:rsidRPr="00602CCA">
        <w:rPr>
          <w:rFonts w:cstheme="minorHAnsi"/>
        </w:rPr>
        <w:t xml:space="preserve">symptom of </w:t>
      </w:r>
      <w:r w:rsidR="004F59A0">
        <w:rPr>
          <w:rFonts w:cstheme="minorHAnsi"/>
        </w:rPr>
        <w:t>CFS/ME</w:t>
      </w:r>
      <w:r w:rsidR="00B318E9" w:rsidRPr="00602CCA">
        <w:rPr>
          <w:rFonts w:cstheme="minorHAnsi"/>
        </w:rPr>
        <w:t>,</w:t>
      </w:r>
      <w:r w:rsidR="00E108E4">
        <w:rPr>
          <w:rFonts w:cstheme="minorHAnsi"/>
          <w:vertAlign w:val="superscript"/>
        </w:rPr>
        <w:t>1</w:t>
      </w:r>
      <w:r w:rsidR="00B318E9" w:rsidRPr="00602CCA">
        <w:rPr>
          <w:rFonts w:cstheme="minorHAnsi"/>
        </w:rPr>
        <w:t xml:space="preserve"> the new guideline made it </w:t>
      </w:r>
      <w:r w:rsidR="00B318E9">
        <w:rPr>
          <w:rFonts w:cstheme="minorHAnsi"/>
        </w:rPr>
        <w:t>mandatory</w:t>
      </w:r>
      <w:r w:rsidR="003D3BAB">
        <w:rPr>
          <w:rFonts w:cstheme="minorHAnsi"/>
        </w:rPr>
        <w:t xml:space="preserve"> for making the diagnosis</w:t>
      </w:r>
      <w:r w:rsidR="00B318E9">
        <w:rPr>
          <w:rFonts w:cstheme="minorHAnsi"/>
        </w:rPr>
        <w:t xml:space="preserve">. This </w:t>
      </w:r>
      <w:r w:rsidR="00AC4AB9">
        <w:rPr>
          <w:rFonts w:cstheme="minorHAnsi"/>
        </w:rPr>
        <w:t>is</w:t>
      </w:r>
      <w:r w:rsidR="00B318E9">
        <w:rPr>
          <w:rFonts w:cstheme="minorHAnsi"/>
        </w:rPr>
        <w:t xml:space="preserve"> problematic as </w:t>
      </w:r>
      <w:r w:rsidR="00BB4CC5">
        <w:rPr>
          <w:rFonts w:cstheme="minorHAnsi"/>
        </w:rPr>
        <w:t>PEM</w:t>
      </w:r>
      <w:r w:rsidR="00B318E9">
        <w:rPr>
          <w:rFonts w:cstheme="minorHAnsi"/>
        </w:rPr>
        <w:t xml:space="preserve"> </w:t>
      </w:r>
      <w:r w:rsidR="006558A1">
        <w:rPr>
          <w:rFonts w:cstheme="minorHAnsi"/>
        </w:rPr>
        <w:t>is</w:t>
      </w:r>
      <w:r w:rsidR="00B318E9">
        <w:rPr>
          <w:rFonts w:cstheme="minorHAnsi"/>
        </w:rPr>
        <w:t xml:space="preserve"> not a </w:t>
      </w:r>
      <w:r w:rsidR="00BB4CC5">
        <w:rPr>
          <w:rFonts w:cstheme="minorHAnsi"/>
        </w:rPr>
        <w:t>mandatory</w:t>
      </w:r>
      <w:r w:rsidR="00B318E9">
        <w:rPr>
          <w:rFonts w:cstheme="minorHAnsi"/>
        </w:rPr>
        <w:t xml:space="preserve"> symptom in the Cent</w:t>
      </w:r>
      <w:r w:rsidR="00F104C4">
        <w:rPr>
          <w:rFonts w:cstheme="minorHAnsi"/>
        </w:rPr>
        <w:t>e</w:t>
      </w:r>
      <w:r w:rsidR="00B318E9">
        <w:rPr>
          <w:rFonts w:cstheme="minorHAnsi"/>
        </w:rPr>
        <w:t>r</w:t>
      </w:r>
      <w:r w:rsidR="00F104C4">
        <w:rPr>
          <w:rFonts w:cstheme="minorHAnsi"/>
        </w:rPr>
        <w:t>s</w:t>
      </w:r>
      <w:r w:rsidR="00B318E9">
        <w:rPr>
          <w:rFonts w:cstheme="minorHAnsi"/>
        </w:rPr>
        <w:t xml:space="preserve"> for Disease </w:t>
      </w:r>
      <w:r w:rsidR="00D36088">
        <w:rPr>
          <w:rFonts w:cstheme="minorHAnsi"/>
        </w:rPr>
        <w:t>C</w:t>
      </w:r>
      <w:r w:rsidR="00B318E9">
        <w:rPr>
          <w:rFonts w:cstheme="minorHAnsi"/>
        </w:rPr>
        <w:t xml:space="preserve">ontrol and </w:t>
      </w:r>
      <w:r w:rsidR="00E108E4">
        <w:rPr>
          <w:rFonts w:cstheme="minorHAnsi"/>
        </w:rPr>
        <w:t>P</w:t>
      </w:r>
      <w:r w:rsidR="00B318E9">
        <w:rPr>
          <w:rFonts w:cstheme="minorHAnsi"/>
        </w:rPr>
        <w:t xml:space="preserve">revention </w:t>
      </w:r>
      <w:r w:rsidR="0031137E">
        <w:rPr>
          <w:rFonts w:cstheme="minorHAnsi"/>
        </w:rPr>
        <w:t xml:space="preserve">(CDC) </w:t>
      </w:r>
      <w:r w:rsidR="00B318E9">
        <w:rPr>
          <w:rFonts w:cstheme="minorHAnsi"/>
        </w:rPr>
        <w:t>definition which</w:t>
      </w:r>
      <w:r w:rsidR="006A30F2">
        <w:rPr>
          <w:rFonts w:cstheme="minorHAnsi"/>
        </w:rPr>
        <w:t xml:space="preserve">, with over 6,000 </w:t>
      </w:r>
      <w:r w:rsidR="0095464C">
        <w:rPr>
          <w:rFonts w:cstheme="minorHAnsi"/>
        </w:rPr>
        <w:t>citations</w:t>
      </w:r>
      <w:r w:rsidR="006A30F2">
        <w:rPr>
          <w:rFonts w:cstheme="minorHAnsi"/>
        </w:rPr>
        <w:t xml:space="preserve"> on Google</w:t>
      </w:r>
      <w:r w:rsidR="00760AC9">
        <w:rPr>
          <w:rFonts w:cstheme="minorHAnsi"/>
        </w:rPr>
        <w:t xml:space="preserve"> Scholar</w:t>
      </w:r>
      <w:r w:rsidR="006A30F2">
        <w:rPr>
          <w:rFonts w:cstheme="minorHAnsi"/>
        </w:rPr>
        <w:t xml:space="preserve">, is far and away </w:t>
      </w:r>
      <w:r w:rsidR="00E108E4">
        <w:rPr>
          <w:rFonts w:cstheme="minorHAnsi"/>
        </w:rPr>
        <w:t xml:space="preserve">the </w:t>
      </w:r>
      <w:r w:rsidR="00B318E9">
        <w:rPr>
          <w:rFonts w:cstheme="minorHAnsi"/>
        </w:rPr>
        <w:t xml:space="preserve">most widely </w:t>
      </w:r>
      <w:r w:rsidR="00CF5041">
        <w:rPr>
          <w:rFonts w:cstheme="minorHAnsi"/>
        </w:rPr>
        <w:t>researched</w:t>
      </w:r>
      <w:r w:rsidR="00B318E9">
        <w:rPr>
          <w:rFonts w:cstheme="minorHAnsi"/>
        </w:rPr>
        <w:t xml:space="preserve"> definition of the condition</w:t>
      </w:r>
      <w:r w:rsidR="0097710A">
        <w:rPr>
          <w:rFonts w:cstheme="minorHAnsi"/>
        </w:rPr>
        <w:t>.</w:t>
      </w:r>
      <w:r w:rsidR="00AF0264">
        <w:rPr>
          <w:rFonts w:cstheme="minorHAnsi"/>
          <w:vertAlign w:val="superscript"/>
        </w:rPr>
        <w:t>2</w:t>
      </w:r>
      <w:r w:rsidR="00FD6083">
        <w:rPr>
          <w:rFonts w:cstheme="minorHAnsi"/>
          <w:vertAlign w:val="superscript"/>
        </w:rPr>
        <w:t>4</w:t>
      </w:r>
      <w:r w:rsidR="0097710A">
        <w:rPr>
          <w:rFonts w:cstheme="minorHAnsi"/>
        </w:rPr>
        <w:t xml:space="preserve"> </w:t>
      </w:r>
      <w:r w:rsidR="00711320" w:rsidRPr="00602CCA">
        <w:rPr>
          <w:rFonts w:cstheme="minorHAnsi"/>
          <w:bCs/>
        </w:rPr>
        <w:t>T</w:t>
      </w:r>
      <w:r w:rsidR="00711320" w:rsidRPr="00602CCA">
        <w:rPr>
          <w:rFonts w:cstheme="minorHAnsi"/>
        </w:rPr>
        <w:t xml:space="preserve">he NICE </w:t>
      </w:r>
      <w:r w:rsidR="00EA3BDC">
        <w:rPr>
          <w:rFonts w:cstheme="minorHAnsi"/>
        </w:rPr>
        <w:t>committee</w:t>
      </w:r>
      <w:r w:rsidR="0097710A">
        <w:rPr>
          <w:rFonts w:cstheme="minorHAnsi"/>
        </w:rPr>
        <w:t xml:space="preserve"> then</w:t>
      </w:r>
      <w:r w:rsidR="00711320" w:rsidRPr="00602CCA">
        <w:rPr>
          <w:rFonts w:cstheme="minorHAnsi"/>
        </w:rPr>
        <w:t xml:space="preserve"> instructed the </w:t>
      </w:r>
      <w:r w:rsidR="004753E4">
        <w:rPr>
          <w:rFonts w:cstheme="minorHAnsi"/>
        </w:rPr>
        <w:t xml:space="preserve">UK </w:t>
      </w:r>
      <w:r w:rsidR="00711320" w:rsidRPr="00602CCA">
        <w:rPr>
          <w:rFonts w:cstheme="minorHAnsi"/>
        </w:rPr>
        <w:t>National Guideline Centre (NGC)</w:t>
      </w:r>
      <w:r w:rsidR="00CF5041">
        <w:rPr>
          <w:rFonts w:cstheme="minorHAnsi"/>
        </w:rPr>
        <w:t>, which was tasked with undertaking the systematic review</w:t>
      </w:r>
      <w:r w:rsidR="00646BAB">
        <w:rPr>
          <w:rFonts w:cstheme="minorHAnsi"/>
        </w:rPr>
        <w:t>s</w:t>
      </w:r>
      <w:r w:rsidR="00CF5041">
        <w:rPr>
          <w:rFonts w:cstheme="minorHAnsi"/>
        </w:rPr>
        <w:t xml:space="preserve"> and meta-analyses,</w:t>
      </w:r>
      <w:r w:rsidR="00711320" w:rsidRPr="00602CCA">
        <w:rPr>
          <w:rFonts w:cstheme="minorHAnsi"/>
        </w:rPr>
        <w:t xml:space="preserve"> to down-grade </w:t>
      </w:r>
      <w:r w:rsidR="00EA5A37">
        <w:rPr>
          <w:rFonts w:cstheme="minorHAnsi"/>
        </w:rPr>
        <w:t xml:space="preserve">as indirect evidence </w:t>
      </w:r>
      <w:r w:rsidR="00711320" w:rsidRPr="00602CCA">
        <w:rPr>
          <w:rFonts w:cstheme="minorHAnsi"/>
        </w:rPr>
        <w:t xml:space="preserve">all </w:t>
      </w:r>
      <w:r w:rsidR="00BB4CC5">
        <w:rPr>
          <w:rFonts w:cstheme="minorHAnsi"/>
        </w:rPr>
        <w:t xml:space="preserve">those </w:t>
      </w:r>
      <w:r w:rsidR="00711320" w:rsidRPr="00602CCA">
        <w:rPr>
          <w:rFonts w:cstheme="minorHAnsi"/>
        </w:rPr>
        <w:t xml:space="preserve">trials that </w:t>
      </w:r>
      <w:r w:rsidR="00FD6083">
        <w:rPr>
          <w:rFonts w:cstheme="minorHAnsi"/>
        </w:rPr>
        <w:t>had</w:t>
      </w:r>
      <w:r w:rsidR="00711320" w:rsidRPr="00602CCA">
        <w:rPr>
          <w:rFonts w:cstheme="minorHAnsi"/>
        </w:rPr>
        <w:t xml:space="preserve"> not specifically and explicitly require</w:t>
      </w:r>
      <w:r w:rsidR="00FD6083">
        <w:rPr>
          <w:rFonts w:cstheme="minorHAnsi"/>
        </w:rPr>
        <w:t>d</w:t>
      </w:r>
      <w:r w:rsidR="00711320" w:rsidRPr="00602CCA">
        <w:rPr>
          <w:rFonts w:cstheme="minorHAnsi"/>
        </w:rPr>
        <w:t xml:space="preserve"> participants to report the symptom of PEM as a mandatory criterion for recruiting participants.</w:t>
      </w:r>
      <w:r w:rsidR="00AF0264">
        <w:rPr>
          <w:rFonts w:cstheme="minorHAnsi"/>
          <w:vertAlign w:val="superscript"/>
        </w:rPr>
        <w:t>2</w:t>
      </w:r>
      <w:r w:rsidR="00FD6083">
        <w:rPr>
          <w:rFonts w:cstheme="minorHAnsi"/>
          <w:vertAlign w:val="superscript"/>
        </w:rPr>
        <w:t>5</w:t>
      </w:r>
      <w:r w:rsidR="00ED7104">
        <w:rPr>
          <w:rFonts w:cstheme="minorHAnsi"/>
          <w:vertAlign w:val="superscript"/>
        </w:rPr>
        <w:t>, 26</w:t>
      </w:r>
      <w:r w:rsidR="00C95191">
        <w:rPr>
          <w:rFonts w:cstheme="minorHAnsi"/>
          <w:vertAlign w:val="superscript"/>
        </w:rPr>
        <w:t>, 27</w:t>
      </w:r>
      <w:r w:rsidR="0097710A">
        <w:rPr>
          <w:rFonts w:cstheme="minorHAnsi"/>
        </w:rPr>
        <w:t xml:space="preserve"> As this was a newly created definition</w:t>
      </w:r>
      <w:r w:rsidR="00951D1D">
        <w:rPr>
          <w:rFonts w:cstheme="minorHAnsi"/>
        </w:rPr>
        <w:t>,</w:t>
      </w:r>
      <w:r w:rsidR="0097710A">
        <w:rPr>
          <w:rFonts w:cstheme="minorHAnsi"/>
        </w:rPr>
        <w:t xml:space="preserve"> </w:t>
      </w:r>
      <w:r w:rsidR="00C407D0">
        <w:rPr>
          <w:rFonts w:cstheme="minorHAnsi"/>
        </w:rPr>
        <w:t>it</w:t>
      </w:r>
      <w:r w:rsidR="0097710A">
        <w:rPr>
          <w:rFonts w:cstheme="minorHAnsi"/>
        </w:rPr>
        <w:t xml:space="preserve"> d</w:t>
      </w:r>
      <w:r w:rsidR="00D36088">
        <w:rPr>
          <w:rFonts w:cstheme="minorHAnsi"/>
        </w:rPr>
        <w:t>own</w:t>
      </w:r>
      <w:r w:rsidR="0070354A">
        <w:rPr>
          <w:rFonts w:cstheme="minorHAnsi"/>
        </w:rPr>
        <w:t>-</w:t>
      </w:r>
      <w:r w:rsidR="00D36088">
        <w:rPr>
          <w:rFonts w:cstheme="minorHAnsi"/>
        </w:rPr>
        <w:t>graded</w:t>
      </w:r>
      <w:r w:rsidR="0097710A">
        <w:rPr>
          <w:rFonts w:cstheme="minorHAnsi"/>
        </w:rPr>
        <w:t xml:space="preserve"> </w:t>
      </w:r>
      <w:r w:rsidR="0087121E">
        <w:rPr>
          <w:rFonts w:cstheme="minorHAnsi"/>
        </w:rPr>
        <w:t xml:space="preserve">nearly </w:t>
      </w:r>
      <w:r w:rsidR="00E108E4">
        <w:rPr>
          <w:rFonts w:cstheme="minorHAnsi"/>
        </w:rPr>
        <w:t>thirty</w:t>
      </w:r>
      <w:r w:rsidR="0097710A">
        <w:rPr>
          <w:rFonts w:cstheme="minorHAnsi"/>
        </w:rPr>
        <w:t xml:space="preserve"> years of research.</w:t>
      </w:r>
      <w:r w:rsidR="00711320" w:rsidRPr="00602CCA">
        <w:rPr>
          <w:rFonts w:cstheme="minorHAnsi"/>
        </w:rPr>
        <w:t xml:space="preserve"> </w:t>
      </w:r>
    </w:p>
    <w:p w14:paraId="446C91E8" w14:textId="6D327F41" w:rsidR="00711320" w:rsidRPr="009B2F67" w:rsidRDefault="00711320" w:rsidP="007544AE">
      <w:pPr>
        <w:spacing w:line="480" w:lineRule="auto"/>
        <w:rPr>
          <w:rFonts w:cstheme="minorHAnsi"/>
        </w:rPr>
      </w:pPr>
      <w:r w:rsidRPr="00602CCA">
        <w:rPr>
          <w:rFonts w:cstheme="minorHAnsi"/>
        </w:rPr>
        <w:t xml:space="preserve">The emphasis </w:t>
      </w:r>
      <w:r w:rsidR="003254BB">
        <w:rPr>
          <w:rFonts w:cstheme="minorHAnsi"/>
        </w:rPr>
        <w:t>NICE</w:t>
      </w:r>
      <w:r w:rsidRPr="00602CCA">
        <w:rPr>
          <w:rFonts w:cstheme="minorHAnsi"/>
        </w:rPr>
        <w:t xml:space="preserve"> placed on </w:t>
      </w:r>
      <w:r w:rsidR="00D8445B">
        <w:rPr>
          <w:rFonts w:cstheme="minorHAnsi"/>
        </w:rPr>
        <w:t>PEM</w:t>
      </w:r>
      <w:r w:rsidR="00EC7321">
        <w:rPr>
          <w:rFonts w:cstheme="minorHAnsi"/>
        </w:rPr>
        <w:t xml:space="preserve"> is </w:t>
      </w:r>
      <w:r w:rsidR="003254BB">
        <w:rPr>
          <w:rFonts w:cstheme="minorHAnsi"/>
        </w:rPr>
        <w:t>debatable</w:t>
      </w:r>
      <w:r w:rsidR="00640C0F">
        <w:rPr>
          <w:rFonts w:cstheme="minorHAnsi"/>
        </w:rPr>
        <w:t>.</w:t>
      </w:r>
      <w:r w:rsidR="00EC7321">
        <w:rPr>
          <w:rFonts w:cstheme="minorHAnsi"/>
          <w:vertAlign w:val="superscript"/>
        </w:rPr>
        <w:t xml:space="preserve">2, </w:t>
      </w:r>
      <w:r w:rsidR="00AF0264">
        <w:rPr>
          <w:rFonts w:cstheme="minorHAnsi"/>
          <w:vertAlign w:val="superscript"/>
        </w:rPr>
        <w:t>2</w:t>
      </w:r>
      <w:r w:rsidR="00C95191">
        <w:rPr>
          <w:rFonts w:cstheme="minorHAnsi"/>
          <w:vertAlign w:val="superscript"/>
        </w:rPr>
        <w:t>8</w:t>
      </w:r>
      <w:r w:rsidRPr="00602CCA">
        <w:rPr>
          <w:rFonts w:cstheme="minorHAnsi"/>
        </w:rPr>
        <w:t xml:space="preserve"> </w:t>
      </w:r>
      <w:r w:rsidR="00640C0F">
        <w:rPr>
          <w:rFonts w:cstheme="minorHAnsi"/>
        </w:rPr>
        <w:t>I</w:t>
      </w:r>
      <w:r w:rsidR="00BB4CC5">
        <w:rPr>
          <w:rFonts w:cstheme="minorHAnsi"/>
        </w:rPr>
        <w:t xml:space="preserve">ts prevalence </w:t>
      </w:r>
      <w:r w:rsidR="00640C0F" w:rsidRPr="00640C0F">
        <w:rPr>
          <w:rFonts w:cstheme="minorHAnsi"/>
        </w:rPr>
        <w:t xml:space="preserve">varies according to how the </w:t>
      </w:r>
      <w:r w:rsidR="00640C0F">
        <w:rPr>
          <w:rFonts w:cstheme="minorHAnsi"/>
        </w:rPr>
        <w:t xml:space="preserve">symptom </w:t>
      </w:r>
      <w:r w:rsidR="00640C0F" w:rsidRPr="00640C0F">
        <w:rPr>
          <w:rFonts w:cstheme="minorHAnsi"/>
        </w:rPr>
        <w:t xml:space="preserve">is defined and it is </w:t>
      </w:r>
      <w:r w:rsidR="00EC7321">
        <w:rPr>
          <w:rFonts w:cstheme="minorHAnsi"/>
        </w:rPr>
        <w:t xml:space="preserve">not </w:t>
      </w:r>
      <w:r w:rsidRPr="00602CCA">
        <w:rPr>
          <w:rFonts w:cstheme="minorHAnsi"/>
        </w:rPr>
        <w:t xml:space="preserve">specific to </w:t>
      </w:r>
      <w:r w:rsidR="004F59A0">
        <w:rPr>
          <w:rFonts w:cstheme="minorHAnsi"/>
        </w:rPr>
        <w:t>CFS/ME</w:t>
      </w:r>
      <w:r w:rsidR="003254BB">
        <w:rPr>
          <w:rFonts w:cstheme="minorHAnsi"/>
        </w:rPr>
        <w:t>, being</w:t>
      </w:r>
      <w:r w:rsidR="00950B9D">
        <w:rPr>
          <w:rFonts w:cstheme="minorHAnsi"/>
        </w:rPr>
        <w:t xml:space="preserve"> found in m</w:t>
      </w:r>
      <w:r w:rsidR="004E7FF6">
        <w:rPr>
          <w:rFonts w:cstheme="minorHAnsi"/>
        </w:rPr>
        <w:t>any</w:t>
      </w:r>
      <w:r w:rsidR="00950B9D">
        <w:rPr>
          <w:rFonts w:cstheme="minorHAnsi"/>
        </w:rPr>
        <w:t xml:space="preserve"> condition</w:t>
      </w:r>
      <w:r w:rsidR="003254BB">
        <w:rPr>
          <w:rFonts w:cstheme="minorHAnsi"/>
        </w:rPr>
        <w:t>s</w:t>
      </w:r>
      <w:r w:rsidR="00950B9D">
        <w:rPr>
          <w:rFonts w:cstheme="minorHAnsi"/>
        </w:rPr>
        <w:t xml:space="preserve"> which present with pathological fatigue</w:t>
      </w:r>
      <w:r w:rsidR="00221EE7">
        <w:rPr>
          <w:rFonts w:cstheme="minorHAnsi"/>
        </w:rPr>
        <w:t>.</w:t>
      </w:r>
      <w:r w:rsidR="008603C0">
        <w:rPr>
          <w:rFonts w:cstheme="minorHAnsi"/>
          <w:vertAlign w:val="superscript"/>
        </w:rPr>
        <w:t>2</w:t>
      </w:r>
      <w:r w:rsidR="00C95191">
        <w:rPr>
          <w:rFonts w:cstheme="minorHAnsi"/>
          <w:vertAlign w:val="superscript"/>
        </w:rPr>
        <w:t>9</w:t>
      </w:r>
      <w:r w:rsidR="00FD6083">
        <w:rPr>
          <w:rFonts w:cstheme="minorHAnsi"/>
          <w:vertAlign w:val="superscript"/>
        </w:rPr>
        <w:t>-3</w:t>
      </w:r>
      <w:r w:rsidR="00C95191">
        <w:rPr>
          <w:rFonts w:cstheme="minorHAnsi"/>
          <w:vertAlign w:val="superscript"/>
        </w:rPr>
        <w:t>2</w:t>
      </w:r>
      <w:r w:rsidRPr="00602CCA">
        <w:rPr>
          <w:rFonts w:cstheme="minorHAnsi"/>
        </w:rPr>
        <w:t xml:space="preserve"> </w:t>
      </w:r>
      <w:r w:rsidR="00D8445B">
        <w:rPr>
          <w:rFonts w:cstheme="minorHAnsi"/>
        </w:rPr>
        <w:t>PEM</w:t>
      </w:r>
      <w:r w:rsidR="006A30F2">
        <w:rPr>
          <w:rFonts w:cstheme="minorHAnsi"/>
        </w:rPr>
        <w:t xml:space="preserve"> is also subjective,</w:t>
      </w:r>
      <w:r w:rsidR="008F609C">
        <w:rPr>
          <w:rFonts w:cstheme="minorHAnsi"/>
        </w:rPr>
        <w:t xml:space="preserve"> by definition,</w:t>
      </w:r>
      <w:r w:rsidR="006A30F2">
        <w:rPr>
          <w:rFonts w:cstheme="minorHAnsi"/>
        </w:rPr>
        <w:t xml:space="preserve"> as are all the symptoms that make up the syndrome of </w:t>
      </w:r>
      <w:r w:rsidR="004F59A0">
        <w:rPr>
          <w:rFonts w:cstheme="minorHAnsi"/>
        </w:rPr>
        <w:t>CFS/ME</w:t>
      </w:r>
      <w:r w:rsidR="006A30F2">
        <w:rPr>
          <w:rFonts w:cstheme="minorHAnsi"/>
        </w:rPr>
        <w:t xml:space="preserve">. </w:t>
      </w:r>
      <w:r w:rsidR="00BB4CC5">
        <w:rPr>
          <w:rFonts w:cstheme="minorHAnsi"/>
        </w:rPr>
        <w:t>In contrast, t</w:t>
      </w:r>
      <w:r w:rsidR="006A30F2">
        <w:rPr>
          <w:rFonts w:cstheme="minorHAnsi"/>
        </w:rPr>
        <w:t xml:space="preserve">he </w:t>
      </w:r>
      <w:r w:rsidR="003D34D2">
        <w:rPr>
          <w:rFonts w:cstheme="minorHAnsi"/>
        </w:rPr>
        <w:t>g</w:t>
      </w:r>
      <w:r w:rsidR="006A30F2">
        <w:rPr>
          <w:rFonts w:cstheme="minorHAnsi"/>
        </w:rPr>
        <w:t>uideline authors criticis</w:t>
      </w:r>
      <w:r w:rsidR="004E7FF6">
        <w:rPr>
          <w:rFonts w:cstheme="minorHAnsi"/>
        </w:rPr>
        <w:t>ed</w:t>
      </w:r>
      <w:r w:rsidR="006A30F2">
        <w:rPr>
          <w:rFonts w:cstheme="minorHAnsi"/>
        </w:rPr>
        <w:t xml:space="preserve"> the outcome measures used in all the trials they considered as being </w:t>
      </w:r>
      <w:r w:rsidR="007E5DAF">
        <w:rPr>
          <w:rFonts w:cstheme="minorHAnsi"/>
        </w:rPr>
        <w:t xml:space="preserve">too </w:t>
      </w:r>
      <w:r w:rsidR="006A30F2">
        <w:rPr>
          <w:rFonts w:cstheme="minorHAnsi"/>
        </w:rPr>
        <w:t xml:space="preserve">“subjective” </w:t>
      </w:r>
      <w:r w:rsidR="00D97259">
        <w:rPr>
          <w:rFonts w:cstheme="minorHAnsi"/>
        </w:rPr>
        <w:t>(</w:t>
      </w:r>
      <w:r w:rsidR="00646BAB">
        <w:rPr>
          <w:rFonts w:cstheme="minorHAnsi"/>
        </w:rPr>
        <w:t>s</w:t>
      </w:r>
      <w:r w:rsidR="00D97259">
        <w:rPr>
          <w:rFonts w:cstheme="minorHAnsi"/>
        </w:rPr>
        <w:t>ee 4</w:t>
      </w:r>
      <w:r w:rsidR="00D97259" w:rsidRPr="00B13A58">
        <w:rPr>
          <w:rFonts w:cstheme="minorHAnsi"/>
          <w:vertAlign w:val="superscript"/>
        </w:rPr>
        <w:t>th</w:t>
      </w:r>
      <w:r w:rsidR="00D97259">
        <w:rPr>
          <w:rFonts w:cstheme="minorHAnsi"/>
        </w:rPr>
        <w:t xml:space="preserve"> error below</w:t>
      </w:r>
      <w:r w:rsidR="00EA3450">
        <w:rPr>
          <w:rFonts w:cstheme="minorHAnsi"/>
        </w:rPr>
        <w:t>)</w:t>
      </w:r>
      <w:r w:rsidR="00964DAD">
        <w:rPr>
          <w:rFonts w:cstheme="minorHAnsi"/>
        </w:rPr>
        <w:t>,</w:t>
      </w:r>
      <w:r w:rsidR="00EA3450">
        <w:rPr>
          <w:rFonts w:cstheme="minorHAnsi"/>
        </w:rPr>
        <w:t xml:space="preserve"> but</w:t>
      </w:r>
      <w:r w:rsidR="006A30F2">
        <w:rPr>
          <w:rFonts w:cstheme="minorHAnsi"/>
        </w:rPr>
        <w:t xml:space="preserve"> did not apply the same tests </w:t>
      </w:r>
      <w:r w:rsidR="00C026B1">
        <w:rPr>
          <w:rFonts w:cstheme="minorHAnsi"/>
        </w:rPr>
        <w:t xml:space="preserve">or arguments </w:t>
      </w:r>
      <w:r w:rsidR="006A30F2">
        <w:rPr>
          <w:rFonts w:cstheme="minorHAnsi"/>
        </w:rPr>
        <w:t>to th</w:t>
      </w:r>
      <w:r w:rsidR="00335AB3">
        <w:rPr>
          <w:rFonts w:cstheme="minorHAnsi"/>
        </w:rPr>
        <w:t>e</w:t>
      </w:r>
      <w:r w:rsidR="006A30F2">
        <w:rPr>
          <w:rFonts w:cstheme="minorHAnsi"/>
        </w:rPr>
        <w:t xml:space="preserve"> </w:t>
      </w:r>
      <w:r w:rsidR="00BA42AD">
        <w:rPr>
          <w:rFonts w:cstheme="minorHAnsi"/>
        </w:rPr>
        <w:t xml:space="preserve">equally subjective </w:t>
      </w:r>
      <w:r w:rsidR="006A30F2">
        <w:rPr>
          <w:rFonts w:cstheme="minorHAnsi"/>
        </w:rPr>
        <w:t>symptom</w:t>
      </w:r>
      <w:r w:rsidR="00335AB3">
        <w:rPr>
          <w:rFonts w:cstheme="minorHAnsi"/>
        </w:rPr>
        <w:t xml:space="preserve"> of PEM</w:t>
      </w:r>
      <w:r w:rsidR="00BB4CC5">
        <w:rPr>
          <w:rFonts w:cstheme="minorHAnsi"/>
        </w:rPr>
        <w:t xml:space="preserve"> itself</w:t>
      </w:r>
      <w:r w:rsidR="00C026B1">
        <w:rPr>
          <w:rFonts w:cstheme="minorHAnsi"/>
        </w:rPr>
        <w:t xml:space="preserve">. </w:t>
      </w:r>
      <w:r w:rsidR="0097710A">
        <w:rPr>
          <w:rFonts w:cstheme="minorHAnsi"/>
        </w:rPr>
        <w:t>NICE’s own reviewers found only one study</w:t>
      </w:r>
      <w:r w:rsidR="00950B9D">
        <w:rPr>
          <w:rFonts w:cstheme="minorHAnsi"/>
        </w:rPr>
        <w:t xml:space="preserve"> that tested the diagnostic utility of individual symptoms</w:t>
      </w:r>
      <w:r w:rsidR="004F4C08" w:rsidRPr="00951D1D">
        <w:rPr>
          <w:rFonts w:cstheme="minorHAnsi"/>
        </w:rPr>
        <w:t>,</w:t>
      </w:r>
      <w:r w:rsidR="00950B9D" w:rsidRPr="00951D1D">
        <w:rPr>
          <w:rFonts w:cstheme="minorHAnsi"/>
        </w:rPr>
        <w:t xml:space="preserve"> which stated</w:t>
      </w:r>
      <w:r w:rsidR="00950B9D" w:rsidRPr="00ED2658">
        <w:t xml:space="preserve"> that </w:t>
      </w:r>
      <w:r w:rsidR="00335AB3">
        <w:t>PEM</w:t>
      </w:r>
      <w:r w:rsidR="00950B9D" w:rsidRPr="00ED2658">
        <w:t xml:space="preserve"> had </w:t>
      </w:r>
      <w:r w:rsidR="003E75DE">
        <w:t xml:space="preserve">a </w:t>
      </w:r>
      <w:r w:rsidR="00950B9D" w:rsidRPr="00ED2658">
        <w:t>sensitivity of 0.5</w:t>
      </w:r>
      <w:r w:rsidR="008476C9">
        <w:t>0</w:t>
      </w:r>
      <w:r w:rsidR="00950B9D" w:rsidRPr="00ED2658">
        <w:t xml:space="preserve"> and specificity of 0.57</w:t>
      </w:r>
      <w:r w:rsidR="00067CC4">
        <w:t>, i.e. low</w:t>
      </w:r>
      <w:r w:rsidR="00951D1D">
        <w:t>.</w:t>
      </w:r>
      <w:r w:rsidR="0005511D">
        <w:rPr>
          <w:vertAlign w:val="superscript"/>
        </w:rPr>
        <w:t>2</w:t>
      </w:r>
      <w:r w:rsidR="00FD6083">
        <w:rPr>
          <w:vertAlign w:val="superscript"/>
        </w:rPr>
        <w:t>5</w:t>
      </w:r>
      <w:r w:rsidR="007611AF">
        <w:rPr>
          <w:vertAlign w:val="superscript"/>
        </w:rPr>
        <w:t xml:space="preserve"> </w:t>
      </w:r>
      <w:r w:rsidR="00334615">
        <w:t xml:space="preserve">As </w:t>
      </w:r>
      <w:r w:rsidR="00003A84">
        <w:t xml:space="preserve">NICE </w:t>
      </w:r>
      <w:r w:rsidR="00334615">
        <w:t xml:space="preserve">concluded: </w:t>
      </w:r>
      <w:r w:rsidR="00334615" w:rsidRPr="00334615">
        <w:t>“The</w:t>
      </w:r>
      <w:r w:rsidR="009B2F67">
        <w:t xml:space="preserve"> [established] </w:t>
      </w:r>
      <w:r w:rsidR="00334615" w:rsidRPr="00334615">
        <w:t>diagnostic criteria have not been evaluated in terms of their measurement validity and accuracy in diagnosing ME/CFS.</w:t>
      </w:r>
      <w:r w:rsidR="00334615">
        <w:t>”</w:t>
      </w:r>
      <w:r w:rsidR="0005511D">
        <w:rPr>
          <w:vertAlign w:val="superscript"/>
        </w:rPr>
        <w:t>2</w:t>
      </w:r>
      <w:r w:rsidR="00FD6083">
        <w:rPr>
          <w:vertAlign w:val="superscript"/>
        </w:rPr>
        <w:t>5</w:t>
      </w:r>
      <w:r w:rsidR="009B2F67">
        <w:t xml:space="preserve"> This equally applies to the newly proposed NICE diagnosis.</w:t>
      </w:r>
    </w:p>
    <w:p w14:paraId="142644DE" w14:textId="5B376064" w:rsidR="00711320" w:rsidRPr="00ED2658" w:rsidRDefault="00602B3B" w:rsidP="007544AE">
      <w:pPr>
        <w:spacing w:line="480" w:lineRule="auto"/>
        <w:rPr>
          <w:rFonts w:cstheme="minorHAnsi"/>
          <w:vertAlign w:val="superscript"/>
        </w:rPr>
      </w:pPr>
      <w:bookmarkStart w:id="6" w:name="_Hlk103700070"/>
      <w:r>
        <w:rPr>
          <w:rFonts w:cstheme="minorHAnsi"/>
        </w:rPr>
        <w:t>Most trials</w:t>
      </w:r>
      <w:r w:rsidR="003E75DE">
        <w:rPr>
          <w:rFonts w:cstheme="minorHAnsi"/>
        </w:rPr>
        <w:t xml:space="preserve"> have</w:t>
      </w:r>
      <w:r>
        <w:rPr>
          <w:rFonts w:cstheme="minorHAnsi"/>
        </w:rPr>
        <w:t xml:space="preserve"> use</w:t>
      </w:r>
      <w:r w:rsidR="003E75DE">
        <w:rPr>
          <w:rFonts w:cstheme="minorHAnsi"/>
        </w:rPr>
        <w:t>d</w:t>
      </w:r>
      <w:r>
        <w:rPr>
          <w:rFonts w:cstheme="minorHAnsi"/>
        </w:rPr>
        <w:t xml:space="preserve"> </w:t>
      </w:r>
      <w:r w:rsidR="003E75DE">
        <w:rPr>
          <w:rFonts w:cstheme="minorHAnsi"/>
        </w:rPr>
        <w:t xml:space="preserve">either </w:t>
      </w:r>
      <w:r>
        <w:rPr>
          <w:rFonts w:cstheme="minorHAnsi"/>
        </w:rPr>
        <w:t xml:space="preserve">the CDC </w:t>
      </w:r>
      <w:r w:rsidR="003E75DE">
        <w:rPr>
          <w:rFonts w:cstheme="minorHAnsi"/>
        </w:rPr>
        <w:t xml:space="preserve">or Oxford </w:t>
      </w:r>
      <w:r>
        <w:rPr>
          <w:rFonts w:cstheme="minorHAnsi"/>
        </w:rPr>
        <w:t>definition</w:t>
      </w:r>
      <w:r w:rsidR="005A393A">
        <w:rPr>
          <w:rFonts w:cstheme="minorHAnsi"/>
        </w:rPr>
        <w:t>s</w:t>
      </w:r>
      <w:r w:rsidR="000307F5">
        <w:rPr>
          <w:rFonts w:cstheme="minorHAnsi"/>
        </w:rPr>
        <w:t xml:space="preserve"> of CFS/ME</w:t>
      </w:r>
      <w:r w:rsidR="008B2BF9">
        <w:rPr>
          <w:rFonts w:cstheme="minorHAnsi"/>
        </w:rPr>
        <w:t>,</w:t>
      </w:r>
      <w:r>
        <w:rPr>
          <w:rFonts w:cstheme="minorHAnsi"/>
        </w:rPr>
        <w:t xml:space="preserve"> </w:t>
      </w:r>
      <w:r w:rsidR="005A393A">
        <w:rPr>
          <w:rFonts w:cstheme="minorHAnsi"/>
        </w:rPr>
        <w:t xml:space="preserve">neither of </w:t>
      </w:r>
      <w:r>
        <w:rPr>
          <w:rFonts w:cstheme="minorHAnsi"/>
        </w:rPr>
        <w:t>which</w:t>
      </w:r>
      <w:r w:rsidR="005A393A">
        <w:rPr>
          <w:rFonts w:cstheme="minorHAnsi"/>
        </w:rPr>
        <w:t xml:space="preserve"> </w:t>
      </w:r>
      <w:r>
        <w:rPr>
          <w:rFonts w:cstheme="minorHAnsi"/>
        </w:rPr>
        <w:t xml:space="preserve">mandate </w:t>
      </w:r>
      <w:r w:rsidR="00335AB3">
        <w:rPr>
          <w:rFonts w:cstheme="minorHAnsi"/>
        </w:rPr>
        <w:t>PEM</w:t>
      </w:r>
      <w:r w:rsidR="00D8445B">
        <w:rPr>
          <w:rFonts w:cstheme="minorHAnsi"/>
        </w:rPr>
        <w:t>,</w:t>
      </w:r>
      <w:r w:rsidR="00D8445B" w:rsidRPr="00D8445B">
        <w:t xml:space="preserve"> </w:t>
      </w:r>
      <w:r w:rsidR="000307F5">
        <w:t>al</w:t>
      </w:r>
      <w:r w:rsidR="00D8445B" w:rsidRPr="00D8445B">
        <w:rPr>
          <w:rFonts w:cstheme="minorHAnsi"/>
        </w:rPr>
        <w:t xml:space="preserve">though </w:t>
      </w:r>
      <w:r w:rsidR="000307F5">
        <w:rPr>
          <w:rFonts w:cstheme="minorHAnsi"/>
        </w:rPr>
        <w:t>it</w:t>
      </w:r>
      <w:r w:rsidR="00D8445B" w:rsidRPr="00D8445B">
        <w:rPr>
          <w:rFonts w:cstheme="minorHAnsi"/>
        </w:rPr>
        <w:t xml:space="preserve"> is an optional </w:t>
      </w:r>
      <w:r w:rsidR="000307F5">
        <w:rPr>
          <w:rFonts w:cstheme="minorHAnsi"/>
        </w:rPr>
        <w:t xml:space="preserve">symptom </w:t>
      </w:r>
      <w:r w:rsidR="00D8445B" w:rsidRPr="00D8445B">
        <w:rPr>
          <w:rFonts w:cstheme="minorHAnsi"/>
        </w:rPr>
        <w:t>of the CDC definition</w:t>
      </w:r>
      <w:r w:rsidR="005A393A">
        <w:rPr>
          <w:rFonts w:cstheme="minorHAnsi"/>
        </w:rPr>
        <w:t>.</w:t>
      </w:r>
      <w:r w:rsidR="003F13BA" w:rsidRPr="00ED2658">
        <w:rPr>
          <w:rFonts w:cstheme="minorHAnsi"/>
          <w:vertAlign w:val="superscript"/>
        </w:rPr>
        <w:t>2</w:t>
      </w:r>
      <w:r w:rsidR="00FD6083">
        <w:rPr>
          <w:rFonts w:cstheme="minorHAnsi"/>
          <w:vertAlign w:val="superscript"/>
        </w:rPr>
        <w:t>4</w:t>
      </w:r>
      <w:r w:rsidR="000907FD">
        <w:rPr>
          <w:rFonts w:cstheme="minorHAnsi"/>
          <w:vertAlign w:val="superscript"/>
        </w:rPr>
        <w:t xml:space="preserve">, </w:t>
      </w:r>
      <w:r w:rsidR="00FD6083">
        <w:rPr>
          <w:rFonts w:cstheme="minorHAnsi"/>
          <w:vertAlign w:val="superscript"/>
        </w:rPr>
        <w:t>3</w:t>
      </w:r>
      <w:r w:rsidR="00C95191">
        <w:rPr>
          <w:rFonts w:cstheme="minorHAnsi"/>
          <w:vertAlign w:val="superscript"/>
        </w:rPr>
        <w:t>3</w:t>
      </w:r>
      <w:r>
        <w:rPr>
          <w:rFonts w:cstheme="minorHAnsi"/>
        </w:rPr>
        <w:t xml:space="preserve"> </w:t>
      </w:r>
      <w:r w:rsidR="00D20790">
        <w:rPr>
          <w:rFonts w:cstheme="minorHAnsi"/>
        </w:rPr>
        <w:t>PEM</w:t>
      </w:r>
      <w:r>
        <w:rPr>
          <w:rFonts w:cstheme="minorHAnsi"/>
        </w:rPr>
        <w:t xml:space="preserve"> is </w:t>
      </w:r>
      <w:r w:rsidR="00671BAA">
        <w:rPr>
          <w:rFonts w:cstheme="minorHAnsi"/>
        </w:rPr>
        <w:t>common</w:t>
      </w:r>
      <w:r>
        <w:rPr>
          <w:rFonts w:cstheme="minorHAnsi"/>
        </w:rPr>
        <w:t xml:space="preserve"> </w:t>
      </w:r>
      <w:r w:rsidR="004F4C08">
        <w:rPr>
          <w:rFonts w:cstheme="minorHAnsi"/>
        </w:rPr>
        <w:t>in</w:t>
      </w:r>
      <w:r w:rsidR="00A40B8C">
        <w:rPr>
          <w:rFonts w:cstheme="minorHAnsi"/>
        </w:rPr>
        <w:t xml:space="preserve"> </w:t>
      </w:r>
      <w:r w:rsidR="00A40B8C" w:rsidRPr="00A40B8C">
        <w:rPr>
          <w:rFonts w:cstheme="minorHAnsi"/>
        </w:rPr>
        <w:t>populations of patients</w:t>
      </w:r>
      <w:r w:rsidR="00A40B8C">
        <w:rPr>
          <w:rFonts w:cstheme="minorHAnsi"/>
        </w:rPr>
        <w:t xml:space="preserve"> with</w:t>
      </w:r>
      <w:r w:rsidR="004F4C08">
        <w:rPr>
          <w:rFonts w:cstheme="minorHAnsi"/>
        </w:rPr>
        <w:t xml:space="preserve"> </w:t>
      </w:r>
      <w:r w:rsidR="004F59A0">
        <w:rPr>
          <w:rFonts w:cstheme="minorHAnsi"/>
        </w:rPr>
        <w:t>CFS/ME</w:t>
      </w:r>
      <w:r w:rsidR="006A1F5F">
        <w:rPr>
          <w:rFonts w:cstheme="minorHAnsi"/>
        </w:rPr>
        <w:t xml:space="preserve">. </w:t>
      </w:r>
      <w:bookmarkStart w:id="7" w:name="_Hlk121567842"/>
      <w:r w:rsidR="005D7167">
        <w:rPr>
          <w:rFonts w:cstheme="minorHAnsi"/>
        </w:rPr>
        <w:t>Some 8</w:t>
      </w:r>
      <w:r w:rsidR="00BD01CD">
        <w:rPr>
          <w:rFonts w:cstheme="minorHAnsi"/>
        </w:rPr>
        <w:t>5</w:t>
      </w:r>
      <w:r w:rsidR="00711320" w:rsidRPr="00602CCA">
        <w:rPr>
          <w:rFonts w:cstheme="minorHAnsi"/>
        </w:rPr>
        <w:t xml:space="preserve">% of participants reported </w:t>
      </w:r>
      <w:r w:rsidR="00335AB3">
        <w:rPr>
          <w:rFonts w:cstheme="minorHAnsi"/>
        </w:rPr>
        <w:t>PEM</w:t>
      </w:r>
      <w:r w:rsidR="00711320" w:rsidRPr="00602CCA">
        <w:rPr>
          <w:rFonts w:cstheme="minorHAnsi"/>
        </w:rPr>
        <w:t xml:space="preserve"> in </w:t>
      </w:r>
      <w:r w:rsidR="00560073">
        <w:rPr>
          <w:rFonts w:cstheme="minorHAnsi"/>
        </w:rPr>
        <w:t>eight</w:t>
      </w:r>
      <w:r w:rsidR="00711320" w:rsidRPr="00602CCA">
        <w:rPr>
          <w:rFonts w:cstheme="minorHAnsi"/>
        </w:rPr>
        <w:t xml:space="preserve"> </w:t>
      </w:r>
      <w:r w:rsidR="00221EE7">
        <w:rPr>
          <w:rFonts w:cstheme="minorHAnsi"/>
        </w:rPr>
        <w:t xml:space="preserve">CBT </w:t>
      </w:r>
      <w:r w:rsidR="00711320" w:rsidRPr="00602CCA">
        <w:rPr>
          <w:rFonts w:cstheme="minorHAnsi"/>
        </w:rPr>
        <w:t>trials</w:t>
      </w:r>
      <w:r>
        <w:rPr>
          <w:rFonts w:cstheme="minorHAnsi"/>
        </w:rPr>
        <w:t xml:space="preserve"> available for consideration, </w:t>
      </w:r>
      <w:r w:rsidR="00BD01CD">
        <w:rPr>
          <w:rFonts w:cstheme="minorHAnsi"/>
        </w:rPr>
        <w:t xml:space="preserve">the prevalence depending on </w:t>
      </w:r>
      <w:r w:rsidR="00671BAA">
        <w:rPr>
          <w:rFonts w:cstheme="minorHAnsi"/>
        </w:rPr>
        <w:t xml:space="preserve">its </w:t>
      </w:r>
      <w:r w:rsidR="00BD01CD">
        <w:rPr>
          <w:rFonts w:cstheme="minorHAnsi"/>
        </w:rPr>
        <w:t>defin</w:t>
      </w:r>
      <w:r w:rsidR="00A40B8C">
        <w:rPr>
          <w:rFonts w:cstheme="minorHAnsi"/>
        </w:rPr>
        <w:t>i</w:t>
      </w:r>
      <w:r w:rsidR="00BD01CD">
        <w:rPr>
          <w:rFonts w:cstheme="minorHAnsi"/>
        </w:rPr>
        <w:t>tion.</w:t>
      </w:r>
      <w:r w:rsidR="00FD6083">
        <w:rPr>
          <w:rFonts w:cstheme="minorHAnsi"/>
          <w:vertAlign w:val="superscript"/>
        </w:rPr>
        <w:t>3</w:t>
      </w:r>
      <w:r w:rsidR="00C95191">
        <w:rPr>
          <w:rFonts w:cstheme="minorHAnsi"/>
          <w:vertAlign w:val="superscript"/>
        </w:rPr>
        <w:t>4</w:t>
      </w:r>
      <w:r w:rsidR="00BD01CD">
        <w:rPr>
          <w:rFonts w:cstheme="minorHAnsi"/>
        </w:rPr>
        <w:t xml:space="preserve"> </w:t>
      </w:r>
      <w:bookmarkEnd w:id="7"/>
      <w:r w:rsidR="00BD01CD">
        <w:rPr>
          <w:rFonts w:cstheme="minorHAnsi"/>
        </w:rPr>
        <w:t>A</w:t>
      </w:r>
      <w:r w:rsidR="00752933">
        <w:rPr>
          <w:rFonts w:cstheme="minorHAnsi"/>
        </w:rPr>
        <w:t>n ind</w:t>
      </w:r>
      <w:r w:rsidR="00CC12C6">
        <w:rPr>
          <w:rFonts w:cstheme="minorHAnsi"/>
        </w:rPr>
        <w:t>ividual</w:t>
      </w:r>
      <w:r w:rsidR="00752933">
        <w:rPr>
          <w:rFonts w:cstheme="minorHAnsi"/>
        </w:rPr>
        <w:t xml:space="preserve"> patient data analysis found </w:t>
      </w:r>
      <w:r w:rsidR="005D7167">
        <w:rPr>
          <w:rFonts w:cstheme="minorHAnsi"/>
        </w:rPr>
        <w:t xml:space="preserve">no moderating effect </w:t>
      </w:r>
      <w:r w:rsidR="00752933">
        <w:rPr>
          <w:rFonts w:cstheme="minorHAnsi"/>
        </w:rPr>
        <w:t xml:space="preserve">of PEM on </w:t>
      </w:r>
      <w:r w:rsidR="00557D75">
        <w:rPr>
          <w:rFonts w:cstheme="minorHAnsi"/>
        </w:rPr>
        <w:t xml:space="preserve">the impact of CBT on </w:t>
      </w:r>
      <w:r w:rsidR="00752933">
        <w:rPr>
          <w:rFonts w:cstheme="minorHAnsi"/>
        </w:rPr>
        <w:t>either fatigue or function</w:t>
      </w:r>
      <w:r w:rsidR="0087121E">
        <w:rPr>
          <w:rFonts w:cstheme="minorHAnsi"/>
        </w:rPr>
        <w:t>al</w:t>
      </w:r>
      <w:r w:rsidR="00752933">
        <w:rPr>
          <w:rFonts w:cstheme="minorHAnsi"/>
        </w:rPr>
        <w:t xml:space="preserve"> outcomes.</w:t>
      </w:r>
      <w:r w:rsidR="00FD6083">
        <w:rPr>
          <w:rFonts w:cstheme="minorHAnsi"/>
          <w:vertAlign w:val="superscript"/>
        </w:rPr>
        <w:t>3</w:t>
      </w:r>
      <w:r w:rsidR="00C95191">
        <w:rPr>
          <w:rFonts w:cstheme="minorHAnsi"/>
          <w:vertAlign w:val="superscript"/>
        </w:rPr>
        <w:t>4</w:t>
      </w:r>
      <w:r w:rsidR="00752933">
        <w:rPr>
          <w:rFonts w:cstheme="minorHAnsi"/>
        </w:rPr>
        <w:t xml:space="preserve"> </w:t>
      </w:r>
      <w:r w:rsidR="00711320" w:rsidRPr="00602CCA">
        <w:rPr>
          <w:rFonts w:cstheme="minorHAnsi"/>
        </w:rPr>
        <w:t xml:space="preserve">NICE did </w:t>
      </w:r>
      <w:r w:rsidR="00D270B3">
        <w:rPr>
          <w:rFonts w:cstheme="minorHAnsi"/>
        </w:rPr>
        <w:t>unde</w:t>
      </w:r>
      <w:r w:rsidR="00DA7CF9">
        <w:rPr>
          <w:rFonts w:cstheme="minorHAnsi"/>
        </w:rPr>
        <w:t>r</w:t>
      </w:r>
      <w:r w:rsidR="00D270B3">
        <w:rPr>
          <w:rFonts w:cstheme="minorHAnsi"/>
        </w:rPr>
        <w:t>take</w:t>
      </w:r>
      <w:r w:rsidR="00711320" w:rsidRPr="00602CCA">
        <w:rPr>
          <w:rFonts w:cstheme="minorHAnsi"/>
        </w:rPr>
        <w:t xml:space="preserve"> a sensitivity analysis to assess whether the presence of </w:t>
      </w:r>
      <w:r w:rsidR="00335AB3">
        <w:rPr>
          <w:rFonts w:cstheme="minorHAnsi"/>
        </w:rPr>
        <w:t>PEM</w:t>
      </w:r>
      <w:r w:rsidR="00711320" w:rsidRPr="00602CCA">
        <w:rPr>
          <w:rFonts w:cstheme="minorHAnsi"/>
        </w:rPr>
        <w:t xml:space="preserve"> </w:t>
      </w:r>
      <w:r w:rsidR="00164E87">
        <w:rPr>
          <w:rFonts w:cstheme="minorHAnsi"/>
        </w:rPr>
        <w:t xml:space="preserve">in trials </w:t>
      </w:r>
      <w:r w:rsidR="00711320" w:rsidRPr="00602CCA">
        <w:rPr>
          <w:rFonts w:cstheme="minorHAnsi"/>
        </w:rPr>
        <w:t xml:space="preserve">affected </w:t>
      </w:r>
      <w:r w:rsidR="008D0A0C" w:rsidRPr="00602CCA">
        <w:rPr>
          <w:rFonts w:cstheme="minorHAnsi"/>
        </w:rPr>
        <w:t>outcome</w:t>
      </w:r>
      <w:r w:rsidR="005A393A">
        <w:rPr>
          <w:rFonts w:cstheme="minorHAnsi"/>
        </w:rPr>
        <w:t>s</w:t>
      </w:r>
      <w:r w:rsidR="00C2053C">
        <w:rPr>
          <w:rFonts w:cstheme="minorHAnsi"/>
        </w:rPr>
        <w:t>. H</w:t>
      </w:r>
      <w:r w:rsidR="00D07BD4">
        <w:rPr>
          <w:rFonts w:cstheme="minorHAnsi"/>
        </w:rPr>
        <w:t>owever, they</w:t>
      </w:r>
      <w:r w:rsidR="00C97429">
        <w:rPr>
          <w:rFonts w:cstheme="minorHAnsi"/>
        </w:rPr>
        <w:t xml:space="preserve"> </w:t>
      </w:r>
      <w:r w:rsidR="00D270B3">
        <w:rPr>
          <w:rFonts w:cstheme="minorHAnsi"/>
        </w:rPr>
        <w:t xml:space="preserve">arbitrarily set the </w:t>
      </w:r>
      <w:r w:rsidR="00952FD4">
        <w:rPr>
          <w:rFonts w:cstheme="minorHAnsi"/>
        </w:rPr>
        <w:t>threshold</w:t>
      </w:r>
      <w:r w:rsidR="00D270B3">
        <w:rPr>
          <w:rFonts w:cstheme="minorHAnsi"/>
        </w:rPr>
        <w:t xml:space="preserve"> for </w:t>
      </w:r>
      <w:r w:rsidR="00952FD4">
        <w:rPr>
          <w:rFonts w:cstheme="minorHAnsi"/>
        </w:rPr>
        <w:t>trials with the prevalence</w:t>
      </w:r>
      <w:r w:rsidR="00D270B3">
        <w:rPr>
          <w:rFonts w:cstheme="minorHAnsi"/>
        </w:rPr>
        <w:t xml:space="preserve"> of PE</w:t>
      </w:r>
      <w:r w:rsidR="00AD1814">
        <w:rPr>
          <w:rFonts w:cstheme="minorHAnsi"/>
        </w:rPr>
        <w:t>M</w:t>
      </w:r>
      <w:r w:rsidR="00D270B3">
        <w:rPr>
          <w:rFonts w:cstheme="minorHAnsi"/>
        </w:rPr>
        <w:t xml:space="preserve"> at </w:t>
      </w:r>
      <w:r w:rsidR="008B2BF9">
        <w:rPr>
          <w:rFonts w:cstheme="minorHAnsi"/>
        </w:rPr>
        <w:t>&gt;</w:t>
      </w:r>
      <w:r w:rsidR="00D270B3">
        <w:rPr>
          <w:rFonts w:cstheme="minorHAnsi"/>
        </w:rPr>
        <w:t>9</w:t>
      </w:r>
      <w:r w:rsidR="008B2BF9">
        <w:rPr>
          <w:rFonts w:cstheme="minorHAnsi"/>
        </w:rPr>
        <w:t>4</w:t>
      </w:r>
      <w:r w:rsidR="00D270B3">
        <w:rPr>
          <w:rFonts w:cstheme="minorHAnsi"/>
        </w:rPr>
        <w:t>%</w:t>
      </w:r>
      <w:r w:rsidR="00CC12C6">
        <w:rPr>
          <w:rFonts w:cstheme="minorHAnsi"/>
        </w:rPr>
        <w:t xml:space="preserve"> of participants</w:t>
      </w:r>
      <w:r w:rsidR="0064120E">
        <w:rPr>
          <w:rFonts w:cstheme="minorHAnsi"/>
        </w:rPr>
        <w:t xml:space="preserve"> and </w:t>
      </w:r>
      <w:r w:rsidR="002F315F">
        <w:rPr>
          <w:rFonts w:cstheme="minorHAnsi"/>
        </w:rPr>
        <w:t xml:space="preserve">did not </w:t>
      </w:r>
      <w:r w:rsidR="00375600">
        <w:rPr>
          <w:rFonts w:cstheme="minorHAnsi"/>
        </w:rPr>
        <w:t>include</w:t>
      </w:r>
      <w:r w:rsidR="006A1F5F">
        <w:rPr>
          <w:rFonts w:cstheme="minorHAnsi"/>
        </w:rPr>
        <w:t xml:space="preserve"> </w:t>
      </w:r>
      <w:r w:rsidR="00375600">
        <w:rPr>
          <w:rFonts w:cstheme="minorHAnsi"/>
        </w:rPr>
        <w:t xml:space="preserve">the </w:t>
      </w:r>
      <w:r w:rsidR="0064120E">
        <w:rPr>
          <w:rFonts w:cstheme="minorHAnsi"/>
        </w:rPr>
        <w:t xml:space="preserve">data from the </w:t>
      </w:r>
      <w:r w:rsidR="00040D3C">
        <w:rPr>
          <w:rFonts w:cstheme="minorHAnsi"/>
        </w:rPr>
        <w:t>eight</w:t>
      </w:r>
      <w:r w:rsidR="006A1F5F">
        <w:rPr>
          <w:rFonts w:cstheme="minorHAnsi"/>
        </w:rPr>
        <w:t xml:space="preserve"> </w:t>
      </w:r>
      <w:r w:rsidR="0064120E">
        <w:rPr>
          <w:rFonts w:cstheme="minorHAnsi"/>
        </w:rPr>
        <w:t>trials mentioned above</w:t>
      </w:r>
      <w:r w:rsidR="00256C6E">
        <w:rPr>
          <w:rFonts w:cstheme="minorHAnsi"/>
        </w:rPr>
        <w:t>.</w:t>
      </w:r>
      <w:r w:rsidR="00C95191">
        <w:rPr>
          <w:rFonts w:cstheme="minorHAnsi"/>
          <w:vertAlign w:val="superscript"/>
        </w:rPr>
        <w:t>27</w:t>
      </w:r>
      <w:r w:rsidR="00256C6E">
        <w:rPr>
          <w:rFonts w:cstheme="minorHAnsi"/>
        </w:rPr>
        <w:t xml:space="preserve"> </w:t>
      </w:r>
    </w:p>
    <w:bookmarkEnd w:id="6"/>
    <w:p w14:paraId="1B2CB0B3" w14:textId="263FA0AB" w:rsidR="00711320" w:rsidRPr="00602CCA" w:rsidRDefault="0064120E" w:rsidP="007544AE">
      <w:pPr>
        <w:spacing w:line="480" w:lineRule="auto"/>
        <w:rPr>
          <w:rFonts w:cstheme="minorHAnsi"/>
        </w:rPr>
      </w:pPr>
      <w:r>
        <w:rPr>
          <w:rFonts w:cstheme="minorHAnsi"/>
        </w:rPr>
        <w:t xml:space="preserve">Furthermore, </w:t>
      </w:r>
      <w:r w:rsidR="00711320" w:rsidRPr="00602CCA">
        <w:rPr>
          <w:rFonts w:cstheme="minorHAnsi"/>
        </w:rPr>
        <w:t xml:space="preserve">one trial of self-help based on </w:t>
      </w:r>
      <w:r w:rsidR="00CC12C6">
        <w:rPr>
          <w:rFonts w:cstheme="minorHAnsi"/>
        </w:rPr>
        <w:t>the</w:t>
      </w:r>
      <w:r w:rsidR="00711320" w:rsidRPr="00602CCA">
        <w:rPr>
          <w:rFonts w:cstheme="minorHAnsi"/>
        </w:rPr>
        <w:t xml:space="preserve"> principles </w:t>
      </w:r>
      <w:r w:rsidR="00CC12C6">
        <w:rPr>
          <w:rFonts w:cstheme="minorHAnsi"/>
        </w:rPr>
        <w:t>of GET</w:t>
      </w:r>
      <w:r w:rsidR="00DB2681">
        <w:rPr>
          <w:rFonts w:cstheme="minorHAnsi"/>
        </w:rPr>
        <w:t xml:space="preserve">, which </w:t>
      </w:r>
      <w:r w:rsidR="00282CFB">
        <w:rPr>
          <w:rFonts w:cstheme="minorHAnsi"/>
        </w:rPr>
        <w:t xml:space="preserve">did </w:t>
      </w:r>
      <w:r w:rsidR="00711320" w:rsidRPr="00602CCA">
        <w:rPr>
          <w:rFonts w:cstheme="minorHAnsi"/>
        </w:rPr>
        <w:t xml:space="preserve">use an illness definition that mandated </w:t>
      </w:r>
      <w:r w:rsidR="008D0A0C" w:rsidRPr="00602CCA">
        <w:rPr>
          <w:rFonts w:cstheme="minorHAnsi"/>
        </w:rPr>
        <w:t>PEM</w:t>
      </w:r>
      <w:r w:rsidR="00DB2681">
        <w:rPr>
          <w:rFonts w:cstheme="minorHAnsi"/>
        </w:rPr>
        <w:t xml:space="preserve">, </w:t>
      </w:r>
      <w:r w:rsidR="00711320" w:rsidRPr="00602CCA">
        <w:rPr>
          <w:rFonts w:cstheme="minorHAnsi"/>
        </w:rPr>
        <w:t>found the exercise intervention was effective in reducing fatigue.</w:t>
      </w:r>
      <w:r w:rsidR="00306667">
        <w:rPr>
          <w:rFonts w:cstheme="minorHAnsi"/>
          <w:vertAlign w:val="superscript"/>
        </w:rPr>
        <w:t>3</w:t>
      </w:r>
      <w:r w:rsidR="00F94C84">
        <w:rPr>
          <w:rFonts w:cstheme="minorHAnsi"/>
          <w:vertAlign w:val="superscript"/>
        </w:rPr>
        <w:t>5</w:t>
      </w:r>
      <w:r w:rsidR="00711320" w:rsidRPr="00602CCA">
        <w:rPr>
          <w:rFonts w:cstheme="minorHAnsi"/>
        </w:rPr>
        <w:t xml:space="preserve"> Another large trial (PACE) used a sensitivity analysis to show that using a</w:t>
      </w:r>
      <w:r w:rsidR="0031137E">
        <w:rPr>
          <w:rFonts w:cstheme="minorHAnsi"/>
        </w:rPr>
        <w:t>n</w:t>
      </w:r>
      <w:r w:rsidR="00711320" w:rsidRPr="00602CCA">
        <w:rPr>
          <w:rFonts w:cstheme="minorHAnsi"/>
        </w:rPr>
        <w:t xml:space="preserve"> ME definition that mandated post-exertional fatigue made no significant difference to the </w:t>
      </w:r>
      <w:r w:rsidR="00CC12C6">
        <w:rPr>
          <w:rFonts w:cstheme="minorHAnsi"/>
        </w:rPr>
        <w:t xml:space="preserve">more </w:t>
      </w:r>
      <w:r w:rsidR="00711320" w:rsidRPr="00602CCA">
        <w:rPr>
          <w:rFonts w:cstheme="minorHAnsi"/>
        </w:rPr>
        <w:t xml:space="preserve">positive outcomes </w:t>
      </w:r>
      <w:r w:rsidR="000B4F1E">
        <w:rPr>
          <w:rFonts w:cstheme="minorHAnsi"/>
        </w:rPr>
        <w:t>after</w:t>
      </w:r>
      <w:r w:rsidR="00711320" w:rsidRPr="00602CCA">
        <w:rPr>
          <w:rFonts w:cstheme="minorHAnsi"/>
        </w:rPr>
        <w:t xml:space="preserve"> both CBT and GET</w:t>
      </w:r>
      <w:r w:rsidR="009B2F67">
        <w:rPr>
          <w:rFonts w:cstheme="minorHAnsi"/>
        </w:rPr>
        <w:t>,</w:t>
      </w:r>
      <w:r w:rsidR="00435F04">
        <w:rPr>
          <w:rFonts w:cstheme="minorHAnsi"/>
        </w:rPr>
        <w:t xml:space="preserve"> when</w:t>
      </w:r>
      <w:r w:rsidR="00C97429">
        <w:rPr>
          <w:rFonts w:cstheme="minorHAnsi"/>
        </w:rPr>
        <w:t xml:space="preserve"> compared to adaptive pacing </w:t>
      </w:r>
      <w:r w:rsidR="00F0556C">
        <w:rPr>
          <w:rFonts w:cstheme="minorHAnsi"/>
        </w:rPr>
        <w:t xml:space="preserve">therapy </w:t>
      </w:r>
      <w:r w:rsidR="00C97429">
        <w:rPr>
          <w:rFonts w:cstheme="minorHAnsi"/>
        </w:rPr>
        <w:t>and usual care</w:t>
      </w:r>
      <w:r w:rsidR="00711320" w:rsidRPr="00602CCA">
        <w:rPr>
          <w:rFonts w:cstheme="minorHAnsi"/>
        </w:rPr>
        <w:t>.</w:t>
      </w:r>
      <w:r w:rsidR="000907FD">
        <w:rPr>
          <w:rFonts w:cstheme="minorHAnsi"/>
          <w:vertAlign w:val="superscript"/>
        </w:rPr>
        <w:t>3</w:t>
      </w:r>
      <w:r w:rsidR="00F94C84">
        <w:rPr>
          <w:rFonts w:cstheme="minorHAnsi"/>
          <w:vertAlign w:val="superscript"/>
        </w:rPr>
        <w:t>6</w:t>
      </w:r>
      <w:r w:rsidR="00711320" w:rsidRPr="00602CCA">
        <w:rPr>
          <w:rFonts w:cstheme="minorHAnsi"/>
        </w:rPr>
        <w:t xml:space="preserve"> Indeed, PE</w:t>
      </w:r>
      <w:r w:rsidR="0031137E">
        <w:rPr>
          <w:rFonts w:cstheme="minorHAnsi"/>
        </w:rPr>
        <w:t>M</w:t>
      </w:r>
      <w:r w:rsidR="00711320" w:rsidRPr="00602CCA">
        <w:rPr>
          <w:rFonts w:cstheme="minorHAnsi"/>
        </w:rPr>
        <w:t xml:space="preserve"> improved more with CBT and GET compared to </w:t>
      </w:r>
      <w:r w:rsidR="00C021BF">
        <w:rPr>
          <w:rFonts w:cstheme="minorHAnsi"/>
        </w:rPr>
        <w:t>the comparison treatments</w:t>
      </w:r>
      <w:r w:rsidR="00711320" w:rsidRPr="00602CCA">
        <w:rPr>
          <w:rFonts w:cstheme="minorHAnsi"/>
        </w:rPr>
        <w:t>.</w:t>
      </w:r>
      <w:r w:rsidR="000907FD">
        <w:rPr>
          <w:rFonts w:cstheme="minorHAnsi"/>
          <w:vertAlign w:val="superscript"/>
        </w:rPr>
        <w:t>3</w:t>
      </w:r>
      <w:r w:rsidR="00F94C84">
        <w:rPr>
          <w:rFonts w:cstheme="minorHAnsi"/>
          <w:vertAlign w:val="superscript"/>
        </w:rPr>
        <w:t>6</w:t>
      </w:r>
      <w:r w:rsidR="00711320" w:rsidRPr="00602CCA">
        <w:rPr>
          <w:rFonts w:cstheme="minorHAnsi"/>
        </w:rPr>
        <w:t xml:space="preserve"> </w:t>
      </w:r>
    </w:p>
    <w:p w14:paraId="1C837169" w14:textId="1D6B0CA8" w:rsidR="00711320" w:rsidRDefault="00711320" w:rsidP="007544AE">
      <w:pPr>
        <w:spacing w:line="480" w:lineRule="auto"/>
        <w:rPr>
          <w:rFonts w:cstheme="minorHAnsi"/>
        </w:rPr>
      </w:pPr>
      <w:r w:rsidRPr="00602CCA">
        <w:rPr>
          <w:rFonts w:cstheme="minorHAnsi"/>
        </w:rPr>
        <w:t xml:space="preserve">In summary, adopting PEM as a mandatory symptom for </w:t>
      </w:r>
      <w:r w:rsidR="00EA5A37">
        <w:rPr>
          <w:rFonts w:cstheme="minorHAnsi"/>
        </w:rPr>
        <w:t xml:space="preserve">previous </w:t>
      </w:r>
      <w:r w:rsidRPr="00602CCA">
        <w:rPr>
          <w:rFonts w:cstheme="minorHAnsi"/>
        </w:rPr>
        <w:t xml:space="preserve">trial participants </w:t>
      </w:r>
      <w:r w:rsidR="00A96FF3">
        <w:rPr>
          <w:rFonts w:cstheme="minorHAnsi"/>
        </w:rPr>
        <w:t>was</w:t>
      </w:r>
      <w:r w:rsidRPr="00602CCA">
        <w:rPr>
          <w:rFonts w:cstheme="minorHAnsi"/>
        </w:rPr>
        <w:t xml:space="preserve"> not based on </w:t>
      </w:r>
      <w:r w:rsidR="000B19A0">
        <w:rPr>
          <w:rFonts w:cstheme="minorHAnsi"/>
        </w:rPr>
        <w:t>robust</w:t>
      </w:r>
      <w:r w:rsidRPr="00602CCA">
        <w:rPr>
          <w:rFonts w:cstheme="minorHAnsi"/>
        </w:rPr>
        <w:t xml:space="preserve"> </w:t>
      </w:r>
      <w:r w:rsidR="00041E5C">
        <w:rPr>
          <w:rFonts w:cstheme="minorHAnsi"/>
        </w:rPr>
        <w:t>evidence</w:t>
      </w:r>
      <w:r w:rsidRPr="00602CCA">
        <w:rPr>
          <w:rFonts w:cstheme="minorHAnsi"/>
        </w:rPr>
        <w:t xml:space="preserve">. </w:t>
      </w:r>
      <w:r w:rsidR="0095464C">
        <w:rPr>
          <w:rFonts w:cstheme="minorHAnsi"/>
        </w:rPr>
        <w:t>Therefore,</w:t>
      </w:r>
      <w:r w:rsidR="00EF6EF6">
        <w:rPr>
          <w:rFonts w:cstheme="minorHAnsi"/>
        </w:rPr>
        <w:t xml:space="preserve"> downgrading </w:t>
      </w:r>
      <w:r w:rsidR="00AA3DEE">
        <w:rPr>
          <w:rFonts w:cstheme="minorHAnsi"/>
        </w:rPr>
        <w:t xml:space="preserve">the certainty of evidence </w:t>
      </w:r>
      <w:r w:rsidR="00726705">
        <w:rPr>
          <w:rFonts w:cstheme="minorHAnsi"/>
        </w:rPr>
        <w:t>on th</w:t>
      </w:r>
      <w:r w:rsidR="00FD6803">
        <w:rPr>
          <w:rFonts w:cstheme="minorHAnsi"/>
        </w:rPr>
        <w:t>is</w:t>
      </w:r>
      <w:r w:rsidR="00726705">
        <w:rPr>
          <w:rFonts w:cstheme="minorHAnsi"/>
        </w:rPr>
        <w:t xml:space="preserve"> basis </w:t>
      </w:r>
      <w:r w:rsidR="00FD6803">
        <w:rPr>
          <w:rFonts w:cstheme="minorHAnsi"/>
        </w:rPr>
        <w:t>(</w:t>
      </w:r>
      <w:r w:rsidR="00726705">
        <w:rPr>
          <w:rFonts w:cstheme="minorHAnsi"/>
        </w:rPr>
        <w:t>of indirectness</w:t>
      </w:r>
      <w:r w:rsidR="00E867DC">
        <w:rPr>
          <w:rFonts w:cstheme="minorHAnsi"/>
        </w:rPr>
        <w:t xml:space="preserve"> or applicability</w:t>
      </w:r>
      <w:r w:rsidR="00FD6803">
        <w:rPr>
          <w:rFonts w:cstheme="minorHAnsi"/>
        </w:rPr>
        <w:t>)</w:t>
      </w:r>
      <w:r w:rsidR="00726705">
        <w:rPr>
          <w:rFonts w:cstheme="minorHAnsi"/>
        </w:rPr>
        <w:t xml:space="preserve"> </w:t>
      </w:r>
      <w:r w:rsidR="00771927">
        <w:rPr>
          <w:rFonts w:cstheme="minorHAnsi"/>
        </w:rPr>
        <w:t>wa</w:t>
      </w:r>
      <w:r w:rsidR="00EF6EF6">
        <w:rPr>
          <w:rFonts w:cstheme="minorHAnsi"/>
        </w:rPr>
        <w:t xml:space="preserve">s </w:t>
      </w:r>
      <w:r w:rsidR="00A1225F">
        <w:rPr>
          <w:rFonts w:cstheme="minorHAnsi"/>
        </w:rPr>
        <w:t>inap</w:t>
      </w:r>
      <w:r w:rsidR="00F53CA2">
        <w:rPr>
          <w:rFonts w:cstheme="minorHAnsi"/>
        </w:rPr>
        <w:t>propriate</w:t>
      </w:r>
      <w:r w:rsidRPr="00602CCA">
        <w:rPr>
          <w:rFonts w:cstheme="minorHAnsi"/>
        </w:rPr>
        <w:t>.</w:t>
      </w:r>
      <w:r w:rsidR="00F94C84">
        <w:rPr>
          <w:rFonts w:cstheme="minorHAnsi"/>
          <w:vertAlign w:val="superscript"/>
        </w:rPr>
        <w:t>2</w:t>
      </w:r>
      <w:r w:rsidR="001D1F81">
        <w:rPr>
          <w:rFonts w:cstheme="minorHAnsi"/>
          <w:vertAlign w:val="superscript"/>
        </w:rPr>
        <w:t>6</w:t>
      </w:r>
      <w:r w:rsidR="00C95191">
        <w:rPr>
          <w:rFonts w:cstheme="minorHAnsi"/>
          <w:vertAlign w:val="superscript"/>
        </w:rPr>
        <w:t>, 27</w:t>
      </w:r>
      <w:r w:rsidRPr="00602CCA">
        <w:rPr>
          <w:rFonts w:cstheme="minorHAnsi"/>
        </w:rPr>
        <w:t xml:space="preserve"> </w:t>
      </w:r>
    </w:p>
    <w:p w14:paraId="796A4F7A" w14:textId="79F09EFB" w:rsidR="00C6463F" w:rsidRDefault="00C6463F" w:rsidP="007544AE">
      <w:pPr>
        <w:spacing w:line="480" w:lineRule="auto"/>
        <w:rPr>
          <w:rFonts w:cstheme="minorHAnsi"/>
        </w:rPr>
      </w:pPr>
    </w:p>
    <w:p w14:paraId="7E7F7A7D" w14:textId="220F74A8" w:rsidR="00C6463F" w:rsidRPr="00C6463F" w:rsidRDefault="003F4C8F" w:rsidP="007544AE">
      <w:pPr>
        <w:spacing w:line="480" w:lineRule="auto"/>
        <w:rPr>
          <w:rFonts w:cstheme="minorHAnsi"/>
          <w:b/>
          <w:bCs/>
        </w:rPr>
      </w:pPr>
      <w:r>
        <w:rPr>
          <w:rFonts w:cstheme="minorHAnsi"/>
          <w:b/>
          <w:bCs/>
        </w:rPr>
        <w:t>2</w:t>
      </w:r>
      <w:r w:rsidR="004C6A7E">
        <w:rPr>
          <w:rFonts w:cstheme="minorHAnsi"/>
          <w:b/>
          <w:bCs/>
        </w:rPr>
        <w:t xml:space="preserve">. </w:t>
      </w:r>
      <w:r w:rsidR="004C6A7E" w:rsidRPr="004C6A7E">
        <w:rPr>
          <w:rFonts w:cstheme="minorHAnsi"/>
          <w:b/>
          <w:bCs/>
        </w:rPr>
        <w:t xml:space="preserve">Omission of </w:t>
      </w:r>
      <w:r w:rsidR="008071DA">
        <w:rPr>
          <w:rFonts w:cstheme="minorHAnsi"/>
          <w:b/>
          <w:bCs/>
        </w:rPr>
        <w:t xml:space="preserve">primary </w:t>
      </w:r>
      <w:r w:rsidR="00FC7D8C">
        <w:rPr>
          <w:rFonts w:cstheme="minorHAnsi"/>
          <w:b/>
          <w:bCs/>
        </w:rPr>
        <w:t xml:space="preserve">outcome </w:t>
      </w:r>
      <w:r w:rsidR="004C6A7E" w:rsidRPr="004C6A7E">
        <w:rPr>
          <w:rFonts w:cstheme="minorHAnsi"/>
          <w:b/>
          <w:bCs/>
        </w:rPr>
        <w:t xml:space="preserve">data from </w:t>
      </w:r>
      <w:r w:rsidR="004C0CD9">
        <w:rPr>
          <w:rFonts w:cstheme="minorHAnsi"/>
          <w:b/>
          <w:bCs/>
        </w:rPr>
        <w:t xml:space="preserve">standard </w:t>
      </w:r>
      <w:r w:rsidR="004C6A7E">
        <w:rPr>
          <w:rFonts w:cstheme="minorHAnsi"/>
          <w:b/>
          <w:bCs/>
        </w:rPr>
        <w:t xml:space="preserve">trial </w:t>
      </w:r>
      <w:r w:rsidR="006F6504">
        <w:rPr>
          <w:rFonts w:cstheme="minorHAnsi"/>
          <w:b/>
          <w:bCs/>
        </w:rPr>
        <w:t>end</w:t>
      </w:r>
      <w:r w:rsidR="004C6A7E" w:rsidRPr="004C6A7E">
        <w:rPr>
          <w:rFonts w:cstheme="minorHAnsi"/>
          <w:b/>
          <w:bCs/>
        </w:rPr>
        <w:t xml:space="preserve"> points</w:t>
      </w:r>
      <w:r w:rsidR="00560073">
        <w:rPr>
          <w:rFonts w:cstheme="minorHAnsi"/>
          <w:b/>
          <w:bCs/>
        </w:rPr>
        <w:t xml:space="preserve"> </w:t>
      </w:r>
      <w:r w:rsidR="004C6A7E" w:rsidRPr="004C6A7E">
        <w:rPr>
          <w:rFonts w:cstheme="minorHAnsi"/>
          <w:b/>
          <w:bCs/>
        </w:rPr>
        <w:t>used to assess efficacy</w:t>
      </w:r>
      <w:r w:rsidR="00C6463F" w:rsidRPr="00C6463F" w:rsidDel="00C6463F">
        <w:rPr>
          <w:rFonts w:cstheme="minorHAnsi"/>
          <w:b/>
          <w:bCs/>
        </w:rPr>
        <w:t xml:space="preserve"> </w:t>
      </w:r>
    </w:p>
    <w:p w14:paraId="2EEC561E" w14:textId="4ADF8504" w:rsidR="006A1F5F" w:rsidRDefault="00A7634C" w:rsidP="007544AE">
      <w:pPr>
        <w:spacing w:line="480" w:lineRule="auto"/>
        <w:rPr>
          <w:rFonts w:cstheme="minorHAnsi"/>
        </w:rPr>
      </w:pPr>
      <w:r>
        <w:rPr>
          <w:rFonts w:cstheme="minorHAnsi"/>
        </w:rPr>
        <w:t xml:space="preserve">The NICE committee </w:t>
      </w:r>
      <w:r w:rsidR="006C2757">
        <w:rPr>
          <w:rFonts w:cstheme="minorHAnsi"/>
        </w:rPr>
        <w:t>did not</w:t>
      </w:r>
      <w:r w:rsidRPr="00A7634C">
        <w:rPr>
          <w:rFonts w:cstheme="minorHAnsi"/>
        </w:rPr>
        <w:t xml:space="preserve"> use data from all time </w:t>
      </w:r>
      <w:r w:rsidR="0095464C" w:rsidRPr="00A7634C">
        <w:rPr>
          <w:rFonts w:cstheme="minorHAnsi"/>
        </w:rPr>
        <w:t>points and</w:t>
      </w:r>
      <w:r w:rsidRPr="00A7634C">
        <w:rPr>
          <w:rFonts w:cstheme="minorHAnsi"/>
        </w:rPr>
        <w:t xml:space="preserve"> </w:t>
      </w:r>
      <w:r w:rsidR="00041E5C">
        <w:rPr>
          <w:rFonts w:cstheme="minorHAnsi"/>
        </w:rPr>
        <w:t>overlooked</w:t>
      </w:r>
      <w:r w:rsidR="00041E5C" w:rsidRPr="00A7634C">
        <w:rPr>
          <w:rFonts w:cstheme="minorHAnsi"/>
        </w:rPr>
        <w:t xml:space="preserve"> </w:t>
      </w:r>
      <w:r w:rsidRPr="00A7634C">
        <w:rPr>
          <w:rFonts w:cstheme="minorHAnsi"/>
        </w:rPr>
        <w:t>predefined end</w:t>
      </w:r>
      <w:r w:rsidR="00710476">
        <w:rPr>
          <w:rFonts w:cstheme="minorHAnsi"/>
        </w:rPr>
        <w:t>-</w:t>
      </w:r>
      <w:r w:rsidRPr="00A7634C">
        <w:rPr>
          <w:rFonts w:cstheme="minorHAnsi"/>
        </w:rPr>
        <w:t>point timing</w:t>
      </w:r>
      <w:r w:rsidR="002E4FDC">
        <w:rPr>
          <w:rFonts w:cstheme="minorHAnsi"/>
        </w:rPr>
        <w:t>s</w:t>
      </w:r>
      <w:r>
        <w:rPr>
          <w:rFonts w:cstheme="minorHAnsi"/>
        </w:rPr>
        <w:t xml:space="preserve"> of trials</w:t>
      </w:r>
      <w:r w:rsidRPr="00A7634C">
        <w:rPr>
          <w:rFonts w:cstheme="minorHAnsi"/>
        </w:rPr>
        <w:t>.</w:t>
      </w:r>
      <w:r>
        <w:rPr>
          <w:rFonts w:cstheme="minorHAnsi"/>
        </w:rPr>
        <w:t xml:space="preserve"> To comprehensively </w:t>
      </w:r>
      <w:r w:rsidR="00067E72" w:rsidRPr="00602CCA">
        <w:rPr>
          <w:rFonts w:cstheme="minorHAnsi"/>
        </w:rPr>
        <w:t xml:space="preserve">assess </w:t>
      </w:r>
      <w:r w:rsidR="00703A35">
        <w:rPr>
          <w:rFonts w:cstheme="minorHAnsi"/>
        </w:rPr>
        <w:t xml:space="preserve">treatment </w:t>
      </w:r>
      <w:r w:rsidR="00067E72" w:rsidRPr="00602CCA">
        <w:rPr>
          <w:rFonts w:cstheme="minorHAnsi"/>
        </w:rPr>
        <w:t>effects</w:t>
      </w:r>
      <w:r>
        <w:rPr>
          <w:rFonts w:cstheme="minorHAnsi"/>
        </w:rPr>
        <w:t xml:space="preserve"> over time</w:t>
      </w:r>
      <w:r w:rsidR="00067E72" w:rsidRPr="00602CCA">
        <w:rPr>
          <w:rFonts w:cstheme="minorHAnsi"/>
        </w:rPr>
        <w:t>, meta-analys</w:t>
      </w:r>
      <w:r w:rsidR="00A707FD">
        <w:rPr>
          <w:rFonts w:cstheme="minorHAnsi"/>
        </w:rPr>
        <w:t>e</w:t>
      </w:r>
      <w:r w:rsidR="00067E72" w:rsidRPr="00602CCA">
        <w:rPr>
          <w:rFonts w:cstheme="minorHAnsi"/>
        </w:rPr>
        <w:t xml:space="preserve">s should use all time points that </w:t>
      </w:r>
      <w:r w:rsidR="00FC7C8E">
        <w:rPr>
          <w:rFonts w:cstheme="minorHAnsi"/>
        </w:rPr>
        <w:t>directly evaluate</w:t>
      </w:r>
      <w:r w:rsidR="00067E72" w:rsidRPr="00602CCA">
        <w:rPr>
          <w:rFonts w:cstheme="minorHAnsi"/>
        </w:rPr>
        <w:t xml:space="preserve"> the </w:t>
      </w:r>
      <w:r w:rsidR="00DB2ECD">
        <w:rPr>
          <w:rFonts w:cstheme="minorHAnsi"/>
        </w:rPr>
        <w:t xml:space="preserve">treatment </w:t>
      </w:r>
      <w:r w:rsidR="00067E72" w:rsidRPr="00602CCA">
        <w:rPr>
          <w:rFonts w:cstheme="minorHAnsi"/>
        </w:rPr>
        <w:t>effect.</w:t>
      </w:r>
      <w:r w:rsidR="000907FD">
        <w:rPr>
          <w:rFonts w:cstheme="minorHAnsi"/>
          <w:vertAlign w:val="superscript"/>
        </w:rPr>
        <w:t>3</w:t>
      </w:r>
      <w:r w:rsidR="002D4C3B">
        <w:rPr>
          <w:rFonts w:cstheme="minorHAnsi"/>
          <w:vertAlign w:val="superscript"/>
        </w:rPr>
        <w:t>7</w:t>
      </w:r>
      <w:r w:rsidR="00067E72" w:rsidRPr="00602CCA">
        <w:rPr>
          <w:rFonts w:cstheme="minorHAnsi"/>
        </w:rPr>
        <w:t xml:space="preserve"> </w:t>
      </w:r>
      <w:r w:rsidR="0059290E" w:rsidRPr="0059290E">
        <w:rPr>
          <w:rFonts w:cstheme="minorHAnsi"/>
        </w:rPr>
        <w:t>After the end of any trial, participants are free to take up any treatment they wish. Any longer term follow up is purely naturalistic and outcome</w:t>
      </w:r>
      <w:r>
        <w:rPr>
          <w:rFonts w:cstheme="minorHAnsi"/>
        </w:rPr>
        <w:t>s</w:t>
      </w:r>
      <w:r w:rsidR="0059290E" w:rsidRPr="0059290E">
        <w:rPr>
          <w:rFonts w:cstheme="minorHAnsi"/>
        </w:rPr>
        <w:t xml:space="preserve">, good or bad, </w:t>
      </w:r>
      <w:r>
        <w:rPr>
          <w:rFonts w:cstheme="minorHAnsi"/>
        </w:rPr>
        <w:t>are progressively less</w:t>
      </w:r>
      <w:r w:rsidR="0059290E" w:rsidRPr="0059290E">
        <w:rPr>
          <w:rFonts w:cstheme="minorHAnsi"/>
        </w:rPr>
        <w:t xml:space="preserve"> attribut</w:t>
      </w:r>
      <w:r>
        <w:rPr>
          <w:rFonts w:cstheme="minorHAnsi"/>
        </w:rPr>
        <w:t>able</w:t>
      </w:r>
      <w:r w:rsidR="0059290E" w:rsidRPr="0059290E">
        <w:rPr>
          <w:rFonts w:cstheme="minorHAnsi"/>
        </w:rPr>
        <w:t xml:space="preserve"> to the original treatment </w:t>
      </w:r>
      <w:r w:rsidR="00AA7F6A">
        <w:rPr>
          <w:rFonts w:cstheme="minorHAnsi"/>
        </w:rPr>
        <w:t xml:space="preserve">to which the </w:t>
      </w:r>
      <w:r w:rsidR="0059290E" w:rsidRPr="0059290E">
        <w:rPr>
          <w:rFonts w:cstheme="minorHAnsi"/>
        </w:rPr>
        <w:t xml:space="preserve">participants were randomised. </w:t>
      </w:r>
      <w:r w:rsidR="00067E72" w:rsidRPr="00602CCA">
        <w:rPr>
          <w:rFonts w:cstheme="minorHAnsi"/>
        </w:rPr>
        <w:t xml:space="preserve">However, the NICE </w:t>
      </w:r>
      <w:r w:rsidR="001C03DC">
        <w:rPr>
          <w:rFonts w:cstheme="minorHAnsi"/>
        </w:rPr>
        <w:t>committee</w:t>
      </w:r>
      <w:r w:rsidR="00067E72" w:rsidRPr="00602CCA">
        <w:rPr>
          <w:rFonts w:cstheme="minorHAnsi"/>
        </w:rPr>
        <w:t xml:space="preserve"> only consider</w:t>
      </w:r>
      <w:r w:rsidR="00AE26EB">
        <w:rPr>
          <w:rFonts w:cstheme="minorHAnsi"/>
        </w:rPr>
        <w:t>ed</w:t>
      </w:r>
      <w:r w:rsidR="00067E72" w:rsidRPr="00602CCA">
        <w:rPr>
          <w:rFonts w:cstheme="minorHAnsi"/>
        </w:rPr>
        <w:t xml:space="preserve"> outcomes</w:t>
      </w:r>
      <w:r w:rsidR="00D579B8">
        <w:rPr>
          <w:rFonts w:cstheme="minorHAnsi"/>
        </w:rPr>
        <w:t xml:space="preserve"> </w:t>
      </w:r>
      <w:r w:rsidR="00067E72" w:rsidRPr="00602CCA">
        <w:rPr>
          <w:rFonts w:cstheme="minorHAnsi"/>
        </w:rPr>
        <w:t xml:space="preserve">for each trial at the data point furthest </w:t>
      </w:r>
      <w:r w:rsidR="007F0EA7">
        <w:rPr>
          <w:rFonts w:cstheme="minorHAnsi"/>
        </w:rPr>
        <w:t xml:space="preserve">away </w:t>
      </w:r>
      <w:r w:rsidR="00067E72" w:rsidRPr="00602CCA">
        <w:rPr>
          <w:rFonts w:cstheme="minorHAnsi"/>
        </w:rPr>
        <w:t>from</w:t>
      </w:r>
      <w:r w:rsidR="002E4FDC">
        <w:rPr>
          <w:rFonts w:cstheme="minorHAnsi"/>
        </w:rPr>
        <w:t xml:space="preserve"> </w:t>
      </w:r>
      <w:r w:rsidR="00067E72" w:rsidRPr="00602CCA">
        <w:rPr>
          <w:rFonts w:cstheme="minorHAnsi"/>
        </w:rPr>
        <w:t>randomisation</w:t>
      </w:r>
      <w:r w:rsidR="0000355B">
        <w:rPr>
          <w:rFonts w:cstheme="minorHAnsi"/>
        </w:rPr>
        <w:t>.</w:t>
      </w:r>
      <w:r w:rsidR="00C95191">
        <w:rPr>
          <w:rFonts w:cstheme="minorHAnsi"/>
          <w:vertAlign w:val="superscript"/>
        </w:rPr>
        <w:t>26, 27</w:t>
      </w:r>
      <w:r w:rsidR="0000355B">
        <w:rPr>
          <w:rFonts w:cstheme="minorHAnsi"/>
        </w:rPr>
        <w:t xml:space="preserve"> </w:t>
      </w:r>
      <w:r w:rsidR="00274F49">
        <w:rPr>
          <w:rFonts w:cstheme="minorHAnsi"/>
        </w:rPr>
        <w:t xml:space="preserve">The justification for this decision was to allow examination of </w:t>
      </w:r>
      <w:r w:rsidR="00F7148C">
        <w:rPr>
          <w:rFonts w:cstheme="minorHAnsi"/>
        </w:rPr>
        <w:t xml:space="preserve">long-term </w:t>
      </w:r>
      <w:r w:rsidR="00274F49">
        <w:rPr>
          <w:rFonts w:cstheme="minorHAnsi"/>
        </w:rPr>
        <w:t xml:space="preserve">outcomes, such as mortality; </w:t>
      </w:r>
      <w:r w:rsidR="00F7148C">
        <w:rPr>
          <w:rFonts w:cstheme="minorHAnsi"/>
        </w:rPr>
        <w:t xml:space="preserve">but </w:t>
      </w:r>
      <w:r w:rsidR="009616E0">
        <w:rPr>
          <w:rFonts w:cstheme="minorHAnsi"/>
        </w:rPr>
        <w:t xml:space="preserve">since </w:t>
      </w:r>
      <w:r w:rsidR="00274F49">
        <w:rPr>
          <w:rFonts w:cstheme="minorHAnsi"/>
        </w:rPr>
        <w:t xml:space="preserve">CFS/ME </w:t>
      </w:r>
      <w:r w:rsidR="00F7148C">
        <w:rPr>
          <w:rFonts w:cstheme="minorHAnsi"/>
        </w:rPr>
        <w:t xml:space="preserve">is not a </w:t>
      </w:r>
      <w:r w:rsidR="007E6066">
        <w:rPr>
          <w:rFonts w:cstheme="minorHAnsi"/>
        </w:rPr>
        <w:t>fatal</w:t>
      </w:r>
      <w:r w:rsidR="00F7148C">
        <w:rPr>
          <w:rFonts w:cstheme="minorHAnsi"/>
        </w:rPr>
        <w:t xml:space="preserve"> disease, this </w:t>
      </w:r>
      <w:r w:rsidR="009616E0">
        <w:rPr>
          <w:rFonts w:cstheme="minorHAnsi"/>
        </w:rPr>
        <w:t>is unconvincing</w:t>
      </w:r>
      <w:r w:rsidR="00F7148C">
        <w:rPr>
          <w:rFonts w:cstheme="minorHAnsi"/>
        </w:rPr>
        <w:t>.</w:t>
      </w:r>
      <w:r w:rsidR="00AD62E1">
        <w:rPr>
          <w:rFonts w:cstheme="minorHAnsi"/>
          <w:vertAlign w:val="superscript"/>
        </w:rPr>
        <w:t>3</w:t>
      </w:r>
      <w:r w:rsidR="002D4C3B">
        <w:rPr>
          <w:rFonts w:cstheme="minorHAnsi"/>
          <w:vertAlign w:val="superscript"/>
        </w:rPr>
        <w:t>8</w:t>
      </w:r>
      <w:r w:rsidR="00F7148C">
        <w:rPr>
          <w:rFonts w:cstheme="minorHAnsi"/>
        </w:rPr>
        <w:t xml:space="preserve"> </w:t>
      </w:r>
      <w:r w:rsidR="0000355B">
        <w:rPr>
          <w:rFonts w:cstheme="minorHAnsi"/>
        </w:rPr>
        <w:t>Th</w:t>
      </w:r>
      <w:r w:rsidR="009616E0">
        <w:rPr>
          <w:rFonts w:cstheme="minorHAnsi"/>
        </w:rPr>
        <w:t>e</w:t>
      </w:r>
      <w:r w:rsidR="0000355B">
        <w:rPr>
          <w:rFonts w:cstheme="minorHAnsi"/>
        </w:rPr>
        <w:t xml:space="preserve"> </w:t>
      </w:r>
      <w:r w:rsidR="009616E0">
        <w:rPr>
          <w:rFonts w:cstheme="minorHAnsi"/>
        </w:rPr>
        <w:t xml:space="preserve">decision </w:t>
      </w:r>
      <w:r w:rsidR="007F0EA7">
        <w:rPr>
          <w:rFonts w:cstheme="minorHAnsi"/>
        </w:rPr>
        <w:t xml:space="preserve">sometimes </w:t>
      </w:r>
      <w:r w:rsidR="00EC0C13">
        <w:rPr>
          <w:rFonts w:cstheme="minorHAnsi"/>
        </w:rPr>
        <w:t>led to</w:t>
      </w:r>
      <w:r w:rsidR="007F0EA7">
        <w:rPr>
          <w:rFonts w:cstheme="minorHAnsi"/>
        </w:rPr>
        <w:t xml:space="preserve"> </w:t>
      </w:r>
      <w:r w:rsidR="00041E5C">
        <w:rPr>
          <w:rFonts w:cstheme="minorHAnsi"/>
        </w:rPr>
        <w:t xml:space="preserve">excluding </w:t>
      </w:r>
      <w:r w:rsidR="00FC7D8C">
        <w:rPr>
          <w:rFonts w:cstheme="minorHAnsi"/>
        </w:rPr>
        <w:t xml:space="preserve">consideration of </w:t>
      </w:r>
      <w:r w:rsidR="007F0EA7">
        <w:rPr>
          <w:rFonts w:cstheme="minorHAnsi"/>
        </w:rPr>
        <w:t xml:space="preserve">earlier </w:t>
      </w:r>
      <w:r w:rsidR="0021290A">
        <w:rPr>
          <w:rFonts w:cstheme="minorHAnsi"/>
        </w:rPr>
        <w:t>trial</w:t>
      </w:r>
      <w:r w:rsidR="007F0EA7">
        <w:rPr>
          <w:rFonts w:cstheme="minorHAnsi"/>
        </w:rPr>
        <w:t xml:space="preserve"> outcomes </w:t>
      </w:r>
      <w:r w:rsidR="006A1F5F">
        <w:rPr>
          <w:rFonts w:cstheme="minorHAnsi"/>
        </w:rPr>
        <w:t xml:space="preserve">assigned </w:t>
      </w:r>
      <w:r w:rsidR="006A1F5F" w:rsidRPr="008C629D">
        <w:rPr>
          <w:rFonts w:cstheme="minorHAnsi"/>
          <w:i/>
          <w:iCs/>
        </w:rPr>
        <w:t>a</w:t>
      </w:r>
      <w:r w:rsidR="002C3234" w:rsidRPr="008C629D">
        <w:rPr>
          <w:rFonts w:cstheme="minorHAnsi"/>
          <w:i/>
          <w:iCs/>
        </w:rPr>
        <w:t xml:space="preserve"> </w:t>
      </w:r>
      <w:r w:rsidR="006A1F5F" w:rsidRPr="008C629D">
        <w:rPr>
          <w:rFonts w:cstheme="minorHAnsi"/>
          <w:i/>
          <w:iCs/>
        </w:rPr>
        <w:t>priori</w:t>
      </w:r>
      <w:r w:rsidR="006A1F5F">
        <w:rPr>
          <w:rFonts w:cstheme="minorHAnsi"/>
        </w:rPr>
        <w:t xml:space="preserve"> as primary </w:t>
      </w:r>
      <w:r w:rsidR="002C3234">
        <w:rPr>
          <w:rFonts w:cstheme="minorHAnsi"/>
        </w:rPr>
        <w:t>end-point</w:t>
      </w:r>
      <w:r w:rsidR="00CE356F">
        <w:rPr>
          <w:rFonts w:cstheme="minorHAnsi"/>
        </w:rPr>
        <w:t xml:space="preserve"> time</w:t>
      </w:r>
      <w:r w:rsidR="002C3234">
        <w:rPr>
          <w:rFonts w:cstheme="minorHAnsi"/>
        </w:rPr>
        <w:t>s</w:t>
      </w:r>
      <w:r w:rsidR="007F0EA7">
        <w:rPr>
          <w:rFonts w:cstheme="minorHAnsi"/>
        </w:rPr>
        <w:t>.</w:t>
      </w:r>
      <w:r w:rsidR="00E11D01">
        <w:rPr>
          <w:rFonts w:cstheme="minorHAnsi"/>
          <w:vertAlign w:val="superscript"/>
        </w:rPr>
        <w:t>2</w:t>
      </w:r>
      <w:r w:rsidR="002D4C3B">
        <w:rPr>
          <w:rFonts w:cstheme="minorHAnsi"/>
          <w:vertAlign w:val="superscript"/>
        </w:rPr>
        <w:t>6</w:t>
      </w:r>
      <w:r w:rsidR="00C95191">
        <w:rPr>
          <w:rFonts w:cstheme="minorHAnsi"/>
          <w:vertAlign w:val="superscript"/>
        </w:rPr>
        <w:t>, 27</w:t>
      </w:r>
      <w:r w:rsidR="007F0EA7">
        <w:rPr>
          <w:rFonts w:cstheme="minorHAnsi"/>
        </w:rPr>
        <w:t xml:space="preserve"> </w:t>
      </w:r>
    </w:p>
    <w:p w14:paraId="22BA4A2E" w14:textId="18F79A72" w:rsidR="00067E72" w:rsidRPr="00B13A58" w:rsidRDefault="00067E72" w:rsidP="008C629D">
      <w:pPr>
        <w:spacing w:line="480" w:lineRule="auto"/>
        <w:rPr>
          <w:rFonts w:cstheme="minorHAnsi"/>
          <w:vertAlign w:val="superscript"/>
        </w:rPr>
      </w:pPr>
      <w:r w:rsidRPr="00602CCA">
        <w:rPr>
          <w:rFonts w:cstheme="minorHAnsi"/>
        </w:rPr>
        <w:t>Most trials only published outcomes at the predefined trial endpoint</w:t>
      </w:r>
      <w:r w:rsidR="006A1F5F">
        <w:rPr>
          <w:rFonts w:cstheme="minorHAnsi"/>
        </w:rPr>
        <w:t xml:space="preserve">. </w:t>
      </w:r>
      <w:r w:rsidR="00AF696B">
        <w:rPr>
          <w:rFonts w:cstheme="minorHAnsi"/>
        </w:rPr>
        <w:t>T</w:t>
      </w:r>
      <w:r w:rsidR="006A1F5F">
        <w:rPr>
          <w:rFonts w:cstheme="minorHAnsi"/>
        </w:rPr>
        <w:t xml:space="preserve">he primary </w:t>
      </w:r>
      <w:r w:rsidR="00315788">
        <w:rPr>
          <w:rFonts w:cstheme="minorHAnsi"/>
        </w:rPr>
        <w:t>end-point</w:t>
      </w:r>
      <w:r w:rsidR="006A1F5F">
        <w:rPr>
          <w:rFonts w:cstheme="minorHAnsi"/>
        </w:rPr>
        <w:t xml:space="preserve"> for the </w:t>
      </w:r>
      <w:r w:rsidRPr="00602CCA">
        <w:rPr>
          <w:rFonts w:cstheme="minorHAnsi"/>
        </w:rPr>
        <w:t xml:space="preserve">PACE </w:t>
      </w:r>
      <w:r w:rsidR="006A1F5F">
        <w:rPr>
          <w:rFonts w:cstheme="minorHAnsi"/>
        </w:rPr>
        <w:t xml:space="preserve">trial </w:t>
      </w:r>
      <w:r w:rsidRPr="00602CCA">
        <w:rPr>
          <w:rFonts w:cstheme="minorHAnsi"/>
        </w:rPr>
        <w:t xml:space="preserve">was </w:t>
      </w:r>
      <w:r w:rsidR="00105092">
        <w:rPr>
          <w:rFonts w:cstheme="minorHAnsi"/>
        </w:rPr>
        <w:t xml:space="preserve">at </w:t>
      </w:r>
      <w:r w:rsidRPr="00602CCA">
        <w:rPr>
          <w:rFonts w:cstheme="minorHAnsi"/>
        </w:rPr>
        <w:t>12 months</w:t>
      </w:r>
      <w:r w:rsidR="00AF696B">
        <w:rPr>
          <w:rFonts w:cstheme="minorHAnsi"/>
        </w:rPr>
        <w:t>;</w:t>
      </w:r>
      <w:r w:rsidR="002D4C3B">
        <w:rPr>
          <w:rFonts w:cstheme="minorHAnsi"/>
          <w:vertAlign w:val="superscript"/>
        </w:rPr>
        <w:t>3</w:t>
      </w:r>
      <w:r w:rsidR="00E11D01">
        <w:rPr>
          <w:rFonts w:cstheme="minorHAnsi"/>
          <w:vertAlign w:val="superscript"/>
        </w:rPr>
        <w:t>6</w:t>
      </w:r>
      <w:r w:rsidR="006A1F5F">
        <w:rPr>
          <w:rFonts w:cstheme="minorHAnsi"/>
        </w:rPr>
        <w:t xml:space="preserve"> </w:t>
      </w:r>
      <w:r w:rsidR="009D769B" w:rsidRPr="00602CCA">
        <w:rPr>
          <w:rFonts w:cstheme="minorHAnsi"/>
        </w:rPr>
        <w:t xml:space="preserve">trial </w:t>
      </w:r>
      <w:r w:rsidRPr="00602CCA">
        <w:rPr>
          <w:rFonts w:cstheme="minorHAnsi"/>
        </w:rPr>
        <w:t xml:space="preserve">participants </w:t>
      </w:r>
      <w:r w:rsidR="004772E1" w:rsidRPr="00602CCA">
        <w:rPr>
          <w:rFonts w:cstheme="minorHAnsi"/>
        </w:rPr>
        <w:t xml:space="preserve">were </w:t>
      </w:r>
      <w:r w:rsidR="00D50067">
        <w:rPr>
          <w:rFonts w:cstheme="minorHAnsi"/>
        </w:rPr>
        <w:t xml:space="preserve">also </w:t>
      </w:r>
      <w:r w:rsidR="004772E1" w:rsidRPr="00602CCA">
        <w:rPr>
          <w:rFonts w:cstheme="minorHAnsi"/>
        </w:rPr>
        <w:t xml:space="preserve">followed up naturalistically </w:t>
      </w:r>
      <w:r w:rsidRPr="00602CCA">
        <w:rPr>
          <w:rFonts w:cstheme="minorHAnsi"/>
        </w:rPr>
        <w:t>2.5</w:t>
      </w:r>
      <w:r w:rsidR="0008797D">
        <w:rPr>
          <w:rFonts w:cstheme="minorHAnsi"/>
        </w:rPr>
        <w:t xml:space="preserve"> years</w:t>
      </w:r>
      <w:r w:rsidRPr="00602CCA">
        <w:rPr>
          <w:rFonts w:cstheme="minorHAnsi"/>
        </w:rPr>
        <w:t xml:space="preserve"> after randomisation</w:t>
      </w:r>
      <w:r w:rsidR="00BF6283">
        <w:rPr>
          <w:rFonts w:cstheme="minorHAnsi"/>
        </w:rPr>
        <w:t>;</w:t>
      </w:r>
      <w:r w:rsidR="00AD62E1">
        <w:rPr>
          <w:rFonts w:cstheme="minorHAnsi"/>
          <w:vertAlign w:val="superscript"/>
        </w:rPr>
        <w:t>3</w:t>
      </w:r>
      <w:r w:rsidR="002D4C3B">
        <w:rPr>
          <w:rFonts w:cstheme="minorHAnsi"/>
          <w:vertAlign w:val="superscript"/>
        </w:rPr>
        <w:t>9</w:t>
      </w:r>
      <w:r w:rsidRPr="00602CCA">
        <w:rPr>
          <w:rFonts w:cstheme="minorHAnsi"/>
        </w:rPr>
        <w:t xml:space="preserve"> </w:t>
      </w:r>
      <w:r w:rsidR="00EA2FF1">
        <w:rPr>
          <w:rFonts w:cstheme="minorHAnsi"/>
        </w:rPr>
        <w:t xml:space="preserve">some two years </w:t>
      </w:r>
      <w:r w:rsidR="00315788">
        <w:rPr>
          <w:rFonts w:cstheme="minorHAnsi"/>
        </w:rPr>
        <w:t xml:space="preserve">after </w:t>
      </w:r>
      <w:r w:rsidR="00105092">
        <w:rPr>
          <w:rFonts w:cstheme="minorHAnsi"/>
        </w:rPr>
        <w:t>the allocated treatment</w:t>
      </w:r>
      <w:r w:rsidR="00315788">
        <w:rPr>
          <w:rFonts w:cstheme="minorHAnsi"/>
        </w:rPr>
        <w:t xml:space="preserve"> had ceased. </w:t>
      </w:r>
      <w:r w:rsidRPr="00602CCA">
        <w:rPr>
          <w:rFonts w:cstheme="minorHAnsi"/>
        </w:rPr>
        <w:t xml:space="preserve">By this time, </w:t>
      </w:r>
      <w:r w:rsidR="00E873EE">
        <w:rPr>
          <w:rFonts w:cstheme="minorHAnsi"/>
        </w:rPr>
        <w:t xml:space="preserve">44 per cent </w:t>
      </w:r>
      <w:r w:rsidR="006A1F5F">
        <w:rPr>
          <w:rFonts w:cstheme="minorHAnsi"/>
        </w:rPr>
        <w:t xml:space="preserve">of </w:t>
      </w:r>
      <w:r w:rsidR="00D50067">
        <w:rPr>
          <w:rFonts w:cstheme="minorHAnsi"/>
        </w:rPr>
        <w:t xml:space="preserve">PACE trial </w:t>
      </w:r>
      <w:r w:rsidR="006A1F5F">
        <w:rPr>
          <w:rFonts w:cstheme="minorHAnsi"/>
        </w:rPr>
        <w:t xml:space="preserve">participants </w:t>
      </w:r>
      <w:r w:rsidR="001C2F5D">
        <w:rPr>
          <w:rFonts w:cstheme="minorHAnsi"/>
        </w:rPr>
        <w:t xml:space="preserve">had </w:t>
      </w:r>
      <w:r w:rsidR="00E873EE">
        <w:rPr>
          <w:rFonts w:cstheme="minorHAnsi"/>
        </w:rPr>
        <w:t xml:space="preserve">received </w:t>
      </w:r>
      <w:r w:rsidR="00FE5726">
        <w:rPr>
          <w:rFonts w:cstheme="minorHAnsi"/>
        </w:rPr>
        <w:t xml:space="preserve">either </w:t>
      </w:r>
      <w:r w:rsidR="006A1F5F">
        <w:rPr>
          <w:rFonts w:cstheme="minorHAnsi"/>
        </w:rPr>
        <w:t xml:space="preserve">another course of the original therapy allocated </w:t>
      </w:r>
      <w:r w:rsidR="00E873EE">
        <w:rPr>
          <w:rFonts w:cstheme="minorHAnsi"/>
        </w:rPr>
        <w:t>or another trial therapy</w:t>
      </w:r>
      <w:r w:rsidR="006A1F5F">
        <w:rPr>
          <w:rFonts w:cstheme="minorHAnsi"/>
        </w:rPr>
        <w:t>.</w:t>
      </w:r>
      <w:r w:rsidR="00AD62E1">
        <w:rPr>
          <w:rFonts w:cstheme="minorHAnsi"/>
          <w:vertAlign w:val="superscript"/>
        </w:rPr>
        <w:t>3</w:t>
      </w:r>
      <w:r w:rsidR="002D4C3B">
        <w:rPr>
          <w:rFonts w:cstheme="minorHAnsi"/>
          <w:vertAlign w:val="superscript"/>
        </w:rPr>
        <w:t>9</w:t>
      </w:r>
      <w:r w:rsidR="00E873EE">
        <w:rPr>
          <w:rFonts w:cstheme="minorHAnsi"/>
        </w:rPr>
        <w:t xml:space="preserve"> </w:t>
      </w:r>
      <w:r w:rsidR="006A1F5F">
        <w:rPr>
          <w:rFonts w:cstheme="minorHAnsi"/>
        </w:rPr>
        <w:t>A</w:t>
      </w:r>
      <w:r w:rsidR="00E873EE">
        <w:rPr>
          <w:rFonts w:cstheme="minorHAnsi"/>
        </w:rPr>
        <w:t>n unknown number ha</w:t>
      </w:r>
      <w:r w:rsidR="006A1F5F">
        <w:rPr>
          <w:rFonts w:cstheme="minorHAnsi"/>
        </w:rPr>
        <w:t>d</w:t>
      </w:r>
      <w:r w:rsidR="00E873EE">
        <w:rPr>
          <w:rFonts w:cstheme="minorHAnsi"/>
        </w:rPr>
        <w:t xml:space="preserve"> </w:t>
      </w:r>
      <w:r w:rsidR="006A1F5F">
        <w:rPr>
          <w:rFonts w:cstheme="minorHAnsi"/>
        </w:rPr>
        <w:t xml:space="preserve">additional </w:t>
      </w:r>
      <w:r w:rsidR="00E873EE">
        <w:rPr>
          <w:rFonts w:cstheme="minorHAnsi"/>
        </w:rPr>
        <w:t>non-trial treatments</w:t>
      </w:r>
      <w:r w:rsidRPr="00602CCA">
        <w:rPr>
          <w:rFonts w:cstheme="minorHAnsi"/>
        </w:rPr>
        <w:t>. Consequently</w:t>
      </w:r>
      <w:r w:rsidR="00B3079B" w:rsidRPr="00602CCA">
        <w:rPr>
          <w:rFonts w:cstheme="minorHAnsi"/>
        </w:rPr>
        <w:t>,</w:t>
      </w:r>
      <w:r w:rsidRPr="00602CCA">
        <w:rPr>
          <w:rFonts w:cstheme="minorHAnsi"/>
        </w:rPr>
        <w:t xml:space="preserve"> it was unsurprising that no significant differences in </w:t>
      </w:r>
      <w:r w:rsidR="00D44456">
        <w:rPr>
          <w:rFonts w:cstheme="minorHAnsi"/>
        </w:rPr>
        <w:t xml:space="preserve">the primary </w:t>
      </w:r>
      <w:r w:rsidRPr="00602CCA">
        <w:rPr>
          <w:rFonts w:cstheme="minorHAnsi"/>
        </w:rPr>
        <w:t>outcome</w:t>
      </w:r>
      <w:r w:rsidR="00D44456">
        <w:rPr>
          <w:rFonts w:cstheme="minorHAnsi"/>
        </w:rPr>
        <w:t>s (</w:t>
      </w:r>
      <w:r w:rsidR="0008797D">
        <w:rPr>
          <w:rFonts w:cstheme="minorHAnsi"/>
        </w:rPr>
        <w:t>of</w:t>
      </w:r>
      <w:r w:rsidR="00D44456">
        <w:rPr>
          <w:rFonts w:cstheme="minorHAnsi"/>
        </w:rPr>
        <w:t xml:space="preserve"> fatigue</w:t>
      </w:r>
      <w:r w:rsidR="0026237B">
        <w:rPr>
          <w:rFonts w:cstheme="minorHAnsi"/>
        </w:rPr>
        <w:t xml:space="preserve"> and </w:t>
      </w:r>
      <w:r w:rsidR="0008797D">
        <w:rPr>
          <w:rFonts w:cstheme="minorHAnsi"/>
        </w:rPr>
        <w:t xml:space="preserve">physical </w:t>
      </w:r>
      <w:r w:rsidR="0026237B">
        <w:rPr>
          <w:rFonts w:cstheme="minorHAnsi"/>
        </w:rPr>
        <w:t>function</w:t>
      </w:r>
      <w:r w:rsidR="00D44456">
        <w:rPr>
          <w:rFonts w:cstheme="minorHAnsi"/>
        </w:rPr>
        <w:t>)</w:t>
      </w:r>
      <w:r w:rsidRPr="00602CCA">
        <w:rPr>
          <w:rFonts w:cstheme="minorHAnsi"/>
        </w:rPr>
        <w:t xml:space="preserve"> </w:t>
      </w:r>
      <w:r w:rsidR="001B1DD1" w:rsidRPr="00602CCA">
        <w:rPr>
          <w:rFonts w:cstheme="minorHAnsi"/>
        </w:rPr>
        <w:t xml:space="preserve">were observed </w:t>
      </w:r>
      <w:r w:rsidR="00EC0C13">
        <w:rPr>
          <w:rFonts w:cstheme="minorHAnsi"/>
        </w:rPr>
        <w:t>across</w:t>
      </w:r>
      <w:r w:rsidRPr="00602CCA">
        <w:rPr>
          <w:rFonts w:cstheme="minorHAnsi"/>
        </w:rPr>
        <w:t xml:space="preserve"> </w:t>
      </w:r>
      <w:r w:rsidR="001B1DD1" w:rsidRPr="00602CCA">
        <w:rPr>
          <w:rFonts w:cstheme="minorHAnsi"/>
        </w:rPr>
        <w:t xml:space="preserve">the </w:t>
      </w:r>
      <w:r w:rsidRPr="00602CCA">
        <w:rPr>
          <w:rFonts w:cstheme="minorHAnsi"/>
        </w:rPr>
        <w:t xml:space="preserve">original randomly allocated </w:t>
      </w:r>
      <w:r w:rsidR="001B1DD1" w:rsidRPr="00602CCA">
        <w:rPr>
          <w:rFonts w:cstheme="minorHAnsi"/>
        </w:rPr>
        <w:t>groups</w:t>
      </w:r>
      <w:r w:rsidR="008870F9">
        <w:rPr>
          <w:rFonts w:cstheme="minorHAnsi"/>
        </w:rPr>
        <w:t xml:space="preserve"> by this time</w:t>
      </w:r>
      <w:r w:rsidR="001B1DD1" w:rsidRPr="00602CCA">
        <w:rPr>
          <w:rFonts w:cstheme="minorHAnsi"/>
        </w:rPr>
        <w:t>.</w:t>
      </w:r>
      <w:r w:rsidR="00AD62E1">
        <w:rPr>
          <w:rFonts w:cstheme="minorHAnsi"/>
          <w:vertAlign w:val="superscript"/>
        </w:rPr>
        <w:t>3</w:t>
      </w:r>
      <w:r w:rsidR="002D4C3B">
        <w:rPr>
          <w:rFonts w:cstheme="minorHAnsi"/>
          <w:vertAlign w:val="superscript"/>
        </w:rPr>
        <w:t>9</w:t>
      </w:r>
      <w:r w:rsidR="001B1DD1" w:rsidRPr="00602CCA">
        <w:rPr>
          <w:rFonts w:cstheme="minorHAnsi"/>
        </w:rPr>
        <w:t xml:space="preserve"> </w:t>
      </w:r>
      <w:r w:rsidR="0026792E">
        <w:rPr>
          <w:rFonts w:cstheme="minorHAnsi"/>
        </w:rPr>
        <w:t>The overall improvement in the</w:t>
      </w:r>
      <w:r w:rsidRPr="00602CCA">
        <w:rPr>
          <w:rFonts w:cstheme="minorHAnsi"/>
        </w:rPr>
        <w:t xml:space="preserve"> CBT </w:t>
      </w:r>
      <w:r w:rsidR="0026237B">
        <w:rPr>
          <w:rFonts w:cstheme="minorHAnsi"/>
        </w:rPr>
        <w:t>and</w:t>
      </w:r>
      <w:r w:rsidRPr="00602CCA">
        <w:rPr>
          <w:rFonts w:cstheme="minorHAnsi"/>
        </w:rPr>
        <w:t xml:space="preserve"> GET </w:t>
      </w:r>
      <w:r w:rsidR="0026792E">
        <w:rPr>
          <w:rFonts w:cstheme="minorHAnsi"/>
        </w:rPr>
        <w:t>groups was maintained</w:t>
      </w:r>
      <w:r w:rsidR="00573B55">
        <w:rPr>
          <w:rFonts w:cstheme="minorHAnsi"/>
        </w:rPr>
        <w:t xml:space="preserve"> in the PACE trial</w:t>
      </w:r>
      <w:r w:rsidR="0026792E">
        <w:rPr>
          <w:rFonts w:cstheme="minorHAnsi"/>
        </w:rPr>
        <w:t xml:space="preserve"> </w:t>
      </w:r>
      <w:r w:rsidRPr="00602CCA">
        <w:rPr>
          <w:rFonts w:cstheme="minorHAnsi"/>
        </w:rPr>
        <w:t xml:space="preserve">and the patients who had initially received other interventions </w:t>
      </w:r>
      <w:r w:rsidR="0026792E">
        <w:rPr>
          <w:rFonts w:cstheme="minorHAnsi"/>
        </w:rPr>
        <w:t xml:space="preserve">also </w:t>
      </w:r>
      <w:r w:rsidR="00982FD5" w:rsidRPr="00602CCA">
        <w:rPr>
          <w:rFonts w:cstheme="minorHAnsi"/>
        </w:rPr>
        <w:t>improved</w:t>
      </w:r>
      <w:r w:rsidR="005706CE">
        <w:rPr>
          <w:rFonts w:cstheme="minorHAnsi"/>
        </w:rPr>
        <w:t>; i.e. they caught up</w:t>
      </w:r>
      <w:r w:rsidRPr="00602CCA">
        <w:rPr>
          <w:rFonts w:cstheme="minorHAnsi"/>
        </w:rPr>
        <w:t>.</w:t>
      </w:r>
      <w:r w:rsidR="00AD62E1">
        <w:rPr>
          <w:rFonts w:cstheme="minorHAnsi"/>
          <w:vertAlign w:val="superscript"/>
        </w:rPr>
        <w:t>3</w:t>
      </w:r>
      <w:r w:rsidR="002D4C3B">
        <w:rPr>
          <w:rFonts w:cstheme="minorHAnsi"/>
          <w:vertAlign w:val="superscript"/>
        </w:rPr>
        <w:t>9</w:t>
      </w:r>
      <w:r w:rsidRPr="00602CCA">
        <w:rPr>
          <w:rFonts w:cstheme="minorHAnsi"/>
        </w:rPr>
        <w:t xml:space="preserve"> </w:t>
      </w:r>
      <w:r w:rsidR="0026792E">
        <w:rPr>
          <w:rFonts w:cstheme="minorHAnsi"/>
        </w:rPr>
        <w:t>T</w:t>
      </w:r>
      <w:r w:rsidRPr="00602CCA">
        <w:rPr>
          <w:rFonts w:cstheme="minorHAnsi"/>
        </w:rPr>
        <w:t xml:space="preserve">his </w:t>
      </w:r>
      <w:r w:rsidR="00F9496C">
        <w:rPr>
          <w:rFonts w:cstheme="minorHAnsi"/>
        </w:rPr>
        <w:t xml:space="preserve">naturalistic follow up </w:t>
      </w:r>
      <w:r w:rsidRPr="00602CCA">
        <w:rPr>
          <w:rFonts w:cstheme="minorHAnsi"/>
        </w:rPr>
        <w:t>finding was used</w:t>
      </w:r>
      <w:r w:rsidR="004765E0">
        <w:rPr>
          <w:rFonts w:cstheme="minorHAnsi"/>
        </w:rPr>
        <w:t xml:space="preserve"> by NICE</w:t>
      </w:r>
      <w:r w:rsidRPr="00602CCA">
        <w:rPr>
          <w:rFonts w:cstheme="minorHAnsi"/>
        </w:rPr>
        <w:t xml:space="preserve"> to conclude </w:t>
      </w:r>
      <w:r w:rsidR="00014D79">
        <w:rPr>
          <w:rFonts w:cstheme="minorHAnsi"/>
        </w:rPr>
        <w:t xml:space="preserve">incorrectly </w:t>
      </w:r>
      <w:r w:rsidRPr="00602CCA">
        <w:rPr>
          <w:rFonts w:cstheme="minorHAnsi"/>
        </w:rPr>
        <w:t xml:space="preserve">that these treatments were </w:t>
      </w:r>
      <w:r w:rsidR="003A123C">
        <w:rPr>
          <w:rFonts w:cstheme="minorHAnsi"/>
        </w:rPr>
        <w:t xml:space="preserve">essentially </w:t>
      </w:r>
      <w:r w:rsidRPr="00602CCA">
        <w:rPr>
          <w:rFonts w:cstheme="minorHAnsi"/>
        </w:rPr>
        <w:t>ineffective.</w:t>
      </w:r>
      <w:r w:rsidR="006C5B95">
        <w:rPr>
          <w:rFonts w:cstheme="minorHAnsi"/>
          <w:vertAlign w:val="superscript"/>
        </w:rPr>
        <w:t>2</w:t>
      </w:r>
      <w:r w:rsidR="002D4C3B">
        <w:rPr>
          <w:rFonts w:cstheme="minorHAnsi"/>
          <w:vertAlign w:val="superscript"/>
        </w:rPr>
        <w:t>6</w:t>
      </w:r>
      <w:r w:rsidRPr="00602CCA">
        <w:rPr>
          <w:rFonts w:cstheme="minorHAnsi"/>
        </w:rPr>
        <w:t xml:space="preserve"> The 6 and 12 months</w:t>
      </w:r>
      <w:r w:rsidR="00B9317B">
        <w:rPr>
          <w:rFonts w:cstheme="minorHAnsi"/>
        </w:rPr>
        <w:t>’</w:t>
      </w:r>
      <w:r w:rsidRPr="00602CCA">
        <w:rPr>
          <w:rFonts w:cstheme="minorHAnsi"/>
        </w:rPr>
        <w:t xml:space="preserve"> findings of clear benefit for both CBT and </w:t>
      </w:r>
      <w:r w:rsidR="006E49CD" w:rsidRPr="00602CCA">
        <w:rPr>
          <w:rFonts w:cstheme="minorHAnsi"/>
        </w:rPr>
        <w:t>GET</w:t>
      </w:r>
      <w:r w:rsidR="00FE5726">
        <w:rPr>
          <w:rFonts w:cstheme="minorHAnsi"/>
        </w:rPr>
        <w:t>,</w:t>
      </w:r>
      <w:r w:rsidR="0026792E">
        <w:rPr>
          <w:rFonts w:cstheme="minorHAnsi"/>
        </w:rPr>
        <w:t xml:space="preserve"> </w:t>
      </w:r>
      <w:r w:rsidR="00B9317B">
        <w:rPr>
          <w:rFonts w:cstheme="minorHAnsi"/>
        </w:rPr>
        <w:t>from</w:t>
      </w:r>
      <w:r w:rsidR="0026792E">
        <w:rPr>
          <w:rFonts w:cstheme="minorHAnsi"/>
        </w:rPr>
        <w:t xml:space="preserve"> the largest clinical trial in the literature,</w:t>
      </w:r>
      <w:r w:rsidRPr="00602CCA">
        <w:rPr>
          <w:rFonts w:cstheme="minorHAnsi"/>
        </w:rPr>
        <w:t xml:space="preserve"> were </w:t>
      </w:r>
      <w:r w:rsidR="0069371D">
        <w:rPr>
          <w:rFonts w:cstheme="minorHAnsi"/>
        </w:rPr>
        <w:t xml:space="preserve">not </w:t>
      </w:r>
      <w:r w:rsidR="002D320D">
        <w:rPr>
          <w:rFonts w:cstheme="minorHAnsi"/>
        </w:rPr>
        <w:t>evaluated</w:t>
      </w:r>
      <w:r w:rsidRPr="00602CCA">
        <w:rPr>
          <w:rFonts w:cstheme="minorHAnsi"/>
        </w:rPr>
        <w:t>.</w:t>
      </w:r>
      <w:r w:rsidR="00AD62E1">
        <w:rPr>
          <w:rFonts w:cstheme="minorHAnsi"/>
          <w:vertAlign w:val="superscript"/>
        </w:rPr>
        <w:t xml:space="preserve"> </w:t>
      </w:r>
      <w:r w:rsidR="00B47252">
        <w:rPr>
          <w:rFonts w:cstheme="minorHAnsi"/>
          <w:vertAlign w:val="superscript"/>
        </w:rPr>
        <w:t xml:space="preserve">26, </w:t>
      </w:r>
      <w:r w:rsidR="003A123C">
        <w:rPr>
          <w:rFonts w:cstheme="minorHAnsi"/>
          <w:vertAlign w:val="superscript"/>
        </w:rPr>
        <w:t xml:space="preserve">27, </w:t>
      </w:r>
      <w:r w:rsidR="00AD62E1">
        <w:rPr>
          <w:rFonts w:cstheme="minorHAnsi"/>
          <w:vertAlign w:val="superscript"/>
        </w:rPr>
        <w:t>3</w:t>
      </w:r>
      <w:r w:rsidR="002D4C3B">
        <w:rPr>
          <w:rFonts w:cstheme="minorHAnsi"/>
          <w:vertAlign w:val="superscript"/>
        </w:rPr>
        <w:t>6</w:t>
      </w:r>
      <w:r w:rsidRPr="00602CCA">
        <w:rPr>
          <w:rFonts w:cstheme="minorHAnsi"/>
        </w:rPr>
        <w:t xml:space="preserve"> </w:t>
      </w:r>
      <w:r w:rsidR="005254E7" w:rsidRPr="005254E7">
        <w:rPr>
          <w:rFonts w:cstheme="minorHAnsi"/>
        </w:rPr>
        <w:t>A cursory look at other current NICE guidelines to related or overlapping long</w:t>
      </w:r>
      <w:r w:rsidR="006F2DD8">
        <w:rPr>
          <w:rFonts w:cstheme="minorHAnsi"/>
        </w:rPr>
        <w:t>-</w:t>
      </w:r>
      <w:r w:rsidR="005254E7" w:rsidRPr="005254E7">
        <w:rPr>
          <w:rFonts w:cstheme="minorHAnsi"/>
        </w:rPr>
        <w:t xml:space="preserve">term conditions shows that this </w:t>
      </w:r>
      <w:r w:rsidR="00D50067">
        <w:rPr>
          <w:rFonts w:cstheme="minorHAnsi"/>
        </w:rPr>
        <w:t xml:space="preserve">is not standard </w:t>
      </w:r>
      <w:r w:rsidR="005254E7" w:rsidRPr="005254E7">
        <w:rPr>
          <w:rFonts w:cstheme="minorHAnsi"/>
        </w:rPr>
        <w:t>practice</w:t>
      </w:r>
      <w:r w:rsidR="00D50067">
        <w:rPr>
          <w:rFonts w:cstheme="minorHAnsi"/>
        </w:rPr>
        <w:t xml:space="preserve"> for NICE</w:t>
      </w:r>
      <w:r w:rsidR="005254E7" w:rsidRPr="005254E7">
        <w:rPr>
          <w:rFonts w:cstheme="minorHAnsi"/>
        </w:rPr>
        <w:t>.</w:t>
      </w:r>
      <w:r w:rsidR="002D4C3B">
        <w:rPr>
          <w:rFonts w:cstheme="minorHAnsi"/>
          <w:vertAlign w:val="superscript"/>
        </w:rPr>
        <w:t>40</w:t>
      </w:r>
      <w:r w:rsidR="005254E7" w:rsidRPr="005254E7">
        <w:rPr>
          <w:rFonts w:cstheme="minorHAnsi"/>
        </w:rPr>
        <w:t xml:space="preserve"> </w:t>
      </w:r>
    </w:p>
    <w:p w14:paraId="3DC94D86" w14:textId="77777777" w:rsidR="008154E6" w:rsidRDefault="008154E6" w:rsidP="007544AE">
      <w:pPr>
        <w:spacing w:line="480" w:lineRule="auto"/>
        <w:rPr>
          <w:rFonts w:cstheme="minorHAnsi"/>
          <w:b/>
          <w:bCs/>
        </w:rPr>
      </w:pPr>
    </w:p>
    <w:p w14:paraId="41D58EF6" w14:textId="180A1A2C" w:rsidR="006A52DE" w:rsidRPr="004F7641" w:rsidRDefault="00175F7E" w:rsidP="007544AE">
      <w:pPr>
        <w:spacing w:line="480" w:lineRule="auto"/>
        <w:rPr>
          <w:rFonts w:cstheme="minorHAnsi"/>
          <w:b/>
          <w:bCs/>
        </w:rPr>
      </w:pPr>
      <w:r>
        <w:rPr>
          <w:rFonts w:cstheme="minorHAnsi"/>
          <w:b/>
          <w:bCs/>
        </w:rPr>
        <w:t>3</w:t>
      </w:r>
      <w:r w:rsidR="005B546B">
        <w:rPr>
          <w:rFonts w:cstheme="minorHAnsi"/>
          <w:b/>
          <w:bCs/>
        </w:rPr>
        <w:t xml:space="preserve">. </w:t>
      </w:r>
      <w:r w:rsidR="00D3681B">
        <w:rPr>
          <w:rFonts w:cstheme="minorHAnsi"/>
          <w:b/>
          <w:bCs/>
        </w:rPr>
        <w:t xml:space="preserve">Discounting trial data when assessing </w:t>
      </w:r>
      <w:r w:rsidR="007852F4">
        <w:rPr>
          <w:rFonts w:cstheme="minorHAnsi"/>
          <w:b/>
          <w:bCs/>
        </w:rPr>
        <w:t xml:space="preserve">treatment </w:t>
      </w:r>
      <w:r w:rsidR="00D3681B">
        <w:rPr>
          <w:rFonts w:cstheme="minorHAnsi"/>
          <w:b/>
          <w:bCs/>
        </w:rPr>
        <w:t xml:space="preserve">harm in favour of </w:t>
      </w:r>
      <w:r w:rsidR="006A52DE">
        <w:rPr>
          <w:rFonts w:cstheme="minorHAnsi"/>
          <w:b/>
          <w:bCs/>
        </w:rPr>
        <w:t>lower</w:t>
      </w:r>
      <w:r w:rsidR="006A52DE" w:rsidRPr="004F7641">
        <w:rPr>
          <w:rFonts w:cstheme="minorHAnsi"/>
          <w:b/>
          <w:bCs/>
        </w:rPr>
        <w:t xml:space="preserve"> quality </w:t>
      </w:r>
      <w:r w:rsidR="00872060">
        <w:rPr>
          <w:rFonts w:cstheme="minorHAnsi"/>
          <w:b/>
          <w:bCs/>
        </w:rPr>
        <w:t>reports</w:t>
      </w:r>
    </w:p>
    <w:p w14:paraId="27959555" w14:textId="0F387799" w:rsidR="00545E48" w:rsidRDefault="006A52DE" w:rsidP="007544AE">
      <w:pPr>
        <w:spacing w:line="480" w:lineRule="auto"/>
        <w:rPr>
          <w:rFonts w:cstheme="minorHAnsi"/>
        </w:rPr>
      </w:pPr>
      <w:r w:rsidRPr="004F7641">
        <w:rPr>
          <w:rFonts w:cstheme="minorHAnsi"/>
        </w:rPr>
        <w:t xml:space="preserve">Harm is </w:t>
      </w:r>
      <w:r w:rsidR="00BA68AD" w:rsidRPr="008D0A0C">
        <w:rPr>
          <w:rFonts w:cstheme="minorHAnsi"/>
        </w:rPr>
        <w:t>a critical issue</w:t>
      </w:r>
      <w:r w:rsidRPr="004F7641">
        <w:rPr>
          <w:rFonts w:cstheme="minorHAnsi"/>
        </w:rPr>
        <w:t xml:space="preserve"> </w:t>
      </w:r>
      <w:r w:rsidR="009223AB">
        <w:rPr>
          <w:rFonts w:cstheme="minorHAnsi"/>
        </w:rPr>
        <w:t xml:space="preserve">to consider </w:t>
      </w:r>
      <w:r w:rsidRPr="004F7641">
        <w:rPr>
          <w:rFonts w:cstheme="minorHAnsi"/>
        </w:rPr>
        <w:t>for all treatments</w:t>
      </w:r>
      <w:r w:rsidR="00384C51">
        <w:rPr>
          <w:rFonts w:cstheme="minorHAnsi"/>
        </w:rPr>
        <w:t>,</w:t>
      </w:r>
      <w:r w:rsidRPr="004F7641">
        <w:rPr>
          <w:rFonts w:cstheme="minorHAnsi"/>
        </w:rPr>
        <w:t xml:space="preserve"> including psychological and physical therap</w:t>
      </w:r>
      <w:r w:rsidR="008F5FF3">
        <w:rPr>
          <w:rFonts w:cstheme="minorHAnsi"/>
        </w:rPr>
        <w:t>ies</w:t>
      </w:r>
      <w:r w:rsidRPr="004F7641">
        <w:rPr>
          <w:rFonts w:cstheme="minorHAnsi"/>
        </w:rPr>
        <w:t xml:space="preserve">. </w:t>
      </w:r>
      <w:r w:rsidR="009223AB" w:rsidRPr="00136F10">
        <w:rPr>
          <w:rFonts w:cstheme="minorHAnsi"/>
        </w:rPr>
        <w:t>As w</w:t>
      </w:r>
      <w:r>
        <w:rPr>
          <w:rFonts w:cstheme="minorHAnsi"/>
        </w:rPr>
        <w:t xml:space="preserve">orsening </w:t>
      </w:r>
      <w:r w:rsidR="00980286">
        <w:rPr>
          <w:rFonts w:cstheme="minorHAnsi"/>
        </w:rPr>
        <w:t xml:space="preserve">can </w:t>
      </w:r>
      <w:r>
        <w:rPr>
          <w:rFonts w:cstheme="minorHAnsi"/>
        </w:rPr>
        <w:t>occur due to the natural history of the condition</w:t>
      </w:r>
      <w:r w:rsidR="009223AB">
        <w:rPr>
          <w:rFonts w:cstheme="minorHAnsi"/>
        </w:rPr>
        <w:t>, h</w:t>
      </w:r>
      <w:r w:rsidR="00067E72" w:rsidRPr="00602CCA">
        <w:rPr>
          <w:rFonts w:cstheme="minorHAnsi"/>
        </w:rPr>
        <w:t>arms should</w:t>
      </w:r>
      <w:r w:rsidR="00980286">
        <w:rPr>
          <w:rFonts w:cstheme="minorHAnsi"/>
        </w:rPr>
        <w:t xml:space="preserve"> </w:t>
      </w:r>
      <w:r w:rsidR="00067E72" w:rsidRPr="00602CCA">
        <w:rPr>
          <w:rFonts w:cstheme="minorHAnsi"/>
        </w:rPr>
        <w:t>be assessed alongside benefits by extracting data from</w:t>
      </w:r>
      <w:r w:rsidR="009223AB">
        <w:rPr>
          <w:rFonts w:cstheme="minorHAnsi"/>
        </w:rPr>
        <w:t xml:space="preserve"> randomised</w:t>
      </w:r>
      <w:r w:rsidR="00067E72" w:rsidRPr="00602CCA">
        <w:rPr>
          <w:rFonts w:cstheme="minorHAnsi"/>
        </w:rPr>
        <w:t xml:space="preserve"> clinical trials</w:t>
      </w:r>
      <w:r w:rsidR="006453C1">
        <w:rPr>
          <w:rFonts w:cstheme="minorHAnsi"/>
        </w:rPr>
        <w:t xml:space="preserve"> with comparison</w:t>
      </w:r>
      <w:r w:rsidR="00F0223F">
        <w:rPr>
          <w:rFonts w:cstheme="minorHAnsi"/>
        </w:rPr>
        <w:t>s made</w:t>
      </w:r>
      <w:r w:rsidR="006453C1">
        <w:rPr>
          <w:rFonts w:cstheme="minorHAnsi"/>
        </w:rPr>
        <w:t xml:space="preserve"> </w:t>
      </w:r>
      <w:r w:rsidR="000B35F1">
        <w:rPr>
          <w:rFonts w:cstheme="minorHAnsi"/>
        </w:rPr>
        <w:t xml:space="preserve">across </w:t>
      </w:r>
      <w:r w:rsidR="006453C1">
        <w:rPr>
          <w:rFonts w:cstheme="minorHAnsi"/>
        </w:rPr>
        <w:t>interventions</w:t>
      </w:r>
      <w:r w:rsidR="00067E72" w:rsidRPr="00602CCA">
        <w:rPr>
          <w:rFonts w:cstheme="minorHAnsi"/>
        </w:rPr>
        <w:t xml:space="preserve">. </w:t>
      </w:r>
      <w:r w:rsidR="00AD62E1">
        <w:rPr>
          <w:rFonts w:cstheme="minorHAnsi"/>
        </w:rPr>
        <w:t>The</w:t>
      </w:r>
      <w:r w:rsidR="00067E72" w:rsidRPr="00602CCA">
        <w:rPr>
          <w:rFonts w:cstheme="minorHAnsi"/>
        </w:rPr>
        <w:t xml:space="preserve"> NICE </w:t>
      </w:r>
      <w:r w:rsidR="00A707FD">
        <w:rPr>
          <w:rFonts w:cstheme="minorHAnsi"/>
        </w:rPr>
        <w:t>committee</w:t>
      </w:r>
      <w:r w:rsidR="00067E72" w:rsidRPr="00602CCA">
        <w:rPr>
          <w:rFonts w:cstheme="minorHAnsi"/>
        </w:rPr>
        <w:t xml:space="preserve"> </w:t>
      </w:r>
      <w:r w:rsidR="00587BE8" w:rsidRPr="00587BE8">
        <w:rPr>
          <w:rFonts w:cstheme="minorHAnsi"/>
        </w:rPr>
        <w:t xml:space="preserve">inverted the usual evidence hierarchy </w:t>
      </w:r>
      <w:r w:rsidR="00587BE8">
        <w:rPr>
          <w:rFonts w:cstheme="minorHAnsi"/>
        </w:rPr>
        <w:t>by</w:t>
      </w:r>
      <w:r w:rsidR="00F0223F">
        <w:rPr>
          <w:rFonts w:cstheme="minorHAnsi"/>
        </w:rPr>
        <w:t xml:space="preserve"> not adequately consider</w:t>
      </w:r>
      <w:r w:rsidR="00587BE8">
        <w:rPr>
          <w:rFonts w:cstheme="minorHAnsi"/>
        </w:rPr>
        <w:t>ing</w:t>
      </w:r>
      <w:r w:rsidR="00F0223F">
        <w:rPr>
          <w:rFonts w:cstheme="minorHAnsi"/>
        </w:rPr>
        <w:t xml:space="preserve"> </w:t>
      </w:r>
      <w:r w:rsidR="0011497A">
        <w:rPr>
          <w:rFonts w:cstheme="minorHAnsi"/>
        </w:rPr>
        <w:t xml:space="preserve">the reassuring </w:t>
      </w:r>
      <w:r w:rsidR="00067E72" w:rsidRPr="00602CCA">
        <w:rPr>
          <w:rFonts w:cstheme="minorHAnsi"/>
        </w:rPr>
        <w:t xml:space="preserve">evidence </w:t>
      </w:r>
      <w:r w:rsidR="00C466EA">
        <w:rPr>
          <w:rFonts w:cstheme="minorHAnsi"/>
        </w:rPr>
        <w:t xml:space="preserve">of the low risk of </w:t>
      </w:r>
      <w:r w:rsidR="00587BE8">
        <w:rPr>
          <w:rFonts w:cstheme="minorHAnsi"/>
        </w:rPr>
        <w:t xml:space="preserve">treatment </w:t>
      </w:r>
      <w:r w:rsidR="00067E72" w:rsidRPr="00602CCA">
        <w:rPr>
          <w:rFonts w:cstheme="minorHAnsi"/>
        </w:rPr>
        <w:t>harms</w:t>
      </w:r>
      <w:r w:rsidR="009B6783" w:rsidRPr="00602CCA">
        <w:rPr>
          <w:rFonts w:cstheme="minorHAnsi"/>
        </w:rPr>
        <w:t xml:space="preserve"> </w:t>
      </w:r>
      <w:r w:rsidR="009E38E5">
        <w:rPr>
          <w:rFonts w:cstheme="minorHAnsi"/>
        </w:rPr>
        <w:t xml:space="preserve">found </w:t>
      </w:r>
      <w:r w:rsidR="009B6783" w:rsidRPr="00602CCA">
        <w:rPr>
          <w:rFonts w:cstheme="minorHAnsi"/>
        </w:rPr>
        <w:t>within randomised controlled trials</w:t>
      </w:r>
      <w:r w:rsidR="00AD62E1">
        <w:rPr>
          <w:rFonts w:cstheme="minorHAnsi"/>
        </w:rPr>
        <w:t>,</w:t>
      </w:r>
      <w:r w:rsidR="0011497A">
        <w:rPr>
          <w:rFonts w:cstheme="minorHAnsi"/>
        </w:rPr>
        <w:t xml:space="preserve"> of GET in particular</w:t>
      </w:r>
      <w:r w:rsidR="00F35EEF">
        <w:rPr>
          <w:rFonts w:cstheme="minorHAnsi"/>
        </w:rPr>
        <w:t>.</w:t>
      </w:r>
      <w:r w:rsidR="00067E72" w:rsidRPr="00602CCA">
        <w:rPr>
          <w:rFonts w:cstheme="minorHAnsi"/>
        </w:rPr>
        <w:t xml:space="preserve"> </w:t>
      </w:r>
      <w:r w:rsidR="00F35EEF">
        <w:rPr>
          <w:rFonts w:cstheme="minorHAnsi"/>
        </w:rPr>
        <w:t>I</w:t>
      </w:r>
      <w:r w:rsidR="00067E72" w:rsidRPr="00602CCA">
        <w:rPr>
          <w:rFonts w:cstheme="minorHAnsi"/>
        </w:rPr>
        <w:t xml:space="preserve">nstead </w:t>
      </w:r>
      <w:r w:rsidR="00F35EEF">
        <w:rPr>
          <w:rFonts w:cstheme="minorHAnsi"/>
        </w:rPr>
        <w:t xml:space="preserve">they </w:t>
      </w:r>
      <w:r w:rsidR="00110755">
        <w:rPr>
          <w:rFonts w:cstheme="minorHAnsi"/>
        </w:rPr>
        <w:t>prioritised</w:t>
      </w:r>
      <w:r w:rsidR="00067E72" w:rsidRPr="00602CCA">
        <w:rPr>
          <w:rFonts w:cstheme="minorHAnsi"/>
        </w:rPr>
        <w:t xml:space="preserve"> qualitative studies and </w:t>
      </w:r>
      <w:r w:rsidR="006453C1">
        <w:rPr>
          <w:rFonts w:cstheme="minorHAnsi"/>
        </w:rPr>
        <w:t>patient organisation</w:t>
      </w:r>
      <w:r w:rsidR="00067E72" w:rsidRPr="00602CCA">
        <w:rPr>
          <w:rFonts w:cstheme="minorHAnsi"/>
        </w:rPr>
        <w:t xml:space="preserve"> </w:t>
      </w:r>
      <w:r w:rsidR="006453C1">
        <w:rPr>
          <w:rFonts w:cstheme="minorHAnsi"/>
        </w:rPr>
        <w:t>surveys</w:t>
      </w:r>
      <w:r w:rsidR="006A1F5F">
        <w:rPr>
          <w:rFonts w:cstheme="minorHAnsi"/>
        </w:rPr>
        <w:t>.</w:t>
      </w:r>
      <w:r w:rsidR="00C161A9">
        <w:rPr>
          <w:rFonts w:cstheme="minorHAnsi"/>
          <w:vertAlign w:val="superscript"/>
        </w:rPr>
        <w:t>2</w:t>
      </w:r>
      <w:r w:rsidR="00E04336">
        <w:rPr>
          <w:rFonts w:cstheme="minorHAnsi"/>
          <w:vertAlign w:val="superscript"/>
        </w:rPr>
        <w:t>6</w:t>
      </w:r>
      <w:r w:rsidR="00C161A9">
        <w:rPr>
          <w:rFonts w:cstheme="minorHAnsi"/>
          <w:vertAlign w:val="superscript"/>
        </w:rPr>
        <w:t>, 27</w:t>
      </w:r>
      <w:r w:rsidR="009A6AB8" w:rsidRPr="00602CCA">
        <w:rPr>
          <w:rFonts w:cstheme="minorHAnsi"/>
        </w:rPr>
        <w:t xml:space="preserve"> </w:t>
      </w:r>
    </w:p>
    <w:p w14:paraId="1D9E3C1B" w14:textId="2390F7C4" w:rsidR="009A6AB8" w:rsidRPr="00A47A15" w:rsidRDefault="005006FE" w:rsidP="007544AE">
      <w:pPr>
        <w:spacing w:line="480" w:lineRule="auto"/>
        <w:rPr>
          <w:rFonts w:cstheme="minorHAnsi"/>
          <w:vertAlign w:val="superscript"/>
        </w:rPr>
      </w:pPr>
      <w:r>
        <w:rPr>
          <w:rFonts w:cstheme="minorHAnsi"/>
        </w:rPr>
        <w:t xml:space="preserve">Although the latest meta-analysis suggested that </w:t>
      </w:r>
      <w:r w:rsidR="002472BA">
        <w:rPr>
          <w:rFonts w:cstheme="minorHAnsi"/>
        </w:rPr>
        <w:t>previous trials had limited reporting of harms,</w:t>
      </w:r>
      <w:r w:rsidR="002472BA">
        <w:rPr>
          <w:rFonts w:cstheme="minorHAnsi"/>
          <w:vertAlign w:val="superscript"/>
        </w:rPr>
        <w:t>16</w:t>
      </w:r>
      <w:r w:rsidR="002472BA">
        <w:rPr>
          <w:rFonts w:cstheme="minorHAnsi"/>
        </w:rPr>
        <w:t xml:space="preserve"> some relevant data are available. </w:t>
      </w:r>
      <w:r w:rsidR="009A6AB8" w:rsidRPr="00602CCA">
        <w:rPr>
          <w:rFonts w:cstheme="minorHAnsi"/>
        </w:rPr>
        <w:t xml:space="preserve">Both the PACE </w:t>
      </w:r>
      <w:r w:rsidR="003B0D8E" w:rsidRPr="00602CCA">
        <w:rPr>
          <w:rFonts w:cstheme="minorHAnsi"/>
        </w:rPr>
        <w:t xml:space="preserve">trial </w:t>
      </w:r>
      <w:r w:rsidR="009A6AB8" w:rsidRPr="00602CCA">
        <w:rPr>
          <w:rFonts w:cstheme="minorHAnsi"/>
        </w:rPr>
        <w:t xml:space="preserve">and a more recent trial systematically examined six </w:t>
      </w:r>
      <w:r w:rsidR="00CE00AD">
        <w:rPr>
          <w:rFonts w:cstheme="minorHAnsi"/>
        </w:rPr>
        <w:t xml:space="preserve">measures of </w:t>
      </w:r>
      <w:r w:rsidR="00EF19E4">
        <w:rPr>
          <w:rFonts w:cstheme="minorHAnsi"/>
        </w:rPr>
        <w:t>harm</w:t>
      </w:r>
      <w:r w:rsidR="009A6AB8" w:rsidRPr="00602CCA">
        <w:rPr>
          <w:rFonts w:cstheme="minorHAnsi"/>
        </w:rPr>
        <w:t xml:space="preserve"> in all participants and found no evidence of harm after GET </w:t>
      </w:r>
      <w:r w:rsidR="00AF53B8">
        <w:rPr>
          <w:rFonts w:cstheme="minorHAnsi"/>
        </w:rPr>
        <w:t>relative</w:t>
      </w:r>
      <w:r w:rsidR="00AF53B8" w:rsidRPr="00602CCA">
        <w:rPr>
          <w:rFonts w:cstheme="minorHAnsi"/>
        </w:rPr>
        <w:t xml:space="preserve"> </w:t>
      </w:r>
      <w:r w:rsidR="009A6AB8" w:rsidRPr="00602CCA">
        <w:rPr>
          <w:rFonts w:cstheme="minorHAnsi"/>
        </w:rPr>
        <w:t xml:space="preserve">to </w:t>
      </w:r>
      <w:r w:rsidR="00AF53B8">
        <w:rPr>
          <w:rFonts w:cstheme="minorHAnsi"/>
        </w:rPr>
        <w:t>compar</w:t>
      </w:r>
      <w:r w:rsidR="00282ECB">
        <w:rPr>
          <w:rFonts w:cstheme="minorHAnsi"/>
        </w:rPr>
        <w:t>ison</w:t>
      </w:r>
      <w:r w:rsidR="00AF53B8" w:rsidRPr="00602CCA">
        <w:rPr>
          <w:rFonts w:cstheme="minorHAnsi"/>
        </w:rPr>
        <w:t xml:space="preserve"> </w:t>
      </w:r>
      <w:r w:rsidR="009A6AB8" w:rsidRPr="00602CCA">
        <w:rPr>
          <w:rFonts w:cstheme="minorHAnsi"/>
        </w:rPr>
        <w:t>interventions.</w:t>
      </w:r>
      <w:r w:rsidR="00A47A15">
        <w:rPr>
          <w:rFonts w:cstheme="minorHAnsi"/>
          <w:vertAlign w:val="superscript"/>
        </w:rPr>
        <w:t>3</w:t>
      </w:r>
      <w:r w:rsidR="00C161A9">
        <w:rPr>
          <w:rFonts w:cstheme="minorHAnsi"/>
          <w:vertAlign w:val="superscript"/>
        </w:rPr>
        <w:t>5</w:t>
      </w:r>
      <w:r w:rsidR="006453C1">
        <w:rPr>
          <w:rFonts w:cstheme="minorHAnsi"/>
          <w:vertAlign w:val="superscript"/>
        </w:rPr>
        <w:t xml:space="preserve">, </w:t>
      </w:r>
      <w:r w:rsidR="009B59D4">
        <w:rPr>
          <w:rFonts w:cstheme="minorHAnsi"/>
          <w:vertAlign w:val="superscript"/>
        </w:rPr>
        <w:t>3</w:t>
      </w:r>
      <w:r w:rsidR="00C161A9">
        <w:rPr>
          <w:rFonts w:cstheme="minorHAnsi"/>
          <w:vertAlign w:val="superscript"/>
        </w:rPr>
        <w:t>6</w:t>
      </w:r>
      <w:r w:rsidR="00E04336">
        <w:rPr>
          <w:rFonts w:cstheme="minorHAnsi"/>
          <w:vertAlign w:val="superscript"/>
        </w:rPr>
        <w:t>, 41</w:t>
      </w:r>
      <w:r w:rsidR="009A6AB8" w:rsidRPr="00602CCA">
        <w:rPr>
          <w:rFonts w:cstheme="minorHAnsi"/>
        </w:rPr>
        <w:t xml:space="preserve"> NICE were </w:t>
      </w:r>
      <w:r w:rsidR="002472BA">
        <w:rPr>
          <w:rFonts w:cstheme="minorHAnsi"/>
        </w:rPr>
        <w:t xml:space="preserve">also </w:t>
      </w:r>
      <w:r w:rsidR="009A6AB8" w:rsidRPr="00602CCA">
        <w:rPr>
          <w:rFonts w:cstheme="minorHAnsi"/>
        </w:rPr>
        <w:t xml:space="preserve">provided with a summary of a meta-analysis of </w:t>
      </w:r>
      <w:r w:rsidR="00EF19E4">
        <w:rPr>
          <w:rFonts w:cstheme="minorHAnsi"/>
        </w:rPr>
        <w:t>harm</w:t>
      </w:r>
      <w:r w:rsidR="009A6AB8" w:rsidRPr="00602CCA">
        <w:rPr>
          <w:rFonts w:cstheme="minorHAnsi"/>
        </w:rPr>
        <w:t xml:space="preserve"> data from all ten published trials of GET.</w:t>
      </w:r>
      <w:r w:rsidR="00035C0C">
        <w:rPr>
          <w:rFonts w:cstheme="minorHAnsi"/>
          <w:vertAlign w:val="superscript"/>
        </w:rPr>
        <w:t>4</w:t>
      </w:r>
      <w:r w:rsidR="00E04336">
        <w:rPr>
          <w:rFonts w:cstheme="minorHAnsi"/>
          <w:vertAlign w:val="superscript"/>
        </w:rPr>
        <w:t>2</w:t>
      </w:r>
      <w:r w:rsidR="009A6AB8" w:rsidRPr="00602CCA">
        <w:rPr>
          <w:rFonts w:cstheme="minorHAnsi"/>
        </w:rPr>
        <w:t xml:space="preserve"> This </w:t>
      </w:r>
      <w:r w:rsidR="00136F10">
        <w:rPr>
          <w:rFonts w:cstheme="minorHAnsi"/>
        </w:rPr>
        <w:t>meta-analysis</w:t>
      </w:r>
      <w:r w:rsidR="0011497A">
        <w:rPr>
          <w:rFonts w:cstheme="minorHAnsi"/>
        </w:rPr>
        <w:t xml:space="preserve"> </w:t>
      </w:r>
      <w:r w:rsidR="009A6AB8" w:rsidRPr="00602CCA">
        <w:rPr>
          <w:rFonts w:cstheme="minorHAnsi"/>
        </w:rPr>
        <w:t>found no</w:t>
      </w:r>
      <w:r w:rsidR="006453C1">
        <w:rPr>
          <w:rFonts w:cstheme="minorHAnsi"/>
        </w:rPr>
        <w:t xml:space="preserve"> excess</w:t>
      </w:r>
      <w:r w:rsidR="009A6AB8" w:rsidRPr="00602CCA">
        <w:rPr>
          <w:rFonts w:cstheme="minorHAnsi"/>
        </w:rPr>
        <w:t xml:space="preserve"> evidence of harm </w:t>
      </w:r>
      <w:r w:rsidR="00B75AA7" w:rsidRPr="00602CCA">
        <w:rPr>
          <w:rFonts w:cstheme="minorHAnsi"/>
        </w:rPr>
        <w:t xml:space="preserve">in </w:t>
      </w:r>
      <w:r w:rsidR="00E47B95" w:rsidRPr="00602CCA">
        <w:rPr>
          <w:rFonts w:cstheme="minorHAnsi"/>
        </w:rPr>
        <w:t>relation to</w:t>
      </w:r>
      <w:r w:rsidR="009A6AB8" w:rsidRPr="00602CCA">
        <w:rPr>
          <w:rFonts w:cstheme="minorHAnsi"/>
        </w:rPr>
        <w:t xml:space="preserve"> </w:t>
      </w:r>
      <w:r w:rsidR="00557D75">
        <w:rPr>
          <w:rFonts w:cstheme="minorHAnsi"/>
        </w:rPr>
        <w:t xml:space="preserve">either </w:t>
      </w:r>
      <w:r w:rsidR="00545E48">
        <w:rPr>
          <w:rFonts w:cstheme="minorHAnsi"/>
        </w:rPr>
        <w:t>the n</w:t>
      </w:r>
      <w:r w:rsidR="009A6AB8" w:rsidRPr="00602CCA">
        <w:rPr>
          <w:rFonts w:cstheme="minorHAnsi"/>
        </w:rPr>
        <w:t xml:space="preserve">umber of participants withdrawing from GET </w:t>
      </w:r>
      <w:r w:rsidR="00557D75">
        <w:rPr>
          <w:rFonts w:cstheme="minorHAnsi"/>
        </w:rPr>
        <w:t>or</w:t>
      </w:r>
      <w:r w:rsidR="009A6AB8" w:rsidRPr="00602CCA">
        <w:rPr>
          <w:rFonts w:cstheme="minorHAnsi"/>
        </w:rPr>
        <w:t xml:space="preserve"> rating their overall health as worse after treatment</w:t>
      </w:r>
      <w:r w:rsidR="006453C1">
        <w:rPr>
          <w:rFonts w:cstheme="minorHAnsi"/>
        </w:rPr>
        <w:t>, when compared to control</w:t>
      </w:r>
      <w:r w:rsidR="00B457E5">
        <w:rPr>
          <w:rFonts w:cstheme="minorHAnsi"/>
        </w:rPr>
        <w:t>s</w:t>
      </w:r>
      <w:r w:rsidR="009A6AB8" w:rsidRPr="00602CCA">
        <w:rPr>
          <w:rFonts w:cstheme="minorHAnsi"/>
        </w:rPr>
        <w:t>.</w:t>
      </w:r>
      <w:r w:rsidR="00035C0C">
        <w:rPr>
          <w:rFonts w:cstheme="minorHAnsi"/>
          <w:vertAlign w:val="superscript"/>
        </w:rPr>
        <w:t>4</w:t>
      </w:r>
      <w:r w:rsidR="00E04336">
        <w:rPr>
          <w:rFonts w:cstheme="minorHAnsi"/>
          <w:vertAlign w:val="superscript"/>
        </w:rPr>
        <w:t>2</w:t>
      </w:r>
      <w:r w:rsidR="009A6AB8" w:rsidRPr="00602CCA">
        <w:rPr>
          <w:rFonts w:cstheme="minorHAnsi"/>
        </w:rPr>
        <w:t xml:space="preserve"> The meta-analysis did find that more participants dropped out of trial follow up after GET</w:t>
      </w:r>
      <w:r w:rsidR="006E14FC">
        <w:rPr>
          <w:rFonts w:cstheme="minorHAnsi"/>
        </w:rPr>
        <w:t>,</w:t>
      </w:r>
      <w:r w:rsidR="009A6AB8" w:rsidRPr="00602CCA">
        <w:rPr>
          <w:rFonts w:cstheme="minorHAnsi"/>
        </w:rPr>
        <w:t xml:space="preserve"> </w:t>
      </w:r>
      <w:r w:rsidR="00303251">
        <w:rPr>
          <w:rFonts w:cstheme="minorHAnsi"/>
        </w:rPr>
        <w:t>whe</w:t>
      </w:r>
      <w:r w:rsidR="0044763B">
        <w:rPr>
          <w:rFonts w:cstheme="minorHAnsi"/>
        </w:rPr>
        <w:t xml:space="preserve">n </w:t>
      </w:r>
      <w:r w:rsidR="00B27CFF">
        <w:rPr>
          <w:rFonts w:cstheme="minorHAnsi"/>
        </w:rPr>
        <w:t>compared to control interventions (</w:t>
      </w:r>
      <w:r w:rsidR="00F50C56">
        <w:rPr>
          <w:rFonts w:cstheme="minorHAnsi"/>
        </w:rPr>
        <w:t>11</w:t>
      </w:r>
      <w:r w:rsidR="00B27CFF">
        <w:rPr>
          <w:rFonts w:cstheme="minorHAnsi"/>
        </w:rPr>
        <w:t xml:space="preserve">% versus </w:t>
      </w:r>
      <w:r w:rsidR="00F50C56">
        <w:rPr>
          <w:rFonts w:cstheme="minorHAnsi"/>
        </w:rPr>
        <w:t>7</w:t>
      </w:r>
      <w:r w:rsidR="00B27CFF">
        <w:rPr>
          <w:rFonts w:cstheme="minorHAnsi"/>
        </w:rPr>
        <w:t xml:space="preserve">%), </w:t>
      </w:r>
      <w:r w:rsidR="009A6AB8" w:rsidRPr="00602CCA">
        <w:rPr>
          <w:rFonts w:cstheme="minorHAnsi"/>
        </w:rPr>
        <w:t xml:space="preserve">but </w:t>
      </w:r>
      <w:r w:rsidR="00A47A15">
        <w:rPr>
          <w:rFonts w:cstheme="minorHAnsi"/>
        </w:rPr>
        <w:t>the authors</w:t>
      </w:r>
      <w:r w:rsidR="009A6AB8" w:rsidRPr="00602CCA">
        <w:rPr>
          <w:rFonts w:cstheme="minorHAnsi"/>
        </w:rPr>
        <w:t xml:space="preserve"> suggested that this might have been related to </w:t>
      </w:r>
      <w:r w:rsidR="00B457E5">
        <w:rPr>
          <w:rFonts w:cstheme="minorHAnsi"/>
        </w:rPr>
        <w:t>the intensity of the initial exercise</w:t>
      </w:r>
      <w:r w:rsidR="00E47B95" w:rsidRPr="00602CCA">
        <w:rPr>
          <w:rFonts w:cstheme="minorHAnsi"/>
        </w:rPr>
        <w:t>.</w:t>
      </w:r>
      <w:r w:rsidR="00035C0C">
        <w:rPr>
          <w:rFonts w:cstheme="minorHAnsi"/>
          <w:vertAlign w:val="superscript"/>
        </w:rPr>
        <w:t>4</w:t>
      </w:r>
      <w:r w:rsidR="00E04336">
        <w:rPr>
          <w:rFonts w:cstheme="minorHAnsi"/>
          <w:vertAlign w:val="superscript"/>
        </w:rPr>
        <w:t>2</w:t>
      </w:r>
      <w:r w:rsidR="009A6AB8" w:rsidRPr="00602CCA">
        <w:rPr>
          <w:rFonts w:cstheme="minorHAnsi"/>
        </w:rPr>
        <w:t xml:space="preserve"> So, whilst systematic studies of the safety of GET f</w:t>
      </w:r>
      <w:r w:rsidR="006453C1">
        <w:rPr>
          <w:rFonts w:cstheme="minorHAnsi"/>
        </w:rPr>
        <w:t>ou</w:t>
      </w:r>
      <w:r w:rsidR="009A6AB8" w:rsidRPr="00602CCA">
        <w:rPr>
          <w:rFonts w:cstheme="minorHAnsi"/>
        </w:rPr>
        <w:t xml:space="preserve">nd no convincing evidence of harm with GET, NICE </w:t>
      </w:r>
      <w:r w:rsidR="00CD6DDE">
        <w:rPr>
          <w:rFonts w:cstheme="minorHAnsi"/>
        </w:rPr>
        <w:t>concluded</w:t>
      </w:r>
      <w:r w:rsidR="009A6AB8" w:rsidRPr="00602CCA">
        <w:rPr>
          <w:rFonts w:cstheme="minorHAnsi"/>
        </w:rPr>
        <w:t xml:space="preserve"> that GET was not safe. </w:t>
      </w:r>
    </w:p>
    <w:p w14:paraId="7A3413DD" w14:textId="77777777" w:rsidR="0058447C" w:rsidRPr="00602CCA" w:rsidRDefault="0058447C" w:rsidP="007544AE">
      <w:pPr>
        <w:spacing w:line="480" w:lineRule="auto"/>
        <w:rPr>
          <w:rFonts w:cstheme="minorHAnsi"/>
          <w:b/>
          <w:bCs/>
        </w:rPr>
      </w:pPr>
    </w:p>
    <w:p w14:paraId="5A74A2BC" w14:textId="2B0C4C03" w:rsidR="009A6AB8" w:rsidRPr="004F7641" w:rsidRDefault="00D058CD" w:rsidP="007544AE">
      <w:pPr>
        <w:spacing w:line="480" w:lineRule="auto"/>
        <w:rPr>
          <w:rFonts w:cstheme="minorHAnsi"/>
          <w:b/>
          <w:bCs/>
        </w:rPr>
      </w:pPr>
      <w:r>
        <w:rPr>
          <w:rFonts w:cstheme="minorHAnsi"/>
          <w:b/>
          <w:bCs/>
        </w:rPr>
        <w:t>4</w:t>
      </w:r>
      <w:r w:rsidR="005B546B">
        <w:rPr>
          <w:rFonts w:cstheme="minorHAnsi"/>
          <w:b/>
          <w:bCs/>
        </w:rPr>
        <w:t xml:space="preserve">. </w:t>
      </w:r>
      <w:r w:rsidR="00E67D75">
        <w:rPr>
          <w:rFonts w:cstheme="minorHAnsi"/>
          <w:b/>
          <w:bCs/>
        </w:rPr>
        <w:t>M</w:t>
      </w:r>
      <w:r w:rsidR="00B457E5">
        <w:rPr>
          <w:rFonts w:cstheme="minorHAnsi"/>
          <w:b/>
          <w:bCs/>
        </w:rPr>
        <w:t>inimiz</w:t>
      </w:r>
      <w:r w:rsidR="00293888">
        <w:rPr>
          <w:rFonts w:cstheme="minorHAnsi"/>
          <w:b/>
          <w:bCs/>
        </w:rPr>
        <w:t>ation of</w:t>
      </w:r>
      <w:r w:rsidR="00B457E5">
        <w:rPr>
          <w:rFonts w:cstheme="minorHAnsi"/>
          <w:b/>
          <w:bCs/>
        </w:rPr>
        <w:t xml:space="preserve"> </w:t>
      </w:r>
      <w:r w:rsidR="006A2424">
        <w:rPr>
          <w:rFonts w:cstheme="minorHAnsi"/>
          <w:b/>
          <w:bCs/>
        </w:rPr>
        <w:t>the importance of</w:t>
      </w:r>
      <w:r w:rsidR="00550E88" w:rsidRPr="004F7641">
        <w:rPr>
          <w:rFonts w:cstheme="minorHAnsi"/>
          <w:b/>
          <w:bCs/>
        </w:rPr>
        <w:t xml:space="preserve"> fatigue </w:t>
      </w:r>
      <w:r w:rsidR="00D3681B">
        <w:rPr>
          <w:rFonts w:cstheme="minorHAnsi"/>
          <w:b/>
          <w:bCs/>
        </w:rPr>
        <w:t>as an outcome</w:t>
      </w:r>
    </w:p>
    <w:p w14:paraId="00716F4C" w14:textId="0A8A776A" w:rsidR="00C60BDA" w:rsidRPr="00D1464B" w:rsidRDefault="00F35FE5" w:rsidP="007544AE">
      <w:pPr>
        <w:spacing w:line="480" w:lineRule="auto"/>
        <w:rPr>
          <w:rFonts w:cstheme="minorHAnsi"/>
        </w:rPr>
      </w:pPr>
      <w:r w:rsidRPr="00602CCA">
        <w:rPr>
          <w:rFonts w:cstheme="minorHAnsi"/>
        </w:rPr>
        <w:t>The N</w:t>
      </w:r>
      <w:r>
        <w:rPr>
          <w:rFonts w:cstheme="minorHAnsi"/>
        </w:rPr>
        <w:t>ICE</w:t>
      </w:r>
      <w:r w:rsidRPr="00602CCA">
        <w:rPr>
          <w:rFonts w:cstheme="minorHAnsi"/>
        </w:rPr>
        <w:t xml:space="preserve"> </w:t>
      </w:r>
      <w:r w:rsidR="00DF3F43">
        <w:rPr>
          <w:rFonts w:cstheme="minorHAnsi"/>
        </w:rPr>
        <w:t>committee</w:t>
      </w:r>
      <w:r w:rsidRPr="00602CCA">
        <w:rPr>
          <w:rFonts w:cstheme="minorHAnsi"/>
        </w:rPr>
        <w:t xml:space="preserve"> </w:t>
      </w:r>
      <w:r w:rsidR="009153F5">
        <w:rPr>
          <w:rFonts w:cstheme="minorHAnsi"/>
        </w:rPr>
        <w:t>decided</w:t>
      </w:r>
      <w:r w:rsidR="00DD4FCB">
        <w:rPr>
          <w:rFonts w:cstheme="minorHAnsi"/>
        </w:rPr>
        <w:t xml:space="preserve"> </w:t>
      </w:r>
      <w:r w:rsidRPr="00602CCA">
        <w:rPr>
          <w:rFonts w:cstheme="minorHAnsi"/>
        </w:rPr>
        <w:t xml:space="preserve">to downgrade all fatigue outcomes </w:t>
      </w:r>
      <w:r w:rsidR="00B457E5">
        <w:rPr>
          <w:rFonts w:cstheme="minorHAnsi"/>
        </w:rPr>
        <w:t>based on</w:t>
      </w:r>
      <w:r w:rsidRPr="00602CCA">
        <w:rPr>
          <w:rFonts w:cstheme="minorHAnsi"/>
        </w:rPr>
        <w:t xml:space="preserve"> the premise that </w:t>
      </w:r>
      <w:r w:rsidR="006A1F5F">
        <w:rPr>
          <w:rFonts w:cstheme="minorHAnsi"/>
        </w:rPr>
        <w:t>it</w:t>
      </w:r>
      <w:r w:rsidR="006A1F5F" w:rsidRPr="00602CCA">
        <w:rPr>
          <w:rFonts w:cstheme="minorHAnsi"/>
        </w:rPr>
        <w:t xml:space="preserve"> </w:t>
      </w:r>
      <w:r w:rsidRPr="00602CCA">
        <w:rPr>
          <w:rFonts w:cstheme="minorHAnsi"/>
        </w:rPr>
        <w:t xml:space="preserve">is a subjective </w:t>
      </w:r>
      <w:r w:rsidR="008D0A0C" w:rsidRPr="00602CCA">
        <w:rPr>
          <w:rFonts w:cstheme="minorHAnsi"/>
        </w:rPr>
        <w:t>measure</w:t>
      </w:r>
      <w:r w:rsidR="00C60BDA">
        <w:rPr>
          <w:rFonts w:cstheme="minorHAnsi"/>
        </w:rPr>
        <w:t>.</w:t>
      </w:r>
      <w:r w:rsidR="00DD4FCB">
        <w:rPr>
          <w:rFonts w:cstheme="minorHAnsi"/>
          <w:vertAlign w:val="superscript"/>
        </w:rPr>
        <w:t>26</w:t>
      </w:r>
      <w:r w:rsidR="00C60BDA">
        <w:rPr>
          <w:rFonts w:cstheme="minorHAnsi"/>
        </w:rPr>
        <w:t xml:space="preserve"> This </w:t>
      </w:r>
      <w:r w:rsidR="00E03AAC">
        <w:rPr>
          <w:rFonts w:cstheme="minorHAnsi"/>
        </w:rPr>
        <w:t>wa</w:t>
      </w:r>
      <w:r w:rsidR="00C60BDA">
        <w:rPr>
          <w:rFonts w:cstheme="minorHAnsi"/>
        </w:rPr>
        <w:t xml:space="preserve">s </w:t>
      </w:r>
      <w:r w:rsidR="00754D3D">
        <w:rPr>
          <w:rFonts w:cstheme="minorHAnsi"/>
        </w:rPr>
        <w:t>inconsistent with the diagnosis</w:t>
      </w:r>
      <w:r w:rsidR="00AB4136">
        <w:rPr>
          <w:rFonts w:cstheme="minorHAnsi"/>
        </w:rPr>
        <w:t xml:space="preserve"> of </w:t>
      </w:r>
      <w:r w:rsidR="004F59A0">
        <w:rPr>
          <w:rFonts w:cstheme="minorHAnsi"/>
        </w:rPr>
        <w:t>CFS/ME</w:t>
      </w:r>
      <w:r w:rsidR="0054318E">
        <w:rPr>
          <w:rFonts w:cstheme="minorHAnsi"/>
        </w:rPr>
        <w:t xml:space="preserve">; </w:t>
      </w:r>
      <w:r w:rsidR="0054318E" w:rsidRPr="0054318E">
        <w:rPr>
          <w:rFonts w:cstheme="minorHAnsi"/>
        </w:rPr>
        <w:t>all definitions</w:t>
      </w:r>
      <w:r w:rsidR="00C60BDA">
        <w:rPr>
          <w:rFonts w:cstheme="minorHAnsi"/>
        </w:rPr>
        <w:t xml:space="preserve"> depend on </w:t>
      </w:r>
      <w:r w:rsidR="0054318E">
        <w:rPr>
          <w:rFonts w:cstheme="minorHAnsi"/>
        </w:rPr>
        <w:t xml:space="preserve">self-reported </w:t>
      </w:r>
      <w:r w:rsidR="00C60BDA">
        <w:rPr>
          <w:rFonts w:cstheme="minorHAnsi"/>
        </w:rPr>
        <w:t>symptoms</w:t>
      </w:r>
      <w:r w:rsidR="00D1464B">
        <w:rPr>
          <w:rFonts w:cstheme="minorHAnsi"/>
        </w:rPr>
        <w:t xml:space="preserve"> that are </w:t>
      </w:r>
      <w:r w:rsidR="00692E28">
        <w:rPr>
          <w:rFonts w:cstheme="minorHAnsi"/>
        </w:rPr>
        <w:t>by definition</w:t>
      </w:r>
      <w:r w:rsidR="00E22DA3">
        <w:rPr>
          <w:rFonts w:cstheme="minorHAnsi"/>
        </w:rPr>
        <w:t>,</w:t>
      </w:r>
      <w:r w:rsidR="00D1464B">
        <w:rPr>
          <w:rFonts w:cstheme="minorHAnsi"/>
        </w:rPr>
        <w:t xml:space="preserve"> subjective</w:t>
      </w:r>
      <w:r w:rsidR="00C60BDA" w:rsidRPr="00ED2658">
        <w:t xml:space="preserve">. </w:t>
      </w:r>
      <w:r w:rsidR="00AB493E" w:rsidRPr="00AB493E">
        <w:t xml:space="preserve">This </w:t>
      </w:r>
      <w:r w:rsidR="0054318E">
        <w:t xml:space="preserve">subjectivity </w:t>
      </w:r>
      <w:r w:rsidR="00AB493E" w:rsidRPr="00AB493E">
        <w:t xml:space="preserve">holds true for all </w:t>
      </w:r>
      <w:r w:rsidR="0054318E">
        <w:t xml:space="preserve">four </w:t>
      </w:r>
      <w:r w:rsidR="00AB493E" w:rsidRPr="00AB493E">
        <w:t>symptom</w:t>
      </w:r>
      <w:r w:rsidR="00AB493E">
        <w:t>s</w:t>
      </w:r>
      <w:r w:rsidR="0054318E" w:rsidRPr="0054318E">
        <w:t xml:space="preserve"> </w:t>
      </w:r>
      <w:r w:rsidR="0054318E">
        <w:t xml:space="preserve">- </w:t>
      </w:r>
      <w:r w:rsidR="0054318E" w:rsidRPr="0054318E">
        <w:t>debilitating fatigability, post-exertional symptom exacerbation, unrefreshing sleep and cognitive difficulties</w:t>
      </w:r>
      <w:r w:rsidR="009D1EE1">
        <w:t>.</w:t>
      </w:r>
      <w:r w:rsidR="0054318E">
        <w:t xml:space="preserve"> </w:t>
      </w:r>
      <w:r w:rsidR="009D1EE1">
        <w:t>All these symptoms</w:t>
      </w:r>
      <w:r w:rsidR="00293888">
        <w:t xml:space="preserve"> were </w:t>
      </w:r>
      <w:r w:rsidR="00AB493E" w:rsidRPr="00AB493E">
        <w:t xml:space="preserve">included in the </w:t>
      </w:r>
      <w:r w:rsidR="00AB493E">
        <w:t xml:space="preserve">new </w:t>
      </w:r>
      <w:r w:rsidR="00AB493E" w:rsidRPr="00AB493E">
        <w:t xml:space="preserve">NICE diagnostic criteria of </w:t>
      </w:r>
      <w:r w:rsidR="004F59A0">
        <w:t>CFS/ME</w:t>
      </w:r>
      <w:r w:rsidR="00AB493E">
        <w:t>.</w:t>
      </w:r>
      <w:r w:rsidR="00890404">
        <w:rPr>
          <w:vertAlign w:val="superscript"/>
        </w:rPr>
        <w:t>6</w:t>
      </w:r>
      <w:r w:rsidR="00AB493E">
        <w:t xml:space="preserve"> </w:t>
      </w:r>
      <w:r w:rsidR="00A75691" w:rsidRPr="00A75691">
        <w:t xml:space="preserve">This </w:t>
      </w:r>
      <w:r w:rsidR="00557D75">
        <w:t xml:space="preserve">is </w:t>
      </w:r>
      <w:r w:rsidR="00A75691" w:rsidRPr="00A75691">
        <w:t>analogous to downgrading the importance of pain as an outcome in treatment trials of chronic pain.</w:t>
      </w:r>
      <w:r w:rsidR="00A75691">
        <w:t xml:space="preserve"> </w:t>
      </w:r>
      <w:r w:rsidR="00C60BDA" w:rsidRPr="00ED2658">
        <w:t xml:space="preserve">At the </w:t>
      </w:r>
      <w:r w:rsidR="00E03AAC">
        <w:t>present</w:t>
      </w:r>
      <w:r w:rsidR="00C60BDA" w:rsidRPr="00ED2658">
        <w:t xml:space="preserve"> time there is no objective </w:t>
      </w:r>
      <w:r w:rsidR="00E03AAC">
        <w:t xml:space="preserve">test that can tell us whether </w:t>
      </w:r>
      <w:r w:rsidR="00C60BDA" w:rsidRPr="00ED2658">
        <w:t xml:space="preserve">a patient has or </w:t>
      </w:r>
      <w:r w:rsidR="006B6DF0">
        <w:t>does not</w:t>
      </w:r>
      <w:r w:rsidR="00FF666C">
        <w:t xml:space="preserve"> have</w:t>
      </w:r>
      <w:r w:rsidR="00C60BDA" w:rsidRPr="00ED2658">
        <w:t xml:space="preserve"> </w:t>
      </w:r>
      <w:r w:rsidR="004F59A0">
        <w:t>CFS/ME</w:t>
      </w:r>
      <w:r w:rsidR="00D1464B" w:rsidRPr="00ED2658">
        <w:t>,</w:t>
      </w:r>
      <w:r w:rsidR="00C60BDA" w:rsidRPr="00ED2658">
        <w:t xml:space="preserve"> so applying a different standard to outcome </w:t>
      </w:r>
      <w:r w:rsidR="00771F30">
        <w:t xml:space="preserve">data </w:t>
      </w:r>
      <w:r w:rsidR="00C60BDA" w:rsidRPr="00ED2658">
        <w:t xml:space="preserve">from </w:t>
      </w:r>
      <w:r w:rsidR="00E03AAC">
        <w:t xml:space="preserve">the </w:t>
      </w:r>
      <w:r w:rsidR="00C60BDA" w:rsidRPr="00ED2658">
        <w:t xml:space="preserve">diagnostic criteria </w:t>
      </w:r>
      <w:r w:rsidR="00D01C56">
        <w:t xml:space="preserve">is </w:t>
      </w:r>
      <w:r w:rsidR="00E03AAC">
        <w:t>inconsistent</w:t>
      </w:r>
      <w:r w:rsidR="00C92EA9">
        <w:t>.</w:t>
      </w:r>
      <w:r w:rsidR="0056136F">
        <w:t xml:space="preserve"> </w:t>
      </w:r>
    </w:p>
    <w:p w14:paraId="7432E1E3" w14:textId="223BB5A8" w:rsidR="00F35FE5" w:rsidRPr="00ED2658" w:rsidRDefault="006A1F5F" w:rsidP="007544AE">
      <w:pPr>
        <w:spacing w:line="480" w:lineRule="auto"/>
        <w:rPr>
          <w:rFonts w:cstheme="minorHAnsi"/>
          <w:vertAlign w:val="superscript"/>
        </w:rPr>
      </w:pPr>
      <w:r>
        <w:rPr>
          <w:rFonts w:cstheme="minorHAnsi"/>
        </w:rPr>
        <w:t xml:space="preserve">The </w:t>
      </w:r>
      <w:r w:rsidR="00C60BDA">
        <w:rPr>
          <w:rFonts w:cstheme="minorHAnsi"/>
        </w:rPr>
        <w:t xml:space="preserve">NICE </w:t>
      </w:r>
      <w:r w:rsidR="00DF3F43">
        <w:rPr>
          <w:rFonts w:cstheme="minorHAnsi"/>
        </w:rPr>
        <w:t>committee</w:t>
      </w:r>
      <w:r w:rsidR="00C60BDA">
        <w:rPr>
          <w:rFonts w:cstheme="minorHAnsi"/>
        </w:rPr>
        <w:t xml:space="preserve"> </w:t>
      </w:r>
      <w:r w:rsidR="00B74E74">
        <w:rPr>
          <w:rFonts w:cstheme="minorHAnsi"/>
        </w:rPr>
        <w:t>took the view</w:t>
      </w:r>
      <w:r w:rsidR="00754D3D">
        <w:rPr>
          <w:rFonts w:cstheme="minorHAnsi"/>
        </w:rPr>
        <w:t xml:space="preserve"> </w:t>
      </w:r>
      <w:r w:rsidR="00CB6CC8">
        <w:rPr>
          <w:rFonts w:cstheme="minorHAnsi"/>
        </w:rPr>
        <w:t>th</w:t>
      </w:r>
      <w:r w:rsidR="00C60BDA">
        <w:rPr>
          <w:rFonts w:cstheme="minorHAnsi"/>
        </w:rPr>
        <w:t>at therapy trials</w:t>
      </w:r>
      <w:r w:rsidR="00F35FE5" w:rsidRPr="00602CCA">
        <w:rPr>
          <w:rFonts w:cstheme="minorHAnsi"/>
        </w:rPr>
        <w:t xml:space="preserve"> </w:t>
      </w:r>
      <w:r>
        <w:rPr>
          <w:rFonts w:cstheme="minorHAnsi"/>
        </w:rPr>
        <w:t xml:space="preserve">not </w:t>
      </w:r>
      <w:r w:rsidR="00F35FE5" w:rsidRPr="00602CCA">
        <w:rPr>
          <w:rFonts w:cstheme="minorHAnsi"/>
        </w:rPr>
        <w:t>be</w:t>
      </w:r>
      <w:r w:rsidR="002F3DA8">
        <w:rPr>
          <w:rFonts w:cstheme="minorHAnsi"/>
        </w:rPr>
        <w:t>ing</w:t>
      </w:r>
      <w:r w:rsidR="00F35FE5" w:rsidRPr="00602CCA">
        <w:rPr>
          <w:rFonts w:cstheme="minorHAnsi"/>
        </w:rPr>
        <w:t xml:space="preserve"> “blinded”</w:t>
      </w:r>
      <w:r w:rsidR="00100EC5">
        <w:rPr>
          <w:rFonts w:cstheme="minorHAnsi"/>
        </w:rPr>
        <w:t xml:space="preserve">, </w:t>
      </w:r>
      <w:bookmarkStart w:id="8" w:name="_Hlk131415208"/>
      <w:r w:rsidR="00100EC5">
        <w:rPr>
          <w:rFonts w:cstheme="minorHAnsi"/>
        </w:rPr>
        <w:t>with both participant and therapist being aware of the intervention,</w:t>
      </w:r>
      <w:r w:rsidR="00754D3D">
        <w:rPr>
          <w:rFonts w:cstheme="minorHAnsi"/>
        </w:rPr>
        <w:t xml:space="preserve"> </w:t>
      </w:r>
      <w:bookmarkEnd w:id="8"/>
      <w:r w:rsidR="00754D3D">
        <w:rPr>
          <w:rFonts w:cstheme="minorHAnsi"/>
        </w:rPr>
        <w:t xml:space="preserve">impaired </w:t>
      </w:r>
      <w:r w:rsidR="00486B5B">
        <w:rPr>
          <w:rFonts w:cstheme="minorHAnsi"/>
        </w:rPr>
        <w:t xml:space="preserve">the </w:t>
      </w:r>
      <w:r w:rsidR="00B12F6B">
        <w:rPr>
          <w:rFonts w:cstheme="minorHAnsi"/>
        </w:rPr>
        <w:t>validity</w:t>
      </w:r>
      <w:r w:rsidR="006759FF">
        <w:rPr>
          <w:rFonts w:cstheme="minorHAnsi"/>
        </w:rPr>
        <w:t xml:space="preserve"> of the results</w:t>
      </w:r>
      <w:r w:rsidR="00F35FE5" w:rsidRPr="00602CCA">
        <w:rPr>
          <w:rFonts w:cstheme="minorHAnsi"/>
        </w:rPr>
        <w:t>.</w:t>
      </w:r>
      <w:r w:rsidR="009878F8">
        <w:rPr>
          <w:rFonts w:cstheme="minorHAnsi"/>
          <w:vertAlign w:val="superscript"/>
        </w:rPr>
        <w:t>26</w:t>
      </w:r>
      <w:r w:rsidR="00C60BDA">
        <w:rPr>
          <w:rFonts w:cstheme="minorHAnsi"/>
        </w:rPr>
        <w:t xml:space="preserve"> </w:t>
      </w:r>
      <w:bookmarkStart w:id="9" w:name="_Hlk131415368"/>
      <w:r w:rsidR="004A4FB0">
        <w:rPr>
          <w:rFonts w:cstheme="minorHAnsi"/>
        </w:rPr>
        <w:t>Trials of complex non-pharmacological interventions often necessitate non-blinding of participants and therapists</w:t>
      </w:r>
      <w:bookmarkEnd w:id="9"/>
      <w:r w:rsidR="00C60BDA">
        <w:rPr>
          <w:rFonts w:cstheme="minorHAnsi"/>
        </w:rPr>
        <w:t>.</w:t>
      </w:r>
      <w:r w:rsidR="009878F8">
        <w:rPr>
          <w:rFonts w:cstheme="minorHAnsi"/>
          <w:vertAlign w:val="superscript"/>
        </w:rPr>
        <w:t>43</w:t>
      </w:r>
      <w:r w:rsidR="00C60BDA">
        <w:rPr>
          <w:rFonts w:cstheme="minorHAnsi"/>
        </w:rPr>
        <w:t xml:space="preserve"> </w:t>
      </w:r>
      <w:r w:rsidR="00DB38B4">
        <w:rPr>
          <w:rFonts w:cstheme="minorHAnsi"/>
        </w:rPr>
        <w:t>Interestingly,</w:t>
      </w:r>
      <w:r w:rsidR="008A62CB">
        <w:rPr>
          <w:rFonts w:cstheme="minorHAnsi"/>
        </w:rPr>
        <w:t xml:space="preserve"> a</w:t>
      </w:r>
      <w:r w:rsidR="00E31AED">
        <w:rPr>
          <w:rFonts w:cstheme="minorHAnsi"/>
        </w:rPr>
        <w:t xml:space="preserve"> recent </w:t>
      </w:r>
      <w:r w:rsidR="00391246">
        <w:rPr>
          <w:rFonts w:cstheme="minorHAnsi"/>
        </w:rPr>
        <w:t>meta</w:t>
      </w:r>
      <w:r w:rsidR="00A66FA7">
        <w:rPr>
          <w:rFonts w:cstheme="minorHAnsi"/>
        </w:rPr>
        <w:t>-epidemiological study</w:t>
      </w:r>
      <w:r w:rsidR="00E31AED">
        <w:rPr>
          <w:rFonts w:cstheme="minorHAnsi"/>
        </w:rPr>
        <w:t xml:space="preserve"> </w:t>
      </w:r>
      <w:r w:rsidR="00391246">
        <w:rPr>
          <w:rFonts w:cstheme="minorHAnsi"/>
        </w:rPr>
        <w:t xml:space="preserve">of 142 Cochrane </w:t>
      </w:r>
      <w:r w:rsidR="00A66FA7">
        <w:rPr>
          <w:rFonts w:cstheme="minorHAnsi"/>
        </w:rPr>
        <w:t xml:space="preserve">trial </w:t>
      </w:r>
      <w:r w:rsidR="00391246">
        <w:rPr>
          <w:rFonts w:cstheme="minorHAnsi"/>
        </w:rPr>
        <w:t xml:space="preserve">meta-analyses </w:t>
      </w:r>
      <w:r w:rsidR="008A62CB">
        <w:rPr>
          <w:rFonts w:cstheme="minorHAnsi"/>
        </w:rPr>
        <w:t xml:space="preserve">concluded </w:t>
      </w:r>
      <w:r w:rsidR="00E31AED">
        <w:rPr>
          <w:rFonts w:cstheme="minorHAnsi"/>
        </w:rPr>
        <w:t xml:space="preserve">that concerns over bias by lack of blinding </w:t>
      </w:r>
      <w:r w:rsidR="000B35F1">
        <w:rPr>
          <w:rFonts w:cstheme="minorHAnsi"/>
        </w:rPr>
        <w:t xml:space="preserve">in randomised trials </w:t>
      </w:r>
      <w:r w:rsidR="00E31AED">
        <w:rPr>
          <w:rFonts w:cstheme="minorHAnsi"/>
        </w:rPr>
        <w:t>may have been exaggerated.</w:t>
      </w:r>
      <w:r w:rsidR="00890404">
        <w:rPr>
          <w:rFonts w:cstheme="minorHAnsi"/>
          <w:vertAlign w:val="superscript"/>
        </w:rPr>
        <w:t>4</w:t>
      </w:r>
      <w:r w:rsidR="00E04336">
        <w:rPr>
          <w:rFonts w:cstheme="minorHAnsi"/>
          <w:vertAlign w:val="superscript"/>
        </w:rPr>
        <w:t>4</w:t>
      </w:r>
    </w:p>
    <w:p w14:paraId="60BD0CF2" w14:textId="077AE649" w:rsidR="0058447C" w:rsidRPr="00ED2658" w:rsidRDefault="00D1464B" w:rsidP="007544AE">
      <w:pPr>
        <w:spacing w:line="480" w:lineRule="auto"/>
        <w:rPr>
          <w:rFonts w:cstheme="minorHAnsi"/>
          <w:vertAlign w:val="superscript"/>
        </w:rPr>
      </w:pPr>
      <w:r w:rsidRPr="00D1464B">
        <w:rPr>
          <w:rFonts w:cstheme="minorHAnsi"/>
        </w:rPr>
        <w:t xml:space="preserve">The </w:t>
      </w:r>
      <w:r w:rsidR="00520328">
        <w:rPr>
          <w:rFonts w:cstheme="minorHAnsi"/>
        </w:rPr>
        <w:t xml:space="preserve">NICE </w:t>
      </w:r>
      <w:r w:rsidRPr="00D1464B">
        <w:rPr>
          <w:rFonts w:cstheme="minorHAnsi"/>
        </w:rPr>
        <w:t>guideline provided a description of what CBT entails.</w:t>
      </w:r>
      <w:r w:rsidR="00890404">
        <w:rPr>
          <w:rFonts w:cstheme="minorHAnsi"/>
          <w:vertAlign w:val="superscript"/>
        </w:rPr>
        <w:t>6</w:t>
      </w:r>
      <w:r w:rsidRPr="00D1464B">
        <w:rPr>
          <w:rFonts w:cstheme="minorHAnsi"/>
        </w:rPr>
        <w:t xml:space="preserve"> </w:t>
      </w:r>
      <w:r w:rsidR="00DB38B4">
        <w:rPr>
          <w:rFonts w:cstheme="minorHAnsi"/>
        </w:rPr>
        <w:t>I</w:t>
      </w:r>
      <w:r w:rsidR="003906B5">
        <w:rPr>
          <w:rFonts w:cstheme="minorHAnsi"/>
        </w:rPr>
        <w:t>t</w:t>
      </w:r>
      <w:r w:rsidRPr="00D1464B">
        <w:rPr>
          <w:rFonts w:cstheme="minorHAnsi"/>
        </w:rPr>
        <w:t xml:space="preserve"> suggest</w:t>
      </w:r>
      <w:r w:rsidR="00DB38B4">
        <w:rPr>
          <w:rFonts w:cstheme="minorHAnsi"/>
        </w:rPr>
        <w:t>ed</w:t>
      </w:r>
      <w:r w:rsidRPr="00D1464B">
        <w:rPr>
          <w:rFonts w:cstheme="minorHAnsi"/>
        </w:rPr>
        <w:t xml:space="preserve"> that CBT should focus primarily on </w:t>
      </w:r>
      <w:bookmarkStart w:id="10" w:name="_Hlk105255060"/>
      <w:r w:rsidR="004E02F4">
        <w:rPr>
          <w:rFonts w:cstheme="minorHAnsi"/>
        </w:rPr>
        <w:t xml:space="preserve">support for managing symptoms and </w:t>
      </w:r>
      <w:bookmarkEnd w:id="10"/>
      <w:r w:rsidRPr="00D1464B">
        <w:rPr>
          <w:rFonts w:cstheme="minorHAnsi"/>
        </w:rPr>
        <w:t>t</w:t>
      </w:r>
      <w:r w:rsidR="00AB4136">
        <w:rPr>
          <w:rFonts w:cstheme="minorHAnsi"/>
        </w:rPr>
        <w:t>reating</w:t>
      </w:r>
      <w:r w:rsidRPr="00D1464B">
        <w:rPr>
          <w:rFonts w:cstheme="minorHAnsi"/>
        </w:rPr>
        <w:t xml:space="preserve"> </w:t>
      </w:r>
      <w:r w:rsidR="0070599A">
        <w:rPr>
          <w:rFonts w:cstheme="minorHAnsi"/>
        </w:rPr>
        <w:t>[</w:t>
      </w:r>
      <w:r w:rsidR="008A62CB">
        <w:rPr>
          <w:rFonts w:cstheme="minorHAnsi"/>
        </w:rPr>
        <w:t>emotional</w:t>
      </w:r>
      <w:r w:rsidR="0070599A">
        <w:rPr>
          <w:rFonts w:cstheme="minorHAnsi"/>
        </w:rPr>
        <w:t>]</w:t>
      </w:r>
      <w:r w:rsidR="008A62CB">
        <w:rPr>
          <w:rFonts w:cstheme="minorHAnsi"/>
        </w:rPr>
        <w:t xml:space="preserve"> </w:t>
      </w:r>
      <w:r w:rsidRPr="00D1464B">
        <w:rPr>
          <w:rFonts w:cstheme="minorHAnsi"/>
        </w:rPr>
        <w:t>distress</w:t>
      </w:r>
      <w:r w:rsidR="008A62CB">
        <w:rPr>
          <w:rFonts w:cstheme="minorHAnsi"/>
        </w:rPr>
        <w:t xml:space="preserve">, </w:t>
      </w:r>
      <w:r w:rsidR="00AB4136">
        <w:rPr>
          <w:rFonts w:cstheme="minorHAnsi"/>
        </w:rPr>
        <w:t xml:space="preserve">which </w:t>
      </w:r>
      <w:r w:rsidR="006B6DF0">
        <w:rPr>
          <w:rFonts w:cstheme="minorHAnsi"/>
        </w:rPr>
        <w:t>wa</w:t>
      </w:r>
      <w:r w:rsidR="00AB4136">
        <w:rPr>
          <w:rFonts w:cstheme="minorHAnsi"/>
        </w:rPr>
        <w:t xml:space="preserve">s </w:t>
      </w:r>
      <w:r w:rsidR="008A62CB">
        <w:rPr>
          <w:rFonts w:cstheme="minorHAnsi"/>
        </w:rPr>
        <w:t>seen as a consequence of the illness</w:t>
      </w:r>
      <w:r w:rsidRPr="00D1464B">
        <w:rPr>
          <w:rFonts w:cstheme="minorHAnsi"/>
        </w:rPr>
        <w:t xml:space="preserve">. </w:t>
      </w:r>
      <w:r w:rsidR="006757EF">
        <w:rPr>
          <w:rFonts w:cstheme="minorHAnsi"/>
        </w:rPr>
        <w:t>T</w:t>
      </w:r>
      <w:r w:rsidRPr="00D1464B">
        <w:rPr>
          <w:rFonts w:cstheme="minorHAnsi"/>
        </w:rPr>
        <w:t xml:space="preserve">his is not </w:t>
      </w:r>
      <w:r w:rsidR="00AB4136">
        <w:rPr>
          <w:rFonts w:cstheme="minorHAnsi"/>
        </w:rPr>
        <w:t>what</w:t>
      </w:r>
      <w:r w:rsidRPr="00D1464B">
        <w:rPr>
          <w:rFonts w:cstheme="minorHAnsi"/>
        </w:rPr>
        <w:t xml:space="preserve"> </w:t>
      </w:r>
      <w:r w:rsidR="008A62CB">
        <w:rPr>
          <w:rFonts w:cstheme="minorHAnsi"/>
        </w:rPr>
        <w:t xml:space="preserve">CBT </w:t>
      </w:r>
      <w:r w:rsidRPr="00D1464B">
        <w:rPr>
          <w:rFonts w:cstheme="minorHAnsi"/>
        </w:rPr>
        <w:t xml:space="preserve">was developed </w:t>
      </w:r>
      <w:r w:rsidR="00AB4136">
        <w:rPr>
          <w:rFonts w:cstheme="minorHAnsi"/>
        </w:rPr>
        <w:t xml:space="preserve">to </w:t>
      </w:r>
      <w:r w:rsidR="00DB38B4">
        <w:rPr>
          <w:rFonts w:cstheme="minorHAnsi"/>
        </w:rPr>
        <w:t xml:space="preserve">do </w:t>
      </w:r>
      <w:r w:rsidRPr="00D1464B">
        <w:rPr>
          <w:rFonts w:cstheme="minorHAnsi"/>
        </w:rPr>
        <w:t xml:space="preserve">or </w:t>
      </w:r>
      <w:r w:rsidR="00AB4136">
        <w:rPr>
          <w:rFonts w:cstheme="minorHAnsi"/>
        </w:rPr>
        <w:t xml:space="preserve">how it was </w:t>
      </w:r>
      <w:r w:rsidRPr="00D1464B">
        <w:rPr>
          <w:rFonts w:cstheme="minorHAnsi"/>
        </w:rPr>
        <w:t xml:space="preserve">delivered in the trials for </w:t>
      </w:r>
      <w:r w:rsidR="004F59A0">
        <w:rPr>
          <w:rFonts w:cstheme="minorHAnsi"/>
        </w:rPr>
        <w:t>CFS/ME</w:t>
      </w:r>
      <w:r w:rsidR="008A0B50">
        <w:rPr>
          <w:rFonts w:cstheme="minorHAnsi"/>
        </w:rPr>
        <w:t>. The</w:t>
      </w:r>
      <w:r w:rsidRPr="00D1464B">
        <w:rPr>
          <w:rFonts w:cstheme="minorHAnsi"/>
        </w:rPr>
        <w:t xml:space="preserve"> primary </w:t>
      </w:r>
      <w:r w:rsidR="009B45DD">
        <w:rPr>
          <w:rFonts w:cstheme="minorHAnsi"/>
        </w:rPr>
        <w:t>intention</w:t>
      </w:r>
      <w:r w:rsidR="009B45DD" w:rsidRPr="00D1464B">
        <w:rPr>
          <w:rFonts w:cstheme="minorHAnsi"/>
        </w:rPr>
        <w:t xml:space="preserve"> </w:t>
      </w:r>
      <w:r w:rsidR="008A0B50">
        <w:rPr>
          <w:rFonts w:cstheme="minorHAnsi"/>
        </w:rPr>
        <w:t>of CBT in th</w:t>
      </w:r>
      <w:r w:rsidR="00AC02CE">
        <w:rPr>
          <w:rFonts w:cstheme="minorHAnsi"/>
        </w:rPr>
        <w:t xml:space="preserve">e context of CFS/ME </w:t>
      </w:r>
      <w:r w:rsidR="002D320D">
        <w:rPr>
          <w:rFonts w:cstheme="minorHAnsi"/>
        </w:rPr>
        <w:t>is</w:t>
      </w:r>
      <w:r w:rsidRPr="00D1464B">
        <w:rPr>
          <w:rFonts w:cstheme="minorHAnsi"/>
        </w:rPr>
        <w:t xml:space="preserve"> </w:t>
      </w:r>
      <w:r w:rsidR="009B45DD">
        <w:rPr>
          <w:rFonts w:cstheme="minorHAnsi"/>
        </w:rPr>
        <w:t xml:space="preserve">to </w:t>
      </w:r>
      <w:r w:rsidR="00917026">
        <w:rPr>
          <w:rFonts w:cstheme="minorHAnsi"/>
        </w:rPr>
        <w:t xml:space="preserve">improve fatigue and function. We are not aware of any trial </w:t>
      </w:r>
      <w:r w:rsidR="0056136F">
        <w:rPr>
          <w:rFonts w:cstheme="minorHAnsi"/>
        </w:rPr>
        <w:t xml:space="preserve">of CBT </w:t>
      </w:r>
      <w:r w:rsidR="00917026">
        <w:rPr>
          <w:rFonts w:cstheme="minorHAnsi"/>
        </w:rPr>
        <w:t>that had relief of distress as its primary outcome</w:t>
      </w:r>
      <w:r w:rsidR="00E34126">
        <w:rPr>
          <w:rFonts w:cstheme="minorHAnsi"/>
        </w:rPr>
        <w:t xml:space="preserve">. </w:t>
      </w:r>
      <w:r w:rsidR="00DF3812">
        <w:rPr>
          <w:rFonts w:cstheme="minorHAnsi"/>
        </w:rPr>
        <w:t>S</w:t>
      </w:r>
      <w:r w:rsidRPr="00D1464B">
        <w:rPr>
          <w:rFonts w:cstheme="minorHAnsi"/>
        </w:rPr>
        <w:t>uggest</w:t>
      </w:r>
      <w:r w:rsidR="00DF3812">
        <w:rPr>
          <w:rFonts w:cstheme="minorHAnsi"/>
        </w:rPr>
        <w:t>ing</w:t>
      </w:r>
      <w:r w:rsidRPr="00D1464B">
        <w:rPr>
          <w:rFonts w:cstheme="minorHAnsi"/>
        </w:rPr>
        <w:t xml:space="preserve"> that </w:t>
      </w:r>
      <w:r w:rsidR="00EE4536">
        <w:rPr>
          <w:rFonts w:cstheme="minorHAnsi"/>
        </w:rPr>
        <w:t xml:space="preserve">CBT </w:t>
      </w:r>
      <w:r w:rsidR="008A0B50">
        <w:rPr>
          <w:rFonts w:cstheme="minorHAnsi"/>
        </w:rPr>
        <w:t xml:space="preserve">should only be used to </w:t>
      </w:r>
      <w:r w:rsidRPr="00D1464B">
        <w:rPr>
          <w:rFonts w:cstheme="minorHAnsi"/>
        </w:rPr>
        <w:t>manag</w:t>
      </w:r>
      <w:r w:rsidR="008A0B50">
        <w:rPr>
          <w:rFonts w:cstheme="minorHAnsi"/>
        </w:rPr>
        <w:t>e</w:t>
      </w:r>
      <w:r w:rsidRPr="00D1464B">
        <w:rPr>
          <w:rFonts w:cstheme="minorHAnsi"/>
        </w:rPr>
        <w:t xml:space="preserve"> symptoms </w:t>
      </w:r>
      <w:r w:rsidR="008A0B50">
        <w:rPr>
          <w:rFonts w:cstheme="minorHAnsi"/>
        </w:rPr>
        <w:t>and</w:t>
      </w:r>
      <w:r w:rsidRPr="00D1464B">
        <w:rPr>
          <w:rFonts w:cstheme="minorHAnsi"/>
        </w:rPr>
        <w:t xml:space="preserve"> reduce distress associated with having a chronic illness</w:t>
      </w:r>
      <w:r w:rsidR="00EE4536">
        <w:rPr>
          <w:rFonts w:cstheme="minorHAnsi"/>
        </w:rPr>
        <w:t xml:space="preserve"> </w:t>
      </w:r>
      <w:r w:rsidRPr="00D1464B">
        <w:rPr>
          <w:rFonts w:cstheme="minorHAnsi"/>
        </w:rPr>
        <w:t>impl</w:t>
      </w:r>
      <w:r w:rsidR="00DF3812">
        <w:rPr>
          <w:rFonts w:cstheme="minorHAnsi"/>
        </w:rPr>
        <w:t>ies</w:t>
      </w:r>
      <w:r w:rsidRPr="00D1464B">
        <w:rPr>
          <w:rFonts w:cstheme="minorHAnsi"/>
        </w:rPr>
        <w:t xml:space="preserve"> that the</w:t>
      </w:r>
      <w:r w:rsidR="00E51FDC">
        <w:rPr>
          <w:rFonts w:cstheme="minorHAnsi"/>
        </w:rPr>
        <w:t xml:space="preserve">re is a </w:t>
      </w:r>
      <w:r w:rsidR="008A0B50">
        <w:rPr>
          <w:rFonts w:cstheme="minorHAnsi"/>
        </w:rPr>
        <w:t>“</w:t>
      </w:r>
      <w:r w:rsidR="00E0359A">
        <w:rPr>
          <w:rFonts w:cstheme="minorHAnsi"/>
        </w:rPr>
        <w:t xml:space="preserve">core </w:t>
      </w:r>
      <w:r w:rsidRPr="00D1464B">
        <w:rPr>
          <w:rFonts w:cstheme="minorHAnsi"/>
        </w:rPr>
        <w:t>illness</w:t>
      </w:r>
      <w:r w:rsidR="008A0B50">
        <w:rPr>
          <w:rFonts w:cstheme="minorHAnsi"/>
        </w:rPr>
        <w:t>”</w:t>
      </w:r>
      <w:r w:rsidRPr="00D1464B">
        <w:rPr>
          <w:rFonts w:cstheme="minorHAnsi"/>
        </w:rPr>
        <w:t xml:space="preserve"> </w:t>
      </w:r>
      <w:r w:rsidR="00E51FDC">
        <w:rPr>
          <w:rFonts w:cstheme="minorHAnsi"/>
        </w:rPr>
        <w:t xml:space="preserve">that CBT cannot </w:t>
      </w:r>
      <w:r w:rsidRPr="00D1464B">
        <w:rPr>
          <w:rFonts w:cstheme="minorHAnsi"/>
        </w:rPr>
        <w:t>change.</w:t>
      </w:r>
      <w:r w:rsidR="00890404">
        <w:rPr>
          <w:rFonts w:cstheme="minorHAnsi"/>
          <w:vertAlign w:val="superscript"/>
        </w:rPr>
        <w:t>6</w:t>
      </w:r>
      <w:r w:rsidRPr="00D1464B">
        <w:rPr>
          <w:rFonts w:cstheme="minorHAnsi"/>
        </w:rPr>
        <w:t xml:space="preserve"> This </w:t>
      </w:r>
      <w:r w:rsidR="00E51FDC">
        <w:rPr>
          <w:rFonts w:cstheme="minorHAnsi"/>
        </w:rPr>
        <w:t xml:space="preserve">assumption </w:t>
      </w:r>
      <w:r w:rsidRPr="00D1464B">
        <w:rPr>
          <w:rFonts w:cstheme="minorHAnsi"/>
        </w:rPr>
        <w:t xml:space="preserve">is puzzling given that </w:t>
      </w:r>
      <w:r w:rsidR="004F59A0">
        <w:rPr>
          <w:rFonts w:cstheme="minorHAnsi"/>
        </w:rPr>
        <w:t>CFS/ME</w:t>
      </w:r>
      <w:r w:rsidRPr="00D1464B">
        <w:rPr>
          <w:rFonts w:cstheme="minorHAnsi"/>
        </w:rPr>
        <w:t xml:space="preserve"> is defined purely in term of symptoms and impaired functioning. </w:t>
      </w:r>
      <w:r w:rsidR="00705556">
        <w:rPr>
          <w:rFonts w:cstheme="minorHAnsi"/>
        </w:rPr>
        <w:t>I</w:t>
      </w:r>
      <w:r w:rsidRPr="00D1464B">
        <w:rPr>
          <w:rFonts w:cstheme="minorHAnsi"/>
        </w:rPr>
        <w:t xml:space="preserve">f </w:t>
      </w:r>
      <w:r w:rsidR="00E51FDC">
        <w:rPr>
          <w:rFonts w:cstheme="minorHAnsi"/>
        </w:rPr>
        <w:t xml:space="preserve">the </w:t>
      </w:r>
      <w:r w:rsidRPr="00D1464B">
        <w:rPr>
          <w:rFonts w:cstheme="minorHAnsi"/>
        </w:rPr>
        <w:t>symptoms resolve</w:t>
      </w:r>
      <w:r w:rsidR="008A0B50">
        <w:rPr>
          <w:rFonts w:cstheme="minorHAnsi"/>
        </w:rPr>
        <w:t xml:space="preserve"> and there is a </w:t>
      </w:r>
      <w:r w:rsidR="00705556">
        <w:rPr>
          <w:rFonts w:cstheme="minorHAnsi"/>
        </w:rPr>
        <w:t xml:space="preserve">sustained </w:t>
      </w:r>
      <w:r w:rsidR="00501F06">
        <w:rPr>
          <w:rFonts w:cstheme="minorHAnsi"/>
        </w:rPr>
        <w:t>return to normal life</w:t>
      </w:r>
      <w:r w:rsidRPr="00D1464B">
        <w:rPr>
          <w:rFonts w:cstheme="minorHAnsi"/>
        </w:rPr>
        <w:t xml:space="preserve">, </w:t>
      </w:r>
      <w:r w:rsidR="00E51FDC">
        <w:rPr>
          <w:rFonts w:cstheme="minorHAnsi"/>
        </w:rPr>
        <w:t xml:space="preserve">then </w:t>
      </w:r>
      <w:r w:rsidRPr="00D1464B">
        <w:rPr>
          <w:rFonts w:cstheme="minorHAnsi"/>
        </w:rPr>
        <w:t>the</w:t>
      </w:r>
      <w:r w:rsidR="000B7213">
        <w:rPr>
          <w:rFonts w:cstheme="minorHAnsi"/>
        </w:rPr>
        <w:t xml:space="preserve"> patient has recovered</w:t>
      </w:r>
      <w:r w:rsidRPr="00D1464B">
        <w:rPr>
          <w:rFonts w:cstheme="minorHAnsi"/>
        </w:rPr>
        <w:t xml:space="preserve">. A treatment </w:t>
      </w:r>
      <w:r w:rsidR="00E51FDC">
        <w:rPr>
          <w:rFonts w:cstheme="minorHAnsi"/>
        </w:rPr>
        <w:t xml:space="preserve">such as CBT </w:t>
      </w:r>
      <w:r w:rsidRPr="00D1464B">
        <w:rPr>
          <w:rFonts w:cstheme="minorHAnsi"/>
        </w:rPr>
        <w:t xml:space="preserve">that </w:t>
      </w:r>
      <w:r w:rsidR="00943A00">
        <w:rPr>
          <w:rFonts w:cstheme="minorHAnsi"/>
        </w:rPr>
        <w:t>reduces</w:t>
      </w:r>
      <w:r w:rsidRPr="00D1464B">
        <w:rPr>
          <w:rFonts w:cstheme="minorHAnsi"/>
        </w:rPr>
        <w:t xml:space="preserve"> fatigue and </w:t>
      </w:r>
      <w:r w:rsidR="00943A00">
        <w:rPr>
          <w:rFonts w:cstheme="minorHAnsi"/>
        </w:rPr>
        <w:t xml:space="preserve">improves </w:t>
      </w:r>
      <w:r w:rsidRPr="00D1464B">
        <w:rPr>
          <w:rFonts w:cstheme="minorHAnsi"/>
        </w:rPr>
        <w:t>functioning is</w:t>
      </w:r>
      <w:r w:rsidR="00E0359A">
        <w:rPr>
          <w:rFonts w:cstheme="minorHAnsi"/>
        </w:rPr>
        <w:t xml:space="preserve"> therefore</w:t>
      </w:r>
      <w:r w:rsidRPr="00D1464B">
        <w:rPr>
          <w:rFonts w:cstheme="minorHAnsi"/>
        </w:rPr>
        <w:t xml:space="preserve"> a treatment that improve</w:t>
      </w:r>
      <w:r w:rsidR="00E51FDC">
        <w:rPr>
          <w:rFonts w:cstheme="minorHAnsi"/>
        </w:rPr>
        <w:t>s</w:t>
      </w:r>
      <w:r w:rsidRPr="00D1464B">
        <w:rPr>
          <w:rFonts w:cstheme="minorHAnsi"/>
        </w:rPr>
        <w:t xml:space="preserve"> the condition, as the </w:t>
      </w:r>
      <w:r w:rsidR="00E51FDC">
        <w:rPr>
          <w:rFonts w:cstheme="minorHAnsi"/>
        </w:rPr>
        <w:t xml:space="preserve">clinical </w:t>
      </w:r>
      <w:r w:rsidRPr="00D1464B">
        <w:rPr>
          <w:rFonts w:cstheme="minorHAnsi"/>
        </w:rPr>
        <w:t>trial evidence shows</w:t>
      </w:r>
      <w:r w:rsidR="00C904A5">
        <w:rPr>
          <w:rFonts w:cstheme="minorHAnsi"/>
          <w:vertAlign w:val="superscript"/>
        </w:rPr>
        <w:t xml:space="preserve"> </w:t>
      </w:r>
      <w:r w:rsidR="00C904A5">
        <w:rPr>
          <w:rFonts w:cstheme="minorHAnsi"/>
        </w:rPr>
        <w:t xml:space="preserve"> (Table 1)</w:t>
      </w:r>
      <w:r w:rsidR="00BA1D47">
        <w:rPr>
          <w:rFonts w:cstheme="minorHAnsi"/>
        </w:rPr>
        <w:t>.</w:t>
      </w:r>
      <w:r w:rsidRPr="00D1464B">
        <w:rPr>
          <w:rFonts w:cstheme="minorHAnsi"/>
        </w:rPr>
        <w:t xml:space="preserve"> </w:t>
      </w:r>
    </w:p>
    <w:p w14:paraId="24BEA7F1" w14:textId="2C48753A" w:rsidR="00711320" w:rsidRDefault="00375B2E" w:rsidP="007544AE">
      <w:pPr>
        <w:pStyle w:val="Heading1"/>
        <w:spacing w:line="480" w:lineRule="auto"/>
      </w:pPr>
      <w:r>
        <w:rPr>
          <w:rFonts w:asciiTheme="minorHAnsi" w:hAnsiTheme="minorHAnsi" w:cstheme="minorHAnsi"/>
          <w:b/>
          <w:bCs/>
          <w:color w:val="auto"/>
          <w:sz w:val="22"/>
          <w:szCs w:val="22"/>
        </w:rPr>
        <w:t>5</w:t>
      </w:r>
      <w:r w:rsidR="005B546B">
        <w:rPr>
          <w:rFonts w:asciiTheme="minorHAnsi" w:hAnsiTheme="minorHAnsi" w:cstheme="minorHAnsi"/>
          <w:b/>
          <w:bCs/>
          <w:color w:val="auto"/>
          <w:sz w:val="22"/>
          <w:szCs w:val="22"/>
        </w:rPr>
        <w:t xml:space="preserve">. </w:t>
      </w:r>
      <w:r w:rsidR="007E7B07">
        <w:rPr>
          <w:rFonts w:asciiTheme="minorHAnsi" w:hAnsiTheme="minorHAnsi" w:cstheme="minorHAnsi"/>
          <w:b/>
          <w:bCs/>
          <w:color w:val="auto"/>
          <w:sz w:val="22"/>
          <w:szCs w:val="22"/>
        </w:rPr>
        <w:t>N</w:t>
      </w:r>
      <w:r w:rsidR="00705F3F">
        <w:rPr>
          <w:rFonts w:asciiTheme="minorHAnsi" w:hAnsiTheme="minorHAnsi" w:cstheme="minorHAnsi"/>
          <w:b/>
          <w:bCs/>
          <w:color w:val="auto"/>
          <w:sz w:val="22"/>
          <w:szCs w:val="22"/>
        </w:rPr>
        <w:t>on-standard</w:t>
      </w:r>
      <w:r w:rsidR="00F35FE5" w:rsidRPr="004F7641">
        <w:rPr>
          <w:rFonts w:asciiTheme="minorHAnsi" w:hAnsiTheme="minorHAnsi" w:cstheme="minorHAnsi"/>
          <w:b/>
          <w:bCs/>
          <w:color w:val="auto"/>
          <w:sz w:val="22"/>
          <w:szCs w:val="22"/>
        </w:rPr>
        <w:t xml:space="preserve"> </w:t>
      </w:r>
      <w:r w:rsidR="009B45DD">
        <w:rPr>
          <w:rFonts w:asciiTheme="minorHAnsi" w:hAnsiTheme="minorHAnsi" w:cstheme="minorHAnsi"/>
          <w:b/>
          <w:bCs/>
          <w:color w:val="auto"/>
          <w:sz w:val="22"/>
          <w:szCs w:val="22"/>
        </w:rPr>
        <w:t>synthesi</w:t>
      </w:r>
      <w:r w:rsidR="007E7B07">
        <w:rPr>
          <w:rFonts w:asciiTheme="minorHAnsi" w:hAnsiTheme="minorHAnsi" w:cstheme="minorHAnsi"/>
          <w:b/>
          <w:bCs/>
          <w:color w:val="auto"/>
          <w:sz w:val="22"/>
          <w:szCs w:val="22"/>
        </w:rPr>
        <w:t>s</w:t>
      </w:r>
      <w:r w:rsidR="009B45DD">
        <w:rPr>
          <w:rFonts w:asciiTheme="minorHAnsi" w:hAnsiTheme="minorHAnsi" w:cstheme="minorHAnsi"/>
          <w:b/>
          <w:bCs/>
          <w:color w:val="auto"/>
          <w:sz w:val="22"/>
          <w:szCs w:val="22"/>
        </w:rPr>
        <w:t xml:space="preserve"> </w:t>
      </w:r>
      <w:r w:rsidR="00296520">
        <w:rPr>
          <w:rFonts w:asciiTheme="minorHAnsi" w:hAnsiTheme="minorHAnsi" w:cstheme="minorHAnsi"/>
          <w:b/>
          <w:bCs/>
          <w:color w:val="auto"/>
          <w:sz w:val="22"/>
          <w:szCs w:val="22"/>
        </w:rPr>
        <w:t>of</w:t>
      </w:r>
      <w:r w:rsidR="009B45DD">
        <w:rPr>
          <w:rFonts w:asciiTheme="minorHAnsi" w:hAnsiTheme="minorHAnsi" w:cstheme="minorHAnsi"/>
          <w:b/>
          <w:bCs/>
          <w:color w:val="auto"/>
          <w:sz w:val="22"/>
          <w:szCs w:val="22"/>
        </w:rPr>
        <w:t xml:space="preserve"> GRADE</w:t>
      </w:r>
      <w:r w:rsidR="00F35FE5" w:rsidRPr="004F7641">
        <w:rPr>
          <w:rFonts w:asciiTheme="minorHAnsi" w:hAnsiTheme="minorHAnsi" w:cstheme="minorHAnsi"/>
          <w:b/>
          <w:bCs/>
          <w:color w:val="auto"/>
          <w:sz w:val="22"/>
          <w:szCs w:val="22"/>
        </w:rPr>
        <w:t xml:space="preserve"> </w:t>
      </w:r>
      <w:r w:rsidR="005337A5">
        <w:rPr>
          <w:rFonts w:asciiTheme="minorHAnsi" w:hAnsiTheme="minorHAnsi" w:cstheme="minorHAnsi"/>
          <w:b/>
          <w:bCs/>
          <w:color w:val="auto"/>
          <w:sz w:val="22"/>
          <w:szCs w:val="22"/>
        </w:rPr>
        <w:t xml:space="preserve">to assess </w:t>
      </w:r>
      <w:r w:rsidR="00F35FE5" w:rsidRPr="004F7641">
        <w:rPr>
          <w:rFonts w:asciiTheme="minorHAnsi" w:hAnsiTheme="minorHAnsi" w:cstheme="minorHAnsi"/>
          <w:b/>
          <w:bCs/>
          <w:color w:val="auto"/>
          <w:sz w:val="22"/>
          <w:szCs w:val="22"/>
        </w:rPr>
        <w:t xml:space="preserve">trial </w:t>
      </w:r>
      <w:r w:rsidR="0054318E">
        <w:rPr>
          <w:rFonts w:asciiTheme="minorHAnsi" w:hAnsiTheme="minorHAnsi" w:cstheme="minorHAnsi"/>
          <w:b/>
          <w:bCs/>
          <w:color w:val="auto"/>
          <w:sz w:val="22"/>
          <w:szCs w:val="22"/>
        </w:rPr>
        <w:t>evidence</w:t>
      </w:r>
      <w:r w:rsidR="00CB4B98">
        <w:rPr>
          <w:rFonts w:asciiTheme="minorHAnsi" w:hAnsiTheme="minorHAnsi" w:cstheme="minorHAnsi"/>
          <w:b/>
          <w:bCs/>
          <w:color w:val="auto"/>
          <w:sz w:val="22"/>
          <w:szCs w:val="22"/>
        </w:rPr>
        <w:t xml:space="preserve"> </w:t>
      </w:r>
    </w:p>
    <w:p w14:paraId="44286964" w14:textId="46798AC8" w:rsidR="0058447C" w:rsidRPr="00602CCA" w:rsidRDefault="001D1747" w:rsidP="007544AE">
      <w:pPr>
        <w:spacing w:line="480" w:lineRule="auto"/>
        <w:rPr>
          <w:rFonts w:cstheme="minorHAnsi"/>
          <w:b/>
          <w:bCs/>
        </w:rPr>
      </w:pPr>
      <w:r w:rsidRPr="001D1747">
        <w:rPr>
          <w:rFonts w:cstheme="minorHAnsi"/>
        </w:rPr>
        <w:t>Based on the published reviews of the trial evidence, we consider that</w:t>
      </w:r>
      <w:r>
        <w:rPr>
          <w:rFonts w:cstheme="minorHAnsi"/>
        </w:rPr>
        <w:t xml:space="preserve"> t</w:t>
      </w:r>
      <w:r w:rsidR="00711320" w:rsidRPr="00602CCA">
        <w:rPr>
          <w:rFonts w:cstheme="minorHAnsi"/>
        </w:rPr>
        <w:t>h</w:t>
      </w:r>
      <w:r w:rsidR="005B546B">
        <w:rPr>
          <w:rFonts w:cstheme="minorHAnsi"/>
        </w:rPr>
        <w:t>e</w:t>
      </w:r>
      <w:r w:rsidR="00F26787">
        <w:rPr>
          <w:rFonts w:cstheme="minorHAnsi"/>
        </w:rPr>
        <w:t xml:space="preserve"> research</w:t>
      </w:r>
      <w:r w:rsidR="00711320" w:rsidRPr="00602CCA">
        <w:rPr>
          <w:rFonts w:cstheme="minorHAnsi"/>
        </w:rPr>
        <w:t xml:space="preserve"> evidence </w:t>
      </w:r>
      <w:r w:rsidR="00F26787">
        <w:rPr>
          <w:rFonts w:cstheme="minorHAnsi"/>
        </w:rPr>
        <w:t>was not</w:t>
      </w:r>
      <w:r w:rsidR="00711320" w:rsidRPr="00602CCA">
        <w:rPr>
          <w:rFonts w:cstheme="minorHAnsi"/>
        </w:rPr>
        <w:t xml:space="preserve"> presented </w:t>
      </w:r>
      <w:r w:rsidR="00C92EA9">
        <w:rPr>
          <w:rFonts w:cstheme="minorHAnsi"/>
        </w:rPr>
        <w:t>adequate</w:t>
      </w:r>
      <w:r w:rsidR="00711320" w:rsidRPr="00602CCA">
        <w:rPr>
          <w:rFonts w:cstheme="minorHAnsi"/>
        </w:rPr>
        <w:t>ly by NICE</w:t>
      </w:r>
      <w:r w:rsidR="004E7675">
        <w:rPr>
          <w:rFonts w:cstheme="minorHAnsi"/>
        </w:rPr>
        <w:t>,</w:t>
      </w:r>
      <w:r w:rsidR="00711320" w:rsidRPr="00602CCA">
        <w:rPr>
          <w:rFonts w:cstheme="minorHAnsi"/>
        </w:rPr>
        <w:t xml:space="preserve"> </w:t>
      </w:r>
      <w:r w:rsidR="00A64FDA">
        <w:rPr>
          <w:rFonts w:cstheme="minorHAnsi"/>
        </w:rPr>
        <w:t>resulting in</w:t>
      </w:r>
      <w:r w:rsidR="00711320" w:rsidRPr="00602CCA">
        <w:rPr>
          <w:rFonts w:cstheme="minorHAnsi"/>
        </w:rPr>
        <w:t xml:space="preserve"> the decision</w:t>
      </w:r>
      <w:r w:rsidR="005F6666">
        <w:rPr>
          <w:rFonts w:cstheme="minorHAnsi"/>
        </w:rPr>
        <w:t>-</w:t>
      </w:r>
      <w:r w:rsidR="00711320" w:rsidRPr="00602CCA">
        <w:rPr>
          <w:rFonts w:cstheme="minorHAnsi"/>
        </w:rPr>
        <w:t xml:space="preserve">making process </w:t>
      </w:r>
      <w:r w:rsidR="00A64FDA">
        <w:rPr>
          <w:rFonts w:cstheme="minorHAnsi"/>
        </w:rPr>
        <w:t>being</w:t>
      </w:r>
      <w:r w:rsidR="0052753B">
        <w:rPr>
          <w:rFonts w:cstheme="minorHAnsi"/>
        </w:rPr>
        <w:t xml:space="preserve"> </w:t>
      </w:r>
      <w:r w:rsidR="00F26787">
        <w:rPr>
          <w:rFonts w:cstheme="minorHAnsi"/>
        </w:rPr>
        <w:t xml:space="preserve">less </w:t>
      </w:r>
      <w:r w:rsidR="00711320" w:rsidRPr="00602CCA">
        <w:rPr>
          <w:rFonts w:cstheme="minorHAnsi"/>
        </w:rPr>
        <w:t>robust.</w:t>
      </w:r>
      <w:r w:rsidR="009D2F34" w:rsidRPr="009D2F34">
        <w:t xml:space="preserve"> </w:t>
      </w:r>
      <w:r w:rsidR="00E34EF7" w:rsidRPr="00E34EF7">
        <w:t>The application of the GRADE Evidence to Decision framework fell short of international expectations.</w:t>
      </w:r>
      <w:r w:rsidR="00C904A5">
        <w:rPr>
          <w:vertAlign w:val="superscript"/>
        </w:rPr>
        <w:t>45</w:t>
      </w:r>
      <w:r w:rsidR="00E34EF7" w:rsidRPr="00E34EF7">
        <w:t xml:space="preserve"> </w:t>
      </w:r>
      <w:r w:rsidR="009D2F34" w:rsidRPr="009D2F34">
        <w:rPr>
          <w:rFonts w:cstheme="minorHAnsi"/>
        </w:rPr>
        <w:t>Norm</w:t>
      </w:r>
      <w:r w:rsidR="00F26787">
        <w:rPr>
          <w:rFonts w:cstheme="minorHAnsi"/>
        </w:rPr>
        <w:t>al</w:t>
      </w:r>
      <w:r w:rsidR="009D2F34" w:rsidRPr="009D2F34">
        <w:rPr>
          <w:rFonts w:cstheme="minorHAnsi"/>
        </w:rPr>
        <w:t xml:space="preserve"> </w:t>
      </w:r>
      <w:r w:rsidR="00573E9C">
        <w:rPr>
          <w:rFonts w:cstheme="minorHAnsi"/>
        </w:rPr>
        <w:t>g</w:t>
      </w:r>
      <w:r w:rsidR="009D2F34" w:rsidRPr="009D2F34">
        <w:rPr>
          <w:rFonts w:cstheme="minorHAnsi"/>
        </w:rPr>
        <w:t xml:space="preserve">uideline </w:t>
      </w:r>
      <w:r w:rsidR="00573E9C">
        <w:rPr>
          <w:rFonts w:cstheme="minorHAnsi"/>
        </w:rPr>
        <w:t>d</w:t>
      </w:r>
      <w:r w:rsidR="009D2F34" w:rsidRPr="009D2F34">
        <w:rPr>
          <w:rFonts w:cstheme="minorHAnsi"/>
        </w:rPr>
        <w:t xml:space="preserve">evelopment </w:t>
      </w:r>
      <w:r w:rsidR="00F26787">
        <w:rPr>
          <w:rFonts w:cstheme="minorHAnsi"/>
        </w:rPr>
        <w:t xml:space="preserve">involves </w:t>
      </w:r>
      <w:r w:rsidR="009D2F34" w:rsidRPr="009D2F34">
        <w:rPr>
          <w:rFonts w:cstheme="minorHAnsi"/>
        </w:rPr>
        <w:t xml:space="preserve">the research evidence </w:t>
      </w:r>
      <w:r w:rsidR="00F26787">
        <w:rPr>
          <w:rFonts w:cstheme="minorHAnsi"/>
        </w:rPr>
        <w:t>being</w:t>
      </w:r>
      <w:r w:rsidR="009D2F34" w:rsidRPr="009D2F34">
        <w:rPr>
          <w:rFonts w:cstheme="minorHAnsi"/>
        </w:rPr>
        <w:t xml:space="preserve"> synthesised by methodological specialists,</w:t>
      </w:r>
      <w:r w:rsidR="00F26787">
        <w:rPr>
          <w:rFonts w:cstheme="minorHAnsi"/>
        </w:rPr>
        <w:t xml:space="preserve"> followed by</w:t>
      </w:r>
      <w:r w:rsidR="009D2F34" w:rsidRPr="009D2F34">
        <w:rPr>
          <w:rFonts w:cstheme="minorHAnsi"/>
        </w:rPr>
        <w:t xml:space="preserve"> the </w:t>
      </w:r>
      <w:r w:rsidR="00573E9C">
        <w:rPr>
          <w:rFonts w:cstheme="minorHAnsi"/>
        </w:rPr>
        <w:t>g</w:t>
      </w:r>
      <w:r w:rsidR="009D2F34" w:rsidRPr="009D2F34">
        <w:rPr>
          <w:rFonts w:cstheme="minorHAnsi"/>
        </w:rPr>
        <w:t xml:space="preserve">uideline </w:t>
      </w:r>
      <w:r w:rsidR="00573E9C">
        <w:rPr>
          <w:rFonts w:cstheme="minorHAnsi"/>
        </w:rPr>
        <w:t>d</w:t>
      </w:r>
      <w:r w:rsidR="009D2F34" w:rsidRPr="009D2F34">
        <w:rPr>
          <w:rFonts w:cstheme="minorHAnsi"/>
        </w:rPr>
        <w:t xml:space="preserve">evelopment </w:t>
      </w:r>
      <w:r w:rsidR="00573E9C">
        <w:rPr>
          <w:rFonts w:cstheme="minorHAnsi"/>
        </w:rPr>
        <w:t>committee</w:t>
      </w:r>
      <w:r w:rsidR="009D2F34" w:rsidRPr="009D2F34">
        <w:rPr>
          <w:rFonts w:cstheme="minorHAnsi"/>
        </w:rPr>
        <w:t xml:space="preserve">’s deliberations around benefits and harms </w:t>
      </w:r>
      <w:r w:rsidR="00F26787">
        <w:rPr>
          <w:rFonts w:cstheme="minorHAnsi"/>
        </w:rPr>
        <w:t xml:space="preserve">being made transparently, with clear reasons for </w:t>
      </w:r>
      <w:r w:rsidR="009D2F34" w:rsidRPr="009D2F34">
        <w:rPr>
          <w:rFonts w:cstheme="minorHAnsi"/>
        </w:rPr>
        <w:t>the resultant agreed recommendation</w:t>
      </w:r>
      <w:r w:rsidR="000F7091">
        <w:rPr>
          <w:rFonts w:cstheme="minorHAnsi"/>
        </w:rPr>
        <w:t>s</w:t>
      </w:r>
      <w:r w:rsidR="00711320" w:rsidRPr="00602CCA">
        <w:rPr>
          <w:rFonts w:cstheme="minorHAnsi"/>
        </w:rPr>
        <w:t>.</w:t>
      </w:r>
      <w:r w:rsidR="00CE4041">
        <w:rPr>
          <w:rFonts w:cstheme="minorHAnsi"/>
          <w:vertAlign w:val="superscript"/>
        </w:rPr>
        <w:t>3</w:t>
      </w:r>
      <w:r w:rsidR="00C904A5">
        <w:rPr>
          <w:rFonts w:cstheme="minorHAnsi"/>
          <w:vertAlign w:val="superscript"/>
        </w:rPr>
        <w:t>7</w:t>
      </w:r>
      <w:r w:rsidR="00711320" w:rsidRPr="00602CCA">
        <w:rPr>
          <w:rFonts w:cstheme="minorHAnsi"/>
        </w:rPr>
        <w:t xml:space="preserve"> </w:t>
      </w:r>
      <w:r w:rsidR="0058447C" w:rsidRPr="00602CCA">
        <w:rPr>
          <w:rFonts w:cstheme="minorHAnsi"/>
        </w:rPr>
        <w:t>With complex interventions</w:t>
      </w:r>
      <w:r w:rsidR="00C20016">
        <w:rPr>
          <w:rFonts w:cstheme="minorHAnsi"/>
        </w:rPr>
        <w:t>,</w:t>
      </w:r>
      <w:r w:rsidR="0058447C" w:rsidRPr="00602CCA">
        <w:rPr>
          <w:rFonts w:cstheme="minorHAnsi"/>
        </w:rPr>
        <w:t xml:space="preserve"> NICE methodologists are </w:t>
      </w:r>
      <w:r w:rsidR="00B74FBD">
        <w:rPr>
          <w:rFonts w:cstheme="minorHAnsi"/>
        </w:rPr>
        <w:t>available</w:t>
      </w:r>
      <w:r w:rsidR="0058447C" w:rsidRPr="00602CCA">
        <w:rPr>
          <w:rFonts w:cstheme="minorHAnsi"/>
        </w:rPr>
        <w:t xml:space="preserve"> to characterise the components of the intervention, the theory of change, and then characterise each trial to allow </w:t>
      </w:r>
      <w:r w:rsidR="00E34EF7">
        <w:rPr>
          <w:rFonts w:cstheme="minorHAnsi"/>
        </w:rPr>
        <w:t xml:space="preserve">aggregated </w:t>
      </w:r>
      <w:r w:rsidR="0058447C" w:rsidRPr="00602CCA">
        <w:rPr>
          <w:rFonts w:cstheme="minorHAnsi"/>
        </w:rPr>
        <w:t xml:space="preserve">groupings. This did not happen. </w:t>
      </w:r>
      <w:r w:rsidR="00E34EF7">
        <w:t>T</w:t>
      </w:r>
      <w:r w:rsidR="00E34EF7" w:rsidRPr="00E34EF7">
        <w:rPr>
          <w:rFonts w:cstheme="minorHAnsi"/>
        </w:rPr>
        <w:t xml:space="preserve">he </w:t>
      </w:r>
      <w:r w:rsidR="00E34EF7">
        <w:rPr>
          <w:rFonts w:cstheme="minorHAnsi"/>
        </w:rPr>
        <w:t>NICE</w:t>
      </w:r>
      <w:r w:rsidR="00E34EF7" w:rsidRPr="00E34EF7">
        <w:rPr>
          <w:rFonts w:cstheme="minorHAnsi"/>
        </w:rPr>
        <w:t xml:space="preserve"> evidence tables were so disaggregated it is hard to interpret them.</w:t>
      </w:r>
      <w:r w:rsidR="00F66569">
        <w:rPr>
          <w:rFonts w:cstheme="minorHAnsi"/>
          <w:vertAlign w:val="superscript"/>
        </w:rPr>
        <w:t xml:space="preserve">26, </w:t>
      </w:r>
      <w:r w:rsidR="00F66569" w:rsidRPr="00F66569">
        <w:rPr>
          <w:rFonts w:cstheme="minorHAnsi"/>
          <w:vertAlign w:val="superscript"/>
        </w:rPr>
        <w:t>27</w:t>
      </w:r>
      <w:r w:rsidR="00E34EF7" w:rsidRPr="00E34EF7">
        <w:rPr>
          <w:rFonts w:cstheme="minorHAnsi"/>
        </w:rPr>
        <w:t xml:space="preserve"> </w:t>
      </w:r>
      <w:r w:rsidR="0058447C" w:rsidRPr="00602CCA">
        <w:rPr>
          <w:rFonts w:cstheme="minorHAnsi"/>
        </w:rPr>
        <w:t xml:space="preserve">The analysis was </w:t>
      </w:r>
      <w:r w:rsidR="005B546B">
        <w:rPr>
          <w:rFonts w:cstheme="minorHAnsi"/>
        </w:rPr>
        <w:t xml:space="preserve">mainly </w:t>
      </w:r>
      <w:r w:rsidR="0058447C" w:rsidRPr="00602CCA">
        <w:rPr>
          <w:rFonts w:cstheme="minorHAnsi"/>
        </w:rPr>
        <w:t xml:space="preserve">at </w:t>
      </w:r>
      <w:r w:rsidR="002F7C5E">
        <w:rPr>
          <w:rFonts w:cstheme="minorHAnsi"/>
        </w:rPr>
        <w:t xml:space="preserve">the level of the individual </w:t>
      </w:r>
      <w:r w:rsidR="0058447C" w:rsidRPr="00602CCA">
        <w:rPr>
          <w:rFonts w:cstheme="minorHAnsi"/>
        </w:rPr>
        <w:t xml:space="preserve">trial, </w:t>
      </w:r>
      <w:r w:rsidR="002F7C5E">
        <w:rPr>
          <w:rFonts w:cstheme="minorHAnsi"/>
        </w:rPr>
        <w:t xml:space="preserve">which </w:t>
      </w:r>
      <w:r w:rsidR="00375B2E">
        <w:rPr>
          <w:rFonts w:cstheme="minorHAnsi"/>
        </w:rPr>
        <w:t>result</w:t>
      </w:r>
      <w:r w:rsidR="002F7C5E">
        <w:rPr>
          <w:rFonts w:cstheme="minorHAnsi"/>
        </w:rPr>
        <w:t>ed</w:t>
      </w:r>
      <w:r w:rsidR="00375B2E">
        <w:rPr>
          <w:rFonts w:cstheme="minorHAnsi"/>
        </w:rPr>
        <w:t xml:space="preserve"> in </w:t>
      </w:r>
      <w:r w:rsidR="0058447C" w:rsidRPr="00602CCA">
        <w:rPr>
          <w:rFonts w:cstheme="minorHAnsi"/>
        </w:rPr>
        <w:t>low</w:t>
      </w:r>
      <w:r w:rsidR="002F7C5E">
        <w:rPr>
          <w:rFonts w:cstheme="minorHAnsi"/>
        </w:rPr>
        <w:t>er</w:t>
      </w:r>
      <w:r w:rsidR="0058447C" w:rsidRPr="00602CCA">
        <w:rPr>
          <w:rFonts w:cstheme="minorHAnsi"/>
        </w:rPr>
        <w:t xml:space="preserve"> power and increase</w:t>
      </w:r>
      <w:r w:rsidR="002F7C5E">
        <w:rPr>
          <w:rFonts w:cstheme="minorHAnsi"/>
        </w:rPr>
        <w:t>d</w:t>
      </w:r>
      <w:r w:rsidR="0058447C" w:rsidRPr="00602CCA">
        <w:rPr>
          <w:rFonts w:cstheme="minorHAnsi"/>
        </w:rPr>
        <w:t xml:space="preserve"> uncertainty</w:t>
      </w:r>
      <w:r w:rsidR="00E34EF7">
        <w:rPr>
          <w:rFonts w:cstheme="minorHAnsi"/>
        </w:rPr>
        <w:t xml:space="preserve"> in regard to primary outcomes</w:t>
      </w:r>
      <w:r w:rsidR="0058447C" w:rsidRPr="00602CCA">
        <w:rPr>
          <w:rFonts w:cstheme="minorHAnsi"/>
        </w:rPr>
        <w:t>.</w:t>
      </w:r>
      <w:r w:rsidR="00F66569">
        <w:rPr>
          <w:rFonts w:cstheme="minorHAnsi"/>
          <w:vertAlign w:val="superscript"/>
        </w:rPr>
        <w:t xml:space="preserve">26, </w:t>
      </w:r>
      <w:r w:rsidR="00F66569" w:rsidRPr="00F66569">
        <w:rPr>
          <w:rFonts w:cstheme="minorHAnsi"/>
          <w:vertAlign w:val="superscript"/>
        </w:rPr>
        <w:t>27</w:t>
      </w:r>
      <w:r w:rsidR="0058447C" w:rsidRPr="00602CCA">
        <w:rPr>
          <w:rFonts w:cstheme="minorHAnsi"/>
        </w:rPr>
        <w:t xml:space="preserve"> </w:t>
      </w:r>
    </w:p>
    <w:p w14:paraId="413D82EC" w14:textId="47917F07" w:rsidR="00711320" w:rsidRPr="00602CCA" w:rsidRDefault="00711320" w:rsidP="007544AE">
      <w:pPr>
        <w:spacing w:line="480" w:lineRule="auto"/>
        <w:rPr>
          <w:rFonts w:cstheme="minorHAnsi"/>
        </w:rPr>
      </w:pPr>
      <w:r w:rsidRPr="00602CCA">
        <w:rPr>
          <w:rFonts w:cstheme="minorHAnsi"/>
        </w:rPr>
        <w:t xml:space="preserve">This lack of </w:t>
      </w:r>
      <w:r w:rsidR="002F5200">
        <w:rPr>
          <w:rFonts w:cstheme="minorHAnsi"/>
        </w:rPr>
        <w:t xml:space="preserve">a </w:t>
      </w:r>
      <w:r w:rsidRPr="00602CCA">
        <w:rPr>
          <w:rFonts w:cstheme="minorHAnsi"/>
        </w:rPr>
        <w:t xml:space="preserve">robust process of evidence synthesis and guideline development was remarked upon by </w:t>
      </w:r>
      <w:r w:rsidR="006759FF">
        <w:rPr>
          <w:rFonts w:cstheme="minorHAnsi"/>
        </w:rPr>
        <w:t>four</w:t>
      </w:r>
      <w:r w:rsidRPr="00602CCA">
        <w:rPr>
          <w:rFonts w:cstheme="minorHAnsi"/>
        </w:rPr>
        <w:t xml:space="preserve"> Royal Colleges of Medicine, wh</w:t>
      </w:r>
      <w:r w:rsidR="00761B6F">
        <w:rPr>
          <w:rFonts w:cstheme="minorHAnsi"/>
        </w:rPr>
        <w:t>ich</w:t>
      </w:r>
      <w:r w:rsidRPr="00602CCA">
        <w:rPr>
          <w:rFonts w:cstheme="minorHAnsi"/>
        </w:rPr>
        <w:t xml:space="preserve"> commented: “There is considerable disquiet in the medical profession and some patient groups about the way the data and evidence have been assessed…”.</w:t>
      </w:r>
      <w:r w:rsidR="001E0F7F" w:rsidRPr="00CD6F40">
        <w:rPr>
          <w:rFonts w:cstheme="minorHAnsi"/>
          <w:vertAlign w:val="superscript"/>
        </w:rPr>
        <w:t>1</w:t>
      </w:r>
      <w:r w:rsidR="00C904A5">
        <w:rPr>
          <w:rFonts w:cstheme="minorHAnsi"/>
          <w:vertAlign w:val="superscript"/>
        </w:rPr>
        <w:t>9</w:t>
      </w:r>
      <w:r w:rsidRPr="00602CCA">
        <w:rPr>
          <w:rFonts w:cstheme="minorHAnsi"/>
        </w:rPr>
        <w:t xml:space="preserve"> </w:t>
      </w:r>
      <w:r w:rsidR="005B546B">
        <w:rPr>
          <w:rFonts w:cstheme="minorHAnsi"/>
        </w:rPr>
        <w:t xml:space="preserve">The original GRADE </w:t>
      </w:r>
      <w:r w:rsidR="00A22BEF">
        <w:rPr>
          <w:rFonts w:cstheme="minorHAnsi"/>
        </w:rPr>
        <w:t>(</w:t>
      </w:r>
      <w:r w:rsidR="00A22BEF" w:rsidRPr="00A22BEF">
        <w:rPr>
          <w:rFonts w:cstheme="minorHAnsi"/>
        </w:rPr>
        <w:t>Grading of Recommendations, Assessment, Development and Evaluations</w:t>
      </w:r>
      <w:r w:rsidR="00A22BEF">
        <w:rPr>
          <w:rFonts w:cstheme="minorHAnsi"/>
        </w:rPr>
        <w:t xml:space="preserve">) </w:t>
      </w:r>
      <w:r w:rsidR="005B546B">
        <w:rPr>
          <w:rFonts w:cstheme="minorHAnsi"/>
        </w:rPr>
        <w:t xml:space="preserve">methodologists </w:t>
      </w:r>
      <w:r w:rsidR="009C62C3">
        <w:rPr>
          <w:rFonts w:cstheme="minorHAnsi"/>
        </w:rPr>
        <w:t>described</w:t>
      </w:r>
      <w:r w:rsidR="005A31D7">
        <w:rPr>
          <w:rFonts w:cstheme="minorHAnsi"/>
        </w:rPr>
        <w:t xml:space="preserve"> </w:t>
      </w:r>
      <w:r w:rsidR="00B260C1">
        <w:rPr>
          <w:rFonts w:cstheme="minorHAnsi"/>
        </w:rPr>
        <w:t>the review as “…</w:t>
      </w:r>
      <w:r w:rsidR="00B260C1" w:rsidRPr="00B260C1">
        <w:rPr>
          <w:rFonts w:cstheme="minorHAnsi"/>
        </w:rPr>
        <w:t>a disastrous misapplication of GRADE methodology</w:t>
      </w:r>
      <w:r w:rsidR="00B260C1">
        <w:rPr>
          <w:rFonts w:cstheme="minorHAnsi"/>
        </w:rPr>
        <w:t>,…“</w:t>
      </w:r>
      <w:r w:rsidR="00890404">
        <w:rPr>
          <w:rFonts w:cstheme="minorHAnsi"/>
          <w:vertAlign w:val="superscript"/>
        </w:rPr>
        <w:t>4</w:t>
      </w:r>
      <w:r w:rsidR="00C904A5">
        <w:rPr>
          <w:rFonts w:cstheme="minorHAnsi"/>
          <w:vertAlign w:val="superscript"/>
        </w:rPr>
        <w:t>5</w:t>
      </w:r>
      <w:r w:rsidR="002F5200">
        <w:rPr>
          <w:rFonts w:cstheme="minorHAnsi"/>
        </w:rPr>
        <w:t xml:space="preserve"> </w:t>
      </w:r>
    </w:p>
    <w:p w14:paraId="7D24B92F" w14:textId="77777777" w:rsidR="008154E6" w:rsidRDefault="008154E6" w:rsidP="007544AE">
      <w:pPr>
        <w:spacing w:line="480" w:lineRule="auto"/>
        <w:rPr>
          <w:rFonts w:cstheme="minorHAnsi"/>
          <w:b/>
          <w:bCs/>
        </w:rPr>
      </w:pPr>
    </w:p>
    <w:p w14:paraId="767205AC" w14:textId="5B5B4D9C" w:rsidR="003F4C8F" w:rsidRPr="00ED2658" w:rsidRDefault="007D732F" w:rsidP="007544AE">
      <w:pPr>
        <w:spacing w:line="480" w:lineRule="auto"/>
        <w:rPr>
          <w:rFonts w:cstheme="minorHAnsi"/>
          <w:b/>
          <w:bCs/>
        </w:rPr>
      </w:pPr>
      <w:r>
        <w:rPr>
          <w:rFonts w:cstheme="minorHAnsi"/>
          <w:b/>
          <w:bCs/>
        </w:rPr>
        <w:t>6</w:t>
      </w:r>
      <w:r w:rsidR="003F4C8F" w:rsidRPr="00ED2658">
        <w:rPr>
          <w:rFonts w:cstheme="minorHAnsi"/>
          <w:b/>
          <w:bCs/>
        </w:rPr>
        <w:t xml:space="preserve">. </w:t>
      </w:r>
      <w:r w:rsidR="009C62C3">
        <w:rPr>
          <w:rFonts w:cstheme="minorHAnsi"/>
          <w:b/>
          <w:bCs/>
        </w:rPr>
        <w:t xml:space="preserve"> </w:t>
      </w:r>
      <w:r w:rsidR="00D65309" w:rsidRPr="00D65309">
        <w:rPr>
          <w:rFonts w:cstheme="minorHAnsi"/>
          <w:b/>
          <w:bCs/>
        </w:rPr>
        <w:t>Interpretation</w:t>
      </w:r>
      <w:r w:rsidR="009C62C3">
        <w:rPr>
          <w:rFonts w:cstheme="minorHAnsi"/>
          <w:b/>
          <w:bCs/>
        </w:rPr>
        <w:t xml:space="preserve"> of</w:t>
      </w:r>
      <w:r w:rsidR="003F4C8F" w:rsidRPr="00ED2658">
        <w:rPr>
          <w:rFonts w:cstheme="minorHAnsi"/>
          <w:b/>
          <w:bCs/>
        </w:rPr>
        <w:t xml:space="preserve"> graded exercise therapy as </w:t>
      </w:r>
      <w:r w:rsidR="00EF268A">
        <w:rPr>
          <w:rFonts w:cstheme="minorHAnsi"/>
          <w:b/>
          <w:bCs/>
        </w:rPr>
        <w:t>employing</w:t>
      </w:r>
      <w:r w:rsidR="00D34A24">
        <w:rPr>
          <w:rFonts w:cstheme="minorHAnsi"/>
          <w:b/>
          <w:bCs/>
        </w:rPr>
        <w:t xml:space="preserve"> </w:t>
      </w:r>
      <w:r w:rsidR="003F4C8F" w:rsidRPr="00ED2658">
        <w:rPr>
          <w:rFonts w:cstheme="minorHAnsi"/>
          <w:b/>
          <w:bCs/>
        </w:rPr>
        <w:t>fixed increments of change</w:t>
      </w:r>
      <w:r w:rsidR="00EF268A" w:rsidRPr="00EF268A">
        <w:t xml:space="preserve"> </w:t>
      </w:r>
      <w:r w:rsidR="00EF268A" w:rsidRPr="00EF268A">
        <w:rPr>
          <w:rFonts w:cstheme="minorHAnsi"/>
          <w:b/>
          <w:bCs/>
        </w:rPr>
        <w:t>when the major trials defined it as collaborative, negotiated, and symptom dependent</w:t>
      </w:r>
    </w:p>
    <w:p w14:paraId="241BA872" w14:textId="2821E77E" w:rsidR="004767D9" w:rsidRDefault="003F4C8F" w:rsidP="007544AE">
      <w:pPr>
        <w:spacing w:line="480" w:lineRule="auto"/>
        <w:rPr>
          <w:rFonts w:cstheme="minorHAnsi"/>
          <w:vertAlign w:val="superscript"/>
        </w:rPr>
      </w:pPr>
      <w:r w:rsidRPr="003F4C8F">
        <w:rPr>
          <w:rFonts w:cstheme="minorHAnsi"/>
        </w:rPr>
        <w:t xml:space="preserve">The description used by NICE is </w:t>
      </w:r>
      <w:r w:rsidR="00A363F7">
        <w:rPr>
          <w:rFonts w:cstheme="minorHAnsi"/>
        </w:rPr>
        <w:t xml:space="preserve">inconsistent with that of the </w:t>
      </w:r>
      <w:r w:rsidRPr="003F4C8F">
        <w:rPr>
          <w:rFonts w:cstheme="minorHAnsi"/>
        </w:rPr>
        <w:t xml:space="preserve">2007 guideline and trials of GET. </w:t>
      </w:r>
      <w:r w:rsidR="001B359B">
        <w:rPr>
          <w:rFonts w:cstheme="minorHAnsi"/>
        </w:rPr>
        <w:t xml:space="preserve">In the current guideline, </w:t>
      </w:r>
      <w:r w:rsidRPr="003F4C8F">
        <w:rPr>
          <w:rFonts w:cstheme="minorHAnsi"/>
        </w:rPr>
        <w:t xml:space="preserve">NICE described GET as incorporating fixed increments of exercise that are pursued irrespective </w:t>
      </w:r>
      <w:r w:rsidR="006A1F5F">
        <w:rPr>
          <w:rFonts w:cstheme="minorHAnsi"/>
        </w:rPr>
        <w:t xml:space="preserve">of </w:t>
      </w:r>
      <w:r w:rsidRPr="003F4C8F">
        <w:rPr>
          <w:rFonts w:cstheme="minorHAnsi"/>
        </w:rPr>
        <w:t xml:space="preserve">how the patient </w:t>
      </w:r>
      <w:r w:rsidR="009777AA">
        <w:rPr>
          <w:rFonts w:cstheme="minorHAnsi"/>
        </w:rPr>
        <w:t>feels</w:t>
      </w:r>
      <w:r w:rsidRPr="003F4C8F">
        <w:rPr>
          <w:rFonts w:cstheme="minorHAnsi"/>
        </w:rPr>
        <w:t>.</w:t>
      </w:r>
      <w:r w:rsidR="00E22DA3">
        <w:rPr>
          <w:rFonts w:cstheme="minorHAnsi"/>
        </w:rPr>
        <w:t xml:space="preserve"> </w:t>
      </w:r>
      <w:r w:rsidR="002419B8">
        <w:rPr>
          <w:rFonts w:cstheme="minorHAnsi"/>
        </w:rPr>
        <w:t>We have been unable to find any trials that prescribe</w:t>
      </w:r>
      <w:r w:rsidR="008E3CCF">
        <w:rPr>
          <w:rFonts w:cstheme="minorHAnsi"/>
        </w:rPr>
        <w:t>d</w:t>
      </w:r>
      <w:r w:rsidR="002419B8">
        <w:rPr>
          <w:rFonts w:cstheme="minorHAnsi"/>
        </w:rPr>
        <w:t xml:space="preserve"> </w:t>
      </w:r>
      <w:r w:rsidR="00D464C7">
        <w:rPr>
          <w:rFonts w:cstheme="minorHAnsi"/>
        </w:rPr>
        <w:t>f</w:t>
      </w:r>
      <w:r w:rsidR="002419B8">
        <w:rPr>
          <w:rFonts w:cstheme="minorHAnsi"/>
        </w:rPr>
        <w:t xml:space="preserve">ixed increments of exercise. </w:t>
      </w:r>
      <w:r w:rsidR="00974970">
        <w:rPr>
          <w:rFonts w:cstheme="minorHAnsi"/>
        </w:rPr>
        <w:t>T</w:t>
      </w:r>
      <w:r w:rsidRPr="003F4C8F">
        <w:rPr>
          <w:rFonts w:cstheme="minorHAnsi"/>
        </w:rPr>
        <w:t xml:space="preserve">rials and the previous guideline </w:t>
      </w:r>
      <w:r w:rsidR="00C904A5">
        <w:rPr>
          <w:rFonts w:cstheme="minorHAnsi"/>
        </w:rPr>
        <w:t xml:space="preserve">suggest </w:t>
      </w:r>
      <w:r w:rsidRPr="003F4C8F">
        <w:rPr>
          <w:rFonts w:cstheme="minorHAnsi"/>
        </w:rPr>
        <w:t>that in GET</w:t>
      </w:r>
      <w:r w:rsidR="00060D74">
        <w:rPr>
          <w:rFonts w:cstheme="minorHAnsi"/>
        </w:rPr>
        <w:t>,</w:t>
      </w:r>
      <w:r w:rsidRPr="003F4C8F">
        <w:rPr>
          <w:rFonts w:cstheme="minorHAnsi"/>
        </w:rPr>
        <w:t xml:space="preserve"> activity is de</w:t>
      </w:r>
      <w:r w:rsidR="00313752">
        <w:rPr>
          <w:rFonts w:cstheme="minorHAnsi"/>
        </w:rPr>
        <w:t>termined</w:t>
      </w:r>
      <w:r w:rsidRPr="003F4C8F">
        <w:rPr>
          <w:rFonts w:cstheme="minorHAnsi"/>
        </w:rPr>
        <w:t xml:space="preserve"> collaboratively with the patient and only increased as the patient feels able</w:t>
      </w:r>
      <w:r w:rsidR="00B260C1">
        <w:rPr>
          <w:rFonts w:cstheme="minorHAnsi"/>
        </w:rPr>
        <w:t xml:space="preserve">, </w:t>
      </w:r>
      <w:r w:rsidR="00313752">
        <w:rPr>
          <w:rFonts w:cstheme="minorHAnsi"/>
        </w:rPr>
        <w:t xml:space="preserve">dependent on </w:t>
      </w:r>
      <w:r w:rsidR="00B260C1">
        <w:rPr>
          <w:rFonts w:cstheme="minorHAnsi"/>
        </w:rPr>
        <w:t>their symptomatic response</w:t>
      </w:r>
      <w:r w:rsidRPr="003F4C8F">
        <w:rPr>
          <w:rFonts w:cstheme="minorHAnsi"/>
        </w:rPr>
        <w:t xml:space="preserve">. </w:t>
      </w:r>
      <w:r w:rsidR="00D65309" w:rsidRPr="00D65309">
        <w:rPr>
          <w:rFonts w:cstheme="minorHAnsi"/>
        </w:rPr>
        <w:t xml:space="preserve">Table 2 illustrates </w:t>
      </w:r>
      <w:r w:rsidR="00974970">
        <w:rPr>
          <w:rFonts w:cstheme="minorHAnsi"/>
        </w:rPr>
        <w:t xml:space="preserve">important examples of </w:t>
      </w:r>
      <w:r w:rsidR="00D65309" w:rsidRPr="00D65309">
        <w:rPr>
          <w:rFonts w:cstheme="minorHAnsi"/>
        </w:rPr>
        <w:t>this</w:t>
      </w:r>
      <w:r w:rsidR="007A7633">
        <w:rPr>
          <w:rFonts w:cstheme="minorHAnsi"/>
        </w:rPr>
        <w:t xml:space="preserve"> from</w:t>
      </w:r>
      <w:r w:rsidR="00B805E4">
        <w:rPr>
          <w:rFonts w:cstheme="minorHAnsi"/>
        </w:rPr>
        <w:t>:</w:t>
      </w:r>
      <w:r w:rsidR="007A7633">
        <w:rPr>
          <w:rFonts w:cstheme="minorHAnsi"/>
        </w:rPr>
        <w:t xml:space="preserve"> </w:t>
      </w:r>
      <w:r w:rsidR="00B805E4">
        <w:rPr>
          <w:rFonts w:cstheme="minorHAnsi"/>
        </w:rPr>
        <w:t>the ver</w:t>
      </w:r>
      <w:r w:rsidR="007A7633">
        <w:rPr>
          <w:rFonts w:cstheme="minorHAnsi"/>
        </w:rPr>
        <w:t xml:space="preserve">y first RCT, </w:t>
      </w:r>
      <w:r w:rsidR="00B805E4">
        <w:rPr>
          <w:rFonts w:cstheme="minorHAnsi"/>
        </w:rPr>
        <w:t xml:space="preserve">the previous NICE guideline, </w:t>
      </w:r>
      <w:r w:rsidR="007A7633">
        <w:rPr>
          <w:rFonts w:cstheme="minorHAnsi"/>
        </w:rPr>
        <w:t xml:space="preserve">the largest trials </w:t>
      </w:r>
      <w:r w:rsidR="00D464C7">
        <w:rPr>
          <w:rFonts w:cstheme="minorHAnsi"/>
        </w:rPr>
        <w:t xml:space="preserve">of GET </w:t>
      </w:r>
      <w:r w:rsidR="007A7633">
        <w:rPr>
          <w:rFonts w:cstheme="minorHAnsi"/>
        </w:rPr>
        <w:t>and the Cochrane review</w:t>
      </w:r>
      <w:r w:rsidR="00D464C7">
        <w:rPr>
          <w:rFonts w:cstheme="minorHAnsi"/>
        </w:rPr>
        <w:t xml:space="preserve"> of exercise therapy</w:t>
      </w:r>
      <w:r w:rsidR="007A7633">
        <w:rPr>
          <w:rFonts w:cstheme="minorHAnsi"/>
        </w:rPr>
        <w:t xml:space="preserve">. </w:t>
      </w:r>
      <w:r w:rsidR="007361E8">
        <w:rPr>
          <w:rFonts w:cstheme="minorHAnsi"/>
        </w:rPr>
        <w:t xml:space="preserve">Supplementary table 3 provides examples from all the other trials of GET. </w:t>
      </w:r>
      <w:r w:rsidRPr="003F4C8F">
        <w:rPr>
          <w:rFonts w:cstheme="minorHAnsi"/>
        </w:rPr>
        <w:t xml:space="preserve">So, </w:t>
      </w:r>
      <w:r w:rsidR="005C5C3F">
        <w:rPr>
          <w:rFonts w:cstheme="minorHAnsi"/>
        </w:rPr>
        <w:t xml:space="preserve">there </w:t>
      </w:r>
      <w:r w:rsidR="0084054F">
        <w:rPr>
          <w:rFonts w:cstheme="minorHAnsi"/>
        </w:rPr>
        <w:t>a</w:t>
      </w:r>
      <w:r w:rsidR="005C5C3F">
        <w:rPr>
          <w:rFonts w:cstheme="minorHAnsi"/>
        </w:rPr>
        <w:t>re</w:t>
      </w:r>
      <w:r w:rsidR="006757EF">
        <w:rPr>
          <w:rFonts w:cstheme="minorHAnsi"/>
        </w:rPr>
        <w:t xml:space="preserve"> no</w:t>
      </w:r>
      <w:r w:rsidRPr="003F4C8F">
        <w:rPr>
          <w:rFonts w:cstheme="minorHAnsi"/>
        </w:rPr>
        <w:t xml:space="preserve"> “fixed increments of exercise”</w:t>
      </w:r>
      <w:r w:rsidR="001B359B">
        <w:rPr>
          <w:rFonts w:cstheme="minorHAnsi"/>
        </w:rPr>
        <w:t xml:space="preserve"> in GET</w:t>
      </w:r>
      <w:r w:rsidRPr="003F4C8F">
        <w:rPr>
          <w:rFonts w:cstheme="minorHAnsi"/>
        </w:rPr>
        <w:t xml:space="preserve">. </w:t>
      </w:r>
      <w:r w:rsidR="001B359B">
        <w:rPr>
          <w:rFonts w:cstheme="minorHAnsi"/>
        </w:rPr>
        <w:t>The current guideline</w:t>
      </w:r>
      <w:r w:rsidRPr="003F4C8F">
        <w:rPr>
          <w:rFonts w:cstheme="minorHAnsi"/>
        </w:rPr>
        <w:t xml:space="preserve"> d</w:t>
      </w:r>
      <w:r w:rsidR="001B359B">
        <w:rPr>
          <w:rFonts w:cstheme="minorHAnsi"/>
        </w:rPr>
        <w:t>oes</w:t>
      </w:r>
      <w:r w:rsidRPr="003F4C8F">
        <w:rPr>
          <w:rFonts w:cstheme="minorHAnsi"/>
        </w:rPr>
        <w:t xml:space="preserve"> describe an exercise programme</w:t>
      </w:r>
      <w:r w:rsidR="001B359B">
        <w:rPr>
          <w:rFonts w:cstheme="minorHAnsi"/>
        </w:rPr>
        <w:t>,</w:t>
      </w:r>
      <w:r w:rsidRPr="003F4C8F">
        <w:rPr>
          <w:rFonts w:cstheme="minorHAnsi"/>
        </w:rPr>
        <w:t xml:space="preserve"> for those who wish to try it, but </w:t>
      </w:r>
      <w:r w:rsidR="00155684">
        <w:rPr>
          <w:rFonts w:cstheme="minorHAnsi"/>
        </w:rPr>
        <w:t>does not reflect the protocol</w:t>
      </w:r>
      <w:r w:rsidR="00F66569">
        <w:rPr>
          <w:rFonts w:cstheme="minorHAnsi"/>
        </w:rPr>
        <w:t>s</w:t>
      </w:r>
      <w:r w:rsidR="00A272F7">
        <w:rPr>
          <w:rFonts w:cstheme="minorHAnsi"/>
        </w:rPr>
        <w:t xml:space="preserve"> </w:t>
      </w:r>
      <w:r w:rsidRPr="003F4C8F">
        <w:rPr>
          <w:rFonts w:cstheme="minorHAnsi"/>
        </w:rPr>
        <w:t xml:space="preserve">used </w:t>
      </w:r>
      <w:r w:rsidR="00155684">
        <w:rPr>
          <w:rFonts w:cstheme="minorHAnsi"/>
        </w:rPr>
        <w:t xml:space="preserve">in the </w:t>
      </w:r>
      <w:r w:rsidRPr="003F4C8F">
        <w:rPr>
          <w:rFonts w:cstheme="minorHAnsi"/>
        </w:rPr>
        <w:t xml:space="preserve"> trials.</w:t>
      </w:r>
      <w:r w:rsidR="009445C8">
        <w:rPr>
          <w:rFonts w:cstheme="minorHAnsi"/>
          <w:vertAlign w:val="superscript"/>
        </w:rPr>
        <w:t>6</w:t>
      </w:r>
      <w:r w:rsidR="00586EFC">
        <w:rPr>
          <w:rFonts w:cstheme="minorHAnsi"/>
          <w:vertAlign w:val="superscript"/>
        </w:rPr>
        <w:t>, 1</w:t>
      </w:r>
      <w:r w:rsidR="009445C8">
        <w:rPr>
          <w:rFonts w:cstheme="minorHAnsi"/>
          <w:vertAlign w:val="superscript"/>
        </w:rPr>
        <w:t>3</w:t>
      </w:r>
    </w:p>
    <w:p w14:paraId="4BBB5A28" w14:textId="3DB1CF50" w:rsidR="007A7633" w:rsidRPr="001259EB" w:rsidRDefault="007A7633" w:rsidP="007544AE">
      <w:pPr>
        <w:spacing w:line="480" w:lineRule="auto"/>
        <w:rPr>
          <w:rFonts w:cstheme="minorHAnsi"/>
        </w:rPr>
      </w:pPr>
      <w:r w:rsidRPr="001259EB">
        <w:rPr>
          <w:rFonts w:cstheme="minorHAnsi"/>
          <w:b/>
          <w:bCs/>
        </w:rPr>
        <w:t>Table 2</w:t>
      </w:r>
      <w:r w:rsidR="002472BA">
        <w:rPr>
          <w:rFonts w:cstheme="minorHAnsi"/>
          <w:b/>
          <w:bCs/>
        </w:rPr>
        <w:t xml:space="preserve"> </w:t>
      </w:r>
      <w:r w:rsidR="002472BA" w:rsidRPr="001259EB">
        <w:rPr>
          <w:rFonts w:cstheme="minorHAnsi"/>
        </w:rPr>
        <w:t>Descriptions of GET prescriptions</w:t>
      </w:r>
    </w:p>
    <w:tbl>
      <w:tblPr>
        <w:tblStyle w:val="PlainTable2"/>
        <w:tblW w:w="0" w:type="auto"/>
        <w:tblLook w:val="04A0" w:firstRow="1" w:lastRow="0" w:firstColumn="1" w:lastColumn="0" w:noHBand="0" w:noVBand="1"/>
      </w:tblPr>
      <w:tblGrid>
        <w:gridCol w:w="2273"/>
        <w:gridCol w:w="6753"/>
      </w:tblGrid>
      <w:tr w:rsidR="00611191" w14:paraId="237BA86D" w14:textId="77777777" w:rsidTr="00785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A2F995" w14:textId="5EF73D45" w:rsidR="00D65309" w:rsidRDefault="00D65309" w:rsidP="007544AE">
            <w:pPr>
              <w:spacing w:line="480" w:lineRule="auto"/>
              <w:rPr>
                <w:rFonts w:cstheme="minorHAnsi"/>
                <w:b w:val="0"/>
                <w:bCs w:val="0"/>
              </w:rPr>
            </w:pPr>
            <w:r>
              <w:rPr>
                <w:rFonts w:cstheme="minorHAnsi"/>
              </w:rPr>
              <w:t>Trial</w:t>
            </w:r>
            <w:r w:rsidR="007A7633">
              <w:rPr>
                <w:rFonts w:cstheme="minorHAnsi"/>
              </w:rPr>
              <w:t>/review</w:t>
            </w:r>
            <w:r>
              <w:rPr>
                <w:rFonts w:cstheme="minorHAnsi"/>
              </w:rPr>
              <w:t>/guideline</w:t>
            </w:r>
          </w:p>
        </w:tc>
        <w:tc>
          <w:tcPr>
            <w:tcW w:w="0" w:type="auto"/>
          </w:tcPr>
          <w:p w14:paraId="504DB2DA" w14:textId="7A00118D" w:rsidR="00D65309" w:rsidRDefault="00D65309" w:rsidP="007544AE">
            <w:pPr>
              <w:spacing w:line="480" w:lineRule="auto"/>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 of GET</w:t>
            </w:r>
            <w:r w:rsidR="00C04B3A">
              <w:rPr>
                <w:rFonts w:cstheme="minorHAnsi"/>
              </w:rPr>
              <w:t xml:space="preserve"> incremental approach</w:t>
            </w:r>
          </w:p>
        </w:tc>
      </w:tr>
      <w:tr w:rsidR="00611191" w14:paraId="1959ECA1" w14:textId="77777777" w:rsidTr="00785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724A69" w14:textId="7E96DAE8" w:rsidR="00D65309" w:rsidRPr="001259EB" w:rsidRDefault="00D65309" w:rsidP="007544AE">
            <w:pPr>
              <w:spacing w:line="480" w:lineRule="auto"/>
              <w:rPr>
                <w:rFonts w:cstheme="minorHAnsi"/>
                <w:b w:val="0"/>
                <w:bCs w:val="0"/>
                <w:vertAlign w:val="superscript"/>
              </w:rPr>
            </w:pPr>
            <w:r w:rsidRPr="0078546A">
              <w:rPr>
                <w:rFonts w:cstheme="minorHAnsi"/>
                <w:b w:val="0"/>
                <w:bCs w:val="0"/>
              </w:rPr>
              <w:t>Fulcher, 199</w:t>
            </w:r>
            <w:r w:rsidR="006E2B53">
              <w:rPr>
                <w:rFonts w:cstheme="minorHAnsi"/>
                <w:b w:val="0"/>
                <w:bCs w:val="0"/>
              </w:rPr>
              <w:t>8</w:t>
            </w:r>
            <w:r w:rsidR="00C904A5">
              <w:rPr>
                <w:rFonts w:cstheme="minorHAnsi"/>
                <w:vertAlign w:val="superscript"/>
              </w:rPr>
              <w:t>46</w:t>
            </w:r>
          </w:p>
        </w:tc>
        <w:tc>
          <w:tcPr>
            <w:tcW w:w="0" w:type="auto"/>
          </w:tcPr>
          <w:p w14:paraId="3C9D956E" w14:textId="2CE910B9" w:rsidR="00D65309" w:rsidRPr="001259EB" w:rsidRDefault="00D65309" w:rsidP="007544AE">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w:t>
            </w:r>
            <w:r w:rsidRPr="001259EB">
              <w:rPr>
                <w:rFonts w:cstheme="minorHAnsi"/>
              </w:rPr>
              <w:t xml:space="preserve">f they [the patient] complain of fatigue in response to a new level of exercise, they should be advised to remain at the same level for an extra week, rather than progressing the duration, and to increase the exercise </w:t>
            </w:r>
            <w:r w:rsidRPr="001259EB">
              <w:rPr>
                <w:rFonts w:cstheme="minorHAnsi"/>
                <w:i/>
                <w:iCs/>
              </w:rPr>
              <w:t>when the symptoms regress.”</w:t>
            </w:r>
            <w:r w:rsidR="0004755B">
              <w:rPr>
                <w:rFonts w:cstheme="minorHAnsi"/>
                <w:i/>
                <w:iCs/>
              </w:rPr>
              <w:t xml:space="preserve"> </w:t>
            </w:r>
            <w:r w:rsidR="004C4AB3">
              <w:rPr>
                <w:rFonts w:cstheme="minorHAnsi"/>
                <w:i/>
                <w:iCs/>
              </w:rPr>
              <w:t>[our italics]</w:t>
            </w:r>
          </w:p>
        </w:tc>
      </w:tr>
      <w:tr w:rsidR="00611191" w14:paraId="661BBFE7" w14:textId="77777777" w:rsidTr="0078546A">
        <w:tc>
          <w:tcPr>
            <w:cnfStyle w:val="001000000000" w:firstRow="0" w:lastRow="0" w:firstColumn="1" w:lastColumn="0" w:oddVBand="0" w:evenVBand="0" w:oddHBand="0" w:evenHBand="0" w:firstRowFirstColumn="0" w:firstRowLastColumn="0" w:lastRowFirstColumn="0" w:lastRowLastColumn="0"/>
            <w:tcW w:w="0" w:type="auto"/>
          </w:tcPr>
          <w:p w14:paraId="780746EC" w14:textId="266D670A" w:rsidR="007B7772" w:rsidRPr="007361E8" w:rsidRDefault="007B7772" w:rsidP="007544AE">
            <w:pPr>
              <w:spacing w:line="480" w:lineRule="auto"/>
              <w:rPr>
                <w:rFonts w:cstheme="minorHAnsi"/>
                <w:b w:val="0"/>
                <w:bCs w:val="0"/>
                <w:vertAlign w:val="superscript"/>
              </w:rPr>
            </w:pPr>
            <w:r w:rsidRPr="0065309A">
              <w:rPr>
                <w:rFonts w:cstheme="minorHAnsi"/>
                <w:b w:val="0"/>
                <w:bCs w:val="0"/>
              </w:rPr>
              <w:t>NICE, 2007</w:t>
            </w:r>
            <w:r w:rsidR="00C904A5" w:rsidRPr="0065309A">
              <w:rPr>
                <w:rFonts w:cstheme="minorHAnsi"/>
                <w:b w:val="0"/>
                <w:bCs w:val="0"/>
                <w:vertAlign w:val="superscript"/>
              </w:rPr>
              <w:t>4</w:t>
            </w:r>
          </w:p>
        </w:tc>
        <w:tc>
          <w:tcPr>
            <w:tcW w:w="0" w:type="auto"/>
          </w:tcPr>
          <w:p w14:paraId="4A38CC3C" w14:textId="1110D30F" w:rsidR="007B7772" w:rsidRDefault="007B7772" w:rsidP="007A7633">
            <w:pPr>
              <w:spacing w:line="48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7B7772">
              <w:rPr>
                <w:rFonts w:cstheme="minorHAnsi"/>
              </w:rPr>
              <w:t xml:space="preserve">When the low-intensity exercise </w:t>
            </w:r>
            <w:r w:rsidRPr="001259EB">
              <w:rPr>
                <w:rFonts w:cstheme="minorHAnsi"/>
                <w:i/>
                <w:iCs/>
              </w:rPr>
              <w:t>can be sustained [our italics]</w:t>
            </w:r>
            <w:r>
              <w:rPr>
                <w:rFonts w:cstheme="minorHAnsi"/>
              </w:rPr>
              <w:t xml:space="preserve"> </w:t>
            </w:r>
            <w:r w:rsidRPr="007B7772">
              <w:rPr>
                <w:rFonts w:cstheme="minorHAnsi"/>
              </w:rPr>
              <w:t>for 5 days out of 7 (usually accompanied by a reduction in perceived exertion), the duration should be</w:t>
            </w:r>
            <w:r w:rsidR="007A7633">
              <w:rPr>
                <w:rFonts w:cstheme="minorHAnsi"/>
              </w:rPr>
              <w:t xml:space="preserve"> </w:t>
            </w:r>
            <w:r w:rsidRPr="007B7772">
              <w:rPr>
                <w:rFonts w:cstheme="minorHAnsi"/>
              </w:rPr>
              <w:t>reviewed and increased, if appropriate, by up to 20%. For example, a 5-minute walk becomes 6 minutes</w:t>
            </w:r>
            <w:r>
              <w:rPr>
                <w:rFonts w:cstheme="minorHAnsi"/>
              </w:rPr>
              <w:t>…”</w:t>
            </w:r>
          </w:p>
        </w:tc>
      </w:tr>
      <w:tr w:rsidR="00611191" w14:paraId="57AA77A2" w14:textId="77777777" w:rsidTr="00785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295CC3" w14:textId="2F14C3D0" w:rsidR="00D65309" w:rsidRPr="007361E8" w:rsidRDefault="00C904A5" w:rsidP="007544AE">
            <w:pPr>
              <w:spacing w:line="480" w:lineRule="auto"/>
              <w:rPr>
                <w:rFonts w:cstheme="minorHAnsi"/>
                <w:b w:val="0"/>
                <w:bCs w:val="0"/>
                <w:vertAlign w:val="superscript"/>
              </w:rPr>
            </w:pPr>
            <w:r w:rsidRPr="0065309A">
              <w:rPr>
                <w:rFonts w:cstheme="minorHAnsi"/>
                <w:b w:val="0"/>
                <w:bCs w:val="0"/>
              </w:rPr>
              <w:t>White</w:t>
            </w:r>
            <w:r w:rsidR="00D65309" w:rsidRPr="007361E8">
              <w:rPr>
                <w:rFonts w:cstheme="minorHAnsi"/>
                <w:b w:val="0"/>
                <w:bCs w:val="0"/>
              </w:rPr>
              <w:t>, 2011</w:t>
            </w:r>
            <w:r w:rsidRPr="0065309A">
              <w:rPr>
                <w:rFonts w:cstheme="minorHAnsi"/>
                <w:b w:val="0"/>
                <w:bCs w:val="0"/>
                <w:vertAlign w:val="superscript"/>
              </w:rPr>
              <w:t>3</w:t>
            </w:r>
            <w:r w:rsidR="001325BA">
              <w:rPr>
                <w:rFonts w:cstheme="minorHAnsi"/>
                <w:b w:val="0"/>
                <w:bCs w:val="0"/>
                <w:vertAlign w:val="superscript"/>
              </w:rPr>
              <w:t>6</w:t>
            </w:r>
          </w:p>
        </w:tc>
        <w:tc>
          <w:tcPr>
            <w:tcW w:w="0" w:type="auto"/>
          </w:tcPr>
          <w:p w14:paraId="4FD89335" w14:textId="5047711F" w:rsidR="00D65309" w:rsidRPr="001259EB" w:rsidRDefault="00D65309" w:rsidP="007544AE">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sidRPr="001259EB">
              <w:rPr>
                <w:rFonts w:cstheme="minorHAnsi"/>
              </w:rPr>
              <w:t>“If it [exercise] can’t be done every day, then the starting level is too high</w:t>
            </w:r>
            <w:r w:rsidR="006E4A41">
              <w:rPr>
                <w:rFonts w:cstheme="minorHAnsi"/>
              </w:rPr>
              <w:t xml:space="preserve"> </w:t>
            </w:r>
            <w:r>
              <w:rPr>
                <w:rFonts w:cstheme="minorHAnsi"/>
              </w:rPr>
              <w:t>…</w:t>
            </w:r>
            <w:r w:rsidRPr="001259EB">
              <w:rPr>
                <w:rFonts w:cstheme="minorHAnsi"/>
              </w:rPr>
              <w:t xml:space="preserve"> Keep to this level of activity until you are used to it and it feels OK. </w:t>
            </w:r>
            <w:r w:rsidRPr="001259EB">
              <w:rPr>
                <w:rFonts w:cstheme="minorHAnsi"/>
                <w:i/>
                <w:iCs/>
              </w:rPr>
              <w:t>Once it feels OK</w:t>
            </w:r>
            <w:r w:rsidRPr="001259EB">
              <w:rPr>
                <w:rFonts w:cstheme="minorHAnsi"/>
              </w:rPr>
              <w:t xml:space="preserve"> </w:t>
            </w:r>
            <w:r w:rsidRPr="001259EB">
              <w:rPr>
                <w:rFonts w:cstheme="minorHAnsi"/>
                <w:i/>
                <w:iCs/>
              </w:rPr>
              <w:t>[our italics]</w:t>
            </w:r>
            <w:r w:rsidRPr="001259EB">
              <w:rPr>
                <w:rFonts w:cstheme="minorHAnsi"/>
              </w:rPr>
              <w:t xml:space="preserve"> (you’re getting stronger!), another small increase in time can be added.</w:t>
            </w:r>
            <w:r w:rsidR="007A7633">
              <w:rPr>
                <w:rFonts w:cstheme="minorHAnsi"/>
              </w:rPr>
              <w:t>”</w:t>
            </w:r>
          </w:p>
        </w:tc>
      </w:tr>
      <w:tr w:rsidR="00611191" w14:paraId="50C5A2E8" w14:textId="77777777" w:rsidTr="0078546A">
        <w:tc>
          <w:tcPr>
            <w:cnfStyle w:val="001000000000" w:firstRow="0" w:lastRow="0" w:firstColumn="1" w:lastColumn="0" w:oddVBand="0" w:evenVBand="0" w:oddHBand="0" w:evenHBand="0" w:firstRowFirstColumn="0" w:firstRowLastColumn="0" w:lastRowFirstColumn="0" w:lastRowLastColumn="0"/>
            <w:tcW w:w="0" w:type="auto"/>
          </w:tcPr>
          <w:p w14:paraId="4D85CF88" w14:textId="4ADCEFEF" w:rsidR="00D65309" w:rsidRPr="001259EB" w:rsidRDefault="0004755B" w:rsidP="007544AE">
            <w:pPr>
              <w:spacing w:line="480" w:lineRule="auto"/>
              <w:rPr>
                <w:rFonts w:cstheme="minorHAnsi"/>
                <w:b w:val="0"/>
                <w:bCs w:val="0"/>
                <w:vertAlign w:val="superscript"/>
              </w:rPr>
            </w:pPr>
            <w:r w:rsidRPr="0078546A">
              <w:rPr>
                <w:rFonts w:cstheme="minorHAnsi"/>
                <w:b w:val="0"/>
                <w:bCs w:val="0"/>
              </w:rPr>
              <w:t>Clark, 2017</w:t>
            </w:r>
            <w:r w:rsidR="00C904A5">
              <w:rPr>
                <w:rFonts w:cstheme="minorHAnsi"/>
                <w:vertAlign w:val="superscript"/>
              </w:rPr>
              <w:t>3</w:t>
            </w:r>
            <w:r w:rsidR="001325BA">
              <w:rPr>
                <w:rFonts w:cstheme="minorHAnsi"/>
                <w:vertAlign w:val="superscript"/>
              </w:rPr>
              <w:t>5</w:t>
            </w:r>
          </w:p>
        </w:tc>
        <w:tc>
          <w:tcPr>
            <w:tcW w:w="0" w:type="auto"/>
          </w:tcPr>
          <w:p w14:paraId="21777C8F" w14:textId="4787FE95" w:rsidR="00D65309" w:rsidRDefault="0004755B" w:rsidP="0004755B">
            <w:pPr>
              <w:spacing w:line="480" w:lineRule="auto"/>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w:t>
            </w:r>
            <w:r w:rsidRPr="001259EB">
              <w:rPr>
                <w:rFonts w:cstheme="minorHAnsi"/>
              </w:rPr>
              <w:t>Importantly, if a participant found that their symptoms</w:t>
            </w:r>
            <w:r>
              <w:rPr>
                <w:rFonts w:cstheme="minorHAnsi"/>
              </w:rPr>
              <w:t xml:space="preserve"> </w:t>
            </w:r>
            <w:r w:rsidRPr="001259EB">
              <w:rPr>
                <w:rFonts w:cstheme="minorHAnsi"/>
              </w:rPr>
              <w:t xml:space="preserve">increased after an incremental change in their activity, </w:t>
            </w:r>
            <w:r>
              <w:rPr>
                <w:rFonts w:cstheme="minorHAnsi"/>
              </w:rPr>
              <w:t xml:space="preserve"> </w:t>
            </w:r>
            <w:r w:rsidRPr="001259EB">
              <w:rPr>
                <w:rFonts w:cstheme="minorHAnsi"/>
              </w:rPr>
              <w:t xml:space="preserve">they were advised to maintain their activity at the same level for longer than a week, </w:t>
            </w:r>
            <w:r w:rsidRPr="001259EB">
              <w:rPr>
                <w:rFonts w:cstheme="minorHAnsi"/>
                <w:i/>
                <w:iCs/>
              </w:rPr>
              <w:t>until symptoms had settled, [our italics]</w:t>
            </w:r>
            <w:r>
              <w:rPr>
                <w:rFonts w:cstheme="minorHAnsi"/>
              </w:rPr>
              <w:t xml:space="preserve"> </w:t>
            </w:r>
            <w:r w:rsidRPr="001259EB">
              <w:rPr>
                <w:rFonts w:cstheme="minorHAnsi"/>
              </w:rPr>
              <w:t>before considering another incremental increase.</w:t>
            </w:r>
            <w:r>
              <w:rPr>
                <w:rFonts w:cstheme="minorHAnsi"/>
              </w:rPr>
              <w:t>”</w:t>
            </w:r>
          </w:p>
        </w:tc>
      </w:tr>
      <w:tr w:rsidR="00611191" w14:paraId="5277EC61" w14:textId="77777777" w:rsidTr="00785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88A075" w14:textId="6423087D" w:rsidR="00D65309" w:rsidRPr="001259EB" w:rsidRDefault="007A7633" w:rsidP="007544AE">
            <w:pPr>
              <w:spacing w:line="480" w:lineRule="auto"/>
              <w:rPr>
                <w:rFonts w:cstheme="minorHAnsi"/>
                <w:b w:val="0"/>
                <w:bCs w:val="0"/>
                <w:vertAlign w:val="superscript"/>
              </w:rPr>
            </w:pPr>
            <w:r w:rsidRPr="0078546A">
              <w:rPr>
                <w:rFonts w:cstheme="minorHAnsi"/>
                <w:b w:val="0"/>
                <w:bCs w:val="0"/>
              </w:rPr>
              <w:t>Larun, 2019</w:t>
            </w:r>
            <w:r w:rsidR="00C904A5">
              <w:rPr>
                <w:rFonts w:cstheme="minorHAnsi"/>
                <w:vertAlign w:val="superscript"/>
              </w:rPr>
              <w:t>13</w:t>
            </w:r>
          </w:p>
        </w:tc>
        <w:tc>
          <w:tcPr>
            <w:tcW w:w="0" w:type="auto"/>
          </w:tcPr>
          <w:p w14:paraId="13807190" w14:textId="05DE0965" w:rsidR="00D65309" w:rsidRPr="001259EB" w:rsidRDefault="007A7633" w:rsidP="007A7633">
            <w:pPr>
              <w:spacing w:line="48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1259EB">
              <w:rPr>
                <w:rFonts w:cstheme="minorHAnsi"/>
              </w:rPr>
              <w:t>Graded</w:t>
            </w:r>
            <w:r>
              <w:rPr>
                <w:rFonts w:cstheme="minorHAnsi"/>
              </w:rPr>
              <w:t xml:space="preserve"> </w:t>
            </w:r>
            <w:r w:rsidRPr="001259EB">
              <w:rPr>
                <w:rFonts w:cstheme="minorHAnsi"/>
              </w:rPr>
              <w:t>exercise therapy is characterised by establishment of a baseline of</w:t>
            </w:r>
            <w:r>
              <w:rPr>
                <w:rFonts w:cstheme="minorHAnsi"/>
              </w:rPr>
              <w:t xml:space="preserve"> </w:t>
            </w:r>
            <w:r w:rsidRPr="001259EB">
              <w:rPr>
                <w:rFonts w:cstheme="minorHAnsi"/>
              </w:rPr>
              <w:t>achievable exercise or physical activity, followed by a negotiated,</w:t>
            </w:r>
            <w:r>
              <w:rPr>
                <w:rFonts w:cstheme="minorHAnsi"/>
              </w:rPr>
              <w:t xml:space="preserve"> </w:t>
            </w:r>
            <w:r w:rsidRPr="001259EB">
              <w:rPr>
                <w:rFonts w:cstheme="minorHAnsi"/>
              </w:rPr>
              <w:t>incremental increase in the duration of time spent physically active</w:t>
            </w:r>
            <w:r>
              <w:rPr>
                <w:rFonts w:cstheme="minorHAnsi"/>
              </w:rPr>
              <w:t xml:space="preserve"> </w:t>
            </w:r>
            <w:r w:rsidRPr="001259EB">
              <w:rPr>
                <w:rFonts w:cstheme="minorHAnsi"/>
              </w:rPr>
              <w:t>followed by an increase in intensity</w:t>
            </w:r>
            <w:r>
              <w:rPr>
                <w:rFonts w:cstheme="minorHAnsi"/>
              </w:rPr>
              <w:t>.”</w:t>
            </w:r>
          </w:p>
        </w:tc>
      </w:tr>
    </w:tbl>
    <w:p w14:paraId="4A8E8EE8" w14:textId="77777777" w:rsidR="008154E6" w:rsidRDefault="008154E6" w:rsidP="007544AE">
      <w:pPr>
        <w:spacing w:line="480" w:lineRule="auto"/>
        <w:rPr>
          <w:rFonts w:cstheme="minorHAnsi"/>
          <w:b/>
          <w:bCs/>
        </w:rPr>
      </w:pPr>
    </w:p>
    <w:p w14:paraId="7CBB5661" w14:textId="5D069745" w:rsidR="003460DD" w:rsidRPr="004F7641" w:rsidRDefault="007D732F" w:rsidP="007544AE">
      <w:pPr>
        <w:spacing w:line="480" w:lineRule="auto"/>
        <w:rPr>
          <w:rFonts w:cstheme="minorHAnsi"/>
          <w:b/>
          <w:bCs/>
        </w:rPr>
      </w:pPr>
      <w:r>
        <w:rPr>
          <w:rFonts w:cstheme="minorHAnsi"/>
          <w:b/>
          <w:bCs/>
        </w:rPr>
        <w:t>7</w:t>
      </w:r>
      <w:r w:rsidR="005B546B">
        <w:rPr>
          <w:rFonts w:cstheme="minorHAnsi"/>
          <w:b/>
          <w:bCs/>
        </w:rPr>
        <w:t xml:space="preserve">. </w:t>
      </w:r>
      <w:r w:rsidR="001A4697">
        <w:rPr>
          <w:rFonts w:cstheme="minorHAnsi"/>
          <w:b/>
          <w:bCs/>
        </w:rPr>
        <w:t>Inconsisten</w:t>
      </w:r>
      <w:r w:rsidR="002D320D">
        <w:rPr>
          <w:rFonts w:cstheme="minorHAnsi"/>
          <w:b/>
          <w:bCs/>
        </w:rPr>
        <w:t xml:space="preserve">cy </w:t>
      </w:r>
      <w:r w:rsidR="00A532F5">
        <w:rPr>
          <w:rFonts w:cstheme="minorHAnsi"/>
          <w:b/>
          <w:bCs/>
        </w:rPr>
        <w:t>with</w:t>
      </w:r>
      <w:r w:rsidR="001A4697">
        <w:rPr>
          <w:rFonts w:cstheme="minorHAnsi"/>
          <w:b/>
          <w:bCs/>
        </w:rPr>
        <w:t xml:space="preserve"> </w:t>
      </w:r>
      <w:r w:rsidR="003460DD" w:rsidRPr="004F7641">
        <w:rPr>
          <w:rFonts w:cstheme="minorHAnsi"/>
          <w:b/>
          <w:bCs/>
        </w:rPr>
        <w:t xml:space="preserve">NICE recommendations </w:t>
      </w:r>
      <w:r w:rsidR="00982CA1">
        <w:rPr>
          <w:rFonts w:cstheme="minorHAnsi"/>
          <w:b/>
          <w:bCs/>
        </w:rPr>
        <w:t>of</w:t>
      </w:r>
      <w:r w:rsidR="003460DD" w:rsidRPr="004F7641">
        <w:rPr>
          <w:rFonts w:cstheme="minorHAnsi"/>
          <w:b/>
          <w:bCs/>
        </w:rPr>
        <w:t xml:space="preserve"> rehabilitation therapies </w:t>
      </w:r>
      <w:r w:rsidR="00D34A24">
        <w:rPr>
          <w:rFonts w:cstheme="minorHAnsi"/>
          <w:b/>
          <w:bCs/>
        </w:rPr>
        <w:t>for</w:t>
      </w:r>
      <w:r w:rsidR="003460DD" w:rsidRPr="004F7641">
        <w:rPr>
          <w:rFonts w:cstheme="minorHAnsi"/>
          <w:b/>
          <w:bCs/>
        </w:rPr>
        <w:t xml:space="preserve"> </w:t>
      </w:r>
      <w:r w:rsidR="00982CA1">
        <w:rPr>
          <w:rFonts w:cstheme="minorHAnsi"/>
          <w:b/>
          <w:bCs/>
        </w:rPr>
        <w:t xml:space="preserve">related conditions, such as </w:t>
      </w:r>
      <w:r w:rsidR="003460DD" w:rsidRPr="004F7641">
        <w:rPr>
          <w:rFonts w:cstheme="minorHAnsi"/>
          <w:b/>
          <w:bCs/>
        </w:rPr>
        <w:t>chronic primary pain</w:t>
      </w:r>
    </w:p>
    <w:p w14:paraId="47F6849E" w14:textId="098A86A1" w:rsidR="00097F19" w:rsidRDefault="004767D9" w:rsidP="007544AE">
      <w:pPr>
        <w:spacing w:line="480" w:lineRule="auto"/>
        <w:rPr>
          <w:rFonts w:cstheme="minorHAnsi"/>
        </w:rPr>
      </w:pPr>
      <w:r>
        <w:rPr>
          <w:rFonts w:cstheme="minorHAnsi"/>
        </w:rPr>
        <w:t>NICE published a</w:t>
      </w:r>
      <w:r w:rsidRPr="00602CCA">
        <w:rPr>
          <w:rFonts w:cstheme="minorHAnsi"/>
        </w:rPr>
        <w:t xml:space="preserve"> guideline for </w:t>
      </w:r>
      <w:r w:rsidR="007D732F">
        <w:rPr>
          <w:rFonts w:cstheme="minorHAnsi"/>
        </w:rPr>
        <w:t xml:space="preserve">the management of </w:t>
      </w:r>
      <w:r w:rsidRPr="00602CCA">
        <w:rPr>
          <w:rFonts w:cstheme="minorHAnsi"/>
        </w:rPr>
        <w:t>chronic primary pain</w:t>
      </w:r>
      <w:r>
        <w:rPr>
          <w:rFonts w:cstheme="minorHAnsi"/>
        </w:rPr>
        <w:t xml:space="preserve"> </w:t>
      </w:r>
      <w:r w:rsidRPr="00602CCA">
        <w:rPr>
          <w:rFonts w:cstheme="minorHAnsi"/>
        </w:rPr>
        <w:t>in 2021</w:t>
      </w:r>
      <w:r w:rsidR="0065585B">
        <w:rPr>
          <w:rFonts w:cstheme="minorHAnsi"/>
        </w:rPr>
        <w:t>,</w:t>
      </w:r>
      <w:r w:rsidR="00C904A5">
        <w:rPr>
          <w:rFonts w:cstheme="minorHAnsi"/>
          <w:vertAlign w:val="superscript"/>
        </w:rPr>
        <w:t>40</w:t>
      </w:r>
      <w:r>
        <w:rPr>
          <w:rFonts w:cstheme="minorHAnsi"/>
        </w:rPr>
        <w:t xml:space="preserve"> </w:t>
      </w:r>
      <w:r w:rsidR="0065585B">
        <w:rPr>
          <w:rFonts w:cstheme="minorHAnsi"/>
        </w:rPr>
        <w:t xml:space="preserve">six months before the CFS/ME guideline. </w:t>
      </w:r>
      <w:r>
        <w:rPr>
          <w:rFonts w:cstheme="minorHAnsi"/>
        </w:rPr>
        <w:t>Chronic primary pain includes disorders such as fibromyalgia</w:t>
      </w:r>
      <w:r w:rsidR="003B336B">
        <w:rPr>
          <w:rFonts w:cstheme="minorHAnsi"/>
        </w:rPr>
        <w:t>,</w:t>
      </w:r>
      <w:r>
        <w:rPr>
          <w:rFonts w:cstheme="minorHAnsi"/>
        </w:rPr>
        <w:t xml:space="preserve"> which overlap</w:t>
      </w:r>
      <w:r w:rsidR="007361E8">
        <w:rPr>
          <w:rFonts w:cstheme="minorHAnsi"/>
        </w:rPr>
        <w:t>s</w:t>
      </w:r>
      <w:r>
        <w:rPr>
          <w:rFonts w:cstheme="minorHAnsi"/>
        </w:rPr>
        <w:t xml:space="preserve"> substantially </w:t>
      </w:r>
      <w:r w:rsidR="00097F19">
        <w:rPr>
          <w:rFonts w:cstheme="minorHAnsi"/>
        </w:rPr>
        <w:t xml:space="preserve">with </w:t>
      </w:r>
      <w:r w:rsidR="004F59A0">
        <w:rPr>
          <w:rFonts w:cstheme="minorHAnsi"/>
        </w:rPr>
        <w:t>CFS/ME</w:t>
      </w:r>
      <w:r w:rsidR="00097F19">
        <w:rPr>
          <w:rFonts w:cstheme="minorHAnsi"/>
        </w:rPr>
        <w:t xml:space="preserve"> in terms of comorbidity and current aetiological and mechanistic thinking.</w:t>
      </w:r>
      <w:r w:rsidR="005B0451">
        <w:rPr>
          <w:rFonts w:cstheme="minorHAnsi"/>
          <w:vertAlign w:val="superscript"/>
        </w:rPr>
        <w:t>4</w:t>
      </w:r>
      <w:r w:rsidR="00035C0C">
        <w:rPr>
          <w:rFonts w:cstheme="minorHAnsi"/>
          <w:vertAlign w:val="superscript"/>
        </w:rPr>
        <w:t>7</w:t>
      </w:r>
      <w:r w:rsidR="00097F19">
        <w:rPr>
          <w:rFonts w:cstheme="minorHAnsi"/>
        </w:rPr>
        <w:t xml:space="preserve"> Population</w:t>
      </w:r>
      <w:r w:rsidR="00C939DF">
        <w:rPr>
          <w:rFonts w:cstheme="minorHAnsi"/>
        </w:rPr>
        <w:t>-</w:t>
      </w:r>
      <w:r w:rsidR="00097F19">
        <w:rPr>
          <w:rFonts w:cstheme="minorHAnsi"/>
        </w:rPr>
        <w:t xml:space="preserve">based studies show </w:t>
      </w:r>
      <w:r w:rsidR="003C007C">
        <w:rPr>
          <w:rFonts w:cstheme="minorHAnsi"/>
        </w:rPr>
        <w:t>a considerable overlap between these two conditions</w:t>
      </w:r>
      <w:r w:rsidR="00097F19">
        <w:rPr>
          <w:rFonts w:cstheme="minorHAnsi"/>
        </w:rPr>
        <w:t>.</w:t>
      </w:r>
      <w:r w:rsidR="0058026B">
        <w:rPr>
          <w:rFonts w:cstheme="minorHAnsi"/>
          <w:vertAlign w:val="superscript"/>
        </w:rPr>
        <w:t>4</w:t>
      </w:r>
      <w:r w:rsidR="00035C0C">
        <w:rPr>
          <w:rFonts w:cstheme="minorHAnsi"/>
          <w:vertAlign w:val="superscript"/>
        </w:rPr>
        <w:t>8</w:t>
      </w:r>
      <w:r w:rsidR="00097F19">
        <w:rPr>
          <w:rFonts w:cstheme="minorHAnsi"/>
        </w:rPr>
        <w:t xml:space="preserve"> </w:t>
      </w:r>
      <w:r w:rsidR="008D0A0C">
        <w:rPr>
          <w:rFonts w:cstheme="minorHAnsi"/>
        </w:rPr>
        <w:t>Indeed,</w:t>
      </w:r>
      <w:r w:rsidR="00097F19">
        <w:rPr>
          <w:rFonts w:cstheme="minorHAnsi"/>
        </w:rPr>
        <w:t xml:space="preserve"> the term ‘myalgic’ in ‘myalgic encephalomyelitis’ highlights how commonly people with </w:t>
      </w:r>
      <w:r w:rsidR="004F59A0">
        <w:rPr>
          <w:rFonts w:cstheme="minorHAnsi"/>
        </w:rPr>
        <w:t>CFS/ME</w:t>
      </w:r>
      <w:r w:rsidR="00097F19">
        <w:rPr>
          <w:rFonts w:cstheme="minorHAnsi"/>
        </w:rPr>
        <w:t xml:space="preserve"> experience pain. </w:t>
      </w:r>
    </w:p>
    <w:p w14:paraId="1E9D7F29" w14:textId="233D0B44" w:rsidR="004767D9" w:rsidRDefault="00097F19" w:rsidP="007544AE">
      <w:pPr>
        <w:spacing w:line="480" w:lineRule="auto"/>
        <w:rPr>
          <w:rFonts w:cstheme="minorHAnsi"/>
        </w:rPr>
      </w:pPr>
      <w:r>
        <w:rPr>
          <w:rFonts w:cstheme="minorHAnsi"/>
        </w:rPr>
        <w:t>Despite the strong clinical overlap</w:t>
      </w:r>
      <w:r w:rsidR="0090681E">
        <w:rPr>
          <w:rFonts w:cstheme="minorHAnsi"/>
        </w:rPr>
        <w:t>,</w:t>
      </w:r>
      <w:r w:rsidR="004767D9" w:rsidRPr="00602CCA">
        <w:rPr>
          <w:rFonts w:cstheme="minorHAnsi"/>
        </w:rPr>
        <w:t xml:space="preserve"> </w:t>
      </w:r>
      <w:r w:rsidR="00F879EB">
        <w:rPr>
          <w:rFonts w:cstheme="minorHAnsi"/>
        </w:rPr>
        <w:t xml:space="preserve">the conclusions </w:t>
      </w:r>
      <w:r w:rsidR="00155684">
        <w:rPr>
          <w:rFonts w:cstheme="minorHAnsi"/>
        </w:rPr>
        <w:t>were quit</w:t>
      </w:r>
      <w:r w:rsidR="00F879EB">
        <w:rPr>
          <w:rFonts w:cstheme="minorHAnsi"/>
        </w:rPr>
        <w:t>e different</w:t>
      </w:r>
      <w:r w:rsidR="0090681E">
        <w:rPr>
          <w:rFonts w:cstheme="minorHAnsi"/>
        </w:rPr>
        <w:t xml:space="preserve"> in the </w:t>
      </w:r>
      <w:r w:rsidR="00CE5FF9">
        <w:rPr>
          <w:rFonts w:cstheme="minorHAnsi"/>
        </w:rPr>
        <w:t>primary pain guideline</w:t>
      </w:r>
      <w:r w:rsidR="00F879EB">
        <w:rPr>
          <w:rFonts w:cstheme="minorHAnsi"/>
        </w:rPr>
        <w:t xml:space="preserve">. For chronic primary pain, NICE recommends </w:t>
      </w:r>
      <w:r w:rsidR="008D0A0C">
        <w:rPr>
          <w:rFonts w:cstheme="minorHAnsi"/>
        </w:rPr>
        <w:t>rehabilitation</w:t>
      </w:r>
      <w:r w:rsidR="00F879EB">
        <w:rPr>
          <w:rFonts w:cstheme="minorHAnsi"/>
        </w:rPr>
        <w:t xml:space="preserve"> therapies</w:t>
      </w:r>
      <w:r w:rsidR="00197809">
        <w:rPr>
          <w:rFonts w:cstheme="minorHAnsi"/>
        </w:rPr>
        <w:t>,</w:t>
      </w:r>
      <w:r w:rsidR="00F879EB">
        <w:rPr>
          <w:rFonts w:cstheme="minorHAnsi"/>
        </w:rPr>
        <w:t xml:space="preserve"> including graded exercise and psychological therapy</w:t>
      </w:r>
      <w:r w:rsidR="007361E8">
        <w:rPr>
          <w:rFonts w:cstheme="minorHAnsi"/>
        </w:rPr>
        <w:t>.</w:t>
      </w:r>
      <w:r w:rsidR="00C904A5">
        <w:rPr>
          <w:rFonts w:cstheme="minorHAnsi"/>
          <w:vertAlign w:val="superscript"/>
        </w:rPr>
        <w:t>40</w:t>
      </w:r>
      <w:r w:rsidR="00F879EB">
        <w:rPr>
          <w:rFonts w:cstheme="minorHAnsi"/>
        </w:rPr>
        <w:t xml:space="preserve"> For clinicians seeing patients where </w:t>
      </w:r>
      <w:r w:rsidR="004F59A0">
        <w:rPr>
          <w:rFonts w:cstheme="minorHAnsi"/>
        </w:rPr>
        <w:t>CFS/ME</w:t>
      </w:r>
      <w:r w:rsidR="00F879EB">
        <w:rPr>
          <w:rFonts w:cstheme="minorHAnsi"/>
        </w:rPr>
        <w:t xml:space="preserve"> co-exists with chronic primary pain the contrasting advice is confusing.</w:t>
      </w:r>
      <w:r w:rsidR="00A272F7">
        <w:rPr>
          <w:rFonts w:cstheme="minorHAnsi"/>
        </w:rPr>
        <w:t xml:space="preserve"> </w:t>
      </w:r>
      <w:r w:rsidR="00B160BB">
        <w:rPr>
          <w:rFonts w:cstheme="minorHAnsi"/>
        </w:rPr>
        <w:t>Furthermore</w:t>
      </w:r>
      <w:r w:rsidR="00BB5AB4">
        <w:rPr>
          <w:rFonts w:cstheme="minorHAnsi"/>
        </w:rPr>
        <w:t>,</w:t>
      </w:r>
      <w:r w:rsidR="00B160BB">
        <w:rPr>
          <w:rFonts w:cstheme="minorHAnsi"/>
        </w:rPr>
        <w:t xml:space="preserve"> </w:t>
      </w:r>
      <w:r w:rsidR="00BB5AB4">
        <w:rPr>
          <w:rFonts w:cstheme="minorHAnsi"/>
        </w:rPr>
        <w:t xml:space="preserve">NICE recommends both CBT and exercise therapies </w:t>
      </w:r>
      <w:r w:rsidR="00B160BB">
        <w:rPr>
          <w:rFonts w:cstheme="minorHAnsi"/>
        </w:rPr>
        <w:t xml:space="preserve">in a range of </w:t>
      </w:r>
      <w:r w:rsidR="00BB5AB4">
        <w:rPr>
          <w:rFonts w:cstheme="minorHAnsi"/>
        </w:rPr>
        <w:t xml:space="preserve">neurological </w:t>
      </w:r>
      <w:r w:rsidR="00B160BB">
        <w:rPr>
          <w:rFonts w:cstheme="minorHAnsi"/>
        </w:rPr>
        <w:t>conditions</w:t>
      </w:r>
      <w:r w:rsidR="00676174">
        <w:rPr>
          <w:rFonts w:cstheme="minorHAnsi"/>
        </w:rPr>
        <w:t>,</w:t>
      </w:r>
      <w:r w:rsidR="00B160BB">
        <w:rPr>
          <w:rFonts w:cstheme="minorHAnsi"/>
        </w:rPr>
        <w:t xml:space="preserve"> such as </w:t>
      </w:r>
      <w:r w:rsidR="00FC3B0B">
        <w:rPr>
          <w:rFonts w:cstheme="minorHAnsi"/>
        </w:rPr>
        <w:t>m</w:t>
      </w:r>
      <w:r w:rsidR="00B160BB">
        <w:rPr>
          <w:rFonts w:cstheme="minorHAnsi"/>
        </w:rPr>
        <w:t xml:space="preserve">ultiple </w:t>
      </w:r>
      <w:r w:rsidR="00FC3B0B">
        <w:rPr>
          <w:rFonts w:cstheme="minorHAnsi"/>
        </w:rPr>
        <w:t>s</w:t>
      </w:r>
      <w:r w:rsidR="00B160BB">
        <w:rPr>
          <w:rFonts w:cstheme="minorHAnsi"/>
        </w:rPr>
        <w:t>clerosis</w:t>
      </w:r>
      <w:r w:rsidR="00676174">
        <w:rPr>
          <w:rFonts w:cstheme="minorHAnsi"/>
        </w:rPr>
        <w:t>,</w:t>
      </w:r>
      <w:r w:rsidR="00B160BB">
        <w:rPr>
          <w:rFonts w:cstheme="minorHAnsi"/>
        </w:rPr>
        <w:t xml:space="preserve"> where it can </w:t>
      </w:r>
      <w:r w:rsidR="00943A00">
        <w:rPr>
          <w:rFonts w:cstheme="minorHAnsi"/>
        </w:rPr>
        <w:t>reduce</w:t>
      </w:r>
      <w:r w:rsidR="00B160BB">
        <w:rPr>
          <w:rFonts w:cstheme="minorHAnsi"/>
        </w:rPr>
        <w:t xml:space="preserve"> </w:t>
      </w:r>
      <w:r w:rsidR="00BB5AB4">
        <w:rPr>
          <w:rFonts w:cstheme="minorHAnsi"/>
        </w:rPr>
        <w:t xml:space="preserve">fatigue and </w:t>
      </w:r>
      <w:r w:rsidR="00943A00">
        <w:rPr>
          <w:rFonts w:cstheme="minorHAnsi"/>
        </w:rPr>
        <w:t xml:space="preserve">improve </w:t>
      </w:r>
      <w:r w:rsidR="00BB5AB4">
        <w:rPr>
          <w:rFonts w:cstheme="minorHAnsi"/>
        </w:rPr>
        <w:t>mobility</w:t>
      </w:r>
      <w:r w:rsidR="00B160BB">
        <w:rPr>
          <w:rFonts w:cstheme="minorHAnsi"/>
        </w:rPr>
        <w:t>.</w:t>
      </w:r>
      <w:r w:rsidR="00C3547A">
        <w:rPr>
          <w:rFonts w:cstheme="minorHAnsi"/>
          <w:vertAlign w:val="superscript"/>
        </w:rPr>
        <w:t>4</w:t>
      </w:r>
      <w:r w:rsidR="00035C0C">
        <w:rPr>
          <w:rFonts w:cstheme="minorHAnsi"/>
          <w:vertAlign w:val="superscript"/>
        </w:rPr>
        <w:t>9</w:t>
      </w:r>
      <w:r w:rsidR="00B160BB">
        <w:rPr>
          <w:rFonts w:cstheme="minorHAnsi"/>
        </w:rPr>
        <w:t xml:space="preserve"> </w:t>
      </w:r>
      <w:r w:rsidR="004767D9" w:rsidRPr="00602CCA">
        <w:rPr>
          <w:rFonts w:cstheme="minorHAnsi"/>
        </w:rPr>
        <w:t xml:space="preserve">This inconsistent approach </w:t>
      </w:r>
      <w:r w:rsidR="00F7148C" w:rsidRPr="00F7148C">
        <w:rPr>
          <w:rFonts w:cstheme="minorHAnsi"/>
        </w:rPr>
        <w:t>is confusing for the outside world</w:t>
      </w:r>
      <w:r w:rsidR="004166CE">
        <w:rPr>
          <w:rFonts w:cstheme="minorHAnsi"/>
        </w:rPr>
        <w:t>.</w:t>
      </w:r>
      <w:r w:rsidR="004767D9" w:rsidRPr="00602CCA">
        <w:rPr>
          <w:rFonts w:cstheme="minorHAnsi"/>
        </w:rPr>
        <w:t xml:space="preserve"> </w:t>
      </w:r>
    </w:p>
    <w:p w14:paraId="2D4FE04B" w14:textId="18E23221" w:rsidR="00A81172" w:rsidRPr="00E326B5" w:rsidRDefault="00A81172" w:rsidP="007544AE">
      <w:pPr>
        <w:spacing w:line="480" w:lineRule="auto"/>
        <w:rPr>
          <w:rFonts w:cstheme="minorHAnsi"/>
          <w:vertAlign w:val="superscript"/>
        </w:rPr>
      </w:pPr>
      <w:r>
        <w:rPr>
          <w:rFonts w:cstheme="minorHAnsi"/>
        </w:rPr>
        <w:t xml:space="preserve">NICE responded to these criticisms by </w:t>
      </w:r>
      <w:r w:rsidR="00891327">
        <w:rPr>
          <w:rFonts w:cstheme="minorHAnsi"/>
        </w:rPr>
        <w:t>suggesting</w:t>
      </w:r>
      <w:r>
        <w:rPr>
          <w:rFonts w:cstheme="minorHAnsi"/>
        </w:rPr>
        <w:t xml:space="preserve"> that the pain in </w:t>
      </w:r>
      <w:r w:rsidR="004F59A0">
        <w:rPr>
          <w:rFonts w:cstheme="minorHAnsi"/>
        </w:rPr>
        <w:t>CFS/ME</w:t>
      </w:r>
      <w:r>
        <w:rPr>
          <w:rFonts w:cstheme="minorHAnsi"/>
        </w:rPr>
        <w:t xml:space="preserve"> </w:t>
      </w:r>
      <w:r w:rsidR="00155684">
        <w:rPr>
          <w:rFonts w:cstheme="minorHAnsi"/>
        </w:rPr>
        <w:t>differs from</w:t>
      </w:r>
      <w:r>
        <w:rPr>
          <w:rFonts w:cstheme="minorHAnsi"/>
        </w:rPr>
        <w:t xml:space="preserve"> </w:t>
      </w:r>
      <w:r w:rsidR="0007341F">
        <w:rPr>
          <w:rFonts w:cstheme="minorHAnsi"/>
        </w:rPr>
        <w:t xml:space="preserve">that found in </w:t>
      </w:r>
      <w:r w:rsidR="00C46904">
        <w:rPr>
          <w:rFonts w:cstheme="minorHAnsi"/>
        </w:rPr>
        <w:t>conditions such as fibromyalgia</w:t>
      </w:r>
      <w:r w:rsidR="00933BB0">
        <w:rPr>
          <w:rFonts w:cstheme="minorHAnsi"/>
        </w:rPr>
        <w:t>.</w:t>
      </w:r>
      <w:r w:rsidR="00C46904">
        <w:rPr>
          <w:rFonts w:cstheme="minorHAnsi"/>
          <w:vertAlign w:val="superscript"/>
        </w:rPr>
        <w:t>21, 22</w:t>
      </w:r>
      <w:r w:rsidR="00C46904">
        <w:rPr>
          <w:rFonts w:cstheme="minorHAnsi"/>
        </w:rPr>
        <w:t xml:space="preserve"> </w:t>
      </w:r>
      <w:r>
        <w:rPr>
          <w:rFonts w:cstheme="minorHAnsi"/>
        </w:rPr>
        <w:t>The</w:t>
      </w:r>
      <w:r w:rsidR="008538E1">
        <w:rPr>
          <w:rFonts w:cstheme="minorHAnsi"/>
        </w:rPr>
        <w:t xml:space="preserve"> new</w:t>
      </w:r>
      <w:r>
        <w:rPr>
          <w:rFonts w:cstheme="minorHAnsi"/>
        </w:rPr>
        <w:t xml:space="preserve"> guideline refers the reader to the NICE </w:t>
      </w:r>
      <w:r w:rsidR="0007341F">
        <w:rPr>
          <w:rFonts w:cstheme="minorHAnsi"/>
        </w:rPr>
        <w:t>g</w:t>
      </w:r>
      <w:r>
        <w:rPr>
          <w:rFonts w:cstheme="minorHAnsi"/>
        </w:rPr>
        <w:t>uideline on neuropathic pain.</w:t>
      </w:r>
      <w:r w:rsidR="001C4C24">
        <w:rPr>
          <w:rFonts w:cstheme="minorHAnsi"/>
          <w:vertAlign w:val="superscript"/>
        </w:rPr>
        <w:t>6</w:t>
      </w:r>
      <w:r>
        <w:rPr>
          <w:rFonts w:cstheme="minorHAnsi"/>
        </w:rPr>
        <w:t xml:space="preserve"> However, th</w:t>
      </w:r>
      <w:r w:rsidR="000F2711">
        <w:rPr>
          <w:rFonts w:cstheme="minorHAnsi"/>
        </w:rPr>
        <w:t>e</w:t>
      </w:r>
      <w:r>
        <w:rPr>
          <w:rFonts w:cstheme="minorHAnsi"/>
        </w:rPr>
        <w:t xml:space="preserve"> </w:t>
      </w:r>
      <w:r w:rsidR="000F2711">
        <w:rPr>
          <w:rFonts w:cstheme="minorHAnsi"/>
        </w:rPr>
        <w:t xml:space="preserve">pain of CFS/ME </w:t>
      </w:r>
      <w:r>
        <w:rPr>
          <w:rFonts w:cstheme="minorHAnsi"/>
        </w:rPr>
        <w:t xml:space="preserve">is </w:t>
      </w:r>
      <w:r w:rsidR="00B30116">
        <w:rPr>
          <w:rFonts w:cstheme="minorHAnsi"/>
        </w:rPr>
        <w:t xml:space="preserve">not </w:t>
      </w:r>
      <w:r w:rsidR="000F2711">
        <w:rPr>
          <w:rFonts w:cstheme="minorHAnsi"/>
        </w:rPr>
        <w:t>neuropathic</w:t>
      </w:r>
      <w:r w:rsidR="00B30116">
        <w:rPr>
          <w:rFonts w:cstheme="minorHAnsi"/>
        </w:rPr>
        <w:t xml:space="preserve"> pain</w:t>
      </w:r>
      <w:r w:rsidR="00875DF1">
        <w:rPr>
          <w:rFonts w:cstheme="minorHAnsi"/>
        </w:rPr>
        <w:t xml:space="preserve">, which </w:t>
      </w:r>
      <w:r w:rsidR="0041686D">
        <w:rPr>
          <w:rFonts w:cstheme="minorHAnsi"/>
        </w:rPr>
        <w:t>is</w:t>
      </w:r>
      <w:r w:rsidR="00B30116">
        <w:rPr>
          <w:rFonts w:cstheme="minorHAnsi"/>
        </w:rPr>
        <w:t xml:space="preserve"> </w:t>
      </w:r>
      <w:r w:rsidR="00516318">
        <w:rPr>
          <w:rFonts w:cstheme="minorHAnsi"/>
          <w:color w:val="1C1D1E"/>
          <w:shd w:val="clear" w:color="auto" w:fill="FFFFFF"/>
        </w:rPr>
        <w:t xml:space="preserve">caused by </w:t>
      </w:r>
      <w:r w:rsidR="00B30116" w:rsidRPr="001259EB">
        <w:rPr>
          <w:rFonts w:cstheme="minorHAnsi"/>
          <w:color w:val="1C1D1E"/>
          <w:shd w:val="clear" w:color="auto" w:fill="FFFFFF"/>
        </w:rPr>
        <w:t>a lesion or disease affecting the somatosensory</w:t>
      </w:r>
      <w:r w:rsidR="00B30116">
        <w:rPr>
          <w:rFonts w:cstheme="minorHAnsi"/>
          <w:color w:val="1C1D1E"/>
          <w:shd w:val="clear" w:color="auto" w:fill="FFFFFF"/>
        </w:rPr>
        <w:t xml:space="preserve"> </w:t>
      </w:r>
      <w:r w:rsidR="0041686D" w:rsidRPr="0041686D">
        <w:rPr>
          <w:rFonts w:cstheme="minorHAnsi"/>
        </w:rPr>
        <w:t>nervous system</w:t>
      </w:r>
      <w:r w:rsidR="0041686D">
        <w:rPr>
          <w:rFonts w:cstheme="minorHAnsi"/>
        </w:rPr>
        <w:t>.</w:t>
      </w:r>
      <w:r w:rsidR="00035C0C">
        <w:rPr>
          <w:rFonts w:cstheme="minorHAnsi"/>
          <w:vertAlign w:val="superscript"/>
        </w:rPr>
        <w:t>5</w:t>
      </w:r>
      <w:r w:rsidR="00A20C2E">
        <w:rPr>
          <w:rFonts w:cstheme="minorHAnsi"/>
          <w:vertAlign w:val="superscript"/>
        </w:rPr>
        <w:t>0</w:t>
      </w:r>
      <w:r w:rsidR="0041686D">
        <w:rPr>
          <w:rFonts w:cstheme="minorHAnsi"/>
        </w:rPr>
        <w:t xml:space="preserve"> </w:t>
      </w:r>
      <w:r>
        <w:rPr>
          <w:rFonts w:cstheme="minorHAnsi"/>
        </w:rPr>
        <w:t>There is no evidence that t</w:t>
      </w:r>
      <w:r w:rsidR="0031331C">
        <w:rPr>
          <w:rFonts w:cstheme="minorHAnsi"/>
        </w:rPr>
        <w:t>h</w:t>
      </w:r>
      <w:r>
        <w:rPr>
          <w:rFonts w:cstheme="minorHAnsi"/>
        </w:rPr>
        <w:t>is is the case</w:t>
      </w:r>
      <w:r w:rsidR="0041686D">
        <w:rPr>
          <w:rFonts w:cstheme="minorHAnsi"/>
        </w:rPr>
        <w:t xml:space="preserve"> in </w:t>
      </w:r>
      <w:r w:rsidR="004F59A0">
        <w:rPr>
          <w:rFonts w:cstheme="minorHAnsi"/>
        </w:rPr>
        <w:t>CFS/ME</w:t>
      </w:r>
      <w:r>
        <w:rPr>
          <w:rFonts w:cstheme="minorHAnsi"/>
        </w:rPr>
        <w:t xml:space="preserve">, and the International </w:t>
      </w:r>
      <w:r w:rsidR="0095464C">
        <w:rPr>
          <w:rFonts w:cstheme="minorHAnsi"/>
        </w:rPr>
        <w:t>Association</w:t>
      </w:r>
      <w:r>
        <w:rPr>
          <w:rFonts w:cstheme="minorHAnsi"/>
        </w:rPr>
        <w:t xml:space="preserve"> for</w:t>
      </w:r>
      <w:r w:rsidR="00356A8F">
        <w:rPr>
          <w:rFonts w:cstheme="minorHAnsi"/>
        </w:rPr>
        <w:t xml:space="preserve"> </w:t>
      </w:r>
      <w:r w:rsidR="0031331C">
        <w:rPr>
          <w:rFonts w:cstheme="minorHAnsi"/>
        </w:rPr>
        <w:t>the Study of Pain</w:t>
      </w:r>
      <w:r>
        <w:rPr>
          <w:rFonts w:cstheme="minorHAnsi"/>
        </w:rPr>
        <w:t xml:space="preserve"> does not </w:t>
      </w:r>
      <w:r w:rsidR="0074408D">
        <w:rPr>
          <w:rFonts w:cstheme="minorHAnsi"/>
        </w:rPr>
        <w:t xml:space="preserve">include </w:t>
      </w:r>
      <w:r w:rsidR="004F59A0">
        <w:rPr>
          <w:rFonts w:cstheme="minorHAnsi"/>
        </w:rPr>
        <w:t>CFS/ME</w:t>
      </w:r>
      <w:r w:rsidR="0074408D">
        <w:rPr>
          <w:rFonts w:cstheme="minorHAnsi"/>
        </w:rPr>
        <w:t xml:space="preserve"> as a cause of neuropathic pain</w:t>
      </w:r>
      <w:r>
        <w:rPr>
          <w:rFonts w:cstheme="minorHAnsi"/>
        </w:rPr>
        <w:t>.</w:t>
      </w:r>
      <w:r w:rsidR="00035C0C">
        <w:rPr>
          <w:rFonts w:cstheme="minorHAnsi"/>
          <w:vertAlign w:val="superscript"/>
        </w:rPr>
        <w:t>5</w:t>
      </w:r>
      <w:r w:rsidR="00C46904">
        <w:rPr>
          <w:rFonts w:cstheme="minorHAnsi"/>
          <w:vertAlign w:val="superscript"/>
        </w:rPr>
        <w:t>0</w:t>
      </w:r>
      <w:r w:rsidR="00A03084">
        <w:rPr>
          <w:rFonts w:cstheme="minorHAnsi"/>
        </w:rPr>
        <w:t xml:space="preserve"> </w:t>
      </w:r>
      <w:r w:rsidR="00E326B5" w:rsidRPr="00E326B5">
        <w:rPr>
          <w:rFonts w:cstheme="minorHAnsi"/>
        </w:rPr>
        <w:t>The category of nociplastic pain</w:t>
      </w:r>
      <w:r w:rsidR="00E326B5">
        <w:rPr>
          <w:rFonts w:cstheme="minorHAnsi"/>
        </w:rPr>
        <w:t>,</w:t>
      </w:r>
      <w:r w:rsidR="00E326B5" w:rsidRPr="00E326B5">
        <w:rPr>
          <w:rFonts w:cstheme="minorHAnsi"/>
        </w:rPr>
        <w:t xml:space="preserve"> which is equivalent to chronic primary pain</w:t>
      </w:r>
      <w:r w:rsidR="00E326B5">
        <w:rPr>
          <w:rFonts w:cstheme="minorHAnsi"/>
        </w:rPr>
        <w:t>,</w:t>
      </w:r>
      <w:r w:rsidR="00E326B5" w:rsidRPr="00E326B5">
        <w:rPr>
          <w:rFonts w:cstheme="minorHAnsi"/>
        </w:rPr>
        <w:t xml:space="preserve"> is the correct category for th</w:t>
      </w:r>
      <w:r w:rsidR="00350823">
        <w:rPr>
          <w:rFonts w:cstheme="minorHAnsi"/>
        </w:rPr>
        <w:t xml:space="preserve">e pain of </w:t>
      </w:r>
      <w:r w:rsidR="004F59A0">
        <w:rPr>
          <w:rFonts w:cstheme="minorHAnsi"/>
        </w:rPr>
        <w:t>CFS/ME</w:t>
      </w:r>
      <w:r w:rsidR="00E326B5">
        <w:rPr>
          <w:rFonts w:cstheme="minorHAnsi"/>
        </w:rPr>
        <w:t>.</w:t>
      </w:r>
      <w:r w:rsidR="009B59D4">
        <w:rPr>
          <w:rFonts w:cstheme="minorHAnsi"/>
          <w:vertAlign w:val="superscript"/>
        </w:rPr>
        <w:t>5</w:t>
      </w:r>
      <w:r w:rsidR="00C46904">
        <w:rPr>
          <w:rFonts w:cstheme="minorHAnsi"/>
          <w:vertAlign w:val="superscript"/>
        </w:rPr>
        <w:t>1</w:t>
      </w:r>
    </w:p>
    <w:p w14:paraId="61C6EA03" w14:textId="77777777" w:rsidR="008154E6" w:rsidRDefault="008154E6" w:rsidP="007544AE">
      <w:pPr>
        <w:spacing w:line="480" w:lineRule="auto"/>
        <w:rPr>
          <w:rFonts w:cstheme="minorHAnsi"/>
          <w:b/>
          <w:bCs/>
        </w:rPr>
      </w:pPr>
    </w:p>
    <w:p w14:paraId="3AC1A5B5" w14:textId="6721D902" w:rsidR="00650748" w:rsidRDefault="00F21D74" w:rsidP="007544AE">
      <w:pPr>
        <w:spacing w:line="480" w:lineRule="auto"/>
        <w:rPr>
          <w:rFonts w:cstheme="minorHAnsi"/>
          <w:b/>
          <w:bCs/>
        </w:rPr>
      </w:pPr>
      <w:r w:rsidRPr="00ED2658">
        <w:rPr>
          <w:rFonts w:cstheme="minorHAnsi"/>
          <w:b/>
          <w:bCs/>
        </w:rPr>
        <w:t>8. Recommendation of a</w:t>
      </w:r>
      <w:r w:rsidR="00982CA1">
        <w:rPr>
          <w:rFonts w:cstheme="minorHAnsi"/>
          <w:b/>
          <w:bCs/>
        </w:rPr>
        <w:t>n energy</w:t>
      </w:r>
      <w:r w:rsidRPr="00ED2658">
        <w:rPr>
          <w:rFonts w:cstheme="minorHAnsi"/>
          <w:b/>
          <w:bCs/>
        </w:rPr>
        <w:t xml:space="preserve"> management approach in the absence of supportive </w:t>
      </w:r>
      <w:r w:rsidR="00982CA1">
        <w:rPr>
          <w:rFonts w:cstheme="minorHAnsi"/>
          <w:b/>
          <w:bCs/>
        </w:rPr>
        <w:t xml:space="preserve">research </w:t>
      </w:r>
      <w:r w:rsidRPr="00ED2658">
        <w:rPr>
          <w:rFonts w:cstheme="minorHAnsi"/>
          <w:b/>
          <w:bCs/>
        </w:rPr>
        <w:t>evidence</w:t>
      </w:r>
    </w:p>
    <w:p w14:paraId="44FA9118" w14:textId="30FEAEB7" w:rsidR="004767D9" w:rsidRDefault="00B97A69" w:rsidP="007544AE">
      <w:pPr>
        <w:spacing w:line="480" w:lineRule="auto"/>
        <w:rPr>
          <w:rFonts w:cstheme="minorHAnsi"/>
          <w:vertAlign w:val="superscript"/>
        </w:rPr>
      </w:pPr>
      <w:r w:rsidRPr="00B97A69">
        <w:rPr>
          <w:rFonts w:cstheme="minorHAnsi"/>
        </w:rPr>
        <w:t xml:space="preserve">Having </w:t>
      </w:r>
      <w:r w:rsidR="0095464C" w:rsidRPr="00B97A69">
        <w:rPr>
          <w:rFonts w:cstheme="minorHAnsi"/>
        </w:rPr>
        <w:t>down</w:t>
      </w:r>
      <w:r w:rsidR="0095464C">
        <w:rPr>
          <w:rFonts w:cstheme="minorHAnsi"/>
        </w:rPr>
        <w:t>graded</w:t>
      </w:r>
      <w:r w:rsidRPr="00B97A69">
        <w:rPr>
          <w:rFonts w:cstheme="minorHAnsi"/>
        </w:rPr>
        <w:t xml:space="preserve"> the randomized trials </w:t>
      </w:r>
      <w:r>
        <w:rPr>
          <w:rFonts w:cstheme="minorHAnsi"/>
        </w:rPr>
        <w:t>of</w:t>
      </w:r>
      <w:r w:rsidR="00C00D0E" w:rsidRPr="00ED2658">
        <w:rPr>
          <w:rFonts w:cstheme="minorHAnsi"/>
        </w:rPr>
        <w:t xml:space="preserve"> </w:t>
      </w:r>
      <w:r w:rsidR="00C00D0E">
        <w:rPr>
          <w:rFonts w:cstheme="minorHAnsi"/>
        </w:rPr>
        <w:t>CBT and GET as primary treatments</w:t>
      </w:r>
      <w:r w:rsidR="009739B0">
        <w:rPr>
          <w:rFonts w:cstheme="minorHAnsi"/>
        </w:rPr>
        <w:t>,</w:t>
      </w:r>
      <w:r w:rsidR="006A1F5F">
        <w:rPr>
          <w:rFonts w:cstheme="minorHAnsi"/>
        </w:rPr>
        <w:t xml:space="preserve"> </w:t>
      </w:r>
      <w:r w:rsidR="00AE2606">
        <w:rPr>
          <w:rFonts w:cstheme="minorHAnsi"/>
        </w:rPr>
        <w:t>NICE recommended “energy management”</w:t>
      </w:r>
      <w:r w:rsidR="00FC3B0B">
        <w:rPr>
          <w:rFonts w:cstheme="minorHAnsi"/>
        </w:rPr>
        <w:t>,</w:t>
      </w:r>
      <w:r w:rsidR="00AE2606">
        <w:rPr>
          <w:rFonts w:cstheme="minorHAnsi"/>
        </w:rPr>
        <w:t xml:space="preserve"> in which patients </w:t>
      </w:r>
      <w:r w:rsidR="00FC3B0B">
        <w:rPr>
          <w:rFonts w:cstheme="minorHAnsi"/>
        </w:rPr>
        <w:t>are</w:t>
      </w:r>
      <w:r w:rsidR="00AE2606">
        <w:rPr>
          <w:rFonts w:cstheme="minorHAnsi"/>
        </w:rPr>
        <w:t xml:space="preserve"> encouraged to stay within the energy limits imposed by the</w:t>
      </w:r>
      <w:r w:rsidR="00FC3B0B">
        <w:rPr>
          <w:rFonts w:cstheme="minorHAnsi"/>
        </w:rPr>
        <w:t>ir</w:t>
      </w:r>
      <w:r w:rsidR="00AE2606">
        <w:rPr>
          <w:rFonts w:cstheme="minorHAnsi"/>
        </w:rPr>
        <w:t xml:space="preserve"> illness, and thus avoid exacerbating symptoms.</w:t>
      </w:r>
      <w:r w:rsidR="00CE5FF9">
        <w:rPr>
          <w:rFonts w:cstheme="minorHAnsi"/>
          <w:vertAlign w:val="superscript"/>
        </w:rPr>
        <w:t>6</w:t>
      </w:r>
      <w:r w:rsidR="005430E8">
        <w:rPr>
          <w:rFonts w:cstheme="minorHAnsi"/>
        </w:rPr>
        <w:t xml:space="preserve"> </w:t>
      </w:r>
      <w:r w:rsidR="009C0CB0">
        <w:rPr>
          <w:rFonts w:cstheme="minorHAnsi"/>
        </w:rPr>
        <w:t xml:space="preserve">This approach is </w:t>
      </w:r>
      <w:r w:rsidR="00EC3799">
        <w:rPr>
          <w:rFonts w:cstheme="minorHAnsi"/>
        </w:rPr>
        <w:t xml:space="preserve">often </w:t>
      </w:r>
      <w:r w:rsidR="00DD04C6">
        <w:rPr>
          <w:rFonts w:cstheme="minorHAnsi"/>
        </w:rPr>
        <w:t xml:space="preserve">described as pacing. </w:t>
      </w:r>
      <w:r w:rsidR="001F6BE4">
        <w:rPr>
          <w:rFonts w:cstheme="minorHAnsi"/>
        </w:rPr>
        <w:t xml:space="preserve">NICE recommended this approach </w:t>
      </w:r>
      <w:r w:rsidR="00D80534">
        <w:rPr>
          <w:rFonts w:cstheme="minorHAnsi"/>
        </w:rPr>
        <w:t>based on</w:t>
      </w:r>
      <w:r w:rsidR="001F6BE4">
        <w:rPr>
          <w:rFonts w:cstheme="minorHAnsi"/>
        </w:rPr>
        <w:t xml:space="preserve"> the experience of the guideline </w:t>
      </w:r>
      <w:r w:rsidR="009739B0">
        <w:rPr>
          <w:rFonts w:cstheme="minorHAnsi"/>
        </w:rPr>
        <w:t>committee</w:t>
      </w:r>
      <w:r w:rsidR="00814EFF">
        <w:rPr>
          <w:rFonts w:cstheme="minorHAnsi"/>
        </w:rPr>
        <w:t xml:space="preserve">, yet the </w:t>
      </w:r>
      <w:r w:rsidR="00826C63">
        <w:rPr>
          <w:rFonts w:cstheme="minorHAnsi"/>
        </w:rPr>
        <w:t xml:space="preserve">(limited) </w:t>
      </w:r>
      <w:r w:rsidR="00814EFF">
        <w:rPr>
          <w:rFonts w:cstheme="minorHAnsi"/>
        </w:rPr>
        <w:t xml:space="preserve">research evidence suggests otherwise. </w:t>
      </w:r>
      <w:r w:rsidR="001F6BE4">
        <w:rPr>
          <w:rFonts w:cstheme="minorHAnsi"/>
        </w:rPr>
        <w:t xml:space="preserve">The only substantial </w:t>
      </w:r>
      <w:r w:rsidR="00C74669">
        <w:rPr>
          <w:rFonts w:cstheme="minorHAnsi"/>
        </w:rPr>
        <w:t>evaluation</w:t>
      </w:r>
      <w:r w:rsidR="001F6BE4">
        <w:rPr>
          <w:rFonts w:cstheme="minorHAnsi"/>
        </w:rPr>
        <w:t xml:space="preserve"> of pacing </w:t>
      </w:r>
      <w:r w:rsidR="00C939DF">
        <w:rPr>
          <w:rFonts w:cstheme="minorHAnsi"/>
        </w:rPr>
        <w:t xml:space="preserve">for CFS/ME </w:t>
      </w:r>
      <w:r w:rsidR="009E0747">
        <w:rPr>
          <w:rFonts w:cstheme="minorHAnsi"/>
        </w:rPr>
        <w:t xml:space="preserve">published to date </w:t>
      </w:r>
      <w:r w:rsidR="001F6BE4">
        <w:rPr>
          <w:rFonts w:cstheme="minorHAnsi"/>
        </w:rPr>
        <w:t xml:space="preserve">was </w:t>
      </w:r>
      <w:r w:rsidRPr="00B97A69">
        <w:rPr>
          <w:rFonts w:cstheme="minorHAnsi"/>
        </w:rPr>
        <w:t xml:space="preserve">as one arm of </w:t>
      </w:r>
      <w:r w:rsidR="001F6BE4">
        <w:rPr>
          <w:rFonts w:cstheme="minorHAnsi"/>
        </w:rPr>
        <w:t>the PACE trial</w:t>
      </w:r>
      <w:r w:rsidR="00C74669">
        <w:rPr>
          <w:rFonts w:cstheme="minorHAnsi"/>
        </w:rPr>
        <w:t>.</w:t>
      </w:r>
      <w:r w:rsidR="003152A8">
        <w:rPr>
          <w:rFonts w:cstheme="minorHAnsi"/>
          <w:vertAlign w:val="superscript"/>
        </w:rPr>
        <w:t>36</w:t>
      </w:r>
      <w:r w:rsidR="001F6BE4">
        <w:rPr>
          <w:rFonts w:cstheme="minorHAnsi"/>
        </w:rPr>
        <w:t xml:space="preserve"> </w:t>
      </w:r>
      <w:r w:rsidR="00C74669">
        <w:rPr>
          <w:rFonts w:cstheme="minorHAnsi"/>
        </w:rPr>
        <w:t>This</w:t>
      </w:r>
      <w:r w:rsidR="001F6BE4">
        <w:rPr>
          <w:rFonts w:cstheme="minorHAnsi"/>
        </w:rPr>
        <w:t xml:space="preserve"> showed that adaptive pacing therapy, supported by an occupational therapist,</w:t>
      </w:r>
      <w:r w:rsidR="007F50A2">
        <w:rPr>
          <w:rFonts w:cstheme="minorHAnsi"/>
        </w:rPr>
        <w:t xml:space="preserve"> was no more effective than specialist medical care alone</w:t>
      </w:r>
      <w:r w:rsidR="008D114A">
        <w:rPr>
          <w:rFonts w:cstheme="minorHAnsi"/>
        </w:rPr>
        <w:t xml:space="preserve"> and </w:t>
      </w:r>
      <w:r w:rsidR="009E0747">
        <w:rPr>
          <w:rFonts w:cstheme="minorHAnsi"/>
        </w:rPr>
        <w:t xml:space="preserve">clearly </w:t>
      </w:r>
      <w:r w:rsidR="00BC3A8A">
        <w:rPr>
          <w:rFonts w:cstheme="minorHAnsi"/>
        </w:rPr>
        <w:t xml:space="preserve">less effective than </w:t>
      </w:r>
      <w:r w:rsidR="008D114A">
        <w:rPr>
          <w:rFonts w:cstheme="minorHAnsi"/>
        </w:rPr>
        <w:t xml:space="preserve">either </w:t>
      </w:r>
      <w:r w:rsidR="00BC3A8A">
        <w:rPr>
          <w:rFonts w:cstheme="minorHAnsi"/>
        </w:rPr>
        <w:t xml:space="preserve">CBT </w:t>
      </w:r>
      <w:r w:rsidR="008D114A">
        <w:rPr>
          <w:rFonts w:cstheme="minorHAnsi"/>
        </w:rPr>
        <w:t>or</w:t>
      </w:r>
      <w:r w:rsidR="00BC3A8A">
        <w:rPr>
          <w:rFonts w:cstheme="minorHAnsi"/>
        </w:rPr>
        <w:t xml:space="preserve"> GET</w:t>
      </w:r>
      <w:r w:rsidR="007F50A2">
        <w:rPr>
          <w:rFonts w:cstheme="minorHAnsi"/>
        </w:rPr>
        <w:t>.</w:t>
      </w:r>
      <w:r w:rsidR="006D3586">
        <w:rPr>
          <w:rFonts w:cstheme="minorHAnsi"/>
          <w:vertAlign w:val="superscript"/>
        </w:rPr>
        <w:t>3</w:t>
      </w:r>
      <w:r w:rsidR="00A43EBC">
        <w:rPr>
          <w:rFonts w:cstheme="minorHAnsi"/>
          <w:vertAlign w:val="superscript"/>
        </w:rPr>
        <w:t>6</w:t>
      </w:r>
      <w:r w:rsidR="006D3586">
        <w:rPr>
          <w:rFonts w:cstheme="minorHAnsi"/>
          <w:vertAlign w:val="superscript"/>
        </w:rPr>
        <w:t>, 41</w:t>
      </w:r>
    </w:p>
    <w:p w14:paraId="102CD128" w14:textId="77777777" w:rsidR="00A272F7" w:rsidRPr="00602CCA" w:rsidRDefault="00A272F7" w:rsidP="007544AE">
      <w:pPr>
        <w:spacing w:line="480" w:lineRule="auto"/>
        <w:rPr>
          <w:rFonts w:cstheme="minorHAnsi"/>
        </w:rPr>
      </w:pPr>
    </w:p>
    <w:p w14:paraId="715D6250" w14:textId="7544D105" w:rsidR="001D67BE" w:rsidRPr="009739B0" w:rsidRDefault="00187B21" w:rsidP="007544AE">
      <w:pPr>
        <w:spacing w:line="480" w:lineRule="auto"/>
        <w:rPr>
          <w:rFonts w:cstheme="minorHAnsi"/>
          <w:b/>
          <w:bCs/>
          <w:sz w:val="28"/>
          <w:szCs w:val="28"/>
        </w:rPr>
      </w:pPr>
      <w:r w:rsidRPr="009739B0">
        <w:rPr>
          <w:rFonts w:cstheme="minorHAnsi"/>
          <w:b/>
          <w:bCs/>
          <w:sz w:val="28"/>
          <w:szCs w:val="28"/>
        </w:rPr>
        <w:t>Conclusions</w:t>
      </w:r>
    </w:p>
    <w:p w14:paraId="1C874D90" w14:textId="4A5186F7" w:rsidR="004B417A" w:rsidRDefault="008A46B4" w:rsidP="00BB1869">
      <w:pPr>
        <w:spacing w:before="120" w:after="120" w:line="480" w:lineRule="auto"/>
        <w:rPr>
          <w:rFonts w:cstheme="minorHAnsi"/>
        </w:rPr>
      </w:pPr>
      <w:r>
        <w:rPr>
          <w:rFonts w:cstheme="minorHAnsi"/>
        </w:rPr>
        <w:t>The new guideline include</w:t>
      </w:r>
      <w:r w:rsidR="00497979">
        <w:rPr>
          <w:rFonts w:cstheme="minorHAnsi"/>
        </w:rPr>
        <w:t>s</w:t>
      </w:r>
      <w:r>
        <w:rPr>
          <w:rFonts w:cstheme="minorHAnsi"/>
        </w:rPr>
        <w:t xml:space="preserve"> important </w:t>
      </w:r>
      <w:r w:rsidR="003D6B41">
        <w:rPr>
          <w:rFonts w:cstheme="minorHAnsi"/>
        </w:rPr>
        <w:t xml:space="preserve">statements </w:t>
      </w:r>
      <w:r w:rsidR="009377EC">
        <w:rPr>
          <w:rFonts w:cstheme="minorHAnsi"/>
        </w:rPr>
        <w:t xml:space="preserve">about </w:t>
      </w:r>
      <w:r w:rsidR="00826C63">
        <w:rPr>
          <w:rFonts w:cstheme="minorHAnsi"/>
        </w:rPr>
        <w:t xml:space="preserve">the nature and consequences of </w:t>
      </w:r>
      <w:r w:rsidR="009377EC">
        <w:rPr>
          <w:rFonts w:cstheme="minorHAnsi"/>
        </w:rPr>
        <w:t>CFS</w:t>
      </w:r>
      <w:r w:rsidR="00D163A1">
        <w:rPr>
          <w:rFonts w:cstheme="minorHAnsi"/>
        </w:rPr>
        <w:t>/ME</w:t>
      </w:r>
      <w:r>
        <w:rPr>
          <w:rFonts w:cstheme="minorHAnsi"/>
        </w:rPr>
        <w:t>.</w:t>
      </w:r>
      <w:r w:rsidR="00BB1869">
        <w:rPr>
          <w:rFonts w:cstheme="minorHAnsi"/>
        </w:rPr>
        <w:t xml:space="preserve"> </w:t>
      </w:r>
      <w:r w:rsidR="00AB4FB8">
        <w:rPr>
          <w:rFonts w:cstheme="minorHAnsi"/>
        </w:rPr>
        <w:t>But, in regard to management, w</w:t>
      </w:r>
      <w:r w:rsidR="003D6B41">
        <w:rPr>
          <w:rFonts w:cstheme="minorHAnsi"/>
        </w:rPr>
        <w:t xml:space="preserve">e have presented evidence </w:t>
      </w:r>
      <w:r w:rsidR="00407FD9">
        <w:rPr>
          <w:rFonts w:cstheme="minorHAnsi"/>
        </w:rPr>
        <w:t xml:space="preserve">that suggests </w:t>
      </w:r>
      <w:r w:rsidR="003D6B41">
        <w:rPr>
          <w:rFonts w:cstheme="minorHAnsi"/>
        </w:rPr>
        <w:t xml:space="preserve">that </w:t>
      </w:r>
      <w:r w:rsidR="00426B4A">
        <w:rPr>
          <w:rFonts w:cstheme="minorHAnsi"/>
        </w:rPr>
        <w:t xml:space="preserve">both </w:t>
      </w:r>
      <w:r w:rsidR="00016C98">
        <w:rPr>
          <w:rFonts w:cstheme="minorHAnsi"/>
        </w:rPr>
        <w:t>the</w:t>
      </w:r>
      <w:r w:rsidR="009E2D64">
        <w:rPr>
          <w:rFonts w:cstheme="minorHAnsi"/>
        </w:rPr>
        <w:t xml:space="preserve"> process</w:t>
      </w:r>
      <w:r w:rsidR="00CE5FF9">
        <w:rPr>
          <w:rFonts w:cstheme="minorHAnsi"/>
        </w:rPr>
        <w:t>es</w:t>
      </w:r>
      <w:r w:rsidR="009E2D64">
        <w:rPr>
          <w:rFonts w:cstheme="minorHAnsi"/>
        </w:rPr>
        <w:t xml:space="preserve"> of synthesis </w:t>
      </w:r>
      <w:r w:rsidR="00B560E9">
        <w:rPr>
          <w:rFonts w:cstheme="minorHAnsi"/>
        </w:rPr>
        <w:t>of</w:t>
      </w:r>
      <w:r w:rsidR="00426B4A">
        <w:rPr>
          <w:rFonts w:cstheme="minorHAnsi"/>
        </w:rPr>
        <w:t xml:space="preserve"> the </w:t>
      </w:r>
      <w:r w:rsidR="009E2D64">
        <w:rPr>
          <w:rFonts w:cstheme="minorHAnsi"/>
        </w:rPr>
        <w:t xml:space="preserve">evidence </w:t>
      </w:r>
      <w:r w:rsidR="00B560E9">
        <w:rPr>
          <w:rFonts w:cstheme="minorHAnsi"/>
        </w:rPr>
        <w:t>and</w:t>
      </w:r>
      <w:r w:rsidR="009E2D64">
        <w:rPr>
          <w:rFonts w:cstheme="minorHAnsi"/>
        </w:rPr>
        <w:t xml:space="preserve"> decision making w</w:t>
      </w:r>
      <w:r w:rsidR="00CE5FF9">
        <w:rPr>
          <w:rFonts w:cstheme="minorHAnsi"/>
        </w:rPr>
        <w:t>ere</w:t>
      </w:r>
      <w:r w:rsidR="009E2D64">
        <w:rPr>
          <w:rFonts w:cstheme="minorHAnsi"/>
        </w:rPr>
        <w:t xml:space="preserve"> </w:t>
      </w:r>
      <w:r w:rsidR="00090CC5">
        <w:rPr>
          <w:rFonts w:cstheme="minorHAnsi"/>
        </w:rPr>
        <w:t>problematic</w:t>
      </w:r>
      <w:r w:rsidR="00CA76B5">
        <w:rPr>
          <w:rFonts w:cstheme="minorHAnsi"/>
        </w:rPr>
        <w:t xml:space="preserve">. </w:t>
      </w:r>
      <w:r w:rsidR="00C10799">
        <w:rPr>
          <w:rFonts w:cstheme="minorHAnsi"/>
        </w:rPr>
        <w:t>I</w:t>
      </w:r>
      <w:r w:rsidR="00C10799" w:rsidRPr="00C10799">
        <w:rPr>
          <w:rFonts w:cstheme="minorHAnsi"/>
        </w:rPr>
        <w:t xml:space="preserve">t </w:t>
      </w:r>
      <w:r w:rsidR="008205A9">
        <w:rPr>
          <w:rFonts w:cstheme="minorHAnsi"/>
        </w:rPr>
        <w:t>is</w:t>
      </w:r>
      <w:r w:rsidR="00407FD9">
        <w:rPr>
          <w:rFonts w:cstheme="minorHAnsi"/>
        </w:rPr>
        <w:t xml:space="preserve"> </w:t>
      </w:r>
      <w:r w:rsidR="004F320E">
        <w:rPr>
          <w:rFonts w:cstheme="minorHAnsi"/>
        </w:rPr>
        <w:t>difficult to understand</w:t>
      </w:r>
      <w:r w:rsidR="00C10799" w:rsidRPr="00C10799">
        <w:rPr>
          <w:rFonts w:cstheme="minorHAnsi"/>
        </w:rPr>
        <w:t xml:space="preserve"> </w:t>
      </w:r>
      <w:r w:rsidR="007A704E">
        <w:rPr>
          <w:rFonts w:cstheme="minorHAnsi"/>
        </w:rPr>
        <w:t>the disconnect between the initial</w:t>
      </w:r>
      <w:r w:rsidR="00C10799" w:rsidRPr="00C10799">
        <w:rPr>
          <w:rFonts w:cstheme="minorHAnsi"/>
        </w:rPr>
        <w:t xml:space="preserve"> </w:t>
      </w:r>
      <w:r w:rsidR="00654BF7">
        <w:rPr>
          <w:rFonts w:cstheme="minorHAnsi"/>
        </w:rPr>
        <w:t xml:space="preserve">2007 </w:t>
      </w:r>
      <w:r w:rsidR="00A95742">
        <w:rPr>
          <w:rFonts w:cstheme="minorHAnsi"/>
        </w:rPr>
        <w:t>guideline</w:t>
      </w:r>
      <w:r w:rsidR="00C10799" w:rsidRPr="00C10799">
        <w:rPr>
          <w:rFonts w:cstheme="minorHAnsi"/>
        </w:rPr>
        <w:t xml:space="preserve"> that recommend</w:t>
      </w:r>
      <w:r w:rsidR="007A704E">
        <w:rPr>
          <w:rFonts w:cstheme="minorHAnsi"/>
        </w:rPr>
        <w:t>ed</w:t>
      </w:r>
      <w:r w:rsidR="00C10799" w:rsidRPr="00C10799">
        <w:rPr>
          <w:rFonts w:cstheme="minorHAnsi"/>
        </w:rPr>
        <w:t xml:space="preserve"> </w:t>
      </w:r>
      <w:r w:rsidR="00611191">
        <w:rPr>
          <w:rFonts w:cstheme="minorHAnsi"/>
        </w:rPr>
        <w:t>CBT and GET</w:t>
      </w:r>
      <w:r w:rsidR="00C10799" w:rsidRPr="00C10799">
        <w:rPr>
          <w:rFonts w:cstheme="minorHAnsi"/>
        </w:rPr>
        <w:t xml:space="preserve">, for which the research evidence has strengthened over the following decade, and </w:t>
      </w:r>
      <w:r w:rsidR="007A704E">
        <w:rPr>
          <w:rFonts w:cstheme="minorHAnsi"/>
        </w:rPr>
        <w:t>the recent</w:t>
      </w:r>
      <w:r w:rsidR="00C10799" w:rsidRPr="00C10799">
        <w:rPr>
          <w:rFonts w:cstheme="minorHAnsi"/>
        </w:rPr>
        <w:t xml:space="preserve"> guideline that removes </w:t>
      </w:r>
      <w:r w:rsidR="00940017">
        <w:rPr>
          <w:rFonts w:cstheme="minorHAnsi"/>
        </w:rPr>
        <w:t>GET</w:t>
      </w:r>
      <w:r w:rsidR="00C10799" w:rsidRPr="00C10799">
        <w:rPr>
          <w:rFonts w:cstheme="minorHAnsi"/>
        </w:rPr>
        <w:t xml:space="preserve">, </w:t>
      </w:r>
      <w:r w:rsidR="00C10799">
        <w:rPr>
          <w:rFonts w:cstheme="minorHAnsi"/>
        </w:rPr>
        <w:t>qualifies</w:t>
      </w:r>
      <w:r w:rsidR="00C10799" w:rsidRPr="00C10799">
        <w:rPr>
          <w:rFonts w:cstheme="minorHAnsi"/>
        </w:rPr>
        <w:t xml:space="preserve"> </w:t>
      </w:r>
      <w:r w:rsidR="00940017">
        <w:rPr>
          <w:rFonts w:cstheme="minorHAnsi"/>
        </w:rPr>
        <w:t>CBT</w:t>
      </w:r>
      <w:r w:rsidR="00C10799" w:rsidRPr="00C10799">
        <w:rPr>
          <w:rFonts w:cstheme="minorHAnsi"/>
        </w:rPr>
        <w:t xml:space="preserve">, </w:t>
      </w:r>
      <w:r w:rsidR="00A70E6A">
        <w:rPr>
          <w:rFonts w:cstheme="minorHAnsi"/>
        </w:rPr>
        <w:t xml:space="preserve">and </w:t>
      </w:r>
      <w:r w:rsidR="00C10799" w:rsidRPr="00C10799">
        <w:rPr>
          <w:rFonts w:cstheme="minorHAnsi"/>
        </w:rPr>
        <w:t>replac</w:t>
      </w:r>
      <w:r w:rsidR="00A70E6A">
        <w:rPr>
          <w:rFonts w:cstheme="minorHAnsi"/>
        </w:rPr>
        <w:t>es</w:t>
      </w:r>
      <w:r w:rsidR="00C10799" w:rsidRPr="00C10799">
        <w:rPr>
          <w:rFonts w:cstheme="minorHAnsi"/>
        </w:rPr>
        <w:t xml:space="preserve"> </w:t>
      </w:r>
      <w:r w:rsidR="003C1078">
        <w:rPr>
          <w:rFonts w:cstheme="minorHAnsi"/>
        </w:rPr>
        <w:t>them with “energy management”</w:t>
      </w:r>
      <w:r w:rsidR="00CE5FF9">
        <w:rPr>
          <w:rFonts w:cstheme="minorHAnsi"/>
        </w:rPr>
        <w:t>,</w:t>
      </w:r>
      <w:r w:rsidR="00C10799" w:rsidRPr="00C10799">
        <w:rPr>
          <w:rFonts w:cstheme="minorHAnsi"/>
        </w:rPr>
        <w:t xml:space="preserve"> for which there is </w:t>
      </w:r>
      <w:r w:rsidR="00BA68AD">
        <w:rPr>
          <w:rFonts w:cstheme="minorHAnsi"/>
        </w:rPr>
        <w:t>little</w:t>
      </w:r>
      <w:r w:rsidR="00C10799" w:rsidRPr="00C10799">
        <w:rPr>
          <w:rFonts w:cstheme="minorHAnsi"/>
        </w:rPr>
        <w:t xml:space="preserve"> evidence</w:t>
      </w:r>
      <w:r w:rsidR="00C10799">
        <w:rPr>
          <w:rFonts w:cstheme="minorHAnsi"/>
        </w:rPr>
        <w:t>.</w:t>
      </w:r>
      <w:r w:rsidR="00EA3450">
        <w:rPr>
          <w:rFonts w:cstheme="minorHAnsi"/>
        </w:rPr>
        <w:t xml:space="preserve"> </w:t>
      </w:r>
      <w:r>
        <w:rPr>
          <w:rFonts w:cstheme="minorHAnsi"/>
        </w:rPr>
        <w:t>We are concerned that th</w:t>
      </w:r>
      <w:r w:rsidR="00497979">
        <w:rPr>
          <w:rFonts w:cstheme="minorHAnsi"/>
        </w:rPr>
        <w:t xml:space="preserve">is new guideline </w:t>
      </w:r>
      <w:r>
        <w:rPr>
          <w:rFonts w:cstheme="minorHAnsi"/>
        </w:rPr>
        <w:t xml:space="preserve">will effectively deny </w:t>
      </w:r>
      <w:r w:rsidR="000C6C9B">
        <w:rPr>
          <w:rFonts w:cstheme="minorHAnsi"/>
        </w:rPr>
        <w:t xml:space="preserve">clinicians the ability to offer </w:t>
      </w:r>
      <w:r w:rsidR="005F1C4B">
        <w:rPr>
          <w:rFonts w:cstheme="minorHAnsi"/>
        </w:rPr>
        <w:t xml:space="preserve">GET and evidence based CBT </w:t>
      </w:r>
      <w:r>
        <w:rPr>
          <w:rFonts w:cstheme="minorHAnsi"/>
        </w:rPr>
        <w:t>to those patients who want them</w:t>
      </w:r>
      <w:r w:rsidR="006A1F5F">
        <w:rPr>
          <w:rFonts w:cstheme="minorHAnsi"/>
        </w:rPr>
        <w:t xml:space="preserve"> </w:t>
      </w:r>
      <w:r w:rsidR="00DA6669">
        <w:rPr>
          <w:rFonts w:cstheme="minorHAnsi"/>
        </w:rPr>
        <w:t xml:space="preserve">and </w:t>
      </w:r>
      <w:r>
        <w:rPr>
          <w:rFonts w:cstheme="minorHAnsi"/>
        </w:rPr>
        <w:t>risk</w:t>
      </w:r>
      <w:r w:rsidR="00571EDD">
        <w:rPr>
          <w:rFonts w:cstheme="minorHAnsi"/>
        </w:rPr>
        <w:t>s</w:t>
      </w:r>
      <w:r>
        <w:rPr>
          <w:rFonts w:cstheme="minorHAnsi"/>
        </w:rPr>
        <w:t xml:space="preserve"> </w:t>
      </w:r>
      <w:r w:rsidR="000F79A4">
        <w:rPr>
          <w:rFonts w:cstheme="minorHAnsi"/>
        </w:rPr>
        <w:t>perpetuating</w:t>
      </w:r>
      <w:r w:rsidR="00DA6669">
        <w:rPr>
          <w:rFonts w:cstheme="minorHAnsi"/>
        </w:rPr>
        <w:t xml:space="preserve"> </w:t>
      </w:r>
      <w:r w:rsidR="00571EDD">
        <w:rPr>
          <w:rFonts w:cstheme="minorHAnsi"/>
        </w:rPr>
        <w:t xml:space="preserve">chronic </w:t>
      </w:r>
      <w:r w:rsidR="00DA6669">
        <w:rPr>
          <w:rFonts w:cstheme="minorHAnsi"/>
        </w:rPr>
        <w:t>ill health and disability.</w:t>
      </w:r>
      <w:r w:rsidR="006B4EAF">
        <w:rPr>
          <w:rFonts w:cstheme="minorHAnsi"/>
        </w:rPr>
        <w:t xml:space="preserve"> </w:t>
      </w:r>
    </w:p>
    <w:p w14:paraId="1CBC1F65" w14:textId="62E84F15" w:rsidR="006A1F5F" w:rsidRDefault="00316309" w:rsidP="00BB1869">
      <w:pPr>
        <w:spacing w:before="120" w:after="120" w:line="480" w:lineRule="auto"/>
        <w:rPr>
          <w:rFonts w:cstheme="minorHAnsi"/>
        </w:rPr>
      </w:pPr>
      <w:r>
        <w:rPr>
          <w:rFonts w:cstheme="minorHAnsi"/>
        </w:rPr>
        <w:t>Since the guideline was published, t</w:t>
      </w:r>
      <w:r w:rsidR="00AD1C5A">
        <w:rPr>
          <w:rFonts w:cstheme="minorHAnsi"/>
        </w:rPr>
        <w:t>hree</w:t>
      </w:r>
      <w:r>
        <w:rPr>
          <w:rFonts w:cstheme="minorHAnsi"/>
        </w:rPr>
        <w:t xml:space="preserve"> </w:t>
      </w:r>
      <w:r w:rsidR="000C6C4B">
        <w:rPr>
          <w:rFonts w:cstheme="minorHAnsi"/>
        </w:rPr>
        <w:t>new</w:t>
      </w:r>
      <w:r w:rsidR="006B4EAF">
        <w:rPr>
          <w:rFonts w:cstheme="minorHAnsi"/>
        </w:rPr>
        <w:t xml:space="preserve"> systematic review</w:t>
      </w:r>
      <w:r>
        <w:rPr>
          <w:rFonts w:cstheme="minorHAnsi"/>
        </w:rPr>
        <w:t>s</w:t>
      </w:r>
      <w:r w:rsidR="00B07448">
        <w:rPr>
          <w:rFonts w:cstheme="minorHAnsi"/>
        </w:rPr>
        <w:t xml:space="preserve"> </w:t>
      </w:r>
      <w:r>
        <w:rPr>
          <w:rFonts w:cstheme="minorHAnsi"/>
        </w:rPr>
        <w:t>have been published</w:t>
      </w:r>
      <w:r w:rsidR="007F4D8F">
        <w:rPr>
          <w:rFonts w:cstheme="minorHAnsi"/>
        </w:rPr>
        <w:t>.</w:t>
      </w:r>
      <w:r w:rsidR="006D3586">
        <w:rPr>
          <w:rFonts w:cstheme="minorHAnsi"/>
          <w:sz w:val="24"/>
          <w:szCs w:val="24"/>
          <w:vertAlign w:val="superscript"/>
        </w:rPr>
        <w:t>14-16</w:t>
      </w:r>
      <w:r w:rsidR="006B4EAF">
        <w:rPr>
          <w:rFonts w:cstheme="minorHAnsi"/>
        </w:rPr>
        <w:t xml:space="preserve"> The forthcoming individual patient data meta-analysis of </w:t>
      </w:r>
      <w:r w:rsidR="004D6301">
        <w:rPr>
          <w:rFonts w:cstheme="minorHAnsi"/>
        </w:rPr>
        <w:t>exercise therapy</w:t>
      </w:r>
      <w:r w:rsidR="006B4EAF">
        <w:rPr>
          <w:rFonts w:cstheme="minorHAnsi"/>
        </w:rPr>
        <w:t xml:space="preserve"> trials </w:t>
      </w:r>
      <w:r w:rsidR="00621D37">
        <w:rPr>
          <w:rFonts w:cstheme="minorHAnsi"/>
        </w:rPr>
        <w:t xml:space="preserve">for CFS/ME </w:t>
      </w:r>
      <w:r w:rsidR="006B4EAF">
        <w:rPr>
          <w:rFonts w:cstheme="minorHAnsi"/>
        </w:rPr>
        <w:t xml:space="preserve">is a </w:t>
      </w:r>
      <w:r w:rsidR="00A532F5">
        <w:rPr>
          <w:rFonts w:cstheme="minorHAnsi"/>
        </w:rPr>
        <w:t xml:space="preserve">further </w:t>
      </w:r>
      <w:r w:rsidR="006B4EAF">
        <w:rPr>
          <w:rFonts w:cstheme="minorHAnsi"/>
        </w:rPr>
        <w:t>step in the right direction.</w:t>
      </w:r>
      <w:r w:rsidR="00DB43DA">
        <w:rPr>
          <w:rFonts w:cstheme="minorHAnsi"/>
          <w:vertAlign w:val="superscript"/>
        </w:rPr>
        <w:t>5</w:t>
      </w:r>
      <w:r w:rsidR="00875DF1">
        <w:rPr>
          <w:rFonts w:cstheme="minorHAnsi"/>
          <w:vertAlign w:val="superscript"/>
        </w:rPr>
        <w:t>2</w:t>
      </w:r>
      <w:r w:rsidR="001368E1">
        <w:rPr>
          <w:rFonts w:cstheme="minorHAnsi"/>
          <w:vertAlign w:val="superscript"/>
        </w:rPr>
        <w:t xml:space="preserve">  </w:t>
      </w:r>
      <w:r w:rsidR="001368E1">
        <w:rPr>
          <w:rFonts w:cstheme="minorHAnsi"/>
        </w:rPr>
        <w:t>N</w:t>
      </w:r>
      <w:r w:rsidR="0047324E">
        <w:rPr>
          <w:rFonts w:cstheme="minorHAnsi"/>
        </w:rPr>
        <w:t>ICE</w:t>
      </w:r>
      <w:r w:rsidR="001368E1">
        <w:rPr>
          <w:rFonts w:cstheme="minorHAnsi"/>
        </w:rPr>
        <w:t xml:space="preserve"> </w:t>
      </w:r>
      <w:r w:rsidR="00090CC5">
        <w:rPr>
          <w:rFonts w:cstheme="minorHAnsi"/>
        </w:rPr>
        <w:t xml:space="preserve">should </w:t>
      </w:r>
      <w:r w:rsidR="00AD1C5A">
        <w:rPr>
          <w:rFonts w:cstheme="minorHAnsi"/>
        </w:rPr>
        <w:t>now</w:t>
      </w:r>
      <w:r w:rsidR="001368E1">
        <w:rPr>
          <w:rFonts w:cstheme="minorHAnsi"/>
        </w:rPr>
        <w:t xml:space="preserve"> reconvene a panel </w:t>
      </w:r>
      <w:r w:rsidR="000B108B">
        <w:rPr>
          <w:rFonts w:cstheme="minorHAnsi"/>
        </w:rPr>
        <w:t xml:space="preserve">with an appropriate mix of specialists, methodologists, and patients </w:t>
      </w:r>
      <w:r w:rsidR="0047324E">
        <w:rPr>
          <w:rFonts w:cstheme="minorHAnsi"/>
        </w:rPr>
        <w:t>(</w:t>
      </w:r>
      <w:r w:rsidR="000B108B">
        <w:rPr>
          <w:rFonts w:cstheme="minorHAnsi"/>
        </w:rPr>
        <w:t>both recovered and those still unwell</w:t>
      </w:r>
      <w:r w:rsidR="0047324E">
        <w:rPr>
          <w:rFonts w:cstheme="minorHAnsi"/>
        </w:rPr>
        <w:t>)</w:t>
      </w:r>
      <w:r w:rsidR="000B108B">
        <w:rPr>
          <w:rFonts w:cstheme="minorHAnsi"/>
        </w:rPr>
        <w:t xml:space="preserve">, to </w:t>
      </w:r>
      <w:r w:rsidR="003432BD">
        <w:rPr>
          <w:rFonts w:cstheme="minorHAnsi"/>
        </w:rPr>
        <w:t>re</w:t>
      </w:r>
      <w:r w:rsidR="006F3651">
        <w:rPr>
          <w:rFonts w:cstheme="minorHAnsi"/>
        </w:rPr>
        <w:t>vise the guideline, based on the</w:t>
      </w:r>
      <w:r>
        <w:rPr>
          <w:rFonts w:cstheme="minorHAnsi"/>
        </w:rPr>
        <w:t>se</w:t>
      </w:r>
      <w:r w:rsidR="006F3651">
        <w:rPr>
          <w:rFonts w:cstheme="minorHAnsi"/>
        </w:rPr>
        <w:t xml:space="preserve"> new review</w:t>
      </w:r>
      <w:r>
        <w:rPr>
          <w:rFonts w:cstheme="minorHAnsi"/>
        </w:rPr>
        <w:t>s</w:t>
      </w:r>
      <w:r w:rsidR="006F3651">
        <w:rPr>
          <w:rFonts w:cstheme="minorHAnsi"/>
        </w:rPr>
        <w:t>.</w:t>
      </w:r>
      <w:r w:rsidR="003432BD">
        <w:rPr>
          <w:rFonts w:cstheme="minorHAnsi"/>
        </w:rPr>
        <w:t xml:space="preserve"> </w:t>
      </w:r>
      <w:r w:rsidR="00A532F5">
        <w:rPr>
          <w:rFonts w:cstheme="minorHAnsi"/>
        </w:rPr>
        <w:t>In the meantime, both patients and clinicians may wish to rem</w:t>
      </w:r>
      <w:r w:rsidR="00853510">
        <w:rPr>
          <w:rFonts w:cstheme="minorHAnsi"/>
        </w:rPr>
        <w:t>ember</w:t>
      </w:r>
      <w:r w:rsidR="00A532F5">
        <w:rPr>
          <w:rFonts w:cstheme="minorHAnsi"/>
        </w:rPr>
        <w:t xml:space="preserve"> that NICE guidelines are advisory, not mandatory. Finally, t</w:t>
      </w:r>
      <w:r w:rsidR="008E1D21" w:rsidRPr="008E1D21">
        <w:rPr>
          <w:rFonts w:cstheme="minorHAnsi"/>
        </w:rPr>
        <w:t xml:space="preserve">here is </w:t>
      </w:r>
      <w:r w:rsidR="002B15CD">
        <w:rPr>
          <w:rFonts w:cstheme="minorHAnsi"/>
        </w:rPr>
        <w:t xml:space="preserve">also </w:t>
      </w:r>
      <w:r w:rsidR="008E1D21" w:rsidRPr="008E1D21">
        <w:rPr>
          <w:rFonts w:cstheme="minorHAnsi"/>
        </w:rPr>
        <w:t>a great need for more rigorous clinical trial research into novel interventions for those who do not respond to either CBT or GET.</w:t>
      </w:r>
    </w:p>
    <w:p w14:paraId="228AB0EB" w14:textId="77777777" w:rsidR="00725B1C" w:rsidRDefault="00725B1C" w:rsidP="00BB1869">
      <w:pPr>
        <w:spacing w:before="120" w:after="120" w:line="480" w:lineRule="auto"/>
        <w:rPr>
          <w:rFonts w:cstheme="minorHAnsi"/>
        </w:rPr>
      </w:pPr>
    </w:p>
    <w:p w14:paraId="3DFAB975" w14:textId="31EF398F" w:rsidR="001558AF" w:rsidRPr="001259EB" w:rsidRDefault="001558AF" w:rsidP="001558AF">
      <w:pPr>
        <w:spacing w:before="120" w:after="120" w:line="480" w:lineRule="auto"/>
        <w:rPr>
          <w:rFonts w:cstheme="minorHAnsi"/>
          <w:b/>
          <w:bCs/>
        </w:rPr>
      </w:pPr>
      <w:r w:rsidRPr="001259EB">
        <w:rPr>
          <w:rFonts w:cstheme="minorHAnsi"/>
          <w:b/>
          <w:bCs/>
        </w:rPr>
        <w:t>Contrib</w:t>
      </w:r>
      <w:r w:rsidR="00725B1C" w:rsidRPr="001259EB">
        <w:rPr>
          <w:rFonts w:cstheme="minorHAnsi"/>
          <w:b/>
          <w:bCs/>
        </w:rPr>
        <w:t>utorship</w:t>
      </w:r>
    </w:p>
    <w:p w14:paraId="0E9A51B8" w14:textId="57ADB4B7" w:rsidR="001558AF" w:rsidRPr="001558AF" w:rsidRDefault="001558AF" w:rsidP="001558AF">
      <w:pPr>
        <w:spacing w:before="120" w:after="120" w:line="480" w:lineRule="auto"/>
        <w:rPr>
          <w:rFonts w:cstheme="minorHAnsi"/>
        </w:rPr>
      </w:pPr>
      <w:r w:rsidRPr="001558AF">
        <w:rPr>
          <w:rFonts w:cstheme="minorHAnsi"/>
        </w:rPr>
        <w:t>PDW drafted the manuscript. All authors have contributed equally and have commented on iterative drafts and agreed the final version.</w:t>
      </w:r>
    </w:p>
    <w:p w14:paraId="3036E7B7" w14:textId="423C89B2" w:rsidR="00A272F7" w:rsidRPr="0047324E" w:rsidRDefault="00A272F7" w:rsidP="001558AF">
      <w:pPr>
        <w:spacing w:before="120" w:after="120" w:line="480" w:lineRule="auto"/>
        <w:rPr>
          <w:rFonts w:cstheme="minorHAnsi"/>
        </w:rPr>
      </w:pPr>
    </w:p>
    <w:p w14:paraId="0F46EE94" w14:textId="7C3B7BBA" w:rsidR="00C9775F" w:rsidRPr="00C9775F" w:rsidRDefault="00C9775F" w:rsidP="007544AE">
      <w:pPr>
        <w:spacing w:line="480" w:lineRule="auto"/>
        <w:rPr>
          <w:rFonts w:cstheme="minorHAnsi"/>
          <w:b/>
          <w:bCs/>
        </w:rPr>
      </w:pPr>
      <w:r w:rsidRPr="00C9775F">
        <w:rPr>
          <w:rFonts w:cstheme="minorHAnsi"/>
          <w:b/>
          <w:bCs/>
        </w:rPr>
        <w:t>Acknowledgement</w:t>
      </w:r>
    </w:p>
    <w:p w14:paraId="11068B8E" w14:textId="14E9E025" w:rsidR="00C9775F" w:rsidRDefault="00D34A24" w:rsidP="007544AE">
      <w:pPr>
        <w:spacing w:line="480" w:lineRule="auto"/>
        <w:rPr>
          <w:rFonts w:cstheme="minorHAnsi"/>
        </w:rPr>
      </w:pPr>
      <w:r>
        <w:rPr>
          <w:rFonts w:cstheme="minorHAnsi"/>
        </w:rPr>
        <w:t xml:space="preserve">We thank two patients with lived experience of </w:t>
      </w:r>
      <w:r w:rsidR="004F59A0">
        <w:rPr>
          <w:rFonts w:cstheme="minorHAnsi"/>
        </w:rPr>
        <w:t>CFS/ME</w:t>
      </w:r>
      <w:r>
        <w:rPr>
          <w:rFonts w:cstheme="minorHAnsi"/>
        </w:rPr>
        <w:t xml:space="preserve"> for considering a</w:t>
      </w:r>
      <w:r w:rsidR="00C9775F">
        <w:rPr>
          <w:rFonts w:cstheme="minorHAnsi"/>
        </w:rPr>
        <w:t>n earlier draft</w:t>
      </w:r>
      <w:r>
        <w:rPr>
          <w:rFonts w:cstheme="minorHAnsi"/>
        </w:rPr>
        <w:t xml:space="preserve"> of this paper. T</w:t>
      </w:r>
      <w:r w:rsidR="00C9775F">
        <w:rPr>
          <w:rFonts w:cstheme="minorHAnsi"/>
        </w:rPr>
        <w:t>heir suggestions and revisions were incorporated into the final version.</w:t>
      </w:r>
      <w:r w:rsidR="00C6096A">
        <w:rPr>
          <w:rFonts w:cstheme="minorHAnsi"/>
        </w:rPr>
        <w:t xml:space="preserve"> </w:t>
      </w:r>
    </w:p>
    <w:p w14:paraId="5F51F889" w14:textId="77777777" w:rsidR="00A272F7" w:rsidRDefault="00A272F7" w:rsidP="007544AE">
      <w:pPr>
        <w:spacing w:line="480" w:lineRule="auto"/>
        <w:rPr>
          <w:rFonts w:cstheme="minorHAnsi"/>
          <w:b/>
          <w:bCs/>
        </w:rPr>
      </w:pPr>
    </w:p>
    <w:p w14:paraId="015BB4EC" w14:textId="07B25420" w:rsidR="009059F1" w:rsidRPr="00D34A24" w:rsidRDefault="009059F1" w:rsidP="007544AE">
      <w:pPr>
        <w:spacing w:line="480" w:lineRule="auto"/>
        <w:rPr>
          <w:rFonts w:cstheme="minorHAnsi"/>
          <w:b/>
          <w:bCs/>
        </w:rPr>
      </w:pPr>
      <w:r w:rsidRPr="009059F1">
        <w:rPr>
          <w:rFonts w:cstheme="minorHAnsi"/>
          <w:b/>
          <w:bCs/>
        </w:rPr>
        <w:t xml:space="preserve">Competing Interests </w:t>
      </w:r>
    </w:p>
    <w:p w14:paraId="4502389D" w14:textId="5A7830AE" w:rsidR="009059F1" w:rsidRDefault="009059F1" w:rsidP="009E0932">
      <w:pPr>
        <w:spacing w:line="480" w:lineRule="auto"/>
        <w:rPr>
          <w:rFonts w:cstheme="minorHAnsi"/>
        </w:rPr>
      </w:pPr>
      <w:r w:rsidRPr="009059F1">
        <w:rPr>
          <w:rFonts w:cstheme="minorHAnsi"/>
        </w:rPr>
        <w:t>PW was a co-author of trials of both graded exercise therapy and cognitive behaviour therapy</w:t>
      </w:r>
      <w:r w:rsidR="00FC7E41">
        <w:rPr>
          <w:rFonts w:cstheme="minorHAnsi"/>
        </w:rPr>
        <w:t>, including the PACE trial,</w:t>
      </w:r>
      <w:r w:rsidR="005C6657">
        <w:rPr>
          <w:rFonts w:cstheme="minorHAnsi"/>
        </w:rPr>
        <w:t xml:space="preserve"> is a </w:t>
      </w:r>
      <w:r w:rsidR="00FC7E41">
        <w:rPr>
          <w:rFonts w:cstheme="minorHAnsi"/>
        </w:rPr>
        <w:t>t</w:t>
      </w:r>
      <w:r w:rsidR="005C6657" w:rsidRPr="005C6657">
        <w:rPr>
          <w:rFonts w:cstheme="minorHAnsi"/>
        </w:rPr>
        <w:t>rustee of the Voluntary Hospital of St Bartholomew’s Charity</w:t>
      </w:r>
      <w:r w:rsidR="00FC7E41">
        <w:rPr>
          <w:rFonts w:cstheme="minorHAnsi"/>
        </w:rPr>
        <w:t xml:space="preserve">, </w:t>
      </w:r>
      <w:r w:rsidR="00B555AC">
        <w:rPr>
          <w:rFonts w:cstheme="minorHAnsi"/>
        </w:rPr>
        <w:t xml:space="preserve">was a </w:t>
      </w:r>
      <w:r w:rsidR="00FC7E41">
        <w:rPr>
          <w:rFonts w:cstheme="minorHAnsi"/>
        </w:rPr>
        <w:t>p</w:t>
      </w:r>
      <w:r w:rsidR="005C6657" w:rsidRPr="005C6657">
        <w:rPr>
          <w:rFonts w:cstheme="minorHAnsi"/>
        </w:rPr>
        <w:t>revious member of Independent Medical Experts Group, which advises the UK MoD on its Armed Forces Compensation Scheme</w:t>
      </w:r>
      <w:r w:rsidR="00FC7E41">
        <w:rPr>
          <w:rFonts w:cstheme="minorHAnsi"/>
        </w:rPr>
        <w:t>, and</w:t>
      </w:r>
      <w:r w:rsidR="005C6657" w:rsidRPr="005C6657">
        <w:rPr>
          <w:rFonts w:cstheme="minorHAnsi"/>
        </w:rPr>
        <w:t xml:space="preserve"> receives personal</w:t>
      </w:r>
      <w:r w:rsidR="00FC7E41">
        <w:rPr>
          <w:rFonts w:cstheme="minorHAnsi"/>
        </w:rPr>
        <w:t xml:space="preserve"> consultancy</w:t>
      </w:r>
      <w:r w:rsidR="005C6657" w:rsidRPr="005C6657">
        <w:rPr>
          <w:rFonts w:cstheme="minorHAnsi"/>
        </w:rPr>
        <w:t xml:space="preserve"> fees from Swiss Re reinsurance company. </w:t>
      </w:r>
      <w:r w:rsidR="006A266A">
        <w:rPr>
          <w:rFonts w:cstheme="minorHAnsi"/>
        </w:rPr>
        <w:t xml:space="preserve">BA was a centre leader in the PACE trial. </w:t>
      </w:r>
      <w:r w:rsidR="00801CC1">
        <w:rPr>
          <w:rFonts w:cstheme="minorHAnsi"/>
        </w:rPr>
        <w:t xml:space="preserve">AJC reports grants from </w:t>
      </w:r>
      <w:r w:rsidR="00801CC1" w:rsidRPr="00801CC1">
        <w:rPr>
          <w:rFonts w:cstheme="minorHAnsi"/>
        </w:rPr>
        <w:t xml:space="preserve">NIHR </w:t>
      </w:r>
      <w:r w:rsidR="00801CC1">
        <w:rPr>
          <w:rFonts w:cstheme="minorHAnsi"/>
        </w:rPr>
        <w:t>(</w:t>
      </w:r>
      <w:r w:rsidR="00801CC1" w:rsidRPr="00801CC1">
        <w:rPr>
          <w:rFonts w:cstheme="minorHAnsi"/>
        </w:rPr>
        <w:t>Physio 4 FMD</w:t>
      </w:r>
      <w:r w:rsidR="00801CC1">
        <w:rPr>
          <w:rFonts w:cstheme="minorHAnsi"/>
        </w:rPr>
        <w:t xml:space="preserve">) and </w:t>
      </w:r>
      <w:r w:rsidR="00801CC1" w:rsidRPr="00801CC1">
        <w:rPr>
          <w:rFonts w:cstheme="minorHAnsi"/>
        </w:rPr>
        <w:t xml:space="preserve">CSO </w:t>
      </w:r>
      <w:r w:rsidR="00801CC1">
        <w:rPr>
          <w:rFonts w:cstheme="minorHAnsi"/>
        </w:rPr>
        <w:t>(</w:t>
      </w:r>
      <w:r w:rsidR="00801CC1" w:rsidRPr="00801CC1">
        <w:rPr>
          <w:rFonts w:cstheme="minorHAnsi"/>
        </w:rPr>
        <w:t>Long Covid Cognitive phenotyping</w:t>
      </w:r>
      <w:r w:rsidR="00801CC1">
        <w:rPr>
          <w:rFonts w:cstheme="minorHAnsi"/>
        </w:rPr>
        <w:t xml:space="preserve">). </w:t>
      </w:r>
      <w:r w:rsidRPr="009059F1">
        <w:rPr>
          <w:rFonts w:cstheme="minorHAnsi"/>
        </w:rPr>
        <w:t xml:space="preserve">AJC is a paid associate editor of JNNP and unpaid president elect of </w:t>
      </w:r>
      <w:r w:rsidR="00B555AC">
        <w:rPr>
          <w:rFonts w:cstheme="minorHAnsi"/>
        </w:rPr>
        <w:t xml:space="preserve">the </w:t>
      </w:r>
      <w:r w:rsidRPr="009059F1">
        <w:rPr>
          <w:rFonts w:cstheme="minorHAnsi"/>
        </w:rPr>
        <w:t>Functional Neurological Disorders Society</w:t>
      </w:r>
      <w:r w:rsidR="00B555AC">
        <w:rPr>
          <w:rFonts w:cstheme="minorHAnsi"/>
        </w:rPr>
        <w:t xml:space="preserve"> (FNDS)</w:t>
      </w:r>
      <w:r w:rsidRPr="009059F1">
        <w:rPr>
          <w:rFonts w:cstheme="minorHAnsi"/>
        </w:rPr>
        <w:t>, he gives expert testimony in court on a range of neuropsychiatric topics on a 50% claimant 50%: defender basis.</w:t>
      </w:r>
      <w:r w:rsidR="00801CC1">
        <w:rPr>
          <w:rFonts w:cstheme="minorHAnsi"/>
        </w:rPr>
        <w:t xml:space="preserve"> He is the </w:t>
      </w:r>
      <w:r w:rsidR="00801CC1">
        <w:t>a</w:t>
      </w:r>
      <w:r w:rsidR="00801CC1" w:rsidRPr="00801CC1">
        <w:t>uthor of a self</w:t>
      </w:r>
      <w:r w:rsidR="00801CC1">
        <w:t>-</w:t>
      </w:r>
      <w:r w:rsidR="00801CC1" w:rsidRPr="00801CC1">
        <w:t>help book based on CBT principles for treatment of FND</w:t>
      </w:r>
      <w:r w:rsidR="00801CC1">
        <w:t xml:space="preserve"> (no</w:t>
      </w:r>
      <w:r w:rsidR="00801CC1" w:rsidRPr="00801CC1">
        <w:t xml:space="preserve"> royalties </w:t>
      </w:r>
      <w:r w:rsidR="00801CC1">
        <w:t xml:space="preserve">taken). </w:t>
      </w:r>
      <w:r w:rsidR="00DB2A77">
        <w:t>DC declares grants from Pfizer and Aptinyx; consulting fees from AbbVie Inc, Allergan Sales LLC, Heron Therapeutics, Inc, Eli Lilly and Company, Aptinyx, Inc.</w:t>
      </w:r>
      <w:r w:rsidR="00B555AC">
        <w:t xml:space="preserve">, </w:t>
      </w:r>
      <w:r w:rsidR="00DB2A77">
        <w:t xml:space="preserve">H. Lundbeck A/S, Neumentum Inc., Pfizer, Inc, Regeneron Pharmaceuticals, Inc., Samumed, LLC, Swing Therapeutics, Inc., Tonix Pharmaceuticals, Inc., Virios Therapeutics, Inc. Fees from Fasken Martineau DuMoulin LLP, Kellogg, Hansen, Todd, Figel &amp; Frederick, PLLC, Marks &amp; Clerk Law LLP, Nix Patterson LLP, Pfizer, Inc, Zuber Lawler &amp; Del Duca LLP. </w:t>
      </w:r>
      <w:r w:rsidR="00334A97">
        <w:t xml:space="preserve">JAC reports consulting fees from </w:t>
      </w:r>
      <w:r w:rsidR="00334A97" w:rsidRPr="00334A97">
        <w:t>Bial</w:t>
      </w:r>
      <w:r w:rsidR="00334A97">
        <w:t xml:space="preserve">, and honoraria from </w:t>
      </w:r>
      <w:r w:rsidR="00334A97" w:rsidRPr="00334A97">
        <w:t xml:space="preserve">Janssen, Bial, </w:t>
      </w:r>
      <w:r w:rsidR="00334A97">
        <w:t xml:space="preserve">and </w:t>
      </w:r>
      <w:r w:rsidR="00334A97" w:rsidRPr="00334A97">
        <w:t>Brittania</w:t>
      </w:r>
      <w:r w:rsidR="00334A97">
        <w:t xml:space="preserve">. </w:t>
      </w:r>
      <w:r w:rsidR="00F53A25">
        <w:t xml:space="preserve">BAD reports </w:t>
      </w:r>
      <w:r w:rsidR="00F53A25" w:rsidRPr="00F53A25">
        <w:t>NIH R13 infrastructure grant for 2022 Functional Neurological Disorders Society meeting</w:t>
      </w:r>
      <w:r w:rsidR="00F53A25">
        <w:t xml:space="preserve"> in</w:t>
      </w:r>
      <w:r w:rsidR="00F53A25" w:rsidRPr="00F53A25">
        <w:t xml:space="preserve"> Boston</w:t>
      </w:r>
      <w:r w:rsidR="00F53A25">
        <w:t xml:space="preserve">. </w:t>
      </w:r>
      <w:r w:rsidR="009E0932">
        <w:t xml:space="preserve">TC was co-investigator of several trials of behavioural interventions for CFS/ME, including the PACE trial, </w:t>
      </w:r>
      <w:r w:rsidR="00B555AC">
        <w:t xml:space="preserve">has </w:t>
      </w:r>
      <w:r w:rsidR="009E0932">
        <w:t xml:space="preserve">received royalties for several books and book chapters on CFS/ME and  received payments for workshops on CBT for CFS/ME. </w:t>
      </w:r>
      <w:r w:rsidR="00AD1891" w:rsidRPr="00AD1891">
        <w:t xml:space="preserve">BAD is on the board of directors of the </w:t>
      </w:r>
      <w:r w:rsidR="0095464C" w:rsidRPr="00AD1891">
        <w:t>FNDS and</w:t>
      </w:r>
      <w:r w:rsidR="00AD1891" w:rsidRPr="00AD1891">
        <w:t xml:space="preserve"> receives royalties from Oxford University Press </w:t>
      </w:r>
      <w:r w:rsidR="00F53A25">
        <w:t>for “</w:t>
      </w:r>
      <w:r w:rsidR="00F53A25" w:rsidRPr="00F53A25">
        <w:t>Psychogenic Nonepileptic Seizures: Towards the Integration of Care</w:t>
      </w:r>
      <w:r w:rsidR="00F53A25">
        <w:t>”</w:t>
      </w:r>
      <w:r w:rsidR="00B555AC">
        <w:t>.</w:t>
      </w:r>
      <w:r w:rsidR="00F53A25">
        <w:t xml:space="preserve"> She does paid consultancy for Bioserenity (EEG interpretations) and Best Doctors (clinical consultations)</w:t>
      </w:r>
      <w:r w:rsidR="00AD1891" w:rsidRPr="00AD1891">
        <w:t>.</w:t>
      </w:r>
      <w:r w:rsidR="00AD1891">
        <w:t xml:space="preserve"> </w:t>
      </w:r>
      <w:r w:rsidR="00345B3B">
        <w:t xml:space="preserve">She received support to attend the </w:t>
      </w:r>
      <w:r w:rsidR="00345B3B" w:rsidRPr="00345B3B">
        <w:t>American Epilepsy Society Board of Directors</w:t>
      </w:r>
      <w:r w:rsidR="00345B3B">
        <w:t xml:space="preserve"> meeting in 2021. She chairs the data safety monitoring board of </w:t>
      </w:r>
      <w:r w:rsidR="00B555AC">
        <w:t xml:space="preserve">the </w:t>
      </w:r>
      <w:r w:rsidR="00345B3B" w:rsidRPr="00345B3B">
        <w:t xml:space="preserve">DSMB NIH-ESETT trial </w:t>
      </w:r>
      <w:r w:rsidR="00EA3450" w:rsidRPr="00345B3B">
        <w:t>2015-2019</w:t>
      </w:r>
      <w:r w:rsidR="00EA3450">
        <w:t xml:space="preserve"> and</w:t>
      </w:r>
      <w:r w:rsidR="00345B3B">
        <w:t xml:space="preserve"> received travel expenses to attend the</w:t>
      </w:r>
      <w:r w:rsidR="00345B3B" w:rsidRPr="00345B3B">
        <w:t xml:space="preserve"> </w:t>
      </w:r>
      <w:r w:rsidR="00345B3B">
        <w:t xml:space="preserve">American Epilepsy Society Board of Directors </w:t>
      </w:r>
      <w:r w:rsidR="00B555AC">
        <w:t>FNDS</w:t>
      </w:r>
      <w:r w:rsidR="00345B3B">
        <w:t xml:space="preserve"> meeting and Epilepsy Foundation of New England PAB. </w:t>
      </w:r>
      <w:r w:rsidR="0094279C">
        <w:t>MJE reports r</w:t>
      </w:r>
      <w:r w:rsidR="0094279C" w:rsidRPr="0094279C">
        <w:t>oyalties from Oxford University Press for the book</w:t>
      </w:r>
      <w:r w:rsidR="00B555AC">
        <w:t xml:space="preserve"> “</w:t>
      </w:r>
      <w:r w:rsidR="0094279C" w:rsidRPr="0094279C">
        <w:t>The Oxford Specialist Handbook of Movement Disorders</w:t>
      </w:r>
      <w:r w:rsidR="00B555AC">
        <w:t>”</w:t>
      </w:r>
      <w:r w:rsidR="0094279C">
        <w:t xml:space="preserve">, consulting fees from UCB (personal) and Merz Pharma (to his institution), honoraria from the </w:t>
      </w:r>
      <w:r w:rsidR="0094279C" w:rsidRPr="0094279C">
        <w:t>International Parkinson’s Disease and Movement Disorder Society</w:t>
      </w:r>
      <w:r w:rsidR="0094279C">
        <w:t xml:space="preserve">, medicolegal fees for </w:t>
      </w:r>
      <w:r w:rsidR="0094279C" w:rsidRPr="0094279C">
        <w:t>personal injury and clinical negligence cases</w:t>
      </w:r>
      <w:r w:rsidR="00150979">
        <w:t xml:space="preserve"> (not specifically CFS/ME)</w:t>
      </w:r>
      <w:r w:rsidR="0094279C">
        <w:t xml:space="preserve">, support to attend meetings from the </w:t>
      </w:r>
      <w:r w:rsidR="009C0DB4">
        <w:t>FNDS</w:t>
      </w:r>
      <w:r w:rsidR="0094279C">
        <w:t xml:space="preserve">, </w:t>
      </w:r>
      <w:r w:rsidR="003719AD">
        <w:t>leadership roles in International Parkinson’s Disease and Movement Disorder Society and Dystonia UK, and is a medical board member of FND Action and FND Hope, and board member of the F</w:t>
      </w:r>
      <w:r w:rsidR="00150979">
        <w:t>unctional Neurological Disorders Society</w:t>
      </w:r>
      <w:r w:rsidR="00D645FC" w:rsidRPr="00D645FC">
        <w:rPr>
          <w:rFonts w:cstheme="minorHAnsi"/>
        </w:rPr>
        <w:t>.</w:t>
      </w:r>
      <w:r w:rsidR="00D645FC">
        <w:rPr>
          <w:rFonts w:cstheme="minorHAnsi"/>
        </w:rPr>
        <w:t xml:space="preserve"> </w:t>
      </w:r>
      <w:r w:rsidR="002A346A" w:rsidRPr="002A346A">
        <w:rPr>
          <w:rFonts w:cstheme="minorHAnsi"/>
        </w:rPr>
        <w:t xml:space="preserve">JE was the President of the Faculty of Sport and Exercise Medicine at the time of the </w:t>
      </w:r>
      <w:r w:rsidR="002A346A">
        <w:rPr>
          <w:rFonts w:cstheme="minorHAnsi"/>
        </w:rPr>
        <w:t xml:space="preserve">Royal </w:t>
      </w:r>
      <w:r w:rsidR="002A346A" w:rsidRPr="002A346A">
        <w:rPr>
          <w:rFonts w:cstheme="minorHAnsi"/>
        </w:rPr>
        <w:t xml:space="preserve">College </w:t>
      </w:r>
      <w:r w:rsidR="002A346A">
        <w:rPr>
          <w:rFonts w:cstheme="minorHAnsi"/>
        </w:rPr>
        <w:t xml:space="preserve">of Physicians’ </w:t>
      </w:r>
      <w:r w:rsidR="002A346A" w:rsidRPr="002A346A">
        <w:rPr>
          <w:rFonts w:cstheme="minorHAnsi"/>
        </w:rPr>
        <w:t>review of th</w:t>
      </w:r>
      <w:r w:rsidR="009C0DB4">
        <w:rPr>
          <w:rFonts w:cstheme="minorHAnsi"/>
        </w:rPr>
        <w:t>is</w:t>
      </w:r>
      <w:r w:rsidR="002A346A" w:rsidRPr="002A346A">
        <w:rPr>
          <w:rFonts w:cstheme="minorHAnsi"/>
        </w:rPr>
        <w:t xml:space="preserve"> guideline and submitted comments on behalf of the Faculty. He is Medical Director of a company which occasionally manages patients with CFS/ME.</w:t>
      </w:r>
      <w:r w:rsidR="002A346A">
        <w:rPr>
          <w:rFonts w:cstheme="minorHAnsi"/>
        </w:rPr>
        <w:t xml:space="preserve"> </w:t>
      </w:r>
      <w:r w:rsidR="00194F30">
        <w:rPr>
          <w:rFonts w:cstheme="minorHAnsi"/>
        </w:rPr>
        <w:t xml:space="preserve">AJE </w:t>
      </w:r>
      <w:r w:rsidR="00194F30" w:rsidRPr="00194F30">
        <w:rPr>
          <w:rFonts w:cstheme="minorHAnsi"/>
        </w:rPr>
        <w:t>has received grant support from the NIH and the Michael J Fox Foundation</w:t>
      </w:r>
      <w:r w:rsidR="009C0DB4">
        <w:rPr>
          <w:rFonts w:cstheme="minorHAnsi"/>
        </w:rPr>
        <w:t>,</w:t>
      </w:r>
      <w:r w:rsidR="00194F30" w:rsidRPr="00194F30">
        <w:rPr>
          <w:rFonts w:cstheme="minorHAnsi"/>
        </w:rPr>
        <w:t xml:space="preserve"> personal compensation as a consultant/scientific advisory board member for Neuroderm, Neurocrine, Amneal, Acadia, Acorda, Bexion, Kyowa Kirin, Sunovion, Supernus (formerly, USWorldMeds), Avion Pharmaceuticals, and Herantis Pharma</w:t>
      </w:r>
      <w:r w:rsidR="009C0DB4">
        <w:rPr>
          <w:rFonts w:cstheme="minorHAnsi"/>
        </w:rPr>
        <w:t>,</w:t>
      </w:r>
      <w:r w:rsidR="00194F30" w:rsidRPr="00194F30">
        <w:rPr>
          <w:rFonts w:cstheme="minorHAnsi"/>
        </w:rPr>
        <w:t xml:space="preserve"> and publishing royalties from Lippincott Williams &amp; Wilkins, Cambridge University Press, and Springer. </w:t>
      </w:r>
      <w:r w:rsidR="00046215">
        <w:rPr>
          <w:rFonts w:cstheme="minorHAnsi"/>
        </w:rPr>
        <w:t xml:space="preserve">He received an honorarium from </w:t>
      </w:r>
      <w:r w:rsidR="00046215" w:rsidRPr="00046215">
        <w:rPr>
          <w:rFonts w:cstheme="minorHAnsi"/>
        </w:rPr>
        <w:t>Avion</w:t>
      </w:r>
      <w:r w:rsidR="00046215">
        <w:rPr>
          <w:rFonts w:cstheme="minorHAnsi"/>
        </w:rPr>
        <w:t xml:space="preserve">. </w:t>
      </w:r>
      <w:r w:rsidR="00194F30" w:rsidRPr="00194F30">
        <w:rPr>
          <w:rFonts w:cstheme="minorHAnsi"/>
        </w:rPr>
        <w:t>He cofounded REGAIN Therapeutics (a biotech start-up developing nonaggregating peptide analogues as replacement therapies for neurodegenerative diseases) and is co-owner of a patent that covers synthetic soluble nonaggregating peptide analogues as replacement treatments in proteinopathies</w:t>
      </w:r>
      <w:r w:rsidR="006B6DF0" w:rsidRPr="00194F30">
        <w:rPr>
          <w:rFonts w:cstheme="minorHAnsi"/>
        </w:rPr>
        <w:t xml:space="preserve">. </w:t>
      </w:r>
      <w:r w:rsidR="00792DAB">
        <w:rPr>
          <w:rFonts w:cstheme="minorHAnsi"/>
        </w:rPr>
        <w:t xml:space="preserve">PF declare consulting fees from </w:t>
      </w:r>
      <w:r w:rsidR="00792DAB" w:rsidRPr="00792DAB">
        <w:rPr>
          <w:rFonts w:cstheme="minorHAnsi"/>
        </w:rPr>
        <w:t>FADL Forlag</w:t>
      </w:r>
      <w:r w:rsidR="00792DAB">
        <w:rPr>
          <w:rFonts w:cstheme="minorHAnsi"/>
        </w:rPr>
        <w:t xml:space="preserve">, </w:t>
      </w:r>
      <w:r w:rsidR="00792DAB" w:rsidRPr="00792DAB">
        <w:rPr>
          <w:rFonts w:cstheme="minorHAnsi"/>
        </w:rPr>
        <w:t>Munksgaard</w:t>
      </w:r>
      <w:r w:rsidR="00792DAB">
        <w:rPr>
          <w:rFonts w:cstheme="minorHAnsi"/>
        </w:rPr>
        <w:t xml:space="preserve">, </w:t>
      </w:r>
      <w:r w:rsidR="00792DAB" w:rsidRPr="00792DAB">
        <w:rPr>
          <w:rFonts w:cstheme="minorHAnsi"/>
        </w:rPr>
        <w:t>Ny Nordisk Forlag</w:t>
      </w:r>
      <w:r w:rsidR="00792DAB">
        <w:rPr>
          <w:rFonts w:cstheme="minorHAnsi"/>
        </w:rPr>
        <w:t xml:space="preserve"> and</w:t>
      </w:r>
      <w:r w:rsidR="00792DAB" w:rsidRPr="00792DAB">
        <w:rPr>
          <w:rFonts w:cstheme="minorHAnsi"/>
        </w:rPr>
        <w:t xml:space="preserve"> Arnold Busk</w:t>
      </w:r>
      <w:r w:rsidR="00792DAB">
        <w:rPr>
          <w:rFonts w:cstheme="minorHAnsi"/>
        </w:rPr>
        <w:t xml:space="preserve">, an honorarium from </w:t>
      </w:r>
      <w:r w:rsidR="00792DAB" w:rsidRPr="00792DAB">
        <w:rPr>
          <w:rFonts w:cstheme="minorHAnsi"/>
        </w:rPr>
        <w:t>Lundbeck Pharma</w:t>
      </w:r>
      <w:r w:rsidR="00792DAB">
        <w:rPr>
          <w:rFonts w:cstheme="minorHAnsi"/>
        </w:rPr>
        <w:t xml:space="preserve">, and medicolegal fees from </w:t>
      </w:r>
      <w:r w:rsidR="00792DAB" w:rsidRPr="00792DAB">
        <w:rPr>
          <w:rFonts w:cstheme="minorHAnsi"/>
        </w:rPr>
        <w:t>Retslægerådet</w:t>
      </w:r>
      <w:r w:rsidR="00792DAB">
        <w:rPr>
          <w:rFonts w:cstheme="minorHAnsi"/>
        </w:rPr>
        <w:t>. SF was a</w:t>
      </w:r>
      <w:r w:rsidR="00792DAB" w:rsidRPr="00792DAB">
        <w:rPr>
          <w:rFonts w:cstheme="minorHAnsi"/>
        </w:rPr>
        <w:t xml:space="preserve"> co-founding member of the GRADE working group and a member of the GRADE guidance group. </w:t>
      </w:r>
      <w:r w:rsidR="00792DAB">
        <w:rPr>
          <w:rFonts w:cstheme="minorHAnsi"/>
        </w:rPr>
        <w:t>She has</w:t>
      </w:r>
      <w:r w:rsidR="00792DAB" w:rsidRPr="00792DAB">
        <w:rPr>
          <w:rFonts w:cstheme="minorHAnsi"/>
        </w:rPr>
        <w:t xml:space="preserve"> been engaged in debates related to the evidence regarding CFS/ME for many years from a biopsychosocial perspective. </w:t>
      </w:r>
      <w:r w:rsidR="007A7B71">
        <w:rPr>
          <w:rFonts w:cstheme="minorHAnsi"/>
        </w:rPr>
        <w:t xml:space="preserve">PG declares an </w:t>
      </w:r>
      <w:r w:rsidR="007A7B71" w:rsidRPr="007A7B71">
        <w:rPr>
          <w:rFonts w:cstheme="minorHAnsi"/>
        </w:rPr>
        <w:t>NHMRC Investigator Award: “Neglected Problems in Health Care”</w:t>
      </w:r>
      <w:r w:rsidR="007A7B71">
        <w:rPr>
          <w:rFonts w:cstheme="minorHAnsi"/>
        </w:rPr>
        <w:t xml:space="preserve"> supporting his salary; grants from</w:t>
      </w:r>
      <w:r w:rsidR="007A7B71" w:rsidRPr="007A7B71">
        <w:t xml:space="preserve"> </w:t>
      </w:r>
      <w:r w:rsidR="007A7B71">
        <w:t xml:space="preserve">the </w:t>
      </w:r>
      <w:r w:rsidR="007A7B71" w:rsidRPr="007A7B71">
        <w:rPr>
          <w:rFonts w:cstheme="minorHAnsi"/>
        </w:rPr>
        <w:t>National Heart Foundation</w:t>
      </w:r>
      <w:r w:rsidR="007A7B71">
        <w:rPr>
          <w:rFonts w:cstheme="minorHAnsi"/>
        </w:rPr>
        <w:t xml:space="preserve">, </w:t>
      </w:r>
      <w:r w:rsidR="007A7B71" w:rsidRPr="007A7B71">
        <w:rPr>
          <w:rFonts w:cstheme="minorHAnsi"/>
        </w:rPr>
        <w:t>Commonwealth Department of Health</w:t>
      </w:r>
      <w:r w:rsidR="007A7B71">
        <w:rPr>
          <w:rFonts w:cstheme="minorHAnsi"/>
        </w:rPr>
        <w:t xml:space="preserve"> and </w:t>
      </w:r>
      <w:r w:rsidR="007A7B71" w:rsidRPr="007A7B71">
        <w:rPr>
          <w:rFonts w:cstheme="minorHAnsi"/>
        </w:rPr>
        <w:t>WHO</w:t>
      </w:r>
      <w:r w:rsidR="007A7B71">
        <w:rPr>
          <w:rFonts w:cstheme="minorHAnsi"/>
        </w:rPr>
        <w:t xml:space="preserve"> for work </w:t>
      </w:r>
      <w:r w:rsidR="00E162E3">
        <w:rPr>
          <w:rFonts w:cstheme="minorHAnsi"/>
        </w:rPr>
        <w:t>un</w:t>
      </w:r>
      <w:r w:rsidR="007A7B71">
        <w:rPr>
          <w:rFonts w:cstheme="minorHAnsi"/>
        </w:rPr>
        <w:t xml:space="preserve">connected to this </w:t>
      </w:r>
      <w:r w:rsidR="00E22DA3">
        <w:rPr>
          <w:rFonts w:cstheme="minorHAnsi"/>
        </w:rPr>
        <w:t>paper and</w:t>
      </w:r>
      <w:r w:rsidR="009C0DB4">
        <w:rPr>
          <w:rFonts w:cstheme="minorHAnsi"/>
        </w:rPr>
        <w:t xml:space="preserve"> is a b</w:t>
      </w:r>
      <w:r w:rsidR="00D66FBD">
        <w:rPr>
          <w:rFonts w:cstheme="minorHAnsi"/>
        </w:rPr>
        <w:t>oard member (</w:t>
      </w:r>
      <w:r w:rsidR="007A7B71">
        <w:rPr>
          <w:rFonts w:cstheme="minorHAnsi"/>
        </w:rPr>
        <w:t>unpaid</w:t>
      </w:r>
      <w:r w:rsidR="00D66FBD">
        <w:rPr>
          <w:rFonts w:cstheme="minorHAnsi"/>
        </w:rPr>
        <w:t>)</w:t>
      </w:r>
      <w:r w:rsidR="007A7B71">
        <w:rPr>
          <w:rFonts w:cstheme="minorHAnsi"/>
        </w:rPr>
        <w:t xml:space="preserve"> for </w:t>
      </w:r>
      <w:r w:rsidR="007A7B71" w:rsidRPr="007A7B71">
        <w:rPr>
          <w:rFonts w:cstheme="minorHAnsi"/>
        </w:rPr>
        <w:t>Therapeutic Guidelines Limited</w:t>
      </w:r>
      <w:r w:rsidR="00D66FBD">
        <w:rPr>
          <w:rFonts w:cstheme="minorHAnsi"/>
        </w:rPr>
        <w:t xml:space="preserve">. </w:t>
      </w:r>
      <w:r w:rsidR="00776E4D">
        <w:rPr>
          <w:rFonts w:cstheme="minorHAnsi"/>
        </w:rPr>
        <w:t xml:space="preserve">IH has an </w:t>
      </w:r>
      <w:r w:rsidR="00776E4D" w:rsidRPr="00776E4D">
        <w:rPr>
          <w:rFonts w:cstheme="minorHAnsi"/>
        </w:rPr>
        <w:t>NRS Fellowship from CSO</w:t>
      </w:r>
      <w:r w:rsidR="00776E4D">
        <w:rPr>
          <w:rFonts w:cstheme="minorHAnsi"/>
        </w:rPr>
        <w:t>, has been paid for m</w:t>
      </w:r>
      <w:r w:rsidR="00776E4D" w:rsidRPr="00776E4D">
        <w:rPr>
          <w:rFonts w:cstheme="minorHAnsi"/>
        </w:rPr>
        <w:t>edicolegal consultations</w:t>
      </w:r>
      <w:r w:rsidR="00776E4D">
        <w:rPr>
          <w:rFonts w:cstheme="minorHAnsi"/>
        </w:rPr>
        <w:t xml:space="preserve">, receives travel expenses for attending medical conferences </w:t>
      </w:r>
      <w:r w:rsidR="00776E4D" w:rsidRPr="00776E4D">
        <w:rPr>
          <w:rFonts w:cstheme="minorHAnsi"/>
        </w:rPr>
        <w:t>and one honorari</w:t>
      </w:r>
      <w:r w:rsidR="00776E4D">
        <w:rPr>
          <w:rFonts w:cstheme="minorHAnsi"/>
        </w:rPr>
        <w:t>um</w:t>
      </w:r>
      <w:r w:rsidR="00776E4D" w:rsidRPr="00776E4D">
        <w:rPr>
          <w:rFonts w:cstheme="minorHAnsi"/>
        </w:rPr>
        <w:t xml:space="preserve"> from Bristol NHS Neurology Department</w:t>
      </w:r>
      <w:r w:rsidR="00776E4D">
        <w:rPr>
          <w:rFonts w:cstheme="minorHAnsi"/>
        </w:rPr>
        <w:t>, and is o</w:t>
      </w:r>
      <w:r w:rsidR="00776E4D" w:rsidRPr="00776E4D">
        <w:rPr>
          <w:rFonts w:cstheme="minorHAnsi"/>
        </w:rPr>
        <w:t xml:space="preserve">n the board of Fowler’s </w:t>
      </w:r>
      <w:r w:rsidR="00776E4D">
        <w:rPr>
          <w:rFonts w:cstheme="minorHAnsi"/>
        </w:rPr>
        <w:t>s</w:t>
      </w:r>
      <w:r w:rsidR="00776E4D" w:rsidRPr="00776E4D">
        <w:rPr>
          <w:rFonts w:cstheme="minorHAnsi"/>
        </w:rPr>
        <w:t>yndrome UK Charity.</w:t>
      </w:r>
      <w:r w:rsidR="00776E4D">
        <w:rPr>
          <w:rFonts w:cstheme="minorHAnsi"/>
        </w:rPr>
        <w:t xml:space="preserve"> </w:t>
      </w:r>
      <w:r w:rsidR="00EF08DA" w:rsidRPr="00EF08DA">
        <w:rPr>
          <w:rFonts w:cstheme="minorHAnsi"/>
        </w:rPr>
        <w:t>WH was a member of the 2007 NICE Guideline Development Group</w:t>
      </w:r>
      <w:r w:rsidR="009C0DB4">
        <w:rPr>
          <w:rFonts w:cstheme="minorHAnsi"/>
        </w:rPr>
        <w:t xml:space="preserve">, and </w:t>
      </w:r>
      <w:r w:rsidR="00C132C8">
        <w:rPr>
          <w:rFonts w:cstheme="minorHAnsi"/>
        </w:rPr>
        <w:t xml:space="preserve"> is </w:t>
      </w:r>
      <w:r w:rsidR="00C132C8" w:rsidRPr="00C132C8">
        <w:rPr>
          <w:rFonts w:cstheme="minorHAnsi"/>
        </w:rPr>
        <w:t>Chief Medical Officer of LV=, an insurance company</w:t>
      </w:r>
      <w:r w:rsidR="00EF08DA" w:rsidRPr="00EF08DA">
        <w:rPr>
          <w:rFonts w:cstheme="minorHAnsi"/>
        </w:rPr>
        <w:t>.</w:t>
      </w:r>
      <w:r w:rsidR="00EF08DA">
        <w:rPr>
          <w:rFonts w:cstheme="minorHAnsi"/>
        </w:rPr>
        <w:t xml:space="preserve"> </w:t>
      </w:r>
      <w:r w:rsidR="00334A97" w:rsidRPr="00334A97">
        <w:rPr>
          <w:rFonts w:cstheme="minorHAnsi"/>
        </w:rPr>
        <w:t xml:space="preserve">PH was part of the steering committee of the German clinical practice guideline on functional somatic symptoms. </w:t>
      </w:r>
      <w:r w:rsidR="00334A97">
        <w:rPr>
          <w:rFonts w:cstheme="minorHAnsi"/>
        </w:rPr>
        <w:t>MH reports fees for</w:t>
      </w:r>
      <w:r w:rsidR="00334A97" w:rsidRPr="00334A97">
        <w:t xml:space="preserve"> </w:t>
      </w:r>
      <w:r w:rsidR="00334A97">
        <w:t>medicolegal e</w:t>
      </w:r>
      <w:r w:rsidR="00334A97" w:rsidRPr="00334A97">
        <w:rPr>
          <w:rFonts w:cstheme="minorHAnsi"/>
        </w:rPr>
        <w:t xml:space="preserve">xpert </w:t>
      </w:r>
      <w:r w:rsidR="00334A97">
        <w:rPr>
          <w:rFonts w:cstheme="minorHAnsi"/>
        </w:rPr>
        <w:t>c</w:t>
      </w:r>
      <w:r w:rsidR="00334A97" w:rsidRPr="00334A97">
        <w:rPr>
          <w:rFonts w:cstheme="minorHAnsi"/>
        </w:rPr>
        <w:t xml:space="preserve">ourt </w:t>
      </w:r>
      <w:r w:rsidR="00334A97">
        <w:rPr>
          <w:rFonts w:cstheme="minorHAnsi"/>
        </w:rPr>
        <w:t>r</w:t>
      </w:r>
      <w:r w:rsidR="00334A97" w:rsidRPr="00334A97">
        <w:rPr>
          <w:rFonts w:cstheme="minorHAnsi"/>
        </w:rPr>
        <w:t>eports</w:t>
      </w:r>
      <w:r w:rsidR="00334A97">
        <w:rPr>
          <w:rFonts w:cstheme="minorHAnsi"/>
        </w:rPr>
        <w:t xml:space="preserve"> (none concern CFS/ME). </w:t>
      </w:r>
      <w:r w:rsidR="000E3688" w:rsidRPr="000E3688">
        <w:rPr>
          <w:rFonts w:cstheme="minorHAnsi"/>
        </w:rPr>
        <w:t xml:space="preserve">HK </w:t>
      </w:r>
      <w:r w:rsidR="00C132C8">
        <w:rPr>
          <w:rFonts w:cstheme="minorHAnsi"/>
        </w:rPr>
        <w:t xml:space="preserve">reports grants from </w:t>
      </w:r>
      <w:r w:rsidR="00C132C8" w:rsidRPr="00C132C8">
        <w:rPr>
          <w:rFonts w:cstheme="minorHAnsi"/>
        </w:rPr>
        <w:t xml:space="preserve">ZonMw, Stichting NKCV, MS Research, </w:t>
      </w:r>
      <w:r w:rsidR="00C132C8">
        <w:rPr>
          <w:rFonts w:cstheme="minorHAnsi"/>
        </w:rPr>
        <w:t xml:space="preserve">and </w:t>
      </w:r>
      <w:r w:rsidR="00C132C8" w:rsidRPr="00C132C8">
        <w:rPr>
          <w:rFonts w:cstheme="minorHAnsi"/>
        </w:rPr>
        <w:t>Dutch Cancer Society</w:t>
      </w:r>
      <w:r w:rsidR="00C132C8">
        <w:rPr>
          <w:rFonts w:cstheme="minorHAnsi"/>
        </w:rPr>
        <w:t xml:space="preserve">, </w:t>
      </w:r>
      <w:r w:rsidR="000E3688" w:rsidRPr="000E3688">
        <w:rPr>
          <w:rFonts w:cstheme="minorHAnsi"/>
        </w:rPr>
        <w:t>was co-author of trials of cognitive behaviour therapy</w:t>
      </w:r>
      <w:r w:rsidR="00C132C8">
        <w:rPr>
          <w:rFonts w:cstheme="minorHAnsi"/>
        </w:rPr>
        <w:t>,</w:t>
      </w:r>
      <w:r w:rsidR="000E3688" w:rsidRPr="000E3688">
        <w:rPr>
          <w:rFonts w:cstheme="minorHAnsi"/>
        </w:rPr>
        <w:t xml:space="preserve"> </w:t>
      </w:r>
      <w:r w:rsidR="00C132C8">
        <w:rPr>
          <w:rFonts w:cstheme="minorHAnsi"/>
        </w:rPr>
        <w:t>reports r</w:t>
      </w:r>
      <w:r w:rsidR="00C132C8" w:rsidRPr="00C132C8">
        <w:rPr>
          <w:rFonts w:cstheme="minorHAnsi"/>
        </w:rPr>
        <w:t>oyalties for a published treatment manual for CBT for fatigue in CFS</w:t>
      </w:r>
      <w:r w:rsidR="00C132C8">
        <w:rPr>
          <w:rFonts w:cstheme="minorHAnsi"/>
        </w:rPr>
        <w:t xml:space="preserve">/ME, and </w:t>
      </w:r>
      <w:r w:rsidR="009C0DB4">
        <w:rPr>
          <w:rFonts w:cstheme="minorHAnsi"/>
        </w:rPr>
        <w:t xml:space="preserve">an </w:t>
      </w:r>
      <w:r w:rsidR="00C132C8">
        <w:rPr>
          <w:rFonts w:cstheme="minorHAnsi"/>
        </w:rPr>
        <w:t xml:space="preserve">honorarium for a lecture from </w:t>
      </w:r>
      <w:r w:rsidR="00C132C8" w:rsidRPr="00C132C8">
        <w:rPr>
          <w:rFonts w:cstheme="minorHAnsi"/>
        </w:rPr>
        <w:t>Intercept Pharma Deutschland GmbH</w:t>
      </w:r>
      <w:r w:rsidR="00C132C8">
        <w:rPr>
          <w:rFonts w:cstheme="minorHAnsi"/>
        </w:rPr>
        <w:t xml:space="preserve">. </w:t>
      </w:r>
      <w:r w:rsidR="00F53A25">
        <w:rPr>
          <w:rFonts w:cstheme="minorHAnsi"/>
        </w:rPr>
        <w:t>A</w:t>
      </w:r>
      <w:r w:rsidR="00EB36E4">
        <w:rPr>
          <w:rFonts w:cstheme="minorHAnsi"/>
        </w:rPr>
        <w:t xml:space="preserve"> </w:t>
      </w:r>
      <w:r w:rsidR="00F53A25">
        <w:rPr>
          <w:rFonts w:cstheme="minorHAnsi"/>
        </w:rPr>
        <w:t>L</w:t>
      </w:r>
      <w:r w:rsidR="00EB36E4">
        <w:rPr>
          <w:rFonts w:cstheme="minorHAnsi"/>
        </w:rPr>
        <w:t>ehn</w:t>
      </w:r>
      <w:r w:rsidR="00F53A25">
        <w:rPr>
          <w:rFonts w:cstheme="minorHAnsi"/>
        </w:rPr>
        <w:t xml:space="preserve"> is an unpaid director of the </w:t>
      </w:r>
      <w:r w:rsidR="00F53A25" w:rsidRPr="00F53A25">
        <w:rPr>
          <w:rFonts w:cstheme="minorHAnsi"/>
        </w:rPr>
        <w:t>F</w:t>
      </w:r>
      <w:r w:rsidR="009C0DB4">
        <w:rPr>
          <w:rFonts w:cstheme="minorHAnsi"/>
        </w:rPr>
        <w:t>NDS</w:t>
      </w:r>
      <w:r w:rsidR="00F53A25">
        <w:rPr>
          <w:rFonts w:cstheme="minorHAnsi"/>
        </w:rPr>
        <w:t xml:space="preserve">. </w:t>
      </w:r>
      <w:r w:rsidR="00EB36E4">
        <w:rPr>
          <w:rFonts w:cstheme="minorHAnsi"/>
        </w:rPr>
        <w:t>A Lloyd reports grants f</w:t>
      </w:r>
      <w:r w:rsidR="009C0DB4">
        <w:rPr>
          <w:rFonts w:cstheme="minorHAnsi"/>
        </w:rPr>
        <w:t>o</w:t>
      </w:r>
      <w:r w:rsidR="00EB36E4">
        <w:rPr>
          <w:rFonts w:cstheme="minorHAnsi"/>
        </w:rPr>
        <w:t xml:space="preserve">r </w:t>
      </w:r>
      <w:r w:rsidR="009C0DB4">
        <w:rPr>
          <w:rFonts w:cstheme="minorHAnsi"/>
        </w:rPr>
        <w:t>i</w:t>
      </w:r>
      <w:r w:rsidR="00EB36E4" w:rsidRPr="00EB36E4">
        <w:rPr>
          <w:rFonts w:cstheme="minorHAnsi"/>
        </w:rPr>
        <w:t>nvestigator initiated research grants from Gilead Sciences, AbbVie, and Sequiris Pty Ltd</w:t>
      </w:r>
      <w:r w:rsidR="00EB36E4">
        <w:rPr>
          <w:rFonts w:cstheme="minorHAnsi"/>
        </w:rPr>
        <w:t xml:space="preserve">. </w:t>
      </w:r>
      <w:r w:rsidRPr="009059F1">
        <w:rPr>
          <w:rFonts w:cstheme="minorHAnsi"/>
        </w:rPr>
        <w:t xml:space="preserve">AM has been on </w:t>
      </w:r>
      <w:r w:rsidR="009C0DB4">
        <w:rPr>
          <w:rFonts w:cstheme="minorHAnsi"/>
        </w:rPr>
        <w:t xml:space="preserve">a </w:t>
      </w:r>
      <w:r w:rsidRPr="009059F1">
        <w:rPr>
          <w:rFonts w:cstheme="minorHAnsi"/>
        </w:rPr>
        <w:t xml:space="preserve">trial steering committee for </w:t>
      </w:r>
      <w:r w:rsidR="009C0DB4">
        <w:rPr>
          <w:rFonts w:cstheme="minorHAnsi"/>
        </w:rPr>
        <w:t xml:space="preserve">a </w:t>
      </w:r>
      <w:r w:rsidRPr="009059F1">
        <w:rPr>
          <w:rFonts w:cstheme="minorHAnsi"/>
        </w:rPr>
        <w:t>trial of graded exercise therapy</w:t>
      </w:r>
      <w:r w:rsidR="009C0DB4">
        <w:rPr>
          <w:rFonts w:cstheme="minorHAnsi"/>
        </w:rPr>
        <w:t>, w</w:t>
      </w:r>
      <w:r w:rsidRPr="009059F1">
        <w:rPr>
          <w:rFonts w:cstheme="minorHAnsi"/>
        </w:rPr>
        <w:t xml:space="preserve">as formerly </w:t>
      </w:r>
      <w:r w:rsidR="009C0DB4">
        <w:rPr>
          <w:rFonts w:cstheme="minorHAnsi"/>
        </w:rPr>
        <w:t>the C</w:t>
      </w:r>
      <w:r w:rsidRPr="009059F1">
        <w:rPr>
          <w:rFonts w:cstheme="minorHAnsi"/>
        </w:rPr>
        <w:t>hair of the British Association for CFS and ME (BACME) and Principal Medical Adviser for Action for ME</w:t>
      </w:r>
      <w:r w:rsidR="004D5AD6">
        <w:rPr>
          <w:rFonts w:cstheme="minorHAnsi"/>
        </w:rPr>
        <w:t xml:space="preserve">. </w:t>
      </w:r>
      <w:r w:rsidR="00603A59">
        <w:rPr>
          <w:rFonts w:cstheme="minorHAnsi"/>
        </w:rPr>
        <w:t xml:space="preserve">IM has been paid honoraria by The@WorkPartnership for </w:t>
      </w:r>
      <w:r w:rsidR="00603A59" w:rsidRPr="00603A59">
        <w:rPr>
          <w:rFonts w:cstheme="minorHAnsi"/>
        </w:rPr>
        <w:t>lectures on the occupational health management approach to managing long-term conditions</w:t>
      </w:r>
      <w:r w:rsidR="00603A59">
        <w:rPr>
          <w:rFonts w:cstheme="minorHAnsi"/>
        </w:rPr>
        <w:t xml:space="preserve"> (including CFS/ME)</w:t>
      </w:r>
      <w:r w:rsidR="00603A59" w:rsidRPr="00603A59">
        <w:rPr>
          <w:rFonts w:cstheme="minorHAnsi"/>
        </w:rPr>
        <w:t xml:space="preserve"> in the workplace</w:t>
      </w:r>
      <w:r w:rsidR="009C0DB4">
        <w:rPr>
          <w:rFonts w:cstheme="minorHAnsi"/>
        </w:rPr>
        <w:t xml:space="preserve">,  </w:t>
      </w:r>
      <w:r w:rsidR="0008211B">
        <w:rPr>
          <w:rFonts w:cstheme="minorHAnsi"/>
        </w:rPr>
        <w:t xml:space="preserve">is </w:t>
      </w:r>
      <w:r w:rsidR="0008211B" w:rsidRPr="0008211B">
        <w:rPr>
          <w:rFonts w:cstheme="minorHAnsi"/>
        </w:rPr>
        <w:t>the Academic Dean of the Faculty of Occupational Medicine</w:t>
      </w:r>
      <w:r w:rsidR="0008211B">
        <w:rPr>
          <w:rFonts w:cstheme="minorHAnsi"/>
        </w:rPr>
        <w:t xml:space="preserve"> and </w:t>
      </w:r>
      <w:r w:rsidR="0008211B" w:rsidRPr="0008211B">
        <w:rPr>
          <w:rFonts w:cstheme="minorHAnsi"/>
        </w:rPr>
        <w:t>commented on the NICE guidelines on the management of CFS/ME on behalf of the Faculty</w:t>
      </w:r>
      <w:r w:rsidR="0008211B">
        <w:rPr>
          <w:rFonts w:cstheme="minorHAnsi"/>
        </w:rPr>
        <w:t xml:space="preserve">. </w:t>
      </w:r>
      <w:r w:rsidR="00CE6058">
        <w:rPr>
          <w:rFonts w:cstheme="minorHAnsi"/>
        </w:rPr>
        <w:t>MM received an honorarium for a l</w:t>
      </w:r>
      <w:r w:rsidR="00CE6058" w:rsidRPr="00CE6058">
        <w:rPr>
          <w:rFonts w:cstheme="minorHAnsi"/>
        </w:rPr>
        <w:t xml:space="preserve">ecture </w:t>
      </w:r>
      <w:r w:rsidR="00CE6058">
        <w:rPr>
          <w:rFonts w:cstheme="minorHAnsi"/>
        </w:rPr>
        <w:t>in</w:t>
      </w:r>
      <w:r w:rsidR="00CE6058" w:rsidRPr="00CE6058">
        <w:rPr>
          <w:rFonts w:cstheme="minorHAnsi"/>
        </w:rPr>
        <w:t xml:space="preserve"> 2020 </w:t>
      </w:r>
      <w:r w:rsidR="00CE6058">
        <w:rPr>
          <w:rFonts w:cstheme="minorHAnsi"/>
        </w:rPr>
        <w:t>for</w:t>
      </w:r>
      <w:r w:rsidR="00CE6058" w:rsidRPr="00CE6058">
        <w:rPr>
          <w:rFonts w:cstheme="minorHAnsi"/>
        </w:rPr>
        <w:t xml:space="preserve"> ViiV</w:t>
      </w:r>
      <w:r w:rsidR="00CE6058">
        <w:rPr>
          <w:rFonts w:cstheme="minorHAnsi"/>
        </w:rPr>
        <w:t xml:space="preserve">, received financial support to attend the </w:t>
      </w:r>
      <w:r w:rsidR="00CE6058" w:rsidRPr="00CE6058">
        <w:rPr>
          <w:rFonts w:cstheme="minorHAnsi"/>
        </w:rPr>
        <w:t>EACS 2021 conference</w:t>
      </w:r>
      <w:r w:rsidR="00CE6058">
        <w:rPr>
          <w:rFonts w:cstheme="minorHAnsi"/>
        </w:rPr>
        <w:t xml:space="preserve"> (</w:t>
      </w:r>
      <w:r w:rsidR="00CE6058" w:rsidRPr="00CE6058">
        <w:rPr>
          <w:rFonts w:cstheme="minorHAnsi"/>
        </w:rPr>
        <w:t>virtual</w:t>
      </w:r>
      <w:r w:rsidR="00CE6058">
        <w:rPr>
          <w:rFonts w:cstheme="minorHAnsi"/>
        </w:rPr>
        <w:t xml:space="preserve">) and </w:t>
      </w:r>
      <w:r w:rsidR="00CE6058" w:rsidRPr="00CE6058">
        <w:rPr>
          <w:rFonts w:cstheme="minorHAnsi"/>
        </w:rPr>
        <w:t>ViiV</w:t>
      </w:r>
      <w:r w:rsidR="00CE6058">
        <w:rPr>
          <w:rFonts w:cstheme="minorHAnsi"/>
        </w:rPr>
        <w:t xml:space="preserve"> </w:t>
      </w:r>
      <w:r w:rsidR="00CE6058" w:rsidRPr="00CE6058">
        <w:rPr>
          <w:rFonts w:cstheme="minorHAnsi"/>
        </w:rPr>
        <w:t>EACS 2019 conference</w:t>
      </w:r>
      <w:r w:rsidR="009C0DB4">
        <w:rPr>
          <w:rFonts w:cstheme="minorHAnsi"/>
        </w:rPr>
        <w:t xml:space="preserve">, and </w:t>
      </w:r>
      <w:r w:rsidR="00CE6058">
        <w:rPr>
          <w:rFonts w:cstheme="minorHAnsi"/>
        </w:rPr>
        <w:t xml:space="preserve"> was a centre co-lead for the PACE trial. </w:t>
      </w:r>
      <w:r w:rsidR="002530C8">
        <w:rPr>
          <w:rFonts w:cstheme="minorHAnsi"/>
        </w:rPr>
        <w:t>IN reports r</w:t>
      </w:r>
      <w:r w:rsidR="002530C8" w:rsidRPr="002530C8">
        <w:rPr>
          <w:rFonts w:cstheme="minorHAnsi"/>
        </w:rPr>
        <w:t>esearch grants received from NIHR and MRC to conduct clinical trials on complex interventions</w:t>
      </w:r>
      <w:r w:rsidR="002530C8">
        <w:rPr>
          <w:rFonts w:cstheme="minorHAnsi"/>
        </w:rPr>
        <w:t>,</w:t>
      </w:r>
      <w:r w:rsidR="002530C8" w:rsidRPr="002530C8">
        <w:rPr>
          <w:rFonts w:cstheme="minorHAnsi"/>
        </w:rPr>
        <w:t xml:space="preserve"> no</w:t>
      </w:r>
      <w:r w:rsidR="002530C8">
        <w:rPr>
          <w:rFonts w:cstheme="minorHAnsi"/>
        </w:rPr>
        <w:t xml:space="preserve">t </w:t>
      </w:r>
      <w:r w:rsidR="002530C8" w:rsidRPr="002530C8">
        <w:rPr>
          <w:rFonts w:cstheme="minorHAnsi"/>
        </w:rPr>
        <w:t>specific to CFS/ME</w:t>
      </w:r>
      <w:r w:rsidR="002530C8">
        <w:rPr>
          <w:rFonts w:cstheme="minorHAnsi"/>
        </w:rPr>
        <w:t xml:space="preserve">, has </w:t>
      </w:r>
      <w:r w:rsidR="002530C8" w:rsidRPr="002530C8">
        <w:rPr>
          <w:rFonts w:cstheme="minorHAnsi"/>
        </w:rPr>
        <w:t>served on several Data Safety Committee as an independent member for trials on complex intervention</w:t>
      </w:r>
      <w:r w:rsidR="009C0DB4">
        <w:rPr>
          <w:rFonts w:cstheme="minorHAnsi"/>
        </w:rPr>
        <w:t>s</w:t>
      </w:r>
      <w:r w:rsidR="002530C8">
        <w:rPr>
          <w:rFonts w:cstheme="minorHAnsi"/>
        </w:rPr>
        <w:t>,</w:t>
      </w:r>
      <w:r w:rsidR="002530C8" w:rsidRPr="002530C8">
        <w:rPr>
          <w:rFonts w:cstheme="minorHAnsi"/>
        </w:rPr>
        <w:t xml:space="preserve"> one of which related to CFS/ME</w:t>
      </w:r>
      <w:r w:rsidR="002530C8">
        <w:rPr>
          <w:rFonts w:cstheme="minorHAnsi"/>
        </w:rPr>
        <w:t xml:space="preserve">, and is </w:t>
      </w:r>
      <w:r w:rsidR="002530C8" w:rsidRPr="002530C8">
        <w:rPr>
          <w:rFonts w:cstheme="minorHAnsi"/>
        </w:rPr>
        <w:t>Co-Chair of Wellcome Trust/Indian Alliance DBT Team Science Grant and Clinical and Public Health Research Centers Grants Committee</w:t>
      </w:r>
      <w:r w:rsidR="002530C8">
        <w:rPr>
          <w:rFonts w:cstheme="minorHAnsi"/>
        </w:rPr>
        <w:t xml:space="preserve">. </w:t>
      </w:r>
      <w:r w:rsidR="005314FA" w:rsidRPr="005314FA">
        <w:rPr>
          <w:rFonts w:cstheme="minorHAnsi"/>
        </w:rPr>
        <w:t xml:space="preserve">DLP </w:t>
      </w:r>
      <w:r w:rsidR="00EB36E4">
        <w:rPr>
          <w:rFonts w:cstheme="minorHAnsi"/>
        </w:rPr>
        <w:t xml:space="preserve">reports grants from the </w:t>
      </w:r>
      <w:r w:rsidR="00EB36E4" w:rsidRPr="00EB36E4">
        <w:rPr>
          <w:rFonts w:cstheme="minorHAnsi"/>
        </w:rPr>
        <w:t>National Institutes of Health</w:t>
      </w:r>
      <w:r w:rsidR="00EB36E4">
        <w:rPr>
          <w:rFonts w:cstheme="minorHAnsi"/>
        </w:rPr>
        <w:t xml:space="preserve"> and </w:t>
      </w:r>
      <w:r w:rsidR="00EB36E4" w:rsidRPr="00EB36E4">
        <w:rPr>
          <w:rFonts w:cstheme="minorHAnsi"/>
        </w:rPr>
        <w:t>Sidney R. Baer Jr. Foundation</w:t>
      </w:r>
      <w:r w:rsidR="00EB36E4">
        <w:rPr>
          <w:rFonts w:cstheme="minorHAnsi"/>
        </w:rPr>
        <w:t xml:space="preserve"> for work unrelated to this paper, </w:t>
      </w:r>
      <w:r w:rsidR="005314FA" w:rsidRPr="005314FA">
        <w:rPr>
          <w:rFonts w:cstheme="minorHAnsi"/>
        </w:rPr>
        <w:t>has received honoraria for continuing medical education lectures</w:t>
      </w:r>
      <w:r w:rsidR="00EB36E4">
        <w:rPr>
          <w:rFonts w:cstheme="minorHAnsi"/>
        </w:rPr>
        <w:t xml:space="preserve"> at </w:t>
      </w:r>
      <w:r w:rsidR="00EB36E4" w:rsidRPr="00EB36E4">
        <w:rPr>
          <w:rFonts w:cstheme="minorHAnsi"/>
        </w:rPr>
        <w:t>Harvard Medical School</w:t>
      </w:r>
      <w:r w:rsidR="00EB36E4">
        <w:rPr>
          <w:rFonts w:cstheme="minorHAnsi"/>
        </w:rPr>
        <w:t xml:space="preserve"> and the </w:t>
      </w:r>
      <w:r w:rsidR="00EB36E4" w:rsidRPr="00EB36E4">
        <w:rPr>
          <w:rFonts w:cstheme="minorHAnsi"/>
        </w:rPr>
        <w:t>American Academy of Neurology</w:t>
      </w:r>
      <w:r w:rsidR="005314FA" w:rsidRPr="005314FA">
        <w:rPr>
          <w:rFonts w:cstheme="minorHAnsi"/>
        </w:rPr>
        <w:t xml:space="preserve">, royalties from Springer </w:t>
      </w:r>
      <w:r w:rsidR="00EB36E4">
        <w:rPr>
          <w:rFonts w:cstheme="minorHAnsi"/>
        </w:rPr>
        <w:t xml:space="preserve">Nature </w:t>
      </w:r>
      <w:r w:rsidR="005314FA" w:rsidRPr="005314FA">
        <w:rPr>
          <w:rFonts w:cstheme="minorHAnsi"/>
        </w:rPr>
        <w:t xml:space="preserve">for a textbook on Functional Movement Disorder, </w:t>
      </w:r>
      <w:r w:rsidR="00376364">
        <w:rPr>
          <w:rFonts w:cstheme="minorHAnsi"/>
        </w:rPr>
        <w:t>is a m</w:t>
      </w:r>
      <w:r w:rsidR="00376364" w:rsidRPr="00376364">
        <w:rPr>
          <w:rFonts w:cstheme="minorHAnsi"/>
        </w:rPr>
        <w:t>ember of the Board of Directors of the F</w:t>
      </w:r>
      <w:r w:rsidR="00832F58">
        <w:rPr>
          <w:rFonts w:cstheme="minorHAnsi"/>
        </w:rPr>
        <w:t>NDS</w:t>
      </w:r>
      <w:r w:rsidR="00376364">
        <w:rPr>
          <w:rFonts w:cstheme="minorHAnsi"/>
        </w:rPr>
        <w:t>, s</w:t>
      </w:r>
      <w:r w:rsidR="00376364" w:rsidRPr="00376364">
        <w:rPr>
          <w:rFonts w:cstheme="minorHAnsi"/>
        </w:rPr>
        <w:t>enior (</w:t>
      </w:r>
      <w:r w:rsidR="00046215">
        <w:rPr>
          <w:rFonts w:cstheme="minorHAnsi"/>
        </w:rPr>
        <w:t>p</w:t>
      </w:r>
      <w:r w:rsidR="00376364" w:rsidRPr="00376364">
        <w:rPr>
          <w:rFonts w:cstheme="minorHAnsi"/>
        </w:rPr>
        <w:t xml:space="preserve">aid) </w:t>
      </w:r>
      <w:r w:rsidR="00376364">
        <w:rPr>
          <w:rFonts w:cstheme="minorHAnsi"/>
        </w:rPr>
        <w:t>e</w:t>
      </w:r>
      <w:r w:rsidR="00376364" w:rsidRPr="00376364">
        <w:rPr>
          <w:rFonts w:cstheme="minorHAnsi"/>
        </w:rPr>
        <w:t>ditor</w:t>
      </w:r>
      <w:r w:rsidR="00376364">
        <w:rPr>
          <w:rFonts w:cstheme="minorHAnsi"/>
        </w:rPr>
        <w:t xml:space="preserve"> of</w:t>
      </w:r>
      <w:r w:rsidR="00376364" w:rsidRPr="00376364">
        <w:rPr>
          <w:rFonts w:cstheme="minorHAnsi"/>
        </w:rPr>
        <w:t xml:space="preserve"> Brain and Behavior</w:t>
      </w:r>
      <w:r w:rsidR="00376364">
        <w:rPr>
          <w:rFonts w:cstheme="minorHAnsi"/>
        </w:rPr>
        <w:t xml:space="preserve"> and is an </w:t>
      </w:r>
      <w:r w:rsidR="00376364" w:rsidRPr="00376364">
        <w:rPr>
          <w:rFonts w:cstheme="minorHAnsi"/>
        </w:rPr>
        <w:t>Editorial Board Member</w:t>
      </w:r>
      <w:r w:rsidR="00376364">
        <w:rPr>
          <w:rFonts w:cstheme="minorHAnsi"/>
        </w:rPr>
        <w:t xml:space="preserve"> of </w:t>
      </w:r>
      <w:r w:rsidR="00376364" w:rsidRPr="00376364">
        <w:rPr>
          <w:rFonts w:cstheme="minorHAnsi"/>
        </w:rPr>
        <w:t>Epilepsy &amp; Behavior</w:t>
      </w:r>
      <w:r w:rsidR="005314FA" w:rsidRPr="005314FA">
        <w:rPr>
          <w:rFonts w:cstheme="minorHAnsi"/>
        </w:rPr>
        <w:t>.</w:t>
      </w:r>
      <w:r w:rsidR="005314FA">
        <w:rPr>
          <w:rFonts w:cstheme="minorHAnsi"/>
        </w:rPr>
        <w:t xml:space="preserve"> </w:t>
      </w:r>
      <w:r w:rsidR="00046215">
        <w:rPr>
          <w:rFonts w:cstheme="minorHAnsi"/>
        </w:rPr>
        <w:t xml:space="preserve">WP reports </w:t>
      </w:r>
      <w:r w:rsidR="00046215" w:rsidRPr="00046215">
        <w:rPr>
          <w:rFonts w:cstheme="minorHAnsi"/>
        </w:rPr>
        <w:t>occasional paid lectures pertaining to FND</w:t>
      </w:r>
      <w:r w:rsidR="00046215">
        <w:rPr>
          <w:rFonts w:cstheme="minorHAnsi"/>
        </w:rPr>
        <w:t xml:space="preserve"> (</w:t>
      </w:r>
      <w:r w:rsidR="00046215" w:rsidRPr="00046215">
        <w:rPr>
          <w:rFonts w:cstheme="minorHAnsi"/>
        </w:rPr>
        <w:t>most payments donated to charity</w:t>
      </w:r>
      <w:r w:rsidR="00046215">
        <w:rPr>
          <w:rFonts w:cstheme="minorHAnsi"/>
        </w:rPr>
        <w:t>),</w:t>
      </w:r>
      <w:r w:rsidR="00C44BDF">
        <w:rPr>
          <w:rFonts w:cstheme="minorHAnsi"/>
        </w:rPr>
        <w:t xml:space="preserve"> has received fees for </w:t>
      </w:r>
      <w:r w:rsidR="00C44BDF" w:rsidRPr="00C44BDF">
        <w:rPr>
          <w:rFonts w:cstheme="minorHAnsi"/>
        </w:rPr>
        <w:t>expert testimony in court on a range of neurological topics including FND</w:t>
      </w:r>
      <w:r w:rsidR="00C44BDF">
        <w:rPr>
          <w:rFonts w:cstheme="minorHAnsi"/>
        </w:rPr>
        <w:t xml:space="preserve">, is a </w:t>
      </w:r>
      <w:r w:rsidR="00C44BDF" w:rsidRPr="00C44BDF">
        <w:rPr>
          <w:rFonts w:cstheme="minorHAnsi"/>
        </w:rPr>
        <w:t xml:space="preserve">board </w:t>
      </w:r>
      <w:r w:rsidR="00C44BDF">
        <w:rPr>
          <w:rFonts w:cstheme="minorHAnsi"/>
        </w:rPr>
        <w:t xml:space="preserve">member </w:t>
      </w:r>
      <w:r w:rsidR="00C44BDF" w:rsidRPr="00C44BDF">
        <w:rPr>
          <w:rFonts w:cstheme="minorHAnsi"/>
        </w:rPr>
        <w:t>of FND Hope and FND Action</w:t>
      </w:r>
      <w:r w:rsidR="00C44BDF">
        <w:rPr>
          <w:rFonts w:cstheme="minorHAnsi"/>
        </w:rPr>
        <w:t>, and is o</w:t>
      </w:r>
      <w:r w:rsidR="00C44BDF" w:rsidRPr="00C44BDF">
        <w:rPr>
          <w:rFonts w:cstheme="minorHAnsi"/>
        </w:rPr>
        <w:t>n the board of directors of the BNPA</w:t>
      </w:r>
      <w:r w:rsidR="00C44BDF">
        <w:rPr>
          <w:rFonts w:cstheme="minorHAnsi"/>
        </w:rPr>
        <w:t xml:space="preserve">. </w:t>
      </w:r>
      <w:r w:rsidR="00781D37">
        <w:rPr>
          <w:rFonts w:cstheme="minorHAnsi"/>
        </w:rPr>
        <w:t xml:space="preserve">MR reports a grant from Elsevier, royalties from Oxford University Press, honoraria from </w:t>
      </w:r>
      <w:r w:rsidR="00781D37" w:rsidRPr="00781D37">
        <w:rPr>
          <w:rFonts w:cstheme="minorHAnsi"/>
        </w:rPr>
        <w:t xml:space="preserve">UCB Pharma, LivaNova, Eisai, </w:t>
      </w:r>
      <w:r w:rsidR="00781D37">
        <w:rPr>
          <w:rFonts w:cstheme="minorHAnsi"/>
        </w:rPr>
        <w:t xml:space="preserve">and </w:t>
      </w:r>
      <w:r w:rsidR="00781D37" w:rsidRPr="00781D37">
        <w:rPr>
          <w:rFonts w:cstheme="minorHAnsi"/>
        </w:rPr>
        <w:t>Angellini</w:t>
      </w:r>
      <w:r w:rsidR="00781D37">
        <w:rPr>
          <w:rFonts w:cstheme="minorHAnsi"/>
        </w:rPr>
        <w:t xml:space="preserve"> and sits on a data safety monitoring board for </w:t>
      </w:r>
      <w:r w:rsidR="00781D37" w:rsidRPr="00781D37">
        <w:rPr>
          <w:rFonts w:cstheme="minorHAnsi"/>
        </w:rPr>
        <w:t>IqVia Medtech</w:t>
      </w:r>
      <w:r w:rsidR="00781D37">
        <w:rPr>
          <w:rFonts w:cstheme="minorHAnsi"/>
        </w:rPr>
        <w:t xml:space="preserve">. </w:t>
      </w:r>
      <w:r w:rsidR="00E3534E">
        <w:rPr>
          <w:rFonts w:cstheme="minorHAnsi"/>
        </w:rPr>
        <w:t xml:space="preserve">WR reports grants from the </w:t>
      </w:r>
      <w:r w:rsidR="00E3534E" w:rsidRPr="00E3534E">
        <w:rPr>
          <w:rFonts w:cstheme="minorHAnsi"/>
        </w:rPr>
        <w:t>German Research Foundation</w:t>
      </w:r>
      <w:r w:rsidR="00E3534E">
        <w:rPr>
          <w:rFonts w:cstheme="minorHAnsi"/>
        </w:rPr>
        <w:t xml:space="preserve">, royalties from books, and fees for </w:t>
      </w:r>
      <w:r w:rsidR="00E3534E" w:rsidRPr="00E3534E">
        <w:rPr>
          <w:rFonts w:cstheme="minorHAnsi"/>
        </w:rPr>
        <w:t xml:space="preserve">German legal </w:t>
      </w:r>
      <w:r w:rsidR="00E3534E">
        <w:rPr>
          <w:rFonts w:cstheme="minorHAnsi"/>
        </w:rPr>
        <w:t xml:space="preserve">opinions. </w:t>
      </w:r>
      <w:r w:rsidR="00617D39">
        <w:rPr>
          <w:rFonts w:cstheme="minorHAnsi"/>
        </w:rPr>
        <w:t xml:space="preserve">AS was a member of the </w:t>
      </w:r>
      <w:r w:rsidR="00617D39" w:rsidRPr="00617D39">
        <w:rPr>
          <w:rFonts w:cstheme="minorHAnsi"/>
        </w:rPr>
        <w:t>2007 NICE Guideline Development Group for CFS/ME [CG53]</w:t>
      </w:r>
      <w:r w:rsidR="00832F58">
        <w:rPr>
          <w:rFonts w:cstheme="minorHAnsi"/>
        </w:rPr>
        <w:t>.</w:t>
      </w:r>
      <w:r w:rsidR="00617D39">
        <w:rPr>
          <w:rFonts w:cstheme="minorHAnsi"/>
        </w:rPr>
        <w:t xml:space="preserve"> </w:t>
      </w:r>
      <w:r w:rsidR="00D45624">
        <w:rPr>
          <w:rFonts w:cstheme="minorHAnsi"/>
        </w:rPr>
        <w:t xml:space="preserve">TS reports being </w:t>
      </w:r>
      <w:r w:rsidR="00832F58">
        <w:rPr>
          <w:rFonts w:cstheme="minorHAnsi"/>
        </w:rPr>
        <w:t xml:space="preserve">a member of </w:t>
      </w:r>
      <w:r w:rsidR="00D45624">
        <w:rPr>
          <w:rFonts w:cstheme="minorHAnsi"/>
        </w:rPr>
        <w:t xml:space="preserve"> the </w:t>
      </w:r>
      <w:r w:rsidR="00D45624" w:rsidRPr="00D45624">
        <w:rPr>
          <w:rFonts w:cstheme="minorHAnsi"/>
        </w:rPr>
        <w:t>Board of Directors and Membership and Liaisons Committee</w:t>
      </w:r>
      <w:r w:rsidR="00D45624">
        <w:rPr>
          <w:rFonts w:cstheme="minorHAnsi"/>
        </w:rPr>
        <w:t xml:space="preserve"> of the </w:t>
      </w:r>
      <w:r w:rsidR="00D45624" w:rsidRPr="00D45624">
        <w:rPr>
          <w:rFonts w:cstheme="minorHAnsi"/>
        </w:rPr>
        <w:t>F</w:t>
      </w:r>
      <w:r w:rsidR="00832F58">
        <w:rPr>
          <w:rFonts w:cstheme="minorHAnsi"/>
        </w:rPr>
        <w:t>NDS</w:t>
      </w:r>
      <w:r w:rsidR="00D45624">
        <w:rPr>
          <w:rFonts w:cstheme="minorHAnsi"/>
        </w:rPr>
        <w:t xml:space="preserve"> and being a member of the </w:t>
      </w:r>
      <w:r w:rsidR="00D45624" w:rsidRPr="00D45624">
        <w:rPr>
          <w:rFonts w:cstheme="minorHAnsi"/>
        </w:rPr>
        <w:t>Functional Movement Disorders Study Group (Movement Disorders Society)</w:t>
      </w:r>
      <w:r w:rsidR="00D45624">
        <w:rPr>
          <w:rFonts w:cstheme="minorHAnsi"/>
        </w:rPr>
        <w:t xml:space="preserve">. </w:t>
      </w:r>
      <w:r w:rsidR="004D5AD6" w:rsidRPr="004D5AD6">
        <w:rPr>
          <w:rFonts w:cstheme="minorHAnsi"/>
        </w:rPr>
        <w:t>MS was a co-</w:t>
      </w:r>
      <w:r w:rsidR="008926FA">
        <w:rPr>
          <w:rFonts w:cstheme="minorHAnsi"/>
        </w:rPr>
        <w:t xml:space="preserve">principal </w:t>
      </w:r>
      <w:r w:rsidR="004D5AD6" w:rsidRPr="004D5AD6">
        <w:rPr>
          <w:rFonts w:cstheme="minorHAnsi"/>
        </w:rPr>
        <w:t>investigator for the PACE trial</w:t>
      </w:r>
      <w:r w:rsidR="008926FA">
        <w:rPr>
          <w:rFonts w:cstheme="minorHAnsi"/>
        </w:rPr>
        <w:t xml:space="preserve"> and has led a trial of CBT for CFS/ME</w:t>
      </w:r>
      <w:r w:rsidR="004D5AD6">
        <w:rPr>
          <w:rFonts w:cstheme="minorHAnsi"/>
        </w:rPr>
        <w:t>.</w:t>
      </w:r>
      <w:r w:rsidR="00871ABD">
        <w:rPr>
          <w:rFonts w:cstheme="minorHAnsi"/>
        </w:rPr>
        <w:t xml:space="preserve"> </w:t>
      </w:r>
      <w:r w:rsidR="008926FA">
        <w:rPr>
          <w:rFonts w:cstheme="minorHAnsi"/>
        </w:rPr>
        <w:t>He is c</w:t>
      </w:r>
      <w:r w:rsidR="005C6657">
        <w:rPr>
          <w:rFonts w:cstheme="minorHAnsi"/>
        </w:rPr>
        <w:t xml:space="preserve">urrent </w:t>
      </w:r>
      <w:r w:rsidR="005C6657" w:rsidRPr="005C6657">
        <w:rPr>
          <w:rFonts w:cstheme="minorHAnsi"/>
        </w:rPr>
        <w:t xml:space="preserve">President of the European Association of Psychosomatic Medicine Current </w:t>
      </w:r>
      <w:r w:rsidR="005C6657">
        <w:rPr>
          <w:rFonts w:cstheme="minorHAnsi"/>
        </w:rPr>
        <w:t>(</w:t>
      </w:r>
      <w:r w:rsidR="005C6657" w:rsidRPr="005C6657">
        <w:rPr>
          <w:rFonts w:cstheme="minorHAnsi"/>
        </w:rPr>
        <w:t>unpaid</w:t>
      </w:r>
      <w:r w:rsidR="005C6657">
        <w:rPr>
          <w:rFonts w:cstheme="minorHAnsi"/>
        </w:rPr>
        <w:t>)</w:t>
      </w:r>
      <w:r w:rsidR="008926FA">
        <w:rPr>
          <w:rFonts w:cstheme="minorHAnsi"/>
        </w:rPr>
        <w:t xml:space="preserve"> and was the pr</w:t>
      </w:r>
      <w:r w:rsidR="005C6657">
        <w:rPr>
          <w:rFonts w:cstheme="minorHAnsi"/>
        </w:rPr>
        <w:t>evio</w:t>
      </w:r>
      <w:r w:rsidR="00013913">
        <w:rPr>
          <w:rFonts w:cstheme="minorHAnsi"/>
        </w:rPr>
        <w:t>u</w:t>
      </w:r>
      <w:r w:rsidR="005C6657">
        <w:rPr>
          <w:rFonts w:cstheme="minorHAnsi"/>
        </w:rPr>
        <w:t>s</w:t>
      </w:r>
      <w:r w:rsidR="005C6657" w:rsidRPr="005C6657">
        <w:rPr>
          <w:rFonts w:cstheme="minorHAnsi"/>
        </w:rPr>
        <w:t xml:space="preserve"> President of the Academy of Consultation Liaison Psychiatry</w:t>
      </w:r>
      <w:r w:rsidR="005C6657">
        <w:rPr>
          <w:rFonts w:cstheme="minorHAnsi"/>
        </w:rPr>
        <w:t xml:space="preserve"> (unpaid). </w:t>
      </w:r>
      <w:r w:rsidR="00D45624" w:rsidRPr="00D45624">
        <w:rPr>
          <w:rFonts w:cstheme="minorHAnsi"/>
        </w:rPr>
        <w:t xml:space="preserve">BS is a Council Member of the Association of British Neurologists and Medical Expert Committee member of FND Hope UK. </w:t>
      </w:r>
      <w:r w:rsidR="00871ABD" w:rsidRPr="00871ABD">
        <w:rPr>
          <w:rFonts w:cstheme="minorHAnsi"/>
        </w:rPr>
        <w:t xml:space="preserve">JS reports </w:t>
      </w:r>
      <w:r w:rsidR="00E162E3">
        <w:rPr>
          <w:rFonts w:cstheme="minorHAnsi"/>
        </w:rPr>
        <w:t xml:space="preserve">grants from </w:t>
      </w:r>
      <w:r w:rsidR="00E162E3" w:rsidRPr="00E162E3">
        <w:rPr>
          <w:rFonts w:cstheme="minorHAnsi"/>
        </w:rPr>
        <w:t>Scottish Government</w:t>
      </w:r>
      <w:r w:rsidR="00E162E3">
        <w:rPr>
          <w:rFonts w:cstheme="minorHAnsi"/>
        </w:rPr>
        <w:t xml:space="preserve"> and </w:t>
      </w:r>
      <w:r w:rsidR="00E162E3" w:rsidRPr="00E162E3">
        <w:rPr>
          <w:rFonts w:cstheme="minorHAnsi"/>
        </w:rPr>
        <w:t>NIHR</w:t>
      </w:r>
      <w:r w:rsidR="00E162E3">
        <w:rPr>
          <w:rFonts w:cstheme="minorHAnsi"/>
        </w:rPr>
        <w:t xml:space="preserve">;  royalties </w:t>
      </w:r>
      <w:r w:rsidR="00871ABD" w:rsidRPr="00871ABD">
        <w:rPr>
          <w:rFonts w:cstheme="minorHAnsi"/>
        </w:rPr>
        <w:t>from UptoDate</w:t>
      </w:r>
      <w:r w:rsidR="00013913">
        <w:rPr>
          <w:rFonts w:cstheme="minorHAnsi"/>
        </w:rPr>
        <w:t xml:space="preserve">, the </w:t>
      </w:r>
      <w:r w:rsidR="00E162E3" w:rsidRPr="00E162E3">
        <w:rPr>
          <w:rFonts w:cstheme="minorHAnsi"/>
        </w:rPr>
        <w:t>Donald Baxter Lecture Award</w:t>
      </w:r>
      <w:r w:rsidR="00E162E3">
        <w:rPr>
          <w:rFonts w:cstheme="minorHAnsi"/>
        </w:rPr>
        <w:t>,</w:t>
      </w:r>
      <w:r w:rsidR="00E162E3" w:rsidRPr="00E162E3">
        <w:rPr>
          <w:rFonts w:cstheme="minorHAnsi"/>
        </w:rPr>
        <w:t xml:space="preserve"> Montreal</w:t>
      </w:r>
      <w:r w:rsidR="00013913">
        <w:rPr>
          <w:rFonts w:cstheme="minorHAnsi"/>
        </w:rPr>
        <w:t>,</w:t>
      </w:r>
      <w:r w:rsidR="00E162E3" w:rsidRPr="00E162E3">
        <w:rPr>
          <w:rFonts w:cstheme="minorHAnsi"/>
        </w:rPr>
        <w:t xml:space="preserve"> </w:t>
      </w:r>
      <w:r w:rsidR="00E162E3">
        <w:rPr>
          <w:rFonts w:cstheme="minorHAnsi"/>
        </w:rPr>
        <w:t xml:space="preserve">titled </w:t>
      </w:r>
      <w:r w:rsidR="00832F58">
        <w:rPr>
          <w:rFonts w:cstheme="minorHAnsi"/>
        </w:rPr>
        <w:t>“</w:t>
      </w:r>
      <w:r w:rsidR="00E162E3">
        <w:rPr>
          <w:rFonts w:cstheme="minorHAnsi"/>
        </w:rPr>
        <w:t>Multiple Sclerosis at the limits</w:t>
      </w:r>
      <w:r w:rsidR="00832F58">
        <w:rPr>
          <w:rFonts w:cstheme="minorHAnsi"/>
        </w:rPr>
        <w:t>”</w:t>
      </w:r>
      <w:r w:rsidR="00E162E3">
        <w:rPr>
          <w:rFonts w:cstheme="minorHAnsi"/>
        </w:rPr>
        <w:t xml:space="preserve">, </w:t>
      </w:r>
      <w:r w:rsidR="00871ABD" w:rsidRPr="00871ABD">
        <w:rPr>
          <w:rFonts w:cstheme="minorHAnsi"/>
        </w:rPr>
        <w:t xml:space="preserve">personal fees from </w:t>
      </w:r>
      <w:r w:rsidR="00832F58">
        <w:rPr>
          <w:rFonts w:cstheme="minorHAnsi"/>
        </w:rPr>
        <w:t>e</w:t>
      </w:r>
      <w:r w:rsidR="00871ABD" w:rsidRPr="00871ABD">
        <w:rPr>
          <w:rFonts w:cstheme="minorHAnsi"/>
        </w:rPr>
        <w:t xml:space="preserve">xpert </w:t>
      </w:r>
      <w:r w:rsidR="00832F58">
        <w:rPr>
          <w:rFonts w:cstheme="minorHAnsi"/>
        </w:rPr>
        <w:t>w</w:t>
      </w:r>
      <w:r w:rsidR="00871ABD" w:rsidRPr="00871ABD">
        <w:rPr>
          <w:rFonts w:cstheme="minorHAnsi"/>
        </w:rPr>
        <w:t xml:space="preserve">itness </w:t>
      </w:r>
      <w:r w:rsidR="00832F58">
        <w:rPr>
          <w:rFonts w:cstheme="minorHAnsi"/>
        </w:rPr>
        <w:t>w</w:t>
      </w:r>
      <w:r w:rsidR="00871ABD" w:rsidRPr="00871ABD">
        <w:rPr>
          <w:rFonts w:cstheme="minorHAnsi"/>
        </w:rPr>
        <w:t>ork,</w:t>
      </w:r>
      <w:r w:rsidR="00013913" w:rsidRPr="00013913">
        <w:t xml:space="preserve"> </w:t>
      </w:r>
      <w:r w:rsidR="00013913" w:rsidRPr="00013913">
        <w:rPr>
          <w:rFonts w:cstheme="minorHAnsi"/>
        </w:rPr>
        <w:t>Secretary FNDS</w:t>
      </w:r>
      <w:r w:rsidR="00013913">
        <w:rPr>
          <w:rFonts w:cstheme="minorHAnsi"/>
        </w:rPr>
        <w:t xml:space="preserve">, </w:t>
      </w:r>
      <w:r w:rsidR="00013913" w:rsidRPr="00013913">
        <w:rPr>
          <w:rFonts w:cstheme="minorHAnsi"/>
        </w:rPr>
        <w:t>Medical Advisor FND Hope</w:t>
      </w:r>
      <w:r w:rsidR="00013913">
        <w:rPr>
          <w:rFonts w:cstheme="minorHAnsi"/>
        </w:rPr>
        <w:t xml:space="preserve">, </w:t>
      </w:r>
      <w:r w:rsidR="00013913" w:rsidRPr="00013913">
        <w:rPr>
          <w:rFonts w:cstheme="minorHAnsi"/>
        </w:rPr>
        <w:t>Medical Advisor FND Action</w:t>
      </w:r>
      <w:r w:rsidR="00013913">
        <w:rPr>
          <w:rFonts w:cstheme="minorHAnsi"/>
        </w:rPr>
        <w:t xml:space="preserve">, running </w:t>
      </w:r>
      <w:r w:rsidR="00871ABD" w:rsidRPr="00871ABD">
        <w:rPr>
          <w:rFonts w:cstheme="minorHAnsi"/>
        </w:rPr>
        <w:t xml:space="preserve"> a </w:t>
      </w:r>
      <w:r w:rsidR="0095464C" w:rsidRPr="00871ABD">
        <w:rPr>
          <w:rFonts w:cstheme="minorHAnsi"/>
        </w:rPr>
        <w:t>self-help</w:t>
      </w:r>
      <w:r w:rsidR="00871ABD" w:rsidRPr="00871ABD">
        <w:rPr>
          <w:rFonts w:cstheme="minorHAnsi"/>
        </w:rPr>
        <w:t xml:space="preserve"> websit</w:t>
      </w:r>
      <w:r w:rsidR="00475688">
        <w:rPr>
          <w:rFonts w:cstheme="minorHAnsi"/>
        </w:rPr>
        <w:t xml:space="preserve">e </w:t>
      </w:r>
      <w:r w:rsidR="00871ABD" w:rsidRPr="00871ABD">
        <w:rPr>
          <w:rFonts w:cstheme="minorHAnsi"/>
        </w:rPr>
        <w:t>for patients with F</w:t>
      </w:r>
      <w:r w:rsidR="00832F58">
        <w:rPr>
          <w:rFonts w:cstheme="minorHAnsi"/>
        </w:rPr>
        <w:t>ND</w:t>
      </w:r>
      <w:r w:rsidR="00871ABD" w:rsidRPr="00871ABD">
        <w:rPr>
          <w:rFonts w:cstheme="minorHAnsi"/>
        </w:rPr>
        <w:t>.</w:t>
      </w:r>
      <w:r w:rsidR="00511409">
        <w:rPr>
          <w:rFonts w:cstheme="minorHAnsi"/>
        </w:rPr>
        <w:t xml:space="preserve"> </w:t>
      </w:r>
      <w:r w:rsidR="00D72DF3">
        <w:rPr>
          <w:rFonts w:cstheme="minorHAnsi"/>
        </w:rPr>
        <w:t>DW reports consulting fees for e</w:t>
      </w:r>
      <w:r w:rsidR="00D72DF3" w:rsidRPr="00D72DF3">
        <w:rPr>
          <w:rFonts w:cstheme="minorHAnsi"/>
        </w:rPr>
        <w:t>xpert opinion</w:t>
      </w:r>
      <w:r w:rsidR="00832F58">
        <w:rPr>
          <w:rFonts w:cstheme="minorHAnsi"/>
        </w:rPr>
        <w:t>s</w:t>
      </w:r>
      <w:r w:rsidR="00D72DF3" w:rsidRPr="00D72DF3">
        <w:rPr>
          <w:rFonts w:cstheme="minorHAnsi"/>
        </w:rPr>
        <w:t xml:space="preserve"> on patients in a prolonged disorder of consciousness</w:t>
      </w:r>
      <w:r w:rsidR="00D72DF3">
        <w:rPr>
          <w:rFonts w:cstheme="minorHAnsi"/>
        </w:rPr>
        <w:t>, fees for o</w:t>
      </w:r>
      <w:r w:rsidR="00D72DF3" w:rsidRPr="00D72DF3">
        <w:rPr>
          <w:rFonts w:cstheme="minorHAnsi"/>
        </w:rPr>
        <w:t>ccasional medicolegal</w:t>
      </w:r>
      <w:r w:rsidR="00832F58">
        <w:rPr>
          <w:rFonts w:cstheme="minorHAnsi"/>
        </w:rPr>
        <w:t xml:space="preserve"> and</w:t>
      </w:r>
      <w:r w:rsidR="00D72DF3" w:rsidRPr="00D72DF3">
        <w:rPr>
          <w:rFonts w:cstheme="minorHAnsi"/>
        </w:rPr>
        <w:t xml:space="preserve"> personal injury cases</w:t>
      </w:r>
      <w:r w:rsidR="00D72DF3">
        <w:rPr>
          <w:rFonts w:cstheme="minorHAnsi"/>
        </w:rPr>
        <w:t xml:space="preserve">, member of </w:t>
      </w:r>
      <w:r w:rsidR="00D72DF3" w:rsidRPr="00D72DF3">
        <w:rPr>
          <w:rFonts w:cstheme="minorHAnsi"/>
        </w:rPr>
        <w:t>NIHR grant Programme Supervisory Committee</w:t>
      </w:r>
      <w:r w:rsidR="0009414B">
        <w:rPr>
          <w:rFonts w:cstheme="minorHAnsi"/>
        </w:rPr>
        <w:t xml:space="preserve"> of a t</w:t>
      </w:r>
      <w:r w:rsidR="0009414B" w:rsidRPr="0009414B">
        <w:rPr>
          <w:rFonts w:cstheme="minorHAnsi"/>
        </w:rPr>
        <w:t xml:space="preserve">rial of vocational rehabilitation after head </w:t>
      </w:r>
      <w:r w:rsidR="0009414B">
        <w:rPr>
          <w:rFonts w:cstheme="minorHAnsi"/>
        </w:rPr>
        <w:t>injury,</w:t>
      </w:r>
      <w:r w:rsidR="0009414B" w:rsidRPr="0009414B">
        <w:t xml:space="preserve"> </w:t>
      </w:r>
      <w:r w:rsidR="0009414B" w:rsidRPr="0009414B">
        <w:rPr>
          <w:rFonts w:cstheme="minorHAnsi"/>
        </w:rPr>
        <w:t>Deputy Secretary to British Society of Physical and Rehabilitation Medicine</w:t>
      </w:r>
      <w:r w:rsidR="0009414B">
        <w:rPr>
          <w:rFonts w:cstheme="minorHAnsi"/>
        </w:rPr>
        <w:t xml:space="preserve"> (unpaid) and is e</w:t>
      </w:r>
      <w:r w:rsidR="0009414B" w:rsidRPr="0009414B">
        <w:rPr>
          <w:rFonts w:cstheme="minorHAnsi"/>
        </w:rPr>
        <w:t>mployed at a nursing home where</w:t>
      </w:r>
      <w:r w:rsidR="0009414B">
        <w:rPr>
          <w:rFonts w:cstheme="minorHAnsi"/>
        </w:rPr>
        <w:t xml:space="preserve"> he</w:t>
      </w:r>
      <w:r w:rsidR="0009414B" w:rsidRPr="0009414B">
        <w:rPr>
          <w:rFonts w:cstheme="minorHAnsi"/>
        </w:rPr>
        <w:t xml:space="preserve"> see</w:t>
      </w:r>
      <w:r w:rsidR="0009414B">
        <w:rPr>
          <w:rFonts w:cstheme="minorHAnsi"/>
        </w:rPr>
        <w:t>s</w:t>
      </w:r>
      <w:r w:rsidR="0009414B" w:rsidRPr="0009414B">
        <w:rPr>
          <w:rFonts w:cstheme="minorHAnsi"/>
        </w:rPr>
        <w:t xml:space="preserve"> 2-3 patients with functional disorders</w:t>
      </w:r>
      <w:r w:rsidR="0009414B">
        <w:rPr>
          <w:rFonts w:cstheme="minorHAnsi"/>
        </w:rPr>
        <w:t xml:space="preserve">. </w:t>
      </w:r>
      <w:r w:rsidR="006461D1">
        <w:rPr>
          <w:rFonts w:cstheme="minorHAnsi"/>
        </w:rPr>
        <w:t>SW reports honoraria from</w:t>
      </w:r>
      <w:r w:rsidR="006461D1" w:rsidRPr="006461D1">
        <w:rPr>
          <w:rFonts w:cstheme="minorHAnsi"/>
        </w:rPr>
        <w:t xml:space="preserve"> two talks on psychological impacts of COVID to Swiss Re during the pandemic, but neither covered CFS nor Long Covid</w:t>
      </w:r>
      <w:r w:rsidR="006461D1">
        <w:rPr>
          <w:rFonts w:cstheme="minorHAnsi"/>
        </w:rPr>
        <w:t xml:space="preserve">. He is </w:t>
      </w:r>
      <w:r w:rsidR="006461D1" w:rsidRPr="006461D1">
        <w:rPr>
          <w:rFonts w:cstheme="minorHAnsi"/>
        </w:rPr>
        <w:t>on the Board of the ESRC and am also a member of the Judicial Appointments Commission for which</w:t>
      </w:r>
      <w:r w:rsidR="004471CC">
        <w:rPr>
          <w:rFonts w:cstheme="minorHAnsi"/>
        </w:rPr>
        <w:t xml:space="preserve"> he</w:t>
      </w:r>
      <w:r w:rsidR="006461D1" w:rsidRPr="006461D1">
        <w:rPr>
          <w:rFonts w:cstheme="minorHAnsi"/>
        </w:rPr>
        <w:t xml:space="preserve"> receive</w:t>
      </w:r>
      <w:r w:rsidR="004471CC">
        <w:rPr>
          <w:rFonts w:cstheme="minorHAnsi"/>
        </w:rPr>
        <w:t>s</w:t>
      </w:r>
      <w:r w:rsidR="006461D1" w:rsidRPr="006461D1">
        <w:rPr>
          <w:rFonts w:cstheme="minorHAnsi"/>
        </w:rPr>
        <w:t xml:space="preserve"> renumeration. None are relevant to this paper.</w:t>
      </w:r>
      <w:r w:rsidR="004471CC">
        <w:rPr>
          <w:rFonts w:cstheme="minorHAnsi"/>
        </w:rPr>
        <w:t xml:space="preserve"> SW is</w:t>
      </w:r>
      <w:r w:rsidR="006461D1" w:rsidRPr="006461D1">
        <w:rPr>
          <w:rFonts w:cstheme="minorHAnsi"/>
        </w:rPr>
        <w:t xml:space="preserve"> also on the Board of the South London and Maudsley Foundation NHS Trust for which </w:t>
      </w:r>
      <w:r w:rsidR="004471CC">
        <w:rPr>
          <w:rFonts w:cstheme="minorHAnsi"/>
        </w:rPr>
        <w:t>he</w:t>
      </w:r>
      <w:r w:rsidR="006461D1" w:rsidRPr="006461D1">
        <w:rPr>
          <w:rFonts w:cstheme="minorHAnsi"/>
        </w:rPr>
        <w:t xml:space="preserve"> receive</w:t>
      </w:r>
      <w:r w:rsidR="004471CC">
        <w:rPr>
          <w:rFonts w:cstheme="minorHAnsi"/>
        </w:rPr>
        <w:t>s</w:t>
      </w:r>
      <w:r w:rsidR="006461D1" w:rsidRPr="006461D1">
        <w:rPr>
          <w:rFonts w:cstheme="minorHAnsi"/>
        </w:rPr>
        <w:t xml:space="preserve"> no renumeration</w:t>
      </w:r>
      <w:r w:rsidR="004471CC">
        <w:rPr>
          <w:rFonts w:cstheme="minorHAnsi"/>
        </w:rPr>
        <w:t>.</w:t>
      </w:r>
      <w:r w:rsidR="006461D1">
        <w:rPr>
          <w:rFonts w:cstheme="minorHAnsi"/>
        </w:rPr>
        <w:t xml:space="preserve"> </w:t>
      </w:r>
      <w:r w:rsidR="004471CC">
        <w:rPr>
          <w:rFonts w:cstheme="minorHAnsi"/>
        </w:rPr>
        <w:t xml:space="preserve">SW reports </w:t>
      </w:r>
      <w:r w:rsidR="004471CC" w:rsidRPr="004471CC">
        <w:rPr>
          <w:rFonts w:cstheme="minorHAnsi"/>
        </w:rPr>
        <w:t>receiv</w:t>
      </w:r>
      <w:r w:rsidR="004471CC">
        <w:rPr>
          <w:rFonts w:cstheme="minorHAnsi"/>
        </w:rPr>
        <w:t>ing</w:t>
      </w:r>
      <w:r w:rsidR="004471CC" w:rsidRPr="004471CC">
        <w:rPr>
          <w:rFonts w:cstheme="minorHAnsi"/>
        </w:rPr>
        <w:t xml:space="preserve"> grants to research CFS and ha</w:t>
      </w:r>
      <w:r w:rsidR="004471CC">
        <w:rPr>
          <w:rFonts w:cstheme="minorHAnsi"/>
        </w:rPr>
        <w:t>s</w:t>
      </w:r>
      <w:r w:rsidR="004471CC" w:rsidRPr="004471CC">
        <w:rPr>
          <w:rFonts w:cstheme="minorHAnsi"/>
        </w:rPr>
        <w:t xml:space="preserve"> published over 150 papers on this subject, including being an author on several RCTs relevant to this submission, but none with</w:t>
      </w:r>
      <w:r w:rsidR="004471CC">
        <w:rPr>
          <w:rFonts w:cstheme="minorHAnsi"/>
        </w:rPr>
        <w:t>in</w:t>
      </w:r>
      <w:r w:rsidR="004471CC" w:rsidRPr="004471CC">
        <w:rPr>
          <w:rFonts w:cstheme="minorHAnsi"/>
        </w:rPr>
        <w:t xml:space="preserve"> the last 36 months</w:t>
      </w:r>
      <w:r w:rsidR="004471CC">
        <w:rPr>
          <w:rFonts w:cstheme="minorHAnsi"/>
        </w:rPr>
        <w:t>.</w:t>
      </w:r>
      <w:r w:rsidR="006461D1">
        <w:rPr>
          <w:rFonts w:cstheme="minorHAnsi"/>
        </w:rPr>
        <w:t xml:space="preserve"> </w:t>
      </w:r>
      <w:r w:rsidR="00B63FDE">
        <w:rPr>
          <w:rFonts w:cstheme="minorHAnsi"/>
        </w:rPr>
        <w:t xml:space="preserve">VW is </w:t>
      </w:r>
      <w:r w:rsidR="00B63FDE" w:rsidRPr="00B63FDE">
        <w:rPr>
          <w:rFonts w:cstheme="minorHAnsi"/>
        </w:rPr>
        <w:t xml:space="preserve">Head of the Collaborative on Fatigue Following Infection (COFFI) </w:t>
      </w:r>
      <w:r w:rsidR="00B63FDE">
        <w:rPr>
          <w:rFonts w:cstheme="minorHAnsi"/>
        </w:rPr>
        <w:t>(</w:t>
      </w:r>
      <w:r w:rsidR="00B63FDE" w:rsidRPr="00B63FDE">
        <w:rPr>
          <w:rFonts w:cstheme="minorHAnsi"/>
        </w:rPr>
        <w:t>unpaid</w:t>
      </w:r>
      <w:r w:rsidR="00B63FDE">
        <w:rPr>
          <w:rFonts w:cstheme="minorHAnsi"/>
        </w:rPr>
        <w:t>)</w:t>
      </w:r>
      <w:r w:rsidR="00B63FDE" w:rsidRPr="00B63FDE">
        <w:rPr>
          <w:rFonts w:cstheme="minorHAnsi"/>
        </w:rPr>
        <w:t>.</w:t>
      </w:r>
      <w:r w:rsidR="00B63FDE">
        <w:rPr>
          <w:rFonts w:cstheme="minorHAnsi"/>
        </w:rPr>
        <w:t xml:space="preserve"> </w:t>
      </w:r>
      <w:r w:rsidR="00A366F9">
        <w:rPr>
          <w:rFonts w:cstheme="minorHAnsi"/>
        </w:rPr>
        <w:t xml:space="preserve">AZ reports fees for </w:t>
      </w:r>
      <w:r w:rsidR="00A366F9" w:rsidRPr="00A366F9">
        <w:rPr>
          <w:rFonts w:cstheme="minorHAnsi"/>
        </w:rPr>
        <w:t xml:space="preserve">expert witness </w:t>
      </w:r>
      <w:r w:rsidR="00A366F9">
        <w:rPr>
          <w:rFonts w:cstheme="minorHAnsi"/>
        </w:rPr>
        <w:t xml:space="preserve">medicolegal reports, </w:t>
      </w:r>
      <w:r w:rsidR="00A366F9" w:rsidRPr="00A366F9">
        <w:rPr>
          <w:rFonts w:cstheme="minorHAnsi"/>
        </w:rPr>
        <w:t>but not in cases specifically focused on CFS</w:t>
      </w:r>
      <w:r w:rsidR="00A366F9">
        <w:rPr>
          <w:rFonts w:cstheme="minorHAnsi"/>
        </w:rPr>
        <w:t>/</w:t>
      </w:r>
      <w:r w:rsidR="00A366F9" w:rsidRPr="00A366F9">
        <w:rPr>
          <w:rFonts w:cstheme="minorHAnsi"/>
        </w:rPr>
        <w:t>ME</w:t>
      </w:r>
      <w:r w:rsidR="00A366F9">
        <w:rPr>
          <w:rFonts w:cstheme="minorHAnsi"/>
        </w:rPr>
        <w:t xml:space="preserve">. </w:t>
      </w:r>
      <w:r w:rsidR="004C577B">
        <w:rPr>
          <w:rFonts w:cstheme="minorHAnsi"/>
        </w:rPr>
        <w:t>No</w:t>
      </w:r>
      <w:r w:rsidR="00511409">
        <w:rPr>
          <w:rFonts w:cstheme="minorHAnsi"/>
        </w:rPr>
        <w:t xml:space="preserve"> other authors declare</w:t>
      </w:r>
      <w:r w:rsidR="004C577B">
        <w:rPr>
          <w:rFonts w:cstheme="minorHAnsi"/>
        </w:rPr>
        <w:t>d</w:t>
      </w:r>
      <w:r w:rsidR="00511409">
        <w:rPr>
          <w:rFonts w:cstheme="minorHAnsi"/>
        </w:rPr>
        <w:t xml:space="preserve"> </w:t>
      </w:r>
      <w:r w:rsidR="004C577B">
        <w:rPr>
          <w:rFonts w:cstheme="minorHAnsi"/>
        </w:rPr>
        <w:t xml:space="preserve">any relevant </w:t>
      </w:r>
      <w:r w:rsidR="00511409">
        <w:rPr>
          <w:rFonts w:cstheme="minorHAnsi"/>
        </w:rPr>
        <w:t>competing interests.</w:t>
      </w:r>
    </w:p>
    <w:p w14:paraId="1AB79B0C" w14:textId="77777777" w:rsidR="005F1A69" w:rsidRPr="002A497F" w:rsidRDefault="005F1A69" w:rsidP="007544AE">
      <w:pPr>
        <w:spacing w:line="480" w:lineRule="auto"/>
        <w:rPr>
          <w:rFonts w:cstheme="minorHAnsi"/>
        </w:rPr>
      </w:pPr>
    </w:p>
    <w:p w14:paraId="503CF17B" w14:textId="4772023D" w:rsidR="003207F5" w:rsidRPr="007B77F6" w:rsidRDefault="00187B21" w:rsidP="007544AE">
      <w:pPr>
        <w:spacing w:line="480" w:lineRule="auto"/>
        <w:rPr>
          <w:rFonts w:cstheme="minorHAnsi"/>
          <w:b/>
          <w:bCs/>
          <w:sz w:val="28"/>
          <w:szCs w:val="28"/>
        </w:rPr>
      </w:pPr>
      <w:bookmarkStart w:id="11" w:name="_Hlk131506638"/>
      <w:r w:rsidRPr="007B77F6">
        <w:rPr>
          <w:rFonts w:cstheme="minorHAnsi"/>
          <w:b/>
          <w:bCs/>
          <w:sz w:val="28"/>
          <w:szCs w:val="28"/>
        </w:rPr>
        <w:t>References</w:t>
      </w:r>
    </w:p>
    <w:p w14:paraId="2043D2E4" w14:textId="0B2B51FA" w:rsidR="00F77CB6" w:rsidRPr="00122397" w:rsidRDefault="00F77CB6" w:rsidP="007544AE">
      <w:pPr>
        <w:pStyle w:val="ListParagraph"/>
        <w:numPr>
          <w:ilvl w:val="0"/>
          <w:numId w:val="6"/>
        </w:numPr>
        <w:spacing w:line="480" w:lineRule="auto"/>
        <w:rPr>
          <w:sz w:val="24"/>
          <w:szCs w:val="24"/>
        </w:rPr>
      </w:pPr>
      <w:r w:rsidRPr="00122397">
        <w:rPr>
          <w:rFonts w:cstheme="minorHAnsi"/>
          <w:sz w:val="24"/>
          <w:szCs w:val="24"/>
        </w:rPr>
        <w:t>Institute of Medicine. Beyond myalgic encephalomyelitis/chronic fatigue syndrome: redefining an illness. Washington, DC: The National Academies Press; 2015.</w:t>
      </w:r>
    </w:p>
    <w:p w14:paraId="3951CB44" w14:textId="218240E4" w:rsidR="008C7806" w:rsidRPr="008C7806" w:rsidRDefault="000022A0" w:rsidP="007544AE">
      <w:pPr>
        <w:pStyle w:val="ListParagraph"/>
        <w:numPr>
          <w:ilvl w:val="0"/>
          <w:numId w:val="6"/>
        </w:numPr>
        <w:spacing w:line="480" w:lineRule="auto"/>
        <w:rPr>
          <w:sz w:val="24"/>
          <w:szCs w:val="24"/>
        </w:rPr>
      </w:pPr>
      <w:r w:rsidRPr="008C7806">
        <w:rPr>
          <w:rFonts w:cstheme="minorHAnsi"/>
          <w:sz w:val="24"/>
          <w:szCs w:val="24"/>
        </w:rPr>
        <w:t>Brurberg KG, Fønhus MS, Larun L</w:t>
      </w:r>
      <w:r w:rsidR="00272329">
        <w:rPr>
          <w:rFonts w:cstheme="minorHAnsi"/>
          <w:sz w:val="24"/>
          <w:szCs w:val="24"/>
        </w:rPr>
        <w:t>,</w:t>
      </w:r>
      <w:r w:rsidR="00987905" w:rsidRPr="008C7806">
        <w:rPr>
          <w:rFonts w:cstheme="minorHAnsi"/>
          <w:sz w:val="24"/>
          <w:szCs w:val="24"/>
        </w:rPr>
        <w:t xml:space="preserve"> et al</w:t>
      </w:r>
      <w:r w:rsidRPr="008C7806">
        <w:rPr>
          <w:rFonts w:cstheme="minorHAnsi"/>
          <w:sz w:val="24"/>
          <w:szCs w:val="24"/>
        </w:rPr>
        <w:t>. Case definitions for chronic</w:t>
      </w:r>
      <w:r w:rsidRPr="008C7806">
        <w:rPr>
          <w:sz w:val="24"/>
          <w:szCs w:val="24"/>
        </w:rPr>
        <w:t xml:space="preserve"> fatigue syndrome/myalgic encephalomyelitis (</w:t>
      </w:r>
      <w:r w:rsidR="0097710A" w:rsidRPr="008C7806">
        <w:rPr>
          <w:sz w:val="24"/>
          <w:szCs w:val="24"/>
        </w:rPr>
        <w:t>CFS/ME</w:t>
      </w:r>
      <w:r w:rsidRPr="008C7806">
        <w:rPr>
          <w:sz w:val="24"/>
          <w:szCs w:val="24"/>
        </w:rPr>
        <w:t xml:space="preserve">): a systematic review. </w:t>
      </w:r>
      <w:r w:rsidRPr="008C7806">
        <w:rPr>
          <w:i/>
          <w:iCs/>
          <w:sz w:val="24"/>
          <w:szCs w:val="24"/>
        </w:rPr>
        <w:t>BMJ Open</w:t>
      </w:r>
      <w:r w:rsidRPr="008C7806">
        <w:rPr>
          <w:sz w:val="24"/>
          <w:szCs w:val="24"/>
        </w:rPr>
        <w:t xml:space="preserve"> 2014;4:e003973</w:t>
      </w:r>
      <w:r w:rsidR="00987905" w:rsidRPr="008C7806">
        <w:rPr>
          <w:sz w:val="24"/>
          <w:szCs w:val="24"/>
        </w:rPr>
        <w:t>.</w:t>
      </w:r>
      <w:r w:rsidR="00DC4CB1" w:rsidRPr="008C7806">
        <w:rPr>
          <w:sz w:val="24"/>
          <w:szCs w:val="24"/>
        </w:rPr>
        <w:t xml:space="preserve"> </w:t>
      </w:r>
      <w:hyperlink r:id="rId8" w:history="1">
        <w:r w:rsidR="00475688" w:rsidRPr="00475688">
          <w:rPr>
            <w:rStyle w:val="Hyperlink"/>
            <w:sz w:val="24"/>
            <w:szCs w:val="24"/>
          </w:rPr>
          <w:t>http://dx.doi.org/10.1136/bmjopen-2013-003973</w:t>
        </w:r>
      </w:hyperlink>
    </w:p>
    <w:p w14:paraId="3EBC5E18" w14:textId="3C070EFC" w:rsidR="00521D32" w:rsidRPr="00521D32" w:rsidRDefault="00521D32" w:rsidP="00521D32">
      <w:pPr>
        <w:pStyle w:val="ListParagraph"/>
        <w:numPr>
          <w:ilvl w:val="0"/>
          <w:numId w:val="6"/>
        </w:numPr>
        <w:spacing w:line="480" w:lineRule="auto"/>
        <w:rPr>
          <w:sz w:val="24"/>
          <w:szCs w:val="24"/>
        </w:rPr>
      </w:pPr>
      <w:r w:rsidRPr="00521D32">
        <w:rPr>
          <w:sz w:val="24"/>
          <w:szCs w:val="24"/>
        </w:rPr>
        <w:t xml:space="preserve">Stott DJ, Young J. ‘Across the pond’—a response to the NICE guidelines for management of multi-morbidity in older people. </w:t>
      </w:r>
      <w:r w:rsidRPr="00521D32">
        <w:rPr>
          <w:i/>
          <w:iCs/>
          <w:sz w:val="24"/>
          <w:szCs w:val="24"/>
        </w:rPr>
        <w:t>Age Ageing</w:t>
      </w:r>
      <w:r w:rsidRPr="00521D32">
        <w:rPr>
          <w:sz w:val="24"/>
          <w:szCs w:val="24"/>
        </w:rPr>
        <w:t xml:space="preserve"> 2017;46:343–345.</w:t>
      </w:r>
      <w:r>
        <w:rPr>
          <w:sz w:val="24"/>
          <w:szCs w:val="24"/>
        </w:rPr>
        <w:t xml:space="preserve"> </w:t>
      </w:r>
      <w:hyperlink r:id="rId9" w:history="1">
        <w:r w:rsidRPr="00521D32">
          <w:rPr>
            <w:rStyle w:val="Hyperlink"/>
            <w:sz w:val="24"/>
            <w:szCs w:val="24"/>
          </w:rPr>
          <w:t>https://doi.org/10.1093/ageing/afx031</w:t>
        </w:r>
      </w:hyperlink>
    </w:p>
    <w:p w14:paraId="6A1CFDEC" w14:textId="4ABC8EBA" w:rsidR="008C7806" w:rsidRPr="008C7806" w:rsidRDefault="0082242E" w:rsidP="00521D32">
      <w:pPr>
        <w:pStyle w:val="ListParagraph"/>
        <w:numPr>
          <w:ilvl w:val="0"/>
          <w:numId w:val="6"/>
        </w:numPr>
        <w:spacing w:line="480" w:lineRule="auto"/>
        <w:rPr>
          <w:sz w:val="24"/>
          <w:szCs w:val="24"/>
        </w:rPr>
      </w:pPr>
      <w:r w:rsidRPr="008C7806">
        <w:rPr>
          <w:sz w:val="24"/>
          <w:szCs w:val="24"/>
        </w:rPr>
        <w:t xml:space="preserve">Baker R, Shaw EJ. Diagnosis and management of chronic fatigue syndrome or myalgic encephalomyelitis (or encephalopathy): summary of NICE guidance. </w:t>
      </w:r>
      <w:r w:rsidRPr="008C7806">
        <w:rPr>
          <w:i/>
          <w:iCs/>
          <w:sz w:val="24"/>
          <w:szCs w:val="24"/>
        </w:rPr>
        <w:t>BMJ</w:t>
      </w:r>
      <w:r w:rsidRPr="008C7806">
        <w:rPr>
          <w:sz w:val="24"/>
          <w:szCs w:val="24"/>
        </w:rPr>
        <w:t xml:space="preserve"> 2007;335:446–48.</w:t>
      </w:r>
      <w:r w:rsidR="00DC4CB1" w:rsidRPr="008C7806">
        <w:rPr>
          <w:sz w:val="24"/>
          <w:szCs w:val="24"/>
        </w:rPr>
        <w:t xml:space="preserve"> </w:t>
      </w:r>
      <w:hyperlink r:id="rId10" w:history="1">
        <w:r w:rsidR="008C7806" w:rsidRPr="008C7806">
          <w:rPr>
            <w:rStyle w:val="Hyperlink"/>
            <w:sz w:val="24"/>
            <w:szCs w:val="24"/>
          </w:rPr>
          <w:t>https://doi.org/10.1136/bmj.39302.509005.AE</w:t>
        </w:r>
      </w:hyperlink>
    </w:p>
    <w:p w14:paraId="480E4A29" w14:textId="397803CE" w:rsidR="00122397" w:rsidRPr="00122397" w:rsidRDefault="00215655" w:rsidP="007544AE">
      <w:pPr>
        <w:pStyle w:val="ListParagraph"/>
        <w:numPr>
          <w:ilvl w:val="0"/>
          <w:numId w:val="6"/>
        </w:numPr>
        <w:spacing w:line="480" w:lineRule="auto"/>
        <w:rPr>
          <w:sz w:val="24"/>
          <w:szCs w:val="24"/>
        </w:rPr>
      </w:pPr>
      <w:r w:rsidRPr="00122397">
        <w:rPr>
          <w:sz w:val="24"/>
          <w:szCs w:val="24"/>
        </w:rPr>
        <w:t xml:space="preserve">Chambers D, Bagnall AM, Hempel S, Forbes C. Interventions for the treatment, </w:t>
      </w:r>
      <w:proofErr w:type="gramStart"/>
      <w:r w:rsidRPr="00122397">
        <w:rPr>
          <w:sz w:val="24"/>
          <w:szCs w:val="24"/>
        </w:rPr>
        <w:t>management</w:t>
      </w:r>
      <w:proofErr w:type="gramEnd"/>
      <w:r w:rsidRPr="00122397">
        <w:rPr>
          <w:sz w:val="24"/>
          <w:szCs w:val="24"/>
        </w:rPr>
        <w:t xml:space="preserve"> and rehabilitation of patients with chronic fatigue syndrome/myalgic encephalomyelitis: an updated systematic review. </w:t>
      </w:r>
      <w:r w:rsidRPr="006E4044">
        <w:rPr>
          <w:i/>
          <w:iCs/>
          <w:sz w:val="24"/>
          <w:szCs w:val="24"/>
        </w:rPr>
        <w:t>J Roy Soc Med</w:t>
      </w:r>
      <w:r w:rsidRPr="00122397">
        <w:rPr>
          <w:sz w:val="24"/>
          <w:szCs w:val="24"/>
        </w:rPr>
        <w:t xml:space="preserve"> 2006;99:506-20. </w:t>
      </w:r>
      <w:hyperlink r:id="rId11" w:history="1">
        <w:r w:rsidR="00122397" w:rsidRPr="00122397">
          <w:rPr>
            <w:rStyle w:val="Hyperlink"/>
            <w:sz w:val="24"/>
            <w:szCs w:val="24"/>
          </w:rPr>
          <w:t>https://doi.org/10.1177%2F014107680609901012</w:t>
        </w:r>
      </w:hyperlink>
    </w:p>
    <w:p w14:paraId="0521A01C" w14:textId="131DC018" w:rsidR="009423C1" w:rsidRPr="00122397" w:rsidRDefault="002D3DB0" w:rsidP="007544AE">
      <w:pPr>
        <w:pStyle w:val="ListParagraph"/>
        <w:numPr>
          <w:ilvl w:val="0"/>
          <w:numId w:val="6"/>
        </w:numPr>
        <w:spacing w:line="480" w:lineRule="auto"/>
        <w:rPr>
          <w:sz w:val="24"/>
          <w:szCs w:val="24"/>
        </w:rPr>
      </w:pPr>
      <w:r w:rsidRPr="00122397">
        <w:rPr>
          <w:sz w:val="24"/>
          <w:szCs w:val="24"/>
        </w:rPr>
        <w:t xml:space="preserve">National Institute for Health and Care Excellence. Myalgic encephalomyelitis (or encephalopathy)/chronic fatigue syndrome: diagnosis and management. NICE guideline [NG206]. Oct 29, 2021. </w:t>
      </w:r>
      <w:hyperlink r:id="rId12" w:history="1">
        <w:r w:rsidR="00122397" w:rsidRPr="00122397">
          <w:rPr>
            <w:rStyle w:val="Hyperlink"/>
            <w:sz w:val="24"/>
            <w:szCs w:val="24"/>
          </w:rPr>
          <w:t>https://www.nice.org.uk/guidance/ng206</w:t>
        </w:r>
      </w:hyperlink>
      <w:r w:rsidRPr="00122397">
        <w:rPr>
          <w:sz w:val="24"/>
          <w:szCs w:val="24"/>
        </w:rPr>
        <w:t xml:space="preserve"> (accessed</w:t>
      </w:r>
      <w:r w:rsidR="00897ECA" w:rsidRPr="00122397">
        <w:rPr>
          <w:sz w:val="24"/>
          <w:szCs w:val="24"/>
        </w:rPr>
        <w:t xml:space="preserve"> </w:t>
      </w:r>
      <w:r w:rsidR="006E49CD" w:rsidRPr="00122397">
        <w:rPr>
          <w:sz w:val="24"/>
          <w:szCs w:val="24"/>
        </w:rPr>
        <w:t>May</w:t>
      </w:r>
      <w:r w:rsidRPr="00122397">
        <w:rPr>
          <w:sz w:val="24"/>
          <w:szCs w:val="24"/>
        </w:rPr>
        <w:t xml:space="preserve"> 2022).</w:t>
      </w:r>
    </w:p>
    <w:p w14:paraId="09D910C4" w14:textId="77777777" w:rsidR="00F23479" w:rsidRDefault="00F23479" w:rsidP="00F23479">
      <w:pPr>
        <w:pStyle w:val="ListParagraph"/>
        <w:numPr>
          <w:ilvl w:val="0"/>
          <w:numId w:val="6"/>
        </w:numPr>
        <w:spacing w:line="480" w:lineRule="auto"/>
        <w:rPr>
          <w:sz w:val="24"/>
          <w:szCs w:val="24"/>
        </w:rPr>
      </w:pPr>
      <w:r w:rsidRPr="007E6E3E">
        <w:rPr>
          <w:sz w:val="24"/>
          <w:szCs w:val="24"/>
        </w:rPr>
        <w:t>Price JR, Mitchell E, Tidy E, Hunot V. Cognitive behaviour therapy for chronic fatigue syndrome in adults. Cochrane Database of</w:t>
      </w:r>
      <w:r>
        <w:rPr>
          <w:sz w:val="24"/>
          <w:szCs w:val="24"/>
        </w:rPr>
        <w:t xml:space="preserve"> </w:t>
      </w:r>
      <w:r w:rsidRPr="007E6E3E">
        <w:rPr>
          <w:sz w:val="24"/>
          <w:szCs w:val="24"/>
        </w:rPr>
        <w:t>Systematic Reviews 2008, Issue 3. Art. No.: CD001027. DOI: 10.1002/14651858.CD001027.pub2</w:t>
      </w:r>
      <w:r>
        <w:rPr>
          <w:sz w:val="24"/>
          <w:szCs w:val="24"/>
        </w:rPr>
        <w:t xml:space="preserve"> (accessed March 2023)</w:t>
      </w:r>
    </w:p>
    <w:p w14:paraId="40F6968D" w14:textId="2C8ECB05" w:rsidR="008C7806" w:rsidRPr="008C7806" w:rsidRDefault="00EE2D6F" w:rsidP="007544AE">
      <w:pPr>
        <w:pStyle w:val="ListParagraph"/>
        <w:numPr>
          <w:ilvl w:val="0"/>
          <w:numId w:val="6"/>
        </w:numPr>
        <w:spacing w:line="480" w:lineRule="auto"/>
        <w:rPr>
          <w:sz w:val="24"/>
          <w:szCs w:val="24"/>
        </w:rPr>
      </w:pPr>
      <w:r w:rsidRPr="008C7806">
        <w:rPr>
          <w:sz w:val="24"/>
          <w:szCs w:val="24"/>
        </w:rPr>
        <w:t>Malouff JM, Thorsteinsson EB, Rooke SE</w:t>
      </w:r>
      <w:r w:rsidR="00272329">
        <w:rPr>
          <w:sz w:val="24"/>
          <w:szCs w:val="24"/>
        </w:rPr>
        <w:t>,</w:t>
      </w:r>
      <w:r w:rsidR="00FF68F7" w:rsidRPr="008C7806">
        <w:rPr>
          <w:sz w:val="24"/>
          <w:szCs w:val="24"/>
        </w:rPr>
        <w:t xml:space="preserve"> et al</w:t>
      </w:r>
      <w:r w:rsidRPr="008C7806">
        <w:rPr>
          <w:sz w:val="24"/>
          <w:szCs w:val="24"/>
        </w:rPr>
        <w:t>. Eff</w:t>
      </w:r>
      <w:r w:rsidR="008D0A0C" w:rsidRPr="008C7806">
        <w:rPr>
          <w:sz w:val="24"/>
          <w:szCs w:val="24"/>
        </w:rPr>
        <w:t>i</w:t>
      </w:r>
      <w:r w:rsidRPr="008C7806">
        <w:rPr>
          <w:sz w:val="24"/>
          <w:szCs w:val="24"/>
        </w:rPr>
        <w:t xml:space="preserve">cacy of cognitive behavioural therapy for chronic fatigue syndrome: a meta-analysis. </w:t>
      </w:r>
      <w:r w:rsidRPr="008C7806">
        <w:rPr>
          <w:i/>
          <w:iCs/>
          <w:sz w:val="24"/>
          <w:szCs w:val="24"/>
        </w:rPr>
        <w:t>Clin Psychol Rev</w:t>
      </w:r>
      <w:r w:rsidRPr="008C7806">
        <w:rPr>
          <w:sz w:val="24"/>
          <w:szCs w:val="24"/>
        </w:rPr>
        <w:t xml:space="preserve"> 2008;28:736–45.</w:t>
      </w:r>
      <w:r w:rsidR="00E659C8" w:rsidRPr="008C7806">
        <w:rPr>
          <w:sz w:val="24"/>
          <w:szCs w:val="24"/>
        </w:rPr>
        <w:t xml:space="preserve"> </w:t>
      </w:r>
      <w:hyperlink r:id="rId13" w:history="1">
        <w:r w:rsidR="008C7806" w:rsidRPr="008C7806">
          <w:rPr>
            <w:rStyle w:val="Hyperlink"/>
            <w:sz w:val="24"/>
            <w:szCs w:val="24"/>
          </w:rPr>
          <w:t>https://doi.org/10.1016/j.cpr.2007.10.004</w:t>
        </w:r>
      </w:hyperlink>
    </w:p>
    <w:p w14:paraId="4B1F6916" w14:textId="234936E7" w:rsidR="008C7806" w:rsidRPr="008C7806" w:rsidRDefault="00EE2D6F" w:rsidP="007544AE">
      <w:pPr>
        <w:pStyle w:val="ListParagraph"/>
        <w:numPr>
          <w:ilvl w:val="0"/>
          <w:numId w:val="6"/>
        </w:numPr>
        <w:spacing w:line="480" w:lineRule="auto"/>
        <w:rPr>
          <w:sz w:val="24"/>
          <w:szCs w:val="24"/>
        </w:rPr>
      </w:pPr>
      <w:r w:rsidRPr="008C7806">
        <w:rPr>
          <w:sz w:val="24"/>
          <w:szCs w:val="24"/>
        </w:rPr>
        <w:t xml:space="preserve">Castell BD, Kazantzis N, Moss-Morris RE. Cognitive behavioural </w:t>
      </w:r>
      <w:proofErr w:type="gramStart"/>
      <w:r w:rsidRPr="008C7806">
        <w:rPr>
          <w:sz w:val="24"/>
          <w:szCs w:val="24"/>
        </w:rPr>
        <w:t>therapy</w:t>
      </w:r>
      <w:proofErr w:type="gramEnd"/>
      <w:r w:rsidRPr="008C7806">
        <w:rPr>
          <w:sz w:val="24"/>
          <w:szCs w:val="24"/>
        </w:rPr>
        <w:t xml:space="preserve"> and graded exercise for chronic fatigue syndrome: a </w:t>
      </w:r>
      <w:r w:rsidR="004F7641" w:rsidRPr="008C7806">
        <w:rPr>
          <w:sz w:val="24"/>
          <w:szCs w:val="24"/>
        </w:rPr>
        <w:t>meta-analysis</w:t>
      </w:r>
      <w:r w:rsidRPr="008C7806">
        <w:rPr>
          <w:sz w:val="24"/>
          <w:szCs w:val="24"/>
        </w:rPr>
        <w:t xml:space="preserve">. </w:t>
      </w:r>
      <w:r w:rsidRPr="008C7806">
        <w:rPr>
          <w:i/>
          <w:iCs/>
          <w:sz w:val="24"/>
          <w:szCs w:val="24"/>
        </w:rPr>
        <w:t>Clin Psychol Sci Pract</w:t>
      </w:r>
      <w:r w:rsidRPr="008C7806">
        <w:rPr>
          <w:sz w:val="24"/>
          <w:szCs w:val="24"/>
        </w:rPr>
        <w:t xml:space="preserve"> 2011;18:311–24.</w:t>
      </w:r>
      <w:r w:rsidR="00E659C8" w:rsidRPr="008C7806">
        <w:rPr>
          <w:sz w:val="24"/>
          <w:szCs w:val="24"/>
        </w:rPr>
        <w:t xml:space="preserve"> </w:t>
      </w:r>
      <w:hyperlink r:id="rId14" w:history="1">
        <w:r w:rsidR="008C7806" w:rsidRPr="008C7806">
          <w:rPr>
            <w:rStyle w:val="Hyperlink"/>
            <w:sz w:val="24"/>
            <w:szCs w:val="24"/>
          </w:rPr>
          <w:t>https://psycnet.apa.org/doi/10.1111/j.1468-2850.2011.01262.x</w:t>
        </w:r>
      </w:hyperlink>
    </w:p>
    <w:p w14:paraId="42F04647" w14:textId="1161080C" w:rsidR="008C7806" w:rsidRPr="008C7806" w:rsidRDefault="00EE2D6F" w:rsidP="007544AE">
      <w:pPr>
        <w:pStyle w:val="ListParagraph"/>
        <w:numPr>
          <w:ilvl w:val="0"/>
          <w:numId w:val="6"/>
        </w:numPr>
        <w:spacing w:line="480" w:lineRule="auto"/>
        <w:rPr>
          <w:sz w:val="24"/>
          <w:szCs w:val="24"/>
        </w:rPr>
      </w:pPr>
      <w:r w:rsidRPr="008C7806">
        <w:rPr>
          <w:sz w:val="24"/>
          <w:szCs w:val="24"/>
        </w:rPr>
        <w:t xml:space="preserve">Marques MM, De Gucht V, Gouveia MJ, Leal I, Maes S. Differential effects of behavioural interventions with a graded physical activity component in patients suffering from Chronic Fatigue (Syndrome): An updated systematic review and meta-analysis. </w:t>
      </w:r>
      <w:r w:rsidRPr="008C7806">
        <w:rPr>
          <w:i/>
          <w:iCs/>
          <w:sz w:val="24"/>
          <w:szCs w:val="24"/>
        </w:rPr>
        <w:t>Clin Psychol Rev</w:t>
      </w:r>
      <w:r w:rsidRPr="008C7806">
        <w:rPr>
          <w:sz w:val="24"/>
          <w:szCs w:val="24"/>
        </w:rPr>
        <w:t xml:space="preserve"> 2015;40:123-37.</w:t>
      </w:r>
      <w:r w:rsidR="00E659C8" w:rsidRPr="008C7806">
        <w:rPr>
          <w:sz w:val="24"/>
          <w:szCs w:val="24"/>
        </w:rPr>
        <w:t xml:space="preserve"> </w:t>
      </w:r>
      <w:hyperlink r:id="rId15" w:history="1">
        <w:r w:rsidR="008C7806" w:rsidRPr="008C7806">
          <w:rPr>
            <w:rStyle w:val="Hyperlink"/>
            <w:sz w:val="24"/>
            <w:szCs w:val="24"/>
          </w:rPr>
          <w:t>https://doi.org/10.1016/j.cpr.2015.05.009</w:t>
        </w:r>
      </w:hyperlink>
    </w:p>
    <w:p w14:paraId="0E83279F" w14:textId="55DDAB23" w:rsidR="008C7806" w:rsidRPr="008C7806" w:rsidRDefault="003F54F1" w:rsidP="007544AE">
      <w:pPr>
        <w:pStyle w:val="ListParagraph"/>
        <w:numPr>
          <w:ilvl w:val="0"/>
          <w:numId w:val="6"/>
        </w:numPr>
        <w:spacing w:line="480" w:lineRule="auto"/>
        <w:rPr>
          <w:sz w:val="24"/>
          <w:szCs w:val="24"/>
        </w:rPr>
      </w:pPr>
      <w:r w:rsidRPr="008C7806">
        <w:rPr>
          <w:sz w:val="24"/>
          <w:szCs w:val="24"/>
        </w:rPr>
        <w:t>Smith MB, Haney E, McDonagh M</w:t>
      </w:r>
      <w:r w:rsidR="00272329">
        <w:rPr>
          <w:sz w:val="24"/>
          <w:szCs w:val="24"/>
        </w:rPr>
        <w:t>,</w:t>
      </w:r>
      <w:r w:rsidR="00D90387">
        <w:rPr>
          <w:sz w:val="24"/>
          <w:szCs w:val="24"/>
        </w:rPr>
        <w:t xml:space="preserve"> </w:t>
      </w:r>
      <w:r w:rsidR="00FF68F7" w:rsidRPr="008C7806">
        <w:rPr>
          <w:sz w:val="24"/>
          <w:szCs w:val="24"/>
        </w:rPr>
        <w:t>et al</w:t>
      </w:r>
      <w:r w:rsidRPr="008C7806">
        <w:rPr>
          <w:sz w:val="24"/>
          <w:szCs w:val="24"/>
        </w:rPr>
        <w:t xml:space="preserve">. Treatment of myalgic encephalomyelitis/chronic fatigue syndrome: a systematic review for a National Institutes of Health </w:t>
      </w:r>
      <w:r w:rsidR="00D90387">
        <w:rPr>
          <w:sz w:val="24"/>
          <w:szCs w:val="24"/>
        </w:rPr>
        <w:t>p</w:t>
      </w:r>
      <w:r w:rsidRPr="008C7806">
        <w:rPr>
          <w:sz w:val="24"/>
          <w:szCs w:val="24"/>
        </w:rPr>
        <w:t xml:space="preserve">athways to </w:t>
      </w:r>
      <w:r w:rsidR="00D90387">
        <w:rPr>
          <w:sz w:val="24"/>
          <w:szCs w:val="24"/>
        </w:rPr>
        <w:t>p</w:t>
      </w:r>
      <w:r w:rsidRPr="008C7806">
        <w:rPr>
          <w:sz w:val="24"/>
          <w:szCs w:val="24"/>
        </w:rPr>
        <w:t xml:space="preserve">revention </w:t>
      </w:r>
      <w:r w:rsidR="00D90387">
        <w:rPr>
          <w:sz w:val="24"/>
          <w:szCs w:val="24"/>
        </w:rPr>
        <w:t>w</w:t>
      </w:r>
      <w:r w:rsidRPr="008C7806">
        <w:rPr>
          <w:sz w:val="24"/>
          <w:szCs w:val="24"/>
        </w:rPr>
        <w:t xml:space="preserve">orkshop. </w:t>
      </w:r>
      <w:r w:rsidRPr="008C7806">
        <w:rPr>
          <w:i/>
          <w:iCs/>
          <w:sz w:val="24"/>
          <w:szCs w:val="24"/>
        </w:rPr>
        <w:t xml:space="preserve">Ann intern </w:t>
      </w:r>
      <w:r w:rsidR="00987905" w:rsidRPr="008C7806">
        <w:rPr>
          <w:i/>
          <w:iCs/>
          <w:sz w:val="24"/>
          <w:szCs w:val="24"/>
        </w:rPr>
        <w:t>M</w:t>
      </w:r>
      <w:r w:rsidRPr="008C7806">
        <w:rPr>
          <w:i/>
          <w:iCs/>
          <w:sz w:val="24"/>
          <w:szCs w:val="24"/>
        </w:rPr>
        <w:t xml:space="preserve">ed </w:t>
      </w:r>
      <w:r w:rsidRPr="008C7806">
        <w:rPr>
          <w:sz w:val="24"/>
          <w:szCs w:val="24"/>
        </w:rPr>
        <w:t>2015;162:841-50.</w:t>
      </w:r>
      <w:r w:rsidR="00E659C8" w:rsidRPr="008C7806">
        <w:rPr>
          <w:sz w:val="24"/>
          <w:szCs w:val="24"/>
        </w:rPr>
        <w:t xml:space="preserve"> </w:t>
      </w:r>
      <w:hyperlink r:id="rId16" w:history="1">
        <w:r w:rsidR="008C7806" w:rsidRPr="008C7806">
          <w:rPr>
            <w:rStyle w:val="Hyperlink"/>
            <w:sz w:val="24"/>
            <w:szCs w:val="24"/>
          </w:rPr>
          <w:t>https://doi.org/10.7326/M15-0114</w:t>
        </w:r>
      </w:hyperlink>
    </w:p>
    <w:p w14:paraId="2B77B05C" w14:textId="2A359E30" w:rsidR="00570843" w:rsidRPr="00122397" w:rsidRDefault="00570843" w:rsidP="007544AE">
      <w:pPr>
        <w:pStyle w:val="ListParagraph"/>
        <w:numPr>
          <w:ilvl w:val="0"/>
          <w:numId w:val="6"/>
        </w:numPr>
        <w:spacing w:line="480" w:lineRule="auto"/>
        <w:rPr>
          <w:sz w:val="24"/>
          <w:szCs w:val="24"/>
        </w:rPr>
      </w:pPr>
      <w:r w:rsidRPr="00570843">
        <w:rPr>
          <w:sz w:val="24"/>
          <w:szCs w:val="24"/>
        </w:rPr>
        <w:t xml:space="preserve">Smith MEB, Nelson HD, Haney E, </w:t>
      </w:r>
      <w:r>
        <w:rPr>
          <w:sz w:val="24"/>
          <w:szCs w:val="24"/>
        </w:rPr>
        <w:t>et al</w:t>
      </w:r>
      <w:r w:rsidRPr="00570843">
        <w:rPr>
          <w:sz w:val="24"/>
          <w:szCs w:val="24"/>
        </w:rPr>
        <w:t xml:space="preserve">. Diagnosis and Treatment of Myalgic Encephalomyelitis/Chronic Fatigue Syndrome. Evidence Report/Technology Assessment No. 219. (Prepared by the Pacific Northwest Evidence-based Practice Center under Contract No. 290-2012-00014-I.) AHRQ Publication No. 15-E001-EF. Rockville, MD: Agency for Healthcare Research and Quality; December 2014. Addendum July 2016. www.effectivehealthcare.ahrq.gov/reports/final.cfm. DOI: </w:t>
      </w:r>
      <w:hyperlink r:id="rId17" w:history="1">
        <w:r w:rsidR="00F23479" w:rsidRPr="00351384">
          <w:rPr>
            <w:rStyle w:val="Hyperlink"/>
            <w:sz w:val="24"/>
            <w:szCs w:val="24"/>
          </w:rPr>
          <w:t>https://doi.org/10.23970/AHRQEPCERTA219</w:t>
        </w:r>
      </w:hyperlink>
      <w:r w:rsidR="00F23479">
        <w:rPr>
          <w:sz w:val="24"/>
          <w:szCs w:val="24"/>
        </w:rPr>
        <w:t xml:space="preserve"> (accessed May 2022)</w:t>
      </w:r>
    </w:p>
    <w:p w14:paraId="22291326" w14:textId="77777777" w:rsidR="00F23479" w:rsidRPr="008C7806" w:rsidRDefault="00F23479" w:rsidP="00F23479">
      <w:pPr>
        <w:pStyle w:val="ListParagraph"/>
        <w:numPr>
          <w:ilvl w:val="0"/>
          <w:numId w:val="6"/>
        </w:numPr>
        <w:spacing w:line="480" w:lineRule="auto"/>
        <w:rPr>
          <w:sz w:val="24"/>
          <w:szCs w:val="24"/>
        </w:rPr>
      </w:pPr>
      <w:r w:rsidRPr="008C7806">
        <w:rPr>
          <w:sz w:val="24"/>
          <w:szCs w:val="24"/>
        </w:rPr>
        <w:t xml:space="preserve">Larun L, Brurberg KG, Odgaard-Jensen J, Price JR. Exercise therapy for chronic fatigue syndrome. </w:t>
      </w:r>
      <w:r w:rsidRPr="006E4044">
        <w:rPr>
          <w:i/>
          <w:iCs/>
          <w:sz w:val="24"/>
          <w:szCs w:val="24"/>
        </w:rPr>
        <w:t>Cochrane Database Sys Rev</w:t>
      </w:r>
      <w:r w:rsidRPr="008C7806">
        <w:rPr>
          <w:sz w:val="24"/>
          <w:szCs w:val="24"/>
        </w:rPr>
        <w:t xml:space="preserve"> 2019;4:CD003200. </w:t>
      </w:r>
      <w:hyperlink r:id="rId18" w:history="1">
        <w:r w:rsidRPr="008C7806">
          <w:rPr>
            <w:rStyle w:val="Hyperlink"/>
            <w:sz w:val="24"/>
            <w:szCs w:val="24"/>
          </w:rPr>
          <w:t>https://doi.org/10.1002/14651858.CD003200.pub8</w:t>
        </w:r>
      </w:hyperlink>
    </w:p>
    <w:p w14:paraId="26C7DA78" w14:textId="0E72DA4E" w:rsidR="00ED7104" w:rsidRPr="00ED7104" w:rsidRDefault="008E7820" w:rsidP="005D0785">
      <w:pPr>
        <w:pStyle w:val="ListParagraph"/>
        <w:numPr>
          <w:ilvl w:val="0"/>
          <w:numId w:val="6"/>
        </w:numPr>
        <w:spacing w:line="480" w:lineRule="auto"/>
        <w:rPr>
          <w:sz w:val="24"/>
          <w:szCs w:val="24"/>
        </w:rPr>
      </w:pPr>
      <w:r w:rsidRPr="00ED7104">
        <w:rPr>
          <w:sz w:val="24"/>
          <w:szCs w:val="24"/>
        </w:rPr>
        <w:t xml:space="preserve">Casson S, Jones MD, Cassar J, et al. The effectiveness of activity pacing interventions for people with chronic fatigue syndrome: a systematic review and meta-analysis. Disabil Rehab 2022, </w:t>
      </w:r>
      <w:hyperlink r:id="rId19" w:history="1">
        <w:r w:rsidR="00ED7104" w:rsidRPr="00ED7104">
          <w:rPr>
            <w:rStyle w:val="Hyperlink"/>
            <w:sz w:val="24"/>
            <w:szCs w:val="24"/>
          </w:rPr>
          <w:t>https://doi.org/10.1080/09638288.2022.2135776</w:t>
        </w:r>
      </w:hyperlink>
    </w:p>
    <w:p w14:paraId="5A26E640" w14:textId="5D6FED5E" w:rsidR="00ED7104" w:rsidRPr="00ED7104" w:rsidRDefault="008E7820" w:rsidP="00DB2731">
      <w:pPr>
        <w:pStyle w:val="ListParagraph"/>
        <w:numPr>
          <w:ilvl w:val="0"/>
          <w:numId w:val="6"/>
        </w:numPr>
        <w:spacing w:line="480" w:lineRule="auto"/>
        <w:rPr>
          <w:rStyle w:val="Hyperlink"/>
          <w:color w:val="auto"/>
          <w:sz w:val="24"/>
          <w:szCs w:val="24"/>
          <w:u w:val="none"/>
        </w:rPr>
      </w:pPr>
      <w:r w:rsidRPr="00ED7104">
        <w:rPr>
          <w:rStyle w:val="Hyperlink"/>
          <w:color w:val="auto"/>
          <w:sz w:val="24"/>
          <w:szCs w:val="24"/>
          <w:u w:val="none"/>
        </w:rPr>
        <w:t xml:space="preserve">Ingman T, Smakowski A, Goldsmith K, Chalder T. A systematic literature review of randomized controlled trials evaluating prognosis following treatment for adults with chronic fatigue syndrome. Psychol Med 2022;52:2917-2929. </w:t>
      </w:r>
      <w:hyperlink r:id="rId20" w:history="1">
        <w:r w:rsidR="00ED7104" w:rsidRPr="00ED7104">
          <w:rPr>
            <w:rStyle w:val="Hyperlink"/>
            <w:sz w:val="24"/>
            <w:szCs w:val="24"/>
          </w:rPr>
          <w:t>https://doi.org/10.1017/S0033291722002471</w:t>
        </w:r>
      </w:hyperlink>
    </w:p>
    <w:p w14:paraId="3F1BD670" w14:textId="75C79DE3" w:rsidR="008E7820" w:rsidRPr="00ED7104" w:rsidRDefault="008E7820" w:rsidP="00AD2B5D">
      <w:pPr>
        <w:pStyle w:val="ListParagraph"/>
        <w:numPr>
          <w:ilvl w:val="0"/>
          <w:numId w:val="6"/>
        </w:numPr>
        <w:spacing w:line="480" w:lineRule="auto"/>
        <w:rPr>
          <w:sz w:val="24"/>
          <w:szCs w:val="24"/>
        </w:rPr>
      </w:pPr>
      <w:r w:rsidRPr="00ED7104">
        <w:rPr>
          <w:sz w:val="24"/>
          <w:szCs w:val="24"/>
        </w:rPr>
        <w:t>Chou</w:t>
      </w:r>
      <w:r w:rsidR="00B23365" w:rsidRPr="00ED7104">
        <w:rPr>
          <w:sz w:val="24"/>
          <w:szCs w:val="24"/>
        </w:rPr>
        <w:t xml:space="preserve"> R, McDonagh M, Griffin JC, Grusing S. Management of myalgic encephalomyelitis/chronic fatigue syndrome (ME/CFS): An updated systematic evidence review. Pacific Northwest Evidence-based Practice Center, </w:t>
      </w:r>
      <w:r w:rsidR="00A4207B" w:rsidRPr="00ED7104">
        <w:rPr>
          <w:sz w:val="24"/>
          <w:szCs w:val="24"/>
        </w:rPr>
        <w:t xml:space="preserve">for CDC, </w:t>
      </w:r>
      <w:r w:rsidR="00B23365" w:rsidRPr="00ED7104">
        <w:rPr>
          <w:sz w:val="24"/>
          <w:szCs w:val="24"/>
        </w:rPr>
        <w:t>202</w:t>
      </w:r>
      <w:r w:rsidR="00A4207B" w:rsidRPr="00ED7104">
        <w:rPr>
          <w:sz w:val="24"/>
          <w:szCs w:val="24"/>
        </w:rPr>
        <w:t>2</w:t>
      </w:r>
      <w:r w:rsidR="00B23365" w:rsidRPr="00ED7104">
        <w:rPr>
          <w:sz w:val="24"/>
          <w:szCs w:val="24"/>
        </w:rPr>
        <w:t>.</w:t>
      </w:r>
      <w:r w:rsidR="00A4207B" w:rsidRPr="00ED7104">
        <w:rPr>
          <w:sz w:val="24"/>
          <w:szCs w:val="24"/>
        </w:rPr>
        <w:t xml:space="preserve"> </w:t>
      </w:r>
      <w:hyperlink r:id="rId21" w:history="1">
        <w:r w:rsidR="00ED7104" w:rsidRPr="00ED7104">
          <w:rPr>
            <w:rStyle w:val="Hyperlink"/>
            <w:sz w:val="24"/>
            <w:szCs w:val="24"/>
          </w:rPr>
          <w:t>https://www.cdc.gov/me-cfs/pdfs/systematic-review/file1-final-report-mecfs-systematic-review-508.pdf</w:t>
        </w:r>
      </w:hyperlink>
      <w:r w:rsidR="00B23365" w:rsidRPr="00ED7104">
        <w:rPr>
          <w:sz w:val="24"/>
          <w:szCs w:val="24"/>
        </w:rPr>
        <w:t xml:space="preserve"> </w:t>
      </w:r>
      <w:r w:rsidR="0056141A" w:rsidRPr="00ED7104">
        <w:rPr>
          <w:sz w:val="24"/>
          <w:szCs w:val="24"/>
        </w:rPr>
        <w:t>(accessed February 2023).</w:t>
      </w:r>
    </w:p>
    <w:p w14:paraId="26B67137" w14:textId="4C81A680" w:rsidR="00C80D78" w:rsidRDefault="00C80D78" w:rsidP="007544AE">
      <w:pPr>
        <w:pStyle w:val="ListParagraph"/>
        <w:numPr>
          <w:ilvl w:val="0"/>
          <w:numId w:val="6"/>
        </w:numPr>
        <w:spacing w:line="480" w:lineRule="auto"/>
        <w:rPr>
          <w:sz w:val="24"/>
          <w:szCs w:val="24"/>
        </w:rPr>
      </w:pPr>
      <w:r w:rsidRPr="00C80D78">
        <w:rPr>
          <w:sz w:val="24"/>
          <w:szCs w:val="24"/>
        </w:rPr>
        <w:t xml:space="preserve">Turner-Stokes L, Wade DT. Updated NICE guidance on chronic fatigue syndrome: Why standard approaches to evidence evaluation must change. </w:t>
      </w:r>
      <w:r w:rsidRPr="00955698">
        <w:rPr>
          <w:i/>
          <w:iCs/>
          <w:sz w:val="24"/>
          <w:szCs w:val="24"/>
        </w:rPr>
        <w:t>BMJ</w:t>
      </w:r>
      <w:r w:rsidRPr="00C80D78">
        <w:rPr>
          <w:sz w:val="24"/>
          <w:szCs w:val="24"/>
        </w:rPr>
        <w:t xml:space="preserve"> 2020;371:m4774</w:t>
      </w:r>
      <w:r w:rsidR="00D90387">
        <w:rPr>
          <w:sz w:val="24"/>
          <w:szCs w:val="24"/>
        </w:rPr>
        <w:t>,</w:t>
      </w:r>
      <w:r w:rsidRPr="00C80D78">
        <w:rPr>
          <w:sz w:val="24"/>
          <w:szCs w:val="24"/>
        </w:rPr>
        <w:t xml:space="preserve"> </w:t>
      </w:r>
      <w:hyperlink r:id="rId22" w:history="1">
        <w:r w:rsidRPr="00652077">
          <w:rPr>
            <w:rStyle w:val="Hyperlink"/>
            <w:sz w:val="24"/>
            <w:szCs w:val="24"/>
          </w:rPr>
          <w:t>http://dx.doi.org/10.1136/bmj.m4774</w:t>
        </w:r>
      </w:hyperlink>
    </w:p>
    <w:p w14:paraId="74BE032B" w14:textId="3CDAA776" w:rsidR="008C7806" w:rsidRPr="008C7806" w:rsidRDefault="008B01C9" w:rsidP="007544AE">
      <w:pPr>
        <w:pStyle w:val="ListParagraph"/>
        <w:numPr>
          <w:ilvl w:val="0"/>
          <w:numId w:val="6"/>
        </w:numPr>
        <w:spacing w:line="480" w:lineRule="auto"/>
        <w:rPr>
          <w:sz w:val="24"/>
          <w:szCs w:val="24"/>
        </w:rPr>
      </w:pPr>
      <w:r w:rsidRPr="008C7806">
        <w:rPr>
          <w:sz w:val="24"/>
          <w:szCs w:val="24"/>
        </w:rPr>
        <w:t>Torjesen I. Exclusive: Four members of NICE’s guideline committee on ME/CFS</w:t>
      </w:r>
      <w:r w:rsidR="00D90387">
        <w:rPr>
          <w:sz w:val="24"/>
          <w:szCs w:val="24"/>
        </w:rPr>
        <w:t xml:space="preserve"> </w:t>
      </w:r>
      <w:r w:rsidRPr="008C7806">
        <w:rPr>
          <w:sz w:val="24"/>
          <w:szCs w:val="24"/>
        </w:rPr>
        <w:t xml:space="preserve">stand down. </w:t>
      </w:r>
      <w:r w:rsidRPr="006E4044">
        <w:rPr>
          <w:i/>
          <w:iCs/>
          <w:sz w:val="24"/>
          <w:szCs w:val="24"/>
        </w:rPr>
        <w:t>BMJ</w:t>
      </w:r>
      <w:r w:rsidRPr="008C7806">
        <w:rPr>
          <w:sz w:val="24"/>
          <w:szCs w:val="24"/>
        </w:rPr>
        <w:t xml:space="preserve"> 2021 374:n1937. </w:t>
      </w:r>
      <w:hyperlink r:id="rId23" w:history="1">
        <w:r w:rsidR="008C7806" w:rsidRPr="008C7806">
          <w:rPr>
            <w:rStyle w:val="Hyperlink"/>
            <w:sz w:val="24"/>
            <w:szCs w:val="24"/>
          </w:rPr>
          <w:t>https://doi.org/10.1136/bmj.n1937</w:t>
        </w:r>
      </w:hyperlink>
    </w:p>
    <w:p w14:paraId="47A0C49D" w14:textId="6A30ACFA" w:rsidR="008B01C9" w:rsidRPr="008C7806" w:rsidRDefault="008B01C9" w:rsidP="007544AE">
      <w:pPr>
        <w:pStyle w:val="ListParagraph"/>
        <w:numPr>
          <w:ilvl w:val="0"/>
          <w:numId w:val="6"/>
        </w:numPr>
        <w:spacing w:line="480" w:lineRule="auto"/>
        <w:rPr>
          <w:sz w:val="24"/>
          <w:szCs w:val="24"/>
        </w:rPr>
      </w:pPr>
      <w:r w:rsidRPr="008C7806">
        <w:rPr>
          <w:sz w:val="24"/>
          <w:szCs w:val="24"/>
        </w:rPr>
        <w:t xml:space="preserve">Royal College of Physicians, 2021. Medical leaders sign joint statement in response to NICE guidance on ME/CFS. </w:t>
      </w:r>
      <w:hyperlink r:id="rId24" w:history="1">
        <w:r w:rsidR="008C7806" w:rsidRPr="008C7806">
          <w:rPr>
            <w:rStyle w:val="Hyperlink"/>
            <w:sz w:val="24"/>
            <w:szCs w:val="24"/>
          </w:rPr>
          <w:t>https://www.rcplondon.ac.uk/news/medical-leaders-sign-joint-statement-response-nice-guidance-mecfs</w:t>
        </w:r>
      </w:hyperlink>
      <w:r w:rsidRPr="008C7806">
        <w:rPr>
          <w:sz w:val="24"/>
          <w:szCs w:val="24"/>
        </w:rPr>
        <w:t xml:space="preserve"> (accessed Feb 2022).</w:t>
      </w:r>
    </w:p>
    <w:p w14:paraId="4299C580" w14:textId="0B937866" w:rsidR="008C7806" w:rsidRPr="008C7806" w:rsidRDefault="008B01C9" w:rsidP="007544AE">
      <w:pPr>
        <w:pStyle w:val="ListParagraph"/>
        <w:numPr>
          <w:ilvl w:val="0"/>
          <w:numId w:val="6"/>
        </w:numPr>
        <w:spacing w:line="480" w:lineRule="auto"/>
        <w:rPr>
          <w:sz w:val="24"/>
          <w:szCs w:val="24"/>
        </w:rPr>
      </w:pPr>
      <w:r w:rsidRPr="008C7806">
        <w:rPr>
          <w:sz w:val="24"/>
          <w:szCs w:val="24"/>
        </w:rPr>
        <w:t>Flottorp SA, Brurberg KG, Fink P</w:t>
      </w:r>
      <w:r w:rsidR="00272329">
        <w:rPr>
          <w:sz w:val="24"/>
          <w:szCs w:val="24"/>
        </w:rPr>
        <w:t>,</w:t>
      </w:r>
      <w:r w:rsidRPr="008C7806">
        <w:rPr>
          <w:sz w:val="24"/>
          <w:szCs w:val="24"/>
        </w:rPr>
        <w:t xml:space="preserve"> et al. New NICE guideline on chronic fatigue syndrome: more ideology than </w:t>
      </w:r>
      <w:proofErr w:type="gramStart"/>
      <w:r w:rsidRPr="008C7806">
        <w:rPr>
          <w:sz w:val="24"/>
          <w:szCs w:val="24"/>
        </w:rPr>
        <w:t>science?.</w:t>
      </w:r>
      <w:proofErr w:type="gramEnd"/>
      <w:r w:rsidRPr="008C7806">
        <w:rPr>
          <w:sz w:val="24"/>
          <w:szCs w:val="24"/>
        </w:rPr>
        <w:t xml:space="preserve"> </w:t>
      </w:r>
      <w:r w:rsidRPr="006E4044">
        <w:rPr>
          <w:i/>
          <w:iCs/>
          <w:sz w:val="24"/>
          <w:szCs w:val="24"/>
        </w:rPr>
        <w:t>Lancet</w:t>
      </w:r>
      <w:r w:rsidRPr="008C7806">
        <w:rPr>
          <w:sz w:val="24"/>
          <w:szCs w:val="24"/>
        </w:rPr>
        <w:t xml:space="preserve"> 2022;399:611-3. </w:t>
      </w:r>
      <w:hyperlink r:id="rId25" w:history="1">
        <w:r w:rsidR="008C7806" w:rsidRPr="008C7806">
          <w:rPr>
            <w:rStyle w:val="Hyperlink"/>
            <w:sz w:val="24"/>
            <w:szCs w:val="24"/>
          </w:rPr>
          <w:t>https://doi.org/10.1016/S0140-6736(22)00183-0</w:t>
        </w:r>
      </w:hyperlink>
    </w:p>
    <w:p w14:paraId="5B487057" w14:textId="1AB01FCA" w:rsidR="00E5175A" w:rsidRPr="005F1A69" w:rsidRDefault="00681CC9" w:rsidP="005F1A69">
      <w:pPr>
        <w:pStyle w:val="ListParagraph"/>
        <w:numPr>
          <w:ilvl w:val="0"/>
          <w:numId w:val="6"/>
        </w:numPr>
        <w:spacing w:line="480" w:lineRule="auto"/>
        <w:rPr>
          <w:sz w:val="24"/>
          <w:szCs w:val="24"/>
        </w:rPr>
      </w:pPr>
      <w:r w:rsidRPr="005F1A69">
        <w:rPr>
          <w:sz w:val="24"/>
          <w:szCs w:val="24"/>
        </w:rPr>
        <w:t xml:space="preserve"> </w:t>
      </w:r>
      <w:r w:rsidR="00E5175A" w:rsidRPr="005F1A69">
        <w:rPr>
          <w:sz w:val="24"/>
          <w:szCs w:val="24"/>
        </w:rPr>
        <w:t>NICE. Myalgic encephalomyelitis (or encephalopathy)/chronic fatigue syndrome: diagnosis and management. Consultation on draft guideli</w:t>
      </w:r>
      <w:r w:rsidR="00691760" w:rsidRPr="005F1A69">
        <w:rPr>
          <w:sz w:val="24"/>
          <w:szCs w:val="24"/>
        </w:rPr>
        <w:t>n</w:t>
      </w:r>
      <w:r w:rsidR="00E5175A" w:rsidRPr="005F1A69">
        <w:rPr>
          <w:sz w:val="24"/>
          <w:szCs w:val="24"/>
        </w:rPr>
        <w:t xml:space="preserve">e </w:t>
      </w:r>
      <w:r w:rsidR="005561DA" w:rsidRPr="005F1A69">
        <w:rPr>
          <w:sz w:val="24"/>
          <w:szCs w:val="24"/>
        </w:rPr>
        <w:t>–</w:t>
      </w:r>
      <w:r w:rsidR="00E5175A" w:rsidRPr="005F1A69">
        <w:rPr>
          <w:sz w:val="24"/>
          <w:szCs w:val="24"/>
        </w:rPr>
        <w:t xml:space="preserve"> Stakeholder comments table</w:t>
      </w:r>
      <w:r w:rsidR="004B7C46">
        <w:rPr>
          <w:sz w:val="24"/>
          <w:szCs w:val="24"/>
        </w:rPr>
        <w:t>. 2021</w:t>
      </w:r>
      <w:r w:rsidR="00E5175A" w:rsidRPr="005F1A69">
        <w:rPr>
          <w:sz w:val="24"/>
          <w:szCs w:val="24"/>
        </w:rPr>
        <w:t>.</w:t>
      </w:r>
      <w:r w:rsidR="005F1A69" w:rsidRPr="005F1A69">
        <w:rPr>
          <w:sz w:val="24"/>
          <w:szCs w:val="24"/>
        </w:rPr>
        <w:t xml:space="preserve"> </w:t>
      </w:r>
      <w:hyperlink r:id="rId26" w:history="1">
        <w:r w:rsidR="005F1A69" w:rsidRPr="005F1A69">
          <w:rPr>
            <w:rStyle w:val="Hyperlink"/>
            <w:sz w:val="24"/>
            <w:szCs w:val="24"/>
          </w:rPr>
          <w:t>https://www.nice.org.uk/guidance/ng206/documents/consultation-comments-and-responses</w:t>
        </w:r>
      </w:hyperlink>
      <w:r w:rsidR="005F1A69" w:rsidRPr="005F1A69">
        <w:rPr>
          <w:sz w:val="24"/>
          <w:szCs w:val="24"/>
        </w:rPr>
        <w:t xml:space="preserve"> </w:t>
      </w:r>
      <w:r w:rsidR="007960B8" w:rsidRPr="005F1A69">
        <w:rPr>
          <w:sz w:val="24"/>
          <w:szCs w:val="24"/>
        </w:rPr>
        <w:t xml:space="preserve"> (accessed Feb 2022)</w:t>
      </w:r>
    </w:p>
    <w:p w14:paraId="234BFE55" w14:textId="44805194" w:rsidR="00A01B34" w:rsidRDefault="00A01B34" w:rsidP="007544AE">
      <w:pPr>
        <w:pStyle w:val="ListParagraph"/>
        <w:numPr>
          <w:ilvl w:val="0"/>
          <w:numId w:val="6"/>
        </w:numPr>
        <w:spacing w:line="480" w:lineRule="auto"/>
        <w:rPr>
          <w:sz w:val="24"/>
          <w:szCs w:val="24"/>
        </w:rPr>
      </w:pPr>
      <w:r w:rsidRPr="00A01B34">
        <w:rPr>
          <w:sz w:val="24"/>
          <w:szCs w:val="24"/>
        </w:rPr>
        <w:t xml:space="preserve">NICE. Myalgic encephalomyelitis (or encephalopathy)/chronic fatigue syndrome: diagnosis and management. Consultation on draft guideline </w:t>
      </w:r>
      <w:r w:rsidR="005561DA">
        <w:rPr>
          <w:sz w:val="24"/>
          <w:szCs w:val="24"/>
        </w:rPr>
        <w:t>–</w:t>
      </w:r>
      <w:r w:rsidRPr="00A01B34">
        <w:rPr>
          <w:sz w:val="24"/>
          <w:szCs w:val="24"/>
        </w:rPr>
        <w:t xml:space="preserve"> Stakeholder comments table. 2021</w:t>
      </w:r>
      <w:r w:rsidR="004B7C46">
        <w:rPr>
          <w:sz w:val="24"/>
          <w:szCs w:val="24"/>
        </w:rPr>
        <w:t>.</w:t>
      </w:r>
      <w:r w:rsidRPr="00A01B34">
        <w:rPr>
          <w:sz w:val="24"/>
          <w:szCs w:val="24"/>
        </w:rPr>
        <w:t xml:space="preserve"> </w:t>
      </w:r>
      <w:hyperlink r:id="rId27" w:history="1">
        <w:r w:rsidRPr="00A01B34">
          <w:rPr>
            <w:rStyle w:val="Hyperlink"/>
            <w:sz w:val="24"/>
            <w:szCs w:val="24"/>
          </w:rPr>
          <w:t>https://www.nice.org.uk/guidance/ng206/documents/consultation-comments-and-responses-</w:t>
        </w:r>
        <w:r w:rsidRPr="00652077">
          <w:rPr>
            <w:rStyle w:val="Hyperlink"/>
            <w:sz w:val="24"/>
            <w:szCs w:val="24"/>
          </w:rPr>
          <w:t>4</w:t>
        </w:r>
      </w:hyperlink>
      <w:r w:rsidR="007960B8">
        <w:rPr>
          <w:sz w:val="24"/>
          <w:szCs w:val="24"/>
        </w:rPr>
        <w:t xml:space="preserve"> (</w:t>
      </w:r>
      <w:r w:rsidR="007960B8" w:rsidRPr="007960B8">
        <w:rPr>
          <w:sz w:val="24"/>
          <w:szCs w:val="24"/>
        </w:rPr>
        <w:t>accessed Feb 2022</w:t>
      </w:r>
      <w:r w:rsidR="007960B8">
        <w:rPr>
          <w:sz w:val="24"/>
          <w:szCs w:val="24"/>
        </w:rPr>
        <w:t>)</w:t>
      </w:r>
    </w:p>
    <w:p w14:paraId="3EADFCF6" w14:textId="499664DE" w:rsidR="004B7C46" w:rsidRPr="004B7C46" w:rsidRDefault="00CE1878" w:rsidP="004B7C46">
      <w:pPr>
        <w:pStyle w:val="ListParagraph"/>
        <w:numPr>
          <w:ilvl w:val="0"/>
          <w:numId w:val="6"/>
        </w:numPr>
        <w:spacing w:line="480" w:lineRule="auto"/>
        <w:rPr>
          <w:sz w:val="24"/>
          <w:szCs w:val="24"/>
        </w:rPr>
      </w:pPr>
      <w:r w:rsidRPr="004B7C46">
        <w:rPr>
          <w:sz w:val="24"/>
          <w:szCs w:val="24"/>
        </w:rPr>
        <w:t>Doust J, Vandvik PO, Qaseem A</w:t>
      </w:r>
      <w:r w:rsidR="00272329">
        <w:rPr>
          <w:sz w:val="24"/>
          <w:szCs w:val="24"/>
        </w:rPr>
        <w:t>,</w:t>
      </w:r>
      <w:r w:rsidRPr="004B7C46">
        <w:rPr>
          <w:sz w:val="24"/>
          <w:szCs w:val="24"/>
        </w:rPr>
        <w:t xml:space="preserve"> et al. Guidelines International Network (G-I-N) preventing overdiagnosis working group. Guidance for modifying the definition of diseases: A checklist. </w:t>
      </w:r>
      <w:r w:rsidRPr="004B7C46">
        <w:rPr>
          <w:i/>
          <w:iCs/>
          <w:sz w:val="24"/>
          <w:szCs w:val="24"/>
        </w:rPr>
        <w:t>JAMA Intern Med</w:t>
      </w:r>
      <w:r w:rsidRPr="004B7C46">
        <w:rPr>
          <w:sz w:val="24"/>
          <w:szCs w:val="24"/>
        </w:rPr>
        <w:t xml:space="preserve"> 2017;177:1020-1025. </w:t>
      </w:r>
      <w:hyperlink r:id="rId28" w:history="1">
        <w:r w:rsidR="004B7C46" w:rsidRPr="004B7C46">
          <w:rPr>
            <w:rStyle w:val="Hyperlink"/>
            <w:sz w:val="24"/>
            <w:szCs w:val="24"/>
          </w:rPr>
          <w:t>https://jamanetwork.com/journals/jamainternalmedicine/article-abstract/2626860</w:t>
        </w:r>
      </w:hyperlink>
    </w:p>
    <w:p w14:paraId="00ADC131" w14:textId="782818C4" w:rsidR="008C7806" w:rsidRPr="008C7806" w:rsidRDefault="00183F30" w:rsidP="007544AE">
      <w:pPr>
        <w:pStyle w:val="ListParagraph"/>
        <w:numPr>
          <w:ilvl w:val="0"/>
          <w:numId w:val="6"/>
        </w:numPr>
        <w:spacing w:line="480" w:lineRule="auto"/>
        <w:rPr>
          <w:sz w:val="24"/>
          <w:szCs w:val="24"/>
        </w:rPr>
      </w:pPr>
      <w:r w:rsidRPr="008C7806">
        <w:rPr>
          <w:sz w:val="24"/>
          <w:szCs w:val="24"/>
        </w:rPr>
        <w:t>Fukuda K, Straus SE, Hickie I</w:t>
      </w:r>
      <w:r w:rsidR="00272329">
        <w:rPr>
          <w:sz w:val="24"/>
          <w:szCs w:val="24"/>
        </w:rPr>
        <w:t>,</w:t>
      </w:r>
      <w:r w:rsidRPr="008C7806">
        <w:rPr>
          <w:sz w:val="24"/>
          <w:szCs w:val="24"/>
        </w:rPr>
        <w:t xml:space="preserve"> et al. The chronic fatigue syndrome: a comprehensive approach to its definition and study. </w:t>
      </w:r>
      <w:r w:rsidRPr="008C7806">
        <w:rPr>
          <w:i/>
          <w:iCs/>
          <w:sz w:val="24"/>
          <w:szCs w:val="24"/>
        </w:rPr>
        <w:t>Ann Int Med</w:t>
      </w:r>
      <w:r w:rsidRPr="008C7806">
        <w:rPr>
          <w:sz w:val="24"/>
          <w:szCs w:val="24"/>
        </w:rPr>
        <w:t xml:space="preserve"> 1994;121:953-959.</w:t>
      </w:r>
      <w:r w:rsidR="00390B04" w:rsidRPr="008C7806">
        <w:rPr>
          <w:sz w:val="24"/>
          <w:szCs w:val="24"/>
        </w:rPr>
        <w:t xml:space="preserve"> </w:t>
      </w:r>
      <w:hyperlink r:id="rId29" w:history="1">
        <w:r w:rsidR="008C7806" w:rsidRPr="008C7806">
          <w:rPr>
            <w:rStyle w:val="Hyperlink"/>
            <w:sz w:val="24"/>
            <w:szCs w:val="24"/>
          </w:rPr>
          <w:t>https://doi.org/10.7326/0003-4819-121-12-199412150-00009</w:t>
        </w:r>
      </w:hyperlink>
    </w:p>
    <w:p w14:paraId="4B989B8D" w14:textId="2F7D0D88" w:rsidR="007A38C8" w:rsidRDefault="00802FEF" w:rsidP="007544AE">
      <w:pPr>
        <w:pStyle w:val="ListParagraph"/>
        <w:numPr>
          <w:ilvl w:val="0"/>
          <w:numId w:val="6"/>
        </w:numPr>
        <w:spacing w:line="480" w:lineRule="auto"/>
        <w:rPr>
          <w:sz w:val="24"/>
          <w:szCs w:val="24"/>
        </w:rPr>
      </w:pPr>
      <w:r w:rsidRPr="007A38C8">
        <w:rPr>
          <w:sz w:val="24"/>
          <w:szCs w:val="24"/>
        </w:rPr>
        <w:t>NICE</w:t>
      </w:r>
      <w:r w:rsidR="00722951" w:rsidRPr="007A38C8">
        <w:rPr>
          <w:sz w:val="24"/>
          <w:szCs w:val="24"/>
        </w:rPr>
        <w:t>.</w:t>
      </w:r>
      <w:r w:rsidRPr="007A38C8">
        <w:rPr>
          <w:sz w:val="24"/>
          <w:szCs w:val="24"/>
        </w:rPr>
        <w:t xml:space="preserve"> </w:t>
      </w:r>
      <w:r w:rsidR="00722951" w:rsidRPr="007A38C8">
        <w:rPr>
          <w:sz w:val="24"/>
          <w:szCs w:val="24"/>
        </w:rPr>
        <w:t>Myalgic encephalomyelitis (or encephalopathy) / chronic fatigue syndrome: diagnosis and management. [D] Identifying and diagnosing ME/CFS.</w:t>
      </w:r>
      <w:r w:rsidR="00722951" w:rsidRPr="00722951">
        <w:t xml:space="preserve"> </w:t>
      </w:r>
      <w:r w:rsidR="00722951" w:rsidRPr="007A38C8">
        <w:rPr>
          <w:sz w:val="24"/>
          <w:szCs w:val="24"/>
        </w:rPr>
        <w:t xml:space="preserve">NICE guideline NG206. October 2021. </w:t>
      </w:r>
      <w:hyperlink r:id="rId30" w:history="1">
        <w:r w:rsidR="007A38C8" w:rsidRPr="007A38C8">
          <w:rPr>
            <w:rStyle w:val="Hyperlink"/>
            <w:sz w:val="24"/>
            <w:szCs w:val="24"/>
          </w:rPr>
          <w:t>https://www.nice.org.uk/guidance/ng206/evidence/d-identifying-and-diagnosing-mecfs-pdf-9265183025</w:t>
        </w:r>
      </w:hyperlink>
      <w:r w:rsidR="00987905">
        <w:rPr>
          <w:sz w:val="24"/>
          <w:szCs w:val="24"/>
        </w:rPr>
        <w:t xml:space="preserve"> (accessed May 2022)</w:t>
      </w:r>
    </w:p>
    <w:p w14:paraId="18B8ABE3" w14:textId="77777777" w:rsidR="00ED7104" w:rsidRPr="007A7B74" w:rsidRDefault="00ED7104" w:rsidP="00ED7104">
      <w:pPr>
        <w:pStyle w:val="ListParagraph"/>
        <w:numPr>
          <w:ilvl w:val="0"/>
          <w:numId w:val="6"/>
        </w:numPr>
        <w:spacing w:line="480" w:lineRule="auto"/>
        <w:rPr>
          <w:sz w:val="24"/>
          <w:szCs w:val="24"/>
        </w:rPr>
      </w:pPr>
      <w:r w:rsidRPr="007A7B74">
        <w:rPr>
          <w:sz w:val="24"/>
          <w:szCs w:val="24"/>
        </w:rPr>
        <w:t xml:space="preserve">NICE. Myalgic encephalomyelitis (or encephalopathy) / chronic fatigue syndrome: diagnosis and management. [G] Evidence reviews for the non-pharmacological management of ME/CFS. NICE guideline NG206, 2021. </w:t>
      </w:r>
      <w:hyperlink r:id="rId31" w:history="1">
        <w:r w:rsidRPr="007A7B74">
          <w:rPr>
            <w:rStyle w:val="Hyperlink"/>
            <w:sz w:val="24"/>
            <w:szCs w:val="24"/>
          </w:rPr>
          <w:t>https://www.nice.org.uk/guidance/ng206/evidence/g-nonpharmacological-management-of-mecfs-pdf-9265183028</w:t>
        </w:r>
      </w:hyperlink>
      <w:r w:rsidRPr="007A7B74">
        <w:rPr>
          <w:sz w:val="24"/>
          <w:szCs w:val="24"/>
        </w:rPr>
        <w:t xml:space="preserve"> (accessed May 2022).</w:t>
      </w:r>
    </w:p>
    <w:p w14:paraId="5CCF7926" w14:textId="77777777" w:rsidR="00E02240" w:rsidRPr="00614611" w:rsidRDefault="00E02240" w:rsidP="00E02240">
      <w:pPr>
        <w:pStyle w:val="ListParagraph"/>
        <w:numPr>
          <w:ilvl w:val="0"/>
          <w:numId w:val="6"/>
        </w:numPr>
        <w:spacing w:line="480" w:lineRule="auto"/>
        <w:rPr>
          <w:sz w:val="24"/>
          <w:szCs w:val="24"/>
        </w:rPr>
      </w:pPr>
      <w:r w:rsidRPr="00614611">
        <w:rPr>
          <w:sz w:val="24"/>
          <w:szCs w:val="24"/>
        </w:rPr>
        <w:t xml:space="preserve">NICE. Myalgic encephalomyelitis (or encephalopathy) / chronic fatigue syndrome: diagnosis and management. [H] Appendices for the management of ME/CFS NICE guideline. NICE, 2021, NG 206. </w:t>
      </w:r>
      <w:hyperlink r:id="rId32" w:history="1">
        <w:r w:rsidRPr="00614611">
          <w:rPr>
            <w:rStyle w:val="Hyperlink"/>
            <w:sz w:val="24"/>
            <w:szCs w:val="24"/>
          </w:rPr>
          <w:t>https://www.nice.org.uk/guidance/ng206/evidence/h-management-of-mecfs-pdf-9265183029</w:t>
        </w:r>
      </w:hyperlink>
      <w:r>
        <w:rPr>
          <w:sz w:val="24"/>
          <w:szCs w:val="24"/>
        </w:rPr>
        <w:t xml:space="preserve"> (accessed May 2022).</w:t>
      </w:r>
    </w:p>
    <w:p w14:paraId="1EA6FFF4" w14:textId="063B7E6B" w:rsidR="008C7806" w:rsidRPr="008C7806" w:rsidRDefault="00723352" w:rsidP="007544AE">
      <w:pPr>
        <w:pStyle w:val="ListParagraph"/>
        <w:numPr>
          <w:ilvl w:val="0"/>
          <w:numId w:val="6"/>
        </w:numPr>
        <w:spacing w:line="480" w:lineRule="auto"/>
        <w:rPr>
          <w:sz w:val="24"/>
          <w:szCs w:val="24"/>
        </w:rPr>
      </w:pPr>
      <w:r w:rsidRPr="008C7806">
        <w:rPr>
          <w:sz w:val="24"/>
          <w:szCs w:val="24"/>
        </w:rPr>
        <w:t>Sullivan 2005</w:t>
      </w:r>
      <w:r w:rsidR="00681CC9" w:rsidRPr="00681CC9">
        <w:t xml:space="preserve"> </w:t>
      </w:r>
      <w:r w:rsidR="00681CC9">
        <w:t>S</w:t>
      </w:r>
      <w:r w:rsidR="00681CC9" w:rsidRPr="008C7806">
        <w:rPr>
          <w:sz w:val="24"/>
          <w:szCs w:val="24"/>
        </w:rPr>
        <w:t>ullivan PF, Pedersen NL</w:t>
      </w:r>
      <w:r w:rsidR="00272329">
        <w:rPr>
          <w:sz w:val="24"/>
          <w:szCs w:val="24"/>
        </w:rPr>
        <w:t>,</w:t>
      </w:r>
      <w:r w:rsidR="00FF68F7" w:rsidRPr="008C7806">
        <w:rPr>
          <w:sz w:val="24"/>
          <w:szCs w:val="24"/>
        </w:rPr>
        <w:t xml:space="preserve"> et al</w:t>
      </w:r>
      <w:r w:rsidR="00681CC9" w:rsidRPr="008C7806">
        <w:rPr>
          <w:sz w:val="24"/>
          <w:szCs w:val="24"/>
        </w:rPr>
        <w:t xml:space="preserve">. Chronic fatigue in a population sample: definitions and heterogeneity. </w:t>
      </w:r>
      <w:r w:rsidR="00681CC9" w:rsidRPr="008C7806">
        <w:rPr>
          <w:i/>
          <w:iCs/>
          <w:sz w:val="24"/>
          <w:szCs w:val="24"/>
        </w:rPr>
        <w:t>Psychol Med</w:t>
      </w:r>
      <w:r w:rsidR="00681CC9" w:rsidRPr="008C7806">
        <w:rPr>
          <w:sz w:val="24"/>
          <w:szCs w:val="24"/>
        </w:rPr>
        <w:t xml:space="preserve"> 2005;35:1337–48.</w:t>
      </w:r>
      <w:r w:rsidR="00390B04" w:rsidRPr="008C7806">
        <w:rPr>
          <w:sz w:val="24"/>
          <w:szCs w:val="24"/>
        </w:rPr>
        <w:t xml:space="preserve"> </w:t>
      </w:r>
      <w:hyperlink r:id="rId33" w:history="1">
        <w:r w:rsidR="008C7806" w:rsidRPr="008C7806">
          <w:rPr>
            <w:rStyle w:val="Hyperlink"/>
            <w:sz w:val="24"/>
            <w:szCs w:val="24"/>
          </w:rPr>
          <w:t>https://doi.org/10.1017/S0033291705005210</w:t>
        </w:r>
      </w:hyperlink>
    </w:p>
    <w:p w14:paraId="4F9BE9B5" w14:textId="4832B310" w:rsidR="0067478B" w:rsidRPr="0067478B" w:rsidRDefault="00AC08D0" w:rsidP="0067478B">
      <w:pPr>
        <w:pStyle w:val="ListParagraph"/>
        <w:numPr>
          <w:ilvl w:val="0"/>
          <w:numId w:val="6"/>
        </w:numPr>
        <w:spacing w:line="480" w:lineRule="auto"/>
        <w:rPr>
          <w:sz w:val="24"/>
          <w:szCs w:val="24"/>
        </w:rPr>
      </w:pPr>
      <w:r w:rsidRPr="0067478B">
        <w:rPr>
          <w:sz w:val="24"/>
          <w:szCs w:val="24"/>
        </w:rPr>
        <w:t xml:space="preserve">Buchwald D, Garrity D. Comparison of </w:t>
      </w:r>
      <w:r w:rsidR="00657DD8" w:rsidRPr="0067478B">
        <w:rPr>
          <w:sz w:val="24"/>
          <w:szCs w:val="24"/>
        </w:rPr>
        <w:t>p</w:t>
      </w:r>
      <w:r w:rsidRPr="0067478B">
        <w:rPr>
          <w:sz w:val="24"/>
          <w:szCs w:val="24"/>
        </w:rPr>
        <w:t xml:space="preserve">atients </w:t>
      </w:r>
      <w:r w:rsidR="00657DD8" w:rsidRPr="0067478B">
        <w:rPr>
          <w:sz w:val="24"/>
          <w:szCs w:val="24"/>
        </w:rPr>
        <w:t>w</w:t>
      </w:r>
      <w:r w:rsidRPr="0067478B">
        <w:rPr>
          <w:sz w:val="24"/>
          <w:szCs w:val="24"/>
        </w:rPr>
        <w:t xml:space="preserve">ith </w:t>
      </w:r>
      <w:r w:rsidR="00657DD8" w:rsidRPr="0067478B">
        <w:rPr>
          <w:sz w:val="24"/>
          <w:szCs w:val="24"/>
        </w:rPr>
        <w:t>c</w:t>
      </w:r>
      <w:r w:rsidRPr="0067478B">
        <w:rPr>
          <w:sz w:val="24"/>
          <w:szCs w:val="24"/>
        </w:rPr>
        <w:t xml:space="preserve">hronic </w:t>
      </w:r>
      <w:r w:rsidR="00657DD8" w:rsidRPr="0067478B">
        <w:rPr>
          <w:sz w:val="24"/>
          <w:szCs w:val="24"/>
        </w:rPr>
        <w:t>f</w:t>
      </w:r>
      <w:r w:rsidRPr="0067478B">
        <w:rPr>
          <w:sz w:val="24"/>
          <w:szCs w:val="24"/>
        </w:rPr>
        <w:t xml:space="preserve">atigue </w:t>
      </w:r>
      <w:r w:rsidR="00657DD8" w:rsidRPr="0067478B">
        <w:rPr>
          <w:sz w:val="24"/>
          <w:szCs w:val="24"/>
        </w:rPr>
        <w:t>s</w:t>
      </w:r>
      <w:r w:rsidRPr="0067478B">
        <w:rPr>
          <w:sz w:val="24"/>
          <w:szCs w:val="24"/>
        </w:rPr>
        <w:t xml:space="preserve">yndrome, </w:t>
      </w:r>
      <w:r w:rsidR="00657DD8" w:rsidRPr="0067478B">
        <w:rPr>
          <w:sz w:val="24"/>
          <w:szCs w:val="24"/>
        </w:rPr>
        <w:t>f</w:t>
      </w:r>
      <w:r w:rsidRPr="0067478B">
        <w:rPr>
          <w:sz w:val="24"/>
          <w:szCs w:val="24"/>
        </w:rPr>
        <w:t xml:space="preserve">ibromyalgia, and </w:t>
      </w:r>
      <w:r w:rsidR="00657DD8" w:rsidRPr="0067478B">
        <w:rPr>
          <w:sz w:val="24"/>
          <w:szCs w:val="24"/>
        </w:rPr>
        <w:t>m</w:t>
      </w:r>
      <w:r w:rsidRPr="0067478B">
        <w:rPr>
          <w:sz w:val="24"/>
          <w:szCs w:val="24"/>
        </w:rPr>
        <w:t xml:space="preserve">ultiple </w:t>
      </w:r>
      <w:r w:rsidR="00657DD8" w:rsidRPr="0067478B">
        <w:rPr>
          <w:sz w:val="24"/>
          <w:szCs w:val="24"/>
        </w:rPr>
        <w:t>c</w:t>
      </w:r>
      <w:r w:rsidRPr="0067478B">
        <w:rPr>
          <w:sz w:val="24"/>
          <w:szCs w:val="24"/>
        </w:rPr>
        <w:t xml:space="preserve">hemical </w:t>
      </w:r>
      <w:r w:rsidR="00657DD8" w:rsidRPr="0067478B">
        <w:rPr>
          <w:sz w:val="24"/>
          <w:szCs w:val="24"/>
        </w:rPr>
        <w:t>s</w:t>
      </w:r>
      <w:r w:rsidRPr="0067478B">
        <w:rPr>
          <w:sz w:val="24"/>
          <w:szCs w:val="24"/>
        </w:rPr>
        <w:t xml:space="preserve">ensitivities. </w:t>
      </w:r>
      <w:r w:rsidRPr="0067478B">
        <w:rPr>
          <w:i/>
          <w:iCs/>
          <w:sz w:val="24"/>
          <w:szCs w:val="24"/>
        </w:rPr>
        <w:t>Arch Intern Med</w:t>
      </w:r>
      <w:r w:rsidRPr="0067478B">
        <w:rPr>
          <w:sz w:val="24"/>
          <w:szCs w:val="24"/>
        </w:rPr>
        <w:t xml:space="preserve"> 1994;154:2049–2053</w:t>
      </w:r>
      <w:r w:rsidR="006B6DF0" w:rsidRPr="0067478B">
        <w:rPr>
          <w:sz w:val="24"/>
          <w:szCs w:val="24"/>
        </w:rPr>
        <w:t xml:space="preserve">. </w:t>
      </w:r>
      <w:hyperlink r:id="rId34" w:history="1">
        <w:r w:rsidR="0067478B" w:rsidRPr="0067478B">
          <w:rPr>
            <w:rStyle w:val="Hyperlink"/>
            <w:sz w:val="24"/>
            <w:szCs w:val="24"/>
          </w:rPr>
          <w:t>https://doi.org/10.1001/archinte.1994.00420180053007</w:t>
        </w:r>
      </w:hyperlink>
    </w:p>
    <w:p w14:paraId="456819FF" w14:textId="0EC8C38F" w:rsidR="00AC08D0" w:rsidRDefault="00AC08D0" w:rsidP="007544AE">
      <w:pPr>
        <w:pStyle w:val="ListParagraph"/>
        <w:numPr>
          <w:ilvl w:val="0"/>
          <w:numId w:val="6"/>
        </w:numPr>
        <w:spacing w:line="480" w:lineRule="auto"/>
        <w:rPr>
          <w:sz w:val="24"/>
          <w:szCs w:val="24"/>
        </w:rPr>
      </w:pPr>
      <w:r w:rsidRPr="00AC08D0">
        <w:rPr>
          <w:sz w:val="24"/>
          <w:szCs w:val="24"/>
        </w:rPr>
        <w:t>White AT, Light AR, Hughen RW</w:t>
      </w:r>
      <w:r w:rsidR="00272329">
        <w:rPr>
          <w:sz w:val="24"/>
          <w:szCs w:val="24"/>
        </w:rPr>
        <w:t>,</w:t>
      </w:r>
      <w:r w:rsidR="00614611">
        <w:rPr>
          <w:sz w:val="24"/>
          <w:szCs w:val="24"/>
        </w:rPr>
        <w:t xml:space="preserve"> et al</w:t>
      </w:r>
      <w:r w:rsidRPr="00AC08D0">
        <w:rPr>
          <w:sz w:val="24"/>
          <w:szCs w:val="24"/>
        </w:rPr>
        <w:t xml:space="preserve">. Differences in metabolite-detecting, adrenergic, and immune gene expression after moderate exercise in patients with chronic fatigue syndrome, patients with multiple sclerosis, and healthy controls. </w:t>
      </w:r>
      <w:r w:rsidRPr="006E4044">
        <w:rPr>
          <w:i/>
          <w:iCs/>
          <w:sz w:val="24"/>
          <w:szCs w:val="24"/>
        </w:rPr>
        <w:t xml:space="preserve">Psychosom </w:t>
      </w:r>
      <w:r w:rsidR="00614611" w:rsidRPr="006E4044">
        <w:rPr>
          <w:i/>
          <w:iCs/>
          <w:sz w:val="24"/>
          <w:szCs w:val="24"/>
        </w:rPr>
        <w:t>M</w:t>
      </w:r>
      <w:r w:rsidRPr="006E4044">
        <w:rPr>
          <w:i/>
          <w:iCs/>
          <w:sz w:val="24"/>
          <w:szCs w:val="24"/>
        </w:rPr>
        <w:t>ed</w:t>
      </w:r>
      <w:r w:rsidR="00614611">
        <w:rPr>
          <w:sz w:val="24"/>
          <w:szCs w:val="24"/>
        </w:rPr>
        <w:t xml:space="preserve"> </w:t>
      </w:r>
      <w:r w:rsidR="00697675">
        <w:rPr>
          <w:sz w:val="24"/>
          <w:szCs w:val="24"/>
        </w:rPr>
        <w:t>2012</w:t>
      </w:r>
      <w:r w:rsidR="00614611">
        <w:rPr>
          <w:sz w:val="24"/>
          <w:szCs w:val="24"/>
        </w:rPr>
        <w:t>;</w:t>
      </w:r>
      <w:r w:rsidRPr="00AC08D0">
        <w:rPr>
          <w:sz w:val="24"/>
          <w:szCs w:val="24"/>
        </w:rPr>
        <w:t>74</w:t>
      </w:r>
      <w:r w:rsidR="00697675">
        <w:rPr>
          <w:sz w:val="24"/>
          <w:szCs w:val="24"/>
        </w:rPr>
        <w:t>:</w:t>
      </w:r>
      <w:r w:rsidRPr="00AC08D0">
        <w:rPr>
          <w:sz w:val="24"/>
          <w:szCs w:val="24"/>
        </w:rPr>
        <w:t xml:space="preserve">46–54. </w:t>
      </w:r>
      <w:hyperlink r:id="rId35" w:history="1">
        <w:r w:rsidR="00480E50" w:rsidRPr="00EF7357">
          <w:rPr>
            <w:rStyle w:val="Hyperlink"/>
            <w:sz w:val="24"/>
            <w:szCs w:val="24"/>
          </w:rPr>
          <w:t>https://doi.org/10.1097/PSY.0b013e31824152ed</w:t>
        </w:r>
      </w:hyperlink>
    </w:p>
    <w:p w14:paraId="5205BD5C" w14:textId="75D07861" w:rsidR="00480E50" w:rsidRPr="0067478B" w:rsidRDefault="00480E50" w:rsidP="0067478B">
      <w:pPr>
        <w:pStyle w:val="ListParagraph"/>
        <w:numPr>
          <w:ilvl w:val="0"/>
          <w:numId w:val="6"/>
        </w:numPr>
        <w:spacing w:line="480" w:lineRule="auto"/>
        <w:rPr>
          <w:sz w:val="24"/>
          <w:szCs w:val="24"/>
        </w:rPr>
      </w:pPr>
      <w:r w:rsidRPr="0067478B">
        <w:rPr>
          <w:sz w:val="24"/>
          <w:szCs w:val="24"/>
        </w:rPr>
        <w:t>Kozlowski KF, Graham J, Leddy JJ</w:t>
      </w:r>
      <w:r w:rsidR="00272329">
        <w:rPr>
          <w:sz w:val="24"/>
          <w:szCs w:val="24"/>
        </w:rPr>
        <w:t>,</w:t>
      </w:r>
      <w:r w:rsidR="00614611" w:rsidRPr="0067478B">
        <w:rPr>
          <w:sz w:val="24"/>
          <w:szCs w:val="24"/>
        </w:rPr>
        <w:t xml:space="preserve"> et al</w:t>
      </w:r>
      <w:r w:rsidRPr="0067478B">
        <w:rPr>
          <w:sz w:val="24"/>
          <w:szCs w:val="24"/>
        </w:rPr>
        <w:t xml:space="preserve">. Exercise intolerance in individuals with postconcussion syndrome. </w:t>
      </w:r>
      <w:r w:rsidRPr="0067478B">
        <w:rPr>
          <w:i/>
          <w:iCs/>
          <w:sz w:val="24"/>
          <w:szCs w:val="24"/>
        </w:rPr>
        <w:t>J Athl Train</w:t>
      </w:r>
      <w:r w:rsidRPr="0067478B">
        <w:rPr>
          <w:sz w:val="24"/>
          <w:szCs w:val="24"/>
        </w:rPr>
        <w:t xml:space="preserve"> 2013;48:627-35. </w:t>
      </w:r>
      <w:hyperlink r:id="rId36" w:history="1">
        <w:r w:rsidR="0067478B" w:rsidRPr="0067478B">
          <w:rPr>
            <w:rStyle w:val="Hyperlink"/>
            <w:sz w:val="24"/>
            <w:szCs w:val="24"/>
          </w:rPr>
          <w:t>https://doi.org/10.4085/1062-6050-48.5.02</w:t>
        </w:r>
      </w:hyperlink>
    </w:p>
    <w:p w14:paraId="6450CEBF" w14:textId="0119C663" w:rsidR="008C7806" w:rsidRPr="008C7806" w:rsidRDefault="00480E50" w:rsidP="007544AE">
      <w:pPr>
        <w:pStyle w:val="ListParagraph"/>
        <w:numPr>
          <w:ilvl w:val="0"/>
          <w:numId w:val="6"/>
        </w:numPr>
        <w:spacing w:line="480" w:lineRule="auto"/>
        <w:rPr>
          <w:sz w:val="24"/>
          <w:szCs w:val="24"/>
        </w:rPr>
      </w:pPr>
      <w:r w:rsidRPr="008C7806">
        <w:rPr>
          <w:sz w:val="24"/>
          <w:szCs w:val="24"/>
        </w:rPr>
        <w:t>Twomey R, Yeung ST, Wrightson JG</w:t>
      </w:r>
      <w:r w:rsidR="00272329">
        <w:rPr>
          <w:sz w:val="24"/>
          <w:szCs w:val="24"/>
        </w:rPr>
        <w:t>,</w:t>
      </w:r>
      <w:r w:rsidR="00614611" w:rsidRPr="008C7806">
        <w:rPr>
          <w:sz w:val="24"/>
          <w:szCs w:val="24"/>
        </w:rPr>
        <w:t xml:space="preserve"> et al</w:t>
      </w:r>
      <w:r w:rsidRPr="008C7806">
        <w:rPr>
          <w:sz w:val="24"/>
          <w:szCs w:val="24"/>
        </w:rPr>
        <w:t xml:space="preserve">. Post-exertional malaise in people with chronic cancer-related fatigue. </w:t>
      </w:r>
      <w:r w:rsidRPr="008C7806">
        <w:rPr>
          <w:i/>
          <w:iCs/>
          <w:sz w:val="24"/>
          <w:szCs w:val="24"/>
        </w:rPr>
        <w:t xml:space="preserve">J </w:t>
      </w:r>
      <w:r w:rsidR="00F45F67" w:rsidRPr="008C7806">
        <w:rPr>
          <w:i/>
          <w:iCs/>
          <w:sz w:val="24"/>
          <w:szCs w:val="24"/>
        </w:rPr>
        <w:t>P</w:t>
      </w:r>
      <w:r w:rsidRPr="008C7806">
        <w:rPr>
          <w:i/>
          <w:iCs/>
          <w:sz w:val="24"/>
          <w:szCs w:val="24"/>
        </w:rPr>
        <w:t xml:space="preserve">ain </w:t>
      </w:r>
      <w:r w:rsidR="00F45F67" w:rsidRPr="008C7806">
        <w:rPr>
          <w:i/>
          <w:iCs/>
          <w:sz w:val="24"/>
          <w:szCs w:val="24"/>
        </w:rPr>
        <w:t>S</w:t>
      </w:r>
      <w:r w:rsidRPr="008C7806">
        <w:rPr>
          <w:i/>
          <w:iCs/>
          <w:sz w:val="24"/>
          <w:szCs w:val="24"/>
        </w:rPr>
        <w:t xml:space="preserve">ymptom </w:t>
      </w:r>
      <w:r w:rsidR="00F45F67" w:rsidRPr="008C7806">
        <w:rPr>
          <w:i/>
          <w:iCs/>
          <w:sz w:val="24"/>
          <w:szCs w:val="24"/>
        </w:rPr>
        <w:t>M</w:t>
      </w:r>
      <w:r w:rsidRPr="008C7806">
        <w:rPr>
          <w:i/>
          <w:iCs/>
          <w:sz w:val="24"/>
          <w:szCs w:val="24"/>
        </w:rPr>
        <w:t>an</w:t>
      </w:r>
      <w:r w:rsidR="00614611" w:rsidRPr="008C7806">
        <w:rPr>
          <w:sz w:val="24"/>
          <w:szCs w:val="24"/>
        </w:rPr>
        <w:t xml:space="preserve"> </w:t>
      </w:r>
      <w:r w:rsidRPr="008C7806">
        <w:rPr>
          <w:sz w:val="24"/>
          <w:szCs w:val="24"/>
        </w:rPr>
        <w:t>2020</w:t>
      </w:r>
      <w:r w:rsidR="00F45F67" w:rsidRPr="008C7806">
        <w:rPr>
          <w:sz w:val="24"/>
          <w:szCs w:val="24"/>
        </w:rPr>
        <w:t>;</w:t>
      </w:r>
      <w:r w:rsidRPr="008C7806">
        <w:rPr>
          <w:sz w:val="24"/>
          <w:szCs w:val="24"/>
        </w:rPr>
        <w:t>60:407-16.</w:t>
      </w:r>
      <w:r w:rsidR="00B8309C" w:rsidRPr="008C7806">
        <w:rPr>
          <w:sz w:val="24"/>
          <w:szCs w:val="24"/>
        </w:rPr>
        <w:t xml:space="preserve"> </w:t>
      </w:r>
      <w:hyperlink r:id="rId37" w:history="1">
        <w:r w:rsidR="008C7806" w:rsidRPr="008C7806">
          <w:rPr>
            <w:rStyle w:val="Hyperlink"/>
            <w:sz w:val="24"/>
            <w:szCs w:val="24"/>
          </w:rPr>
          <w:t>https://doi.org/10.1016/j.jpainsymman.2020.02.012</w:t>
        </w:r>
      </w:hyperlink>
    </w:p>
    <w:p w14:paraId="003AE8B6" w14:textId="703C39C5" w:rsidR="008C7806" w:rsidRPr="008C7806" w:rsidRDefault="009C5BB2" w:rsidP="007544AE">
      <w:pPr>
        <w:pStyle w:val="ListParagraph"/>
        <w:numPr>
          <w:ilvl w:val="0"/>
          <w:numId w:val="6"/>
        </w:numPr>
        <w:spacing w:line="480" w:lineRule="auto"/>
        <w:rPr>
          <w:sz w:val="24"/>
          <w:szCs w:val="24"/>
        </w:rPr>
      </w:pPr>
      <w:r w:rsidRPr="008C7806">
        <w:rPr>
          <w:sz w:val="24"/>
          <w:szCs w:val="24"/>
        </w:rPr>
        <w:t>Sharpe MC, Archard LC, Banatvala JE</w:t>
      </w:r>
      <w:r w:rsidR="00272329">
        <w:rPr>
          <w:sz w:val="24"/>
          <w:szCs w:val="24"/>
        </w:rPr>
        <w:t>,</w:t>
      </w:r>
      <w:r w:rsidR="00614611" w:rsidRPr="008C7806">
        <w:rPr>
          <w:sz w:val="24"/>
          <w:szCs w:val="24"/>
        </w:rPr>
        <w:t xml:space="preserve"> et al</w:t>
      </w:r>
      <w:r w:rsidRPr="008C7806">
        <w:rPr>
          <w:sz w:val="24"/>
          <w:szCs w:val="24"/>
        </w:rPr>
        <w:t xml:space="preserve">. A report </w:t>
      </w:r>
      <w:r w:rsidR="005561DA">
        <w:rPr>
          <w:sz w:val="24"/>
          <w:szCs w:val="24"/>
        </w:rPr>
        <w:t>–</w:t>
      </w:r>
      <w:r w:rsidRPr="008C7806">
        <w:rPr>
          <w:sz w:val="24"/>
          <w:szCs w:val="24"/>
        </w:rPr>
        <w:t xml:space="preserve"> chronic fatigue syndrome: guidelines for research. </w:t>
      </w:r>
      <w:r w:rsidRPr="008C7806">
        <w:rPr>
          <w:i/>
          <w:iCs/>
          <w:sz w:val="24"/>
          <w:szCs w:val="24"/>
        </w:rPr>
        <w:t>J Roy Soc Med</w:t>
      </w:r>
      <w:r w:rsidRPr="008C7806">
        <w:rPr>
          <w:sz w:val="24"/>
          <w:szCs w:val="24"/>
        </w:rPr>
        <w:t xml:space="preserve"> 1991</w:t>
      </w:r>
      <w:r w:rsidR="00F45F67" w:rsidRPr="008C7806">
        <w:rPr>
          <w:sz w:val="24"/>
          <w:szCs w:val="24"/>
        </w:rPr>
        <w:t>;</w:t>
      </w:r>
      <w:r w:rsidRPr="008C7806">
        <w:rPr>
          <w:sz w:val="24"/>
          <w:szCs w:val="24"/>
        </w:rPr>
        <w:t>84</w:t>
      </w:r>
      <w:r w:rsidR="00F45F67" w:rsidRPr="008C7806">
        <w:rPr>
          <w:sz w:val="24"/>
          <w:szCs w:val="24"/>
        </w:rPr>
        <w:t>:</w:t>
      </w:r>
      <w:r w:rsidRPr="008C7806">
        <w:rPr>
          <w:sz w:val="24"/>
          <w:szCs w:val="24"/>
        </w:rPr>
        <w:t>118-21</w:t>
      </w:r>
      <w:r w:rsidR="00614611" w:rsidRPr="008C7806">
        <w:rPr>
          <w:sz w:val="24"/>
          <w:szCs w:val="24"/>
        </w:rPr>
        <w:t>.</w:t>
      </w:r>
      <w:r w:rsidR="0092113D" w:rsidRPr="008C7806">
        <w:rPr>
          <w:sz w:val="24"/>
          <w:szCs w:val="24"/>
        </w:rPr>
        <w:t xml:space="preserve"> </w:t>
      </w:r>
      <w:hyperlink r:id="rId38" w:history="1">
        <w:r w:rsidR="008C7806" w:rsidRPr="008C7806">
          <w:rPr>
            <w:rStyle w:val="Hyperlink"/>
            <w:sz w:val="24"/>
            <w:szCs w:val="24"/>
          </w:rPr>
          <w:t>https://journals.sagepub.com/doi/pdf/10.1177/014107689108400224</w:t>
        </w:r>
      </w:hyperlink>
    </w:p>
    <w:p w14:paraId="0A5F6A44" w14:textId="0FD8B160" w:rsidR="00035C0C" w:rsidRDefault="00035C0C" w:rsidP="007544AE">
      <w:pPr>
        <w:pStyle w:val="ListParagraph"/>
        <w:numPr>
          <w:ilvl w:val="0"/>
          <w:numId w:val="6"/>
        </w:numPr>
        <w:spacing w:line="480" w:lineRule="auto"/>
        <w:rPr>
          <w:sz w:val="24"/>
          <w:szCs w:val="24"/>
        </w:rPr>
      </w:pPr>
      <w:r w:rsidRPr="00035C0C">
        <w:rPr>
          <w:sz w:val="24"/>
          <w:szCs w:val="24"/>
        </w:rPr>
        <w:t xml:space="preserve">Kuut A, Buffart LM, Braamse AMJ, </w:t>
      </w:r>
      <w:r>
        <w:rPr>
          <w:sz w:val="24"/>
          <w:szCs w:val="24"/>
        </w:rPr>
        <w:t>et al</w:t>
      </w:r>
      <w:r w:rsidRPr="00035C0C">
        <w:rPr>
          <w:sz w:val="24"/>
          <w:szCs w:val="24"/>
        </w:rPr>
        <w:t>. Moderators of the response to cognitive behaviour therapy for chronic fatigue syndrome (ME/CFS): an individual patient data meta-analysis</w:t>
      </w:r>
      <w:r>
        <w:rPr>
          <w:sz w:val="24"/>
          <w:szCs w:val="24"/>
        </w:rPr>
        <w:t xml:space="preserve"> (submitted).</w:t>
      </w:r>
    </w:p>
    <w:p w14:paraId="00377370" w14:textId="5E096A8B" w:rsidR="008C7806" w:rsidRPr="008C7806" w:rsidRDefault="0087100B" w:rsidP="007544AE">
      <w:pPr>
        <w:pStyle w:val="ListParagraph"/>
        <w:numPr>
          <w:ilvl w:val="0"/>
          <w:numId w:val="6"/>
        </w:numPr>
        <w:spacing w:line="480" w:lineRule="auto"/>
        <w:rPr>
          <w:sz w:val="24"/>
          <w:szCs w:val="24"/>
        </w:rPr>
      </w:pPr>
      <w:r w:rsidRPr="008C7806">
        <w:rPr>
          <w:sz w:val="24"/>
          <w:szCs w:val="24"/>
        </w:rPr>
        <w:t>Clark LV, Pesola F, Thomas JM</w:t>
      </w:r>
      <w:r w:rsidR="00272329">
        <w:rPr>
          <w:sz w:val="24"/>
          <w:szCs w:val="24"/>
        </w:rPr>
        <w:t>,</w:t>
      </w:r>
      <w:r w:rsidR="00614611" w:rsidRPr="008C7806">
        <w:rPr>
          <w:sz w:val="24"/>
          <w:szCs w:val="24"/>
        </w:rPr>
        <w:t xml:space="preserve"> et al</w:t>
      </w:r>
      <w:r w:rsidRPr="008C7806">
        <w:rPr>
          <w:sz w:val="24"/>
          <w:szCs w:val="24"/>
        </w:rPr>
        <w:t xml:space="preserve">. Graded exercise therapy guided </w:t>
      </w:r>
      <w:r w:rsidR="006167B7" w:rsidRPr="008C7806">
        <w:rPr>
          <w:sz w:val="24"/>
          <w:szCs w:val="24"/>
        </w:rPr>
        <w:t>self-help</w:t>
      </w:r>
      <w:r w:rsidRPr="008C7806">
        <w:rPr>
          <w:sz w:val="24"/>
          <w:szCs w:val="24"/>
        </w:rPr>
        <w:t xml:space="preserve"> versus specialist medical care for chronic fatigue syndrome (GETSET): a randomised controlled trial. </w:t>
      </w:r>
      <w:r w:rsidRPr="008C7806">
        <w:rPr>
          <w:i/>
          <w:iCs/>
          <w:sz w:val="24"/>
          <w:szCs w:val="24"/>
        </w:rPr>
        <w:t>Lancet</w:t>
      </w:r>
      <w:r w:rsidRPr="008C7806">
        <w:rPr>
          <w:sz w:val="24"/>
          <w:szCs w:val="24"/>
        </w:rPr>
        <w:t xml:space="preserve"> 2017;390:363–73.</w:t>
      </w:r>
      <w:r w:rsidR="0092113D" w:rsidRPr="008C7806">
        <w:rPr>
          <w:sz w:val="24"/>
          <w:szCs w:val="24"/>
        </w:rPr>
        <w:t xml:space="preserve"> </w:t>
      </w:r>
      <w:hyperlink r:id="rId39" w:history="1">
        <w:r w:rsidR="008C7806" w:rsidRPr="008C7806">
          <w:rPr>
            <w:rStyle w:val="Hyperlink"/>
            <w:sz w:val="24"/>
            <w:szCs w:val="24"/>
          </w:rPr>
          <w:t>https://doi.org/10.1016/S0140-6736(16)32589-2</w:t>
        </w:r>
      </w:hyperlink>
    </w:p>
    <w:p w14:paraId="502114B5" w14:textId="77777777" w:rsidR="00EB5C95" w:rsidRPr="008C7806" w:rsidRDefault="00EB5C95" w:rsidP="00EB5C95">
      <w:pPr>
        <w:pStyle w:val="ListParagraph"/>
        <w:numPr>
          <w:ilvl w:val="0"/>
          <w:numId w:val="6"/>
        </w:numPr>
        <w:spacing w:line="480" w:lineRule="auto"/>
        <w:rPr>
          <w:sz w:val="24"/>
          <w:szCs w:val="24"/>
        </w:rPr>
      </w:pPr>
      <w:r w:rsidRPr="008C7806">
        <w:rPr>
          <w:sz w:val="24"/>
          <w:szCs w:val="24"/>
        </w:rPr>
        <w:t>White PD, Goldsmith KA, Johnson AL</w:t>
      </w:r>
      <w:r>
        <w:rPr>
          <w:sz w:val="24"/>
          <w:szCs w:val="24"/>
        </w:rPr>
        <w:t>,</w:t>
      </w:r>
      <w:r w:rsidRPr="008C7806">
        <w:rPr>
          <w:sz w:val="24"/>
          <w:szCs w:val="24"/>
        </w:rPr>
        <w:t xml:space="preserve"> et al. Comparison of adaptive pacing therapy, cognitive behaviour therapy, graded exercise therapy, and specialist medical care for chronic fatigue syndrome (PACE): a randomised trial. </w:t>
      </w:r>
      <w:r w:rsidRPr="008C7806">
        <w:rPr>
          <w:i/>
          <w:iCs/>
          <w:sz w:val="24"/>
          <w:szCs w:val="24"/>
        </w:rPr>
        <w:t>Lancet</w:t>
      </w:r>
      <w:r w:rsidRPr="008C7806">
        <w:rPr>
          <w:sz w:val="24"/>
          <w:szCs w:val="24"/>
        </w:rPr>
        <w:t xml:space="preserve"> 2011;377:823–36. </w:t>
      </w:r>
      <w:hyperlink r:id="rId40" w:history="1">
        <w:r w:rsidRPr="008C7806">
          <w:rPr>
            <w:rStyle w:val="Hyperlink"/>
            <w:sz w:val="24"/>
            <w:szCs w:val="24"/>
          </w:rPr>
          <w:t>https://doi.org/10.1016/S0140-6736(11)60096-2</w:t>
        </w:r>
      </w:hyperlink>
    </w:p>
    <w:p w14:paraId="1321E6C5" w14:textId="77777777" w:rsidR="0019076F" w:rsidRPr="004B313E" w:rsidRDefault="0019076F" w:rsidP="0019076F">
      <w:pPr>
        <w:pStyle w:val="ListParagraph"/>
        <w:numPr>
          <w:ilvl w:val="0"/>
          <w:numId w:val="6"/>
        </w:numPr>
        <w:spacing w:line="480" w:lineRule="auto"/>
        <w:rPr>
          <w:sz w:val="24"/>
          <w:szCs w:val="24"/>
        </w:rPr>
      </w:pPr>
      <w:r w:rsidRPr="004B313E">
        <w:rPr>
          <w:sz w:val="24"/>
          <w:szCs w:val="24"/>
        </w:rPr>
        <w:t xml:space="preserve">Alonso-Coello P. Schünemann HJ, Moberg J, et al. GRADE Working Group. GRADE Evidence to Decision (EtD) frameworks: a systematic and transparent approach to making well informed healthcare choices. 1: Introduction. </w:t>
      </w:r>
      <w:r w:rsidRPr="004B313E">
        <w:rPr>
          <w:i/>
          <w:iCs/>
          <w:sz w:val="24"/>
          <w:szCs w:val="24"/>
        </w:rPr>
        <w:t>BMJ</w:t>
      </w:r>
      <w:r w:rsidRPr="004B313E">
        <w:rPr>
          <w:sz w:val="24"/>
          <w:szCs w:val="24"/>
        </w:rPr>
        <w:t xml:space="preserve"> 2016;353:i2016. </w:t>
      </w:r>
      <w:hyperlink r:id="rId41" w:history="1">
        <w:r w:rsidRPr="004B313E">
          <w:rPr>
            <w:rStyle w:val="Hyperlink"/>
            <w:sz w:val="24"/>
            <w:szCs w:val="24"/>
          </w:rPr>
          <w:t>https://doi.org/10.1136/bmj.i2016</w:t>
        </w:r>
      </w:hyperlink>
    </w:p>
    <w:p w14:paraId="3A9E24CE" w14:textId="356DBB3A" w:rsidR="009602E8" w:rsidRPr="009602E8" w:rsidRDefault="005561DA" w:rsidP="009602E8">
      <w:pPr>
        <w:pStyle w:val="ListParagraph"/>
        <w:numPr>
          <w:ilvl w:val="0"/>
          <w:numId w:val="6"/>
        </w:numPr>
        <w:spacing w:line="480" w:lineRule="auto"/>
        <w:rPr>
          <w:sz w:val="24"/>
          <w:szCs w:val="24"/>
        </w:rPr>
      </w:pPr>
      <w:r w:rsidRPr="009602E8">
        <w:rPr>
          <w:sz w:val="24"/>
          <w:szCs w:val="24"/>
        </w:rPr>
        <w:t xml:space="preserve">Carr MJ, Ashcroft DM, White PD, Kapur N, Webb RT. Prevalence of comorbid mental and physical illnesses and risks for self-harm and premature death among primary care patients diagnosed with fatigue syndromes. </w:t>
      </w:r>
      <w:r w:rsidRPr="009602E8">
        <w:rPr>
          <w:i/>
          <w:iCs/>
          <w:sz w:val="24"/>
          <w:szCs w:val="24"/>
        </w:rPr>
        <w:t>Psychol Med</w:t>
      </w:r>
      <w:r w:rsidRPr="009602E8">
        <w:rPr>
          <w:sz w:val="24"/>
          <w:szCs w:val="24"/>
        </w:rPr>
        <w:t xml:space="preserve"> 2020;50:1156-63. </w:t>
      </w:r>
      <w:hyperlink r:id="rId42" w:history="1">
        <w:r w:rsidR="009602E8" w:rsidRPr="009602E8">
          <w:rPr>
            <w:rStyle w:val="Hyperlink"/>
            <w:sz w:val="24"/>
            <w:szCs w:val="24"/>
          </w:rPr>
          <w:t>https://doi.org/10.1017/S0033291719001065</w:t>
        </w:r>
      </w:hyperlink>
    </w:p>
    <w:p w14:paraId="338D32BE" w14:textId="1E67D6EE" w:rsidR="00B9317B" w:rsidRDefault="00B9317B" w:rsidP="007544AE">
      <w:pPr>
        <w:pStyle w:val="ListParagraph"/>
        <w:numPr>
          <w:ilvl w:val="0"/>
          <w:numId w:val="6"/>
        </w:numPr>
        <w:spacing w:line="480" w:lineRule="auto"/>
        <w:rPr>
          <w:sz w:val="24"/>
          <w:szCs w:val="24"/>
        </w:rPr>
      </w:pPr>
      <w:r w:rsidRPr="00B9317B">
        <w:rPr>
          <w:sz w:val="24"/>
          <w:szCs w:val="24"/>
        </w:rPr>
        <w:t>Sharpe M, Goldsmith KA, Johnson AL</w:t>
      </w:r>
      <w:r w:rsidR="00272329">
        <w:rPr>
          <w:sz w:val="24"/>
          <w:szCs w:val="24"/>
        </w:rPr>
        <w:t>,</w:t>
      </w:r>
      <w:r w:rsidR="008E340F">
        <w:rPr>
          <w:sz w:val="24"/>
          <w:szCs w:val="24"/>
        </w:rPr>
        <w:t xml:space="preserve"> et al</w:t>
      </w:r>
      <w:r w:rsidRPr="00B9317B">
        <w:rPr>
          <w:sz w:val="24"/>
          <w:szCs w:val="24"/>
        </w:rPr>
        <w:t>. Rehabilitative trea</w:t>
      </w:r>
      <w:r w:rsidRPr="00066CFA">
        <w:rPr>
          <w:sz w:val="24"/>
          <w:szCs w:val="24"/>
        </w:rPr>
        <w:t xml:space="preserve">tments for chronic fatigue syndrome: long-term follow-up from the PACE trial. </w:t>
      </w:r>
      <w:r w:rsidRPr="00F572B6">
        <w:rPr>
          <w:i/>
          <w:iCs/>
          <w:sz w:val="24"/>
          <w:szCs w:val="24"/>
        </w:rPr>
        <w:t>Lancet Psychiatry</w:t>
      </w:r>
      <w:r w:rsidRPr="00066CFA">
        <w:rPr>
          <w:sz w:val="24"/>
          <w:szCs w:val="24"/>
        </w:rPr>
        <w:t xml:space="preserve"> 2015;2:1067–74.</w:t>
      </w:r>
      <w:r>
        <w:rPr>
          <w:sz w:val="24"/>
          <w:szCs w:val="24"/>
        </w:rPr>
        <w:t xml:space="preserve"> </w:t>
      </w:r>
      <w:hyperlink r:id="rId43" w:history="1">
        <w:r w:rsidR="007A7B74" w:rsidRPr="00E434A7">
          <w:rPr>
            <w:rStyle w:val="Hyperlink"/>
            <w:sz w:val="24"/>
            <w:szCs w:val="24"/>
          </w:rPr>
          <w:t>http://dx.doi.org/10.1016/S2215-0366(15)00317-X</w:t>
        </w:r>
      </w:hyperlink>
    </w:p>
    <w:p w14:paraId="4CC7BD29" w14:textId="66025AA5" w:rsidR="00F8245C" w:rsidRPr="00CA3F60" w:rsidRDefault="00CA3F60" w:rsidP="007544AE">
      <w:pPr>
        <w:pStyle w:val="ListParagraph"/>
        <w:numPr>
          <w:ilvl w:val="0"/>
          <w:numId w:val="6"/>
        </w:numPr>
        <w:spacing w:line="480" w:lineRule="auto"/>
        <w:rPr>
          <w:sz w:val="24"/>
          <w:szCs w:val="24"/>
        </w:rPr>
      </w:pPr>
      <w:r w:rsidRPr="00CA3F60">
        <w:rPr>
          <w:sz w:val="24"/>
          <w:szCs w:val="24"/>
        </w:rPr>
        <w:t xml:space="preserve">NICE. Chronic pain (primary and secondary) in over 16s: assessment of all chronic pain and management of chronic primary pain. NICE guideline [NG193] Published: 07 April 2021  </w:t>
      </w:r>
      <w:hyperlink r:id="rId44" w:history="1">
        <w:r w:rsidR="00AF0B59" w:rsidRPr="00432A89">
          <w:rPr>
            <w:rStyle w:val="Hyperlink"/>
            <w:sz w:val="24"/>
            <w:szCs w:val="24"/>
          </w:rPr>
          <w:t>https://www.nice.org.uk/guidance/NG193</w:t>
        </w:r>
      </w:hyperlink>
      <w:r w:rsidR="008E340F">
        <w:rPr>
          <w:sz w:val="24"/>
          <w:szCs w:val="24"/>
        </w:rPr>
        <w:t xml:space="preserve">  (accessed May 2022).</w:t>
      </w:r>
    </w:p>
    <w:p w14:paraId="28B95532" w14:textId="697C8B54" w:rsidR="00AF0B59" w:rsidRPr="00AF0B59" w:rsidRDefault="00066CFA" w:rsidP="007544AE">
      <w:pPr>
        <w:pStyle w:val="ListParagraph"/>
        <w:numPr>
          <w:ilvl w:val="0"/>
          <w:numId w:val="6"/>
        </w:numPr>
        <w:spacing w:line="480" w:lineRule="auto"/>
        <w:rPr>
          <w:sz w:val="24"/>
          <w:szCs w:val="24"/>
        </w:rPr>
      </w:pPr>
      <w:r w:rsidRPr="00AF0B59">
        <w:rPr>
          <w:sz w:val="24"/>
          <w:szCs w:val="24"/>
        </w:rPr>
        <w:t>Dougall D, Johnson A, Goldsmith K</w:t>
      </w:r>
      <w:r w:rsidR="00272329">
        <w:rPr>
          <w:sz w:val="24"/>
          <w:szCs w:val="24"/>
        </w:rPr>
        <w:t>,</w:t>
      </w:r>
      <w:r w:rsidR="008E340F">
        <w:rPr>
          <w:sz w:val="24"/>
          <w:szCs w:val="24"/>
        </w:rPr>
        <w:t xml:space="preserve"> et al</w:t>
      </w:r>
      <w:r w:rsidRPr="00AF0B59">
        <w:rPr>
          <w:sz w:val="24"/>
          <w:szCs w:val="24"/>
        </w:rPr>
        <w:t xml:space="preserve">. Adverse </w:t>
      </w:r>
      <w:proofErr w:type="gramStart"/>
      <w:r w:rsidRPr="00AF0B59">
        <w:rPr>
          <w:sz w:val="24"/>
          <w:szCs w:val="24"/>
        </w:rPr>
        <w:t>events</w:t>
      </w:r>
      <w:proofErr w:type="gramEnd"/>
      <w:r w:rsidRPr="00AF0B59">
        <w:rPr>
          <w:sz w:val="24"/>
          <w:szCs w:val="24"/>
        </w:rPr>
        <w:t xml:space="preserve"> and deterioration reported by participants in the PACE trial of therapies for chronic fatigue syndrome</w:t>
      </w:r>
      <w:r w:rsidRPr="006C7108">
        <w:rPr>
          <w:i/>
          <w:iCs/>
          <w:sz w:val="24"/>
          <w:szCs w:val="24"/>
        </w:rPr>
        <w:t>. J Psychosom Res</w:t>
      </w:r>
      <w:r w:rsidRPr="00AF0B59">
        <w:rPr>
          <w:sz w:val="24"/>
          <w:szCs w:val="24"/>
        </w:rPr>
        <w:t>. 2014;77:20-26.</w:t>
      </w:r>
      <w:hyperlink r:id="rId45" w:history="1">
        <w:r w:rsidR="00AF0B59" w:rsidRPr="00AF0B59">
          <w:rPr>
            <w:rStyle w:val="Hyperlink"/>
            <w:sz w:val="24"/>
            <w:szCs w:val="24"/>
          </w:rPr>
          <w:t>https://doi.org/10.1016/j.jpsychores.2014.04.002</w:t>
        </w:r>
      </w:hyperlink>
    </w:p>
    <w:p w14:paraId="50C6D27E" w14:textId="7AB6CCF5" w:rsidR="00066CFA" w:rsidRDefault="00066CFA" w:rsidP="007544AE">
      <w:pPr>
        <w:pStyle w:val="ListParagraph"/>
        <w:numPr>
          <w:ilvl w:val="0"/>
          <w:numId w:val="6"/>
        </w:numPr>
        <w:spacing w:line="480" w:lineRule="auto"/>
        <w:rPr>
          <w:sz w:val="24"/>
          <w:szCs w:val="24"/>
        </w:rPr>
      </w:pPr>
      <w:r w:rsidRPr="00066CFA">
        <w:rPr>
          <w:sz w:val="24"/>
          <w:szCs w:val="24"/>
        </w:rPr>
        <w:t xml:space="preserve">White PD, Etherington J. Adverse outcomes in trials of graded exercise therapy for adult patients with chronic fatigue syndrome. </w:t>
      </w:r>
      <w:r w:rsidRPr="006C7108">
        <w:rPr>
          <w:i/>
          <w:iCs/>
          <w:sz w:val="24"/>
          <w:szCs w:val="24"/>
        </w:rPr>
        <w:t>J Psychosom Res</w:t>
      </w:r>
      <w:r w:rsidR="008E340F">
        <w:rPr>
          <w:sz w:val="24"/>
          <w:szCs w:val="24"/>
        </w:rPr>
        <w:t xml:space="preserve"> </w:t>
      </w:r>
      <w:r w:rsidRPr="00066CFA">
        <w:rPr>
          <w:sz w:val="24"/>
          <w:szCs w:val="24"/>
        </w:rPr>
        <w:t xml:space="preserve">2021;147:110533. </w:t>
      </w:r>
      <w:hyperlink r:id="rId46" w:history="1">
        <w:r w:rsidR="00AD0DD6" w:rsidRPr="00F2283D">
          <w:rPr>
            <w:rStyle w:val="Hyperlink"/>
            <w:sz w:val="24"/>
            <w:szCs w:val="24"/>
          </w:rPr>
          <w:t>https://doi.org/10.1016/j.jpsychores.2021.110533</w:t>
        </w:r>
      </w:hyperlink>
    </w:p>
    <w:p w14:paraId="6220EB18" w14:textId="06ABCA19" w:rsidR="002836B0" w:rsidRPr="00A47A15" w:rsidRDefault="002836B0" w:rsidP="00A47A15">
      <w:pPr>
        <w:pStyle w:val="ListParagraph"/>
        <w:numPr>
          <w:ilvl w:val="0"/>
          <w:numId w:val="6"/>
        </w:numPr>
        <w:spacing w:line="480" w:lineRule="auto"/>
        <w:rPr>
          <w:sz w:val="24"/>
          <w:szCs w:val="24"/>
        </w:rPr>
      </w:pPr>
      <w:r w:rsidRPr="002836B0">
        <w:rPr>
          <w:sz w:val="24"/>
          <w:szCs w:val="24"/>
        </w:rPr>
        <w:t xml:space="preserve">Boutron I, Altman DG, Moher D, Schulz KF, Ravaud P, CONSORT NPT Group. CONSORT statement for randomized trials of nonpharmacologic treatments: a 2017 update and a CONSORT extension for nonpharmacologic trial abstracts. Ann </w:t>
      </w:r>
      <w:r w:rsidR="00EB5C95">
        <w:rPr>
          <w:sz w:val="24"/>
          <w:szCs w:val="24"/>
        </w:rPr>
        <w:t>I</w:t>
      </w:r>
      <w:r w:rsidRPr="002836B0">
        <w:rPr>
          <w:sz w:val="24"/>
          <w:szCs w:val="24"/>
        </w:rPr>
        <w:t xml:space="preserve">ntern </w:t>
      </w:r>
      <w:r w:rsidR="00EB5C95">
        <w:rPr>
          <w:sz w:val="24"/>
          <w:szCs w:val="24"/>
        </w:rPr>
        <w:t>M</w:t>
      </w:r>
      <w:r w:rsidRPr="002836B0">
        <w:rPr>
          <w:sz w:val="24"/>
          <w:szCs w:val="24"/>
        </w:rPr>
        <w:t>ed 2017</w:t>
      </w:r>
      <w:r>
        <w:rPr>
          <w:sz w:val="24"/>
          <w:szCs w:val="24"/>
        </w:rPr>
        <w:t>;</w:t>
      </w:r>
      <w:r w:rsidRPr="002836B0">
        <w:rPr>
          <w:sz w:val="24"/>
          <w:szCs w:val="24"/>
        </w:rPr>
        <w:t>167:40-7.</w:t>
      </w:r>
      <w:r>
        <w:rPr>
          <w:sz w:val="24"/>
          <w:szCs w:val="24"/>
        </w:rPr>
        <w:t xml:space="preserve"> </w:t>
      </w:r>
      <w:r w:rsidRPr="002836B0">
        <w:rPr>
          <w:sz w:val="24"/>
          <w:szCs w:val="24"/>
        </w:rPr>
        <w:t>https://doi.org/10.7326/M17-0046</w:t>
      </w:r>
    </w:p>
    <w:p w14:paraId="57464A07" w14:textId="235EBBE2" w:rsidR="00AF0B59" w:rsidRPr="007960B8" w:rsidRDefault="00E31AED" w:rsidP="007544AE">
      <w:pPr>
        <w:pStyle w:val="ListParagraph"/>
        <w:numPr>
          <w:ilvl w:val="0"/>
          <w:numId w:val="6"/>
        </w:numPr>
        <w:spacing w:line="480" w:lineRule="auto"/>
        <w:rPr>
          <w:rStyle w:val="Hyperlink"/>
          <w:color w:val="auto"/>
          <w:sz w:val="24"/>
          <w:szCs w:val="24"/>
          <w:u w:val="none"/>
        </w:rPr>
      </w:pPr>
      <w:r w:rsidRPr="00AF0B59">
        <w:rPr>
          <w:sz w:val="24"/>
          <w:szCs w:val="24"/>
        </w:rPr>
        <w:t xml:space="preserve">Moustgaard H, Clayton GL, Jones HE, et al. Impact of blinding on estimated treatment effects in randomised clinical trials: meta-epidemiological study. </w:t>
      </w:r>
      <w:r w:rsidRPr="006C7108">
        <w:rPr>
          <w:i/>
          <w:iCs/>
          <w:sz w:val="24"/>
          <w:szCs w:val="24"/>
        </w:rPr>
        <w:t>BMJ</w:t>
      </w:r>
      <w:r w:rsidRPr="00AF0B59">
        <w:rPr>
          <w:sz w:val="24"/>
          <w:szCs w:val="24"/>
        </w:rPr>
        <w:t xml:space="preserve"> 2020;368:l6802. </w:t>
      </w:r>
      <w:hyperlink r:id="rId47" w:history="1">
        <w:r w:rsidR="00AF0B59" w:rsidRPr="00AF0B59">
          <w:rPr>
            <w:rStyle w:val="Hyperlink"/>
            <w:sz w:val="24"/>
            <w:szCs w:val="24"/>
          </w:rPr>
          <w:t>https://doi.org/10.1136/bmj.l6802</w:t>
        </w:r>
      </w:hyperlink>
    </w:p>
    <w:p w14:paraId="165C6C97" w14:textId="20882544" w:rsidR="000E2158" w:rsidRPr="000E2158" w:rsidRDefault="004022D2" w:rsidP="007544AE">
      <w:pPr>
        <w:pStyle w:val="ListParagraph"/>
        <w:numPr>
          <w:ilvl w:val="0"/>
          <w:numId w:val="6"/>
        </w:numPr>
        <w:spacing w:line="480" w:lineRule="auto"/>
        <w:rPr>
          <w:sz w:val="24"/>
          <w:szCs w:val="24"/>
        </w:rPr>
      </w:pPr>
      <w:r w:rsidRPr="000E2158">
        <w:rPr>
          <w:sz w:val="24"/>
          <w:szCs w:val="24"/>
        </w:rPr>
        <w:t>Busse JW, Vandvik PI, Akl EA</w:t>
      </w:r>
      <w:r w:rsidR="00272329">
        <w:rPr>
          <w:sz w:val="24"/>
          <w:szCs w:val="24"/>
        </w:rPr>
        <w:t>,</w:t>
      </w:r>
      <w:r w:rsidR="008E340F">
        <w:rPr>
          <w:sz w:val="24"/>
          <w:szCs w:val="24"/>
        </w:rPr>
        <w:t xml:space="preserve"> et al</w:t>
      </w:r>
      <w:r w:rsidRPr="000E2158">
        <w:rPr>
          <w:sz w:val="24"/>
          <w:szCs w:val="24"/>
        </w:rPr>
        <w:t xml:space="preserve">. </w:t>
      </w:r>
      <w:r w:rsidR="00923010" w:rsidRPr="000E2158">
        <w:rPr>
          <w:sz w:val="24"/>
          <w:szCs w:val="24"/>
        </w:rPr>
        <w:t>Updated NICE guidance on chronic fatigue syndrome</w:t>
      </w:r>
      <w:r w:rsidRPr="000E2158">
        <w:rPr>
          <w:sz w:val="24"/>
          <w:szCs w:val="24"/>
        </w:rPr>
        <w:t>.</w:t>
      </w:r>
      <w:r w:rsidR="001709B2" w:rsidRPr="000E2158">
        <w:rPr>
          <w:sz w:val="24"/>
          <w:szCs w:val="24"/>
        </w:rPr>
        <w:t xml:space="preserve"> </w:t>
      </w:r>
      <w:r w:rsidRPr="009711E9">
        <w:rPr>
          <w:i/>
          <w:iCs/>
          <w:sz w:val="24"/>
          <w:szCs w:val="24"/>
        </w:rPr>
        <w:t xml:space="preserve">BMJ </w:t>
      </w:r>
      <w:r w:rsidRPr="000E2158">
        <w:rPr>
          <w:sz w:val="24"/>
          <w:szCs w:val="24"/>
        </w:rPr>
        <w:t>16</w:t>
      </w:r>
      <w:r w:rsidRPr="000E2158">
        <w:rPr>
          <w:sz w:val="24"/>
          <w:szCs w:val="24"/>
          <w:vertAlign w:val="superscript"/>
        </w:rPr>
        <w:t>th</w:t>
      </w:r>
      <w:r w:rsidRPr="000E2158">
        <w:rPr>
          <w:sz w:val="24"/>
          <w:szCs w:val="24"/>
        </w:rPr>
        <w:t xml:space="preserve"> </w:t>
      </w:r>
      <w:r w:rsidR="001709B2" w:rsidRPr="000E2158">
        <w:rPr>
          <w:sz w:val="24"/>
          <w:szCs w:val="24"/>
        </w:rPr>
        <w:t>February</w:t>
      </w:r>
      <w:r w:rsidRPr="000E2158">
        <w:rPr>
          <w:sz w:val="24"/>
          <w:szCs w:val="24"/>
        </w:rPr>
        <w:t xml:space="preserve"> 2021. </w:t>
      </w:r>
      <w:hyperlink r:id="rId48" w:history="1">
        <w:r w:rsidR="000E2158" w:rsidRPr="000E2158">
          <w:rPr>
            <w:rStyle w:val="Hyperlink"/>
            <w:sz w:val="24"/>
            <w:szCs w:val="24"/>
          </w:rPr>
          <w:t>https://www.bmj.com/content/371/bmj.m4774/rapid-responses</w:t>
        </w:r>
      </w:hyperlink>
    </w:p>
    <w:p w14:paraId="770A5F0F" w14:textId="7B13BB9E" w:rsidR="004B313E" w:rsidRPr="004B313E" w:rsidRDefault="007E5E11" w:rsidP="004B313E">
      <w:pPr>
        <w:pStyle w:val="ListParagraph"/>
        <w:numPr>
          <w:ilvl w:val="0"/>
          <w:numId w:val="6"/>
        </w:numPr>
        <w:spacing w:line="480" w:lineRule="auto"/>
        <w:rPr>
          <w:sz w:val="24"/>
          <w:szCs w:val="24"/>
        </w:rPr>
      </w:pPr>
      <w:r w:rsidRPr="004B313E">
        <w:rPr>
          <w:sz w:val="24"/>
          <w:szCs w:val="24"/>
        </w:rPr>
        <w:t xml:space="preserve">Fulcher KY &amp; White PD. Chronic fatigue syndrome: A description of graded exercise treatment. </w:t>
      </w:r>
      <w:r w:rsidRPr="007960B8">
        <w:rPr>
          <w:i/>
          <w:iCs/>
          <w:sz w:val="24"/>
          <w:szCs w:val="24"/>
        </w:rPr>
        <w:t>Physiotherapy</w:t>
      </w:r>
      <w:r w:rsidRPr="004B313E">
        <w:rPr>
          <w:sz w:val="24"/>
          <w:szCs w:val="24"/>
        </w:rPr>
        <w:t xml:space="preserve"> 1998;84:223-6. </w:t>
      </w:r>
      <w:hyperlink r:id="rId49" w:history="1">
        <w:r w:rsidR="004B313E" w:rsidRPr="004B313E">
          <w:rPr>
            <w:rStyle w:val="Hyperlink"/>
            <w:sz w:val="24"/>
            <w:szCs w:val="24"/>
          </w:rPr>
          <w:t>https://doi.org/10.1016/S0031-9406(05)65554-X</w:t>
        </w:r>
      </w:hyperlink>
    </w:p>
    <w:p w14:paraId="092777BE" w14:textId="4F98CB13" w:rsidR="009602E8" w:rsidRPr="009602E8" w:rsidRDefault="00EC1C4C" w:rsidP="009602E8">
      <w:pPr>
        <w:pStyle w:val="ListParagraph"/>
        <w:numPr>
          <w:ilvl w:val="0"/>
          <w:numId w:val="6"/>
        </w:numPr>
        <w:spacing w:line="480" w:lineRule="auto"/>
        <w:rPr>
          <w:sz w:val="24"/>
          <w:szCs w:val="24"/>
        </w:rPr>
      </w:pPr>
      <w:r w:rsidRPr="009602E8">
        <w:rPr>
          <w:sz w:val="24"/>
          <w:szCs w:val="24"/>
        </w:rPr>
        <w:t xml:space="preserve">Clauw DJ. Fibromyalgia: A </w:t>
      </w:r>
      <w:r w:rsidR="00272329">
        <w:rPr>
          <w:sz w:val="24"/>
          <w:szCs w:val="24"/>
        </w:rPr>
        <w:t>c</w:t>
      </w:r>
      <w:r w:rsidRPr="009602E8">
        <w:rPr>
          <w:sz w:val="24"/>
          <w:szCs w:val="24"/>
        </w:rPr>
        <w:t xml:space="preserve">linical </w:t>
      </w:r>
      <w:r w:rsidR="00272329">
        <w:rPr>
          <w:sz w:val="24"/>
          <w:szCs w:val="24"/>
        </w:rPr>
        <w:t>r</w:t>
      </w:r>
      <w:r w:rsidRPr="009602E8">
        <w:rPr>
          <w:sz w:val="24"/>
          <w:szCs w:val="24"/>
        </w:rPr>
        <w:t xml:space="preserve">eview. </w:t>
      </w:r>
      <w:r w:rsidRPr="009602E8">
        <w:rPr>
          <w:i/>
          <w:iCs/>
          <w:sz w:val="24"/>
          <w:szCs w:val="24"/>
        </w:rPr>
        <w:t>JAMA</w:t>
      </w:r>
      <w:r w:rsidRPr="009602E8">
        <w:rPr>
          <w:sz w:val="24"/>
          <w:szCs w:val="24"/>
        </w:rPr>
        <w:t xml:space="preserve"> 2014;311:1547–1555. </w:t>
      </w:r>
      <w:hyperlink r:id="rId50" w:history="1">
        <w:r w:rsidR="009602E8" w:rsidRPr="009602E8">
          <w:rPr>
            <w:rStyle w:val="Hyperlink"/>
            <w:sz w:val="24"/>
            <w:szCs w:val="24"/>
          </w:rPr>
          <w:t>https://doi.org/10.1001/jama.2014.3266</w:t>
        </w:r>
      </w:hyperlink>
    </w:p>
    <w:p w14:paraId="2759D583" w14:textId="7A1F4D40" w:rsidR="00DB5CBC" w:rsidRDefault="00DB5CBC" w:rsidP="007544AE">
      <w:pPr>
        <w:pStyle w:val="ListParagraph"/>
        <w:numPr>
          <w:ilvl w:val="0"/>
          <w:numId w:val="6"/>
        </w:numPr>
        <w:spacing w:line="480" w:lineRule="auto"/>
        <w:rPr>
          <w:sz w:val="24"/>
          <w:szCs w:val="24"/>
        </w:rPr>
      </w:pPr>
      <w:r w:rsidRPr="00DB5CBC">
        <w:rPr>
          <w:sz w:val="24"/>
          <w:szCs w:val="24"/>
        </w:rPr>
        <w:t>Castro-Marrero J, Faro M, Aliste L</w:t>
      </w:r>
      <w:r w:rsidR="00272329">
        <w:rPr>
          <w:sz w:val="24"/>
          <w:szCs w:val="24"/>
        </w:rPr>
        <w:t>,</w:t>
      </w:r>
      <w:r w:rsidR="00ED0C80">
        <w:rPr>
          <w:sz w:val="24"/>
          <w:szCs w:val="24"/>
        </w:rPr>
        <w:t xml:space="preserve"> et al</w:t>
      </w:r>
      <w:r w:rsidRPr="00DB5CBC">
        <w:rPr>
          <w:sz w:val="24"/>
          <w:szCs w:val="24"/>
        </w:rPr>
        <w:t xml:space="preserve">. Comorbidity in chronic fatigue syndrome/myalgic encephalomyelitis: A nationwide population-based cohort study. </w:t>
      </w:r>
      <w:r w:rsidRPr="009711E9">
        <w:rPr>
          <w:i/>
          <w:iCs/>
          <w:sz w:val="24"/>
          <w:szCs w:val="24"/>
        </w:rPr>
        <w:t>Psychosom</w:t>
      </w:r>
      <w:r w:rsidRPr="00DB5CBC">
        <w:rPr>
          <w:sz w:val="24"/>
          <w:szCs w:val="24"/>
        </w:rPr>
        <w:t xml:space="preserve"> 2017;58:533-543. </w:t>
      </w:r>
      <w:hyperlink r:id="rId51" w:history="1">
        <w:r w:rsidRPr="00E72600">
          <w:rPr>
            <w:rStyle w:val="Hyperlink"/>
            <w:sz w:val="24"/>
            <w:szCs w:val="24"/>
          </w:rPr>
          <w:t>https://doi.org/10.1016/j.psym.2017.04.010</w:t>
        </w:r>
      </w:hyperlink>
    </w:p>
    <w:p w14:paraId="645B764C" w14:textId="33B383A6" w:rsidR="00882678" w:rsidRDefault="00ED794E" w:rsidP="007544AE">
      <w:pPr>
        <w:pStyle w:val="ListParagraph"/>
        <w:numPr>
          <w:ilvl w:val="0"/>
          <w:numId w:val="6"/>
        </w:numPr>
        <w:spacing w:line="480" w:lineRule="auto"/>
        <w:rPr>
          <w:sz w:val="24"/>
          <w:szCs w:val="24"/>
        </w:rPr>
      </w:pPr>
      <w:r w:rsidRPr="00ED794E">
        <w:rPr>
          <w:sz w:val="24"/>
          <w:szCs w:val="24"/>
        </w:rPr>
        <w:t>NICE. Multiple sclerosis in adults: management.</w:t>
      </w:r>
      <w:r>
        <w:rPr>
          <w:sz w:val="24"/>
          <w:szCs w:val="24"/>
        </w:rPr>
        <w:t xml:space="preserve"> </w:t>
      </w:r>
      <w:r w:rsidRPr="00ED794E">
        <w:rPr>
          <w:sz w:val="24"/>
          <w:szCs w:val="24"/>
        </w:rPr>
        <w:t>Clinical guideline CG186</w:t>
      </w:r>
      <w:r>
        <w:rPr>
          <w:sz w:val="24"/>
          <w:szCs w:val="24"/>
        </w:rPr>
        <w:t xml:space="preserve">, NICE </w:t>
      </w:r>
      <w:r w:rsidRPr="00ED794E">
        <w:rPr>
          <w:sz w:val="24"/>
          <w:szCs w:val="24"/>
        </w:rPr>
        <w:t>2014</w:t>
      </w:r>
      <w:r>
        <w:rPr>
          <w:sz w:val="24"/>
          <w:szCs w:val="24"/>
        </w:rPr>
        <w:t xml:space="preserve">. </w:t>
      </w:r>
      <w:hyperlink r:id="rId52" w:history="1">
        <w:r w:rsidR="00882678" w:rsidRPr="00E96A92">
          <w:rPr>
            <w:rStyle w:val="Hyperlink"/>
            <w:sz w:val="24"/>
            <w:szCs w:val="24"/>
          </w:rPr>
          <w:t>https://www.nice.org.uk/guidance/CG186</w:t>
        </w:r>
      </w:hyperlink>
      <w:r w:rsidR="00ED0C80">
        <w:rPr>
          <w:sz w:val="24"/>
          <w:szCs w:val="24"/>
        </w:rPr>
        <w:t xml:space="preserve"> (accessed May 2022).</w:t>
      </w:r>
    </w:p>
    <w:p w14:paraId="62FB645B" w14:textId="4D53EC9C" w:rsidR="009602E8" w:rsidRPr="009602E8" w:rsidRDefault="00151590" w:rsidP="009602E8">
      <w:pPr>
        <w:pStyle w:val="ListParagraph"/>
        <w:numPr>
          <w:ilvl w:val="0"/>
          <w:numId w:val="6"/>
        </w:numPr>
        <w:spacing w:line="480" w:lineRule="auto"/>
        <w:rPr>
          <w:sz w:val="24"/>
          <w:szCs w:val="24"/>
        </w:rPr>
      </w:pPr>
      <w:r w:rsidRPr="009602E8">
        <w:rPr>
          <w:sz w:val="24"/>
          <w:szCs w:val="24"/>
        </w:rPr>
        <w:t>Scholz</w:t>
      </w:r>
      <w:r w:rsidR="00ED0C80" w:rsidRPr="009602E8">
        <w:rPr>
          <w:sz w:val="24"/>
          <w:szCs w:val="24"/>
        </w:rPr>
        <w:t xml:space="preserve"> </w:t>
      </w:r>
      <w:r w:rsidRPr="009602E8">
        <w:rPr>
          <w:sz w:val="24"/>
          <w:szCs w:val="24"/>
        </w:rPr>
        <w:t>J,</w:t>
      </w:r>
      <w:r w:rsidR="009602E8" w:rsidRPr="009602E8">
        <w:rPr>
          <w:sz w:val="24"/>
          <w:szCs w:val="24"/>
        </w:rPr>
        <w:t xml:space="preserve"> </w:t>
      </w:r>
      <w:r w:rsidRPr="009602E8">
        <w:rPr>
          <w:sz w:val="24"/>
          <w:szCs w:val="24"/>
        </w:rPr>
        <w:t>Finnerup</w:t>
      </w:r>
      <w:r w:rsidR="00ED0C80" w:rsidRPr="009602E8">
        <w:rPr>
          <w:sz w:val="24"/>
          <w:szCs w:val="24"/>
        </w:rPr>
        <w:t xml:space="preserve"> </w:t>
      </w:r>
      <w:r w:rsidRPr="009602E8">
        <w:rPr>
          <w:sz w:val="24"/>
          <w:szCs w:val="24"/>
        </w:rPr>
        <w:t>NB</w:t>
      </w:r>
      <w:r w:rsidR="00ED0C80" w:rsidRPr="009602E8">
        <w:rPr>
          <w:sz w:val="24"/>
          <w:szCs w:val="24"/>
        </w:rPr>
        <w:t>,</w:t>
      </w:r>
      <w:r w:rsidRPr="009602E8">
        <w:rPr>
          <w:sz w:val="24"/>
          <w:szCs w:val="24"/>
        </w:rPr>
        <w:t xml:space="preserve"> Attal N</w:t>
      </w:r>
      <w:r w:rsidR="00272329">
        <w:rPr>
          <w:sz w:val="24"/>
          <w:szCs w:val="24"/>
        </w:rPr>
        <w:t>,</w:t>
      </w:r>
      <w:r w:rsidR="009602E8" w:rsidRPr="009602E8">
        <w:rPr>
          <w:sz w:val="24"/>
          <w:szCs w:val="24"/>
        </w:rPr>
        <w:t xml:space="preserve"> </w:t>
      </w:r>
      <w:r w:rsidR="00ED0C80" w:rsidRPr="009602E8">
        <w:rPr>
          <w:sz w:val="24"/>
          <w:szCs w:val="24"/>
        </w:rPr>
        <w:t>et al</w:t>
      </w:r>
      <w:r w:rsidR="009602E8" w:rsidRPr="009602E8">
        <w:rPr>
          <w:sz w:val="24"/>
          <w:szCs w:val="24"/>
        </w:rPr>
        <w:t>.</w:t>
      </w:r>
      <w:r w:rsidRPr="009602E8">
        <w:rPr>
          <w:sz w:val="24"/>
          <w:szCs w:val="24"/>
        </w:rPr>
        <w:t xml:space="preserve"> Classification Committee of the Neuropathic Pain Special Interest Group (NeuPSIG)</w:t>
      </w:r>
      <w:r w:rsidR="00ED0C80" w:rsidRPr="009602E8">
        <w:rPr>
          <w:sz w:val="24"/>
          <w:szCs w:val="24"/>
        </w:rPr>
        <w:t>.</w:t>
      </w:r>
      <w:r w:rsidRPr="009602E8">
        <w:rPr>
          <w:sz w:val="24"/>
          <w:szCs w:val="24"/>
        </w:rPr>
        <w:t xml:space="preserve"> The IASP classification of chronic pain for ICD-11: chronic neuropathic pain, </w:t>
      </w:r>
      <w:r w:rsidRPr="009602E8">
        <w:rPr>
          <w:i/>
          <w:iCs/>
          <w:sz w:val="24"/>
          <w:szCs w:val="24"/>
        </w:rPr>
        <w:t>P</w:t>
      </w:r>
      <w:r w:rsidR="00E71432" w:rsidRPr="009602E8">
        <w:rPr>
          <w:i/>
          <w:iCs/>
          <w:sz w:val="24"/>
          <w:szCs w:val="24"/>
        </w:rPr>
        <w:t>ain</w:t>
      </w:r>
      <w:r w:rsidRPr="009602E8">
        <w:rPr>
          <w:sz w:val="24"/>
          <w:szCs w:val="24"/>
        </w:rPr>
        <w:t xml:space="preserve"> 2019</w:t>
      </w:r>
      <w:r w:rsidR="00ED0C80" w:rsidRPr="009602E8">
        <w:rPr>
          <w:sz w:val="24"/>
          <w:szCs w:val="24"/>
        </w:rPr>
        <w:t>;</w:t>
      </w:r>
      <w:r w:rsidRPr="009602E8">
        <w:rPr>
          <w:sz w:val="24"/>
          <w:szCs w:val="24"/>
        </w:rPr>
        <w:t>160</w:t>
      </w:r>
      <w:r w:rsidR="00E631BE" w:rsidRPr="009602E8">
        <w:rPr>
          <w:sz w:val="24"/>
          <w:szCs w:val="24"/>
        </w:rPr>
        <w:t>:</w:t>
      </w:r>
      <w:r w:rsidRPr="009602E8">
        <w:rPr>
          <w:sz w:val="24"/>
          <w:szCs w:val="24"/>
        </w:rPr>
        <w:t>53-59</w:t>
      </w:r>
      <w:r w:rsidR="00ED0C80" w:rsidRPr="009602E8">
        <w:rPr>
          <w:sz w:val="24"/>
          <w:szCs w:val="24"/>
        </w:rPr>
        <w:t>.</w:t>
      </w:r>
      <w:r w:rsidRPr="009602E8">
        <w:rPr>
          <w:sz w:val="24"/>
          <w:szCs w:val="24"/>
        </w:rPr>
        <w:t xml:space="preserve"> </w:t>
      </w:r>
      <w:hyperlink r:id="rId53" w:history="1">
        <w:r w:rsidR="00272329" w:rsidRPr="00272329">
          <w:rPr>
            <w:rStyle w:val="Hyperlink"/>
            <w:sz w:val="24"/>
            <w:szCs w:val="24"/>
          </w:rPr>
          <w:t>https://doi.org/10.1097/j.pain.0000000000001365</w:t>
        </w:r>
      </w:hyperlink>
    </w:p>
    <w:p w14:paraId="49FB64A0" w14:textId="43A13AD1" w:rsidR="00122FBA" w:rsidRPr="001259EB" w:rsidRDefault="00EE4536" w:rsidP="007544AE">
      <w:pPr>
        <w:pStyle w:val="ListParagraph"/>
        <w:numPr>
          <w:ilvl w:val="0"/>
          <w:numId w:val="6"/>
        </w:numPr>
        <w:spacing w:line="480" w:lineRule="auto"/>
        <w:rPr>
          <w:rStyle w:val="Hyperlink"/>
          <w:color w:val="auto"/>
          <w:sz w:val="24"/>
          <w:szCs w:val="24"/>
          <w:u w:val="none"/>
        </w:rPr>
      </w:pPr>
      <w:r w:rsidRPr="00EE4536">
        <w:rPr>
          <w:sz w:val="24"/>
          <w:szCs w:val="24"/>
        </w:rPr>
        <w:t xml:space="preserve">Fitzcharles MA, Cohen SP, Clauw DJ, </w:t>
      </w:r>
      <w:r w:rsidR="00122FBA">
        <w:rPr>
          <w:sz w:val="24"/>
          <w:szCs w:val="24"/>
        </w:rPr>
        <w:t>et al</w:t>
      </w:r>
      <w:r w:rsidRPr="00EE4536">
        <w:rPr>
          <w:sz w:val="24"/>
          <w:szCs w:val="24"/>
        </w:rPr>
        <w:t xml:space="preserve">. Nociplastic pain: towards an understanding of prevalent pain conditions. </w:t>
      </w:r>
      <w:r w:rsidRPr="00C17A35">
        <w:rPr>
          <w:i/>
          <w:iCs/>
          <w:sz w:val="24"/>
          <w:szCs w:val="24"/>
        </w:rPr>
        <w:t>Lancet</w:t>
      </w:r>
      <w:r w:rsidRPr="00EE4536">
        <w:rPr>
          <w:sz w:val="24"/>
          <w:szCs w:val="24"/>
        </w:rPr>
        <w:t xml:space="preserve"> 2021;397:2098–110.</w:t>
      </w:r>
      <w:r w:rsidR="00122FBA" w:rsidRPr="00122FBA">
        <w:t xml:space="preserve"> </w:t>
      </w:r>
      <w:hyperlink r:id="rId54" w:history="1">
        <w:r w:rsidR="00122FBA" w:rsidRPr="00122FBA">
          <w:rPr>
            <w:rStyle w:val="Hyperlink"/>
            <w:sz w:val="24"/>
            <w:szCs w:val="24"/>
          </w:rPr>
          <w:t>https://doi.org/10.1016/S0140-6736(21)00392-</w:t>
        </w:r>
        <w:r w:rsidR="00122FBA" w:rsidRPr="00DF5F9B">
          <w:rPr>
            <w:rStyle w:val="Hyperlink"/>
            <w:sz w:val="24"/>
            <w:szCs w:val="24"/>
          </w:rPr>
          <w:t>5</w:t>
        </w:r>
      </w:hyperlink>
    </w:p>
    <w:p w14:paraId="7AE9E322" w14:textId="060092AA" w:rsidR="00292B47" w:rsidRDefault="00292B47" w:rsidP="007544AE">
      <w:pPr>
        <w:pStyle w:val="ListParagraph"/>
        <w:numPr>
          <w:ilvl w:val="0"/>
          <w:numId w:val="6"/>
        </w:numPr>
        <w:spacing w:line="480" w:lineRule="auto"/>
        <w:rPr>
          <w:sz w:val="24"/>
          <w:szCs w:val="24"/>
        </w:rPr>
      </w:pPr>
      <w:r w:rsidRPr="00292B47">
        <w:rPr>
          <w:sz w:val="24"/>
          <w:szCs w:val="24"/>
        </w:rPr>
        <w:t>Larun</w:t>
      </w:r>
      <w:r>
        <w:rPr>
          <w:sz w:val="24"/>
          <w:szCs w:val="24"/>
        </w:rPr>
        <w:t xml:space="preserve"> L</w:t>
      </w:r>
      <w:r w:rsidRPr="00292B47">
        <w:rPr>
          <w:sz w:val="24"/>
          <w:szCs w:val="24"/>
        </w:rPr>
        <w:t>, Odgaard-Jensen</w:t>
      </w:r>
      <w:r>
        <w:rPr>
          <w:sz w:val="24"/>
          <w:szCs w:val="24"/>
        </w:rPr>
        <w:t xml:space="preserve"> J</w:t>
      </w:r>
      <w:r w:rsidRPr="00292B47">
        <w:rPr>
          <w:sz w:val="24"/>
          <w:szCs w:val="24"/>
        </w:rPr>
        <w:t>, Brurberg</w:t>
      </w:r>
      <w:r>
        <w:rPr>
          <w:sz w:val="24"/>
          <w:szCs w:val="24"/>
        </w:rPr>
        <w:t xml:space="preserve"> KG</w:t>
      </w:r>
      <w:r w:rsidRPr="00292B47">
        <w:rPr>
          <w:sz w:val="24"/>
          <w:szCs w:val="24"/>
        </w:rPr>
        <w:t xml:space="preserve">, </w:t>
      </w:r>
      <w:r>
        <w:rPr>
          <w:sz w:val="24"/>
          <w:szCs w:val="24"/>
        </w:rPr>
        <w:t>et al</w:t>
      </w:r>
      <w:r w:rsidRPr="00292B47">
        <w:rPr>
          <w:sz w:val="24"/>
          <w:szCs w:val="24"/>
        </w:rPr>
        <w:t>. Exercise therapy for chronic fatigue syndrome (individual patient data). PROSPERO 2018</w:t>
      </w:r>
      <w:r>
        <w:rPr>
          <w:sz w:val="24"/>
          <w:szCs w:val="24"/>
        </w:rPr>
        <w:t>,</w:t>
      </w:r>
      <w:r w:rsidRPr="00292B47">
        <w:rPr>
          <w:sz w:val="24"/>
          <w:szCs w:val="24"/>
        </w:rPr>
        <w:t xml:space="preserve"> CRD42018107473</w:t>
      </w:r>
      <w:r>
        <w:rPr>
          <w:sz w:val="24"/>
          <w:szCs w:val="24"/>
        </w:rPr>
        <w:t xml:space="preserve">. </w:t>
      </w:r>
      <w:hyperlink r:id="rId55" w:history="1">
        <w:r w:rsidRPr="0064753B">
          <w:rPr>
            <w:rStyle w:val="Hyperlink"/>
            <w:sz w:val="24"/>
            <w:szCs w:val="24"/>
          </w:rPr>
          <w:t>https://www.crd.york.ac.uk/prospero/display_record.php?ID=CRD42018107473</w:t>
        </w:r>
      </w:hyperlink>
      <w:r>
        <w:rPr>
          <w:sz w:val="24"/>
          <w:szCs w:val="24"/>
        </w:rPr>
        <w:t xml:space="preserve"> (accessed Jul 2022).</w:t>
      </w:r>
    </w:p>
    <w:bookmarkEnd w:id="11"/>
    <w:p w14:paraId="09854843" w14:textId="184ACE65" w:rsidR="00EE4536" w:rsidRDefault="00EE4536" w:rsidP="007544AE">
      <w:pPr>
        <w:pStyle w:val="ListParagraph"/>
        <w:spacing w:line="480" w:lineRule="auto"/>
        <w:ind w:left="360"/>
        <w:rPr>
          <w:sz w:val="24"/>
          <w:szCs w:val="24"/>
        </w:rPr>
      </w:pPr>
    </w:p>
    <w:p w14:paraId="321C423E" w14:textId="04E53E29" w:rsidR="00F822F8" w:rsidRPr="00F31768" w:rsidRDefault="00F822F8" w:rsidP="007544AE">
      <w:pPr>
        <w:pStyle w:val="ListParagraph"/>
        <w:spacing w:line="480" w:lineRule="auto"/>
        <w:ind w:left="360"/>
        <w:rPr>
          <w:sz w:val="24"/>
          <w:szCs w:val="24"/>
        </w:rPr>
      </w:pPr>
    </w:p>
    <w:p w14:paraId="00FB229F" w14:textId="792687E0" w:rsidR="007A14D7" w:rsidRPr="00453136" w:rsidRDefault="007A14D7" w:rsidP="007544AE">
      <w:pPr>
        <w:pStyle w:val="ListParagraph"/>
        <w:spacing w:line="480" w:lineRule="auto"/>
        <w:ind w:left="360"/>
        <w:rPr>
          <w:sz w:val="24"/>
          <w:szCs w:val="24"/>
        </w:rPr>
      </w:pPr>
    </w:p>
    <w:p w14:paraId="08BB91ED" w14:textId="77777777" w:rsidR="00BD5B60" w:rsidRPr="003E0946" w:rsidRDefault="00BD5B60" w:rsidP="007544AE">
      <w:pPr>
        <w:pStyle w:val="ListParagraph"/>
        <w:spacing w:line="480" w:lineRule="auto"/>
        <w:ind w:left="0"/>
        <w:rPr>
          <w:sz w:val="24"/>
          <w:szCs w:val="24"/>
        </w:rPr>
      </w:pPr>
    </w:p>
    <w:sectPr w:rsidR="00BD5B60" w:rsidRPr="003E0946">
      <w:head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EF87" w14:textId="77777777" w:rsidR="00B0737C" w:rsidRDefault="00B0737C" w:rsidP="00FF6B22">
      <w:pPr>
        <w:spacing w:after="0" w:line="240" w:lineRule="auto"/>
      </w:pPr>
      <w:r>
        <w:separator/>
      </w:r>
    </w:p>
  </w:endnote>
  <w:endnote w:type="continuationSeparator" w:id="0">
    <w:p w14:paraId="1DC60EE1" w14:textId="77777777" w:rsidR="00B0737C" w:rsidRDefault="00B0737C" w:rsidP="00FF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2801" w14:textId="77777777" w:rsidR="00B0737C" w:rsidRDefault="00B0737C" w:rsidP="00FF6B22">
      <w:pPr>
        <w:spacing w:after="0" w:line="240" w:lineRule="auto"/>
      </w:pPr>
      <w:r>
        <w:separator/>
      </w:r>
    </w:p>
  </w:footnote>
  <w:footnote w:type="continuationSeparator" w:id="0">
    <w:p w14:paraId="3A141203" w14:textId="77777777" w:rsidR="00B0737C" w:rsidRDefault="00B0737C" w:rsidP="00FF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3741" w14:textId="77777777" w:rsidR="007F19B0" w:rsidRDefault="007F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415"/>
    <w:multiLevelType w:val="hybridMultilevel"/>
    <w:tmpl w:val="F70E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3E7C"/>
    <w:multiLevelType w:val="hybridMultilevel"/>
    <w:tmpl w:val="BF887904"/>
    <w:lvl w:ilvl="0" w:tplc="1466EF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62F4"/>
    <w:multiLevelType w:val="hybridMultilevel"/>
    <w:tmpl w:val="BA10AC30"/>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A56F5F"/>
    <w:multiLevelType w:val="hybridMultilevel"/>
    <w:tmpl w:val="A2288B88"/>
    <w:lvl w:ilvl="0" w:tplc="1466EF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721C3"/>
    <w:multiLevelType w:val="multilevel"/>
    <w:tmpl w:val="E3DE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80568"/>
    <w:multiLevelType w:val="hybridMultilevel"/>
    <w:tmpl w:val="EC4A7CB6"/>
    <w:lvl w:ilvl="0" w:tplc="1466EF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5093D"/>
    <w:multiLevelType w:val="hybridMultilevel"/>
    <w:tmpl w:val="9DF42598"/>
    <w:lvl w:ilvl="0" w:tplc="611A88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22FCA"/>
    <w:multiLevelType w:val="hybridMultilevel"/>
    <w:tmpl w:val="A9C806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431E2"/>
    <w:multiLevelType w:val="hybridMultilevel"/>
    <w:tmpl w:val="9EF46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83254F"/>
    <w:multiLevelType w:val="hybridMultilevel"/>
    <w:tmpl w:val="00E0CC88"/>
    <w:lvl w:ilvl="0" w:tplc="B2DAF81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0037D"/>
    <w:multiLevelType w:val="hybridMultilevel"/>
    <w:tmpl w:val="F9C24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232289"/>
    <w:multiLevelType w:val="hybridMultilevel"/>
    <w:tmpl w:val="444CA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007F6D"/>
    <w:multiLevelType w:val="hybridMultilevel"/>
    <w:tmpl w:val="B2D048C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717AA"/>
    <w:multiLevelType w:val="hybridMultilevel"/>
    <w:tmpl w:val="64CC838E"/>
    <w:lvl w:ilvl="0" w:tplc="924881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03BA2"/>
    <w:multiLevelType w:val="hybridMultilevel"/>
    <w:tmpl w:val="A0C2D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705BE0"/>
    <w:multiLevelType w:val="hybridMultilevel"/>
    <w:tmpl w:val="EB14E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67ECD"/>
    <w:multiLevelType w:val="hybridMultilevel"/>
    <w:tmpl w:val="5E2C4B2E"/>
    <w:lvl w:ilvl="0" w:tplc="C060D8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B26204"/>
    <w:multiLevelType w:val="hybridMultilevel"/>
    <w:tmpl w:val="0814277C"/>
    <w:lvl w:ilvl="0" w:tplc="B2DAF81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518625">
    <w:abstractNumId w:val="14"/>
  </w:num>
  <w:num w:numId="2" w16cid:durableId="748964053">
    <w:abstractNumId w:val="10"/>
  </w:num>
  <w:num w:numId="3" w16cid:durableId="1022055662">
    <w:abstractNumId w:val="7"/>
  </w:num>
  <w:num w:numId="4" w16cid:durableId="1568295728">
    <w:abstractNumId w:val="12"/>
  </w:num>
  <w:num w:numId="5" w16cid:durableId="273249833">
    <w:abstractNumId w:val="13"/>
  </w:num>
  <w:num w:numId="6" w16cid:durableId="1866556673">
    <w:abstractNumId w:val="2"/>
  </w:num>
  <w:num w:numId="7" w16cid:durableId="476653594">
    <w:abstractNumId w:val="4"/>
  </w:num>
  <w:num w:numId="8" w16cid:durableId="2101413420">
    <w:abstractNumId w:val="15"/>
  </w:num>
  <w:num w:numId="9" w16cid:durableId="959918988">
    <w:abstractNumId w:val="8"/>
  </w:num>
  <w:num w:numId="10" w16cid:durableId="148720013">
    <w:abstractNumId w:val="0"/>
  </w:num>
  <w:num w:numId="11" w16cid:durableId="1123888390">
    <w:abstractNumId w:val="3"/>
  </w:num>
  <w:num w:numId="12" w16cid:durableId="351304404">
    <w:abstractNumId w:val="1"/>
  </w:num>
  <w:num w:numId="13" w16cid:durableId="262809859">
    <w:abstractNumId w:val="5"/>
  </w:num>
  <w:num w:numId="14" w16cid:durableId="1350066449">
    <w:abstractNumId w:val="11"/>
  </w:num>
  <w:num w:numId="15" w16cid:durableId="1708992279">
    <w:abstractNumId w:val="16"/>
  </w:num>
  <w:num w:numId="16" w16cid:durableId="1790511372">
    <w:abstractNumId w:val="6"/>
  </w:num>
  <w:num w:numId="17" w16cid:durableId="740980505">
    <w:abstractNumId w:val="9"/>
  </w:num>
  <w:num w:numId="18" w16cid:durableId="977880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81"/>
    <w:rsid w:val="000022A0"/>
    <w:rsid w:val="0000355B"/>
    <w:rsid w:val="00003A84"/>
    <w:rsid w:val="00003B6D"/>
    <w:rsid w:val="000079F5"/>
    <w:rsid w:val="00007FC1"/>
    <w:rsid w:val="000114F9"/>
    <w:rsid w:val="00011CBF"/>
    <w:rsid w:val="0001287E"/>
    <w:rsid w:val="00013913"/>
    <w:rsid w:val="00014938"/>
    <w:rsid w:val="00014D79"/>
    <w:rsid w:val="00014DE7"/>
    <w:rsid w:val="000159E4"/>
    <w:rsid w:val="00016164"/>
    <w:rsid w:val="00016C98"/>
    <w:rsid w:val="0001712A"/>
    <w:rsid w:val="000173BF"/>
    <w:rsid w:val="000201F5"/>
    <w:rsid w:val="000238E8"/>
    <w:rsid w:val="00024974"/>
    <w:rsid w:val="00025708"/>
    <w:rsid w:val="00025908"/>
    <w:rsid w:val="00026743"/>
    <w:rsid w:val="00026860"/>
    <w:rsid w:val="000307F5"/>
    <w:rsid w:val="00030988"/>
    <w:rsid w:val="00030C56"/>
    <w:rsid w:val="000314EA"/>
    <w:rsid w:val="00035C0C"/>
    <w:rsid w:val="000361E6"/>
    <w:rsid w:val="00040D3C"/>
    <w:rsid w:val="00041E5C"/>
    <w:rsid w:val="00043F18"/>
    <w:rsid w:val="00044419"/>
    <w:rsid w:val="00044D4C"/>
    <w:rsid w:val="00046215"/>
    <w:rsid w:val="0004652A"/>
    <w:rsid w:val="000469A6"/>
    <w:rsid w:val="00046DBF"/>
    <w:rsid w:val="0004755B"/>
    <w:rsid w:val="00047CA1"/>
    <w:rsid w:val="00051BAC"/>
    <w:rsid w:val="00051CB1"/>
    <w:rsid w:val="00052D1C"/>
    <w:rsid w:val="00053A52"/>
    <w:rsid w:val="0005511D"/>
    <w:rsid w:val="000551F2"/>
    <w:rsid w:val="000559E1"/>
    <w:rsid w:val="00060D74"/>
    <w:rsid w:val="00061797"/>
    <w:rsid w:val="000621E3"/>
    <w:rsid w:val="00063B4A"/>
    <w:rsid w:val="00064F83"/>
    <w:rsid w:val="00066CFA"/>
    <w:rsid w:val="00067B54"/>
    <w:rsid w:val="00067CC4"/>
    <w:rsid w:val="00067E72"/>
    <w:rsid w:val="00073248"/>
    <w:rsid w:val="0007341F"/>
    <w:rsid w:val="00074B7C"/>
    <w:rsid w:val="0007649F"/>
    <w:rsid w:val="00076651"/>
    <w:rsid w:val="00081484"/>
    <w:rsid w:val="0008211B"/>
    <w:rsid w:val="0008764B"/>
    <w:rsid w:val="0008797D"/>
    <w:rsid w:val="0009034D"/>
    <w:rsid w:val="000907FD"/>
    <w:rsid w:val="00090CC5"/>
    <w:rsid w:val="00092197"/>
    <w:rsid w:val="000926E2"/>
    <w:rsid w:val="0009304E"/>
    <w:rsid w:val="00093F55"/>
    <w:rsid w:val="0009414B"/>
    <w:rsid w:val="000949FC"/>
    <w:rsid w:val="00096FA8"/>
    <w:rsid w:val="00097F19"/>
    <w:rsid w:val="000A0AA5"/>
    <w:rsid w:val="000A335C"/>
    <w:rsid w:val="000A6ABD"/>
    <w:rsid w:val="000A74FC"/>
    <w:rsid w:val="000B108B"/>
    <w:rsid w:val="000B19A0"/>
    <w:rsid w:val="000B35F1"/>
    <w:rsid w:val="000B3FC2"/>
    <w:rsid w:val="000B4AC3"/>
    <w:rsid w:val="000B4F1E"/>
    <w:rsid w:val="000B5CA0"/>
    <w:rsid w:val="000B7213"/>
    <w:rsid w:val="000B774E"/>
    <w:rsid w:val="000C0A60"/>
    <w:rsid w:val="000C3116"/>
    <w:rsid w:val="000C4C2C"/>
    <w:rsid w:val="000C62C6"/>
    <w:rsid w:val="000C6C4B"/>
    <w:rsid w:val="000C6C9B"/>
    <w:rsid w:val="000C753A"/>
    <w:rsid w:val="000D10DC"/>
    <w:rsid w:val="000D1CA9"/>
    <w:rsid w:val="000D1F87"/>
    <w:rsid w:val="000E03B8"/>
    <w:rsid w:val="000E2158"/>
    <w:rsid w:val="000E239F"/>
    <w:rsid w:val="000E3405"/>
    <w:rsid w:val="000E3688"/>
    <w:rsid w:val="000E3973"/>
    <w:rsid w:val="000F0377"/>
    <w:rsid w:val="000F0826"/>
    <w:rsid w:val="000F09B2"/>
    <w:rsid w:val="000F2681"/>
    <w:rsid w:val="000F2711"/>
    <w:rsid w:val="000F4201"/>
    <w:rsid w:val="000F4496"/>
    <w:rsid w:val="000F48E4"/>
    <w:rsid w:val="000F569A"/>
    <w:rsid w:val="000F7091"/>
    <w:rsid w:val="000F793B"/>
    <w:rsid w:val="000F79A4"/>
    <w:rsid w:val="000F7BB4"/>
    <w:rsid w:val="00100EC5"/>
    <w:rsid w:val="0010305E"/>
    <w:rsid w:val="00103E13"/>
    <w:rsid w:val="00105092"/>
    <w:rsid w:val="00105117"/>
    <w:rsid w:val="001075F4"/>
    <w:rsid w:val="001077A9"/>
    <w:rsid w:val="00110755"/>
    <w:rsid w:val="00111784"/>
    <w:rsid w:val="00112966"/>
    <w:rsid w:val="00112AAE"/>
    <w:rsid w:val="0011497A"/>
    <w:rsid w:val="00116651"/>
    <w:rsid w:val="00120728"/>
    <w:rsid w:val="00121434"/>
    <w:rsid w:val="00121901"/>
    <w:rsid w:val="00122397"/>
    <w:rsid w:val="00122585"/>
    <w:rsid w:val="00122FBA"/>
    <w:rsid w:val="00123909"/>
    <w:rsid w:val="00123DFF"/>
    <w:rsid w:val="00124269"/>
    <w:rsid w:val="00124326"/>
    <w:rsid w:val="00125573"/>
    <w:rsid w:val="001259EB"/>
    <w:rsid w:val="00126709"/>
    <w:rsid w:val="00127E8B"/>
    <w:rsid w:val="001314E6"/>
    <w:rsid w:val="001325BA"/>
    <w:rsid w:val="00133CCD"/>
    <w:rsid w:val="001358E9"/>
    <w:rsid w:val="001368E1"/>
    <w:rsid w:val="00136F10"/>
    <w:rsid w:val="001375BE"/>
    <w:rsid w:val="0013763A"/>
    <w:rsid w:val="001405F7"/>
    <w:rsid w:val="001406DE"/>
    <w:rsid w:val="00140C37"/>
    <w:rsid w:val="001417C1"/>
    <w:rsid w:val="0014226F"/>
    <w:rsid w:val="00143111"/>
    <w:rsid w:val="001469C8"/>
    <w:rsid w:val="00147C81"/>
    <w:rsid w:val="00147D4D"/>
    <w:rsid w:val="00150979"/>
    <w:rsid w:val="00151590"/>
    <w:rsid w:val="001517BF"/>
    <w:rsid w:val="00153C63"/>
    <w:rsid w:val="00153E2C"/>
    <w:rsid w:val="00155684"/>
    <w:rsid w:val="001558AF"/>
    <w:rsid w:val="00157026"/>
    <w:rsid w:val="00157577"/>
    <w:rsid w:val="00161632"/>
    <w:rsid w:val="001634F7"/>
    <w:rsid w:val="00163A1A"/>
    <w:rsid w:val="00164309"/>
    <w:rsid w:val="00164E87"/>
    <w:rsid w:val="00165592"/>
    <w:rsid w:val="001657E8"/>
    <w:rsid w:val="001709B2"/>
    <w:rsid w:val="00172744"/>
    <w:rsid w:val="00173C24"/>
    <w:rsid w:val="00175F7E"/>
    <w:rsid w:val="00176750"/>
    <w:rsid w:val="00176F7E"/>
    <w:rsid w:val="00177A76"/>
    <w:rsid w:val="0018112D"/>
    <w:rsid w:val="0018318B"/>
    <w:rsid w:val="00183F30"/>
    <w:rsid w:val="0018578B"/>
    <w:rsid w:val="001873A2"/>
    <w:rsid w:val="00187751"/>
    <w:rsid w:val="00187818"/>
    <w:rsid w:val="001879AD"/>
    <w:rsid w:val="00187B21"/>
    <w:rsid w:val="00187B23"/>
    <w:rsid w:val="0019076F"/>
    <w:rsid w:val="00192BCC"/>
    <w:rsid w:val="00194F30"/>
    <w:rsid w:val="001961E4"/>
    <w:rsid w:val="00197095"/>
    <w:rsid w:val="00197809"/>
    <w:rsid w:val="00197F0D"/>
    <w:rsid w:val="001A15F9"/>
    <w:rsid w:val="001A1B2A"/>
    <w:rsid w:val="001A2062"/>
    <w:rsid w:val="001A29AE"/>
    <w:rsid w:val="001A32C6"/>
    <w:rsid w:val="001A38D8"/>
    <w:rsid w:val="001A4697"/>
    <w:rsid w:val="001A4BB4"/>
    <w:rsid w:val="001A4F7F"/>
    <w:rsid w:val="001A5E58"/>
    <w:rsid w:val="001A5FFE"/>
    <w:rsid w:val="001A693C"/>
    <w:rsid w:val="001A73BA"/>
    <w:rsid w:val="001A73F0"/>
    <w:rsid w:val="001A7FC7"/>
    <w:rsid w:val="001B0997"/>
    <w:rsid w:val="001B1241"/>
    <w:rsid w:val="001B1DD1"/>
    <w:rsid w:val="001B359B"/>
    <w:rsid w:val="001B3A82"/>
    <w:rsid w:val="001B464A"/>
    <w:rsid w:val="001B49E5"/>
    <w:rsid w:val="001B5232"/>
    <w:rsid w:val="001B5964"/>
    <w:rsid w:val="001B6978"/>
    <w:rsid w:val="001C03DC"/>
    <w:rsid w:val="001C1452"/>
    <w:rsid w:val="001C2F5D"/>
    <w:rsid w:val="001C3E36"/>
    <w:rsid w:val="001C4C24"/>
    <w:rsid w:val="001C4EF1"/>
    <w:rsid w:val="001C5AAD"/>
    <w:rsid w:val="001D0123"/>
    <w:rsid w:val="001D0903"/>
    <w:rsid w:val="001D1747"/>
    <w:rsid w:val="001D1F81"/>
    <w:rsid w:val="001D38CF"/>
    <w:rsid w:val="001D3EE6"/>
    <w:rsid w:val="001D3EF2"/>
    <w:rsid w:val="001D67BE"/>
    <w:rsid w:val="001D6BC5"/>
    <w:rsid w:val="001E0F7F"/>
    <w:rsid w:val="001E1552"/>
    <w:rsid w:val="001E3914"/>
    <w:rsid w:val="001E3986"/>
    <w:rsid w:val="001E432D"/>
    <w:rsid w:val="001E696C"/>
    <w:rsid w:val="001F3AD1"/>
    <w:rsid w:val="001F44B6"/>
    <w:rsid w:val="001F5FCE"/>
    <w:rsid w:val="001F682C"/>
    <w:rsid w:val="001F6BE4"/>
    <w:rsid w:val="001F7B55"/>
    <w:rsid w:val="002036F2"/>
    <w:rsid w:val="00204BA0"/>
    <w:rsid w:val="0020557A"/>
    <w:rsid w:val="00205ED4"/>
    <w:rsid w:val="002075FA"/>
    <w:rsid w:val="0021290A"/>
    <w:rsid w:val="00212F7D"/>
    <w:rsid w:val="00215655"/>
    <w:rsid w:val="002168AB"/>
    <w:rsid w:val="002178AB"/>
    <w:rsid w:val="00221C4E"/>
    <w:rsid w:val="00221EE7"/>
    <w:rsid w:val="00222312"/>
    <w:rsid w:val="0022257F"/>
    <w:rsid w:val="002248CE"/>
    <w:rsid w:val="0022600A"/>
    <w:rsid w:val="00226579"/>
    <w:rsid w:val="002275F3"/>
    <w:rsid w:val="00233D40"/>
    <w:rsid w:val="002419B8"/>
    <w:rsid w:val="00241D63"/>
    <w:rsid w:val="0024219F"/>
    <w:rsid w:val="00242CFA"/>
    <w:rsid w:val="00242E36"/>
    <w:rsid w:val="002452F4"/>
    <w:rsid w:val="0024573A"/>
    <w:rsid w:val="002462EB"/>
    <w:rsid w:val="0024728B"/>
    <w:rsid w:val="002472BA"/>
    <w:rsid w:val="00247506"/>
    <w:rsid w:val="0025056A"/>
    <w:rsid w:val="002526EA"/>
    <w:rsid w:val="002530C8"/>
    <w:rsid w:val="00253AB3"/>
    <w:rsid w:val="00256073"/>
    <w:rsid w:val="00256C6E"/>
    <w:rsid w:val="0026237B"/>
    <w:rsid w:val="002636FD"/>
    <w:rsid w:val="00264286"/>
    <w:rsid w:val="00265DD3"/>
    <w:rsid w:val="0026792E"/>
    <w:rsid w:val="00271E01"/>
    <w:rsid w:val="00272329"/>
    <w:rsid w:val="0027357C"/>
    <w:rsid w:val="00274F49"/>
    <w:rsid w:val="002750E5"/>
    <w:rsid w:val="00277AF9"/>
    <w:rsid w:val="002801D5"/>
    <w:rsid w:val="0028065C"/>
    <w:rsid w:val="002811EC"/>
    <w:rsid w:val="00282CFB"/>
    <w:rsid w:val="00282ECB"/>
    <w:rsid w:val="002834C7"/>
    <w:rsid w:val="002836B0"/>
    <w:rsid w:val="002837BD"/>
    <w:rsid w:val="00283E4B"/>
    <w:rsid w:val="00284AE6"/>
    <w:rsid w:val="00284C5A"/>
    <w:rsid w:val="002874ED"/>
    <w:rsid w:val="00292B47"/>
    <w:rsid w:val="00293888"/>
    <w:rsid w:val="002948A2"/>
    <w:rsid w:val="00296520"/>
    <w:rsid w:val="00297DDE"/>
    <w:rsid w:val="00297E72"/>
    <w:rsid w:val="002A346A"/>
    <w:rsid w:val="002A37C8"/>
    <w:rsid w:val="002A45F5"/>
    <w:rsid w:val="002A473F"/>
    <w:rsid w:val="002A484F"/>
    <w:rsid w:val="002A497F"/>
    <w:rsid w:val="002A7612"/>
    <w:rsid w:val="002A7FEF"/>
    <w:rsid w:val="002B0B11"/>
    <w:rsid w:val="002B15CD"/>
    <w:rsid w:val="002B189F"/>
    <w:rsid w:val="002B45A8"/>
    <w:rsid w:val="002B6C75"/>
    <w:rsid w:val="002B6DEB"/>
    <w:rsid w:val="002C01AC"/>
    <w:rsid w:val="002C10ED"/>
    <w:rsid w:val="002C12A5"/>
    <w:rsid w:val="002C1D59"/>
    <w:rsid w:val="002C31B8"/>
    <w:rsid w:val="002C3234"/>
    <w:rsid w:val="002C47D2"/>
    <w:rsid w:val="002C573B"/>
    <w:rsid w:val="002C6CCE"/>
    <w:rsid w:val="002D18FD"/>
    <w:rsid w:val="002D1A75"/>
    <w:rsid w:val="002D2885"/>
    <w:rsid w:val="002D30B6"/>
    <w:rsid w:val="002D320D"/>
    <w:rsid w:val="002D3905"/>
    <w:rsid w:val="002D3DB0"/>
    <w:rsid w:val="002D4642"/>
    <w:rsid w:val="002D4C3B"/>
    <w:rsid w:val="002D541C"/>
    <w:rsid w:val="002D6810"/>
    <w:rsid w:val="002E17D9"/>
    <w:rsid w:val="002E1934"/>
    <w:rsid w:val="002E2D2B"/>
    <w:rsid w:val="002E2EE6"/>
    <w:rsid w:val="002E41AE"/>
    <w:rsid w:val="002E43D0"/>
    <w:rsid w:val="002E4763"/>
    <w:rsid w:val="002E4FDC"/>
    <w:rsid w:val="002E57BA"/>
    <w:rsid w:val="002E5AA8"/>
    <w:rsid w:val="002E63C5"/>
    <w:rsid w:val="002E69BE"/>
    <w:rsid w:val="002E6C29"/>
    <w:rsid w:val="002E746A"/>
    <w:rsid w:val="002F1572"/>
    <w:rsid w:val="002F315F"/>
    <w:rsid w:val="002F3356"/>
    <w:rsid w:val="002F3DA8"/>
    <w:rsid w:val="002F4795"/>
    <w:rsid w:val="002F5200"/>
    <w:rsid w:val="002F7C05"/>
    <w:rsid w:val="002F7C5E"/>
    <w:rsid w:val="002F7F6C"/>
    <w:rsid w:val="003004AD"/>
    <w:rsid w:val="00300D52"/>
    <w:rsid w:val="00300F31"/>
    <w:rsid w:val="0030124F"/>
    <w:rsid w:val="00301D6C"/>
    <w:rsid w:val="00303106"/>
    <w:rsid w:val="00303251"/>
    <w:rsid w:val="00303294"/>
    <w:rsid w:val="00303F0C"/>
    <w:rsid w:val="003051D4"/>
    <w:rsid w:val="00306667"/>
    <w:rsid w:val="00307068"/>
    <w:rsid w:val="00310C3F"/>
    <w:rsid w:val="00310E7A"/>
    <w:rsid w:val="0031137E"/>
    <w:rsid w:val="003116A1"/>
    <w:rsid w:val="00311928"/>
    <w:rsid w:val="00311A30"/>
    <w:rsid w:val="00312254"/>
    <w:rsid w:val="003127B2"/>
    <w:rsid w:val="0031331C"/>
    <w:rsid w:val="00313752"/>
    <w:rsid w:val="003152A8"/>
    <w:rsid w:val="00315788"/>
    <w:rsid w:val="00315F93"/>
    <w:rsid w:val="00316309"/>
    <w:rsid w:val="003169EC"/>
    <w:rsid w:val="0031734E"/>
    <w:rsid w:val="00317E02"/>
    <w:rsid w:val="003207F5"/>
    <w:rsid w:val="003210B2"/>
    <w:rsid w:val="00322ED1"/>
    <w:rsid w:val="00323EA8"/>
    <w:rsid w:val="003254BB"/>
    <w:rsid w:val="003259C7"/>
    <w:rsid w:val="00325BFA"/>
    <w:rsid w:val="00325CF9"/>
    <w:rsid w:val="00325E74"/>
    <w:rsid w:val="00326A52"/>
    <w:rsid w:val="00326AE3"/>
    <w:rsid w:val="00326BF3"/>
    <w:rsid w:val="00326D4A"/>
    <w:rsid w:val="00327B2A"/>
    <w:rsid w:val="003303F2"/>
    <w:rsid w:val="00330C02"/>
    <w:rsid w:val="003345CA"/>
    <w:rsid w:val="00334615"/>
    <w:rsid w:val="00334A97"/>
    <w:rsid w:val="00335AB3"/>
    <w:rsid w:val="00341487"/>
    <w:rsid w:val="003430C1"/>
    <w:rsid w:val="003432BD"/>
    <w:rsid w:val="0034352F"/>
    <w:rsid w:val="00344099"/>
    <w:rsid w:val="003441CD"/>
    <w:rsid w:val="00344EFA"/>
    <w:rsid w:val="0034539A"/>
    <w:rsid w:val="00345B3B"/>
    <w:rsid w:val="003460DD"/>
    <w:rsid w:val="00350823"/>
    <w:rsid w:val="0035124D"/>
    <w:rsid w:val="003515DB"/>
    <w:rsid w:val="00353924"/>
    <w:rsid w:val="00355A1E"/>
    <w:rsid w:val="00356A8F"/>
    <w:rsid w:val="003638D0"/>
    <w:rsid w:val="00364E40"/>
    <w:rsid w:val="003718AE"/>
    <w:rsid w:val="003719AD"/>
    <w:rsid w:val="0037360B"/>
    <w:rsid w:val="00375600"/>
    <w:rsid w:val="00375B2E"/>
    <w:rsid w:val="00375F79"/>
    <w:rsid w:val="00376364"/>
    <w:rsid w:val="00380860"/>
    <w:rsid w:val="00380E0F"/>
    <w:rsid w:val="00384C51"/>
    <w:rsid w:val="00386118"/>
    <w:rsid w:val="00387181"/>
    <w:rsid w:val="00387504"/>
    <w:rsid w:val="003906B5"/>
    <w:rsid w:val="00390B04"/>
    <w:rsid w:val="00391246"/>
    <w:rsid w:val="0039162F"/>
    <w:rsid w:val="00395606"/>
    <w:rsid w:val="003956C9"/>
    <w:rsid w:val="00395D66"/>
    <w:rsid w:val="003A08D7"/>
    <w:rsid w:val="003A123C"/>
    <w:rsid w:val="003A3EF0"/>
    <w:rsid w:val="003A6805"/>
    <w:rsid w:val="003B0BBA"/>
    <w:rsid w:val="003B0CCA"/>
    <w:rsid w:val="003B0D8E"/>
    <w:rsid w:val="003B1058"/>
    <w:rsid w:val="003B324D"/>
    <w:rsid w:val="003B336B"/>
    <w:rsid w:val="003B38AC"/>
    <w:rsid w:val="003B3BBA"/>
    <w:rsid w:val="003B3C41"/>
    <w:rsid w:val="003B4F73"/>
    <w:rsid w:val="003B58D5"/>
    <w:rsid w:val="003B5D05"/>
    <w:rsid w:val="003B7B54"/>
    <w:rsid w:val="003C007C"/>
    <w:rsid w:val="003C1078"/>
    <w:rsid w:val="003C61F8"/>
    <w:rsid w:val="003D10F9"/>
    <w:rsid w:val="003D1492"/>
    <w:rsid w:val="003D1F9A"/>
    <w:rsid w:val="003D2990"/>
    <w:rsid w:val="003D34D2"/>
    <w:rsid w:val="003D3BAB"/>
    <w:rsid w:val="003D5EFB"/>
    <w:rsid w:val="003D6B41"/>
    <w:rsid w:val="003D7669"/>
    <w:rsid w:val="003E0946"/>
    <w:rsid w:val="003E2613"/>
    <w:rsid w:val="003E3C0F"/>
    <w:rsid w:val="003E5416"/>
    <w:rsid w:val="003E613C"/>
    <w:rsid w:val="003E645D"/>
    <w:rsid w:val="003E75DE"/>
    <w:rsid w:val="003F0154"/>
    <w:rsid w:val="003F09D1"/>
    <w:rsid w:val="003F13BA"/>
    <w:rsid w:val="003F312F"/>
    <w:rsid w:val="003F39FE"/>
    <w:rsid w:val="003F4C8F"/>
    <w:rsid w:val="003F54F1"/>
    <w:rsid w:val="003F597F"/>
    <w:rsid w:val="003F5AF7"/>
    <w:rsid w:val="003F5C8A"/>
    <w:rsid w:val="003F610A"/>
    <w:rsid w:val="004008FF"/>
    <w:rsid w:val="004022D2"/>
    <w:rsid w:val="00402996"/>
    <w:rsid w:val="004030F2"/>
    <w:rsid w:val="00404D63"/>
    <w:rsid w:val="00404EC1"/>
    <w:rsid w:val="00406893"/>
    <w:rsid w:val="00407FD9"/>
    <w:rsid w:val="00412DA8"/>
    <w:rsid w:val="00413219"/>
    <w:rsid w:val="00413367"/>
    <w:rsid w:val="00414CC7"/>
    <w:rsid w:val="00414CCF"/>
    <w:rsid w:val="004160BA"/>
    <w:rsid w:val="00416183"/>
    <w:rsid w:val="0041638C"/>
    <w:rsid w:val="004166CE"/>
    <w:rsid w:val="0041686D"/>
    <w:rsid w:val="00417EE4"/>
    <w:rsid w:val="00426B4A"/>
    <w:rsid w:val="0042796C"/>
    <w:rsid w:val="00430263"/>
    <w:rsid w:val="00430316"/>
    <w:rsid w:val="00430D0F"/>
    <w:rsid w:val="004310B8"/>
    <w:rsid w:val="00432EE3"/>
    <w:rsid w:val="00434A01"/>
    <w:rsid w:val="00434CD5"/>
    <w:rsid w:val="00435F04"/>
    <w:rsid w:val="00436190"/>
    <w:rsid w:val="00436417"/>
    <w:rsid w:val="00440882"/>
    <w:rsid w:val="0044340C"/>
    <w:rsid w:val="0044402B"/>
    <w:rsid w:val="00444997"/>
    <w:rsid w:val="00444FEB"/>
    <w:rsid w:val="00445849"/>
    <w:rsid w:val="00445FDB"/>
    <w:rsid w:val="0044624D"/>
    <w:rsid w:val="004471CC"/>
    <w:rsid w:val="0044763B"/>
    <w:rsid w:val="00450026"/>
    <w:rsid w:val="00450A2E"/>
    <w:rsid w:val="00450B85"/>
    <w:rsid w:val="00451A3B"/>
    <w:rsid w:val="00453136"/>
    <w:rsid w:val="0045322D"/>
    <w:rsid w:val="00453CD5"/>
    <w:rsid w:val="00453E58"/>
    <w:rsid w:val="00454CD3"/>
    <w:rsid w:val="00455321"/>
    <w:rsid w:val="00457117"/>
    <w:rsid w:val="00461B5B"/>
    <w:rsid w:val="004627A9"/>
    <w:rsid w:val="00463F95"/>
    <w:rsid w:val="00464B53"/>
    <w:rsid w:val="00466FA1"/>
    <w:rsid w:val="004670EA"/>
    <w:rsid w:val="00470D47"/>
    <w:rsid w:val="00471189"/>
    <w:rsid w:val="0047324E"/>
    <w:rsid w:val="004753E4"/>
    <w:rsid w:val="00475688"/>
    <w:rsid w:val="004765E0"/>
    <w:rsid w:val="004767D9"/>
    <w:rsid w:val="004772DA"/>
    <w:rsid w:val="004772E1"/>
    <w:rsid w:val="00477B0B"/>
    <w:rsid w:val="00477D41"/>
    <w:rsid w:val="0048006D"/>
    <w:rsid w:val="00480E50"/>
    <w:rsid w:val="00482951"/>
    <w:rsid w:val="00483DA3"/>
    <w:rsid w:val="00483EB1"/>
    <w:rsid w:val="004853A4"/>
    <w:rsid w:val="004867D4"/>
    <w:rsid w:val="00486B5B"/>
    <w:rsid w:val="00494BFC"/>
    <w:rsid w:val="00496924"/>
    <w:rsid w:val="00497979"/>
    <w:rsid w:val="00497B35"/>
    <w:rsid w:val="004A061B"/>
    <w:rsid w:val="004A0814"/>
    <w:rsid w:val="004A0BAE"/>
    <w:rsid w:val="004A0E7F"/>
    <w:rsid w:val="004A4FB0"/>
    <w:rsid w:val="004A5E1C"/>
    <w:rsid w:val="004A5FE5"/>
    <w:rsid w:val="004A720A"/>
    <w:rsid w:val="004B1557"/>
    <w:rsid w:val="004B313E"/>
    <w:rsid w:val="004B417A"/>
    <w:rsid w:val="004B49DB"/>
    <w:rsid w:val="004B7769"/>
    <w:rsid w:val="004B7C46"/>
    <w:rsid w:val="004C0CD9"/>
    <w:rsid w:val="004C0F5B"/>
    <w:rsid w:val="004C1B17"/>
    <w:rsid w:val="004C413A"/>
    <w:rsid w:val="004C4AB3"/>
    <w:rsid w:val="004C4B85"/>
    <w:rsid w:val="004C4DE1"/>
    <w:rsid w:val="004C577B"/>
    <w:rsid w:val="004C617A"/>
    <w:rsid w:val="004C6A7E"/>
    <w:rsid w:val="004C7915"/>
    <w:rsid w:val="004D15DF"/>
    <w:rsid w:val="004D28C4"/>
    <w:rsid w:val="004D3060"/>
    <w:rsid w:val="004D36F9"/>
    <w:rsid w:val="004D51F9"/>
    <w:rsid w:val="004D5AD6"/>
    <w:rsid w:val="004D6301"/>
    <w:rsid w:val="004D7A0F"/>
    <w:rsid w:val="004D7DD0"/>
    <w:rsid w:val="004E02F4"/>
    <w:rsid w:val="004E11BC"/>
    <w:rsid w:val="004E3FB2"/>
    <w:rsid w:val="004E4012"/>
    <w:rsid w:val="004E4287"/>
    <w:rsid w:val="004E4B92"/>
    <w:rsid w:val="004E686C"/>
    <w:rsid w:val="004E6C0A"/>
    <w:rsid w:val="004E7675"/>
    <w:rsid w:val="004E7878"/>
    <w:rsid w:val="004E7891"/>
    <w:rsid w:val="004E7FF6"/>
    <w:rsid w:val="004F0EED"/>
    <w:rsid w:val="004F161B"/>
    <w:rsid w:val="004F320E"/>
    <w:rsid w:val="004F493D"/>
    <w:rsid w:val="004F4C08"/>
    <w:rsid w:val="004F59A0"/>
    <w:rsid w:val="004F6D78"/>
    <w:rsid w:val="004F7641"/>
    <w:rsid w:val="004F76CC"/>
    <w:rsid w:val="005005CC"/>
    <w:rsid w:val="005006FE"/>
    <w:rsid w:val="0050166D"/>
    <w:rsid w:val="00501BA6"/>
    <w:rsid w:val="00501F06"/>
    <w:rsid w:val="005021B4"/>
    <w:rsid w:val="005033CA"/>
    <w:rsid w:val="00504150"/>
    <w:rsid w:val="00505952"/>
    <w:rsid w:val="00510B7A"/>
    <w:rsid w:val="00511115"/>
    <w:rsid w:val="00511409"/>
    <w:rsid w:val="00512502"/>
    <w:rsid w:val="005129C2"/>
    <w:rsid w:val="005134B2"/>
    <w:rsid w:val="00513C40"/>
    <w:rsid w:val="00513DB2"/>
    <w:rsid w:val="0051481D"/>
    <w:rsid w:val="00515E9E"/>
    <w:rsid w:val="00516318"/>
    <w:rsid w:val="0051631A"/>
    <w:rsid w:val="00516FEA"/>
    <w:rsid w:val="00517C29"/>
    <w:rsid w:val="00520328"/>
    <w:rsid w:val="005218A4"/>
    <w:rsid w:val="00521D32"/>
    <w:rsid w:val="005254E7"/>
    <w:rsid w:val="005262F5"/>
    <w:rsid w:val="005263A9"/>
    <w:rsid w:val="00526A98"/>
    <w:rsid w:val="0052753B"/>
    <w:rsid w:val="0053046D"/>
    <w:rsid w:val="005304B2"/>
    <w:rsid w:val="00530CF2"/>
    <w:rsid w:val="005314FA"/>
    <w:rsid w:val="00531E0F"/>
    <w:rsid w:val="00531EDF"/>
    <w:rsid w:val="005337A5"/>
    <w:rsid w:val="00533898"/>
    <w:rsid w:val="0053463A"/>
    <w:rsid w:val="00535A6D"/>
    <w:rsid w:val="005365FE"/>
    <w:rsid w:val="005430E8"/>
    <w:rsid w:val="0054318E"/>
    <w:rsid w:val="00545935"/>
    <w:rsid w:val="00545B0E"/>
    <w:rsid w:val="00545E48"/>
    <w:rsid w:val="0054622F"/>
    <w:rsid w:val="00546743"/>
    <w:rsid w:val="00550E88"/>
    <w:rsid w:val="00552D53"/>
    <w:rsid w:val="0055339A"/>
    <w:rsid w:val="00555A36"/>
    <w:rsid w:val="005561DA"/>
    <w:rsid w:val="00557574"/>
    <w:rsid w:val="00557D75"/>
    <w:rsid w:val="00560073"/>
    <w:rsid w:val="00560A9A"/>
    <w:rsid w:val="0056136F"/>
    <w:rsid w:val="0056141A"/>
    <w:rsid w:val="005664FE"/>
    <w:rsid w:val="005706CE"/>
    <w:rsid w:val="00570843"/>
    <w:rsid w:val="00571DB9"/>
    <w:rsid w:val="00571EDD"/>
    <w:rsid w:val="00573B55"/>
    <w:rsid w:val="00573E9C"/>
    <w:rsid w:val="005760B6"/>
    <w:rsid w:val="00576527"/>
    <w:rsid w:val="00576FBD"/>
    <w:rsid w:val="00577079"/>
    <w:rsid w:val="0058026B"/>
    <w:rsid w:val="00581218"/>
    <w:rsid w:val="0058447C"/>
    <w:rsid w:val="00584C6A"/>
    <w:rsid w:val="00585B5A"/>
    <w:rsid w:val="00586EFC"/>
    <w:rsid w:val="00587BE8"/>
    <w:rsid w:val="0059259F"/>
    <w:rsid w:val="0059290E"/>
    <w:rsid w:val="005930E7"/>
    <w:rsid w:val="00594010"/>
    <w:rsid w:val="0059427A"/>
    <w:rsid w:val="00597EA0"/>
    <w:rsid w:val="005A0CFA"/>
    <w:rsid w:val="005A31D7"/>
    <w:rsid w:val="005A393A"/>
    <w:rsid w:val="005A40DD"/>
    <w:rsid w:val="005A52BC"/>
    <w:rsid w:val="005A6088"/>
    <w:rsid w:val="005A637C"/>
    <w:rsid w:val="005A6EA3"/>
    <w:rsid w:val="005B0152"/>
    <w:rsid w:val="005B03EB"/>
    <w:rsid w:val="005B0451"/>
    <w:rsid w:val="005B23DF"/>
    <w:rsid w:val="005B3458"/>
    <w:rsid w:val="005B4E30"/>
    <w:rsid w:val="005B546B"/>
    <w:rsid w:val="005B646B"/>
    <w:rsid w:val="005B79C4"/>
    <w:rsid w:val="005C0F00"/>
    <w:rsid w:val="005C1FA1"/>
    <w:rsid w:val="005C3C75"/>
    <w:rsid w:val="005C3F76"/>
    <w:rsid w:val="005C42DF"/>
    <w:rsid w:val="005C4638"/>
    <w:rsid w:val="005C56E2"/>
    <w:rsid w:val="005C5C3F"/>
    <w:rsid w:val="005C5E9F"/>
    <w:rsid w:val="005C6657"/>
    <w:rsid w:val="005D2113"/>
    <w:rsid w:val="005D22A9"/>
    <w:rsid w:val="005D433D"/>
    <w:rsid w:val="005D44CD"/>
    <w:rsid w:val="005D48B8"/>
    <w:rsid w:val="005D7167"/>
    <w:rsid w:val="005E00FA"/>
    <w:rsid w:val="005E0788"/>
    <w:rsid w:val="005E0FC0"/>
    <w:rsid w:val="005E1B3C"/>
    <w:rsid w:val="005E3CEC"/>
    <w:rsid w:val="005E3D44"/>
    <w:rsid w:val="005E4E6B"/>
    <w:rsid w:val="005E63B0"/>
    <w:rsid w:val="005F1A69"/>
    <w:rsid w:val="005F1C4B"/>
    <w:rsid w:val="005F1F16"/>
    <w:rsid w:val="005F22F0"/>
    <w:rsid w:val="005F33DF"/>
    <w:rsid w:val="005F5938"/>
    <w:rsid w:val="005F6666"/>
    <w:rsid w:val="00601753"/>
    <w:rsid w:val="00601EA9"/>
    <w:rsid w:val="00601FA4"/>
    <w:rsid w:val="00602B3B"/>
    <w:rsid w:val="00602CCA"/>
    <w:rsid w:val="00602F82"/>
    <w:rsid w:val="00603A59"/>
    <w:rsid w:val="006050C5"/>
    <w:rsid w:val="00605E3D"/>
    <w:rsid w:val="00607996"/>
    <w:rsid w:val="0060799E"/>
    <w:rsid w:val="00607CE4"/>
    <w:rsid w:val="006101CE"/>
    <w:rsid w:val="00611191"/>
    <w:rsid w:val="006111B1"/>
    <w:rsid w:val="00611690"/>
    <w:rsid w:val="00614611"/>
    <w:rsid w:val="00615AB6"/>
    <w:rsid w:val="006167B7"/>
    <w:rsid w:val="00617D39"/>
    <w:rsid w:val="00621D37"/>
    <w:rsid w:val="0062352B"/>
    <w:rsid w:val="006244EF"/>
    <w:rsid w:val="0062583F"/>
    <w:rsid w:val="0062675E"/>
    <w:rsid w:val="006312FD"/>
    <w:rsid w:val="0063261F"/>
    <w:rsid w:val="00632A3B"/>
    <w:rsid w:val="00633289"/>
    <w:rsid w:val="006378D9"/>
    <w:rsid w:val="00640629"/>
    <w:rsid w:val="00640C0F"/>
    <w:rsid w:val="0064120E"/>
    <w:rsid w:val="006412FF"/>
    <w:rsid w:val="00641A96"/>
    <w:rsid w:val="00641C72"/>
    <w:rsid w:val="00643C1D"/>
    <w:rsid w:val="006453C1"/>
    <w:rsid w:val="006460F2"/>
    <w:rsid w:val="006461D1"/>
    <w:rsid w:val="00646BAB"/>
    <w:rsid w:val="00647D0D"/>
    <w:rsid w:val="00650748"/>
    <w:rsid w:val="006507EB"/>
    <w:rsid w:val="00651B1D"/>
    <w:rsid w:val="00651D7A"/>
    <w:rsid w:val="00652526"/>
    <w:rsid w:val="0065309A"/>
    <w:rsid w:val="0065447C"/>
    <w:rsid w:val="0065477E"/>
    <w:rsid w:val="00654BF7"/>
    <w:rsid w:val="00654F5F"/>
    <w:rsid w:val="0065585B"/>
    <w:rsid w:val="006558A1"/>
    <w:rsid w:val="00656ED1"/>
    <w:rsid w:val="00657DD8"/>
    <w:rsid w:val="00660969"/>
    <w:rsid w:val="00661F4B"/>
    <w:rsid w:val="0066469B"/>
    <w:rsid w:val="00664C1B"/>
    <w:rsid w:val="00666D90"/>
    <w:rsid w:val="00670B59"/>
    <w:rsid w:val="00671291"/>
    <w:rsid w:val="00671BAA"/>
    <w:rsid w:val="00671E2F"/>
    <w:rsid w:val="00673551"/>
    <w:rsid w:val="0067478B"/>
    <w:rsid w:val="006757EF"/>
    <w:rsid w:val="006759AA"/>
    <w:rsid w:val="006759FF"/>
    <w:rsid w:val="00676174"/>
    <w:rsid w:val="00676C7E"/>
    <w:rsid w:val="00680E08"/>
    <w:rsid w:val="00681CC9"/>
    <w:rsid w:val="006823E4"/>
    <w:rsid w:val="00682407"/>
    <w:rsid w:val="006828B9"/>
    <w:rsid w:val="00683E4D"/>
    <w:rsid w:val="00684038"/>
    <w:rsid w:val="006845E9"/>
    <w:rsid w:val="006851C5"/>
    <w:rsid w:val="00686752"/>
    <w:rsid w:val="00686DE3"/>
    <w:rsid w:val="00691760"/>
    <w:rsid w:val="00692E28"/>
    <w:rsid w:val="006936FB"/>
    <w:rsid w:val="0069371D"/>
    <w:rsid w:val="00693D6E"/>
    <w:rsid w:val="00696106"/>
    <w:rsid w:val="006974E4"/>
    <w:rsid w:val="00697675"/>
    <w:rsid w:val="006A1F42"/>
    <w:rsid w:val="006A1F5F"/>
    <w:rsid w:val="006A2424"/>
    <w:rsid w:val="006A266A"/>
    <w:rsid w:val="006A284D"/>
    <w:rsid w:val="006A30F2"/>
    <w:rsid w:val="006A35FD"/>
    <w:rsid w:val="006A3A5D"/>
    <w:rsid w:val="006A52DE"/>
    <w:rsid w:val="006A5DE3"/>
    <w:rsid w:val="006A64FE"/>
    <w:rsid w:val="006A6D67"/>
    <w:rsid w:val="006B03B3"/>
    <w:rsid w:val="006B3421"/>
    <w:rsid w:val="006B4EAF"/>
    <w:rsid w:val="006B65BA"/>
    <w:rsid w:val="006B6A24"/>
    <w:rsid w:val="006B6DF0"/>
    <w:rsid w:val="006C017C"/>
    <w:rsid w:val="006C2757"/>
    <w:rsid w:val="006C2AB4"/>
    <w:rsid w:val="006C415B"/>
    <w:rsid w:val="006C45A5"/>
    <w:rsid w:val="006C5B95"/>
    <w:rsid w:val="006C6BB4"/>
    <w:rsid w:val="006C7108"/>
    <w:rsid w:val="006C75D6"/>
    <w:rsid w:val="006D0009"/>
    <w:rsid w:val="006D07BB"/>
    <w:rsid w:val="006D1094"/>
    <w:rsid w:val="006D238E"/>
    <w:rsid w:val="006D2AE9"/>
    <w:rsid w:val="006D2BB5"/>
    <w:rsid w:val="006D3586"/>
    <w:rsid w:val="006D3F52"/>
    <w:rsid w:val="006D466D"/>
    <w:rsid w:val="006D51C0"/>
    <w:rsid w:val="006D58B8"/>
    <w:rsid w:val="006E0BE1"/>
    <w:rsid w:val="006E14FC"/>
    <w:rsid w:val="006E1547"/>
    <w:rsid w:val="006E2B53"/>
    <w:rsid w:val="006E2DC1"/>
    <w:rsid w:val="006E4044"/>
    <w:rsid w:val="006E49CD"/>
    <w:rsid w:val="006E4A41"/>
    <w:rsid w:val="006E57A0"/>
    <w:rsid w:val="006E6397"/>
    <w:rsid w:val="006E6C42"/>
    <w:rsid w:val="006E7DB2"/>
    <w:rsid w:val="006E7F3E"/>
    <w:rsid w:val="006F0A9D"/>
    <w:rsid w:val="006F0EBE"/>
    <w:rsid w:val="006F2DD8"/>
    <w:rsid w:val="006F3109"/>
    <w:rsid w:val="006F3651"/>
    <w:rsid w:val="006F4915"/>
    <w:rsid w:val="006F4B52"/>
    <w:rsid w:val="006F517D"/>
    <w:rsid w:val="006F5CD9"/>
    <w:rsid w:val="006F604E"/>
    <w:rsid w:val="006F6504"/>
    <w:rsid w:val="00702483"/>
    <w:rsid w:val="0070354A"/>
    <w:rsid w:val="00703A35"/>
    <w:rsid w:val="007053C5"/>
    <w:rsid w:val="00705556"/>
    <w:rsid w:val="0070599A"/>
    <w:rsid w:val="00705F3F"/>
    <w:rsid w:val="00705FC8"/>
    <w:rsid w:val="007062FC"/>
    <w:rsid w:val="0070646C"/>
    <w:rsid w:val="00706B6B"/>
    <w:rsid w:val="00710312"/>
    <w:rsid w:val="00710476"/>
    <w:rsid w:val="00710D55"/>
    <w:rsid w:val="00711284"/>
    <w:rsid w:val="00711320"/>
    <w:rsid w:val="0071288C"/>
    <w:rsid w:val="00717093"/>
    <w:rsid w:val="00717364"/>
    <w:rsid w:val="007209B6"/>
    <w:rsid w:val="00720B65"/>
    <w:rsid w:val="00722951"/>
    <w:rsid w:val="00723352"/>
    <w:rsid w:val="00725B1C"/>
    <w:rsid w:val="00726705"/>
    <w:rsid w:val="007270CA"/>
    <w:rsid w:val="00730077"/>
    <w:rsid w:val="007361E8"/>
    <w:rsid w:val="00737637"/>
    <w:rsid w:val="00740D18"/>
    <w:rsid w:val="0074154D"/>
    <w:rsid w:val="00741ABA"/>
    <w:rsid w:val="0074408D"/>
    <w:rsid w:val="007448B9"/>
    <w:rsid w:val="0075273E"/>
    <w:rsid w:val="00752933"/>
    <w:rsid w:val="00752D0D"/>
    <w:rsid w:val="00753218"/>
    <w:rsid w:val="00753A8B"/>
    <w:rsid w:val="007544AE"/>
    <w:rsid w:val="00754D3D"/>
    <w:rsid w:val="00755034"/>
    <w:rsid w:val="0075766C"/>
    <w:rsid w:val="00760540"/>
    <w:rsid w:val="00760614"/>
    <w:rsid w:val="00760AC9"/>
    <w:rsid w:val="007611AF"/>
    <w:rsid w:val="00761549"/>
    <w:rsid w:val="00761B6F"/>
    <w:rsid w:val="007621B6"/>
    <w:rsid w:val="00762812"/>
    <w:rsid w:val="00762A76"/>
    <w:rsid w:val="00762AEC"/>
    <w:rsid w:val="00764233"/>
    <w:rsid w:val="0076486B"/>
    <w:rsid w:val="00765669"/>
    <w:rsid w:val="00770666"/>
    <w:rsid w:val="00770BA0"/>
    <w:rsid w:val="00770FF1"/>
    <w:rsid w:val="00771672"/>
    <w:rsid w:val="00771927"/>
    <w:rsid w:val="00771A08"/>
    <w:rsid w:val="00771F30"/>
    <w:rsid w:val="0077417D"/>
    <w:rsid w:val="0077443B"/>
    <w:rsid w:val="0077450A"/>
    <w:rsid w:val="00775835"/>
    <w:rsid w:val="0077687B"/>
    <w:rsid w:val="00776E4D"/>
    <w:rsid w:val="00777F1D"/>
    <w:rsid w:val="00781D37"/>
    <w:rsid w:val="00782591"/>
    <w:rsid w:val="0078390E"/>
    <w:rsid w:val="00784702"/>
    <w:rsid w:val="007852F4"/>
    <w:rsid w:val="0078546A"/>
    <w:rsid w:val="007859DA"/>
    <w:rsid w:val="00786987"/>
    <w:rsid w:val="00787CBE"/>
    <w:rsid w:val="0079068B"/>
    <w:rsid w:val="00790756"/>
    <w:rsid w:val="00792917"/>
    <w:rsid w:val="00792DAB"/>
    <w:rsid w:val="007960B8"/>
    <w:rsid w:val="007979B5"/>
    <w:rsid w:val="00797D89"/>
    <w:rsid w:val="00797DAE"/>
    <w:rsid w:val="00797EE5"/>
    <w:rsid w:val="007A05DC"/>
    <w:rsid w:val="007A14D7"/>
    <w:rsid w:val="007A169F"/>
    <w:rsid w:val="007A38C8"/>
    <w:rsid w:val="007A3BF4"/>
    <w:rsid w:val="007A52B6"/>
    <w:rsid w:val="007A5446"/>
    <w:rsid w:val="007A6580"/>
    <w:rsid w:val="007A6BAB"/>
    <w:rsid w:val="007A704E"/>
    <w:rsid w:val="007A7633"/>
    <w:rsid w:val="007A7B71"/>
    <w:rsid w:val="007A7B74"/>
    <w:rsid w:val="007B0F87"/>
    <w:rsid w:val="007B2D4D"/>
    <w:rsid w:val="007B33A4"/>
    <w:rsid w:val="007B7763"/>
    <w:rsid w:val="007B7772"/>
    <w:rsid w:val="007B77F6"/>
    <w:rsid w:val="007B7EA5"/>
    <w:rsid w:val="007C0675"/>
    <w:rsid w:val="007C2FC4"/>
    <w:rsid w:val="007D041C"/>
    <w:rsid w:val="007D0DF8"/>
    <w:rsid w:val="007D1EF2"/>
    <w:rsid w:val="007D2D41"/>
    <w:rsid w:val="007D4AEE"/>
    <w:rsid w:val="007D4D56"/>
    <w:rsid w:val="007D732F"/>
    <w:rsid w:val="007E1593"/>
    <w:rsid w:val="007E173F"/>
    <w:rsid w:val="007E495E"/>
    <w:rsid w:val="007E49EC"/>
    <w:rsid w:val="007E5DAF"/>
    <w:rsid w:val="007E5E11"/>
    <w:rsid w:val="007E6066"/>
    <w:rsid w:val="007E6E3E"/>
    <w:rsid w:val="007E7114"/>
    <w:rsid w:val="007E7B07"/>
    <w:rsid w:val="007F0415"/>
    <w:rsid w:val="007F0EA7"/>
    <w:rsid w:val="007F19B0"/>
    <w:rsid w:val="007F1B98"/>
    <w:rsid w:val="007F4D8F"/>
    <w:rsid w:val="007F50A2"/>
    <w:rsid w:val="007F5B41"/>
    <w:rsid w:val="007F5F2B"/>
    <w:rsid w:val="007F6415"/>
    <w:rsid w:val="007F6590"/>
    <w:rsid w:val="007F65B1"/>
    <w:rsid w:val="007F7617"/>
    <w:rsid w:val="007F7CC5"/>
    <w:rsid w:val="00800DA2"/>
    <w:rsid w:val="00801CC1"/>
    <w:rsid w:val="0080200D"/>
    <w:rsid w:val="00802FEF"/>
    <w:rsid w:val="008031AA"/>
    <w:rsid w:val="0080686F"/>
    <w:rsid w:val="008071DA"/>
    <w:rsid w:val="00807FA6"/>
    <w:rsid w:val="008125F0"/>
    <w:rsid w:val="008131AA"/>
    <w:rsid w:val="0081398A"/>
    <w:rsid w:val="00813D7D"/>
    <w:rsid w:val="00813D94"/>
    <w:rsid w:val="008145C4"/>
    <w:rsid w:val="00814EFF"/>
    <w:rsid w:val="008154E6"/>
    <w:rsid w:val="00816593"/>
    <w:rsid w:val="00817D5A"/>
    <w:rsid w:val="00817DE9"/>
    <w:rsid w:val="008205A9"/>
    <w:rsid w:val="008205F8"/>
    <w:rsid w:val="008208CD"/>
    <w:rsid w:val="0082242E"/>
    <w:rsid w:val="0082382A"/>
    <w:rsid w:val="00823A6B"/>
    <w:rsid w:val="00825CAA"/>
    <w:rsid w:val="00826C63"/>
    <w:rsid w:val="00827CFE"/>
    <w:rsid w:val="0083150F"/>
    <w:rsid w:val="00831E49"/>
    <w:rsid w:val="00832F58"/>
    <w:rsid w:val="00835189"/>
    <w:rsid w:val="00836390"/>
    <w:rsid w:val="0083788B"/>
    <w:rsid w:val="0084054F"/>
    <w:rsid w:val="00840C4C"/>
    <w:rsid w:val="00841874"/>
    <w:rsid w:val="0084249D"/>
    <w:rsid w:val="00843D01"/>
    <w:rsid w:val="0084440C"/>
    <w:rsid w:val="008449C6"/>
    <w:rsid w:val="00844FC9"/>
    <w:rsid w:val="00845F7C"/>
    <w:rsid w:val="0084647A"/>
    <w:rsid w:val="00846F79"/>
    <w:rsid w:val="008476C9"/>
    <w:rsid w:val="00847D27"/>
    <w:rsid w:val="00851C37"/>
    <w:rsid w:val="0085210B"/>
    <w:rsid w:val="00853510"/>
    <w:rsid w:val="008538E1"/>
    <w:rsid w:val="00853F39"/>
    <w:rsid w:val="008540DE"/>
    <w:rsid w:val="00854F90"/>
    <w:rsid w:val="00855014"/>
    <w:rsid w:val="008551B6"/>
    <w:rsid w:val="00856399"/>
    <w:rsid w:val="00857D53"/>
    <w:rsid w:val="008603C0"/>
    <w:rsid w:val="008617C7"/>
    <w:rsid w:val="008623B6"/>
    <w:rsid w:val="00863154"/>
    <w:rsid w:val="00863C91"/>
    <w:rsid w:val="008669C4"/>
    <w:rsid w:val="008679D4"/>
    <w:rsid w:val="00867CDC"/>
    <w:rsid w:val="00870CAF"/>
    <w:rsid w:val="00870F28"/>
    <w:rsid w:val="0087100B"/>
    <w:rsid w:val="0087121E"/>
    <w:rsid w:val="00871398"/>
    <w:rsid w:val="00871ABD"/>
    <w:rsid w:val="00871BB4"/>
    <w:rsid w:val="00872060"/>
    <w:rsid w:val="0087211D"/>
    <w:rsid w:val="008737BC"/>
    <w:rsid w:val="008741B6"/>
    <w:rsid w:val="00874617"/>
    <w:rsid w:val="00874AAD"/>
    <w:rsid w:val="00874BB4"/>
    <w:rsid w:val="00874FED"/>
    <w:rsid w:val="00875166"/>
    <w:rsid w:val="00875DF1"/>
    <w:rsid w:val="0087690D"/>
    <w:rsid w:val="008776CF"/>
    <w:rsid w:val="00880612"/>
    <w:rsid w:val="00882678"/>
    <w:rsid w:val="00883750"/>
    <w:rsid w:val="00883C95"/>
    <w:rsid w:val="0088472A"/>
    <w:rsid w:val="008870F9"/>
    <w:rsid w:val="00890404"/>
    <w:rsid w:val="00890815"/>
    <w:rsid w:val="00891327"/>
    <w:rsid w:val="008925A2"/>
    <w:rsid w:val="008926FA"/>
    <w:rsid w:val="00892BAC"/>
    <w:rsid w:val="008947D2"/>
    <w:rsid w:val="00897ECA"/>
    <w:rsid w:val="008A0B50"/>
    <w:rsid w:val="008A1D9B"/>
    <w:rsid w:val="008A1EE9"/>
    <w:rsid w:val="008A251F"/>
    <w:rsid w:val="008A46B4"/>
    <w:rsid w:val="008A5028"/>
    <w:rsid w:val="008A62CB"/>
    <w:rsid w:val="008A6723"/>
    <w:rsid w:val="008A7902"/>
    <w:rsid w:val="008B01C9"/>
    <w:rsid w:val="008B2BF9"/>
    <w:rsid w:val="008B4E9F"/>
    <w:rsid w:val="008B6A2F"/>
    <w:rsid w:val="008B7497"/>
    <w:rsid w:val="008B7B3E"/>
    <w:rsid w:val="008C13AC"/>
    <w:rsid w:val="008C19B5"/>
    <w:rsid w:val="008C1AB8"/>
    <w:rsid w:val="008C283C"/>
    <w:rsid w:val="008C4A8C"/>
    <w:rsid w:val="008C57B3"/>
    <w:rsid w:val="008C59F4"/>
    <w:rsid w:val="008C629D"/>
    <w:rsid w:val="008C62EC"/>
    <w:rsid w:val="008C76E5"/>
    <w:rsid w:val="008C7806"/>
    <w:rsid w:val="008C7BBC"/>
    <w:rsid w:val="008D0A0C"/>
    <w:rsid w:val="008D114A"/>
    <w:rsid w:val="008D1559"/>
    <w:rsid w:val="008D4211"/>
    <w:rsid w:val="008D780F"/>
    <w:rsid w:val="008D7F55"/>
    <w:rsid w:val="008E0145"/>
    <w:rsid w:val="008E17E1"/>
    <w:rsid w:val="008E196D"/>
    <w:rsid w:val="008E1D21"/>
    <w:rsid w:val="008E1ED1"/>
    <w:rsid w:val="008E340F"/>
    <w:rsid w:val="008E3CCF"/>
    <w:rsid w:val="008E407E"/>
    <w:rsid w:val="008E42D0"/>
    <w:rsid w:val="008E5B64"/>
    <w:rsid w:val="008E7820"/>
    <w:rsid w:val="008E7AFF"/>
    <w:rsid w:val="008F03AE"/>
    <w:rsid w:val="008F10C8"/>
    <w:rsid w:val="008F2D8A"/>
    <w:rsid w:val="008F439C"/>
    <w:rsid w:val="008F4A9C"/>
    <w:rsid w:val="008F5FF3"/>
    <w:rsid w:val="008F609C"/>
    <w:rsid w:val="008F6BEE"/>
    <w:rsid w:val="0090028A"/>
    <w:rsid w:val="009003D5"/>
    <w:rsid w:val="00900E4A"/>
    <w:rsid w:val="009040D4"/>
    <w:rsid w:val="009059F1"/>
    <w:rsid w:val="0090681E"/>
    <w:rsid w:val="009073B6"/>
    <w:rsid w:val="009106F3"/>
    <w:rsid w:val="00912E06"/>
    <w:rsid w:val="009136BA"/>
    <w:rsid w:val="009153F5"/>
    <w:rsid w:val="00917026"/>
    <w:rsid w:val="00917352"/>
    <w:rsid w:val="0092113D"/>
    <w:rsid w:val="009223AB"/>
    <w:rsid w:val="00923010"/>
    <w:rsid w:val="00925286"/>
    <w:rsid w:val="00927A41"/>
    <w:rsid w:val="00927DB9"/>
    <w:rsid w:val="00927ECB"/>
    <w:rsid w:val="00931E02"/>
    <w:rsid w:val="00932EE2"/>
    <w:rsid w:val="00933BB0"/>
    <w:rsid w:val="009372F1"/>
    <w:rsid w:val="009377EC"/>
    <w:rsid w:val="00940017"/>
    <w:rsid w:val="00940FF9"/>
    <w:rsid w:val="0094173D"/>
    <w:rsid w:val="00942358"/>
    <w:rsid w:val="009423C1"/>
    <w:rsid w:val="0094279C"/>
    <w:rsid w:val="00942887"/>
    <w:rsid w:val="0094291D"/>
    <w:rsid w:val="00942F89"/>
    <w:rsid w:val="00943A00"/>
    <w:rsid w:val="009445C8"/>
    <w:rsid w:val="00950B9D"/>
    <w:rsid w:val="00951C10"/>
    <w:rsid w:val="00951C31"/>
    <w:rsid w:val="00951CBA"/>
    <w:rsid w:val="00951D1D"/>
    <w:rsid w:val="00952FD4"/>
    <w:rsid w:val="00953345"/>
    <w:rsid w:val="0095464C"/>
    <w:rsid w:val="009546F8"/>
    <w:rsid w:val="00955698"/>
    <w:rsid w:val="00955A87"/>
    <w:rsid w:val="00957547"/>
    <w:rsid w:val="00957A23"/>
    <w:rsid w:val="009602E8"/>
    <w:rsid w:val="0096093C"/>
    <w:rsid w:val="009616E0"/>
    <w:rsid w:val="00964DAD"/>
    <w:rsid w:val="009660C9"/>
    <w:rsid w:val="009711E9"/>
    <w:rsid w:val="009737F7"/>
    <w:rsid w:val="009739B0"/>
    <w:rsid w:val="00974970"/>
    <w:rsid w:val="0097571E"/>
    <w:rsid w:val="0097710A"/>
    <w:rsid w:val="009777AA"/>
    <w:rsid w:val="00980286"/>
    <w:rsid w:val="009803B1"/>
    <w:rsid w:val="00980EBF"/>
    <w:rsid w:val="009814CD"/>
    <w:rsid w:val="00982CA1"/>
    <w:rsid w:val="00982FD5"/>
    <w:rsid w:val="009841B2"/>
    <w:rsid w:val="009842B4"/>
    <w:rsid w:val="00984FF2"/>
    <w:rsid w:val="009858FF"/>
    <w:rsid w:val="009877D1"/>
    <w:rsid w:val="009878F8"/>
    <w:rsid w:val="00987905"/>
    <w:rsid w:val="00987F2B"/>
    <w:rsid w:val="00991613"/>
    <w:rsid w:val="00991CF3"/>
    <w:rsid w:val="009936EF"/>
    <w:rsid w:val="00996044"/>
    <w:rsid w:val="009A5090"/>
    <w:rsid w:val="009A6AB8"/>
    <w:rsid w:val="009A6C36"/>
    <w:rsid w:val="009A7F91"/>
    <w:rsid w:val="009B0A29"/>
    <w:rsid w:val="009B1925"/>
    <w:rsid w:val="009B1C02"/>
    <w:rsid w:val="009B2D4F"/>
    <w:rsid w:val="009B2F67"/>
    <w:rsid w:val="009B40F7"/>
    <w:rsid w:val="009B43D5"/>
    <w:rsid w:val="009B45DD"/>
    <w:rsid w:val="009B4EAE"/>
    <w:rsid w:val="009B5642"/>
    <w:rsid w:val="009B59D4"/>
    <w:rsid w:val="009B6783"/>
    <w:rsid w:val="009C0A44"/>
    <w:rsid w:val="009C0ADA"/>
    <w:rsid w:val="009C0CB0"/>
    <w:rsid w:val="009C0DB4"/>
    <w:rsid w:val="009C0DE4"/>
    <w:rsid w:val="009C2338"/>
    <w:rsid w:val="009C26F5"/>
    <w:rsid w:val="009C2C9D"/>
    <w:rsid w:val="009C5BB2"/>
    <w:rsid w:val="009C62C3"/>
    <w:rsid w:val="009C6420"/>
    <w:rsid w:val="009C6575"/>
    <w:rsid w:val="009D0FBB"/>
    <w:rsid w:val="009D103C"/>
    <w:rsid w:val="009D19A0"/>
    <w:rsid w:val="009D1EE1"/>
    <w:rsid w:val="009D2F34"/>
    <w:rsid w:val="009D5C23"/>
    <w:rsid w:val="009D7290"/>
    <w:rsid w:val="009D769B"/>
    <w:rsid w:val="009E0747"/>
    <w:rsid w:val="009E0932"/>
    <w:rsid w:val="009E2D64"/>
    <w:rsid w:val="009E2FCF"/>
    <w:rsid w:val="009E38E5"/>
    <w:rsid w:val="009E50D3"/>
    <w:rsid w:val="009E5715"/>
    <w:rsid w:val="009E6CA6"/>
    <w:rsid w:val="009E6EBD"/>
    <w:rsid w:val="009E7C4D"/>
    <w:rsid w:val="009F280E"/>
    <w:rsid w:val="009F50CC"/>
    <w:rsid w:val="009F6FB6"/>
    <w:rsid w:val="009F6FC8"/>
    <w:rsid w:val="009F782D"/>
    <w:rsid w:val="00A001C7"/>
    <w:rsid w:val="00A00C5B"/>
    <w:rsid w:val="00A00D89"/>
    <w:rsid w:val="00A01B34"/>
    <w:rsid w:val="00A02462"/>
    <w:rsid w:val="00A03084"/>
    <w:rsid w:val="00A03747"/>
    <w:rsid w:val="00A05F52"/>
    <w:rsid w:val="00A07A42"/>
    <w:rsid w:val="00A10345"/>
    <w:rsid w:val="00A10F36"/>
    <w:rsid w:val="00A11FC3"/>
    <w:rsid w:val="00A1225F"/>
    <w:rsid w:val="00A13485"/>
    <w:rsid w:val="00A13BE6"/>
    <w:rsid w:val="00A140D9"/>
    <w:rsid w:val="00A1504F"/>
    <w:rsid w:val="00A15DA6"/>
    <w:rsid w:val="00A17C4B"/>
    <w:rsid w:val="00A17CE1"/>
    <w:rsid w:val="00A202C4"/>
    <w:rsid w:val="00A20C2E"/>
    <w:rsid w:val="00A22BEF"/>
    <w:rsid w:val="00A22F83"/>
    <w:rsid w:val="00A234E2"/>
    <w:rsid w:val="00A256C2"/>
    <w:rsid w:val="00A27015"/>
    <w:rsid w:val="00A272F7"/>
    <w:rsid w:val="00A27F47"/>
    <w:rsid w:val="00A3319E"/>
    <w:rsid w:val="00A363F7"/>
    <w:rsid w:val="00A366F9"/>
    <w:rsid w:val="00A379CB"/>
    <w:rsid w:val="00A37C27"/>
    <w:rsid w:val="00A37CDD"/>
    <w:rsid w:val="00A40350"/>
    <w:rsid w:val="00A40B8C"/>
    <w:rsid w:val="00A4207B"/>
    <w:rsid w:val="00A42E1D"/>
    <w:rsid w:val="00A43EBC"/>
    <w:rsid w:val="00A464A0"/>
    <w:rsid w:val="00A47288"/>
    <w:rsid w:val="00A47A15"/>
    <w:rsid w:val="00A47AC3"/>
    <w:rsid w:val="00A50261"/>
    <w:rsid w:val="00A50273"/>
    <w:rsid w:val="00A5236F"/>
    <w:rsid w:val="00A5266F"/>
    <w:rsid w:val="00A532F5"/>
    <w:rsid w:val="00A53446"/>
    <w:rsid w:val="00A54066"/>
    <w:rsid w:val="00A55810"/>
    <w:rsid w:val="00A57CA5"/>
    <w:rsid w:val="00A60E91"/>
    <w:rsid w:val="00A6247D"/>
    <w:rsid w:val="00A64FDA"/>
    <w:rsid w:val="00A653E4"/>
    <w:rsid w:val="00A66FA7"/>
    <w:rsid w:val="00A67193"/>
    <w:rsid w:val="00A707FD"/>
    <w:rsid w:val="00A7094F"/>
    <w:rsid w:val="00A709B4"/>
    <w:rsid w:val="00A70E6A"/>
    <w:rsid w:val="00A7103E"/>
    <w:rsid w:val="00A72452"/>
    <w:rsid w:val="00A74352"/>
    <w:rsid w:val="00A75691"/>
    <w:rsid w:val="00A7634C"/>
    <w:rsid w:val="00A7689D"/>
    <w:rsid w:val="00A772A8"/>
    <w:rsid w:val="00A81172"/>
    <w:rsid w:val="00A812DA"/>
    <w:rsid w:val="00A81457"/>
    <w:rsid w:val="00A82371"/>
    <w:rsid w:val="00A87003"/>
    <w:rsid w:val="00A92D53"/>
    <w:rsid w:val="00A9474A"/>
    <w:rsid w:val="00A95742"/>
    <w:rsid w:val="00A96944"/>
    <w:rsid w:val="00A96E90"/>
    <w:rsid w:val="00A96FF3"/>
    <w:rsid w:val="00A970AB"/>
    <w:rsid w:val="00AA09FB"/>
    <w:rsid w:val="00AA0A4A"/>
    <w:rsid w:val="00AA3DEE"/>
    <w:rsid w:val="00AA3F86"/>
    <w:rsid w:val="00AA4EC3"/>
    <w:rsid w:val="00AA5294"/>
    <w:rsid w:val="00AA7F6A"/>
    <w:rsid w:val="00AB21CB"/>
    <w:rsid w:val="00AB4136"/>
    <w:rsid w:val="00AB493E"/>
    <w:rsid w:val="00AB4FB8"/>
    <w:rsid w:val="00AB6667"/>
    <w:rsid w:val="00AB778C"/>
    <w:rsid w:val="00AC02CE"/>
    <w:rsid w:val="00AC0709"/>
    <w:rsid w:val="00AC08D0"/>
    <w:rsid w:val="00AC11C6"/>
    <w:rsid w:val="00AC36B3"/>
    <w:rsid w:val="00AC4461"/>
    <w:rsid w:val="00AC4AB9"/>
    <w:rsid w:val="00AC56F6"/>
    <w:rsid w:val="00AC5D28"/>
    <w:rsid w:val="00AC667A"/>
    <w:rsid w:val="00AC691B"/>
    <w:rsid w:val="00AD0DD6"/>
    <w:rsid w:val="00AD1814"/>
    <w:rsid w:val="00AD1891"/>
    <w:rsid w:val="00AD1C5A"/>
    <w:rsid w:val="00AD2463"/>
    <w:rsid w:val="00AD26FF"/>
    <w:rsid w:val="00AD2BE5"/>
    <w:rsid w:val="00AD35A1"/>
    <w:rsid w:val="00AD35A8"/>
    <w:rsid w:val="00AD3812"/>
    <w:rsid w:val="00AD6128"/>
    <w:rsid w:val="00AD62E1"/>
    <w:rsid w:val="00AE05BB"/>
    <w:rsid w:val="00AE12F3"/>
    <w:rsid w:val="00AE2433"/>
    <w:rsid w:val="00AE2606"/>
    <w:rsid w:val="00AE26EB"/>
    <w:rsid w:val="00AE2E54"/>
    <w:rsid w:val="00AE6038"/>
    <w:rsid w:val="00AE659F"/>
    <w:rsid w:val="00AE78E8"/>
    <w:rsid w:val="00AE7BC3"/>
    <w:rsid w:val="00AF0264"/>
    <w:rsid w:val="00AF0621"/>
    <w:rsid w:val="00AF0B59"/>
    <w:rsid w:val="00AF1B9C"/>
    <w:rsid w:val="00AF1DA8"/>
    <w:rsid w:val="00AF2C6B"/>
    <w:rsid w:val="00AF47BA"/>
    <w:rsid w:val="00AF53A7"/>
    <w:rsid w:val="00AF53B8"/>
    <w:rsid w:val="00AF5A61"/>
    <w:rsid w:val="00AF6507"/>
    <w:rsid w:val="00AF696B"/>
    <w:rsid w:val="00AF7EDB"/>
    <w:rsid w:val="00B03E97"/>
    <w:rsid w:val="00B0445E"/>
    <w:rsid w:val="00B06AC8"/>
    <w:rsid w:val="00B0737C"/>
    <w:rsid w:val="00B07448"/>
    <w:rsid w:val="00B0747C"/>
    <w:rsid w:val="00B118A4"/>
    <w:rsid w:val="00B12F6B"/>
    <w:rsid w:val="00B13A58"/>
    <w:rsid w:val="00B15131"/>
    <w:rsid w:val="00B160BB"/>
    <w:rsid w:val="00B16E4E"/>
    <w:rsid w:val="00B17EDC"/>
    <w:rsid w:val="00B20BFE"/>
    <w:rsid w:val="00B21569"/>
    <w:rsid w:val="00B23365"/>
    <w:rsid w:val="00B25EFB"/>
    <w:rsid w:val="00B25F5E"/>
    <w:rsid w:val="00B260C1"/>
    <w:rsid w:val="00B26B40"/>
    <w:rsid w:val="00B27A95"/>
    <w:rsid w:val="00B27CFF"/>
    <w:rsid w:val="00B30116"/>
    <w:rsid w:val="00B3079B"/>
    <w:rsid w:val="00B30BBD"/>
    <w:rsid w:val="00B318E9"/>
    <w:rsid w:val="00B32868"/>
    <w:rsid w:val="00B34D68"/>
    <w:rsid w:val="00B355A4"/>
    <w:rsid w:val="00B36B2E"/>
    <w:rsid w:val="00B36CC3"/>
    <w:rsid w:val="00B36E6A"/>
    <w:rsid w:val="00B37CAD"/>
    <w:rsid w:val="00B40AE6"/>
    <w:rsid w:val="00B42771"/>
    <w:rsid w:val="00B457E5"/>
    <w:rsid w:val="00B45868"/>
    <w:rsid w:val="00B4625D"/>
    <w:rsid w:val="00B47252"/>
    <w:rsid w:val="00B4763C"/>
    <w:rsid w:val="00B508F6"/>
    <w:rsid w:val="00B50C77"/>
    <w:rsid w:val="00B522C4"/>
    <w:rsid w:val="00B52585"/>
    <w:rsid w:val="00B52D7C"/>
    <w:rsid w:val="00B5426B"/>
    <w:rsid w:val="00B555AC"/>
    <w:rsid w:val="00B560E9"/>
    <w:rsid w:val="00B568FA"/>
    <w:rsid w:val="00B609A5"/>
    <w:rsid w:val="00B6112D"/>
    <w:rsid w:val="00B63FDE"/>
    <w:rsid w:val="00B65F61"/>
    <w:rsid w:val="00B66909"/>
    <w:rsid w:val="00B66E4E"/>
    <w:rsid w:val="00B7094F"/>
    <w:rsid w:val="00B74B6B"/>
    <w:rsid w:val="00B74E74"/>
    <w:rsid w:val="00B74FBD"/>
    <w:rsid w:val="00B7521B"/>
    <w:rsid w:val="00B75AA7"/>
    <w:rsid w:val="00B763C5"/>
    <w:rsid w:val="00B76C73"/>
    <w:rsid w:val="00B77B34"/>
    <w:rsid w:val="00B805E4"/>
    <w:rsid w:val="00B80D6C"/>
    <w:rsid w:val="00B8125E"/>
    <w:rsid w:val="00B8309C"/>
    <w:rsid w:val="00B83F5B"/>
    <w:rsid w:val="00B85387"/>
    <w:rsid w:val="00B85BFB"/>
    <w:rsid w:val="00B868BD"/>
    <w:rsid w:val="00B87418"/>
    <w:rsid w:val="00B90575"/>
    <w:rsid w:val="00B919CB"/>
    <w:rsid w:val="00B92041"/>
    <w:rsid w:val="00B9261D"/>
    <w:rsid w:val="00B92F42"/>
    <w:rsid w:val="00B9317B"/>
    <w:rsid w:val="00B963A3"/>
    <w:rsid w:val="00B975F3"/>
    <w:rsid w:val="00B976CE"/>
    <w:rsid w:val="00B97A69"/>
    <w:rsid w:val="00B97FD4"/>
    <w:rsid w:val="00BA0DB3"/>
    <w:rsid w:val="00BA1D47"/>
    <w:rsid w:val="00BA2FDF"/>
    <w:rsid w:val="00BA42AD"/>
    <w:rsid w:val="00BA4523"/>
    <w:rsid w:val="00BA4648"/>
    <w:rsid w:val="00BA68AD"/>
    <w:rsid w:val="00BB1869"/>
    <w:rsid w:val="00BB1C14"/>
    <w:rsid w:val="00BB3F76"/>
    <w:rsid w:val="00BB4284"/>
    <w:rsid w:val="00BB4CC5"/>
    <w:rsid w:val="00BB5A13"/>
    <w:rsid w:val="00BB5AB4"/>
    <w:rsid w:val="00BC0474"/>
    <w:rsid w:val="00BC132D"/>
    <w:rsid w:val="00BC319A"/>
    <w:rsid w:val="00BC37B8"/>
    <w:rsid w:val="00BC3A8A"/>
    <w:rsid w:val="00BC4035"/>
    <w:rsid w:val="00BC408A"/>
    <w:rsid w:val="00BC5EF7"/>
    <w:rsid w:val="00BD01CD"/>
    <w:rsid w:val="00BD18EE"/>
    <w:rsid w:val="00BD3E62"/>
    <w:rsid w:val="00BD5B60"/>
    <w:rsid w:val="00BD5BC2"/>
    <w:rsid w:val="00BD6242"/>
    <w:rsid w:val="00BD6B5B"/>
    <w:rsid w:val="00BE0411"/>
    <w:rsid w:val="00BE2D28"/>
    <w:rsid w:val="00BE3949"/>
    <w:rsid w:val="00BE5D98"/>
    <w:rsid w:val="00BE6568"/>
    <w:rsid w:val="00BE68AA"/>
    <w:rsid w:val="00BF0AE8"/>
    <w:rsid w:val="00BF1EA5"/>
    <w:rsid w:val="00BF2E03"/>
    <w:rsid w:val="00BF55D3"/>
    <w:rsid w:val="00BF6283"/>
    <w:rsid w:val="00C00D0E"/>
    <w:rsid w:val="00C00E69"/>
    <w:rsid w:val="00C0118D"/>
    <w:rsid w:val="00C021BF"/>
    <w:rsid w:val="00C026B1"/>
    <w:rsid w:val="00C03D4C"/>
    <w:rsid w:val="00C04B3A"/>
    <w:rsid w:val="00C05871"/>
    <w:rsid w:val="00C06E2C"/>
    <w:rsid w:val="00C1025E"/>
    <w:rsid w:val="00C10799"/>
    <w:rsid w:val="00C12158"/>
    <w:rsid w:val="00C132C8"/>
    <w:rsid w:val="00C142FF"/>
    <w:rsid w:val="00C15422"/>
    <w:rsid w:val="00C161A9"/>
    <w:rsid w:val="00C17147"/>
    <w:rsid w:val="00C17A35"/>
    <w:rsid w:val="00C20016"/>
    <w:rsid w:val="00C2053C"/>
    <w:rsid w:val="00C206AF"/>
    <w:rsid w:val="00C248E6"/>
    <w:rsid w:val="00C254E0"/>
    <w:rsid w:val="00C31D69"/>
    <w:rsid w:val="00C337C4"/>
    <w:rsid w:val="00C33FB5"/>
    <w:rsid w:val="00C3547A"/>
    <w:rsid w:val="00C359E8"/>
    <w:rsid w:val="00C3736C"/>
    <w:rsid w:val="00C407D0"/>
    <w:rsid w:val="00C414CF"/>
    <w:rsid w:val="00C41E4F"/>
    <w:rsid w:val="00C42595"/>
    <w:rsid w:val="00C44BDF"/>
    <w:rsid w:val="00C466EA"/>
    <w:rsid w:val="00C46904"/>
    <w:rsid w:val="00C50951"/>
    <w:rsid w:val="00C514F8"/>
    <w:rsid w:val="00C51FCB"/>
    <w:rsid w:val="00C55469"/>
    <w:rsid w:val="00C570BA"/>
    <w:rsid w:val="00C606C8"/>
    <w:rsid w:val="00C6096A"/>
    <w:rsid w:val="00C60BDA"/>
    <w:rsid w:val="00C60E64"/>
    <w:rsid w:val="00C62D3B"/>
    <w:rsid w:val="00C64178"/>
    <w:rsid w:val="00C6463F"/>
    <w:rsid w:val="00C65B70"/>
    <w:rsid w:val="00C662FC"/>
    <w:rsid w:val="00C74669"/>
    <w:rsid w:val="00C80D78"/>
    <w:rsid w:val="00C817E6"/>
    <w:rsid w:val="00C81853"/>
    <w:rsid w:val="00C846AE"/>
    <w:rsid w:val="00C856ED"/>
    <w:rsid w:val="00C85A95"/>
    <w:rsid w:val="00C86471"/>
    <w:rsid w:val="00C904A5"/>
    <w:rsid w:val="00C92C22"/>
    <w:rsid w:val="00C92EA9"/>
    <w:rsid w:val="00C939DF"/>
    <w:rsid w:val="00C94582"/>
    <w:rsid w:val="00C9467B"/>
    <w:rsid w:val="00C95191"/>
    <w:rsid w:val="00C9550B"/>
    <w:rsid w:val="00C96AA5"/>
    <w:rsid w:val="00C96F4E"/>
    <w:rsid w:val="00C97429"/>
    <w:rsid w:val="00C9775F"/>
    <w:rsid w:val="00C978FE"/>
    <w:rsid w:val="00CA0953"/>
    <w:rsid w:val="00CA2B2F"/>
    <w:rsid w:val="00CA3527"/>
    <w:rsid w:val="00CA3F60"/>
    <w:rsid w:val="00CA411C"/>
    <w:rsid w:val="00CA54AC"/>
    <w:rsid w:val="00CA7388"/>
    <w:rsid w:val="00CA76B5"/>
    <w:rsid w:val="00CA7908"/>
    <w:rsid w:val="00CA7977"/>
    <w:rsid w:val="00CA7A7F"/>
    <w:rsid w:val="00CB34D1"/>
    <w:rsid w:val="00CB4769"/>
    <w:rsid w:val="00CB4B98"/>
    <w:rsid w:val="00CB5652"/>
    <w:rsid w:val="00CB6CC8"/>
    <w:rsid w:val="00CC0344"/>
    <w:rsid w:val="00CC12C6"/>
    <w:rsid w:val="00CC2245"/>
    <w:rsid w:val="00CC270D"/>
    <w:rsid w:val="00CC2768"/>
    <w:rsid w:val="00CC27FC"/>
    <w:rsid w:val="00CC4493"/>
    <w:rsid w:val="00CC45AC"/>
    <w:rsid w:val="00CC4A39"/>
    <w:rsid w:val="00CC4C73"/>
    <w:rsid w:val="00CC780C"/>
    <w:rsid w:val="00CD08BB"/>
    <w:rsid w:val="00CD0945"/>
    <w:rsid w:val="00CD210B"/>
    <w:rsid w:val="00CD2892"/>
    <w:rsid w:val="00CD65E4"/>
    <w:rsid w:val="00CD6DDE"/>
    <w:rsid w:val="00CD6F40"/>
    <w:rsid w:val="00CD7D02"/>
    <w:rsid w:val="00CE00AD"/>
    <w:rsid w:val="00CE07EF"/>
    <w:rsid w:val="00CE0C0D"/>
    <w:rsid w:val="00CE1878"/>
    <w:rsid w:val="00CE33C3"/>
    <w:rsid w:val="00CE356F"/>
    <w:rsid w:val="00CE3F2B"/>
    <w:rsid w:val="00CE4041"/>
    <w:rsid w:val="00CE5FF9"/>
    <w:rsid w:val="00CE6058"/>
    <w:rsid w:val="00CE648D"/>
    <w:rsid w:val="00CF2E50"/>
    <w:rsid w:val="00CF3706"/>
    <w:rsid w:val="00CF37F3"/>
    <w:rsid w:val="00CF5041"/>
    <w:rsid w:val="00CF5AF5"/>
    <w:rsid w:val="00CF70AB"/>
    <w:rsid w:val="00D00107"/>
    <w:rsid w:val="00D01C56"/>
    <w:rsid w:val="00D01E5B"/>
    <w:rsid w:val="00D03522"/>
    <w:rsid w:val="00D049CA"/>
    <w:rsid w:val="00D054C8"/>
    <w:rsid w:val="00D058CD"/>
    <w:rsid w:val="00D07BD4"/>
    <w:rsid w:val="00D07EDC"/>
    <w:rsid w:val="00D128E1"/>
    <w:rsid w:val="00D136E6"/>
    <w:rsid w:val="00D1464B"/>
    <w:rsid w:val="00D1506D"/>
    <w:rsid w:val="00D1506E"/>
    <w:rsid w:val="00D163A1"/>
    <w:rsid w:val="00D1768E"/>
    <w:rsid w:val="00D202F7"/>
    <w:rsid w:val="00D20790"/>
    <w:rsid w:val="00D20A48"/>
    <w:rsid w:val="00D25C78"/>
    <w:rsid w:val="00D270B3"/>
    <w:rsid w:val="00D27811"/>
    <w:rsid w:val="00D306A6"/>
    <w:rsid w:val="00D30FCF"/>
    <w:rsid w:val="00D30FE4"/>
    <w:rsid w:val="00D313FF"/>
    <w:rsid w:val="00D31611"/>
    <w:rsid w:val="00D330F4"/>
    <w:rsid w:val="00D33CDF"/>
    <w:rsid w:val="00D34A24"/>
    <w:rsid w:val="00D34EE5"/>
    <w:rsid w:val="00D36088"/>
    <w:rsid w:val="00D3681B"/>
    <w:rsid w:val="00D36D8D"/>
    <w:rsid w:val="00D36F37"/>
    <w:rsid w:val="00D3718C"/>
    <w:rsid w:val="00D378CC"/>
    <w:rsid w:val="00D42D4C"/>
    <w:rsid w:val="00D44456"/>
    <w:rsid w:val="00D448B0"/>
    <w:rsid w:val="00D45624"/>
    <w:rsid w:val="00D45E1C"/>
    <w:rsid w:val="00D464C7"/>
    <w:rsid w:val="00D50067"/>
    <w:rsid w:val="00D52747"/>
    <w:rsid w:val="00D527DE"/>
    <w:rsid w:val="00D530BF"/>
    <w:rsid w:val="00D539F1"/>
    <w:rsid w:val="00D54285"/>
    <w:rsid w:val="00D5484A"/>
    <w:rsid w:val="00D55269"/>
    <w:rsid w:val="00D56505"/>
    <w:rsid w:val="00D579B8"/>
    <w:rsid w:val="00D57E73"/>
    <w:rsid w:val="00D57E9D"/>
    <w:rsid w:val="00D60F92"/>
    <w:rsid w:val="00D62286"/>
    <w:rsid w:val="00D624C3"/>
    <w:rsid w:val="00D62B06"/>
    <w:rsid w:val="00D645FC"/>
    <w:rsid w:val="00D64DEE"/>
    <w:rsid w:val="00D65309"/>
    <w:rsid w:val="00D66FBD"/>
    <w:rsid w:val="00D72238"/>
    <w:rsid w:val="00D72DF3"/>
    <w:rsid w:val="00D73B2B"/>
    <w:rsid w:val="00D804A0"/>
    <w:rsid w:val="00D80534"/>
    <w:rsid w:val="00D8445B"/>
    <w:rsid w:val="00D84AF4"/>
    <w:rsid w:val="00D857AB"/>
    <w:rsid w:val="00D86204"/>
    <w:rsid w:val="00D8631F"/>
    <w:rsid w:val="00D86B83"/>
    <w:rsid w:val="00D879BE"/>
    <w:rsid w:val="00D90387"/>
    <w:rsid w:val="00D9294F"/>
    <w:rsid w:val="00D92DCC"/>
    <w:rsid w:val="00D92E52"/>
    <w:rsid w:val="00D93BA8"/>
    <w:rsid w:val="00D94FD1"/>
    <w:rsid w:val="00D959F1"/>
    <w:rsid w:val="00D968EB"/>
    <w:rsid w:val="00D97259"/>
    <w:rsid w:val="00D975AE"/>
    <w:rsid w:val="00DA087C"/>
    <w:rsid w:val="00DA380B"/>
    <w:rsid w:val="00DA466B"/>
    <w:rsid w:val="00DA6669"/>
    <w:rsid w:val="00DA7CF9"/>
    <w:rsid w:val="00DB069E"/>
    <w:rsid w:val="00DB1347"/>
    <w:rsid w:val="00DB2681"/>
    <w:rsid w:val="00DB2A77"/>
    <w:rsid w:val="00DB2DEF"/>
    <w:rsid w:val="00DB2ECD"/>
    <w:rsid w:val="00DB356D"/>
    <w:rsid w:val="00DB36DA"/>
    <w:rsid w:val="00DB38B4"/>
    <w:rsid w:val="00DB43DA"/>
    <w:rsid w:val="00DB5A8C"/>
    <w:rsid w:val="00DB5CBC"/>
    <w:rsid w:val="00DB5CE5"/>
    <w:rsid w:val="00DB6728"/>
    <w:rsid w:val="00DB7557"/>
    <w:rsid w:val="00DC025C"/>
    <w:rsid w:val="00DC2BB9"/>
    <w:rsid w:val="00DC3054"/>
    <w:rsid w:val="00DC39AE"/>
    <w:rsid w:val="00DC3F11"/>
    <w:rsid w:val="00DC4969"/>
    <w:rsid w:val="00DC4CB1"/>
    <w:rsid w:val="00DC671A"/>
    <w:rsid w:val="00DC673C"/>
    <w:rsid w:val="00DC7861"/>
    <w:rsid w:val="00DC7DDC"/>
    <w:rsid w:val="00DD04C6"/>
    <w:rsid w:val="00DD0E87"/>
    <w:rsid w:val="00DD216A"/>
    <w:rsid w:val="00DD4C4A"/>
    <w:rsid w:val="00DD4FCB"/>
    <w:rsid w:val="00DD5424"/>
    <w:rsid w:val="00DD6632"/>
    <w:rsid w:val="00DD75C8"/>
    <w:rsid w:val="00DE0CCC"/>
    <w:rsid w:val="00DE11C3"/>
    <w:rsid w:val="00DE140A"/>
    <w:rsid w:val="00DE1659"/>
    <w:rsid w:val="00DE179F"/>
    <w:rsid w:val="00DE2BCC"/>
    <w:rsid w:val="00DE42A0"/>
    <w:rsid w:val="00DE5FE1"/>
    <w:rsid w:val="00DE7498"/>
    <w:rsid w:val="00DF01E4"/>
    <w:rsid w:val="00DF3812"/>
    <w:rsid w:val="00DF3F43"/>
    <w:rsid w:val="00DF5172"/>
    <w:rsid w:val="00DF569C"/>
    <w:rsid w:val="00DF7B36"/>
    <w:rsid w:val="00E00453"/>
    <w:rsid w:val="00E008D4"/>
    <w:rsid w:val="00E00BE3"/>
    <w:rsid w:val="00E013DE"/>
    <w:rsid w:val="00E02240"/>
    <w:rsid w:val="00E0359A"/>
    <w:rsid w:val="00E0381E"/>
    <w:rsid w:val="00E03AAC"/>
    <w:rsid w:val="00E04336"/>
    <w:rsid w:val="00E04548"/>
    <w:rsid w:val="00E0569C"/>
    <w:rsid w:val="00E05E6A"/>
    <w:rsid w:val="00E07DAF"/>
    <w:rsid w:val="00E108E4"/>
    <w:rsid w:val="00E11D01"/>
    <w:rsid w:val="00E12DA2"/>
    <w:rsid w:val="00E14B65"/>
    <w:rsid w:val="00E158A6"/>
    <w:rsid w:val="00E162E3"/>
    <w:rsid w:val="00E202F5"/>
    <w:rsid w:val="00E22DA3"/>
    <w:rsid w:val="00E24623"/>
    <w:rsid w:val="00E31AED"/>
    <w:rsid w:val="00E31E88"/>
    <w:rsid w:val="00E326B5"/>
    <w:rsid w:val="00E336E8"/>
    <w:rsid w:val="00E34126"/>
    <w:rsid w:val="00E34786"/>
    <w:rsid w:val="00E34EF7"/>
    <w:rsid w:val="00E3534E"/>
    <w:rsid w:val="00E35634"/>
    <w:rsid w:val="00E40AEB"/>
    <w:rsid w:val="00E42073"/>
    <w:rsid w:val="00E47412"/>
    <w:rsid w:val="00E47B95"/>
    <w:rsid w:val="00E510C7"/>
    <w:rsid w:val="00E5175A"/>
    <w:rsid w:val="00E51FDC"/>
    <w:rsid w:val="00E52922"/>
    <w:rsid w:val="00E533C0"/>
    <w:rsid w:val="00E53AA2"/>
    <w:rsid w:val="00E54DBC"/>
    <w:rsid w:val="00E55EC8"/>
    <w:rsid w:val="00E56564"/>
    <w:rsid w:val="00E5695D"/>
    <w:rsid w:val="00E606EE"/>
    <w:rsid w:val="00E617D5"/>
    <w:rsid w:val="00E617F5"/>
    <w:rsid w:val="00E62FE9"/>
    <w:rsid w:val="00E631BE"/>
    <w:rsid w:val="00E63367"/>
    <w:rsid w:val="00E64EE3"/>
    <w:rsid w:val="00E659C8"/>
    <w:rsid w:val="00E67D75"/>
    <w:rsid w:val="00E70E36"/>
    <w:rsid w:val="00E71432"/>
    <w:rsid w:val="00E7366E"/>
    <w:rsid w:val="00E74501"/>
    <w:rsid w:val="00E76B68"/>
    <w:rsid w:val="00E773A4"/>
    <w:rsid w:val="00E81282"/>
    <w:rsid w:val="00E84063"/>
    <w:rsid w:val="00E8426D"/>
    <w:rsid w:val="00E85445"/>
    <w:rsid w:val="00E857FA"/>
    <w:rsid w:val="00E85E62"/>
    <w:rsid w:val="00E86393"/>
    <w:rsid w:val="00E867DC"/>
    <w:rsid w:val="00E86BE1"/>
    <w:rsid w:val="00E86D91"/>
    <w:rsid w:val="00E873EE"/>
    <w:rsid w:val="00E970AF"/>
    <w:rsid w:val="00EA0D9E"/>
    <w:rsid w:val="00EA1652"/>
    <w:rsid w:val="00EA22C0"/>
    <w:rsid w:val="00EA2677"/>
    <w:rsid w:val="00EA2FF1"/>
    <w:rsid w:val="00EA3450"/>
    <w:rsid w:val="00EA3BDC"/>
    <w:rsid w:val="00EA3DA4"/>
    <w:rsid w:val="00EA53E8"/>
    <w:rsid w:val="00EA5A37"/>
    <w:rsid w:val="00EA6E54"/>
    <w:rsid w:val="00EB086E"/>
    <w:rsid w:val="00EB0C83"/>
    <w:rsid w:val="00EB1142"/>
    <w:rsid w:val="00EB36E4"/>
    <w:rsid w:val="00EB4566"/>
    <w:rsid w:val="00EB4A56"/>
    <w:rsid w:val="00EB510B"/>
    <w:rsid w:val="00EB57EC"/>
    <w:rsid w:val="00EB5C95"/>
    <w:rsid w:val="00EB5FF8"/>
    <w:rsid w:val="00EC090C"/>
    <w:rsid w:val="00EC0C13"/>
    <w:rsid w:val="00EC1C4C"/>
    <w:rsid w:val="00EC2445"/>
    <w:rsid w:val="00EC2BD1"/>
    <w:rsid w:val="00EC3595"/>
    <w:rsid w:val="00EC3611"/>
    <w:rsid w:val="00EC3799"/>
    <w:rsid w:val="00EC52F6"/>
    <w:rsid w:val="00EC5C3E"/>
    <w:rsid w:val="00EC5DF2"/>
    <w:rsid w:val="00EC7321"/>
    <w:rsid w:val="00ED0B4A"/>
    <w:rsid w:val="00ED0C80"/>
    <w:rsid w:val="00ED2658"/>
    <w:rsid w:val="00ED3F5E"/>
    <w:rsid w:val="00ED466D"/>
    <w:rsid w:val="00ED4E63"/>
    <w:rsid w:val="00ED5981"/>
    <w:rsid w:val="00ED6460"/>
    <w:rsid w:val="00ED6F9D"/>
    <w:rsid w:val="00ED7104"/>
    <w:rsid w:val="00ED794E"/>
    <w:rsid w:val="00EE05FF"/>
    <w:rsid w:val="00EE076D"/>
    <w:rsid w:val="00EE11E8"/>
    <w:rsid w:val="00EE1319"/>
    <w:rsid w:val="00EE1687"/>
    <w:rsid w:val="00EE2D6F"/>
    <w:rsid w:val="00EE4536"/>
    <w:rsid w:val="00EE4A8E"/>
    <w:rsid w:val="00EE51F6"/>
    <w:rsid w:val="00EE536C"/>
    <w:rsid w:val="00EE6AC3"/>
    <w:rsid w:val="00EE6F21"/>
    <w:rsid w:val="00EE7CB7"/>
    <w:rsid w:val="00EF08DA"/>
    <w:rsid w:val="00EF19E4"/>
    <w:rsid w:val="00EF268A"/>
    <w:rsid w:val="00EF336A"/>
    <w:rsid w:val="00EF3DC2"/>
    <w:rsid w:val="00EF423D"/>
    <w:rsid w:val="00EF4289"/>
    <w:rsid w:val="00EF47B9"/>
    <w:rsid w:val="00EF5EC1"/>
    <w:rsid w:val="00EF6EF6"/>
    <w:rsid w:val="00EF79B7"/>
    <w:rsid w:val="00F009FF"/>
    <w:rsid w:val="00F00A3E"/>
    <w:rsid w:val="00F0223F"/>
    <w:rsid w:val="00F045EE"/>
    <w:rsid w:val="00F0556C"/>
    <w:rsid w:val="00F055EA"/>
    <w:rsid w:val="00F055F2"/>
    <w:rsid w:val="00F07214"/>
    <w:rsid w:val="00F104C4"/>
    <w:rsid w:val="00F13377"/>
    <w:rsid w:val="00F1567B"/>
    <w:rsid w:val="00F17355"/>
    <w:rsid w:val="00F1738D"/>
    <w:rsid w:val="00F173FB"/>
    <w:rsid w:val="00F17C80"/>
    <w:rsid w:val="00F204EC"/>
    <w:rsid w:val="00F2116A"/>
    <w:rsid w:val="00F21992"/>
    <w:rsid w:val="00F21D74"/>
    <w:rsid w:val="00F21FA3"/>
    <w:rsid w:val="00F23479"/>
    <w:rsid w:val="00F236F9"/>
    <w:rsid w:val="00F23F71"/>
    <w:rsid w:val="00F24A9F"/>
    <w:rsid w:val="00F25B02"/>
    <w:rsid w:val="00F26787"/>
    <w:rsid w:val="00F27020"/>
    <w:rsid w:val="00F300A9"/>
    <w:rsid w:val="00F31768"/>
    <w:rsid w:val="00F32ACD"/>
    <w:rsid w:val="00F35C9C"/>
    <w:rsid w:val="00F35EEF"/>
    <w:rsid w:val="00F35FE5"/>
    <w:rsid w:val="00F375AD"/>
    <w:rsid w:val="00F42D51"/>
    <w:rsid w:val="00F43027"/>
    <w:rsid w:val="00F43CDA"/>
    <w:rsid w:val="00F44BDE"/>
    <w:rsid w:val="00F44EA7"/>
    <w:rsid w:val="00F44F12"/>
    <w:rsid w:val="00F45C61"/>
    <w:rsid w:val="00F45F67"/>
    <w:rsid w:val="00F46B26"/>
    <w:rsid w:val="00F5041E"/>
    <w:rsid w:val="00F50C56"/>
    <w:rsid w:val="00F52C0D"/>
    <w:rsid w:val="00F53A25"/>
    <w:rsid w:val="00F53C05"/>
    <w:rsid w:val="00F53CA2"/>
    <w:rsid w:val="00F54BF4"/>
    <w:rsid w:val="00F553B5"/>
    <w:rsid w:val="00F56D82"/>
    <w:rsid w:val="00F56F8E"/>
    <w:rsid w:val="00F572B6"/>
    <w:rsid w:val="00F57CF0"/>
    <w:rsid w:val="00F57F97"/>
    <w:rsid w:val="00F62252"/>
    <w:rsid w:val="00F62F35"/>
    <w:rsid w:val="00F64876"/>
    <w:rsid w:val="00F65DF4"/>
    <w:rsid w:val="00F65F91"/>
    <w:rsid w:val="00F66569"/>
    <w:rsid w:val="00F678ED"/>
    <w:rsid w:val="00F7148C"/>
    <w:rsid w:val="00F71826"/>
    <w:rsid w:val="00F720E7"/>
    <w:rsid w:val="00F736D9"/>
    <w:rsid w:val="00F73921"/>
    <w:rsid w:val="00F73D62"/>
    <w:rsid w:val="00F74404"/>
    <w:rsid w:val="00F75022"/>
    <w:rsid w:val="00F757EA"/>
    <w:rsid w:val="00F75E5E"/>
    <w:rsid w:val="00F76978"/>
    <w:rsid w:val="00F7790D"/>
    <w:rsid w:val="00F77CB6"/>
    <w:rsid w:val="00F822F8"/>
    <w:rsid w:val="00F8245C"/>
    <w:rsid w:val="00F86A7D"/>
    <w:rsid w:val="00F87196"/>
    <w:rsid w:val="00F879EB"/>
    <w:rsid w:val="00F90D2C"/>
    <w:rsid w:val="00F911F4"/>
    <w:rsid w:val="00F9155F"/>
    <w:rsid w:val="00F94113"/>
    <w:rsid w:val="00F947D4"/>
    <w:rsid w:val="00F9496C"/>
    <w:rsid w:val="00F94C84"/>
    <w:rsid w:val="00FA06B0"/>
    <w:rsid w:val="00FA29A7"/>
    <w:rsid w:val="00FA2F7E"/>
    <w:rsid w:val="00FA568F"/>
    <w:rsid w:val="00FA5EE9"/>
    <w:rsid w:val="00FB147C"/>
    <w:rsid w:val="00FB1A71"/>
    <w:rsid w:val="00FB2B4D"/>
    <w:rsid w:val="00FB362D"/>
    <w:rsid w:val="00FB4576"/>
    <w:rsid w:val="00FB54B8"/>
    <w:rsid w:val="00FB5CBD"/>
    <w:rsid w:val="00FC15B1"/>
    <w:rsid w:val="00FC3611"/>
    <w:rsid w:val="00FC3797"/>
    <w:rsid w:val="00FC38D3"/>
    <w:rsid w:val="00FC3B0B"/>
    <w:rsid w:val="00FC4304"/>
    <w:rsid w:val="00FC5B71"/>
    <w:rsid w:val="00FC65BA"/>
    <w:rsid w:val="00FC7519"/>
    <w:rsid w:val="00FC7C8E"/>
    <w:rsid w:val="00FC7D8C"/>
    <w:rsid w:val="00FC7E41"/>
    <w:rsid w:val="00FD02E2"/>
    <w:rsid w:val="00FD1DC4"/>
    <w:rsid w:val="00FD22DD"/>
    <w:rsid w:val="00FD2F3B"/>
    <w:rsid w:val="00FD31E3"/>
    <w:rsid w:val="00FD6083"/>
    <w:rsid w:val="00FD6736"/>
    <w:rsid w:val="00FD6803"/>
    <w:rsid w:val="00FD70FA"/>
    <w:rsid w:val="00FE1421"/>
    <w:rsid w:val="00FE249A"/>
    <w:rsid w:val="00FE3510"/>
    <w:rsid w:val="00FE5726"/>
    <w:rsid w:val="00FE63B7"/>
    <w:rsid w:val="00FE65A3"/>
    <w:rsid w:val="00FE74F7"/>
    <w:rsid w:val="00FE7533"/>
    <w:rsid w:val="00FF2297"/>
    <w:rsid w:val="00FF22A2"/>
    <w:rsid w:val="00FF4C39"/>
    <w:rsid w:val="00FF666C"/>
    <w:rsid w:val="00FF68F7"/>
    <w:rsid w:val="00FF6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5FD0"/>
  <w15:chartTrackingRefBased/>
  <w15:docId w15:val="{A1583842-63CF-40A3-93CD-8EABE59F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1B"/>
  </w:style>
  <w:style w:type="paragraph" w:styleId="Heading1">
    <w:name w:val="heading 1"/>
    <w:basedOn w:val="Normal"/>
    <w:next w:val="Normal"/>
    <w:link w:val="Heading1Char"/>
    <w:uiPriority w:val="9"/>
    <w:qFormat/>
    <w:rsid w:val="009A6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4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6A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9E1"/>
    <w:pPr>
      <w:ind w:left="720"/>
      <w:contextualSpacing/>
    </w:pPr>
  </w:style>
  <w:style w:type="character" w:styleId="Hyperlink">
    <w:name w:val="Hyperlink"/>
    <w:basedOn w:val="DefaultParagraphFont"/>
    <w:uiPriority w:val="99"/>
    <w:unhideWhenUsed/>
    <w:rsid w:val="00EB57EC"/>
    <w:rPr>
      <w:color w:val="0563C1" w:themeColor="hyperlink"/>
      <w:u w:val="single"/>
    </w:rPr>
  </w:style>
  <w:style w:type="character" w:customStyle="1" w:styleId="UnresolvedMention1">
    <w:name w:val="Unresolved Mention1"/>
    <w:basedOn w:val="DefaultParagraphFont"/>
    <w:uiPriority w:val="99"/>
    <w:semiHidden/>
    <w:unhideWhenUsed/>
    <w:rsid w:val="00EB57EC"/>
    <w:rPr>
      <w:color w:val="605E5C"/>
      <w:shd w:val="clear" w:color="auto" w:fill="E1DFDD"/>
    </w:rPr>
  </w:style>
  <w:style w:type="paragraph" w:styleId="Header">
    <w:name w:val="header"/>
    <w:basedOn w:val="Normal"/>
    <w:link w:val="HeaderChar"/>
    <w:uiPriority w:val="99"/>
    <w:unhideWhenUsed/>
    <w:rsid w:val="00FF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22"/>
  </w:style>
  <w:style w:type="paragraph" w:styleId="Footer">
    <w:name w:val="footer"/>
    <w:basedOn w:val="Normal"/>
    <w:link w:val="FooterChar"/>
    <w:uiPriority w:val="99"/>
    <w:unhideWhenUsed/>
    <w:rsid w:val="00FF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22"/>
  </w:style>
  <w:style w:type="character" w:styleId="FollowedHyperlink">
    <w:name w:val="FollowedHyperlink"/>
    <w:basedOn w:val="DefaultParagraphFont"/>
    <w:uiPriority w:val="99"/>
    <w:semiHidden/>
    <w:unhideWhenUsed/>
    <w:rsid w:val="00EA1652"/>
    <w:rPr>
      <w:color w:val="954F72" w:themeColor="followedHyperlink"/>
      <w:u w:val="single"/>
    </w:rPr>
  </w:style>
  <w:style w:type="character" w:styleId="CommentReference">
    <w:name w:val="annotation reference"/>
    <w:basedOn w:val="DefaultParagraphFont"/>
    <w:uiPriority w:val="99"/>
    <w:semiHidden/>
    <w:unhideWhenUsed/>
    <w:rsid w:val="00EA1652"/>
    <w:rPr>
      <w:sz w:val="16"/>
      <w:szCs w:val="16"/>
    </w:rPr>
  </w:style>
  <w:style w:type="paragraph" w:styleId="CommentText">
    <w:name w:val="annotation text"/>
    <w:basedOn w:val="Normal"/>
    <w:link w:val="CommentTextChar"/>
    <w:uiPriority w:val="99"/>
    <w:unhideWhenUsed/>
    <w:rsid w:val="00EA1652"/>
    <w:pPr>
      <w:spacing w:line="240" w:lineRule="auto"/>
    </w:pPr>
    <w:rPr>
      <w:sz w:val="20"/>
      <w:szCs w:val="20"/>
    </w:rPr>
  </w:style>
  <w:style w:type="character" w:customStyle="1" w:styleId="CommentTextChar">
    <w:name w:val="Comment Text Char"/>
    <w:basedOn w:val="DefaultParagraphFont"/>
    <w:link w:val="CommentText"/>
    <w:uiPriority w:val="99"/>
    <w:rsid w:val="00EA1652"/>
    <w:rPr>
      <w:sz w:val="20"/>
      <w:szCs w:val="20"/>
    </w:rPr>
  </w:style>
  <w:style w:type="paragraph" w:styleId="CommentSubject">
    <w:name w:val="annotation subject"/>
    <w:basedOn w:val="CommentText"/>
    <w:next w:val="CommentText"/>
    <w:link w:val="CommentSubjectChar"/>
    <w:uiPriority w:val="99"/>
    <w:semiHidden/>
    <w:unhideWhenUsed/>
    <w:rsid w:val="00EA1652"/>
    <w:rPr>
      <w:b/>
      <w:bCs/>
    </w:rPr>
  </w:style>
  <w:style w:type="character" w:customStyle="1" w:styleId="CommentSubjectChar">
    <w:name w:val="Comment Subject Char"/>
    <w:basedOn w:val="CommentTextChar"/>
    <w:link w:val="CommentSubject"/>
    <w:uiPriority w:val="99"/>
    <w:semiHidden/>
    <w:rsid w:val="00EA1652"/>
    <w:rPr>
      <w:b/>
      <w:bCs/>
      <w:sz w:val="20"/>
      <w:szCs w:val="20"/>
    </w:rPr>
  </w:style>
  <w:style w:type="paragraph" w:styleId="BalloonText">
    <w:name w:val="Balloon Text"/>
    <w:basedOn w:val="Normal"/>
    <w:link w:val="BalloonTextChar"/>
    <w:uiPriority w:val="99"/>
    <w:semiHidden/>
    <w:unhideWhenUsed/>
    <w:rsid w:val="001B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97"/>
    <w:rPr>
      <w:rFonts w:ascii="Segoe UI" w:hAnsi="Segoe UI" w:cs="Segoe UI"/>
      <w:sz w:val="18"/>
      <w:szCs w:val="18"/>
    </w:rPr>
  </w:style>
  <w:style w:type="paragraph" w:styleId="Revision">
    <w:name w:val="Revision"/>
    <w:hidden/>
    <w:uiPriority w:val="99"/>
    <w:semiHidden/>
    <w:rsid w:val="001A7FC7"/>
    <w:pPr>
      <w:spacing w:after="0" w:line="240" w:lineRule="auto"/>
    </w:pPr>
  </w:style>
  <w:style w:type="character" w:customStyle="1" w:styleId="UnresolvedMention2">
    <w:name w:val="Unresolved Mention2"/>
    <w:basedOn w:val="DefaultParagraphFont"/>
    <w:uiPriority w:val="99"/>
    <w:semiHidden/>
    <w:unhideWhenUsed/>
    <w:rsid w:val="001A7FC7"/>
    <w:rPr>
      <w:color w:val="605E5C"/>
      <w:shd w:val="clear" w:color="auto" w:fill="E1DFDD"/>
    </w:rPr>
  </w:style>
  <w:style w:type="paragraph" w:styleId="NormalWeb">
    <w:name w:val="Normal (Web)"/>
    <w:basedOn w:val="Normal"/>
    <w:uiPriority w:val="99"/>
    <w:semiHidden/>
    <w:unhideWhenUsed/>
    <w:rsid w:val="00B34D68"/>
    <w:rPr>
      <w:rFonts w:ascii="Times New Roman" w:hAnsi="Times New Roman" w:cs="Times New Roman"/>
      <w:sz w:val="24"/>
      <w:szCs w:val="24"/>
    </w:rPr>
  </w:style>
  <w:style w:type="character" w:customStyle="1" w:styleId="Heading2Char">
    <w:name w:val="Heading 2 Char"/>
    <w:basedOn w:val="DefaultParagraphFont"/>
    <w:link w:val="Heading2"/>
    <w:uiPriority w:val="9"/>
    <w:rsid w:val="00204BA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A6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6AB8"/>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18318B"/>
    <w:rPr>
      <w:color w:val="605E5C"/>
      <w:shd w:val="clear" w:color="auto" w:fill="E1DFDD"/>
    </w:rPr>
  </w:style>
  <w:style w:type="table" w:styleId="TableGrid">
    <w:name w:val="Table Grid"/>
    <w:basedOn w:val="TableNormal"/>
    <w:uiPriority w:val="39"/>
    <w:rsid w:val="0047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ation-authors">
    <w:name w:val="highwire-citation-authors"/>
    <w:basedOn w:val="DefaultParagraphFont"/>
    <w:rsid w:val="00C60BDA"/>
  </w:style>
  <w:style w:type="character" w:customStyle="1" w:styleId="highwire-citation-author">
    <w:name w:val="highwire-citation-author"/>
    <w:basedOn w:val="DefaultParagraphFont"/>
    <w:rsid w:val="00C60BDA"/>
  </w:style>
  <w:style w:type="character" w:customStyle="1" w:styleId="nlm-surname">
    <w:name w:val="nlm-surname"/>
    <w:basedOn w:val="DefaultParagraphFont"/>
    <w:rsid w:val="00C60BDA"/>
  </w:style>
  <w:style w:type="character" w:customStyle="1" w:styleId="apple-converted-space">
    <w:name w:val="apple-converted-space"/>
    <w:basedOn w:val="DefaultParagraphFont"/>
    <w:rsid w:val="00C60BDA"/>
  </w:style>
  <w:style w:type="character" w:customStyle="1" w:styleId="citation-et">
    <w:name w:val="citation-et"/>
    <w:basedOn w:val="DefaultParagraphFont"/>
    <w:rsid w:val="00C60BDA"/>
  </w:style>
  <w:style w:type="character" w:customStyle="1" w:styleId="highwire-cite-metadata-journal">
    <w:name w:val="highwire-cite-metadata-journal"/>
    <w:basedOn w:val="DefaultParagraphFont"/>
    <w:rsid w:val="00C60BDA"/>
  </w:style>
  <w:style w:type="character" w:customStyle="1" w:styleId="highwire-cite-metadata-year">
    <w:name w:val="highwire-cite-metadata-year"/>
    <w:basedOn w:val="DefaultParagraphFont"/>
    <w:rsid w:val="00C60BDA"/>
  </w:style>
  <w:style w:type="character" w:customStyle="1" w:styleId="highwire-cite-metadata-volume">
    <w:name w:val="highwire-cite-metadata-volume"/>
    <w:basedOn w:val="DefaultParagraphFont"/>
    <w:rsid w:val="00C60BDA"/>
  </w:style>
  <w:style w:type="character" w:customStyle="1" w:styleId="highwire-cite-metadata-elocation-id">
    <w:name w:val="highwire-cite-metadata-elocation-id"/>
    <w:basedOn w:val="DefaultParagraphFont"/>
    <w:rsid w:val="00C60BDA"/>
  </w:style>
  <w:style w:type="character" w:customStyle="1" w:styleId="highwire-cite-metadata-doi">
    <w:name w:val="highwire-cite-metadata-doi"/>
    <w:basedOn w:val="DefaultParagraphFont"/>
    <w:rsid w:val="00C60BDA"/>
  </w:style>
  <w:style w:type="character" w:customStyle="1" w:styleId="label">
    <w:name w:val="label"/>
    <w:basedOn w:val="DefaultParagraphFont"/>
    <w:rsid w:val="00C60BDA"/>
  </w:style>
  <w:style w:type="character" w:customStyle="1" w:styleId="highwire-cite-authors">
    <w:name w:val="highwire-cite-authors"/>
    <w:basedOn w:val="DefaultParagraphFont"/>
    <w:rsid w:val="00754D3D"/>
  </w:style>
  <w:style w:type="character" w:customStyle="1" w:styleId="nlm-given-names">
    <w:name w:val="nlm-given-names"/>
    <w:basedOn w:val="DefaultParagraphFont"/>
    <w:rsid w:val="00754D3D"/>
  </w:style>
  <w:style w:type="character" w:customStyle="1" w:styleId="highwire-cite-title">
    <w:name w:val="highwire-cite-title"/>
    <w:basedOn w:val="DefaultParagraphFont"/>
    <w:rsid w:val="00754D3D"/>
  </w:style>
  <w:style w:type="character" w:customStyle="1" w:styleId="highwire-cite-metadata-date">
    <w:name w:val="highwire-cite-metadata-date"/>
    <w:basedOn w:val="DefaultParagraphFont"/>
    <w:rsid w:val="00754D3D"/>
  </w:style>
  <w:style w:type="character" w:customStyle="1" w:styleId="article-doi">
    <w:name w:val="article-doi"/>
    <w:basedOn w:val="DefaultParagraphFont"/>
    <w:rsid w:val="00754D3D"/>
  </w:style>
  <w:style w:type="character" w:customStyle="1" w:styleId="UnresolvedMention4">
    <w:name w:val="Unresolved Mention4"/>
    <w:basedOn w:val="DefaultParagraphFont"/>
    <w:uiPriority w:val="99"/>
    <w:semiHidden/>
    <w:unhideWhenUsed/>
    <w:rsid w:val="00D86B83"/>
    <w:rPr>
      <w:color w:val="605E5C"/>
      <w:shd w:val="clear" w:color="auto" w:fill="E1DFDD"/>
    </w:rPr>
  </w:style>
  <w:style w:type="character" w:styleId="UnresolvedMention">
    <w:name w:val="Unresolved Mention"/>
    <w:basedOn w:val="DefaultParagraphFont"/>
    <w:uiPriority w:val="99"/>
    <w:semiHidden/>
    <w:unhideWhenUsed/>
    <w:rsid w:val="0074408D"/>
    <w:rPr>
      <w:color w:val="605E5C"/>
      <w:shd w:val="clear" w:color="auto" w:fill="E1DFDD"/>
    </w:rPr>
  </w:style>
  <w:style w:type="table" w:styleId="PlainTable4">
    <w:name w:val="Plain Table 4"/>
    <w:basedOn w:val="TableNormal"/>
    <w:uiPriority w:val="44"/>
    <w:rsid w:val="00FE1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4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8939">
      <w:bodyDiv w:val="1"/>
      <w:marLeft w:val="0"/>
      <w:marRight w:val="0"/>
      <w:marTop w:val="0"/>
      <w:marBottom w:val="0"/>
      <w:divBdr>
        <w:top w:val="none" w:sz="0" w:space="0" w:color="auto"/>
        <w:left w:val="none" w:sz="0" w:space="0" w:color="auto"/>
        <w:bottom w:val="none" w:sz="0" w:space="0" w:color="auto"/>
        <w:right w:val="none" w:sz="0" w:space="0" w:color="auto"/>
      </w:divBdr>
      <w:divsChild>
        <w:div w:id="1028484414">
          <w:marLeft w:val="0"/>
          <w:marRight w:val="0"/>
          <w:marTop w:val="0"/>
          <w:marBottom w:val="0"/>
          <w:divBdr>
            <w:top w:val="none" w:sz="0" w:space="0" w:color="auto"/>
            <w:left w:val="none" w:sz="0" w:space="0" w:color="auto"/>
            <w:bottom w:val="none" w:sz="0" w:space="0" w:color="auto"/>
            <w:right w:val="none" w:sz="0" w:space="0" w:color="auto"/>
          </w:divBdr>
        </w:div>
        <w:div w:id="255015590">
          <w:marLeft w:val="0"/>
          <w:marRight w:val="0"/>
          <w:marTop w:val="0"/>
          <w:marBottom w:val="0"/>
          <w:divBdr>
            <w:top w:val="none" w:sz="0" w:space="0" w:color="auto"/>
            <w:left w:val="none" w:sz="0" w:space="0" w:color="auto"/>
            <w:bottom w:val="none" w:sz="0" w:space="0" w:color="auto"/>
            <w:right w:val="none" w:sz="0" w:space="0" w:color="auto"/>
          </w:divBdr>
        </w:div>
        <w:div w:id="2075006686">
          <w:marLeft w:val="0"/>
          <w:marRight w:val="0"/>
          <w:marTop w:val="0"/>
          <w:marBottom w:val="0"/>
          <w:divBdr>
            <w:top w:val="none" w:sz="0" w:space="0" w:color="auto"/>
            <w:left w:val="none" w:sz="0" w:space="0" w:color="auto"/>
            <w:bottom w:val="none" w:sz="0" w:space="0" w:color="auto"/>
            <w:right w:val="none" w:sz="0" w:space="0" w:color="auto"/>
          </w:divBdr>
        </w:div>
      </w:divsChild>
    </w:div>
    <w:div w:id="1582716719">
      <w:bodyDiv w:val="1"/>
      <w:marLeft w:val="0"/>
      <w:marRight w:val="0"/>
      <w:marTop w:val="0"/>
      <w:marBottom w:val="0"/>
      <w:divBdr>
        <w:top w:val="none" w:sz="0" w:space="0" w:color="auto"/>
        <w:left w:val="none" w:sz="0" w:space="0" w:color="auto"/>
        <w:bottom w:val="none" w:sz="0" w:space="0" w:color="auto"/>
        <w:right w:val="none" w:sz="0" w:space="0" w:color="auto"/>
      </w:divBdr>
    </w:div>
    <w:div w:id="19596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pr.2007.10.004" TargetMode="External"/><Relationship Id="rId18" Type="http://schemas.openxmlformats.org/officeDocument/2006/relationships/hyperlink" Target="https://doi.org/10.1002/14651858.CD003200.pub8" TargetMode="External"/><Relationship Id="rId26" Type="http://schemas.openxmlformats.org/officeDocument/2006/relationships/hyperlink" Target="https://www.nice.org.uk/guidance/ng206/documents/consultation-comments-and-responses" TargetMode="External"/><Relationship Id="rId39" Type="http://schemas.openxmlformats.org/officeDocument/2006/relationships/hyperlink" Target="https://doi.org/10.1016/S0140-6736(16)32589-2" TargetMode="External"/><Relationship Id="rId21" Type="http://schemas.openxmlformats.org/officeDocument/2006/relationships/hyperlink" Target="https://www.cdc.gov/me-cfs/pdfs/systematic-review/file1-final-report-mecfs-systematic-review-508.pdf" TargetMode="External"/><Relationship Id="rId34" Type="http://schemas.openxmlformats.org/officeDocument/2006/relationships/hyperlink" Target="https://doi.org/10.1001/archinte.1994.00420180053007" TargetMode="External"/><Relationship Id="rId42" Type="http://schemas.openxmlformats.org/officeDocument/2006/relationships/hyperlink" Target="https://doi.org/10.1017/S0033291719001065" TargetMode="External"/><Relationship Id="rId47" Type="http://schemas.openxmlformats.org/officeDocument/2006/relationships/hyperlink" Target="https://doi.org/10.1136/bmj.l6802" TargetMode="External"/><Relationship Id="rId50" Type="http://schemas.openxmlformats.org/officeDocument/2006/relationships/hyperlink" Target="https://doi.org/10.1001/jama.2014.3266" TargetMode="External"/><Relationship Id="rId55" Type="http://schemas.openxmlformats.org/officeDocument/2006/relationships/hyperlink" Target="https://www.crd.york.ac.uk/prospero/display_record.php?ID=CRD420181074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7326/M15-0114" TargetMode="External"/><Relationship Id="rId29" Type="http://schemas.openxmlformats.org/officeDocument/2006/relationships/hyperlink" Target="https://doi.org/10.7326/0003-4819-121-12-199412150-00009" TargetMode="External"/><Relationship Id="rId11" Type="http://schemas.openxmlformats.org/officeDocument/2006/relationships/hyperlink" Target="https://doi.org/10.1177%2F014107680609901012" TargetMode="External"/><Relationship Id="rId24" Type="http://schemas.openxmlformats.org/officeDocument/2006/relationships/hyperlink" Target="https://www.rcplondon.ac.uk/news/medical-leaders-sign-joint-statement-response-nice-guidance-mecfs" TargetMode="External"/><Relationship Id="rId32" Type="http://schemas.openxmlformats.org/officeDocument/2006/relationships/hyperlink" Target="https://www.nice.org.uk/guidance/ng206/evidence/h-management-of-mecfs-pdf-9265183029" TargetMode="External"/><Relationship Id="rId37" Type="http://schemas.openxmlformats.org/officeDocument/2006/relationships/hyperlink" Target="https://doi.org/10.1016/j.jpainsymman.2020.02.012" TargetMode="External"/><Relationship Id="rId40" Type="http://schemas.openxmlformats.org/officeDocument/2006/relationships/hyperlink" Target="https://doi.org/10.1016/S0140-6736(11)60096-2" TargetMode="External"/><Relationship Id="rId45" Type="http://schemas.openxmlformats.org/officeDocument/2006/relationships/hyperlink" Target="https://doi.org/10.1016/j.jpsychores.2014.04.002" TargetMode="External"/><Relationship Id="rId53" Type="http://schemas.openxmlformats.org/officeDocument/2006/relationships/hyperlink" Target="https://doi.org/10.1097/j.pain.000000000000136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80/09638288.2022.2135776" TargetMode="External"/><Relationship Id="rId4" Type="http://schemas.openxmlformats.org/officeDocument/2006/relationships/settings" Target="settings.xml"/><Relationship Id="rId9" Type="http://schemas.openxmlformats.org/officeDocument/2006/relationships/hyperlink" Target="https://doi.org/10.1093/ageing/afx031" TargetMode="External"/><Relationship Id="rId14" Type="http://schemas.openxmlformats.org/officeDocument/2006/relationships/hyperlink" Target="https://psycnet.apa.org/doi/10.1111/j.1468-2850.2011.01262.x" TargetMode="External"/><Relationship Id="rId22" Type="http://schemas.openxmlformats.org/officeDocument/2006/relationships/hyperlink" Target="http://dx.doi.org/10.1136/bmj.m4774" TargetMode="External"/><Relationship Id="rId27" Type="http://schemas.openxmlformats.org/officeDocument/2006/relationships/hyperlink" Target="https://www.nice.org.uk/guidance/ng206/documents/consultation-comments-and-responses-4" TargetMode="External"/><Relationship Id="rId30" Type="http://schemas.openxmlformats.org/officeDocument/2006/relationships/hyperlink" Target="https://www.nice.org.uk/guidance/ng206/evidence/d-identifying-and-diagnosing-mecfs-pdf-9265183025" TargetMode="External"/><Relationship Id="rId35" Type="http://schemas.openxmlformats.org/officeDocument/2006/relationships/hyperlink" Target="https://doi.org/10.1097/PSY.0b013e31824152ed" TargetMode="External"/><Relationship Id="rId43" Type="http://schemas.openxmlformats.org/officeDocument/2006/relationships/hyperlink" Target="http://dx.doi.org/10.1016/S2215-0366(15)00317-X" TargetMode="External"/><Relationship Id="rId48" Type="http://schemas.openxmlformats.org/officeDocument/2006/relationships/hyperlink" Target="https://www.bmj.com/content/371/bmj.m4774/rapid-responses" TargetMode="External"/><Relationship Id="rId56" Type="http://schemas.openxmlformats.org/officeDocument/2006/relationships/header" Target="header1.xml"/><Relationship Id="rId8" Type="http://schemas.openxmlformats.org/officeDocument/2006/relationships/hyperlink" Target="http://dx.doi.org/10.1136/bmjopen-2013-003973" TargetMode="External"/><Relationship Id="rId51" Type="http://schemas.openxmlformats.org/officeDocument/2006/relationships/hyperlink" Target="https://doi.org/10.1016/j.psym.2017.04.010" TargetMode="External"/><Relationship Id="rId3" Type="http://schemas.openxmlformats.org/officeDocument/2006/relationships/styles" Target="styles.xml"/><Relationship Id="rId12" Type="http://schemas.openxmlformats.org/officeDocument/2006/relationships/hyperlink" Target="https://www.nice.org.uk/guidance/ng206" TargetMode="External"/><Relationship Id="rId17" Type="http://schemas.openxmlformats.org/officeDocument/2006/relationships/hyperlink" Target="https://doi.org/10.23970/AHRQEPCERTA219" TargetMode="External"/><Relationship Id="rId25" Type="http://schemas.openxmlformats.org/officeDocument/2006/relationships/hyperlink" Target="https://doi.org/10.1016/S0140-6736(22)00183-0" TargetMode="External"/><Relationship Id="rId33" Type="http://schemas.openxmlformats.org/officeDocument/2006/relationships/hyperlink" Target="https://doi.org/10.1017/S0033291705005210" TargetMode="External"/><Relationship Id="rId38" Type="http://schemas.openxmlformats.org/officeDocument/2006/relationships/hyperlink" Target="https://journals.sagepub.com/doi/pdf/10.1177/014107689108400224" TargetMode="External"/><Relationship Id="rId46" Type="http://schemas.openxmlformats.org/officeDocument/2006/relationships/hyperlink" Target="https://doi.org/10.1016/j.jpsychores.2021.110533" TargetMode="External"/><Relationship Id="rId59" Type="http://schemas.openxmlformats.org/officeDocument/2006/relationships/customXml" Target="../customXml/item2.xml"/><Relationship Id="rId20" Type="http://schemas.openxmlformats.org/officeDocument/2006/relationships/hyperlink" Target="https://doi.org/10.1017/S0033291722002471" TargetMode="External"/><Relationship Id="rId41" Type="http://schemas.openxmlformats.org/officeDocument/2006/relationships/hyperlink" Target="https://doi.org/10.1136/bmj.i2016" TargetMode="External"/><Relationship Id="rId54" Type="http://schemas.openxmlformats.org/officeDocument/2006/relationships/hyperlink" Target="https://doi.org/10.1016/S0140-6736(21)0039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pr.2015.05.009" TargetMode="External"/><Relationship Id="rId23" Type="http://schemas.openxmlformats.org/officeDocument/2006/relationships/hyperlink" Target="https://doi.org/10.1136/bmj.n1937" TargetMode="External"/><Relationship Id="rId28" Type="http://schemas.openxmlformats.org/officeDocument/2006/relationships/hyperlink" Target="https://jamanetwork.com/journals/jamainternalmedicine/article-abstract/2626860" TargetMode="External"/><Relationship Id="rId36" Type="http://schemas.openxmlformats.org/officeDocument/2006/relationships/hyperlink" Target="https://doi.org/10.4085/1062-6050-48.5.02" TargetMode="External"/><Relationship Id="rId49" Type="http://schemas.openxmlformats.org/officeDocument/2006/relationships/hyperlink" Target="https://doi.org/10.1016/S0031-9406(05)65554-X" TargetMode="External"/><Relationship Id="rId57" Type="http://schemas.openxmlformats.org/officeDocument/2006/relationships/fontTable" Target="fontTable.xml"/><Relationship Id="rId10" Type="http://schemas.openxmlformats.org/officeDocument/2006/relationships/hyperlink" Target="https://doi.org/10.1136/bmj.39302.509005.AE" TargetMode="External"/><Relationship Id="rId31" Type="http://schemas.openxmlformats.org/officeDocument/2006/relationships/hyperlink" Target="https://www.nice.org.uk/guidance/ng206/evidence/g-nonpharmacological-management-of-mecfs-pdf-9265183028" TargetMode="External"/><Relationship Id="rId44" Type="http://schemas.openxmlformats.org/officeDocument/2006/relationships/hyperlink" Target="https://www.nice.org.uk/guidance/NG193" TargetMode="External"/><Relationship Id="rId52" Type="http://schemas.openxmlformats.org/officeDocument/2006/relationships/hyperlink" Target="https://www.nice.org.uk/guidance/CG186" TargetMode="External"/><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19" ma:contentTypeDescription="Create a new document." ma:contentTypeScope="" ma:versionID="71890c83bde9c80119f05a8155d5d385">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a8899b345c5d4a1aede07a8e9bbcc196"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d031e8-e8fc-4cc2-8879-bfab80ab3442}"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B6ABB-0CD6-48B6-B40E-079156382623}">
  <ds:schemaRefs>
    <ds:schemaRef ds:uri="http://schemas.openxmlformats.org/officeDocument/2006/bibliography"/>
  </ds:schemaRefs>
</ds:datastoreItem>
</file>

<file path=customXml/itemProps2.xml><?xml version="1.0" encoding="utf-8"?>
<ds:datastoreItem xmlns:ds="http://schemas.openxmlformats.org/officeDocument/2006/customXml" ds:itemID="{C9886B01-3278-4C12-B674-E661A3B32137}"/>
</file>

<file path=customXml/itemProps3.xml><?xml version="1.0" encoding="utf-8"?>
<ds:datastoreItem xmlns:ds="http://schemas.openxmlformats.org/officeDocument/2006/customXml" ds:itemID="{2D179BB9-24CD-45C6-997B-2333526C66BC}"/>
</file>

<file path=docProps/app.xml><?xml version="1.0" encoding="utf-8"?>
<Properties xmlns="http://schemas.openxmlformats.org/officeDocument/2006/extended-properties" xmlns:vt="http://schemas.openxmlformats.org/officeDocument/2006/docPropsVTypes">
  <Template>Normal</Template>
  <TotalTime>1</TotalTime>
  <Pages>1</Pages>
  <Words>9250</Words>
  <Characters>52725</Characters>
  <Application>Microsoft Office Word</Application>
  <DocSecurity>0</DocSecurity>
  <Lines>439</Lines>
  <Paragraphs>123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5. Non-standard synthesis of GRADE to assess trial evidence </vt:lpstr>
    </vt:vector>
  </TitlesOfParts>
  <Company/>
  <LinksUpToDate>false</LinksUpToDate>
  <CharactersWithSpaces>61852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Sharpe</dc:creator>
  <cp:keywords/>
  <dc:description/>
  <cp:lastModifiedBy> </cp:lastModifiedBy>
  <cp:revision>2</cp:revision>
  <cp:lastPrinted>2022-07-13T15:17:00Z</cp:lastPrinted>
  <dcterms:created xsi:type="dcterms:W3CDTF">2023-04-18T08:18:00Z</dcterms:created>
  <dcterms:modified xsi:type="dcterms:W3CDTF">2023-04-18T08:18:00Z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http://www.zotero.org/styles/brain</vt:lpwstr>
  </property>
  <property fmtid="{D5CDD505-2E9C-101B-9397-08002B2CF9AE}" pid="5" name="Mendeley Recent Style Name 1_1">
    <vt:lpwstr>Brain</vt:lpwstr>
  </property>
  <property fmtid="{D5CDD505-2E9C-101B-9397-08002B2CF9AE}" pid="6" name="Mendeley Recent Style Id 2_1">
    <vt:lpwstr>http://csl.mendeley.com/styles/21566691/ParkinsonsismRelDisordersnoDOI</vt:lpwstr>
  </property>
  <property fmtid="{D5CDD505-2E9C-101B-9397-08002B2CF9AE}" pid="7" name="Mendeley Recent Style Name 2_1">
    <vt:lpwstr>Elsevier (numeric, with titles) - Jon Stone</vt:lpwstr>
  </property>
  <property fmtid="{D5CDD505-2E9C-101B-9397-08002B2CF9AE}" pid="8" name="Mendeley Recent Style Id 3_1">
    <vt:lpwstr>http://www.zotero.org/styles/jama-dermatology</vt:lpwstr>
  </property>
  <property fmtid="{D5CDD505-2E9C-101B-9397-08002B2CF9AE}" pid="9" name="Mendeley Recent Style Name 3_1">
    <vt:lpwstr>JAMA Dermatology</vt:lpwstr>
  </property>
  <property fmtid="{D5CDD505-2E9C-101B-9397-08002B2CF9AE}" pid="10" name="Mendeley Recent Style Id 4_1">
    <vt:lpwstr>http://www.zotero.org/styles/journal-of-neurology-neurosurgery-and-psychiatry</vt:lpwstr>
  </property>
  <property fmtid="{D5CDD505-2E9C-101B-9397-08002B2CF9AE}" pid="11" name="Mendeley Recent Style Name 4_1">
    <vt:lpwstr>Journal of Neurology, Neurosurgery, and Psychiatry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http://www.zotero.org/styles/neurology</vt:lpwstr>
  </property>
  <property fmtid="{D5CDD505-2E9C-101B-9397-08002B2CF9AE}" pid="15" name="Mendeley Recent Style Name 6_1">
    <vt:lpwstr>Neurology</vt:lpwstr>
  </property>
  <property fmtid="{D5CDD505-2E9C-101B-9397-08002B2CF9AE}" pid="16" name="Mendeley Recent Style Id 7_1">
    <vt:lpwstr>http://csl.mendeley.com/styles/487773601/neurology-NEW-310520</vt:lpwstr>
  </property>
  <property fmtid="{D5CDD505-2E9C-101B-9397-08002B2CF9AE}" pid="17" name="Mendeley Recent Style Name 7_1">
    <vt:lpwstr>Neurology - Dennis Walzl 3 - Dennis Walzl</vt:lpwstr>
  </property>
  <property fmtid="{D5CDD505-2E9C-101B-9397-08002B2CF9AE}" pid="18" name="Mendeley Recent Style Id 8_1">
    <vt:lpwstr>http://csl.mendeley.com/styles/487773601/springer-vancouver</vt:lpwstr>
  </property>
  <property fmtid="{D5CDD505-2E9C-101B-9397-08002B2CF9AE}" pid="19" name="Mendeley Recent Style Name 8_1">
    <vt:lpwstr>Springer - Vancouver - JN - Dennis Walzl</vt:lpwstr>
  </property>
  <property fmtid="{D5CDD505-2E9C-101B-9397-08002B2CF9AE}" pid="20" name="Mendeley Recent Style Id 9_1">
    <vt:lpwstr>http://www.zotero.org/styles/the-lancet-neurology</vt:lpwstr>
  </property>
  <property fmtid="{D5CDD505-2E9C-101B-9397-08002B2CF9AE}" pid="21" name="Mendeley Recent Style Name 9_1">
    <vt:lpwstr>The Lancet Neurology</vt:lpwstr>
  </property>
</Properties>
</file>