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7CF8" w14:textId="03012D36" w:rsidR="008537E8" w:rsidRDefault="008537E8" w:rsidP="003F7BB2">
      <w:pPr>
        <w:rPr>
          <w:rFonts w:cstheme="minorHAnsi"/>
          <w:b/>
          <w:bCs/>
        </w:rPr>
      </w:pPr>
      <w:r>
        <w:rPr>
          <w:rFonts w:cstheme="minorHAnsi"/>
          <w:b/>
          <w:bCs/>
        </w:rPr>
        <w:t>Abstract</w:t>
      </w:r>
      <w:r w:rsidR="00AA6A14">
        <w:rPr>
          <w:rFonts w:cstheme="minorHAnsi"/>
          <w:b/>
          <w:bCs/>
        </w:rPr>
        <w:t xml:space="preserve"> </w:t>
      </w:r>
    </w:p>
    <w:p w14:paraId="2DCB3540" w14:textId="3838C76D" w:rsidR="008537E8" w:rsidRPr="006000A8" w:rsidRDefault="008537E8" w:rsidP="006000A8">
      <w:pPr>
        <w:spacing w:line="480" w:lineRule="auto"/>
      </w:pPr>
      <w:r>
        <w:rPr>
          <w:rFonts w:cstheme="minorHAnsi"/>
          <w:b/>
          <w:bCs/>
        </w:rPr>
        <w:t xml:space="preserve">Background &amp; Aim: </w:t>
      </w:r>
      <w:r w:rsidR="00C642AC">
        <w:t xml:space="preserve">Monitoring of gastric residual volume (GRV) to assess for enteral feeding </w:t>
      </w:r>
      <w:r w:rsidR="00BF0DC3">
        <w:t>in</w:t>
      </w:r>
      <w:r w:rsidR="00C642AC">
        <w:t>tolerance</w:t>
      </w:r>
      <w:r w:rsidR="00BF0DC3">
        <w:t xml:space="preserve"> </w:t>
      </w:r>
      <w:r w:rsidR="00C642AC">
        <w:t>is common practice in the intensive care unit (ICU) setting</w:t>
      </w:r>
      <w:r w:rsidR="00FE4883">
        <w:t>;</w:t>
      </w:r>
      <w:r w:rsidR="00C642AC">
        <w:t xml:space="preserve"> however</w:t>
      </w:r>
      <w:r w:rsidR="00884445">
        <w:t>,</w:t>
      </w:r>
      <w:r w:rsidR="00C642AC">
        <w:t xml:space="preserve"> evidence to support</w:t>
      </w:r>
      <w:r w:rsidR="006000A8">
        <w:t xml:space="preserve"> the practice is lacking</w:t>
      </w:r>
      <w:r w:rsidR="00C642AC">
        <w:t xml:space="preserve">. </w:t>
      </w:r>
      <w:r w:rsidR="00F22825">
        <w:t xml:space="preserve">The aim of this study was: </w:t>
      </w:r>
      <w:proofErr w:type="spellStart"/>
      <w:r w:rsidR="00F22825">
        <w:t>i</w:t>
      </w:r>
      <w:proofErr w:type="spellEnd"/>
      <w:r w:rsidR="00F22825">
        <w:t>) to gain a perspective of current practice in adult ICUs in the UK around</w:t>
      </w:r>
      <w:r w:rsidR="00511392">
        <w:t xml:space="preserve"> enteral feeding and </w:t>
      </w:r>
      <w:r w:rsidR="00F22825">
        <w:t xml:space="preserve">monitoring of GRV, ii) to characterise the threshold value used for a high GRV in clinical practice, iii) to describe the impact of GRV monitoring on enteral feeding provision, and iv) to inform future research into the clinical value of GRV measurement in the adult </w:t>
      </w:r>
      <w:r w:rsidR="00132C29">
        <w:t xml:space="preserve">ICU </w:t>
      </w:r>
      <w:r w:rsidR="00F22825">
        <w:t xml:space="preserve">population. </w:t>
      </w:r>
    </w:p>
    <w:p w14:paraId="67C6952A" w14:textId="7A1E628E" w:rsidR="008537E8" w:rsidRPr="0054727C" w:rsidRDefault="008537E8" w:rsidP="00640142">
      <w:pPr>
        <w:spacing w:line="480" w:lineRule="auto"/>
        <w:rPr>
          <w:rFonts w:cstheme="minorHAnsi"/>
        </w:rPr>
      </w:pPr>
      <w:r>
        <w:rPr>
          <w:rFonts w:cstheme="minorHAnsi"/>
          <w:b/>
          <w:bCs/>
        </w:rPr>
        <w:t xml:space="preserve">Methods: </w:t>
      </w:r>
      <w:r w:rsidR="00BE309E">
        <w:rPr>
          <w:rFonts w:cstheme="minorHAnsi"/>
        </w:rPr>
        <w:t xml:space="preserve">A web-based survey was sent to all UK </w:t>
      </w:r>
      <w:r w:rsidR="00875FAD">
        <w:rPr>
          <w:rFonts w:cstheme="minorHAnsi"/>
        </w:rPr>
        <w:t xml:space="preserve">adult </w:t>
      </w:r>
      <w:r w:rsidR="009F4857">
        <w:rPr>
          <w:rFonts w:cstheme="minorHAnsi"/>
        </w:rPr>
        <w:t xml:space="preserve">ICUs. The survey consisted of questions pertaining to </w:t>
      </w:r>
      <w:proofErr w:type="spellStart"/>
      <w:r w:rsidR="009F4857">
        <w:t>i</w:t>
      </w:r>
      <w:proofErr w:type="spellEnd"/>
      <w:r w:rsidR="009F4857">
        <w:t xml:space="preserve">) nutritional assessment and enteral feeding practices, ii) </w:t>
      </w:r>
      <w:r w:rsidR="00EA0C3F">
        <w:t>enteral feeding intolerance</w:t>
      </w:r>
      <w:r w:rsidR="009F4857">
        <w:t xml:space="preserve"> and GRV monitoring and iii) management of raised GRV.</w:t>
      </w:r>
    </w:p>
    <w:p w14:paraId="48555FF2" w14:textId="7DCDA3C7" w:rsidR="008537E8" w:rsidRPr="00BF0DC3" w:rsidRDefault="008537E8" w:rsidP="00640142">
      <w:pPr>
        <w:spacing w:line="480" w:lineRule="auto"/>
        <w:rPr>
          <w:rFonts w:cstheme="minorHAnsi"/>
        </w:rPr>
      </w:pPr>
      <w:r>
        <w:rPr>
          <w:rFonts w:cstheme="minorHAnsi"/>
          <w:b/>
          <w:bCs/>
        </w:rPr>
        <w:t xml:space="preserve">Results: </w:t>
      </w:r>
      <w:r w:rsidR="00BF0DC3">
        <w:rPr>
          <w:rFonts w:cstheme="minorHAnsi"/>
        </w:rPr>
        <w:t>Responses were received from 101 units</w:t>
      </w:r>
      <w:r w:rsidR="00E30746">
        <w:rPr>
          <w:rFonts w:cstheme="minorHAnsi"/>
        </w:rPr>
        <w:t xml:space="preserve">. </w:t>
      </w:r>
      <w:r w:rsidR="003C75F5">
        <w:rPr>
          <w:rFonts w:cstheme="minorHAnsi"/>
        </w:rPr>
        <w:t xml:space="preserve">98% of units reported routinely measuring GRV, with 86% of </w:t>
      </w:r>
      <w:r w:rsidR="00155A42">
        <w:rPr>
          <w:rFonts w:cstheme="minorHAnsi"/>
        </w:rPr>
        <w:t>ICUs</w:t>
      </w:r>
      <w:r w:rsidR="003C75F5">
        <w:rPr>
          <w:rFonts w:cstheme="minorHAnsi"/>
        </w:rPr>
        <w:t xml:space="preserve"> using GRV </w:t>
      </w:r>
      <w:r w:rsidR="00AB4619">
        <w:rPr>
          <w:rFonts w:cstheme="minorHAnsi"/>
        </w:rPr>
        <w:t>to define</w:t>
      </w:r>
      <w:r w:rsidR="003C75F5">
        <w:rPr>
          <w:rFonts w:cstheme="minorHAnsi"/>
        </w:rPr>
        <w:t xml:space="preserve"> </w:t>
      </w:r>
      <w:r w:rsidR="00EA0C3F">
        <w:t>enteral feeding intolerance</w:t>
      </w:r>
      <w:r w:rsidR="003C75F5">
        <w:rPr>
          <w:rFonts w:cstheme="minorHAnsi"/>
        </w:rPr>
        <w:t xml:space="preserve">. </w:t>
      </w:r>
      <w:r w:rsidR="00432DE4">
        <w:t xml:space="preserve">Threshold values for a high GRV </w:t>
      </w:r>
      <w:r w:rsidR="00571157">
        <w:t xml:space="preserve">varied </w:t>
      </w:r>
      <w:r w:rsidR="00432DE4">
        <w:t>from 200 to 1000 ml with frequency of measurement also differing greatly from 2 to 12 hourly.</w:t>
      </w:r>
      <w:r w:rsidR="00571157">
        <w:t xml:space="preserve"> </w:t>
      </w:r>
      <w:r w:rsidR="00B355A3">
        <w:t>Initiation of p</w:t>
      </w:r>
      <w:r w:rsidR="00571157">
        <w:t>ro-kinetic medication</w:t>
      </w:r>
      <w:r w:rsidR="00B355A3">
        <w:t xml:space="preserve"> was</w:t>
      </w:r>
      <w:r w:rsidR="00571157">
        <w:t xml:space="preserve"> the most common treatment for a high GRV</w:t>
      </w:r>
      <w:r w:rsidR="00B355A3">
        <w:t xml:space="preserve">. </w:t>
      </w:r>
      <w:r w:rsidR="003A1127">
        <w:t xml:space="preserve">52% of respondents stated that volume of GRV would influence </w:t>
      </w:r>
      <w:r w:rsidR="008E23E6">
        <w:t xml:space="preserve">their decision to stop enteral feeds a lot or very much. </w:t>
      </w:r>
      <w:r w:rsidR="002C188E">
        <w:t>Only 28% of units stated that they had guidelines for the technique for monitoring GRV.</w:t>
      </w:r>
    </w:p>
    <w:p w14:paraId="0E4EB224" w14:textId="08EB475E" w:rsidR="008537E8" w:rsidRDefault="008537E8" w:rsidP="00640142">
      <w:pPr>
        <w:spacing w:line="480" w:lineRule="auto"/>
        <w:rPr>
          <w:rFonts w:cstheme="minorHAnsi"/>
        </w:rPr>
      </w:pPr>
      <w:r>
        <w:rPr>
          <w:rFonts w:cstheme="minorHAnsi"/>
          <w:b/>
          <w:bCs/>
        </w:rPr>
        <w:t xml:space="preserve">Conclusions: </w:t>
      </w:r>
      <w:r w:rsidR="00246965">
        <w:t xml:space="preserve">Measurement of GRV is the most common method of determining </w:t>
      </w:r>
      <w:r w:rsidR="00132C29">
        <w:t>enteral feeding intolerance</w:t>
      </w:r>
      <w:r w:rsidR="00246965">
        <w:t xml:space="preserve"> in adult ICUs in the UK. The practice continues despite evidence of poor validity and reproducibility of this measurement. Further research should be undertaken into the benefit of ongoing GRV measurements in the adult ICU population and alternative markers of </w:t>
      </w:r>
      <w:r w:rsidR="001F6B6B">
        <w:t>enteral feeding intolerance</w:t>
      </w:r>
      <w:r w:rsidR="00246965">
        <w:t>.</w:t>
      </w:r>
    </w:p>
    <w:p w14:paraId="6905D3C3" w14:textId="1DDE8E66" w:rsidR="00DC4261" w:rsidRPr="005431CA" w:rsidRDefault="008537E8" w:rsidP="00640142">
      <w:pPr>
        <w:spacing w:line="480" w:lineRule="auto"/>
      </w:pPr>
      <w:r>
        <w:br w:type="page"/>
      </w:r>
      <w:r w:rsidR="00D31C8A">
        <w:rPr>
          <w:b/>
          <w:bCs/>
        </w:rPr>
        <w:lastRenderedPageBreak/>
        <w:t>Introduction:</w:t>
      </w:r>
    </w:p>
    <w:p w14:paraId="53D042FF" w14:textId="58CEB3A9" w:rsidR="00F93D53" w:rsidRDefault="007E39F5" w:rsidP="00875FAD">
      <w:pPr>
        <w:spacing w:line="480" w:lineRule="auto"/>
        <w:ind w:firstLine="720"/>
      </w:pPr>
      <w:r>
        <w:t>Monitoring of gastric residual volume (GRV) to assess for enteral feeding tolerance is common practice in the intensive care unit (ICU) setting</w:t>
      </w:r>
      <w:r w:rsidR="00A64337">
        <w:t xml:space="preserve"> (</w:t>
      </w:r>
      <w:r w:rsidR="005D0E0C">
        <w:t>1</w:t>
      </w:r>
      <w:r w:rsidR="00F93D53">
        <w:t>)</w:t>
      </w:r>
      <w:r>
        <w:t>. This practice continues despite evidence</w:t>
      </w:r>
      <w:r w:rsidR="00640142">
        <w:t xml:space="preserve"> sug</w:t>
      </w:r>
      <w:r w:rsidR="00082039">
        <w:t>g</w:t>
      </w:r>
      <w:r w:rsidR="00640142">
        <w:t>esting</w:t>
      </w:r>
      <w:r>
        <w:t xml:space="preserve"> that GRV</w:t>
      </w:r>
      <w:r w:rsidR="00640142">
        <w:t xml:space="preserve"> measures</w:t>
      </w:r>
      <w:r>
        <w:t xml:space="preserve"> do not correlate with</w:t>
      </w:r>
      <w:r w:rsidR="00640142">
        <w:t xml:space="preserve"> enteral feeding tolerance,</w:t>
      </w:r>
      <w:r>
        <w:t xml:space="preserve"> gastric emptying, incidence of regurgitation, aspiration or ventilator associated pneumonia (</w:t>
      </w:r>
      <w:r w:rsidR="008F0C31">
        <w:t>2,3</w:t>
      </w:r>
      <w:r w:rsidR="00CC4787">
        <w:t>,</w:t>
      </w:r>
      <w:r w:rsidR="00D63247">
        <w:t>4</w:t>
      </w:r>
      <w:r>
        <w:t xml:space="preserve">). </w:t>
      </w:r>
      <w:r w:rsidR="00640142">
        <w:t xml:space="preserve">However, a lack of agreement between </w:t>
      </w:r>
      <w:r w:rsidR="00A349FF">
        <w:t xml:space="preserve">the guidelines of </w:t>
      </w:r>
      <w:r w:rsidR="00640142">
        <w:t>scientific societies</w:t>
      </w:r>
      <w:r w:rsidR="0006429A">
        <w:t xml:space="preserve"> and</w:t>
      </w:r>
      <w:r w:rsidR="0080749C">
        <w:t xml:space="preserve"> absence of an alternative </w:t>
      </w:r>
      <w:r w:rsidR="008B2FBA">
        <w:t xml:space="preserve">bedside </w:t>
      </w:r>
      <w:r w:rsidR="0080749C">
        <w:t xml:space="preserve">measure of </w:t>
      </w:r>
      <w:r w:rsidR="008B2FBA">
        <w:t>feeding intolerance</w:t>
      </w:r>
      <w:r w:rsidR="00640142">
        <w:t xml:space="preserve"> may hamper the widespread discontinuation of this practice.  </w:t>
      </w:r>
      <w:r>
        <w:t>The most recent guidelines from the American Society of Enteral and Parenteral Nutrition (ASPEN) advise that GRV</w:t>
      </w:r>
      <w:r w:rsidR="00640142">
        <w:t xml:space="preserve"> measures</w:t>
      </w:r>
      <w:r>
        <w:t xml:space="preserve"> </w:t>
      </w:r>
      <w:r w:rsidR="00640142">
        <w:t xml:space="preserve">should </w:t>
      </w:r>
      <w:r>
        <w:t>no longer</w:t>
      </w:r>
      <w:r w:rsidR="00640142">
        <w:t xml:space="preserve"> be</w:t>
      </w:r>
      <w:r>
        <w:t xml:space="preserve"> monitored</w:t>
      </w:r>
      <w:r w:rsidR="00A349FF">
        <w:t xml:space="preserve"> in patients in the ICU</w:t>
      </w:r>
      <w:r>
        <w:t xml:space="preserve"> (</w:t>
      </w:r>
      <w:r w:rsidR="00AF7DA9">
        <w:t>5</w:t>
      </w:r>
      <w:r>
        <w:t xml:space="preserve">). </w:t>
      </w:r>
      <w:r w:rsidR="00A349FF">
        <w:t>However, t</w:t>
      </w:r>
      <w:r>
        <w:t xml:space="preserve">he European Society of </w:t>
      </w:r>
      <w:r w:rsidR="00A349FF">
        <w:t>Clinical Nutrition and Metabolism</w:t>
      </w:r>
      <w:r>
        <w:t xml:space="preserve"> (ESPEN) </w:t>
      </w:r>
      <w:r w:rsidR="00640142">
        <w:t xml:space="preserve">recommend </w:t>
      </w:r>
      <w:r>
        <w:t>that</w:t>
      </w:r>
      <w:r w:rsidR="00ED7877">
        <w:t xml:space="preserve"> </w:t>
      </w:r>
      <w:r w:rsidR="00603213">
        <w:t xml:space="preserve">enteral nutrition should be delayed if GRV is </w:t>
      </w:r>
      <w:r w:rsidR="00052CC4">
        <w:t>above 500 ml/6 hours and that</w:t>
      </w:r>
      <w:r w:rsidR="0018403F">
        <w:t xml:space="preserve"> monitoring of GRV may be necessary to safely deliver</w:t>
      </w:r>
      <w:r w:rsidR="00547DE2">
        <w:t xml:space="preserve"> enteral nutrition in the context of feed intolerance</w:t>
      </w:r>
      <w:r>
        <w:t xml:space="preserve"> (</w:t>
      </w:r>
      <w:r w:rsidR="005C418A">
        <w:t>6</w:t>
      </w:r>
      <w:r>
        <w:t>).</w:t>
      </w:r>
      <w:r w:rsidR="00DD2373">
        <w:t xml:space="preserve"> </w:t>
      </w:r>
      <w:r w:rsidR="00875FAD">
        <w:t>In addition to this different guidance on the validity of GRV monitoring, there is no consensus in research or clinical practice as to what constitutes a high GRV with studies quoting values ranging from 75 to 1200 ml (</w:t>
      </w:r>
      <w:r w:rsidR="007C6873">
        <w:t>7</w:t>
      </w:r>
      <w:r w:rsidR="00875FAD">
        <w:t>).</w:t>
      </w:r>
      <w:r w:rsidR="00CB7D04">
        <w:t xml:space="preserve"> A recent Cochrane review </w:t>
      </w:r>
      <w:r w:rsidR="000E4448">
        <w:t>described an uncertain</w:t>
      </w:r>
      <w:r w:rsidR="004D095F">
        <w:t xml:space="preserve"> </w:t>
      </w:r>
      <w:r w:rsidR="009C376B">
        <w:t>relationship between</w:t>
      </w:r>
      <w:r w:rsidR="004D095F">
        <w:t xml:space="preserve"> </w:t>
      </w:r>
      <w:r w:rsidR="004F13BF">
        <w:t>GRV</w:t>
      </w:r>
      <w:r w:rsidR="004D095F">
        <w:t xml:space="preserve"> </w:t>
      </w:r>
      <w:r w:rsidR="009C376B">
        <w:t>and</w:t>
      </w:r>
      <w:r w:rsidR="00DC34E3">
        <w:t xml:space="preserve"> </w:t>
      </w:r>
      <w:r w:rsidR="004F13BF">
        <w:t xml:space="preserve">clinical outcomes </w:t>
      </w:r>
      <w:r w:rsidR="000E4448">
        <w:t xml:space="preserve">(i.e., </w:t>
      </w:r>
      <w:r w:rsidR="004F13BF">
        <w:t>pneumonia</w:t>
      </w:r>
      <w:r w:rsidR="000C56A6">
        <w:t>, vomiting and length of hospital stay</w:t>
      </w:r>
      <w:r w:rsidR="000E4448">
        <w:t>)</w:t>
      </w:r>
      <w:r w:rsidR="000C56A6">
        <w:t xml:space="preserve"> (</w:t>
      </w:r>
      <w:r w:rsidR="00927ED5">
        <w:t>8</w:t>
      </w:r>
      <w:r w:rsidR="00DC3E55">
        <w:t>)</w:t>
      </w:r>
      <w:r w:rsidR="00FA4BB1">
        <w:t xml:space="preserve">. </w:t>
      </w:r>
      <w:r w:rsidR="000E4448">
        <w:t xml:space="preserve"> Despite this there may be </w:t>
      </w:r>
      <w:r w:rsidR="0075790C">
        <w:t xml:space="preserve">some </w:t>
      </w:r>
      <w:r w:rsidR="001476A5">
        <w:t>critical care patient</w:t>
      </w:r>
      <w:r w:rsidR="0075790C">
        <w:t xml:space="preserve"> groups </w:t>
      </w:r>
      <w:r w:rsidR="000E4448">
        <w:t>(i.e., recei</w:t>
      </w:r>
      <w:r w:rsidR="00A07C5F">
        <w:t xml:space="preserve">ving </w:t>
      </w:r>
      <w:r w:rsidR="009A2E74">
        <w:t xml:space="preserve">high dose opioid </w:t>
      </w:r>
      <w:r w:rsidR="0012552A">
        <w:t>sedation</w:t>
      </w:r>
      <w:r w:rsidR="009A2E74">
        <w:t xml:space="preserve">, </w:t>
      </w:r>
      <w:r w:rsidR="0012552A">
        <w:t xml:space="preserve">catecholamines </w:t>
      </w:r>
      <w:r w:rsidR="00FE7C23">
        <w:t xml:space="preserve">and </w:t>
      </w:r>
      <w:r w:rsidR="009A2E74">
        <w:t xml:space="preserve">following </w:t>
      </w:r>
      <w:r w:rsidR="004B13D5">
        <w:t>GI</w:t>
      </w:r>
      <w:r w:rsidR="009A2E74">
        <w:t xml:space="preserve"> </w:t>
      </w:r>
      <w:r w:rsidR="00FE7C23">
        <w:t>surg</w:t>
      </w:r>
      <w:r w:rsidR="009A2E74">
        <w:t>ery</w:t>
      </w:r>
      <w:r w:rsidR="00A07C5F">
        <w:t>)</w:t>
      </w:r>
      <w:r w:rsidR="00FE7C23">
        <w:t xml:space="preserve">, </w:t>
      </w:r>
      <w:r w:rsidR="00875FAD">
        <w:t xml:space="preserve">who </w:t>
      </w:r>
      <w:r w:rsidR="00A07C5F">
        <w:t xml:space="preserve">may warrant </w:t>
      </w:r>
      <w:r w:rsidR="009A2E74">
        <w:t>close</w:t>
      </w:r>
      <w:r w:rsidR="00A07C5F">
        <w:t>r</w:t>
      </w:r>
      <w:r w:rsidR="009A2E74">
        <w:t xml:space="preserve"> monitoring of gastric aspirates </w:t>
      </w:r>
      <w:r w:rsidR="009E5E9A">
        <w:t>(</w:t>
      </w:r>
      <w:r w:rsidR="00327A24">
        <w:t>9</w:t>
      </w:r>
      <w:r w:rsidR="006642BF">
        <w:t>,</w:t>
      </w:r>
      <w:r w:rsidR="007727E6">
        <w:t>10</w:t>
      </w:r>
      <w:r w:rsidR="00A47E6D">
        <w:t xml:space="preserve">). </w:t>
      </w:r>
      <w:r w:rsidR="009A2E74">
        <w:t xml:space="preserve"> </w:t>
      </w:r>
    </w:p>
    <w:p w14:paraId="2A96B100" w14:textId="5FC9F9BF" w:rsidR="00A72BB4" w:rsidRDefault="00640142" w:rsidP="002D57CD">
      <w:pPr>
        <w:spacing w:line="480" w:lineRule="auto"/>
        <w:ind w:firstLine="720"/>
      </w:pPr>
      <w:r>
        <w:t>In critically ill pa</w:t>
      </w:r>
      <w:r w:rsidR="00082039">
        <w:t>t</w:t>
      </w:r>
      <w:r>
        <w:t xml:space="preserve">ients an elevated GRV is one of the most common reasons for withholding </w:t>
      </w:r>
      <w:r w:rsidR="001B7C3C">
        <w:t>enteral nutrition</w:t>
      </w:r>
      <w:r>
        <w:t xml:space="preserve"> (</w:t>
      </w:r>
      <w:r w:rsidR="008C0EE5">
        <w:t>1,</w:t>
      </w:r>
      <w:r w:rsidR="00B42115">
        <w:t>11</w:t>
      </w:r>
      <w:r>
        <w:t>), negatively impacting on provision of adequate nutritional support (</w:t>
      </w:r>
      <w:r w:rsidR="00B42115">
        <w:t>12</w:t>
      </w:r>
      <w:r>
        <w:t>).</w:t>
      </w:r>
      <w:r w:rsidR="000E39D2">
        <w:t xml:space="preserve"> </w:t>
      </w:r>
      <w:r w:rsidR="00217FCB">
        <w:t>S</w:t>
      </w:r>
      <w:r w:rsidR="00A56005">
        <w:t>ystematic review</w:t>
      </w:r>
      <w:r w:rsidR="00217FCB">
        <w:t>s</w:t>
      </w:r>
      <w:r w:rsidR="00A56005">
        <w:t xml:space="preserve"> </w:t>
      </w:r>
      <w:r w:rsidR="00325CE3">
        <w:t xml:space="preserve">report a high GRV is the most common criterion used </w:t>
      </w:r>
      <w:r w:rsidR="00BC3362">
        <w:t xml:space="preserve">in studies </w:t>
      </w:r>
      <w:r w:rsidR="00325CE3">
        <w:t>to define enteral feeding intolerance</w:t>
      </w:r>
      <w:r w:rsidR="00C34E03">
        <w:t xml:space="preserve"> </w:t>
      </w:r>
      <w:r w:rsidR="002D57CD">
        <w:t xml:space="preserve">in </w:t>
      </w:r>
      <w:r w:rsidR="00BC3362">
        <w:t>critically ill adults</w:t>
      </w:r>
      <w:r w:rsidR="00C34E03">
        <w:t xml:space="preserve"> 79%</w:t>
      </w:r>
      <w:r w:rsidR="002D57CD">
        <w:t xml:space="preserve"> (</w:t>
      </w:r>
      <w:r w:rsidR="00B4790A">
        <w:t>7</w:t>
      </w:r>
      <w:r w:rsidR="002D57CD">
        <w:t>)</w:t>
      </w:r>
      <w:r w:rsidR="00C34E03">
        <w:t xml:space="preserve">, </w:t>
      </w:r>
      <w:r w:rsidR="002D57CD">
        <w:t xml:space="preserve">critically ill children </w:t>
      </w:r>
      <w:r w:rsidR="00BC3362">
        <w:t xml:space="preserve">48% </w:t>
      </w:r>
      <w:r w:rsidR="002D57CD">
        <w:t>(</w:t>
      </w:r>
      <w:r w:rsidR="00304221">
        <w:t>13</w:t>
      </w:r>
      <w:r w:rsidR="002D57CD">
        <w:t>) and premature infants 81% (1</w:t>
      </w:r>
      <w:r w:rsidR="00D9408D">
        <w:t>4</w:t>
      </w:r>
      <w:r w:rsidR="002D57CD">
        <w:t>).</w:t>
      </w:r>
      <w:r w:rsidR="004A1EB8">
        <w:t xml:space="preserve"> </w:t>
      </w:r>
      <w:r w:rsidR="000E39D2">
        <w:t xml:space="preserve">However, there </w:t>
      </w:r>
      <w:r w:rsidR="00132C29">
        <w:t>was</w:t>
      </w:r>
      <w:r w:rsidR="00903B8F">
        <w:t xml:space="preserve"> </w:t>
      </w:r>
      <w:r w:rsidR="002D57CD">
        <w:t>considerable variation with regards to</w:t>
      </w:r>
      <w:r w:rsidR="000E39D2">
        <w:t xml:space="preserve"> </w:t>
      </w:r>
      <w:r w:rsidR="002D57CD">
        <w:t>the</w:t>
      </w:r>
      <w:r w:rsidR="00CD47E6">
        <w:t xml:space="preserve"> cut off values for</w:t>
      </w:r>
      <w:r w:rsidR="000E39D2">
        <w:t xml:space="preserve"> GRV used to define </w:t>
      </w:r>
      <w:r w:rsidR="007A71BB">
        <w:t>enteral feeding intolerance</w:t>
      </w:r>
      <w:r w:rsidR="000E39D2">
        <w:t xml:space="preserve"> and</w:t>
      </w:r>
      <w:r w:rsidR="002D57CD">
        <w:t xml:space="preserve"> importantly there was</w:t>
      </w:r>
      <w:r w:rsidR="000E39D2">
        <w:t xml:space="preserve"> no </w:t>
      </w:r>
      <w:r w:rsidR="002D57CD">
        <w:t xml:space="preserve">association </w:t>
      </w:r>
      <w:r w:rsidR="000E39D2">
        <w:t xml:space="preserve">between GRV and </w:t>
      </w:r>
      <w:r w:rsidR="007A71BB">
        <w:t>enteral feeding intolerance</w:t>
      </w:r>
      <w:r w:rsidR="000E39D2">
        <w:t xml:space="preserve"> prevalence</w:t>
      </w:r>
      <w:r w:rsidR="00C61BB8">
        <w:t xml:space="preserve"> </w:t>
      </w:r>
      <w:r w:rsidR="00A56005">
        <w:t>(</w:t>
      </w:r>
      <w:r w:rsidR="00D9408D">
        <w:t>7</w:t>
      </w:r>
      <w:r w:rsidR="00A56005">
        <w:t>).</w:t>
      </w:r>
      <w:r w:rsidR="00B23962">
        <w:t xml:space="preserve"> </w:t>
      </w:r>
      <w:r w:rsidR="003C2F53">
        <w:t xml:space="preserve">Several studies have shown no adverse effects from </w:t>
      </w:r>
      <w:r w:rsidR="003C2F53">
        <w:lastRenderedPageBreak/>
        <w:t>discontinuing GRV measurements in critically ill adults (</w:t>
      </w:r>
      <w:r w:rsidR="006A0A20">
        <w:t>4</w:t>
      </w:r>
      <w:r w:rsidR="006B7DF1">
        <w:t>,1</w:t>
      </w:r>
      <w:r w:rsidR="000D0385">
        <w:t>5</w:t>
      </w:r>
      <w:r w:rsidR="006B7DF1">
        <w:t>,1</w:t>
      </w:r>
      <w:r w:rsidR="000D0385">
        <w:t>6</w:t>
      </w:r>
      <w:r w:rsidR="003C2F53">
        <w:t>)</w:t>
      </w:r>
      <w:r w:rsidR="00792DA6">
        <w:t xml:space="preserve"> </w:t>
      </w:r>
      <w:r w:rsidR="00DE20E0">
        <w:t>or children</w:t>
      </w:r>
      <w:r w:rsidR="00B03932">
        <w:t xml:space="preserve"> (</w:t>
      </w:r>
      <w:r w:rsidR="00101D65">
        <w:t>1</w:t>
      </w:r>
      <w:r w:rsidR="000D0385">
        <w:t>7</w:t>
      </w:r>
      <w:r w:rsidR="00F475FA">
        <w:t>,1</w:t>
      </w:r>
      <w:r w:rsidR="000D0385">
        <w:t>8</w:t>
      </w:r>
      <w:r w:rsidR="00B03932">
        <w:t>)</w:t>
      </w:r>
      <w:r w:rsidR="00792DA6">
        <w:t>.</w:t>
      </w:r>
      <w:r w:rsidR="00B03932">
        <w:t xml:space="preserve"> T</w:t>
      </w:r>
      <w:r w:rsidR="00792DA6">
        <w:t xml:space="preserve">he systematic review of </w:t>
      </w:r>
      <w:r w:rsidR="00CC0237">
        <w:t>enteral feeding intolerance</w:t>
      </w:r>
      <w:r w:rsidR="00792DA6">
        <w:t xml:space="preserve"> in the adult critical care population did not find sufficient evidence to include GRV within the proposed definition of </w:t>
      </w:r>
      <w:r w:rsidR="00E3352F">
        <w:t>intolerance</w:t>
      </w:r>
      <w:r w:rsidR="00792DA6">
        <w:t xml:space="preserve"> (</w:t>
      </w:r>
      <w:r w:rsidR="0083451E">
        <w:t>7</w:t>
      </w:r>
      <w:r w:rsidR="00792DA6">
        <w:t>).</w:t>
      </w:r>
      <w:r w:rsidR="00B03932">
        <w:t xml:space="preserve"> </w:t>
      </w:r>
      <w:r w:rsidR="00990019">
        <w:t xml:space="preserve"> Despite these results suggesting</w:t>
      </w:r>
      <w:r w:rsidR="009F7450">
        <w:t xml:space="preserve"> there </w:t>
      </w:r>
      <w:r w:rsidR="00990019">
        <w:t>is</w:t>
      </w:r>
      <w:r w:rsidR="009F7450">
        <w:t xml:space="preserve"> insufficient evidence to support the use of GRV measurement, the</w:t>
      </w:r>
      <w:r w:rsidR="003C2F53">
        <w:t xml:space="preserve"> practice appears to continue to be commonplace.</w:t>
      </w:r>
      <w:r w:rsidR="00B03932">
        <w:t xml:space="preserve"> </w:t>
      </w:r>
    </w:p>
    <w:p w14:paraId="4AAF0881" w14:textId="6F08943C" w:rsidR="00AA19A4" w:rsidRDefault="00A25D7C" w:rsidP="002D57CD">
      <w:pPr>
        <w:spacing w:line="480" w:lineRule="auto"/>
        <w:ind w:firstLine="720"/>
      </w:pPr>
      <w:r>
        <w:t>Surveys</w:t>
      </w:r>
      <w:r w:rsidR="00581D9C">
        <w:t xml:space="preserve"> </w:t>
      </w:r>
      <w:r w:rsidR="00AA19A4">
        <w:t>of</w:t>
      </w:r>
      <w:r w:rsidR="00581D9C">
        <w:t xml:space="preserve"> </w:t>
      </w:r>
      <w:r w:rsidR="00AA19A4">
        <w:t xml:space="preserve">paediatric ICUs </w:t>
      </w:r>
      <w:r w:rsidR="00581D9C">
        <w:t xml:space="preserve">in the UK identified </w:t>
      </w:r>
      <w:r w:rsidR="00AA19A4">
        <w:t>that routine GRV measurement is standard practice in this patient group (</w:t>
      </w:r>
      <w:r w:rsidR="001F619B">
        <w:t>1</w:t>
      </w:r>
      <w:r w:rsidR="00C644E4">
        <w:t>9</w:t>
      </w:r>
      <w:r w:rsidR="00AA19A4">
        <w:t>)</w:t>
      </w:r>
      <w:r w:rsidR="00532416">
        <w:t xml:space="preserve"> with nursing staff relying heavily on GRV measurements to guide decision making </w:t>
      </w:r>
      <w:r w:rsidR="00052BBD">
        <w:t>surrounding initiating and withholding enteral feeds (</w:t>
      </w:r>
      <w:r w:rsidR="00C644E4">
        <w:t>20</w:t>
      </w:r>
      <w:r w:rsidR="000F3F54">
        <w:t>)</w:t>
      </w:r>
      <w:r w:rsidR="00581D9C">
        <w:t>.</w:t>
      </w:r>
      <w:r w:rsidR="00AA19A4">
        <w:t xml:space="preserve"> </w:t>
      </w:r>
      <w:r w:rsidR="00E178D6">
        <w:t xml:space="preserve">Work has subsequently </w:t>
      </w:r>
      <w:r w:rsidR="00E24884">
        <w:t>commenced</w:t>
      </w:r>
      <w:r w:rsidR="00E178D6">
        <w:t xml:space="preserve"> in the paediatric ICU population </w:t>
      </w:r>
      <w:r w:rsidR="00305FE9">
        <w:t xml:space="preserve">to determine the clinical and cost-effectiveness of not performing routine GRV measurements </w:t>
      </w:r>
      <w:r w:rsidR="006A33A1">
        <w:t>(</w:t>
      </w:r>
      <w:r w:rsidR="001126DE">
        <w:t>21,22,23</w:t>
      </w:r>
      <w:r w:rsidR="00B46146">
        <w:t xml:space="preserve">). </w:t>
      </w:r>
      <w:r w:rsidR="00707817">
        <w:t>T</w:t>
      </w:r>
      <w:r w:rsidR="00AA19A4">
        <w:t>here is</w:t>
      </w:r>
      <w:r w:rsidR="00707817">
        <w:t xml:space="preserve"> however</w:t>
      </w:r>
      <w:r w:rsidR="00AA19A4">
        <w:t xml:space="preserve"> a paucity of data on current practice </w:t>
      </w:r>
      <w:r w:rsidR="00DD08BF">
        <w:t xml:space="preserve">around GRV monitoring </w:t>
      </w:r>
      <w:r w:rsidR="00AA19A4">
        <w:t>in the adult population.</w:t>
      </w:r>
      <w:r w:rsidR="00280B5D">
        <w:t xml:space="preserve"> Failure to achieve </w:t>
      </w:r>
      <w:r w:rsidR="000F2085">
        <w:t>nutritional targets</w:t>
      </w:r>
      <w:r w:rsidR="00315FB8">
        <w:t xml:space="preserve"> during </w:t>
      </w:r>
      <w:r w:rsidR="00875FAD">
        <w:t>an</w:t>
      </w:r>
      <w:r w:rsidR="00315FB8">
        <w:t xml:space="preserve"> ICU admission has been associated with </w:t>
      </w:r>
      <w:r w:rsidR="0028162C">
        <w:t>worse</w:t>
      </w:r>
      <w:r w:rsidR="00315FB8">
        <w:t xml:space="preserve"> clinical outcomes (</w:t>
      </w:r>
      <w:r w:rsidR="002E5F29">
        <w:t>24,25,26</w:t>
      </w:r>
      <w:r w:rsidR="00315FB8">
        <w:t>)</w:t>
      </w:r>
      <w:r w:rsidR="004109F6">
        <w:t xml:space="preserve"> and it is therefore imperative that practices</w:t>
      </w:r>
      <w:r w:rsidR="00BF1841">
        <w:t xml:space="preserve"> within ICUs</w:t>
      </w:r>
      <w:r w:rsidR="004109F6">
        <w:t xml:space="preserve"> do not hinder provision of adequate nutrition support.</w:t>
      </w:r>
      <w:r w:rsidR="000F2085">
        <w:t xml:space="preserve"> </w:t>
      </w:r>
      <w:r w:rsidR="00AA19A4">
        <w:t xml:space="preserve"> </w:t>
      </w:r>
    </w:p>
    <w:p w14:paraId="7055F93A" w14:textId="01F7679E" w:rsidR="009627ED" w:rsidRPr="002468C8" w:rsidRDefault="00F93D53" w:rsidP="00640142">
      <w:pPr>
        <w:spacing w:line="480" w:lineRule="auto"/>
      </w:pPr>
      <w:r>
        <w:tab/>
        <w:t>The aim of this study was</w:t>
      </w:r>
      <w:r w:rsidR="00581D9C">
        <w:t>:</w:t>
      </w:r>
      <w:r>
        <w:t xml:space="preserve"> </w:t>
      </w:r>
      <w:proofErr w:type="spellStart"/>
      <w:r w:rsidR="00581D9C">
        <w:t>i</w:t>
      </w:r>
      <w:proofErr w:type="spellEnd"/>
      <w:r w:rsidR="00581D9C">
        <w:t xml:space="preserve">) </w:t>
      </w:r>
      <w:r>
        <w:t xml:space="preserve">to </w:t>
      </w:r>
      <w:r w:rsidR="00AA19A4">
        <w:t>gain a perspective of</w:t>
      </w:r>
      <w:r w:rsidR="00581D9C">
        <w:t xml:space="preserve"> </w:t>
      </w:r>
      <w:r>
        <w:t xml:space="preserve">current practice in </w:t>
      </w:r>
      <w:r w:rsidR="003F0CD9">
        <w:t>adult</w:t>
      </w:r>
      <w:r>
        <w:t xml:space="preserve"> ICUs </w:t>
      </w:r>
      <w:r w:rsidR="00581D9C">
        <w:t xml:space="preserve">in the UK </w:t>
      </w:r>
      <w:r>
        <w:t xml:space="preserve">around </w:t>
      </w:r>
      <w:r w:rsidR="00B54E84">
        <w:t xml:space="preserve">enteral feeding and </w:t>
      </w:r>
      <w:r>
        <w:t>monitoring of GRV</w:t>
      </w:r>
      <w:r w:rsidR="00AA19A4">
        <w:t>,</w:t>
      </w:r>
      <w:r w:rsidR="006A0BCF">
        <w:t xml:space="preserve"> </w:t>
      </w:r>
      <w:r w:rsidR="00D2265E">
        <w:t>ii)</w:t>
      </w:r>
      <w:r w:rsidR="00AA19A4">
        <w:t xml:space="preserve"> to </w:t>
      </w:r>
      <w:r w:rsidR="00DC4261">
        <w:t>characterise the threshold value used for a high GRV in clinical practice</w:t>
      </w:r>
      <w:r w:rsidR="00581D9C">
        <w:t>,</w:t>
      </w:r>
      <w:r w:rsidR="00DC4261">
        <w:t xml:space="preserve"> </w:t>
      </w:r>
      <w:r w:rsidR="00D2265E">
        <w:t>ii</w:t>
      </w:r>
      <w:r w:rsidR="006A0BCF">
        <w:t>i</w:t>
      </w:r>
      <w:r w:rsidR="00D2265E">
        <w:t xml:space="preserve">) </w:t>
      </w:r>
      <w:r w:rsidR="00DC4261">
        <w:t>to describe the impact of GRV monitoring on enteral feeding provision</w:t>
      </w:r>
      <w:r w:rsidR="00581D9C">
        <w:t>,</w:t>
      </w:r>
      <w:r w:rsidR="003155E0">
        <w:t xml:space="preserve"> and iv) </w:t>
      </w:r>
      <w:r w:rsidR="00581D9C">
        <w:t xml:space="preserve">to </w:t>
      </w:r>
      <w:r w:rsidR="003155E0">
        <w:t xml:space="preserve">inform future research into the clinical value of GRV measurement in the adult population. </w:t>
      </w:r>
    </w:p>
    <w:p w14:paraId="543FE4FD" w14:textId="4E88C763" w:rsidR="00DC4261" w:rsidRPr="00AA6A14" w:rsidRDefault="00DC4261" w:rsidP="00640142">
      <w:pPr>
        <w:spacing w:line="480" w:lineRule="auto"/>
        <w:rPr>
          <w:b/>
          <w:bCs/>
        </w:rPr>
      </w:pPr>
      <w:r w:rsidRPr="00AA6A14">
        <w:rPr>
          <w:b/>
          <w:bCs/>
        </w:rPr>
        <w:t>Methods:</w:t>
      </w:r>
    </w:p>
    <w:p w14:paraId="2470E530" w14:textId="45005F70" w:rsidR="005D4D29" w:rsidRDefault="00DC4261" w:rsidP="00640142">
      <w:pPr>
        <w:spacing w:line="480" w:lineRule="auto"/>
      </w:pPr>
      <w:r>
        <w:tab/>
        <w:t xml:space="preserve">A web-based survey based on the paediatric ICU </w:t>
      </w:r>
      <w:r w:rsidR="003C0CA9">
        <w:t xml:space="preserve">GRV practice survey </w:t>
      </w:r>
      <w:r w:rsidR="00CF612B">
        <w:t>(</w:t>
      </w:r>
      <w:r w:rsidR="000F7AE1">
        <w:t>1</w:t>
      </w:r>
      <w:r w:rsidR="001132BD">
        <w:t>9</w:t>
      </w:r>
      <w:r w:rsidR="00CF612B">
        <w:t xml:space="preserve">) </w:t>
      </w:r>
      <w:r w:rsidR="003C0CA9">
        <w:t xml:space="preserve">was </w:t>
      </w:r>
      <w:r w:rsidR="00CF612B">
        <w:t xml:space="preserve">conducted; the paediatric survey was </w:t>
      </w:r>
      <w:r w:rsidR="003C0CA9">
        <w:t>adapted for use with permission</w:t>
      </w:r>
      <w:r w:rsidR="005D4D29">
        <w:t xml:space="preserve">. Modifications were made from the paediatric survey due to differences in clinical practice between paediatric and adult patients. The survey was piloted </w:t>
      </w:r>
      <w:r w:rsidR="003C0CA9">
        <w:t>by</w:t>
      </w:r>
      <w:r w:rsidR="005D4D29">
        <w:t xml:space="preserve"> 10 respondents consisting of dietitians, </w:t>
      </w:r>
      <w:proofErr w:type="gramStart"/>
      <w:r w:rsidR="005D4D29">
        <w:t>doctors</w:t>
      </w:r>
      <w:proofErr w:type="gramEnd"/>
      <w:r w:rsidR="005D4D29">
        <w:t xml:space="preserve"> and nurses </w:t>
      </w:r>
      <w:r w:rsidR="003C0CA9">
        <w:t>at</w:t>
      </w:r>
      <w:r w:rsidR="00B61274">
        <w:t xml:space="preserve"> University Hospital Southampton </w:t>
      </w:r>
      <w:r w:rsidR="005D4D29">
        <w:t xml:space="preserve">with minor </w:t>
      </w:r>
      <w:r w:rsidR="003C0CA9">
        <w:t xml:space="preserve">iterations </w:t>
      </w:r>
      <w:r w:rsidR="005D4D29">
        <w:t xml:space="preserve">made following feedback. The final version of the survey was </w:t>
      </w:r>
      <w:r w:rsidR="00CF612B">
        <w:t>made available via a</w:t>
      </w:r>
      <w:r w:rsidR="005D4D29">
        <w:t xml:space="preserve"> </w:t>
      </w:r>
      <w:r w:rsidR="003155E0">
        <w:t>secure</w:t>
      </w:r>
      <w:r w:rsidR="00B61274">
        <w:t xml:space="preserve"> </w:t>
      </w:r>
      <w:r w:rsidR="005D4D29">
        <w:t>web-based provide</w:t>
      </w:r>
      <w:r w:rsidR="00556810">
        <w:t>r</w:t>
      </w:r>
      <w:r w:rsidR="005D4D29">
        <w:t xml:space="preserve"> (Microsoft Forms</w:t>
      </w:r>
      <w:r w:rsidR="00B61274">
        <w:t>).</w:t>
      </w:r>
      <w:r w:rsidR="000068BF">
        <w:t xml:space="preserve"> </w:t>
      </w:r>
      <w:r w:rsidR="00B70E5D">
        <w:t xml:space="preserve">142 adult ICUs were </w:t>
      </w:r>
      <w:r w:rsidR="00B70E5D">
        <w:lastRenderedPageBreak/>
        <w:t>approached to take part in the survey and t</w:t>
      </w:r>
      <w:r w:rsidR="000068BF">
        <w:t>he target response rate for survey completion was</w:t>
      </w:r>
      <w:r w:rsidR="00B70E5D">
        <w:t xml:space="preserve"> set </w:t>
      </w:r>
      <w:r w:rsidR="00B70E5D" w:rsidRPr="009549A5">
        <w:rPr>
          <w:i/>
          <w:iCs/>
        </w:rPr>
        <w:t>a priori</w:t>
      </w:r>
      <w:r w:rsidR="000068BF" w:rsidRPr="009549A5">
        <w:rPr>
          <w:i/>
          <w:iCs/>
        </w:rPr>
        <w:t xml:space="preserve"> </w:t>
      </w:r>
      <w:r w:rsidR="00B70E5D" w:rsidRPr="009549A5">
        <w:t>at</w:t>
      </w:r>
      <w:r w:rsidR="00B70E5D">
        <w:rPr>
          <w:i/>
          <w:iCs/>
        </w:rPr>
        <w:t xml:space="preserve"> </w:t>
      </w:r>
      <w:r w:rsidR="000068BF">
        <w:t>70%</w:t>
      </w:r>
      <w:r w:rsidR="0010721F">
        <w:t>.</w:t>
      </w:r>
    </w:p>
    <w:p w14:paraId="7810ED16" w14:textId="5AB6CE79" w:rsidR="00DC4261" w:rsidRDefault="005D4D29" w:rsidP="0033486E">
      <w:pPr>
        <w:spacing w:line="480" w:lineRule="auto"/>
      </w:pPr>
      <w:r>
        <w:tab/>
        <w:t>The survey was distributed in July 2022 to all</w:t>
      </w:r>
      <w:r w:rsidR="00875FAD">
        <w:t xml:space="preserve"> adult</w:t>
      </w:r>
      <w:r w:rsidR="00CF612B">
        <w:t xml:space="preserve"> </w:t>
      </w:r>
      <w:r>
        <w:t xml:space="preserve">ICUs </w:t>
      </w:r>
      <w:r w:rsidR="00CF612B">
        <w:t xml:space="preserve">in the UK </w:t>
      </w:r>
      <w:r>
        <w:t>via the British Dietetic Association Critical Care Specialist Group (BDA</w:t>
      </w:r>
      <w:r w:rsidR="00EB775B">
        <w:t xml:space="preserve"> </w:t>
      </w:r>
      <w:r>
        <w:t xml:space="preserve">CCSG) and by email to </w:t>
      </w:r>
      <w:r w:rsidR="00BF1841">
        <w:t>non-members</w:t>
      </w:r>
      <w:r>
        <w:t xml:space="preserve">. </w:t>
      </w:r>
      <w:r w:rsidR="007D4BD3">
        <w:t>Email contacts for</w:t>
      </w:r>
      <w:r w:rsidR="00BF1841">
        <w:t xml:space="preserve"> non-BDA CCSG</w:t>
      </w:r>
      <w:r w:rsidR="00006FAF">
        <w:t xml:space="preserve"> member</w:t>
      </w:r>
      <w:r w:rsidR="00B63EA1">
        <w:t xml:space="preserve"> ICUs</w:t>
      </w:r>
      <w:r w:rsidR="00006FAF">
        <w:t xml:space="preserve"> were found online or by telephoning the </w:t>
      </w:r>
      <w:r w:rsidR="006511AC">
        <w:t>individual dietetic department o</w:t>
      </w:r>
      <w:r w:rsidR="00C756C6">
        <w:t>r</w:t>
      </w:r>
      <w:r w:rsidR="006511AC">
        <w:t xml:space="preserve"> ICU</w:t>
      </w:r>
      <w:r w:rsidR="00006FAF">
        <w:t xml:space="preserve">. </w:t>
      </w:r>
      <w:r>
        <w:t>The survey was further promoted on social media</w:t>
      </w:r>
      <w:r w:rsidR="000E0A0E">
        <w:t xml:space="preserve"> (i.e., Twitter)</w:t>
      </w:r>
      <w:r w:rsidR="00803315">
        <w:t xml:space="preserve">. </w:t>
      </w:r>
      <w:r w:rsidR="000E0A0E">
        <w:t>W</w:t>
      </w:r>
      <w:r w:rsidR="00020029">
        <w:t>here low response rate</w:t>
      </w:r>
      <w:r w:rsidR="000E0A0E">
        <w:t>s</w:t>
      </w:r>
      <w:r w:rsidR="00020029">
        <w:t xml:space="preserve"> </w:t>
      </w:r>
      <w:r w:rsidR="000E0A0E">
        <w:t>were</w:t>
      </w:r>
      <w:r w:rsidR="00D92861">
        <w:t xml:space="preserve"> </w:t>
      </w:r>
      <w:r w:rsidR="00020029">
        <w:t>identified</w:t>
      </w:r>
      <w:r>
        <w:t xml:space="preserve"> regional </w:t>
      </w:r>
      <w:r w:rsidR="000E0A0E">
        <w:t xml:space="preserve">BDA </w:t>
      </w:r>
      <w:r>
        <w:t>dietetic and ICU groups</w:t>
      </w:r>
      <w:r w:rsidR="006848D7">
        <w:t xml:space="preserve"> were contacted and asked to promote the survey</w:t>
      </w:r>
      <w:r w:rsidR="00C66F15">
        <w:t xml:space="preserve"> within their regions</w:t>
      </w:r>
      <w:r>
        <w:t xml:space="preserve">. </w:t>
      </w:r>
      <w:r w:rsidR="00F95E92">
        <w:t>Reminders were sent via the BDA</w:t>
      </w:r>
      <w:r w:rsidR="00EB775B">
        <w:t xml:space="preserve"> </w:t>
      </w:r>
      <w:r w:rsidR="00F95E92">
        <w:t>CCSG online forum and email to non-responders.</w:t>
      </w:r>
      <w:r w:rsidR="00B61274">
        <w:t xml:space="preserve"> Up to two further email</w:t>
      </w:r>
      <w:r w:rsidR="008705EB">
        <w:t>s</w:t>
      </w:r>
      <w:r w:rsidR="00B61274">
        <w:t xml:space="preserve"> or telephone reminders were targeted to non-responder units.</w:t>
      </w:r>
      <w:r w:rsidR="00F95E92">
        <w:t xml:space="preserve"> </w:t>
      </w:r>
      <w:r w:rsidR="0033486E">
        <w:t xml:space="preserve">Unit </w:t>
      </w:r>
      <w:r w:rsidR="007B5036">
        <w:t>names were</w:t>
      </w:r>
      <w:r w:rsidR="0033486E">
        <w:t xml:space="preserve"> collected </w:t>
      </w:r>
      <w:proofErr w:type="gramStart"/>
      <w:r w:rsidR="0033486E">
        <w:t>in order to</w:t>
      </w:r>
      <w:proofErr w:type="gramEnd"/>
      <w:r w:rsidR="0033486E">
        <w:t xml:space="preserve"> contact non-responder units and check for duplication. </w:t>
      </w:r>
      <w:r>
        <w:t>The survey suggested completion should be undertaken collaboratively between an ICU dietitian, clinical nurse</w:t>
      </w:r>
      <w:r w:rsidR="00C77846">
        <w:t xml:space="preserve"> of any band</w:t>
      </w:r>
      <w:r>
        <w:t xml:space="preserve"> and senior doctor</w:t>
      </w:r>
      <w:r w:rsidR="005D158F">
        <w:t xml:space="preserve"> (specialist registrar or above)</w:t>
      </w:r>
      <w:r w:rsidR="00F95E92">
        <w:t xml:space="preserve"> and requested </w:t>
      </w:r>
      <w:r w:rsidR="00875FAD">
        <w:t xml:space="preserve">that </w:t>
      </w:r>
      <w:r w:rsidR="00F95E92">
        <w:t xml:space="preserve">any written guidelines or protocols on GRV monitoring </w:t>
      </w:r>
      <w:r w:rsidR="00875FAD">
        <w:t>be</w:t>
      </w:r>
      <w:r w:rsidR="00F95E92">
        <w:t xml:space="preserve"> emailed to the study team. </w:t>
      </w:r>
    </w:p>
    <w:p w14:paraId="39CE5810" w14:textId="313EC1AA" w:rsidR="00C83665" w:rsidRDefault="0033486E" w:rsidP="00640142">
      <w:pPr>
        <w:spacing w:line="480" w:lineRule="auto"/>
        <w:ind w:firstLine="720"/>
      </w:pPr>
      <w:r>
        <w:t>The survey consisted of three domains:</w:t>
      </w:r>
      <w:r w:rsidR="00686D18">
        <w:t xml:space="preserve"> </w:t>
      </w:r>
      <w:proofErr w:type="spellStart"/>
      <w:r w:rsidR="00686D18">
        <w:t>i</w:t>
      </w:r>
      <w:proofErr w:type="spellEnd"/>
      <w:r w:rsidR="00686D18">
        <w:t>)</w:t>
      </w:r>
      <w:r>
        <w:t xml:space="preserve"> nutritional assessment and enteral feeding practices</w:t>
      </w:r>
      <w:r w:rsidR="00686D18">
        <w:t xml:space="preserve">, ii) </w:t>
      </w:r>
      <w:r w:rsidR="00132C29">
        <w:t>e</w:t>
      </w:r>
      <w:r w:rsidR="00BA2A33">
        <w:t xml:space="preserve">nteral feeding intolerance </w:t>
      </w:r>
      <w:r w:rsidR="00686D18">
        <w:t xml:space="preserve">and GRV monitoring and iii) management of raised GRV. </w:t>
      </w:r>
      <w:r w:rsidR="00F95E92">
        <w:t>The survey co</w:t>
      </w:r>
      <w:r w:rsidR="00686D18">
        <w:t>ntained</w:t>
      </w:r>
      <w:r w:rsidR="00F95E92">
        <w:t xml:space="preserve"> </w:t>
      </w:r>
      <w:r w:rsidR="008C32CA">
        <w:t>54</w:t>
      </w:r>
      <w:r w:rsidR="00F95E92">
        <w:t xml:space="preserve"> questions including </w:t>
      </w:r>
      <w:r w:rsidR="008C32CA">
        <w:t>32</w:t>
      </w:r>
      <w:r w:rsidR="00F95E92">
        <w:t xml:space="preserve"> closed question, </w:t>
      </w:r>
      <w:r w:rsidR="008C32CA">
        <w:t xml:space="preserve">19 open questions with free text boxes for comments and </w:t>
      </w:r>
      <w:r w:rsidR="00014C7D">
        <w:t>three</w:t>
      </w:r>
      <w:r w:rsidR="00F95E92">
        <w:t xml:space="preserve"> ranked questions</w:t>
      </w:r>
      <w:r w:rsidR="008C32CA">
        <w:t>.</w:t>
      </w:r>
      <w:r w:rsidR="00323B52">
        <w:t xml:space="preserve"> Respondents were asked to consider their current ICU clinical practice when completing the survey.</w:t>
      </w:r>
      <w:r w:rsidR="00824C8E">
        <w:t xml:space="preserve"> </w:t>
      </w:r>
      <w:r w:rsidR="00C83665">
        <w:t>Data were collected into a spreadsheet (Microsoft Excel)</w:t>
      </w:r>
      <w:r w:rsidR="00AA6A14">
        <w:t>.</w:t>
      </w:r>
      <w:r w:rsidR="00C83665">
        <w:t xml:space="preserve"> Data were summarised using description statistics for quantitative data. Thematic analysis was undertaken on qualitative data provided </w:t>
      </w:r>
      <w:r w:rsidR="006454D2">
        <w:t>as</w:t>
      </w:r>
      <w:r w:rsidR="00C83665">
        <w:t xml:space="preserve"> free text comments using the methods</w:t>
      </w:r>
      <w:r w:rsidR="00CE59C0">
        <w:t xml:space="preserve"> described by</w:t>
      </w:r>
      <w:r w:rsidR="00C83665">
        <w:t xml:space="preserve"> </w:t>
      </w:r>
      <w:r w:rsidR="00CE59C0">
        <w:t>Braun and Clarke</w:t>
      </w:r>
      <w:r w:rsidR="00686D18">
        <w:t xml:space="preserve"> </w:t>
      </w:r>
      <w:r w:rsidR="00BE0C97">
        <w:t xml:space="preserve">whereby the comments were </w:t>
      </w:r>
      <w:r w:rsidR="00B24880">
        <w:t>transcribed,</w:t>
      </w:r>
      <w:r w:rsidR="00822DD2">
        <w:t xml:space="preserve"> and themes explored using an inductive approach</w:t>
      </w:r>
      <w:r w:rsidR="00C83665">
        <w:t>.</w:t>
      </w:r>
      <w:r w:rsidR="00554648">
        <w:t xml:space="preserve"> </w:t>
      </w:r>
      <w:r w:rsidR="00CE2394">
        <w:t xml:space="preserve">The following process was </w:t>
      </w:r>
      <w:proofErr w:type="gramStart"/>
      <w:r w:rsidR="00B24880">
        <w:t>undertaken</w:t>
      </w:r>
      <w:r w:rsidR="00875FAD">
        <w:t>:</w:t>
      </w:r>
      <w:proofErr w:type="gramEnd"/>
      <w:r w:rsidR="00CE2394">
        <w:t xml:space="preserve"> data familiarisation, generation of initial codes, </w:t>
      </w:r>
      <w:r w:rsidR="00A80921">
        <w:t xml:space="preserve">search for themes, review of themes, </w:t>
      </w:r>
      <w:r w:rsidR="003D0E1E">
        <w:t>defining and naming themes</w:t>
      </w:r>
      <w:r w:rsidR="005B6993">
        <w:t xml:space="preserve"> and sub-themes</w:t>
      </w:r>
      <w:r w:rsidR="0018541F">
        <w:t xml:space="preserve"> (2</w:t>
      </w:r>
      <w:r w:rsidR="008B4858">
        <w:t>7</w:t>
      </w:r>
      <w:r w:rsidR="0018541F">
        <w:t>)</w:t>
      </w:r>
      <w:r w:rsidR="005B6993">
        <w:t xml:space="preserve">. </w:t>
      </w:r>
    </w:p>
    <w:p w14:paraId="794C56C1" w14:textId="6FA0CDE8" w:rsidR="00565B4A" w:rsidRDefault="00C83665" w:rsidP="003C0CA9">
      <w:pPr>
        <w:spacing w:line="480" w:lineRule="auto"/>
        <w:ind w:firstLine="720"/>
      </w:pPr>
      <w:r>
        <w:t xml:space="preserve">The study was considered a service improvement project by the Clinical Effectiveness Department at University Hospital Southampton NHS Foundation Trust and therefore ethical </w:t>
      </w:r>
      <w:r>
        <w:lastRenderedPageBreak/>
        <w:t xml:space="preserve">approval was not required. The survey was registered as a service improvement project (number </w:t>
      </w:r>
      <w:r w:rsidR="00C23C65">
        <w:t>QI/0042</w:t>
      </w:r>
      <w:r>
        <w:t xml:space="preserve">) via the Trust Clinical Effectiveness Department. Consent was obtained from all respondents prior to them completing the survey. </w:t>
      </w:r>
    </w:p>
    <w:p w14:paraId="4734E2C8" w14:textId="0A9D7203" w:rsidR="00A64337" w:rsidRPr="00AA6A14" w:rsidRDefault="00565B4A" w:rsidP="00640142">
      <w:pPr>
        <w:spacing w:line="480" w:lineRule="auto"/>
        <w:rPr>
          <w:b/>
          <w:bCs/>
        </w:rPr>
      </w:pPr>
      <w:r w:rsidRPr="00AA6A14">
        <w:rPr>
          <w:b/>
          <w:bCs/>
        </w:rPr>
        <w:t>Results:</w:t>
      </w:r>
    </w:p>
    <w:p w14:paraId="552B9403" w14:textId="78D8B3BD" w:rsidR="00565B4A" w:rsidRDefault="00565B4A" w:rsidP="00640142">
      <w:pPr>
        <w:spacing w:line="480" w:lineRule="auto"/>
      </w:pPr>
      <w:r>
        <w:tab/>
      </w:r>
      <w:r w:rsidR="00312FB4">
        <w:t xml:space="preserve">142 adult ICUs were approached to take part in the survey. </w:t>
      </w:r>
      <w:r w:rsidR="001677D5">
        <w:t>101 responses were received representing 71% of adult ICUs</w:t>
      </w:r>
      <w:r w:rsidR="00027377">
        <w:t xml:space="preserve"> in the UK</w:t>
      </w:r>
      <w:r w:rsidR="001677D5">
        <w:t xml:space="preserve">. </w:t>
      </w:r>
      <w:proofErr w:type="gramStart"/>
      <w:r w:rsidR="001677D5">
        <w:t>The majority of</w:t>
      </w:r>
      <w:proofErr w:type="gramEnd"/>
      <w:r w:rsidR="001677D5">
        <w:t xml:space="preserve"> responses were from </w:t>
      </w:r>
      <w:r w:rsidR="0083236C">
        <w:t xml:space="preserve">units with </w:t>
      </w:r>
      <w:r w:rsidR="00B76D23">
        <w:t xml:space="preserve">solely a </w:t>
      </w:r>
      <w:r w:rsidR="001677D5">
        <w:t xml:space="preserve">general/mixed ICU </w:t>
      </w:r>
      <w:r w:rsidR="00A924F6">
        <w:t xml:space="preserve">75% </w:t>
      </w:r>
      <w:r w:rsidR="001677D5">
        <w:t>(</w:t>
      </w:r>
      <w:r w:rsidR="00C66B3E">
        <w:t>76</w:t>
      </w:r>
      <w:r w:rsidR="005B4ECE">
        <w:t>/101</w:t>
      </w:r>
      <w:r w:rsidR="001677D5">
        <w:t>)</w:t>
      </w:r>
      <w:r w:rsidR="00027377">
        <w:t>;</w:t>
      </w:r>
      <w:r w:rsidR="0031706C">
        <w:t xml:space="preserve"> 19</w:t>
      </w:r>
      <w:r w:rsidR="0089184E">
        <w:t>% (19/101) of</w:t>
      </w:r>
      <w:r w:rsidR="0031706C">
        <w:t xml:space="preserve"> responses included more than one type of ICU </w:t>
      </w:r>
      <w:r w:rsidR="008440A4">
        <w:t>(</w:t>
      </w:r>
      <w:r w:rsidR="005822D2">
        <w:t xml:space="preserve">general/mixed ICU plus </w:t>
      </w:r>
      <w:r w:rsidR="00FD6BA1">
        <w:t>one or more</w:t>
      </w:r>
      <w:r w:rsidR="00222FD6">
        <w:t xml:space="preserve"> special</w:t>
      </w:r>
      <w:r w:rsidR="00FD02DF">
        <w:t xml:space="preserve">ist ICU including cardiothoracic, </w:t>
      </w:r>
      <w:r w:rsidR="00C42B8D">
        <w:t xml:space="preserve">neurosciences, </w:t>
      </w:r>
      <w:r w:rsidR="008A6E47">
        <w:t>burns, trauma and liver</w:t>
      </w:r>
      <w:r w:rsidR="005B03AF">
        <w:t xml:space="preserve"> </w:t>
      </w:r>
      <w:r w:rsidR="00AF47D6">
        <w:t>6%</w:t>
      </w:r>
      <w:r w:rsidR="00A924F6">
        <w:t xml:space="preserve"> (</w:t>
      </w:r>
      <w:r w:rsidR="008906D5">
        <w:t>6/101)</w:t>
      </w:r>
      <w:r w:rsidR="00880FA2">
        <w:t xml:space="preserve"> of</w:t>
      </w:r>
      <w:r w:rsidR="008906D5">
        <w:t xml:space="preserve"> surveys</w:t>
      </w:r>
      <w:r w:rsidR="00AF47D6">
        <w:t xml:space="preserve"> were from a specialist ICU with no general/mixed ICU caseload.</w:t>
      </w:r>
      <w:r w:rsidR="00AC45E4">
        <w:t xml:space="preserve"> </w:t>
      </w:r>
      <w:r w:rsidR="005F5EB0">
        <w:t xml:space="preserve">Despite the instructions that the survey should be completed collaboratively between a </w:t>
      </w:r>
      <w:r w:rsidR="004B2F5C">
        <w:t xml:space="preserve">doctor, </w:t>
      </w:r>
      <w:proofErr w:type="gramStart"/>
      <w:r w:rsidR="004B2F5C">
        <w:t>nurse</w:t>
      </w:r>
      <w:proofErr w:type="gramEnd"/>
      <w:r w:rsidR="004B2F5C">
        <w:t xml:space="preserve"> and dietitian only </w:t>
      </w:r>
      <w:r w:rsidR="00A924F6">
        <w:t>2%</w:t>
      </w:r>
      <w:r w:rsidR="004B2F5C">
        <w:t xml:space="preserve"> (</w:t>
      </w:r>
      <w:r w:rsidR="00880FA2">
        <w:t>2/101</w:t>
      </w:r>
      <w:r w:rsidR="004B2F5C">
        <w:t xml:space="preserve">) of surveys were completed jointly by all </w:t>
      </w:r>
      <w:r w:rsidR="00D21D61">
        <w:t>three</w:t>
      </w:r>
      <w:r w:rsidR="004B2F5C">
        <w:t xml:space="preserve"> professionals. </w:t>
      </w:r>
      <w:r w:rsidR="00307036" w:rsidRPr="00880FA2">
        <w:t>3%</w:t>
      </w:r>
      <w:r w:rsidR="00880FA2">
        <w:t xml:space="preserve"> (3/101) of</w:t>
      </w:r>
      <w:r w:rsidR="008906D5">
        <w:t xml:space="preserve"> surveys</w:t>
      </w:r>
      <w:r w:rsidR="00307036">
        <w:t xml:space="preserve"> were completed jointly by a nurse and dietitian</w:t>
      </w:r>
      <w:r w:rsidR="00811A90">
        <w:t xml:space="preserve">, </w:t>
      </w:r>
      <w:r w:rsidR="00880FA2">
        <w:t xml:space="preserve">2% </w:t>
      </w:r>
      <w:r w:rsidR="00E42DEC" w:rsidRPr="00880FA2">
        <w:t>(</w:t>
      </w:r>
      <w:r w:rsidR="00880FA2" w:rsidRPr="00005011">
        <w:t>2/101</w:t>
      </w:r>
      <w:r w:rsidR="00E42DEC" w:rsidRPr="00880FA2">
        <w:t>)</w:t>
      </w:r>
      <w:r w:rsidR="005B4ECE">
        <w:t xml:space="preserve"> </w:t>
      </w:r>
      <w:r w:rsidR="00F01CDD">
        <w:t xml:space="preserve">were completed by </w:t>
      </w:r>
      <w:r w:rsidR="00E42DEC">
        <w:t>solely a nurse and the majority</w:t>
      </w:r>
      <w:r w:rsidR="008906D5">
        <w:t xml:space="preserve"> </w:t>
      </w:r>
      <w:r w:rsidR="005B4ECE">
        <w:t>(</w:t>
      </w:r>
      <w:r w:rsidR="00A924F6">
        <w:t>93%</w:t>
      </w:r>
      <w:r w:rsidR="00E42DEC">
        <w:t xml:space="preserve"> </w:t>
      </w:r>
      <w:r w:rsidR="00A51774">
        <w:t>[</w:t>
      </w:r>
      <w:r w:rsidR="006844DD">
        <w:t>94</w:t>
      </w:r>
      <w:r w:rsidR="008906D5">
        <w:t>/101</w:t>
      </w:r>
      <w:r w:rsidR="00A51774">
        <w:t>]</w:t>
      </w:r>
      <w:r w:rsidR="004E1199">
        <w:t xml:space="preserve">) were completed by </w:t>
      </w:r>
      <w:r w:rsidR="00761DF9">
        <w:t>a</w:t>
      </w:r>
      <w:r w:rsidR="004E1199">
        <w:t xml:space="preserve"> dietitian alone.</w:t>
      </w:r>
      <w:r w:rsidR="00E42DEC">
        <w:t xml:space="preserve"> </w:t>
      </w:r>
      <w:r w:rsidR="0023587D">
        <w:t xml:space="preserve">Non-responder </w:t>
      </w:r>
      <w:r w:rsidR="00027377">
        <w:t xml:space="preserve">ICUs </w:t>
      </w:r>
      <w:r w:rsidR="0023587D">
        <w:t xml:space="preserve">accounted for 29% </w:t>
      </w:r>
      <w:r w:rsidR="008F53F5">
        <w:t xml:space="preserve">(29/101) </w:t>
      </w:r>
      <w:r w:rsidR="0023587D">
        <w:t>of adult ICUs</w:t>
      </w:r>
      <w:r w:rsidR="00027377">
        <w:t xml:space="preserve"> in the UK</w:t>
      </w:r>
      <w:r w:rsidR="0023587D">
        <w:t>. There were no common factors identified between non-responder units (i.e.</w:t>
      </w:r>
      <w:r w:rsidR="008906D5">
        <w:t>,</w:t>
      </w:r>
      <w:r w:rsidR="0023587D">
        <w:t xml:space="preserve"> number of ICU beds, presence of a dietitian, type of ICU)</w:t>
      </w:r>
      <w:r w:rsidR="008906D5">
        <w:t>.</w:t>
      </w:r>
    </w:p>
    <w:p w14:paraId="712C832B" w14:textId="353843FA" w:rsidR="00824C8E" w:rsidRPr="000B1B4B" w:rsidRDefault="00535AAB" w:rsidP="00640142">
      <w:pPr>
        <w:spacing w:line="480" w:lineRule="auto"/>
        <w:rPr>
          <w:i/>
          <w:iCs/>
        </w:rPr>
      </w:pPr>
      <w:r>
        <w:rPr>
          <w:i/>
          <w:iCs/>
        </w:rPr>
        <w:t>N</w:t>
      </w:r>
      <w:r w:rsidR="000B1B4B" w:rsidRPr="000B1B4B">
        <w:rPr>
          <w:i/>
          <w:iCs/>
        </w:rPr>
        <w:t xml:space="preserve">utritional assessment </w:t>
      </w:r>
      <w:r>
        <w:rPr>
          <w:i/>
          <w:iCs/>
        </w:rPr>
        <w:t>and enteral feeding practices</w:t>
      </w:r>
    </w:p>
    <w:p w14:paraId="04E6F76C" w14:textId="3377A830" w:rsidR="00623D5F" w:rsidRDefault="000B1B4B" w:rsidP="00640142">
      <w:pPr>
        <w:spacing w:line="480" w:lineRule="auto"/>
      </w:pPr>
      <w:r>
        <w:tab/>
        <w:t>9</w:t>
      </w:r>
      <w:r w:rsidR="00880FA2">
        <w:t>8%</w:t>
      </w:r>
      <w:r>
        <w:t xml:space="preserve"> (</w:t>
      </w:r>
      <w:r w:rsidR="00880FA2">
        <w:t>99/101</w:t>
      </w:r>
      <w:r>
        <w:t xml:space="preserve">) of units </w:t>
      </w:r>
      <w:r w:rsidR="00027377">
        <w:t>responded</w:t>
      </w:r>
      <w:r>
        <w:t xml:space="preserve"> that they have written enteral feeding guidelines. 23</w:t>
      </w:r>
      <w:r w:rsidR="008755CF">
        <w:t>% (23/101)</w:t>
      </w:r>
      <w:r>
        <w:t xml:space="preserve"> units provided a copy of these guidelines. </w:t>
      </w:r>
      <w:r w:rsidR="0062522E">
        <w:t>All units undertook some form of nutritional assessment o</w:t>
      </w:r>
      <w:r w:rsidR="00535AAB">
        <w:t>n</w:t>
      </w:r>
      <w:r w:rsidR="0062522E">
        <w:t xml:space="preserve"> ICU admission. </w:t>
      </w:r>
      <w:r w:rsidR="003C0CA9">
        <w:t>Most</w:t>
      </w:r>
      <w:r>
        <w:t xml:space="preserve"> units estimated energy requirements using a predictive equation</w:t>
      </w:r>
      <w:r w:rsidR="003155E0">
        <w:t xml:space="preserve"> (Table 1).</w:t>
      </w:r>
      <w:r w:rsidR="00724406">
        <w:t xml:space="preserve"> Reasons for re-estimating nutritional requirements were primarily due to changes in mechanical ventilatory status (endo-</w:t>
      </w:r>
      <w:proofErr w:type="spellStart"/>
      <w:r w:rsidR="00724406">
        <w:t>trachael</w:t>
      </w:r>
      <w:proofErr w:type="spellEnd"/>
      <w:r w:rsidR="00724406">
        <w:t xml:space="preserve"> </w:t>
      </w:r>
      <w:proofErr w:type="spellStart"/>
      <w:r w:rsidR="00724406">
        <w:t>extubation</w:t>
      </w:r>
      <w:proofErr w:type="spellEnd"/>
      <w:r w:rsidR="00724406">
        <w:t>, tracheostomy wean or moving to non-invasive ventilation) or use of extra corporeal membrane oxygenation.</w:t>
      </w:r>
      <w:r w:rsidR="007C4106">
        <w:t xml:space="preserve"> </w:t>
      </w:r>
      <w:r w:rsidR="001E0DF2">
        <w:t>91% (</w:t>
      </w:r>
      <w:r w:rsidR="003D58BF">
        <w:t>92</w:t>
      </w:r>
      <w:r w:rsidR="001E0DF2">
        <w:t>/101) of</w:t>
      </w:r>
      <w:r w:rsidR="00E86858">
        <w:t xml:space="preserve"> units</w:t>
      </w:r>
      <w:r w:rsidR="007C4106">
        <w:t xml:space="preserve"> reported utilising post-pyloric feeding with reasons for initiation being</w:t>
      </w:r>
      <w:r w:rsidR="001A1E57">
        <w:t xml:space="preserve"> enteral feeding intolerance</w:t>
      </w:r>
      <w:r w:rsidR="007C4106">
        <w:t xml:space="preserve">, </w:t>
      </w:r>
      <w:r w:rsidR="007C4106">
        <w:lastRenderedPageBreak/>
        <w:t xml:space="preserve">raised gastric aspirates despite pro-kinetic medication and clinical conditions such as pancreatitis and post </w:t>
      </w:r>
      <w:r w:rsidR="00A1065B">
        <w:t>GI</w:t>
      </w:r>
      <w:r w:rsidR="007C4106">
        <w:t xml:space="preserve"> surgery. </w:t>
      </w:r>
    </w:p>
    <w:p w14:paraId="591E4DC8" w14:textId="23E78BB2" w:rsidR="007C4106" w:rsidRPr="00F90174" w:rsidRDefault="007C4106" w:rsidP="00640142">
      <w:pPr>
        <w:spacing w:line="480" w:lineRule="auto"/>
        <w:rPr>
          <w:b/>
          <w:bCs/>
        </w:rPr>
      </w:pPr>
      <w:r w:rsidRPr="00F90174">
        <w:rPr>
          <w:b/>
          <w:bCs/>
        </w:rPr>
        <w:t>Table 1: Nutritional assessment and enteral feeding practices</w:t>
      </w:r>
      <w:r w:rsidR="003C4B91" w:rsidRPr="00F90174">
        <w:rPr>
          <w:b/>
          <w:bCs/>
        </w:rPr>
        <w:t xml:space="preserve"> among adult ICUs in the UK</w:t>
      </w:r>
    </w:p>
    <w:tbl>
      <w:tblPr>
        <w:tblStyle w:val="TableGrid"/>
        <w:tblW w:w="0" w:type="auto"/>
        <w:tblLook w:val="04A0" w:firstRow="1" w:lastRow="0" w:firstColumn="1" w:lastColumn="0" w:noHBand="0" w:noVBand="1"/>
      </w:tblPr>
      <w:tblGrid>
        <w:gridCol w:w="4508"/>
        <w:gridCol w:w="4508"/>
      </w:tblGrid>
      <w:tr w:rsidR="00891E70" w14:paraId="65259A7E" w14:textId="77777777" w:rsidTr="79B85A27">
        <w:tc>
          <w:tcPr>
            <w:tcW w:w="4508" w:type="dxa"/>
          </w:tcPr>
          <w:p w14:paraId="7655D61A" w14:textId="624BDC95" w:rsidR="00891E70" w:rsidRPr="00724406" w:rsidRDefault="00891E70" w:rsidP="00640142">
            <w:pPr>
              <w:spacing w:line="480" w:lineRule="auto"/>
              <w:rPr>
                <w:b/>
                <w:bCs/>
              </w:rPr>
            </w:pPr>
            <w:r w:rsidRPr="00724406">
              <w:rPr>
                <w:b/>
                <w:bCs/>
              </w:rPr>
              <w:t xml:space="preserve">Nutritional assessment </w:t>
            </w:r>
            <w:r w:rsidR="00CC7F55">
              <w:rPr>
                <w:b/>
                <w:bCs/>
              </w:rPr>
              <w:t>and enteral feeding practices</w:t>
            </w:r>
          </w:p>
        </w:tc>
        <w:tc>
          <w:tcPr>
            <w:tcW w:w="4508" w:type="dxa"/>
          </w:tcPr>
          <w:p w14:paraId="5603A6DF" w14:textId="02FA1D15" w:rsidR="00891E70" w:rsidRPr="00724406" w:rsidRDefault="00891E70" w:rsidP="00640142">
            <w:pPr>
              <w:spacing w:line="480" w:lineRule="auto"/>
              <w:rPr>
                <w:b/>
                <w:bCs/>
              </w:rPr>
            </w:pPr>
            <w:r w:rsidRPr="00724406">
              <w:rPr>
                <w:b/>
                <w:bCs/>
              </w:rPr>
              <w:t>n (%)</w:t>
            </w:r>
          </w:p>
        </w:tc>
      </w:tr>
      <w:tr w:rsidR="0062522E" w14:paraId="4A7AC215" w14:textId="77777777" w:rsidTr="79B85A27">
        <w:tc>
          <w:tcPr>
            <w:tcW w:w="4508" w:type="dxa"/>
          </w:tcPr>
          <w:p w14:paraId="6C2393A3" w14:textId="77777777" w:rsidR="0062522E" w:rsidRPr="00724406" w:rsidRDefault="0062522E" w:rsidP="0062522E">
            <w:pPr>
              <w:spacing w:line="480" w:lineRule="auto"/>
              <w:rPr>
                <w:i/>
                <w:iCs/>
              </w:rPr>
            </w:pPr>
            <w:r>
              <w:rPr>
                <w:b/>
                <w:bCs/>
                <w:i/>
                <w:iCs/>
                <w:sz w:val="20"/>
                <w:szCs w:val="20"/>
              </w:rPr>
              <w:t>Baseline n</w:t>
            </w:r>
            <w:r w:rsidRPr="00724406">
              <w:rPr>
                <w:b/>
                <w:bCs/>
                <w:i/>
                <w:iCs/>
                <w:sz w:val="20"/>
                <w:szCs w:val="20"/>
              </w:rPr>
              <w:t>utritional variable assessed:</w:t>
            </w:r>
          </w:p>
          <w:p w14:paraId="2BE3D7B7" w14:textId="570E6B07" w:rsidR="0062522E" w:rsidRDefault="0062522E" w:rsidP="0062522E">
            <w:pPr>
              <w:spacing w:line="480" w:lineRule="auto"/>
            </w:pPr>
            <w:r w:rsidRPr="005F3E34">
              <w:rPr>
                <w:sz w:val="20"/>
                <w:szCs w:val="20"/>
              </w:rPr>
              <w:t xml:space="preserve">Actual </w:t>
            </w:r>
            <w:r w:rsidR="003C4B91">
              <w:rPr>
                <w:sz w:val="20"/>
                <w:szCs w:val="20"/>
              </w:rPr>
              <w:t xml:space="preserve">body </w:t>
            </w:r>
            <w:r w:rsidRPr="005F3E34">
              <w:rPr>
                <w:sz w:val="20"/>
                <w:szCs w:val="20"/>
              </w:rPr>
              <w:t>weight</w:t>
            </w:r>
          </w:p>
          <w:p w14:paraId="5ED76477" w14:textId="24C44769" w:rsidR="0062522E" w:rsidRDefault="0062522E" w:rsidP="0062522E">
            <w:pPr>
              <w:spacing w:line="480" w:lineRule="auto"/>
            </w:pPr>
            <w:r w:rsidRPr="005F3E34">
              <w:rPr>
                <w:sz w:val="20"/>
                <w:szCs w:val="20"/>
              </w:rPr>
              <w:t xml:space="preserve">Estimated </w:t>
            </w:r>
            <w:r w:rsidR="003C4B91">
              <w:rPr>
                <w:sz w:val="20"/>
                <w:szCs w:val="20"/>
              </w:rPr>
              <w:t xml:space="preserve">body </w:t>
            </w:r>
            <w:r w:rsidRPr="005F3E34">
              <w:rPr>
                <w:sz w:val="20"/>
                <w:szCs w:val="20"/>
              </w:rPr>
              <w:t>weight</w:t>
            </w:r>
          </w:p>
          <w:p w14:paraId="08361308" w14:textId="77777777" w:rsidR="0062522E" w:rsidRDefault="0062522E" w:rsidP="0062522E">
            <w:pPr>
              <w:spacing w:line="480" w:lineRule="auto"/>
            </w:pPr>
            <w:r w:rsidRPr="005F3E34">
              <w:rPr>
                <w:sz w:val="20"/>
                <w:szCs w:val="20"/>
              </w:rPr>
              <w:t>Height</w:t>
            </w:r>
          </w:p>
          <w:p w14:paraId="1D84DFAB" w14:textId="77777777" w:rsidR="0062522E" w:rsidRDefault="0062522E" w:rsidP="0062522E">
            <w:pPr>
              <w:spacing w:line="480" w:lineRule="auto"/>
            </w:pPr>
            <w:r w:rsidRPr="005F3E34">
              <w:rPr>
                <w:sz w:val="20"/>
                <w:szCs w:val="20"/>
              </w:rPr>
              <w:t>Body mass index</w:t>
            </w:r>
          </w:p>
          <w:p w14:paraId="0D855AB9" w14:textId="77777777" w:rsidR="0062522E" w:rsidRDefault="0062522E" w:rsidP="0062522E">
            <w:pPr>
              <w:spacing w:line="480" w:lineRule="auto"/>
            </w:pPr>
            <w:r w:rsidRPr="005F3E34">
              <w:rPr>
                <w:sz w:val="20"/>
                <w:szCs w:val="20"/>
              </w:rPr>
              <w:t>Malnutrition universal screening tool (MUST) score</w:t>
            </w:r>
          </w:p>
          <w:p w14:paraId="4FF61624" w14:textId="77777777" w:rsidR="0062522E" w:rsidRDefault="0062522E" w:rsidP="0062522E">
            <w:pPr>
              <w:spacing w:line="480" w:lineRule="auto"/>
            </w:pPr>
            <w:r w:rsidRPr="005F3E34">
              <w:rPr>
                <w:sz w:val="20"/>
                <w:szCs w:val="20"/>
              </w:rPr>
              <w:t>NUTRIC score</w:t>
            </w:r>
          </w:p>
          <w:p w14:paraId="2EBC3FFE" w14:textId="77777777" w:rsidR="0062522E" w:rsidRDefault="0062522E" w:rsidP="0062522E">
            <w:pPr>
              <w:spacing w:line="480" w:lineRule="auto"/>
            </w:pPr>
            <w:r w:rsidRPr="005F3E34">
              <w:rPr>
                <w:sz w:val="20"/>
                <w:szCs w:val="20"/>
              </w:rPr>
              <w:t>Nutrition risk score</w:t>
            </w:r>
            <w:r w:rsidRPr="005F3E34">
              <w:rPr>
                <w:sz w:val="20"/>
                <w:szCs w:val="20"/>
              </w:rPr>
              <w:tab/>
            </w:r>
          </w:p>
          <w:p w14:paraId="06EFAFBF" w14:textId="77777777" w:rsidR="0062522E" w:rsidRPr="005F3E34" w:rsidRDefault="0062522E" w:rsidP="0062522E">
            <w:pPr>
              <w:spacing w:line="480" w:lineRule="auto"/>
              <w:rPr>
                <w:sz w:val="20"/>
                <w:szCs w:val="20"/>
              </w:rPr>
            </w:pPr>
            <w:r w:rsidRPr="005F3E34">
              <w:rPr>
                <w:sz w:val="20"/>
                <w:szCs w:val="20"/>
              </w:rPr>
              <w:t>Local nutrition screening tool</w:t>
            </w:r>
          </w:p>
          <w:p w14:paraId="3435D5E7" w14:textId="2763C6DC" w:rsidR="0062522E" w:rsidRPr="005F3E34" w:rsidRDefault="0062522E" w:rsidP="0062522E">
            <w:pPr>
              <w:spacing w:line="480" w:lineRule="auto"/>
              <w:rPr>
                <w:sz w:val="20"/>
                <w:szCs w:val="20"/>
              </w:rPr>
            </w:pPr>
            <w:r w:rsidRPr="005F3E34">
              <w:rPr>
                <w:sz w:val="20"/>
                <w:szCs w:val="20"/>
              </w:rPr>
              <w:t>Handgrip</w:t>
            </w:r>
            <w:r w:rsidR="003C4B91">
              <w:rPr>
                <w:sz w:val="20"/>
                <w:szCs w:val="20"/>
              </w:rPr>
              <w:t xml:space="preserve"> strength</w:t>
            </w:r>
          </w:p>
          <w:p w14:paraId="105BDC82" w14:textId="09DFABEB" w:rsidR="0062522E" w:rsidRPr="005F3E34" w:rsidRDefault="0062522E" w:rsidP="0062522E">
            <w:pPr>
              <w:spacing w:line="480" w:lineRule="auto"/>
              <w:rPr>
                <w:sz w:val="20"/>
                <w:szCs w:val="20"/>
              </w:rPr>
            </w:pPr>
            <w:r w:rsidRPr="005F3E34">
              <w:rPr>
                <w:sz w:val="20"/>
                <w:szCs w:val="20"/>
              </w:rPr>
              <w:t>Skinfold</w:t>
            </w:r>
            <w:r w:rsidR="003C4B91">
              <w:rPr>
                <w:sz w:val="20"/>
                <w:szCs w:val="20"/>
              </w:rPr>
              <w:t xml:space="preserve"> thickness</w:t>
            </w:r>
          </w:p>
          <w:p w14:paraId="2F2715AF" w14:textId="77777777" w:rsidR="0062522E" w:rsidRPr="005F3E34" w:rsidRDefault="0062522E" w:rsidP="0062522E">
            <w:pPr>
              <w:spacing w:line="480" w:lineRule="auto"/>
              <w:rPr>
                <w:sz w:val="20"/>
                <w:szCs w:val="20"/>
              </w:rPr>
            </w:pPr>
            <w:r w:rsidRPr="005F3E34">
              <w:rPr>
                <w:sz w:val="20"/>
                <w:szCs w:val="20"/>
              </w:rPr>
              <w:t>Ulna length</w:t>
            </w:r>
          </w:p>
          <w:p w14:paraId="0977A5BB" w14:textId="77777777" w:rsidR="0062522E" w:rsidRPr="005F3E34" w:rsidRDefault="0062522E" w:rsidP="0062522E">
            <w:pPr>
              <w:spacing w:line="480" w:lineRule="auto"/>
              <w:rPr>
                <w:sz w:val="20"/>
                <w:szCs w:val="20"/>
              </w:rPr>
            </w:pPr>
            <w:r w:rsidRPr="005F3E34">
              <w:rPr>
                <w:sz w:val="20"/>
                <w:szCs w:val="20"/>
              </w:rPr>
              <w:t>Mid upper arm circumference</w:t>
            </w:r>
          </w:p>
          <w:p w14:paraId="64288160" w14:textId="4E1DB187" w:rsidR="0062522E" w:rsidRPr="00724406" w:rsidRDefault="0062522E" w:rsidP="0062522E">
            <w:pPr>
              <w:spacing w:line="480" w:lineRule="auto"/>
              <w:rPr>
                <w:b/>
                <w:bCs/>
              </w:rPr>
            </w:pPr>
            <w:r w:rsidRPr="005F3E34">
              <w:rPr>
                <w:sz w:val="20"/>
                <w:szCs w:val="20"/>
              </w:rPr>
              <w:t>Subjective global assessment</w:t>
            </w:r>
          </w:p>
        </w:tc>
        <w:tc>
          <w:tcPr>
            <w:tcW w:w="4508" w:type="dxa"/>
          </w:tcPr>
          <w:p w14:paraId="64306387" w14:textId="77777777" w:rsidR="0062522E" w:rsidRDefault="0062522E" w:rsidP="0062522E">
            <w:pPr>
              <w:spacing w:line="480" w:lineRule="auto"/>
              <w:rPr>
                <w:sz w:val="20"/>
                <w:szCs w:val="20"/>
              </w:rPr>
            </w:pPr>
          </w:p>
          <w:p w14:paraId="2F6729EE" w14:textId="0D179681" w:rsidR="0062522E" w:rsidRDefault="0062522E" w:rsidP="0062522E">
            <w:pPr>
              <w:spacing w:line="480" w:lineRule="auto"/>
            </w:pPr>
            <w:r w:rsidRPr="005F3E34">
              <w:rPr>
                <w:sz w:val="20"/>
                <w:szCs w:val="20"/>
              </w:rPr>
              <w:t>85</w:t>
            </w:r>
            <w:r w:rsidR="003C4B91">
              <w:rPr>
                <w:sz w:val="20"/>
                <w:szCs w:val="20"/>
              </w:rPr>
              <w:t xml:space="preserve"> </w:t>
            </w:r>
            <w:r w:rsidRPr="005F3E34">
              <w:rPr>
                <w:sz w:val="20"/>
                <w:szCs w:val="20"/>
              </w:rPr>
              <w:t>(8</w:t>
            </w:r>
            <w:r w:rsidR="00317915">
              <w:rPr>
                <w:sz w:val="20"/>
                <w:szCs w:val="20"/>
              </w:rPr>
              <w:t>4</w:t>
            </w:r>
            <w:r w:rsidRPr="005F3E34">
              <w:rPr>
                <w:sz w:val="20"/>
                <w:szCs w:val="20"/>
              </w:rPr>
              <w:t>)</w:t>
            </w:r>
          </w:p>
          <w:p w14:paraId="23C05AEA" w14:textId="52074B16" w:rsidR="0062522E" w:rsidRDefault="0062522E" w:rsidP="0062522E">
            <w:pPr>
              <w:spacing w:line="480" w:lineRule="auto"/>
            </w:pPr>
            <w:r w:rsidRPr="005F3E34">
              <w:rPr>
                <w:sz w:val="20"/>
                <w:szCs w:val="20"/>
              </w:rPr>
              <w:t>72 (7</w:t>
            </w:r>
            <w:r w:rsidR="00317915">
              <w:rPr>
                <w:sz w:val="20"/>
                <w:szCs w:val="20"/>
              </w:rPr>
              <w:t>1</w:t>
            </w:r>
            <w:r w:rsidRPr="005F3E34">
              <w:rPr>
                <w:sz w:val="20"/>
                <w:szCs w:val="20"/>
              </w:rPr>
              <w:t>)</w:t>
            </w:r>
          </w:p>
          <w:p w14:paraId="256C997A" w14:textId="17757077" w:rsidR="0062522E" w:rsidRDefault="0062522E" w:rsidP="0062522E">
            <w:pPr>
              <w:spacing w:line="480" w:lineRule="auto"/>
            </w:pPr>
            <w:r w:rsidRPr="005F3E34">
              <w:rPr>
                <w:sz w:val="20"/>
                <w:szCs w:val="20"/>
              </w:rPr>
              <w:t>91 (9</w:t>
            </w:r>
            <w:r w:rsidR="00317915">
              <w:rPr>
                <w:sz w:val="20"/>
                <w:szCs w:val="20"/>
              </w:rPr>
              <w:t>0</w:t>
            </w:r>
            <w:r w:rsidRPr="005F3E34">
              <w:rPr>
                <w:sz w:val="20"/>
                <w:szCs w:val="20"/>
              </w:rPr>
              <w:t>)</w:t>
            </w:r>
          </w:p>
          <w:p w14:paraId="5248A853" w14:textId="2BE14E9A" w:rsidR="0062522E" w:rsidRDefault="0062522E" w:rsidP="0062522E">
            <w:pPr>
              <w:spacing w:line="480" w:lineRule="auto"/>
            </w:pPr>
            <w:r w:rsidRPr="005F3E34">
              <w:rPr>
                <w:sz w:val="20"/>
                <w:szCs w:val="20"/>
              </w:rPr>
              <w:t>88 (8</w:t>
            </w:r>
            <w:r w:rsidR="00317915">
              <w:rPr>
                <w:sz w:val="20"/>
                <w:szCs w:val="20"/>
              </w:rPr>
              <w:t>7</w:t>
            </w:r>
            <w:r w:rsidRPr="005F3E34">
              <w:rPr>
                <w:sz w:val="20"/>
                <w:szCs w:val="20"/>
              </w:rPr>
              <w:t>)</w:t>
            </w:r>
          </w:p>
          <w:p w14:paraId="486E4B2C" w14:textId="77777777" w:rsidR="0062522E" w:rsidRDefault="0062522E" w:rsidP="0062522E">
            <w:pPr>
              <w:spacing w:line="480" w:lineRule="auto"/>
            </w:pPr>
            <w:r w:rsidRPr="005F3E34">
              <w:rPr>
                <w:sz w:val="20"/>
                <w:szCs w:val="20"/>
              </w:rPr>
              <w:t>46 (46)</w:t>
            </w:r>
          </w:p>
          <w:p w14:paraId="4A46BAB7" w14:textId="77777777" w:rsidR="0062522E" w:rsidRDefault="0062522E" w:rsidP="0062522E">
            <w:pPr>
              <w:spacing w:line="480" w:lineRule="auto"/>
            </w:pPr>
            <w:r w:rsidRPr="005F3E34">
              <w:rPr>
                <w:sz w:val="20"/>
                <w:szCs w:val="20"/>
              </w:rPr>
              <w:t>4 (4)</w:t>
            </w:r>
          </w:p>
          <w:p w14:paraId="1675CF42" w14:textId="77777777" w:rsidR="0062522E" w:rsidRDefault="0062522E" w:rsidP="0062522E">
            <w:pPr>
              <w:spacing w:line="480" w:lineRule="auto"/>
            </w:pPr>
            <w:r w:rsidRPr="005F3E34">
              <w:rPr>
                <w:sz w:val="20"/>
                <w:szCs w:val="20"/>
              </w:rPr>
              <w:t>3 (3)</w:t>
            </w:r>
          </w:p>
          <w:p w14:paraId="409CC31C" w14:textId="77777777" w:rsidR="0062522E" w:rsidRPr="005F3E34" w:rsidRDefault="0062522E" w:rsidP="0062522E">
            <w:pPr>
              <w:spacing w:line="480" w:lineRule="auto"/>
              <w:rPr>
                <w:sz w:val="20"/>
                <w:szCs w:val="20"/>
              </w:rPr>
            </w:pPr>
            <w:r w:rsidRPr="005F3E34">
              <w:rPr>
                <w:sz w:val="20"/>
                <w:szCs w:val="20"/>
              </w:rPr>
              <w:t>3 (3)</w:t>
            </w:r>
          </w:p>
          <w:p w14:paraId="58F5E27C" w14:textId="77777777" w:rsidR="0062522E" w:rsidRPr="005F3E34" w:rsidRDefault="0062522E" w:rsidP="0062522E">
            <w:pPr>
              <w:spacing w:line="480" w:lineRule="auto"/>
              <w:rPr>
                <w:sz w:val="20"/>
                <w:szCs w:val="20"/>
              </w:rPr>
            </w:pPr>
            <w:r w:rsidRPr="005F3E34">
              <w:rPr>
                <w:sz w:val="20"/>
                <w:szCs w:val="20"/>
              </w:rPr>
              <w:t>2 (2)</w:t>
            </w:r>
          </w:p>
          <w:p w14:paraId="6BFE9CAA" w14:textId="77777777" w:rsidR="0062522E" w:rsidRPr="005F3E34" w:rsidRDefault="0062522E" w:rsidP="0062522E">
            <w:pPr>
              <w:spacing w:line="480" w:lineRule="auto"/>
              <w:rPr>
                <w:sz w:val="20"/>
                <w:szCs w:val="20"/>
              </w:rPr>
            </w:pPr>
            <w:r w:rsidRPr="005F3E34">
              <w:rPr>
                <w:sz w:val="20"/>
                <w:szCs w:val="20"/>
              </w:rPr>
              <w:t>1 (1)</w:t>
            </w:r>
          </w:p>
          <w:p w14:paraId="21CD1BFF" w14:textId="77777777" w:rsidR="0062522E" w:rsidRPr="005F3E34" w:rsidRDefault="0062522E" w:rsidP="0062522E">
            <w:pPr>
              <w:spacing w:line="480" w:lineRule="auto"/>
              <w:rPr>
                <w:sz w:val="20"/>
                <w:szCs w:val="20"/>
              </w:rPr>
            </w:pPr>
            <w:r w:rsidRPr="005F3E34">
              <w:rPr>
                <w:sz w:val="20"/>
                <w:szCs w:val="20"/>
              </w:rPr>
              <w:t>3 (3)</w:t>
            </w:r>
          </w:p>
          <w:p w14:paraId="54B7D163" w14:textId="77777777" w:rsidR="0062522E" w:rsidRPr="005F3E34" w:rsidRDefault="0062522E" w:rsidP="0062522E">
            <w:pPr>
              <w:spacing w:line="480" w:lineRule="auto"/>
              <w:rPr>
                <w:sz w:val="20"/>
                <w:szCs w:val="20"/>
              </w:rPr>
            </w:pPr>
            <w:r w:rsidRPr="005F3E34">
              <w:rPr>
                <w:sz w:val="20"/>
                <w:szCs w:val="20"/>
              </w:rPr>
              <w:t>4 (4)</w:t>
            </w:r>
          </w:p>
          <w:p w14:paraId="00F8239C" w14:textId="2AE8B54F" w:rsidR="0062522E" w:rsidRPr="00724406" w:rsidRDefault="0062522E" w:rsidP="0062522E">
            <w:pPr>
              <w:spacing w:line="480" w:lineRule="auto"/>
              <w:rPr>
                <w:b/>
                <w:bCs/>
              </w:rPr>
            </w:pPr>
            <w:r w:rsidRPr="005F3E34">
              <w:rPr>
                <w:sz w:val="20"/>
                <w:szCs w:val="20"/>
              </w:rPr>
              <w:t>1 (1)</w:t>
            </w:r>
          </w:p>
        </w:tc>
      </w:tr>
      <w:tr w:rsidR="0062522E" w14:paraId="78543E86" w14:textId="77777777" w:rsidTr="79B85A27">
        <w:tc>
          <w:tcPr>
            <w:tcW w:w="4508" w:type="dxa"/>
          </w:tcPr>
          <w:p w14:paraId="3D41A3AA" w14:textId="77777777" w:rsidR="0062522E" w:rsidRPr="0062522E" w:rsidRDefault="0062522E" w:rsidP="0062522E">
            <w:pPr>
              <w:spacing w:line="480" w:lineRule="auto"/>
              <w:rPr>
                <w:b/>
                <w:bCs/>
                <w:i/>
                <w:iCs/>
                <w:sz w:val="20"/>
                <w:szCs w:val="20"/>
              </w:rPr>
            </w:pPr>
            <w:r w:rsidRPr="0062522E">
              <w:rPr>
                <w:b/>
                <w:bCs/>
                <w:i/>
                <w:iCs/>
                <w:sz w:val="20"/>
                <w:szCs w:val="20"/>
              </w:rPr>
              <w:t>Method of estimating energy expenditure:</w:t>
            </w:r>
          </w:p>
          <w:p w14:paraId="4A03E63A" w14:textId="149006FC" w:rsidR="0062522E" w:rsidRPr="0062522E" w:rsidRDefault="001A31E6" w:rsidP="003B2431">
            <w:pPr>
              <w:spacing w:line="480" w:lineRule="auto"/>
              <w:rPr>
                <w:sz w:val="20"/>
                <w:szCs w:val="20"/>
              </w:rPr>
            </w:pPr>
            <w:r>
              <w:rPr>
                <w:sz w:val="20"/>
                <w:szCs w:val="20"/>
              </w:rPr>
              <w:t>k</w:t>
            </w:r>
            <w:r w:rsidR="0062522E" w:rsidRPr="0062522E">
              <w:rPr>
                <w:sz w:val="20"/>
                <w:szCs w:val="20"/>
              </w:rPr>
              <w:t>cal/kg</w:t>
            </w:r>
            <w:r w:rsidR="003B2431">
              <w:rPr>
                <w:sz w:val="20"/>
                <w:szCs w:val="20"/>
              </w:rPr>
              <w:t xml:space="preserve"> </w:t>
            </w:r>
          </w:p>
          <w:p w14:paraId="4D4A560C" w14:textId="77777777" w:rsidR="0062522E" w:rsidRPr="0062522E" w:rsidRDefault="0062522E" w:rsidP="0062522E">
            <w:pPr>
              <w:spacing w:line="480" w:lineRule="auto"/>
              <w:rPr>
                <w:sz w:val="20"/>
                <w:szCs w:val="20"/>
              </w:rPr>
            </w:pPr>
            <w:r w:rsidRPr="0062522E">
              <w:rPr>
                <w:sz w:val="20"/>
                <w:szCs w:val="20"/>
              </w:rPr>
              <w:t>Penn State equation</w:t>
            </w:r>
          </w:p>
          <w:p w14:paraId="0DECA46C" w14:textId="77777777" w:rsidR="0062522E" w:rsidRPr="0062522E" w:rsidRDefault="0062522E" w:rsidP="0062522E">
            <w:pPr>
              <w:spacing w:line="480" w:lineRule="auto"/>
              <w:rPr>
                <w:sz w:val="20"/>
                <w:szCs w:val="20"/>
              </w:rPr>
            </w:pPr>
            <w:r w:rsidRPr="0062522E">
              <w:rPr>
                <w:sz w:val="20"/>
                <w:szCs w:val="20"/>
              </w:rPr>
              <w:t>Henry equation</w:t>
            </w:r>
          </w:p>
          <w:p w14:paraId="50159C4C" w14:textId="77777777" w:rsidR="00535AAB" w:rsidRDefault="0062522E" w:rsidP="0062522E">
            <w:pPr>
              <w:spacing w:line="480" w:lineRule="auto"/>
              <w:rPr>
                <w:sz w:val="20"/>
                <w:szCs w:val="20"/>
              </w:rPr>
            </w:pPr>
            <w:r w:rsidRPr="0062522E">
              <w:rPr>
                <w:sz w:val="20"/>
                <w:szCs w:val="20"/>
              </w:rPr>
              <w:t>Indirect calorimetry</w:t>
            </w:r>
          </w:p>
          <w:p w14:paraId="6440C705" w14:textId="6584F7B8" w:rsidR="0062522E" w:rsidRPr="0062522E" w:rsidRDefault="0062522E" w:rsidP="0062522E">
            <w:pPr>
              <w:spacing w:line="480" w:lineRule="auto"/>
              <w:rPr>
                <w:sz w:val="20"/>
                <w:szCs w:val="20"/>
              </w:rPr>
            </w:pPr>
            <w:r w:rsidRPr="0062522E">
              <w:rPr>
                <w:sz w:val="20"/>
                <w:szCs w:val="20"/>
              </w:rPr>
              <w:t>Other</w:t>
            </w:r>
            <w:r w:rsidR="00535AAB">
              <w:rPr>
                <w:sz w:val="20"/>
                <w:szCs w:val="20"/>
              </w:rPr>
              <w:t xml:space="preserve"> </w:t>
            </w:r>
            <w:r w:rsidR="00535AAB" w:rsidRPr="00535AAB">
              <w:rPr>
                <w:sz w:val="20"/>
                <w:szCs w:val="20"/>
              </w:rPr>
              <w:t>(VCO</w:t>
            </w:r>
            <w:r w:rsidR="00535AAB" w:rsidRPr="00535AAB">
              <w:rPr>
                <w:sz w:val="20"/>
                <w:szCs w:val="20"/>
                <w:vertAlign w:val="subscript"/>
              </w:rPr>
              <w:t>2</w:t>
            </w:r>
            <w:r w:rsidR="00535AAB" w:rsidRPr="00535AAB">
              <w:rPr>
                <w:sz w:val="20"/>
                <w:szCs w:val="20"/>
              </w:rPr>
              <w:t xml:space="preserve"> derived from the ventilator, </w:t>
            </w:r>
            <w:r w:rsidR="00EA0B69">
              <w:rPr>
                <w:sz w:val="20"/>
                <w:szCs w:val="20"/>
              </w:rPr>
              <w:t>American Society for Enteral and Parenteral Nutrition</w:t>
            </w:r>
            <w:r w:rsidR="001D4C3A">
              <w:rPr>
                <w:sz w:val="20"/>
                <w:szCs w:val="20"/>
              </w:rPr>
              <w:t xml:space="preserve">/European Society for Clinical Nutrition and </w:t>
            </w:r>
            <w:r w:rsidR="001D4C3A">
              <w:rPr>
                <w:sz w:val="20"/>
                <w:szCs w:val="20"/>
              </w:rPr>
              <w:lastRenderedPageBreak/>
              <w:t>Metabolism</w:t>
            </w:r>
            <w:r w:rsidR="00535AAB" w:rsidRPr="00535AAB">
              <w:rPr>
                <w:sz w:val="20"/>
                <w:szCs w:val="20"/>
              </w:rPr>
              <w:t xml:space="preserve"> guidelines and the Mifflin St Jeor equation)</w:t>
            </w:r>
          </w:p>
        </w:tc>
        <w:tc>
          <w:tcPr>
            <w:tcW w:w="4508" w:type="dxa"/>
          </w:tcPr>
          <w:p w14:paraId="2F184AEF" w14:textId="77777777" w:rsidR="0062522E" w:rsidRPr="0062522E" w:rsidRDefault="0062522E" w:rsidP="0062522E">
            <w:pPr>
              <w:spacing w:line="480" w:lineRule="auto"/>
              <w:rPr>
                <w:b/>
                <w:bCs/>
                <w:sz w:val="20"/>
                <w:szCs w:val="20"/>
              </w:rPr>
            </w:pPr>
          </w:p>
          <w:p w14:paraId="50247752" w14:textId="4167AE32" w:rsidR="0062522E" w:rsidRPr="0062522E" w:rsidRDefault="0062522E" w:rsidP="0062522E">
            <w:pPr>
              <w:spacing w:line="480" w:lineRule="auto"/>
              <w:rPr>
                <w:sz w:val="20"/>
                <w:szCs w:val="20"/>
              </w:rPr>
            </w:pPr>
            <w:r w:rsidRPr="0062522E">
              <w:rPr>
                <w:sz w:val="20"/>
                <w:szCs w:val="20"/>
              </w:rPr>
              <w:t>91 (9</w:t>
            </w:r>
            <w:r w:rsidR="009B687B">
              <w:rPr>
                <w:sz w:val="20"/>
                <w:szCs w:val="20"/>
              </w:rPr>
              <w:t>0</w:t>
            </w:r>
            <w:r w:rsidRPr="0062522E">
              <w:rPr>
                <w:sz w:val="20"/>
                <w:szCs w:val="20"/>
              </w:rPr>
              <w:t>)</w:t>
            </w:r>
          </w:p>
          <w:p w14:paraId="762A2B20" w14:textId="2E83EC5B" w:rsidR="0062522E" w:rsidRPr="0062522E" w:rsidRDefault="0062522E" w:rsidP="0062522E">
            <w:pPr>
              <w:spacing w:line="480" w:lineRule="auto"/>
              <w:rPr>
                <w:sz w:val="20"/>
                <w:szCs w:val="20"/>
              </w:rPr>
            </w:pPr>
            <w:r w:rsidRPr="0062522E">
              <w:rPr>
                <w:sz w:val="20"/>
                <w:szCs w:val="20"/>
              </w:rPr>
              <w:t>68 (6</w:t>
            </w:r>
            <w:r w:rsidR="009B687B">
              <w:rPr>
                <w:sz w:val="20"/>
                <w:szCs w:val="20"/>
              </w:rPr>
              <w:t>7</w:t>
            </w:r>
            <w:r w:rsidRPr="0062522E">
              <w:rPr>
                <w:sz w:val="20"/>
                <w:szCs w:val="20"/>
              </w:rPr>
              <w:t>)</w:t>
            </w:r>
          </w:p>
          <w:p w14:paraId="78935BDC" w14:textId="77777777" w:rsidR="0062522E" w:rsidRPr="0062522E" w:rsidRDefault="0062522E" w:rsidP="0062522E">
            <w:pPr>
              <w:spacing w:line="480" w:lineRule="auto"/>
              <w:rPr>
                <w:sz w:val="20"/>
                <w:szCs w:val="20"/>
              </w:rPr>
            </w:pPr>
            <w:r w:rsidRPr="0062522E">
              <w:rPr>
                <w:sz w:val="20"/>
                <w:szCs w:val="20"/>
              </w:rPr>
              <w:t>3 (3)</w:t>
            </w:r>
          </w:p>
          <w:p w14:paraId="759F2728" w14:textId="77777777" w:rsidR="0062522E" w:rsidRPr="0062522E" w:rsidRDefault="0062522E" w:rsidP="0062522E">
            <w:pPr>
              <w:spacing w:line="480" w:lineRule="auto"/>
              <w:rPr>
                <w:sz w:val="20"/>
                <w:szCs w:val="20"/>
              </w:rPr>
            </w:pPr>
            <w:r w:rsidRPr="0062522E">
              <w:rPr>
                <w:sz w:val="20"/>
                <w:szCs w:val="20"/>
              </w:rPr>
              <w:t>4 (4)</w:t>
            </w:r>
          </w:p>
          <w:p w14:paraId="241FF059" w14:textId="4D535651" w:rsidR="0062522E" w:rsidRPr="0062522E" w:rsidRDefault="0062522E" w:rsidP="0062522E">
            <w:pPr>
              <w:spacing w:line="480" w:lineRule="auto"/>
              <w:rPr>
                <w:b/>
                <w:bCs/>
                <w:sz w:val="20"/>
                <w:szCs w:val="20"/>
              </w:rPr>
            </w:pPr>
            <w:r w:rsidRPr="0062522E">
              <w:rPr>
                <w:sz w:val="20"/>
                <w:szCs w:val="20"/>
              </w:rPr>
              <w:t>12 (12)</w:t>
            </w:r>
          </w:p>
        </w:tc>
      </w:tr>
      <w:tr w:rsidR="0062522E" w14:paraId="467FDE1F" w14:textId="77777777" w:rsidTr="79B85A27">
        <w:tc>
          <w:tcPr>
            <w:tcW w:w="4508" w:type="dxa"/>
          </w:tcPr>
          <w:p w14:paraId="5C49C1C6" w14:textId="018FA77C" w:rsidR="0062522E" w:rsidRPr="00F87D81" w:rsidRDefault="003C4B91" w:rsidP="0062522E">
            <w:pPr>
              <w:spacing w:line="480" w:lineRule="auto"/>
              <w:rPr>
                <w:b/>
                <w:bCs/>
                <w:i/>
                <w:iCs/>
                <w:sz w:val="20"/>
                <w:szCs w:val="20"/>
              </w:rPr>
            </w:pPr>
            <w:r>
              <w:rPr>
                <w:b/>
                <w:bCs/>
                <w:i/>
                <w:iCs/>
                <w:sz w:val="20"/>
                <w:szCs w:val="20"/>
              </w:rPr>
              <w:t xml:space="preserve">Use of </w:t>
            </w:r>
            <w:r w:rsidR="00F87D81" w:rsidRPr="00F87D81">
              <w:rPr>
                <w:b/>
                <w:bCs/>
                <w:i/>
                <w:iCs/>
                <w:sz w:val="20"/>
                <w:szCs w:val="20"/>
              </w:rPr>
              <w:t>an alternative method to predict energy expenditure if there is a change in the patients</w:t>
            </w:r>
            <w:r w:rsidR="00DF2D84">
              <w:rPr>
                <w:b/>
                <w:bCs/>
                <w:i/>
                <w:iCs/>
                <w:sz w:val="20"/>
                <w:szCs w:val="20"/>
              </w:rPr>
              <w:t>’</w:t>
            </w:r>
            <w:r w:rsidR="00F87D81" w:rsidRPr="00F87D81">
              <w:rPr>
                <w:b/>
                <w:bCs/>
                <w:i/>
                <w:iCs/>
                <w:sz w:val="20"/>
                <w:szCs w:val="20"/>
              </w:rPr>
              <w:t xml:space="preserve"> condition:</w:t>
            </w:r>
          </w:p>
          <w:p w14:paraId="0F89EE2E" w14:textId="77777777" w:rsidR="00F87D81" w:rsidRPr="00F87D81" w:rsidRDefault="00F87D81" w:rsidP="0062522E">
            <w:pPr>
              <w:spacing w:line="480" w:lineRule="auto"/>
              <w:rPr>
                <w:sz w:val="20"/>
                <w:szCs w:val="20"/>
              </w:rPr>
            </w:pPr>
            <w:r w:rsidRPr="00F87D81">
              <w:rPr>
                <w:sz w:val="20"/>
                <w:szCs w:val="20"/>
              </w:rPr>
              <w:t>Yes</w:t>
            </w:r>
          </w:p>
          <w:p w14:paraId="5ECC1BCF" w14:textId="77777777" w:rsidR="00F87D81" w:rsidRPr="00F87D81" w:rsidRDefault="00F87D81" w:rsidP="0062522E">
            <w:pPr>
              <w:spacing w:line="480" w:lineRule="auto"/>
              <w:rPr>
                <w:sz w:val="20"/>
                <w:szCs w:val="20"/>
              </w:rPr>
            </w:pPr>
            <w:r w:rsidRPr="00F87D81">
              <w:rPr>
                <w:sz w:val="20"/>
                <w:szCs w:val="20"/>
              </w:rPr>
              <w:t>No</w:t>
            </w:r>
          </w:p>
          <w:p w14:paraId="037DADEF" w14:textId="54BF5127" w:rsidR="00F87D81" w:rsidRPr="00F87D81" w:rsidRDefault="00F87D81" w:rsidP="0062522E">
            <w:pPr>
              <w:spacing w:line="480" w:lineRule="auto"/>
              <w:rPr>
                <w:sz w:val="20"/>
                <w:szCs w:val="20"/>
              </w:rPr>
            </w:pPr>
            <w:r w:rsidRPr="00F87D81">
              <w:rPr>
                <w:sz w:val="20"/>
                <w:szCs w:val="20"/>
              </w:rPr>
              <w:t>Sometimes</w:t>
            </w:r>
          </w:p>
        </w:tc>
        <w:tc>
          <w:tcPr>
            <w:tcW w:w="4508" w:type="dxa"/>
          </w:tcPr>
          <w:p w14:paraId="6DF430A8" w14:textId="77777777" w:rsidR="0062522E" w:rsidRPr="00F87D81" w:rsidRDefault="0062522E" w:rsidP="0062522E">
            <w:pPr>
              <w:spacing w:line="480" w:lineRule="auto"/>
              <w:rPr>
                <w:sz w:val="20"/>
                <w:szCs w:val="20"/>
              </w:rPr>
            </w:pPr>
          </w:p>
          <w:p w14:paraId="0CDD6ECB" w14:textId="77777777" w:rsidR="00F87D81" w:rsidRPr="00F87D81" w:rsidRDefault="00F87D81" w:rsidP="0062522E">
            <w:pPr>
              <w:spacing w:line="480" w:lineRule="auto"/>
              <w:rPr>
                <w:sz w:val="20"/>
                <w:szCs w:val="20"/>
              </w:rPr>
            </w:pPr>
          </w:p>
          <w:p w14:paraId="0462B4CA" w14:textId="77777777" w:rsidR="00F87D81" w:rsidRPr="00F87D81" w:rsidRDefault="00F87D81" w:rsidP="0062522E">
            <w:pPr>
              <w:spacing w:line="480" w:lineRule="auto"/>
              <w:rPr>
                <w:sz w:val="20"/>
                <w:szCs w:val="20"/>
              </w:rPr>
            </w:pPr>
          </w:p>
          <w:p w14:paraId="6AACFB30" w14:textId="77777777" w:rsidR="00F87D81" w:rsidRPr="00F87D81" w:rsidRDefault="00F87D81" w:rsidP="0062522E">
            <w:pPr>
              <w:spacing w:line="480" w:lineRule="auto"/>
              <w:rPr>
                <w:sz w:val="20"/>
                <w:szCs w:val="20"/>
              </w:rPr>
            </w:pPr>
            <w:r w:rsidRPr="00F87D81">
              <w:rPr>
                <w:sz w:val="20"/>
                <w:szCs w:val="20"/>
              </w:rPr>
              <w:t>28 (28)</w:t>
            </w:r>
          </w:p>
          <w:p w14:paraId="36D599F7" w14:textId="77777777" w:rsidR="00F87D81" w:rsidRPr="00F87D81" w:rsidRDefault="00F87D81" w:rsidP="0062522E">
            <w:pPr>
              <w:spacing w:line="480" w:lineRule="auto"/>
              <w:rPr>
                <w:sz w:val="20"/>
                <w:szCs w:val="20"/>
              </w:rPr>
            </w:pPr>
            <w:r w:rsidRPr="00F87D81">
              <w:rPr>
                <w:sz w:val="20"/>
                <w:szCs w:val="20"/>
              </w:rPr>
              <w:t>47 (47)</w:t>
            </w:r>
          </w:p>
          <w:p w14:paraId="07864E8B" w14:textId="0EF4D9BE" w:rsidR="00F87D81" w:rsidRPr="00F87D81" w:rsidRDefault="00F87D81" w:rsidP="0062522E">
            <w:pPr>
              <w:spacing w:line="480" w:lineRule="auto"/>
              <w:rPr>
                <w:sz w:val="20"/>
                <w:szCs w:val="20"/>
              </w:rPr>
            </w:pPr>
            <w:r w:rsidRPr="00F87D81">
              <w:rPr>
                <w:sz w:val="20"/>
                <w:szCs w:val="20"/>
              </w:rPr>
              <w:t>26 (26)</w:t>
            </w:r>
          </w:p>
        </w:tc>
      </w:tr>
      <w:tr w:rsidR="00535AAB" w14:paraId="2C8BAECF" w14:textId="77777777" w:rsidTr="79B85A27">
        <w:tc>
          <w:tcPr>
            <w:tcW w:w="4508" w:type="dxa"/>
          </w:tcPr>
          <w:p w14:paraId="175F5705" w14:textId="567D8CD7" w:rsidR="00535AAB" w:rsidRDefault="003C4B91" w:rsidP="0062522E">
            <w:pPr>
              <w:spacing w:line="480" w:lineRule="auto"/>
              <w:rPr>
                <w:b/>
                <w:bCs/>
                <w:i/>
                <w:iCs/>
                <w:sz w:val="20"/>
                <w:szCs w:val="20"/>
              </w:rPr>
            </w:pPr>
            <w:r>
              <w:rPr>
                <w:b/>
                <w:bCs/>
                <w:i/>
                <w:iCs/>
                <w:sz w:val="20"/>
                <w:szCs w:val="20"/>
              </w:rPr>
              <w:t>G</w:t>
            </w:r>
            <w:r w:rsidR="00535AAB">
              <w:rPr>
                <w:b/>
                <w:bCs/>
                <w:i/>
                <w:iCs/>
                <w:sz w:val="20"/>
                <w:szCs w:val="20"/>
              </w:rPr>
              <w:t xml:space="preserve">uidance </w:t>
            </w:r>
            <w:r>
              <w:rPr>
                <w:b/>
                <w:bCs/>
                <w:i/>
                <w:iCs/>
                <w:sz w:val="20"/>
                <w:szCs w:val="20"/>
              </w:rPr>
              <w:t xml:space="preserve">in place </w:t>
            </w:r>
            <w:r w:rsidR="00535AAB">
              <w:rPr>
                <w:b/>
                <w:bCs/>
                <w:i/>
                <w:iCs/>
                <w:sz w:val="20"/>
                <w:szCs w:val="20"/>
              </w:rPr>
              <w:t xml:space="preserve">on time to commence </w:t>
            </w:r>
            <w:r w:rsidR="00122BDE">
              <w:rPr>
                <w:b/>
                <w:bCs/>
                <w:i/>
                <w:iCs/>
                <w:sz w:val="20"/>
                <w:szCs w:val="20"/>
              </w:rPr>
              <w:t>enteral nutrition</w:t>
            </w:r>
            <w:r w:rsidR="00535AAB">
              <w:rPr>
                <w:b/>
                <w:bCs/>
                <w:i/>
                <w:iCs/>
                <w:sz w:val="20"/>
                <w:szCs w:val="20"/>
              </w:rPr>
              <w:t xml:space="preserve"> after ICU admission:</w:t>
            </w:r>
          </w:p>
          <w:p w14:paraId="4297510A" w14:textId="77777777" w:rsidR="00535AAB" w:rsidRDefault="00535AAB" w:rsidP="0062522E">
            <w:pPr>
              <w:spacing w:line="480" w:lineRule="auto"/>
              <w:rPr>
                <w:sz w:val="20"/>
                <w:szCs w:val="20"/>
              </w:rPr>
            </w:pPr>
            <w:r>
              <w:rPr>
                <w:sz w:val="20"/>
                <w:szCs w:val="20"/>
              </w:rPr>
              <w:t>Yes</w:t>
            </w:r>
          </w:p>
          <w:p w14:paraId="39BA9DCD" w14:textId="000157CE" w:rsidR="00535AAB" w:rsidRPr="00535AAB" w:rsidRDefault="00535AAB" w:rsidP="0062522E">
            <w:pPr>
              <w:spacing w:line="480" w:lineRule="auto"/>
              <w:rPr>
                <w:sz w:val="20"/>
                <w:szCs w:val="20"/>
              </w:rPr>
            </w:pPr>
            <w:r>
              <w:rPr>
                <w:sz w:val="20"/>
                <w:szCs w:val="20"/>
              </w:rPr>
              <w:t>No</w:t>
            </w:r>
          </w:p>
        </w:tc>
        <w:tc>
          <w:tcPr>
            <w:tcW w:w="4508" w:type="dxa"/>
          </w:tcPr>
          <w:p w14:paraId="57DE7360" w14:textId="77777777" w:rsidR="00535AAB" w:rsidRDefault="00535AAB" w:rsidP="0062522E">
            <w:pPr>
              <w:spacing w:line="480" w:lineRule="auto"/>
              <w:rPr>
                <w:sz w:val="20"/>
                <w:szCs w:val="20"/>
              </w:rPr>
            </w:pPr>
          </w:p>
          <w:p w14:paraId="049E33FE" w14:textId="77777777" w:rsidR="00535AAB" w:rsidRDefault="00535AAB" w:rsidP="0062522E">
            <w:pPr>
              <w:spacing w:line="480" w:lineRule="auto"/>
              <w:rPr>
                <w:sz w:val="20"/>
                <w:szCs w:val="20"/>
              </w:rPr>
            </w:pPr>
          </w:p>
          <w:p w14:paraId="4D40EDBD" w14:textId="79C13C6A" w:rsidR="00535AAB" w:rsidRDefault="00535AAB" w:rsidP="0062522E">
            <w:pPr>
              <w:spacing w:line="480" w:lineRule="auto"/>
              <w:rPr>
                <w:sz w:val="20"/>
                <w:szCs w:val="20"/>
              </w:rPr>
            </w:pPr>
            <w:r>
              <w:rPr>
                <w:sz w:val="20"/>
                <w:szCs w:val="20"/>
              </w:rPr>
              <w:t>73 (7</w:t>
            </w:r>
            <w:r w:rsidR="009B687B">
              <w:rPr>
                <w:sz w:val="20"/>
                <w:szCs w:val="20"/>
              </w:rPr>
              <w:t>2</w:t>
            </w:r>
            <w:r>
              <w:rPr>
                <w:sz w:val="20"/>
                <w:szCs w:val="20"/>
              </w:rPr>
              <w:t>)</w:t>
            </w:r>
          </w:p>
          <w:p w14:paraId="4744916C" w14:textId="08690183" w:rsidR="00535AAB" w:rsidRPr="00F87D81" w:rsidRDefault="00535AAB" w:rsidP="0062522E">
            <w:pPr>
              <w:spacing w:line="480" w:lineRule="auto"/>
              <w:rPr>
                <w:sz w:val="20"/>
                <w:szCs w:val="20"/>
              </w:rPr>
            </w:pPr>
            <w:r>
              <w:rPr>
                <w:sz w:val="20"/>
                <w:szCs w:val="20"/>
              </w:rPr>
              <w:t>28 (28)</w:t>
            </w:r>
          </w:p>
        </w:tc>
      </w:tr>
      <w:tr w:rsidR="00141C36" w14:paraId="729158E2" w14:textId="77777777" w:rsidTr="79B85A27">
        <w:tc>
          <w:tcPr>
            <w:tcW w:w="4508" w:type="dxa"/>
          </w:tcPr>
          <w:p w14:paraId="4CA3C113" w14:textId="56CAE227" w:rsidR="00141C36" w:rsidRDefault="00141C36" w:rsidP="0062522E">
            <w:pPr>
              <w:spacing w:line="480" w:lineRule="auto"/>
              <w:rPr>
                <w:b/>
                <w:bCs/>
                <w:i/>
                <w:iCs/>
                <w:sz w:val="20"/>
                <w:szCs w:val="20"/>
              </w:rPr>
            </w:pPr>
            <w:r>
              <w:rPr>
                <w:b/>
                <w:bCs/>
                <w:i/>
                <w:iCs/>
                <w:sz w:val="20"/>
                <w:szCs w:val="20"/>
              </w:rPr>
              <w:t xml:space="preserve">Target time to commence </w:t>
            </w:r>
            <w:r w:rsidR="00202E78">
              <w:rPr>
                <w:b/>
                <w:bCs/>
                <w:i/>
                <w:iCs/>
                <w:sz w:val="20"/>
                <w:szCs w:val="20"/>
              </w:rPr>
              <w:t>enteral nutrition</w:t>
            </w:r>
            <w:r>
              <w:rPr>
                <w:b/>
                <w:bCs/>
                <w:i/>
                <w:iCs/>
                <w:sz w:val="20"/>
                <w:szCs w:val="20"/>
              </w:rPr>
              <w:t xml:space="preserve"> (units with guidance n</w:t>
            </w:r>
            <w:r w:rsidR="003C4B91">
              <w:rPr>
                <w:b/>
                <w:bCs/>
                <w:i/>
                <w:iCs/>
                <w:sz w:val="20"/>
                <w:szCs w:val="20"/>
              </w:rPr>
              <w:t xml:space="preserve"> </w:t>
            </w:r>
            <w:r>
              <w:rPr>
                <w:b/>
                <w:bCs/>
                <w:i/>
                <w:iCs/>
                <w:sz w:val="20"/>
                <w:szCs w:val="20"/>
              </w:rPr>
              <w:t>=</w:t>
            </w:r>
            <w:r w:rsidR="003C4B91">
              <w:rPr>
                <w:b/>
                <w:bCs/>
                <w:i/>
                <w:iCs/>
                <w:sz w:val="20"/>
                <w:szCs w:val="20"/>
              </w:rPr>
              <w:t xml:space="preserve"> </w:t>
            </w:r>
            <w:r>
              <w:rPr>
                <w:b/>
                <w:bCs/>
                <w:i/>
                <w:iCs/>
                <w:sz w:val="20"/>
                <w:szCs w:val="20"/>
              </w:rPr>
              <w:t>73):</w:t>
            </w:r>
          </w:p>
          <w:p w14:paraId="31E5AEAE" w14:textId="77777777" w:rsidR="00141C36" w:rsidRDefault="00141C36" w:rsidP="0062522E">
            <w:pPr>
              <w:spacing w:line="480" w:lineRule="auto"/>
              <w:rPr>
                <w:sz w:val="20"/>
                <w:szCs w:val="20"/>
              </w:rPr>
            </w:pPr>
            <w:r>
              <w:rPr>
                <w:sz w:val="20"/>
                <w:szCs w:val="20"/>
              </w:rPr>
              <w:t>Within 12 hours</w:t>
            </w:r>
          </w:p>
          <w:p w14:paraId="329F0683" w14:textId="77777777" w:rsidR="00141C36" w:rsidRDefault="00141C36" w:rsidP="0062522E">
            <w:pPr>
              <w:spacing w:line="480" w:lineRule="auto"/>
              <w:rPr>
                <w:sz w:val="20"/>
                <w:szCs w:val="20"/>
              </w:rPr>
            </w:pPr>
            <w:r>
              <w:rPr>
                <w:sz w:val="20"/>
                <w:szCs w:val="20"/>
              </w:rPr>
              <w:t>24-48 hours</w:t>
            </w:r>
          </w:p>
          <w:p w14:paraId="1B1DA5C1" w14:textId="0D46B748" w:rsidR="00141C36" w:rsidRPr="00141C36" w:rsidRDefault="00141C36" w:rsidP="0062522E">
            <w:pPr>
              <w:spacing w:line="480" w:lineRule="auto"/>
              <w:rPr>
                <w:sz w:val="20"/>
                <w:szCs w:val="20"/>
              </w:rPr>
            </w:pPr>
            <w:r>
              <w:rPr>
                <w:sz w:val="20"/>
                <w:szCs w:val="20"/>
              </w:rPr>
              <w:t>72 hours</w:t>
            </w:r>
          </w:p>
        </w:tc>
        <w:tc>
          <w:tcPr>
            <w:tcW w:w="4508" w:type="dxa"/>
          </w:tcPr>
          <w:p w14:paraId="189FFEC1" w14:textId="77777777" w:rsidR="00141C36" w:rsidRDefault="00141C36" w:rsidP="0062522E">
            <w:pPr>
              <w:spacing w:line="480" w:lineRule="auto"/>
              <w:rPr>
                <w:sz w:val="20"/>
                <w:szCs w:val="20"/>
              </w:rPr>
            </w:pPr>
          </w:p>
          <w:p w14:paraId="7084CF6D" w14:textId="77777777" w:rsidR="00141C36" w:rsidRDefault="00141C36" w:rsidP="0062522E">
            <w:pPr>
              <w:spacing w:line="480" w:lineRule="auto"/>
              <w:rPr>
                <w:sz w:val="20"/>
                <w:szCs w:val="20"/>
              </w:rPr>
            </w:pPr>
          </w:p>
          <w:p w14:paraId="326AF46B" w14:textId="334B72ED" w:rsidR="00141C36" w:rsidRDefault="00141C36" w:rsidP="0062522E">
            <w:pPr>
              <w:spacing w:line="480" w:lineRule="auto"/>
              <w:rPr>
                <w:sz w:val="20"/>
                <w:szCs w:val="20"/>
              </w:rPr>
            </w:pPr>
            <w:r>
              <w:rPr>
                <w:sz w:val="20"/>
                <w:szCs w:val="20"/>
              </w:rPr>
              <w:t>8 (11)</w:t>
            </w:r>
          </w:p>
          <w:p w14:paraId="11001078" w14:textId="77777777" w:rsidR="00141C36" w:rsidRDefault="00141C36" w:rsidP="0062522E">
            <w:pPr>
              <w:spacing w:line="480" w:lineRule="auto"/>
              <w:rPr>
                <w:sz w:val="20"/>
                <w:szCs w:val="20"/>
              </w:rPr>
            </w:pPr>
            <w:r>
              <w:rPr>
                <w:sz w:val="20"/>
                <w:szCs w:val="20"/>
              </w:rPr>
              <w:t>64 (88)</w:t>
            </w:r>
          </w:p>
          <w:p w14:paraId="5B6CA8B7" w14:textId="72D6C187" w:rsidR="00141C36" w:rsidRDefault="00141C36" w:rsidP="0062522E">
            <w:pPr>
              <w:spacing w:line="480" w:lineRule="auto"/>
              <w:rPr>
                <w:sz w:val="20"/>
                <w:szCs w:val="20"/>
              </w:rPr>
            </w:pPr>
            <w:r>
              <w:rPr>
                <w:sz w:val="20"/>
                <w:szCs w:val="20"/>
              </w:rPr>
              <w:t>1 (1)</w:t>
            </w:r>
          </w:p>
        </w:tc>
      </w:tr>
      <w:tr w:rsidR="00535AAB" w14:paraId="59941EAB" w14:textId="77777777" w:rsidTr="79B85A27">
        <w:tc>
          <w:tcPr>
            <w:tcW w:w="4508" w:type="dxa"/>
          </w:tcPr>
          <w:p w14:paraId="2ACA26C8" w14:textId="59B4C016" w:rsidR="00535AAB" w:rsidRDefault="003C4B91" w:rsidP="0062522E">
            <w:pPr>
              <w:spacing w:line="480" w:lineRule="auto"/>
              <w:rPr>
                <w:b/>
                <w:bCs/>
                <w:i/>
                <w:iCs/>
                <w:sz w:val="20"/>
                <w:szCs w:val="20"/>
              </w:rPr>
            </w:pPr>
            <w:r>
              <w:rPr>
                <w:b/>
                <w:bCs/>
                <w:i/>
                <w:iCs/>
                <w:sz w:val="20"/>
                <w:szCs w:val="20"/>
              </w:rPr>
              <w:t>A</w:t>
            </w:r>
            <w:r w:rsidR="00141C36">
              <w:rPr>
                <w:b/>
                <w:bCs/>
                <w:i/>
                <w:iCs/>
                <w:sz w:val="20"/>
                <w:szCs w:val="20"/>
              </w:rPr>
              <w:t>im</w:t>
            </w:r>
            <w:r>
              <w:rPr>
                <w:b/>
                <w:bCs/>
                <w:i/>
                <w:iCs/>
                <w:sz w:val="20"/>
                <w:szCs w:val="20"/>
              </w:rPr>
              <w:t>ed time</w:t>
            </w:r>
            <w:r w:rsidR="00141C36">
              <w:rPr>
                <w:b/>
                <w:bCs/>
                <w:i/>
                <w:iCs/>
                <w:sz w:val="20"/>
                <w:szCs w:val="20"/>
              </w:rPr>
              <w:t xml:space="preserve"> to meet full </w:t>
            </w:r>
            <w:r w:rsidR="00FD055F">
              <w:rPr>
                <w:b/>
                <w:bCs/>
                <w:i/>
                <w:iCs/>
                <w:sz w:val="20"/>
                <w:szCs w:val="20"/>
              </w:rPr>
              <w:t>enteral nutrition</w:t>
            </w:r>
            <w:r w:rsidR="00141C36">
              <w:rPr>
                <w:b/>
                <w:bCs/>
                <w:i/>
                <w:iCs/>
                <w:sz w:val="20"/>
                <w:szCs w:val="20"/>
              </w:rPr>
              <w:t xml:space="preserve"> target:</w:t>
            </w:r>
          </w:p>
          <w:p w14:paraId="567CC3F1" w14:textId="77777777" w:rsidR="00141C36" w:rsidRDefault="00141C36" w:rsidP="0062522E">
            <w:pPr>
              <w:spacing w:line="480" w:lineRule="auto"/>
              <w:rPr>
                <w:sz w:val="20"/>
                <w:szCs w:val="20"/>
              </w:rPr>
            </w:pPr>
            <w:r>
              <w:rPr>
                <w:sz w:val="20"/>
                <w:szCs w:val="20"/>
              </w:rPr>
              <w:t>24 hours</w:t>
            </w:r>
          </w:p>
          <w:p w14:paraId="29BC42B4" w14:textId="77777777" w:rsidR="00141C36" w:rsidRDefault="00141C36" w:rsidP="0062522E">
            <w:pPr>
              <w:spacing w:line="480" w:lineRule="auto"/>
              <w:rPr>
                <w:sz w:val="20"/>
                <w:szCs w:val="20"/>
              </w:rPr>
            </w:pPr>
            <w:r>
              <w:rPr>
                <w:sz w:val="20"/>
                <w:szCs w:val="20"/>
              </w:rPr>
              <w:t>48 hours</w:t>
            </w:r>
          </w:p>
          <w:p w14:paraId="299F0A81" w14:textId="64F83E8C" w:rsidR="00141C36" w:rsidRDefault="00141C36" w:rsidP="0062522E">
            <w:pPr>
              <w:spacing w:line="480" w:lineRule="auto"/>
              <w:rPr>
                <w:sz w:val="20"/>
                <w:szCs w:val="20"/>
              </w:rPr>
            </w:pPr>
            <w:r>
              <w:rPr>
                <w:sz w:val="20"/>
                <w:szCs w:val="20"/>
              </w:rPr>
              <w:t>72 hours</w:t>
            </w:r>
          </w:p>
          <w:p w14:paraId="22846EC8" w14:textId="48CC479B" w:rsidR="00141C36" w:rsidRDefault="00141C36" w:rsidP="0062522E">
            <w:pPr>
              <w:spacing w:line="480" w:lineRule="auto"/>
              <w:rPr>
                <w:sz w:val="20"/>
                <w:szCs w:val="20"/>
              </w:rPr>
            </w:pPr>
            <w:r>
              <w:rPr>
                <w:sz w:val="20"/>
                <w:szCs w:val="20"/>
              </w:rPr>
              <w:t>3-7 days</w:t>
            </w:r>
          </w:p>
          <w:p w14:paraId="10E53E4E" w14:textId="0D9FFAE4" w:rsidR="00141C36" w:rsidRPr="00500C85" w:rsidRDefault="00141C36" w:rsidP="00CC7F55">
            <w:pPr>
              <w:spacing w:line="480" w:lineRule="auto"/>
              <w:rPr>
                <w:sz w:val="20"/>
                <w:szCs w:val="20"/>
              </w:rPr>
            </w:pPr>
            <w:r>
              <w:rPr>
                <w:sz w:val="20"/>
                <w:szCs w:val="20"/>
              </w:rPr>
              <w:t>Once clinically stable</w:t>
            </w:r>
          </w:p>
        </w:tc>
        <w:tc>
          <w:tcPr>
            <w:tcW w:w="4508" w:type="dxa"/>
          </w:tcPr>
          <w:p w14:paraId="20E23BA2" w14:textId="77777777" w:rsidR="00535AAB" w:rsidRDefault="00535AAB" w:rsidP="0062522E">
            <w:pPr>
              <w:spacing w:line="480" w:lineRule="auto"/>
              <w:rPr>
                <w:sz w:val="20"/>
                <w:szCs w:val="20"/>
              </w:rPr>
            </w:pPr>
          </w:p>
          <w:p w14:paraId="19175F74" w14:textId="77777777" w:rsidR="00141C36" w:rsidRDefault="00141C36" w:rsidP="0062522E">
            <w:pPr>
              <w:spacing w:line="480" w:lineRule="auto"/>
              <w:rPr>
                <w:sz w:val="20"/>
                <w:szCs w:val="20"/>
              </w:rPr>
            </w:pPr>
            <w:r>
              <w:rPr>
                <w:sz w:val="20"/>
                <w:szCs w:val="20"/>
              </w:rPr>
              <w:t>8 (8)</w:t>
            </w:r>
          </w:p>
          <w:p w14:paraId="15D76CF5" w14:textId="77777777" w:rsidR="00141C36" w:rsidRDefault="00141C36" w:rsidP="0062522E">
            <w:pPr>
              <w:spacing w:line="480" w:lineRule="auto"/>
              <w:rPr>
                <w:sz w:val="20"/>
                <w:szCs w:val="20"/>
              </w:rPr>
            </w:pPr>
            <w:r>
              <w:rPr>
                <w:sz w:val="20"/>
                <w:szCs w:val="20"/>
              </w:rPr>
              <w:t>22 (22)</w:t>
            </w:r>
          </w:p>
          <w:p w14:paraId="40EC415E" w14:textId="77777777" w:rsidR="00141C36" w:rsidRDefault="00141C36" w:rsidP="0062522E">
            <w:pPr>
              <w:spacing w:line="480" w:lineRule="auto"/>
              <w:rPr>
                <w:sz w:val="20"/>
                <w:szCs w:val="20"/>
              </w:rPr>
            </w:pPr>
            <w:r>
              <w:rPr>
                <w:sz w:val="20"/>
                <w:szCs w:val="20"/>
              </w:rPr>
              <w:t>39 (39)</w:t>
            </w:r>
          </w:p>
          <w:p w14:paraId="666453B1" w14:textId="77777777" w:rsidR="00141C36" w:rsidRDefault="00141C36" w:rsidP="0062522E">
            <w:pPr>
              <w:spacing w:line="480" w:lineRule="auto"/>
              <w:rPr>
                <w:sz w:val="20"/>
                <w:szCs w:val="20"/>
              </w:rPr>
            </w:pPr>
            <w:r>
              <w:rPr>
                <w:sz w:val="20"/>
                <w:szCs w:val="20"/>
              </w:rPr>
              <w:t>12 (12)</w:t>
            </w:r>
          </w:p>
          <w:p w14:paraId="4593FE6B" w14:textId="1900F27D" w:rsidR="00141C36" w:rsidRPr="00F87D81" w:rsidRDefault="00141C36" w:rsidP="0062522E">
            <w:pPr>
              <w:spacing w:line="480" w:lineRule="auto"/>
              <w:rPr>
                <w:sz w:val="20"/>
                <w:szCs w:val="20"/>
              </w:rPr>
            </w:pPr>
            <w:r>
              <w:rPr>
                <w:sz w:val="20"/>
                <w:szCs w:val="20"/>
              </w:rPr>
              <w:t>11 (11)</w:t>
            </w:r>
          </w:p>
        </w:tc>
      </w:tr>
      <w:tr w:rsidR="00F45869" w14:paraId="65F43123" w14:textId="77777777" w:rsidTr="79B85A27">
        <w:tc>
          <w:tcPr>
            <w:tcW w:w="4508" w:type="dxa"/>
          </w:tcPr>
          <w:p w14:paraId="6BBF9197" w14:textId="54635583" w:rsidR="00F45869" w:rsidRDefault="00F45869" w:rsidP="0062522E">
            <w:pPr>
              <w:spacing w:line="480" w:lineRule="auto"/>
              <w:rPr>
                <w:b/>
                <w:bCs/>
                <w:i/>
                <w:iCs/>
                <w:sz w:val="20"/>
                <w:szCs w:val="20"/>
              </w:rPr>
            </w:pPr>
            <w:r>
              <w:rPr>
                <w:b/>
                <w:bCs/>
                <w:i/>
                <w:iCs/>
                <w:sz w:val="20"/>
                <w:szCs w:val="20"/>
              </w:rPr>
              <w:t>Duration of feeding:</w:t>
            </w:r>
          </w:p>
          <w:p w14:paraId="6819E28A" w14:textId="77777777" w:rsidR="00F45869" w:rsidRDefault="00F45869" w:rsidP="0062522E">
            <w:pPr>
              <w:spacing w:line="480" w:lineRule="auto"/>
              <w:rPr>
                <w:sz w:val="20"/>
                <w:szCs w:val="20"/>
              </w:rPr>
            </w:pPr>
            <w:r>
              <w:rPr>
                <w:sz w:val="20"/>
                <w:szCs w:val="20"/>
              </w:rPr>
              <w:t>20 hours/day</w:t>
            </w:r>
          </w:p>
          <w:p w14:paraId="500932FF" w14:textId="77777777" w:rsidR="00F45869" w:rsidRDefault="00F45869" w:rsidP="0062522E">
            <w:pPr>
              <w:spacing w:line="480" w:lineRule="auto"/>
              <w:rPr>
                <w:sz w:val="20"/>
                <w:szCs w:val="20"/>
              </w:rPr>
            </w:pPr>
            <w:r>
              <w:rPr>
                <w:sz w:val="20"/>
                <w:szCs w:val="20"/>
              </w:rPr>
              <w:t>24 hours/day</w:t>
            </w:r>
          </w:p>
          <w:p w14:paraId="40B630C6" w14:textId="77777777" w:rsidR="00F45869" w:rsidRDefault="00F45869" w:rsidP="0062522E">
            <w:pPr>
              <w:spacing w:line="480" w:lineRule="auto"/>
              <w:rPr>
                <w:sz w:val="20"/>
                <w:szCs w:val="20"/>
              </w:rPr>
            </w:pPr>
            <w:r>
              <w:rPr>
                <w:sz w:val="20"/>
                <w:szCs w:val="20"/>
              </w:rPr>
              <w:t>Bolus</w:t>
            </w:r>
          </w:p>
          <w:p w14:paraId="10050D5C" w14:textId="50E83787" w:rsidR="00F45869" w:rsidRPr="00F45869" w:rsidRDefault="00F45869" w:rsidP="0062522E">
            <w:pPr>
              <w:spacing w:line="480" w:lineRule="auto"/>
              <w:rPr>
                <w:sz w:val="20"/>
                <w:szCs w:val="20"/>
              </w:rPr>
            </w:pPr>
            <w:r>
              <w:rPr>
                <w:sz w:val="20"/>
                <w:szCs w:val="20"/>
              </w:rPr>
              <w:t>Other</w:t>
            </w:r>
          </w:p>
        </w:tc>
        <w:tc>
          <w:tcPr>
            <w:tcW w:w="4508" w:type="dxa"/>
          </w:tcPr>
          <w:p w14:paraId="62C5187B" w14:textId="77777777" w:rsidR="00F45869" w:rsidRDefault="00F45869" w:rsidP="0062522E">
            <w:pPr>
              <w:spacing w:line="480" w:lineRule="auto"/>
              <w:rPr>
                <w:sz w:val="20"/>
                <w:szCs w:val="20"/>
              </w:rPr>
            </w:pPr>
          </w:p>
          <w:p w14:paraId="2EAC3B8B" w14:textId="77777777" w:rsidR="00F45869" w:rsidRDefault="00F45869" w:rsidP="0062522E">
            <w:pPr>
              <w:spacing w:line="480" w:lineRule="auto"/>
              <w:rPr>
                <w:sz w:val="20"/>
                <w:szCs w:val="20"/>
              </w:rPr>
            </w:pPr>
            <w:r>
              <w:rPr>
                <w:sz w:val="20"/>
                <w:szCs w:val="20"/>
              </w:rPr>
              <w:t>22 (22)</w:t>
            </w:r>
          </w:p>
          <w:p w14:paraId="3CAA7515" w14:textId="43C7C5CF" w:rsidR="00F45869" w:rsidRDefault="00F45869" w:rsidP="0062522E">
            <w:pPr>
              <w:spacing w:line="480" w:lineRule="auto"/>
              <w:rPr>
                <w:sz w:val="20"/>
                <w:szCs w:val="20"/>
              </w:rPr>
            </w:pPr>
            <w:r>
              <w:rPr>
                <w:sz w:val="20"/>
                <w:szCs w:val="20"/>
              </w:rPr>
              <w:t>76 (7</w:t>
            </w:r>
            <w:r w:rsidR="00257C63">
              <w:rPr>
                <w:sz w:val="20"/>
                <w:szCs w:val="20"/>
              </w:rPr>
              <w:t>5</w:t>
            </w:r>
            <w:r>
              <w:rPr>
                <w:sz w:val="20"/>
                <w:szCs w:val="20"/>
              </w:rPr>
              <w:t>)</w:t>
            </w:r>
          </w:p>
          <w:p w14:paraId="17C18EED" w14:textId="77777777" w:rsidR="00F45869" w:rsidRDefault="00F45869" w:rsidP="0062522E">
            <w:pPr>
              <w:spacing w:line="480" w:lineRule="auto"/>
              <w:rPr>
                <w:sz w:val="20"/>
                <w:szCs w:val="20"/>
              </w:rPr>
            </w:pPr>
            <w:r>
              <w:rPr>
                <w:sz w:val="20"/>
                <w:szCs w:val="20"/>
              </w:rPr>
              <w:t>0</w:t>
            </w:r>
          </w:p>
          <w:p w14:paraId="2CDE446F" w14:textId="550F18CB" w:rsidR="00F45869" w:rsidRDefault="00F45869" w:rsidP="0062522E">
            <w:pPr>
              <w:spacing w:line="480" w:lineRule="auto"/>
              <w:rPr>
                <w:sz w:val="20"/>
                <w:szCs w:val="20"/>
              </w:rPr>
            </w:pPr>
            <w:r>
              <w:rPr>
                <w:sz w:val="20"/>
                <w:szCs w:val="20"/>
              </w:rPr>
              <w:t>3 (3)</w:t>
            </w:r>
          </w:p>
        </w:tc>
      </w:tr>
      <w:tr w:rsidR="00F45869" w14:paraId="2089EEE2" w14:textId="77777777" w:rsidTr="79B85A27">
        <w:tc>
          <w:tcPr>
            <w:tcW w:w="4508" w:type="dxa"/>
          </w:tcPr>
          <w:p w14:paraId="42A95CC9" w14:textId="0DF9CFE5" w:rsidR="00F45869" w:rsidRDefault="003C4B91" w:rsidP="0062522E">
            <w:pPr>
              <w:spacing w:line="480" w:lineRule="auto"/>
              <w:rPr>
                <w:b/>
                <w:bCs/>
                <w:i/>
                <w:iCs/>
                <w:sz w:val="20"/>
                <w:szCs w:val="20"/>
              </w:rPr>
            </w:pPr>
            <w:r>
              <w:rPr>
                <w:b/>
                <w:bCs/>
                <w:i/>
                <w:iCs/>
                <w:sz w:val="20"/>
                <w:szCs w:val="20"/>
              </w:rPr>
              <w:lastRenderedPageBreak/>
              <w:t>Use of</w:t>
            </w:r>
            <w:r w:rsidR="00500C85">
              <w:rPr>
                <w:b/>
                <w:bCs/>
                <w:i/>
                <w:iCs/>
                <w:sz w:val="20"/>
                <w:szCs w:val="20"/>
              </w:rPr>
              <w:t xml:space="preserve"> </w:t>
            </w:r>
            <w:r>
              <w:rPr>
                <w:b/>
                <w:bCs/>
                <w:i/>
                <w:iCs/>
                <w:sz w:val="20"/>
                <w:szCs w:val="20"/>
              </w:rPr>
              <w:t>p</w:t>
            </w:r>
            <w:r w:rsidR="00F45869">
              <w:rPr>
                <w:b/>
                <w:bCs/>
                <w:i/>
                <w:iCs/>
                <w:sz w:val="20"/>
                <w:szCs w:val="20"/>
              </w:rPr>
              <w:t>ost-pyloric feeding</w:t>
            </w:r>
            <w:r w:rsidR="00D04FC0">
              <w:rPr>
                <w:b/>
                <w:bCs/>
                <w:i/>
                <w:iCs/>
                <w:sz w:val="20"/>
                <w:szCs w:val="20"/>
              </w:rPr>
              <w:t xml:space="preserve"> i</w:t>
            </w:r>
            <w:r w:rsidR="009F02DE">
              <w:rPr>
                <w:b/>
                <w:bCs/>
                <w:i/>
                <w:iCs/>
                <w:sz w:val="20"/>
                <w:szCs w:val="20"/>
              </w:rPr>
              <w:t xml:space="preserve">f </w:t>
            </w:r>
            <w:r w:rsidR="006B2F9D">
              <w:rPr>
                <w:b/>
                <w:bCs/>
                <w:i/>
                <w:iCs/>
                <w:sz w:val="20"/>
                <w:szCs w:val="20"/>
              </w:rPr>
              <w:t>gastric feeding not suitable</w:t>
            </w:r>
            <w:r w:rsidR="0091338E">
              <w:rPr>
                <w:b/>
                <w:bCs/>
                <w:i/>
                <w:iCs/>
                <w:sz w:val="20"/>
                <w:szCs w:val="20"/>
              </w:rPr>
              <w:t>/</w:t>
            </w:r>
            <w:r w:rsidR="006B2F9D">
              <w:rPr>
                <w:b/>
                <w:bCs/>
                <w:i/>
                <w:iCs/>
                <w:sz w:val="20"/>
                <w:szCs w:val="20"/>
              </w:rPr>
              <w:t>tolerated</w:t>
            </w:r>
            <w:r w:rsidR="00F45869">
              <w:rPr>
                <w:b/>
                <w:bCs/>
                <w:i/>
                <w:iCs/>
                <w:sz w:val="20"/>
                <w:szCs w:val="20"/>
              </w:rPr>
              <w:t>:</w:t>
            </w:r>
          </w:p>
          <w:p w14:paraId="7E62D9FC" w14:textId="1F19550F" w:rsidR="00F45869" w:rsidRDefault="00F45869" w:rsidP="0062522E">
            <w:pPr>
              <w:spacing w:line="480" w:lineRule="auto"/>
              <w:rPr>
                <w:sz w:val="20"/>
                <w:szCs w:val="20"/>
              </w:rPr>
            </w:pPr>
            <w:r>
              <w:rPr>
                <w:sz w:val="20"/>
                <w:szCs w:val="20"/>
              </w:rPr>
              <w:t>Yes</w:t>
            </w:r>
          </w:p>
          <w:p w14:paraId="3082F8B1" w14:textId="74649E01" w:rsidR="00F45869" w:rsidRPr="00F45869" w:rsidRDefault="00F45869" w:rsidP="0062522E">
            <w:pPr>
              <w:spacing w:line="480" w:lineRule="auto"/>
              <w:rPr>
                <w:sz w:val="20"/>
                <w:szCs w:val="20"/>
              </w:rPr>
            </w:pPr>
            <w:r>
              <w:rPr>
                <w:sz w:val="20"/>
                <w:szCs w:val="20"/>
              </w:rPr>
              <w:t>No</w:t>
            </w:r>
          </w:p>
        </w:tc>
        <w:tc>
          <w:tcPr>
            <w:tcW w:w="4508" w:type="dxa"/>
          </w:tcPr>
          <w:p w14:paraId="6DBB04DF" w14:textId="77777777" w:rsidR="00F45869" w:rsidRDefault="00F45869" w:rsidP="0062522E">
            <w:pPr>
              <w:spacing w:line="480" w:lineRule="auto"/>
              <w:rPr>
                <w:sz w:val="20"/>
                <w:szCs w:val="20"/>
              </w:rPr>
            </w:pPr>
          </w:p>
          <w:p w14:paraId="561E3CBF" w14:textId="77777777" w:rsidR="009F02DE" w:rsidRDefault="009F02DE" w:rsidP="0062522E">
            <w:pPr>
              <w:spacing w:line="480" w:lineRule="auto"/>
              <w:rPr>
                <w:sz w:val="20"/>
                <w:szCs w:val="20"/>
              </w:rPr>
            </w:pPr>
          </w:p>
          <w:p w14:paraId="2C39B1EA" w14:textId="739051D8" w:rsidR="00F45869" w:rsidRDefault="00F45869" w:rsidP="0062522E">
            <w:pPr>
              <w:spacing w:line="480" w:lineRule="auto"/>
              <w:rPr>
                <w:sz w:val="20"/>
                <w:szCs w:val="20"/>
              </w:rPr>
            </w:pPr>
            <w:r>
              <w:rPr>
                <w:sz w:val="20"/>
                <w:szCs w:val="20"/>
              </w:rPr>
              <w:t>91 (</w:t>
            </w:r>
            <w:r w:rsidR="00257C63">
              <w:rPr>
                <w:sz w:val="20"/>
                <w:szCs w:val="20"/>
              </w:rPr>
              <w:t>90</w:t>
            </w:r>
            <w:r>
              <w:rPr>
                <w:sz w:val="20"/>
                <w:szCs w:val="20"/>
              </w:rPr>
              <w:t>)</w:t>
            </w:r>
          </w:p>
          <w:p w14:paraId="2B8B7811" w14:textId="49BC8F5B" w:rsidR="00F45869" w:rsidRDefault="00F45869" w:rsidP="0062522E">
            <w:pPr>
              <w:spacing w:line="480" w:lineRule="auto"/>
              <w:rPr>
                <w:sz w:val="20"/>
                <w:szCs w:val="20"/>
              </w:rPr>
            </w:pPr>
            <w:r>
              <w:rPr>
                <w:sz w:val="20"/>
                <w:szCs w:val="20"/>
              </w:rPr>
              <w:t>10 (10)</w:t>
            </w:r>
          </w:p>
        </w:tc>
      </w:tr>
    </w:tbl>
    <w:p w14:paraId="6D60414C" w14:textId="066B50D6" w:rsidR="79B85A27" w:rsidRDefault="79B85A27"/>
    <w:p w14:paraId="356B7B41" w14:textId="5DBC6EE4" w:rsidR="007C4106" w:rsidRPr="00005011" w:rsidRDefault="007C4106" w:rsidP="00640142">
      <w:pPr>
        <w:spacing w:line="480" w:lineRule="auto"/>
        <w:rPr>
          <w:sz w:val="16"/>
          <w:szCs w:val="16"/>
        </w:rPr>
      </w:pPr>
    </w:p>
    <w:p w14:paraId="0E3271C3" w14:textId="6F3A94CD" w:rsidR="005F3E34" w:rsidRDefault="005F3E34" w:rsidP="00640142">
      <w:pPr>
        <w:spacing w:line="480" w:lineRule="auto"/>
        <w:rPr>
          <w:i/>
          <w:iCs/>
        </w:rPr>
      </w:pPr>
      <w:r w:rsidRPr="005F3E34">
        <w:rPr>
          <w:i/>
          <w:iCs/>
        </w:rPr>
        <w:t>Enteral feed tolerance</w:t>
      </w:r>
      <w:r w:rsidR="007E0D6E">
        <w:rPr>
          <w:i/>
          <w:iCs/>
        </w:rPr>
        <w:t xml:space="preserve"> and GRV monitoring</w:t>
      </w:r>
    </w:p>
    <w:p w14:paraId="3E08340E" w14:textId="107BFB27" w:rsidR="005F3E34" w:rsidRDefault="005F3E34" w:rsidP="00640142">
      <w:pPr>
        <w:spacing w:line="480" w:lineRule="auto"/>
      </w:pPr>
      <w:r>
        <w:tab/>
      </w:r>
      <w:r w:rsidR="007E0D6E">
        <w:t>7</w:t>
      </w:r>
      <w:r w:rsidR="00241101">
        <w:t>8</w:t>
      </w:r>
      <w:r w:rsidR="00206796">
        <w:t xml:space="preserve">% </w:t>
      </w:r>
      <w:r w:rsidR="007E0D6E">
        <w:t>(79</w:t>
      </w:r>
      <w:r w:rsidR="00206796">
        <w:t>/101</w:t>
      </w:r>
      <w:r w:rsidR="007E0D6E">
        <w:t xml:space="preserve">) </w:t>
      </w:r>
      <w:r w:rsidR="00206796">
        <w:t xml:space="preserve">of </w:t>
      </w:r>
      <w:r w:rsidR="007E0D6E">
        <w:t xml:space="preserve">ICUs reported having an agreed definition of </w:t>
      </w:r>
      <w:r w:rsidR="00EB57C6">
        <w:t>enteral feeding intolerance</w:t>
      </w:r>
      <w:r w:rsidR="007266A1">
        <w:t xml:space="preserve">, of which the most common was GRV measurement (Figure </w:t>
      </w:r>
      <w:r w:rsidR="007C4106">
        <w:t>1</w:t>
      </w:r>
      <w:r w:rsidR="007266A1">
        <w:t>)</w:t>
      </w:r>
      <w:r w:rsidR="007E0D6E">
        <w:t>.</w:t>
      </w:r>
      <w:r w:rsidR="00350908">
        <w:t xml:space="preserve"> 22 units reported no agreed definition</w:t>
      </w:r>
      <w:r w:rsidR="00CA2182">
        <w:t>;</w:t>
      </w:r>
      <w:r w:rsidR="00C65F65">
        <w:t xml:space="preserve"> however</w:t>
      </w:r>
      <w:r w:rsidR="00500C85">
        <w:t>,</w:t>
      </w:r>
      <w:r w:rsidR="00C65F65">
        <w:t xml:space="preserve"> </w:t>
      </w:r>
      <w:r w:rsidR="00D415DB">
        <w:t>eight</w:t>
      </w:r>
      <w:r w:rsidR="00C65F65">
        <w:t xml:space="preserve"> of these </w:t>
      </w:r>
      <w:r w:rsidR="001A31E6">
        <w:t>provided</w:t>
      </w:r>
      <w:r w:rsidR="00C65F65">
        <w:t xml:space="preserve"> details of the criteria used to monitor for </w:t>
      </w:r>
      <w:r w:rsidR="00EB57C6">
        <w:t>enteral feeding intolerance</w:t>
      </w:r>
      <w:r w:rsidR="007C4106">
        <w:t xml:space="preserve">. </w:t>
      </w:r>
      <w:r w:rsidR="007E0D6E">
        <w:t xml:space="preserve"> </w:t>
      </w:r>
    </w:p>
    <w:p w14:paraId="6BB6805B" w14:textId="0ACF4C51" w:rsidR="004F6D97" w:rsidRDefault="00651A6F" w:rsidP="00640142">
      <w:pPr>
        <w:spacing w:line="480" w:lineRule="auto"/>
        <w:jc w:val="both"/>
      </w:pPr>
      <w:r>
        <w:rPr>
          <w:noProof/>
        </w:rPr>
        <w:drawing>
          <wp:inline distT="0" distB="0" distL="0" distR="0" wp14:anchorId="4DAF7E37" wp14:editId="6089E60F">
            <wp:extent cx="4572000" cy="2743200"/>
            <wp:effectExtent l="0" t="0" r="0" b="0"/>
            <wp:docPr id="1" name="Chart 1">
              <a:extLst xmlns:a="http://schemas.openxmlformats.org/drawingml/2006/main">
                <a:ext uri="{FF2B5EF4-FFF2-40B4-BE49-F238E27FC236}">
                  <a16:creationId xmlns:a16="http://schemas.microsoft.com/office/drawing/2014/main" id="{1FDE9007-D9F8-402C-824F-180EB0543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AD6428" w14:textId="12EE41FE" w:rsidR="004F6D97" w:rsidRPr="00D929EA" w:rsidRDefault="004F6D97" w:rsidP="00640142">
      <w:pPr>
        <w:spacing w:line="480" w:lineRule="auto"/>
        <w:rPr>
          <w:b/>
          <w:bCs/>
        </w:rPr>
      </w:pPr>
      <w:r w:rsidRPr="00D929EA">
        <w:rPr>
          <w:b/>
          <w:bCs/>
        </w:rPr>
        <w:t xml:space="preserve">Figure 1: Criteria used to assess </w:t>
      </w:r>
      <w:r w:rsidR="00C877C9" w:rsidRPr="00D929EA">
        <w:rPr>
          <w:b/>
          <w:bCs/>
        </w:rPr>
        <w:t>enteral feeding intolerance</w:t>
      </w:r>
      <w:r w:rsidR="00CA2182" w:rsidRPr="00D929EA">
        <w:rPr>
          <w:b/>
          <w:bCs/>
        </w:rPr>
        <w:t xml:space="preserve"> among adult ICUs in the UK</w:t>
      </w:r>
    </w:p>
    <w:p w14:paraId="7C79A8C7" w14:textId="7F5EC61B" w:rsidR="004F6D97" w:rsidRDefault="004F6D97" w:rsidP="00640142">
      <w:pPr>
        <w:spacing w:line="480" w:lineRule="auto"/>
      </w:pPr>
      <w:r>
        <w:tab/>
      </w:r>
      <w:r w:rsidR="00550EB1">
        <w:t>98% (</w:t>
      </w:r>
      <w:r w:rsidR="00BD3E84">
        <w:t>99</w:t>
      </w:r>
      <w:r w:rsidR="00550EB1">
        <w:t>/101) of</w:t>
      </w:r>
      <w:r w:rsidR="00BD3E84">
        <w:t xml:space="preserve"> units reported routinely measuring GRV with </w:t>
      </w:r>
      <w:r w:rsidR="00D415DB">
        <w:t>two</w:t>
      </w:r>
      <w:r w:rsidR="00BD3E84">
        <w:t xml:space="preserve"> units reporting only measuring if </w:t>
      </w:r>
      <w:r w:rsidR="00CA2182">
        <w:t xml:space="preserve">they had </w:t>
      </w:r>
      <w:r w:rsidR="00BD3E84">
        <w:t xml:space="preserve">concerns over </w:t>
      </w:r>
      <w:r w:rsidR="005B0E4E">
        <w:t>feeding intolerance</w:t>
      </w:r>
      <w:r w:rsidR="007266A1">
        <w:t xml:space="preserve"> (Table 2)</w:t>
      </w:r>
      <w:r w:rsidR="00BD3E84">
        <w:t xml:space="preserve">. </w:t>
      </w:r>
    </w:p>
    <w:p w14:paraId="7378AC6C" w14:textId="7823A056" w:rsidR="00524F68" w:rsidRPr="00B62EF6" w:rsidRDefault="00524F68" w:rsidP="007266A1">
      <w:pPr>
        <w:spacing w:after="0" w:line="480" w:lineRule="auto"/>
        <w:rPr>
          <w:b/>
          <w:bCs/>
        </w:rPr>
      </w:pPr>
      <w:r w:rsidRPr="00B62EF6">
        <w:rPr>
          <w:b/>
          <w:bCs/>
        </w:rPr>
        <w:t>Table</w:t>
      </w:r>
      <w:r w:rsidR="007C4106" w:rsidRPr="00B62EF6">
        <w:rPr>
          <w:b/>
          <w:bCs/>
        </w:rPr>
        <w:t xml:space="preserve"> 2</w:t>
      </w:r>
      <w:r w:rsidRPr="00B62EF6">
        <w:rPr>
          <w:b/>
          <w:bCs/>
        </w:rPr>
        <w:t xml:space="preserve">: </w:t>
      </w:r>
      <w:r w:rsidR="00CA2182" w:rsidRPr="00B62EF6">
        <w:rPr>
          <w:b/>
          <w:bCs/>
        </w:rPr>
        <w:t xml:space="preserve">Summary of </w:t>
      </w:r>
      <w:r w:rsidRPr="00B62EF6">
        <w:rPr>
          <w:b/>
          <w:bCs/>
        </w:rPr>
        <w:t xml:space="preserve">GRV monitoring practices </w:t>
      </w:r>
      <w:r w:rsidR="00CA2182" w:rsidRPr="00B62EF6">
        <w:rPr>
          <w:b/>
          <w:bCs/>
        </w:rPr>
        <w:t>among adult ICUs in the UK</w:t>
      </w:r>
    </w:p>
    <w:tbl>
      <w:tblPr>
        <w:tblStyle w:val="TableGrid"/>
        <w:tblW w:w="0" w:type="auto"/>
        <w:tblLook w:val="04A0" w:firstRow="1" w:lastRow="0" w:firstColumn="1" w:lastColumn="0" w:noHBand="0" w:noVBand="1"/>
      </w:tblPr>
      <w:tblGrid>
        <w:gridCol w:w="4508"/>
        <w:gridCol w:w="4508"/>
      </w:tblGrid>
      <w:tr w:rsidR="008C4E00" w14:paraId="20CD61B4" w14:textId="77777777" w:rsidTr="008C4E00">
        <w:tc>
          <w:tcPr>
            <w:tcW w:w="4508" w:type="dxa"/>
          </w:tcPr>
          <w:p w14:paraId="4CAE7864" w14:textId="0D984A53" w:rsidR="008C4E00" w:rsidRPr="00524F68" w:rsidRDefault="008C4E00" w:rsidP="00640142">
            <w:pPr>
              <w:spacing w:line="480" w:lineRule="auto"/>
              <w:rPr>
                <w:b/>
                <w:bCs/>
                <w:sz w:val="20"/>
                <w:szCs w:val="20"/>
              </w:rPr>
            </w:pPr>
            <w:r w:rsidRPr="00524F68">
              <w:rPr>
                <w:b/>
                <w:bCs/>
                <w:sz w:val="20"/>
                <w:szCs w:val="20"/>
              </w:rPr>
              <w:t>GRV monitoring practice</w:t>
            </w:r>
          </w:p>
        </w:tc>
        <w:tc>
          <w:tcPr>
            <w:tcW w:w="4508" w:type="dxa"/>
          </w:tcPr>
          <w:p w14:paraId="5C4D694C" w14:textId="2AB5BC3F" w:rsidR="008C4E00" w:rsidRPr="00524F68" w:rsidRDefault="008C4E00" w:rsidP="00640142">
            <w:pPr>
              <w:spacing w:line="480" w:lineRule="auto"/>
              <w:rPr>
                <w:b/>
                <w:bCs/>
                <w:sz w:val="20"/>
                <w:szCs w:val="20"/>
              </w:rPr>
            </w:pPr>
            <w:r w:rsidRPr="00524F68">
              <w:rPr>
                <w:b/>
                <w:bCs/>
                <w:sz w:val="20"/>
                <w:szCs w:val="20"/>
              </w:rPr>
              <w:t>n (%)</w:t>
            </w:r>
          </w:p>
        </w:tc>
      </w:tr>
      <w:tr w:rsidR="008C4E00" w14:paraId="56E7DDD2" w14:textId="77777777" w:rsidTr="008C4E00">
        <w:tc>
          <w:tcPr>
            <w:tcW w:w="4508" w:type="dxa"/>
          </w:tcPr>
          <w:p w14:paraId="3F2B3C61" w14:textId="4B6915A8" w:rsidR="008C4E00" w:rsidRPr="00524F68" w:rsidRDefault="008C4E00" w:rsidP="00640142">
            <w:pPr>
              <w:spacing w:line="480" w:lineRule="auto"/>
              <w:rPr>
                <w:b/>
                <w:bCs/>
                <w:i/>
                <w:iCs/>
                <w:sz w:val="20"/>
                <w:szCs w:val="20"/>
              </w:rPr>
            </w:pPr>
            <w:r w:rsidRPr="00524F68">
              <w:rPr>
                <w:b/>
                <w:bCs/>
                <w:i/>
                <w:iCs/>
                <w:sz w:val="20"/>
                <w:szCs w:val="20"/>
              </w:rPr>
              <w:lastRenderedPageBreak/>
              <w:t>Frequency of monitoring:</w:t>
            </w:r>
          </w:p>
          <w:p w14:paraId="19709CA2" w14:textId="0F6287A5" w:rsidR="008C4E00" w:rsidRPr="00524F68" w:rsidRDefault="008C4E00" w:rsidP="00640142">
            <w:pPr>
              <w:spacing w:line="480" w:lineRule="auto"/>
              <w:rPr>
                <w:sz w:val="20"/>
                <w:szCs w:val="20"/>
              </w:rPr>
            </w:pPr>
            <w:r w:rsidRPr="00524F68">
              <w:rPr>
                <w:sz w:val="20"/>
                <w:szCs w:val="20"/>
              </w:rPr>
              <w:t xml:space="preserve">Before every new bag of </w:t>
            </w:r>
            <w:r w:rsidR="002C6816">
              <w:rPr>
                <w:sz w:val="20"/>
                <w:szCs w:val="20"/>
              </w:rPr>
              <w:t xml:space="preserve">enteral </w:t>
            </w:r>
            <w:r w:rsidRPr="00524F68">
              <w:rPr>
                <w:sz w:val="20"/>
                <w:szCs w:val="20"/>
              </w:rPr>
              <w:t>feed</w:t>
            </w:r>
          </w:p>
          <w:p w14:paraId="70685D6F" w14:textId="7F4A9EF8" w:rsidR="00597E5F" w:rsidRPr="00524F68" w:rsidRDefault="00597E5F" w:rsidP="00640142">
            <w:pPr>
              <w:spacing w:line="480" w:lineRule="auto"/>
              <w:rPr>
                <w:sz w:val="20"/>
                <w:szCs w:val="20"/>
              </w:rPr>
            </w:pPr>
            <w:r w:rsidRPr="00524F68">
              <w:rPr>
                <w:sz w:val="20"/>
                <w:szCs w:val="20"/>
              </w:rPr>
              <w:t xml:space="preserve">2 </w:t>
            </w:r>
            <w:proofErr w:type="gramStart"/>
            <w:r w:rsidRPr="00524F68">
              <w:rPr>
                <w:sz w:val="20"/>
                <w:szCs w:val="20"/>
              </w:rPr>
              <w:t>hourly</w:t>
            </w:r>
            <w:proofErr w:type="gramEnd"/>
          </w:p>
          <w:p w14:paraId="6CC17DF0" w14:textId="3901B1D4" w:rsidR="00597E5F" w:rsidRPr="00524F68" w:rsidRDefault="00597E5F" w:rsidP="00640142">
            <w:pPr>
              <w:spacing w:line="480" w:lineRule="auto"/>
              <w:rPr>
                <w:sz w:val="20"/>
                <w:szCs w:val="20"/>
              </w:rPr>
            </w:pPr>
            <w:r w:rsidRPr="00524F68">
              <w:rPr>
                <w:sz w:val="20"/>
                <w:szCs w:val="20"/>
              </w:rPr>
              <w:t xml:space="preserve">4 </w:t>
            </w:r>
            <w:proofErr w:type="gramStart"/>
            <w:r w:rsidRPr="00524F68">
              <w:rPr>
                <w:sz w:val="20"/>
                <w:szCs w:val="20"/>
              </w:rPr>
              <w:t>hourly</w:t>
            </w:r>
            <w:proofErr w:type="gramEnd"/>
          </w:p>
          <w:p w14:paraId="110FEE41" w14:textId="3C1115D3" w:rsidR="00597E5F" w:rsidRPr="00524F68" w:rsidRDefault="00597E5F" w:rsidP="00640142">
            <w:pPr>
              <w:spacing w:line="480" w:lineRule="auto"/>
              <w:rPr>
                <w:sz w:val="20"/>
                <w:szCs w:val="20"/>
              </w:rPr>
            </w:pPr>
            <w:r w:rsidRPr="00524F68">
              <w:rPr>
                <w:sz w:val="20"/>
                <w:szCs w:val="20"/>
              </w:rPr>
              <w:t xml:space="preserve">6 </w:t>
            </w:r>
            <w:proofErr w:type="gramStart"/>
            <w:r w:rsidRPr="00524F68">
              <w:rPr>
                <w:sz w:val="20"/>
                <w:szCs w:val="20"/>
              </w:rPr>
              <w:t>hourly</w:t>
            </w:r>
            <w:proofErr w:type="gramEnd"/>
          </w:p>
          <w:p w14:paraId="767F08DB" w14:textId="217C3B77" w:rsidR="00597E5F" w:rsidRPr="00524F68" w:rsidRDefault="00597E5F" w:rsidP="00640142">
            <w:pPr>
              <w:spacing w:line="480" w:lineRule="auto"/>
              <w:rPr>
                <w:sz w:val="20"/>
                <w:szCs w:val="20"/>
              </w:rPr>
            </w:pPr>
            <w:r w:rsidRPr="00524F68">
              <w:rPr>
                <w:sz w:val="20"/>
                <w:szCs w:val="20"/>
              </w:rPr>
              <w:t xml:space="preserve">8 </w:t>
            </w:r>
            <w:proofErr w:type="gramStart"/>
            <w:r w:rsidRPr="00524F68">
              <w:rPr>
                <w:sz w:val="20"/>
                <w:szCs w:val="20"/>
              </w:rPr>
              <w:t>hourly</w:t>
            </w:r>
            <w:proofErr w:type="gramEnd"/>
          </w:p>
          <w:p w14:paraId="360206C5" w14:textId="0C0393F9" w:rsidR="00597E5F" w:rsidRPr="00524F68" w:rsidRDefault="00597E5F" w:rsidP="00640142">
            <w:pPr>
              <w:spacing w:line="480" w:lineRule="auto"/>
              <w:rPr>
                <w:sz w:val="20"/>
                <w:szCs w:val="20"/>
              </w:rPr>
            </w:pPr>
            <w:r w:rsidRPr="00524F68">
              <w:rPr>
                <w:sz w:val="20"/>
                <w:szCs w:val="20"/>
              </w:rPr>
              <w:t>Once per shift</w:t>
            </w:r>
          </w:p>
          <w:p w14:paraId="0229E8BF" w14:textId="6D5743F0" w:rsidR="008C4E00" w:rsidRPr="00524F68" w:rsidRDefault="00597E5F" w:rsidP="00640142">
            <w:pPr>
              <w:spacing w:line="480" w:lineRule="auto"/>
              <w:rPr>
                <w:sz w:val="20"/>
                <w:szCs w:val="20"/>
              </w:rPr>
            </w:pPr>
            <w:r w:rsidRPr="00524F68">
              <w:rPr>
                <w:sz w:val="20"/>
                <w:szCs w:val="20"/>
              </w:rPr>
              <w:t xml:space="preserve">Only if concerns over </w:t>
            </w:r>
            <w:r w:rsidR="008E6A88">
              <w:rPr>
                <w:sz w:val="20"/>
                <w:szCs w:val="20"/>
              </w:rPr>
              <w:t>enteral feeding intolerance</w:t>
            </w:r>
          </w:p>
        </w:tc>
        <w:tc>
          <w:tcPr>
            <w:tcW w:w="4508" w:type="dxa"/>
          </w:tcPr>
          <w:p w14:paraId="3D6244EC" w14:textId="77777777" w:rsidR="008C4E00" w:rsidRPr="00524F68" w:rsidRDefault="008C4E00" w:rsidP="00640142">
            <w:pPr>
              <w:spacing w:line="480" w:lineRule="auto"/>
              <w:rPr>
                <w:sz w:val="20"/>
                <w:szCs w:val="20"/>
              </w:rPr>
            </w:pPr>
          </w:p>
          <w:p w14:paraId="57C28967" w14:textId="77777777" w:rsidR="00597E5F" w:rsidRPr="00524F68" w:rsidRDefault="00597E5F" w:rsidP="00640142">
            <w:pPr>
              <w:spacing w:line="480" w:lineRule="auto"/>
              <w:rPr>
                <w:sz w:val="20"/>
                <w:szCs w:val="20"/>
              </w:rPr>
            </w:pPr>
            <w:r w:rsidRPr="00524F68">
              <w:rPr>
                <w:sz w:val="20"/>
                <w:szCs w:val="20"/>
              </w:rPr>
              <w:t>1 (1)</w:t>
            </w:r>
          </w:p>
          <w:p w14:paraId="02EEBE06" w14:textId="77777777" w:rsidR="00597E5F" w:rsidRPr="00524F68" w:rsidRDefault="00597E5F" w:rsidP="00640142">
            <w:pPr>
              <w:spacing w:line="480" w:lineRule="auto"/>
              <w:rPr>
                <w:sz w:val="20"/>
                <w:szCs w:val="20"/>
              </w:rPr>
            </w:pPr>
            <w:r w:rsidRPr="00524F68">
              <w:rPr>
                <w:sz w:val="20"/>
                <w:szCs w:val="20"/>
              </w:rPr>
              <w:t>1 (1)</w:t>
            </w:r>
          </w:p>
          <w:p w14:paraId="52C945AF" w14:textId="5988A62E" w:rsidR="00597E5F" w:rsidRPr="00524F68" w:rsidRDefault="00597E5F" w:rsidP="00640142">
            <w:pPr>
              <w:spacing w:line="480" w:lineRule="auto"/>
              <w:rPr>
                <w:sz w:val="20"/>
                <w:szCs w:val="20"/>
              </w:rPr>
            </w:pPr>
            <w:r w:rsidRPr="00524F68">
              <w:rPr>
                <w:sz w:val="20"/>
                <w:szCs w:val="20"/>
              </w:rPr>
              <w:t>77</w:t>
            </w:r>
            <w:r w:rsidR="00F154BE">
              <w:rPr>
                <w:sz w:val="20"/>
                <w:szCs w:val="20"/>
              </w:rPr>
              <w:t xml:space="preserve"> </w:t>
            </w:r>
            <w:r w:rsidRPr="00524F68">
              <w:rPr>
                <w:sz w:val="20"/>
                <w:szCs w:val="20"/>
              </w:rPr>
              <w:t>(7</w:t>
            </w:r>
            <w:r w:rsidR="00AD04D8">
              <w:rPr>
                <w:sz w:val="20"/>
                <w:szCs w:val="20"/>
              </w:rPr>
              <w:t>6</w:t>
            </w:r>
            <w:r w:rsidRPr="00524F68">
              <w:rPr>
                <w:sz w:val="20"/>
                <w:szCs w:val="20"/>
              </w:rPr>
              <w:t>)</w:t>
            </w:r>
          </w:p>
          <w:p w14:paraId="4BB2B465" w14:textId="77777777" w:rsidR="00597E5F" w:rsidRPr="00524F68" w:rsidRDefault="00597E5F" w:rsidP="00640142">
            <w:pPr>
              <w:spacing w:line="480" w:lineRule="auto"/>
              <w:rPr>
                <w:sz w:val="20"/>
                <w:szCs w:val="20"/>
              </w:rPr>
            </w:pPr>
            <w:r w:rsidRPr="00524F68">
              <w:rPr>
                <w:sz w:val="20"/>
                <w:szCs w:val="20"/>
              </w:rPr>
              <w:t>18 (18)</w:t>
            </w:r>
          </w:p>
          <w:p w14:paraId="5F4D7E7C" w14:textId="77777777" w:rsidR="00597E5F" w:rsidRPr="00524F68" w:rsidRDefault="00597E5F" w:rsidP="00640142">
            <w:pPr>
              <w:spacing w:line="480" w:lineRule="auto"/>
              <w:rPr>
                <w:sz w:val="20"/>
                <w:szCs w:val="20"/>
              </w:rPr>
            </w:pPr>
            <w:r w:rsidRPr="00524F68">
              <w:rPr>
                <w:sz w:val="20"/>
                <w:szCs w:val="20"/>
              </w:rPr>
              <w:t>1 (1)</w:t>
            </w:r>
          </w:p>
          <w:p w14:paraId="3A21F57D" w14:textId="77777777" w:rsidR="00597E5F" w:rsidRPr="00524F68" w:rsidRDefault="00597E5F" w:rsidP="00640142">
            <w:pPr>
              <w:spacing w:line="480" w:lineRule="auto"/>
              <w:rPr>
                <w:sz w:val="20"/>
                <w:szCs w:val="20"/>
              </w:rPr>
            </w:pPr>
            <w:r w:rsidRPr="00524F68">
              <w:rPr>
                <w:sz w:val="20"/>
                <w:szCs w:val="20"/>
              </w:rPr>
              <w:t>1 (1)</w:t>
            </w:r>
          </w:p>
          <w:p w14:paraId="1CD29D43" w14:textId="12F43618" w:rsidR="00597E5F" w:rsidRPr="00524F68" w:rsidRDefault="00597E5F" w:rsidP="00640142">
            <w:pPr>
              <w:spacing w:line="480" w:lineRule="auto"/>
              <w:rPr>
                <w:sz w:val="20"/>
                <w:szCs w:val="20"/>
              </w:rPr>
            </w:pPr>
            <w:r w:rsidRPr="00524F68">
              <w:rPr>
                <w:sz w:val="20"/>
                <w:szCs w:val="20"/>
              </w:rPr>
              <w:t>2 (2)</w:t>
            </w:r>
          </w:p>
        </w:tc>
      </w:tr>
      <w:tr w:rsidR="008C4E00" w14:paraId="793F905D" w14:textId="77777777" w:rsidTr="008C4E00">
        <w:tc>
          <w:tcPr>
            <w:tcW w:w="4508" w:type="dxa"/>
          </w:tcPr>
          <w:p w14:paraId="5C2EA15A" w14:textId="41DCDC1A" w:rsidR="008C4E00" w:rsidRPr="00524F68" w:rsidRDefault="00597E5F" w:rsidP="00640142">
            <w:pPr>
              <w:spacing w:line="480" w:lineRule="auto"/>
              <w:rPr>
                <w:b/>
                <w:bCs/>
                <w:i/>
                <w:iCs/>
                <w:sz w:val="20"/>
                <w:szCs w:val="20"/>
              </w:rPr>
            </w:pPr>
            <w:r w:rsidRPr="00524F68">
              <w:rPr>
                <w:b/>
                <w:bCs/>
                <w:i/>
                <w:iCs/>
                <w:sz w:val="20"/>
                <w:szCs w:val="20"/>
              </w:rPr>
              <w:t>GRV monitoring differs between patient groups:</w:t>
            </w:r>
          </w:p>
          <w:p w14:paraId="7006BA32" w14:textId="2D8F2B49" w:rsidR="00597E5F" w:rsidRPr="00524F68" w:rsidRDefault="00597E5F" w:rsidP="00640142">
            <w:pPr>
              <w:spacing w:line="480" w:lineRule="auto"/>
              <w:rPr>
                <w:sz w:val="20"/>
                <w:szCs w:val="20"/>
              </w:rPr>
            </w:pPr>
            <w:r w:rsidRPr="00524F68">
              <w:rPr>
                <w:sz w:val="20"/>
                <w:szCs w:val="20"/>
              </w:rPr>
              <w:t>Ventilated and non-ventilated</w:t>
            </w:r>
          </w:p>
          <w:p w14:paraId="687C5CB2" w14:textId="6342BFD6" w:rsidR="00597E5F" w:rsidRPr="00524F68" w:rsidRDefault="00597E5F" w:rsidP="00640142">
            <w:pPr>
              <w:spacing w:line="480" w:lineRule="auto"/>
              <w:rPr>
                <w:sz w:val="20"/>
                <w:szCs w:val="20"/>
              </w:rPr>
            </w:pPr>
            <w:proofErr w:type="spellStart"/>
            <w:r w:rsidRPr="00524F68">
              <w:rPr>
                <w:sz w:val="20"/>
                <w:szCs w:val="20"/>
              </w:rPr>
              <w:t>Proned</w:t>
            </w:r>
            <w:proofErr w:type="spellEnd"/>
            <w:r w:rsidRPr="00524F68">
              <w:rPr>
                <w:sz w:val="20"/>
                <w:szCs w:val="20"/>
              </w:rPr>
              <w:t xml:space="preserve"> and non-</w:t>
            </w:r>
            <w:proofErr w:type="spellStart"/>
            <w:r w:rsidRPr="00524F68">
              <w:rPr>
                <w:sz w:val="20"/>
                <w:szCs w:val="20"/>
              </w:rPr>
              <w:t>proned</w:t>
            </w:r>
            <w:proofErr w:type="spellEnd"/>
          </w:p>
          <w:p w14:paraId="1835A0E6" w14:textId="04232901" w:rsidR="00597E5F" w:rsidRPr="00524F68" w:rsidRDefault="00597E5F" w:rsidP="00640142">
            <w:pPr>
              <w:spacing w:line="480" w:lineRule="auto"/>
              <w:rPr>
                <w:sz w:val="20"/>
                <w:szCs w:val="20"/>
              </w:rPr>
            </w:pPr>
            <w:r w:rsidRPr="00524F68">
              <w:rPr>
                <w:sz w:val="20"/>
                <w:szCs w:val="20"/>
              </w:rPr>
              <w:t>Post gastrointestinal surgery</w:t>
            </w:r>
            <w:r w:rsidR="005F4B2A">
              <w:rPr>
                <w:sz w:val="20"/>
                <w:szCs w:val="20"/>
              </w:rPr>
              <w:t xml:space="preserve"> and non</w:t>
            </w:r>
            <w:r w:rsidR="00F1231D">
              <w:rPr>
                <w:sz w:val="20"/>
                <w:szCs w:val="20"/>
              </w:rPr>
              <w:t>-gastrointestinal surgery</w:t>
            </w:r>
          </w:p>
        </w:tc>
        <w:tc>
          <w:tcPr>
            <w:tcW w:w="4508" w:type="dxa"/>
          </w:tcPr>
          <w:p w14:paraId="25477D46" w14:textId="77777777" w:rsidR="00597E5F" w:rsidRPr="00524F68" w:rsidRDefault="00597E5F" w:rsidP="00640142">
            <w:pPr>
              <w:spacing w:line="480" w:lineRule="auto"/>
              <w:rPr>
                <w:sz w:val="20"/>
                <w:szCs w:val="20"/>
              </w:rPr>
            </w:pPr>
          </w:p>
          <w:p w14:paraId="6A6976A5" w14:textId="476C6ABC" w:rsidR="00597E5F" w:rsidRPr="00524F68" w:rsidRDefault="00597E5F" w:rsidP="00640142">
            <w:pPr>
              <w:spacing w:line="480" w:lineRule="auto"/>
              <w:rPr>
                <w:sz w:val="20"/>
                <w:szCs w:val="20"/>
              </w:rPr>
            </w:pPr>
            <w:r w:rsidRPr="00524F68">
              <w:rPr>
                <w:sz w:val="20"/>
                <w:szCs w:val="20"/>
              </w:rPr>
              <w:t>7 (7)</w:t>
            </w:r>
          </w:p>
          <w:p w14:paraId="4DF7F106" w14:textId="77777777" w:rsidR="00597E5F" w:rsidRPr="00524F68" w:rsidRDefault="00597E5F" w:rsidP="00640142">
            <w:pPr>
              <w:spacing w:line="480" w:lineRule="auto"/>
              <w:rPr>
                <w:sz w:val="20"/>
                <w:szCs w:val="20"/>
              </w:rPr>
            </w:pPr>
            <w:r w:rsidRPr="00524F68">
              <w:rPr>
                <w:sz w:val="20"/>
                <w:szCs w:val="20"/>
              </w:rPr>
              <w:t>42 (42)</w:t>
            </w:r>
          </w:p>
          <w:p w14:paraId="5C6A68B3" w14:textId="0AAE567A" w:rsidR="00597E5F" w:rsidRPr="00524F68" w:rsidRDefault="00597E5F" w:rsidP="00640142">
            <w:pPr>
              <w:spacing w:line="480" w:lineRule="auto"/>
              <w:rPr>
                <w:sz w:val="20"/>
                <w:szCs w:val="20"/>
              </w:rPr>
            </w:pPr>
            <w:r w:rsidRPr="00524F68">
              <w:rPr>
                <w:sz w:val="20"/>
                <w:szCs w:val="20"/>
              </w:rPr>
              <w:t>13 (13)</w:t>
            </w:r>
          </w:p>
        </w:tc>
      </w:tr>
      <w:tr w:rsidR="008C4E00" w14:paraId="3D1BCE39" w14:textId="77777777" w:rsidTr="008C4E00">
        <w:tc>
          <w:tcPr>
            <w:tcW w:w="4508" w:type="dxa"/>
          </w:tcPr>
          <w:p w14:paraId="713FF120" w14:textId="71B3B0A0" w:rsidR="008C4E00" w:rsidRDefault="00597E5F" w:rsidP="00640142">
            <w:pPr>
              <w:spacing w:line="480" w:lineRule="auto"/>
              <w:rPr>
                <w:b/>
                <w:bCs/>
                <w:i/>
                <w:iCs/>
                <w:sz w:val="20"/>
                <w:szCs w:val="20"/>
              </w:rPr>
            </w:pPr>
            <w:r w:rsidRPr="00524F68">
              <w:rPr>
                <w:b/>
                <w:bCs/>
                <w:i/>
                <w:iCs/>
                <w:sz w:val="20"/>
                <w:szCs w:val="20"/>
              </w:rPr>
              <w:t>Guidance is in place for the technique</w:t>
            </w:r>
            <w:r w:rsidR="00CA2182">
              <w:rPr>
                <w:b/>
                <w:bCs/>
                <w:i/>
                <w:iCs/>
                <w:sz w:val="20"/>
                <w:szCs w:val="20"/>
              </w:rPr>
              <w:t xml:space="preserve"> used</w:t>
            </w:r>
            <w:r w:rsidRPr="00524F68">
              <w:rPr>
                <w:b/>
                <w:bCs/>
                <w:i/>
                <w:iCs/>
                <w:sz w:val="20"/>
                <w:szCs w:val="20"/>
              </w:rPr>
              <w:t xml:space="preserve"> to measure GR</w:t>
            </w:r>
            <w:r w:rsidR="00AC19BD">
              <w:rPr>
                <w:b/>
                <w:bCs/>
                <w:i/>
                <w:iCs/>
                <w:sz w:val="20"/>
                <w:szCs w:val="20"/>
              </w:rPr>
              <w:t>V:</w:t>
            </w:r>
          </w:p>
          <w:p w14:paraId="16922ADC" w14:textId="178080A4" w:rsidR="00CA2182" w:rsidRPr="00500C85" w:rsidRDefault="00CA2182" w:rsidP="00640142">
            <w:pPr>
              <w:spacing w:line="480" w:lineRule="auto"/>
              <w:rPr>
                <w:sz w:val="20"/>
                <w:szCs w:val="20"/>
              </w:rPr>
            </w:pPr>
            <w:r w:rsidRPr="00500C85">
              <w:rPr>
                <w:sz w:val="20"/>
                <w:szCs w:val="20"/>
              </w:rPr>
              <w:t>Yes</w:t>
            </w:r>
          </w:p>
        </w:tc>
        <w:tc>
          <w:tcPr>
            <w:tcW w:w="4508" w:type="dxa"/>
          </w:tcPr>
          <w:p w14:paraId="63C5DA51" w14:textId="77777777" w:rsidR="00524F68" w:rsidRDefault="00524F68" w:rsidP="00640142">
            <w:pPr>
              <w:spacing w:line="480" w:lineRule="auto"/>
              <w:rPr>
                <w:sz w:val="20"/>
                <w:szCs w:val="20"/>
              </w:rPr>
            </w:pPr>
          </w:p>
          <w:p w14:paraId="538AEA1E" w14:textId="77777777" w:rsidR="00CA2182" w:rsidRDefault="00CA2182" w:rsidP="00640142">
            <w:pPr>
              <w:spacing w:line="480" w:lineRule="auto"/>
              <w:rPr>
                <w:sz w:val="20"/>
                <w:szCs w:val="20"/>
              </w:rPr>
            </w:pPr>
          </w:p>
          <w:p w14:paraId="00830322" w14:textId="37D3CDCC" w:rsidR="008C4E00" w:rsidRPr="00524F68" w:rsidRDefault="00597E5F" w:rsidP="00640142">
            <w:pPr>
              <w:spacing w:line="480" w:lineRule="auto"/>
              <w:rPr>
                <w:sz w:val="20"/>
                <w:szCs w:val="20"/>
              </w:rPr>
            </w:pPr>
            <w:r w:rsidRPr="00524F68">
              <w:rPr>
                <w:sz w:val="20"/>
                <w:szCs w:val="20"/>
              </w:rPr>
              <w:t>28 (28)</w:t>
            </w:r>
          </w:p>
        </w:tc>
      </w:tr>
      <w:tr w:rsidR="008C4E00" w14:paraId="2C67EE45" w14:textId="77777777" w:rsidTr="008C4E00">
        <w:tc>
          <w:tcPr>
            <w:tcW w:w="4508" w:type="dxa"/>
          </w:tcPr>
          <w:p w14:paraId="14A64CBF" w14:textId="77777777" w:rsidR="008C4E00" w:rsidRPr="00524F68" w:rsidRDefault="00597E5F" w:rsidP="00640142">
            <w:pPr>
              <w:spacing w:line="480" w:lineRule="auto"/>
              <w:rPr>
                <w:b/>
                <w:bCs/>
                <w:i/>
                <w:iCs/>
                <w:sz w:val="20"/>
                <w:szCs w:val="20"/>
              </w:rPr>
            </w:pPr>
            <w:r w:rsidRPr="00524F68">
              <w:rPr>
                <w:b/>
                <w:bCs/>
                <w:i/>
                <w:iCs/>
                <w:sz w:val="20"/>
                <w:szCs w:val="20"/>
              </w:rPr>
              <w:t>Nurses measure GRV as per unit protocol:</w:t>
            </w:r>
          </w:p>
          <w:p w14:paraId="5EC83439" w14:textId="77777777" w:rsidR="00597E5F" w:rsidRPr="00524F68" w:rsidRDefault="00597E5F" w:rsidP="00640142">
            <w:pPr>
              <w:spacing w:line="480" w:lineRule="auto"/>
              <w:rPr>
                <w:sz w:val="20"/>
                <w:szCs w:val="20"/>
              </w:rPr>
            </w:pPr>
            <w:r w:rsidRPr="00524F68">
              <w:rPr>
                <w:sz w:val="20"/>
                <w:szCs w:val="20"/>
              </w:rPr>
              <w:t>Always</w:t>
            </w:r>
          </w:p>
          <w:p w14:paraId="15E8B24F" w14:textId="77777777" w:rsidR="00597E5F" w:rsidRPr="00524F68" w:rsidRDefault="00597E5F" w:rsidP="00640142">
            <w:pPr>
              <w:spacing w:line="480" w:lineRule="auto"/>
              <w:rPr>
                <w:sz w:val="20"/>
                <w:szCs w:val="20"/>
              </w:rPr>
            </w:pPr>
            <w:r w:rsidRPr="00524F68">
              <w:rPr>
                <w:sz w:val="20"/>
                <w:szCs w:val="20"/>
              </w:rPr>
              <w:t>Usually</w:t>
            </w:r>
          </w:p>
          <w:p w14:paraId="1051E422" w14:textId="77777777" w:rsidR="00597E5F" w:rsidRPr="00524F68" w:rsidRDefault="00597E5F" w:rsidP="00640142">
            <w:pPr>
              <w:spacing w:line="480" w:lineRule="auto"/>
              <w:rPr>
                <w:sz w:val="20"/>
                <w:szCs w:val="20"/>
              </w:rPr>
            </w:pPr>
            <w:r w:rsidRPr="00524F68">
              <w:rPr>
                <w:sz w:val="20"/>
                <w:szCs w:val="20"/>
              </w:rPr>
              <w:t>Often</w:t>
            </w:r>
          </w:p>
          <w:p w14:paraId="6EC33440" w14:textId="0820404B" w:rsidR="00597E5F" w:rsidRPr="00524F68" w:rsidRDefault="00597E5F" w:rsidP="00640142">
            <w:pPr>
              <w:spacing w:line="480" w:lineRule="auto"/>
              <w:rPr>
                <w:sz w:val="20"/>
                <w:szCs w:val="20"/>
              </w:rPr>
            </w:pPr>
            <w:r w:rsidRPr="00524F68">
              <w:rPr>
                <w:sz w:val="20"/>
                <w:szCs w:val="20"/>
              </w:rPr>
              <w:t>Rarely</w:t>
            </w:r>
          </w:p>
        </w:tc>
        <w:tc>
          <w:tcPr>
            <w:tcW w:w="4508" w:type="dxa"/>
          </w:tcPr>
          <w:p w14:paraId="551C745E" w14:textId="77777777" w:rsidR="00597E5F" w:rsidRPr="00524F68" w:rsidRDefault="00597E5F" w:rsidP="00640142">
            <w:pPr>
              <w:spacing w:line="480" w:lineRule="auto"/>
              <w:rPr>
                <w:sz w:val="20"/>
                <w:szCs w:val="20"/>
              </w:rPr>
            </w:pPr>
          </w:p>
          <w:p w14:paraId="7CB41AA4" w14:textId="77777777" w:rsidR="00597E5F" w:rsidRPr="00524F68" w:rsidRDefault="00597E5F" w:rsidP="00640142">
            <w:pPr>
              <w:spacing w:line="480" w:lineRule="auto"/>
              <w:rPr>
                <w:sz w:val="20"/>
                <w:szCs w:val="20"/>
              </w:rPr>
            </w:pPr>
            <w:r w:rsidRPr="00524F68">
              <w:rPr>
                <w:sz w:val="20"/>
                <w:szCs w:val="20"/>
              </w:rPr>
              <w:t>48 (48)</w:t>
            </w:r>
          </w:p>
          <w:p w14:paraId="5927A5FC" w14:textId="77777777" w:rsidR="00597E5F" w:rsidRPr="00524F68" w:rsidRDefault="00597E5F" w:rsidP="00640142">
            <w:pPr>
              <w:spacing w:line="480" w:lineRule="auto"/>
              <w:rPr>
                <w:sz w:val="20"/>
                <w:szCs w:val="20"/>
              </w:rPr>
            </w:pPr>
            <w:r w:rsidRPr="00524F68">
              <w:rPr>
                <w:sz w:val="20"/>
                <w:szCs w:val="20"/>
              </w:rPr>
              <w:t>47 (47)</w:t>
            </w:r>
          </w:p>
          <w:p w14:paraId="32D95B96" w14:textId="77777777" w:rsidR="00597E5F" w:rsidRPr="00524F68" w:rsidRDefault="00597E5F" w:rsidP="00640142">
            <w:pPr>
              <w:spacing w:line="480" w:lineRule="auto"/>
              <w:rPr>
                <w:sz w:val="20"/>
                <w:szCs w:val="20"/>
              </w:rPr>
            </w:pPr>
            <w:r w:rsidRPr="00524F68">
              <w:rPr>
                <w:sz w:val="20"/>
                <w:szCs w:val="20"/>
              </w:rPr>
              <w:t>5 (5)</w:t>
            </w:r>
          </w:p>
          <w:p w14:paraId="51B874DC" w14:textId="08428B90" w:rsidR="00597E5F" w:rsidRPr="00524F68" w:rsidRDefault="00597E5F" w:rsidP="00640142">
            <w:pPr>
              <w:spacing w:line="480" w:lineRule="auto"/>
              <w:rPr>
                <w:sz w:val="20"/>
                <w:szCs w:val="20"/>
              </w:rPr>
            </w:pPr>
            <w:r w:rsidRPr="00524F68">
              <w:rPr>
                <w:sz w:val="20"/>
                <w:szCs w:val="20"/>
              </w:rPr>
              <w:t>1 (1)</w:t>
            </w:r>
          </w:p>
        </w:tc>
      </w:tr>
      <w:tr w:rsidR="008C4E00" w14:paraId="561F0C22" w14:textId="77777777" w:rsidTr="008C4E00">
        <w:tc>
          <w:tcPr>
            <w:tcW w:w="4508" w:type="dxa"/>
          </w:tcPr>
          <w:p w14:paraId="550479DA" w14:textId="42D26401" w:rsidR="008C4E00" w:rsidRDefault="00597E5F" w:rsidP="00640142">
            <w:pPr>
              <w:spacing w:line="480" w:lineRule="auto"/>
              <w:rPr>
                <w:b/>
                <w:bCs/>
                <w:i/>
                <w:iCs/>
                <w:sz w:val="20"/>
                <w:szCs w:val="20"/>
              </w:rPr>
            </w:pPr>
            <w:r w:rsidRPr="00524F68">
              <w:rPr>
                <w:b/>
                <w:bCs/>
                <w:i/>
                <w:iCs/>
                <w:sz w:val="20"/>
                <w:szCs w:val="20"/>
              </w:rPr>
              <w:t>Syr</w:t>
            </w:r>
            <w:r w:rsidR="00DE379E" w:rsidRPr="00524F68">
              <w:rPr>
                <w:b/>
                <w:bCs/>
                <w:i/>
                <w:iCs/>
                <w:sz w:val="20"/>
                <w:szCs w:val="20"/>
              </w:rPr>
              <w:t>inge size to measure GRV specified</w:t>
            </w:r>
            <w:r w:rsidR="00524F68" w:rsidRPr="00524F68">
              <w:rPr>
                <w:b/>
                <w:bCs/>
                <w:i/>
                <w:iCs/>
                <w:sz w:val="20"/>
                <w:szCs w:val="20"/>
              </w:rPr>
              <w:t>:</w:t>
            </w:r>
          </w:p>
          <w:p w14:paraId="1C5342D2" w14:textId="5749D193" w:rsidR="00CA2182" w:rsidRPr="00AC19BD" w:rsidRDefault="00CA2182" w:rsidP="00640142">
            <w:pPr>
              <w:spacing w:line="480" w:lineRule="auto"/>
              <w:rPr>
                <w:sz w:val="20"/>
                <w:szCs w:val="20"/>
              </w:rPr>
            </w:pPr>
            <w:r w:rsidRPr="00AC19BD">
              <w:rPr>
                <w:sz w:val="20"/>
                <w:szCs w:val="20"/>
              </w:rPr>
              <w:t>Yes</w:t>
            </w:r>
          </w:p>
          <w:p w14:paraId="09C64B0F" w14:textId="77777777" w:rsidR="00DE379E" w:rsidRPr="00524F68" w:rsidRDefault="00DE379E" w:rsidP="00640142">
            <w:pPr>
              <w:spacing w:line="480" w:lineRule="auto"/>
              <w:rPr>
                <w:sz w:val="20"/>
                <w:szCs w:val="20"/>
              </w:rPr>
            </w:pPr>
            <w:r w:rsidRPr="00524F68">
              <w:rPr>
                <w:sz w:val="20"/>
                <w:szCs w:val="20"/>
              </w:rPr>
              <w:t>60 ml</w:t>
            </w:r>
          </w:p>
          <w:p w14:paraId="0F0CD7F5" w14:textId="77777777" w:rsidR="00DE379E" w:rsidRPr="00524F68" w:rsidRDefault="00DE379E" w:rsidP="00640142">
            <w:pPr>
              <w:spacing w:line="480" w:lineRule="auto"/>
              <w:rPr>
                <w:sz w:val="20"/>
                <w:szCs w:val="20"/>
              </w:rPr>
            </w:pPr>
            <w:r w:rsidRPr="00524F68">
              <w:rPr>
                <w:sz w:val="20"/>
                <w:szCs w:val="20"/>
              </w:rPr>
              <w:t>50 ml</w:t>
            </w:r>
          </w:p>
          <w:p w14:paraId="2A2C9872" w14:textId="2AA30CAE" w:rsidR="00DE379E" w:rsidRPr="00524F68" w:rsidRDefault="00DE379E" w:rsidP="00640142">
            <w:pPr>
              <w:spacing w:line="480" w:lineRule="auto"/>
              <w:rPr>
                <w:sz w:val="20"/>
                <w:szCs w:val="20"/>
              </w:rPr>
            </w:pPr>
            <w:r w:rsidRPr="00524F68">
              <w:rPr>
                <w:sz w:val="20"/>
                <w:szCs w:val="20"/>
              </w:rPr>
              <w:t>20ml</w:t>
            </w:r>
          </w:p>
        </w:tc>
        <w:tc>
          <w:tcPr>
            <w:tcW w:w="4508" w:type="dxa"/>
          </w:tcPr>
          <w:p w14:paraId="1B0276DB" w14:textId="77777777" w:rsidR="00CA2182" w:rsidRDefault="00CA2182" w:rsidP="00640142">
            <w:pPr>
              <w:spacing w:line="480" w:lineRule="auto"/>
              <w:rPr>
                <w:sz w:val="20"/>
                <w:szCs w:val="20"/>
              </w:rPr>
            </w:pPr>
          </w:p>
          <w:p w14:paraId="0C559401" w14:textId="208A4F82" w:rsidR="008C4E00" w:rsidRPr="00524F68" w:rsidRDefault="00DE379E" w:rsidP="00640142">
            <w:pPr>
              <w:spacing w:line="480" w:lineRule="auto"/>
              <w:rPr>
                <w:sz w:val="20"/>
                <w:szCs w:val="20"/>
              </w:rPr>
            </w:pPr>
            <w:r w:rsidRPr="00524F68">
              <w:rPr>
                <w:sz w:val="20"/>
                <w:szCs w:val="20"/>
              </w:rPr>
              <w:t>62 (6</w:t>
            </w:r>
            <w:r w:rsidR="00AD04D8">
              <w:rPr>
                <w:sz w:val="20"/>
                <w:szCs w:val="20"/>
              </w:rPr>
              <w:t>1</w:t>
            </w:r>
            <w:r w:rsidRPr="00524F68">
              <w:rPr>
                <w:sz w:val="20"/>
                <w:szCs w:val="20"/>
              </w:rPr>
              <w:t>)</w:t>
            </w:r>
          </w:p>
          <w:p w14:paraId="1F58203B" w14:textId="4073D963" w:rsidR="00DE379E" w:rsidRPr="00524F68" w:rsidRDefault="00DE379E" w:rsidP="00640142">
            <w:pPr>
              <w:spacing w:line="480" w:lineRule="auto"/>
              <w:rPr>
                <w:sz w:val="20"/>
                <w:szCs w:val="20"/>
              </w:rPr>
            </w:pPr>
            <w:r w:rsidRPr="00524F68">
              <w:rPr>
                <w:sz w:val="20"/>
                <w:szCs w:val="20"/>
              </w:rPr>
              <w:t>49 (79)</w:t>
            </w:r>
          </w:p>
          <w:p w14:paraId="313BB3B6" w14:textId="2E0057E2" w:rsidR="00DE379E" w:rsidRPr="00524F68" w:rsidRDefault="00DE379E" w:rsidP="00640142">
            <w:pPr>
              <w:spacing w:line="480" w:lineRule="auto"/>
              <w:rPr>
                <w:sz w:val="20"/>
                <w:szCs w:val="20"/>
              </w:rPr>
            </w:pPr>
            <w:r w:rsidRPr="00524F68">
              <w:rPr>
                <w:sz w:val="20"/>
                <w:szCs w:val="20"/>
              </w:rPr>
              <w:t>12 (19)</w:t>
            </w:r>
          </w:p>
          <w:p w14:paraId="0BE11CEB" w14:textId="3020ACC1" w:rsidR="00DE379E" w:rsidRPr="00524F68" w:rsidRDefault="00DE379E" w:rsidP="00640142">
            <w:pPr>
              <w:spacing w:line="480" w:lineRule="auto"/>
              <w:rPr>
                <w:sz w:val="20"/>
                <w:szCs w:val="20"/>
              </w:rPr>
            </w:pPr>
            <w:r w:rsidRPr="00524F68">
              <w:rPr>
                <w:sz w:val="20"/>
                <w:szCs w:val="20"/>
              </w:rPr>
              <w:t>1 (2)</w:t>
            </w:r>
          </w:p>
        </w:tc>
      </w:tr>
      <w:tr w:rsidR="008C4E00" w14:paraId="77DC68D7" w14:textId="77777777" w:rsidTr="008C4E00">
        <w:tc>
          <w:tcPr>
            <w:tcW w:w="4508" w:type="dxa"/>
          </w:tcPr>
          <w:p w14:paraId="7E22CCC8" w14:textId="39087E19" w:rsidR="008C4E00" w:rsidRPr="00524F68" w:rsidRDefault="000F30B9" w:rsidP="00640142">
            <w:pPr>
              <w:spacing w:line="480" w:lineRule="auto"/>
              <w:rPr>
                <w:b/>
                <w:bCs/>
                <w:i/>
                <w:iCs/>
                <w:sz w:val="20"/>
                <w:szCs w:val="20"/>
              </w:rPr>
            </w:pPr>
            <w:r w:rsidRPr="00524F68">
              <w:rPr>
                <w:b/>
                <w:bCs/>
                <w:i/>
                <w:iCs/>
                <w:sz w:val="20"/>
                <w:szCs w:val="20"/>
              </w:rPr>
              <w:t>Feeding method (continuous vs intermittent) affect</w:t>
            </w:r>
            <w:r w:rsidR="00524F68" w:rsidRPr="00524F68">
              <w:rPr>
                <w:b/>
                <w:bCs/>
                <w:i/>
                <w:iCs/>
                <w:sz w:val="20"/>
                <w:szCs w:val="20"/>
              </w:rPr>
              <w:t>s</w:t>
            </w:r>
            <w:r w:rsidRPr="00524F68">
              <w:rPr>
                <w:b/>
                <w:bCs/>
                <w:i/>
                <w:iCs/>
                <w:sz w:val="20"/>
                <w:szCs w:val="20"/>
              </w:rPr>
              <w:t xml:space="preserve"> frequency of GRV measurement:</w:t>
            </w:r>
          </w:p>
          <w:p w14:paraId="04735FC4" w14:textId="77777777" w:rsidR="000F30B9" w:rsidRPr="00524F68" w:rsidRDefault="000F30B9" w:rsidP="00640142">
            <w:pPr>
              <w:spacing w:line="480" w:lineRule="auto"/>
              <w:rPr>
                <w:sz w:val="20"/>
                <w:szCs w:val="20"/>
              </w:rPr>
            </w:pPr>
            <w:r w:rsidRPr="00524F68">
              <w:rPr>
                <w:sz w:val="20"/>
                <w:szCs w:val="20"/>
              </w:rPr>
              <w:lastRenderedPageBreak/>
              <w:t>Yes</w:t>
            </w:r>
          </w:p>
          <w:p w14:paraId="232C378A" w14:textId="77777777" w:rsidR="000F30B9" w:rsidRPr="00524F68" w:rsidRDefault="000F30B9" w:rsidP="00640142">
            <w:pPr>
              <w:spacing w:line="480" w:lineRule="auto"/>
              <w:rPr>
                <w:sz w:val="20"/>
                <w:szCs w:val="20"/>
              </w:rPr>
            </w:pPr>
            <w:r w:rsidRPr="00524F68">
              <w:rPr>
                <w:sz w:val="20"/>
                <w:szCs w:val="20"/>
              </w:rPr>
              <w:t>No</w:t>
            </w:r>
          </w:p>
          <w:p w14:paraId="00214700" w14:textId="450A9737" w:rsidR="000F30B9" w:rsidRPr="00524F68" w:rsidRDefault="000F30B9" w:rsidP="00640142">
            <w:pPr>
              <w:spacing w:line="480" w:lineRule="auto"/>
              <w:rPr>
                <w:sz w:val="20"/>
                <w:szCs w:val="20"/>
              </w:rPr>
            </w:pPr>
            <w:r w:rsidRPr="00524F68">
              <w:rPr>
                <w:sz w:val="20"/>
                <w:szCs w:val="20"/>
              </w:rPr>
              <w:t>Maybe</w:t>
            </w:r>
          </w:p>
        </w:tc>
        <w:tc>
          <w:tcPr>
            <w:tcW w:w="4508" w:type="dxa"/>
          </w:tcPr>
          <w:p w14:paraId="40F76BE3" w14:textId="77777777" w:rsidR="008C4E00" w:rsidRPr="00524F68" w:rsidRDefault="008C4E00" w:rsidP="00640142">
            <w:pPr>
              <w:spacing w:line="480" w:lineRule="auto"/>
              <w:rPr>
                <w:sz w:val="20"/>
                <w:szCs w:val="20"/>
              </w:rPr>
            </w:pPr>
          </w:p>
          <w:p w14:paraId="70891430" w14:textId="77777777" w:rsidR="000F30B9" w:rsidRPr="00524F68" w:rsidRDefault="000F30B9" w:rsidP="00640142">
            <w:pPr>
              <w:spacing w:line="480" w:lineRule="auto"/>
              <w:rPr>
                <w:sz w:val="20"/>
                <w:szCs w:val="20"/>
              </w:rPr>
            </w:pPr>
          </w:p>
          <w:p w14:paraId="469A7EDB" w14:textId="77777777" w:rsidR="000F30B9" w:rsidRPr="00524F68" w:rsidRDefault="000F30B9" w:rsidP="00640142">
            <w:pPr>
              <w:spacing w:line="480" w:lineRule="auto"/>
              <w:rPr>
                <w:sz w:val="20"/>
                <w:szCs w:val="20"/>
              </w:rPr>
            </w:pPr>
            <w:r w:rsidRPr="00524F68">
              <w:rPr>
                <w:sz w:val="20"/>
                <w:szCs w:val="20"/>
              </w:rPr>
              <w:lastRenderedPageBreak/>
              <w:t>7 (7)</w:t>
            </w:r>
          </w:p>
          <w:p w14:paraId="7A611070" w14:textId="202B6592" w:rsidR="000F30B9" w:rsidRPr="00524F68" w:rsidRDefault="000F30B9" w:rsidP="00640142">
            <w:pPr>
              <w:spacing w:line="480" w:lineRule="auto"/>
              <w:rPr>
                <w:sz w:val="20"/>
                <w:szCs w:val="20"/>
              </w:rPr>
            </w:pPr>
            <w:r w:rsidRPr="00524F68">
              <w:rPr>
                <w:sz w:val="20"/>
                <w:szCs w:val="20"/>
              </w:rPr>
              <w:t>89 (8</w:t>
            </w:r>
            <w:r w:rsidR="007B303A">
              <w:rPr>
                <w:sz w:val="20"/>
                <w:szCs w:val="20"/>
              </w:rPr>
              <w:t>8</w:t>
            </w:r>
            <w:r w:rsidRPr="00524F68">
              <w:rPr>
                <w:sz w:val="20"/>
                <w:szCs w:val="20"/>
              </w:rPr>
              <w:t>)</w:t>
            </w:r>
          </w:p>
          <w:p w14:paraId="17AD8BE4" w14:textId="2F001357" w:rsidR="000F30B9" w:rsidRPr="00524F68" w:rsidRDefault="000F30B9" w:rsidP="00640142">
            <w:pPr>
              <w:spacing w:line="480" w:lineRule="auto"/>
              <w:rPr>
                <w:sz w:val="20"/>
                <w:szCs w:val="20"/>
              </w:rPr>
            </w:pPr>
            <w:r w:rsidRPr="00524F68">
              <w:rPr>
                <w:sz w:val="20"/>
                <w:szCs w:val="20"/>
              </w:rPr>
              <w:t>5 (5)</w:t>
            </w:r>
          </w:p>
        </w:tc>
      </w:tr>
      <w:tr w:rsidR="008C4E00" w14:paraId="7AD3A5B8" w14:textId="77777777" w:rsidTr="008C4E00">
        <w:tc>
          <w:tcPr>
            <w:tcW w:w="4508" w:type="dxa"/>
          </w:tcPr>
          <w:p w14:paraId="18AA2568" w14:textId="77777777" w:rsidR="008C4E00" w:rsidRPr="00524F68" w:rsidRDefault="000F30B9" w:rsidP="00640142">
            <w:pPr>
              <w:spacing w:line="480" w:lineRule="auto"/>
              <w:rPr>
                <w:b/>
                <w:bCs/>
                <w:i/>
                <w:iCs/>
                <w:sz w:val="20"/>
                <w:szCs w:val="20"/>
              </w:rPr>
            </w:pPr>
            <w:r w:rsidRPr="00524F68">
              <w:rPr>
                <w:b/>
                <w:bCs/>
                <w:i/>
                <w:iCs/>
                <w:sz w:val="20"/>
                <w:szCs w:val="20"/>
              </w:rPr>
              <w:lastRenderedPageBreak/>
              <w:t>Patient age or weight impacts on GRV measurement:</w:t>
            </w:r>
          </w:p>
          <w:p w14:paraId="2E4C83B5" w14:textId="77777777" w:rsidR="000F30B9" w:rsidRPr="00524F68" w:rsidRDefault="000F30B9" w:rsidP="00640142">
            <w:pPr>
              <w:spacing w:line="480" w:lineRule="auto"/>
              <w:rPr>
                <w:sz w:val="20"/>
                <w:szCs w:val="20"/>
              </w:rPr>
            </w:pPr>
            <w:r w:rsidRPr="00524F68">
              <w:rPr>
                <w:sz w:val="20"/>
                <w:szCs w:val="20"/>
              </w:rPr>
              <w:t>Yes</w:t>
            </w:r>
          </w:p>
          <w:p w14:paraId="5DAF0575" w14:textId="79917E19" w:rsidR="000F30B9" w:rsidRPr="00524F68" w:rsidRDefault="000F30B9" w:rsidP="00640142">
            <w:pPr>
              <w:spacing w:line="480" w:lineRule="auto"/>
              <w:rPr>
                <w:sz w:val="20"/>
                <w:szCs w:val="20"/>
              </w:rPr>
            </w:pPr>
            <w:r w:rsidRPr="00524F68">
              <w:rPr>
                <w:sz w:val="20"/>
                <w:szCs w:val="20"/>
              </w:rPr>
              <w:t>No</w:t>
            </w:r>
          </w:p>
        </w:tc>
        <w:tc>
          <w:tcPr>
            <w:tcW w:w="4508" w:type="dxa"/>
          </w:tcPr>
          <w:p w14:paraId="49846D64" w14:textId="77777777" w:rsidR="008C4E00" w:rsidRPr="00524F68" w:rsidRDefault="008C4E00" w:rsidP="00640142">
            <w:pPr>
              <w:spacing w:line="480" w:lineRule="auto"/>
              <w:rPr>
                <w:sz w:val="20"/>
                <w:szCs w:val="20"/>
              </w:rPr>
            </w:pPr>
          </w:p>
          <w:p w14:paraId="65A5FEF5" w14:textId="77777777" w:rsidR="000F30B9" w:rsidRPr="00524F68" w:rsidRDefault="000F30B9" w:rsidP="00640142">
            <w:pPr>
              <w:spacing w:line="480" w:lineRule="auto"/>
              <w:rPr>
                <w:sz w:val="20"/>
                <w:szCs w:val="20"/>
              </w:rPr>
            </w:pPr>
          </w:p>
          <w:p w14:paraId="3159922B" w14:textId="77777777" w:rsidR="000F30B9" w:rsidRPr="00524F68" w:rsidRDefault="000F30B9" w:rsidP="00640142">
            <w:pPr>
              <w:spacing w:line="480" w:lineRule="auto"/>
              <w:rPr>
                <w:sz w:val="20"/>
                <w:szCs w:val="20"/>
              </w:rPr>
            </w:pPr>
            <w:r w:rsidRPr="00524F68">
              <w:rPr>
                <w:sz w:val="20"/>
                <w:szCs w:val="20"/>
              </w:rPr>
              <w:t>6 (6)</w:t>
            </w:r>
          </w:p>
          <w:p w14:paraId="1E714793" w14:textId="700FC898" w:rsidR="000F30B9" w:rsidRPr="00524F68" w:rsidRDefault="000F30B9" w:rsidP="00640142">
            <w:pPr>
              <w:spacing w:line="480" w:lineRule="auto"/>
              <w:rPr>
                <w:sz w:val="20"/>
                <w:szCs w:val="20"/>
              </w:rPr>
            </w:pPr>
            <w:r w:rsidRPr="00524F68">
              <w:rPr>
                <w:sz w:val="20"/>
                <w:szCs w:val="20"/>
              </w:rPr>
              <w:t>95 (9</w:t>
            </w:r>
            <w:r w:rsidR="007B303A">
              <w:rPr>
                <w:sz w:val="20"/>
                <w:szCs w:val="20"/>
              </w:rPr>
              <w:t>4</w:t>
            </w:r>
            <w:r w:rsidRPr="00524F68">
              <w:rPr>
                <w:sz w:val="20"/>
                <w:szCs w:val="20"/>
              </w:rPr>
              <w:t>)</w:t>
            </w:r>
          </w:p>
        </w:tc>
      </w:tr>
      <w:tr w:rsidR="00D375BD" w14:paraId="06D9C00F" w14:textId="77777777" w:rsidTr="008C4E00">
        <w:tc>
          <w:tcPr>
            <w:tcW w:w="4508" w:type="dxa"/>
          </w:tcPr>
          <w:p w14:paraId="3142825F" w14:textId="66076D6B" w:rsidR="00D375BD" w:rsidRPr="00524F68" w:rsidRDefault="00D375BD" w:rsidP="00640142">
            <w:pPr>
              <w:spacing w:line="480" w:lineRule="auto"/>
              <w:rPr>
                <w:b/>
                <w:bCs/>
                <w:i/>
                <w:iCs/>
                <w:sz w:val="20"/>
                <w:szCs w:val="20"/>
              </w:rPr>
            </w:pPr>
            <w:r w:rsidRPr="00524F68">
              <w:rPr>
                <w:b/>
                <w:bCs/>
                <w:i/>
                <w:iCs/>
                <w:sz w:val="20"/>
                <w:szCs w:val="20"/>
              </w:rPr>
              <w:t>GRV threshold for reducing</w:t>
            </w:r>
            <w:r w:rsidR="00161DC4" w:rsidRPr="00524F68">
              <w:rPr>
                <w:b/>
                <w:bCs/>
                <w:i/>
                <w:iCs/>
                <w:sz w:val="20"/>
                <w:szCs w:val="20"/>
              </w:rPr>
              <w:t xml:space="preserve"> /</w:t>
            </w:r>
            <w:r w:rsidRPr="00524F68">
              <w:rPr>
                <w:b/>
                <w:bCs/>
                <w:i/>
                <w:iCs/>
                <w:sz w:val="20"/>
                <w:szCs w:val="20"/>
              </w:rPr>
              <w:t xml:space="preserve"> stopping feeds</w:t>
            </w:r>
            <w:r w:rsidR="00161DC4" w:rsidRPr="00524F68">
              <w:rPr>
                <w:b/>
                <w:bCs/>
                <w:i/>
                <w:iCs/>
                <w:sz w:val="20"/>
                <w:szCs w:val="20"/>
              </w:rPr>
              <w:t>:</w:t>
            </w:r>
          </w:p>
          <w:p w14:paraId="45FD7CFC" w14:textId="585E84D4" w:rsidR="00161DC4" w:rsidRPr="00524F68" w:rsidRDefault="007A6A5E" w:rsidP="00640142">
            <w:pPr>
              <w:spacing w:line="480" w:lineRule="auto"/>
              <w:rPr>
                <w:sz w:val="20"/>
                <w:szCs w:val="20"/>
              </w:rPr>
            </w:pPr>
            <w:r w:rsidRPr="00524F68">
              <w:rPr>
                <w:sz w:val="20"/>
                <w:szCs w:val="20"/>
              </w:rPr>
              <w:t>200 ml</w:t>
            </w:r>
          </w:p>
          <w:p w14:paraId="7B11FAB8" w14:textId="3D1A9F71" w:rsidR="007A6A5E" w:rsidRPr="00524F68" w:rsidRDefault="007A6A5E" w:rsidP="00640142">
            <w:pPr>
              <w:spacing w:line="480" w:lineRule="auto"/>
              <w:rPr>
                <w:sz w:val="20"/>
                <w:szCs w:val="20"/>
              </w:rPr>
            </w:pPr>
            <w:r w:rsidRPr="00524F68">
              <w:rPr>
                <w:sz w:val="20"/>
                <w:szCs w:val="20"/>
              </w:rPr>
              <w:t>250 ml</w:t>
            </w:r>
          </w:p>
          <w:p w14:paraId="41639781" w14:textId="57C3B630" w:rsidR="007A6A5E" w:rsidRPr="00524F68" w:rsidRDefault="007A6A5E" w:rsidP="00640142">
            <w:pPr>
              <w:spacing w:line="480" w:lineRule="auto"/>
              <w:rPr>
                <w:sz w:val="20"/>
                <w:szCs w:val="20"/>
              </w:rPr>
            </w:pPr>
            <w:r w:rsidRPr="00524F68">
              <w:rPr>
                <w:sz w:val="20"/>
                <w:szCs w:val="20"/>
              </w:rPr>
              <w:t>300 ml</w:t>
            </w:r>
          </w:p>
          <w:p w14:paraId="0A31417B" w14:textId="7B226650" w:rsidR="007A6A5E" w:rsidRPr="00524F68" w:rsidRDefault="007A6A5E" w:rsidP="00640142">
            <w:pPr>
              <w:spacing w:line="480" w:lineRule="auto"/>
              <w:rPr>
                <w:sz w:val="20"/>
                <w:szCs w:val="20"/>
              </w:rPr>
            </w:pPr>
            <w:r w:rsidRPr="00524F68">
              <w:rPr>
                <w:sz w:val="20"/>
                <w:szCs w:val="20"/>
              </w:rPr>
              <w:t>350 ml</w:t>
            </w:r>
          </w:p>
          <w:p w14:paraId="71BC15FA" w14:textId="68287133" w:rsidR="007A6A5E" w:rsidRPr="00524F68" w:rsidRDefault="007A6A5E" w:rsidP="00640142">
            <w:pPr>
              <w:spacing w:line="480" w:lineRule="auto"/>
              <w:rPr>
                <w:sz w:val="20"/>
                <w:szCs w:val="20"/>
              </w:rPr>
            </w:pPr>
            <w:r w:rsidRPr="00524F68">
              <w:rPr>
                <w:sz w:val="20"/>
                <w:szCs w:val="20"/>
              </w:rPr>
              <w:t>400 ml</w:t>
            </w:r>
          </w:p>
          <w:p w14:paraId="728BB16D" w14:textId="1A397071" w:rsidR="007A6A5E" w:rsidRPr="00524F68" w:rsidRDefault="007A6A5E" w:rsidP="00640142">
            <w:pPr>
              <w:spacing w:line="480" w:lineRule="auto"/>
              <w:rPr>
                <w:sz w:val="20"/>
                <w:szCs w:val="20"/>
              </w:rPr>
            </w:pPr>
            <w:r w:rsidRPr="00524F68">
              <w:rPr>
                <w:sz w:val="20"/>
                <w:szCs w:val="20"/>
              </w:rPr>
              <w:t>500 ml</w:t>
            </w:r>
          </w:p>
          <w:p w14:paraId="289B566D" w14:textId="05759105" w:rsidR="007A6A5E" w:rsidRPr="00524F68" w:rsidRDefault="007A6A5E" w:rsidP="00640142">
            <w:pPr>
              <w:spacing w:line="480" w:lineRule="auto"/>
              <w:rPr>
                <w:sz w:val="20"/>
                <w:szCs w:val="20"/>
              </w:rPr>
            </w:pPr>
            <w:r w:rsidRPr="00524F68">
              <w:rPr>
                <w:sz w:val="20"/>
                <w:szCs w:val="20"/>
              </w:rPr>
              <w:t>1000 ml</w:t>
            </w:r>
          </w:p>
          <w:p w14:paraId="0A4928B0" w14:textId="4E82F2B9" w:rsidR="007A6A5E" w:rsidRPr="00524F68" w:rsidRDefault="007A6A5E" w:rsidP="00640142">
            <w:pPr>
              <w:spacing w:line="480" w:lineRule="auto"/>
              <w:rPr>
                <w:sz w:val="20"/>
                <w:szCs w:val="20"/>
              </w:rPr>
            </w:pPr>
            <w:r w:rsidRPr="00524F68">
              <w:rPr>
                <w:sz w:val="20"/>
                <w:szCs w:val="20"/>
              </w:rPr>
              <w:t>No limit</w:t>
            </w:r>
          </w:p>
          <w:p w14:paraId="7FA429E6" w14:textId="6D4866DA" w:rsidR="00D375BD" w:rsidRPr="00524F68" w:rsidRDefault="007A6A5E" w:rsidP="00640142">
            <w:pPr>
              <w:spacing w:line="480" w:lineRule="auto"/>
              <w:rPr>
                <w:sz w:val="20"/>
                <w:szCs w:val="20"/>
              </w:rPr>
            </w:pPr>
            <w:r w:rsidRPr="00524F68">
              <w:rPr>
                <w:sz w:val="20"/>
                <w:szCs w:val="20"/>
              </w:rPr>
              <w:t>Not stated</w:t>
            </w:r>
          </w:p>
        </w:tc>
        <w:tc>
          <w:tcPr>
            <w:tcW w:w="4508" w:type="dxa"/>
          </w:tcPr>
          <w:p w14:paraId="11AF6733" w14:textId="77777777" w:rsidR="00D375BD" w:rsidRPr="00524F68" w:rsidRDefault="00D375BD" w:rsidP="00640142">
            <w:pPr>
              <w:spacing w:line="480" w:lineRule="auto"/>
              <w:rPr>
                <w:sz w:val="20"/>
                <w:szCs w:val="20"/>
              </w:rPr>
            </w:pPr>
          </w:p>
          <w:p w14:paraId="57A4D2FE" w14:textId="77777777" w:rsidR="007A6A5E" w:rsidRPr="00524F68" w:rsidRDefault="007A6A5E" w:rsidP="00640142">
            <w:pPr>
              <w:spacing w:line="480" w:lineRule="auto"/>
              <w:rPr>
                <w:sz w:val="20"/>
                <w:szCs w:val="20"/>
              </w:rPr>
            </w:pPr>
            <w:r w:rsidRPr="00524F68">
              <w:rPr>
                <w:sz w:val="20"/>
                <w:szCs w:val="20"/>
              </w:rPr>
              <w:t>5 (5)</w:t>
            </w:r>
          </w:p>
          <w:p w14:paraId="199B81FA" w14:textId="77777777" w:rsidR="007A6A5E" w:rsidRPr="00524F68" w:rsidRDefault="007A6A5E" w:rsidP="00640142">
            <w:pPr>
              <w:spacing w:line="480" w:lineRule="auto"/>
              <w:rPr>
                <w:sz w:val="20"/>
                <w:szCs w:val="20"/>
              </w:rPr>
            </w:pPr>
            <w:r w:rsidRPr="00524F68">
              <w:rPr>
                <w:sz w:val="20"/>
                <w:szCs w:val="20"/>
              </w:rPr>
              <w:t>9 (9)</w:t>
            </w:r>
          </w:p>
          <w:p w14:paraId="6E922F25" w14:textId="77777777" w:rsidR="007A6A5E" w:rsidRPr="00524F68" w:rsidRDefault="007A6A5E" w:rsidP="00640142">
            <w:pPr>
              <w:spacing w:line="480" w:lineRule="auto"/>
              <w:rPr>
                <w:sz w:val="20"/>
                <w:szCs w:val="20"/>
              </w:rPr>
            </w:pPr>
            <w:r w:rsidRPr="00524F68">
              <w:rPr>
                <w:sz w:val="20"/>
                <w:szCs w:val="20"/>
              </w:rPr>
              <w:t>19 (19)</w:t>
            </w:r>
          </w:p>
          <w:p w14:paraId="01D48066" w14:textId="77777777" w:rsidR="007A6A5E" w:rsidRPr="00524F68" w:rsidRDefault="007A6A5E" w:rsidP="00640142">
            <w:pPr>
              <w:spacing w:line="480" w:lineRule="auto"/>
              <w:rPr>
                <w:sz w:val="20"/>
                <w:szCs w:val="20"/>
              </w:rPr>
            </w:pPr>
            <w:r w:rsidRPr="00524F68">
              <w:rPr>
                <w:sz w:val="20"/>
                <w:szCs w:val="20"/>
              </w:rPr>
              <w:t>5 (5)</w:t>
            </w:r>
          </w:p>
          <w:p w14:paraId="20E000E2" w14:textId="77777777" w:rsidR="007A6A5E" w:rsidRPr="00524F68" w:rsidRDefault="007A6A5E" w:rsidP="00640142">
            <w:pPr>
              <w:spacing w:line="480" w:lineRule="auto"/>
              <w:rPr>
                <w:sz w:val="20"/>
                <w:szCs w:val="20"/>
              </w:rPr>
            </w:pPr>
            <w:r w:rsidRPr="00524F68">
              <w:rPr>
                <w:sz w:val="20"/>
                <w:szCs w:val="20"/>
              </w:rPr>
              <w:t>26 (26)</w:t>
            </w:r>
          </w:p>
          <w:p w14:paraId="4C79662F" w14:textId="77777777" w:rsidR="007A6A5E" w:rsidRPr="00524F68" w:rsidRDefault="007A6A5E" w:rsidP="00640142">
            <w:pPr>
              <w:spacing w:line="480" w:lineRule="auto"/>
              <w:rPr>
                <w:sz w:val="20"/>
                <w:szCs w:val="20"/>
              </w:rPr>
            </w:pPr>
            <w:r w:rsidRPr="00524F68">
              <w:rPr>
                <w:sz w:val="20"/>
                <w:szCs w:val="20"/>
              </w:rPr>
              <w:t>29 (29)</w:t>
            </w:r>
          </w:p>
          <w:p w14:paraId="39F7B3FE" w14:textId="77777777" w:rsidR="007A6A5E" w:rsidRPr="00524F68" w:rsidRDefault="007A6A5E" w:rsidP="00640142">
            <w:pPr>
              <w:spacing w:line="480" w:lineRule="auto"/>
              <w:rPr>
                <w:sz w:val="20"/>
                <w:szCs w:val="20"/>
              </w:rPr>
            </w:pPr>
            <w:r w:rsidRPr="00524F68">
              <w:rPr>
                <w:sz w:val="20"/>
                <w:szCs w:val="20"/>
              </w:rPr>
              <w:t>4 (4)</w:t>
            </w:r>
          </w:p>
          <w:p w14:paraId="1ABE0CB0" w14:textId="77777777" w:rsidR="007A6A5E" w:rsidRPr="00524F68" w:rsidRDefault="007A6A5E" w:rsidP="00640142">
            <w:pPr>
              <w:spacing w:line="480" w:lineRule="auto"/>
              <w:rPr>
                <w:sz w:val="20"/>
                <w:szCs w:val="20"/>
              </w:rPr>
            </w:pPr>
            <w:r w:rsidRPr="00524F68">
              <w:rPr>
                <w:sz w:val="20"/>
                <w:szCs w:val="20"/>
              </w:rPr>
              <w:t>3 (3)</w:t>
            </w:r>
          </w:p>
          <w:p w14:paraId="57E8538A" w14:textId="61779977" w:rsidR="007A6A5E" w:rsidRPr="00524F68" w:rsidRDefault="007A6A5E" w:rsidP="00640142">
            <w:pPr>
              <w:spacing w:line="480" w:lineRule="auto"/>
              <w:rPr>
                <w:sz w:val="20"/>
                <w:szCs w:val="20"/>
              </w:rPr>
            </w:pPr>
            <w:r w:rsidRPr="00524F68">
              <w:rPr>
                <w:sz w:val="20"/>
                <w:szCs w:val="20"/>
              </w:rPr>
              <w:t>1 (1)</w:t>
            </w:r>
          </w:p>
        </w:tc>
      </w:tr>
      <w:tr w:rsidR="00217AB4" w14:paraId="6A7B08EA" w14:textId="77777777" w:rsidTr="008C4E00">
        <w:tc>
          <w:tcPr>
            <w:tcW w:w="4508" w:type="dxa"/>
          </w:tcPr>
          <w:p w14:paraId="0E5B0400" w14:textId="326778BF" w:rsidR="00217AB4" w:rsidRPr="00524F68" w:rsidRDefault="00CA2182" w:rsidP="00640142">
            <w:pPr>
              <w:spacing w:line="480" w:lineRule="auto"/>
              <w:rPr>
                <w:b/>
                <w:bCs/>
                <w:i/>
                <w:iCs/>
                <w:sz w:val="20"/>
                <w:szCs w:val="20"/>
              </w:rPr>
            </w:pPr>
            <w:r>
              <w:rPr>
                <w:b/>
                <w:bCs/>
                <w:i/>
                <w:iCs/>
                <w:sz w:val="20"/>
                <w:szCs w:val="20"/>
              </w:rPr>
              <w:t xml:space="preserve">Fate of </w:t>
            </w:r>
            <w:r w:rsidR="00217AB4" w:rsidRPr="00524F68">
              <w:rPr>
                <w:b/>
                <w:bCs/>
                <w:i/>
                <w:iCs/>
                <w:sz w:val="20"/>
                <w:szCs w:val="20"/>
              </w:rPr>
              <w:t>GRV:</w:t>
            </w:r>
          </w:p>
          <w:p w14:paraId="110A6BCB" w14:textId="77777777" w:rsidR="00217AB4" w:rsidRPr="00524F68" w:rsidRDefault="00217AB4" w:rsidP="00640142">
            <w:pPr>
              <w:spacing w:line="480" w:lineRule="auto"/>
              <w:rPr>
                <w:sz w:val="20"/>
                <w:szCs w:val="20"/>
              </w:rPr>
            </w:pPr>
            <w:r w:rsidRPr="00524F68">
              <w:rPr>
                <w:sz w:val="20"/>
                <w:szCs w:val="20"/>
              </w:rPr>
              <w:t>Discarded</w:t>
            </w:r>
          </w:p>
          <w:p w14:paraId="39C86ED0" w14:textId="77777777" w:rsidR="00217AB4" w:rsidRPr="00524F68" w:rsidRDefault="00217AB4" w:rsidP="00640142">
            <w:pPr>
              <w:spacing w:line="480" w:lineRule="auto"/>
              <w:rPr>
                <w:sz w:val="20"/>
                <w:szCs w:val="20"/>
              </w:rPr>
            </w:pPr>
            <w:r w:rsidRPr="00524F68">
              <w:rPr>
                <w:sz w:val="20"/>
                <w:szCs w:val="20"/>
              </w:rPr>
              <w:t>Returned up to GRV threshold</w:t>
            </w:r>
          </w:p>
          <w:p w14:paraId="457B7DC5" w14:textId="77777777" w:rsidR="00217AB4" w:rsidRPr="00524F68" w:rsidRDefault="00217AB4" w:rsidP="00640142">
            <w:pPr>
              <w:spacing w:line="480" w:lineRule="auto"/>
              <w:rPr>
                <w:sz w:val="20"/>
                <w:szCs w:val="20"/>
              </w:rPr>
            </w:pPr>
            <w:r w:rsidRPr="00524F68">
              <w:rPr>
                <w:sz w:val="20"/>
                <w:szCs w:val="20"/>
              </w:rPr>
              <w:t>Returned</w:t>
            </w:r>
          </w:p>
          <w:p w14:paraId="66E28C1A" w14:textId="1D1AC063" w:rsidR="00217AB4" w:rsidRPr="00524F68" w:rsidRDefault="00217AB4" w:rsidP="00640142">
            <w:pPr>
              <w:spacing w:line="480" w:lineRule="auto"/>
              <w:rPr>
                <w:sz w:val="20"/>
                <w:szCs w:val="20"/>
              </w:rPr>
            </w:pPr>
            <w:r w:rsidRPr="00524F68">
              <w:rPr>
                <w:sz w:val="20"/>
                <w:szCs w:val="20"/>
              </w:rPr>
              <w:t>Depends on appearance of GRV</w:t>
            </w:r>
          </w:p>
        </w:tc>
        <w:tc>
          <w:tcPr>
            <w:tcW w:w="4508" w:type="dxa"/>
          </w:tcPr>
          <w:p w14:paraId="646BE343" w14:textId="77777777" w:rsidR="00217AB4" w:rsidRPr="00524F68" w:rsidRDefault="00217AB4" w:rsidP="00640142">
            <w:pPr>
              <w:spacing w:line="480" w:lineRule="auto"/>
              <w:rPr>
                <w:sz w:val="20"/>
                <w:szCs w:val="20"/>
              </w:rPr>
            </w:pPr>
          </w:p>
          <w:p w14:paraId="7917D20C" w14:textId="77777777" w:rsidR="00217AB4" w:rsidRPr="00524F68" w:rsidRDefault="00217AB4" w:rsidP="00640142">
            <w:pPr>
              <w:spacing w:line="480" w:lineRule="auto"/>
              <w:rPr>
                <w:sz w:val="20"/>
                <w:szCs w:val="20"/>
              </w:rPr>
            </w:pPr>
            <w:r w:rsidRPr="00524F68">
              <w:rPr>
                <w:sz w:val="20"/>
                <w:szCs w:val="20"/>
              </w:rPr>
              <w:t>3 (3)</w:t>
            </w:r>
          </w:p>
          <w:p w14:paraId="6B956C69" w14:textId="6A999D63" w:rsidR="00217AB4" w:rsidRPr="00524F68" w:rsidRDefault="00217AB4" w:rsidP="00640142">
            <w:pPr>
              <w:spacing w:line="480" w:lineRule="auto"/>
              <w:rPr>
                <w:sz w:val="20"/>
                <w:szCs w:val="20"/>
              </w:rPr>
            </w:pPr>
            <w:r w:rsidRPr="00524F68">
              <w:rPr>
                <w:sz w:val="20"/>
                <w:szCs w:val="20"/>
              </w:rPr>
              <w:t>66 (6</w:t>
            </w:r>
            <w:r w:rsidR="00A4778E">
              <w:rPr>
                <w:sz w:val="20"/>
                <w:szCs w:val="20"/>
              </w:rPr>
              <w:t>5</w:t>
            </w:r>
            <w:r w:rsidRPr="00524F68">
              <w:rPr>
                <w:sz w:val="20"/>
                <w:szCs w:val="20"/>
              </w:rPr>
              <w:t>)</w:t>
            </w:r>
          </w:p>
          <w:p w14:paraId="4DEB0335" w14:textId="5ECDC12B" w:rsidR="00217AB4" w:rsidRPr="00524F68" w:rsidRDefault="000546E1" w:rsidP="00640142">
            <w:pPr>
              <w:spacing w:line="480" w:lineRule="auto"/>
              <w:rPr>
                <w:sz w:val="20"/>
                <w:szCs w:val="20"/>
              </w:rPr>
            </w:pPr>
            <w:r w:rsidRPr="00524F68">
              <w:rPr>
                <w:sz w:val="20"/>
                <w:szCs w:val="20"/>
              </w:rPr>
              <w:t>14</w:t>
            </w:r>
            <w:r w:rsidR="00217AB4" w:rsidRPr="00524F68">
              <w:rPr>
                <w:sz w:val="20"/>
                <w:szCs w:val="20"/>
              </w:rPr>
              <w:t xml:space="preserve"> (</w:t>
            </w:r>
            <w:r w:rsidRPr="00524F68">
              <w:rPr>
                <w:sz w:val="20"/>
                <w:szCs w:val="20"/>
              </w:rPr>
              <w:t>14</w:t>
            </w:r>
            <w:r w:rsidR="00217AB4" w:rsidRPr="00524F68">
              <w:rPr>
                <w:sz w:val="20"/>
                <w:szCs w:val="20"/>
              </w:rPr>
              <w:t>)</w:t>
            </w:r>
          </w:p>
          <w:p w14:paraId="1C25A015" w14:textId="2370BE51" w:rsidR="00217AB4" w:rsidRPr="00524F68" w:rsidRDefault="000546E1" w:rsidP="00640142">
            <w:pPr>
              <w:spacing w:line="480" w:lineRule="auto"/>
              <w:rPr>
                <w:sz w:val="20"/>
                <w:szCs w:val="20"/>
              </w:rPr>
            </w:pPr>
            <w:r w:rsidRPr="00524F68">
              <w:rPr>
                <w:sz w:val="20"/>
                <w:szCs w:val="20"/>
              </w:rPr>
              <w:t>18</w:t>
            </w:r>
            <w:r w:rsidR="00217AB4" w:rsidRPr="00524F68">
              <w:rPr>
                <w:sz w:val="20"/>
                <w:szCs w:val="20"/>
              </w:rPr>
              <w:t xml:space="preserve"> (</w:t>
            </w:r>
            <w:r w:rsidRPr="00524F68">
              <w:rPr>
                <w:sz w:val="20"/>
                <w:szCs w:val="20"/>
              </w:rPr>
              <w:t>18</w:t>
            </w:r>
            <w:r w:rsidR="00217AB4" w:rsidRPr="00524F68">
              <w:rPr>
                <w:sz w:val="20"/>
                <w:szCs w:val="20"/>
              </w:rPr>
              <w:t>)</w:t>
            </w:r>
          </w:p>
        </w:tc>
      </w:tr>
    </w:tbl>
    <w:p w14:paraId="4F2A0800" w14:textId="77777777" w:rsidR="00C969AE" w:rsidRDefault="00C969AE" w:rsidP="005C6B65">
      <w:pPr>
        <w:spacing w:line="480" w:lineRule="auto"/>
        <w:rPr>
          <w:i/>
          <w:iCs/>
        </w:rPr>
      </w:pPr>
    </w:p>
    <w:p w14:paraId="11D5452E" w14:textId="5439F99E" w:rsidR="007266A1" w:rsidRPr="007266A1" w:rsidRDefault="007266A1" w:rsidP="005C6B65">
      <w:pPr>
        <w:spacing w:line="480" w:lineRule="auto"/>
        <w:rPr>
          <w:i/>
          <w:iCs/>
        </w:rPr>
      </w:pPr>
      <w:r w:rsidRPr="007266A1">
        <w:rPr>
          <w:i/>
          <w:iCs/>
        </w:rPr>
        <w:t>Thematic analysis</w:t>
      </w:r>
    </w:p>
    <w:p w14:paraId="28F0D156" w14:textId="20C65191" w:rsidR="003733DD" w:rsidRPr="009353F3" w:rsidRDefault="002B6560" w:rsidP="009353F3">
      <w:pPr>
        <w:spacing w:line="480" w:lineRule="auto"/>
        <w:ind w:firstLine="720"/>
      </w:pPr>
      <w:r>
        <w:t xml:space="preserve">There were </w:t>
      </w:r>
      <w:r w:rsidR="002E0E9F">
        <w:t>52</w:t>
      </w:r>
      <w:r>
        <w:t xml:space="preserve"> comments</w:t>
      </w:r>
      <w:r w:rsidR="00CF6982">
        <w:t xml:space="preserve"> relating to</w:t>
      </w:r>
      <w:r w:rsidR="00F2327A">
        <w:t xml:space="preserve"> variations in</w:t>
      </w:r>
      <w:r w:rsidR="00CF6982">
        <w:t xml:space="preserve"> monitoring practices</w:t>
      </w:r>
      <w:r w:rsidR="00DD3327">
        <w:t xml:space="preserve"> grouped into four</w:t>
      </w:r>
      <w:r>
        <w:t xml:space="preserve"> overarching themes</w:t>
      </w:r>
      <w:r w:rsidR="00DD3327">
        <w:t>.</w:t>
      </w:r>
      <w:r>
        <w:t xml:space="preserve"> </w:t>
      </w:r>
      <w:r w:rsidR="00FF5C2E">
        <w:t xml:space="preserve">48% </w:t>
      </w:r>
      <w:r w:rsidR="00383CB3">
        <w:t xml:space="preserve">(48/101) </w:t>
      </w:r>
      <w:r w:rsidR="00FF5C2E">
        <w:t xml:space="preserve">of respondents reported that GRV </w:t>
      </w:r>
      <w:r w:rsidR="00366589">
        <w:t>is</w:t>
      </w:r>
      <w:r w:rsidR="00FF5C2E">
        <w:t xml:space="preserve"> always monitored according to protocol, with 5</w:t>
      </w:r>
      <w:r w:rsidR="00ED6D67">
        <w:t>2</w:t>
      </w:r>
      <w:r w:rsidR="00FF5C2E">
        <w:t xml:space="preserve">% </w:t>
      </w:r>
      <w:r w:rsidR="00217233">
        <w:t xml:space="preserve">(53/101) </w:t>
      </w:r>
      <w:r w:rsidR="00FF5C2E">
        <w:t xml:space="preserve">of ICUs reporting that monitoring does not always follow the </w:t>
      </w:r>
      <w:r w:rsidR="00FF5C2E">
        <w:lastRenderedPageBreak/>
        <w:t>protocol. On qualitative analysis of the comments</w:t>
      </w:r>
      <w:r w:rsidR="001A31E6">
        <w:t>,</w:t>
      </w:r>
      <w:r w:rsidR="00FF5C2E">
        <w:t xml:space="preserve"> four main themes emerged: clinical judgement, GI intolerance, ICU procedures</w:t>
      </w:r>
      <w:r w:rsidR="00480007">
        <w:t xml:space="preserve"> and</w:t>
      </w:r>
      <w:r w:rsidR="00FF5C2E">
        <w:t xml:space="preserve"> ICU staffing</w:t>
      </w:r>
      <w:r w:rsidR="00366589">
        <w:t>,</w:t>
      </w:r>
      <w:r w:rsidR="007C4106">
        <w:t xml:space="preserve"> </w:t>
      </w:r>
      <w:r w:rsidR="007266A1">
        <w:t xml:space="preserve">with </w:t>
      </w:r>
      <w:r w:rsidR="00667440">
        <w:t>10</w:t>
      </w:r>
      <w:r w:rsidR="00FF5C2E">
        <w:t xml:space="preserve"> sub-themes (Table 3).</w:t>
      </w:r>
      <w:r w:rsidR="00667440">
        <w:t xml:space="preserve"> The dominant theme related to concerns over GI intolerance</w:t>
      </w:r>
      <w:r w:rsidR="005B53A3">
        <w:t xml:space="preserve"> with 17</w:t>
      </w:r>
      <w:r w:rsidR="005945C6">
        <w:t>% (17/101) of</w:t>
      </w:r>
      <w:r w:rsidR="005B53A3">
        <w:t xml:space="preserve"> respondents reporting GRV would be measured more frequently if there is a suspicion of GI intolerance. 5</w:t>
      </w:r>
      <w:r w:rsidR="00A85387">
        <w:t>% (5/101) of</w:t>
      </w:r>
      <w:r w:rsidR="005B53A3">
        <w:t xml:space="preserve"> units indicated they would measure GRV more frequently if the GRV measurement was raised above the unit threshold</w:t>
      </w:r>
      <w:r w:rsidR="009353F3">
        <w:t>, with this threshold ranging from 250</w:t>
      </w:r>
      <w:r w:rsidR="00366589">
        <w:t xml:space="preserve"> to </w:t>
      </w:r>
      <w:r w:rsidR="009353F3">
        <w:t>500</w:t>
      </w:r>
      <w:r w:rsidR="00366589">
        <w:t xml:space="preserve"> </w:t>
      </w:r>
      <w:r w:rsidR="009353F3">
        <w:t>ml. 8</w:t>
      </w:r>
      <w:r w:rsidR="00A85387">
        <w:t>% (8/101) of</w:t>
      </w:r>
      <w:r w:rsidR="009353F3">
        <w:t xml:space="preserve"> ICUs reported that GRV may be monitored outside of the unit protocol at the request of the ICU medical team and 4</w:t>
      </w:r>
      <w:r w:rsidR="00A85387">
        <w:t>%</w:t>
      </w:r>
      <w:r w:rsidR="006C1DD9">
        <w:t xml:space="preserve"> </w:t>
      </w:r>
      <w:r w:rsidR="00A85387">
        <w:t>(4/101)</w:t>
      </w:r>
      <w:r w:rsidR="009353F3">
        <w:t xml:space="preserve"> units commented that visiting surgical teams may request increased GRV monitoring. </w:t>
      </w:r>
    </w:p>
    <w:p w14:paraId="5B1059A1" w14:textId="18763657" w:rsidR="00FF5C2E" w:rsidRPr="008851DD" w:rsidRDefault="00480007" w:rsidP="00640142">
      <w:pPr>
        <w:spacing w:line="480" w:lineRule="auto"/>
        <w:rPr>
          <w:b/>
          <w:bCs/>
        </w:rPr>
      </w:pPr>
      <w:r w:rsidRPr="008851DD">
        <w:rPr>
          <w:b/>
          <w:bCs/>
        </w:rPr>
        <w:t>Table 3: Reasons for not monitoring GRV according to protocol</w:t>
      </w:r>
    </w:p>
    <w:tbl>
      <w:tblPr>
        <w:tblStyle w:val="TableGrid"/>
        <w:tblW w:w="0" w:type="auto"/>
        <w:tblLook w:val="04A0" w:firstRow="1" w:lastRow="0" w:firstColumn="1" w:lastColumn="0" w:noHBand="0" w:noVBand="1"/>
      </w:tblPr>
      <w:tblGrid>
        <w:gridCol w:w="3005"/>
        <w:gridCol w:w="3005"/>
        <w:gridCol w:w="3006"/>
      </w:tblGrid>
      <w:tr w:rsidR="00FF5C2E" w14:paraId="7ACA4C55" w14:textId="77777777" w:rsidTr="23174174">
        <w:tc>
          <w:tcPr>
            <w:tcW w:w="3005" w:type="dxa"/>
          </w:tcPr>
          <w:p w14:paraId="71B5E995" w14:textId="465D5C78" w:rsidR="00FF5C2E" w:rsidRPr="00480007" w:rsidRDefault="008A2E59" w:rsidP="00640142">
            <w:pPr>
              <w:spacing w:line="480" w:lineRule="auto"/>
              <w:rPr>
                <w:b/>
                <w:bCs/>
                <w:sz w:val="20"/>
                <w:szCs w:val="20"/>
              </w:rPr>
            </w:pPr>
            <w:r w:rsidRPr="00480007">
              <w:rPr>
                <w:b/>
                <w:bCs/>
                <w:sz w:val="20"/>
                <w:szCs w:val="20"/>
              </w:rPr>
              <w:t>Coding framework</w:t>
            </w:r>
          </w:p>
        </w:tc>
        <w:tc>
          <w:tcPr>
            <w:tcW w:w="3005" w:type="dxa"/>
          </w:tcPr>
          <w:p w14:paraId="6ACEF4AF" w14:textId="38DA36C7" w:rsidR="00FF5C2E" w:rsidRPr="00480007" w:rsidRDefault="008A2E59" w:rsidP="00640142">
            <w:pPr>
              <w:spacing w:line="480" w:lineRule="auto"/>
              <w:rPr>
                <w:b/>
                <w:bCs/>
                <w:sz w:val="20"/>
                <w:szCs w:val="20"/>
              </w:rPr>
            </w:pPr>
            <w:r w:rsidRPr="00480007">
              <w:rPr>
                <w:b/>
                <w:bCs/>
                <w:sz w:val="20"/>
                <w:szCs w:val="20"/>
              </w:rPr>
              <w:t>Sub-theme</w:t>
            </w:r>
          </w:p>
        </w:tc>
        <w:tc>
          <w:tcPr>
            <w:tcW w:w="3006" w:type="dxa"/>
          </w:tcPr>
          <w:p w14:paraId="208DCBA5" w14:textId="034662D8" w:rsidR="00FF5C2E" w:rsidRPr="00480007" w:rsidRDefault="00FF5C2E" w:rsidP="00640142">
            <w:pPr>
              <w:spacing w:line="480" w:lineRule="auto"/>
              <w:rPr>
                <w:b/>
                <w:bCs/>
                <w:sz w:val="20"/>
                <w:szCs w:val="20"/>
              </w:rPr>
            </w:pPr>
            <w:r w:rsidRPr="00480007">
              <w:rPr>
                <w:b/>
                <w:bCs/>
                <w:sz w:val="20"/>
                <w:szCs w:val="20"/>
              </w:rPr>
              <w:t>Quotes</w:t>
            </w:r>
          </w:p>
        </w:tc>
      </w:tr>
      <w:tr w:rsidR="005B53A3" w14:paraId="6255FC97" w14:textId="77777777" w:rsidTr="23174174">
        <w:tc>
          <w:tcPr>
            <w:tcW w:w="3005" w:type="dxa"/>
            <w:vMerge w:val="restart"/>
          </w:tcPr>
          <w:p w14:paraId="0B402EC1" w14:textId="7F7251B3" w:rsidR="005B53A3" w:rsidRPr="004151B9" w:rsidRDefault="005B53A3" w:rsidP="005B53A3">
            <w:pPr>
              <w:spacing w:line="480" w:lineRule="auto"/>
              <w:rPr>
                <w:sz w:val="20"/>
                <w:szCs w:val="20"/>
              </w:rPr>
            </w:pPr>
            <w:r w:rsidRPr="004151B9">
              <w:rPr>
                <w:sz w:val="20"/>
                <w:szCs w:val="20"/>
              </w:rPr>
              <w:t>GI intolerance</w:t>
            </w:r>
          </w:p>
        </w:tc>
        <w:tc>
          <w:tcPr>
            <w:tcW w:w="3005" w:type="dxa"/>
          </w:tcPr>
          <w:p w14:paraId="384E578A" w14:textId="4A9FD8BF" w:rsidR="005B53A3" w:rsidRPr="004151B9" w:rsidRDefault="005B53A3" w:rsidP="005B53A3">
            <w:pPr>
              <w:spacing w:line="480" w:lineRule="auto"/>
              <w:rPr>
                <w:sz w:val="20"/>
                <w:szCs w:val="20"/>
              </w:rPr>
            </w:pPr>
            <w:r w:rsidRPr="004151B9">
              <w:rPr>
                <w:sz w:val="20"/>
                <w:szCs w:val="20"/>
              </w:rPr>
              <w:t>Vomiting, abdominal distension</w:t>
            </w:r>
          </w:p>
        </w:tc>
        <w:tc>
          <w:tcPr>
            <w:tcW w:w="3006" w:type="dxa"/>
          </w:tcPr>
          <w:p w14:paraId="3081102B" w14:textId="0B4AC8D8" w:rsidR="005B53A3" w:rsidRPr="00480007" w:rsidRDefault="005B53A3" w:rsidP="005B53A3">
            <w:pPr>
              <w:spacing w:line="480" w:lineRule="auto"/>
              <w:rPr>
                <w:i/>
                <w:iCs/>
                <w:sz w:val="20"/>
                <w:szCs w:val="20"/>
              </w:rPr>
            </w:pPr>
            <w:r w:rsidRPr="00480007">
              <w:rPr>
                <w:i/>
                <w:iCs/>
                <w:sz w:val="20"/>
                <w:szCs w:val="20"/>
              </w:rPr>
              <w:t>“If a patient was vomiting, reported feeling nauseous or their abdo</w:t>
            </w:r>
            <w:r w:rsidR="00AB0AA7">
              <w:rPr>
                <w:i/>
                <w:iCs/>
                <w:sz w:val="20"/>
                <w:szCs w:val="20"/>
              </w:rPr>
              <w:t>m</w:t>
            </w:r>
            <w:r w:rsidR="00004A69">
              <w:rPr>
                <w:i/>
                <w:iCs/>
                <w:sz w:val="20"/>
                <w:szCs w:val="20"/>
              </w:rPr>
              <w:t>en</w:t>
            </w:r>
            <w:r w:rsidRPr="00480007">
              <w:rPr>
                <w:i/>
                <w:iCs/>
                <w:sz w:val="20"/>
                <w:szCs w:val="20"/>
              </w:rPr>
              <w:t xml:space="preserve"> was becoming distended, then nursing staff would aspirate the NGT outside of the 4 hourly period”</w:t>
            </w:r>
          </w:p>
        </w:tc>
      </w:tr>
      <w:tr w:rsidR="005B53A3" w14:paraId="724D1B99" w14:textId="77777777" w:rsidTr="23174174">
        <w:tc>
          <w:tcPr>
            <w:tcW w:w="3005" w:type="dxa"/>
            <w:vMerge/>
          </w:tcPr>
          <w:p w14:paraId="4B864791" w14:textId="77777777" w:rsidR="005B53A3" w:rsidRPr="004151B9" w:rsidRDefault="005B53A3" w:rsidP="005B53A3">
            <w:pPr>
              <w:spacing w:line="480" w:lineRule="auto"/>
              <w:rPr>
                <w:sz w:val="20"/>
                <w:szCs w:val="20"/>
              </w:rPr>
            </w:pPr>
          </w:p>
        </w:tc>
        <w:tc>
          <w:tcPr>
            <w:tcW w:w="3005" w:type="dxa"/>
          </w:tcPr>
          <w:p w14:paraId="79745CD0" w14:textId="0663B4C3" w:rsidR="005B53A3" w:rsidRPr="004151B9" w:rsidRDefault="005B53A3" w:rsidP="005B53A3">
            <w:pPr>
              <w:spacing w:line="480" w:lineRule="auto"/>
              <w:rPr>
                <w:sz w:val="20"/>
                <w:szCs w:val="20"/>
              </w:rPr>
            </w:pPr>
            <w:r w:rsidRPr="004151B9">
              <w:rPr>
                <w:sz w:val="20"/>
                <w:szCs w:val="20"/>
              </w:rPr>
              <w:t>Raised GRV</w:t>
            </w:r>
          </w:p>
        </w:tc>
        <w:tc>
          <w:tcPr>
            <w:tcW w:w="3006" w:type="dxa"/>
          </w:tcPr>
          <w:p w14:paraId="0019A149" w14:textId="3A1A405B" w:rsidR="005B53A3" w:rsidRPr="00480007" w:rsidRDefault="005B53A3" w:rsidP="005B53A3">
            <w:pPr>
              <w:spacing w:line="480" w:lineRule="auto"/>
              <w:rPr>
                <w:i/>
                <w:iCs/>
                <w:sz w:val="20"/>
                <w:szCs w:val="20"/>
              </w:rPr>
            </w:pPr>
            <w:r w:rsidRPr="00480007">
              <w:rPr>
                <w:i/>
                <w:iCs/>
                <w:sz w:val="20"/>
                <w:szCs w:val="20"/>
              </w:rPr>
              <w:t xml:space="preserve">“More often when worried, </w:t>
            </w:r>
            <w:proofErr w:type="gramStart"/>
            <w:r w:rsidRPr="00480007">
              <w:rPr>
                <w:i/>
                <w:iCs/>
                <w:sz w:val="20"/>
                <w:szCs w:val="20"/>
              </w:rPr>
              <w:t>e.g.</w:t>
            </w:r>
            <w:proofErr w:type="gramEnd"/>
            <w:r w:rsidRPr="00480007">
              <w:rPr>
                <w:i/>
                <w:iCs/>
                <w:sz w:val="20"/>
                <w:szCs w:val="20"/>
              </w:rPr>
              <w:t xml:space="preserve"> 2 hourly if last aspirate borderline.”</w:t>
            </w:r>
          </w:p>
        </w:tc>
      </w:tr>
      <w:tr w:rsidR="005B53A3" w14:paraId="09C80240" w14:textId="77777777" w:rsidTr="23174174">
        <w:tc>
          <w:tcPr>
            <w:tcW w:w="3005" w:type="dxa"/>
            <w:vMerge w:val="restart"/>
          </w:tcPr>
          <w:p w14:paraId="3DDF5F73" w14:textId="6A5144CB" w:rsidR="005B53A3" w:rsidRPr="004151B9" w:rsidRDefault="005B53A3" w:rsidP="005B53A3">
            <w:pPr>
              <w:spacing w:line="480" w:lineRule="auto"/>
              <w:rPr>
                <w:sz w:val="20"/>
                <w:szCs w:val="20"/>
              </w:rPr>
            </w:pPr>
            <w:r w:rsidRPr="004151B9">
              <w:rPr>
                <w:sz w:val="20"/>
                <w:szCs w:val="20"/>
              </w:rPr>
              <w:t>Clinical judgement</w:t>
            </w:r>
          </w:p>
        </w:tc>
        <w:tc>
          <w:tcPr>
            <w:tcW w:w="3005" w:type="dxa"/>
          </w:tcPr>
          <w:p w14:paraId="3D5DA14F" w14:textId="66DEB793" w:rsidR="005B53A3" w:rsidRPr="004151B9" w:rsidRDefault="005B53A3" w:rsidP="005B53A3">
            <w:pPr>
              <w:spacing w:line="480" w:lineRule="auto"/>
              <w:rPr>
                <w:sz w:val="20"/>
                <w:szCs w:val="20"/>
              </w:rPr>
            </w:pPr>
            <w:r w:rsidRPr="004151B9">
              <w:rPr>
                <w:sz w:val="20"/>
                <w:szCs w:val="20"/>
              </w:rPr>
              <w:t>ICU medical directed decision</w:t>
            </w:r>
          </w:p>
        </w:tc>
        <w:tc>
          <w:tcPr>
            <w:tcW w:w="3006" w:type="dxa"/>
          </w:tcPr>
          <w:p w14:paraId="4C022811" w14:textId="04678FAE" w:rsidR="005B53A3" w:rsidRPr="00480007" w:rsidRDefault="005B53A3" w:rsidP="005B53A3">
            <w:pPr>
              <w:spacing w:line="480" w:lineRule="auto"/>
              <w:rPr>
                <w:i/>
                <w:iCs/>
                <w:sz w:val="20"/>
                <w:szCs w:val="20"/>
              </w:rPr>
            </w:pPr>
            <w:r w:rsidRPr="00480007">
              <w:rPr>
                <w:i/>
                <w:iCs/>
                <w:sz w:val="20"/>
                <w:szCs w:val="20"/>
              </w:rPr>
              <w:t>“Can be more frequent, as discussed by</w:t>
            </w:r>
            <w:r w:rsidR="00AC19BD">
              <w:rPr>
                <w:i/>
                <w:iCs/>
                <w:sz w:val="20"/>
                <w:szCs w:val="20"/>
              </w:rPr>
              <w:t xml:space="preserve"> multidisciplinary team</w:t>
            </w:r>
            <w:r w:rsidRPr="00480007">
              <w:rPr>
                <w:i/>
                <w:iCs/>
                <w:sz w:val="20"/>
                <w:szCs w:val="20"/>
              </w:rPr>
              <w:t>/Consultant team - sometimes every 2</w:t>
            </w:r>
            <w:r w:rsidR="00366589">
              <w:rPr>
                <w:i/>
                <w:iCs/>
                <w:sz w:val="20"/>
                <w:szCs w:val="20"/>
              </w:rPr>
              <w:t xml:space="preserve"> </w:t>
            </w:r>
            <w:r w:rsidRPr="00480007">
              <w:rPr>
                <w:i/>
                <w:iCs/>
                <w:sz w:val="20"/>
                <w:szCs w:val="20"/>
              </w:rPr>
              <w:t xml:space="preserve">hr, or instead given </w:t>
            </w:r>
            <w:proofErr w:type="spellStart"/>
            <w:r w:rsidRPr="00480007">
              <w:rPr>
                <w:i/>
                <w:iCs/>
                <w:sz w:val="20"/>
                <w:szCs w:val="20"/>
              </w:rPr>
              <w:t>Ryles</w:t>
            </w:r>
            <w:proofErr w:type="spellEnd"/>
            <w:r w:rsidRPr="00480007">
              <w:rPr>
                <w:i/>
                <w:iCs/>
                <w:sz w:val="20"/>
                <w:szCs w:val="20"/>
              </w:rPr>
              <w:t xml:space="preserve"> and put on free drain if high output/ileus”</w:t>
            </w:r>
          </w:p>
        </w:tc>
      </w:tr>
      <w:tr w:rsidR="005B53A3" w14:paraId="25DF2843" w14:textId="77777777" w:rsidTr="23174174">
        <w:tc>
          <w:tcPr>
            <w:tcW w:w="3005" w:type="dxa"/>
            <w:vMerge/>
          </w:tcPr>
          <w:p w14:paraId="336DBE94" w14:textId="77777777" w:rsidR="005B53A3" w:rsidRPr="004151B9" w:rsidRDefault="005B53A3" w:rsidP="005B53A3">
            <w:pPr>
              <w:spacing w:line="480" w:lineRule="auto"/>
              <w:rPr>
                <w:sz w:val="20"/>
                <w:szCs w:val="20"/>
              </w:rPr>
            </w:pPr>
          </w:p>
        </w:tc>
        <w:tc>
          <w:tcPr>
            <w:tcW w:w="3005" w:type="dxa"/>
          </w:tcPr>
          <w:p w14:paraId="143509B6" w14:textId="56088B15" w:rsidR="005B53A3" w:rsidRPr="004151B9" w:rsidRDefault="005B53A3" w:rsidP="005B53A3">
            <w:pPr>
              <w:spacing w:line="480" w:lineRule="auto"/>
              <w:rPr>
                <w:sz w:val="20"/>
                <w:szCs w:val="20"/>
              </w:rPr>
            </w:pPr>
            <w:r w:rsidRPr="004151B9">
              <w:rPr>
                <w:sz w:val="20"/>
                <w:szCs w:val="20"/>
              </w:rPr>
              <w:t>Surgical decision</w:t>
            </w:r>
          </w:p>
        </w:tc>
        <w:tc>
          <w:tcPr>
            <w:tcW w:w="3006" w:type="dxa"/>
          </w:tcPr>
          <w:p w14:paraId="51C24BB4" w14:textId="13FFBC63" w:rsidR="005B53A3" w:rsidRPr="00480007" w:rsidRDefault="005B53A3" w:rsidP="005B53A3">
            <w:pPr>
              <w:spacing w:line="480" w:lineRule="auto"/>
              <w:rPr>
                <w:i/>
                <w:iCs/>
                <w:sz w:val="20"/>
                <w:szCs w:val="20"/>
              </w:rPr>
            </w:pPr>
            <w:r w:rsidRPr="00480007">
              <w:rPr>
                <w:i/>
                <w:iCs/>
                <w:sz w:val="20"/>
                <w:szCs w:val="20"/>
              </w:rPr>
              <w:t xml:space="preserve">“Surgical teams may request more frequent monitoring of </w:t>
            </w:r>
            <w:r w:rsidRPr="00480007">
              <w:rPr>
                <w:i/>
                <w:iCs/>
                <w:sz w:val="20"/>
                <w:szCs w:val="20"/>
              </w:rPr>
              <w:lastRenderedPageBreak/>
              <w:t>GRVs for patients who they feel are at increased risk of ileus.”</w:t>
            </w:r>
          </w:p>
        </w:tc>
      </w:tr>
      <w:tr w:rsidR="005B53A3" w14:paraId="2D746198" w14:textId="77777777" w:rsidTr="23174174">
        <w:tc>
          <w:tcPr>
            <w:tcW w:w="3005" w:type="dxa"/>
            <w:vMerge/>
          </w:tcPr>
          <w:p w14:paraId="590AFE35" w14:textId="77777777" w:rsidR="005B53A3" w:rsidRPr="004151B9" w:rsidRDefault="005B53A3" w:rsidP="005B53A3">
            <w:pPr>
              <w:spacing w:line="480" w:lineRule="auto"/>
              <w:rPr>
                <w:sz w:val="20"/>
                <w:szCs w:val="20"/>
              </w:rPr>
            </w:pPr>
          </w:p>
        </w:tc>
        <w:tc>
          <w:tcPr>
            <w:tcW w:w="3005" w:type="dxa"/>
          </w:tcPr>
          <w:p w14:paraId="15C7107F" w14:textId="20D6D4CF" w:rsidR="005B53A3" w:rsidRPr="004151B9" w:rsidRDefault="005B53A3" w:rsidP="005B53A3">
            <w:pPr>
              <w:spacing w:line="480" w:lineRule="auto"/>
              <w:rPr>
                <w:sz w:val="20"/>
                <w:szCs w:val="20"/>
              </w:rPr>
            </w:pPr>
            <w:r w:rsidRPr="004151B9">
              <w:rPr>
                <w:sz w:val="20"/>
                <w:szCs w:val="20"/>
              </w:rPr>
              <w:t>Nursing judgement</w:t>
            </w:r>
          </w:p>
        </w:tc>
        <w:tc>
          <w:tcPr>
            <w:tcW w:w="3006" w:type="dxa"/>
          </w:tcPr>
          <w:p w14:paraId="10D0986E" w14:textId="04D23DBF" w:rsidR="005B53A3" w:rsidRPr="00480007" w:rsidRDefault="005B53A3" w:rsidP="005B53A3">
            <w:pPr>
              <w:spacing w:line="480" w:lineRule="auto"/>
              <w:rPr>
                <w:i/>
                <w:iCs/>
                <w:sz w:val="20"/>
                <w:szCs w:val="20"/>
              </w:rPr>
            </w:pPr>
            <w:r w:rsidRPr="00480007">
              <w:rPr>
                <w:i/>
                <w:iCs/>
                <w:sz w:val="20"/>
                <w:szCs w:val="20"/>
              </w:rPr>
              <w:t>“Nurses clinical judgement”</w:t>
            </w:r>
          </w:p>
        </w:tc>
      </w:tr>
      <w:tr w:rsidR="005B53A3" w14:paraId="32F9325B" w14:textId="77777777" w:rsidTr="23174174">
        <w:tc>
          <w:tcPr>
            <w:tcW w:w="3005" w:type="dxa"/>
            <w:vMerge/>
          </w:tcPr>
          <w:p w14:paraId="64D0CF72" w14:textId="77777777" w:rsidR="005B53A3" w:rsidRPr="004151B9" w:rsidRDefault="005B53A3" w:rsidP="005B53A3">
            <w:pPr>
              <w:spacing w:line="480" w:lineRule="auto"/>
              <w:rPr>
                <w:sz w:val="20"/>
                <w:szCs w:val="20"/>
              </w:rPr>
            </w:pPr>
          </w:p>
        </w:tc>
        <w:tc>
          <w:tcPr>
            <w:tcW w:w="3005" w:type="dxa"/>
          </w:tcPr>
          <w:p w14:paraId="39B33057" w14:textId="572A75FF" w:rsidR="005B53A3" w:rsidRPr="004151B9" w:rsidRDefault="005B53A3" w:rsidP="005B53A3">
            <w:pPr>
              <w:spacing w:line="480" w:lineRule="auto"/>
              <w:rPr>
                <w:sz w:val="20"/>
                <w:szCs w:val="20"/>
              </w:rPr>
            </w:pPr>
            <w:r w:rsidRPr="004151B9">
              <w:rPr>
                <w:sz w:val="20"/>
                <w:szCs w:val="20"/>
              </w:rPr>
              <w:t>Patients medical condition</w:t>
            </w:r>
          </w:p>
        </w:tc>
        <w:tc>
          <w:tcPr>
            <w:tcW w:w="3006" w:type="dxa"/>
          </w:tcPr>
          <w:p w14:paraId="2A5250F9" w14:textId="4821E500" w:rsidR="005B53A3" w:rsidRPr="00480007" w:rsidRDefault="005B53A3" w:rsidP="005B53A3">
            <w:pPr>
              <w:spacing w:line="480" w:lineRule="auto"/>
              <w:rPr>
                <w:i/>
                <w:iCs/>
                <w:sz w:val="20"/>
                <w:szCs w:val="20"/>
              </w:rPr>
            </w:pPr>
            <w:r w:rsidRPr="00480007">
              <w:rPr>
                <w:i/>
                <w:iCs/>
                <w:sz w:val="20"/>
                <w:szCs w:val="20"/>
              </w:rPr>
              <w:t>“I</w:t>
            </w:r>
            <w:r w:rsidRPr="00480007">
              <w:rPr>
                <w:rFonts w:ascii="Calibri" w:hAnsi="Calibri" w:cs="Calibri"/>
                <w:i/>
                <w:iCs/>
                <w:color w:val="000000"/>
                <w:sz w:val="20"/>
                <w:szCs w:val="20"/>
              </w:rPr>
              <w:t>nitial few hours post upper GI surgery, or decompensated liver disease, GI trauma”</w:t>
            </w:r>
          </w:p>
        </w:tc>
      </w:tr>
      <w:tr w:rsidR="005B53A3" w14:paraId="5879F9C4" w14:textId="77777777" w:rsidTr="23174174">
        <w:trPr>
          <w:trHeight w:val="730"/>
        </w:trPr>
        <w:tc>
          <w:tcPr>
            <w:tcW w:w="3005" w:type="dxa"/>
            <w:vMerge w:val="restart"/>
          </w:tcPr>
          <w:p w14:paraId="59AE4164" w14:textId="7BD82CA2" w:rsidR="005B53A3" w:rsidRPr="004151B9" w:rsidRDefault="005B53A3" w:rsidP="005B53A3">
            <w:pPr>
              <w:spacing w:line="480" w:lineRule="auto"/>
              <w:rPr>
                <w:sz w:val="20"/>
                <w:szCs w:val="20"/>
              </w:rPr>
            </w:pPr>
            <w:r w:rsidRPr="004151B9">
              <w:rPr>
                <w:sz w:val="20"/>
                <w:szCs w:val="20"/>
              </w:rPr>
              <w:t>ICU procedures</w:t>
            </w:r>
          </w:p>
        </w:tc>
        <w:tc>
          <w:tcPr>
            <w:tcW w:w="3005" w:type="dxa"/>
          </w:tcPr>
          <w:p w14:paraId="0D0F7D5C" w14:textId="7E7EB5AA" w:rsidR="005B53A3" w:rsidRPr="004151B9" w:rsidRDefault="005B53A3" w:rsidP="005B53A3">
            <w:pPr>
              <w:spacing w:line="480" w:lineRule="auto"/>
              <w:rPr>
                <w:sz w:val="20"/>
                <w:szCs w:val="20"/>
              </w:rPr>
            </w:pPr>
            <w:r>
              <w:rPr>
                <w:sz w:val="20"/>
                <w:szCs w:val="20"/>
              </w:rPr>
              <w:t>Airway procedures</w:t>
            </w:r>
          </w:p>
        </w:tc>
        <w:tc>
          <w:tcPr>
            <w:tcW w:w="3006" w:type="dxa"/>
          </w:tcPr>
          <w:p w14:paraId="2648F8B5" w14:textId="0879C6DE" w:rsidR="005B53A3" w:rsidRPr="00480007" w:rsidRDefault="005B53A3" w:rsidP="005B53A3">
            <w:pPr>
              <w:spacing w:line="480" w:lineRule="auto"/>
              <w:rPr>
                <w:i/>
                <w:iCs/>
                <w:sz w:val="20"/>
                <w:szCs w:val="20"/>
              </w:rPr>
            </w:pPr>
            <w:r w:rsidRPr="00480007">
              <w:rPr>
                <w:i/>
                <w:iCs/>
                <w:sz w:val="20"/>
                <w:szCs w:val="20"/>
              </w:rPr>
              <w:t>“If extubating patient as part of prep for that would pull back residual volume”</w:t>
            </w:r>
          </w:p>
        </w:tc>
      </w:tr>
      <w:tr w:rsidR="005B53A3" w14:paraId="16C5ECF9" w14:textId="77777777" w:rsidTr="23174174">
        <w:trPr>
          <w:trHeight w:val="730"/>
        </w:trPr>
        <w:tc>
          <w:tcPr>
            <w:tcW w:w="3005" w:type="dxa"/>
            <w:vMerge/>
          </w:tcPr>
          <w:p w14:paraId="4D73EF20" w14:textId="77777777" w:rsidR="005B53A3" w:rsidRPr="004151B9" w:rsidRDefault="005B53A3" w:rsidP="005B53A3">
            <w:pPr>
              <w:spacing w:line="480" w:lineRule="auto"/>
              <w:rPr>
                <w:sz w:val="20"/>
                <w:szCs w:val="20"/>
              </w:rPr>
            </w:pPr>
          </w:p>
        </w:tc>
        <w:tc>
          <w:tcPr>
            <w:tcW w:w="3005" w:type="dxa"/>
          </w:tcPr>
          <w:p w14:paraId="73A98666" w14:textId="7C83DD82" w:rsidR="005B53A3" w:rsidRDefault="005B53A3" w:rsidP="005B53A3">
            <w:pPr>
              <w:spacing w:line="480" w:lineRule="auto"/>
              <w:rPr>
                <w:sz w:val="20"/>
                <w:szCs w:val="20"/>
              </w:rPr>
            </w:pPr>
            <w:r>
              <w:rPr>
                <w:sz w:val="20"/>
                <w:szCs w:val="20"/>
              </w:rPr>
              <w:t>ICU procedures</w:t>
            </w:r>
          </w:p>
        </w:tc>
        <w:tc>
          <w:tcPr>
            <w:tcW w:w="3006" w:type="dxa"/>
          </w:tcPr>
          <w:p w14:paraId="4995E6D9" w14:textId="517F3796" w:rsidR="005B53A3" w:rsidRPr="00480007" w:rsidRDefault="005B53A3" w:rsidP="005B53A3">
            <w:pPr>
              <w:spacing w:line="480" w:lineRule="auto"/>
              <w:rPr>
                <w:i/>
                <w:iCs/>
                <w:sz w:val="20"/>
                <w:szCs w:val="20"/>
              </w:rPr>
            </w:pPr>
            <w:r>
              <w:rPr>
                <w:i/>
                <w:iCs/>
                <w:sz w:val="20"/>
                <w:szCs w:val="20"/>
              </w:rPr>
              <w:t>“If there is an unplanned endoscopy”</w:t>
            </w:r>
          </w:p>
        </w:tc>
      </w:tr>
      <w:tr w:rsidR="005B53A3" w14:paraId="7C454C73" w14:textId="77777777" w:rsidTr="23174174">
        <w:tc>
          <w:tcPr>
            <w:tcW w:w="3005" w:type="dxa"/>
            <w:vMerge w:val="restart"/>
          </w:tcPr>
          <w:p w14:paraId="5A6FAF04" w14:textId="5B53F69E" w:rsidR="005B53A3" w:rsidRPr="004151B9" w:rsidRDefault="005B53A3" w:rsidP="005B53A3">
            <w:pPr>
              <w:spacing w:line="480" w:lineRule="auto"/>
              <w:rPr>
                <w:sz w:val="20"/>
                <w:szCs w:val="20"/>
              </w:rPr>
            </w:pPr>
            <w:r w:rsidRPr="004151B9">
              <w:rPr>
                <w:sz w:val="20"/>
                <w:szCs w:val="20"/>
              </w:rPr>
              <w:t>ICU staffing</w:t>
            </w:r>
          </w:p>
        </w:tc>
        <w:tc>
          <w:tcPr>
            <w:tcW w:w="3005" w:type="dxa"/>
          </w:tcPr>
          <w:p w14:paraId="099A0BFE" w14:textId="6601023E" w:rsidR="005B53A3" w:rsidRPr="004151B9" w:rsidRDefault="005B53A3" w:rsidP="005B53A3">
            <w:pPr>
              <w:spacing w:line="480" w:lineRule="auto"/>
              <w:rPr>
                <w:sz w:val="20"/>
                <w:szCs w:val="20"/>
              </w:rPr>
            </w:pPr>
            <w:r w:rsidRPr="004151B9">
              <w:rPr>
                <w:sz w:val="20"/>
                <w:szCs w:val="20"/>
              </w:rPr>
              <w:t>Unfamiliarity with unit protocols</w:t>
            </w:r>
          </w:p>
        </w:tc>
        <w:tc>
          <w:tcPr>
            <w:tcW w:w="3006" w:type="dxa"/>
          </w:tcPr>
          <w:p w14:paraId="75CAB316" w14:textId="68E2C63F" w:rsidR="005B53A3" w:rsidRPr="00480007" w:rsidRDefault="005B53A3" w:rsidP="005B53A3">
            <w:pPr>
              <w:spacing w:line="480" w:lineRule="auto"/>
              <w:rPr>
                <w:i/>
                <w:iCs/>
                <w:sz w:val="20"/>
                <w:szCs w:val="20"/>
              </w:rPr>
            </w:pPr>
            <w:r w:rsidRPr="00480007">
              <w:rPr>
                <w:i/>
                <w:iCs/>
                <w:sz w:val="20"/>
                <w:szCs w:val="20"/>
              </w:rPr>
              <w:t>“</w:t>
            </w:r>
            <w:r w:rsidRPr="00480007">
              <w:rPr>
                <w:rFonts w:ascii="Calibri" w:hAnsi="Calibri" w:cs="Calibri"/>
                <w:i/>
                <w:iCs/>
                <w:color w:val="000000"/>
                <w:sz w:val="20"/>
                <w:szCs w:val="20"/>
              </w:rPr>
              <w:t>Nurses from other trusts or starter nurses”</w:t>
            </w:r>
          </w:p>
        </w:tc>
      </w:tr>
      <w:tr w:rsidR="005B53A3" w14:paraId="76BD71A0" w14:textId="77777777" w:rsidTr="23174174">
        <w:tc>
          <w:tcPr>
            <w:tcW w:w="3005" w:type="dxa"/>
            <w:vMerge/>
          </w:tcPr>
          <w:p w14:paraId="05DCF139" w14:textId="77777777" w:rsidR="005B53A3" w:rsidRPr="004151B9" w:rsidRDefault="005B53A3" w:rsidP="005B53A3">
            <w:pPr>
              <w:spacing w:line="480" w:lineRule="auto"/>
              <w:rPr>
                <w:sz w:val="20"/>
                <w:szCs w:val="20"/>
              </w:rPr>
            </w:pPr>
          </w:p>
        </w:tc>
        <w:tc>
          <w:tcPr>
            <w:tcW w:w="3005" w:type="dxa"/>
          </w:tcPr>
          <w:p w14:paraId="081ED7A0" w14:textId="23179B1D" w:rsidR="005B53A3" w:rsidRPr="004151B9" w:rsidRDefault="005B53A3" w:rsidP="005B53A3">
            <w:pPr>
              <w:spacing w:line="480" w:lineRule="auto"/>
              <w:rPr>
                <w:sz w:val="20"/>
                <w:szCs w:val="20"/>
              </w:rPr>
            </w:pPr>
            <w:r w:rsidRPr="004151B9">
              <w:rPr>
                <w:sz w:val="20"/>
                <w:szCs w:val="20"/>
              </w:rPr>
              <w:t>Staffing pressures</w:t>
            </w:r>
          </w:p>
        </w:tc>
        <w:tc>
          <w:tcPr>
            <w:tcW w:w="3006" w:type="dxa"/>
          </w:tcPr>
          <w:p w14:paraId="2242C648" w14:textId="4F86A66B" w:rsidR="005B53A3" w:rsidRPr="00480007" w:rsidRDefault="005B53A3" w:rsidP="005B53A3">
            <w:pPr>
              <w:spacing w:line="480" w:lineRule="auto"/>
              <w:rPr>
                <w:i/>
                <w:iCs/>
                <w:sz w:val="20"/>
                <w:szCs w:val="20"/>
              </w:rPr>
            </w:pPr>
            <w:r w:rsidRPr="00480007">
              <w:rPr>
                <w:i/>
                <w:iCs/>
                <w:sz w:val="20"/>
                <w:szCs w:val="20"/>
              </w:rPr>
              <w:t>“</w:t>
            </w:r>
            <w:r w:rsidRPr="00480007">
              <w:rPr>
                <w:rFonts w:ascii="Calibri" w:hAnsi="Calibri" w:cs="Calibri"/>
                <w:i/>
                <w:iCs/>
                <w:color w:val="000000"/>
                <w:sz w:val="20"/>
                <w:szCs w:val="20"/>
              </w:rPr>
              <w:t>Not often done 4</w:t>
            </w:r>
            <w:r w:rsidR="00366589">
              <w:rPr>
                <w:rFonts w:ascii="Calibri" w:hAnsi="Calibri" w:cs="Calibri"/>
                <w:i/>
                <w:iCs/>
                <w:color w:val="000000"/>
                <w:sz w:val="20"/>
                <w:szCs w:val="20"/>
              </w:rPr>
              <w:t xml:space="preserve"> </w:t>
            </w:r>
            <w:r w:rsidRPr="00480007">
              <w:rPr>
                <w:rFonts w:ascii="Calibri" w:hAnsi="Calibri" w:cs="Calibri"/>
                <w:i/>
                <w:iCs/>
                <w:color w:val="000000"/>
                <w:sz w:val="20"/>
                <w:szCs w:val="20"/>
              </w:rPr>
              <w:t>h</w:t>
            </w:r>
            <w:r w:rsidR="00D95974">
              <w:rPr>
                <w:rFonts w:ascii="Calibri" w:hAnsi="Calibri" w:cs="Calibri"/>
                <w:i/>
                <w:iCs/>
                <w:color w:val="000000"/>
                <w:sz w:val="20"/>
                <w:szCs w:val="20"/>
              </w:rPr>
              <w:t>ou</w:t>
            </w:r>
            <w:r w:rsidRPr="00480007">
              <w:rPr>
                <w:rFonts w:ascii="Calibri" w:hAnsi="Calibri" w:cs="Calibri"/>
                <w:i/>
                <w:iCs/>
                <w:color w:val="000000"/>
                <w:sz w:val="20"/>
                <w:szCs w:val="20"/>
              </w:rPr>
              <w:t>rly due to being busy.”</w:t>
            </w:r>
          </w:p>
        </w:tc>
      </w:tr>
    </w:tbl>
    <w:p w14:paraId="5E6FF534" w14:textId="0B87F57C" w:rsidR="23174174" w:rsidRDefault="23174174"/>
    <w:p w14:paraId="774A9296" w14:textId="02483EB6" w:rsidR="79B85A27" w:rsidRDefault="79B85A27"/>
    <w:p w14:paraId="2294675B" w14:textId="1E5CC475" w:rsidR="00041AE0" w:rsidRDefault="00041AE0" w:rsidP="00640142">
      <w:pPr>
        <w:spacing w:line="480" w:lineRule="auto"/>
        <w:rPr>
          <w:i/>
          <w:iCs/>
        </w:rPr>
      </w:pPr>
    </w:p>
    <w:p w14:paraId="51EB2C20" w14:textId="130FF834" w:rsidR="00AC19BD" w:rsidRDefault="00B06612" w:rsidP="00640142">
      <w:pPr>
        <w:spacing w:line="480" w:lineRule="auto"/>
        <w:rPr>
          <w:i/>
          <w:iCs/>
        </w:rPr>
      </w:pPr>
      <w:r>
        <w:rPr>
          <w:i/>
          <w:iCs/>
        </w:rPr>
        <w:t>GRV threshold for reducing feeds</w:t>
      </w:r>
    </w:p>
    <w:p w14:paraId="3D0C7401" w14:textId="76CACE68" w:rsidR="00B06612" w:rsidRPr="004F4751" w:rsidRDefault="00D870EB" w:rsidP="00640142">
      <w:pPr>
        <w:spacing w:line="480" w:lineRule="auto"/>
      </w:pPr>
      <w:r>
        <w:tab/>
      </w:r>
      <w:r w:rsidR="00A85387">
        <w:t>Two</w:t>
      </w:r>
      <w:r w:rsidR="00E7795B">
        <w:t xml:space="preserve"> </w:t>
      </w:r>
      <w:r w:rsidR="00294A58">
        <w:t xml:space="preserve">free text </w:t>
      </w:r>
      <w:r w:rsidR="00E7795B">
        <w:t xml:space="preserve">questions were included in the survey regarding the practice and threshold for reducing </w:t>
      </w:r>
      <w:r w:rsidR="00C70C11">
        <w:t xml:space="preserve">feed rate </w:t>
      </w:r>
      <w:r w:rsidR="00E7795B">
        <w:t>in response to a high GRV</w:t>
      </w:r>
      <w:r w:rsidR="001741E1">
        <w:t xml:space="preserve"> measurement</w:t>
      </w:r>
      <w:r w:rsidR="00E7795B">
        <w:t>.</w:t>
      </w:r>
      <w:r w:rsidR="00294A58">
        <w:t xml:space="preserve"> </w:t>
      </w:r>
      <w:r w:rsidR="002F35EA">
        <w:t xml:space="preserve">The threshold for a high GRV varied from 200ml to no limit. </w:t>
      </w:r>
      <w:r w:rsidR="002618FE">
        <w:t>Unit practice regarding what to do in response to a GRV</w:t>
      </w:r>
      <w:r w:rsidR="001741E1">
        <w:t xml:space="preserve"> measurement</w:t>
      </w:r>
      <w:r w:rsidR="002618FE">
        <w:t xml:space="preserve"> above </w:t>
      </w:r>
      <w:r w:rsidR="00CC2BA1">
        <w:t xml:space="preserve">the designated threshold also varied. </w:t>
      </w:r>
      <w:r w:rsidR="006D6C1C">
        <w:t>58% (</w:t>
      </w:r>
      <w:r w:rsidR="00CC2BA1">
        <w:t>59</w:t>
      </w:r>
      <w:r w:rsidR="006D6C1C">
        <w:t>/101)</w:t>
      </w:r>
      <w:r w:rsidR="00CC2BA1">
        <w:t xml:space="preserve"> </w:t>
      </w:r>
      <w:r w:rsidR="00077CDA">
        <w:t xml:space="preserve">of </w:t>
      </w:r>
      <w:r w:rsidR="00CC2BA1">
        <w:t xml:space="preserve">units responded that feed may be reduced following one high GRV, </w:t>
      </w:r>
      <w:r w:rsidR="002A259C">
        <w:t>15</w:t>
      </w:r>
      <w:r w:rsidR="00077CDA">
        <w:t>%</w:t>
      </w:r>
      <w:r w:rsidR="002A259C">
        <w:t xml:space="preserve"> </w:t>
      </w:r>
      <w:r w:rsidR="00077CDA">
        <w:t xml:space="preserve">(15/101) of </w:t>
      </w:r>
      <w:r w:rsidR="002A259C">
        <w:t xml:space="preserve">units responded that </w:t>
      </w:r>
      <w:r w:rsidR="00077CDA">
        <w:t>two</w:t>
      </w:r>
      <w:r w:rsidR="002A259C">
        <w:t xml:space="preserve"> </w:t>
      </w:r>
      <w:proofErr w:type="gramStart"/>
      <w:r w:rsidR="002A259C">
        <w:t>consecutive</w:t>
      </w:r>
      <w:proofErr w:type="gramEnd"/>
      <w:r w:rsidR="002A259C">
        <w:t xml:space="preserve"> high GRV </w:t>
      </w:r>
      <w:r w:rsidR="001741E1">
        <w:t xml:space="preserve">measurements </w:t>
      </w:r>
      <w:r w:rsidR="002A259C">
        <w:t xml:space="preserve">were required to </w:t>
      </w:r>
      <w:r w:rsidR="00DF3B8E">
        <w:t>necessitate a change in feed rate. 6</w:t>
      </w:r>
      <w:r w:rsidR="00FC3CB4">
        <w:t>% (6/101) of</w:t>
      </w:r>
      <w:r w:rsidR="00DF3B8E">
        <w:t xml:space="preserve"> units reported awaiting </w:t>
      </w:r>
      <w:r w:rsidR="00FC3CB4">
        <w:t>three</w:t>
      </w:r>
      <w:r w:rsidR="00DF3B8E">
        <w:t xml:space="preserve"> cons</w:t>
      </w:r>
      <w:r w:rsidR="004948BB">
        <w:t xml:space="preserve">ecutive high values, one unit stated </w:t>
      </w:r>
      <w:r w:rsidR="00FC3CB4">
        <w:t>four</w:t>
      </w:r>
      <w:r w:rsidR="004948BB">
        <w:t xml:space="preserve"> </w:t>
      </w:r>
      <w:proofErr w:type="gramStart"/>
      <w:r w:rsidR="004948BB">
        <w:t>consecutive</w:t>
      </w:r>
      <w:proofErr w:type="gramEnd"/>
      <w:r w:rsidR="004948BB">
        <w:t xml:space="preserve"> high GRV</w:t>
      </w:r>
      <w:r w:rsidR="001741E1">
        <w:t xml:space="preserve"> measurements</w:t>
      </w:r>
      <w:r w:rsidR="004948BB">
        <w:t xml:space="preserve"> and </w:t>
      </w:r>
      <w:r w:rsidR="008877BF">
        <w:t>8</w:t>
      </w:r>
      <w:r w:rsidR="005C5F2E">
        <w:t>% (8/101) of</w:t>
      </w:r>
      <w:r w:rsidR="008877BF">
        <w:t xml:space="preserve"> units responded that feed rate was only reduced after persistently high GRV but </w:t>
      </w:r>
      <w:r w:rsidR="008877BF">
        <w:lastRenderedPageBreak/>
        <w:t xml:space="preserve">did not quantify this. </w:t>
      </w:r>
      <w:r w:rsidR="00A46992">
        <w:t>2</w:t>
      </w:r>
      <w:r w:rsidR="00DD5259">
        <w:t>% (2/101) of</w:t>
      </w:r>
      <w:r w:rsidR="00A46992">
        <w:t xml:space="preserve"> units reported basing the decision to reduce feeds on trends rather than single values</w:t>
      </w:r>
      <w:r w:rsidR="00B06C66">
        <w:t xml:space="preserve"> and 7</w:t>
      </w:r>
      <w:r w:rsidR="00DD5259">
        <w:t>% (7/101) of</w:t>
      </w:r>
      <w:r w:rsidR="00B06C66">
        <w:t xml:space="preserve"> ICUs stated that feed rate is only reduced after initiation of pro-kinetic medication.</w:t>
      </w:r>
      <w:r w:rsidR="00E7795B">
        <w:t xml:space="preserve"> </w:t>
      </w:r>
    </w:p>
    <w:p w14:paraId="605D39ED" w14:textId="54EAE1F4" w:rsidR="00AE534C" w:rsidRDefault="009353F3" w:rsidP="00640142">
      <w:pPr>
        <w:spacing w:line="480" w:lineRule="auto"/>
        <w:rPr>
          <w:i/>
          <w:iCs/>
        </w:rPr>
      </w:pPr>
      <w:r>
        <w:rPr>
          <w:i/>
          <w:iCs/>
        </w:rPr>
        <w:t>Management of raised</w:t>
      </w:r>
      <w:r w:rsidR="00AE534C">
        <w:rPr>
          <w:i/>
          <w:iCs/>
        </w:rPr>
        <w:t xml:space="preserve"> GRV</w:t>
      </w:r>
    </w:p>
    <w:p w14:paraId="2D86AAF9" w14:textId="5FA70BB5" w:rsidR="00AE534C" w:rsidRDefault="00AE534C" w:rsidP="00640142">
      <w:pPr>
        <w:spacing w:line="480" w:lineRule="auto"/>
      </w:pPr>
      <w:r>
        <w:tab/>
        <w:t xml:space="preserve">Respondents were asked </w:t>
      </w:r>
      <w:r w:rsidR="00CC3D26">
        <w:t xml:space="preserve">to rate </w:t>
      </w:r>
      <w:r>
        <w:t>how they would treat a high GRV in their unit</w:t>
      </w:r>
      <w:r w:rsidR="00F052A8">
        <w:t xml:space="preserve"> from most likely to least likely</w:t>
      </w:r>
      <w:r>
        <w:t xml:space="preserve">. </w:t>
      </w:r>
      <w:r w:rsidR="007266A1">
        <w:t>Most</w:t>
      </w:r>
      <w:r>
        <w:t xml:space="preserve"> units</w:t>
      </w:r>
      <w:r w:rsidR="009353F3">
        <w:t xml:space="preserve"> (66%</w:t>
      </w:r>
      <w:r w:rsidR="00D025AA">
        <w:t xml:space="preserve"> </w:t>
      </w:r>
      <w:r w:rsidR="00A51774">
        <w:t>[</w:t>
      </w:r>
      <w:r w:rsidR="00D025AA">
        <w:t>67/101</w:t>
      </w:r>
      <w:r w:rsidR="00A51774">
        <w:t>]</w:t>
      </w:r>
      <w:r w:rsidR="009353F3">
        <w:t>)</w:t>
      </w:r>
      <w:r>
        <w:t xml:space="preserve"> reported that they would prescribe pro-kinetic medication as the first line response to a raised GRV. The second most common treatment for raised GRV was to change the </w:t>
      </w:r>
      <w:r w:rsidR="00580B22">
        <w:t>enteral nutrition</w:t>
      </w:r>
      <w:r>
        <w:t xml:space="preserve"> formula, followed by instigation of post-pyloric feeding</w:t>
      </w:r>
      <w:r w:rsidR="00771C79">
        <w:t xml:space="preserve"> (Figure </w:t>
      </w:r>
      <w:r w:rsidR="008636CD">
        <w:t>2</w:t>
      </w:r>
      <w:r w:rsidR="00771C79">
        <w:t>).</w:t>
      </w:r>
      <w:r w:rsidR="00AD4760">
        <w:t xml:space="preserve"> Other strategies to manage a raised GRV included ensuring that the patient is regularly opening their bowels and continuing with </w:t>
      </w:r>
      <w:r w:rsidR="00580B22">
        <w:t xml:space="preserve">enteral nutrition </w:t>
      </w:r>
      <w:r w:rsidR="00AD4760">
        <w:t>but at</w:t>
      </w:r>
      <w:r w:rsidR="009353F3">
        <w:t xml:space="preserve"> a </w:t>
      </w:r>
      <w:r w:rsidR="00AD4760">
        <w:t>reduced rate.</w:t>
      </w:r>
    </w:p>
    <w:p w14:paraId="26698209" w14:textId="107A96DF" w:rsidR="005B574E" w:rsidRPr="00BD3E84" w:rsidRDefault="005B574E" w:rsidP="00640142">
      <w:pPr>
        <w:spacing w:line="480" w:lineRule="auto"/>
      </w:pPr>
      <w:r>
        <w:rPr>
          <w:noProof/>
        </w:rPr>
        <w:drawing>
          <wp:inline distT="0" distB="0" distL="0" distR="0" wp14:anchorId="49FA98F7" wp14:editId="30D4D7E7">
            <wp:extent cx="6127750" cy="2743200"/>
            <wp:effectExtent l="0" t="0" r="6350" b="0"/>
            <wp:docPr id="2" name="Chart 2">
              <a:extLst xmlns:a="http://schemas.openxmlformats.org/drawingml/2006/main">
                <a:ext uri="{FF2B5EF4-FFF2-40B4-BE49-F238E27FC236}">
                  <a16:creationId xmlns:a16="http://schemas.microsoft.com/office/drawing/2014/main" id="{10FBEEA7-6E0C-47A0-A15C-E5B0D64D16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3D68E4" w14:textId="7AB0512A" w:rsidR="00BD3E84" w:rsidRPr="00FB420A" w:rsidRDefault="005B574E" w:rsidP="00640142">
      <w:pPr>
        <w:spacing w:line="480" w:lineRule="auto"/>
        <w:rPr>
          <w:b/>
          <w:bCs/>
        </w:rPr>
      </w:pPr>
      <w:r w:rsidRPr="00FB420A">
        <w:rPr>
          <w:b/>
          <w:bCs/>
        </w:rPr>
        <w:t xml:space="preserve">Figure 2: </w:t>
      </w:r>
      <w:r w:rsidR="00E30002">
        <w:rPr>
          <w:b/>
          <w:bCs/>
        </w:rPr>
        <w:t>Strategies for m</w:t>
      </w:r>
      <w:r w:rsidRPr="00FB420A">
        <w:rPr>
          <w:b/>
          <w:bCs/>
        </w:rPr>
        <w:t>anagement of raised GRV</w:t>
      </w:r>
      <w:r w:rsidR="00414BB0">
        <w:rPr>
          <w:b/>
          <w:bCs/>
        </w:rPr>
        <w:t xml:space="preserve"> measurements</w:t>
      </w:r>
    </w:p>
    <w:p w14:paraId="0D2E684A" w14:textId="19BBB0AC" w:rsidR="009E4F0B" w:rsidRDefault="009E4F0B" w:rsidP="00640142">
      <w:pPr>
        <w:spacing w:line="480" w:lineRule="auto"/>
        <w:rPr>
          <w:i/>
          <w:iCs/>
        </w:rPr>
      </w:pPr>
    </w:p>
    <w:p w14:paraId="507585C2" w14:textId="4799440F" w:rsidR="00994A37" w:rsidRDefault="00994A37" w:rsidP="00640142">
      <w:pPr>
        <w:spacing w:line="480" w:lineRule="auto"/>
        <w:rPr>
          <w:i/>
          <w:iCs/>
        </w:rPr>
      </w:pPr>
    </w:p>
    <w:p w14:paraId="5DD4D275" w14:textId="489AB8A2" w:rsidR="00994A37" w:rsidRDefault="00994A37" w:rsidP="00640142">
      <w:pPr>
        <w:spacing w:line="480" w:lineRule="auto"/>
        <w:rPr>
          <w:i/>
          <w:iCs/>
        </w:rPr>
      </w:pPr>
    </w:p>
    <w:p w14:paraId="4057EDC6" w14:textId="0B00BBA3" w:rsidR="009E4F0B" w:rsidRDefault="007C00E6" w:rsidP="00640142">
      <w:pPr>
        <w:spacing w:line="480" w:lineRule="auto"/>
        <w:rPr>
          <w:i/>
          <w:iCs/>
        </w:rPr>
      </w:pPr>
      <w:r w:rsidRPr="007C00E6">
        <w:rPr>
          <w:i/>
          <w:iCs/>
        </w:rPr>
        <w:t>Withholding enteral feeds</w:t>
      </w:r>
    </w:p>
    <w:p w14:paraId="5FA23D4B" w14:textId="655354CB" w:rsidR="00B43D88" w:rsidRDefault="00474DA4" w:rsidP="00640142">
      <w:pPr>
        <w:spacing w:line="480" w:lineRule="auto"/>
      </w:pPr>
      <w:r>
        <w:lastRenderedPageBreak/>
        <w:t>6</w:t>
      </w:r>
      <w:r w:rsidR="004C797B">
        <w:t>3%</w:t>
      </w:r>
      <w:r>
        <w:t xml:space="preserve"> (6</w:t>
      </w:r>
      <w:r w:rsidR="004C797B">
        <w:t>4/101</w:t>
      </w:r>
      <w:r>
        <w:t>) of units reported that i</w:t>
      </w:r>
      <w:r w:rsidR="008636CD">
        <w:t>f</w:t>
      </w:r>
      <w:r>
        <w:t xml:space="preserve"> </w:t>
      </w:r>
      <w:r w:rsidR="008636CD">
        <w:t>EN</w:t>
      </w:r>
      <w:r>
        <w:t xml:space="preserve"> </w:t>
      </w:r>
      <w:r w:rsidR="008636CD">
        <w:t>is</w:t>
      </w:r>
      <w:r>
        <w:t xml:space="preserve"> stopped then this decision is made jointly between the nurses and a doctor or dietitian. 6%</w:t>
      </w:r>
      <w:r w:rsidR="004C797B">
        <w:t xml:space="preserve"> (6/101)</w:t>
      </w:r>
      <w:r>
        <w:t xml:space="preserve"> of ICUs report</w:t>
      </w:r>
      <w:r w:rsidR="00366589">
        <w:t>ed</w:t>
      </w:r>
      <w:r>
        <w:t xml:space="preserve"> that the decision to withhold enteral feeds is primarily a medical decision and 30</w:t>
      </w:r>
      <w:r w:rsidR="00D846E8">
        <w:t>% (30/101) of</w:t>
      </w:r>
      <w:r>
        <w:t xml:space="preserve"> unit</w:t>
      </w:r>
      <w:r w:rsidR="008636CD">
        <w:t>s</w:t>
      </w:r>
      <w:r>
        <w:t xml:space="preserve"> report</w:t>
      </w:r>
      <w:r w:rsidR="00366589">
        <w:t>ed</w:t>
      </w:r>
      <w:r>
        <w:t xml:space="preserve"> only stopping feeds based on the ICU feeding protocol. </w:t>
      </w:r>
      <w:r w:rsidR="00E36C0D">
        <w:t>The volume, colour</w:t>
      </w:r>
      <w:r w:rsidR="00DE20E0">
        <w:t>,</w:t>
      </w:r>
      <w:r w:rsidR="00E36C0D">
        <w:t xml:space="preserve"> and consistency of GRV aspirated affects </w:t>
      </w:r>
      <w:proofErr w:type="gramStart"/>
      <w:r w:rsidR="00E36C0D">
        <w:t>the majority of</w:t>
      </w:r>
      <w:proofErr w:type="gramEnd"/>
      <w:r w:rsidR="00E36C0D">
        <w:t xml:space="preserve"> ICU staff decision</w:t>
      </w:r>
      <w:r w:rsidR="00135038">
        <w:t>s</w:t>
      </w:r>
      <w:r w:rsidR="00E36C0D">
        <w:t xml:space="preserve"> on stopping feed (Figure </w:t>
      </w:r>
      <w:r w:rsidR="008636CD">
        <w:t>3</w:t>
      </w:r>
      <w:r w:rsidR="00E36C0D">
        <w:t>).</w:t>
      </w:r>
    </w:p>
    <w:p w14:paraId="624E0552" w14:textId="250ABD4A" w:rsidR="009066E8" w:rsidRDefault="00625111" w:rsidP="00640142">
      <w:pPr>
        <w:spacing w:line="480" w:lineRule="auto"/>
      </w:pPr>
      <w:r>
        <w:rPr>
          <w:noProof/>
        </w:rPr>
        <w:drawing>
          <wp:inline distT="0" distB="0" distL="0" distR="0" wp14:anchorId="280C7815" wp14:editId="7116B9FE">
            <wp:extent cx="6064250" cy="1930400"/>
            <wp:effectExtent l="0" t="0" r="12700" b="12700"/>
            <wp:docPr id="3" name="Chart 3">
              <a:extLst xmlns:a="http://schemas.openxmlformats.org/drawingml/2006/main">
                <a:ext uri="{FF2B5EF4-FFF2-40B4-BE49-F238E27FC236}">
                  <a16:creationId xmlns:a16="http://schemas.microsoft.com/office/drawing/2014/main" id="{A61D250E-52A0-4FA2-BFE8-31E5C0764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67060B" w14:textId="2913768C" w:rsidR="00443451" w:rsidRPr="003A6B27" w:rsidRDefault="00C721DF" w:rsidP="00443451">
      <w:pPr>
        <w:spacing w:line="480" w:lineRule="auto"/>
        <w:rPr>
          <w:b/>
          <w:bCs/>
        </w:rPr>
      </w:pPr>
      <w:r w:rsidRPr="003A6B27">
        <w:rPr>
          <w:b/>
          <w:bCs/>
        </w:rPr>
        <w:t xml:space="preserve">Figure 3: Effect of </w:t>
      </w:r>
      <w:r w:rsidR="00B440E1">
        <w:rPr>
          <w:b/>
          <w:bCs/>
        </w:rPr>
        <w:t xml:space="preserve">high </w:t>
      </w:r>
      <w:r w:rsidRPr="003A6B27">
        <w:rPr>
          <w:b/>
          <w:bCs/>
        </w:rPr>
        <w:t xml:space="preserve">GRV </w:t>
      </w:r>
      <w:r w:rsidR="00B440E1">
        <w:rPr>
          <w:b/>
          <w:bCs/>
        </w:rPr>
        <w:t xml:space="preserve">measurements </w:t>
      </w:r>
      <w:r w:rsidRPr="003A6B27">
        <w:rPr>
          <w:b/>
          <w:bCs/>
        </w:rPr>
        <w:t>on decision to stop EN</w:t>
      </w:r>
    </w:p>
    <w:p w14:paraId="650D78F2" w14:textId="157B5914" w:rsidR="00923095" w:rsidRPr="00443451" w:rsidRDefault="00B86051" w:rsidP="00443451">
      <w:pPr>
        <w:spacing w:line="480" w:lineRule="auto"/>
        <w:ind w:firstLine="720"/>
        <w:rPr>
          <w:sz w:val="20"/>
          <w:szCs w:val="20"/>
        </w:rPr>
      </w:pPr>
      <w:proofErr w:type="gramStart"/>
      <w:r>
        <w:t>The majority of</w:t>
      </w:r>
      <w:proofErr w:type="gramEnd"/>
      <w:r>
        <w:t xml:space="preserve"> r</w:t>
      </w:r>
      <w:r w:rsidR="00E74D63">
        <w:t>espondents commented that the decision to stop feeds based on GRV was usually due to trends in volume rather than a one</w:t>
      </w:r>
      <w:r w:rsidR="00AE534C">
        <w:t>-</w:t>
      </w:r>
      <w:r w:rsidR="00E74D63">
        <w:t xml:space="preserve">off measurement and the GRV needed to be taken into consideration alongside other signs of intolerance such as abdominal distention and vomiting or risk of aspiration. </w:t>
      </w:r>
      <w:r>
        <w:t>However</w:t>
      </w:r>
      <w:r w:rsidR="00D12AA9">
        <w:t>,</w:t>
      </w:r>
      <w:r>
        <w:t xml:space="preserve"> other units noted that feeds are often stopped or reduced based solely on protocolised GRV measurements without further clinical interpretation.</w:t>
      </w:r>
      <w:r w:rsidR="00346D9D">
        <w:t xml:space="preserve"> 40%</w:t>
      </w:r>
      <w:r w:rsidR="00672BE4">
        <w:t xml:space="preserve"> (40/101)</w:t>
      </w:r>
      <w:r w:rsidR="00346D9D">
        <w:t xml:space="preserve"> of respondents commented that they would stop enteral feeds if GRV appeared to contain blood or faecal matter. 12% </w:t>
      </w:r>
      <w:r w:rsidR="00672BE4">
        <w:t xml:space="preserve">(12/101) </w:t>
      </w:r>
      <w:r w:rsidR="00346D9D">
        <w:t xml:space="preserve">of respondents reported </w:t>
      </w:r>
      <w:r w:rsidR="00072958">
        <w:t>enteral nutrition</w:t>
      </w:r>
      <w:r w:rsidR="00346D9D">
        <w:t xml:space="preserve"> would be stopped if GRV contained feed, whilst 4% </w:t>
      </w:r>
      <w:r w:rsidR="00672BE4">
        <w:t xml:space="preserve">(4/101) </w:t>
      </w:r>
      <w:r w:rsidR="00346D9D">
        <w:t xml:space="preserve">noted that GRV containing bile would cause feed to be discontinued. </w:t>
      </w:r>
      <w:r>
        <w:t xml:space="preserve"> </w:t>
      </w:r>
      <w:r w:rsidR="00AD2FCC">
        <w:t xml:space="preserve">If </w:t>
      </w:r>
      <w:r w:rsidR="00D12AA9">
        <w:t xml:space="preserve">enteral </w:t>
      </w:r>
      <w:r w:rsidR="00AD2FCC">
        <w:t>feed</w:t>
      </w:r>
      <w:r w:rsidR="00D12AA9">
        <w:t>s</w:t>
      </w:r>
      <w:r w:rsidR="00AD2FCC">
        <w:t xml:space="preserve"> </w:t>
      </w:r>
      <w:r w:rsidR="00D12AA9">
        <w:t xml:space="preserve">are </w:t>
      </w:r>
      <w:r w:rsidR="00AD2FCC">
        <w:t xml:space="preserve">stopped due to raised GRV 36% </w:t>
      </w:r>
      <w:r w:rsidR="00672BE4">
        <w:t xml:space="preserve">(36/101) </w:t>
      </w:r>
      <w:r w:rsidR="00AD2FCC">
        <w:t xml:space="preserve">of units reported it would be restarted upon a medical review, 18% </w:t>
      </w:r>
      <w:r w:rsidR="00672BE4">
        <w:t xml:space="preserve">(18/101) </w:t>
      </w:r>
      <w:r w:rsidR="00AD2FCC">
        <w:t xml:space="preserve">of respondents stated that feed would be restarted once GRV is reduced, 16% </w:t>
      </w:r>
      <w:r w:rsidR="00672BE4">
        <w:t xml:space="preserve">(16/101) </w:t>
      </w:r>
      <w:r w:rsidR="00AD2FCC">
        <w:t xml:space="preserve">stated they would wait </w:t>
      </w:r>
      <w:r w:rsidR="00672BE4">
        <w:t>four</w:t>
      </w:r>
      <w:r w:rsidR="00F103B4">
        <w:t xml:space="preserve"> to six</w:t>
      </w:r>
      <w:r w:rsidR="00AD2FCC">
        <w:t xml:space="preserve"> hours before reviewing and 15%</w:t>
      </w:r>
      <w:r w:rsidR="00F103B4">
        <w:t xml:space="preserve"> (15/101)</w:t>
      </w:r>
      <w:r w:rsidR="00AD2FCC">
        <w:t xml:space="preserve"> stated feed would be restarted on dietetic review. </w:t>
      </w:r>
    </w:p>
    <w:p w14:paraId="18778A69" w14:textId="4987B1A1" w:rsidR="00923095" w:rsidRDefault="00923095" w:rsidP="00640142">
      <w:pPr>
        <w:spacing w:line="480" w:lineRule="auto"/>
        <w:rPr>
          <w:b/>
          <w:bCs/>
        </w:rPr>
      </w:pPr>
      <w:r w:rsidRPr="00AA6A14">
        <w:rPr>
          <w:b/>
          <w:bCs/>
        </w:rPr>
        <w:t>Discussion</w:t>
      </w:r>
      <w:r w:rsidR="00AA6A14" w:rsidRPr="00AA6A14">
        <w:rPr>
          <w:b/>
          <w:bCs/>
        </w:rPr>
        <w:t>:</w:t>
      </w:r>
    </w:p>
    <w:p w14:paraId="671E40A6" w14:textId="00AF9368" w:rsidR="005A6C4D" w:rsidRDefault="00923095" w:rsidP="00640142">
      <w:pPr>
        <w:spacing w:line="480" w:lineRule="auto"/>
      </w:pPr>
      <w:r>
        <w:lastRenderedPageBreak/>
        <w:tab/>
      </w:r>
      <w:r w:rsidR="00260445">
        <w:t xml:space="preserve">This survey provides the first description of UK practice regarding measurement of GRV in adult critical care.  </w:t>
      </w:r>
      <w:r w:rsidR="00AF634C">
        <w:t>The vast majority</w:t>
      </w:r>
      <w:r>
        <w:t xml:space="preserve"> of</w:t>
      </w:r>
      <w:r w:rsidR="007A1B6E">
        <w:t xml:space="preserve"> adult</w:t>
      </w:r>
      <w:r>
        <w:t xml:space="preserve"> ICUs </w:t>
      </w:r>
      <w:r w:rsidR="007A1B6E">
        <w:t xml:space="preserve">in the UK </w:t>
      </w:r>
      <w:r>
        <w:t>that responded to this survey reported routinely measuring GRV</w:t>
      </w:r>
      <w:r w:rsidR="007A5BEA">
        <w:t xml:space="preserve"> to guide </w:t>
      </w:r>
      <w:r w:rsidR="00DE0E23">
        <w:t>enteral nutrition d</w:t>
      </w:r>
      <w:r w:rsidR="007A5BEA">
        <w:t>elivery</w:t>
      </w:r>
      <w:r w:rsidR="00FC141D">
        <w:t xml:space="preserve">, with </w:t>
      </w:r>
      <w:r w:rsidR="00B440E1">
        <w:t xml:space="preserve">a small minority </w:t>
      </w:r>
      <w:r>
        <w:t>report</w:t>
      </w:r>
      <w:r w:rsidR="00AE0EC1">
        <w:t>ing</w:t>
      </w:r>
      <w:r>
        <w:t xml:space="preserve"> measuring GRV only when there are clinical concerns. </w:t>
      </w:r>
      <w:r w:rsidR="008E02EB">
        <w:t>Most UK ICUs</w:t>
      </w:r>
      <w:r>
        <w:t xml:space="preserve"> </w:t>
      </w:r>
      <w:r w:rsidR="008E02EB">
        <w:t>currently</w:t>
      </w:r>
      <w:r>
        <w:t xml:space="preserve"> use GRV as an indicator of </w:t>
      </w:r>
      <w:r w:rsidR="008822CD">
        <w:t>enteral feeding intolerance</w:t>
      </w:r>
      <w:r>
        <w:t xml:space="preserve"> with GRV </w:t>
      </w:r>
      <w:r w:rsidR="00314C52">
        <w:t>providing</w:t>
      </w:r>
      <w:r>
        <w:t xml:space="preserve"> the sole measure</w:t>
      </w:r>
      <w:r w:rsidR="00314C52">
        <w:t xml:space="preserve"> in </w:t>
      </w:r>
      <w:proofErr w:type="gramStart"/>
      <w:r w:rsidR="00314C52">
        <w:t>a number of</w:t>
      </w:r>
      <w:proofErr w:type="gramEnd"/>
      <w:r w:rsidR="00314C52">
        <w:t xml:space="preserve"> units</w:t>
      </w:r>
      <w:r w:rsidR="004F2B5E">
        <w:t>.</w:t>
      </w:r>
      <w:r>
        <w:t xml:space="preserve"> Threshold values for a high GRV in the UK vary </w:t>
      </w:r>
      <w:r w:rsidR="00FC003F">
        <w:t>greatly</w:t>
      </w:r>
      <w:r>
        <w:t xml:space="preserve"> with frequency of measurement also </w:t>
      </w:r>
      <w:r w:rsidR="001E1060">
        <w:t>differing</w:t>
      </w:r>
      <w:r w:rsidR="00142D30">
        <w:t xml:space="preserve"> between units.</w:t>
      </w:r>
    </w:p>
    <w:p w14:paraId="30315B7E" w14:textId="1E3EF47A" w:rsidR="00A40BD5" w:rsidRDefault="005A6C4D" w:rsidP="00260445">
      <w:pPr>
        <w:spacing w:line="480" w:lineRule="auto"/>
      </w:pPr>
      <w:r>
        <w:tab/>
      </w:r>
      <w:r w:rsidR="00923095">
        <w:t xml:space="preserve"> </w:t>
      </w:r>
      <w:r w:rsidR="00260445">
        <w:t xml:space="preserve">The ongoing reliance on GRV as a measure of GI dysfunction and </w:t>
      </w:r>
      <w:r w:rsidR="00837021">
        <w:t>enteral feeding intolerance</w:t>
      </w:r>
      <w:r w:rsidR="00260445">
        <w:t xml:space="preserve"> may be </w:t>
      </w:r>
      <w:proofErr w:type="gramStart"/>
      <w:r w:rsidR="00260445">
        <w:t>as a result of</w:t>
      </w:r>
      <w:proofErr w:type="gramEnd"/>
      <w:r w:rsidR="00260445">
        <w:t xml:space="preserve"> the absence of other reliable functional markers that can be used to assess </w:t>
      </w:r>
      <w:r w:rsidR="00210FDF">
        <w:t xml:space="preserve">feed tolerance </w:t>
      </w:r>
      <w:r w:rsidR="00260445">
        <w:t>at the bedside (</w:t>
      </w:r>
      <w:r w:rsidR="001341DC">
        <w:t>7</w:t>
      </w:r>
      <w:r w:rsidR="0042767B">
        <w:t>,</w:t>
      </w:r>
      <w:r w:rsidR="00D874DE">
        <w:t>10</w:t>
      </w:r>
      <w:r w:rsidR="00260445">
        <w:t xml:space="preserve">). </w:t>
      </w:r>
      <w:r w:rsidR="00CA71C1">
        <w:t xml:space="preserve">A scoping review </w:t>
      </w:r>
      <w:r w:rsidR="00495E13">
        <w:t>considering potential biomarkers and functional measures of GI dysfunction</w:t>
      </w:r>
      <w:r w:rsidR="00A95BAB">
        <w:t xml:space="preserve"> and feeding intolerance in </w:t>
      </w:r>
      <w:r w:rsidR="001018D2">
        <w:t>ICU patients</w:t>
      </w:r>
      <w:r w:rsidR="00A95BAB">
        <w:t xml:space="preserve"> published in 2022 </w:t>
      </w:r>
      <w:r w:rsidR="007400DE">
        <w:t xml:space="preserve">concluded that there are currently no </w:t>
      </w:r>
      <w:r w:rsidR="007E5754">
        <w:t>markers suitable for daily clinical use (</w:t>
      </w:r>
      <w:r w:rsidR="00BE2953">
        <w:t>28</w:t>
      </w:r>
      <w:r w:rsidR="007E5754">
        <w:t>).</w:t>
      </w:r>
      <w:r w:rsidR="00431E60">
        <w:t xml:space="preserve"> This review </w:t>
      </w:r>
      <w:r w:rsidR="005B0F41">
        <w:t xml:space="preserve">investigated </w:t>
      </w:r>
      <w:r w:rsidR="001018D2">
        <w:t xml:space="preserve">the </w:t>
      </w:r>
      <w:r w:rsidR="005B0F41">
        <w:t>use of 11 potential biomarkers, two physiological markers (faecal weight and intra-abdominal pressure</w:t>
      </w:r>
      <w:r w:rsidR="00B50FB2">
        <w:t xml:space="preserve">) and ultrasound as a functional </w:t>
      </w:r>
      <w:proofErr w:type="gramStart"/>
      <w:r w:rsidR="00B50FB2">
        <w:t>marker</w:t>
      </w:r>
      <w:r w:rsidR="00687929">
        <w:t>,</w:t>
      </w:r>
      <w:r w:rsidR="00B50FB2">
        <w:t xml:space="preserve"> and</w:t>
      </w:r>
      <w:proofErr w:type="gramEnd"/>
      <w:r w:rsidR="00B50FB2">
        <w:t xml:space="preserve"> </w:t>
      </w:r>
      <w:r w:rsidR="00925811">
        <w:t>concluded</w:t>
      </w:r>
      <w:r w:rsidR="00F7304F">
        <w:t xml:space="preserve"> that none of the above markers are currently available for clinical use without further research</w:t>
      </w:r>
      <w:r w:rsidR="0015287C">
        <w:t xml:space="preserve"> and validation studies. </w:t>
      </w:r>
      <w:r w:rsidR="00A34C24">
        <w:t>Potential markers of interest include heparin binding protein, intra-abdominal pressure</w:t>
      </w:r>
      <w:r w:rsidR="00026A7C">
        <w:t xml:space="preserve">, </w:t>
      </w:r>
      <w:proofErr w:type="gramStart"/>
      <w:r w:rsidR="00026A7C">
        <w:t>cholecystokinin</w:t>
      </w:r>
      <w:proofErr w:type="gramEnd"/>
      <w:r w:rsidR="00026A7C">
        <w:t xml:space="preserve"> and acetylcholine however all require further research</w:t>
      </w:r>
      <w:r w:rsidR="00DE11FD">
        <w:t>.</w:t>
      </w:r>
      <w:r w:rsidR="00A95BAB">
        <w:t xml:space="preserve"> </w:t>
      </w:r>
      <w:r w:rsidR="00260445">
        <w:t>GRV provides a convenient</w:t>
      </w:r>
      <w:r w:rsidR="00D12AA9">
        <w:t xml:space="preserve">, </w:t>
      </w:r>
      <w:r w:rsidR="00745B42">
        <w:t>al</w:t>
      </w:r>
      <w:r w:rsidR="005E64E2">
        <w:t>beit</w:t>
      </w:r>
      <w:r w:rsidR="00D12AA9">
        <w:t xml:space="preserve"> unreliable</w:t>
      </w:r>
      <w:r w:rsidR="001A31E6">
        <w:t>,</w:t>
      </w:r>
      <w:r w:rsidR="00260445">
        <w:t xml:space="preserve"> assessment</w:t>
      </w:r>
      <w:r w:rsidR="00D12AA9">
        <w:t xml:space="preserve"> of GI dysfunction</w:t>
      </w:r>
      <w:r w:rsidR="00260445">
        <w:t xml:space="preserve"> for busy ICU clinicians in the absence of an alternative suitable bedside measurement (</w:t>
      </w:r>
      <w:r w:rsidR="00D874DE">
        <w:t>9</w:t>
      </w:r>
      <w:r w:rsidR="00260445">
        <w:t>). ICU clinicians may be concerned that not measuring GRV will result in increased incidence of aspiration and pneumonia</w:t>
      </w:r>
      <w:r w:rsidR="005D1338">
        <w:t>,</w:t>
      </w:r>
      <w:r w:rsidR="00260445">
        <w:t xml:space="preserve"> </w:t>
      </w:r>
      <w:r w:rsidR="005D1338">
        <w:t>a</w:t>
      </w:r>
      <w:r w:rsidR="00FA0474">
        <w:t>lthough</w:t>
      </w:r>
      <w:r w:rsidR="00260445">
        <w:t xml:space="preserve"> several studies have shown that increasing the GRV threshold (</w:t>
      </w:r>
      <w:r w:rsidR="008A1CAB">
        <w:t>29</w:t>
      </w:r>
      <w:r w:rsidR="003D5BC1">
        <w:t>,30</w:t>
      </w:r>
      <w:r w:rsidR="00260445">
        <w:t>), or not measuring GRV at all (</w:t>
      </w:r>
      <w:r w:rsidR="007D03A5">
        <w:t>4</w:t>
      </w:r>
      <w:r w:rsidR="00227169">
        <w:t>,1</w:t>
      </w:r>
      <w:r w:rsidR="002D3A98">
        <w:t>5</w:t>
      </w:r>
      <w:r w:rsidR="00227169">
        <w:t>,1</w:t>
      </w:r>
      <w:r w:rsidR="002D3A98">
        <w:t>6</w:t>
      </w:r>
      <w:r w:rsidR="00260445">
        <w:t>) does not result in increased incidence of complications</w:t>
      </w:r>
      <w:r w:rsidR="00D12AA9">
        <w:t xml:space="preserve"> in </w:t>
      </w:r>
      <w:r w:rsidR="002E3B8C">
        <w:t>either</w:t>
      </w:r>
      <w:r w:rsidR="00D12AA9">
        <w:t xml:space="preserve"> </w:t>
      </w:r>
      <w:r w:rsidR="0075378D">
        <w:t>adults</w:t>
      </w:r>
      <w:r w:rsidR="00D12AA9">
        <w:t xml:space="preserve"> </w:t>
      </w:r>
      <w:r w:rsidR="002E3B8C">
        <w:t>or</w:t>
      </w:r>
      <w:r w:rsidR="00D12AA9">
        <w:t xml:space="preserve"> </w:t>
      </w:r>
      <w:r w:rsidR="0075378D">
        <w:t>children</w:t>
      </w:r>
      <w:r w:rsidR="00D12AA9">
        <w:t xml:space="preserve"> (</w:t>
      </w:r>
      <w:r w:rsidR="00227169">
        <w:t>1</w:t>
      </w:r>
      <w:r w:rsidR="00561FCB">
        <w:t>7</w:t>
      </w:r>
      <w:r w:rsidR="00227169">
        <w:t>,1</w:t>
      </w:r>
      <w:r w:rsidR="00561FCB">
        <w:t>8</w:t>
      </w:r>
      <w:r w:rsidR="00D12AA9">
        <w:t>)</w:t>
      </w:r>
      <w:r w:rsidR="00260445">
        <w:t>.</w:t>
      </w:r>
      <w:r w:rsidR="00877083">
        <w:t xml:space="preserve"> </w:t>
      </w:r>
      <w:r w:rsidR="00290746">
        <w:t xml:space="preserve">However, </w:t>
      </w:r>
      <w:proofErr w:type="gramStart"/>
      <w:r w:rsidR="00290746">
        <w:t>in light of</w:t>
      </w:r>
      <w:proofErr w:type="gramEnd"/>
      <w:r w:rsidR="00290746">
        <w:t xml:space="preserve"> the </w:t>
      </w:r>
      <w:r w:rsidR="00944ECA">
        <w:t xml:space="preserve">reported high incidence of </w:t>
      </w:r>
      <w:r w:rsidR="003E4238">
        <w:t>GI</w:t>
      </w:r>
      <w:r w:rsidR="00944ECA">
        <w:t xml:space="preserve"> dysfunction and </w:t>
      </w:r>
      <w:r w:rsidR="004F4A7B">
        <w:t xml:space="preserve">associated adverse outcomes </w:t>
      </w:r>
      <w:r w:rsidR="008F52EF">
        <w:t>in some patient groups (</w:t>
      </w:r>
      <w:r w:rsidR="00DA53F7">
        <w:t>i.e.,</w:t>
      </w:r>
      <w:r w:rsidR="008F52EF">
        <w:t xml:space="preserve"> surgical patients</w:t>
      </w:r>
      <w:r w:rsidR="20C28979">
        <w:t xml:space="preserve">, </w:t>
      </w:r>
      <w:r w:rsidR="00DA53F7">
        <w:t>those</w:t>
      </w:r>
      <w:r w:rsidR="0240B024">
        <w:t xml:space="preserve"> receiving</w:t>
      </w:r>
      <w:r w:rsidR="008F52EF">
        <w:t xml:space="preserve"> high dose</w:t>
      </w:r>
      <w:r w:rsidR="00DA53F7">
        <w:t xml:space="preserve"> opioid</w:t>
      </w:r>
      <w:r w:rsidR="008F52EF">
        <w:t xml:space="preserve"> sedation and </w:t>
      </w:r>
      <w:r w:rsidR="005A7934">
        <w:t>catecholamines)</w:t>
      </w:r>
      <w:r w:rsidR="008F52EF">
        <w:t xml:space="preserve"> </w:t>
      </w:r>
      <w:r w:rsidR="00952CE3">
        <w:t xml:space="preserve">ongoing GRV </w:t>
      </w:r>
      <w:r w:rsidR="002A7E7F">
        <w:t xml:space="preserve">monitoring may be warranted in some </w:t>
      </w:r>
      <w:r w:rsidR="0016505A">
        <w:t xml:space="preserve">critical care </w:t>
      </w:r>
      <w:r w:rsidR="007E425C">
        <w:t>populations</w:t>
      </w:r>
      <w:r w:rsidR="002A7E7F">
        <w:t xml:space="preserve"> (</w:t>
      </w:r>
      <w:r w:rsidR="00561FCB">
        <w:t>9</w:t>
      </w:r>
      <w:r w:rsidR="002A7E7F">
        <w:t xml:space="preserve">). </w:t>
      </w:r>
      <w:proofErr w:type="gramStart"/>
      <w:r w:rsidR="00A8747A">
        <w:t>The majority of</w:t>
      </w:r>
      <w:proofErr w:type="gramEnd"/>
      <w:r w:rsidR="00A8747A">
        <w:t xml:space="preserve"> r</w:t>
      </w:r>
      <w:r w:rsidR="00A40BD5">
        <w:t xml:space="preserve">espondents to our survey reported that the colour and consistency of GRV aspirated affects </w:t>
      </w:r>
      <w:r w:rsidR="00A40BD5">
        <w:lastRenderedPageBreak/>
        <w:t>decisions on stopping feed</w:t>
      </w:r>
      <w:r w:rsidR="00A8747A">
        <w:t xml:space="preserve">. </w:t>
      </w:r>
      <w:r w:rsidR="000F07EE">
        <w:t>Presence of blood or faecal matter in the aspirate</w:t>
      </w:r>
      <w:r w:rsidR="00B257AD">
        <w:t xml:space="preserve"> signals GI dysfunction and cessation of routine measur</w:t>
      </w:r>
      <w:r w:rsidR="00C7342E">
        <w:t>ements of</w:t>
      </w:r>
      <w:r w:rsidR="00B257AD">
        <w:t xml:space="preserve"> GRV could lead to </w:t>
      </w:r>
      <w:r w:rsidR="0056146C">
        <w:t xml:space="preserve">these symptoms being missed. </w:t>
      </w:r>
    </w:p>
    <w:p w14:paraId="4BAE2F47" w14:textId="4EEAAC30" w:rsidR="00C92BFA" w:rsidRPr="003F2854" w:rsidRDefault="00260445" w:rsidP="00794CD8">
      <w:pPr>
        <w:spacing w:line="480" w:lineRule="auto"/>
        <w:ind w:firstLine="720"/>
        <w:rPr>
          <w:b/>
          <w:bCs/>
        </w:rPr>
      </w:pPr>
      <w:r>
        <w:t xml:space="preserve">Our survey showed that 64% of units have a GRV threshold of less than </w:t>
      </w:r>
      <w:r w:rsidR="00EC6D43">
        <w:t xml:space="preserve">the </w:t>
      </w:r>
      <w:r>
        <w:t>500 ml</w:t>
      </w:r>
      <w:r w:rsidR="00EC6D43">
        <w:t xml:space="preserve"> </w:t>
      </w:r>
      <w:r w:rsidR="001C3C1C">
        <w:t xml:space="preserve">cut off </w:t>
      </w:r>
      <w:r w:rsidR="00471087">
        <w:t xml:space="preserve">advocated in the ESPEN </w:t>
      </w:r>
      <w:r w:rsidR="009F563C">
        <w:t xml:space="preserve">critical care nutrition </w:t>
      </w:r>
      <w:r w:rsidR="00471087">
        <w:t>guidelines</w:t>
      </w:r>
      <w:r w:rsidR="00F3142B">
        <w:t xml:space="preserve">; </w:t>
      </w:r>
      <w:r w:rsidR="000A36FE">
        <w:t xml:space="preserve">the paediatric survey also reported varying GRV thresholds </w:t>
      </w:r>
      <w:r w:rsidR="0022365B">
        <w:t>(</w:t>
      </w:r>
      <w:r w:rsidR="00825A2A">
        <w:t>1</w:t>
      </w:r>
      <w:r w:rsidR="00D63908">
        <w:t>9</w:t>
      </w:r>
      <w:r w:rsidR="00825A2A">
        <w:t>)</w:t>
      </w:r>
      <w:r>
        <w:t xml:space="preserve">. </w:t>
      </w:r>
      <w:r w:rsidR="006C73A1">
        <w:t>Several units</w:t>
      </w:r>
      <w:r w:rsidR="00CE4AA8">
        <w:t xml:space="preserve"> in our survey reported planning to review </w:t>
      </w:r>
      <w:r w:rsidR="00555218">
        <w:t>the evidence on GRV measurements and thresholds and that their feeding protocols may be amended following this.</w:t>
      </w:r>
      <w:r>
        <w:t xml:space="preserve"> </w:t>
      </w:r>
      <w:r w:rsidR="00934998">
        <w:t xml:space="preserve">Recent studies have highlighted the </w:t>
      </w:r>
      <w:r w:rsidR="006474B3">
        <w:t xml:space="preserve">lack of robust evidence for ongoing GRV monitoring </w:t>
      </w:r>
      <w:r w:rsidR="005732D6">
        <w:t>(</w:t>
      </w:r>
      <w:r w:rsidR="004A59CA">
        <w:t>4</w:t>
      </w:r>
      <w:r w:rsidR="009479D1">
        <w:t>,1</w:t>
      </w:r>
      <w:r w:rsidR="004A59CA">
        <w:t>5</w:t>
      </w:r>
      <w:r w:rsidR="009479D1">
        <w:t>,1</w:t>
      </w:r>
      <w:r w:rsidR="004A59CA">
        <w:t>6</w:t>
      </w:r>
      <w:r w:rsidR="005732D6">
        <w:t xml:space="preserve">) </w:t>
      </w:r>
      <w:r w:rsidR="00683148">
        <w:t>and a</w:t>
      </w:r>
      <w:r w:rsidR="0016623C">
        <w:t xml:space="preserve"> systematic review of </w:t>
      </w:r>
      <w:r w:rsidR="00DE444D">
        <w:t xml:space="preserve">enteral feeding </w:t>
      </w:r>
      <w:r w:rsidR="004A4AB8">
        <w:t>intolerance</w:t>
      </w:r>
      <w:r w:rsidR="0016623C">
        <w:t xml:space="preserve"> in </w:t>
      </w:r>
      <w:r w:rsidR="00683148">
        <w:t xml:space="preserve">the </w:t>
      </w:r>
      <w:r w:rsidR="0016623C">
        <w:t>adult ICU p</w:t>
      </w:r>
      <w:r w:rsidR="00683148">
        <w:t>opulation</w:t>
      </w:r>
      <w:r w:rsidR="0016623C">
        <w:t xml:space="preserve"> found no correlation between incidence of </w:t>
      </w:r>
      <w:r w:rsidR="00DE444D">
        <w:t xml:space="preserve">feed intolerance </w:t>
      </w:r>
      <w:r w:rsidR="0016623C">
        <w:t xml:space="preserve">and reported GRV threshold and concluded that routine use of GRV to define </w:t>
      </w:r>
      <w:r w:rsidR="00186FEE">
        <w:t>enteral feeding intolerance</w:t>
      </w:r>
      <w:r w:rsidR="0016623C">
        <w:t xml:space="preserve"> could not be recommended (</w:t>
      </w:r>
      <w:r w:rsidR="004A59CA">
        <w:t>7</w:t>
      </w:r>
      <w:r w:rsidR="0016623C">
        <w:t xml:space="preserve">). </w:t>
      </w:r>
      <w:r w:rsidR="00733CEB">
        <w:t>This review concluded that a</w:t>
      </w:r>
      <w:r w:rsidR="0016623C">
        <w:t xml:space="preserve"> diagnosis of </w:t>
      </w:r>
      <w:r w:rsidR="00E47351">
        <w:t xml:space="preserve">enteral feeding intolerance </w:t>
      </w:r>
      <w:r w:rsidR="0016623C">
        <w:t xml:space="preserve">should be made after an assessment of symptoms throughout the GI tract and ability to achieve adequate </w:t>
      </w:r>
      <w:r w:rsidR="00A43499">
        <w:t>enteral</w:t>
      </w:r>
      <w:r w:rsidR="0016623C">
        <w:t xml:space="preserve"> intake, not based solely on delayed gastric emptying as determined by GRV (</w:t>
      </w:r>
      <w:r w:rsidR="004A59CA">
        <w:t>7</w:t>
      </w:r>
      <w:r w:rsidR="0016623C">
        <w:t>).</w:t>
      </w:r>
      <w:r w:rsidR="00B92EA7" w:rsidRPr="00B92EA7">
        <w:t xml:space="preserve"> </w:t>
      </w:r>
    </w:p>
    <w:p w14:paraId="6C6E9677" w14:textId="26B39076" w:rsidR="003E0841" w:rsidRDefault="00260445" w:rsidP="00D12AA9">
      <w:pPr>
        <w:spacing w:line="480" w:lineRule="auto"/>
        <w:ind w:firstLine="720"/>
      </w:pPr>
      <w:r>
        <w:t>In a busy ICU</w:t>
      </w:r>
      <w:r w:rsidR="007A1B6E">
        <w:t>,</w:t>
      </w:r>
      <w:r>
        <w:t xml:space="preserve"> the practice of measuring GRV add</w:t>
      </w:r>
      <w:r w:rsidR="00F67376">
        <w:t>s</w:t>
      </w:r>
      <w:r>
        <w:t xml:space="preserve"> to the burden of nursing workload a</w:t>
      </w:r>
      <w:r w:rsidR="00F67376">
        <w:t xml:space="preserve">nd has considerable cost implications. Parrish </w:t>
      </w:r>
      <w:r w:rsidR="007A1B6E">
        <w:t>(</w:t>
      </w:r>
      <w:r w:rsidR="00990738">
        <w:t>3</w:t>
      </w:r>
      <w:r w:rsidR="003D5BC1">
        <w:t>1</w:t>
      </w:r>
      <w:r w:rsidR="003A68E5">
        <w:t>)</w:t>
      </w:r>
      <w:r w:rsidR="00F67376">
        <w:t xml:space="preserve"> made a conservative estimate of the costs involved in regular GRV measurement in the United States and concluded the practice had an estimated health care cost of $22,680,000 per year excluding the cost of syringes and other equipment needed.</w:t>
      </w:r>
      <w:r w:rsidR="007A1B6E">
        <w:t xml:space="preserve"> At</w:t>
      </w:r>
      <w:r w:rsidR="00CE71C4">
        <w:t xml:space="preserve"> a time where healthcare costs</w:t>
      </w:r>
      <w:r w:rsidR="00D12AA9">
        <w:t xml:space="preserve"> as well as the sustainability of healthcare pra</w:t>
      </w:r>
      <w:r w:rsidR="00AC19BD">
        <w:t>c</w:t>
      </w:r>
      <w:r w:rsidR="00D12AA9">
        <w:t>tices</w:t>
      </w:r>
      <w:r w:rsidR="00CE71C4">
        <w:t xml:space="preserve"> </w:t>
      </w:r>
      <w:r w:rsidR="00AC19BD">
        <w:t>(</w:t>
      </w:r>
      <w:r w:rsidR="00E201E9">
        <w:t>3</w:t>
      </w:r>
      <w:r w:rsidR="000A7567">
        <w:t>2</w:t>
      </w:r>
      <w:r w:rsidR="00AC19BD">
        <w:t xml:space="preserve">) </w:t>
      </w:r>
      <w:r w:rsidR="00CE71C4">
        <w:t xml:space="preserve">are being increasingly scrutinised, ICU clinicians must ensure that all practice is based on the best available evidence and that the nursing time required for any procedures can be clearly justified. GRV measurements have </w:t>
      </w:r>
      <w:r w:rsidR="00D12AA9">
        <w:t xml:space="preserve">not </w:t>
      </w:r>
      <w:r w:rsidR="00CE71C4">
        <w:t>been shown to accurately reflect gastric emptying and risk of aspiration (</w:t>
      </w:r>
      <w:r w:rsidR="00AD56DB">
        <w:t>2,3</w:t>
      </w:r>
      <w:r w:rsidR="00CE71C4">
        <w:t>) and the volume obtained on aspiration will vary depending on the position of the nasogastric tube in the stomach, the position of the patient when the aspirate is taken, the size of the nasogastric tube</w:t>
      </w:r>
      <w:r w:rsidR="002408CD">
        <w:t>, frequency of aspiration</w:t>
      </w:r>
      <w:r w:rsidR="00CE71C4">
        <w:t xml:space="preserve"> and the technique used for aspiration (</w:t>
      </w:r>
      <w:r w:rsidR="00F77936">
        <w:t>9</w:t>
      </w:r>
      <w:r w:rsidR="002408CD">
        <w:t>,3</w:t>
      </w:r>
      <w:r w:rsidR="000A7567">
        <w:t>1</w:t>
      </w:r>
      <w:r w:rsidR="00CE71C4">
        <w:t xml:space="preserve">). Of note, </w:t>
      </w:r>
      <w:r w:rsidR="009C258D">
        <w:t xml:space="preserve">this </w:t>
      </w:r>
      <w:r w:rsidR="00CE71C4">
        <w:t>s</w:t>
      </w:r>
      <w:r w:rsidR="007A1B6E">
        <w:t>urvey report</w:t>
      </w:r>
      <w:r w:rsidR="00CE71C4">
        <w:t xml:space="preserve">s that only 28% of UK adult ICUs have a guideline in place regarding the technique that </w:t>
      </w:r>
      <w:r w:rsidR="00CE71C4">
        <w:lastRenderedPageBreak/>
        <w:t xml:space="preserve">should be used for aspiration of GRV. This lack of standardised practice </w:t>
      </w:r>
      <w:r w:rsidR="009C258D">
        <w:t xml:space="preserve">is likely to add </w:t>
      </w:r>
      <w:r w:rsidR="00CE71C4">
        <w:t>to</w:t>
      </w:r>
      <w:r w:rsidR="009C258D">
        <w:t xml:space="preserve"> the</w:t>
      </w:r>
      <w:r w:rsidR="00CE71C4">
        <w:t xml:space="preserve"> inaccuracies </w:t>
      </w:r>
      <w:r w:rsidR="009C258D">
        <w:t>of</w:t>
      </w:r>
      <w:r w:rsidR="00CE71C4">
        <w:t xml:space="preserve"> GRV volumes obtained</w:t>
      </w:r>
      <w:r w:rsidR="009C258D">
        <w:t xml:space="preserve">. </w:t>
      </w:r>
      <w:r w:rsidR="00644A7E">
        <w:t xml:space="preserve">However, even if techniques for GRV measurements were standardised, </w:t>
      </w:r>
      <w:r w:rsidR="000360F2">
        <w:t xml:space="preserve">this would not account for individual </w:t>
      </w:r>
      <w:r w:rsidR="00E329BE">
        <w:t xml:space="preserve">patient </w:t>
      </w:r>
      <w:r w:rsidR="000360F2">
        <w:t>variation in</w:t>
      </w:r>
      <w:r w:rsidR="00E329BE">
        <w:t xml:space="preserve"> what could be considered a “normal” gastric aspirate. </w:t>
      </w:r>
      <w:r w:rsidR="00C326E6">
        <w:t xml:space="preserve">Gastric aspirates are made up from a combination of endogenous GI secretions </w:t>
      </w:r>
      <w:r w:rsidR="00E93761">
        <w:t>and exogenous fluids (feed, medications, water flushes)</w:t>
      </w:r>
      <w:r w:rsidR="00EA5DFF">
        <w:t>, both of which vary between patients</w:t>
      </w:r>
      <w:r w:rsidR="00895ABC">
        <w:t xml:space="preserve">. In health endogenous secretions are estimated to </w:t>
      </w:r>
      <w:r w:rsidR="00EF1EC1">
        <w:t xml:space="preserve">be around </w:t>
      </w:r>
      <w:r w:rsidR="00E76C51">
        <w:t>4,000 to 5,000 mL per day. However</w:t>
      </w:r>
      <w:r w:rsidR="008950B4">
        <w:t>,</w:t>
      </w:r>
      <w:r w:rsidR="00E76C51">
        <w:t xml:space="preserve"> in critical illness the use of proton pump inhibitors, </w:t>
      </w:r>
      <w:r w:rsidR="00A1027D">
        <w:t xml:space="preserve">absence of </w:t>
      </w:r>
      <w:r w:rsidR="009E1096">
        <w:t>chewing</w:t>
      </w:r>
      <w:r w:rsidR="00E6489C">
        <w:t>, smell</w:t>
      </w:r>
      <w:r w:rsidR="009E1096">
        <w:t xml:space="preserve"> and</w:t>
      </w:r>
      <w:r w:rsidR="00E6489C">
        <w:t xml:space="preserve"> taste</w:t>
      </w:r>
      <w:r w:rsidR="009E1096">
        <w:t xml:space="preserve"> in the digestive process and post-pyloric feeding can dramatically alter endogenous production of GI secretions</w:t>
      </w:r>
      <w:r w:rsidR="00EA5DFF">
        <w:t xml:space="preserve"> (3</w:t>
      </w:r>
      <w:r w:rsidR="000A7567">
        <w:t>1</w:t>
      </w:r>
      <w:r w:rsidR="00EA5DFF">
        <w:t xml:space="preserve">). </w:t>
      </w:r>
      <w:r w:rsidR="00895ABC">
        <w:t xml:space="preserve"> </w:t>
      </w:r>
      <w:r w:rsidR="000360F2">
        <w:t xml:space="preserve"> </w:t>
      </w:r>
    </w:p>
    <w:p w14:paraId="6BACC718" w14:textId="1967274D" w:rsidR="004C2C79" w:rsidRDefault="008973CD" w:rsidP="00D12AA9">
      <w:pPr>
        <w:spacing w:line="480" w:lineRule="auto"/>
        <w:ind w:firstLine="720"/>
      </w:pPr>
      <w:r>
        <w:t xml:space="preserve">The results of our study are </w:t>
      </w:r>
      <w:proofErr w:type="gramStart"/>
      <w:r>
        <w:t>similar to</w:t>
      </w:r>
      <w:proofErr w:type="gramEnd"/>
      <w:r>
        <w:t xml:space="preserve"> </w:t>
      </w:r>
      <w:r w:rsidR="000A0FCF">
        <w:t>a</w:t>
      </w:r>
      <w:r w:rsidR="004C2C79">
        <w:t xml:space="preserve"> previous survey conducted in 2018 investigating nursing practices around GRV measurement in Turkey and Belgium </w:t>
      </w:r>
      <w:r w:rsidR="000A0FCF">
        <w:t>(3</w:t>
      </w:r>
      <w:r w:rsidR="000A7567">
        <w:t>3</w:t>
      </w:r>
      <w:r w:rsidR="000A0FCF">
        <w:t>)</w:t>
      </w:r>
      <w:r w:rsidR="00AC4706">
        <w:t xml:space="preserve">.  </w:t>
      </w:r>
      <w:r w:rsidR="004C4548">
        <w:t xml:space="preserve">That study </w:t>
      </w:r>
      <w:r w:rsidR="00AC4706">
        <w:t xml:space="preserve">reported </w:t>
      </w:r>
      <w:r w:rsidR="004C2C79">
        <w:t>measuring GRV to be commonplace with 98% of respondents reporting</w:t>
      </w:r>
      <w:r w:rsidR="002118C0">
        <w:t xml:space="preserve"> doing so</w:t>
      </w:r>
      <w:r w:rsidR="004C2C79">
        <w:t>. Over 50% of nurses reported measuring GRV to monitor for feed tolerance with threshold values varying; 45% of respondents reported a GRV of 50-200 ml to be considered high. Interestingly, more experienced ICU nurses appeared to measure GRV more commonly than their less experienced colleagues (3</w:t>
      </w:r>
      <w:r w:rsidR="00866E60">
        <w:t>3</w:t>
      </w:r>
      <w:r w:rsidR="004C2C79">
        <w:t>). If GRV measurements in the ICU are to be abandoned, ICU nurses must be reassured as to the safety of this course of action.</w:t>
      </w:r>
    </w:p>
    <w:p w14:paraId="1017D7C2" w14:textId="4480A2B6" w:rsidR="00260445" w:rsidRDefault="00F62D89" w:rsidP="00D12AA9">
      <w:pPr>
        <w:spacing w:line="480" w:lineRule="auto"/>
        <w:ind w:firstLine="720"/>
      </w:pPr>
      <w:r>
        <w:t>Work carried out in the paediatric population investigating practi</w:t>
      </w:r>
      <w:r w:rsidR="00927EC8">
        <w:t xml:space="preserve">tioner and parent views on not measuring GRV has shown that </w:t>
      </w:r>
      <w:r w:rsidR="00007726">
        <w:t>a trial of not measuring GRV in this population is acceptable</w:t>
      </w:r>
      <w:r w:rsidR="00375AE2">
        <w:t>;</w:t>
      </w:r>
      <w:r w:rsidR="00007726">
        <w:t xml:space="preserve"> however potential concerns </w:t>
      </w:r>
      <w:r w:rsidR="008D40E8">
        <w:t xml:space="preserve">regarding increased risk of </w:t>
      </w:r>
      <w:r w:rsidR="002E67E1">
        <w:t xml:space="preserve">aspiration, pain and delayed diagnosis of GI problems were identified and this needs careful consideration </w:t>
      </w:r>
      <w:r w:rsidR="00B10E9A">
        <w:t>in</w:t>
      </w:r>
      <w:r w:rsidR="002E67E1">
        <w:t xml:space="preserve"> </w:t>
      </w:r>
      <w:r w:rsidR="00E71D0D">
        <w:t>future work looking at ongoing GRV measurement</w:t>
      </w:r>
      <w:r w:rsidR="00B10E9A">
        <w:t xml:space="preserve"> (</w:t>
      </w:r>
      <w:r w:rsidR="00570F21">
        <w:t>34,35</w:t>
      </w:r>
      <w:r w:rsidR="00866E60">
        <w:t>,36</w:t>
      </w:r>
      <w:r w:rsidR="002B1A4D">
        <w:t>)</w:t>
      </w:r>
      <w:r w:rsidR="00E71D0D">
        <w:t>.</w:t>
      </w:r>
      <w:r w:rsidR="007E10DA">
        <w:t xml:space="preserve"> </w:t>
      </w:r>
      <w:r w:rsidR="000171C7">
        <w:t xml:space="preserve">A </w:t>
      </w:r>
      <w:r w:rsidR="00B24162">
        <w:t>large-scale</w:t>
      </w:r>
      <w:r w:rsidR="000171C7">
        <w:t xml:space="preserve"> prospective </w:t>
      </w:r>
      <w:r w:rsidR="003037B1">
        <w:t>randomised controlled trial</w:t>
      </w:r>
      <w:r w:rsidR="000171C7">
        <w:t xml:space="preserve"> investigating not measuring GRV is due to commence shortly in the paediatric population </w:t>
      </w:r>
      <w:r w:rsidR="00B81AF5">
        <w:t>(</w:t>
      </w:r>
      <w:r w:rsidR="00D85EC4">
        <w:t>23</w:t>
      </w:r>
      <w:r w:rsidR="00815B6E">
        <w:t xml:space="preserve">) </w:t>
      </w:r>
      <w:r w:rsidR="000171C7">
        <w:t xml:space="preserve">and a similar study </w:t>
      </w:r>
      <w:r w:rsidR="00B24162">
        <w:t xml:space="preserve">would be beneficial in the adult population. </w:t>
      </w:r>
    </w:p>
    <w:p w14:paraId="7D79DFB2" w14:textId="5914C901" w:rsidR="003A3070" w:rsidRPr="005F3E34" w:rsidRDefault="00B42B31" w:rsidP="00640142">
      <w:pPr>
        <w:spacing w:line="480" w:lineRule="auto"/>
      </w:pPr>
      <w:r>
        <w:lastRenderedPageBreak/>
        <w:tab/>
      </w:r>
      <w:r w:rsidR="00EC5969">
        <w:t>Measurement of GRV has been shown to be the most significant factor in failure to meet nutritional targets in the adult ICU population</w:t>
      </w:r>
      <w:r w:rsidR="003F0CA7">
        <w:t>,</w:t>
      </w:r>
      <w:r w:rsidR="00EC5969">
        <w:t xml:space="preserve"> with a 38% increase in risk of having a low ratio of delivered versus prescribed calories (</w:t>
      </w:r>
      <w:r w:rsidR="00EB0B2D">
        <w:t>11</w:t>
      </w:r>
      <w:r w:rsidR="00EC5969">
        <w:t xml:space="preserve">). </w:t>
      </w:r>
      <w:r w:rsidR="00261E8F">
        <w:t>This combined with other factors</w:t>
      </w:r>
      <w:r w:rsidR="001E21A8">
        <w:t xml:space="preserve"> </w:t>
      </w:r>
      <w:r w:rsidR="00D34377">
        <w:t>that hinder enteral feed provision in the ICU setting such as fasting for procedures</w:t>
      </w:r>
      <w:r w:rsidR="00E944D6">
        <w:t xml:space="preserve"> contributes to a frequent f</w:t>
      </w:r>
      <w:r w:rsidR="00931036">
        <w:t>ailure to meet EN targets in critical care patients (</w:t>
      </w:r>
      <w:r w:rsidR="00567AC8">
        <w:t>12</w:t>
      </w:r>
      <w:r w:rsidR="00750EFF">
        <w:t>,</w:t>
      </w:r>
      <w:r w:rsidR="00426CE1">
        <w:t>3</w:t>
      </w:r>
      <w:r w:rsidR="00304901">
        <w:t>7</w:t>
      </w:r>
      <w:r w:rsidR="00931036">
        <w:t>) and is associated with impaired clinical outcomes (</w:t>
      </w:r>
      <w:r w:rsidR="00F62916">
        <w:t>24,25,26</w:t>
      </w:r>
      <w:r w:rsidR="00931036">
        <w:t>).</w:t>
      </w:r>
      <w:r w:rsidR="00A47718">
        <w:t xml:space="preserve"> Taking this into consideration</w:t>
      </w:r>
      <w:r w:rsidR="0077715B">
        <w:t>,</w:t>
      </w:r>
      <w:r w:rsidR="00A47718">
        <w:t xml:space="preserve"> in addition to the evidence on poor validity of GRV measurements</w:t>
      </w:r>
      <w:r w:rsidR="00931036">
        <w:t xml:space="preserve"> </w:t>
      </w:r>
      <w:r w:rsidR="00A47718">
        <w:t>(</w:t>
      </w:r>
      <w:r w:rsidR="00CE7D7C">
        <w:t>2,3</w:t>
      </w:r>
      <w:r w:rsidR="00A47718">
        <w:t>) and lack of detrimental consequences to not measuring GRV (</w:t>
      </w:r>
      <w:r w:rsidR="00B50B36">
        <w:t>4</w:t>
      </w:r>
      <w:r w:rsidR="007D70CE">
        <w:t>,1</w:t>
      </w:r>
      <w:r w:rsidR="00B50B36">
        <w:t>5</w:t>
      </w:r>
      <w:r w:rsidR="007D70CE">
        <w:t>,1</w:t>
      </w:r>
      <w:r w:rsidR="00B50B36">
        <w:t>6</w:t>
      </w:r>
      <w:r w:rsidR="00A47718">
        <w:t>)</w:t>
      </w:r>
      <w:r w:rsidR="00375AE2">
        <w:t>,</w:t>
      </w:r>
      <w:r w:rsidR="00A47718">
        <w:t xml:space="preserve"> </w:t>
      </w:r>
      <w:r w:rsidR="00A4522B">
        <w:t xml:space="preserve">raises a </w:t>
      </w:r>
      <w:r w:rsidR="00A47718">
        <w:t>question</w:t>
      </w:r>
      <w:r w:rsidR="00F9244A">
        <w:t xml:space="preserve"> around</w:t>
      </w:r>
      <w:r w:rsidR="00A47718">
        <w:t xml:space="preserve"> the ongoing use of GRV to guide </w:t>
      </w:r>
      <w:r w:rsidR="00190FC8">
        <w:t>enteral nutrition</w:t>
      </w:r>
      <w:r w:rsidR="00A47718">
        <w:t xml:space="preserve"> delivery. </w:t>
      </w:r>
      <w:r w:rsidR="00924AE6">
        <w:t xml:space="preserve">Further research on </w:t>
      </w:r>
      <w:r w:rsidR="003C541E">
        <w:t>the usefulness of ongoing GRV measurements in adults</w:t>
      </w:r>
      <w:r w:rsidR="00FE599F">
        <w:t xml:space="preserve"> should build on the work </w:t>
      </w:r>
      <w:r w:rsidR="00924AE6">
        <w:t>being undertaken in the paediatric population</w:t>
      </w:r>
      <w:r w:rsidR="006C7BDE">
        <w:t xml:space="preserve"> (</w:t>
      </w:r>
      <w:r w:rsidR="006F1AB1">
        <w:t>21,22,23</w:t>
      </w:r>
      <w:r w:rsidR="006C7BDE">
        <w:t xml:space="preserve">). </w:t>
      </w:r>
      <w:r w:rsidR="004F7038">
        <w:t xml:space="preserve">In the meantime, strategies for </w:t>
      </w:r>
      <w:r w:rsidR="003A469B">
        <w:t xml:space="preserve">catching up on lost nutrition due to feeding interruptions </w:t>
      </w:r>
      <w:r w:rsidR="00711CAA">
        <w:t xml:space="preserve">such as </w:t>
      </w:r>
      <w:r w:rsidR="000B5C6C">
        <w:t>volume-based</w:t>
      </w:r>
      <w:r w:rsidR="00711CAA">
        <w:t xml:space="preserve"> feeding </w:t>
      </w:r>
      <w:r w:rsidR="003A469B">
        <w:t xml:space="preserve">should be promoted </w:t>
      </w:r>
      <w:r w:rsidR="00711CAA">
        <w:t>in critical care units</w:t>
      </w:r>
      <w:r w:rsidR="005B2120">
        <w:t xml:space="preserve"> to ensure adequate nutritional delivery</w:t>
      </w:r>
      <w:r w:rsidR="00F8017C">
        <w:t xml:space="preserve"> if f</w:t>
      </w:r>
      <w:r w:rsidR="00464528">
        <w:t>eeding is temporarily paused</w:t>
      </w:r>
      <w:r w:rsidR="000302F8">
        <w:t xml:space="preserve"> (3</w:t>
      </w:r>
      <w:r w:rsidR="00304901">
        <w:t>8</w:t>
      </w:r>
      <w:r w:rsidR="000302F8">
        <w:t>)</w:t>
      </w:r>
      <w:r w:rsidR="005B2120">
        <w:t xml:space="preserve">. </w:t>
      </w:r>
    </w:p>
    <w:p w14:paraId="5AA725CB" w14:textId="1E75D1AD" w:rsidR="005F2024" w:rsidRDefault="003215BA" w:rsidP="00640142">
      <w:pPr>
        <w:spacing w:line="480" w:lineRule="auto"/>
      </w:pPr>
      <w:r>
        <w:tab/>
        <w:t>There are some limitations to this study. Firstly, th</w:t>
      </w:r>
      <w:r w:rsidR="003F0CA7">
        <w:t>e survey</w:t>
      </w:r>
      <w:r>
        <w:t xml:space="preserve"> does not represent all adult ICUs </w:t>
      </w:r>
      <w:r w:rsidR="003F0CA7">
        <w:t xml:space="preserve">in the UK </w:t>
      </w:r>
      <w:r>
        <w:t>and practice may differ in non-responder units</w:t>
      </w:r>
      <w:r w:rsidR="007E0718">
        <w:t>.</w:t>
      </w:r>
      <w:r>
        <w:t xml:space="preserve"> Secondly, the survey was primarily completed by ICU dietitians with only 7% of surveys completed by nursing staff. </w:t>
      </w:r>
      <w:r w:rsidR="0043456A">
        <w:t>In the paediatric survey of GRV monitoring practices in the UK</w:t>
      </w:r>
      <w:r w:rsidR="003F0CA7">
        <w:t>,</w:t>
      </w:r>
      <w:r w:rsidR="0043456A">
        <w:t xml:space="preserve"> a more collaborative </w:t>
      </w:r>
      <w:r w:rsidR="0023587D">
        <w:t xml:space="preserve">approach to survey completion was seen with nurses and dietitians completing 96% of surveys and doctors completing 92%. </w:t>
      </w:r>
      <w:r>
        <w:t>The findings may therefore represent perceived practice from dietitians rather than actual nursing or medical practice.</w:t>
      </w:r>
      <w:r w:rsidR="003A5AC8">
        <w:t xml:space="preserve"> </w:t>
      </w:r>
      <w:r w:rsidR="007275DA">
        <w:t xml:space="preserve">Repeating this survey and ensuring responses are completed by nursing and medical staff in addition to dietitians may </w:t>
      </w:r>
      <w:r w:rsidR="008A3585">
        <w:t xml:space="preserve">produce different results. </w:t>
      </w:r>
      <w:r w:rsidR="00012BDE">
        <w:t>However, in the UK the role of the critical care dietitian is well developed</w:t>
      </w:r>
      <w:r w:rsidR="00D845DC">
        <w:t xml:space="preserve"> </w:t>
      </w:r>
      <w:r w:rsidR="000C5AB1">
        <w:t>(</w:t>
      </w:r>
      <w:r w:rsidR="00FF2513">
        <w:t>3</w:t>
      </w:r>
      <w:r w:rsidR="00304901">
        <w:t>9</w:t>
      </w:r>
      <w:r w:rsidR="00D845DC">
        <w:t>)</w:t>
      </w:r>
      <w:r w:rsidR="00B525B7">
        <w:t>,</w:t>
      </w:r>
      <w:r w:rsidR="006A242C">
        <w:t xml:space="preserve"> and dietitians are well placed to comment on nutritional practices within the ICU. </w:t>
      </w:r>
    </w:p>
    <w:p w14:paraId="6F60185A" w14:textId="77777777" w:rsidR="00FD78A5" w:rsidRDefault="00FD78A5" w:rsidP="00640142">
      <w:pPr>
        <w:spacing w:line="480" w:lineRule="auto"/>
        <w:rPr>
          <w:b/>
          <w:bCs/>
        </w:rPr>
      </w:pPr>
    </w:p>
    <w:p w14:paraId="0DF5BDF6" w14:textId="180E159E" w:rsidR="003215BA" w:rsidRPr="00AA6A14" w:rsidRDefault="003215BA" w:rsidP="00640142">
      <w:pPr>
        <w:spacing w:line="480" w:lineRule="auto"/>
        <w:rPr>
          <w:b/>
          <w:bCs/>
        </w:rPr>
      </w:pPr>
      <w:r w:rsidRPr="00AA6A14">
        <w:rPr>
          <w:b/>
          <w:bCs/>
        </w:rPr>
        <w:t>Conclusions</w:t>
      </w:r>
      <w:r w:rsidR="00AA6A14" w:rsidRPr="00AA6A14">
        <w:rPr>
          <w:b/>
          <w:bCs/>
        </w:rPr>
        <w:t>:</w:t>
      </w:r>
    </w:p>
    <w:p w14:paraId="44ADD98D" w14:textId="0F67B0AB" w:rsidR="003215BA" w:rsidRDefault="003215BA" w:rsidP="00640142">
      <w:pPr>
        <w:spacing w:line="480" w:lineRule="auto"/>
      </w:pPr>
      <w:r>
        <w:lastRenderedPageBreak/>
        <w:tab/>
      </w:r>
      <w:r w:rsidR="00AC7EE7">
        <w:t>Measurement of GRV is the most common method of determining</w:t>
      </w:r>
      <w:r w:rsidR="007C3C56">
        <w:t xml:space="preserve"> enteral feeding intolerance</w:t>
      </w:r>
      <w:r w:rsidR="00AC7EE7">
        <w:t xml:space="preserve"> in adult ICUs</w:t>
      </w:r>
      <w:r w:rsidR="003F0CA7">
        <w:t xml:space="preserve"> in the UK</w:t>
      </w:r>
      <w:r w:rsidR="00AC7EE7">
        <w:t xml:space="preserve">. The practice continues despite evidence of poor validity and reproducibility of this measurement. This is likely to be due to lack of alternative bedside measures of </w:t>
      </w:r>
      <w:r w:rsidR="00EF5FA7">
        <w:t>feed tolerance</w:t>
      </w:r>
      <w:r w:rsidR="00E712F5">
        <w:t>.</w:t>
      </w:r>
      <w:r w:rsidR="00375AE2">
        <w:t xml:space="preserve"> H</w:t>
      </w:r>
      <w:r w:rsidR="001D3179">
        <w:t>owever</w:t>
      </w:r>
      <w:r w:rsidR="00EC3733">
        <w:t>,</w:t>
      </w:r>
      <w:r w:rsidR="001D3179">
        <w:t xml:space="preserve"> </w:t>
      </w:r>
      <w:r w:rsidR="000F2104">
        <w:t xml:space="preserve">the ongoing measurement of GRV is likely to be contributing to inefficient use of nursing resource </w:t>
      </w:r>
      <w:r w:rsidR="00F52752">
        <w:t>and</w:t>
      </w:r>
      <w:r w:rsidR="000F2104">
        <w:t xml:space="preserve"> </w:t>
      </w:r>
      <w:r w:rsidR="00AD2132">
        <w:t>failure to meet nutritional targets</w:t>
      </w:r>
      <w:r w:rsidR="00AC7EE7">
        <w:t>. Further</w:t>
      </w:r>
      <w:r w:rsidR="00AD2132">
        <w:t xml:space="preserve"> </w:t>
      </w:r>
      <w:r w:rsidR="00A47718">
        <w:t>research</w:t>
      </w:r>
      <w:r w:rsidR="00AC7EE7">
        <w:t xml:space="preserve"> should be </w:t>
      </w:r>
      <w:r w:rsidR="00A47718">
        <w:t>undertaken in</w:t>
      </w:r>
      <w:r w:rsidR="00AC7EE7">
        <w:t>to the benefit of ongoing GRV measurements in th</w:t>
      </w:r>
      <w:r w:rsidR="00A47718">
        <w:t>e adult ICU population</w:t>
      </w:r>
      <w:r w:rsidR="006A5D5C">
        <w:t xml:space="preserve"> and alternative markers of </w:t>
      </w:r>
      <w:r w:rsidR="00F261DB">
        <w:t>enteral feeding intolerance</w:t>
      </w:r>
      <w:r w:rsidR="0094372D">
        <w:t xml:space="preserve"> such as monitoring of symptoms,</w:t>
      </w:r>
      <w:r w:rsidR="00DC191B">
        <w:t xml:space="preserve"> functional measures of </w:t>
      </w:r>
      <w:r w:rsidR="003E4238">
        <w:t>GI</w:t>
      </w:r>
      <w:r w:rsidR="00DC191B">
        <w:t xml:space="preserve"> dysfunction and</w:t>
      </w:r>
      <w:r w:rsidR="0094372D">
        <w:t xml:space="preserve"> </w:t>
      </w:r>
      <w:r w:rsidR="00DC191B">
        <w:t>biomarkers</w:t>
      </w:r>
      <w:r w:rsidR="00390B2B">
        <w:t xml:space="preserve"> </w:t>
      </w:r>
      <w:r w:rsidR="7A92D148">
        <w:t xml:space="preserve">of </w:t>
      </w:r>
      <w:r w:rsidR="00390B2B">
        <w:t>feeding intolerance</w:t>
      </w:r>
      <w:r w:rsidR="00A47718">
        <w:t xml:space="preserve">. </w:t>
      </w:r>
    </w:p>
    <w:p w14:paraId="16051A64" w14:textId="4FFC4F63" w:rsidR="005F2024" w:rsidRDefault="005F2024" w:rsidP="00640142">
      <w:pPr>
        <w:spacing w:line="480" w:lineRule="auto"/>
      </w:pPr>
    </w:p>
    <w:p w14:paraId="5A13F021" w14:textId="77777777" w:rsidR="00380870" w:rsidRDefault="00380870">
      <w:pPr>
        <w:rPr>
          <w:b/>
          <w:bCs/>
        </w:rPr>
      </w:pPr>
      <w:r>
        <w:rPr>
          <w:b/>
          <w:bCs/>
        </w:rPr>
        <w:br w:type="page"/>
      </w:r>
    </w:p>
    <w:p w14:paraId="54090926" w14:textId="4B4CBDA3" w:rsidR="00380870" w:rsidRPr="000512AD" w:rsidRDefault="00380870" w:rsidP="00380870">
      <w:pPr>
        <w:spacing w:line="480" w:lineRule="auto"/>
        <w:rPr>
          <w:b/>
          <w:bCs/>
        </w:rPr>
      </w:pPr>
      <w:r w:rsidRPr="000512AD">
        <w:rPr>
          <w:b/>
          <w:bCs/>
        </w:rPr>
        <w:lastRenderedPageBreak/>
        <w:t>Authorship statement</w:t>
      </w:r>
    </w:p>
    <w:p w14:paraId="79B0DC7B" w14:textId="70EC16D7" w:rsidR="00380870" w:rsidRDefault="00380870" w:rsidP="00380870">
      <w:pPr>
        <w:spacing w:line="480" w:lineRule="auto"/>
        <w:rPr>
          <w:b/>
          <w:bCs/>
        </w:rPr>
      </w:pPr>
      <w:r w:rsidRPr="00F12465">
        <w:tab/>
        <w:t>Authors made the</w:t>
      </w:r>
      <w:r>
        <w:rPr>
          <w:b/>
          <w:bCs/>
        </w:rPr>
        <w:t xml:space="preserve"> </w:t>
      </w:r>
      <w:r>
        <w:t>following contribution to the manuscript: BJ, LVM and PCC formulated the question</w:t>
      </w:r>
      <w:r w:rsidR="00347E8A">
        <w:t>;</w:t>
      </w:r>
      <w:r>
        <w:t xml:space="preserve"> BJ </w:t>
      </w:r>
      <w:r w:rsidR="00F842C8">
        <w:t>adapted the survey from previously published work</w:t>
      </w:r>
      <w:r w:rsidR="007B2A73">
        <w:t>;</w:t>
      </w:r>
      <w:r>
        <w:t xml:space="preserve"> BJ </w:t>
      </w:r>
      <w:r w:rsidR="00C77383">
        <w:t>piloted and set up the web-based survey</w:t>
      </w:r>
      <w:r w:rsidR="00D102E4">
        <w:t>, contacted non-responder units and collated the data</w:t>
      </w:r>
      <w:r w:rsidR="007B2A73">
        <w:t>;</w:t>
      </w:r>
      <w:r>
        <w:t xml:space="preserve"> BJ conducted the analysis </w:t>
      </w:r>
      <w:r w:rsidR="00D102E4">
        <w:t xml:space="preserve">of results </w:t>
      </w:r>
      <w:r>
        <w:t>and drafted the manuscript</w:t>
      </w:r>
      <w:r w:rsidR="007B2A73">
        <w:t>;</w:t>
      </w:r>
      <w:r>
        <w:t xml:space="preserve"> BJ, LVM and PCC critically reviewed and revised the manuscript</w:t>
      </w:r>
      <w:r w:rsidR="007B2A73">
        <w:t>;</w:t>
      </w:r>
      <w:r>
        <w:t xml:space="preserve"> BJ, LVM and PCC provided final approval of the manuscript.</w:t>
      </w:r>
    </w:p>
    <w:p w14:paraId="1D7E5E76" w14:textId="13FA9203" w:rsidR="00931036" w:rsidRPr="00B5122A" w:rsidRDefault="00931036" w:rsidP="00B5122A">
      <w:pPr>
        <w:spacing w:line="480" w:lineRule="auto"/>
        <w:rPr>
          <w:rFonts w:cstheme="minorHAnsi"/>
        </w:rPr>
      </w:pPr>
    </w:p>
    <w:p w14:paraId="0EC038F6" w14:textId="7F55EDDC" w:rsidR="00931036" w:rsidRPr="00B5122A" w:rsidRDefault="00931036" w:rsidP="00B5122A">
      <w:pPr>
        <w:spacing w:line="480" w:lineRule="auto"/>
        <w:rPr>
          <w:rFonts w:cstheme="minorHAnsi"/>
        </w:rPr>
      </w:pPr>
    </w:p>
    <w:p w14:paraId="1E930F7A" w14:textId="0AC58D38" w:rsidR="00931036" w:rsidRPr="00B5122A" w:rsidRDefault="00931036" w:rsidP="00B5122A">
      <w:pPr>
        <w:spacing w:line="480" w:lineRule="auto"/>
        <w:rPr>
          <w:rFonts w:cstheme="minorHAnsi"/>
        </w:rPr>
      </w:pPr>
    </w:p>
    <w:p w14:paraId="69ADA05E" w14:textId="77777777" w:rsidR="00F41C15" w:rsidRDefault="00F41C15">
      <w:pPr>
        <w:rPr>
          <w:rFonts w:cstheme="minorHAnsi"/>
          <w:b/>
          <w:bCs/>
        </w:rPr>
      </w:pPr>
      <w:r>
        <w:rPr>
          <w:rFonts w:cstheme="minorHAnsi"/>
          <w:b/>
          <w:bCs/>
        </w:rPr>
        <w:br w:type="page"/>
      </w:r>
    </w:p>
    <w:p w14:paraId="0B46545A" w14:textId="77777777" w:rsidR="002D2932" w:rsidRPr="00B5122A" w:rsidRDefault="002D2932" w:rsidP="002D2932">
      <w:pPr>
        <w:spacing w:line="480" w:lineRule="auto"/>
        <w:rPr>
          <w:rFonts w:cstheme="minorHAnsi"/>
          <w:b/>
          <w:bCs/>
        </w:rPr>
      </w:pPr>
      <w:r w:rsidRPr="00B5122A">
        <w:rPr>
          <w:rFonts w:cstheme="minorHAnsi"/>
          <w:b/>
          <w:bCs/>
        </w:rPr>
        <w:lastRenderedPageBreak/>
        <w:t>References</w:t>
      </w:r>
    </w:p>
    <w:p w14:paraId="241EC7BB"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Metheny NA, Mills AC, Stewart BJ. Monitoring for intolerance to gastric tube feedings: a national survey. Am J Crit Care. 2012 Mar;21(2</w:t>
      </w:r>
      <w:proofErr w:type="gramStart"/>
      <w:r w:rsidRPr="00B5122A">
        <w:rPr>
          <w:rFonts w:cstheme="minorHAnsi"/>
          <w:color w:val="212121"/>
          <w:shd w:val="clear" w:color="auto" w:fill="FFFFFF"/>
        </w:rPr>
        <w:t>):e</w:t>
      </w:r>
      <w:proofErr w:type="gramEnd"/>
      <w:r w:rsidRPr="00B5122A">
        <w:rPr>
          <w:rFonts w:cstheme="minorHAnsi"/>
          <w:color w:val="212121"/>
          <w:shd w:val="clear" w:color="auto" w:fill="FFFFFF"/>
        </w:rPr>
        <w:t>33-40.</w:t>
      </w:r>
    </w:p>
    <w:p w14:paraId="4BE10BE7"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proofErr w:type="spellStart"/>
      <w:r w:rsidRPr="00B5122A">
        <w:rPr>
          <w:rFonts w:cstheme="minorHAnsi"/>
          <w:color w:val="212121"/>
          <w:shd w:val="clear" w:color="auto" w:fill="FFFFFF"/>
        </w:rPr>
        <w:t>McClave</w:t>
      </w:r>
      <w:proofErr w:type="spellEnd"/>
      <w:r w:rsidRPr="00B5122A">
        <w:rPr>
          <w:rFonts w:cstheme="minorHAnsi"/>
          <w:color w:val="212121"/>
          <w:shd w:val="clear" w:color="auto" w:fill="FFFFFF"/>
        </w:rPr>
        <w:t xml:space="preserve"> SA, Lukan JK, </w:t>
      </w:r>
      <w:proofErr w:type="spellStart"/>
      <w:r w:rsidRPr="00B5122A">
        <w:rPr>
          <w:rFonts w:cstheme="minorHAnsi"/>
          <w:color w:val="212121"/>
          <w:shd w:val="clear" w:color="auto" w:fill="FFFFFF"/>
        </w:rPr>
        <w:t>Stefater</w:t>
      </w:r>
      <w:proofErr w:type="spellEnd"/>
      <w:r w:rsidRPr="00B5122A">
        <w:rPr>
          <w:rFonts w:cstheme="minorHAnsi"/>
          <w:color w:val="212121"/>
          <w:shd w:val="clear" w:color="auto" w:fill="FFFFFF"/>
        </w:rPr>
        <w:t xml:space="preserve"> JA</w:t>
      </w:r>
      <w:r>
        <w:rPr>
          <w:rFonts w:cstheme="minorHAnsi"/>
          <w:color w:val="212121"/>
          <w:shd w:val="clear" w:color="auto" w:fill="FFFFFF"/>
        </w:rPr>
        <w:t xml:space="preserve"> et al</w:t>
      </w:r>
      <w:r w:rsidRPr="00B5122A">
        <w:rPr>
          <w:rFonts w:cstheme="minorHAnsi"/>
          <w:color w:val="212121"/>
          <w:shd w:val="clear" w:color="auto" w:fill="FFFFFF"/>
        </w:rPr>
        <w:t>. Poor validity of residual volumes as a marker for risk of aspiration in critically ill patients. Crit Care Med. 2005 Feb;33(2):324-30. </w:t>
      </w:r>
    </w:p>
    <w:p w14:paraId="139274E3" w14:textId="77777777" w:rsidR="002D2932"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Hurt RT, </w:t>
      </w:r>
      <w:proofErr w:type="spellStart"/>
      <w:r w:rsidRPr="00B5122A">
        <w:rPr>
          <w:rFonts w:cstheme="minorHAnsi"/>
          <w:color w:val="212121"/>
          <w:shd w:val="clear" w:color="auto" w:fill="FFFFFF"/>
        </w:rPr>
        <w:t>McClave</w:t>
      </w:r>
      <w:proofErr w:type="spellEnd"/>
      <w:r w:rsidRPr="00B5122A">
        <w:rPr>
          <w:rFonts w:cstheme="minorHAnsi"/>
          <w:color w:val="212121"/>
          <w:shd w:val="clear" w:color="auto" w:fill="FFFFFF"/>
        </w:rPr>
        <w:t xml:space="preserve"> SA. Gastric residual volumes in critical illness: what do they really mean? Crit Care Clin. 2010 Jul;26(3):481-90, viii-ix.</w:t>
      </w:r>
    </w:p>
    <w:p w14:paraId="749AE561" w14:textId="77777777" w:rsidR="002D2932" w:rsidRPr="00910D61" w:rsidRDefault="002D2932" w:rsidP="002D2932">
      <w:pPr>
        <w:pStyle w:val="ListParagraph"/>
        <w:numPr>
          <w:ilvl w:val="0"/>
          <w:numId w:val="1"/>
        </w:numPr>
        <w:spacing w:before="100" w:beforeAutospacing="1" w:after="100" w:afterAutospacing="1" w:line="480" w:lineRule="auto"/>
        <w:rPr>
          <w:rFonts w:eastAsia="Times New Roman" w:cstheme="minorHAnsi"/>
          <w:color w:val="000000"/>
          <w:lang w:eastAsia="en-GB"/>
        </w:rPr>
      </w:pPr>
      <w:proofErr w:type="spellStart"/>
      <w:r w:rsidRPr="00B5122A">
        <w:rPr>
          <w:rFonts w:cstheme="minorHAnsi"/>
          <w:color w:val="212121"/>
          <w:shd w:val="clear" w:color="auto" w:fill="FFFFFF"/>
        </w:rPr>
        <w:t>Reignier</w:t>
      </w:r>
      <w:proofErr w:type="spellEnd"/>
      <w:r w:rsidRPr="00B5122A">
        <w:rPr>
          <w:rFonts w:cstheme="minorHAnsi"/>
          <w:color w:val="212121"/>
          <w:shd w:val="clear" w:color="auto" w:fill="FFFFFF"/>
        </w:rPr>
        <w:t xml:space="preserve"> J, Mercier E, Le Gouge A, </w:t>
      </w:r>
      <w:r>
        <w:rPr>
          <w:rFonts w:cstheme="minorHAnsi"/>
          <w:color w:val="212121"/>
          <w:shd w:val="clear" w:color="auto" w:fill="FFFFFF"/>
        </w:rPr>
        <w:t>et al.</w:t>
      </w:r>
      <w:r w:rsidRPr="00B5122A">
        <w:rPr>
          <w:rFonts w:cstheme="minorHAnsi"/>
          <w:color w:val="212121"/>
          <w:shd w:val="clear" w:color="auto" w:fill="FFFFFF"/>
        </w:rPr>
        <w:t>; Clinical Research in Intensive Care and Sepsis (CRICS) Group.</w:t>
      </w:r>
      <w:r w:rsidRPr="00B5122A">
        <w:rPr>
          <w:rFonts w:eastAsia="Times New Roman" w:cstheme="minorHAnsi"/>
          <w:color w:val="000000"/>
          <w:lang w:eastAsia="en-GB"/>
        </w:rPr>
        <w:t xml:space="preserve"> Effect of not monitoring residual gastric volume on risk of ventilator-associated pneumonia in adults receiving mechanical ventilation and early enteral feeding: a randomized controlled trial. JAMA. 2013;309(3):249-56.</w:t>
      </w:r>
    </w:p>
    <w:p w14:paraId="755EADED"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proofErr w:type="spellStart"/>
      <w:r w:rsidRPr="00B5122A">
        <w:rPr>
          <w:rFonts w:cstheme="minorHAnsi"/>
          <w:color w:val="212121"/>
          <w:shd w:val="clear" w:color="auto" w:fill="FFFFFF"/>
        </w:rPr>
        <w:t>McClave</w:t>
      </w:r>
      <w:proofErr w:type="spellEnd"/>
      <w:r w:rsidRPr="00B5122A">
        <w:rPr>
          <w:rFonts w:cstheme="minorHAnsi"/>
          <w:color w:val="212121"/>
          <w:shd w:val="clear" w:color="auto" w:fill="FFFFFF"/>
        </w:rPr>
        <w:t xml:space="preserve"> SA, Taylor BE, Martindale RG</w:t>
      </w:r>
      <w:r>
        <w:rPr>
          <w:rFonts w:cstheme="minorHAnsi"/>
          <w:color w:val="212121"/>
          <w:shd w:val="clear" w:color="auto" w:fill="FFFFFF"/>
        </w:rPr>
        <w:t xml:space="preserve"> et al.</w:t>
      </w:r>
      <w:r w:rsidRPr="00B5122A">
        <w:rPr>
          <w:rFonts w:cstheme="minorHAnsi"/>
          <w:color w:val="212121"/>
          <w:shd w:val="clear" w:color="auto" w:fill="FFFFFF"/>
        </w:rPr>
        <w:t xml:space="preserve">; Society of Critical Care Medicine; American Society for Parenteral and Enteral Nutrition. Guidelines for the Provision and Assessment of Nutrition Support Therapy in the Adult Critically Ill Patient: Society of Critical Care Medicine (SCCM) and American Society for Parenteral and Enteral Nutrition (A.S.P.E.N.). JPEN J </w:t>
      </w:r>
      <w:proofErr w:type="spellStart"/>
      <w:r w:rsidRPr="00B5122A">
        <w:rPr>
          <w:rFonts w:cstheme="minorHAnsi"/>
          <w:color w:val="212121"/>
          <w:shd w:val="clear" w:color="auto" w:fill="FFFFFF"/>
        </w:rPr>
        <w:t>Parenter</w:t>
      </w:r>
      <w:proofErr w:type="spellEnd"/>
      <w:r w:rsidRPr="00B5122A">
        <w:rPr>
          <w:rFonts w:cstheme="minorHAnsi"/>
          <w:color w:val="212121"/>
          <w:shd w:val="clear" w:color="auto" w:fill="FFFFFF"/>
        </w:rPr>
        <w:t xml:space="preserve"> Enteral </w:t>
      </w:r>
      <w:proofErr w:type="spellStart"/>
      <w:r w:rsidRPr="00B5122A">
        <w:rPr>
          <w:rFonts w:cstheme="minorHAnsi"/>
          <w:color w:val="212121"/>
          <w:shd w:val="clear" w:color="auto" w:fill="FFFFFF"/>
        </w:rPr>
        <w:t>Nutr</w:t>
      </w:r>
      <w:proofErr w:type="spellEnd"/>
      <w:r w:rsidRPr="00B5122A">
        <w:rPr>
          <w:rFonts w:cstheme="minorHAnsi"/>
          <w:color w:val="212121"/>
          <w:shd w:val="clear" w:color="auto" w:fill="FFFFFF"/>
        </w:rPr>
        <w:t>. 2016 Feb;40(2):159-211.</w:t>
      </w:r>
    </w:p>
    <w:p w14:paraId="4C434852" w14:textId="38150E43" w:rsidR="002D2932" w:rsidRPr="001909A9"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Singer P, Blaser AR, Berger MM</w:t>
      </w:r>
      <w:r>
        <w:rPr>
          <w:rFonts w:cstheme="minorHAnsi"/>
          <w:color w:val="212121"/>
          <w:shd w:val="clear" w:color="auto" w:fill="FFFFFF"/>
        </w:rPr>
        <w:t xml:space="preserve"> et al</w:t>
      </w:r>
      <w:r w:rsidRPr="00B5122A">
        <w:rPr>
          <w:rFonts w:cstheme="minorHAnsi"/>
          <w:color w:val="212121"/>
          <w:shd w:val="clear" w:color="auto" w:fill="FFFFFF"/>
        </w:rPr>
        <w:t xml:space="preserve">. </w:t>
      </w:r>
      <w:r w:rsidR="001909A9" w:rsidRPr="006E44B2">
        <w:rPr>
          <w:rFonts w:cstheme="minorHAnsi"/>
          <w:color w:val="212121"/>
          <w:shd w:val="clear" w:color="auto" w:fill="FFFFFF"/>
        </w:rPr>
        <w:t xml:space="preserve">ESPEN practical and partially revised guideline: Clinical nutrition in the intensive care unit. Clin </w:t>
      </w:r>
      <w:proofErr w:type="spellStart"/>
      <w:r w:rsidR="001909A9" w:rsidRPr="006E44B2">
        <w:rPr>
          <w:rFonts w:cstheme="minorHAnsi"/>
          <w:color w:val="212121"/>
          <w:shd w:val="clear" w:color="auto" w:fill="FFFFFF"/>
        </w:rPr>
        <w:t>Nutr</w:t>
      </w:r>
      <w:proofErr w:type="spellEnd"/>
      <w:r w:rsidR="001909A9" w:rsidRPr="006E44B2">
        <w:rPr>
          <w:rFonts w:cstheme="minorHAnsi"/>
          <w:color w:val="212121"/>
          <w:shd w:val="clear" w:color="auto" w:fill="FFFFFF"/>
        </w:rPr>
        <w:t>. 2023 Sep;42(9):1671-1689.</w:t>
      </w:r>
    </w:p>
    <w:p w14:paraId="4C3A48EE" w14:textId="77777777" w:rsidR="002D2932"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Jenkins B, Calder PC, Marino LV. A systematic review of the definitions and prevalence of feeding intolerance in critically ill adults. Clin </w:t>
      </w:r>
      <w:proofErr w:type="spellStart"/>
      <w:r w:rsidRPr="00B5122A">
        <w:rPr>
          <w:rFonts w:cstheme="minorHAnsi"/>
          <w:color w:val="212121"/>
          <w:shd w:val="clear" w:color="auto" w:fill="FFFFFF"/>
        </w:rPr>
        <w:t>Nutr</w:t>
      </w:r>
      <w:proofErr w:type="spellEnd"/>
      <w:r w:rsidRPr="00B5122A">
        <w:rPr>
          <w:rFonts w:cstheme="minorHAnsi"/>
          <w:color w:val="212121"/>
          <w:shd w:val="clear" w:color="auto" w:fill="FFFFFF"/>
        </w:rPr>
        <w:t xml:space="preserve"> ESPEN. 2022 </w:t>
      </w:r>
      <w:proofErr w:type="gramStart"/>
      <w:r w:rsidRPr="00B5122A">
        <w:rPr>
          <w:rFonts w:cstheme="minorHAnsi"/>
          <w:color w:val="212121"/>
          <w:shd w:val="clear" w:color="auto" w:fill="FFFFFF"/>
        </w:rPr>
        <w:t>Jun;49:92</w:t>
      </w:r>
      <w:proofErr w:type="gramEnd"/>
      <w:r w:rsidRPr="00B5122A">
        <w:rPr>
          <w:rFonts w:cstheme="minorHAnsi"/>
          <w:color w:val="212121"/>
          <w:shd w:val="clear" w:color="auto" w:fill="FFFFFF"/>
        </w:rPr>
        <w:t>-102. </w:t>
      </w:r>
    </w:p>
    <w:p w14:paraId="730CB5D0" w14:textId="77777777" w:rsidR="002D2932" w:rsidRDefault="002D2932" w:rsidP="002D2932">
      <w:pPr>
        <w:pStyle w:val="ListParagraph"/>
        <w:numPr>
          <w:ilvl w:val="0"/>
          <w:numId w:val="1"/>
        </w:numPr>
        <w:spacing w:line="480" w:lineRule="auto"/>
        <w:rPr>
          <w:rFonts w:cstheme="minorHAnsi"/>
          <w:color w:val="212121"/>
          <w:shd w:val="clear" w:color="auto" w:fill="FFFFFF"/>
        </w:rPr>
      </w:pPr>
      <w:r w:rsidRPr="00910D61">
        <w:rPr>
          <w:rFonts w:cstheme="minorHAnsi"/>
          <w:color w:val="212121"/>
          <w:shd w:val="clear" w:color="auto" w:fill="FFFFFF"/>
        </w:rPr>
        <w:t xml:space="preserve">Yasuda H, Kondo N, Yamamoto R et al. Monitoring of gastric residual volume during enteral nutrition. Cochrane Database </w:t>
      </w:r>
      <w:proofErr w:type="spellStart"/>
      <w:r w:rsidRPr="00910D61">
        <w:rPr>
          <w:rFonts w:cstheme="minorHAnsi"/>
          <w:color w:val="212121"/>
          <w:shd w:val="clear" w:color="auto" w:fill="FFFFFF"/>
        </w:rPr>
        <w:t>Syst</w:t>
      </w:r>
      <w:proofErr w:type="spellEnd"/>
      <w:r w:rsidRPr="00910D61">
        <w:rPr>
          <w:rFonts w:cstheme="minorHAnsi"/>
          <w:color w:val="212121"/>
          <w:shd w:val="clear" w:color="auto" w:fill="FFFFFF"/>
        </w:rPr>
        <w:t xml:space="preserve"> Rev. 2021 Sep 27;9(9):CD013335.</w:t>
      </w:r>
    </w:p>
    <w:p w14:paraId="49A7E738"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Elke G, </w:t>
      </w:r>
      <w:proofErr w:type="spellStart"/>
      <w:r w:rsidRPr="00B5122A">
        <w:rPr>
          <w:rFonts w:cstheme="minorHAnsi"/>
          <w:color w:val="212121"/>
          <w:shd w:val="clear" w:color="auto" w:fill="FFFFFF"/>
        </w:rPr>
        <w:t>Felbinger</w:t>
      </w:r>
      <w:proofErr w:type="spellEnd"/>
      <w:r w:rsidRPr="00B5122A">
        <w:rPr>
          <w:rFonts w:cstheme="minorHAnsi"/>
          <w:color w:val="212121"/>
          <w:shd w:val="clear" w:color="auto" w:fill="FFFFFF"/>
        </w:rPr>
        <w:t xml:space="preserve"> TW, </w:t>
      </w:r>
      <w:proofErr w:type="spellStart"/>
      <w:r w:rsidRPr="00B5122A">
        <w:rPr>
          <w:rFonts w:cstheme="minorHAnsi"/>
          <w:color w:val="212121"/>
          <w:shd w:val="clear" w:color="auto" w:fill="FFFFFF"/>
        </w:rPr>
        <w:t>Heyland</w:t>
      </w:r>
      <w:proofErr w:type="spellEnd"/>
      <w:r w:rsidRPr="00B5122A">
        <w:rPr>
          <w:rFonts w:cstheme="minorHAnsi"/>
          <w:color w:val="212121"/>
          <w:shd w:val="clear" w:color="auto" w:fill="FFFFFF"/>
        </w:rPr>
        <w:t xml:space="preserve"> DK. Gastric residual volume in critically ill patients: a dead marker or still alive? </w:t>
      </w:r>
      <w:proofErr w:type="spellStart"/>
      <w:r w:rsidRPr="00B5122A">
        <w:rPr>
          <w:rFonts w:cstheme="minorHAnsi"/>
          <w:color w:val="212121"/>
          <w:shd w:val="clear" w:color="auto" w:fill="FFFFFF"/>
        </w:rPr>
        <w:t>Nutr</w:t>
      </w:r>
      <w:proofErr w:type="spellEnd"/>
      <w:r w:rsidRPr="00B5122A">
        <w:rPr>
          <w:rFonts w:cstheme="minorHAnsi"/>
          <w:color w:val="212121"/>
          <w:shd w:val="clear" w:color="auto" w:fill="FFFFFF"/>
        </w:rPr>
        <w:t xml:space="preserve"> Clin </w:t>
      </w:r>
      <w:proofErr w:type="spellStart"/>
      <w:r w:rsidRPr="00B5122A">
        <w:rPr>
          <w:rFonts w:cstheme="minorHAnsi"/>
          <w:color w:val="212121"/>
          <w:shd w:val="clear" w:color="auto" w:fill="FFFFFF"/>
        </w:rPr>
        <w:t>Pract</w:t>
      </w:r>
      <w:proofErr w:type="spellEnd"/>
      <w:r w:rsidRPr="00B5122A">
        <w:rPr>
          <w:rFonts w:cstheme="minorHAnsi"/>
          <w:color w:val="212121"/>
          <w:shd w:val="clear" w:color="auto" w:fill="FFFFFF"/>
        </w:rPr>
        <w:t>. 2015 Feb;30(1):59-71.</w:t>
      </w:r>
    </w:p>
    <w:p w14:paraId="495E3685" w14:textId="77777777" w:rsidR="002D2932" w:rsidRPr="00B5122A" w:rsidRDefault="002D2932" w:rsidP="002D2932">
      <w:pPr>
        <w:pStyle w:val="ListParagraph"/>
        <w:numPr>
          <w:ilvl w:val="0"/>
          <w:numId w:val="1"/>
        </w:numPr>
        <w:spacing w:line="480" w:lineRule="auto"/>
        <w:rPr>
          <w:rFonts w:cstheme="minorHAnsi"/>
        </w:rPr>
      </w:pPr>
      <w:r w:rsidRPr="00B5122A">
        <w:rPr>
          <w:rFonts w:cstheme="minorHAnsi"/>
          <w:color w:val="212121"/>
          <w:shd w:val="clear" w:color="auto" w:fill="FFFFFF"/>
        </w:rPr>
        <w:t xml:space="preserve">Reintam Blaser A, Deane AM, </w:t>
      </w:r>
      <w:proofErr w:type="spellStart"/>
      <w:r w:rsidRPr="00B5122A">
        <w:rPr>
          <w:rFonts w:cstheme="minorHAnsi"/>
          <w:color w:val="212121"/>
          <w:shd w:val="clear" w:color="auto" w:fill="FFFFFF"/>
        </w:rPr>
        <w:t>Preiser</w:t>
      </w:r>
      <w:proofErr w:type="spellEnd"/>
      <w:r w:rsidRPr="00B5122A">
        <w:rPr>
          <w:rFonts w:cstheme="minorHAnsi"/>
          <w:color w:val="212121"/>
          <w:shd w:val="clear" w:color="auto" w:fill="FFFFFF"/>
        </w:rPr>
        <w:t xml:space="preserve"> JC</w:t>
      </w:r>
      <w:r>
        <w:rPr>
          <w:rFonts w:cstheme="minorHAnsi"/>
          <w:color w:val="212121"/>
          <w:shd w:val="clear" w:color="auto" w:fill="FFFFFF"/>
        </w:rPr>
        <w:t xml:space="preserve"> et al</w:t>
      </w:r>
      <w:r w:rsidRPr="00B5122A">
        <w:rPr>
          <w:rFonts w:cstheme="minorHAnsi"/>
          <w:color w:val="212121"/>
          <w:shd w:val="clear" w:color="auto" w:fill="FFFFFF"/>
        </w:rPr>
        <w:t xml:space="preserve">. Enteral Feeding Intolerance: Updates in Definitions and Pathophysiology. </w:t>
      </w:r>
      <w:proofErr w:type="spellStart"/>
      <w:r w:rsidRPr="00B5122A">
        <w:rPr>
          <w:rFonts w:cstheme="minorHAnsi"/>
          <w:color w:val="212121"/>
          <w:shd w:val="clear" w:color="auto" w:fill="FFFFFF"/>
        </w:rPr>
        <w:t>Nutr</w:t>
      </w:r>
      <w:proofErr w:type="spellEnd"/>
      <w:r w:rsidRPr="00B5122A">
        <w:rPr>
          <w:rFonts w:cstheme="minorHAnsi"/>
          <w:color w:val="212121"/>
          <w:shd w:val="clear" w:color="auto" w:fill="FFFFFF"/>
        </w:rPr>
        <w:t xml:space="preserve"> Clin </w:t>
      </w:r>
      <w:proofErr w:type="spellStart"/>
      <w:r w:rsidRPr="00B5122A">
        <w:rPr>
          <w:rFonts w:cstheme="minorHAnsi"/>
          <w:color w:val="212121"/>
          <w:shd w:val="clear" w:color="auto" w:fill="FFFFFF"/>
        </w:rPr>
        <w:t>Pract</w:t>
      </w:r>
      <w:proofErr w:type="spellEnd"/>
      <w:r w:rsidRPr="00B5122A">
        <w:rPr>
          <w:rFonts w:cstheme="minorHAnsi"/>
          <w:color w:val="212121"/>
          <w:shd w:val="clear" w:color="auto" w:fill="FFFFFF"/>
        </w:rPr>
        <w:t>. 2021 Feb;36(1):40-49.</w:t>
      </w:r>
    </w:p>
    <w:p w14:paraId="3E5E6ABA" w14:textId="77777777" w:rsidR="002D2932" w:rsidRPr="0031626D" w:rsidRDefault="002D2932" w:rsidP="002D2932">
      <w:pPr>
        <w:pStyle w:val="ListParagraph"/>
        <w:spacing w:line="480" w:lineRule="auto"/>
        <w:rPr>
          <w:rFonts w:cstheme="minorHAnsi"/>
          <w:color w:val="212121"/>
          <w:shd w:val="clear" w:color="auto" w:fill="FFFFFF"/>
        </w:rPr>
      </w:pPr>
    </w:p>
    <w:p w14:paraId="47313650"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proofErr w:type="spellStart"/>
      <w:r w:rsidRPr="00B5122A">
        <w:rPr>
          <w:rFonts w:cstheme="minorHAnsi"/>
          <w:color w:val="212121"/>
          <w:shd w:val="clear" w:color="auto" w:fill="FFFFFF"/>
        </w:rPr>
        <w:t>Quenot</w:t>
      </w:r>
      <w:proofErr w:type="spellEnd"/>
      <w:r w:rsidRPr="00B5122A">
        <w:rPr>
          <w:rFonts w:cstheme="minorHAnsi"/>
          <w:color w:val="212121"/>
          <w:shd w:val="clear" w:color="auto" w:fill="FFFFFF"/>
        </w:rPr>
        <w:t xml:space="preserve"> JP, </w:t>
      </w:r>
      <w:proofErr w:type="spellStart"/>
      <w:r w:rsidRPr="00B5122A">
        <w:rPr>
          <w:rFonts w:cstheme="minorHAnsi"/>
          <w:color w:val="212121"/>
          <w:shd w:val="clear" w:color="auto" w:fill="FFFFFF"/>
        </w:rPr>
        <w:t>Plantefeve</w:t>
      </w:r>
      <w:proofErr w:type="spellEnd"/>
      <w:r w:rsidRPr="00B5122A">
        <w:rPr>
          <w:rFonts w:cstheme="minorHAnsi"/>
          <w:color w:val="212121"/>
          <w:shd w:val="clear" w:color="auto" w:fill="FFFFFF"/>
        </w:rPr>
        <w:t xml:space="preserve"> G, </w:t>
      </w:r>
      <w:proofErr w:type="spellStart"/>
      <w:r w:rsidRPr="00B5122A">
        <w:rPr>
          <w:rFonts w:cstheme="minorHAnsi"/>
          <w:color w:val="212121"/>
          <w:shd w:val="clear" w:color="auto" w:fill="FFFFFF"/>
        </w:rPr>
        <w:t>Baudel</w:t>
      </w:r>
      <w:proofErr w:type="spellEnd"/>
      <w:r w:rsidRPr="00B5122A">
        <w:rPr>
          <w:rFonts w:cstheme="minorHAnsi"/>
          <w:color w:val="212121"/>
          <w:shd w:val="clear" w:color="auto" w:fill="FFFFFF"/>
        </w:rPr>
        <w:t xml:space="preserve"> JL</w:t>
      </w:r>
      <w:r>
        <w:rPr>
          <w:rFonts w:cstheme="minorHAnsi"/>
          <w:color w:val="212121"/>
          <w:shd w:val="clear" w:color="auto" w:fill="FFFFFF"/>
        </w:rPr>
        <w:t xml:space="preserve"> et al</w:t>
      </w:r>
      <w:r w:rsidRPr="00B5122A">
        <w:rPr>
          <w:rFonts w:cstheme="minorHAnsi"/>
          <w:color w:val="212121"/>
          <w:shd w:val="clear" w:color="auto" w:fill="FFFFFF"/>
        </w:rPr>
        <w:t>. Bedside adherence to clinical practice guidelines for enteral nutrition in critically ill patients receiving mechanical ventilation: a prospective, multi-centre, observational study. Crit Care. 2010;14(2</w:t>
      </w:r>
      <w:proofErr w:type="gramStart"/>
      <w:r w:rsidRPr="00B5122A">
        <w:rPr>
          <w:rFonts w:cstheme="minorHAnsi"/>
          <w:color w:val="212121"/>
          <w:shd w:val="clear" w:color="auto" w:fill="FFFFFF"/>
        </w:rPr>
        <w:t>):R</w:t>
      </w:r>
      <w:proofErr w:type="gramEnd"/>
      <w:r w:rsidRPr="00B5122A">
        <w:rPr>
          <w:rFonts w:cstheme="minorHAnsi"/>
          <w:color w:val="212121"/>
          <w:shd w:val="clear" w:color="auto" w:fill="FFFFFF"/>
        </w:rPr>
        <w:t>37.</w:t>
      </w:r>
    </w:p>
    <w:p w14:paraId="45FD859C"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proofErr w:type="spellStart"/>
      <w:r w:rsidRPr="00B5122A">
        <w:rPr>
          <w:rFonts w:cstheme="minorHAnsi"/>
          <w:color w:val="212121"/>
          <w:shd w:val="clear" w:color="auto" w:fill="FFFFFF"/>
        </w:rPr>
        <w:t>Heyland</w:t>
      </w:r>
      <w:proofErr w:type="spellEnd"/>
      <w:r w:rsidRPr="00B5122A">
        <w:rPr>
          <w:rFonts w:cstheme="minorHAnsi"/>
          <w:color w:val="212121"/>
          <w:shd w:val="clear" w:color="auto" w:fill="FFFFFF"/>
        </w:rPr>
        <w:t xml:space="preserve"> DK, Ortiz A, </w:t>
      </w:r>
      <w:proofErr w:type="spellStart"/>
      <w:r w:rsidRPr="00B5122A">
        <w:rPr>
          <w:rFonts w:cstheme="minorHAnsi"/>
          <w:color w:val="212121"/>
          <w:shd w:val="clear" w:color="auto" w:fill="FFFFFF"/>
        </w:rPr>
        <w:t>Stoppe</w:t>
      </w:r>
      <w:proofErr w:type="spellEnd"/>
      <w:r w:rsidRPr="00B5122A">
        <w:rPr>
          <w:rFonts w:cstheme="minorHAnsi"/>
          <w:color w:val="212121"/>
          <w:shd w:val="clear" w:color="auto" w:fill="FFFFFF"/>
        </w:rPr>
        <w:t xml:space="preserve"> C</w:t>
      </w:r>
      <w:r>
        <w:rPr>
          <w:rFonts w:cstheme="minorHAnsi"/>
          <w:color w:val="212121"/>
          <w:shd w:val="clear" w:color="auto" w:fill="FFFFFF"/>
        </w:rPr>
        <w:t xml:space="preserve"> et al</w:t>
      </w:r>
      <w:r w:rsidRPr="00B5122A">
        <w:rPr>
          <w:rFonts w:cstheme="minorHAnsi"/>
          <w:color w:val="212121"/>
          <w:shd w:val="clear" w:color="auto" w:fill="FFFFFF"/>
        </w:rPr>
        <w:t xml:space="preserve">. Incidence, Risk Factors, and Clinical Consequence of Enteral Feeding Intolerance in the Mechanically Ventilated Critically Ill: An Analysis of a </w:t>
      </w:r>
      <w:proofErr w:type="spellStart"/>
      <w:r w:rsidRPr="00B5122A">
        <w:rPr>
          <w:rFonts w:cstheme="minorHAnsi"/>
          <w:color w:val="212121"/>
          <w:shd w:val="clear" w:color="auto" w:fill="FFFFFF"/>
        </w:rPr>
        <w:t>Multicenter</w:t>
      </w:r>
      <w:proofErr w:type="spellEnd"/>
      <w:r w:rsidRPr="00B5122A">
        <w:rPr>
          <w:rFonts w:cstheme="minorHAnsi"/>
          <w:color w:val="212121"/>
          <w:shd w:val="clear" w:color="auto" w:fill="FFFFFF"/>
        </w:rPr>
        <w:t>, Multiyear Database. Crit Care Med. 2021 Jan 1;49(1):49-59.</w:t>
      </w:r>
    </w:p>
    <w:p w14:paraId="29FB96C0" w14:textId="77777777" w:rsidR="002D2932" w:rsidRPr="00B5122A" w:rsidRDefault="002D2932" w:rsidP="002D2932">
      <w:pPr>
        <w:pStyle w:val="ListParagraph"/>
        <w:numPr>
          <w:ilvl w:val="0"/>
          <w:numId w:val="1"/>
        </w:numPr>
        <w:spacing w:after="0" w:line="480" w:lineRule="auto"/>
        <w:rPr>
          <w:rFonts w:eastAsia="Times New Roman" w:cstheme="minorHAnsi"/>
          <w:color w:val="000000"/>
          <w:lang w:eastAsia="en-GB"/>
        </w:rPr>
      </w:pPr>
      <w:proofErr w:type="spellStart"/>
      <w:r w:rsidRPr="00B5122A">
        <w:rPr>
          <w:rFonts w:cstheme="minorHAnsi"/>
          <w:color w:val="212121"/>
          <w:shd w:val="clear" w:color="auto" w:fill="FFFFFF"/>
        </w:rPr>
        <w:t>Eveleens</w:t>
      </w:r>
      <w:proofErr w:type="spellEnd"/>
      <w:r w:rsidRPr="00B5122A">
        <w:rPr>
          <w:rFonts w:cstheme="minorHAnsi"/>
          <w:color w:val="212121"/>
          <w:shd w:val="clear" w:color="auto" w:fill="FFFFFF"/>
        </w:rPr>
        <w:t xml:space="preserve"> RD, Joosten KFM, de Koning BAE</w:t>
      </w:r>
      <w:r>
        <w:rPr>
          <w:rFonts w:cstheme="minorHAnsi"/>
          <w:color w:val="212121"/>
          <w:shd w:val="clear" w:color="auto" w:fill="FFFFFF"/>
        </w:rPr>
        <w:t xml:space="preserve"> et al</w:t>
      </w:r>
      <w:r w:rsidRPr="00B5122A">
        <w:rPr>
          <w:rFonts w:cstheme="minorHAnsi"/>
          <w:color w:val="212121"/>
          <w:shd w:val="clear" w:color="auto" w:fill="FFFFFF"/>
        </w:rPr>
        <w:t xml:space="preserve">. Definitions, </w:t>
      </w:r>
      <w:proofErr w:type="gramStart"/>
      <w:r w:rsidRPr="00B5122A">
        <w:rPr>
          <w:rFonts w:cstheme="minorHAnsi"/>
          <w:color w:val="212121"/>
          <w:shd w:val="clear" w:color="auto" w:fill="FFFFFF"/>
        </w:rPr>
        <w:t>predictors</w:t>
      </w:r>
      <w:proofErr w:type="gramEnd"/>
      <w:r w:rsidRPr="00B5122A">
        <w:rPr>
          <w:rFonts w:cstheme="minorHAnsi"/>
          <w:color w:val="212121"/>
          <w:shd w:val="clear" w:color="auto" w:fill="FFFFFF"/>
        </w:rPr>
        <w:t xml:space="preserve"> and outcomes of feeding intolerance in critically ill children: A systematic review. Clinical Nutrition. 2020;39(3):685-693.</w:t>
      </w:r>
    </w:p>
    <w:p w14:paraId="33D31EDD" w14:textId="77777777" w:rsidR="002D2932" w:rsidRPr="00B5122A" w:rsidRDefault="002D2932" w:rsidP="002D2932">
      <w:pPr>
        <w:pStyle w:val="ListParagraph"/>
        <w:numPr>
          <w:ilvl w:val="0"/>
          <w:numId w:val="1"/>
        </w:numPr>
        <w:spacing w:after="0" w:line="480" w:lineRule="auto"/>
        <w:rPr>
          <w:rFonts w:eastAsia="Times New Roman" w:cstheme="minorHAnsi"/>
          <w:color w:val="000000"/>
          <w:lang w:eastAsia="en-GB"/>
        </w:rPr>
      </w:pPr>
      <w:r w:rsidRPr="00B5122A">
        <w:rPr>
          <w:rFonts w:eastAsia="Times New Roman" w:cstheme="minorHAnsi"/>
          <w:color w:val="000000"/>
          <w:lang w:eastAsia="en-GB"/>
        </w:rPr>
        <w:t>Weeks CL, Marino LV, Johnson MV. A systematic review of the definitions and prevalence of feeding intolerance in preterm infants. Clinical Nutrition. Clinical Nutrition. 2021; 40(11):5576-5586.</w:t>
      </w:r>
    </w:p>
    <w:p w14:paraId="4553D954" w14:textId="77777777" w:rsidR="002D2932" w:rsidRPr="00B5122A" w:rsidRDefault="002D2932" w:rsidP="002D2932">
      <w:pPr>
        <w:pStyle w:val="ListParagraph"/>
        <w:numPr>
          <w:ilvl w:val="0"/>
          <w:numId w:val="1"/>
        </w:numPr>
        <w:spacing w:before="100" w:beforeAutospacing="1" w:after="100" w:afterAutospacing="1" w:line="480" w:lineRule="auto"/>
        <w:rPr>
          <w:rFonts w:eastAsia="Times New Roman" w:cstheme="minorHAnsi"/>
          <w:color w:val="000000"/>
          <w:lang w:eastAsia="en-GB"/>
        </w:rPr>
      </w:pPr>
      <w:proofErr w:type="spellStart"/>
      <w:r w:rsidRPr="00B5122A">
        <w:rPr>
          <w:rFonts w:eastAsia="Times New Roman" w:cstheme="minorHAnsi"/>
          <w:color w:val="000000"/>
          <w:lang w:eastAsia="en-GB"/>
        </w:rPr>
        <w:t>Ozen</w:t>
      </w:r>
      <w:proofErr w:type="spellEnd"/>
      <w:r w:rsidRPr="00B5122A">
        <w:rPr>
          <w:rFonts w:eastAsia="Times New Roman" w:cstheme="minorHAnsi"/>
          <w:color w:val="000000"/>
          <w:lang w:eastAsia="en-GB"/>
        </w:rPr>
        <w:t xml:space="preserve"> N, </w:t>
      </w:r>
      <w:proofErr w:type="spellStart"/>
      <w:r w:rsidRPr="00B5122A">
        <w:rPr>
          <w:rFonts w:eastAsia="Times New Roman" w:cstheme="minorHAnsi"/>
          <w:color w:val="000000"/>
          <w:lang w:eastAsia="en-GB"/>
        </w:rPr>
        <w:t>Tosun</w:t>
      </w:r>
      <w:proofErr w:type="spellEnd"/>
      <w:r w:rsidRPr="00B5122A">
        <w:rPr>
          <w:rFonts w:eastAsia="Times New Roman" w:cstheme="minorHAnsi"/>
          <w:color w:val="000000"/>
          <w:lang w:eastAsia="en-GB"/>
        </w:rPr>
        <w:t xml:space="preserve"> N, </w:t>
      </w:r>
      <w:proofErr w:type="spellStart"/>
      <w:r w:rsidRPr="00B5122A">
        <w:rPr>
          <w:rFonts w:eastAsia="Times New Roman" w:cstheme="minorHAnsi"/>
          <w:color w:val="000000"/>
          <w:lang w:eastAsia="en-GB"/>
        </w:rPr>
        <w:t>Yamanel</w:t>
      </w:r>
      <w:proofErr w:type="spellEnd"/>
      <w:r w:rsidRPr="00B5122A">
        <w:rPr>
          <w:rFonts w:eastAsia="Times New Roman" w:cstheme="minorHAnsi"/>
          <w:color w:val="000000"/>
          <w:lang w:eastAsia="en-GB"/>
        </w:rPr>
        <w:t xml:space="preserve"> L</w:t>
      </w:r>
      <w:r>
        <w:rPr>
          <w:rFonts w:eastAsia="Times New Roman" w:cstheme="minorHAnsi"/>
          <w:color w:val="000000"/>
          <w:lang w:eastAsia="en-GB"/>
        </w:rPr>
        <w:t xml:space="preserve"> et al</w:t>
      </w:r>
      <w:r w:rsidRPr="00B5122A">
        <w:rPr>
          <w:rFonts w:eastAsia="Times New Roman" w:cstheme="minorHAnsi"/>
          <w:color w:val="000000"/>
          <w:lang w:eastAsia="en-GB"/>
        </w:rPr>
        <w:t xml:space="preserve">. Evaluation of the effect on patient parameters of not monitoring gastric residual volume in intensive care patients on a mechanical ventilator receiving enteral feeding: A randomized clinical trial. Journal of crit care. </w:t>
      </w:r>
      <w:proofErr w:type="gramStart"/>
      <w:r w:rsidRPr="00B5122A">
        <w:rPr>
          <w:rFonts w:eastAsia="Times New Roman" w:cstheme="minorHAnsi"/>
          <w:color w:val="000000"/>
          <w:lang w:eastAsia="en-GB"/>
        </w:rPr>
        <w:t>2016;33:137</w:t>
      </w:r>
      <w:proofErr w:type="gramEnd"/>
      <w:r w:rsidRPr="00B5122A">
        <w:rPr>
          <w:rFonts w:eastAsia="Times New Roman" w:cstheme="minorHAnsi"/>
          <w:color w:val="000000"/>
          <w:lang w:eastAsia="en-GB"/>
        </w:rPr>
        <w:t>-44.</w:t>
      </w:r>
    </w:p>
    <w:p w14:paraId="3CC54B93"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Wiese AN, Rogers MJ, Way M, Ballard E. The impact of removing gastric residual volume monitoring and enteral nutrition rate titration in adults receiving mechanical ventilation. </w:t>
      </w:r>
      <w:proofErr w:type="spellStart"/>
      <w:r w:rsidRPr="00B5122A">
        <w:rPr>
          <w:rFonts w:cstheme="minorHAnsi"/>
          <w:color w:val="212121"/>
          <w:shd w:val="clear" w:color="auto" w:fill="FFFFFF"/>
        </w:rPr>
        <w:t>Aust</w:t>
      </w:r>
      <w:proofErr w:type="spellEnd"/>
      <w:r w:rsidRPr="00B5122A">
        <w:rPr>
          <w:rFonts w:cstheme="minorHAnsi"/>
          <w:color w:val="212121"/>
          <w:shd w:val="clear" w:color="auto" w:fill="FFFFFF"/>
        </w:rPr>
        <w:t xml:space="preserve"> Crit Care. 2020 Mar;33(2):155-161. </w:t>
      </w:r>
    </w:p>
    <w:p w14:paraId="77F11AFE"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proofErr w:type="spellStart"/>
      <w:r w:rsidRPr="00B5122A">
        <w:rPr>
          <w:rFonts w:cstheme="minorHAnsi"/>
          <w:color w:val="212121"/>
          <w:shd w:val="clear" w:color="auto" w:fill="FFFFFF"/>
        </w:rPr>
        <w:t>Torrazza</w:t>
      </w:r>
      <w:proofErr w:type="spellEnd"/>
      <w:r w:rsidRPr="00B5122A">
        <w:rPr>
          <w:rFonts w:cstheme="minorHAnsi"/>
          <w:color w:val="212121"/>
          <w:shd w:val="clear" w:color="auto" w:fill="FFFFFF"/>
        </w:rPr>
        <w:t xml:space="preserve"> RM, Parker LA, Li Y</w:t>
      </w:r>
      <w:r>
        <w:rPr>
          <w:rFonts w:cstheme="minorHAnsi"/>
          <w:color w:val="212121"/>
          <w:shd w:val="clear" w:color="auto" w:fill="FFFFFF"/>
        </w:rPr>
        <w:t xml:space="preserve"> et al</w:t>
      </w:r>
      <w:r w:rsidRPr="00B5122A">
        <w:rPr>
          <w:rFonts w:cstheme="minorHAnsi"/>
          <w:color w:val="212121"/>
          <w:shd w:val="clear" w:color="auto" w:fill="FFFFFF"/>
        </w:rPr>
        <w:t xml:space="preserve">. The value of routine evaluation of gastric residuals in very low birth weight infants. J </w:t>
      </w:r>
      <w:proofErr w:type="spellStart"/>
      <w:r w:rsidRPr="00B5122A">
        <w:rPr>
          <w:rFonts w:cstheme="minorHAnsi"/>
          <w:color w:val="212121"/>
          <w:shd w:val="clear" w:color="auto" w:fill="FFFFFF"/>
        </w:rPr>
        <w:t>Perinatol</w:t>
      </w:r>
      <w:proofErr w:type="spellEnd"/>
      <w:r w:rsidRPr="00B5122A">
        <w:rPr>
          <w:rFonts w:cstheme="minorHAnsi"/>
          <w:color w:val="212121"/>
          <w:shd w:val="clear" w:color="auto" w:fill="FFFFFF"/>
        </w:rPr>
        <w:t>. 2015 Jan;35(1):57-60.</w:t>
      </w:r>
    </w:p>
    <w:p w14:paraId="77A5853F" w14:textId="77777777" w:rsidR="002D2932" w:rsidRPr="00B5122A" w:rsidRDefault="002D2932" w:rsidP="002D2932">
      <w:pPr>
        <w:pStyle w:val="ListParagraph"/>
        <w:numPr>
          <w:ilvl w:val="0"/>
          <w:numId w:val="1"/>
        </w:numPr>
        <w:spacing w:line="480" w:lineRule="auto"/>
        <w:rPr>
          <w:rFonts w:cstheme="minorHAnsi"/>
        </w:rPr>
      </w:pPr>
      <w:r w:rsidRPr="00B5122A">
        <w:rPr>
          <w:rFonts w:cstheme="minorHAnsi"/>
          <w:color w:val="212121"/>
          <w:shd w:val="clear" w:color="auto" w:fill="FFFFFF"/>
        </w:rPr>
        <w:t>Riskin A, Cohen K, Kugelman A</w:t>
      </w:r>
      <w:r>
        <w:rPr>
          <w:rFonts w:cstheme="minorHAnsi"/>
          <w:color w:val="212121"/>
          <w:shd w:val="clear" w:color="auto" w:fill="FFFFFF"/>
        </w:rPr>
        <w:t xml:space="preserve"> et al</w:t>
      </w:r>
      <w:r w:rsidRPr="00B5122A">
        <w:rPr>
          <w:rFonts w:cstheme="minorHAnsi"/>
          <w:color w:val="212121"/>
          <w:shd w:val="clear" w:color="auto" w:fill="FFFFFF"/>
        </w:rPr>
        <w:t xml:space="preserve">. The Impact of Routine Evaluation of Gastric Residual Volumes on the Time to Achieve Full Enteral Feeding in Preterm Infants. J </w:t>
      </w:r>
      <w:proofErr w:type="spellStart"/>
      <w:r w:rsidRPr="00B5122A">
        <w:rPr>
          <w:rFonts w:cstheme="minorHAnsi"/>
          <w:color w:val="212121"/>
          <w:shd w:val="clear" w:color="auto" w:fill="FFFFFF"/>
        </w:rPr>
        <w:t>Pediatr</w:t>
      </w:r>
      <w:proofErr w:type="spellEnd"/>
      <w:r w:rsidRPr="00B5122A">
        <w:rPr>
          <w:rFonts w:cstheme="minorHAnsi"/>
          <w:color w:val="212121"/>
          <w:shd w:val="clear" w:color="auto" w:fill="FFFFFF"/>
        </w:rPr>
        <w:t xml:space="preserve">. 2017 </w:t>
      </w:r>
      <w:proofErr w:type="gramStart"/>
      <w:r w:rsidRPr="00B5122A">
        <w:rPr>
          <w:rFonts w:cstheme="minorHAnsi"/>
          <w:color w:val="212121"/>
          <w:shd w:val="clear" w:color="auto" w:fill="FFFFFF"/>
        </w:rPr>
        <w:t>Oct;189:128</w:t>
      </w:r>
      <w:proofErr w:type="gramEnd"/>
      <w:r w:rsidRPr="00B5122A">
        <w:rPr>
          <w:rFonts w:cstheme="minorHAnsi"/>
          <w:color w:val="212121"/>
          <w:shd w:val="clear" w:color="auto" w:fill="FFFFFF"/>
        </w:rPr>
        <w:t>-134.</w:t>
      </w:r>
    </w:p>
    <w:p w14:paraId="23F5AF36"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Tume LN, Arch B, </w:t>
      </w:r>
      <w:proofErr w:type="spellStart"/>
      <w:r w:rsidRPr="00B5122A">
        <w:rPr>
          <w:rFonts w:cstheme="minorHAnsi"/>
          <w:color w:val="212121"/>
          <w:shd w:val="clear" w:color="auto" w:fill="FFFFFF"/>
        </w:rPr>
        <w:t>Woolfall</w:t>
      </w:r>
      <w:proofErr w:type="spellEnd"/>
      <w:r w:rsidRPr="00B5122A">
        <w:rPr>
          <w:rFonts w:cstheme="minorHAnsi"/>
          <w:color w:val="212121"/>
          <w:shd w:val="clear" w:color="auto" w:fill="FFFFFF"/>
        </w:rPr>
        <w:t xml:space="preserve"> K</w:t>
      </w:r>
      <w:r>
        <w:rPr>
          <w:rFonts w:cstheme="minorHAnsi"/>
          <w:color w:val="212121"/>
          <w:shd w:val="clear" w:color="auto" w:fill="FFFFFF"/>
        </w:rPr>
        <w:t xml:space="preserve"> et al</w:t>
      </w:r>
      <w:r w:rsidRPr="00B5122A">
        <w:rPr>
          <w:rFonts w:cstheme="minorHAnsi"/>
          <w:color w:val="212121"/>
          <w:shd w:val="clear" w:color="auto" w:fill="FFFFFF"/>
        </w:rPr>
        <w:t xml:space="preserve">. Gastric Residual Volume Measurement in U.K. PICUs: A Survey of Practice. </w:t>
      </w:r>
      <w:proofErr w:type="spellStart"/>
      <w:r w:rsidRPr="00B5122A">
        <w:rPr>
          <w:rFonts w:cstheme="minorHAnsi"/>
          <w:color w:val="212121"/>
          <w:shd w:val="clear" w:color="auto" w:fill="FFFFFF"/>
        </w:rPr>
        <w:t>Pediatr</w:t>
      </w:r>
      <w:proofErr w:type="spellEnd"/>
      <w:r w:rsidRPr="00B5122A">
        <w:rPr>
          <w:rFonts w:cstheme="minorHAnsi"/>
          <w:color w:val="212121"/>
          <w:shd w:val="clear" w:color="auto" w:fill="FFFFFF"/>
        </w:rPr>
        <w:t xml:space="preserve"> Crit Care Med. 2019 Aug;20(8):707-713.</w:t>
      </w:r>
    </w:p>
    <w:p w14:paraId="234F5EB2"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lastRenderedPageBreak/>
        <w:t xml:space="preserve">Tume LN, Latten L, Kenworthy L. Paediatric intensive care nurses' decision-making around gastric residual volume measurement. </w:t>
      </w:r>
      <w:proofErr w:type="spellStart"/>
      <w:r w:rsidRPr="00B5122A">
        <w:rPr>
          <w:rFonts w:cstheme="minorHAnsi"/>
          <w:color w:val="212121"/>
          <w:shd w:val="clear" w:color="auto" w:fill="FFFFFF"/>
        </w:rPr>
        <w:t>Nurs</w:t>
      </w:r>
      <w:proofErr w:type="spellEnd"/>
      <w:r w:rsidRPr="00B5122A">
        <w:rPr>
          <w:rFonts w:cstheme="minorHAnsi"/>
          <w:color w:val="212121"/>
          <w:shd w:val="clear" w:color="auto" w:fill="FFFFFF"/>
        </w:rPr>
        <w:t xml:space="preserve"> Crit Care. 2017 Sep;22(5):293-297. </w:t>
      </w:r>
    </w:p>
    <w:p w14:paraId="36F08F5B"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Tume LN, </w:t>
      </w:r>
      <w:proofErr w:type="spellStart"/>
      <w:r w:rsidRPr="00B5122A">
        <w:rPr>
          <w:rFonts w:cstheme="minorHAnsi"/>
          <w:color w:val="212121"/>
          <w:shd w:val="clear" w:color="auto" w:fill="FFFFFF"/>
        </w:rPr>
        <w:t>Woolfall</w:t>
      </w:r>
      <w:proofErr w:type="spellEnd"/>
      <w:r w:rsidRPr="00B5122A">
        <w:rPr>
          <w:rFonts w:cstheme="minorHAnsi"/>
          <w:color w:val="212121"/>
          <w:shd w:val="clear" w:color="auto" w:fill="FFFFFF"/>
        </w:rPr>
        <w:t xml:space="preserve"> K, Arch B</w:t>
      </w:r>
      <w:r>
        <w:rPr>
          <w:rFonts w:cstheme="minorHAnsi"/>
          <w:color w:val="212121"/>
          <w:shd w:val="clear" w:color="auto" w:fill="FFFFFF"/>
        </w:rPr>
        <w:t xml:space="preserve"> et al</w:t>
      </w:r>
      <w:r w:rsidRPr="00B5122A">
        <w:rPr>
          <w:rFonts w:cstheme="minorHAnsi"/>
          <w:color w:val="212121"/>
          <w:shd w:val="clear" w:color="auto" w:fill="FFFFFF"/>
        </w:rPr>
        <w:t xml:space="preserve">. Routine gastric residual volume measurement to guide enteral feeding in mechanically ventilated infants and children: the GASTRIC feasibility study. Health </w:t>
      </w:r>
      <w:proofErr w:type="spellStart"/>
      <w:r w:rsidRPr="00B5122A">
        <w:rPr>
          <w:rFonts w:cstheme="minorHAnsi"/>
          <w:color w:val="212121"/>
          <w:shd w:val="clear" w:color="auto" w:fill="FFFFFF"/>
        </w:rPr>
        <w:t>Technol</w:t>
      </w:r>
      <w:proofErr w:type="spellEnd"/>
      <w:r w:rsidRPr="00B5122A">
        <w:rPr>
          <w:rFonts w:cstheme="minorHAnsi"/>
          <w:color w:val="212121"/>
          <w:shd w:val="clear" w:color="auto" w:fill="FFFFFF"/>
        </w:rPr>
        <w:t xml:space="preserve"> Assess. 2020 May;24(23):1-120.</w:t>
      </w:r>
    </w:p>
    <w:p w14:paraId="45B874D8"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Tume LN, Arch B, </w:t>
      </w:r>
      <w:proofErr w:type="spellStart"/>
      <w:r w:rsidRPr="00B5122A">
        <w:rPr>
          <w:rFonts w:cstheme="minorHAnsi"/>
          <w:color w:val="212121"/>
          <w:shd w:val="clear" w:color="auto" w:fill="FFFFFF"/>
        </w:rPr>
        <w:t>Woolfall</w:t>
      </w:r>
      <w:proofErr w:type="spellEnd"/>
      <w:r w:rsidRPr="00B5122A">
        <w:rPr>
          <w:rFonts w:cstheme="minorHAnsi"/>
          <w:color w:val="212121"/>
          <w:shd w:val="clear" w:color="auto" w:fill="FFFFFF"/>
        </w:rPr>
        <w:t xml:space="preserve"> K</w:t>
      </w:r>
      <w:r>
        <w:rPr>
          <w:rFonts w:cstheme="minorHAnsi"/>
          <w:color w:val="212121"/>
          <w:shd w:val="clear" w:color="auto" w:fill="FFFFFF"/>
        </w:rPr>
        <w:t xml:space="preserve"> et al.</w:t>
      </w:r>
      <w:r w:rsidRPr="00B5122A">
        <w:rPr>
          <w:rFonts w:cstheme="minorHAnsi"/>
          <w:color w:val="212121"/>
          <w:shd w:val="clear" w:color="auto" w:fill="FFFFFF"/>
        </w:rPr>
        <w:t xml:space="preserve">; Paediatric Intensive Care Society Study Group (PICS-SG). Determining Optimal Outcome Measures in a Trial Investigating No Routine Gastric Residual Volume Measurement in Critically Ill Children. JPEN J </w:t>
      </w:r>
      <w:proofErr w:type="spellStart"/>
      <w:r w:rsidRPr="00B5122A">
        <w:rPr>
          <w:rFonts w:cstheme="minorHAnsi"/>
          <w:color w:val="212121"/>
          <w:shd w:val="clear" w:color="auto" w:fill="FFFFFF"/>
        </w:rPr>
        <w:t>Parenter</w:t>
      </w:r>
      <w:proofErr w:type="spellEnd"/>
      <w:r w:rsidRPr="00B5122A">
        <w:rPr>
          <w:rFonts w:cstheme="minorHAnsi"/>
          <w:color w:val="212121"/>
          <w:shd w:val="clear" w:color="auto" w:fill="FFFFFF"/>
        </w:rPr>
        <w:t xml:space="preserve"> Enteral </w:t>
      </w:r>
      <w:proofErr w:type="spellStart"/>
      <w:r w:rsidRPr="00B5122A">
        <w:rPr>
          <w:rFonts w:cstheme="minorHAnsi"/>
          <w:color w:val="212121"/>
          <w:shd w:val="clear" w:color="auto" w:fill="FFFFFF"/>
        </w:rPr>
        <w:t>Nutr</w:t>
      </w:r>
      <w:proofErr w:type="spellEnd"/>
      <w:r w:rsidRPr="00B5122A">
        <w:rPr>
          <w:rFonts w:cstheme="minorHAnsi"/>
          <w:color w:val="212121"/>
          <w:shd w:val="clear" w:color="auto" w:fill="FFFFFF"/>
        </w:rPr>
        <w:t>. 2021 Jan;45(1):79-86.</w:t>
      </w:r>
    </w:p>
    <w:p w14:paraId="506753B1" w14:textId="77777777" w:rsidR="002D2932" w:rsidRPr="00930B44" w:rsidRDefault="002D2932" w:rsidP="002D2932">
      <w:pPr>
        <w:pStyle w:val="ListParagraph"/>
        <w:numPr>
          <w:ilvl w:val="0"/>
          <w:numId w:val="1"/>
        </w:numPr>
        <w:spacing w:line="480" w:lineRule="auto"/>
        <w:rPr>
          <w:rFonts w:cstheme="minorHAnsi"/>
          <w:color w:val="212121"/>
          <w:shd w:val="clear" w:color="auto" w:fill="FFFFFF"/>
        </w:rPr>
      </w:pPr>
      <w:r>
        <w:rPr>
          <w:rFonts w:cstheme="minorHAnsi"/>
        </w:rPr>
        <w:t>Tume LN, Peters M</w:t>
      </w:r>
      <w:r w:rsidRPr="009C5802">
        <w:rPr>
          <w:rFonts w:cstheme="minorHAnsi"/>
        </w:rPr>
        <w:t xml:space="preserve">, Brown K et al. </w:t>
      </w:r>
      <w:r>
        <w:rPr>
          <w:rFonts w:cstheme="minorHAnsi"/>
        </w:rPr>
        <w:t>A randomised controlled trial of no routine gastric residual monitoring to guide enteral feeding in paediatric intensive care units: the GASTRIC-PICU trial.</w:t>
      </w:r>
      <w:r w:rsidRPr="009C5802">
        <w:rPr>
          <w:rFonts w:cstheme="minorHAnsi"/>
        </w:rPr>
        <w:t xml:space="preserve"> </w:t>
      </w:r>
      <w:r>
        <w:rPr>
          <w:rFonts w:cstheme="minorHAnsi"/>
        </w:rPr>
        <w:t xml:space="preserve">Available from: </w:t>
      </w:r>
      <w:hyperlink r:id="rId11" w:history="1">
        <w:r w:rsidRPr="001E429F">
          <w:rPr>
            <w:rStyle w:val="Hyperlink"/>
          </w:rPr>
          <w:t>https://fundingawards.nihr.ac.uk/award/NIHR133835</w:t>
        </w:r>
      </w:hyperlink>
      <w:r>
        <w:t>. Accessed on 15</w:t>
      </w:r>
      <w:r w:rsidRPr="00681D52">
        <w:rPr>
          <w:vertAlign w:val="superscript"/>
        </w:rPr>
        <w:t>th</w:t>
      </w:r>
      <w:r>
        <w:t xml:space="preserve"> November 2022. </w:t>
      </w:r>
    </w:p>
    <w:p w14:paraId="2702833F"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proofErr w:type="spellStart"/>
      <w:r w:rsidRPr="00B5122A">
        <w:rPr>
          <w:rFonts w:cstheme="minorHAnsi"/>
          <w:color w:val="212121"/>
          <w:shd w:val="clear" w:color="auto" w:fill="FFFFFF"/>
        </w:rPr>
        <w:t>Alberda</w:t>
      </w:r>
      <w:proofErr w:type="spellEnd"/>
      <w:r w:rsidRPr="00B5122A">
        <w:rPr>
          <w:rFonts w:cstheme="minorHAnsi"/>
          <w:color w:val="212121"/>
          <w:shd w:val="clear" w:color="auto" w:fill="FFFFFF"/>
        </w:rPr>
        <w:t xml:space="preserve"> C, </w:t>
      </w:r>
      <w:proofErr w:type="spellStart"/>
      <w:r w:rsidRPr="00B5122A">
        <w:rPr>
          <w:rFonts w:cstheme="minorHAnsi"/>
          <w:color w:val="212121"/>
          <w:shd w:val="clear" w:color="auto" w:fill="FFFFFF"/>
        </w:rPr>
        <w:t>Gramlich</w:t>
      </w:r>
      <w:proofErr w:type="spellEnd"/>
      <w:r w:rsidRPr="00B5122A">
        <w:rPr>
          <w:rFonts w:cstheme="minorHAnsi"/>
          <w:color w:val="212121"/>
          <w:shd w:val="clear" w:color="auto" w:fill="FFFFFF"/>
        </w:rPr>
        <w:t xml:space="preserve"> L, Jones N</w:t>
      </w:r>
      <w:r>
        <w:rPr>
          <w:rFonts w:cstheme="minorHAnsi"/>
          <w:color w:val="212121"/>
          <w:shd w:val="clear" w:color="auto" w:fill="FFFFFF"/>
        </w:rPr>
        <w:t xml:space="preserve"> et al</w:t>
      </w:r>
      <w:r w:rsidRPr="00B5122A">
        <w:rPr>
          <w:rFonts w:cstheme="minorHAnsi"/>
          <w:color w:val="212121"/>
          <w:shd w:val="clear" w:color="auto" w:fill="FFFFFF"/>
        </w:rPr>
        <w:t xml:space="preserve">. The relationship between nutritional intake and clinical outcomes in critically ill patients: results of an international </w:t>
      </w:r>
      <w:proofErr w:type="spellStart"/>
      <w:r w:rsidRPr="00B5122A">
        <w:rPr>
          <w:rFonts w:cstheme="minorHAnsi"/>
          <w:color w:val="212121"/>
          <w:shd w:val="clear" w:color="auto" w:fill="FFFFFF"/>
        </w:rPr>
        <w:t>multicenter</w:t>
      </w:r>
      <w:proofErr w:type="spellEnd"/>
      <w:r w:rsidRPr="00B5122A">
        <w:rPr>
          <w:rFonts w:cstheme="minorHAnsi"/>
          <w:color w:val="212121"/>
          <w:shd w:val="clear" w:color="auto" w:fill="FFFFFF"/>
        </w:rPr>
        <w:t xml:space="preserve"> observational study. Intensive Care Med. 2009 Oct;35(10):1728-37.</w:t>
      </w:r>
    </w:p>
    <w:p w14:paraId="2671C87A"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proofErr w:type="spellStart"/>
      <w:r w:rsidRPr="00B5122A">
        <w:rPr>
          <w:rFonts w:cstheme="minorHAnsi"/>
          <w:color w:val="212121"/>
          <w:shd w:val="clear" w:color="auto" w:fill="FFFFFF"/>
        </w:rPr>
        <w:t>Weijs</w:t>
      </w:r>
      <w:proofErr w:type="spellEnd"/>
      <w:r w:rsidRPr="00B5122A">
        <w:rPr>
          <w:rFonts w:cstheme="minorHAnsi"/>
          <w:color w:val="212121"/>
          <w:shd w:val="clear" w:color="auto" w:fill="FFFFFF"/>
        </w:rPr>
        <w:t xml:space="preserve"> PJ, </w:t>
      </w:r>
      <w:proofErr w:type="spellStart"/>
      <w:r w:rsidRPr="00B5122A">
        <w:rPr>
          <w:rFonts w:cstheme="minorHAnsi"/>
          <w:color w:val="212121"/>
          <w:shd w:val="clear" w:color="auto" w:fill="FFFFFF"/>
        </w:rPr>
        <w:t>Stapel</w:t>
      </w:r>
      <w:proofErr w:type="spellEnd"/>
      <w:r w:rsidRPr="00B5122A">
        <w:rPr>
          <w:rFonts w:cstheme="minorHAnsi"/>
          <w:color w:val="212121"/>
          <w:shd w:val="clear" w:color="auto" w:fill="FFFFFF"/>
        </w:rPr>
        <w:t xml:space="preserve"> SN, de Groot SD</w:t>
      </w:r>
      <w:r>
        <w:rPr>
          <w:rFonts w:cstheme="minorHAnsi"/>
          <w:color w:val="212121"/>
          <w:shd w:val="clear" w:color="auto" w:fill="FFFFFF"/>
        </w:rPr>
        <w:t xml:space="preserve"> et al</w:t>
      </w:r>
      <w:r w:rsidRPr="00B5122A">
        <w:rPr>
          <w:rFonts w:cstheme="minorHAnsi"/>
          <w:color w:val="212121"/>
          <w:shd w:val="clear" w:color="auto" w:fill="FFFFFF"/>
        </w:rPr>
        <w:t xml:space="preserve">. Optimal protein and energy nutrition decreases mortality in mechanically ventilated, critically ill patients: a prospective observational cohort study. JPEN J </w:t>
      </w:r>
      <w:proofErr w:type="spellStart"/>
      <w:r w:rsidRPr="00B5122A">
        <w:rPr>
          <w:rFonts w:cstheme="minorHAnsi"/>
          <w:color w:val="212121"/>
          <w:shd w:val="clear" w:color="auto" w:fill="FFFFFF"/>
        </w:rPr>
        <w:t>Parenter</w:t>
      </w:r>
      <w:proofErr w:type="spellEnd"/>
      <w:r w:rsidRPr="00B5122A">
        <w:rPr>
          <w:rFonts w:cstheme="minorHAnsi"/>
          <w:color w:val="212121"/>
          <w:shd w:val="clear" w:color="auto" w:fill="FFFFFF"/>
        </w:rPr>
        <w:t xml:space="preserve"> Enteral </w:t>
      </w:r>
      <w:proofErr w:type="spellStart"/>
      <w:r w:rsidRPr="00B5122A">
        <w:rPr>
          <w:rFonts w:cstheme="minorHAnsi"/>
          <w:color w:val="212121"/>
          <w:shd w:val="clear" w:color="auto" w:fill="FFFFFF"/>
        </w:rPr>
        <w:t>Nutr</w:t>
      </w:r>
      <w:proofErr w:type="spellEnd"/>
      <w:r w:rsidRPr="00B5122A">
        <w:rPr>
          <w:rFonts w:cstheme="minorHAnsi"/>
          <w:color w:val="212121"/>
          <w:shd w:val="clear" w:color="auto" w:fill="FFFFFF"/>
        </w:rPr>
        <w:t>. 2012 Jan;36(1):60-8.</w:t>
      </w:r>
    </w:p>
    <w:p w14:paraId="7624B9D2" w14:textId="77777777" w:rsidR="002D2932" w:rsidRPr="00E778EC"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Nicolo M, </w:t>
      </w:r>
      <w:proofErr w:type="spellStart"/>
      <w:r w:rsidRPr="00B5122A">
        <w:rPr>
          <w:rFonts w:cstheme="minorHAnsi"/>
          <w:color w:val="212121"/>
          <w:shd w:val="clear" w:color="auto" w:fill="FFFFFF"/>
        </w:rPr>
        <w:t>Heyland</w:t>
      </w:r>
      <w:proofErr w:type="spellEnd"/>
      <w:r w:rsidRPr="00B5122A">
        <w:rPr>
          <w:rFonts w:cstheme="minorHAnsi"/>
          <w:color w:val="212121"/>
          <w:shd w:val="clear" w:color="auto" w:fill="FFFFFF"/>
        </w:rPr>
        <w:t xml:space="preserve"> DK, Chittams J</w:t>
      </w:r>
      <w:r>
        <w:rPr>
          <w:rFonts w:cstheme="minorHAnsi"/>
          <w:color w:val="212121"/>
          <w:shd w:val="clear" w:color="auto" w:fill="FFFFFF"/>
        </w:rPr>
        <w:t xml:space="preserve"> et al</w:t>
      </w:r>
      <w:r w:rsidRPr="00B5122A">
        <w:rPr>
          <w:rFonts w:cstheme="minorHAnsi"/>
          <w:color w:val="212121"/>
          <w:shd w:val="clear" w:color="auto" w:fill="FFFFFF"/>
        </w:rPr>
        <w:t xml:space="preserve">. Clinical Outcomes Related to Protein Delivery in a Critically Ill Population: A </w:t>
      </w:r>
      <w:proofErr w:type="spellStart"/>
      <w:r w:rsidRPr="00B5122A">
        <w:rPr>
          <w:rFonts w:cstheme="minorHAnsi"/>
          <w:color w:val="212121"/>
          <w:shd w:val="clear" w:color="auto" w:fill="FFFFFF"/>
        </w:rPr>
        <w:t>Multicenter</w:t>
      </w:r>
      <w:proofErr w:type="spellEnd"/>
      <w:r w:rsidRPr="00B5122A">
        <w:rPr>
          <w:rFonts w:cstheme="minorHAnsi"/>
          <w:color w:val="212121"/>
          <w:shd w:val="clear" w:color="auto" w:fill="FFFFFF"/>
        </w:rPr>
        <w:t xml:space="preserve">, Multinational Observation Study. JPEN J </w:t>
      </w:r>
      <w:proofErr w:type="spellStart"/>
      <w:r w:rsidRPr="00B5122A">
        <w:rPr>
          <w:rFonts w:cstheme="minorHAnsi"/>
          <w:color w:val="212121"/>
          <w:shd w:val="clear" w:color="auto" w:fill="FFFFFF"/>
        </w:rPr>
        <w:t>Parenter</w:t>
      </w:r>
      <w:proofErr w:type="spellEnd"/>
      <w:r w:rsidRPr="00B5122A">
        <w:rPr>
          <w:rFonts w:cstheme="minorHAnsi"/>
          <w:color w:val="212121"/>
          <w:shd w:val="clear" w:color="auto" w:fill="FFFFFF"/>
        </w:rPr>
        <w:t xml:space="preserve"> Enteral </w:t>
      </w:r>
      <w:proofErr w:type="spellStart"/>
      <w:r w:rsidRPr="00B5122A">
        <w:rPr>
          <w:rFonts w:cstheme="minorHAnsi"/>
          <w:color w:val="212121"/>
          <w:shd w:val="clear" w:color="auto" w:fill="FFFFFF"/>
        </w:rPr>
        <w:t>Nutr</w:t>
      </w:r>
      <w:proofErr w:type="spellEnd"/>
      <w:r w:rsidRPr="00B5122A">
        <w:rPr>
          <w:rFonts w:cstheme="minorHAnsi"/>
          <w:color w:val="212121"/>
          <w:shd w:val="clear" w:color="auto" w:fill="FFFFFF"/>
        </w:rPr>
        <w:t>. 2016 Jan;40(1):45-51. </w:t>
      </w:r>
    </w:p>
    <w:p w14:paraId="79F9B4C2" w14:textId="77777777" w:rsidR="002D2932" w:rsidRDefault="002D2932" w:rsidP="002D2932">
      <w:pPr>
        <w:pStyle w:val="ListParagraph"/>
        <w:numPr>
          <w:ilvl w:val="0"/>
          <w:numId w:val="1"/>
        </w:numPr>
        <w:spacing w:after="0" w:line="480" w:lineRule="auto"/>
        <w:contextualSpacing w:val="0"/>
        <w:rPr>
          <w:rFonts w:cstheme="minorHAnsi"/>
        </w:rPr>
      </w:pPr>
      <w:r w:rsidRPr="00B5122A">
        <w:rPr>
          <w:rFonts w:cstheme="minorHAnsi"/>
        </w:rPr>
        <w:t>Braun V, Clarke V. Using thematic analysis in psychology. Qualitative Research in Psychology. 2006;3(2):77-101.</w:t>
      </w:r>
    </w:p>
    <w:p w14:paraId="79F89F10" w14:textId="6482D9D0" w:rsidR="00441385" w:rsidRPr="00734D0C" w:rsidRDefault="00AF1BB0" w:rsidP="002D2932">
      <w:pPr>
        <w:pStyle w:val="ListParagraph"/>
        <w:numPr>
          <w:ilvl w:val="0"/>
          <w:numId w:val="1"/>
        </w:numPr>
        <w:spacing w:after="0" w:line="480" w:lineRule="auto"/>
        <w:contextualSpacing w:val="0"/>
        <w:rPr>
          <w:rFonts w:cstheme="minorHAnsi"/>
        </w:rPr>
      </w:pPr>
      <w:r w:rsidRPr="009F773F">
        <w:rPr>
          <w:rFonts w:cstheme="minorHAnsi"/>
          <w:color w:val="212121"/>
          <w:shd w:val="clear" w:color="auto" w:fill="FFFFFF"/>
        </w:rPr>
        <w:lastRenderedPageBreak/>
        <w:t xml:space="preserve">Jenkins B, Calder PC, Marino LV. A scoping review considering potential biomarkers or functional measures of gastrointestinal dysfunction and enteral feeding intolerance in critically ill adults. Clin </w:t>
      </w:r>
      <w:proofErr w:type="spellStart"/>
      <w:r w:rsidRPr="009F773F">
        <w:rPr>
          <w:rFonts w:cstheme="minorHAnsi"/>
          <w:color w:val="212121"/>
          <w:shd w:val="clear" w:color="auto" w:fill="FFFFFF"/>
        </w:rPr>
        <w:t>Nutr</w:t>
      </w:r>
      <w:proofErr w:type="spellEnd"/>
      <w:r w:rsidRPr="009F773F">
        <w:rPr>
          <w:rFonts w:cstheme="minorHAnsi"/>
          <w:color w:val="212121"/>
          <w:shd w:val="clear" w:color="auto" w:fill="FFFFFF"/>
        </w:rPr>
        <w:t xml:space="preserve"> ESPEN. 2022 </w:t>
      </w:r>
      <w:proofErr w:type="gramStart"/>
      <w:r w:rsidRPr="009F773F">
        <w:rPr>
          <w:rFonts w:cstheme="minorHAnsi"/>
          <w:color w:val="212121"/>
          <w:shd w:val="clear" w:color="auto" w:fill="FFFFFF"/>
        </w:rPr>
        <w:t>Dec;52:331</w:t>
      </w:r>
      <w:proofErr w:type="gramEnd"/>
      <w:r w:rsidRPr="009F773F">
        <w:rPr>
          <w:rFonts w:cstheme="minorHAnsi"/>
          <w:color w:val="212121"/>
          <w:shd w:val="clear" w:color="auto" w:fill="FFFFFF"/>
        </w:rPr>
        <w:t>-339. </w:t>
      </w:r>
    </w:p>
    <w:p w14:paraId="7B985FE6" w14:textId="77777777" w:rsidR="002D2932" w:rsidRPr="00B5122A" w:rsidRDefault="002D2932" w:rsidP="002D2932">
      <w:pPr>
        <w:pStyle w:val="ListParagraph"/>
        <w:numPr>
          <w:ilvl w:val="0"/>
          <w:numId w:val="1"/>
        </w:numPr>
        <w:spacing w:before="100" w:beforeAutospacing="1" w:after="100" w:afterAutospacing="1" w:line="480" w:lineRule="auto"/>
        <w:rPr>
          <w:rFonts w:eastAsia="Times New Roman" w:cstheme="minorHAnsi"/>
          <w:color w:val="000000"/>
          <w:lang w:eastAsia="en-GB"/>
        </w:rPr>
      </w:pPr>
      <w:r w:rsidRPr="00B5122A">
        <w:rPr>
          <w:rFonts w:eastAsia="Times New Roman" w:cstheme="minorHAnsi"/>
          <w:color w:val="000000"/>
          <w:lang w:eastAsia="en-GB"/>
        </w:rPr>
        <w:t>Pinilla JC, Samphire J, Arnold C</w:t>
      </w:r>
      <w:r>
        <w:rPr>
          <w:rFonts w:eastAsia="Times New Roman" w:cstheme="minorHAnsi"/>
          <w:color w:val="000000"/>
          <w:lang w:eastAsia="en-GB"/>
        </w:rPr>
        <w:t xml:space="preserve"> et al</w:t>
      </w:r>
      <w:r w:rsidRPr="00B5122A">
        <w:rPr>
          <w:rFonts w:eastAsia="Times New Roman" w:cstheme="minorHAnsi"/>
          <w:color w:val="000000"/>
          <w:lang w:eastAsia="en-GB"/>
        </w:rPr>
        <w:t xml:space="preserve">. Comparison of gastrointestinal tolerance to two enteral feeding protocols in critically ill patients: a prospective, randomized controlled trial. JPEN J </w:t>
      </w:r>
      <w:proofErr w:type="spellStart"/>
      <w:r w:rsidRPr="00B5122A">
        <w:rPr>
          <w:rFonts w:eastAsia="Times New Roman" w:cstheme="minorHAnsi"/>
          <w:color w:val="000000"/>
          <w:lang w:eastAsia="en-GB"/>
        </w:rPr>
        <w:t>Parenter</w:t>
      </w:r>
      <w:proofErr w:type="spellEnd"/>
      <w:r w:rsidRPr="00B5122A">
        <w:rPr>
          <w:rFonts w:eastAsia="Times New Roman" w:cstheme="minorHAnsi"/>
          <w:color w:val="000000"/>
          <w:lang w:eastAsia="en-GB"/>
        </w:rPr>
        <w:t xml:space="preserve"> Enteral </w:t>
      </w:r>
      <w:proofErr w:type="spellStart"/>
      <w:r w:rsidRPr="00B5122A">
        <w:rPr>
          <w:rFonts w:eastAsia="Times New Roman" w:cstheme="minorHAnsi"/>
          <w:color w:val="000000"/>
          <w:lang w:eastAsia="en-GB"/>
        </w:rPr>
        <w:t>Nutr</w:t>
      </w:r>
      <w:proofErr w:type="spellEnd"/>
      <w:r w:rsidRPr="00B5122A">
        <w:rPr>
          <w:rFonts w:eastAsia="Times New Roman" w:cstheme="minorHAnsi"/>
          <w:color w:val="000000"/>
          <w:lang w:eastAsia="en-GB"/>
        </w:rPr>
        <w:t>. 2001;25(2):81-6.</w:t>
      </w:r>
    </w:p>
    <w:p w14:paraId="1FA3EA46" w14:textId="77777777" w:rsidR="002D2932" w:rsidRPr="00B5122A" w:rsidRDefault="002D2932" w:rsidP="002D2932">
      <w:pPr>
        <w:pStyle w:val="ListParagraph"/>
        <w:numPr>
          <w:ilvl w:val="0"/>
          <w:numId w:val="1"/>
        </w:numPr>
        <w:spacing w:before="100" w:beforeAutospacing="1" w:after="100" w:afterAutospacing="1" w:line="480" w:lineRule="auto"/>
        <w:rPr>
          <w:rFonts w:eastAsia="Times New Roman" w:cstheme="minorHAnsi"/>
          <w:color w:val="000000"/>
          <w:lang w:eastAsia="en-GB"/>
        </w:rPr>
      </w:pPr>
      <w:r w:rsidRPr="00B5122A">
        <w:rPr>
          <w:rFonts w:cstheme="minorHAnsi"/>
          <w:color w:val="212121"/>
          <w:shd w:val="clear" w:color="auto" w:fill="FFFFFF"/>
        </w:rPr>
        <w:t xml:space="preserve">Montejo JC, </w:t>
      </w:r>
      <w:proofErr w:type="spellStart"/>
      <w:r w:rsidRPr="00B5122A">
        <w:rPr>
          <w:rFonts w:cstheme="minorHAnsi"/>
          <w:color w:val="212121"/>
          <w:shd w:val="clear" w:color="auto" w:fill="FFFFFF"/>
        </w:rPr>
        <w:t>Miñambres</w:t>
      </w:r>
      <w:proofErr w:type="spellEnd"/>
      <w:r w:rsidRPr="00B5122A">
        <w:rPr>
          <w:rFonts w:cstheme="minorHAnsi"/>
          <w:color w:val="212121"/>
          <w:shd w:val="clear" w:color="auto" w:fill="FFFFFF"/>
        </w:rPr>
        <w:t xml:space="preserve"> E, </w:t>
      </w:r>
      <w:proofErr w:type="spellStart"/>
      <w:r w:rsidRPr="00B5122A">
        <w:rPr>
          <w:rFonts w:cstheme="minorHAnsi"/>
          <w:color w:val="212121"/>
          <w:shd w:val="clear" w:color="auto" w:fill="FFFFFF"/>
        </w:rPr>
        <w:t>Bordejé</w:t>
      </w:r>
      <w:proofErr w:type="spellEnd"/>
      <w:r w:rsidRPr="00B5122A">
        <w:rPr>
          <w:rFonts w:cstheme="minorHAnsi"/>
          <w:color w:val="212121"/>
          <w:shd w:val="clear" w:color="auto" w:fill="FFFFFF"/>
        </w:rPr>
        <w:t xml:space="preserve"> L</w:t>
      </w:r>
      <w:r>
        <w:rPr>
          <w:rFonts w:cstheme="minorHAnsi"/>
          <w:color w:val="212121"/>
          <w:shd w:val="clear" w:color="auto" w:fill="FFFFFF"/>
        </w:rPr>
        <w:t xml:space="preserve"> et al</w:t>
      </w:r>
      <w:r w:rsidRPr="00B5122A">
        <w:rPr>
          <w:rFonts w:cstheme="minorHAnsi"/>
          <w:color w:val="212121"/>
          <w:shd w:val="clear" w:color="auto" w:fill="FFFFFF"/>
        </w:rPr>
        <w:t xml:space="preserve">. </w:t>
      </w:r>
      <w:r w:rsidRPr="00B5122A">
        <w:rPr>
          <w:rFonts w:eastAsia="Times New Roman" w:cstheme="minorHAnsi"/>
          <w:color w:val="000000"/>
          <w:lang w:eastAsia="en-GB"/>
        </w:rPr>
        <w:t>Gastric residual volume during enteral nutrition in ICU patients: the REGANE study. Intensive Care Medicine. 2010;36(8):1386-93.</w:t>
      </w:r>
    </w:p>
    <w:p w14:paraId="6E5F52AC"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rPr>
        <w:t xml:space="preserve">Parrish CR, </w:t>
      </w:r>
      <w:proofErr w:type="spellStart"/>
      <w:r w:rsidRPr="00B5122A">
        <w:rPr>
          <w:rFonts w:cstheme="minorHAnsi"/>
        </w:rPr>
        <w:t>McClave</w:t>
      </w:r>
      <w:proofErr w:type="spellEnd"/>
      <w:r w:rsidRPr="00B5122A">
        <w:rPr>
          <w:rFonts w:cstheme="minorHAnsi"/>
        </w:rPr>
        <w:t xml:space="preserve"> SA. Checking gastric residual volumes: a practice in search of science? </w:t>
      </w:r>
      <w:proofErr w:type="spellStart"/>
      <w:r w:rsidRPr="00B5122A">
        <w:rPr>
          <w:rFonts w:cstheme="minorHAnsi"/>
        </w:rPr>
        <w:t>Pract</w:t>
      </w:r>
      <w:proofErr w:type="spellEnd"/>
      <w:r w:rsidRPr="00B5122A">
        <w:rPr>
          <w:rFonts w:cstheme="minorHAnsi"/>
        </w:rPr>
        <w:t xml:space="preserve"> Gastroenterol. </w:t>
      </w:r>
      <w:proofErr w:type="gramStart"/>
      <w:r w:rsidRPr="00B5122A">
        <w:rPr>
          <w:rFonts w:cstheme="minorHAnsi"/>
        </w:rPr>
        <w:t>2008;10:33</w:t>
      </w:r>
      <w:proofErr w:type="gramEnd"/>
      <w:r w:rsidRPr="00B5122A">
        <w:rPr>
          <w:rFonts w:cstheme="minorHAnsi"/>
        </w:rPr>
        <w:t>-47.</w:t>
      </w:r>
    </w:p>
    <w:p w14:paraId="59F3891E" w14:textId="77777777" w:rsidR="002D2932" w:rsidRDefault="002D2932" w:rsidP="002D2932">
      <w:pPr>
        <w:pStyle w:val="ListParagraph"/>
        <w:numPr>
          <w:ilvl w:val="0"/>
          <w:numId w:val="1"/>
        </w:numPr>
        <w:spacing w:line="480" w:lineRule="auto"/>
        <w:rPr>
          <w:rFonts w:cstheme="minorHAnsi"/>
          <w:color w:val="212121"/>
          <w:shd w:val="clear" w:color="auto" w:fill="FFFFFF"/>
        </w:rPr>
      </w:pPr>
      <w:proofErr w:type="spellStart"/>
      <w:r w:rsidRPr="00B5122A">
        <w:rPr>
          <w:rFonts w:cstheme="minorHAnsi"/>
          <w:color w:val="212121"/>
          <w:shd w:val="clear" w:color="auto" w:fill="FFFFFF"/>
        </w:rPr>
        <w:t>McGain</w:t>
      </w:r>
      <w:proofErr w:type="spellEnd"/>
      <w:r w:rsidRPr="00B5122A">
        <w:rPr>
          <w:rFonts w:cstheme="minorHAnsi"/>
          <w:color w:val="212121"/>
          <w:shd w:val="clear" w:color="auto" w:fill="FFFFFF"/>
        </w:rPr>
        <w:t xml:space="preserve"> F, </w:t>
      </w:r>
      <w:proofErr w:type="spellStart"/>
      <w:r w:rsidRPr="00B5122A">
        <w:rPr>
          <w:rFonts w:cstheme="minorHAnsi"/>
          <w:color w:val="212121"/>
          <w:shd w:val="clear" w:color="auto" w:fill="FFFFFF"/>
        </w:rPr>
        <w:t>Muret</w:t>
      </w:r>
      <w:proofErr w:type="spellEnd"/>
      <w:r w:rsidRPr="00B5122A">
        <w:rPr>
          <w:rFonts w:cstheme="minorHAnsi"/>
          <w:color w:val="212121"/>
          <w:shd w:val="clear" w:color="auto" w:fill="FFFFFF"/>
        </w:rPr>
        <w:t xml:space="preserve"> J, Lawson C, Sherman JD. Environmental sustainability in anaesthesia and critical care. Br J </w:t>
      </w:r>
      <w:proofErr w:type="spellStart"/>
      <w:r w:rsidRPr="00B5122A">
        <w:rPr>
          <w:rFonts w:cstheme="minorHAnsi"/>
          <w:color w:val="212121"/>
          <w:shd w:val="clear" w:color="auto" w:fill="FFFFFF"/>
        </w:rPr>
        <w:t>Anaesth</w:t>
      </w:r>
      <w:proofErr w:type="spellEnd"/>
      <w:r w:rsidRPr="00B5122A">
        <w:rPr>
          <w:rFonts w:cstheme="minorHAnsi"/>
          <w:color w:val="212121"/>
          <w:shd w:val="clear" w:color="auto" w:fill="FFFFFF"/>
        </w:rPr>
        <w:t>. 2020 Nov;125(5):680-692.</w:t>
      </w:r>
    </w:p>
    <w:p w14:paraId="29710FD9" w14:textId="6A92B2B4" w:rsidR="002D2932" w:rsidRPr="002D2932" w:rsidRDefault="002D2932" w:rsidP="002D2932">
      <w:pPr>
        <w:numPr>
          <w:ilvl w:val="0"/>
          <w:numId w:val="1"/>
        </w:numPr>
        <w:spacing w:line="480" w:lineRule="auto"/>
        <w:contextualSpacing/>
        <w:rPr>
          <w:rFonts w:cstheme="minorHAnsi"/>
          <w:color w:val="212121"/>
          <w:shd w:val="clear" w:color="auto" w:fill="FFFFFF"/>
        </w:rPr>
      </w:pPr>
      <w:proofErr w:type="spellStart"/>
      <w:r w:rsidRPr="00B5122A">
        <w:rPr>
          <w:rFonts w:cstheme="minorHAnsi"/>
          <w:color w:val="212121"/>
          <w:shd w:val="clear" w:color="auto" w:fill="FFFFFF"/>
        </w:rPr>
        <w:t>Ozen</w:t>
      </w:r>
      <w:proofErr w:type="spellEnd"/>
      <w:r w:rsidRPr="00B5122A">
        <w:rPr>
          <w:rFonts w:cstheme="minorHAnsi"/>
          <w:color w:val="212121"/>
          <w:shd w:val="clear" w:color="auto" w:fill="FFFFFF"/>
        </w:rPr>
        <w:t xml:space="preserve"> N, Blot S, </w:t>
      </w:r>
      <w:proofErr w:type="spellStart"/>
      <w:r w:rsidRPr="00B5122A">
        <w:rPr>
          <w:rFonts w:cstheme="minorHAnsi"/>
          <w:color w:val="212121"/>
          <w:shd w:val="clear" w:color="auto" w:fill="FFFFFF"/>
        </w:rPr>
        <w:t>Ozen</w:t>
      </w:r>
      <w:proofErr w:type="spellEnd"/>
      <w:r w:rsidRPr="00B5122A">
        <w:rPr>
          <w:rFonts w:cstheme="minorHAnsi"/>
          <w:color w:val="212121"/>
          <w:shd w:val="clear" w:color="auto" w:fill="FFFFFF"/>
        </w:rPr>
        <w:t xml:space="preserve"> V</w:t>
      </w:r>
      <w:r>
        <w:rPr>
          <w:rFonts w:cstheme="minorHAnsi"/>
          <w:color w:val="212121"/>
          <w:shd w:val="clear" w:color="auto" w:fill="FFFFFF"/>
        </w:rPr>
        <w:t xml:space="preserve"> et al</w:t>
      </w:r>
      <w:r w:rsidRPr="00B5122A">
        <w:rPr>
          <w:rFonts w:cstheme="minorHAnsi"/>
          <w:color w:val="212121"/>
          <w:shd w:val="clear" w:color="auto" w:fill="FFFFFF"/>
        </w:rPr>
        <w:t xml:space="preserve">. Gastric residual volume measurement in the intensive care unit: an international survey reporting nursing practice. </w:t>
      </w:r>
      <w:proofErr w:type="spellStart"/>
      <w:r w:rsidRPr="00B5122A">
        <w:rPr>
          <w:rFonts w:cstheme="minorHAnsi"/>
          <w:color w:val="212121"/>
          <w:shd w:val="clear" w:color="auto" w:fill="FFFFFF"/>
        </w:rPr>
        <w:t>Nurs</w:t>
      </w:r>
      <w:proofErr w:type="spellEnd"/>
      <w:r w:rsidRPr="00B5122A">
        <w:rPr>
          <w:rFonts w:cstheme="minorHAnsi"/>
          <w:color w:val="212121"/>
          <w:shd w:val="clear" w:color="auto" w:fill="FFFFFF"/>
        </w:rPr>
        <w:t xml:space="preserve"> Crit Care. 2018 Sep;23(5):263-269. </w:t>
      </w:r>
    </w:p>
    <w:p w14:paraId="7179BE7D"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Tume LN, </w:t>
      </w:r>
      <w:proofErr w:type="spellStart"/>
      <w:r w:rsidRPr="00B5122A">
        <w:rPr>
          <w:rFonts w:cstheme="minorHAnsi"/>
          <w:color w:val="212121"/>
          <w:shd w:val="clear" w:color="auto" w:fill="FFFFFF"/>
        </w:rPr>
        <w:t>Woolfall</w:t>
      </w:r>
      <w:proofErr w:type="spellEnd"/>
      <w:r w:rsidRPr="00B5122A">
        <w:rPr>
          <w:rFonts w:cstheme="minorHAnsi"/>
          <w:color w:val="212121"/>
          <w:shd w:val="clear" w:color="auto" w:fill="FFFFFF"/>
        </w:rPr>
        <w:t xml:space="preserve"> K, Arch B</w:t>
      </w:r>
      <w:r>
        <w:rPr>
          <w:rFonts w:cstheme="minorHAnsi"/>
          <w:color w:val="212121"/>
          <w:shd w:val="clear" w:color="auto" w:fill="FFFFFF"/>
        </w:rPr>
        <w:t xml:space="preserve"> et al</w:t>
      </w:r>
      <w:r w:rsidRPr="00B5122A">
        <w:rPr>
          <w:rFonts w:cstheme="minorHAnsi"/>
          <w:color w:val="212121"/>
          <w:shd w:val="clear" w:color="auto" w:fill="FFFFFF"/>
        </w:rPr>
        <w:t xml:space="preserve">. Routine gastric residual volume measurement to guide enteral feeding in mechanically ventilated infants and children: the GASTRIC feasibility study. Health </w:t>
      </w:r>
      <w:proofErr w:type="spellStart"/>
      <w:r w:rsidRPr="00B5122A">
        <w:rPr>
          <w:rFonts w:cstheme="minorHAnsi"/>
          <w:color w:val="212121"/>
          <w:shd w:val="clear" w:color="auto" w:fill="FFFFFF"/>
        </w:rPr>
        <w:t>Technol</w:t>
      </w:r>
      <w:proofErr w:type="spellEnd"/>
      <w:r w:rsidRPr="00B5122A">
        <w:rPr>
          <w:rFonts w:cstheme="minorHAnsi"/>
          <w:color w:val="212121"/>
          <w:shd w:val="clear" w:color="auto" w:fill="FFFFFF"/>
        </w:rPr>
        <w:t xml:space="preserve"> Assess. 2020 May;24(23):1-120.</w:t>
      </w:r>
    </w:p>
    <w:p w14:paraId="668DA643" w14:textId="77777777" w:rsidR="002D2932" w:rsidRPr="00B5122A"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Deja E, Roper L, Tume LN</w:t>
      </w:r>
      <w:r>
        <w:rPr>
          <w:rFonts w:cstheme="minorHAnsi"/>
          <w:color w:val="212121"/>
          <w:shd w:val="clear" w:color="auto" w:fill="FFFFFF"/>
        </w:rPr>
        <w:t xml:space="preserve"> et al</w:t>
      </w:r>
      <w:r w:rsidRPr="00B5122A">
        <w:rPr>
          <w:rFonts w:cstheme="minorHAnsi"/>
          <w:color w:val="212121"/>
          <w:shd w:val="clear" w:color="auto" w:fill="FFFFFF"/>
        </w:rPr>
        <w:t xml:space="preserve">. Can they stomach it? Parent and practitioner acceptability of a trial comparing gastric residual volume measurement versus no gastric residual volume in UK NNU and PICUs: a feasibility study. Pilot Feasibility </w:t>
      </w:r>
      <w:proofErr w:type="spellStart"/>
      <w:r w:rsidRPr="00B5122A">
        <w:rPr>
          <w:rFonts w:cstheme="minorHAnsi"/>
          <w:color w:val="212121"/>
          <w:shd w:val="clear" w:color="auto" w:fill="FFFFFF"/>
        </w:rPr>
        <w:t>Stud</w:t>
      </w:r>
      <w:proofErr w:type="spellEnd"/>
      <w:r w:rsidRPr="00B5122A">
        <w:rPr>
          <w:rFonts w:cstheme="minorHAnsi"/>
          <w:color w:val="212121"/>
          <w:shd w:val="clear" w:color="auto" w:fill="FFFFFF"/>
        </w:rPr>
        <w:t>. 2021 Feb 16;7(1):49.</w:t>
      </w:r>
    </w:p>
    <w:p w14:paraId="6330450F" w14:textId="77777777" w:rsidR="002D2932" w:rsidRDefault="002D2932" w:rsidP="002D2932">
      <w:pPr>
        <w:pStyle w:val="ListParagraph"/>
        <w:numPr>
          <w:ilvl w:val="0"/>
          <w:numId w:val="1"/>
        </w:numPr>
        <w:spacing w:line="480" w:lineRule="auto"/>
        <w:rPr>
          <w:rFonts w:cstheme="minorHAnsi"/>
          <w:color w:val="212121"/>
          <w:shd w:val="clear" w:color="auto" w:fill="FFFFFF"/>
        </w:rPr>
      </w:pPr>
      <w:r w:rsidRPr="00B5122A">
        <w:rPr>
          <w:rFonts w:cstheme="minorHAnsi"/>
          <w:color w:val="212121"/>
          <w:shd w:val="clear" w:color="auto" w:fill="FFFFFF"/>
        </w:rPr>
        <w:t xml:space="preserve">Tume LN, Arch B, </w:t>
      </w:r>
      <w:proofErr w:type="spellStart"/>
      <w:r w:rsidRPr="00B5122A">
        <w:rPr>
          <w:rFonts w:cstheme="minorHAnsi"/>
          <w:color w:val="212121"/>
          <w:shd w:val="clear" w:color="auto" w:fill="FFFFFF"/>
        </w:rPr>
        <w:t>Woolfall</w:t>
      </w:r>
      <w:proofErr w:type="spellEnd"/>
      <w:r w:rsidRPr="00B5122A">
        <w:rPr>
          <w:rFonts w:cstheme="minorHAnsi"/>
          <w:color w:val="212121"/>
          <w:shd w:val="clear" w:color="auto" w:fill="FFFFFF"/>
        </w:rPr>
        <w:t xml:space="preserve"> K</w:t>
      </w:r>
      <w:r>
        <w:rPr>
          <w:rFonts w:cstheme="minorHAnsi"/>
          <w:color w:val="212121"/>
          <w:shd w:val="clear" w:color="auto" w:fill="FFFFFF"/>
        </w:rPr>
        <w:t xml:space="preserve"> et al.</w:t>
      </w:r>
      <w:r w:rsidRPr="00B5122A">
        <w:rPr>
          <w:rFonts w:cstheme="minorHAnsi"/>
          <w:color w:val="212121"/>
          <w:shd w:val="clear" w:color="auto" w:fill="FFFFFF"/>
        </w:rPr>
        <w:t xml:space="preserve">; Paediatric Intensive Care Society Study Group (PICS-SG). Determining Optimal Outcome Measures in a Trial Investigating No Routine Gastric Residual Volume Measurement in Critically Ill Children. JPEN J </w:t>
      </w:r>
      <w:proofErr w:type="spellStart"/>
      <w:r w:rsidRPr="00B5122A">
        <w:rPr>
          <w:rFonts w:cstheme="minorHAnsi"/>
          <w:color w:val="212121"/>
          <w:shd w:val="clear" w:color="auto" w:fill="FFFFFF"/>
        </w:rPr>
        <w:t>Parenter</w:t>
      </w:r>
      <w:proofErr w:type="spellEnd"/>
      <w:r w:rsidRPr="00B5122A">
        <w:rPr>
          <w:rFonts w:cstheme="minorHAnsi"/>
          <w:color w:val="212121"/>
          <w:shd w:val="clear" w:color="auto" w:fill="FFFFFF"/>
        </w:rPr>
        <w:t xml:space="preserve"> Enteral </w:t>
      </w:r>
      <w:proofErr w:type="spellStart"/>
      <w:r w:rsidRPr="00B5122A">
        <w:rPr>
          <w:rFonts w:cstheme="minorHAnsi"/>
          <w:color w:val="212121"/>
          <w:shd w:val="clear" w:color="auto" w:fill="FFFFFF"/>
        </w:rPr>
        <w:t>Nutr</w:t>
      </w:r>
      <w:proofErr w:type="spellEnd"/>
      <w:r w:rsidRPr="00B5122A">
        <w:rPr>
          <w:rFonts w:cstheme="minorHAnsi"/>
          <w:color w:val="212121"/>
          <w:shd w:val="clear" w:color="auto" w:fill="FFFFFF"/>
        </w:rPr>
        <w:t>. 2021 Jan;45(1):79-86.</w:t>
      </w:r>
    </w:p>
    <w:p w14:paraId="4DD63FCB" w14:textId="77777777" w:rsidR="002D2932" w:rsidRDefault="002D2932" w:rsidP="002D2932">
      <w:pPr>
        <w:pStyle w:val="ListParagraph"/>
        <w:numPr>
          <w:ilvl w:val="0"/>
          <w:numId w:val="1"/>
        </w:numPr>
        <w:spacing w:after="0" w:line="480" w:lineRule="auto"/>
        <w:contextualSpacing w:val="0"/>
        <w:rPr>
          <w:rFonts w:cstheme="minorHAnsi"/>
        </w:rPr>
      </w:pPr>
      <w:r w:rsidRPr="00B5122A">
        <w:rPr>
          <w:rFonts w:cstheme="minorHAnsi"/>
          <w:lang w:val="nl-NL"/>
        </w:rPr>
        <w:lastRenderedPageBreak/>
        <w:t xml:space="preserve">Preiser J-C, van Zanten ARH, Berger MM et al. </w:t>
      </w:r>
      <w:r w:rsidRPr="00B5122A">
        <w:rPr>
          <w:rFonts w:cstheme="minorHAnsi"/>
        </w:rPr>
        <w:t>Metabolic and nutritional support of critically ill patients: consensus and controversies. Critical Care. 2015;19(1):35.</w:t>
      </w:r>
    </w:p>
    <w:p w14:paraId="2F5A2571" w14:textId="77777777" w:rsidR="002D2932" w:rsidRPr="00910D61" w:rsidRDefault="002D2932" w:rsidP="002D2932">
      <w:pPr>
        <w:pStyle w:val="ListParagraph"/>
        <w:numPr>
          <w:ilvl w:val="0"/>
          <w:numId w:val="1"/>
        </w:numPr>
        <w:spacing w:after="0" w:line="480" w:lineRule="auto"/>
        <w:contextualSpacing w:val="0"/>
        <w:rPr>
          <w:rFonts w:cstheme="minorHAnsi"/>
        </w:rPr>
      </w:pPr>
      <w:proofErr w:type="spellStart"/>
      <w:r w:rsidRPr="00910D61">
        <w:rPr>
          <w:rFonts w:cstheme="minorHAnsi"/>
          <w:color w:val="212121"/>
          <w:shd w:val="clear" w:color="auto" w:fill="FFFFFF"/>
        </w:rPr>
        <w:t>Heyland</w:t>
      </w:r>
      <w:proofErr w:type="spellEnd"/>
      <w:r w:rsidRPr="00910D61">
        <w:rPr>
          <w:rFonts w:cstheme="minorHAnsi"/>
          <w:color w:val="212121"/>
          <w:shd w:val="clear" w:color="auto" w:fill="FFFFFF"/>
        </w:rPr>
        <w:t xml:space="preserve"> DK, Dhaliwal R, Lemieux M</w:t>
      </w:r>
      <w:r>
        <w:rPr>
          <w:rFonts w:cstheme="minorHAnsi"/>
          <w:color w:val="212121"/>
          <w:shd w:val="clear" w:color="auto" w:fill="FFFFFF"/>
        </w:rPr>
        <w:t xml:space="preserve"> et al</w:t>
      </w:r>
      <w:r w:rsidRPr="00910D61">
        <w:rPr>
          <w:rFonts w:cstheme="minorHAnsi"/>
          <w:color w:val="212121"/>
          <w:shd w:val="clear" w:color="auto" w:fill="FFFFFF"/>
        </w:rPr>
        <w:t xml:space="preserve">. Implementing the PEP </w:t>
      </w:r>
      <w:proofErr w:type="spellStart"/>
      <w:r w:rsidRPr="00910D61">
        <w:rPr>
          <w:rFonts w:cstheme="minorHAnsi"/>
          <w:color w:val="212121"/>
          <w:shd w:val="clear" w:color="auto" w:fill="FFFFFF"/>
        </w:rPr>
        <w:t>uP</w:t>
      </w:r>
      <w:proofErr w:type="spellEnd"/>
      <w:r w:rsidRPr="00910D61">
        <w:rPr>
          <w:rFonts w:cstheme="minorHAnsi"/>
          <w:color w:val="212121"/>
          <w:shd w:val="clear" w:color="auto" w:fill="FFFFFF"/>
        </w:rPr>
        <w:t xml:space="preserve"> Protocol in Critical Care Units in Canada: Results of a </w:t>
      </w:r>
      <w:proofErr w:type="spellStart"/>
      <w:r w:rsidRPr="00910D61">
        <w:rPr>
          <w:rFonts w:cstheme="minorHAnsi"/>
          <w:color w:val="212121"/>
          <w:shd w:val="clear" w:color="auto" w:fill="FFFFFF"/>
        </w:rPr>
        <w:t>Multicenter</w:t>
      </w:r>
      <w:proofErr w:type="spellEnd"/>
      <w:r w:rsidRPr="00910D61">
        <w:rPr>
          <w:rFonts w:cstheme="minorHAnsi"/>
          <w:color w:val="212121"/>
          <w:shd w:val="clear" w:color="auto" w:fill="FFFFFF"/>
        </w:rPr>
        <w:t xml:space="preserve">, Quality Improvement Study. JPEN J </w:t>
      </w:r>
      <w:proofErr w:type="spellStart"/>
      <w:r w:rsidRPr="00910D61">
        <w:rPr>
          <w:rFonts w:cstheme="minorHAnsi"/>
          <w:color w:val="212121"/>
          <w:shd w:val="clear" w:color="auto" w:fill="FFFFFF"/>
        </w:rPr>
        <w:t>Parenter</w:t>
      </w:r>
      <w:proofErr w:type="spellEnd"/>
      <w:r w:rsidRPr="00910D61">
        <w:rPr>
          <w:rFonts w:cstheme="minorHAnsi"/>
          <w:color w:val="212121"/>
          <w:shd w:val="clear" w:color="auto" w:fill="FFFFFF"/>
        </w:rPr>
        <w:t xml:space="preserve"> Enteral </w:t>
      </w:r>
      <w:proofErr w:type="spellStart"/>
      <w:r w:rsidRPr="00910D61">
        <w:rPr>
          <w:rFonts w:cstheme="minorHAnsi"/>
          <w:color w:val="212121"/>
          <w:shd w:val="clear" w:color="auto" w:fill="FFFFFF"/>
        </w:rPr>
        <w:t>Nutr</w:t>
      </w:r>
      <w:proofErr w:type="spellEnd"/>
      <w:r w:rsidRPr="00910D61">
        <w:rPr>
          <w:rFonts w:cstheme="minorHAnsi"/>
          <w:color w:val="212121"/>
          <w:shd w:val="clear" w:color="auto" w:fill="FFFFFF"/>
        </w:rPr>
        <w:t>. 2015 Aug;39(6):698-706.</w:t>
      </w:r>
    </w:p>
    <w:p w14:paraId="305B1999" w14:textId="77777777" w:rsidR="002D2932" w:rsidRPr="006A40D1" w:rsidRDefault="002D2932" w:rsidP="002D2932">
      <w:pPr>
        <w:pStyle w:val="ListParagraph"/>
        <w:numPr>
          <w:ilvl w:val="0"/>
          <w:numId w:val="1"/>
        </w:numPr>
        <w:spacing w:after="0" w:line="480" w:lineRule="auto"/>
        <w:contextualSpacing w:val="0"/>
        <w:rPr>
          <w:rFonts w:cstheme="minorHAnsi"/>
        </w:rPr>
      </w:pPr>
      <w:r>
        <w:rPr>
          <w:rFonts w:cstheme="minorHAnsi"/>
        </w:rPr>
        <w:t xml:space="preserve">The Faculty of Intensive Care Medicine. Guidelines for the provision of intensive care services. Version 2.1. July 2022. Available from: </w:t>
      </w:r>
      <w:hyperlink r:id="rId12" w:history="1">
        <w:r w:rsidRPr="009311BB">
          <w:rPr>
            <w:rStyle w:val="Hyperlink"/>
            <w:rFonts w:cstheme="minorHAnsi"/>
          </w:rPr>
          <w:t>https://ficm.ac.uk/sites/ficm/files/documents/2022-07/GPICS%20V2.1%20%282%29.pdf</w:t>
        </w:r>
      </w:hyperlink>
      <w:r>
        <w:rPr>
          <w:rFonts w:cstheme="minorHAnsi"/>
        </w:rPr>
        <w:t>. Accessed on 14</w:t>
      </w:r>
      <w:r w:rsidRPr="00910D61">
        <w:rPr>
          <w:rFonts w:cstheme="minorHAnsi"/>
          <w:vertAlign w:val="superscript"/>
        </w:rPr>
        <w:t>th</w:t>
      </w:r>
      <w:r>
        <w:rPr>
          <w:rFonts w:cstheme="minorHAnsi"/>
        </w:rPr>
        <w:t xml:space="preserve"> March 2023. </w:t>
      </w:r>
    </w:p>
    <w:p w14:paraId="31F1C93E" w14:textId="77777777" w:rsidR="002D2932" w:rsidRPr="00B5122A" w:rsidRDefault="002D2932" w:rsidP="002D2932">
      <w:pPr>
        <w:pStyle w:val="ListParagraph"/>
        <w:spacing w:line="480" w:lineRule="auto"/>
        <w:rPr>
          <w:rFonts w:cstheme="minorHAnsi"/>
          <w:color w:val="212121"/>
          <w:shd w:val="clear" w:color="auto" w:fill="FFFFFF"/>
        </w:rPr>
      </w:pPr>
    </w:p>
    <w:p w14:paraId="23C20E04" w14:textId="77777777" w:rsidR="002D2932" w:rsidRDefault="002D2932" w:rsidP="002D2932">
      <w:pPr>
        <w:spacing w:line="480" w:lineRule="auto"/>
      </w:pPr>
    </w:p>
    <w:p w14:paraId="1079A665" w14:textId="19CDB465" w:rsidR="00815B6E" w:rsidRDefault="00815B6E" w:rsidP="00640142">
      <w:pPr>
        <w:spacing w:line="480" w:lineRule="auto"/>
      </w:pPr>
    </w:p>
    <w:sectPr w:rsidR="00815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505AD"/>
    <w:multiLevelType w:val="hybridMultilevel"/>
    <w:tmpl w:val="988EF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17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F5"/>
    <w:rsid w:val="00002813"/>
    <w:rsid w:val="00004A69"/>
    <w:rsid w:val="00005011"/>
    <w:rsid w:val="000068BF"/>
    <w:rsid w:val="00006FAF"/>
    <w:rsid w:val="00007726"/>
    <w:rsid w:val="00007C26"/>
    <w:rsid w:val="00012BDE"/>
    <w:rsid w:val="00013E3D"/>
    <w:rsid w:val="00014C7D"/>
    <w:rsid w:val="000171C7"/>
    <w:rsid w:val="00020029"/>
    <w:rsid w:val="00022678"/>
    <w:rsid w:val="00026A7C"/>
    <w:rsid w:val="00027377"/>
    <w:rsid w:val="00027E30"/>
    <w:rsid w:val="000302F8"/>
    <w:rsid w:val="000360F2"/>
    <w:rsid w:val="00041AE0"/>
    <w:rsid w:val="00050396"/>
    <w:rsid w:val="00052BBD"/>
    <w:rsid w:val="00052CC4"/>
    <w:rsid w:val="000546E1"/>
    <w:rsid w:val="00062ED6"/>
    <w:rsid w:val="0006429A"/>
    <w:rsid w:val="00066352"/>
    <w:rsid w:val="00072958"/>
    <w:rsid w:val="00077190"/>
    <w:rsid w:val="00077CDA"/>
    <w:rsid w:val="00080163"/>
    <w:rsid w:val="00080352"/>
    <w:rsid w:val="00080514"/>
    <w:rsid w:val="00082039"/>
    <w:rsid w:val="00084D35"/>
    <w:rsid w:val="00092320"/>
    <w:rsid w:val="00095035"/>
    <w:rsid w:val="000A0FCF"/>
    <w:rsid w:val="000A36FE"/>
    <w:rsid w:val="000A6658"/>
    <w:rsid w:val="000A7567"/>
    <w:rsid w:val="000B1B4B"/>
    <w:rsid w:val="000B5C6C"/>
    <w:rsid w:val="000C56A6"/>
    <w:rsid w:val="000C5AB1"/>
    <w:rsid w:val="000D0385"/>
    <w:rsid w:val="000D4E89"/>
    <w:rsid w:val="000D746B"/>
    <w:rsid w:val="000E0A0E"/>
    <w:rsid w:val="000E39D2"/>
    <w:rsid w:val="000E4448"/>
    <w:rsid w:val="000E61A8"/>
    <w:rsid w:val="000F07EE"/>
    <w:rsid w:val="000F2085"/>
    <w:rsid w:val="000F2104"/>
    <w:rsid w:val="000F30B9"/>
    <w:rsid w:val="000F31F7"/>
    <w:rsid w:val="000F3F54"/>
    <w:rsid w:val="000F568A"/>
    <w:rsid w:val="000F7AE1"/>
    <w:rsid w:val="001018D2"/>
    <w:rsid w:val="00101D65"/>
    <w:rsid w:val="0010546A"/>
    <w:rsid w:val="0010721F"/>
    <w:rsid w:val="00110902"/>
    <w:rsid w:val="001126DE"/>
    <w:rsid w:val="00112D68"/>
    <w:rsid w:val="001132BD"/>
    <w:rsid w:val="001165C1"/>
    <w:rsid w:val="00120E3B"/>
    <w:rsid w:val="00122BDE"/>
    <w:rsid w:val="0012552A"/>
    <w:rsid w:val="0013047E"/>
    <w:rsid w:val="00132C29"/>
    <w:rsid w:val="0013350B"/>
    <w:rsid w:val="00133D44"/>
    <w:rsid w:val="001341DC"/>
    <w:rsid w:val="00134411"/>
    <w:rsid w:val="00135038"/>
    <w:rsid w:val="0013576B"/>
    <w:rsid w:val="00141C36"/>
    <w:rsid w:val="00142D30"/>
    <w:rsid w:val="001476A5"/>
    <w:rsid w:val="0015287C"/>
    <w:rsid w:val="00155A42"/>
    <w:rsid w:val="00161DC4"/>
    <w:rsid w:val="0016505A"/>
    <w:rsid w:val="0016623C"/>
    <w:rsid w:val="001677D5"/>
    <w:rsid w:val="001741E1"/>
    <w:rsid w:val="00177C39"/>
    <w:rsid w:val="00182FD6"/>
    <w:rsid w:val="00183318"/>
    <w:rsid w:val="0018403F"/>
    <w:rsid w:val="0018541F"/>
    <w:rsid w:val="00186DFD"/>
    <w:rsid w:val="00186FEE"/>
    <w:rsid w:val="001905BD"/>
    <w:rsid w:val="001909A9"/>
    <w:rsid w:val="00190FC8"/>
    <w:rsid w:val="00194063"/>
    <w:rsid w:val="00196D63"/>
    <w:rsid w:val="001A0757"/>
    <w:rsid w:val="001A1E57"/>
    <w:rsid w:val="001A31E6"/>
    <w:rsid w:val="001B4788"/>
    <w:rsid w:val="001B7C3C"/>
    <w:rsid w:val="001C0915"/>
    <w:rsid w:val="001C3C1C"/>
    <w:rsid w:val="001C73CD"/>
    <w:rsid w:val="001D3179"/>
    <w:rsid w:val="001D4C3A"/>
    <w:rsid w:val="001E0DF2"/>
    <w:rsid w:val="001E1060"/>
    <w:rsid w:val="001E21A8"/>
    <w:rsid w:val="001E6D13"/>
    <w:rsid w:val="001F135A"/>
    <w:rsid w:val="001F619B"/>
    <w:rsid w:val="001F6B6B"/>
    <w:rsid w:val="00202E78"/>
    <w:rsid w:val="00203E41"/>
    <w:rsid w:val="00206796"/>
    <w:rsid w:val="00210FDF"/>
    <w:rsid w:val="002118C0"/>
    <w:rsid w:val="002125F3"/>
    <w:rsid w:val="00217233"/>
    <w:rsid w:val="00217368"/>
    <w:rsid w:val="00217A60"/>
    <w:rsid w:val="00217AB4"/>
    <w:rsid w:val="00217FCB"/>
    <w:rsid w:val="00222FD6"/>
    <w:rsid w:val="0022365B"/>
    <w:rsid w:val="0022425B"/>
    <w:rsid w:val="00225408"/>
    <w:rsid w:val="002255E5"/>
    <w:rsid w:val="00227169"/>
    <w:rsid w:val="00230832"/>
    <w:rsid w:val="00232C4C"/>
    <w:rsid w:val="002352D2"/>
    <w:rsid w:val="0023587D"/>
    <w:rsid w:val="002408CD"/>
    <w:rsid w:val="00241101"/>
    <w:rsid w:val="00241E27"/>
    <w:rsid w:val="00244CD9"/>
    <w:rsid w:val="00244DCE"/>
    <w:rsid w:val="002468C8"/>
    <w:rsid w:val="00246965"/>
    <w:rsid w:val="00257C63"/>
    <w:rsid w:val="00260445"/>
    <w:rsid w:val="002618FE"/>
    <w:rsid w:val="00261E8F"/>
    <w:rsid w:val="00262918"/>
    <w:rsid w:val="00270397"/>
    <w:rsid w:val="00280B5D"/>
    <w:rsid w:val="0028162C"/>
    <w:rsid w:val="002848D9"/>
    <w:rsid w:val="00284EC2"/>
    <w:rsid w:val="00290746"/>
    <w:rsid w:val="00292176"/>
    <w:rsid w:val="00294A58"/>
    <w:rsid w:val="002A259C"/>
    <w:rsid w:val="002A51F3"/>
    <w:rsid w:val="002A6153"/>
    <w:rsid w:val="002A7E7F"/>
    <w:rsid w:val="002B1822"/>
    <w:rsid w:val="002B1A4D"/>
    <w:rsid w:val="002B2C7F"/>
    <w:rsid w:val="002B6560"/>
    <w:rsid w:val="002C188E"/>
    <w:rsid w:val="002C238C"/>
    <w:rsid w:val="002C6816"/>
    <w:rsid w:val="002D0664"/>
    <w:rsid w:val="002D2932"/>
    <w:rsid w:val="002D3A98"/>
    <w:rsid w:val="002D57CD"/>
    <w:rsid w:val="002E0E9F"/>
    <w:rsid w:val="002E3B8C"/>
    <w:rsid w:val="002E5F29"/>
    <w:rsid w:val="002E67E1"/>
    <w:rsid w:val="002F33A1"/>
    <w:rsid w:val="002F35EA"/>
    <w:rsid w:val="003037B1"/>
    <w:rsid w:val="00304221"/>
    <w:rsid w:val="00304901"/>
    <w:rsid w:val="00305EBB"/>
    <w:rsid w:val="00305FE9"/>
    <w:rsid w:val="00307036"/>
    <w:rsid w:val="00312FB4"/>
    <w:rsid w:val="00314C52"/>
    <w:rsid w:val="003155E0"/>
    <w:rsid w:val="00315FB8"/>
    <w:rsid w:val="00316836"/>
    <w:rsid w:val="0031706C"/>
    <w:rsid w:val="00317915"/>
    <w:rsid w:val="003201CE"/>
    <w:rsid w:val="003215BA"/>
    <w:rsid w:val="00323B52"/>
    <w:rsid w:val="00325CE3"/>
    <w:rsid w:val="00327A24"/>
    <w:rsid w:val="00333495"/>
    <w:rsid w:val="0033486E"/>
    <w:rsid w:val="00335DBA"/>
    <w:rsid w:val="00340CE9"/>
    <w:rsid w:val="00341543"/>
    <w:rsid w:val="00346D9D"/>
    <w:rsid w:val="00347E8A"/>
    <w:rsid w:val="00350908"/>
    <w:rsid w:val="00352748"/>
    <w:rsid w:val="00354521"/>
    <w:rsid w:val="00361152"/>
    <w:rsid w:val="00362D26"/>
    <w:rsid w:val="00363CE4"/>
    <w:rsid w:val="00366589"/>
    <w:rsid w:val="003733DD"/>
    <w:rsid w:val="00375AE2"/>
    <w:rsid w:val="00380870"/>
    <w:rsid w:val="00383CB3"/>
    <w:rsid w:val="00383F67"/>
    <w:rsid w:val="0038616A"/>
    <w:rsid w:val="00390AEF"/>
    <w:rsid w:val="00390B2B"/>
    <w:rsid w:val="003A1127"/>
    <w:rsid w:val="003A3070"/>
    <w:rsid w:val="003A469B"/>
    <w:rsid w:val="003A5AC8"/>
    <w:rsid w:val="003A68E5"/>
    <w:rsid w:val="003A6B27"/>
    <w:rsid w:val="003B2431"/>
    <w:rsid w:val="003B447B"/>
    <w:rsid w:val="003B4F75"/>
    <w:rsid w:val="003C0CA9"/>
    <w:rsid w:val="003C0D13"/>
    <w:rsid w:val="003C2F53"/>
    <w:rsid w:val="003C4B91"/>
    <w:rsid w:val="003C5124"/>
    <w:rsid w:val="003C541E"/>
    <w:rsid w:val="003C75F5"/>
    <w:rsid w:val="003D0E1E"/>
    <w:rsid w:val="003D49DA"/>
    <w:rsid w:val="003D58BF"/>
    <w:rsid w:val="003D5BC1"/>
    <w:rsid w:val="003E0841"/>
    <w:rsid w:val="003E226E"/>
    <w:rsid w:val="003E3D23"/>
    <w:rsid w:val="003E4238"/>
    <w:rsid w:val="003E4C96"/>
    <w:rsid w:val="003F0CA7"/>
    <w:rsid w:val="003F0CD9"/>
    <w:rsid w:val="003F2854"/>
    <w:rsid w:val="003F7BB2"/>
    <w:rsid w:val="00402423"/>
    <w:rsid w:val="00403DAF"/>
    <w:rsid w:val="0040624C"/>
    <w:rsid w:val="004109F6"/>
    <w:rsid w:val="00414BB0"/>
    <w:rsid w:val="004151B9"/>
    <w:rsid w:val="00416551"/>
    <w:rsid w:val="00423772"/>
    <w:rsid w:val="00426CE1"/>
    <w:rsid w:val="00427294"/>
    <w:rsid w:val="0042767B"/>
    <w:rsid w:val="004313B4"/>
    <w:rsid w:val="00431E60"/>
    <w:rsid w:val="00432205"/>
    <w:rsid w:val="00432DE4"/>
    <w:rsid w:val="00433154"/>
    <w:rsid w:val="0043456A"/>
    <w:rsid w:val="00441385"/>
    <w:rsid w:val="00441763"/>
    <w:rsid w:val="00442253"/>
    <w:rsid w:val="00443451"/>
    <w:rsid w:val="00456F8D"/>
    <w:rsid w:val="00461F83"/>
    <w:rsid w:val="00464528"/>
    <w:rsid w:val="00471087"/>
    <w:rsid w:val="004719A7"/>
    <w:rsid w:val="00474DA4"/>
    <w:rsid w:val="00475976"/>
    <w:rsid w:val="00480007"/>
    <w:rsid w:val="0048199B"/>
    <w:rsid w:val="004948BB"/>
    <w:rsid w:val="00495E13"/>
    <w:rsid w:val="004A1EB8"/>
    <w:rsid w:val="004A4AB8"/>
    <w:rsid w:val="004A59CA"/>
    <w:rsid w:val="004B13D5"/>
    <w:rsid w:val="004B248D"/>
    <w:rsid w:val="004B2F5C"/>
    <w:rsid w:val="004B3C96"/>
    <w:rsid w:val="004B4E59"/>
    <w:rsid w:val="004B68AC"/>
    <w:rsid w:val="004B75DC"/>
    <w:rsid w:val="004C2C79"/>
    <w:rsid w:val="004C44C0"/>
    <w:rsid w:val="004C4548"/>
    <w:rsid w:val="004C53B4"/>
    <w:rsid w:val="004C797B"/>
    <w:rsid w:val="004D095F"/>
    <w:rsid w:val="004E0D1A"/>
    <w:rsid w:val="004E1199"/>
    <w:rsid w:val="004E3FDF"/>
    <w:rsid w:val="004F13BF"/>
    <w:rsid w:val="004F2B5E"/>
    <w:rsid w:val="004F4751"/>
    <w:rsid w:val="004F47E7"/>
    <w:rsid w:val="004F4A7B"/>
    <w:rsid w:val="004F6771"/>
    <w:rsid w:val="004F6D97"/>
    <w:rsid w:val="004F7038"/>
    <w:rsid w:val="00500C85"/>
    <w:rsid w:val="00501A7D"/>
    <w:rsid w:val="00503310"/>
    <w:rsid w:val="00503768"/>
    <w:rsid w:val="0051099E"/>
    <w:rsid w:val="00511392"/>
    <w:rsid w:val="0051680F"/>
    <w:rsid w:val="00524F68"/>
    <w:rsid w:val="00526910"/>
    <w:rsid w:val="00531973"/>
    <w:rsid w:val="00532416"/>
    <w:rsid w:val="00535AAB"/>
    <w:rsid w:val="0053633D"/>
    <w:rsid w:val="005431CA"/>
    <w:rsid w:val="005462BB"/>
    <w:rsid w:val="0054727C"/>
    <w:rsid w:val="00547DE2"/>
    <w:rsid w:val="00550A1C"/>
    <w:rsid w:val="00550EB1"/>
    <w:rsid w:val="00553F50"/>
    <w:rsid w:val="00554648"/>
    <w:rsid w:val="00555218"/>
    <w:rsid w:val="005558E7"/>
    <w:rsid w:val="0055663E"/>
    <w:rsid w:val="00556810"/>
    <w:rsid w:val="00560659"/>
    <w:rsid w:val="0056146C"/>
    <w:rsid w:val="00561FCB"/>
    <w:rsid w:val="005640EC"/>
    <w:rsid w:val="00564F31"/>
    <w:rsid w:val="00565B4A"/>
    <w:rsid w:val="00567AC8"/>
    <w:rsid w:val="00570F21"/>
    <w:rsid w:val="00571157"/>
    <w:rsid w:val="00572A54"/>
    <w:rsid w:val="005732D6"/>
    <w:rsid w:val="00574567"/>
    <w:rsid w:val="0058063D"/>
    <w:rsid w:val="00580B22"/>
    <w:rsid w:val="00581D9C"/>
    <w:rsid w:val="005822D2"/>
    <w:rsid w:val="00585009"/>
    <w:rsid w:val="00592F38"/>
    <w:rsid w:val="005945C6"/>
    <w:rsid w:val="00596DC7"/>
    <w:rsid w:val="00597E5F"/>
    <w:rsid w:val="005A6C4D"/>
    <w:rsid w:val="005A7934"/>
    <w:rsid w:val="005B03AF"/>
    <w:rsid w:val="005B0E4E"/>
    <w:rsid w:val="005B0F41"/>
    <w:rsid w:val="005B2120"/>
    <w:rsid w:val="005B4ECE"/>
    <w:rsid w:val="005B53A3"/>
    <w:rsid w:val="005B574E"/>
    <w:rsid w:val="005B67C1"/>
    <w:rsid w:val="005B6993"/>
    <w:rsid w:val="005B73AB"/>
    <w:rsid w:val="005C37F5"/>
    <w:rsid w:val="005C3C18"/>
    <w:rsid w:val="005C418A"/>
    <w:rsid w:val="005C5D1D"/>
    <w:rsid w:val="005C5F2E"/>
    <w:rsid w:val="005C6B65"/>
    <w:rsid w:val="005D0E0C"/>
    <w:rsid w:val="005D1338"/>
    <w:rsid w:val="005D158F"/>
    <w:rsid w:val="005D4D29"/>
    <w:rsid w:val="005D4FF7"/>
    <w:rsid w:val="005D6069"/>
    <w:rsid w:val="005E348F"/>
    <w:rsid w:val="005E64E2"/>
    <w:rsid w:val="005E6B4C"/>
    <w:rsid w:val="005F1F2E"/>
    <w:rsid w:val="005F2024"/>
    <w:rsid w:val="005F22BF"/>
    <w:rsid w:val="005F3E34"/>
    <w:rsid w:val="005F4B2A"/>
    <w:rsid w:val="005F4C7A"/>
    <w:rsid w:val="005F5EB0"/>
    <w:rsid w:val="006000A8"/>
    <w:rsid w:val="00603213"/>
    <w:rsid w:val="00603933"/>
    <w:rsid w:val="00603DBF"/>
    <w:rsid w:val="00616578"/>
    <w:rsid w:val="00621B2C"/>
    <w:rsid w:val="00623D5F"/>
    <w:rsid w:val="00625111"/>
    <w:rsid w:val="0062522E"/>
    <w:rsid w:val="00626A2A"/>
    <w:rsid w:val="0063582D"/>
    <w:rsid w:val="00637670"/>
    <w:rsid w:val="00640142"/>
    <w:rsid w:val="0064169D"/>
    <w:rsid w:val="00644A7E"/>
    <w:rsid w:val="006454D2"/>
    <w:rsid w:val="00645A97"/>
    <w:rsid w:val="006474B3"/>
    <w:rsid w:val="006511AC"/>
    <w:rsid w:val="00651860"/>
    <w:rsid w:val="00651A6F"/>
    <w:rsid w:val="00652944"/>
    <w:rsid w:val="006642BF"/>
    <w:rsid w:val="00667440"/>
    <w:rsid w:val="00672279"/>
    <w:rsid w:val="00672BE4"/>
    <w:rsid w:val="00681C48"/>
    <w:rsid w:val="00681D52"/>
    <w:rsid w:val="00682720"/>
    <w:rsid w:val="00683148"/>
    <w:rsid w:val="00683408"/>
    <w:rsid w:val="006844DD"/>
    <w:rsid w:val="006848D7"/>
    <w:rsid w:val="00686D18"/>
    <w:rsid w:val="00687454"/>
    <w:rsid w:val="00687929"/>
    <w:rsid w:val="006A0A20"/>
    <w:rsid w:val="006A0BCF"/>
    <w:rsid w:val="006A242C"/>
    <w:rsid w:val="006A33A1"/>
    <w:rsid w:val="006A5D5C"/>
    <w:rsid w:val="006A76E2"/>
    <w:rsid w:val="006B2F9D"/>
    <w:rsid w:val="006B6842"/>
    <w:rsid w:val="006B7DF1"/>
    <w:rsid w:val="006C1DD9"/>
    <w:rsid w:val="006C6941"/>
    <w:rsid w:val="006C73A1"/>
    <w:rsid w:val="006C7B2C"/>
    <w:rsid w:val="006C7BDE"/>
    <w:rsid w:val="006D198D"/>
    <w:rsid w:val="006D6C1C"/>
    <w:rsid w:val="006E31AF"/>
    <w:rsid w:val="006E44B2"/>
    <w:rsid w:val="006E7084"/>
    <w:rsid w:val="006E7E17"/>
    <w:rsid w:val="006F1AB1"/>
    <w:rsid w:val="00707817"/>
    <w:rsid w:val="00711CAA"/>
    <w:rsid w:val="00715B04"/>
    <w:rsid w:val="007162E4"/>
    <w:rsid w:val="00723969"/>
    <w:rsid w:val="00723C0C"/>
    <w:rsid w:val="00724406"/>
    <w:rsid w:val="007266A1"/>
    <w:rsid w:val="007275DA"/>
    <w:rsid w:val="00733CEB"/>
    <w:rsid w:val="00734D0C"/>
    <w:rsid w:val="00735CF0"/>
    <w:rsid w:val="007400DE"/>
    <w:rsid w:val="00742AC1"/>
    <w:rsid w:val="00745B42"/>
    <w:rsid w:val="00746454"/>
    <w:rsid w:val="00750EFF"/>
    <w:rsid w:val="00751566"/>
    <w:rsid w:val="0075378D"/>
    <w:rsid w:val="00756427"/>
    <w:rsid w:val="0075790C"/>
    <w:rsid w:val="00757993"/>
    <w:rsid w:val="00761DF9"/>
    <w:rsid w:val="00771C79"/>
    <w:rsid w:val="007723BC"/>
    <w:rsid w:val="007727E6"/>
    <w:rsid w:val="00773626"/>
    <w:rsid w:val="00775112"/>
    <w:rsid w:val="0077715B"/>
    <w:rsid w:val="0077737D"/>
    <w:rsid w:val="007773EE"/>
    <w:rsid w:val="007807A9"/>
    <w:rsid w:val="0078218A"/>
    <w:rsid w:val="007821CA"/>
    <w:rsid w:val="0078291C"/>
    <w:rsid w:val="007838C4"/>
    <w:rsid w:val="00792DA6"/>
    <w:rsid w:val="0079426A"/>
    <w:rsid w:val="00794CD8"/>
    <w:rsid w:val="00795AF5"/>
    <w:rsid w:val="007A1B6E"/>
    <w:rsid w:val="007A4CAA"/>
    <w:rsid w:val="007A5BEA"/>
    <w:rsid w:val="007A6A5E"/>
    <w:rsid w:val="007A71BB"/>
    <w:rsid w:val="007B2A73"/>
    <w:rsid w:val="007B303A"/>
    <w:rsid w:val="007B5036"/>
    <w:rsid w:val="007C00E6"/>
    <w:rsid w:val="007C094F"/>
    <w:rsid w:val="007C1E2F"/>
    <w:rsid w:val="007C3C56"/>
    <w:rsid w:val="007C4106"/>
    <w:rsid w:val="007C5328"/>
    <w:rsid w:val="007C6873"/>
    <w:rsid w:val="007C72DE"/>
    <w:rsid w:val="007D03A5"/>
    <w:rsid w:val="007D4BD3"/>
    <w:rsid w:val="007D6169"/>
    <w:rsid w:val="007D70CE"/>
    <w:rsid w:val="007E0718"/>
    <w:rsid w:val="007E0D6E"/>
    <w:rsid w:val="007E10DA"/>
    <w:rsid w:val="007E2DFF"/>
    <w:rsid w:val="007E39F5"/>
    <w:rsid w:val="007E41E4"/>
    <w:rsid w:val="007E425C"/>
    <w:rsid w:val="007E5754"/>
    <w:rsid w:val="007E69AB"/>
    <w:rsid w:val="007F4A0E"/>
    <w:rsid w:val="007F68B7"/>
    <w:rsid w:val="007F7F4C"/>
    <w:rsid w:val="00803315"/>
    <w:rsid w:val="00806629"/>
    <w:rsid w:val="0080749C"/>
    <w:rsid w:val="00811A90"/>
    <w:rsid w:val="008152F7"/>
    <w:rsid w:val="00815B6E"/>
    <w:rsid w:val="00816C22"/>
    <w:rsid w:val="00822903"/>
    <w:rsid w:val="00822DD2"/>
    <w:rsid w:val="00824C8E"/>
    <w:rsid w:val="00825A2A"/>
    <w:rsid w:val="00825DE1"/>
    <w:rsid w:val="008301EB"/>
    <w:rsid w:val="0083236C"/>
    <w:rsid w:val="0083451E"/>
    <w:rsid w:val="00837021"/>
    <w:rsid w:val="00842BAE"/>
    <w:rsid w:val="008440A4"/>
    <w:rsid w:val="008537E8"/>
    <w:rsid w:val="00853F06"/>
    <w:rsid w:val="008636CD"/>
    <w:rsid w:val="00866E60"/>
    <w:rsid w:val="008705EB"/>
    <w:rsid w:val="008752DA"/>
    <w:rsid w:val="008755CF"/>
    <w:rsid w:val="00875FAD"/>
    <w:rsid w:val="00876EBC"/>
    <w:rsid w:val="00877083"/>
    <w:rsid w:val="00880FA2"/>
    <w:rsid w:val="008822CD"/>
    <w:rsid w:val="00883ABA"/>
    <w:rsid w:val="00884445"/>
    <w:rsid w:val="008851DD"/>
    <w:rsid w:val="0088653A"/>
    <w:rsid w:val="008877BF"/>
    <w:rsid w:val="008906D5"/>
    <w:rsid w:val="008915A9"/>
    <w:rsid w:val="0089184E"/>
    <w:rsid w:val="00891D71"/>
    <w:rsid w:val="00891E70"/>
    <w:rsid w:val="008950B4"/>
    <w:rsid w:val="0089542A"/>
    <w:rsid w:val="00895ABC"/>
    <w:rsid w:val="00896365"/>
    <w:rsid w:val="00897048"/>
    <w:rsid w:val="008971C1"/>
    <w:rsid w:val="008973CD"/>
    <w:rsid w:val="008A1CAB"/>
    <w:rsid w:val="008A2E59"/>
    <w:rsid w:val="008A3585"/>
    <w:rsid w:val="008A3E2D"/>
    <w:rsid w:val="008A3F70"/>
    <w:rsid w:val="008A6E47"/>
    <w:rsid w:val="008B1647"/>
    <w:rsid w:val="008B1E39"/>
    <w:rsid w:val="008B2953"/>
    <w:rsid w:val="008B2FBA"/>
    <w:rsid w:val="008B34E7"/>
    <w:rsid w:val="008B4141"/>
    <w:rsid w:val="008B4858"/>
    <w:rsid w:val="008C0EE5"/>
    <w:rsid w:val="008C149E"/>
    <w:rsid w:val="008C32CA"/>
    <w:rsid w:val="008C4E00"/>
    <w:rsid w:val="008C677B"/>
    <w:rsid w:val="008D26D4"/>
    <w:rsid w:val="008D4083"/>
    <w:rsid w:val="008D40E8"/>
    <w:rsid w:val="008E02EB"/>
    <w:rsid w:val="008E23E6"/>
    <w:rsid w:val="008E684B"/>
    <w:rsid w:val="008E6A88"/>
    <w:rsid w:val="008E6BCD"/>
    <w:rsid w:val="008F07DB"/>
    <w:rsid w:val="008F0C31"/>
    <w:rsid w:val="008F363C"/>
    <w:rsid w:val="008F52EF"/>
    <w:rsid w:val="008F53F5"/>
    <w:rsid w:val="00903B8F"/>
    <w:rsid w:val="00904501"/>
    <w:rsid w:val="009066E8"/>
    <w:rsid w:val="0091338E"/>
    <w:rsid w:val="00913DFB"/>
    <w:rsid w:val="00914C08"/>
    <w:rsid w:val="00915D99"/>
    <w:rsid w:val="00923095"/>
    <w:rsid w:val="00924AE6"/>
    <w:rsid w:val="00925811"/>
    <w:rsid w:val="00927EC8"/>
    <w:rsid w:val="00927ED5"/>
    <w:rsid w:val="00930B44"/>
    <w:rsid w:val="00931036"/>
    <w:rsid w:val="00934998"/>
    <w:rsid w:val="009353F3"/>
    <w:rsid w:val="0094372D"/>
    <w:rsid w:val="00944ECA"/>
    <w:rsid w:val="00946803"/>
    <w:rsid w:val="009479D1"/>
    <w:rsid w:val="00952CE3"/>
    <w:rsid w:val="009547D0"/>
    <w:rsid w:val="009549A5"/>
    <w:rsid w:val="00954F29"/>
    <w:rsid w:val="009555C3"/>
    <w:rsid w:val="00956DB4"/>
    <w:rsid w:val="009627ED"/>
    <w:rsid w:val="009635E5"/>
    <w:rsid w:val="00973DF3"/>
    <w:rsid w:val="00985BE7"/>
    <w:rsid w:val="00986D66"/>
    <w:rsid w:val="00986F0E"/>
    <w:rsid w:val="00990019"/>
    <w:rsid w:val="00990738"/>
    <w:rsid w:val="00992F65"/>
    <w:rsid w:val="00994A37"/>
    <w:rsid w:val="009977B4"/>
    <w:rsid w:val="009A2E74"/>
    <w:rsid w:val="009A3B0A"/>
    <w:rsid w:val="009A502D"/>
    <w:rsid w:val="009A5FDE"/>
    <w:rsid w:val="009B41A5"/>
    <w:rsid w:val="009B4CB4"/>
    <w:rsid w:val="009B5F57"/>
    <w:rsid w:val="009B687B"/>
    <w:rsid w:val="009B701E"/>
    <w:rsid w:val="009C0E0A"/>
    <w:rsid w:val="009C258D"/>
    <w:rsid w:val="009C376B"/>
    <w:rsid w:val="009C5802"/>
    <w:rsid w:val="009D1509"/>
    <w:rsid w:val="009D199D"/>
    <w:rsid w:val="009D5C11"/>
    <w:rsid w:val="009E1096"/>
    <w:rsid w:val="009E1117"/>
    <w:rsid w:val="009E4F0B"/>
    <w:rsid w:val="009E5E9A"/>
    <w:rsid w:val="009E6CEF"/>
    <w:rsid w:val="009F02DE"/>
    <w:rsid w:val="009F2432"/>
    <w:rsid w:val="009F36D9"/>
    <w:rsid w:val="009F4857"/>
    <w:rsid w:val="009F563C"/>
    <w:rsid w:val="009F5AB4"/>
    <w:rsid w:val="009F7450"/>
    <w:rsid w:val="009F773F"/>
    <w:rsid w:val="00A07C5F"/>
    <w:rsid w:val="00A1027D"/>
    <w:rsid w:val="00A1065B"/>
    <w:rsid w:val="00A17A82"/>
    <w:rsid w:val="00A225D2"/>
    <w:rsid w:val="00A24E97"/>
    <w:rsid w:val="00A25D7C"/>
    <w:rsid w:val="00A320F5"/>
    <w:rsid w:val="00A349FF"/>
    <w:rsid w:val="00A34C24"/>
    <w:rsid w:val="00A36BEE"/>
    <w:rsid w:val="00A40BD5"/>
    <w:rsid w:val="00A41AB0"/>
    <w:rsid w:val="00A43499"/>
    <w:rsid w:val="00A4522B"/>
    <w:rsid w:val="00A46992"/>
    <w:rsid w:val="00A46E47"/>
    <w:rsid w:val="00A47718"/>
    <w:rsid w:val="00A4778E"/>
    <w:rsid w:val="00A47E6D"/>
    <w:rsid w:val="00A51774"/>
    <w:rsid w:val="00A56005"/>
    <w:rsid w:val="00A620BC"/>
    <w:rsid w:val="00A64337"/>
    <w:rsid w:val="00A720B7"/>
    <w:rsid w:val="00A721FA"/>
    <w:rsid w:val="00A72BB4"/>
    <w:rsid w:val="00A73642"/>
    <w:rsid w:val="00A80921"/>
    <w:rsid w:val="00A81C7D"/>
    <w:rsid w:val="00A83CC2"/>
    <w:rsid w:val="00A85387"/>
    <w:rsid w:val="00A8747A"/>
    <w:rsid w:val="00A91379"/>
    <w:rsid w:val="00A924F6"/>
    <w:rsid w:val="00A95BAB"/>
    <w:rsid w:val="00A966A7"/>
    <w:rsid w:val="00AA19A4"/>
    <w:rsid w:val="00AA1AE3"/>
    <w:rsid w:val="00AA6A14"/>
    <w:rsid w:val="00AA6AAE"/>
    <w:rsid w:val="00AA6B90"/>
    <w:rsid w:val="00AB0AA7"/>
    <w:rsid w:val="00AB4619"/>
    <w:rsid w:val="00AB5BA5"/>
    <w:rsid w:val="00AC19BD"/>
    <w:rsid w:val="00AC45E4"/>
    <w:rsid w:val="00AC4706"/>
    <w:rsid w:val="00AC7EE7"/>
    <w:rsid w:val="00AD04D8"/>
    <w:rsid w:val="00AD2132"/>
    <w:rsid w:val="00AD2FCC"/>
    <w:rsid w:val="00AD4760"/>
    <w:rsid w:val="00AD56DB"/>
    <w:rsid w:val="00AE0B65"/>
    <w:rsid w:val="00AE0EC1"/>
    <w:rsid w:val="00AE534C"/>
    <w:rsid w:val="00AF1BB0"/>
    <w:rsid w:val="00AF380C"/>
    <w:rsid w:val="00AF47D6"/>
    <w:rsid w:val="00AF634C"/>
    <w:rsid w:val="00AF7DA9"/>
    <w:rsid w:val="00B0151E"/>
    <w:rsid w:val="00B03932"/>
    <w:rsid w:val="00B06612"/>
    <w:rsid w:val="00B06C66"/>
    <w:rsid w:val="00B10E9A"/>
    <w:rsid w:val="00B11033"/>
    <w:rsid w:val="00B11CC4"/>
    <w:rsid w:val="00B16D78"/>
    <w:rsid w:val="00B23962"/>
    <w:rsid w:val="00B24162"/>
    <w:rsid w:val="00B24880"/>
    <w:rsid w:val="00B257AD"/>
    <w:rsid w:val="00B355A3"/>
    <w:rsid w:val="00B42115"/>
    <w:rsid w:val="00B42719"/>
    <w:rsid w:val="00B42B31"/>
    <w:rsid w:val="00B43D88"/>
    <w:rsid w:val="00B440E1"/>
    <w:rsid w:val="00B44785"/>
    <w:rsid w:val="00B46146"/>
    <w:rsid w:val="00B46EAD"/>
    <w:rsid w:val="00B4790A"/>
    <w:rsid w:val="00B50B36"/>
    <w:rsid w:val="00B50FB2"/>
    <w:rsid w:val="00B5122A"/>
    <w:rsid w:val="00B525B7"/>
    <w:rsid w:val="00B54E84"/>
    <w:rsid w:val="00B61274"/>
    <w:rsid w:val="00B62431"/>
    <w:rsid w:val="00B62EF6"/>
    <w:rsid w:val="00B63EA1"/>
    <w:rsid w:val="00B66E7B"/>
    <w:rsid w:val="00B70E5D"/>
    <w:rsid w:val="00B76D23"/>
    <w:rsid w:val="00B76FA5"/>
    <w:rsid w:val="00B81AF5"/>
    <w:rsid w:val="00B83CC0"/>
    <w:rsid w:val="00B86051"/>
    <w:rsid w:val="00B86436"/>
    <w:rsid w:val="00B92800"/>
    <w:rsid w:val="00B92EA7"/>
    <w:rsid w:val="00B9541F"/>
    <w:rsid w:val="00B972E0"/>
    <w:rsid w:val="00BA2A33"/>
    <w:rsid w:val="00BA3867"/>
    <w:rsid w:val="00BB62D5"/>
    <w:rsid w:val="00BC3362"/>
    <w:rsid w:val="00BC45AA"/>
    <w:rsid w:val="00BC520C"/>
    <w:rsid w:val="00BC5C5E"/>
    <w:rsid w:val="00BD3E84"/>
    <w:rsid w:val="00BD54BA"/>
    <w:rsid w:val="00BE0C97"/>
    <w:rsid w:val="00BE2953"/>
    <w:rsid w:val="00BE309E"/>
    <w:rsid w:val="00BF0DC3"/>
    <w:rsid w:val="00BF1841"/>
    <w:rsid w:val="00BF4987"/>
    <w:rsid w:val="00BF6C45"/>
    <w:rsid w:val="00C110D2"/>
    <w:rsid w:val="00C1661F"/>
    <w:rsid w:val="00C23A2A"/>
    <w:rsid w:val="00C23C65"/>
    <w:rsid w:val="00C326E6"/>
    <w:rsid w:val="00C34CA3"/>
    <w:rsid w:val="00C34E03"/>
    <w:rsid w:val="00C36EB0"/>
    <w:rsid w:val="00C37162"/>
    <w:rsid w:val="00C41285"/>
    <w:rsid w:val="00C42B8D"/>
    <w:rsid w:val="00C43836"/>
    <w:rsid w:val="00C61BB8"/>
    <w:rsid w:val="00C642AC"/>
    <w:rsid w:val="00C644E4"/>
    <w:rsid w:val="00C65F65"/>
    <w:rsid w:val="00C66B3E"/>
    <w:rsid w:val="00C66F15"/>
    <w:rsid w:val="00C70C11"/>
    <w:rsid w:val="00C721DF"/>
    <w:rsid w:val="00C7342E"/>
    <w:rsid w:val="00C756C6"/>
    <w:rsid w:val="00C76C18"/>
    <w:rsid w:val="00C77383"/>
    <w:rsid w:val="00C77846"/>
    <w:rsid w:val="00C77C3C"/>
    <w:rsid w:val="00C82785"/>
    <w:rsid w:val="00C83665"/>
    <w:rsid w:val="00C877C9"/>
    <w:rsid w:val="00C92A19"/>
    <w:rsid w:val="00C92BFA"/>
    <w:rsid w:val="00C94C3B"/>
    <w:rsid w:val="00C9676B"/>
    <w:rsid w:val="00C969AE"/>
    <w:rsid w:val="00C97D58"/>
    <w:rsid w:val="00CA2182"/>
    <w:rsid w:val="00CA71C1"/>
    <w:rsid w:val="00CB2FD9"/>
    <w:rsid w:val="00CB3B15"/>
    <w:rsid w:val="00CB63AF"/>
    <w:rsid w:val="00CB7D04"/>
    <w:rsid w:val="00CC0237"/>
    <w:rsid w:val="00CC0CDA"/>
    <w:rsid w:val="00CC1CB2"/>
    <w:rsid w:val="00CC2BA1"/>
    <w:rsid w:val="00CC3D26"/>
    <w:rsid w:val="00CC4787"/>
    <w:rsid w:val="00CC4997"/>
    <w:rsid w:val="00CC5985"/>
    <w:rsid w:val="00CC6B68"/>
    <w:rsid w:val="00CC7C72"/>
    <w:rsid w:val="00CC7F55"/>
    <w:rsid w:val="00CD17D5"/>
    <w:rsid w:val="00CD3BCE"/>
    <w:rsid w:val="00CD47A7"/>
    <w:rsid w:val="00CD47E6"/>
    <w:rsid w:val="00CD58C3"/>
    <w:rsid w:val="00CE2394"/>
    <w:rsid w:val="00CE48D6"/>
    <w:rsid w:val="00CE4AA8"/>
    <w:rsid w:val="00CE59C0"/>
    <w:rsid w:val="00CE71C4"/>
    <w:rsid w:val="00CE7D7C"/>
    <w:rsid w:val="00CF612B"/>
    <w:rsid w:val="00CF6982"/>
    <w:rsid w:val="00D025AA"/>
    <w:rsid w:val="00D04FC0"/>
    <w:rsid w:val="00D0592A"/>
    <w:rsid w:val="00D059D0"/>
    <w:rsid w:val="00D102E4"/>
    <w:rsid w:val="00D12AA9"/>
    <w:rsid w:val="00D15769"/>
    <w:rsid w:val="00D165A9"/>
    <w:rsid w:val="00D17377"/>
    <w:rsid w:val="00D17853"/>
    <w:rsid w:val="00D20BF0"/>
    <w:rsid w:val="00D21D61"/>
    <w:rsid w:val="00D2265E"/>
    <w:rsid w:val="00D22B62"/>
    <w:rsid w:val="00D242C1"/>
    <w:rsid w:val="00D25DCB"/>
    <w:rsid w:val="00D26572"/>
    <w:rsid w:val="00D31C8A"/>
    <w:rsid w:val="00D34377"/>
    <w:rsid w:val="00D349DB"/>
    <w:rsid w:val="00D3538B"/>
    <w:rsid w:val="00D355B5"/>
    <w:rsid w:val="00D375BD"/>
    <w:rsid w:val="00D415DB"/>
    <w:rsid w:val="00D4402A"/>
    <w:rsid w:val="00D63247"/>
    <w:rsid w:val="00D63908"/>
    <w:rsid w:val="00D67FA1"/>
    <w:rsid w:val="00D82C56"/>
    <w:rsid w:val="00D845DC"/>
    <w:rsid w:val="00D846E8"/>
    <w:rsid w:val="00D85EC4"/>
    <w:rsid w:val="00D86815"/>
    <w:rsid w:val="00D870EB"/>
    <w:rsid w:val="00D874DE"/>
    <w:rsid w:val="00D92861"/>
    <w:rsid w:val="00D929EA"/>
    <w:rsid w:val="00D92E7B"/>
    <w:rsid w:val="00D9408D"/>
    <w:rsid w:val="00D95974"/>
    <w:rsid w:val="00DA371E"/>
    <w:rsid w:val="00DA53F7"/>
    <w:rsid w:val="00DA76D9"/>
    <w:rsid w:val="00DB379A"/>
    <w:rsid w:val="00DC191B"/>
    <w:rsid w:val="00DC24A7"/>
    <w:rsid w:val="00DC34E3"/>
    <w:rsid w:val="00DC3E55"/>
    <w:rsid w:val="00DC4261"/>
    <w:rsid w:val="00DD08BF"/>
    <w:rsid w:val="00DD2373"/>
    <w:rsid w:val="00DD2E25"/>
    <w:rsid w:val="00DD3327"/>
    <w:rsid w:val="00DD5259"/>
    <w:rsid w:val="00DD59B7"/>
    <w:rsid w:val="00DE0E23"/>
    <w:rsid w:val="00DE11FD"/>
    <w:rsid w:val="00DE20E0"/>
    <w:rsid w:val="00DE379E"/>
    <w:rsid w:val="00DE444D"/>
    <w:rsid w:val="00DF2D84"/>
    <w:rsid w:val="00DF3B8E"/>
    <w:rsid w:val="00DF6B45"/>
    <w:rsid w:val="00DF77FE"/>
    <w:rsid w:val="00E07017"/>
    <w:rsid w:val="00E07FFE"/>
    <w:rsid w:val="00E15FCC"/>
    <w:rsid w:val="00E178D6"/>
    <w:rsid w:val="00E201E9"/>
    <w:rsid w:val="00E24884"/>
    <w:rsid w:val="00E30002"/>
    <w:rsid w:val="00E30746"/>
    <w:rsid w:val="00E329BE"/>
    <w:rsid w:val="00E3352F"/>
    <w:rsid w:val="00E36C0D"/>
    <w:rsid w:val="00E37DF7"/>
    <w:rsid w:val="00E40571"/>
    <w:rsid w:val="00E41605"/>
    <w:rsid w:val="00E42DEC"/>
    <w:rsid w:val="00E47351"/>
    <w:rsid w:val="00E533D6"/>
    <w:rsid w:val="00E56232"/>
    <w:rsid w:val="00E6489C"/>
    <w:rsid w:val="00E712F5"/>
    <w:rsid w:val="00E71D0D"/>
    <w:rsid w:val="00E74D63"/>
    <w:rsid w:val="00E758B0"/>
    <w:rsid w:val="00E75BF5"/>
    <w:rsid w:val="00E76C51"/>
    <w:rsid w:val="00E778EC"/>
    <w:rsid w:val="00E7795B"/>
    <w:rsid w:val="00E86858"/>
    <w:rsid w:val="00E934DE"/>
    <w:rsid w:val="00E93761"/>
    <w:rsid w:val="00E944D6"/>
    <w:rsid w:val="00E96C00"/>
    <w:rsid w:val="00EA0B69"/>
    <w:rsid w:val="00EA0C3F"/>
    <w:rsid w:val="00EA2160"/>
    <w:rsid w:val="00EA4C57"/>
    <w:rsid w:val="00EA5DFF"/>
    <w:rsid w:val="00EB0B2D"/>
    <w:rsid w:val="00EB3D19"/>
    <w:rsid w:val="00EB4261"/>
    <w:rsid w:val="00EB57C6"/>
    <w:rsid w:val="00EB74CE"/>
    <w:rsid w:val="00EB775B"/>
    <w:rsid w:val="00EB7C77"/>
    <w:rsid w:val="00EC258E"/>
    <w:rsid w:val="00EC3733"/>
    <w:rsid w:val="00EC5969"/>
    <w:rsid w:val="00EC6D43"/>
    <w:rsid w:val="00ED5E27"/>
    <w:rsid w:val="00ED6D67"/>
    <w:rsid w:val="00ED718F"/>
    <w:rsid w:val="00ED7877"/>
    <w:rsid w:val="00EE0811"/>
    <w:rsid w:val="00EF1EC1"/>
    <w:rsid w:val="00EF3C80"/>
    <w:rsid w:val="00EF52DE"/>
    <w:rsid w:val="00EF5FA7"/>
    <w:rsid w:val="00F01CDD"/>
    <w:rsid w:val="00F04FB2"/>
    <w:rsid w:val="00F052A8"/>
    <w:rsid w:val="00F05CC0"/>
    <w:rsid w:val="00F103B4"/>
    <w:rsid w:val="00F1231D"/>
    <w:rsid w:val="00F1322B"/>
    <w:rsid w:val="00F13D98"/>
    <w:rsid w:val="00F14234"/>
    <w:rsid w:val="00F154BE"/>
    <w:rsid w:val="00F216C6"/>
    <w:rsid w:val="00F22825"/>
    <w:rsid w:val="00F23112"/>
    <w:rsid w:val="00F2327A"/>
    <w:rsid w:val="00F261DB"/>
    <w:rsid w:val="00F3142B"/>
    <w:rsid w:val="00F31570"/>
    <w:rsid w:val="00F32430"/>
    <w:rsid w:val="00F32ED2"/>
    <w:rsid w:val="00F34A11"/>
    <w:rsid w:val="00F41C15"/>
    <w:rsid w:val="00F42395"/>
    <w:rsid w:val="00F45869"/>
    <w:rsid w:val="00F459BB"/>
    <w:rsid w:val="00F475FA"/>
    <w:rsid w:val="00F52752"/>
    <w:rsid w:val="00F54A96"/>
    <w:rsid w:val="00F570AB"/>
    <w:rsid w:val="00F62916"/>
    <w:rsid w:val="00F62D89"/>
    <w:rsid w:val="00F64F5A"/>
    <w:rsid w:val="00F663A3"/>
    <w:rsid w:val="00F67376"/>
    <w:rsid w:val="00F67E43"/>
    <w:rsid w:val="00F7304F"/>
    <w:rsid w:val="00F759F3"/>
    <w:rsid w:val="00F77936"/>
    <w:rsid w:val="00F8017C"/>
    <w:rsid w:val="00F820D1"/>
    <w:rsid w:val="00F842C8"/>
    <w:rsid w:val="00F87D81"/>
    <w:rsid w:val="00F90174"/>
    <w:rsid w:val="00F9244A"/>
    <w:rsid w:val="00F9249B"/>
    <w:rsid w:val="00F92855"/>
    <w:rsid w:val="00F93D53"/>
    <w:rsid w:val="00F95E92"/>
    <w:rsid w:val="00FA0474"/>
    <w:rsid w:val="00FA2972"/>
    <w:rsid w:val="00FA4BB1"/>
    <w:rsid w:val="00FB05A8"/>
    <w:rsid w:val="00FB2986"/>
    <w:rsid w:val="00FB420A"/>
    <w:rsid w:val="00FB43D8"/>
    <w:rsid w:val="00FC003F"/>
    <w:rsid w:val="00FC141D"/>
    <w:rsid w:val="00FC148C"/>
    <w:rsid w:val="00FC16C8"/>
    <w:rsid w:val="00FC3CB4"/>
    <w:rsid w:val="00FD02DF"/>
    <w:rsid w:val="00FD055F"/>
    <w:rsid w:val="00FD4035"/>
    <w:rsid w:val="00FD6BA1"/>
    <w:rsid w:val="00FD78A5"/>
    <w:rsid w:val="00FE4883"/>
    <w:rsid w:val="00FE4E65"/>
    <w:rsid w:val="00FE599F"/>
    <w:rsid w:val="00FE7C23"/>
    <w:rsid w:val="00FF1514"/>
    <w:rsid w:val="00FF2513"/>
    <w:rsid w:val="00FF5C2E"/>
    <w:rsid w:val="0240B024"/>
    <w:rsid w:val="20C28979"/>
    <w:rsid w:val="23174174"/>
    <w:rsid w:val="2C965F50"/>
    <w:rsid w:val="429CD830"/>
    <w:rsid w:val="5315ADD2"/>
    <w:rsid w:val="604EC356"/>
    <w:rsid w:val="79B85A27"/>
    <w:rsid w:val="7A92D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57A7"/>
  <w15:chartTrackingRefBased/>
  <w15:docId w15:val="{49F9FE1C-83CB-4C7A-AE5C-9F111DAC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4F68"/>
    <w:rPr>
      <w:sz w:val="16"/>
      <w:szCs w:val="16"/>
    </w:rPr>
  </w:style>
  <w:style w:type="paragraph" w:styleId="CommentText">
    <w:name w:val="annotation text"/>
    <w:basedOn w:val="Normal"/>
    <w:link w:val="CommentTextChar"/>
    <w:uiPriority w:val="99"/>
    <w:unhideWhenUsed/>
    <w:rsid w:val="00524F68"/>
    <w:pPr>
      <w:spacing w:line="240" w:lineRule="auto"/>
    </w:pPr>
    <w:rPr>
      <w:sz w:val="20"/>
      <w:szCs w:val="20"/>
    </w:rPr>
  </w:style>
  <w:style w:type="character" w:customStyle="1" w:styleId="CommentTextChar">
    <w:name w:val="Comment Text Char"/>
    <w:basedOn w:val="DefaultParagraphFont"/>
    <w:link w:val="CommentText"/>
    <w:uiPriority w:val="99"/>
    <w:rsid w:val="00524F68"/>
    <w:rPr>
      <w:sz w:val="20"/>
      <w:szCs w:val="20"/>
    </w:rPr>
  </w:style>
  <w:style w:type="paragraph" w:styleId="CommentSubject">
    <w:name w:val="annotation subject"/>
    <w:basedOn w:val="CommentText"/>
    <w:next w:val="CommentText"/>
    <w:link w:val="CommentSubjectChar"/>
    <w:uiPriority w:val="99"/>
    <w:semiHidden/>
    <w:unhideWhenUsed/>
    <w:rsid w:val="00524F68"/>
    <w:rPr>
      <w:b/>
      <w:bCs/>
    </w:rPr>
  </w:style>
  <w:style w:type="character" w:customStyle="1" w:styleId="CommentSubjectChar">
    <w:name w:val="Comment Subject Char"/>
    <w:basedOn w:val="CommentTextChar"/>
    <w:link w:val="CommentSubject"/>
    <w:uiPriority w:val="99"/>
    <w:semiHidden/>
    <w:rsid w:val="00524F68"/>
    <w:rPr>
      <w:b/>
      <w:bCs/>
      <w:sz w:val="20"/>
      <w:szCs w:val="20"/>
    </w:rPr>
  </w:style>
  <w:style w:type="character" w:styleId="Hyperlink">
    <w:name w:val="Hyperlink"/>
    <w:basedOn w:val="DefaultParagraphFont"/>
    <w:uiPriority w:val="99"/>
    <w:unhideWhenUsed/>
    <w:rsid w:val="00D4402A"/>
    <w:rPr>
      <w:color w:val="0000FF"/>
      <w:u w:val="single"/>
    </w:rPr>
  </w:style>
  <w:style w:type="character" w:styleId="FollowedHyperlink">
    <w:name w:val="FollowedHyperlink"/>
    <w:basedOn w:val="DefaultParagraphFont"/>
    <w:uiPriority w:val="99"/>
    <w:semiHidden/>
    <w:unhideWhenUsed/>
    <w:rsid w:val="00292176"/>
    <w:rPr>
      <w:color w:val="954F72" w:themeColor="followedHyperlink"/>
      <w:u w:val="single"/>
    </w:rPr>
  </w:style>
  <w:style w:type="paragraph" w:customStyle="1" w:styleId="Body1">
    <w:name w:val="Body 1"/>
    <w:rsid w:val="008537E8"/>
    <w:pPr>
      <w:pBdr>
        <w:top w:val="nil"/>
        <w:left w:val="nil"/>
        <w:bottom w:val="nil"/>
        <w:right w:val="nil"/>
        <w:between w:val="nil"/>
        <w:bar w:val="nil"/>
      </w:pBdr>
      <w:spacing w:after="200" w:line="276" w:lineRule="auto"/>
      <w:outlineLvl w:val="0"/>
    </w:pPr>
    <w:rPr>
      <w:rFonts w:ascii="Helvetica" w:eastAsia="Arial Unicode MS" w:hAnsi="Helvetica" w:cs="Arial Unicode MS"/>
      <w:color w:val="000000"/>
      <w:u w:color="000000"/>
      <w:bdr w:val="nil"/>
      <w:lang w:val="en-US" w:eastAsia="en-GB"/>
    </w:rPr>
  </w:style>
  <w:style w:type="character" w:styleId="UnresolvedMention">
    <w:name w:val="Unresolved Mention"/>
    <w:basedOn w:val="DefaultParagraphFont"/>
    <w:uiPriority w:val="99"/>
    <w:semiHidden/>
    <w:unhideWhenUsed/>
    <w:rsid w:val="008537E8"/>
    <w:rPr>
      <w:color w:val="605E5C"/>
      <w:shd w:val="clear" w:color="auto" w:fill="E1DFDD"/>
    </w:rPr>
  </w:style>
  <w:style w:type="paragraph" w:styleId="ListParagraph">
    <w:name w:val="List Paragraph"/>
    <w:basedOn w:val="Normal"/>
    <w:uiPriority w:val="34"/>
    <w:qFormat/>
    <w:rsid w:val="00E75BF5"/>
    <w:pPr>
      <w:ind w:left="720"/>
      <w:contextualSpacing/>
    </w:pPr>
  </w:style>
  <w:style w:type="paragraph" w:styleId="Revision">
    <w:name w:val="Revision"/>
    <w:hidden/>
    <w:uiPriority w:val="99"/>
    <w:semiHidden/>
    <w:rsid w:val="00120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94015">
      <w:bodyDiv w:val="1"/>
      <w:marLeft w:val="0"/>
      <w:marRight w:val="0"/>
      <w:marTop w:val="0"/>
      <w:marBottom w:val="0"/>
      <w:divBdr>
        <w:top w:val="none" w:sz="0" w:space="0" w:color="auto"/>
        <w:left w:val="none" w:sz="0" w:space="0" w:color="auto"/>
        <w:bottom w:val="none" w:sz="0" w:space="0" w:color="auto"/>
        <w:right w:val="none" w:sz="0" w:space="0" w:color="auto"/>
      </w:divBdr>
    </w:div>
    <w:div w:id="1947348308">
      <w:bodyDiv w:val="1"/>
      <w:marLeft w:val="0"/>
      <w:marRight w:val="0"/>
      <w:marTop w:val="0"/>
      <w:marBottom w:val="0"/>
      <w:divBdr>
        <w:top w:val="none" w:sz="0" w:space="0" w:color="auto"/>
        <w:left w:val="none" w:sz="0" w:space="0" w:color="auto"/>
        <w:bottom w:val="none" w:sz="0" w:space="0" w:color="auto"/>
        <w:right w:val="none" w:sz="0" w:space="0" w:color="auto"/>
      </w:divBdr>
    </w:div>
    <w:div w:id="19972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cm.ac.uk/sites/ficm/files/documents/2022-07/GPICS%20V2.1%20%282%2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ndingawards.nihr.ac.uk/award/NIHR133835" TargetMode="External"/><Relationship Id="rId5" Type="http://schemas.openxmlformats.org/officeDocument/2006/relationships/styles" Target="styles.xml"/><Relationship Id="rId10" Type="http://schemas.openxmlformats.org/officeDocument/2006/relationships/chart" Target="charts/chart3.xml"/><Relationship Id="rId4" Type="http://schemas.openxmlformats.org/officeDocument/2006/relationships/numbering" Target="numbering.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uhsnhs-my.sharepoint.com/personal/bethan_jenkins_uhs_nhs_uk/Documents/HomeDrive/CPD/PCAF/PCAF%202020/GRV%20survey/Survey%20results%20summa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rhmhome1\homedrives\jenkib2\CPD\PCAF\PCAF%202020\GRV%20survey\Survey%20results%20summar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1'!$B$1</c:f>
              <c:strCache>
                <c:ptCount val="1"/>
                <c:pt idx="0">
                  <c:v>Number of ICUs</c:v>
                </c:pt>
              </c:strCache>
            </c:strRef>
          </c:tx>
          <c:spPr>
            <a:solidFill>
              <a:schemeClr val="accent1"/>
            </a:solidFill>
            <a:ln>
              <a:noFill/>
            </a:ln>
            <a:effectLst/>
          </c:spPr>
          <c:invertIfNegative val="0"/>
          <c:cat>
            <c:strRef>
              <c:f>'figure 1'!$A$2:$A$7</c:f>
              <c:strCache>
                <c:ptCount val="6"/>
                <c:pt idx="0">
                  <c:v>GRV</c:v>
                </c:pt>
                <c:pt idx="1">
                  <c:v>Abdominal distention</c:v>
                </c:pt>
                <c:pt idx="2">
                  <c:v>Bowel sounds</c:v>
                </c:pt>
                <c:pt idx="3">
                  <c:v>Vomiting</c:v>
                </c:pt>
                <c:pt idx="4">
                  <c:v>Diarrhoea</c:v>
                </c:pt>
                <c:pt idx="5">
                  <c:v>Other</c:v>
                </c:pt>
              </c:strCache>
            </c:strRef>
          </c:cat>
          <c:val>
            <c:numRef>
              <c:f>'figure 1'!$B$2:$B$7</c:f>
              <c:numCache>
                <c:formatCode>General</c:formatCode>
                <c:ptCount val="6"/>
                <c:pt idx="0">
                  <c:v>86</c:v>
                </c:pt>
                <c:pt idx="1">
                  <c:v>50</c:v>
                </c:pt>
                <c:pt idx="2">
                  <c:v>26</c:v>
                </c:pt>
                <c:pt idx="3">
                  <c:v>53</c:v>
                </c:pt>
                <c:pt idx="4">
                  <c:v>25</c:v>
                </c:pt>
                <c:pt idx="5">
                  <c:v>8</c:v>
                </c:pt>
              </c:numCache>
            </c:numRef>
          </c:val>
          <c:extLst>
            <c:ext xmlns:c16="http://schemas.microsoft.com/office/drawing/2014/chart" uri="{C3380CC4-5D6E-409C-BE32-E72D297353CC}">
              <c16:uniqueId val="{00000000-68E8-4ACD-A473-6BC7FFC24E46}"/>
            </c:ext>
          </c:extLst>
        </c:ser>
        <c:dLbls>
          <c:showLegendKey val="0"/>
          <c:showVal val="0"/>
          <c:showCatName val="0"/>
          <c:showSerName val="0"/>
          <c:showPercent val="0"/>
          <c:showBubbleSize val="0"/>
        </c:dLbls>
        <c:gapWidth val="219"/>
        <c:overlap val="-27"/>
        <c:axId val="578812240"/>
        <c:axId val="578810160"/>
      </c:barChart>
      <c:catAx>
        <c:axId val="57881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810160"/>
        <c:crosses val="autoZero"/>
        <c:auto val="1"/>
        <c:lblAlgn val="ctr"/>
        <c:lblOffset val="100"/>
        <c:noMultiLvlLbl val="0"/>
      </c:catAx>
      <c:valAx>
        <c:axId val="578810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ICUs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812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percentStacked"/>
        <c:varyColors val="0"/>
        <c:ser>
          <c:idx val="0"/>
          <c:order val="0"/>
          <c:tx>
            <c:strRef>
              <c:f>Sheet6!$B$24</c:f>
              <c:strCache>
                <c:ptCount val="1"/>
                <c:pt idx="0">
                  <c:v>1st</c:v>
                </c:pt>
              </c:strCache>
            </c:strRef>
          </c:tx>
          <c:spPr>
            <a:solidFill>
              <a:schemeClr val="dk1">
                <a:tint val="88500"/>
              </a:schemeClr>
            </a:solidFill>
            <a:ln>
              <a:noFill/>
            </a:ln>
            <a:effectLst/>
          </c:spPr>
          <c:invertIfNegative val="0"/>
          <c:cat>
            <c:strRef>
              <c:f>Sheet6!$A$25:$A$30</c:f>
              <c:strCache>
                <c:ptCount val="6"/>
                <c:pt idx="0">
                  <c:v>Other</c:v>
                </c:pt>
                <c:pt idx="1">
                  <c:v>Stop feeds and change to parenteral nutrition</c:v>
                </c:pt>
                <c:pt idx="2">
                  <c:v>Change feeding method (e.g. bolus to continuous)</c:v>
                </c:pt>
                <c:pt idx="3">
                  <c:v>Change to post-pyloric feeding</c:v>
                </c:pt>
                <c:pt idx="4">
                  <c:v>Change the type (formula) of the feed</c:v>
                </c:pt>
                <c:pt idx="5">
                  <c:v>Add prokinetics and persist with gastric feeding</c:v>
                </c:pt>
              </c:strCache>
            </c:strRef>
          </c:cat>
          <c:val>
            <c:numRef>
              <c:f>Sheet6!$B$25:$B$30</c:f>
              <c:numCache>
                <c:formatCode>General</c:formatCode>
                <c:ptCount val="6"/>
                <c:pt idx="0">
                  <c:v>11.9</c:v>
                </c:pt>
                <c:pt idx="1">
                  <c:v>2</c:v>
                </c:pt>
                <c:pt idx="2">
                  <c:v>14.9</c:v>
                </c:pt>
                <c:pt idx="3">
                  <c:v>1</c:v>
                </c:pt>
                <c:pt idx="4">
                  <c:v>4</c:v>
                </c:pt>
                <c:pt idx="5">
                  <c:v>66.3</c:v>
                </c:pt>
              </c:numCache>
            </c:numRef>
          </c:val>
          <c:extLst>
            <c:ext xmlns:c16="http://schemas.microsoft.com/office/drawing/2014/chart" uri="{C3380CC4-5D6E-409C-BE32-E72D297353CC}">
              <c16:uniqueId val="{00000000-135D-45BA-A07F-CE3538859B1D}"/>
            </c:ext>
          </c:extLst>
        </c:ser>
        <c:ser>
          <c:idx val="1"/>
          <c:order val="1"/>
          <c:tx>
            <c:strRef>
              <c:f>Sheet6!$C$24</c:f>
              <c:strCache>
                <c:ptCount val="1"/>
                <c:pt idx="0">
                  <c:v>2nd</c:v>
                </c:pt>
              </c:strCache>
            </c:strRef>
          </c:tx>
          <c:spPr>
            <a:solidFill>
              <a:schemeClr val="dk1">
                <a:tint val="55000"/>
              </a:schemeClr>
            </a:solidFill>
            <a:ln>
              <a:noFill/>
            </a:ln>
            <a:effectLst/>
          </c:spPr>
          <c:invertIfNegative val="0"/>
          <c:cat>
            <c:strRef>
              <c:f>Sheet6!$A$25:$A$30</c:f>
              <c:strCache>
                <c:ptCount val="6"/>
                <c:pt idx="0">
                  <c:v>Other</c:v>
                </c:pt>
                <c:pt idx="1">
                  <c:v>Stop feeds and change to parenteral nutrition</c:v>
                </c:pt>
                <c:pt idx="2">
                  <c:v>Change feeding method (e.g. bolus to continuous)</c:v>
                </c:pt>
                <c:pt idx="3">
                  <c:v>Change to post-pyloric feeding</c:v>
                </c:pt>
                <c:pt idx="4">
                  <c:v>Change the type (formula) of the feed</c:v>
                </c:pt>
                <c:pt idx="5">
                  <c:v>Add prokinetics and persist with gastric feeding</c:v>
                </c:pt>
              </c:strCache>
            </c:strRef>
          </c:cat>
          <c:val>
            <c:numRef>
              <c:f>Sheet6!$C$25:$C$30</c:f>
              <c:numCache>
                <c:formatCode>General</c:formatCode>
                <c:ptCount val="6"/>
                <c:pt idx="0">
                  <c:v>6.9</c:v>
                </c:pt>
                <c:pt idx="1">
                  <c:v>5</c:v>
                </c:pt>
                <c:pt idx="2">
                  <c:v>14.9</c:v>
                </c:pt>
                <c:pt idx="3">
                  <c:v>29.7</c:v>
                </c:pt>
                <c:pt idx="4">
                  <c:v>36.6</c:v>
                </c:pt>
                <c:pt idx="5">
                  <c:v>6.9</c:v>
                </c:pt>
              </c:numCache>
            </c:numRef>
          </c:val>
          <c:extLst>
            <c:ext xmlns:c16="http://schemas.microsoft.com/office/drawing/2014/chart" uri="{C3380CC4-5D6E-409C-BE32-E72D297353CC}">
              <c16:uniqueId val="{00000001-135D-45BA-A07F-CE3538859B1D}"/>
            </c:ext>
          </c:extLst>
        </c:ser>
        <c:ser>
          <c:idx val="2"/>
          <c:order val="2"/>
          <c:tx>
            <c:strRef>
              <c:f>Sheet6!$D$24</c:f>
              <c:strCache>
                <c:ptCount val="1"/>
                <c:pt idx="0">
                  <c:v>3rd</c:v>
                </c:pt>
              </c:strCache>
            </c:strRef>
          </c:tx>
          <c:spPr>
            <a:solidFill>
              <a:schemeClr val="dk1">
                <a:tint val="75000"/>
              </a:schemeClr>
            </a:solidFill>
            <a:ln>
              <a:noFill/>
            </a:ln>
            <a:effectLst/>
          </c:spPr>
          <c:invertIfNegative val="0"/>
          <c:cat>
            <c:strRef>
              <c:f>Sheet6!$A$25:$A$30</c:f>
              <c:strCache>
                <c:ptCount val="6"/>
                <c:pt idx="0">
                  <c:v>Other</c:v>
                </c:pt>
                <c:pt idx="1">
                  <c:v>Stop feeds and change to parenteral nutrition</c:v>
                </c:pt>
                <c:pt idx="2">
                  <c:v>Change feeding method (e.g. bolus to continuous)</c:v>
                </c:pt>
                <c:pt idx="3">
                  <c:v>Change to post-pyloric feeding</c:v>
                </c:pt>
                <c:pt idx="4">
                  <c:v>Change the type (formula) of the feed</c:v>
                </c:pt>
                <c:pt idx="5">
                  <c:v>Add prokinetics and persist with gastric feeding</c:v>
                </c:pt>
              </c:strCache>
            </c:strRef>
          </c:cat>
          <c:val>
            <c:numRef>
              <c:f>Sheet6!$D$25:$D$30</c:f>
              <c:numCache>
                <c:formatCode>General</c:formatCode>
                <c:ptCount val="6"/>
                <c:pt idx="0">
                  <c:v>3</c:v>
                </c:pt>
                <c:pt idx="1">
                  <c:v>18.8</c:v>
                </c:pt>
                <c:pt idx="2">
                  <c:v>12.9</c:v>
                </c:pt>
                <c:pt idx="3">
                  <c:v>35.6</c:v>
                </c:pt>
                <c:pt idx="4">
                  <c:v>23.8</c:v>
                </c:pt>
                <c:pt idx="5">
                  <c:v>5.9</c:v>
                </c:pt>
              </c:numCache>
            </c:numRef>
          </c:val>
          <c:extLst>
            <c:ext xmlns:c16="http://schemas.microsoft.com/office/drawing/2014/chart" uri="{C3380CC4-5D6E-409C-BE32-E72D297353CC}">
              <c16:uniqueId val="{00000002-135D-45BA-A07F-CE3538859B1D}"/>
            </c:ext>
          </c:extLst>
        </c:ser>
        <c:ser>
          <c:idx val="3"/>
          <c:order val="3"/>
          <c:tx>
            <c:strRef>
              <c:f>Sheet6!$E$24</c:f>
              <c:strCache>
                <c:ptCount val="1"/>
                <c:pt idx="0">
                  <c:v>4th</c:v>
                </c:pt>
              </c:strCache>
            </c:strRef>
          </c:tx>
          <c:spPr>
            <a:solidFill>
              <a:schemeClr val="dk1">
                <a:tint val="98500"/>
              </a:schemeClr>
            </a:solidFill>
            <a:ln>
              <a:noFill/>
            </a:ln>
            <a:effectLst/>
          </c:spPr>
          <c:invertIfNegative val="0"/>
          <c:cat>
            <c:strRef>
              <c:f>Sheet6!$A$25:$A$30</c:f>
              <c:strCache>
                <c:ptCount val="6"/>
                <c:pt idx="0">
                  <c:v>Other</c:v>
                </c:pt>
                <c:pt idx="1">
                  <c:v>Stop feeds and change to parenteral nutrition</c:v>
                </c:pt>
                <c:pt idx="2">
                  <c:v>Change feeding method (e.g. bolus to continuous)</c:v>
                </c:pt>
                <c:pt idx="3">
                  <c:v>Change to post-pyloric feeding</c:v>
                </c:pt>
                <c:pt idx="4">
                  <c:v>Change the type (formula) of the feed</c:v>
                </c:pt>
                <c:pt idx="5">
                  <c:v>Add prokinetics and persist with gastric feeding</c:v>
                </c:pt>
              </c:strCache>
            </c:strRef>
          </c:cat>
          <c:val>
            <c:numRef>
              <c:f>Sheet6!$E$25:$E$30</c:f>
              <c:numCache>
                <c:formatCode>General</c:formatCode>
                <c:ptCount val="6"/>
                <c:pt idx="0">
                  <c:v>2</c:v>
                </c:pt>
                <c:pt idx="1">
                  <c:v>39.6</c:v>
                </c:pt>
                <c:pt idx="2">
                  <c:v>16.8</c:v>
                </c:pt>
                <c:pt idx="3">
                  <c:v>22.8</c:v>
                </c:pt>
                <c:pt idx="4">
                  <c:v>18.8</c:v>
                </c:pt>
                <c:pt idx="5">
                  <c:v>0</c:v>
                </c:pt>
              </c:numCache>
            </c:numRef>
          </c:val>
          <c:extLst>
            <c:ext xmlns:c16="http://schemas.microsoft.com/office/drawing/2014/chart" uri="{C3380CC4-5D6E-409C-BE32-E72D297353CC}">
              <c16:uniqueId val="{00000003-135D-45BA-A07F-CE3538859B1D}"/>
            </c:ext>
          </c:extLst>
        </c:ser>
        <c:ser>
          <c:idx val="4"/>
          <c:order val="4"/>
          <c:tx>
            <c:strRef>
              <c:f>Sheet6!$F$24</c:f>
              <c:strCache>
                <c:ptCount val="1"/>
                <c:pt idx="0">
                  <c:v>5th</c:v>
                </c:pt>
              </c:strCache>
            </c:strRef>
          </c:tx>
          <c:spPr>
            <a:solidFill>
              <a:schemeClr val="dk1">
                <a:tint val="30000"/>
              </a:schemeClr>
            </a:solidFill>
            <a:ln>
              <a:noFill/>
            </a:ln>
            <a:effectLst/>
          </c:spPr>
          <c:invertIfNegative val="0"/>
          <c:cat>
            <c:strRef>
              <c:f>Sheet6!$A$25:$A$30</c:f>
              <c:strCache>
                <c:ptCount val="6"/>
                <c:pt idx="0">
                  <c:v>Other</c:v>
                </c:pt>
                <c:pt idx="1">
                  <c:v>Stop feeds and change to parenteral nutrition</c:v>
                </c:pt>
                <c:pt idx="2">
                  <c:v>Change feeding method (e.g. bolus to continuous)</c:v>
                </c:pt>
                <c:pt idx="3">
                  <c:v>Change to post-pyloric feeding</c:v>
                </c:pt>
                <c:pt idx="4">
                  <c:v>Change the type (formula) of the feed</c:v>
                </c:pt>
                <c:pt idx="5">
                  <c:v>Add prokinetics and persist with gastric feeding</c:v>
                </c:pt>
              </c:strCache>
            </c:strRef>
          </c:cat>
          <c:val>
            <c:numRef>
              <c:f>Sheet6!$F$25:$F$30</c:f>
              <c:numCache>
                <c:formatCode>General</c:formatCode>
                <c:ptCount val="6"/>
                <c:pt idx="0">
                  <c:v>7.9</c:v>
                </c:pt>
                <c:pt idx="1">
                  <c:v>31.7</c:v>
                </c:pt>
                <c:pt idx="2">
                  <c:v>32.700000000000003</c:v>
                </c:pt>
                <c:pt idx="3">
                  <c:v>9.9</c:v>
                </c:pt>
                <c:pt idx="4">
                  <c:v>16.8</c:v>
                </c:pt>
                <c:pt idx="5">
                  <c:v>1</c:v>
                </c:pt>
              </c:numCache>
            </c:numRef>
          </c:val>
          <c:extLst>
            <c:ext xmlns:c16="http://schemas.microsoft.com/office/drawing/2014/chart" uri="{C3380CC4-5D6E-409C-BE32-E72D297353CC}">
              <c16:uniqueId val="{00000004-135D-45BA-A07F-CE3538859B1D}"/>
            </c:ext>
          </c:extLst>
        </c:ser>
        <c:ser>
          <c:idx val="5"/>
          <c:order val="5"/>
          <c:tx>
            <c:strRef>
              <c:f>Sheet6!$G$24</c:f>
              <c:strCache>
                <c:ptCount val="1"/>
                <c:pt idx="0">
                  <c:v>6th</c:v>
                </c:pt>
              </c:strCache>
            </c:strRef>
          </c:tx>
          <c:spPr>
            <a:solidFill>
              <a:schemeClr val="dk1">
                <a:tint val="60000"/>
              </a:schemeClr>
            </a:solidFill>
            <a:ln>
              <a:noFill/>
            </a:ln>
            <a:effectLst/>
          </c:spPr>
          <c:invertIfNegative val="0"/>
          <c:cat>
            <c:strRef>
              <c:f>Sheet6!$A$25:$A$30</c:f>
              <c:strCache>
                <c:ptCount val="6"/>
                <c:pt idx="0">
                  <c:v>Other</c:v>
                </c:pt>
                <c:pt idx="1">
                  <c:v>Stop feeds and change to parenteral nutrition</c:v>
                </c:pt>
                <c:pt idx="2">
                  <c:v>Change feeding method (e.g. bolus to continuous)</c:v>
                </c:pt>
                <c:pt idx="3">
                  <c:v>Change to post-pyloric feeding</c:v>
                </c:pt>
                <c:pt idx="4">
                  <c:v>Change the type (formula) of the feed</c:v>
                </c:pt>
                <c:pt idx="5">
                  <c:v>Add prokinetics and persist with gastric feeding</c:v>
                </c:pt>
              </c:strCache>
            </c:strRef>
          </c:cat>
          <c:val>
            <c:numRef>
              <c:f>Sheet6!$G$25:$G$30</c:f>
              <c:numCache>
                <c:formatCode>General</c:formatCode>
                <c:ptCount val="6"/>
                <c:pt idx="0">
                  <c:v>68.3</c:v>
                </c:pt>
                <c:pt idx="1">
                  <c:v>3</c:v>
                </c:pt>
                <c:pt idx="2">
                  <c:v>7.9</c:v>
                </c:pt>
                <c:pt idx="3">
                  <c:v>1</c:v>
                </c:pt>
                <c:pt idx="4">
                  <c:v>0</c:v>
                </c:pt>
                <c:pt idx="5">
                  <c:v>19.8</c:v>
                </c:pt>
              </c:numCache>
            </c:numRef>
          </c:val>
          <c:extLst>
            <c:ext xmlns:c16="http://schemas.microsoft.com/office/drawing/2014/chart" uri="{C3380CC4-5D6E-409C-BE32-E72D297353CC}">
              <c16:uniqueId val="{00000005-135D-45BA-A07F-CE3538859B1D}"/>
            </c:ext>
          </c:extLst>
        </c:ser>
        <c:dLbls>
          <c:showLegendKey val="0"/>
          <c:showVal val="0"/>
          <c:showCatName val="0"/>
          <c:showSerName val="0"/>
          <c:showPercent val="0"/>
          <c:showBubbleSize val="0"/>
        </c:dLbls>
        <c:gapWidth val="150"/>
        <c:overlap val="100"/>
        <c:axId val="800632319"/>
        <c:axId val="800631487"/>
      </c:barChart>
      <c:catAx>
        <c:axId val="8006323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631487"/>
        <c:crosses val="autoZero"/>
        <c:auto val="1"/>
        <c:lblAlgn val="ctr"/>
        <c:lblOffset val="100"/>
        <c:noMultiLvlLbl val="0"/>
      </c:catAx>
      <c:valAx>
        <c:axId val="8006314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632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percentStacked"/>
        <c:varyColors val="0"/>
        <c:ser>
          <c:idx val="0"/>
          <c:order val="0"/>
          <c:tx>
            <c:strRef>
              <c:f>Sheet5!$E$200</c:f>
              <c:strCache>
                <c:ptCount val="1"/>
                <c:pt idx="0">
                  <c:v>not at all</c:v>
                </c:pt>
              </c:strCache>
            </c:strRef>
          </c:tx>
          <c:spPr>
            <a:solidFill>
              <a:schemeClr val="dk1">
                <a:tint val="88500"/>
              </a:schemeClr>
            </a:solidFill>
            <a:ln>
              <a:noFill/>
            </a:ln>
            <a:effectLst/>
          </c:spPr>
          <c:invertIfNegative val="0"/>
          <c:cat>
            <c:strRef>
              <c:f>Sheet5!$F$199:$G$199</c:f>
              <c:strCache>
                <c:ptCount val="2"/>
                <c:pt idx="0">
                  <c:v>How much does GRV volume affect your decision to stop feeds?</c:v>
                </c:pt>
                <c:pt idx="1">
                  <c:v>How much does GRV colour/consistency affect your decision to stop feeds?</c:v>
                </c:pt>
              </c:strCache>
            </c:strRef>
          </c:cat>
          <c:val>
            <c:numRef>
              <c:f>Sheet5!$F$200:$G$200</c:f>
              <c:numCache>
                <c:formatCode>General</c:formatCode>
                <c:ptCount val="2"/>
                <c:pt idx="0">
                  <c:v>3</c:v>
                </c:pt>
                <c:pt idx="1">
                  <c:v>7</c:v>
                </c:pt>
              </c:numCache>
            </c:numRef>
          </c:val>
          <c:extLst>
            <c:ext xmlns:c16="http://schemas.microsoft.com/office/drawing/2014/chart" uri="{C3380CC4-5D6E-409C-BE32-E72D297353CC}">
              <c16:uniqueId val="{00000000-B54F-4347-82E3-C3E0C1C8DBE6}"/>
            </c:ext>
          </c:extLst>
        </c:ser>
        <c:ser>
          <c:idx val="1"/>
          <c:order val="1"/>
          <c:tx>
            <c:strRef>
              <c:f>Sheet5!$E$201</c:f>
              <c:strCache>
                <c:ptCount val="1"/>
                <c:pt idx="0">
                  <c:v>a little</c:v>
                </c:pt>
              </c:strCache>
            </c:strRef>
          </c:tx>
          <c:spPr>
            <a:solidFill>
              <a:schemeClr val="dk1">
                <a:tint val="55000"/>
              </a:schemeClr>
            </a:solidFill>
            <a:ln>
              <a:noFill/>
            </a:ln>
            <a:effectLst/>
          </c:spPr>
          <c:invertIfNegative val="0"/>
          <c:cat>
            <c:strRef>
              <c:f>Sheet5!$F$199:$G$199</c:f>
              <c:strCache>
                <c:ptCount val="2"/>
                <c:pt idx="0">
                  <c:v>How much does GRV volume affect your decision to stop feeds?</c:v>
                </c:pt>
                <c:pt idx="1">
                  <c:v>How much does GRV colour/consistency affect your decision to stop feeds?</c:v>
                </c:pt>
              </c:strCache>
            </c:strRef>
          </c:cat>
          <c:val>
            <c:numRef>
              <c:f>Sheet5!$F$201:$G$201</c:f>
              <c:numCache>
                <c:formatCode>General</c:formatCode>
                <c:ptCount val="2"/>
                <c:pt idx="0">
                  <c:v>11</c:v>
                </c:pt>
                <c:pt idx="1">
                  <c:v>16</c:v>
                </c:pt>
              </c:numCache>
            </c:numRef>
          </c:val>
          <c:extLst>
            <c:ext xmlns:c16="http://schemas.microsoft.com/office/drawing/2014/chart" uri="{C3380CC4-5D6E-409C-BE32-E72D297353CC}">
              <c16:uniqueId val="{00000001-B54F-4347-82E3-C3E0C1C8DBE6}"/>
            </c:ext>
          </c:extLst>
        </c:ser>
        <c:ser>
          <c:idx val="2"/>
          <c:order val="2"/>
          <c:tx>
            <c:strRef>
              <c:f>Sheet5!$E$202</c:f>
              <c:strCache>
                <c:ptCount val="1"/>
                <c:pt idx="0">
                  <c:v>somewhat</c:v>
                </c:pt>
              </c:strCache>
            </c:strRef>
          </c:tx>
          <c:spPr>
            <a:solidFill>
              <a:schemeClr val="dk1">
                <a:tint val="75000"/>
              </a:schemeClr>
            </a:solidFill>
            <a:ln>
              <a:noFill/>
            </a:ln>
            <a:effectLst/>
          </c:spPr>
          <c:invertIfNegative val="0"/>
          <c:cat>
            <c:strRef>
              <c:f>Sheet5!$F$199:$G$199</c:f>
              <c:strCache>
                <c:ptCount val="2"/>
                <c:pt idx="0">
                  <c:v>How much does GRV volume affect your decision to stop feeds?</c:v>
                </c:pt>
                <c:pt idx="1">
                  <c:v>How much does GRV colour/consistency affect your decision to stop feeds?</c:v>
                </c:pt>
              </c:strCache>
            </c:strRef>
          </c:cat>
          <c:val>
            <c:numRef>
              <c:f>Sheet5!$F$202:$G$202</c:f>
              <c:numCache>
                <c:formatCode>General</c:formatCode>
                <c:ptCount val="2"/>
                <c:pt idx="0">
                  <c:v>33</c:v>
                </c:pt>
                <c:pt idx="1">
                  <c:v>28</c:v>
                </c:pt>
              </c:numCache>
            </c:numRef>
          </c:val>
          <c:extLst>
            <c:ext xmlns:c16="http://schemas.microsoft.com/office/drawing/2014/chart" uri="{C3380CC4-5D6E-409C-BE32-E72D297353CC}">
              <c16:uniqueId val="{00000002-B54F-4347-82E3-C3E0C1C8DBE6}"/>
            </c:ext>
          </c:extLst>
        </c:ser>
        <c:ser>
          <c:idx val="3"/>
          <c:order val="3"/>
          <c:tx>
            <c:strRef>
              <c:f>Sheet5!$E$203</c:f>
              <c:strCache>
                <c:ptCount val="1"/>
                <c:pt idx="0">
                  <c:v>a lot</c:v>
                </c:pt>
              </c:strCache>
            </c:strRef>
          </c:tx>
          <c:spPr>
            <a:solidFill>
              <a:schemeClr val="dk1">
                <a:tint val="98500"/>
              </a:schemeClr>
            </a:solidFill>
            <a:ln>
              <a:noFill/>
            </a:ln>
            <a:effectLst/>
          </c:spPr>
          <c:invertIfNegative val="0"/>
          <c:cat>
            <c:strRef>
              <c:f>Sheet5!$F$199:$G$199</c:f>
              <c:strCache>
                <c:ptCount val="2"/>
                <c:pt idx="0">
                  <c:v>How much does GRV volume affect your decision to stop feeds?</c:v>
                </c:pt>
                <c:pt idx="1">
                  <c:v>How much does GRV colour/consistency affect your decision to stop feeds?</c:v>
                </c:pt>
              </c:strCache>
            </c:strRef>
          </c:cat>
          <c:val>
            <c:numRef>
              <c:f>Sheet5!$F$203:$G$203</c:f>
              <c:numCache>
                <c:formatCode>General</c:formatCode>
                <c:ptCount val="2"/>
                <c:pt idx="0">
                  <c:v>34</c:v>
                </c:pt>
                <c:pt idx="1">
                  <c:v>30</c:v>
                </c:pt>
              </c:numCache>
            </c:numRef>
          </c:val>
          <c:extLst>
            <c:ext xmlns:c16="http://schemas.microsoft.com/office/drawing/2014/chart" uri="{C3380CC4-5D6E-409C-BE32-E72D297353CC}">
              <c16:uniqueId val="{00000003-B54F-4347-82E3-C3E0C1C8DBE6}"/>
            </c:ext>
          </c:extLst>
        </c:ser>
        <c:ser>
          <c:idx val="4"/>
          <c:order val="4"/>
          <c:tx>
            <c:strRef>
              <c:f>Sheet5!$E$204</c:f>
              <c:strCache>
                <c:ptCount val="1"/>
                <c:pt idx="0">
                  <c:v>very much</c:v>
                </c:pt>
              </c:strCache>
            </c:strRef>
          </c:tx>
          <c:spPr>
            <a:solidFill>
              <a:schemeClr val="dk1">
                <a:tint val="30000"/>
              </a:schemeClr>
            </a:solidFill>
            <a:ln>
              <a:noFill/>
            </a:ln>
            <a:effectLst/>
          </c:spPr>
          <c:invertIfNegative val="0"/>
          <c:cat>
            <c:strRef>
              <c:f>Sheet5!$F$199:$G$199</c:f>
              <c:strCache>
                <c:ptCount val="2"/>
                <c:pt idx="0">
                  <c:v>How much does GRV volume affect your decision to stop feeds?</c:v>
                </c:pt>
                <c:pt idx="1">
                  <c:v>How much does GRV colour/consistency affect your decision to stop feeds?</c:v>
                </c:pt>
              </c:strCache>
            </c:strRef>
          </c:cat>
          <c:val>
            <c:numRef>
              <c:f>Sheet5!$F$204:$G$204</c:f>
              <c:numCache>
                <c:formatCode>General</c:formatCode>
                <c:ptCount val="2"/>
                <c:pt idx="0">
                  <c:v>13</c:v>
                </c:pt>
                <c:pt idx="1">
                  <c:v>13</c:v>
                </c:pt>
              </c:numCache>
            </c:numRef>
          </c:val>
          <c:extLst>
            <c:ext xmlns:c16="http://schemas.microsoft.com/office/drawing/2014/chart" uri="{C3380CC4-5D6E-409C-BE32-E72D297353CC}">
              <c16:uniqueId val="{00000004-B54F-4347-82E3-C3E0C1C8DBE6}"/>
            </c:ext>
          </c:extLst>
        </c:ser>
        <c:dLbls>
          <c:showLegendKey val="0"/>
          <c:showVal val="0"/>
          <c:showCatName val="0"/>
          <c:showSerName val="0"/>
          <c:showPercent val="0"/>
          <c:showBubbleSize val="0"/>
        </c:dLbls>
        <c:gapWidth val="150"/>
        <c:overlap val="100"/>
        <c:axId val="1184631935"/>
        <c:axId val="1184633599"/>
      </c:barChart>
      <c:catAx>
        <c:axId val="1184631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633599"/>
        <c:crosses val="autoZero"/>
        <c:auto val="1"/>
        <c:lblAlgn val="ctr"/>
        <c:lblOffset val="100"/>
        <c:noMultiLvlLbl val="0"/>
      </c:catAx>
      <c:valAx>
        <c:axId val="118463359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63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F7A833861814BA241A34D8EC24DA8" ma:contentTypeVersion="9" ma:contentTypeDescription="Create a new document." ma:contentTypeScope="" ma:versionID="597954ecbdc0015fddd2f2f505d1e8d4">
  <xsd:schema xmlns:xsd="http://www.w3.org/2001/XMLSchema" xmlns:xs="http://www.w3.org/2001/XMLSchema" xmlns:p="http://schemas.microsoft.com/office/2006/metadata/properties" xmlns:ns3="bc019a3d-8432-4b98-8f8f-f439765c3216" xmlns:ns4="db89723c-164e-4e0b-a46a-31141320e380" targetNamespace="http://schemas.microsoft.com/office/2006/metadata/properties" ma:root="true" ma:fieldsID="cb6b95a177e3fd2fa23e78f2f343c9e0" ns3:_="" ns4:_="">
    <xsd:import namespace="bc019a3d-8432-4b98-8f8f-f439765c3216"/>
    <xsd:import namespace="db89723c-164e-4e0b-a46a-31141320e3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9a3d-8432-4b98-8f8f-f439765c32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9723c-164e-4e0b-a46a-31141320e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89723c-164e-4e0b-a46a-31141320e380" xsi:nil="true"/>
  </documentManagement>
</p:properties>
</file>

<file path=customXml/itemProps1.xml><?xml version="1.0" encoding="utf-8"?>
<ds:datastoreItem xmlns:ds="http://schemas.openxmlformats.org/officeDocument/2006/customXml" ds:itemID="{E559B4B0-F924-42A7-9655-BCEF2C5EF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9a3d-8432-4b98-8f8f-f439765c3216"/>
    <ds:schemaRef ds:uri="db89723c-164e-4e0b-a46a-31141320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4B2CD-F3AA-42FB-9F05-427BCB21F8E2}">
  <ds:schemaRefs>
    <ds:schemaRef ds:uri="http://schemas.microsoft.com/sharepoint/v3/contenttype/forms"/>
  </ds:schemaRefs>
</ds:datastoreItem>
</file>

<file path=customXml/itemProps3.xml><?xml version="1.0" encoding="utf-8"?>
<ds:datastoreItem xmlns:ds="http://schemas.openxmlformats.org/officeDocument/2006/customXml" ds:itemID="{0B80E7F0-1BCE-423D-8EFB-7359E1969082}">
  <ds:schemaRefs>
    <ds:schemaRef ds:uri="http://schemas.openxmlformats.org/package/2006/metadata/core-properties"/>
    <ds:schemaRef ds:uri="http://purl.org/dc/terms/"/>
    <ds:schemaRef ds:uri="http://purl.org/dc/elements/1.1/"/>
    <ds:schemaRef ds:uri="http://schemas.microsoft.com/office/2006/documentManagement/types"/>
    <ds:schemaRef ds:uri="db89723c-164e-4e0b-a46a-31141320e380"/>
    <ds:schemaRef ds:uri="http://www.w3.org/XML/1998/namespace"/>
    <ds:schemaRef ds:uri="http://purl.org/dc/dcmitype/"/>
    <ds:schemaRef ds:uri="bc019a3d-8432-4b98-8f8f-f439765c3216"/>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5737</Words>
  <Characters>32706</Characters>
  <Application>Microsoft Office Word</Application>
  <DocSecurity>0</DocSecurity>
  <Lines>272</Lines>
  <Paragraphs>76</Paragraphs>
  <ScaleCrop>false</ScaleCrop>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Bethan</dc:creator>
  <cp:keywords/>
  <dc:description/>
  <cp:lastModifiedBy>Jenkins, Bethan</cp:lastModifiedBy>
  <cp:revision>4</cp:revision>
  <dcterms:created xsi:type="dcterms:W3CDTF">2023-09-13T13:25:00Z</dcterms:created>
  <dcterms:modified xsi:type="dcterms:W3CDTF">2023-09-13T13:26:00Z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0x010100888F7A833861814BA241A34D8EC24DA8</vt:lpwstr>
  </property>
</Properties>
</file>