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FF95B" w14:textId="09C7704A" w:rsidR="00912CDA" w:rsidRDefault="00FD32AE" w:rsidP="005C04B1">
      <w:pPr>
        <w:spacing w:line="480" w:lineRule="auto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INTER-RATER AGREEMENT </w:t>
      </w:r>
      <w:r w:rsidR="00F3617D">
        <w:rPr>
          <w:b/>
          <w:bCs/>
          <w:sz w:val="24"/>
          <w:szCs w:val="24"/>
          <w:lang w:val="en-US"/>
        </w:rPr>
        <w:t>OF</w:t>
      </w:r>
      <w:r>
        <w:rPr>
          <w:b/>
          <w:bCs/>
          <w:sz w:val="24"/>
          <w:szCs w:val="24"/>
          <w:lang w:val="en-US"/>
        </w:rPr>
        <w:t xml:space="preserve"> SERIAL RADIOGRAPHS TO IDENTIFY NON-PROGRESSION OF INGESTED MULTIPLE MAGNETS IN CHILDREN</w:t>
      </w:r>
      <w:r w:rsidR="00F3617D">
        <w:rPr>
          <w:b/>
          <w:bCs/>
          <w:sz w:val="24"/>
          <w:szCs w:val="24"/>
          <w:lang w:val="en-US"/>
        </w:rPr>
        <w:t>.</w:t>
      </w:r>
    </w:p>
    <w:p w14:paraId="432B74D0" w14:textId="0773958B" w:rsidR="00233B4B" w:rsidRPr="00233B4B" w:rsidRDefault="00233B4B" w:rsidP="005C04B1">
      <w:pPr>
        <w:spacing w:line="480" w:lineRule="auto"/>
        <w:jc w:val="both"/>
        <w:rPr>
          <w:lang w:val="en-US"/>
        </w:rPr>
      </w:pPr>
      <w:r>
        <w:rPr>
          <w:lang w:val="en-US"/>
        </w:rPr>
        <w:t>Paediatric Surgical Trainee Research Network</w:t>
      </w:r>
    </w:p>
    <w:p w14:paraId="17FF93A4" w14:textId="5718290F" w:rsidR="005C04B1" w:rsidRDefault="00AB7A4A" w:rsidP="005C04B1">
      <w:pPr>
        <w:spacing w:line="480" w:lineRule="auto"/>
        <w:jc w:val="both"/>
        <w:rPr>
          <w:lang w:val="en-US"/>
        </w:rPr>
      </w:pPr>
      <w:r>
        <w:rPr>
          <w:lang w:val="en-US"/>
        </w:rPr>
        <w:t>M</w:t>
      </w:r>
      <w:r w:rsidR="003C6C03">
        <w:rPr>
          <w:lang w:val="en-US"/>
        </w:rPr>
        <w:t>ultiple magnet</w:t>
      </w:r>
      <w:r>
        <w:rPr>
          <w:lang w:val="en-US"/>
        </w:rPr>
        <w:t xml:space="preserve"> ingestion (MMI)</w:t>
      </w:r>
      <w:r w:rsidR="003C6C03">
        <w:rPr>
          <w:lang w:val="en-US"/>
        </w:rPr>
        <w:t xml:space="preserve"> by children is</w:t>
      </w:r>
      <w:r w:rsidR="00134EA4">
        <w:rPr>
          <w:lang w:val="en-US"/>
        </w:rPr>
        <w:t xml:space="preserve"> </w:t>
      </w:r>
      <w:r>
        <w:rPr>
          <w:lang w:val="en-US"/>
        </w:rPr>
        <w:t xml:space="preserve">increasing in incidence </w:t>
      </w:r>
      <w:r w:rsidR="003C75D0">
        <w:rPr>
          <w:lang w:val="en-US"/>
        </w:rPr>
        <w:t>[1]</w:t>
      </w:r>
      <w:r w:rsidR="009C1B84">
        <w:rPr>
          <w:lang w:val="en-US"/>
        </w:rPr>
        <w:t>. Magnets can attract one another from different locations within the gastrointestinal tract, causing</w:t>
      </w:r>
      <w:r w:rsidR="00260A37">
        <w:rPr>
          <w:lang w:val="en-US"/>
        </w:rPr>
        <w:t xml:space="preserve"> </w:t>
      </w:r>
      <w:r>
        <w:rPr>
          <w:lang w:val="en-US"/>
        </w:rPr>
        <w:t xml:space="preserve">fistulae, </w:t>
      </w:r>
      <w:proofErr w:type="gramStart"/>
      <w:r>
        <w:rPr>
          <w:lang w:val="en-US"/>
        </w:rPr>
        <w:t>perforation</w:t>
      </w:r>
      <w:proofErr w:type="gramEnd"/>
      <w:r>
        <w:rPr>
          <w:lang w:val="en-US"/>
        </w:rPr>
        <w:t xml:space="preserve"> and</w:t>
      </w:r>
      <w:r w:rsidR="00A570CF">
        <w:rPr>
          <w:lang w:val="en-US"/>
        </w:rPr>
        <w:t xml:space="preserve"> an</w:t>
      </w:r>
      <w:r>
        <w:rPr>
          <w:lang w:val="en-US"/>
        </w:rPr>
        <w:t xml:space="preserve"> increas</w:t>
      </w:r>
      <w:r w:rsidR="00A570CF">
        <w:rPr>
          <w:lang w:val="en-US"/>
        </w:rPr>
        <w:t>ed</w:t>
      </w:r>
      <w:r>
        <w:rPr>
          <w:lang w:val="en-US"/>
        </w:rPr>
        <w:t xml:space="preserve"> risk of segmental volvulus, meaning MMI is</w:t>
      </w:r>
      <w:r w:rsidR="00BC21F6">
        <w:rPr>
          <w:lang w:val="en-US"/>
        </w:rPr>
        <w:t xml:space="preserve"> </w:t>
      </w:r>
      <w:r w:rsidR="005C04B1">
        <w:rPr>
          <w:lang w:val="en-US"/>
        </w:rPr>
        <w:t>associate</w:t>
      </w:r>
      <w:r>
        <w:rPr>
          <w:lang w:val="en-US"/>
        </w:rPr>
        <w:t>d</w:t>
      </w:r>
      <w:r w:rsidR="005C04B1">
        <w:rPr>
          <w:lang w:val="en-US"/>
        </w:rPr>
        <w:t xml:space="preserve"> with a high rate of intervention</w:t>
      </w:r>
      <w:r w:rsidR="003C75D0">
        <w:rPr>
          <w:lang w:val="en-US"/>
        </w:rPr>
        <w:t xml:space="preserve"> [2]</w:t>
      </w:r>
      <w:r w:rsidR="005C04B1">
        <w:rPr>
          <w:lang w:val="en-US"/>
        </w:rPr>
        <w:t>.</w:t>
      </w:r>
      <w:r>
        <w:rPr>
          <w:lang w:val="en-US"/>
        </w:rPr>
        <w:t xml:space="preserve"> </w:t>
      </w:r>
      <w:r w:rsidR="0035777D">
        <w:rPr>
          <w:lang w:val="en-US"/>
        </w:rPr>
        <w:t>M</w:t>
      </w:r>
      <w:r>
        <w:rPr>
          <w:lang w:val="en-US"/>
        </w:rPr>
        <w:t xml:space="preserve">ost children are asymptomatic, </w:t>
      </w:r>
      <w:r w:rsidR="0035777D">
        <w:rPr>
          <w:lang w:val="en-US"/>
        </w:rPr>
        <w:t>so the</w:t>
      </w:r>
      <w:r w:rsidR="003C6C03">
        <w:rPr>
          <w:lang w:val="en-US"/>
        </w:rPr>
        <w:t xml:space="preserve"> decision to </w:t>
      </w:r>
      <w:r w:rsidR="00FA092F">
        <w:rPr>
          <w:lang w:val="en-US"/>
        </w:rPr>
        <w:t>intervene</w:t>
      </w:r>
      <w:r w:rsidR="003C6C03">
        <w:rPr>
          <w:lang w:val="en-US"/>
        </w:rPr>
        <w:t xml:space="preserve"> is </w:t>
      </w:r>
      <w:r>
        <w:rPr>
          <w:lang w:val="en-US"/>
        </w:rPr>
        <w:t xml:space="preserve">commonly determined by </w:t>
      </w:r>
      <w:r w:rsidR="009C1B84">
        <w:rPr>
          <w:lang w:val="en-US"/>
        </w:rPr>
        <w:t>serial plain film radiographs</w:t>
      </w:r>
      <w:r w:rsidR="00BC2941">
        <w:rPr>
          <w:lang w:val="en-US"/>
        </w:rPr>
        <w:t xml:space="preserve"> (XR)</w:t>
      </w:r>
      <w:r>
        <w:rPr>
          <w:lang w:val="en-US"/>
        </w:rPr>
        <w:t xml:space="preserve"> demonstrating the absence of progression </w:t>
      </w:r>
      <w:r w:rsidR="003C75D0">
        <w:rPr>
          <w:lang w:val="en-US"/>
        </w:rPr>
        <w:t>[3]</w:t>
      </w:r>
      <w:r w:rsidR="009C1B84">
        <w:rPr>
          <w:lang w:val="en-US"/>
        </w:rPr>
        <w:t xml:space="preserve">. </w:t>
      </w:r>
      <w:r w:rsidR="00134EA4">
        <w:rPr>
          <w:lang w:val="en-US"/>
        </w:rPr>
        <w:t xml:space="preserve">Current guidelines suggest repeating </w:t>
      </w:r>
      <w:r w:rsidR="00BC2941">
        <w:rPr>
          <w:lang w:val="en-US"/>
        </w:rPr>
        <w:t>XRs</w:t>
      </w:r>
      <w:r w:rsidR="00134EA4">
        <w:rPr>
          <w:lang w:val="en-US"/>
        </w:rPr>
        <w:t xml:space="preserve"> every 6 – 12 hours [4].</w:t>
      </w:r>
    </w:p>
    <w:p w14:paraId="0DA7C3C3" w14:textId="2E056318" w:rsidR="00157723" w:rsidRDefault="00157723" w:rsidP="005C04B1">
      <w:pPr>
        <w:spacing w:line="480" w:lineRule="auto"/>
        <w:jc w:val="both"/>
        <w:rPr>
          <w:lang w:val="en-US"/>
        </w:rPr>
      </w:pPr>
      <w:r>
        <w:rPr>
          <w:lang w:val="en-US"/>
        </w:rPr>
        <w:t>Th</w:t>
      </w:r>
      <w:r w:rsidR="00642809">
        <w:rPr>
          <w:lang w:val="en-US"/>
        </w:rPr>
        <w:t>is</w:t>
      </w:r>
      <w:r>
        <w:rPr>
          <w:lang w:val="en-US"/>
        </w:rPr>
        <w:t xml:space="preserve"> study</w:t>
      </w:r>
      <w:r w:rsidR="003D34FB">
        <w:rPr>
          <w:lang w:val="en-US"/>
        </w:rPr>
        <w:t xml:space="preserve"> aimed</w:t>
      </w:r>
      <w:r>
        <w:rPr>
          <w:lang w:val="en-US"/>
        </w:rPr>
        <w:t xml:space="preserve"> to </w:t>
      </w:r>
      <w:r w:rsidR="00BC21F6">
        <w:rPr>
          <w:lang w:val="en-US"/>
        </w:rPr>
        <w:t>investigate</w:t>
      </w:r>
      <w:r>
        <w:rPr>
          <w:lang w:val="en-US"/>
        </w:rPr>
        <w:t xml:space="preserve"> the</w:t>
      </w:r>
      <w:r w:rsidR="00FA092F">
        <w:rPr>
          <w:lang w:val="en-US"/>
        </w:rPr>
        <w:t xml:space="preserve"> inter-rater</w:t>
      </w:r>
      <w:r>
        <w:rPr>
          <w:lang w:val="en-US"/>
        </w:rPr>
        <w:t xml:space="preserve"> </w:t>
      </w:r>
      <w:r w:rsidR="00F3617D">
        <w:rPr>
          <w:lang w:val="en-US"/>
        </w:rPr>
        <w:t>agreement</w:t>
      </w:r>
      <w:r>
        <w:rPr>
          <w:lang w:val="en-US"/>
        </w:rPr>
        <w:t xml:space="preserve"> of</w:t>
      </w:r>
      <w:r w:rsidR="009565CB">
        <w:rPr>
          <w:lang w:val="en-US"/>
        </w:rPr>
        <w:t xml:space="preserve"> specialist</w:t>
      </w:r>
      <w:r w:rsidR="00BC21F6">
        <w:rPr>
          <w:lang w:val="en-US"/>
        </w:rPr>
        <w:t xml:space="preserve"> </w:t>
      </w:r>
      <w:proofErr w:type="spellStart"/>
      <w:r w:rsidR="00BC21F6">
        <w:rPr>
          <w:lang w:val="en-US"/>
        </w:rPr>
        <w:t>paediatric</w:t>
      </w:r>
      <w:proofErr w:type="spellEnd"/>
      <w:r w:rsidR="00BC21F6">
        <w:rPr>
          <w:lang w:val="en-US"/>
        </w:rPr>
        <w:t xml:space="preserve"> surgeons assessing multiple magnet progression on</w:t>
      </w:r>
      <w:r>
        <w:rPr>
          <w:lang w:val="en-US"/>
        </w:rPr>
        <w:t xml:space="preserve"> serial </w:t>
      </w:r>
      <w:r w:rsidR="00BC2941">
        <w:rPr>
          <w:lang w:val="en-US"/>
        </w:rPr>
        <w:t>XRs</w:t>
      </w:r>
      <w:r w:rsidR="003D34FB">
        <w:rPr>
          <w:lang w:val="en-US"/>
        </w:rPr>
        <w:t xml:space="preserve"> and</w:t>
      </w:r>
      <w:r w:rsidR="00BC21F6">
        <w:rPr>
          <w:lang w:val="en-US"/>
        </w:rPr>
        <w:t xml:space="preserve"> to investigate whether there was</w:t>
      </w:r>
      <w:r w:rsidR="00FA092F">
        <w:rPr>
          <w:lang w:val="en-US"/>
        </w:rPr>
        <w:t xml:space="preserve"> variation </w:t>
      </w:r>
      <w:r w:rsidR="00BC21F6">
        <w:rPr>
          <w:lang w:val="en-US"/>
        </w:rPr>
        <w:t xml:space="preserve">in </w:t>
      </w:r>
      <w:r w:rsidR="009565CB">
        <w:rPr>
          <w:lang w:val="en-US"/>
        </w:rPr>
        <w:t xml:space="preserve">subsequent </w:t>
      </w:r>
      <w:r w:rsidR="007B14BB">
        <w:rPr>
          <w:lang w:val="en-US"/>
        </w:rPr>
        <w:t>management</w:t>
      </w:r>
      <w:r w:rsidR="00BC21F6">
        <w:rPr>
          <w:lang w:val="en-US"/>
        </w:rPr>
        <w:t>.</w:t>
      </w:r>
      <w:r w:rsidR="00D921D8">
        <w:rPr>
          <w:lang w:val="en-US"/>
        </w:rPr>
        <w:t xml:space="preserve"> </w:t>
      </w:r>
      <w:r w:rsidR="00BC4CB2">
        <w:rPr>
          <w:lang w:val="en-US"/>
        </w:rPr>
        <w:t>S</w:t>
      </w:r>
      <w:r w:rsidR="00D921D8">
        <w:rPr>
          <w:lang w:val="en-US"/>
        </w:rPr>
        <w:t xml:space="preserve">urgeons were surveyed </w:t>
      </w:r>
      <w:r w:rsidR="0025061F">
        <w:rPr>
          <w:lang w:val="en-US"/>
        </w:rPr>
        <w:t xml:space="preserve">as they </w:t>
      </w:r>
      <w:r w:rsidR="00E17CE3">
        <w:rPr>
          <w:lang w:val="en-US"/>
        </w:rPr>
        <w:t xml:space="preserve">typically </w:t>
      </w:r>
      <w:r w:rsidR="00634C8F">
        <w:rPr>
          <w:lang w:val="en-US"/>
        </w:rPr>
        <w:t>make the decision</w:t>
      </w:r>
      <w:r w:rsidR="0025061F">
        <w:rPr>
          <w:lang w:val="en-US"/>
        </w:rPr>
        <w:t xml:space="preserve"> to intervene</w:t>
      </w:r>
      <w:r w:rsidR="008C1B83">
        <w:rPr>
          <w:lang w:val="en-US"/>
        </w:rPr>
        <w:t xml:space="preserve"> endoscopically or surgically</w:t>
      </w:r>
      <w:r w:rsidR="0025061F">
        <w:rPr>
          <w:lang w:val="en-US"/>
        </w:rPr>
        <w:t>.</w:t>
      </w:r>
    </w:p>
    <w:p w14:paraId="12E88C08" w14:textId="4205EFBB" w:rsidR="00E967E3" w:rsidRDefault="00912AE6" w:rsidP="005C04B1">
      <w:p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An online survey was </w:t>
      </w:r>
      <w:r w:rsidR="009C20B7">
        <w:rPr>
          <w:lang w:val="en-US"/>
        </w:rPr>
        <w:t xml:space="preserve">disseminated to </w:t>
      </w:r>
      <w:proofErr w:type="spellStart"/>
      <w:r w:rsidR="009C20B7">
        <w:rPr>
          <w:lang w:val="en-US"/>
        </w:rPr>
        <w:t>p</w:t>
      </w:r>
      <w:r>
        <w:rPr>
          <w:lang w:val="en-US"/>
        </w:rPr>
        <w:t>aediatric</w:t>
      </w:r>
      <w:proofErr w:type="spellEnd"/>
      <w:r>
        <w:rPr>
          <w:lang w:val="en-US"/>
        </w:rPr>
        <w:t xml:space="preserve"> surgeons</w:t>
      </w:r>
      <w:r w:rsidR="00FA092F">
        <w:rPr>
          <w:lang w:val="en-US"/>
        </w:rPr>
        <w:t xml:space="preserve">. </w:t>
      </w:r>
      <w:r w:rsidR="00E967E3">
        <w:rPr>
          <w:lang w:val="en-US"/>
        </w:rPr>
        <w:t xml:space="preserve">Four serial </w:t>
      </w:r>
      <w:proofErr w:type="spellStart"/>
      <w:r w:rsidR="00E967E3">
        <w:rPr>
          <w:lang w:val="en-US"/>
        </w:rPr>
        <w:t>a</w:t>
      </w:r>
      <w:r w:rsidR="007B14BB">
        <w:rPr>
          <w:lang w:val="en-US"/>
        </w:rPr>
        <w:t>nonymised</w:t>
      </w:r>
      <w:proofErr w:type="spellEnd"/>
      <w:r w:rsidR="007B14BB">
        <w:rPr>
          <w:lang w:val="en-US"/>
        </w:rPr>
        <w:t xml:space="preserve"> </w:t>
      </w:r>
      <w:r w:rsidR="00BF31FF">
        <w:rPr>
          <w:lang w:val="en-US"/>
        </w:rPr>
        <w:t>abdominal</w:t>
      </w:r>
      <w:r w:rsidR="006D5F14">
        <w:rPr>
          <w:lang w:val="en-US"/>
        </w:rPr>
        <w:t xml:space="preserve"> XR</w:t>
      </w:r>
      <w:r w:rsidR="00BF31FF">
        <w:rPr>
          <w:lang w:val="en-US"/>
        </w:rPr>
        <w:t xml:space="preserve"> </w:t>
      </w:r>
      <w:r w:rsidR="007B14BB">
        <w:rPr>
          <w:lang w:val="en-US"/>
        </w:rPr>
        <w:t xml:space="preserve">(AXR) from </w:t>
      </w:r>
      <w:r w:rsidR="00793E5C">
        <w:rPr>
          <w:lang w:val="en-US"/>
        </w:rPr>
        <w:t>f</w:t>
      </w:r>
      <w:r w:rsidR="007B14BB">
        <w:rPr>
          <w:lang w:val="en-US"/>
        </w:rPr>
        <w:t xml:space="preserve">our </w:t>
      </w:r>
      <w:r w:rsidR="00BF31FF">
        <w:rPr>
          <w:lang w:val="en-US"/>
        </w:rPr>
        <w:t>children</w:t>
      </w:r>
      <w:r w:rsidR="007B14BB">
        <w:rPr>
          <w:lang w:val="en-US"/>
        </w:rPr>
        <w:t xml:space="preserve"> </w:t>
      </w:r>
      <w:r w:rsidR="00A570CF">
        <w:rPr>
          <w:lang w:val="en-US"/>
        </w:rPr>
        <w:t>after MMI</w:t>
      </w:r>
      <w:r w:rsidR="007B14BB">
        <w:rPr>
          <w:lang w:val="en-US"/>
        </w:rPr>
        <w:t xml:space="preserve"> were </w:t>
      </w:r>
      <w:r w:rsidR="00E967E3">
        <w:rPr>
          <w:lang w:val="en-US"/>
        </w:rPr>
        <w:t xml:space="preserve">shown </w:t>
      </w:r>
      <w:r w:rsidR="00793E5C">
        <w:rPr>
          <w:lang w:val="en-US"/>
        </w:rPr>
        <w:t>sequentially</w:t>
      </w:r>
      <w:r w:rsidR="00E967E3">
        <w:rPr>
          <w:lang w:val="en-US"/>
        </w:rPr>
        <w:t xml:space="preserve"> to s</w:t>
      </w:r>
      <w:r w:rsidR="00BC21F6">
        <w:rPr>
          <w:lang w:val="en-US"/>
        </w:rPr>
        <w:t>urvey p</w:t>
      </w:r>
      <w:r w:rsidR="00BF31FF">
        <w:rPr>
          <w:lang w:val="en-US"/>
        </w:rPr>
        <w:t xml:space="preserve">articipants (Figure 1). </w:t>
      </w:r>
      <w:r w:rsidR="00BC21F6">
        <w:rPr>
          <w:lang w:val="en-US"/>
        </w:rPr>
        <w:t>The tim</w:t>
      </w:r>
      <w:r w:rsidR="00793E5C">
        <w:rPr>
          <w:lang w:val="en-US"/>
        </w:rPr>
        <w:t xml:space="preserve">ing of </w:t>
      </w:r>
      <w:r w:rsidR="00BC21F6">
        <w:rPr>
          <w:lang w:val="en-US"/>
        </w:rPr>
        <w:t>each AX</w:t>
      </w:r>
      <w:r w:rsidR="002513DB">
        <w:rPr>
          <w:lang w:val="en-US"/>
        </w:rPr>
        <w:t>R</w:t>
      </w:r>
      <w:r w:rsidR="00793E5C">
        <w:rPr>
          <w:lang w:val="en-US"/>
        </w:rPr>
        <w:t xml:space="preserve"> after the f</w:t>
      </w:r>
      <w:r w:rsidR="00BC21F6">
        <w:rPr>
          <w:lang w:val="en-US"/>
        </w:rPr>
        <w:t xml:space="preserve">irst was shown in hours. </w:t>
      </w:r>
      <w:r w:rsidR="00BF31FF">
        <w:rPr>
          <w:lang w:val="en-US"/>
        </w:rPr>
        <w:t>After each AXR</w:t>
      </w:r>
      <w:r w:rsidR="000C6569">
        <w:rPr>
          <w:lang w:val="en-US"/>
        </w:rPr>
        <w:t xml:space="preserve">, </w:t>
      </w:r>
      <w:r w:rsidR="00BF31FF">
        <w:rPr>
          <w:lang w:val="en-US"/>
        </w:rPr>
        <w:t>participants were asked whether the</w:t>
      </w:r>
      <w:r w:rsidR="00BC21F6">
        <w:rPr>
          <w:lang w:val="en-US"/>
        </w:rPr>
        <w:t>y thought the</w:t>
      </w:r>
      <w:r w:rsidR="00BF31FF">
        <w:rPr>
          <w:lang w:val="en-US"/>
        </w:rPr>
        <w:t xml:space="preserve"> magnets had </w:t>
      </w:r>
      <w:r w:rsidR="00FA092F">
        <w:rPr>
          <w:lang w:val="en-US"/>
        </w:rPr>
        <w:t>progressed</w:t>
      </w:r>
      <w:r w:rsidR="00BF31FF">
        <w:rPr>
          <w:lang w:val="en-US"/>
        </w:rPr>
        <w:t xml:space="preserve"> (yes, no</w:t>
      </w:r>
      <w:r w:rsidR="00216790">
        <w:rPr>
          <w:lang w:val="en-US"/>
        </w:rPr>
        <w:t>,</w:t>
      </w:r>
      <w:r w:rsidR="00FA092F">
        <w:rPr>
          <w:lang w:val="en-US"/>
        </w:rPr>
        <w:t xml:space="preserve"> or </w:t>
      </w:r>
      <w:r w:rsidR="001A3094">
        <w:rPr>
          <w:lang w:val="en-US"/>
        </w:rPr>
        <w:t>unknown</w:t>
      </w:r>
      <w:r w:rsidR="00BF31FF">
        <w:rPr>
          <w:lang w:val="en-US"/>
        </w:rPr>
        <w:t xml:space="preserve">) and their </w:t>
      </w:r>
      <w:r w:rsidR="0047169E">
        <w:rPr>
          <w:lang w:val="en-US"/>
        </w:rPr>
        <w:t>subsequent management</w:t>
      </w:r>
      <w:r w:rsidR="00F2713F">
        <w:rPr>
          <w:lang w:val="en-US"/>
        </w:rPr>
        <w:t xml:space="preserve"> (discharge with safety</w:t>
      </w:r>
      <w:r w:rsidR="000E6088">
        <w:rPr>
          <w:lang w:val="en-US"/>
        </w:rPr>
        <w:t>-</w:t>
      </w:r>
      <w:r w:rsidR="00F2713F">
        <w:rPr>
          <w:lang w:val="en-US"/>
        </w:rPr>
        <w:t xml:space="preserve">netting, repeat AXR 6 – 12 hours, </w:t>
      </w:r>
      <w:r w:rsidR="00FA092F">
        <w:rPr>
          <w:lang w:val="en-US"/>
        </w:rPr>
        <w:t>repeat</w:t>
      </w:r>
      <w:r w:rsidR="00886117">
        <w:rPr>
          <w:lang w:val="en-US"/>
        </w:rPr>
        <w:t xml:space="preserve"> </w:t>
      </w:r>
      <w:r w:rsidR="00567E9C">
        <w:rPr>
          <w:lang w:val="en-US"/>
        </w:rPr>
        <w:t>AXR</w:t>
      </w:r>
      <w:r w:rsidR="00886117">
        <w:rPr>
          <w:lang w:val="en-US"/>
        </w:rPr>
        <w:t xml:space="preserve"> </w:t>
      </w:r>
      <w:r w:rsidR="00F2713F">
        <w:rPr>
          <w:lang w:val="en-US"/>
        </w:rPr>
        <w:t xml:space="preserve">12 – 24 hours, </w:t>
      </w:r>
      <w:r w:rsidR="00FA092F">
        <w:rPr>
          <w:lang w:val="en-US"/>
        </w:rPr>
        <w:t>repeat</w:t>
      </w:r>
      <w:r w:rsidR="00886117">
        <w:rPr>
          <w:lang w:val="en-US"/>
        </w:rPr>
        <w:t xml:space="preserve"> </w:t>
      </w:r>
      <w:r w:rsidR="00567E9C">
        <w:rPr>
          <w:lang w:val="en-US"/>
        </w:rPr>
        <w:t>AXR</w:t>
      </w:r>
      <w:r w:rsidR="00886117">
        <w:rPr>
          <w:lang w:val="en-US"/>
        </w:rPr>
        <w:t xml:space="preserve"> </w:t>
      </w:r>
      <w:r w:rsidR="00F2713F">
        <w:rPr>
          <w:lang w:val="en-US"/>
        </w:rPr>
        <w:t xml:space="preserve">24 – 48 hours, </w:t>
      </w:r>
      <w:r w:rsidR="00FA092F">
        <w:rPr>
          <w:lang w:val="en-US"/>
        </w:rPr>
        <w:t>repeat</w:t>
      </w:r>
      <w:r w:rsidR="00886117">
        <w:rPr>
          <w:lang w:val="en-US"/>
        </w:rPr>
        <w:t xml:space="preserve"> </w:t>
      </w:r>
      <w:r w:rsidR="00567E9C">
        <w:rPr>
          <w:lang w:val="en-US"/>
        </w:rPr>
        <w:t>AXR</w:t>
      </w:r>
      <w:r w:rsidR="00886117">
        <w:rPr>
          <w:lang w:val="en-US"/>
        </w:rPr>
        <w:t xml:space="preserve"> </w:t>
      </w:r>
      <w:r w:rsidR="00F2713F">
        <w:rPr>
          <w:lang w:val="en-US"/>
        </w:rPr>
        <w:t>&gt;48 hours, endoscopic retrieval, laparoscopic retrieval</w:t>
      </w:r>
      <w:r w:rsidR="00216790">
        <w:rPr>
          <w:lang w:val="en-US"/>
        </w:rPr>
        <w:t>,</w:t>
      </w:r>
      <w:r w:rsidR="00F2713F">
        <w:rPr>
          <w:lang w:val="en-US"/>
        </w:rPr>
        <w:t xml:space="preserve"> or laparotomy and retrieval)</w:t>
      </w:r>
      <w:r w:rsidR="00F52AAD">
        <w:rPr>
          <w:lang w:val="en-US"/>
        </w:rPr>
        <w:t xml:space="preserve"> assuming the child was asymptomatic</w:t>
      </w:r>
      <w:r w:rsidR="00F2713F">
        <w:rPr>
          <w:lang w:val="en-US"/>
        </w:rPr>
        <w:t xml:space="preserve">. </w:t>
      </w:r>
      <w:r w:rsidR="00FE2D37">
        <w:rPr>
          <w:lang w:val="en-US"/>
        </w:rPr>
        <w:t>The outcome</w:t>
      </w:r>
      <w:r w:rsidR="00CE050F">
        <w:rPr>
          <w:lang w:val="en-US"/>
        </w:rPr>
        <w:t>s</w:t>
      </w:r>
      <w:r w:rsidR="00FE2D37">
        <w:rPr>
          <w:lang w:val="en-US"/>
        </w:rPr>
        <w:t xml:space="preserve"> (</w:t>
      </w:r>
      <w:r w:rsidR="00F52AAD">
        <w:rPr>
          <w:lang w:val="en-US"/>
        </w:rPr>
        <w:t>un</w:t>
      </w:r>
      <w:r w:rsidR="00FE2D37">
        <w:rPr>
          <w:lang w:val="en-US"/>
        </w:rPr>
        <w:t xml:space="preserve">disclosed to participants) </w:t>
      </w:r>
      <w:r w:rsidR="00CE050F">
        <w:rPr>
          <w:lang w:val="en-US"/>
        </w:rPr>
        <w:t>were</w:t>
      </w:r>
      <w:r w:rsidR="00264674">
        <w:rPr>
          <w:lang w:val="en-US"/>
        </w:rPr>
        <w:t xml:space="preserve"> that</w:t>
      </w:r>
      <w:r w:rsidR="00FE2D37">
        <w:rPr>
          <w:lang w:val="en-US"/>
        </w:rPr>
        <w:t xml:space="preserve"> t</w:t>
      </w:r>
      <w:r w:rsidR="00E967E3">
        <w:rPr>
          <w:lang w:val="en-US"/>
        </w:rPr>
        <w:t>wo children passed the magnets without intervention</w:t>
      </w:r>
      <w:r w:rsidR="00FE2D37">
        <w:rPr>
          <w:lang w:val="en-US"/>
        </w:rPr>
        <w:t xml:space="preserve"> and t</w:t>
      </w:r>
      <w:r w:rsidR="00E967E3">
        <w:rPr>
          <w:lang w:val="en-US"/>
        </w:rPr>
        <w:t xml:space="preserve">wo children developed </w:t>
      </w:r>
      <w:r w:rsidR="00FE2D37">
        <w:rPr>
          <w:lang w:val="en-US"/>
        </w:rPr>
        <w:t xml:space="preserve">intestinal </w:t>
      </w:r>
      <w:r w:rsidR="00E967E3">
        <w:rPr>
          <w:lang w:val="en-US"/>
        </w:rPr>
        <w:t xml:space="preserve">fistulae </w:t>
      </w:r>
      <w:r w:rsidR="00FE2D37">
        <w:rPr>
          <w:lang w:val="en-US"/>
        </w:rPr>
        <w:t xml:space="preserve">requiring surgical treatment and </w:t>
      </w:r>
      <w:r w:rsidR="00B02016">
        <w:rPr>
          <w:lang w:val="en-US"/>
        </w:rPr>
        <w:t>retrieval</w:t>
      </w:r>
      <w:r w:rsidR="00FE2D37">
        <w:rPr>
          <w:lang w:val="en-US"/>
        </w:rPr>
        <w:t xml:space="preserve">. </w:t>
      </w:r>
    </w:p>
    <w:p w14:paraId="17BA2B63" w14:textId="78CAA429" w:rsidR="004C2463" w:rsidRDefault="004C2463" w:rsidP="005C04B1">
      <w:pPr>
        <w:spacing w:line="480" w:lineRule="auto"/>
        <w:jc w:val="both"/>
        <w:rPr>
          <w:lang w:val="en-US"/>
        </w:rPr>
      </w:pPr>
      <w:r>
        <w:rPr>
          <w:lang w:val="en-US"/>
        </w:rPr>
        <w:lastRenderedPageBreak/>
        <w:t xml:space="preserve">Agreement of the assessment of progression and </w:t>
      </w:r>
      <w:r w:rsidR="000E6088">
        <w:rPr>
          <w:lang w:val="en-US"/>
        </w:rPr>
        <w:t>subsequent</w:t>
      </w:r>
      <w:r>
        <w:rPr>
          <w:lang w:val="en-US"/>
        </w:rPr>
        <w:t xml:space="preserve"> management were evaluated using </w:t>
      </w:r>
      <w:proofErr w:type="spellStart"/>
      <w:r>
        <w:rPr>
          <w:lang w:val="en-US"/>
        </w:rPr>
        <w:t>Krippendorf</w:t>
      </w:r>
      <w:r w:rsidR="005D7264">
        <w:rPr>
          <w:lang w:val="en-US"/>
        </w:rPr>
        <w:t>f</w:t>
      </w:r>
      <w:r>
        <w:rPr>
          <w:lang w:val="en-US"/>
        </w:rPr>
        <w:t>’s</w:t>
      </w:r>
      <w:proofErr w:type="spellEnd"/>
      <w:r>
        <w:rPr>
          <w:lang w:val="en-US"/>
        </w:rPr>
        <w:t xml:space="preserve"> alpha</w:t>
      </w:r>
      <w:r w:rsidR="002D3DB9">
        <w:rPr>
          <w:lang w:val="en-US"/>
        </w:rPr>
        <w:t xml:space="preserve"> (KA)</w:t>
      </w:r>
      <w:r>
        <w:rPr>
          <w:lang w:val="en-US"/>
        </w:rPr>
        <w:t xml:space="preserve"> coefficient</w:t>
      </w:r>
      <w:r w:rsidR="00B47E2C">
        <w:rPr>
          <w:lang w:val="en-US"/>
        </w:rPr>
        <w:t xml:space="preserve"> with </w:t>
      </w:r>
      <w:r w:rsidR="00BC21F6">
        <w:rPr>
          <w:lang w:val="en-US"/>
        </w:rPr>
        <w:t xml:space="preserve">bootstrapped </w:t>
      </w:r>
      <w:r w:rsidR="00B47E2C">
        <w:rPr>
          <w:lang w:val="en-US"/>
        </w:rPr>
        <w:t>95% confidence intervals (CI)</w:t>
      </w:r>
      <w:r>
        <w:rPr>
          <w:lang w:val="en-US"/>
        </w:rPr>
        <w:t xml:space="preserve">. </w:t>
      </w:r>
      <w:r w:rsidR="002D3DB9">
        <w:rPr>
          <w:rFonts w:cstheme="minorHAnsi"/>
          <w:lang w:val="en-US"/>
        </w:rPr>
        <w:t>KA</w:t>
      </w:r>
      <w:r w:rsidR="001E5B63">
        <w:rPr>
          <w:rFonts w:cstheme="minorHAnsi"/>
          <w:lang w:val="en-US"/>
        </w:rPr>
        <w:t xml:space="preserve"> </w:t>
      </w:r>
      <w:r>
        <w:rPr>
          <w:lang w:val="en-US"/>
        </w:rPr>
        <w:t>&gt;0.8 indicates strong agreement</w:t>
      </w:r>
      <w:r w:rsidR="00264674">
        <w:rPr>
          <w:lang w:val="en-US"/>
        </w:rPr>
        <w:t xml:space="preserve"> and </w:t>
      </w:r>
      <w:r w:rsidR="00C633BD">
        <w:rPr>
          <w:lang w:val="en-US"/>
        </w:rPr>
        <w:t>&lt;</w:t>
      </w:r>
      <w:r w:rsidR="00264674">
        <w:rPr>
          <w:lang w:val="en-US"/>
        </w:rPr>
        <w:t xml:space="preserve">0.6 indicates </w:t>
      </w:r>
      <w:r w:rsidR="002513DB">
        <w:rPr>
          <w:lang w:val="en-US"/>
        </w:rPr>
        <w:t>low</w:t>
      </w:r>
      <w:r w:rsidR="00264674">
        <w:rPr>
          <w:lang w:val="en-US"/>
        </w:rPr>
        <w:t xml:space="preserve"> agreement</w:t>
      </w:r>
      <w:r>
        <w:rPr>
          <w:lang w:val="en-US"/>
        </w:rPr>
        <w:t xml:space="preserve">. </w:t>
      </w:r>
    </w:p>
    <w:p w14:paraId="4D478069" w14:textId="1108A0D3" w:rsidR="002D3DB9" w:rsidRDefault="00E53C8C" w:rsidP="008614F4">
      <w:p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Thirty </w:t>
      </w:r>
      <w:proofErr w:type="spellStart"/>
      <w:r>
        <w:rPr>
          <w:lang w:val="en-US"/>
        </w:rPr>
        <w:t>paediatric</w:t>
      </w:r>
      <w:proofErr w:type="spellEnd"/>
      <w:r>
        <w:rPr>
          <w:lang w:val="en-US"/>
        </w:rPr>
        <w:t xml:space="preserve"> surgeons completed the survey</w:t>
      </w:r>
      <w:r w:rsidR="00CE4B1D">
        <w:rPr>
          <w:lang w:val="en-US"/>
        </w:rPr>
        <w:t>:</w:t>
      </w:r>
      <w:r>
        <w:rPr>
          <w:lang w:val="en-US"/>
        </w:rPr>
        <w:t xml:space="preserve"> 10 </w:t>
      </w:r>
      <w:r w:rsidR="00F65172">
        <w:rPr>
          <w:lang w:val="en-US"/>
        </w:rPr>
        <w:t xml:space="preserve">(33%) </w:t>
      </w:r>
      <w:r>
        <w:rPr>
          <w:lang w:val="en-US"/>
        </w:rPr>
        <w:t>consultant</w:t>
      </w:r>
      <w:r w:rsidR="00FF5831">
        <w:rPr>
          <w:lang w:val="en-US"/>
        </w:rPr>
        <w:t>s</w:t>
      </w:r>
      <w:r>
        <w:rPr>
          <w:lang w:val="en-US"/>
        </w:rPr>
        <w:t>, 17</w:t>
      </w:r>
      <w:r w:rsidR="00F65172">
        <w:rPr>
          <w:lang w:val="en-US"/>
        </w:rPr>
        <w:t xml:space="preserve"> (57%)</w:t>
      </w:r>
      <w:r>
        <w:rPr>
          <w:lang w:val="en-US"/>
        </w:rPr>
        <w:t xml:space="preserve"> ST5 – ST7</w:t>
      </w:r>
      <w:r w:rsidR="00F65172">
        <w:rPr>
          <w:lang w:val="en-US"/>
        </w:rPr>
        <w:t xml:space="preserve"> trainees, </w:t>
      </w:r>
      <w:r>
        <w:rPr>
          <w:lang w:val="en-US"/>
        </w:rPr>
        <w:t xml:space="preserve">and </w:t>
      </w:r>
      <w:r w:rsidR="00C943D8">
        <w:rPr>
          <w:lang w:val="en-US"/>
        </w:rPr>
        <w:t>three</w:t>
      </w:r>
      <w:r w:rsidR="00F65172">
        <w:rPr>
          <w:lang w:val="en-US"/>
        </w:rPr>
        <w:t xml:space="preserve"> (10%)</w:t>
      </w:r>
      <w:r>
        <w:rPr>
          <w:lang w:val="en-US"/>
        </w:rPr>
        <w:t xml:space="preserve"> junior trainees</w:t>
      </w:r>
      <w:r w:rsidR="0008784D">
        <w:rPr>
          <w:lang w:val="en-US"/>
        </w:rPr>
        <w:t xml:space="preserve"> (</w:t>
      </w:r>
      <w:r w:rsidR="00FF5831">
        <w:rPr>
          <w:rFonts w:cstheme="minorHAnsi"/>
          <w:lang w:val="en-US"/>
        </w:rPr>
        <w:t>≤</w:t>
      </w:r>
      <w:r w:rsidR="0008784D">
        <w:rPr>
          <w:lang w:val="en-US"/>
        </w:rPr>
        <w:t>ST4)</w:t>
      </w:r>
      <w:r w:rsidR="00F65172">
        <w:rPr>
          <w:lang w:val="en-US"/>
        </w:rPr>
        <w:t>. Experience</w:t>
      </w:r>
      <w:r w:rsidR="002D3DB9">
        <w:rPr>
          <w:lang w:val="en-US"/>
        </w:rPr>
        <w:t>s</w:t>
      </w:r>
      <w:r w:rsidR="00F65172">
        <w:rPr>
          <w:lang w:val="en-US"/>
        </w:rPr>
        <w:t xml:space="preserve"> </w:t>
      </w:r>
      <w:r w:rsidR="002D3DB9">
        <w:rPr>
          <w:lang w:val="en-US"/>
        </w:rPr>
        <w:t xml:space="preserve">of </w:t>
      </w:r>
      <w:r w:rsidR="006A3C79">
        <w:rPr>
          <w:lang w:val="en-US"/>
        </w:rPr>
        <w:t>MMI</w:t>
      </w:r>
      <w:r w:rsidR="002D3DB9">
        <w:rPr>
          <w:lang w:val="en-US"/>
        </w:rPr>
        <w:t xml:space="preserve"> varied,</w:t>
      </w:r>
      <w:r w:rsidR="00F65172">
        <w:rPr>
          <w:lang w:val="en-US"/>
        </w:rPr>
        <w:t xml:space="preserve"> with </w:t>
      </w:r>
      <w:r w:rsidR="00732058">
        <w:rPr>
          <w:lang w:val="en-US"/>
        </w:rPr>
        <w:t>9/30</w:t>
      </w:r>
      <w:r w:rsidR="00F65172">
        <w:rPr>
          <w:lang w:val="en-US"/>
        </w:rPr>
        <w:t xml:space="preserve"> (30%) involv</w:t>
      </w:r>
      <w:r w:rsidR="001E5B63">
        <w:rPr>
          <w:lang w:val="en-US"/>
        </w:rPr>
        <w:t>ed</w:t>
      </w:r>
      <w:r w:rsidR="00F65172">
        <w:rPr>
          <w:lang w:val="en-US"/>
        </w:rPr>
        <w:t xml:space="preserve"> in &lt;10 cases, </w:t>
      </w:r>
      <w:r w:rsidR="00732058">
        <w:rPr>
          <w:lang w:val="en-US"/>
        </w:rPr>
        <w:t>19/30</w:t>
      </w:r>
      <w:r w:rsidR="00F65172">
        <w:rPr>
          <w:lang w:val="en-US"/>
        </w:rPr>
        <w:t xml:space="preserve"> (63%) involved in 10 – 50 cases, and </w:t>
      </w:r>
      <w:r w:rsidR="00732058">
        <w:rPr>
          <w:lang w:val="en-US"/>
        </w:rPr>
        <w:t>2/30</w:t>
      </w:r>
      <w:r w:rsidR="00F65172">
        <w:rPr>
          <w:lang w:val="en-US"/>
        </w:rPr>
        <w:t xml:space="preserve"> (7%) involved in &gt;50 cases.</w:t>
      </w:r>
      <w:r w:rsidR="00A826DD">
        <w:rPr>
          <w:lang w:val="en-US"/>
        </w:rPr>
        <w:t xml:space="preserve"> </w:t>
      </w:r>
    </w:p>
    <w:p w14:paraId="31599EAF" w14:textId="79404948" w:rsidR="008614F4" w:rsidRDefault="00A826DD" w:rsidP="008614F4">
      <w:pPr>
        <w:spacing w:line="480" w:lineRule="auto"/>
        <w:jc w:val="both"/>
        <w:rPr>
          <w:lang w:val="en-US"/>
        </w:rPr>
      </w:pPr>
      <w:r>
        <w:rPr>
          <w:lang w:val="en-US"/>
        </w:rPr>
        <w:t>Fo</w:t>
      </w:r>
      <w:r w:rsidR="00264674">
        <w:rPr>
          <w:lang w:val="en-US"/>
        </w:rPr>
        <w:t xml:space="preserve">r </w:t>
      </w:r>
      <w:r w:rsidR="00793E5C">
        <w:rPr>
          <w:lang w:val="en-US"/>
        </w:rPr>
        <w:t>each individual AXR reviewed there was low agreement between respondents for both assessment of</w:t>
      </w:r>
      <w:r>
        <w:rPr>
          <w:lang w:val="en-US"/>
        </w:rPr>
        <w:t xml:space="preserve"> multiple magnet</w:t>
      </w:r>
      <w:r w:rsidR="002D3DB9">
        <w:rPr>
          <w:lang w:val="en-US"/>
        </w:rPr>
        <w:t xml:space="preserve"> progression,</w:t>
      </w:r>
      <w:r>
        <w:rPr>
          <w:lang w:val="en-US"/>
        </w:rPr>
        <w:t xml:space="preserve"> </w:t>
      </w:r>
      <w:r w:rsidR="002D3DB9">
        <w:rPr>
          <w:lang w:val="en-US"/>
        </w:rPr>
        <w:t>KA</w:t>
      </w:r>
      <w:r>
        <w:rPr>
          <w:lang w:val="en-US"/>
        </w:rPr>
        <w:t>=0.544 (CI 0.345 – 0.724)</w:t>
      </w:r>
      <w:r w:rsidR="00054312">
        <w:rPr>
          <w:lang w:val="en-US"/>
        </w:rPr>
        <w:t xml:space="preserve"> and </w:t>
      </w:r>
      <w:r w:rsidR="00C01C7C">
        <w:rPr>
          <w:lang w:val="en-US"/>
        </w:rPr>
        <w:t>subsequent</w:t>
      </w:r>
      <w:r w:rsidR="002E4FBA">
        <w:rPr>
          <w:lang w:val="en-US"/>
        </w:rPr>
        <w:t xml:space="preserve"> </w:t>
      </w:r>
      <w:r>
        <w:rPr>
          <w:lang w:val="en-US"/>
        </w:rPr>
        <w:t>management</w:t>
      </w:r>
      <w:r w:rsidR="00C943D8">
        <w:rPr>
          <w:lang w:val="en-US"/>
        </w:rPr>
        <w:t>,</w:t>
      </w:r>
      <w:r>
        <w:rPr>
          <w:lang w:val="en-US"/>
        </w:rPr>
        <w:t xml:space="preserve"> </w:t>
      </w:r>
      <w:r w:rsidR="002D3DB9">
        <w:rPr>
          <w:lang w:val="en-US"/>
        </w:rPr>
        <w:t>KA</w:t>
      </w:r>
      <w:r>
        <w:rPr>
          <w:lang w:val="en-US"/>
        </w:rPr>
        <w:t>=0.431 (</w:t>
      </w:r>
      <w:r w:rsidR="00340F8B">
        <w:rPr>
          <w:lang w:val="en-US"/>
        </w:rPr>
        <w:t xml:space="preserve">CI </w:t>
      </w:r>
      <w:r>
        <w:rPr>
          <w:lang w:val="en-US"/>
        </w:rPr>
        <w:t>0.215 – 0.666).</w:t>
      </w:r>
      <w:r w:rsidR="003F5A77">
        <w:rPr>
          <w:lang w:val="en-US"/>
        </w:rPr>
        <w:t xml:space="preserve"> </w:t>
      </w:r>
      <w:r w:rsidR="00721680">
        <w:rPr>
          <w:lang w:val="en-US"/>
        </w:rPr>
        <w:t>C</w:t>
      </w:r>
      <w:r w:rsidR="009565CB">
        <w:rPr>
          <w:lang w:val="en-US"/>
        </w:rPr>
        <w:t>lassifying</w:t>
      </w:r>
      <w:r w:rsidR="00C01C7C">
        <w:rPr>
          <w:lang w:val="en-US"/>
        </w:rPr>
        <w:t xml:space="preserve"> subsequent</w:t>
      </w:r>
      <w:r w:rsidR="003F5A77">
        <w:rPr>
          <w:lang w:val="en-US"/>
        </w:rPr>
        <w:t xml:space="preserve"> management </w:t>
      </w:r>
      <w:r w:rsidR="009565CB">
        <w:rPr>
          <w:lang w:val="en-US"/>
        </w:rPr>
        <w:t>as</w:t>
      </w:r>
      <w:r w:rsidR="003F5A77">
        <w:rPr>
          <w:lang w:val="en-US"/>
        </w:rPr>
        <w:t xml:space="preserve"> discharge, repeat AXR or intervention also showed low agreement</w:t>
      </w:r>
      <w:r w:rsidR="000A7AC4">
        <w:rPr>
          <w:lang w:val="en-US"/>
        </w:rPr>
        <w:t>,</w:t>
      </w:r>
      <w:r w:rsidR="003F5A77">
        <w:rPr>
          <w:lang w:val="en-US"/>
        </w:rPr>
        <w:t xml:space="preserve"> KA=0.578 (CI 0.341 – 0.781).</w:t>
      </w:r>
      <w:r w:rsidR="00EA372A">
        <w:rPr>
          <w:lang w:val="en-US"/>
        </w:rPr>
        <w:t xml:space="preserve"> </w:t>
      </w:r>
      <w:r w:rsidR="00264674">
        <w:rPr>
          <w:lang w:val="en-US"/>
        </w:rPr>
        <w:t>In the t</w:t>
      </w:r>
      <w:r w:rsidR="001E4284">
        <w:rPr>
          <w:lang w:val="en-US"/>
        </w:rPr>
        <w:t>wo children</w:t>
      </w:r>
      <w:r w:rsidR="00264674">
        <w:rPr>
          <w:lang w:val="en-US"/>
        </w:rPr>
        <w:t xml:space="preserve"> who</w:t>
      </w:r>
      <w:r w:rsidR="001E4284">
        <w:rPr>
          <w:lang w:val="en-US"/>
        </w:rPr>
        <w:t xml:space="preserve"> developed a fistula</w:t>
      </w:r>
      <w:r w:rsidR="002E0871">
        <w:rPr>
          <w:lang w:val="en-US"/>
        </w:rPr>
        <w:t xml:space="preserve"> and </w:t>
      </w:r>
      <w:r w:rsidR="00054312">
        <w:rPr>
          <w:lang w:val="en-US"/>
        </w:rPr>
        <w:t>underwent</w:t>
      </w:r>
      <w:r w:rsidR="002E0871">
        <w:rPr>
          <w:lang w:val="en-US"/>
        </w:rPr>
        <w:t xml:space="preserve"> surgery</w:t>
      </w:r>
      <w:r w:rsidR="00264674">
        <w:rPr>
          <w:lang w:val="en-US"/>
        </w:rPr>
        <w:t xml:space="preserve">, </w:t>
      </w:r>
      <w:r w:rsidR="001E4284">
        <w:rPr>
          <w:lang w:val="en-US"/>
        </w:rPr>
        <w:t>n</w:t>
      </w:r>
      <w:r w:rsidR="008614F4">
        <w:rPr>
          <w:lang w:val="en-US"/>
        </w:rPr>
        <w:t xml:space="preserve">on-progression was identified by </w:t>
      </w:r>
      <w:r w:rsidR="00264674">
        <w:rPr>
          <w:lang w:val="en-US"/>
        </w:rPr>
        <w:t xml:space="preserve">the </w:t>
      </w:r>
      <w:r w:rsidR="002E4FBA">
        <w:rPr>
          <w:lang w:val="en-US"/>
        </w:rPr>
        <w:t>fourth</w:t>
      </w:r>
      <w:r w:rsidR="00264674">
        <w:rPr>
          <w:lang w:val="en-US"/>
        </w:rPr>
        <w:t xml:space="preserve"> AXR by </w:t>
      </w:r>
      <w:r w:rsidR="002E0871">
        <w:rPr>
          <w:lang w:val="en-US"/>
        </w:rPr>
        <w:t>27</w:t>
      </w:r>
      <w:r w:rsidR="00732058">
        <w:rPr>
          <w:lang w:val="en-US"/>
        </w:rPr>
        <w:t>/30</w:t>
      </w:r>
      <w:r w:rsidR="008614F4">
        <w:rPr>
          <w:lang w:val="en-US"/>
        </w:rPr>
        <w:t xml:space="preserve"> (</w:t>
      </w:r>
      <w:r w:rsidR="002E0871">
        <w:rPr>
          <w:lang w:val="en-US"/>
        </w:rPr>
        <w:t>90</w:t>
      </w:r>
      <w:r w:rsidR="008614F4">
        <w:rPr>
          <w:lang w:val="en-US"/>
        </w:rPr>
        <w:t>%)</w:t>
      </w:r>
      <w:r w:rsidR="002E0871">
        <w:rPr>
          <w:lang w:val="en-US"/>
        </w:rPr>
        <w:t xml:space="preserve"> and 24</w:t>
      </w:r>
      <w:r w:rsidR="00732058">
        <w:rPr>
          <w:lang w:val="en-US"/>
        </w:rPr>
        <w:t>/30</w:t>
      </w:r>
      <w:r w:rsidR="002E0871">
        <w:rPr>
          <w:lang w:val="en-US"/>
        </w:rPr>
        <w:t xml:space="preserve"> (80%)</w:t>
      </w:r>
      <w:r w:rsidR="00264674">
        <w:rPr>
          <w:lang w:val="en-US"/>
        </w:rPr>
        <w:t xml:space="preserve"> </w:t>
      </w:r>
      <w:r w:rsidR="002A73E7">
        <w:rPr>
          <w:lang w:val="en-US"/>
        </w:rPr>
        <w:t xml:space="preserve">surgeons </w:t>
      </w:r>
      <w:r w:rsidR="00264674">
        <w:rPr>
          <w:lang w:val="en-US"/>
        </w:rPr>
        <w:t>respectively</w:t>
      </w:r>
      <w:r w:rsidR="002E0871">
        <w:rPr>
          <w:lang w:val="en-US"/>
        </w:rPr>
        <w:t>,</w:t>
      </w:r>
      <w:r w:rsidR="001E4284">
        <w:rPr>
          <w:lang w:val="en-US"/>
        </w:rPr>
        <w:t xml:space="preserve"> and s</w:t>
      </w:r>
      <w:r w:rsidR="008614F4">
        <w:rPr>
          <w:lang w:val="en-US"/>
        </w:rPr>
        <w:t xml:space="preserve">urgical </w:t>
      </w:r>
      <w:r w:rsidR="00054312">
        <w:rPr>
          <w:lang w:val="en-US"/>
        </w:rPr>
        <w:t>retrieval</w:t>
      </w:r>
      <w:r w:rsidR="008614F4">
        <w:rPr>
          <w:lang w:val="en-US"/>
        </w:rPr>
        <w:t xml:space="preserve"> was </w:t>
      </w:r>
      <w:r w:rsidR="00264674">
        <w:rPr>
          <w:lang w:val="en-US"/>
        </w:rPr>
        <w:t>suggested</w:t>
      </w:r>
      <w:r w:rsidR="008614F4">
        <w:rPr>
          <w:lang w:val="en-US"/>
        </w:rPr>
        <w:t xml:space="preserve"> </w:t>
      </w:r>
      <w:r w:rsidR="001E4284">
        <w:rPr>
          <w:lang w:val="en-US"/>
        </w:rPr>
        <w:t>by</w:t>
      </w:r>
      <w:r w:rsidR="008614F4">
        <w:rPr>
          <w:lang w:val="en-US"/>
        </w:rPr>
        <w:t xml:space="preserve"> </w:t>
      </w:r>
      <w:r w:rsidR="00614B1D">
        <w:rPr>
          <w:lang w:val="en-US"/>
        </w:rPr>
        <w:t>25</w:t>
      </w:r>
      <w:r w:rsidR="00732058">
        <w:rPr>
          <w:lang w:val="en-US"/>
        </w:rPr>
        <w:t>/30</w:t>
      </w:r>
      <w:r w:rsidR="008614F4">
        <w:rPr>
          <w:lang w:val="en-US"/>
        </w:rPr>
        <w:t xml:space="preserve"> (</w:t>
      </w:r>
      <w:r w:rsidR="00614B1D">
        <w:rPr>
          <w:lang w:val="en-US"/>
        </w:rPr>
        <w:t>83</w:t>
      </w:r>
      <w:r w:rsidR="008614F4">
        <w:rPr>
          <w:lang w:val="en-US"/>
        </w:rPr>
        <w:t>%)</w:t>
      </w:r>
      <w:r w:rsidR="00614B1D">
        <w:rPr>
          <w:lang w:val="en-US"/>
        </w:rPr>
        <w:t xml:space="preserve"> and 22</w:t>
      </w:r>
      <w:r w:rsidR="00732058">
        <w:rPr>
          <w:lang w:val="en-US"/>
        </w:rPr>
        <w:t>/30</w:t>
      </w:r>
      <w:r w:rsidR="00614B1D">
        <w:rPr>
          <w:lang w:val="en-US"/>
        </w:rPr>
        <w:t xml:space="preserve"> (73%)</w:t>
      </w:r>
      <w:r w:rsidR="004934CE">
        <w:rPr>
          <w:lang w:val="en-US"/>
        </w:rPr>
        <w:t xml:space="preserve"> </w:t>
      </w:r>
      <w:r w:rsidR="00EC357E">
        <w:rPr>
          <w:lang w:val="en-US"/>
        </w:rPr>
        <w:t>(Table 1)</w:t>
      </w:r>
      <w:r w:rsidR="00A12E0D">
        <w:rPr>
          <w:lang w:val="en-US"/>
        </w:rPr>
        <w:t>.</w:t>
      </w:r>
    </w:p>
    <w:p w14:paraId="1845B01B" w14:textId="04426499" w:rsidR="003C75D0" w:rsidRDefault="00D710B9" w:rsidP="005C04B1">
      <w:pPr>
        <w:spacing w:line="480" w:lineRule="auto"/>
        <w:jc w:val="both"/>
        <w:rPr>
          <w:lang w:val="en-US"/>
        </w:rPr>
      </w:pPr>
      <w:r>
        <w:rPr>
          <w:lang w:val="en-US"/>
        </w:rPr>
        <w:t>In this study</w:t>
      </w:r>
      <w:r w:rsidR="00FC33DC">
        <w:rPr>
          <w:lang w:val="en-US"/>
        </w:rPr>
        <w:t>,</w:t>
      </w:r>
      <w:r>
        <w:rPr>
          <w:lang w:val="en-US"/>
        </w:rPr>
        <w:t xml:space="preserve"> low</w:t>
      </w:r>
      <w:r w:rsidR="00732058">
        <w:rPr>
          <w:lang w:val="en-US"/>
        </w:rPr>
        <w:t xml:space="preserve"> </w:t>
      </w:r>
      <w:r>
        <w:rPr>
          <w:lang w:val="en-US"/>
        </w:rPr>
        <w:t xml:space="preserve">agreement </w:t>
      </w:r>
      <w:r w:rsidR="00444B84">
        <w:rPr>
          <w:lang w:val="en-US"/>
        </w:rPr>
        <w:t xml:space="preserve">was observed </w:t>
      </w:r>
      <w:r>
        <w:rPr>
          <w:lang w:val="en-US"/>
        </w:rPr>
        <w:t>for the</w:t>
      </w:r>
      <w:r w:rsidR="00264674">
        <w:rPr>
          <w:lang w:val="en-US"/>
        </w:rPr>
        <w:t xml:space="preserve"> assessment of</w:t>
      </w:r>
      <w:r>
        <w:rPr>
          <w:lang w:val="en-US"/>
        </w:rPr>
        <w:t xml:space="preserve"> </w:t>
      </w:r>
      <w:r w:rsidR="009A1A86">
        <w:rPr>
          <w:lang w:val="en-US"/>
        </w:rPr>
        <w:t>multiple</w:t>
      </w:r>
      <w:r>
        <w:rPr>
          <w:lang w:val="en-US"/>
        </w:rPr>
        <w:t xml:space="preserve"> magnet</w:t>
      </w:r>
      <w:r w:rsidR="00FC33DC">
        <w:rPr>
          <w:lang w:val="en-US"/>
        </w:rPr>
        <w:t xml:space="preserve"> progression</w:t>
      </w:r>
      <w:r>
        <w:rPr>
          <w:lang w:val="en-US"/>
        </w:rPr>
        <w:t xml:space="preserve"> </w:t>
      </w:r>
      <w:r w:rsidR="009A1A86">
        <w:rPr>
          <w:lang w:val="en-US"/>
        </w:rPr>
        <w:t xml:space="preserve">on serial </w:t>
      </w:r>
      <w:r w:rsidR="00005942">
        <w:rPr>
          <w:lang w:val="en-US"/>
        </w:rPr>
        <w:t>XRs</w:t>
      </w:r>
      <w:r w:rsidR="009A1A86">
        <w:rPr>
          <w:lang w:val="en-US"/>
        </w:rPr>
        <w:t>.</w:t>
      </w:r>
      <w:r w:rsidR="001407AE">
        <w:rPr>
          <w:lang w:val="en-US"/>
        </w:rPr>
        <w:t xml:space="preserve"> </w:t>
      </w:r>
      <w:r w:rsidR="00B124A9">
        <w:rPr>
          <w:lang w:val="en-US"/>
        </w:rPr>
        <w:t xml:space="preserve">However, </w:t>
      </w:r>
      <w:r w:rsidR="003C189B">
        <w:rPr>
          <w:rFonts w:cstheme="minorHAnsi"/>
          <w:lang w:val="en-US"/>
        </w:rPr>
        <w:t>≥</w:t>
      </w:r>
      <w:r w:rsidR="003C189B">
        <w:rPr>
          <w:lang w:val="en-US"/>
        </w:rPr>
        <w:t xml:space="preserve">80% </w:t>
      </w:r>
      <w:r w:rsidR="00B124A9">
        <w:rPr>
          <w:lang w:val="en-US"/>
        </w:rPr>
        <w:t>of s</w:t>
      </w:r>
      <w:r w:rsidR="00B124A9" w:rsidRPr="00B124A9">
        <w:rPr>
          <w:lang w:val="en-US"/>
        </w:rPr>
        <w:t>urgeons identif</w:t>
      </w:r>
      <w:r w:rsidR="00B124A9">
        <w:rPr>
          <w:lang w:val="en-US"/>
        </w:rPr>
        <w:t>ied</w:t>
      </w:r>
      <w:r w:rsidR="00B124A9" w:rsidRPr="00B124A9">
        <w:rPr>
          <w:lang w:val="en-US"/>
        </w:rPr>
        <w:t xml:space="preserve"> non-progression in the children </w:t>
      </w:r>
      <w:r w:rsidR="006E082C">
        <w:rPr>
          <w:lang w:val="en-US"/>
        </w:rPr>
        <w:t>who developed</w:t>
      </w:r>
      <w:r w:rsidR="00B124A9" w:rsidRPr="00B124A9">
        <w:rPr>
          <w:lang w:val="en-US"/>
        </w:rPr>
        <w:t xml:space="preserve"> complications by the end of the series</w:t>
      </w:r>
      <w:r w:rsidR="00B124A9">
        <w:rPr>
          <w:lang w:val="en-US"/>
        </w:rPr>
        <w:t>. This</w:t>
      </w:r>
      <w:r w:rsidR="00B124A9" w:rsidRPr="00B124A9">
        <w:rPr>
          <w:lang w:val="en-US"/>
        </w:rPr>
        <w:t xml:space="preserve"> suggest</w:t>
      </w:r>
      <w:r w:rsidR="00B124A9">
        <w:rPr>
          <w:lang w:val="en-US"/>
        </w:rPr>
        <w:t>s that</w:t>
      </w:r>
      <w:r w:rsidR="00B124A9" w:rsidRPr="00B124A9">
        <w:rPr>
          <w:lang w:val="en-US"/>
        </w:rPr>
        <w:t xml:space="preserve"> </w:t>
      </w:r>
      <w:r w:rsidR="00B124A9">
        <w:rPr>
          <w:lang w:val="en-US"/>
        </w:rPr>
        <w:t xml:space="preserve">assessment of </w:t>
      </w:r>
      <w:r w:rsidR="006F0C88">
        <w:rPr>
          <w:lang w:val="en-US"/>
        </w:rPr>
        <w:t xml:space="preserve">multiple magnet </w:t>
      </w:r>
      <w:r w:rsidR="00B124A9" w:rsidRPr="00B124A9">
        <w:rPr>
          <w:lang w:val="en-US"/>
        </w:rPr>
        <w:t>progression is a useful diagnostic tool</w:t>
      </w:r>
      <w:r w:rsidR="006F0C88">
        <w:rPr>
          <w:lang w:val="en-US"/>
        </w:rPr>
        <w:t>,</w:t>
      </w:r>
      <w:r w:rsidR="00B124A9">
        <w:rPr>
          <w:lang w:val="en-US"/>
        </w:rPr>
        <w:t xml:space="preserve"> but there is no consensus on </w:t>
      </w:r>
      <w:r w:rsidR="003C189B">
        <w:rPr>
          <w:lang w:val="en-US"/>
        </w:rPr>
        <w:t>its definition.</w:t>
      </w:r>
      <w:r w:rsidR="00B124A9">
        <w:rPr>
          <w:lang w:val="en-US"/>
        </w:rPr>
        <w:t xml:space="preserve"> </w:t>
      </w:r>
      <w:r w:rsidR="003C189B">
        <w:rPr>
          <w:lang w:val="en-US"/>
        </w:rPr>
        <w:t>Objectively d</w:t>
      </w:r>
      <w:r w:rsidR="00B124A9">
        <w:rPr>
          <w:lang w:val="en-US"/>
        </w:rPr>
        <w:t xml:space="preserve">efining progression would allow for </w:t>
      </w:r>
      <w:r w:rsidR="00B124A9" w:rsidRPr="00B124A9">
        <w:rPr>
          <w:lang w:val="en-US"/>
        </w:rPr>
        <w:t xml:space="preserve">earlier diagnosis </w:t>
      </w:r>
      <w:r w:rsidR="006F0C88">
        <w:rPr>
          <w:lang w:val="en-US"/>
        </w:rPr>
        <w:t xml:space="preserve">and treatment </w:t>
      </w:r>
      <w:r w:rsidR="00B124A9" w:rsidRPr="00B124A9">
        <w:rPr>
          <w:lang w:val="en-US"/>
        </w:rPr>
        <w:t xml:space="preserve">of </w:t>
      </w:r>
      <w:proofErr w:type="gramStart"/>
      <w:r w:rsidR="00B124A9" w:rsidRPr="00B124A9">
        <w:rPr>
          <w:lang w:val="en-US"/>
        </w:rPr>
        <w:t>complications</w:t>
      </w:r>
      <w:r w:rsidR="0030225D">
        <w:rPr>
          <w:lang w:val="en-US"/>
        </w:rPr>
        <w:t>,</w:t>
      </w:r>
      <w:r w:rsidR="003C189B">
        <w:rPr>
          <w:lang w:val="en-US"/>
        </w:rPr>
        <w:t xml:space="preserve"> </w:t>
      </w:r>
      <w:r w:rsidR="00B124A9" w:rsidRPr="00B124A9">
        <w:rPr>
          <w:lang w:val="en-US"/>
        </w:rPr>
        <w:t>and</w:t>
      </w:r>
      <w:proofErr w:type="gramEnd"/>
      <w:r w:rsidR="00B124A9" w:rsidRPr="00B124A9">
        <w:rPr>
          <w:lang w:val="en-US"/>
        </w:rPr>
        <w:t xml:space="preserve"> </w:t>
      </w:r>
      <w:r w:rsidR="006F0C88">
        <w:rPr>
          <w:lang w:val="en-US"/>
        </w:rPr>
        <w:t>reduce</w:t>
      </w:r>
      <w:r w:rsidR="00B124A9" w:rsidRPr="00B124A9">
        <w:rPr>
          <w:lang w:val="en-US"/>
        </w:rPr>
        <w:t xml:space="preserve"> </w:t>
      </w:r>
      <w:r w:rsidR="003C189B">
        <w:rPr>
          <w:lang w:val="en-US"/>
        </w:rPr>
        <w:t>radiation exposure. We also observed l</w:t>
      </w:r>
      <w:r w:rsidR="00E4113B">
        <w:rPr>
          <w:lang w:val="en-US"/>
        </w:rPr>
        <w:t>ow agreement for</w:t>
      </w:r>
      <w:r w:rsidR="00C01C7C">
        <w:rPr>
          <w:lang w:val="en-US"/>
        </w:rPr>
        <w:t xml:space="preserve"> subsequent</w:t>
      </w:r>
      <w:r w:rsidR="00E4113B">
        <w:rPr>
          <w:lang w:val="en-US"/>
        </w:rPr>
        <w:t xml:space="preserve"> management</w:t>
      </w:r>
      <w:r w:rsidR="003C189B">
        <w:rPr>
          <w:lang w:val="en-US"/>
        </w:rPr>
        <w:t xml:space="preserve">. Further work should include defining </w:t>
      </w:r>
      <w:r w:rsidR="006F0C88">
        <w:rPr>
          <w:lang w:val="en-US"/>
        </w:rPr>
        <w:t xml:space="preserve">multiple magnet </w:t>
      </w:r>
      <w:proofErr w:type="gramStart"/>
      <w:r w:rsidR="003C189B">
        <w:rPr>
          <w:lang w:val="en-US"/>
        </w:rPr>
        <w:t>progression</w:t>
      </w:r>
      <w:r w:rsidR="00420AE3">
        <w:rPr>
          <w:lang w:val="en-US"/>
        </w:rPr>
        <w:t>,</w:t>
      </w:r>
      <w:r w:rsidR="003C189B">
        <w:rPr>
          <w:lang w:val="en-US"/>
        </w:rPr>
        <w:t xml:space="preserve"> and</w:t>
      </w:r>
      <w:proofErr w:type="gramEnd"/>
      <w:r w:rsidR="003C189B">
        <w:rPr>
          <w:lang w:val="en-US"/>
        </w:rPr>
        <w:t xml:space="preserve"> creating an </w:t>
      </w:r>
      <w:r w:rsidR="00E4113B">
        <w:rPr>
          <w:lang w:val="en-US"/>
        </w:rPr>
        <w:t>evidence-based</w:t>
      </w:r>
      <w:r w:rsidR="00444B84">
        <w:rPr>
          <w:lang w:val="en-US"/>
        </w:rPr>
        <w:t xml:space="preserve"> investigation and</w:t>
      </w:r>
      <w:r w:rsidR="00E4113B">
        <w:rPr>
          <w:lang w:val="en-US"/>
        </w:rPr>
        <w:t xml:space="preserve"> treatment pathway for </w:t>
      </w:r>
      <w:r w:rsidR="003F0F26">
        <w:rPr>
          <w:lang w:val="en-US"/>
        </w:rPr>
        <w:t>MMI</w:t>
      </w:r>
      <w:r w:rsidR="000A7E8C">
        <w:rPr>
          <w:lang w:val="en-US"/>
        </w:rPr>
        <w:t xml:space="preserve">. </w:t>
      </w:r>
      <w:r w:rsidR="00E4113B">
        <w:rPr>
          <w:lang w:val="en-US"/>
        </w:rPr>
        <w:t xml:space="preserve"> </w:t>
      </w:r>
    </w:p>
    <w:p w14:paraId="0587FE5B" w14:textId="49EE2B14" w:rsidR="00B124A9" w:rsidRDefault="00B124A9" w:rsidP="005C04B1">
      <w:pPr>
        <w:spacing w:line="480" w:lineRule="auto"/>
        <w:jc w:val="both"/>
        <w:rPr>
          <w:lang w:val="en-US"/>
        </w:rPr>
      </w:pPr>
    </w:p>
    <w:p w14:paraId="1D725D8E" w14:textId="4AE800E7" w:rsidR="00B124A9" w:rsidRDefault="00B124A9" w:rsidP="005C04B1">
      <w:pPr>
        <w:spacing w:line="480" w:lineRule="auto"/>
        <w:jc w:val="both"/>
        <w:rPr>
          <w:lang w:val="en-US"/>
        </w:rPr>
      </w:pPr>
    </w:p>
    <w:p w14:paraId="749E6EA4" w14:textId="4F1F6C8D" w:rsidR="00B124A9" w:rsidRDefault="00B124A9" w:rsidP="005C04B1">
      <w:pPr>
        <w:spacing w:line="480" w:lineRule="auto"/>
        <w:jc w:val="both"/>
        <w:rPr>
          <w:lang w:val="en-US"/>
        </w:rPr>
      </w:pPr>
    </w:p>
    <w:p w14:paraId="5F2AFEB5" w14:textId="0FE7E569" w:rsidR="00BA5EDE" w:rsidRDefault="00B124A9" w:rsidP="005C04B1">
      <w:pPr>
        <w:spacing w:line="480" w:lineRule="auto"/>
        <w:jc w:val="both"/>
        <w:rPr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006D6C8C" wp14:editId="4E58B30D">
            <wp:simplePos x="0" y="0"/>
            <wp:positionH relativeFrom="margin">
              <wp:align>left</wp:align>
            </wp:positionH>
            <wp:positionV relativeFrom="paragraph">
              <wp:posOffset>330835</wp:posOffset>
            </wp:positionV>
            <wp:extent cx="5671820" cy="1790700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19"/>
                    <a:stretch/>
                  </pic:blipFill>
                  <pic:spPr bwMode="auto">
                    <a:xfrm>
                      <a:off x="0" y="0"/>
                      <a:ext cx="567182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B34F2" w14:textId="2587A0A7" w:rsidR="00BF31FF" w:rsidRDefault="00F13F9F" w:rsidP="005C04B1">
      <w:pPr>
        <w:spacing w:line="480" w:lineRule="auto"/>
        <w:jc w:val="both"/>
        <w:rPr>
          <w:lang w:val="en-US"/>
        </w:rPr>
      </w:pPr>
      <w:r>
        <w:rPr>
          <w:lang w:val="en-US"/>
        </w:rPr>
        <w:t>F</w:t>
      </w:r>
      <w:r w:rsidR="00BF31FF">
        <w:rPr>
          <w:lang w:val="en-US"/>
        </w:rPr>
        <w:t>igure 1 – The abdominal plain film radiograph series for patient one.</w:t>
      </w:r>
    </w:p>
    <w:p w14:paraId="3AA9D141" w14:textId="1FCD8FD8" w:rsidR="00D07757" w:rsidRDefault="00D07757" w:rsidP="005C04B1">
      <w:pPr>
        <w:spacing w:line="480" w:lineRule="auto"/>
        <w:jc w:val="both"/>
        <w:rPr>
          <w:lang w:val="en-US"/>
        </w:rPr>
      </w:pPr>
    </w:p>
    <w:p w14:paraId="2C141428" w14:textId="02BA5B55" w:rsidR="00D07757" w:rsidRDefault="00D07757" w:rsidP="005C04B1">
      <w:p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Table 1 – Proportion of surgeons classifying magnets as </w:t>
      </w:r>
      <w:r w:rsidR="0061159F">
        <w:rPr>
          <w:lang w:val="en-US"/>
        </w:rPr>
        <w:t>non-</w:t>
      </w:r>
      <w:r>
        <w:rPr>
          <w:lang w:val="en-US"/>
        </w:rPr>
        <w:t xml:space="preserve">progressing and opting for surgical removal after each radiograph. Patients one and two developed fistulae (magnets did not progress). Patients </w:t>
      </w:r>
      <w:r w:rsidR="00EF710C">
        <w:rPr>
          <w:lang w:val="en-US"/>
        </w:rPr>
        <w:t>three</w:t>
      </w:r>
      <w:r>
        <w:rPr>
          <w:lang w:val="en-US"/>
        </w:rPr>
        <w:t xml:space="preserve"> and four passed the magnets without intervention.</w:t>
      </w:r>
      <w:r w:rsidR="009317C7">
        <w:rPr>
          <w:lang w:val="en-US"/>
        </w:rPr>
        <w:t xml:space="preserve"> AXR – abdominal plain film radiograph.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3"/>
        <w:gridCol w:w="1277"/>
        <w:gridCol w:w="1134"/>
        <w:gridCol w:w="1273"/>
        <w:gridCol w:w="1277"/>
        <w:gridCol w:w="1277"/>
        <w:gridCol w:w="1365"/>
      </w:tblGrid>
      <w:tr w:rsidR="00857C48" w:rsidRPr="00D07757" w14:paraId="79DC4822" w14:textId="31F7DF90" w:rsidTr="00BA5EDE">
        <w:tc>
          <w:tcPr>
            <w:tcW w:w="784" w:type="pct"/>
            <w:vMerge w:val="restart"/>
          </w:tcPr>
          <w:p w14:paraId="59EC34C8" w14:textId="77777777" w:rsidR="00D07757" w:rsidRPr="00D07757" w:rsidRDefault="00D07757" w:rsidP="005C04B1">
            <w:pPr>
              <w:spacing w:line="48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37" w:type="pct"/>
            <w:gridSpan w:val="2"/>
          </w:tcPr>
          <w:p w14:paraId="55B1B7FE" w14:textId="2D0EC342" w:rsidR="00D07757" w:rsidRPr="00D07757" w:rsidRDefault="00D07757" w:rsidP="005C04B1">
            <w:pPr>
              <w:spacing w:line="48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First </w:t>
            </w:r>
            <w:r w:rsidR="009317C7">
              <w:rPr>
                <w:b/>
                <w:bCs/>
                <w:sz w:val="20"/>
                <w:szCs w:val="20"/>
                <w:lang w:val="en-US"/>
              </w:rPr>
              <w:t>to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Second </w:t>
            </w:r>
            <w:r w:rsidR="009317C7">
              <w:rPr>
                <w:b/>
                <w:bCs/>
                <w:sz w:val="20"/>
                <w:szCs w:val="20"/>
                <w:lang w:val="en-US"/>
              </w:rPr>
              <w:t>AXR</w:t>
            </w:r>
          </w:p>
        </w:tc>
        <w:tc>
          <w:tcPr>
            <w:tcW w:w="1414" w:type="pct"/>
            <w:gridSpan w:val="2"/>
          </w:tcPr>
          <w:p w14:paraId="1DEC7539" w14:textId="399F0C6C" w:rsidR="00D07757" w:rsidRPr="00D07757" w:rsidRDefault="00D07757" w:rsidP="005C04B1">
            <w:pPr>
              <w:spacing w:line="48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Second </w:t>
            </w:r>
            <w:r w:rsidR="009317C7">
              <w:rPr>
                <w:b/>
                <w:bCs/>
                <w:sz w:val="20"/>
                <w:szCs w:val="20"/>
                <w:lang w:val="en-US"/>
              </w:rPr>
              <w:t>to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Third </w:t>
            </w:r>
            <w:r w:rsidR="009317C7">
              <w:rPr>
                <w:b/>
                <w:bCs/>
                <w:sz w:val="20"/>
                <w:szCs w:val="20"/>
                <w:lang w:val="en-US"/>
              </w:rPr>
              <w:t>AXR</w:t>
            </w:r>
          </w:p>
        </w:tc>
        <w:tc>
          <w:tcPr>
            <w:tcW w:w="1465" w:type="pct"/>
            <w:gridSpan w:val="2"/>
          </w:tcPr>
          <w:p w14:paraId="1359DF68" w14:textId="302AD62D" w:rsidR="00D07757" w:rsidRPr="00D07757" w:rsidRDefault="00D07757" w:rsidP="005C04B1">
            <w:pPr>
              <w:spacing w:line="48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Third</w:t>
            </w:r>
            <w:r w:rsidR="0052730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317C7">
              <w:rPr>
                <w:b/>
                <w:bCs/>
                <w:sz w:val="20"/>
                <w:szCs w:val="20"/>
                <w:lang w:val="en-US"/>
              </w:rPr>
              <w:t>to</w:t>
            </w:r>
            <w:r w:rsidR="0052730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Fourth</w:t>
            </w:r>
            <w:r w:rsidR="0052730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317C7">
              <w:rPr>
                <w:b/>
                <w:bCs/>
                <w:sz w:val="20"/>
                <w:szCs w:val="20"/>
                <w:lang w:val="en-US"/>
              </w:rPr>
              <w:t>AXR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857C48" w:rsidRPr="00D07757" w14:paraId="064FECA0" w14:textId="77777777" w:rsidTr="00BA5EDE">
        <w:tc>
          <w:tcPr>
            <w:tcW w:w="784" w:type="pct"/>
            <w:vMerge/>
          </w:tcPr>
          <w:p w14:paraId="1F423AF9" w14:textId="77777777" w:rsidR="00857C48" w:rsidRPr="00D07757" w:rsidRDefault="00857C48" w:rsidP="00857C48">
            <w:pPr>
              <w:spacing w:line="48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08" w:type="pct"/>
          </w:tcPr>
          <w:p w14:paraId="01574BE4" w14:textId="6830C292" w:rsidR="00857C48" w:rsidRDefault="00857C48" w:rsidP="00857C48">
            <w:pPr>
              <w:spacing w:line="48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Not progressing</w:t>
            </w:r>
          </w:p>
        </w:tc>
        <w:tc>
          <w:tcPr>
            <w:tcW w:w="629" w:type="pct"/>
          </w:tcPr>
          <w:p w14:paraId="0D070FAC" w14:textId="26F8983D" w:rsidR="00857C48" w:rsidRDefault="00857C48" w:rsidP="00857C48">
            <w:pPr>
              <w:spacing w:line="48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Surgical Removal</w:t>
            </w:r>
          </w:p>
        </w:tc>
        <w:tc>
          <w:tcPr>
            <w:tcW w:w="706" w:type="pct"/>
          </w:tcPr>
          <w:p w14:paraId="62F0E28B" w14:textId="4405FA29" w:rsidR="00857C48" w:rsidRDefault="00857C48" w:rsidP="00857C48">
            <w:pPr>
              <w:spacing w:line="48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Not progressing</w:t>
            </w:r>
          </w:p>
        </w:tc>
        <w:tc>
          <w:tcPr>
            <w:tcW w:w="708" w:type="pct"/>
          </w:tcPr>
          <w:p w14:paraId="4E2FE884" w14:textId="1B6B2972" w:rsidR="00857C48" w:rsidRDefault="00857C48" w:rsidP="00857C48">
            <w:pPr>
              <w:spacing w:line="48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Surgical Removal</w:t>
            </w:r>
          </w:p>
        </w:tc>
        <w:tc>
          <w:tcPr>
            <w:tcW w:w="708" w:type="pct"/>
          </w:tcPr>
          <w:p w14:paraId="1EF7F569" w14:textId="6C3E4556" w:rsidR="00857C48" w:rsidRDefault="00857C48" w:rsidP="00857C48">
            <w:pPr>
              <w:spacing w:line="48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Not progressing</w:t>
            </w:r>
          </w:p>
        </w:tc>
        <w:tc>
          <w:tcPr>
            <w:tcW w:w="758" w:type="pct"/>
          </w:tcPr>
          <w:p w14:paraId="7E546266" w14:textId="3AED1818" w:rsidR="00857C48" w:rsidRDefault="00857C48" w:rsidP="00857C48">
            <w:pPr>
              <w:spacing w:line="48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Surgical Removal</w:t>
            </w:r>
          </w:p>
        </w:tc>
      </w:tr>
      <w:tr w:rsidR="00857C48" w:rsidRPr="00D07757" w14:paraId="027EF675" w14:textId="2A920BBC" w:rsidTr="00BA5EDE">
        <w:tc>
          <w:tcPr>
            <w:tcW w:w="784" w:type="pct"/>
          </w:tcPr>
          <w:p w14:paraId="12C838C4" w14:textId="1F4A203E" w:rsidR="0061159F" w:rsidRPr="00D07757" w:rsidRDefault="0061159F" w:rsidP="0061159F">
            <w:pPr>
              <w:spacing w:line="48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07757">
              <w:rPr>
                <w:b/>
                <w:bCs/>
                <w:sz w:val="20"/>
                <w:szCs w:val="20"/>
                <w:lang w:val="en-US"/>
              </w:rPr>
              <w:t xml:space="preserve">Patient One </w:t>
            </w:r>
          </w:p>
        </w:tc>
        <w:tc>
          <w:tcPr>
            <w:tcW w:w="708" w:type="pct"/>
          </w:tcPr>
          <w:p w14:paraId="5F697977" w14:textId="39BF0389" w:rsidR="0061159F" w:rsidRPr="00A9415A" w:rsidRDefault="00857C48" w:rsidP="0061159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A9415A">
              <w:rPr>
                <w:sz w:val="20"/>
                <w:szCs w:val="20"/>
                <w:lang w:val="en-US"/>
              </w:rPr>
              <w:t>17/30</w:t>
            </w:r>
            <w:r w:rsidR="00BA5EDE" w:rsidRPr="00A9415A">
              <w:rPr>
                <w:sz w:val="20"/>
                <w:szCs w:val="20"/>
                <w:lang w:val="en-US"/>
              </w:rPr>
              <w:t xml:space="preserve"> (57%)</w:t>
            </w:r>
          </w:p>
        </w:tc>
        <w:tc>
          <w:tcPr>
            <w:tcW w:w="629" w:type="pct"/>
          </w:tcPr>
          <w:p w14:paraId="6C65AF88" w14:textId="567FE1FE" w:rsidR="0061159F" w:rsidRPr="00A9415A" w:rsidRDefault="00250C12" w:rsidP="0061159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A9415A">
              <w:rPr>
                <w:sz w:val="20"/>
                <w:szCs w:val="20"/>
                <w:lang w:val="en-US"/>
              </w:rPr>
              <w:t>3/30</w:t>
            </w:r>
            <w:r w:rsidR="00BA5EDE" w:rsidRPr="00A9415A">
              <w:rPr>
                <w:sz w:val="20"/>
                <w:szCs w:val="20"/>
                <w:lang w:val="en-US"/>
              </w:rPr>
              <w:t xml:space="preserve"> (10%)</w:t>
            </w:r>
          </w:p>
        </w:tc>
        <w:tc>
          <w:tcPr>
            <w:tcW w:w="706" w:type="pct"/>
          </w:tcPr>
          <w:p w14:paraId="140BE46D" w14:textId="6A841665" w:rsidR="0061159F" w:rsidRPr="00A9415A" w:rsidRDefault="00857C48" w:rsidP="0061159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A9415A">
              <w:rPr>
                <w:sz w:val="20"/>
                <w:szCs w:val="20"/>
                <w:lang w:val="en-US"/>
              </w:rPr>
              <w:t>26/30</w:t>
            </w:r>
            <w:r w:rsidR="00BA5EDE" w:rsidRPr="00A9415A">
              <w:rPr>
                <w:sz w:val="20"/>
                <w:szCs w:val="20"/>
                <w:lang w:val="en-US"/>
              </w:rPr>
              <w:t xml:space="preserve"> (87%)</w:t>
            </w:r>
          </w:p>
        </w:tc>
        <w:tc>
          <w:tcPr>
            <w:tcW w:w="708" w:type="pct"/>
          </w:tcPr>
          <w:p w14:paraId="2746F25B" w14:textId="7F33C15C" w:rsidR="0061159F" w:rsidRPr="00A9415A" w:rsidRDefault="00250C12" w:rsidP="0061159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A9415A">
              <w:rPr>
                <w:sz w:val="20"/>
                <w:szCs w:val="20"/>
                <w:lang w:val="en-US"/>
              </w:rPr>
              <w:t>25/30</w:t>
            </w:r>
            <w:r w:rsidR="00BA5EDE" w:rsidRPr="00A9415A">
              <w:rPr>
                <w:sz w:val="20"/>
                <w:szCs w:val="20"/>
                <w:lang w:val="en-US"/>
              </w:rPr>
              <w:t xml:space="preserve"> (83%)</w:t>
            </w:r>
          </w:p>
        </w:tc>
        <w:tc>
          <w:tcPr>
            <w:tcW w:w="708" w:type="pct"/>
          </w:tcPr>
          <w:p w14:paraId="67CC4ED8" w14:textId="0A22A999" w:rsidR="0061159F" w:rsidRPr="00A9415A" w:rsidRDefault="00857C48" w:rsidP="0061159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A9415A">
              <w:rPr>
                <w:sz w:val="20"/>
                <w:szCs w:val="20"/>
                <w:lang w:val="en-US"/>
              </w:rPr>
              <w:t>27/30</w:t>
            </w:r>
            <w:r w:rsidR="00BA5EDE" w:rsidRPr="00A9415A">
              <w:rPr>
                <w:sz w:val="20"/>
                <w:szCs w:val="20"/>
                <w:lang w:val="en-US"/>
              </w:rPr>
              <w:t xml:space="preserve"> (90%)</w:t>
            </w:r>
          </w:p>
        </w:tc>
        <w:tc>
          <w:tcPr>
            <w:tcW w:w="758" w:type="pct"/>
          </w:tcPr>
          <w:p w14:paraId="1AD5432E" w14:textId="1A998637" w:rsidR="0061159F" w:rsidRPr="00A9415A" w:rsidRDefault="00250C12" w:rsidP="0061159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A9415A">
              <w:rPr>
                <w:sz w:val="20"/>
                <w:szCs w:val="20"/>
                <w:lang w:val="en-US"/>
              </w:rPr>
              <w:t>25/30</w:t>
            </w:r>
            <w:r w:rsidR="00BA5EDE" w:rsidRPr="00A9415A">
              <w:rPr>
                <w:sz w:val="20"/>
                <w:szCs w:val="20"/>
                <w:lang w:val="en-US"/>
              </w:rPr>
              <w:t xml:space="preserve"> (83%)</w:t>
            </w:r>
          </w:p>
        </w:tc>
      </w:tr>
      <w:tr w:rsidR="00857C48" w:rsidRPr="00D07757" w14:paraId="5456FACD" w14:textId="0336C66F" w:rsidTr="00BA5EDE">
        <w:tc>
          <w:tcPr>
            <w:tcW w:w="784" w:type="pct"/>
          </w:tcPr>
          <w:p w14:paraId="5BC1A990" w14:textId="79C3A903" w:rsidR="0061159F" w:rsidRPr="00D07757" w:rsidRDefault="0061159F" w:rsidP="0061159F">
            <w:pPr>
              <w:spacing w:line="48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07757">
              <w:rPr>
                <w:b/>
                <w:bCs/>
                <w:sz w:val="20"/>
                <w:szCs w:val="20"/>
                <w:lang w:val="en-US"/>
              </w:rPr>
              <w:t xml:space="preserve">Patient Two </w:t>
            </w:r>
          </w:p>
        </w:tc>
        <w:tc>
          <w:tcPr>
            <w:tcW w:w="708" w:type="pct"/>
          </w:tcPr>
          <w:p w14:paraId="3C9EBF4A" w14:textId="71D46B70" w:rsidR="0061159F" w:rsidRPr="00A9415A" w:rsidRDefault="00857C48" w:rsidP="0061159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A9415A">
              <w:rPr>
                <w:sz w:val="20"/>
                <w:szCs w:val="20"/>
                <w:lang w:val="en-US"/>
              </w:rPr>
              <w:t>0/30</w:t>
            </w:r>
            <w:r w:rsidR="00BA5EDE" w:rsidRPr="00A9415A">
              <w:rPr>
                <w:sz w:val="20"/>
                <w:szCs w:val="20"/>
                <w:lang w:val="en-US"/>
              </w:rPr>
              <w:t xml:space="preserve"> (0%)</w:t>
            </w:r>
          </w:p>
        </w:tc>
        <w:tc>
          <w:tcPr>
            <w:tcW w:w="629" w:type="pct"/>
          </w:tcPr>
          <w:p w14:paraId="311D4928" w14:textId="7AEC24C7" w:rsidR="0061159F" w:rsidRPr="00A9415A" w:rsidRDefault="00250C12" w:rsidP="0061159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A9415A">
              <w:rPr>
                <w:sz w:val="20"/>
                <w:szCs w:val="20"/>
                <w:lang w:val="en-US"/>
              </w:rPr>
              <w:t>2/30</w:t>
            </w:r>
            <w:r w:rsidR="00BA5EDE" w:rsidRPr="00A9415A">
              <w:rPr>
                <w:sz w:val="20"/>
                <w:szCs w:val="20"/>
                <w:lang w:val="en-US"/>
              </w:rPr>
              <w:t xml:space="preserve"> (7%)</w:t>
            </w:r>
          </w:p>
        </w:tc>
        <w:tc>
          <w:tcPr>
            <w:tcW w:w="706" w:type="pct"/>
          </w:tcPr>
          <w:p w14:paraId="4B8C641D" w14:textId="7C284655" w:rsidR="0061159F" w:rsidRPr="00A9415A" w:rsidRDefault="00857C48" w:rsidP="0061159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A9415A">
              <w:rPr>
                <w:sz w:val="20"/>
                <w:szCs w:val="20"/>
                <w:lang w:val="en-US"/>
              </w:rPr>
              <w:t>22/30</w:t>
            </w:r>
            <w:r w:rsidR="004D037C" w:rsidRPr="00A9415A">
              <w:rPr>
                <w:sz w:val="20"/>
                <w:szCs w:val="20"/>
                <w:lang w:val="en-US"/>
              </w:rPr>
              <w:t xml:space="preserve"> (73%)</w:t>
            </w:r>
          </w:p>
        </w:tc>
        <w:tc>
          <w:tcPr>
            <w:tcW w:w="708" w:type="pct"/>
          </w:tcPr>
          <w:p w14:paraId="63E98B8B" w14:textId="3B39D5F9" w:rsidR="0061159F" w:rsidRPr="00A9415A" w:rsidRDefault="00250C12" w:rsidP="0061159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A9415A">
              <w:rPr>
                <w:sz w:val="20"/>
                <w:szCs w:val="20"/>
                <w:lang w:val="en-US"/>
              </w:rPr>
              <w:t>10/30</w:t>
            </w:r>
            <w:r w:rsidR="004D037C" w:rsidRPr="00A9415A">
              <w:rPr>
                <w:sz w:val="20"/>
                <w:szCs w:val="20"/>
                <w:lang w:val="en-US"/>
              </w:rPr>
              <w:t xml:space="preserve"> (33%)</w:t>
            </w:r>
          </w:p>
        </w:tc>
        <w:tc>
          <w:tcPr>
            <w:tcW w:w="708" w:type="pct"/>
          </w:tcPr>
          <w:p w14:paraId="119B39A0" w14:textId="704955A4" w:rsidR="0061159F" w:rsidRPr="00A9415A" w:rsidRDefault="00857C48" w:rsidP="0061159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A9415A">
              <w:rPr>
                <w:sz w:val="20"/>
                <w:szCs w:val="20"/>
                <w:lang w:val="en-US"/>
              </w:rPr>
              <w:t>24/30</w:t>
            </w:r>
            <w:r w:rsidR="004D037C" w:rsidRPr="00A9415A">
              <w:rPr>
                <w:sz w:val="20"/>
                <w:szCs w:val="20"/>
                <w:lang w:val="en-US"/>
              </w:rPr>
              <w:t xml:space="preserve"> (80%)</w:t>
            </w:r>
          </w:p>
        </w:tc>
        <w:tc>
          <w:tcPr>
            <w:tcW w:w="758" w:type="pct"/>
          </w:tcPr>
          <w:p w14:paraId="4095F7FA" w14:textId="7182691D" w:rsidR="0061159F" w:rsidRPr="00A9415A" w:rsidRDefault="00250C12" w:rsidP="0061159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A9415A">
              <w:rPr>
                <w:sz w:val="20"/>
                <w:szCs w:val="20"/>
                <w:lang w:val="en-US"/>
              </w:rPr>
              <w:t>22/30</w:t>
            </w:r>
            <w:r w:rsidR="004D037C" w:rsidRPr="00A9415A">
              <w:rPr>
                <w:sz w:val="20"/>
                <w:szCs w:val="20"/>
                <w:lang w:val="en-US"/>
              </w:rPr>
              <w:t xml:space="preserve"> (73%)</w:t>
            </w:r>
          </w:p>
        </w:tc>
      </w:tr>
      <w:tr w:rsidR="00857C48" w:rsidRPr="00D07757" w14:paraId="127F0E84" w14:textId="00A67562" w:rsidTr="00BA5EDE">
        <w:tc>
          <w:tcPr>
            <w:tcW w:w="784" w:type="pct"/>
          </w:tcPr>
          <w:p w14:paraId="27E0612B" w14:textId="6237C4A9" w:rsidR="0061159F" w:rsidRPr="00D07757" w:rsidRDefault="0061159F" w:rsidP="0061159F">
            <w:pPr>
              <w:spacing w:line="48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07757">
              <w:rPr>
                <w:b/>
                <w:bCs/>
                <w:sz w:val="20"/>
                <w:szCs w:val="20"/>
                <w:lang w:val="en-US"/>
              </w:rPr>
              <w:t xml:space="preserve">Patient Three </w:t>
            </w:r>
          </w:p>
        </w:tc>
        <w:tc>
          <w:tcPr>
            <w:tcW w:w="708" w:type="pct"/>
          </w:tcPr>
          <w:p w14:paraId="467B9599" w14:textId="27F453D1" w:rsidR="0061159F" w:rsidRPr="00A9415A" w:rsidRDefault="00857C48" w:rsidP="0061159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A9415A">
              <w:rPr>
                <w:sz w:val="20"/>
                <w:szCs w:val="20"/>
                <w:lang w:val="en-US"/>
              </w:rPr>
              <w:t>0/30</w:t>
            </w:r>
            <w:r w:rsidR="00BA5EDE" w:rsidRPr="00A9415A">
              <w:rPr>
                <w:sz w:val="20"/>
                <w:szCs w:val="20"/>
                <w:lang w:val="en-US"/>
              </w:rPr>
              <w:t xml:space="preserve"> (0%)</w:t>
            </w:r>
          </w:p>
        </w:tc>
        <w:tc>
          <w:tcPr>
            <w:tcW w:w="629" w:type="pct"/>
          </w:tcPr>
          <w:p w14:paraId="0E26EF65" w14:textId="32194464" w:rsidR="0061159F" w:rsidRPr="00A9415A" w:rsidRDefault="00250C12" w:rsidP="0061159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A9415A">
              <w:rPr>
                <w:sz w:val="20"/>
                <w:szCs w:val="20"/>
                <w:lang w:val="en-US"/>
              </w:rPr>
              <w:t>0/30</w:t>
            </w:r>
            <w:r w:rsidR="00BA5EDE" w:rsidRPr="00A9415A">
              <w:rPr>
                <w:sz w:val="20"/>
                <w:szCs w:val="20"/>
                <w:lang w:val="en-US"/>
              </w:rPr>
              <w:t xml:space="preserve"> (0%)</w:t>
            </w:r>
          </w:p>
        </w:tc>
        <w:tc>
          <w:tcPr>
            <w:tcW w:w="706" w:type="pct"/>
          </w:tcPr>
          <w:p w14:paraId="06BA9CE2" w14:textId="2631AB76" w:rsidR="0061159F" w:rsidRPr="00A9415A" w:rsidRDefault="00857C48" w:rsidP="0061159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A9415A">
              <w:rPr>
                <w:sz w:val="20"/>
                <w:szCs w:val="20"/>
                <w:lang w:val="en-US"/>
              </w:rPr>
              <w:t>6/30</w:t>
            </w:r>
            <w:r w:rsidR="004D037C" w:rsidRPr="00A9415A">
              <w:rPr>
                <w:sz w:val="20"/>
                <w:szCs w:val="20"/>
                <w:lang w:val="en-US"/>
              </w:rPr>
              <w:t xml:space="preserve"> (20%)</w:t>
            </w:r>
          </w:p>
        </w:tc>
        <w:tc>
          <w:tcPr>
            <w:tcW w:w="708" w:type="pct"/>
          </w:tcPr>
          <w:p w14:paraId="40213D81" w14:textId="56701CA3" w:rsidR="0061159F" w:rsidRPr="00A9415A" w:rsidRDefault="00250C12" w:rsidP="0061159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A9415A">
              <w:rPr>
                <w:sz w:val="20"/>
                <w:szCs w:val="20"/>
                <w:lang w:val="en-US"/>
              </w:rPr>
              <w:t>3/30</w:t>
            </w:r>
            <w:r w:rsidR="00BA5EDE" w:rsidRPr="00A9415A">
              <w:rPr>
                <w:sz w:val="20"/>
                <w:szCs w:val="20"/>
                <w:lang w:val="en-US"/>
              </w:rPr>
              <w:t xml:space="preserve"> (10%)</w:t>
            </w:r>
          </w:p>
        </w:tc>
        <w:tc>
          <w:tcPr>
            <w:tcW w:w="708" w:type="pct"/>
          </w:tcPr>
          <w:p w14:paraId="56414891" w14:textId="6DB0513C" w:rsidR="0061159F" w:rsidRPr="00A9415A" w:rsidRDefault="00857C48" w:rsidP="0061159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A9415A">
              <w:rPr>
                <w:sz w:val="20"/>
                <w:szCs w:val="20"/>
                <w:lang w:val="en-US"/>
              </w:rPr>
              <w:t>0/30</w:t>
            </w:r>
            <w:r w:rsidR="00BA5EDE" w:rsidRPr="00A9415A">
              <w:rPr>
                <w:sz w:val="20"/>
                <w:szCs w:val="20"/>
                <w:lang w:val="en-US"/>
              </w:rPr>
              <w:t xml:space="preserve"> (0%)</w:t>
            </w:r>
          </w:p>
        </w:tc>
        <w:tc>
          <w:tcPr>
            <w:tcW w:w="758" w:type="pct"/>
          </w:tcPr>
          <w:p w14:paraId="4F5888A5" w14:textId="6C9291DC" w:rsidR="0061159F" w:rsidRPr="00A9415A" w:rsidRDefault="00250C12" w:rsidP="0061159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A9415A">
              <w:rPr>
                <w:sz w:val="20"/>
                <w:szCs w:val="20"/>
                <w:lang w:val="en-US"/>
              </w:rPr>
              <w:t>0/30</w:t>
            </w:r>
            <w:r w:rsidR="00BA5EDE" w:rsidRPr="00A9415A">
              <w:rPr>
                <w:sz w:val="20"/>
                <w:szCs w:val="20"/>
                <w:lang w:val="en-US"/>
              </w:rPr>
              <w:t xml:space="preserve"> (0%)</w:t>
            </w:r>
          </w:p>
        </w:tc>
      </w:tr>
      <w:tr w:rsidR="00857C48" w:rsidRPr="00D07757" w14:paraId="4FDBB42F" w14:textId="35B3B15B" w:rsidTr="00BA5EDE">
        <w:tc>
          <w:tcPr>
            <w:tcW w:w="784" w:type="pct"/>
          </w:tcPr>
          <w:p w14:paraId="5B9F43C5" w14:textId="49D8A452" w:rsidR="0061159F" w:rsidRPr="00D07757" w:rsidRDefault="0061159F" w:rsidP="0061159F">
            <w:pPr>
              <w:spacing w:line="480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07757">
              <w:rPr>
                <w:b/>
                <w:bCs/>
                <w:sz w:val="20"/>
                <w:szCs w:val="20"/>
                <w:lang w:val="en-US"/>
              </w:rPr>
              <w:t xml:space="preserve">Patient </w:t>
            </w:r>
            <w:r>
              <w:rPr>
                <w:b/>
                <w:bCs/>
                <w:sz w:val="20"/>
                <w:szCs w:val="20"/>
                <w:lang w:val="en-US"/>
              </w:rPr>
              <w:t>Four</w:t>
            </w:r>
          </w:p>
        </w:tc>
        <w:tc>
          <w:tcPr>
            <w:tcW w:w="708" w:type="pct"/>
          </w:tcPr>
          <w:p w14:paraId="0D021050" w14:textId="4530EE4E" w:rsidR="0061159F" w:rsidRPr="00A9415A" w:rsidRDefault="00857C48" w:rsidP="0061159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A9415A">
              <w:rPr>
                <w:sz w:val="20"/>
                <w:szCs w:val="20"/>
                <w:lang w:val="en-US"/>
              </w:rPr>
              <w:t>12/30</w:t>
            </w:r>
            <w:r w:rsidR="004D037C" w:rsidRPr="00A9415A">
              <w:rPr>
                <w:sz w:val="20"/>
                <w:szCs w:val="20"/>
                <w:lang w:val="en-US"/>
              </w:rPr>
              <w:t xml:space="preserve"> (40%)</w:t>
            </w:r>
          </w:p>
        </w:tc>
        <w:tc>
          <w:tcPr>
            <w:tcW w:w="629" w:type="pct"/>
          </w:tcPr>
          <w:p w14:paraId="23387D78" w14:textId="17C5EC28" w:rsidR="0061159F" w:rsidRPr="00A9415A" w:rsidRDefault="00250C12" w:rsidP="0061159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A9415A">
              <w:rPr>
                <w:sz w:val="20"/>
                <w:szCs w:val="20"/>
                <w:lang w:val="en-US"/>
              </w:rPr>
              <w:t>3/30</w:t>
            </w:r>
            <w:r w:rsidR="00BA5EDE" w:rsidRPr="00A9415A">
              <w:rPr>
                <w:sz w:val="20"/>
                <w:szCs w:val="20"/>
                <w:lang w:val="en-US"/>
              </w:rPr>
              <w:t xml:space="preserve"> (10%)</w:t>
            </w:r>
          </w:p>
        </w:tc>
        <w:tc>
          <w:tcPr>
            <w:tcW w:w="706" w:type="pct"/>
          </w:tcPr>
          <w:p w14:paraId="4932251B" w14:textId="39AE9F7E" w:rsidR="0061159F" w:rsidRPr="00A9415A" w:rsidRDefault="00857C48" w:rsidP="0061159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A9415A">
              <w:rPr>
                <w:sz w:val="20"/>
                <w:szCs w:val="20"/>
                <w:lang w:val="en-US"/>
              </w:rPr>
              <w:t>0/30</w:t>
            </w:r>
            <w:r w:rsidR="00BA5EDE" w:rsidRPr="00A9415A">
              <w:rPr>
                <w:sz w:val="20"/>
                <w:szCs w:val="20"/>
                <w:lang w:val="en-US"/>
              </w:rPr>
              <w:t xml:space="preserve"> (0%)</w:t>
            </w:r>
          </w:p>
        </w:tc>
        <w:tc>
          <w:tcPr>
            <w:tcW w:w="708" w:type="pct"/>
          </w:tcPr>
          <w:p w14:paraId="23C665B6" w14:textId="7F199F2A" w:rsidR="0061159F" w:rsidRPr="00A9415A" w:rsidRDefault="00250C12" w:rsidP="0061159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A9415A">
              <w:rPr>
                <w:sz w:val="20"/>
                <w:szCs w:val="20"/>
                <w:lang w:val="en-US"/>
              </w:rPr>
              <w:t>0/30</w:t>
            </w:r>
            <w:r w:rsidR="00BA5EDE" w:rsidRPr="00A9415A">
              <w:rPr>
                <w:sz w:val="20"/>
                <w:szCs w:val="20"/>
                <w:lang w:val="en-US"/>
              </w:rPr>
              <w:t xml:space="preserve"> (0%)</w:t>
            </w:r>
          </w:p>
        </w:tc>
        <w:tc>
          <w:tcPr>
            <w:tcW w:w="708" w:type="pct"/>
          </w:tcPr>
          <w:p w14:paraId="0D38B5FC" w14:textId="247E99B8" w:rsidR="0061159F" w:rsidRPr="00A9415A" w:rsidRDefault="00857C48" w:rsidP="0061159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A9415A">
              <w:rPr>
                <w:sz w:val="20"/>
                <w:szCs w:val="20"/>
                <w:lang w:val="en-US"/>
              </w:rPr>
              <w:t>0/30</w:t>
            </w:r>
            <w:r w:rsidR="00BA5EDE" w:rsidRPr="00A9415A">
              <w:rPr>
                <w:sz w:val="20"/>
                <w:szCs w:val="20"/>
                <w:lang w:val="en-US"/>
              </w:rPr>
              <w:t xml:space="preserve"> (0%)</w:t>
            </w:r>
          </w:p>
        </w:tc>
        <w:tc>
          <w:tcPr>
            <w:tcW w:w="758" w:type="pct"/>
          </w:tcPr>
          <w:p w14:paraId="3F9846AA" w14:textId="3CC698EE" w:rsidR="0061159F" w:rsidRPr="00A9415A" w:rsidRDefault="00250C12" w:rsidP="0061159F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  <w:r w:rsidRPr="00A9415A">
              <w:rPr>
                <w:sz w:val="20"/>
                <w:szCs w:val="20"/>
                <w:lang w:val="en-US"/>
              </w:rPr>
              <w:t>0/30</w:t>
            </w:r>
            <w:r w:rsidR="00BA5EDE" w:rsidRPr="00A9415A">
              <w:rPr>
                <w:sz w:val="20"/>
                <w:szCs w:val="20"/>
                <w:lang w:val="en-US"/>
              </w:rPr>
              <w:t xml:space="preserve"> (0%)</w:t>
            </w:r>
          </w:p>
        </w:tc>
      </w:tr>
    </w:tbl>
    <w:p w14:paraId="3F688840" w14:textId="40DCFBFF" w:rsidR="00157369" w:rsidRDefault="00157369" w:rsidP="005C04B1">
      <w:pPr>
        <w:spacing w:line="480" w:lineRule="auto"/>
        <w:jc w:val="both"/>
        <w:rPr>
          <w:b/>
          <w:bCs/>
          <w:lang w:val="en-US"/>
        </w:rPr>
      </w:pPr>
    </w:p>
    <w:p w14:paraId="78BC4D42" w14:textId="6AECE532" w:rsidR="00501298" w:rsidRDefault="00501298" w:rsidP="005C04B1">
      <w:pPr>
        <w:spacing w:line="480" w:lineRule="auto"/>
        <w:jc w:val="both"/>
        <w:rPr>
          <w:b/>
          <w:bCs/>
          <w:lang w:val="en-US"/>
        </w:rPr>
      </w:pPr>
    </w:p>
    <w:p w14:paraId="1D2191B2" w14:textId="2BDF2E1C" w:rsidR="00501298" w:rsidRDefault="00501298" w:rsidP="005C04B1">
      <w:pPr>
        <w:spacing w:line="480" w:lineRule="auto"/>
        <w:jc w:val="both"/>
        <w:rPr>
          <w:b/>
          <w:bCs/>
          <w:lang w:val="en-US"/>
        </w:rPr>
      </w:pPr>
    </w:p>
    <w:p w14:paraId="2BF8B6D9" w14:textId="7F8B7207" w:rsidR="00501298" w:rsidRDefault="00501298" w:rsidP="005C04B1">
      <w:pPr>
        <w:spacing w:line="480" w:lineRule="auto"/>
        <w:jc w:val="both"/>
        <w:rPr>
          <w:b/>
          <w:bCs/>
          <w:lang w:val="en-US"/>
        </w:rPr>
      </w:pPr>
    </w:p>
    <w:p w14:paraId="23A27686" w14:textId="77777777" w:rsidR="00501298" w:rsidRDefault="00501298" w:rsidP="005C04B1">
      <w:pPr>
        <w:spacing w:line="480" w:lineRule="auto"/>
        <w:jc w:val="both"/>
        <w:rPr>
          <w:b/>
          <w:bCs/>
          <w:lang w:val="en-US"/>
        </w:rPr>
      </w:pPr>
    </w:p>
    <w:p w14:paraId="63594982" w14:textId="20A0444A" w:rsidR="008E6178" w:rsidRPr="00F13F9F" w:rsidRDefault="00F13F9F" w:rsidP="005C04B1">
      <w:pPr>
        <w:spacing w:line="480" w:lineRule="auto"/>
        <w:jc w:val="both"/>
        <w:rPr>
          <w:b/>
          <w:bCs/>
          <w:lang w:val="en-US"/>
        </w:rPr>
      </w:pPr>
      <w:r w:rsidRPr="00F13F9F">
        <w:rPr>
          <w:b/>
          <w:bCs/>
          <w:lang w:val="en-US"/>
        </w:rPr>
        <w:lastRenderedPageBreak/>
        <w:t xml:space="preserve">REFERENCES </w:t>
      </w:r>
    </w:p>
    <w:p w14:paraId="49BFF275" w14:textId="097728F7" w:rsidR="008E6178" w:rsidRPr="00B77297" w:rsidRDefault="00B77297" w:rsidP="00B77297">
      <w:pPr>
        <w:pStyle w:val="ListParagraph"/>
        <w:numPr>
          <w:ilvl w:val="0"/>
          <w:numId w:val="7"/>
        </w:numPr>
        <w:spacing w:line="480" w:lineRule="auto"/>
        <w:jc w:val="both"/>
        <w:rPr>
          <w:lang w:val="en-US"/>
        </w:rPr>
      </w:pPr>
      <w:r w:rsidRPr="00B77297">
        <w:rPr>
          <w:lang w:val="en-US"/>
        </w:rPr>
        <w:t xml:space="preserve">Thakkar H, </w:t>
      </w:r>
      <w:proofErr w:type="spellStart"/>
      <w:r w:rsidRPr="00B77297">
        <w:rPr>
          <w:lang w:val="en-US"/>
        </w:rPr>
        <w:t>Burnand</w:t>
      </w:r>
      <w:proofErr w:type="spellEnd"/>
      <w:r w:rsidRPr="00B77297">
        <w:rPr>
          <w:lang w:val="en-US"/>
        </w:rPr>
        <w:t xml:space="preserve"> KM, Healy C, Makin E, Davidson J, Bethell G, </w:t>
      </w:r>
      <w:proofErr w:type="spellStart"/>
      <w:r w:rsidRPr="00B77297">
        <w:rPr>
          <w:lang w:val="en-US"/>
        </w:rPr>
        <w:t>Elagami</w:t>
      </w:r>
      <w:proofErr w:type="spellEnd"/>
      <w:r w:rsidRPr="00B77297">
        <w:rPr>
          <w:lang w:val="en-US"/>
        </w:rPr>
        <w:t xml:space="preserve"> H, Scarlett A, Parkar S, Upadhyaya M, Yardley I. </w:t>
      </w:r>
      <w:r w:rsidRPr="00030464">
        <w:rPr>
          <w:i/>
          <w:iCs/>
          <w:lang w:val="en-US"/>
        </w:rPr>
        <w:t>Foreign body ingestion in children: a magnet epidemic within a pandemic</w:t>
      </w:r>
      <w:r>
        <w:rPr>
          <w:lang w:val="en-US"/>
        </w:rPr>
        <w:t xml:space="preserve">. Archives of Disease in Childhood (2021). </w:t>
      </w:r>
      <w:r w:rsidR="00591175">
        <w:rPr>
          <w:lang w:val="en-US"/>
        </w:rPr>
        <w:t>D</w:t>
      </w:r>
      <w:r w:rsidRPr="00B77297">
        <w:rPr>
          <w:lang w:val="en-US"/>
        </w:rPr>
        <w:t>oi:10.1136/archdischild-2021-322106</w:t>
      </w:r>
      <w:r>
        <w:rPr>
          <w:lang w:val="en-US"/>
        </w:rPr>
        <w:t>.</w:t>
      </w:r>
    </w:p>
    <w:p w14:paraId="2B81EAA3" w14:textId="7E311CE0" w:rsidR="00F852BB" w:rsidRDefault="0067107F" w:rsidP="00F852BB">
      <w:pPr>
        <w:pStyle w:val="ListParagraph"/>
        <w:numPr>
          <w:ilvl w:val="0"/>
          <w:numId w:val="7"/>
        </w:numPr>
        <w:spacing w:line="480" w:lineRule="auto"/>
        <w:jc w:val="both"/>
        <w:rPr>
          <w:lang w:val="en-US"/>
        </w:rPr>
      </w:pPr>
      <w:proofErr w:type="spellStart"/>
      <w:r>
        <w:rPr>
          <w:lang w:val="en-US"/>
        </w:rPr>
        <w:t>Middelberg</w:t>
      </w:r>
      <w:proofErr w:type="spellEnd"/>
      <w:r>
        <w:rPr>
          <w:lang w:val="en-US"/>
        </w:rPr>
        <w:t xml:space="preserve"> LK, Leonard JC, Shi J, Aranda A, Brown JC, Cochran CL, </w:t>
      </w:r>
      <w:proofErr w:type="spellStart"/>
      <w:r>
        <w:rPr>
          <w:lang w:val="en-US"/>
        </w:rPr>
        <w:t>Eastep</w:t>
      </w:r>
      <w:proofErr w:type="spellEnd"/>
      <w:r>
        <w:rPr>
          <w:lang w:val="en-US"/>
        </w:rPr>
        <w:t xml:space="preserve"> K, Gonzalez R, </w:t>
      </w:r>
      <w:proofErr w:type="spellStart"/>
      <w:r>
        <w:rPr>
          <w:lang w:val="en-US"/>
        </w:rPr>
        <w:t>Haasz</w:t>
      </w:r>
      <w:proofErr w:type="spellEnd"/>
      <w:r>
        <w:rPr>
          <w:lang w:val="en-US"/>
        </w:rPr>
        <w:t xml:space="preserve"> M, </w:t>
      </w:r>
      <w:proofErr w:type="spellStart"/>
      <w:r>
        <w:rPr>
          <w:lang w:val="en-US"/>
        </w:rPr>
        <w:t>Herskovitz</w:t>
      </w:r>
      <w:proofErr w:type="spellEnd"/>
      <w:r>
        <w:rPr>
          <w:lang w:val="en-US"/>
        </w:rPr>
        <w:t xml:space="preserve"> S, Hoffman JA, </w:t>
      </w:r>
      <w:proofErr w:type="spellStart"/>
      <w:r>
        <w:rPr>
          <w:lang w:val="en-US"/>
        </w:rPr>
        <w:t>Koral</w:t>
      </w:r>
      <w:proofErr w:type="spellEnd"/>
      <w:r>
        <w:rPr>
          <w:lang w:val="en-US"/>
        </w:rPr>
        <w:t xml:space="preserve"> A, </w:t>
      </w:r>
      <w:proofErr w:type="spellStart"/>
      <w:r>
        <w:rPr>
          <w:lang w:val="en-US"/>
        </w:rPr>
        <w:t>Lamoshi</w:t>
      </w:r>
      <w:proofErr w:type="spellEnd"/>
      <w:r>
        <w:rPr>
          <w:lang w:val="en-US"/>
        </w:rPr>
        <w:t xml:space="preserve"> A, </w:t>
      </w:r>
      <w:proofErr w:type="spellStart"/>
      <w:r>
        <w:rPr>
          <w:lang w:val="en-US"/>
        </w:rPr>
        <w:t>Levitte</w:t>
      </w:r>
      <w:proofErr w:type="spellEnd"/>
      <w:r>
        <w:rPr>
          <w:lang w:val="en-US"/>
        </w:rPr>
        <w:t xml:space="preserve"> S, Lo YHJ, </w:t>
      </w:r>
      <w:proofErr w:type="spellStart"/>
      <w:r>
        <w:rPr>
          <w:lang w:val="en-US"/>
        </w:rPr>
        <w:t>Montminy</w:t>
      </w:r>
      <w:proofErr w:type="spellEnd"/>
      <w:r>
        <w:rPr>
          <w:lang w:val="en-US"/>
        </w:rPr>
        <w:t xml:space="preserve"> T, Novak I, Ng K, Novotny NM, Parrado RH, </w:t>
      </w:r>
      <w:proofErr w:type="spellStart"/>
      <w:r>
        <w:rPr>
          <w:lang w:val="en-US"/>
        </w:rPr>
        <w:t>Ruan</w:t>
      </w:r>
      <w:proofErr w:type="spellEnd"/>
      <w:r>
        <w:rPr>
          <w:lang w:val="en-US"/>
        </w:rPr>
        <w:t xml:space="preserve"> W, </w:t>
      </w:r>
      <w:proofErr w:type="spellStart"/>
      <w:r>
        <w:rPr>
          <w:lang w:val="en-US"/>
        </w:rPr>
        <w:t>Shaprio</w:t>
      </w:r>
      <w:proofErr w:type="spellEnd"/>
      <w:r>
        <w:rPr>
          <w:lang w:val="en-US"/>
        </w:rPr>
        <w:t xml:space="preserve"> J, Sinclair EM, Stewart AM, </w:t>
      </w:r>
      <w:proofErr w:type="spellStart"/>
      <w:r>
        <w:rPr>
          <w:lang w:val="en-US"/>
        </w:rPr>
        <w:t>Talathi</w:t>
      </w:r>
      <w:proofErr w:type="spellEnd"/>
      <w:r>
        <w:rPr>
          <w:lang w:val="en-US"/>
        </w:rPr>
        <w:t xml:space="preserve"> S, Tavarez MM, Townsend P, </w:t>
      </w:r>
      <w:proofErr w:type="spellStart"/>
      <w:r>
        <w:rPr>
          <w:lang w:val="en-US"/>
        </w:rPr>
        <w:t>Zaytsev</w:t>
      </w:r>
      <w:proofErr w:type="spellEnd"/>
      <w:r>
        <w:rPr>
          <w:lang w:val="en-US"/>
        </w:rPr>
        <w:t xml:space="preserve"> J, Rudolph B. </w:t>
      </w:r>
      <w:r w:rsidRPr="0067107F">
        <w:rPr>
          <w:i/>
          <w:iCs/>
          <w:lang w:val="en-US"/>
        </w:rPr>
        <w:t>High-Powered Magnet Exposures in Children: A Multi-Center Cohort Study.</w:t>
      </w:r>
      <w:r>
        <w:rPr>
          <w:lang w:val="en-US"/>
        </w:rPr>
        <w:t xml:space="preserve"> Pediatrics (2022). D</w:t>
      </w:r>
      <w:r w:rsidRPr="0067107F">
        <w:rPr>
          <w:lang w:val="en-US"/>
        </w:rPr>
        <w:t>oi: 10.1542/peds.2021-054543.</w:t>
      </w:r>
    </w:p>
    <w:p w14:paraId="42DC7FFD" w14:textId="62F61998" w:rsidR="00393943" w:rsidRDefault="00393943" w:rsidP="00F852BB">
      <w:pPr>
        <w:pStyle w:val="ListParagraph"/>
        <w:numPr>
          <w:ilvl w:val="0"/>
          <w:numId w:val="7"/>
        </w:numPr>
        <w:spacing w:line="480" w:lineRule="auto"/>
        <w:jc w:val="both"/>
        <w:rPr>
          <w:lang w:val="en-US"/>
        </w:rPr>
      </w:pPr>
      <w:r>
        <w:rPr>
          <w:lang w:val="en-US"/>
        </w:rPr>
        <w:t>Neville JJ</w:t>
      </w:r>
      <w:r w:rsidRPr="00393943">
        <w:rPr>
          <w:lang w:val="en-US"/>
        </w:rPr>
        <w:t>, Harwood</w:t>
      </w:r>
      <w:r>
        <w:rPr>
          <w:lang w:val="en-US"/>
        </w:rPr>
        <w:t xml:space="preserve"> R</w:t>
      </w:r>
      <w:r w:rsidRPr="00393943">
        <w:rPr>
          <w:lang w:val="en-US"/>
        </w:rPr>
        <w:t>, Bethell</w:t>
      </w:r>
      <w:r>
        <w:rPr>
          <w:lang w:val="en-US"/>
        </w:rPr>
        <w:t xml:space="preserve"> GS</w:t>
      </w:r>
      <w:r w:rsidRPr="00393943">
        <w:rPr>
          <w:lang w:val="en-US"/>
        </w:rPr>
        <w:t>, Rhodes</w:t>
      </w:r>
      <w:r>
        <w:rPr>
          <w:lang w:val="en-US"/>
        </w:rPr>
        <w:t xml:space="preserve"> H</w:t>
      </w:r>
      <w:r w:rsidRPr="00393943">
        <w:rPr>
          <w:lang w:val="en-US"/>
        </w:rPr>
        <w:t>, Arthur</w:t>
      </w:r>
      <w:r>
        <w:rPr>
          <w:lang w:val="en-US"/>
        </w:rPr>
        <w:t xml:space="preserve"> F</w:t>
      </w:r>
      <w:r w:rsidRPr="00393943">
        <w:rPr>
          <w:lang w:val="en-US"/>
        </w:rPr>
        <w:t>, Eastwood</w:t>
      </w:r>
      <w:r>
        <w:rPr>
          <w:lang w:val="en-US"/>
        </w:rPr>
        <w:t xml:space="preserve"> MP</w:t>
      </w:r>
      <w:r w:rsidRPr="00393943">
        <w:rPr>
          <w:lang w:val="en-US"/>
        </w:rPr>
        <w:t xml:space="preserve">, </w:t>
      </w:r>
      <w:proofErr w:type="spellStart"/>
      <w:r w:rsidRPr="00393943">
        <w:rPr>
          <w:lang w:val="en-US"/>
        </w:rPr>
        <w:t>Hotonu</w:t>
      </w:r>
      <w:proofErr w:type="spellEnd"/>
      <w:r>
        <w:rPr>
          <w:lang w:val="en-US"/>
        </w:rPr>
        <w:t xml:space="preserve"> S</w:t>
      </w:r>
      <w:r w:rsidRPr="00393943">
        <w:rPr>
          <w:lang w:val="en-US"/>
        </w:rPr>
        <w:t>, Tullie</w:t>
      </w:r>
      <w:r>
        <w:rPr>
          <w:lang w:val="en-US"/>
        </w:rPr>
        <w:t xml:space="preserve"> L</w:t>
      </w:r>
      <w:r w:rsidRPr="00393943">
        <w:rPr>
          <w:lang w:val="en-US"/>
        </w:rPr>
        <w:t xml:space="preserve">, </w:t>
      </w:r>
      <w:r w:rsidR="00591175">
        <w:rPr>
          <w:lang w:val="en-US"/>
        </w:rPr>
        <w:t>Hall N</w:t>
      </w:r>
      <w:r w:rsidRPr="00393943">
        <w:rPr>
          <w:lang w:val="en-US"/>
        </w:rPr>
        <w:t>J</w:t>
      </w:r>
      <w:r w:rsidR="00591175">
        <w:rPr>
          <w:lang w:val="en-US"/>
        </w:rPr>
        <w:t xml:space="preserve">. </w:t>
      </w:r>
      <w:r w:rsidR="00591175" w:rsidRPr="00030464">
        <w:rPr>
          <w:i/>
          <w:iCs/>
          <w:lang w:val="en-US"/>
        </w:rPr>
        <w:t xml:space="preserve">Magnet and button battery ingestion in children: </w:t>
      </w:r>
      <w:proofErr w:type="spellStart"/>
      <w:r w:rsidR="00591175" w:rsidRPr="00030464">
        <w:rPr>
          <w:i/>
          <w:iCs/>
          <w:lang w:val="en-US"/>
        </w:rPr>
        <w:t>multicentre</w:t>
      </w:r>
      <w:proofErr w:type="spellEnd"/>
      <w:r w:rsidR="00591175" w:rsidRPr="00030464">
        <w:rPr>
          <w:i/>
          <w:iCs/>
          <w:lang w:val="en-US"/>
        </w:rPr>
        <w:t xml:space="preserve"> observational study of management and outcomes.</w:t>
      </w:r>
      <w:r w:rsidR="00591175">
        <w:rPr>
          <w:lang w:val="en-US"/>
        </w:rPr>
        <w:t xml:space="preserve"> BJS Open (2022). </w:t>
      </w:r>
      <w:r w:rsidR="00591175" w:rsidRPr="00591175">
        <w:rPr>
          <w:lang w:val="en-US"/>
        </w:rPr>
        <w:t>Doi</w:t>
      </w:r>
      <w:r w:rsidR="00591175">
        <w:rPr>
          <w:lang w:val="en-US"/>
        </w:rPr>
        <w:t>:</w:t>
      </w:r>
      <w:r w:rsidR="00591175" w:rsidRPr="00591175">
        <w:rPr>
          <w:lang w:val="en-US"/>
        </w:rPr>
        <w:t>10.1093/</w:t>
      </w:r>
      <w:proofErr w:type="spellStart"/>
      <w:r w:rsidR="00591175" w:rsidRPr="00591175">
        <w:rPr>
          <w:lang w:val="en-US"/>
        </w:rPr>
        <w:t>bjsopen</w:t>
      </w:r>
      <w:proofErr w:type="spellEnd"/>
      <w:r w:rsidR="00591175" w:rsidRPr="00591175">
        <w:rPr>
          <w:lang w:val="en-US"/>
        </w:rPr>
        <w:t>/zrac056</w:t>
      </w:r>
      <w:r w:rsidR="00591175">
        <w:rPr>
          <w:lang w:val="en-US"/>
        </w:rPr>
        <w:t xml:space="preserve">. </w:t>
      </w:r>
    </w:p>
    <w:p w14:paraId="1640D9BA" w14:textId="11D5F209" w:rsidR="00A624BB" w:rsidRPr="00A624BB" w:rsidRDefault="00A624BB" w:rsidP="00A624BB">
      <w:pPr>
        <w:pStyle w:val="ListParagraph"/>
        <w:numPr>
          <w:ilvl w:val="0"/>
          <w:numId w:val="7"/>
        </w:numPr>
        <w:spacing w:line="480" w:lineRule="auto"/>
        <w:jc w:val="both"/>
        <w:rPr>
          <w:lang w:val="en-US"/>
        </w:rPr>
      </w:pPr>
      <w:proofErr w:type="spellStart"/>
      <w:r w:rsidRPr="00A624BB">
        <w:rPr>
          <w:lang w:val="en-US"/>
        </w:rPr>
        <w:t>Stibbards</w:t>
      </w:r>
      <w:proofErr w:type="spellEnd"/>
      <w:r>
        <w:rPr>
          <w:lang w:val="en-US"/>
        </w:rPr>
        <w:t xml:space="preserve"> S, </w:t>
      </w:r>
      <w:r w:rsidRPr="00A624BB">
        <w:rPr>
          <w:lang w:val="en-US"/>
        </w:rPr>
        <w:t>Kenney</w:t>
      </w:r>
      <w:r>
        <w:rPr>
          <w:lang w:val="en-US"/>
        </w:rPr>
        <w:t xml:space="preserve"> S</w:t>
      </w:r>
      <w:r w:rsidRPr="00A624BB">
        <w:rPr>
          <w:lang w:val="en-US"/>
        </w:rPr>
        <w:t xml:space="preserve">, </w:t>
      </w:r>
      <w:proofErr w:type="spellStart"/>
      <w:r w:rsidRPr="00A624BB">
        <w:rPr>
          <w:lang w:val="en-US"/>
        </w:rPr>
        <w:t>Emsden</w:t>
      </w:r>
      <w:proofErr w:type="spellEnd"/>
      <w:r>
        <w:rPr>
          <w:lang w:val="en-US"/>
        </w:rPr>
        <w:t xml:space="preserve"> S</w:t>
      </w:r>
      <w:r w:rsidRPr="00A624BB">
        <w:rPr>
          <w:lang w:val="en-US"/>
        </w:rPr>
        <w:t xml:space="preserve">, </w:t>
      </w:r>
      <w:proofErr w:type="spellStart"/>
      <w:r w:rsidRPr="00A624BB">
        <w:rPr>
          <w:lang w:val="en-US"/>
        </w:rPr>
        <w:t>Landes</w:t>
      </w:r>
      <w:proofErr w:type="spellEnd"/>
      <w:r>
        <w:rPr>
          <w:lang w:val="en-US"/>
        </w:rPr>
        <w:t xml:space="preserve"> C</w:t>
      </w:r>
      <w:r w:rsidRPr="00A624BB">
        <w:rPr>
          <w:lang w:val="en-US"/>
        </w:rPr>
        <w:t>, Price</w:t>
      </w:r>
      <w:r>
        <w:rPr>
          <w:lang w:val="en-US"/>
        </w:rPr>
        <w:t xml:space="preserve"> J</w:t>
      </w:r>
      <w:r w:rsidRPr="00A624BB">
        <w:rPr>
          <w:lang w:val="en-US"/>
        </w:rPr>
        <w:t>, Almond</w:t>
      </w:r>
      <w:r>
        <w:rPr>
          <w:lang w:val="en-US"/>
        </w:rPr>
        <w:t xml:space="preserve"> S</w:t>
      </w:r>
      <w:r w:rsidRPr="00A624BB">
        <w:rPr>
          <w:lang w:val="en-US"/>
        </w:rPr>
        <w:t>,</w:t>
      </w:r>
      <w:r>
        <w:rPr>
          <w:lang w:val="en-US"/>
        </w:rPr>
        <w:t xml:space="preserve"> </w:t>
      </w:r>
      <w:r w:rsidRPr="00A624BB">
        <w:rPr>
          <w:lang w:val="en-US"/>
        </w:rPr>
        <w:t>See TC, Agrawal S, Desai A, Bliss H, Harwood R, Decker E</w:t>
      </w:r>
      <w:r>
        <w:rPr>
          <w:lang w:val="en-US"/>
        </w:rPr>
        <w:t xml:space="preserve">. Royal College of Emergency Medicine </w:t>
      </w:r>
      <w:r>
        <w:t xml:space="preserve">Best Practice Guideline: Ingestion of Super Strong Magnets in Children (2021). </w:t>
      </w:r>
      <w:hyperlink r:id="rId8" w:history="1">
        <w:r w:rsidRPr="00505E5A">
          <w:rPr>
            <w:rStyle w:val="Hyperlink"/>
          </w:rPr>
          <w:t>https://rcem.ac.uk/clinical-guidelines/</w:t>
        </w:r>
      </w:hyperlink>
      <w:r>
        <w:t xml:space="preserve"> accessed December 2022. </w:t>
      </w:r>
    </w:p>
    <w:p w14:paraId="0086D0A7" w14:textId="6E5D2CF0" w:rsidR="00F803AB" w:rsidRDefault="00F803AB" w:rsidP="005C04B1">
      <w:pPr>
        <w:spacing w:line="480" w:lineRule="auto"/>
        <w:jc w:val="both"/>
        <w:rPr>
          <w:lang w:val="en-US"/>
        </w:rPr>
      </w:pPr>
    </w:p>
    <w:p w14:paraId="0791D2CD" w14:textId="324837C2" w:rsidR="002D66C4" w:rsidRPr="00F803AB" w:rsidRDefault="002D66C4" w:rsidP="005C04B1">
      <w:pPr>
        <w:spacing w:line="480" w:lineRule="auto"/>
        <w:jc w:val="both"/>
        <w:rPr>
          <w:lang w:val="en-US"/>
        </w:rPr>
      </w:pPr>
      <w:r>
        <w:rPr>
          <w:lang w:val="en-US"/>
        </w:rPr>
        <w:t>(</w:t>
      </w:r>
      <w:r w:rsidR="008C1B83">
        <w:rPr>
          <w:lang w:val="en-US"/>
        </w:rPr>
        <w:t>501</w:t>
      </w:r>
      <w:r>
        <w:rPr>
          <w:lang w:val="en-US"/>
        </w:rPr>
        <w:t>/500 words)</w:t>
      </w:r>
    </w:p>
    <w:sectPr w:rsidR="002D66C4" w:rsidRPr="00F803A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DB133" w14:textId="77777777" w:rsidR="00182574" w:rsidRDefault="00182574" w:rsidP="00F803AB">
      <w:pPr>
        <w:spacing w:after="0" w:line="240" w:lineRule="auto"/>
      </w:pPr>
      <w:r>
        <w:separator/>
      </w:r>
    </w:p>
  </w:endnote>
  <w:endnote w:type="continuationSeparator" w:id="0">
    <w:p w14:paraId="6907F7A1" w14:textId="77777777" w:rsidR="00182574" w:rsidRDefault="00182574" w:rsidP="00F8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6296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842D01" w14:textId="0F9B7FEC" w:rsidR="000B7D17" w:rsidRDefault="000B7D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8BC46A" w14:textId="77777777" w:rsidR="000B7D17" w:rsidRDefault="000B7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08E6A" w14:textId="77777777" w:rsidR="00182574" w:rsidRDefault="00182574" w:rsidP="00F803AB">
      <w:pPr>
        <w:spacing w:after="0" w:line="240" w:lineRule="auto"/>
      </w:pPr>
      <w:r>
        <w:separator/>
      </w:r>
    </w:p>
  </w:footnote>
  <w:footnote w:type="continuationSeparator" w:id="0">
    <w:p w14:paraId="656480F2" w14:textId="77777777" w:rsidR="00182574" w:rsidRDefault="00182574" w:rsidP="00F80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F421" w14:textId="440E298F" w:rsidR="00F13F9F" w:rsidRPr="00F803AB" w:rsidRDefault="00F803AB" w:rsidP="00F13F9F">
    <w:pPr>
      <w:spacing w:line="480" w:lineRule="auto"/>
      <w:jc w:val="both"/>
      <w:rPr>
        <w:lang w:val="en-US"/>
      </w:rPr>
    </w:pPr>
    <w:r>
      <w:rPr>
        <w:lang w:val="en-US"/>
      </w:rPr>
      <w:t xml:space="preserve">Letter to Archives </w:t>
    </w:r>
    <w:r w:rsidR="003C6C03">
      <w:rPr>
        <w:lang w:val="en-US"/>
      </w:rPr>
      <w:t>of Disease in Childhood</w:t>
    </w:r>
    <w:r w:rsidR="00F13F9F">
      <w:rPr>
        <w:lang w:val="en-US"/>
      </w:rPr>
      <w:tab/>
    </w:r>
    <w:r w:rsidR="00F13F9F">
      <w:rPr>
        <w:lang w:val="en-US"/>
      </w:rPr>
      <w:tab/>
      <w:t xml:space="preserve"> </w:t>
    </w:r>
  </w:p>
  <w:p w14:paraId="44AC6087" w14:textId="1BBC45A5" w:rsidR="00F803AB" w:rsidRPr="00F803AB" w:rsidRDefault="00F803A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730"/>
    <w:multiLevelType w:val="hybridMultilevel"/>
    <w:tmpl w:val="5F4EA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E62CC"/>
    <w:multiLevelType w:val="hybridMultilevel"/>
    <w:tmpl w:val="07C44B78"/>
    <w:lvl w:ilvl="0" w:tplc="ADE81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704"/>
    <w:multiLevelType w:val="hybridMultilevel"/>
    <w:tmpl w:val="7ECE3854"/>
    <w:lvl w:ilvl="0" w:tplc="0DF614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F1472"/>
    <w:multiLevelType w:val="hybridMultilevel"/>
    <w:tmpl w:val="6DB64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B2754"/>
    <w:multiLevelType w:val="hybridMultilevel"/>
    <w:tmpl w:val="197E5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6295E"/>
    <w:multiLevelType w:val="hybridMultilevel"/>
    <w:tmpl w:val="7A801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8568A"/>
    <w:multiLevelType w:val="hybridMultilevel"/>
    <w:tmpl w:val="52BEC1FA"/>
    <w:lvl w:ilvl="0" w:tplc="0DF614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044648">
    <w:abstractNumId w:val="2"/>
  </w:num>
  <w:num w:numId="2" w16cid:durableId="765736888">
    <w:abstractNumId w:val="4"/>
  </w:num>
  <w:num w:numId="3" w16cid:durableId="482045087">
    <w:abstractNumId w:val="1"/>
  </w:num>
  <w:num w:numId="4" w16cid:durableId="825706126">
    <w:abstractNumId w:val="6"/>
  </w:num>
  <w:num w:numId="5" w16cid:durableId="774247397">
    <w:abstractNumId w:val="5"/>
  </w:num>
  <w:num w:numId="6" w16cid:durableId="1961568198">
    <w:abstractNumId w:val="0"/>
  </w:num>
  <w:num w:numId="7" w16cid:durableId="1081219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A0"/>
    <w:rsid w:val="00005942"/>
    <w:rsid w:val="00014D74"/>
    <w:rsid w:val="00030464"/>
    <w:rsid w:val="000442D4"/>
    <w:rsid w:val="00054312"/>
    <w:rsid w:val="00054DFA"/>
    <w:rsid w:val="0006708A"/>
    <w:rsid w:val="0008784D"/>
    <w:rsid w:val="000A5FD5"/>
    <w:rsid w:val="000A7AC4"/>
    <w:rsid w:val="000A7E8C"/>
    <w:rsid w:val="000B7D17"/>
    <w:rsid w:val="000C6569"/>
    <w:rsid w:val="000E6088"/>
    <w:rsid w:val="00100982"/>
    <w:rsid w:val="00113538"/>
    <w:rsid w:val="00120E77"/>
    <w:rsid w:val="00134EA4"/>
    <w:rsid w:val="001407AE"/>
    <w:rsid w:val="00152D34"/>
    <w:rsid w:val="00157369"/>
    <w:rsid w:val="00157723"/>
    <w:rsid w:val="00162573"/>
    <w:rsid w:val="00182574"/>
    <w:rsid w:val="00185CF6"/>
    <w:rsid w:val="001A3094"/>
    <w:rsid w:val="001C31F2"/>
    <w:rsid w:val="001D3209"/>
    <w:rsid w:val="001E2416"/>
    <w:rsid w:val="001E4284"/>
    <w:rsid w:val="001E5B63"/>
    <w:rsid w:val="0021000E"/>
    <w:rsid w:val="00216790"/>
    <w:rsid w:val="00233B4B"/>
    <w:rsid w:val="002465F4"/>
    <w:rsid w:val="0025061F"/>
    <w:rsid w:val="00250C12"/>
    <w:rsid w:val="00251240"/>
    <w:rsid w:val="002513DB"/>
    <w:rsid w:val="00260A37"/>
    <w:rsid w:val="00264674"/>
    <w:rsid w:val="00275BF9"/>
    <w:rsid w:val="002A73E7"/>
    <w:rsid w:val="002D3DB9"/>
    <w:rsid w:val="002D66C4"/>
    <w:rsid w:val="002E0871"/>
    <w:rsid w:val="002E12F6"/>
    <w:rsid w:val="002E4FBA"/>
    <w:rsid w:val="0030225D"/>
    <w:rsid w:val="00327DC7"/>
    <w:rsid w:val="00340F8B"/>
    <w:rsid w:val="0035777D"/>
    <w:rsid w:val="00363E8B"/>
    <w:rsid w:val="003716FD"/>
    <w:rsid w:val="00393943"/>
    <w:rsid w:val="003C189B"/>
    <w:rsid w:val="003C6C03"/>
    <w:rsid w:val="003C75D0"/>
    <w:rsid w:val="003D34FB"/>
    <w:rsid w:val="003F0F26"/>
    <w:rsid w:val="003F5A77"/>
    <w:rsid w:val="00420AE3"/>
    <w:rsid w:val="004400D7"/>
    <w:rsid w:val="00444B84"/>
    <w:rsid w:val="00453FA6"/>
    <w:rsid w:val="004636D9"/>
    <w:rsid w:val="0047169E"/>
    <w:rsid w:val="004934CE"/>
    <w:rsid w:val="004C2463"/>
    <w:rsid w:val="004C5C48"/>
    <w:rsid w:val="004D037C"/>
    <w:rsid w:val="004E2F51"/>
    <w:rsid w:val="00501298"/>
    <w:rsid w:val="00527306"/>
    <w:rsid w:val="00534115"/>
    <w:rsid w:val="00567E9C"/>
    <w:rsid w:val="00587058"/>
    <w:rsid w:val="00591175"/>
    <w:rsid w:val="005C04B1"/>
    <w:rsid w:val="005D7264"/>
    <w:rsid w:val="0061159F"/>
    <w:rsid w:val="00613BE3"/>
    <w:rsid w:val="00614B1D"/>
    <w:rsid w:val="00634C8F"/>
    <w:rsid w:val="00634E2A"/>
    <w:rsid w:val="00642809"/>
    <w:rsid w:val="0067107F"/>
    <w:rsid w:val="00677423"/>
    <w:rsid w:val="006A3C79"/>
    <w:rsid w:val="006A6B48"/>
    <w:rsid w:val="006C1CFD"/>
    <w:rsid w:val="006C43A0"/>
    <w:rsid w:val="006D226E"/>
    <w:rsid w:val="006D5F14"/>
    <w:rsid w:val="006E082C"/>
    <w:rsid w:val="006F0C88"/>
    <w:rsid w:val="006F5FE9"/>
    <w:rsid w:val="007053F7"/>
    <w:rsid w:val="00711214"/>
    <w:rsid w:val="00713EF2"/>
    <w:rsid w:val="00721680"/>
    <w:rsid w:val="00732058"/>
    <w:rsid w:val="00736503"/>
    <w:rsid w:val="00793E5C"/>
    <w:rsid w:val="007A05A0"/>
    <w:rsid w:val="007B14BB"/>
    <w:rsid w:val="007B5017"/>
    <w:rsid w:val="007C1361"/>
    <w:rsid w:val="007C343E"/>
    <w:rsid w:val="00833A17"/>
    <w:rsid w:val="00837069"/>
    <w:rsid w:val="00857C48"/>
    <w:rsid w:val="008614F4"/>
    <w:rsid w:val="00882ADA"/>
    <w:rsid w:val="00886117"/>
    <w:rsid w:val="008C1B83"/>
    <w:rsid w:val="008E54F9"/>
    <w:rsid w:val="008E6178"/>
    <w:rsid w:val="00912AE6"/>
    <w:rsid w:val="00912CDA"/>
    <w:rsid w:val="00925583"/>
    <w:rsid w:val="009317C7"/>
    <w:rsid w:val="00934A92"/>
    <w:rsid w:val="00934C76"/>
    <w:rsid w:val="009422D5"/>
    <w:rsid w:val="009565CB"/>
    <w:rsid w:val="00973A99"/>
    <w:rsid w:val="00986461"/>
    <w:rsid w:val="00997474"/>
    <w:rsid w:val="009A1A86"/>
    <w:rsid w:val="009B351B"/>
    <w:rsid w:val="009B599C"/>
    <w:rsid w:val="009C1B84"/>
    <w:rsid w:val="009C20B7"/>
    <w:rsid w:val="009C741E"/>
    <w:rsid w:val="009E37D0"/>
    <w:rsid w:val="009F0513"/>
    <w:rsid w:val="00A12E0D"/>
    <w:rsid w:val="00A16FB3"/>
    <w:rsid w:val="00A30C4B"/>
    <w:rsid w:val="00A42427"/>
    <w:rsid w:val="00A570CF"/>
    <w:rsid w:val="00A624BB"/>
    <w:rsid w:val="00A668D8"/>
    <w:rsid w:val="00A826DD"/>
    <w:rsid w:val="00A9415A"/>
    <w:rsid w:val="00AB7A4A"/>
    <w:rsid w:val="00AC3391"/>
    <w:rsid w:val="00AF0775"/>
    <w:rsid w:val="00B02016"/>
    <w:rsid w:val="00B04178"/>
    <w:rsid w:val="00B124A9"/>
    <w:rsid w:val="00B161B9"/>
    <w:rsid w:val="00B21B75"/>
    <w:rsid w:val="00B47E2C"/>
    <w:rsid w:val="00B538B9"/>
    <w:rsid w:val="00B77297"/>
    <w:rsid w:val="00BA5EDE"/>
    <w:rsid w:val="00BC0759"/>
    <w:rsid w:val="00BC0B6C"/>
    <w:rsid w:val="00BC21F6"/>
    <w:rsid w:val="00BC2941"/>
    <w:rsid w:val="00BC4CB2"/>
    <w:rsid w:val="00BD56D8"/>
    <w:rsid w:val="00BF31FF"/>
    <w:rsid w:val="00C01C7C"/>
    <w:rsid w:val="00C158E3"/>
    <w:rsid w:val="00C47A2D"/>
    <w:rsid w:val="00C633BD"/>
    <w:rsid w:val="00C72072"/>
    <w:rsid w:val="00C943D8"/>
    <w:rsid w:val="00CA28E4"/>
    <w:rsid w:val="00CA69E4"/>
    <w:rsid w:val="00CC06C1"/>
    <w:rsid w:val="00CD2C32"/>
    <w:rsid w:val="00CE050F"/>
    <w:rsid w:val="00CE1552"/>
    <w:rsid w:val="00CE4B1D"/>
    <w:rsid w:val="00D07757"/>
    <w:rsid w:val="00D242AA"/>
    <w:rsid w:val="00D65779"/>
    <w:rsid w:val="00D710B9"/>
    <w:rsid w:val="00D921D8"/>
    <w:rsid w:val="00DB1E49"/>
    <w:rsid w:val="00DD48C9"/>
    <w:rsid w:val="00E17CE3"/>
    <w:rsid w:val="00E4113B"/>
    <w:rsid w:val="00E53C8C"/>
    <w:rsid w:val="00E80DED"/>
    <w:rsid w:val="00E967E3"/>
    <w:rsid w:val="00EA372A"/>
    <w:rsid w:val="00EA6BF9"/>
    <w:rsid w:val="00EC357E"/>
    <w:rsid w:val="00EC563E"/>
    <w:rsid w:val="00EE6F42"/>
    <w:rsid w:val="00EF710C"/>
    <w:rsid w:val="00F13F9F"/>
    <w:rsid w:val="00F23450"/>
    <w:rsid w:val="00F2713F"/>
    <w:rsid w:val="00F3617D"/>
    <w:rsid w:val="00F52AAD"/>
    <w:rsid w:val="00F65172"/>
    <w:rsid w:val="00F72EB7"/>
    <w:rsid w:val="00F803AB"/>
    <w:rsid w:val="00F852BB"/>
    <w:rsid w:val="00FA092F"/>
    <w:rsid w:val="00FC33DC"/>
    <w:rsid w:val="00FD32AE"/>
    <w:rsid w:val="00FE2D37"/>
    <w:rsid w:val="00FF27BC"/>
    <w:rsid w:val="00FF5831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6089C"/>
  <w15:chartTrackingRefBased/>
  <w15:docId w15:val="{727605C5-CC20-4317-8792-D99B1E82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C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0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3AB"/>
  </w:style>
  <w:style w:type="paragraph" w:styleId="Footer">
    <w:name w:val="footer"/>
    <w:basedOn w:val="Normal"/>
    <w:link w:val="FooterChar"/>
    <w:uiPriority w:val="99"/>
    <w:unhideWhenUsed/>
    <w:rsid w:val="00F80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3AB"/>
  </w:style>
  <w:style w:type="character" w:styleId="PlaceholderText">
    <w:name w:val="Placeholder Text"/>
    <w:basedOn w:val="DefaultParagraphFont"/>
    <w:uiPriority w:val="99"/>
    <w:semiHidden/>
    <w:rsid w:val="004C246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624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4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07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C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6D5F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21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1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1B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B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em.ac.uk/clinical-guidelin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Neville</dc:creator>
  <cp:keywords/>
  <dc:description/>
  <cp:lastModifiedBy>Lucinda England</cp:lastModifiedBy>
  <cp:revision>2</cp:revision>
  <dcterms:created xsi:type="dcterms:W3CDTF">2023-10-05T13:35:00Z</dcterms:created>
  <dcterms:modified xsi:type="dcterms:W3CDTF">2023-10-05T13:35:00Z</dcterms:modified>
</cp:coreProperties>
</file>