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F17083" w14:textId="58AE1628" w:rsidR="000B367B" w:rsidRDefault="009E2E98" w:rsidP="00533B71">
      <w:pPr>
        <w:jc w:val="center"/>
        <w:rPr>
          <w:sz w:val="32"/>
        </w:rPr>
      </w:pPr>
      <w:r w:rsidRPr="00F679DB">
        <w:rPr>
          <w:sz w:val="32"/>
        </w:rPr>
        <w:t>R</w:t>
      </w:r>
      <w:r w:rsidR="001A0E8A" w:rsidRPr="00F679DB">
        <w:rPr>
          <w:sz w:val="32"/>
        </w:rPr>
        <w:t>E</w:t>
      </w:r>
      <w:r w:rsidRPr="00F679DB">
        <w:rPr>
          <w:sz w:val="32"/>
        </w:rPr>
        <w:t xml:space="preserve">: </w:t>
      </w:r>
      <w:r w:rsidR="00533B71" w:rsidRPr="00F679DB">
        <w:rPr>
          <w:sz w:val="32"/>
        </w:rPr>
        <w:t xml:space="preserve">Emails and </w:t>
      </w:r>
      <w:r w:rsidR="00E97C03" w:rsidRPr="00F679DB">
        <w:rPr>
          <w:sz w:val="32"/>
        </w:rPr>
        <w:t>Formalities</w:t>
      </w:r>
      <w:r w:rsidR="00A6764E" w:rsidRPr="00F679DB">
        <w:rPr>
          <w:sz w:val="32"/>
        </w:rPr>
        <w:t xml:space="preserve"> for</w:t>
      </w:r>
      <w:r w:rsidRPr="00F679DB">
        <w:rPr>
          <w:sz w:val="32"/>
        </w:rPr>
        <w:t xml:space="preserve"> the Creation of Property Interests</w:t>
      </w:r>
    </w:p>
    <w:p w14:paraId="2994F338" w14:textId="52437A64" w:rsidR="00AE4D7F" w:rsidRPr="00AE4D7F" w:rsidRDefault="00AE4D7F" w:rsidP="00533B71">
      <w:pPr>
        <w:jc w:val="center"/>
        <w:rPr>
          <w:szCs w:val="18"/>
        </w:rPr>
      </w:pPr>
    </w:p>
    <w:p w14:paraId="01BB4060" w14:textId="2E5D9B66" w:rsidR="00AE4D7F" w:rsidRPr="00AE4D7F" w:rsidRDefault="00AE4D7F" w:rsidP="00533B71">
      <w:pPr>
        <w:jc w:val="center"/>
        <w:rPr>
          <w:i/>
          <w:iCs/>
          <w:szCs w:val="18"/>
        </w:rPr>
      </w:pPr>
      <w:r w:rsidRPr="00AE4D7F">
        <w:rPr>
          <w:i/>
          <w:iCs/>
          <w:szCs w:val="18"/>
        </w:rPr>
        <w:t>Dean Taylor</w:t>
      </w:r>
      <w:r w:rsidR="000574A7">
        <w:rPr>
          <w:i/>
          <w:iCs/>
          <w:szCs w:val="18"/>
        </w:rPr>
        <w:t>*</w:t>
      </w:r>
    </w:p>
    <w:p w14:paraId="180DE809" w14:textId="77777777" w:rsidR="00C256D8" w:rsidRDefault="00C256D8" w:rsidP="000161EC">
      <w:pPr>
        <w:jc w:val="both"/>
      </w:pPr>
    </w:p>
    <w:p w14:paraId="6FB7AB4F" w14:textId="6C252A64" w:rsidR="001B242C" w:rsidRDefault="000148D6" w:rsidP="00915DA7">
      <w:pPr>
        <w:jc w:val="both"/>
      </w:pPr>
      <w:r>
        <w:t xml:space="preserve">If the </w:t>
      </w:r>
      <w:r w:rsidR="00B94AB2">
        <w:t>values</w:t>
      </w:r>
      <w:r>
        <w:t xml:space="preserve"> of rationality, coherence and certainty of </w:t>
      </w:r>
      <w:r w:rsidR="00B94AB2">
        <w:t>English</w:t>
      </w:r>
      <w:r>
        <w:t xml:space="preserve"> land law’s schema are to be upheld, then it is a necessity that formalities </w:t>
      </w:r>
      <w:r w:rsidR="00B25DDE">
        <w:t>are</w:t>
      </w:r>
      <w:r>
        <w:t xml:space="preserve"> complied with to safely channel parties </w:t>
      </w:r>
      <w:r w:rsidR="00B25DDE">
        <w:t>in the</w:t>
      </w:r>
      <w:r>
        <w:t xml:space="preserve"> acqui</w:t>
      </w:r>
      <w:r w:rsidR="00CE57C6">
        <w:t>sition of</w:t>
      </w:r>
      <w:r>
        <w:t xml:space="preserve"> </w:t>
      </w:r>
      <w:r w:rsidR="00B24EEF">
        <w:t xml:space="preserve">property </w:t>
      </w:r>
      <w:r>
        <w:t>rights.</w:t>
      </w:r>
      <w:r>
        <w:rPr>
          <w:rStyle w:val="FootnoteReference"/>
        </w:rPr>
        <w:footnoteReference w:id="2"/>
      </w:r>
      <w:r>
        <w:t xml:space="preserve"> </w:t>
      </w:r>
      <w:r w:rsidR="002D3D97">
        <w:t>However, t</w:t>
      </w:r>
      <w:r w:rsidR="00E71CE9">
        <w:t xml:space="preserve">he fulfilment of </w:t>
      </w:r>
      <w:r w:rsidR="0031105B">
        <w:t xml:space="preserve">specific formality requirements </w:t>
      </w:r>
      <w:r w:rsidR="003F3414" w:rsidRPr="00156085">
        <w:t>can give</w:t>
      </w:r>
      <w:r w:rsidR="00C47743" w:rsidRPr="00156085">
        <w:t xml:space="preserve"> </w:t>
      </w:r>
      <w:r w:rsidR="003F3414" w:rsidRPr="00156085">
        <w:t>rise to difficult issues</w:t>
      </w:r>
      <w:r w:rsidR="00AA54B4" w:rsidRPr="00156085">
        <w:t xml:space="preserve"> of </w:t>
      </w:r>
      <w:r w:rsidR="00AC715A" w:rsidRPr="00156085">
        <w:t xml:space="preserve">statutory </w:t>
      </w:r>
      <w:r w:rsidR="00AA54B4" w:rsidRPr="00156085">
        <w:t>interpretation</w:t>
      </w:r>
      <w:r w:rsidR="003F3414" w:rsidRPr="00156085">
        <w:t xml:space="preserve">. </w:t>
      </w:r>
      <w:proofErr w:type="spellStart"/>
      <w:r w:rsidR="00DE2213" w:rsidRPr="004F1A5D">
        <w:rPr>
          <w:i/>
        </w:rPr>
        <w:t>Neocleous</w:t>
      </w:r>
      <w:proofErr w:type="spellEnd"/>
      <w:r w:rsidR="00DE2213" w:rsidRPr="004F1A5D">
        <w:rPr>
          <w:i/>
        </w:rPr>
        <w:t xml:space="preserve"> v Rees</w:t>
      </w:r>
      <w:r w:rsidR="00DE2213" w:rsidRPr="004F1A5D">
        <w:rPr>
          <w:rStyle w:val="FootnoteReference"/>
        </w:rPr>
        <w:footnoteReference w:id="3"/>
      </w:r>
      <w:r w:rsidR="00DE2213" w:rsidRPr="004F1A5D">
        <w:t xml:space="preserve"> is a reminder</w:t>
      </w:r>
      <w:r w:rsidR="00722F10" w:rsidRPr="004F1A5D">
        <w:t xml:space="preserve">, </w:t>
      </w:r>
      <w:r w:rsidR="00DE2213" w:rsidRPr="004F1A5D">
        <w:t>n</w:t>
      </w:r>
      <w:r w:rsidR="000B00EE" w:rsidRPr="004F1A5D">
        <w:t>ot for the first time</w:t>
      </w:r>
      <w:r w:rsidR="00722F10" w:rsidRPr="004F1A5D">
        <w:t>,</w:t>
      </w:r>
      <w:r w:rsidR="0072675B" w:rsidRPr="004F1A5D">
        <w:t xml:space="preserve"> that</w:t>
      </w:r>
      <w:r w:rsidR="000B00EE" w:rsidRPr="004F1A5D">
        <w:t xml:space="preserve"> </w:t>
      </w:r>
      <w:r w:rsidR="0019744F" w:rsidRPr="004F1A5D">
        <w:t xml:space="preserve">in an increasingly dematerialised world </w:t>
      </w:r>
      <w:r w:rsidR="000B00EE" w:rsidRPr="004F1A5D">
        <w:t xml:space="preserve">emails </w:t>
      </w:r>
      <w:r w:rsidR="00556721" w:rsidRPr="004F1A5D">
        <w:t>are</w:t>
      </w:r>
      <w:r w:rsidR="00AC715A" w:rsidRPr="004F1A5D">
        <w:t xml:space="preserve"> </w:t>
      </w:r>
      <w:r w:rsidR="00C47743" w:rsidRPr="004F1A5D">
        <w:t xml:space="preserve">an acute issue in </w:t>
      </w:r>
      <w:r w:rsidR="000B00EE" w:rsidRPr="004F1A5D">
        <w:t>litigation</w:t>
      </w:r>
      <w:r w:rsidR="00DA1B11">
        <w:t>.</w:t>
      </w:r>
      <w:r w:rsidR="00825997">
        <w:t xml:space="preserve"> </w:t>
      </w:r>
      <w:r w:rsidR="00077762">
        <w:t>C</w:t>
      </w:r>
      <w:r w:rsidR="000B00EE" w:rsidRPr="004F1A5D">
        <w:t xml:space="preserve">oncerning the </w:t>
      </w:r>
      <w:r w:rsidR="003F3414" w:rsidRPr="004F1A5D">
        <w:t xml:space="preserve">statutory requirement for a written, signed contract </w:t>
      </w:r>
      <w:r w:rsidR="002F4057" w:rsidRPr="004F1A5D">
        <w:t xml:space="preserve">for the </w:t>
      </w:r>
      <w:r w:rsidR="003F3414" w:rsidRPr="004F1A5D">
        <w:t xml:space="preserve">sale </w:t>
      </w:r>
      <w:r w:rsidR="002F4057" w:rsidRPr="004F1A5D">
        <w:t>of</w:t>
      </w:r>
      <w:r w:rsidR="003F3414" w:rsidRPr="004F1A5D">
        <w:t xml:space="preserve"> or other </w:t>
      </w:r>
      <w:r w:rsidR="000B00EE" w:rsidRPr="004F1A5D">
        <w:t xml:space="preserve">disposition of </w:t>
      </w:r>
      <w:r w:rsidR="00E26324">
        <w:t xml:space="preserve">an </w:t>
      </w:r>
      <w:r w:rsidR="000B00EE" w:rsidRPr="004F1A5D">
        <w:t>interest in land</w:t>
      </w:r>
      <w:r w:rsidR="00077762">
        <w:t>,</w:t>
      </w:r>
      <w:r w:rsidR="00DE2213" w:rsidRPr="004F1A5D">
        <w:t xml:space="preserve"> </w:t>
      </w:r>
      <w:proofErr w:type="spellStart"/>
      <w:r w:rsidR="00E41FF3">
        <w:rPr>
          <w:i/>
        </w:rPr>
        <w:t>Neocleous</w:t>
      </w:r>
      <w:proofErr w:type="spellEnd"/>
      <w:r w:rsidR="00E41FF3">
        <w:rPr>
          <w:i/>
        </w:rPr>
        <w:t xml:space="preserve"> </w:t>
      </w:r>
      <w:r w:rsidR="00077762">
        <w:rPr>
          <w:iCs/>
        </w:rPr>
        <w:t>joins</w:t>
      </w:r>
      <w:r w:rsidR="00E41FF3">
        <w:t xml:space="preserve"> a list of cases questioning whether </w:t>
      </w:r>
      <w:r w:rsidR="00B93799">
        <w:t xml:space="preserve">emails are a </w:t>
      </w:r>
      <w:r w:rsidR="00E41FF3">
        <w:t>type of writing</w:t>
      </w:r>
      <w:r w:rsidR="00A0302B">
        <w:t xml:space="preserve"> and signature</w:t>
      </w:r>
      <w:r w:rsidR="00E41FF3">
        <w:t xml:space="preserve"> accord</w:t>
      </w:r>
      <w:r w:rsidR="00B93799">
        <w:t>ing</w:t>
      </w:r>
      <w:r w:rsidR="00E41FF3">
        <w:t xml:space="preserve"> with that envisaged by </w:t>
      </w:r>
      <w:r w:rsidR="00491386">
        <w:t>Parliament</w:t>
      </w:r>
      <w:r w:rsidR="00077762" w:rsidRPr="00B93799">
        <w:rPr>
          <w:rStyle w:val="FootnoteReference"/>
          <w:vertAlign w:val="baseline"/>
        </w:rPr>
        <w:t>.</w:t>
      </w:r>
      <w:r w:rsidR="00077762" w:rsidRPr="004F1A5D">
        <w:rPr>
          <w:rStyle w:val="FootnoteReference"/>
        </w:rPr>
        <w:footnoteReference w:id="4"/>
      </w:r>
      <w:r w:rsidR="00915DA7">
        <w:t xml:space="preserve"> </w:t>
      </w:r>
    </w:p>
    <w:p w14:paraId="0514D735" w14:textId="77777777" w:rsidR="001B242C" w:rsidRDefault="001B242C" w:rsidP="00915DA7">
      <w:pPr>
        <w:jc w:val="both"/>
      </w:pPr>
    </w:p>
    <w:p w14:paraId="4C266E73" w14:textId="3A57CBD4" w:rsidR="001B242C" w:rsidRPr="009468FD" w:rsidRDefault="001B242C" w:rsidP="00915DA7">
      <w:pPr>
        <w:jc w:val="both"/>
        <w:rPr>
          <w:sz w:val="28"/>
          <w:szCs w:val="24"/>
        </w:rPr>
      </w:pPr>
      <w:r w:rsidRPr="009468FD">
        <w:rPr>
          <w:sz w:val="28"/>
          <w:szCs w:val="24"/>
        </w:rPr>
        <w:t xml:space="preserve">The </w:t>
      </w:r>
      <w:r w:rsidR="00EB1C29" w:rsidRPr="009468FD">
        <w:rPr>
          <w:sz w:val="28"/>
          <w:szCs w:val="24"/>
        </w:rPr>
        <w:t>Issue</w:t>
      </w:r>
    </w:p>
    <w:p w14:paraId="7669E4CF" w14:textId="4013C8F1" w:rsidR="004B6A87" w:rsidRDefault="009A0891" w:rsidP="005F495E">
      <w:pPr>
        <w:jc w:val="both"/>
      </w:pPr>
      <w:r>
        <w:t>The litigation</w:t>
      </w:r>
      <w:r w:rsidR="00643C12">
        <w:t xml:space="preserve"> originated over a disputed right of way over the claimants’ land</w:t>
      </w:r>
      <w:r w:rsidR="0017342D">
        <w:t xml:space="preserve">, previously </w:t>
      </w:r>
      <w:r w:rsidR="002A1CFF">
        <w:t xml:space="preserve">the subject of an abortive </w:t>
      </w:r>
      <w:r w:rsidR="005B6AFA">
        <w:t xml:space="preserve">registration </w:t>
      </w:r>
      <w:r w:rsidR="002A1CFF">
        <w:t>a</w:t>
      </w:r>
      <w:r w:rsidR="00964BCD">
        <w:t>pplication to HM</w:t>
      </w:r>
      <w:r w:rsidR="00556AF6">
        <w:t xml:space="preserve"> </w:t>
      </w:r>
      <w:r w:rsidR="00964BCD">
        <w:t>L</w:t>
      </w:r>
      <w:r w:rsidR="00556AF6">
        <w:t xml:space="preserve">and </w:t>
      </w:r>
      <w:r w:rsidR="00964BCD">
        <w:t>R</w:t>
      </w:r>
      <w:r w:rsidR="00556AF6">
        <w:t>egistry</w:t>
      </w:r>
      <w:r w:rsidR="00964BCD">
        <w:t xml:space="preserve">. The claimants disputed the existence of such a right and the </w:t>
      </w:r>
      <w:r w:rsidR="00946A91">
        <w:t>matter was listed for</w:t>
      </w:r>
      <w:r w:rsidR="007622C6">
        <w:t xml:space="preserve"> </w:t>
      </w:r>
      <w:r w:rsidR="00946A91">
        <w:t xml:space="preserve">hearing in the </w:t>
      </w:r>
      <w:r w:rsidR="007622C6">
        <w:t>F</w:t>
      </w:r>
      <w:r w:rsidR="00CC67A3">
        <w:t>irst</w:t>
      </w:r>
      <w:r w:rsidR="00473B4C">
        <w:t>-</w:t>
      </w:r>
      <w:r w:rsidR="00CC67A3">
        <w:t xml:space="preserve">Tier Tribunal (‘FTT’) </w:t>
      </w:r>
      <w:r w:rsidR="00946A91">
        <w:t>for March 2018. Prior to that hearing a</w:t>
      </w:r>
      <w:r w:rsidR="007622C6">
        <w:t xml:space="preserve">n </w:t>
      </w:r>
      <w:r w:rsidR="00946A91">
        <w:t>email exchange ensued between the solicitors</w:t>
      </w:r>
      <w:r w:rsidR="00322390">
        <w:t xml:space="preserve"> </w:t>
      </w:r>
      <w:r w:rsidR="00197712">
        <w:t xml:space="preserve">opening with an offer </w:t>
      </w:r>
      <w:r w:rsidR="00F95A09">
        <w:t xml:space="preserve">from the defendant </w:t>
      </w:r>
      <w:r w:rsidR="00197712">
        <w:t xml:space="preserve">to </w:t>
      </w:r>
      <w:r w:rsidR="001C1F88">
        <w:t xml:space="preserve">fully </w:t>
      </w:r>
      <w:r w:rsidR="00197712">
        <w:t>settle by having the claimant</w:t>
      </w:r>
      <w:r w:rsidR="007C6AD5">
        <w:t>s</w:t>
      </w:r>
      <w:r w:rsidR="00197712">
        <w:t xml:space="preserve"> buy the</w:t>
      </w:r>
      <w:r w:rsidR="00F95A09">
        <w:t>ir</w:t>
      </w:r>
      <w:r w:rsidR="00197712">
        <w:t xml:space="preserve"> </w:t>
      </w:r>
      <w:r w:rsidR="001C1F88">
        <w:t xml:space="preserve">‘benefitted’ </w:t>
      </w:r>
      <w:r w:rsidR="00197712">
        <w:t xml:space="preserve">land </w:t>
      </w:r>
      <w:r w:rsidR="001C1F88">
        <w:t>for £200,000</w:t>
      </w:r>
      <w:r w:rsidR="00322390">
        <w:t>.</w:t>
      </w:r>
      <w:r w:rsidR="00FC6D49">
        <w:t xml:space="preserve"> </w:t>
      </w:r>
      <w:r w:rsidR="00322390">
        <w:t>This</w:t>
      </w:r>
      <w:r w:rsidR="00FC6D49">
        <w:t xml:space="preserve"> was flatly refused</w:t>
      </w:r>
      <w:r w:rsidR="00322390">
        <w:t xml:space="preserve"> by the claimants’ solicitor</w:t>
      </w:r>
      <w:r w:rsidR="001C1F88">
        <w:t>.</w:t>
      </w:r>
      <w:r w:rsidR="005B18FF">
        <w:t xml:space="preserve"> The next day the defendant</w:t>
      </w:r>
      <w:r w:rsidR="00FC6D49">
        <w:t>’</w:t>
      </w:r>
      <w:r w:rsidR="005B18FF">
        <w:t xml:space="preserve">s solicitor emailed back stating </w:t>
      </w:r>
      <w:r w:rsidR="005C338A">
        <w:t>agree</w:t>
      </w:r>
      <w:r w:rsidR="00F95A09">
        <w:t>ment with the</w:t>
      </w:r>
      <w:r w:rsidR="005C338A">
        <w:t xml:space="preserve"> terms of settlement for </w:t>
      </w:r>
      <w:r w:rsidR="00E941CB">
        <w:t>the</w:t>
      </w:r>
      <w:r w:rsidR="00F95A09">
        <w:t xml:space="preserve"> </w:t>
      </w:r>
      <w:r w:rsidR="00E941CB">
        <w:t>sum</w:t>
      </w:r>
      <w:r w:rsidR="00F95A09">
        <w:t xml:space="preserve"> of </w:t>
      </w:r>
      <w:r w:rsidR="005C338A">
        <w:t>£175,000. Crucially, this email was not headed “subject to contract.”</w:t>
      </w:r>
      <w:r w:rsidR="00D35533">
        <w:t xml:space="preserve"> There then followed a series of emails</w:t>
      </w:r>
      <w:r w:rsidR="00C44D10">
        <w:t xml:space="preserve"> including the contents of a draft consent order which were headed “subject to contract.”</w:t>
      </w:r>
    </w:p>
    <w:p w14:paraId="5E4E9AEF" w14:textId="21455C75" w:rsidR="005F495E" w:rsidRDefault="00104C0D" w:rsidP="005F495E">
      <w:pPr>
        <w:ind w:firstLine="720"/>
        <w:jc w:val="both"/>
      </w:pPr>
      <w:r>
        <w:rPr>
          <w:iCs/>
        </w:rPr>
        <w:t xml:space="preserve">Following an enquiry from the FTT that the </w:t>
      </w:r>
      <w:r w:rsidR="005D3B04">
        <w:rPr>
          <w:iCs/>
        </w:rPr>
        <w:t>hearing be vacated, the defendant’s solicitor wrote back saying that the terms of settlement had not reached finality and that the issue should be relisted.</w:t>
      </w:r>
      <w:r w:rsidR="00E941CB">
        <w:rPr>
          <w:iCs/>
        </w:rPr>
        <w:t xml:space="preserve"> </w:t>
      </w:r>
      <w:r w:rsidR="0091377E">
        <w:t>The c</w:t>
      </w:r>
      <w:r w:rsidR="005F495E">
        <w:t>laim</w:t>
      </w:r>
      <w:r w:rsidR="0091377E">
        <w:t xml:space="preserve">ants sought </w:t>
      </w:r>
      <w:r w:rsidR="005F495E">
        <w:t xml:space="preserve">specific performance for </w:t>
      </w:r>
      <w:r w:rsidR="0091377E">
        <w:t>this</w:t>
      </w:r>
      <w:r w:rsidR="005F495E">
        <w:t xml:space="preserve"> contract of compromise</w:t>
      </w:r>
      <w:r w:rsidR="001E3920">
        <w:t>; t</w:t>
      </w:r>
      <w:r w:rsidR="005F495E">
        <w:t>he defendant</w:t>
      </w:r>
      <w:r w:rsidR="00C1784A">
        <w:t xml:space="preserve">’s position was that </w:t>
      </w:r>
      <w:r w:rsidR="005F495E">
        <w:t xml:space="preserve">the alleged contract had not </w:t>
      </w:r>
      <w:r w:rsidR="00041348">
        <w:t>complied</w:t>
      </w:r>
      <w:r w:rsidR="005F495E">
        <w:t xml:space="preserve"> with LP(MP)A 1989 s 2(1) and (3). The dispute turned on the email </w:t>
      </w:r>
      <w:r w:rsidR="00E81F84">
        <w:t xml:space="preserve">from the defendant’s </w:t>
      </w:r>
      <w:r w:rsidR="005F495E">
        <w:t xml:space="preserve">solicitor and their use of an automatic signature added to the footer </w:t>
      </w:r>
      <w:r w:rsidR="00B804B1">
        <w:lastRenderedPageBreak/>
        <w:t>agreeing to the reduced sum</w:t>
      </w:r>
      <w:r w:rsidR="005F495E">
        <w:t xml:space="preserve"> to settle the claim</w:t>
      </w:r>
      <w:r w:rsidR="00D46AB0">
        <w:t xml:space="preserve">. The question was </w:t>
      </w:r>
      <w:r w:rsidR="005F495E">
        <w:t xml:space="preserve">whether this automatic </w:t>
      </w:r>
      <w:r w:rsidR="00B804B1">
        <w:t xml:space="preserve">inclusion </w:t>
      </w:r>
      <w:r w:rsidR="005F495E">
        <w:t xml:space="preserve">was enough to prove the validity of the contract as written and </w:t>
      </w:r>
      <w:r w:rsidR="005F495E" w:rsidRPr="005F350D">
        <w:rPr>
          <w:iCs/>
        </w:rPr>
        <w:t>signed</w:t>
      </w:r>
      <w:r w:rsidR="005F495E">
        <w:t>.</w:t>
      </w:r>
      <w:r w:rsidR="005F495E">
        <w:rPr>
          <w:rStyle w:val="FootnoteReference"/>
        </w:rPr>
        <w:footnoteReference w:id="5"/>
      </w:r>
      <w:r w:rsidR="005F495E">
        <w:t xml:space="preserve"> </w:t>
      </w:r>
    </w:p>
    <w:p w14:paraId="2683F19C" w14:textId="42D98F86" w:rsidR="00FB10CA" w:rsidRDefault="00FB10CA" w:rsidP="007B2CEB">
      <w:pPr>
        <w:jc w:val="both"/>
      </w:pPr>
    </w:p>
    <w:p w14:paraId="2F63E3C5" w14:textId="5352BE6C" w:rsidR="001C4F45" w:rsidRPr="009468FD" w:rsidRDefault="001C4F45" w:rsidP="007B2CEB">
      <w:pPr>
        <w:jc w:val="both"/>
        <w:rPr>
          <w:sz w:val="28"/>
          <w:szCs w:val="24"/>
        </w:rPr>
      </w:pPr>
      <w:r w:rsidRPr="009468FD">
        <w:rPr>
          <w:sz w:val="28"/>
          <w:szCs w:val="24"/>
        </w:rPr>
        <w:t>The Decision</w:t>
      </w:r>
    </w:p>
    <w:p w14:paraId="3E0D6D82" w14:textId="3885004C" w:rsidR="00187B10" w:rsidRDefault="009468FD" w:rsidP="00187B10">
      <w:pPr>
        <w:jc w:val="both"/>
      </w:pPr>
      <w:r>
        <w:t>It was held by HHJ Pearc</w:t>
      </w:r>
      <w:r w:rsidR="004B5679">
        <w:t xml:space="preserve">e that the automatic email </w:t>
      </w:r>
      <w:r w:rsidR="00897E12">
        <w:t>footer</w:t>
      </w:r>
      <w:r w:rsidR="004B5679">
        <w:t xml:space="preserve"> did constitute a signature for the purposes of the 1989 Act. </w:t>
      </w:r>
      <w:r w:rsidR="00FB65A2">
        <w:t xml:space="preserve">While earlier authorities are </w:t>
      </w:r>
      <w:r w:rsidR="00693BCF">
        <w:t xml:space="preserve">to be treated with caution – particularly in light of what the ordinary person </w:t>
      </w:r>
      <w:r w:rsidR="00AD24B4">
        <w:t>would understand signed to mean</w:t>
      </w:r>
      <w:r w:rsidR="00693BCF">
        <w:t>,</w:t>
      </w:r>
      <w:r w:rsidR="00AD24B4">
        <w:rPr>
          <w:rStyle w:val="FootnoteReference"/>
        </w:rPr>
        <w:footnoteReference w:id="6"/>
      </w:r>
      <w:r w:rsidR="00693BCF">
        <w:t xml:space="preserve"> there is also the need </w:t>
      </w:r>
      <w:r w:rsidR="00AD24B4">
        <w:t>to appreciate that the ordinary understanding of a particular word may develop over time.</w:t>
      </w:r>
      <w:r w:rsidR="00692A9F">
        <w:rPr>
          <w:rStyle w:val="FootnoteReference"/>
        </w:rPr>
        <w:footnoteReference w:id="7"/>
      </w:r>
      <w:r w:rsidR="00AD24B4">
        <w:t xml:space="preserve"> </w:t>
      </w:r>
      <w:r w:rsidR="00D9496D">
        <w:t>A s</w:t>
      </w:r>
      <w:r w:rsidR="00590D79">
        <w:t>ignature could not be taken to have a particular meaning in the past that did not apply to email</w:t>
      </w:r>
      <w:r w:rsidR="00F4127A">
        <w:t>. The judge held that the test is not the form, but rather the function</w:t>
      </w:r>
      <w:r w:rsidR="006A40A2">
        <w:t xml:space="preserve">: if the signature is included with authenticating intent then this will be decisive of whether the document has been signed. </w:t>
      </w:r>
      <w:r w:rsidR="00187B10">
        <w:t xml:space="preserve">That </w:t>
      </w:r>
      <w:r w:rsidR="003F143B">
        <w:t>a signature is</w:t>
      </w:r>
      <w:r w:rsidR="00187B10">
        <w:t xml:space="preserve"> automatically </w:t>
      </w:r>
      <w:r w:rsidR="003F143B">
        <w:t>included within</w:t>
      </w:r>
      <w:r w:rsidR="00187B10">
        <w:t xml:space="preserve"> each email</w:t>
      </w:r>
      <w:r w:rsidR="003F143B">
        <w:t xml:space="preserve"> sent</w:t>
      </w:r>
      <w:r w:rsidR="00187B10">
        <w:t xml:space="preserve"> is a technicality – that </w:t>
      </w:r>
      <w:r w:rsidR="00187B10" w:rsidRPr="007F5878">
        <w:rPr>
          <w:i/>
          <w:iCs/>
        </w:rPr>
        <w:t>information</w:t>
      </w:r>
      <w:r w:rsidR="00187B10">
        <w:t xml:space="preserve"> has been supplied by someone actively typing it in themselves.</w:t>
      </w:r>
      <w:r w:rsidR="00C4191B">
        <w:rPr>
          <w:rStyle w:val="FootnoteReference"/>
        </w:rPr>
        <w:footnoteReference w:id="8"/>
      </w:r>
      <w:r w:rsidR="00187B10">
        <w:t xml:space="preserve"> </w:t>
      </w:r>
      <w:r w:rsidR="00CA4E8A">
        <w:t>Therefore h</w:t>
      </w:r>
      <w:r w:rsidR="00C456F7">
        <w:t>aving set up this facility</w:t>
      </w:r>
      <w:r w:rsidR="00187B10">
        <w:t xml:space="preserve"> </w:t>
      </w:r>
      <w:r w:rsidR="00CA4E8A">
        <w:t>will carry</w:t>
      </w:r>
      <w:r w:rsidR="00187B10">
        <w:t xml:space="preserve"> the inference that the</w:t>
      </w:r>
      <w:r w:rsidR="00CA4E8A">
        <w:t xml:space="preserve"> person whose name is ‘signed’</w:t>
      </w:r>
      <w:r w:rsidR="00187B10">
        <w:t xml:space="preserve"> intend</w:t>
      </w:r>
      <w:r w:rsidR="00CA4E8A">
        <w:t>s</w:t>
      </w:r>
      <w:r w:rsidR="00187B10">
        <w:t xml:space="preserve"> to be associated with the contents of the emails </w:t>
      </w:r>
      <w:r w:rsidR="00CA4E8A">
        <w:t>dispatched</w:t>
      </w:r>
      <w:r w:rsidR="00187B10">
        <w:t>.</w:t>
      </w:r>
      <w:r w:rsidR="00AD7E42">
        <w:t xml:space="preserve"> For these reasons the defendant was held to have entered into this valid contract</w:t>
      </w:r>
      <w:r w:rsidR="0030478D">
        <w:t xml:space="preserve">, having given full authority to </w:t>
      </w:r>
      <w:r w:rsidR="003842B2">
        <w:t xml:space="preserve">the </w:t>
      </w:r>
      <w:r w:rsidR="0030478D">
        <w:t xml:space="preserve">solicitor to </w:t>
      </w:r>
      <w:r w:rsidR="003842B2">
        <w:t xml:space="preserve">negotiate </w:t>
      </w:r>
      <w:r w:rsidR="0030478D">
        <w:t xml:space="preserve">on </w:t>
      </w:r>
      <w:r w:rsidR="003842B2">
        <w:t>t</w:t>
      </w:r>
      <w:r w:rsidR="0030478D">
        <w:t>he</w:t>
      </w:r>
      <w:r w:rsidR="003842B2">
        <w:t>i</w:t>
      </w:r>
      <w:r w:rsidR="0030478D">
        <w:t>r behalf.</w:t>
      </w:r>
      <w:r w:rsidR="0030478D">
        <w:rPr>
          <w:rStyle w:val="FootnoteReference"/>
        </w:rPr>
        <w:footnoteReference w:id="9"/>
      </w:r>
    </w:p>
    <w:p w14:paraId="5E211E4E" w14:textId="77777777" w:rsidR="001C4F45" w:rsidRDefault="001C4F45" w:rsidP="007B2CEB">
      <w:pPr>
        <w:jc w:val="both"/>
      </w:pPr>
    </w:p>
    <w:p w14:paraId="6B50099E" w14:textId="79064BF5" w:rsidR="00BF6713" w:rsidRPr="009468FD" w:rsidRDefault="00BF6713" w:rsidP="00BF6713">
      <w:pPr>
        <w:jc w:val="both"/>
        <w:rPr>
          <w:sz w:val="28"/>
          <w:szCs w:val="24"/>
        </w:rPr>
      </w:pPr>
      <w:r w:rsidRPr="009468FD">
        <w:rPr>
          <w:sz w:val="28"/>
          <w:szCs w:val="24"/>
        </w:rPr>
        <w:t>Commentary</w:t>
      </w:r>
    </w:p>
    <w:p w14:paraId="58430AA7" w14:textId="70BF06B5" w:rsidR="003B10CE" w:rsidRPr="00BB4B29" w:rsidRDefault="003C507A" w:rsidP="00BF6713">
      <w:pPr>
        <w:jc w:val="both"/>
      </w:pPr>
      <w:r>
        <w:t>It is well-known that t</w:t>
      </w:r>
      <w:r w:rsidR="00B64E2D">
        <w:t xml:space="preserve">he </w:t>
      </w:r>
      <w:r w:rsidR="00802636">
        <w:t xml:space="preserve">provisions </w:t>
      </w:r>
      <w:r w:rsidR="004703A3">
        <w:t>in</w:t>
      </w:r>
      <w:r w:rsidR="00802636">
        <w:t xml:space="preserve"> </w:t>
      </w:r>
      <w:r w:rsidR="00F627A9">
        <w:t>the 1989 Act</w:t>
      </w:r>
      <w:r w:rsidR="00802636">
        <w:t xml:space="preserve"> </w:t>
      </w:r>
      <w:r w:rsidR="00506EAD">
        <w:t>r</w:t>
      </w:r>
      <w:r w:rsidR="00222667">
        <w:t>eplace</w:t>
      </w:r>
      <w:r w:rsidR="00506EAD">
        <w:t>d</w:t>
      </w:r>
      <w:r w:rsidR="00B64E2D">
        <w:t xml:space="preserve"> </w:t>
      </w:r>
      <w:r w:rsidR="00EB71EE">
        <w:t>those found</w:t>
      </w:r>
      <w:r w:rsidR="00107116">
        <w:t xml:space="preserve"> </w:t>
      </w:r>
      <w:r w:rsidR="00555E59">
        <w:t xml:space="preserve">in </w:t>
      </w:r>
      <w:r w:rsidR="00EB71EE">
        <w:t xml:space="preserve">the </w:t>
      </w:r>
      <w:r w:rsidR="00555E59" w:rsidRPr="00E83710">
        <w:t>Law of Property Act 1925 s 40</w:t>
      </w:r>
      <w:r w:rsidR="00A179F6">
        <w:t>.</w:t>
      </w:r>
      <w:r w:rsidR="00555E59">
        <w:t xml:space="preserve"> </w:t>
      </w:r>
      <w:r w:rsidR="00A179F6">
        <w:t>Under the old law it</w:t>
      </w:r>
      <w:r w:rsidR="00B64E2D">
        <w:t xml:space="preserve"> was possible to conclude an agreement creating an interest in land orally</w:t>
      </w:r>
      <w:r w:rsidR="00C30E74">
        <w:t xml:space="preserve"> (and be fulfilled by part-performance)</w:t>
      </w:r>
      <w:r w:rsidR="00B64E2D">
        <w:t xml:space="preserve">, with a written memorandum necessary to enforce the creation of that interest by action. </w:t>
      </w:r>
      <w:r w:rsidR="003B10CE">
        <w:t xml:space="preserve">The </w:t>
      </w:r>
      <w:r w:rsidR="00222667">
        <w:t xml:space="preserve">underlying </w:t>
      </w:r>
      <w:r w:rsidR="003B10CE">
        <w:t xml:space="preserve">policy </w:t>
      </w:r>
      <w:r w:rsidR="004322D6">
        <w:t>provid</w:t>
      </w:r>
      <w:r w:rsidR="00222667">
        <w:t>ed</w:t>
      </w:r>
      <w:r w:rsidR="004322D6">
        <w:t xml:space="preserve"> a shift from enforceability by action on an oral agreement to one of invalidity</w:t>
      </w:r>
      <w:r w:rsidR="003B10CE">
        <w:t>.</w:t>
      </w:r>
      <w:r w:rsidR="003B10CE">
        <w:rPr>
          <w:rStyle w:val="FootnoteReference"/>
        </w:rPr>
        <w:footnoteReference w:id="10"/>
      </w:r>
      <w:r w:rsidR="003B10CE">
        <w:t xml:space="preserve"> The general tenor</w:t>
      </w:r>
      <w:r w:rsidR="00C20DCA">
        <w:t xml:space="preserve"> </w:t>
      </w:r>
      <w:r w:rsidR="003B10CE">
        <w:t xml:space="preserve">was to remedy the uncertainty and occasional injustices that arose as a result of the </w:t>
      </w:r>
      <w:r w:rsidR="00B73652">
        <w:t xml:space="preserve">old </w:t>
      </w:r>
      <w:r w:rsidR="003B10CE">
        <w:t>case law</w:t>
      </w:r>
      <w:r w:rsidR="005D5E34">
        <w:t xml:space="preserve"> and</w:t>
      </w:r>
      <w:r w:rsidR="003B10CE">
        <w:t xml:space="preserve"> the defects inherent in the doctrine of part performance and the lack of mutuality between the parties.</w:t>
      </w:r>
      <w:r w:rsidR="005D5E34">
        <w:rPr>
          <w:rStyle w:val="FootnoteReference"/>
        </w:rPr>
        <w:footnoteReference w:id="11"/>
      </w:r>
      <w:r w:rsidR="005D5E34">
        <w:t xml:space="preserve"> </w:t>
      </w:r>
      <w:r w:rsidR="00D07037" w:rsidRPr="00D07037">
        <w:rPr>
          <w:i/>
        </w:rPr>
        <w:t xml:space="preserve"> </w:t>
      </w:r>
      <w:r w:rsidR="00BB4B29">
        <w:t>T</w:t>
      </w:r>
      <w:r w:rsidR="003B10CE">
        <w:t xml:space="preserve">he Law Commission’s proposals </w:t>
      </w:r>
      <w:r w:rsidR="004B64A4">
        <w:t xml:space="preserve">leading to the passing of the 1989 Act </w:t>
      </w:r>
      <w:r w:rsidR="00677941">
        <w:t>reflected the “social anthropology of land law”</w:t>
      </w:r>
      <w:r w:rsidR="00677941">
        <w:rPr>
          <w:rStyle w:val="FootnoteReference"/>
        </w:rPr>
        <w:footnoteReference w:id="12"/>
      </w:r>
      <w:r w:rsidR="00677941">
        <w:t xml:space="preserve"> </w:t>
      </w:r>
      <w:r w:rsidR="002D2FF4">
        <w:t>by</w:t>
      </w:r>
      <w:r w:rsidR="003B10CE">
        <w:t xml:space="preserve"> </w:t>
      </w:r>
      <w:r w:rsidR="006F2E97">
        <w:t>mak</w:t>
      </w:r>
      <w:r w:rsidR="002D2FF4">
        <w:t>ing</w:t>
      </w:r>
      <w:r w:rsidR="006F2E97">
        <w:t xml:space="preserve"> </w:t>
      </w:r>
      <w:r w:rsidR="003B10CE">
        <w:t>firm</w:t>
      </w:r>
      <w:r w:rsidR="006F2E97">
        <w:t>(</w:t>
      </w:r>
      <w:proofErr w:type="spellStart"/>
      <w:r w:rsidR="006F2E97">
        <w:t>er</w:t>
      </w:r>
      <w:proofErr w:type="spellEnd"/>
      <w:r w:rsidR="006F2E97">
        <w:t>)</w:t>
      </w:r>
      <w:r w:rsidR="003B10CE">
        <w:t xml:space="preserve"> the stages leading to the execution of </w:t>
      </w:r>
      <w:r w:rsidR="003B10CE">
        <w:lastRenderedPageBreak/>
        <w:t>the contract by ensuring that the sale/disposition of other interests of land only become binding after having obtained legal advice.</w:t>
      </w:r>
      <w:r w:rsidR="003B10CE">
        <w:rPr>
          <w:rStyle w:val="FootnoteReference"/>
        </w:rPr>
        <w:footnoteReference w:id="13"/>
      </w:r>
      <w:r w:rsidR="00C61E13">
        <w:t xml:space="preserve"> </w:t>
      </w:r>
    </w:p>
    <w:p w14:paraId="0119A422" w14:textId="16243DA9" w:rsidR="00255961" w:rsidRDefault="00DF2F24" w:rsidP="00C745B2">
      <w:pPr>
        <w:ind w:firstLine="720"/>
        <w:jc w:val="both"/>
      </w:pPr>
      <w:r>
        <w:t>The question of whether a contract has been signed is not a recent phenomenon</w:t>
      </w:r>
      <w:r w:rsidR="00F22220">
        <w:t>, however</w:t>
      </w:r>
      <w:r>
        <w:t>.</w:t>
      </w:r>
      <w:r w:rsidR="00744E94">
        <w:rPr>
          <w:rStyle w:val="FootnoteReference"/>
        </w:rPr>
        <w:footnoteReference w:id="14"/>
      </w:r>
      <w:r>
        <w:t xml:space="preserve"> The reality is that </w:t>
      </w:r>
      <w:r w:rsidR="00CC149B">
        <w:t xml:space="preserve">in this </w:t>
      </w:r>
      <w:r>
        <w:t>“social anthropology” of [land] law</w:t>
      </w:r>
      <w:r w:rsidR="00CC149B">
        <w:t>, the courts have</w:t>
      </w:r>
      <w:r>
        <w:t xml:space="preserve"> come</w:t>
      </w:r>
      <w:r w:rsidR="00CC149B">
        <w:t xml:space="preserve"> close</w:t>
      </w:r>
      <w:r>
        <w:t xml:space="preserve"> to recognis</w:t>
      </w:r>
      <w:r w:rsidR="00C007CE">
        <w:t xml:space="preserve">ing </w:t>
      </w:r>
      <w:r>
        <w:t>emails</w:t>
      </w:r>
      <w:r w:rsidR="00C007CE">
        <w:t xml:space="preserve"> as validly creating a</w:t>
      </w:r>
      <w:r w:rsidR="001A44D5">
        <w:t xml:space="preserve"> written</w:t>
      </w:r>
      <w:r w:rsidR="00C007CE">
        <w:t xml:space="preserve"> contract. </w:t>
      </w:r>
      <w:r w:rsidR="00853790">
        <w:t xml:space="preserve">In </w:t>
      </w:r>
      <w:r w:rsidR="00853790" w:rsidRPr="007130F6">
        <w:rPr>
          <w:i/>
          <w:iCs/>
        </w:rPr>
        <w:t>Butts Park Ventures (Coventry) Ltd v Bryant Homes Central Ltd</w:t>
      </w:r>
      <w:r w:rsidR="00853790">
        <w:t xml:space="preserve"> the court recognised that the signature on a photocopy </w:t>
      </w:r>
      <w:r w:rsidR="000630FC">
        <w:t xml:space="preserve">of a </w:t>
      </w:r>
      <w:r w:rsidR="00853790">
        <w:t xml:space="preserve">pre-emption agreement </w:t>
      </w:r>
      <w:r w:rsidR="000630FC">
        <w:t>came</w:t>
      </w:r>
      <w:r w:rsidR="00043CD0">
        <w:t xml:space="preserve"> within LP(MP)A 1989 s 2(3).</w:t>
      </w:r>
      <w:r w:rsidR="00043CD0">
        <w:rPr>
          <w:rStyle w:val="FootnoteReference"/>
        </w:rPr>
        <w:footnoteReference w:id="15"/>
      </w:r>
      <w:r w:rsidR="00043CD0">
        <w:t xml:space="preserve"> </w:t>
      </w:r>
      <w:r w:rsidR="00CC247A">
        <w:t>Meanwhile,</w:t>
      </w:r>
      <w:r w:rsidR="00C007CE">
        <w:t xml:space="preserve"> </w:t>
      </w:r>
      <w:r w:rsidR="00260CBB">
        <w:t>emails</w:t>
      </w:r>
      <w:r>
        <w:t xml:space="preserve"> </w:t>
      </w:r>
      <w:r w:rsidR="007130F6">
        <w:t xml:space="preserve">have been deemed </w:t>
      </w:r>
      <w:r>
        <w:t>potentially</w:t>
      </w:r>
      <w:r w:rsidR="007130F6">
        <w:t xml:space="preserve"> binding </w:t>
      </w:r>
      <w:r w:rsidR="00144FE6">
        <w:t>for the purposes of fulfilling Statute of Frauds Act 1677</w:t>
      </w:r>
      <w:r w:rsidR="00144FE6" w:rsidRPr="00A125CD">
        <w:t xml:space="preserve"> </w:t>
      </w:r>
      <w:r w:rsidR="00144FE6">
        <w:t xml:space="preserve">s 4. While obiter, </w:t>
      </w:r>
      <w:r w:rsidR="000E3454">
        <w:rPr>
          <w:i/>
          <w:iCs/>
        </w:rPr>
        <w:t xml:space="preserve">Mehta v </w:t>
      </w:r>
      <w:r w:rsidR="002C0F27" w:rsidRPr="002C0F27">
        <w:rPr>
          <w:i/>
          <w:iCs/>
        </w:rPr>
        <w:t xml:space="preserve">J </w:t>
      </w:r>
      <w:r w:rsidR="00543539" w:rsidRPr="002C0F27">
        <w:rPr>
          <w:i/>
        </w:rPr>
        <w:t>Pereira</w:t>
      </w:r>
      <w:r w:rsidR="002C0F27" w:rsidRPr="002C0F27">
        <w:rPr>
          <w:i/>
        </w:rPr>
        <w:t xml:space="preserve"> SA</w:t>
      </w:r>
      <w:r w:rsidR="00543539" w:rsidRPr="00E62185">
        <w:rPr>
          <w:rStyle w:val="FootnoteReference"/>
        </w:rPr>
        <w:footnoteReference w:id="16"/>
      </w:r>
      <w:r w:rsidR="00543539">
        <w:t xml:space="preserve"> discussed the possibility that </w:t>
      </w:r>
      <w:r w:rsidR="00A020CF">
        <w:t xml:space="preserve">an </w:t>
      </w:r>
      <w:r w:rsidR="00543539">
        <w:t>email could be capable of constituting a note or memorandum for the purposes of</w:t>
      </w:r>
      <w:r w:rsidR="00144FE6">
        <w:t xml:space="preserve"> </w:t>
      </w:r>
      <w:r w:rsidR="008F4AA2">
        <w:t>giving a guarantee</w:t>
      </w:r>
      <w:r w:rsidR="00BC2AA8">
        <w:t>,</w:t>
      </w:r>
      <w:r w:rsidR="00EA42F5">
        <w:rPr>
          <w:rStyle w:val="FootnoteReference"/>
        </w:rPr>
        <w:footnoteReference w:id="17"/>
      </w:r>
      <w:r w:rsidR="00BC2AA8">
        <w:t xml:space="preserve"> but that the </w:t>
      </w:r>
      <w:r w:rsidR="00AC0D86">
        <w:t>automatic inclusion of the email address within the email was not itself a signature</w:t>
      </w:r>
      <w:r w:rsidR="00543539">
        <w:t>.</w:t>
      </w:r>
      <w:r w:rsidR="00AC0D86">
        <w:rPr>
          <w:rStyle w:val="FootnoteReference"/>
        </w:rPr>
        <w:footnoteReference w:id="18"/>
      </w:r>
      <w:r w:rsidR="00543539">
        <w:t xml:space="preserve"> </w:t>
      </w:r>
      <w:r w:rsidR="00A020CF">
        <w:t>Elsewhere, a</w:t>
      </w:r>
      <w:r w:rsidR="00197710">
        <w:t xml:space="preserve"> string of emails has been</w:t>
      </w:r>
      <w:r w:rsidR="002F3DFD">
        <w:t xml:space="preserve"> deemed </w:t>
      </w:r>
      <w:r w:rsidRPr="002C0F27">
        <w:t>enough to provide a signed contract for the creat</w:t>
      </w:r>
      <w:r w:rsidR="00197710" w:rsidRPr="002C0F27">
        <w:t>ion of</w:t>
      </w:r>
      <w:r w:rsidRPr="002C0F27">
        <w:t xml:space="preserve"> a second charge</w:t>
      </w:r>
      <w:r w:rsidR="002C0F27" w:rsidRPr="002C0F27">
        <w:t xml:space="preserve">, </w:t>
      </w:r>
      <w:r w:rsidR="00197710" w:rsidRPr="002C0F27">
        <w:t>being the “equivalent of a hard copy letter signed by the sender</w:t>
      </w:r>
      <w:r w:rsidR="00DA4D91" w:rsidRPr="002C0F27">
        <w:t>” and likewise signed by the addressee.</w:t>
      </w:r>
      <w:r w:rsidRPr="002C0F27">
        <w:rPr>
          <w:rStyle w:val="FootnoteReference"/>
        </w:rPr>
        <w:footnoteReference w:id="19"/>
      </w:r>
      <w:r w:rsidRPr="002C0F27">
        <w:t xml:space="preserve"> </w:t>
      </w:r>
    </w:p>
    <w:p w14:paraId="3E67FDC1" w14:textId="063085F1" w:rsidR="00255961" w:rsidRDefault="009F6BAE" w:rsidP="00C745B2">
      <w:pPr>
        <w:ind w:firstLine="720"/>
        <w:jc w:val="both"/>
      </w:pPr>
      <w:r>
        <w:t xml:space="preserve">These obiter observations </w:t>
      </w:r>
      <w:r w:rsidR="004A2DE9">
        <w:t>build on the decision</w:t>
      </w:r>
      <w:r>
        <w:t xml:space="preserve"> in </w:t>
      </w:r>
      <w:r w:rsidR="00C745B2" w:rsidRPr="00C745B2">
        <w:rPr>
          <w:i/>
        </w:rPr>
        <w:t>Firstpost Homes</w:t>
      </w:r>
      <w:r w:rsidR="007F73E9">
        <w:rPr>
          <w:i/>
        </w:rPr>
        <w:t xml:space="preserve"> Ltd</w:t>
      </w:r>
      <w:r w:rsidR="00C745B2" w:rsidRPr="00C745B2">
        <w:rPr>
          <w:i/>
        </w:rPr>
        <w:t xml:space="preserve"> v Johnson</w:t>
      </w:r>
      <w:r w:rsidR="00163B11">
        <w:rPr>
          <w:iCs/>
        </w:rPr>
        <w:t>.</w:t>
      </w:r>
      <w:r w:rsidR="00C745B2" w:rsidRPr="00C745B2">
        <w:rPr>
          <w:vertAlign w:val="superscript"/>
        </w:rPr>
        <w:footnoteReference w:id="20"/>
      </w:r>
      <w:r w:rsidR="00C745B2" w:rsidRPr="00C745B2">
        <w:t xml:space="preserve"> The</w:t>
      </w:r>
      <w:r w:rsidR="004A2DE9">
        <w:t>re, the</w:t>
      </w:r>
      <w:r w:rsidR="00C745B2" w:rsidRPr="00C745B2">
        <w:t xml:space="preserve"> short point </w:t>
      </w:r>
      <w:r w:rsidR="001B41F9">
        <w:t xml:space="preserve">was </w:t>
      </w:r>
      <w:r w:rsidR="00C745B2" w:rsidRPr="00C745B2">
        <w:t xml:space="preserve">whether the </w:t>
      </w:r>
      <w:r w:rsidR="00A97A1F">
        <w:t>writing</w:t>
      </w:r>
      <w:r w:rsidR="00C745B2" w:rsidRPr="00C745B2">
        <w:t xml:space="preserve"> on the plan constituted a signature for the purpose of section 2(1) and (3) which, as it happened, did not constitute one, co-extensive document.</w:t>
      </w:r>
      <w:r w:rsidR="00C745B2" w:rsidRPr="00C745B2">
        <w:rPr>
          <w:vertAlign w:val="superscript"/>
        </w:rPr>
        <w:footnoteReference w:id="21"/>
      </w:r>
      <w:r w:rsidR="00C745B2" w:rsidRPr="00C745B2">
        <w:t xml:space="preserve"> The </w:t>
      </w:r>
      <w:r w:rsidR="001174D6">
        <w:t>court also</w:t>
      </w:r>
      <w:r w:rsidR="00C745B2" w:rsidRPr="00C745B2">
        <w:t xml:space="preserve"> consider</w:t>
      </w:r>
      <w:r w:rsidR="001174D6">
        <w:t>ed</w:t>
      </w:r>
      <w:r w:rsidR="00C745B2" w:rsidRPr="00C745B2">
        <w:t xml:space="preserve"> whether the unsigned – but </w:t>
      </w:r>
      <w:r w:rsidR="00C745B2" w:rsidRPr="00ED6A2C">
        <w:rPr>
          <w:i/>
          <w:iCs/>
        </w:rPr>
        <w:t>headed</w:t>
      </w:r>
      <w:r w:rsidR="00C745B2" w:rsidRPr="00C745B2">
        <w:t xml:space="preserve"> – letter from the director was enough to constitute a signature. Peter Gibson LJ was not persuaded by the submissions arguing for a continuation of the jurisprudence where the initials or name placed (anywhere) on the document sufficed to illustrate the memorandum of the document in order to enforce it by action.</w:t>
      </w:r>
      <w:r w:rsidR="00C745B2" w:rsidRPr="00C745B2">
        <w:rPr>
          <w:vertAlign w:val="superscript"/>
        </w:rPr>
        <w:footnoteReference w:id="22"/>
      </w:r>
      <w:r w:rsidR="00C745B2" w:rsidRPr="00C745B2">
        <w:t xml:space="preserve"> It would </w:t>
      </w:r>
      <w:r w:rsidR="00697DA9">
        <w:t xml:space="preserve">have been </w:t>
      </w:r>
      <w:r w:rsidR="001174D6">
        <w:t>a</w:t>
      </w:r>
      <w:r w:rsidR="00C745B2" w:rsidRPr="00C745B2">
        <w:t xml:space="preserve"> straining of language and the policy underlying the “</w:t>
      </w:r>
      <w:r w:rsidR="00C745B2" w:rsidRPr="00C745B2">
        <w:rPr>
          <w:i/>
        </w:rPr>
        <w:t>new</w:t>
      </w:r>
      <w:r w:rsidR="00C745B2" w:rsidRPr="00C745B2">
        <w:t xml:space="preserve"> provision[s]”</w:t>
      </w:r>
      <w:r w:rsidR="00C745B2" w:rsidRPr="00C745B2">
        <w:rPr>
          <w:vertAlign w:val="superscript"/>
        </w:rPr>
        <w:footnoteReference w:id="23"/>
      </w:r>
      <w:r w:rsidR="00C745B2" w:rsidRPr="00C745B2">
        <w:t xml:space="preserve"> to view the typing of the addressee’s name in a letter </w:t>
      </w:r>
      <w:r w:rsidR="006103FF">
        <w:t>sent by them</w:t>
      </w:r>
      <w:r w:rsidR="00C745B2" w:rsidRPr="00C745B2">
        <w:t xml:space="preserve"> as a signature for the purposes of </w:t>
      </w:r>
      <w:r w:rsidR="006103FF">
        <w:t>selling/</w:t>
      </w:r>
      <w:r w:rsidR="00C745B2" w:rsidRPr="00C745B2">
        <w:t>disposing of an interest in land.</w:t>
      </w:r>
      <w:r w:rsidR="00C745B2" w:rsidRPr="00C745B2">
        <w:rPr>
          <w:vertAlign w:val="superscript"/>
        </w:rPr>
        <w:footnoteReference w:id="24"/>
      </w:r>
      <w:r w:rsidR="00C745B2" w:rsidRPr="00C745B2">
        <w:t xml:space="preserve"> </w:t>
      </w:r>
      <w:r w:rsidR="006103FF">
        <w:t xml:space="preserve">To </w:t>
      </w:r>
      <w:r w:rsidR="00C745B2" w:rsidRPr="00C745B2">
        <w:t xml:space="preserve">use a letterhead as a sufficient signature would lead to relying upon extrinsic oral evidence to then ascertain the subjective intentions of the parties in the formation of the document. This would risk substituting the oblique nature of letterhead to represent the authenticating intent, but with no corresponding </w:t>
      </w:r>
      <w:r w:rsidR="00C745B2" w:rsidRPr="00C745B2">
        <w:rPr>
          <w:i/>
        </w:rPr>
        <w:t>form</w:t>
      </w:r>
      <w:r w:rsidR="00C745B2" w:rsidRPr="00C745B2">
        <w:t xml:space="preserve"> to represent the signing of </w:t>
      </w:r>
      <w:r w:rsidR="00C745B2" w:rsidRPr="00C745B2">
        <w:lastRenderedPageBreak/>
        <w:t>the document. Both Gibson and Balcombe LJJ were of the view that allowing for these extrinsic elements would lead to a retrograde step in the jurisprudence.</w:t>
      </w:r>
      <w:r w:rsidR="00C745B2">
        <w:t xml:space="preserve"> </w:t>
      </w:r>
    </w:p>
    <w:p w14:paraId="3F8FFC67" w14:textId="089B67A6" w:rsidR="00DF2F24" w:rsidRPr="00C745B2" w:rsidRDefault="00C745B2" w:rsidP="00C745B2">
      <w:pPr>
        <w:ind w:firstLine="720"/>
        <w:jc w:val="both"/>
      </w:pPr>
      <w:r>
        <w:t xml:space="preserve">Albeit the cases in the aftermath of </w:t>
      </w:r>
      <w:r w:rsidRPr="00C745B2">
        <w:rPr>
          <w:i/>
          <w:iCs/>
        </w:rPr>
        <w:t>Firstpost</w:t>
      </w:r>
      <w:r>
        <w:t xml:space="preserve"> discuss the position of emails in obiter, the “social anthropology” shows there is no principled reason why the law should not </w:t>
      </w:r>
      <w:r w:rsidR="00000E36">
        <w:t xml:space="preserve">assimilate </w:t>
      </w:r>
      <w:r>
        <w:t>electronic signatures</w:t>
      </w:r>
      <w:r w:rsidR="00000E36">
        <w:t>, particularly</w:t>
      </w:r>
      <w:r>
        <w:t xml:space="preserve"> by</w:t>
      </w:r>
      <w:r w:rsidR="00000E36">
        <w:t xml:space="preserve"> automatic</w:t>
      </w:r>
      <w:r>
        <w:t xml:space="preserve"> email</w:t>
      </w:r>
      <w:r w:rsidR="00000E36">
        <w:t xml:space="preserve"> footer, </w:t>
      </w:r>
      <w:r>
        <w:t xml:space="preserve">as </w:t>
      </w:r>
      <w:r w:rsidR="00F96368">
        <w:t xml:space="preserve">equally </w:t>
      </w:r>
      <w:r>
        <w:t xml:space="preserve">legally valid. </w:t>
      </w:r>
      <w:r w:rsidR="00DF2F24">
        <w:t xml:space="preserve">The Chief-Land Registrar has </w:t>
      </w:r>
      <w:r w:rsidR="00292460">
        <w:t xml:space="preserve">even </w:t>
      </w:r>
      <w:r w:rsidR="00DF2F24">
        <w:t>expressed a willingness to recognise emails as valid.</w:t>
      </w:r>
      <w:r w:rsidR="00DF2F24">
        <w:rPr>
          <w:rStyle w:val="FootnoteReference"/>
        </w:rPr>
        <w:footnoteReference w:id="25"/>
      </w:r>
      <w:r w:rsidR="00DF2F24">
        <w:t xml:space="preserve"> </w:t>
      </w:r>
      <w:r w:rsidR="00337DC5">
        <w:t>But i</w:t>
      </w:r>
      <w:r w:rsidR="00DF2F24">
        <w:t xml:space="preserve">n keeping pace with developments, the question </w:t>
      </w:r>
      <w:r w:rsidR="00C3173B">
        <w:t>is</w:t>
      </w:r>
      <w:r w:rsidR="00B0525B">
        <w:t xml:space="preserve"> posed</w:t>
      </w:r>
      <w:r w:rsidR="00DF2F24">
        <w:t xml:space="preserve"> whether </w:t>
      </w:r>
      <w:proofErr w:type="spellStart"/>
      <w:r w:rsidR="00DF2F24">
        <w:rPr>
          <w:i/>
          <w:iCs/>
        </w:rPr>
        <w:t>Neocleous</w:t>
      </w:r>
      <w:proofErr w:type="spellEnd"/>
      <w:r w:rsidR="00DF2F24">
        <w:t xml:space="preserve"> can command confidence</w:t>
      </w:r>
      <w:r w:rsidR="003E6F81">
        <w:t xml:space="preserve"> – in </w:t>
      </w:r>
      <w:r w:rsidR="00054EC0">
        <w:t>a</w:t>
      </w:r>
      <w:r w:rsidR="003E6F81">
        <w:t xml:space="preserve"> </w:t>
      </w:r>
      <w:r w:rsidR="00026E94">
        <w:t>wide as well as narrow</w:t>
      </w:r>
      <w:r w:rsidR="00D13102">
        <w:t>er</w:t>
      </w:r>
      <w:r w:rsidR="003E6F81">
        <w:t xml:space="preserve"> sense</w:t>
      </w:r>
      <w:r w:rsidR="003E285F">
        <w:t>: structurally and in respect of clients</w:t>
      </w:r>
      <w:r w:rsidR="00DF2F24">
        <w:t xml:space="preserve">. In a common law </w:t>
      </w:r>
      <w:proofErr w:type="gramStart"/>
      <w:r w:rsidR="00DF2F24">
        <w:t>jurisdiction</w:t>
      </w:r>
      <w:proofErr w:type="gramEnd"/>
      <w:r w:rsidR="00DF2F24">
        <w:t xml:space="preserve"> it is vital the law keeps developing given the ebb and flow of social changes</w:t>
      </w:r>
      <w:r w:rsidR="00ED13A0">
        <w:t>:</w:t>
      </w:r>
    </w:p>
    <w:p w14:paraId="11D2C5FA" w14:textId="77777777" w:rsidR="00DF2F24" w:rsidRDefault="00DF2F24" w:rsidP="00DF2F24">
      <w:pPr>
        <w:jc w:val="both"/>
      </w:pPr>
    </w:p>
    <w:p w14:paraId="5E01B108" w14:textId="77777777" w:rsidR="00DF2F24" w:rsidRDefault="00DF2F24" w:rsidP="00DF2F24">
      <w:pPr>
        <w:ind w:left="720"/>
        <w:jc w:val="both"/>
      </w:pPr>
      <w:r w:rsidRPr="007D4EDF">
        <w:t>the change</w:t>
      </w:r>
      <w:r>
        <w:t>[s]</w:t>
      </w:r>
      <w:r w:rsidRPr="007D4EDF">
        <w:t xml:space="preserve"> so made must </w:t>
      </w:r>
      <w:proofErr w:type="gramStart"/>
      <w:r w:rsidRPr="007D4EDF">
        <w:t>be seen as</w:t>
      </w:r>
      <w:proofErr w:type="gramEnd"/>
      <w:r w:rsidRPr="007D4EDF">
        <w:t xml:space="preserve"> a development, usually a very modest development, of existing principle and so can take its place as a congruent part of the common law as a whole.</w:t>
      </w:r>
      <w:r>
        <w:rPr>
          <w:rStyle w:val="FootnoteReference"/>
        </w:rPr>
        <w:footnoteReference w:id="26"/>
      </w:r>
    </w:p>
    <w:p w14:paraId="01F15601" w14:textId="77777777" w:rsidR="00DF2F24" w:rsidRDefault="00DF2F24" w:rsidP="00DF2F24">
      <w:pPr>
        <w:jc w:val="both"/>
      </w:pPr>
    </w:p>
    <w:p w14:paraId="65B2A545" w14:textId="32F0B966" w:rsidR="00124369" w:rsidRDefault="00DF2F24" w:rsidP="00124369">
      <w:pPr>
        <w:jc w:val="both"/>
      </w:pPr>
      <w:r>
        <w:t>These developments are said to take place “</w:t>
      </w:r>
      <w:r w:rsidRPr="004E7476">
        <w:t>interstitially</w:t>
      </w:r>
      <w:r>
        <w:t>.”</w:t>
      </w:r>
      <w:r>
        <w:rPr>
          <w:rStyle w:val="FootnoteReference"/>
        </w:rPr>
        <w:footnoteReference w:id="27"/>
      </w:r>
      <w:r>
        <w:t xml:space="preserve"> As posited extra-</w:t>
      </w:r>
      <w:proofErr w:type="spellStart"/>
      <w:r>
        <w:t>curially</w:t>
      </w:r>
      <w:proofErr w:type="spellEnd"/>
      <w:r>
        <w:t>, “</w:t>
      </w:r>
      <w:r w:rsidRPr="000140D5">
        <w:t xml:space="preserve">the court has no option but to give the best </w:t>
      </w:r>
      <w:r>
        <w:t>judgment…</w:t>
      </w:r>
      <w:r w:rsidRPr="000140D5">
        <w:t>it can</w:t>
      </w:r>
      <w:r>
        <w:t>”</w:t>
      </w:r>
      <w:r>
        <w:rPr>
          <w:rStyle w:val="FootnoteReference"/>
        </w:rPr>
        <w:footnoteReference w:id="28"/>
      </w:r>
      <w:r>
        <w:t xml:space="preserve"> giving the judiciary an opportunity to exercise its discretion</w:t>
      </w:r>
      <w:r w:rsidR="001F5321">
        <w:t>, though t</w:t>
      </w:r>
      <w:r>
        <w:t>here may yet be times where the judiciary lacks “constitutional competence</w:t>
      </w:r>
      <w:r w:rsidR="00556992">
        <w:t>.</w:t>
      </w:r>
      <w:r>
        <w:t>”</w:t>
      </w:r>
      <w:r>
        <w:rPr>
          <w:rStyle w:val="FootnoteReference"/>
        </w:rPr>
        <w:footnoteReference w:id="29"/>
      </w:r>
      <w:r>
        <w:t xml:space="preserve"> </w:t>
      </w:r>
      <w:r w:rsidR="001D71E9">
        <w:t>T</w:t>
      </w:r>
      <w:r>
        <w:t xml:space="preserve">he tension </w:t>
      </w:r>
      <w:r w:rsidR="00BB7605">
        <w:t xml:space="preserve">latent </w:t>
      </w:r>
      <w:r w:rsidR="001D71E9">
        <w:t xml:space="preserve">in the electronic signature cases </w:t>
      </w:r>
      <w:r>
        <w:t xml:space="preserve">lies in the need to avert being too </w:t>
      </w:r>
      <w:r w:rsidR="00501F67">
        <w:t xml:space="preserve">technologically </w:t>
      </w:r>
      <w:r>
        <w:t>specific</w:t>
      </w:r>
      <w:r w:rsidR="001D71E9">
        <w:t xml:space="preserve"> </w:t>
      </w:r>
      <w:r w:rsidR="00501F67">
        <w:t>in the legislation</w:t>
      </w:r>
      <w:r w:rsidR="001D71E9">
        <w:t>,</w:t>
      </w:r>
      <w:r w:rsidR="009D1339">
        <w:t xml:space="preserve"> </w:t>
      </w:r>
      <w:r>
        <w:t xml:space="preserve">yet remain neutral to avoid a constant </w:t>
      </w:r>
      <w:r w:rsidR="004B7598">
        <w:t>need to</w:t>
      </w:r>
      <w:r>
        <w:t xml:space="preserve"> </w:t>
      </w:r>
      <w:r w:rsidR="001D71E9">
        <w:t>legislate</w:t>
      </w:r>
      <w:r>
        <w:t xml:space="preserve"> anew </w:t>
      </w:r>
      <w:r w:rsidR="004E68C3">
        <w:t>with each technological innovation</w:t>
      </w:r>
      <w:r>
        <w:t xml:space="preserve">. This brings us </w:t>
      </w:r>
      <w:r w:rsidR="009E6159">
        <w:t>full circle to</w:t>
      </w:r>
      <w:r>
        <w:t xml:space="preserve"> the point made earlier about the difficult issues of statutory interpretation that arise. </w:t>
      </w:r>
      <w:r w:rsidR="00AC51BA">
        <w:t xml:space="preserve">E-signature cases </w:t>
      </w:r>
      <w:r>
        <w:t xml:space="preserve">should not </w:t>
      </w:r>
      <w:proofErr w:type="gramStart"/>
      <w:r>
        <w:t>be seen as</w:t>
      </w:r>
      <w:proofErr w:type="gramEnd"/>
      <w:r>
        <w:t xml:space="preserve"> judicial attempts to reinvent the wheel, but rather in interpreting the legislation in a manner that harmonises </w:t>
      </w:r>
      <w:r w:rsidR="00AC51BA">
        <w:t xml:space="preserve">safely in accordance with </w:t>
      </w:r>
      <w:r w:rsidR="00DF3CFF">
        <w:t xml:space="preserve">existing legislation and triangulate also with </w:t>
      </w:r>
      <w:r>
        <w:t xml:space="preserve">what is </w:t>
      </w:r>
      <w:r w:rsidR="00C76063">
        <w:t>being done in practice and more widely in society at large</w:t>
      </w:r>
      <w:r w:rsidR="009E18D4">
        <w:t xml:space="preserve"> and can be defended on policy lines</w:t>
      </w:r>
      <w:r>
        <w:t>.</w:t>
      </w:r>
    </w:p>
    <w:p w14:paraId="51A96B4C" w14:textId="7598359F" w:rsidR="0042519F" w:rsidRDefault="00124369" w:rsidP="00124369">
      <w:pPr>
        <w:ind w:firstLine="720"/>
        <w:jc w:val="both"/>
      </w:pPr>
      <w:r>
        <w:t>Recent</w:t>
      </w:r>
      <w:r w:rsidR="005923D4">
        <w:t xml:space="preserve"> statutory </w:t>
      </w:r>
      <w:r>
        <w:t xml:space="preserve">developments also provide context for the decision in </w:t>
      </w:r>
      <w:proofErr w:type="spellStart"/>
      <w:r w:rsidRPr="00124369">
        <w:rPr>
          <w:i/>
          <w:iCs/>
        </w:rPr>
        <w:t>Neocleous</w:t>
      </w:r>
      <w:proofErr w:type="spellEnd"/>
      <w:r w:rsidR="008D32B1">
        <w:t xml:space="preserve">; </w:t>
      </w:r>
      <w:r>
        <w:t>the most</w:t>
      </w:r>
      <w:r w:rsidR="00577FD0">
        <w:t xml:space="preserve"> recent </w:t>
      </w:r>
      <w:r>
        <w:t>provisions</w:t>
      </w:r>
      <w:r w:rsidR="00344F0D">
        <w:t xml:space="preserve"> found in </w:t>
      </w:r>
      <w:r w:rsidR="00577FD0">
        <w:t xml:space="preserve">the </w:t>
      </w:r>
      <w:proofErr w:type="spellStart"/>
      <w:r w:rsidR="00CD3C71">
        <w:t>eIDAS</w:t>
      </w:r>
      <w:proofErr w:type="spellEnd"/>
      <w:r w:rsidR="004873B5">
        <w:t xml:space="preserve"> </w:t>
      </w:r>
      <w:r w:rsidR="00CD3C71">
        <w:t>regulations</w:t>
      </w:r>
      <w:r w:rsidR="00E0134C">
        <w:t xml:space="preserve"> </w:t>
      </w:r>
      <w:r w:rsidR="00760AF1">
        <w:t xml:space="preserve">which </w:t>
      </w:r>
      <w:r w:rsidR="000B70FD">
        <w:t>provides that an electronic signature’s legal effect cannot be denied</w:t>
      </w:r>
      <w:r w:rsidR="00664467">
        <w:t>.</w:t>
      </w:r>
      <w:r w:rsidR="00760AF1">
        <w:rPr>
          <w:rStyle w:val="FootnoteReference"/>
        </w:rPr>
        <w:footnoteReference w:id="30"/>
      </w:r>
      <w:r w:rsidR="00664467">
        <w:t xml:space="preserve"> Recital 49 to the </w:t>
      </w:r>
      <w:r w:rsidR="001A42DA">
        <w:t>R</w:t>
      </w:r>
      <w:r w:rsidR="00664467">
        <w:t xml:space="preserve">egulation </w:t>
      </w:r>
      <w:r w:rsidR="002F6A50">
        <w:t xml:space="preserve">provides that </w:t>
      </w:r>
      <w:r w:rsidR="00677065">
        <w:t xml:space="preserve">member states </w:t>
      </w:r>
      <w:r w:rsidR="0068553F">
        <w:t>can</w:t>
      </w:r>
      <w:r w:rsidR="00677065">
        <w:t xml:space="preserve"> define </w:t>
      </w:r>
      <w:r w:rsidR="0068553F">
        <w:t>what</w:t>
      </w:r>
      <w:r w:rsidR="00677065">
        <w:t xml:space="preserve"> legal effect </w:t>
      </w:r>
      <w:r w:rsidR="00C81062">
        <w:t>electronic</w:t>
      </w:r>
      <w:r w:rsidR="00677065">
        <w:t xml:space="preserve"> signatures </w:t>
      </w:r>
      <w:r w:rsidR="0068553F">
        <w:t xml:space="preserve">may have, but this is caveated by </w:t>
      </w:r>
      <w:r w:rsidR="001A42DA">
        <w:t xml:space="preserve">the </w:t>
      </w:r>
      <w:r w:rsidR="0068553F">
        <w:t xml:space="preserve">fact </w:t>
      </w:r>
      <w:r w:rsidR="001A42DA">
        <w:t>the Regulation</w:t>
      </w:r>
      <w:r w:rsidR="001F2635">
        <w:t xml:space="preserve"> provides equivalence of legal effect between a handwritten </w:t>
      </w:r>
      <w:r w:rsidR="00D33BD9">
        <w:t xml:space="preserve">and electronic signature. </w:t>
      </w:r>
      <w:r w:rsidR="00FC63D4">
        <w:t>T</w:t>
      </w:r>
      <w:r w:rsidR="001A0F0C">
        <w:t>he</w:t>
      </w:r>
      <w:r w:rsidR="009D1A52">
        <w:t xml:space="preserve">re </w:t>
      </w:r>
      <w:r w:rsidR="009D1A52">
        <w:lastRenderedPageBreak/>
        <w:t xml:space="preserve">being no principled difference between </w:t>
      </w:r>
      <w:r w:rsidR="00157752">
        <w:t>the meaning of writing</w:t>
      </w:r>
      <w:r w:rsidR="00157752">
        <w:rPr>
          <w:rStyle w:val="FootnoteReference"/>
        </w:rPr>
        <w:footnoteReference w:id="31"/>
      </w:r>
      <w:r w:rsidR="00157752">
        <w:t xml:space="preserve"> for </w:t>
      </w:r>
      <w:r w:rsidR="009D1A52">
        <w:t>handwritten and electronic</w:t>
      </w:r>
      <w:r w:rsidR="009D1A52" w:rsidRPr="009D1A52">
        <w:t xml:space="preserve"> </w:t>
      </w:r>
      <w:r w:rsidR="009D1A52">
        <w:t xml:space="preserve">signatures, </w:t>
      </w:r>
      <w:r w:rsidR="00FC63D4">
        <w:t xml:space="preserve">domestic law </w:t>
      </w:r>
      <w:r w:rsidR="00E652BE">
        <w:t xml:space="preserve">in a number of commercial cases </w:t>
      </w:r>
      <w:r w:rsidR="00AB29DB">
        <w:t>ha</w:t>
      </w:r>
      <w:r w:rsidR="00A46552">
        <w:t>ve</w:t>
      </w:r>
      <w:r w:rsidR="00AB29DB">
        <w:t xml:space="preserve"> increasingly </w:t>
      </w:r>
      <w:r w:rsidR="001A0F0C">
        <w:t>treat</w:t>
      </w:r>
      <w:r w:rsidR="00AB29DB">
        <w:t>ed</w:t>
      </w:r>
      <w:r w:rsidR="001A0F0C">
        <w:t xml:space="preserve"> </w:t>
      </w:r>
      <w:r w:rsidR="009D1A52">
        <w:t>the latter</w:t>
      </w:r>
      <w:r w:rsidR="00AB29DB">
        <w:t xml:space="preserve"> with equivalence</w:t>
      </w:r>
      <w:r w:rsidR="001A0F0C">
        <w:t xml:space="preserve"> as </w:t>
      </w:r>
      <w:r w:rsidR="003F24B5">
        <w:t xml:space="preserve">valid and effective </w:t>
      </w:r>
      <w:r w:rsidR="003031EB">
        <w:t>in</w:t>
      </w:r>
      <w:r w:rsidR="003F24B5">
        <w:t xml:space="preserve"> authenticating an agreement</w:t>
      </w:r>
      <w:r w:rsidR="00EE6147">
        <w:t xml:space="preserve"> reflecting this EU legislation</w:t>
      </w:r>
      <w:r w:rsidR="008F5553">
        <w:t>,</w:t>
      </w:r>
      <w:r w:rsidR="00A46552">
        <w:rPr>
          <w:rStyle w:val="FootnoteReference"/>
        </w:rPr>
        <w:footnoteReference w:id="32"/>
      </w:r>
      <w:r w:rsidR="00EE6147">
        <w:t xml:space="preserve"> as well as domestic </w:t>
      </w:r>
      <w:r w:rsidR="001D6235">
        <w:t>law</w:t>
      </w:r>
      <w:r w:rsidR="008F5553">
        <w:t xml:space="preserve"> regarding e-signature’s admissibility as evidence</w:t>
      </w:r>
      <w:r w:rsidR="003F24B5">
        <w:t>.</w:t>
      </w:r>
      <w:r w:rsidR="001D6235">
        <w:rPr>
          <w:rStyle w:val="FootnoteReference"/>
        </w:rPr>
        <w:footnoteReference w:id="33"/>
      </w:r>
      <w:r w:rsidR="005C09DC">
        <w:t xml:space="preserve"> </w:t>
      </w:r>
      <w:r w:rsidR="003F24B5">
        <w:t>T</w:t>
      </w:r>
      <w:r w:rsidR="00113637">
        <w:t xml:space="preserve">he </w:t>
      </w:r>
      <w:r w:rsidR="00522FFB">
        <w:t xml:space="preserve">Law Commission’s </w:t>
      </w:r>
      <w:r w:rsidR="00113637">
        <w:t xml:space="preserve">2019 report </w:t>
      </w:r>
      <w:r w:rsidR="003F24B5">
        <w:t xml:space="preserve">captures this </w:t>
      </w:r>
      <w:r w:rsidR="009876AB">
        <w:t xml:space="preserve">development as a foundation for </w:t>
      </w:r>
      <w:r w:rsidR="00396E2E">
        <w:t>codify</w:t>
      </w:r>
      <w:r w:rsidR="009876AB">
        <w:t>ing</w:t>
      </w:r>
      <w:r w:rsidR="00396E2E">
        <w:t xml:space="preserve"> the law</w:t>
      </w:r>
      <w:r w:rsidR="009876AB">
        <w:t xml:space="preserve"> in an accessible manner</w:t>
      </w:r>
      <w:r w:rsidR="00522FFB">
        <w:t xml:space="preserve"> – not only within the </w:t>
      </w:r>
      <w:r w:rsidR="002C5454" w:rsidRPr="002C5454">
        <w:t>commercial and consumer contexts</w:t>
      </w:r>
      <w:r w:rsidR="0025624D">
        <w:t>, but</w:t>
      </w:r>
      <w:r w:rsidR="00522FFB">
        <w:t xml:space="preserve"> with</w:t>
      </w:r>
      <w:r w:rsidR="00B03D71">
        <w:t xml:space="preserve"> </w:t>
      </w:r>
      <w:r w:rsidR="002C5454" w:rsidRPr="002C5454">
        <w:t>clear implications</w:t>
      </w:r>
      <w:r w:rsidR="00B03D71">
        <w:t xml:space="preserve"> for</w:t>
      </w:r>
      <w:r w:rsidR="002C5454" w:rsidRPr="002C5454">
        <w:t xml:space="preserve"> the domestic context for which too narrow an approach would be artificially limiting.</w:t>
      </w:r>
      <w:r w:rsidR="002C5454">
        <w:rPr>
          <w:rStyle w:val="FootnoteReference"/>
        </w:rPr>
        <w:footnoteReference w:id="34"/>
      </w:r>
      <w:r w:rsidR="00F8282D">
        <w:t xml:space="preserve"> </w:t>
      </w:r>
    </w:p>
    <w:p w14:paraId="615C96FE" w14:textId="5A5ADB0B" w:rsidR="001D3471" w:rsidRDefault="002E7045" w:rsidP="00124369">
      <w:pPr>
        <w:ind w:firstLine="720"/>
        <w:jc w:val="both"/>
      </w:pPr>
      <w:r>
        <w:t>It has been argued that earlier authorities are “far from satisfactory” having been decided according to precedent, rather than principle.</w:t>
      </w:r>
      <w:r>
        <w:rPr>
          <w:rStyle w:val="FootnoteReference"/>
        </w:rPr>
        <w:footnoteReference w:id="35"/>
      </w:r>
      <w:r>
        <w:t xml:space="preserve"> By this logic, what is missing is a narrow articulation of valid forms of signatur</w:t>
      </w:r>
      <w:r w:rsidR="00322D98">
        <w:t>e.</w:t>
      </w:r>
      <w:r w:rsidR="003E08A0">
        <w:t xml:space="preserve"> </w:t>
      </w:r>
      <w:r w:rsidR="00322D98">
        <w:t>B</w:t>
      </w:r>
      <w:r w:rsidR="003E08A0">
        <w:t>ut this forget</w:t>
      </w:r>
      <w:r w:rsidR="00D560A7">
        <w:t>s</w:t>
      </w:r>
      <w:r w:rsidR="003E08A0">
        <w:t xml:space="preserve"> the underlying mischief that the law</w:t>
      </w:r>
      <w:r w:rsidR="00D560A7">
        <w:t>, through precedent,</w:t>
      </w:r>
      <w:r w:rsidR="003E08A0">
        <w:t xml:space="preserve"> is designed to regulate.</w:t>
      </w:r>
      <w:r>
        <w:t xml:space="preserve"> </w:t>
      </w:r>
      <w:r w:rsidR="009207E7">
        <w:t>Developments in this area show that</w:t>
      </w:r>
      <w:r w:rsidR="00297099">
        <w:t xml:space="preserve"> by remaining neutral as to </w:t>
      </w:r>
      <w:r w:rsidR="009207E7">
        <w:t xml:space="preserve">form or </w:t>
      </w:r>
      <w:r w:rsidR="00297099">
        <w:t xml:space="preserve">type of technology provides that the law </w:t>
      </w:r>
      <w:r w:rsidR="00524FD4">
        <w:t xml:space="preserve">is not susceptible to </w:t>
      </w:r>
      <w:r w:rsidR="00297099">
        <w:t>fall</w:t>
      </w:r>
      <w:r w:rsidR="00524FD4">
        <w:t>ing</w:t>
      </w:r>
      <w:r w:rsidR="00297099">
        <w:t xml:space="preserve"> behind </w:t>
      </w:r>
      <w:r w:rsidR="007525A5">
        <w:t xml:space="preserve">social </w:t>
      </w:r>
      <w:r w:rsidR="00297099">
        <w:t>development</w:t>
      </w:r>
      <w:r w:rsidR="007525A5">
        <w:t>s</w:t>
      </w:r>
      <w:r w:rsidR="00297099">
        <w:t xml:space="preserve"> </w:t>
      </w:r>
      <w:r w:rsidR="007525A5">
        <w:t>thereby</w:t>
      </w:r>
      <w:r w:rsidR="00297099">
        <w:t xml:space="preserve"> </w:t>
      </w:r>
      <w:r w:rsidR="00524FD4">
        <w:t>rendering itself</w:t>
      </w:r>
      <w:r w:rsidR="00297099">
        <w:t xml:space="preserve"> obsolete.</w:t>
      </w:r>
      <w:r w:rsidR="00524FD4">
        <w:rPr>
          <w:rStyle w:val="FootnoteReference"/>
        </w:rPr>
        <w:footnoteReference w:id="36"/>
      </w:r>
      <w:r w:rsidR="00682042">
        <w:t xml:space="preserve"> </w:t>
      </w:r>
      <w:r w:rsidR="00020375">
        <w:t>The</w:t>
      </w:r>
      <w:r w:rsidR="009207E7">
        <w:t xml:space="preserve"> distinction between ability and desirability</w:t>
      </w:r>
      <w:r w:rsidR="00020375">
        <w:t xml:space="preserve"> </w:t>
      </w:r>
      <w:r w:rsidR="009027D6">
        <w:t xml:space="preserve">is a nice one, but it </w:t>
      </w:r>
      <w:r w:rsidR="00020375">
        <w:t xml:space="preserve">should </w:t>
      </w:r>
      <w:r w:rsidR="00647E53">
        <w:t xml:space="preserve">not enter into the question of what is </w:t>
      </w:r>
      <w:r w:rsidR="00A33330">
        <w:t>straightforwardly an</w:t>
      </w:r>
      <w:r w:rsidR="00647E53">
        <w:t xml:space="preserve"> objective test of authenticating intent</w:t>
      </w:r>
      <w:r w:rsidR="00FD7F83" w:rsidRPr="00FD7F83">
        <w:rPr>
          <w:color w:val="FF0000"/>
        </w:rPr>
        <w:t xml:space="preserve"> </w:t>
      </w:r>
      <w:r w:rsidR="00FD7F83" w:rsidRPr="00FD7F83">
        <w:t xml:space="preserve">in the </w:t>
      </w:r>
      <w:r w:rsidR="00FD7F83">
        <w:t>o</w:t>
      </w:r>
      <w:r w:rsidR="00FD7F83" w:rsidRPr="00FD7F83">
        <w:t xml:space="preserve">bjective interpretation of whether a contract </w:t>
      </w:r>
      <w:r w:rsidR="00FD7F83">
        <w:t xml:space="preserve">has been </w:t>
      </w:r>
      <w:r w:rsidR="00FD7F83" w:rsidRPr="00FD7F83">
        <w:t>concluded</w:t>
      </w:r>
      <w:r w:rsidR="00A33330">
        <w:t>.</w:t>
      </w:r>
      <w:r w:rsidR="00E630F0">
        <w:t xml:space="preserve"> This is doubly so where the signature to an email is hardly </w:t>
      </w:r>
      <w:r w:rsidR="009D046A">
        <w:t>‘automatic’ of itself – its contents will have been input by the individual associated</w:t>
      </w:r>
      <w:r w:rsidR="004E181C">
        <w:t xml:space="preserve"> </w:t>
      </w:r>
      <w:r w:rsidR="009D046A">
        <w:t>with it, thereby associating themselves with any communications dispatched</w:t>
      </w:r>
      <w:r w:rsidR="00C318FF">
        <w:t xml:space="preserve"> thereafter</w:t>
      </w:r>
      <w:r w:rsidR="009D046A">
        <w:t xml:space="preserve">. </w:t>
      </w:r>
    </w:p>
    <w:p w14:paraId="33D3A0A1" w14:textId="35E5258F" w:rsidR="00D37979" w:rsidRDefault="00A5664A" w:rsidP="00D37979">
      <w:pPr>
        <w:ind w:firstLine="720"/>
        <w:jc w:val="both"/>
      </w:pPr>
      <w:r>
        <w:t>T</w:t>
      </w:r>
      <w:r w:rsidR="00DA02E4">
        <w:t>he</w:t>
      </w:r>
      <w:r w:rsidR="00581160">
        <w:t xml:space="preserve"> development</w:t>
      </w:r>
      <w:r w:rsidR="0081298B" w:rsidRPr="00974FD3">
        <w:t xml:space="preserve"> of </w:t>
      </w:r>
      <w:r w:rsidR="00581160">
        <w:t xml:space="preserve">the authenticating intent </w:t>
      </w:r>
      <w:r w:rsidR="0081298B" w:rsidRPr="00974FD3">
        <w:t xml:space="preserve">principle </w:t>
      </w:r>
      <w:r w:rsidR="00581160">
        <w:t>and its</w:t>
      </w:r>
      <w:r w:rsidR="00DA02E4">
        <w:t xml:space="preserve"> </w:t>
      </w:r>
      <w:r w:rsidR="007A07A4">
        <w:t>deliberate</w:t>
      </w:r>
      <w:r>
        <w:t xml:space="preserve"> wideness</w:t>
      </w:r>
      <w:r w:rsidR="00D32DAB" w:rsidRPr="00974FD3">
        <w:t xml:space="preserve"> of </w:t>
      </w:r>
      <w:r>
        <w:t>forms</w:t>
      </w:r>
      <w:r w:rsidR="00D91346">
        <w:t xml:space="preserve"> of</w:t>
      </w:r>
      <w:r w:rsidR="00974FD3">
        <w:t xml:space="preserve"> </w:t>
      </w:r>
      <w:r>
        <w:t>signature</w:t>
      </w:r>
      <w:r w:rsidR="0081298B" w:rsidRPr="00974FD3">
        <w:t xml:space="preserve"> </w:t>
      </w:r>
      <w:r w:rsidR="00E20011" w:rsidRPr="00E25042">
        <w:t xml:space="preserve">is necessary </w:t>
      </w:r>
      <w:r w:rsidR="0083641D" w:rsidRPr="00E25042">
        <w:t>for the responsiveness of</w:t>
      </w:r>
      <w:r w:rsidR="00D91346" w:rsidRPr="00E25042">
        <w:t xml:space="preserve"> the </w:t>
      </w:r>
      <w:r w:rsidR="000E4268" w:rsidRPr="00E25042">
        <w:t>common law</w:t>
      </w:r>
      <w:r w:rsidR="000E4268" w:rsidRPr="00974FD3">
        <w:t xml:space="preserve"> </w:t>
      </w:r>
      <w:r w:rsidR="0017326A" w:rsidRPr="00974FD3">
        <w:t xml:space="preserve">– </w:t>
      </w:r>
      <w:r w:rsidR="000E4268" w:rsidRPr="00AC4BAC">
        <w:t xml:space="preserve">in its narrow as well as wider sense, </w:t>
      </w:r>
      <w:r w:rsidR="0017326A" w:rsidRPr="00AC4BAC">
        <w:t>whether for real property or otherwise</w:t>
      </w:r>
      <w:r w:rsidR="0017326A">
        <w:t>.</w:t>
      </w:r>
      <w:r w:rsidR="000E4268">
        <w:t xml:space="preserve"> </w:t>
      </w:r>
      <w:r w:rsidR="00D2146F">
        <w:t>T</w:t>
      </w:r>
      <w:r w:rsidR="00F370E3">
        <w:t>h</w:t>
      </w:r>
      <w:r w:rsidR="00D2146F">
        <w:t>e enjoinder</w:t>
      </w:r>
      <w:r w:rsidR="000D0EE8">
        <w:t xml:space="preserve"> of</w:t>
      </w:r>
      <w:r w:rsidR="000D0EE8" w:rsidRPr="000D0EE8">
        <w:t xml:space="preserve"> the place of equity in creating and providing </w:t>
      </w:r>
      <w:r w:rsidR="000D0EE8" w:rsidRPr="00C643D0">
        <w:t>“great flexibility in the management of property and which the legal system cannot do without”</w:t>
      </w:r>
      <w:r w:rsidR="00D2146F">
        <w:t xml:space="preserve"> should not be lost.</w:t>
      </w:r>
      <w:r w:rsidR="000D0EE8" w:rsidRPr="000D0EE8">
        <w:rPr>
          <w:vertAlign w:val="superscript"/>
        </w:rPr>
        <w:footnoteReference w:id="37"/>
      </w:r>
      <w:r w:rsidR="000D0EE8" w:rsidRPr="000D0EE8">
        <w:t xml:space="preserve"> If these values </w:t>
      </w:r>
      <w:r w:rsidR="00310E2D">
        <w:t xml:space="preserve">of a necessarily limited flexibility </w:t>
      </w:r>
      <w:r w:rsidR="000D0EE8" w:rsidRPr="000D0EE8">
        <w:t xml:space="preserve">are constitutive of our property law regime, then </w:t>
      </w:r>
      <w:proofErr w:type="spellStart"/>
      <w:r w:rsidR="000D0EE8" w:rsidRPr="000D0EE8">
        <w:rPr>
          <w:i/>
          <w:iCs/>
        </w:rPr>
        <w:t>Neocleous</w:t>
      </w:r>
      <w:proofErr w:type="spellEnd"/>
      <w:r w:rsidR="000D0EE8" w:rsidRPr="000D0EE8">
        <w:t xml:space="preserve"> </w:t>
      </w:r>
      <w:r w:rsidR="00430769">
        <w:t>can be</w:t>
      </w:r>
      <w:r w:rsidR="000D0EE8" w:rsidRPr="000D0EE8">
        <w:t xml:space="preserve"> simply</w:t>
      </w:r>
      <w:r w:rsidR="00430769">
        <w:t xml:space="preserve"> seen as</w:t>
      </w:r>
      <w:r w:rsidR="000D0EE8" w:rsidRPr="000D0EE8">
        <w:t xml:space="preserve"> an outworking and application of these principles as a method of authenticating one’s intent. </w:t>
      </w:r>
      <w:r w:rsidR="00762432">
        <w:t>E</w:t>
      </w:r>
      <w:r w:rsidR="000B757C">
        <w:t>lsewhere in the common law world there is a recognition that form yield</w:t>
      </w:r>
      <w:r w:rsidR="00F80C1F">
        <w:t>s</w:t>
      </w:r>
      <w:r w:rsidR="000B757C">
        <w:t xml:space="preserve"> to function</w:t>
      </w:r>
      <w:r w:rsidR="00C26429">
        <w:t xml:space="preserve">, </w:t>
      </w:r>
      <w:r w:rsidR="00F80C1F">
        <w:t xml:space="preserve">even </w:t>
      </w:r>
      <w:r w:rsidR="00C26429">
        <w:t>if</w:t>
      </w:r>
      <w:r w:rsidR="00F80C1F">
        <w:t xml:space="preserve"> unsent</w:t>
      </w:r>
      <w:r w:rsidR="000B757C">
        <w:t>.</w:t>
      </w:r>
      <w:r w:rsidR="00C25E20">
        <w:rPr>
          <w:i/>
          <w:iCs/>
        </w:rPr>
        <w:t xml:space="preserve"> </w:t>
      </w:r>
      <w:r w:rsidR="001B70C0">
        <w:t>T</w:t>
      </w:r>
      <w:r w:rsidR="00A528DA">
        <w:t xml:space="preserve">he </w:t>
      </w:r>
      <w:r w:rsidR="007F1A16">
        <w:t xml:space="preserve">relative </w:t>
      </w:r>
      <w:r w:rsidR="00A528DA">
        <w:t xml:space="preserve">informality of a draft </w:t>
      </w:r>
      <w:r w:rsidR="00F22D76">
        <w:t xml:space="preserve">text message could constitute a valid will for the purposes of </w:t>
      </w:r>
      <w:r w:rsidR="00A81F5C">
        <w:t xml:space="preserve">Queensland’s </w:t>
      </w:r>
      <w:r w:rsidR="00F22D76">
        <w:t>Succession Act 19</w:t>
      </w:r>
      <w:r w:rsidR="00A81F5C">
        <w:t>81</w:t>
      </w:r>
      <w:r w:rsidR="00F22D76">
        <w:t xml:space="preserve"> s 18</w:t>
      </w:r>
      <w:r w:rsidR="00F80C1F">
        <w:t>.</w:t>
      </w:r>
      <w:r w:rsidR="007F1A16">
        <w:rPr>
          <w:rStyle w:val="FootnoteReference"/>
        </w:rPr>
        <w:footnoteReference w:id="38"/>
      </w:r>
      <w:r w:rsidR="004916D8">
        <w:t xml:space="preserve"> </w:t>
      </w:r>
      <w:r w:rsidR="00CB3340">
        <w:t>These c</w:t>
      </w:r>
      <w:r w:rsidR="004916D8">
        <w:t>ontemporary</w:t>
      </w:r>
      <w:r w:rsidR="00E30968">
        <w:t xml:space="preserve"> </w:t>
      </w:r>
      <w:r w:rsidR="00E30968">
        <w:lastRenderedPageBreak/>
        <w:t>development</w:t>
      </w:r>
      <w:r w:rsidR="004916D8">
        <w:t>s</w:t>
      </w:r>
      <w:r w:rsidR="009575E4">
        <w:t xml:space="preserve"> </w:t>
      </w:r>
      <w:r w:rsidR="004916D8">
        <w:t xml:space="preserve">show </w:t>
      </w:r>
      <w:r w:rsidR="00772106">
        <w:t>how</w:t>
      </w:r>
      <w:r w:rsidR="004916D8">
        <w:t xml:space="preserve"> </w:t>
      </w:r>
      <w:r w:rsidR="009575E4">
        <w:t xml:space="preserve">the law has </w:t>
      </w:r>
      <w:r w:rsidR="00772106">
        <w:t>maintained flexibility</w:t>
      </w:r>
      <w:r w:rsidR="009575E4">
        <w:t xml:space="preserve"> </w:t>
      </w:r>
      <w:r w:rsidR="00E30968">
        <w:t>towards</w:t>
      </w:r>
      <w:r w:rsidR="009575E4">
        <w:t xml:space="preserve"> function over form</w:t>
      </w:r>
      <w:r w:rsidR="004916D8">
        <w:t>, but</w:t>
      </w:r>
      <w:r w:rsidR="009575E4">
        <w:t xml:space="preserve"> </w:t>
      </w:r>
      <w:r w:rsidR="003F0D0C">
        <w:t>th</w:t>
      </w:r>
      <w:r w:rsidR="00EC2F7A">
        <w:t>is</w:t>
      </w:r>
      <w:r w:rsidR="003F0D0C">
        <w:t xml:space="preserve"> may be of cold comfort for practitioners and their clients while</w:t>
      </w:r>
      <w:r w:rsidR="00E30968">
        <w:t xml:space="preserve"> s</w:t>
      </w:r>
      <w:r w:rsidR="009E71DF">
        <w:t xml:space="preserve">ecurity issues </w:t>
      </w:r>
      <w:r w:rsidR="003F0D0C">
        <w:t>remain</w:t>
      </w:r>
      <w:r w:rsidR="00E30968">
        <w:t xml:space="preserve">. </w:t>
      </w:r>
      <w:r w:rsidR="00E30968" w:rsidRPr="003A2CEB">
        <w:t xml:space="preserve">The </w:t>
      </w:r>
      <w:r w:rsidR="00FB1C08" w:rsidRPr="003A2CEB">
        <w:t>technolog</w:t>
      </w:r>
      <w:r w:rsidR="00B0580D" w:rsidRPr="003A2CEB">
        <w:t xml:space="preserve">y of e-signatures depends on </w:t>
      </w:r>
      <w:r w:rsidR="001A44D5" w:rsidRPr="003A2CEB">
        <w:t xml:space="preserve">the </w:t>
      </w:r>
      <w:r w:rsidR="00A15CEF">
        <w:t xml:space="preserve">encryption of the </w:t>
      </w:r>
      <w:r w:rsidR="003A2CEB" w:rsidRPr="003A2CEB">
        <w:t xml:space="preserve">public key </w:t>
      </w:r>
      <w:r w:rsidR="0087735B">
        <w:t>by the sender</w:t>
      </w:r>
      <w:r w:rsidR="00815051" w:rsidRPr="003A2CEB">
        <w:t xml:space="preserve"> </w:t>
      </w:r>
      <w:r w:rsidR="009D5E28">
        <w:t>so the recipient can</w:t>
      </w:r>
      <w:r w:rsidR="00815051" w:rsidRPr="003A2CEB">
        <w:t xml:space="preserve"> </w:t>
      </w:r>
      <w:r w:rsidR="0087735B">
        <w:t xml:space="preserve">decrypt the contents of the communication via </w:t>
      </w:r>
      <w:r w:rsidR="003A2CEB" w:rsidRPr="003A2CEB">
        <w:t>the</w:t>
      </w:r>
      <w:r w:rsidR="009D5E28">
        <w:t>ir</w:t>
      </w:r>
      <w:r w:rsidR="003A2CEB" w:rsidRPr="003A2CEB">
        <w:t xml:space="preserve"> private key</w:t>
      </w:r>
      <w:r w:rsidR="009D5E28">
        <w:t xml:space="preserve">. </w:t>
      </w:r>
      <w:r w:rsidR="001B5D5D">
        <w:t>However, t</w:t>
      </w:r>
      <w:r w:rsidR="00815051" w:rsidRPr="003A2CEB">
        <w:t>he contents of the sender’s communication</w:t>
      </w:r>
      <w:r w:rsidR="00FF26A4">
        <w:t xml:space="preserve"> may be </w:t>
      </w:r>
      <w:r w:rsidR="00904322" w:rsidRPr="00971621">
        <w:t>susceptib</w:t>
      </w:r>
      <w:r w:rsidR="00FF26A4">
        <w:t>le</w:t>
      </w:r>
      <w:r w:rsidR="00904322" w:rsidRPr="00971621">
        <w:t xml:space="preserve"> to hacking</w:t>
      </w:r>
      <w:r w:rsidR="00621A19">
        <w:t xml:space="preserve"> and </w:t>
      </w:r>
      <w:proofErr w:type="gramStart"/>
      <w:r w:rsidR="00621A19">
        <w:t>other</w:t>
      </w:r>
      <w:proofErr w:type="gramEnd"/>
      <w:r w:rsidR="00621A19">
        <w:t xml:space="preserve"> cybercrime</w:t>
      </w:r>
      <w:r w:rsidR="00752CE5">
        <w:t>. W</w:t>
      </w:r>
      <w:r w:rsidR="00A3371E">
        <w:t>ith identity fraud on the rise</w:t>
      </w:r>
      <w:r w:rsidR="00BA2B57">
        <w:t xml:space="preserve"> – particularly in the land law context –</w:t>
      </w:r>
      <w:r w:rsidR="001C69E1">
        <w:t xml:space="preserve"> </w:t>
      </w:r>
      <w:r w:rsidR="002C60A9">
        <w:t xml:space="preserve">some vigilance is required in the aftermath of </w:t>
      </w:r>
      <w:proofErr w:type="spellStart"/>
      <w:r w:rsidR="002C60A9">
        <w:rPr>
          <w:i/>
          <w:iCs/>
        </w:rPr>
        <w:t>Neocleous</w:t>
      </w:r>
      <w:proofErr w:type="spellEnd"/>
      <w:r w:rsidR="002C60A9" w:rsidRPr="002C60A9">
        <w:t>.</w:t>
      </w:r>
      <w:r w:rsidR="00355912">
        <w:rPr>
          <w:rStyle w:val="FootnoteReference"/>
        </w:rPr>
        <w:footnoteReference w:id="39"/>
      </w:r>
    </w:p>
    <w:p w14:paraId="2BCBA8E4" w14:textId="40F04846" w:rsidR="00275714" w:rsidRDefault="00F05388" w:rsidP="001C0817">
      <w:pPr>
        <w:ind w:firstLine="720"/>
        <w:jc w:val="both"/>
      </w:pPr>
      <w:r>
        <w:t xml:space="preserve">While </w:t>
      </w:r>
      <w:r w:rsidR="00477E8F" w:rsidRPr="00971621">
        <w:t>expedien</w:t>
      </w:r>
      <w:r w:rsidR="00477E8F">
        <w:t xml:space="preserve">ce </w:t>
      </w:r>
      <w:r>
        <w:t xml:space="preserve">is </w:t>
      </w:r>
      <w:r w:rsidR="00FE5EC9">
        <w:t>of crucial import in channelling the parties to their goals</w:t>
      </w:r>
      <w:r>
        <w:t>, t</w:t>
      </w:r>
      <w:r w:rsidR="00A05A29" w:rsidRPr="00971621">
        <w:t>here is a need to ensure that the technology</w:t>
      </w:r>
      <w:r w:rsidR="00930DCD">
        <w:t xml:space="preserve"> </w:t>
      </w:r>
      <w:r w:rsidR="00477E8F">
        <w:t xml:space="preserve">is </w:t>
      </w:r>
      <w:r w:rsidR="001528A5" w:rsidRPr="00971621">
        <w:t>simultaneously secure</w:t>
      </w:r>
      <w:r w:rsidR="00D65A1C">
        <w:t>. The</w:t>
      </w:r>
      <w:r w:rsidR="00417300" w:rsidRPr="00971621">
        <w:t xml:space="preserve"> </w:t>
      </w:r>
      <w:r w:rsidR="008F76E8" w:rsidRPr="00971621">
        <w:t>costs</w:t>
      </w:r>
      <w:r w:rsidR="00D65A1C">
        <w:t xml:space="preserve"> benefits</w:t>
      </w:r>
      <w:r w:rsidR="008F76E8" w:rsidRPr="00971621">
        <w:t xml:space="preserve"> </w:t>
      </w:r>
      <w:r w:rsidR="00D65A1C">
        <w:t>associated with</w:t>
      </w:r>
      <w:r w:rsidR="008F76E8" w:rsidRPr="00971621">
        <w:t xml:space="preserve"> the increased use of technology requires balancing against </w:t>
      </w:r>
      <w:r w:rsidR="00CD35D2" w:rsidRPr="00971621">
        <w:t xml:space="preserve">use-factor. If too onerous then </w:t>
      </w:r>
      <w:proofErr w:type="gramStart"/>
      <w:r w:rsidR="00CD35D2" w:rsidRPr="00971621">
        <w:t>this risks</w:t>
      </w:r>
      <w:proofErr w:type="gramEnd"/>
      <w:r w:rsidR="00CD35D2" w:rsidRPr="00971621">
        <w:t xml:space="preserve"> losing the benefit</w:t>
      </w:r>
      <w:r w:rsidR="007965AB">
        <w:t xml:space="preserve"> of </w:t>
      </w:r>
      <w:r w:rsidR="00752CE5">
        <w:t xml:space="preserve">speed </w:t>
      </w:r>
      <w:r w:rsidR="007965AB">
        <w:t xml:space="preserve">and </w:t>
      </w:r>
      <w:r w:rsidR="00F92BB8">
        <w:t>ease of use</w:t>
      </w:r>
      <w:r w:rsidR="00CD35D2" w:rsidRPr="00971621">
        <w:t xml:space="preserve">, but if too lax </w:t>
      </w:r>
      <w:r w:rsidR="00715C0A">
        <w:t>legal and commercial</w:t>
      </w:r>
      <w:r w:rsidR="00240ECA" w:rsidRPr="00971621">
        <w:t xml:space="preserve"> certainty </w:t>
      </w:r>
      <w:r w:rsidR="00715C0A">
        <w:t>w</w:t>
      </w:r>
      <w:r w:rsidR="00240ECA" w:rsidRPr="00971621">
        <w:t>ould crumble</w:t>
      </w:r>
      <w:r w:rsidR="00265E7E" w:rsidRPr="00971621">
        <w:t>.</w:t>
      </w:r>
      <w:r w:rsidR="00002D0A" w:rsidRPr="00971621">
        <w:t xml:space="preserve"> </w:t>
      </w:r>
      <w:r w:rsidR="00B56196" w:rsidRPr="003447EA">
        <w:t>V</w:t>
      </w:r>
      <w:r w:rsidR="00002D0A" w:rsidRPr="003447EA">
        <w:t>alidity and function</w:t>
      </w:r>
      <w:r w:rsidR="00B56196" w:rsidRPr="003447EA">
        <w:t xml:space="preserve"> can work together but appropriate safeguards need to be in place such</w:t>
      </w:r>
      <w:r w:rsidR="00002D0A" w:rsidRPr="003447EA">
        <w:t xml:space="preserve"> that </w:t>
      </w:r>
      <w:r w:rsidR="003447EA" w:rsidRPr="003447EA">
        <w:t>the apparently</w:t>
      </w:r>
      <w:r w:rsidR="00002D0A" w:rsidRPr="003447EA">
        <w:t xml:space="preserve"> innocuous </w:t>
      </w:r>
      <w:r w:rsidR="00B56196" w:rsidRPr="003447EA">
        <w:t>does not</w:t>
      </w:r>
      <w:r w:rsidR="00002D0A" w:rsidRPr="003447EA">
        <w:t xml:space="preserve"> sign away rights to </w:t>
      </w:r>
      <w:r w:rsidR="00556B33" w:rsidRPr="003447EA">
        <w:t>property,</w:t>
      </w:r>
      <w:r w:rsidR="00BD0E52" w:rsidRPr="003447EA">
        <w:t xml:space="preserve"> at best, prematurely or</w:t>
      </w:r>
      <w:r w:rsidR="00556B33" w:rsidRPr="003447EA">
        <w:t>,</w:t>
      </w:r>
      <w:r w:rsidR="00BD0E52" w:rsidRPr="003447EA">
        <w:t xml:space="preserve"> worse still</w:t>
      </w:r>
      <w:r w:rsidR="00556B33" w:rsidRPr="003447EA">
        <w:t>,</w:t>
      </w:r>
      <w:r w:rsidR="00BD0E52" w:rsidRPr="003447EA">
        <w:t xml:space="preserve"> fraud</w:t>
      </w:r>
      <w:r w:rsidR="0085218D" w:rsidRPr="003447EA">
        <w:t>ulently</w:t>
      </w:r>
      <w:r w:rsidR="00BD0E52" w:rsidRPr="003447EA">
        <w:t>.</w:t>
      </w:r>
      <w:r w:rsidR="00FF5E67">
        <w:rPr>
          <w:rStyle w:val="FootnoteReference"/>
        </w:rPr>
        <w:footnoteReference w:id="40"/>
      </w:r>
      <w:r w:rsidR="00A60C56">
        <w:t xml:space="preserve"> </w:t>
      </w:r>
      <w:r w:rsidR="00A60C56" w:rsidRPr="000F374E">
        <w:t>It</w:t>
      </w:r>
      <w:r w:rsidR="00B92E3A" w:rsidRPr="000F374E">
        <w:t xml:space="preserve"> could</w:t>
      </w:r>
      <w:r w:rsidR="00A60C56" w:rsidRPr="000F374E">
        <w:t xml:space="preserve"> be that further extrinsic evidence </w:t>
      </w:r>
      <w:r w:rsidR="00B92E3A" w:rsidRPr="000F374E">
        <w:t>is</w:t>
      </w:r>
      <w:r w:rsidR="00A60C56" w:rsidRPr="000F374E">
        <w:t xml:space="preserve"> introduced to certify identity so that any e-signature continues to carry the presumption </w:t>
      </w:r>
      <w:r w:rsidR="00C910D0">
        <w:t>of having</w:t>
      </w:r>
      <w:r w:rsidR="00E967B9" w:rsidRPr="000F374E">
        <w:t xml:space="preserve"> authenticating intent</w:t>
      </w:r>
      <w:r w:rsidR="004179FE">
        <w:t>. This</w:t>
      </w:r>
      <w:r w:rsidR="00DA6A00">
        <w:t xml:space="preserve"> </w:t>
      </w:r>
      <w:r w:rsidR="00A64FB5" w:rsidRPr="00716000">
        <w:t>can be done</w:t>
      </w:r>
      <w:r w:rsidR="007F4B2D" w:rsidRPr="00716000">
        <w:t xml:space="preserve"> </w:t>
      </w:r>
      <w:r w:rsidR="00A64FB5" w:rsidRPr="00716000">
        <w:t xml:space="preserve">in line with the provisions in the </w:t>
      </w:r>
      <w:proofErr w:type="spellStart"/>
      <w:r w:rsidR="00A64FB5" w:rsidRPr="00716000">
        <w:t>eIDAS</w:t>
      </w:r>
      <w:proofErr w:type="spellEnd"/>
      <w:r w:rsidR="00A64FB5" w:rsidRPr="00716000">
        <w:t xml:space="preserve"> regulations provid</w:t>
      </w:r>
      <w:r w:rsidR="00C667B2">
        <w:t>ing</w:t>
      </w:r>
      <w:r w:rsidR="00A64FB5" w:rsidRPr="00716000">
        <w:t xml:space="preserve"> for a</w:t>
      </w:r>
      <w:r w:rsidR="007C06BD" w:rsidRPr="00716000">
        <w:t>n advanced</w:t>
      </w:r>
      <w:r w:rsidR="00A64FB5" w:rsidRPr="00716000">
        <w:t xml:space="preserve"> </w:t>
      </w:r>
      <w:r w:rsidR="00716000" w:rsidRPr="00716000">
        <w:t>e-signature</w:t>
      </w:r>
      <w:r w:rsidR="005200CD">
        <w:t xml:space="preserve"> where there is a “</w:t>
      </w:r>
      <w:r w:rsidR="005200CD" w:rsidRPr="004B0B7B">
        <w:rPr>
          <w:rFonts w:eastAsia="Times New Roman" w:cs="Times New Roman"/>
          <w:szCs w:val="24"/>
          <w:lang w:eastAsia="en-GB"/>
        </w:rPr>
        <w:t>high level of confidence</w:t>
      </w:r>
      <w:r w:rsidR="005200CD">
        <w:rPr>
          <w:rFonts w:eastAsia="Times New Roman" w:cs="Times New Roman"/>
          <w:szCs w:val="24"/>
          <w:lang w:eastAsia="en-GB"/>
        </w:rPr>
        <w:t>” on the part of the signatory to show the communication used</w:t>
      </w:r>
      <w:r w:rsidR="005200CD" w:rsidRPr="004B0B7B">
        <w:rPr>
          <w:rFonts w:eastAsia="Times New Roman" w:cs="Times New Roman"/>
          <w:szCs w:val="24"/>
          <w:lang w:eastAsia="en-GB"/>
        </w:rPr>
        <w:t xml:space="preserve"> </w:t>
      </w:r>
      <w:r w:rsidR="005200CD">
        <w:rPr>
          <w:rFonts w:eastAsia="Times New Roman" w:cs="Times New Roman"/>
          <w:szCs w:val="24"/>
          <w:lang w:eastAsia="en-GB"/>
        </w:rPr>
        <w:t>was “</w:t>
      </w:r>
      <w:r w:rsidR="005200CD" w:rsidRPr="004B0B7B">
        <w:rPr>
          <w:rFonts w:eastAsia="Times New Roman" w:cs="Times New Roman"/>
          <w:szCs w:val="24"/>
          <w:lang w:eastAsia="en-GB"/>
        </w:rPr>
        <w:t>under his sole control</w:t>
      </w:r>
      <w:r w:rsidR="005200CD">
        <w:rPr>
          <w:rFonts w:eastAsia="Times New Roman" w:cs="Times New Roman"/>
          <w:szCs w:val="24"/>
          <w:lang w:eastAsia="en-GB"/>
        </w:rPr>
        <w:t xml:space="preserve">,” </w:t>
      </w:r>
      <w:r w:rsidR="005200CD" w:rsidRPr="004B0B7B">
        <w:rPr>
          <w:rFonts w:eastAsia="Times New Roman" w:cs="Times New Roman"/>
          <w:szCs w:val="24"/>
          <w:lang w:eastAsia="en-GB"/>
        </w:rPr>
        <w:t>and</w:t>
      </w:r>
      <w:r w:rsidR="005200CD">
        <w:rPr>
          <w:rFonts w:eastAsia="Times New Roman" w:cs="Times New Roman"/>
          <w:szCs w:val="24"/>
          <w:lang w:eastAsia="en-GB"/>
        </w:rPr>
        <w:t xml:space="preserve"> also provide that “any </w:t>
      </w:r>
      <w:r w:rsidR="005200CD" w:rsidRPr="004B0B7B">
        <w:rPr>
          <w:rFonts w:eastAsia="Times New Roman" w:cs="Times New Roman"/>
          <w:szCs w:val="24"/>
          <w:lang w:eastAsia="en-GB"/>
        </w:rPr>
        <w:t>subsequent change in the data is detectable</w:t>
      </w:r>
      <w:r w:rsidR="0063342E">
        <w:rPr>
          <w:rFonts w:eastAsia="Times New Roman" w:cs="Times New Roman"/>
          <w:szCs w:val="24"/>
          <w:lang w:eastAsia="en-GB"/>
        </w:rPr>
        <w:t>.</w:t>
      </w:r>
      <w:r w:rsidR="005200CD">
        <w:rPr>
          <w:rFonts w:eastAsia="Times New Roman" w:cs="Times New Roman"/>
          <w:szCs w:val="24"/>
          <w:lang w:eastAsia="en-GB"/>
        </w:rPr>
        <w:t>”</w:t>
      </w:r>
      <w:r w:rsidR="0005754E" w:rsidRPr="00716000">
        <w:rPr>
          <w:rStyle w:val="FootnoteReference"/>
        </w:rPr>
        <w:footnoteReference w:id="41"/>
      </w:r>
      <w:r w:rsidR="00423D18">
        <w:t xml:space="preserve"> </w:t>
      </w:r>
      <w:r w:rsidR="00671EDD">
        <w:t xml:space="preserve">The </w:t>
      </w:r>
      <w:r w:rsidR="00004B0C">
        <w:t xml:space="preserve">permutations of </w:t>
      </w:r>
      <w:proofErr w:type="spellStart"/>
      <w:r w:rsidR="007F595C" w:rsidRPr="00423D18">
        <w:rPr>
          <w:i/>
          <w:iCs/>
        </w:rPr>
        <w:t>Neocleous</w:t>
      </w:r>
      <w:proofErr w:type="spellEnd"/>
      <w:r w:rsidR="007F595C">
        <w:t xml:space="preserve"> may necessitate </w:t>
      </w:r>
      <w:r w:rsidR="00ED3C46">
        <w:t>HM</w:t>
      </w:r>
      <w:r w:rsidR="00F61709">
        <w:t xml:space="preserve"> </w:t>
      </w:r>
      <w:r w:rsidR="00665B0B" w:rsidRPr="007F595C">
        <w:t>L</w:t>
      </w:r>
      <w:r w:rsidR="00F61709">
        <w:t xml:space="preserve">and </w:t>
      </w:r>
      <w:r w:rsidR="00665B0B" w:rsidRPr="007F595C">
        <w:t>R</w:t>
      </w:r>
      <w:r w:rsidR="00F61709">
        <w:t>egistry</w:t>
      </w:r>
      <w:r w:rsidR="00665B0B">
        <w:t xml:space="preserve"> </w:t>
      </w:r>
      <w:r w:rsidR="007F595C">
        <w:t xml:space="preserve">extending its role as a trust service provider for the purposes of e-signatures beyond </w:t>
      </w:r>
      <w:r w:rsidR="00E63D08">
        <w:t>charges by way of mortgage</w:t>
      </w:r>
      <w:r w:rsidR="0099248C">
        <w:rPr>
          <w:rStyle w:val="FootnoteReference"/>
        </w:rPr>
        <w:footnoteReference w:id="42"/>
      </w:r>
      <w:r w:rsidR="00E63D08">
        <w:t xml:space="preserve"> </w:t>
      </w:r>
      <w:r w:rsidR="00E63D08">
        <w:rPr>
          <w:szCs w:val="24"/>
        </w:rPr>
        <w:t xml:space="preserve">to </w:t>
      </w:r>
      <w:r w:rsidR="001A1346">
        <w:t>fulfil not only the policy objective of evidence, but also the channelling function</w:t>
      </w:r>
      <w:r w:rsidR="0055594A">
        <w:t xml:space="preserve"> earlier on in the sale/disposition process</w:t>
      </w:r>
      <w:r w:rsidR="00F54DBD">
        <w:t>.</w:t>
      </w:r>
      <w:r w:rsidR="00900C91">
        <w:t xml:space="preserve"> </w:t>
      </w:r>
      <w:r w:rsidR="00CB3C53">
        <w:t>With the</w:t>
      </w:r>
      <w:r w:rsidR="00CF2029">
        <w:t xml:space="preserve"> </w:t>
      </w:r>
      <w:r w:rsidR="00FC26E3">
        <w:t xml:space="preserve">opportunities </w:t>
      </w:r>
      <w:r w:rsidR="00EA2F9D">
        <w:t xml:space="preserve">of expeditious transfers </w:t>
      </w:r>
      <w:r w:rsidR="00FC26E3">
        <w:t>offered</w:t>
      </w:r>
      <w:r w:rsidR="00EA2F9D">
        <w:t xml:space="preserve"> by</w:t>
      </w:r>
      <w:r w:rsidR="00CF2029">
        <w:t xml:space="preserve"> </w:t>
      </w:r>
      <w:r w:rsidR="00CB3C53">
        <w:t>technolog</w:t>
      </w:r>
      <w:r w:rsidR="00CF2029">
        <w:t>y</w:t>
      </w:r>
      <w:r w:rsidR="00CB3C53">
        <w:t>, i</w:t>
      </w:r>
      <w:r w:rsidR="00E0234C">
        <w:t xml:space="preserve">t has been suggested that the future of conveyancing may lie in </w:t>
      </w:r>
      <w:r w:rsidR="00E0234C" w:rsidRPr="00942888">
        <w:t>s</w:t>
      </w:r>
      <w:r w:rsidR="004959B7" w:rsidRPr="00942888">
        <w:t xml:space="preserve">mart </w:t>
      </w:r>
      <w:r w:rsidR="00E0234C" w:rsidRPr="00942888">
        <w:t>c</w:t>
      </w:r>
      <w:r w:rsidR="004959B7" w:rsidRPr="00942888">
        <w:t>ontracts</w:t>
      </w:r>
      <w:r w:rsidR="00E0234C" w:rsidRPr="00942888">
        <w:t>.</w:t>
      </w:r>
      <w:r w:rsidR="00E0234C" w:rsidRPr="00942888">
        <w:rPr>
          <w:rStyle w:val="FootnoteReference"/>
        </w:rPr>
        <w:footnoteReference w:id="43"/>
      </w:r>
      <w:r w:rsidR="00340DB5" w:rsidRPr="00942888">
        <w:t xml:space="preserve"> </w:t>
      </w:r>
      <w:r w:rsidR="004B3E1F" w:rsidRPr="00CF2029">
        <w:t xml:space="preserve">The </w:t>
      </w:r>
      <w:r w:rsidR="0074498E" w:rsidRPr="00CF2029">
        <w:t>parameters of the contract can be worked through in the negotiation stage with exchanges labelled “subject to contract</w:t>
      </w:r>
      <w:r w:rsidR="006F2DC4" w:rsidRPr="00CF2029">
        <w:t>.</w:t>
      </w:r>
      <w:r w:rsidR="0074498E" w:rsidRPr="00CF2029">
        <w:t xml:space="preserve">” </w:t>
      </w:r>
      <w:r w:rsidR="006F2DC4" w:rsidRPr="00006B61">
        <w:t>T</w:t>
      </w:r>
      <w:r w:rsidR="0074498E" w:rsidRPr="00006B61">
        <w:t>he parties</w:t>
      </w:r>
      <w:r w:rsidR="00006B61" w:rsidRPr="00006B61">
        <w:t xml:space="preserve"> then</w:t>
      </w:r>
      <w:r w:rsidR="0074498E" w:rsidRPr="00006B61">
        <w:t xml:space="preserve"> move to</w:t>
      </w:r>
      <w:r w:rsidR="004B3E1F" w:rsidRPr="00006B61">
        <w:t xml:space="preserve"> inputting </w:t>
      </w:r>
      <w:r w:rsidR="00006B61" w:rsidRPr="00006B61">
        <w:t xml:space="preserve">these variables </w:t>
      </w:r>
      <w:r w:rsidR="004B3E1F" w:rsidRPr="00006B61">
        <w:t>into</w:t>
      </w:r>
      <w:r w:rsidR="0074498E" w:rsidRPr="00006B61">
        <w:t xml:space="preserve"> a template </w:t>
      </w:r>
      <w:r w:rsidR="00C4119A" w:rsidRPr="00006B61">
        <w:t xml:space="preserve">and the contract’s </w:t>
      </w:r>
      <w:r w:rsidR="00006B61" w:rsidRPr="00006B61">
        <w:t xml:space="preserve">automated </w:t>
      </w:r>
      <w:r w:rsidR="00C4119A" w:rsidRPr="00006B61">
        <w:t>code then instantiate</w:t>
      </w:r>
      <w:r w:rsidR="00006B61" w:rsidRPr="00006B61">
        <w:t>s</w:t>
      </w:r>
      <w:r w:rsidR="00C4119A" w:rsidRPr="00006B61">
        <w:t xml:space="preserve"> the agreement</w:t>
      </w:r>
      <w:r w:rsidR="00034457">
        <w:t>,</w:t>
      </w:r>
      <w:r w:rsidR="004B3E1F" w:rsidRPr="00006B61">
        <w:t xml:space="preserve"> </w:t>
      </w:r>
      <w:r w:rsidR="006F2DC4" w:rsidRPr="00006B61">
        <w:t>a</w:t>
      </w:r>
      <w:r w:rsidR="00873EF3" w:rsidRPr="00006B61">
        <w:t>nd thereby speed</w:t>
      </w:r>
      <w:r w:rsidR="00006B61" w:rsidRPr="00006B61">
        <w:t>ing</w:t>
      </w:r>
      <w:r w:rsidR="00873EF3" w:rsidRPr="00006B61">
        <w:t xml:space="preserve"> up the registration process</w:t>
      </w:r>
      <w:r w:rsidR="00C4119A" w:rsidRPr="00006B61">
        <w:t>.</w:t>
      </w:r>
      <w:r w:rsidR="006F2DC4" w:rsidRPr="00006B61">
        <w:rPr>
          <w:rStyle w:val="FootnoteReference"/>
        </w:rPr>
        <w:footnoteReference w:id="44"/>
      </w:r>
      <w:r w:rsidR="00ED4A7F">
        <w:t xml:space="preserve"> </w:t>
      </w:r>
      <w:r w:rsidR="001E73C1">
        <w:t>Unless regulatory safeguards are in place to protect the parties</w:t>
      </w:r>
      <w:r w:rsidR="00BD314D">
        <w:t xml:space="preserve"> by ensuring the immutability of the contract</w:t>
      </w:r>
      <w:r w:rsidR="001E73C1">
        <w:t>, the contract may be susceptible to being compromised</w:t>
      </w:r>
      <w:r w:rsidR="00822E0C">
        <w:t>.</w:t>
      </w:r>
      <w:r w:rsidR="001311DC">
        <w:t xml:space="preserve"> </w:t>
      </w:r>
    </w:p>
    <w:p w14:paraId="64F0ABA4" w14:textId="1027D44D" w:rsidR="00A419C6" w:rsidRDefault="009962F2" w:rsidP="001B06A0">
      <w:pPr>
        <w:ind w:firstLine="720"/>
        <w:jc w:val="both"/>
      </w:pPr>
      <w:r>
        <w:lastRenderedPageBreak/>
        <w:t xml:space="preserve">At the time of writing, the long-term effect of the </w:t>
      </w:r>
      <w:r w:rsidRPr="00005CD8">
        <w:t>Covid-19</w:t>
      </w:r>
      <w:r>
        <w:t xml:space="preserve"> pandemic remains to be seen.</w:t>
      </w:r>
      <w:r w:rsidR="006B6E5E">
        <w:rPr>
          <w:rStyle w:val="FootnoteReference"/>
        </w:rPr>
        <w:footnoteReference w:id="45"/>
      </w:r>
      <w:r>
        <w:t xml:space="preserve"> </w:t>
      </w:r>
      <w:r w:rsidR="00BD091E">
        <w:t>But i</w:t>
      </w:r>
      <w:r w:rsidR="006A0BAA">
        <w:t xml:space="preserve">t will be interesting to see whether some of the temporary relaxations made </w:t>
      </w:r>
      <w:r w:rsidR="00B83C75">
        <w:t xml:space="preserve">in response to this pandemic </w:t>
      </w:r>
      <w:r w:rsidR="00DC1C61">
        <w:t>evolve into</w:t>
      </w:r>
      <w:r w:rsidR="00B83C75">
        <w:t xml:space="preserve"> long-lasting</w:t>
      </w:r>
      <w:r w:rsidR="00DC1C61">
        <w:t xml:space="preserve"> changes</w:t>
      </w:r>
      <w:r w:rsidR="00B43050">
        <w:t>.</w:t>
      </w:r>
      <w:r>
        <w:t xml:space="preserve"> </w:t>
      </w:r>
      <w:r w:rsidR="00B43050">
        <w:t>T</w:t>
      </w:r>
      <w:r>
        <w:t>he question of whether email as a (the normal</w:t>
      </w:r>
      <w:r w:rsidR="009F0902">
        <w:t>?)</w:t>
      </w:r>
      <w:r>
        <w:t xml:space="preserve"> method of concluding contracts for the sale/disposition of other interests in land </w:t>
      </w:r>
      <w:r w:rsidR="00553E2C">
        <w:t>invite</w:t>
      </w:r>
      <w:r w:rsidR="001E7B30">
        <w:t>s some</w:t>
      </w:r>
      <w:r w:rsidR="00553E2C">
        <w:t xml:space="preserve"> consideration</w:t>
      </w:r>
      <w:r>
        <w:t xml:space="preserve">. </w:t>
      </w:r>
      <w:r w:rsidR="00287C7F">
        <w:t>T</w:t>
      </w:r>
      <w:r w:rsidR="00C32284">
        <w:t>he Government</w:t>
      </w:r>
      <w:r w:rsidR="00287C7F">
        <w:t xml:space="preserve"> has indicated </w:t>
      </w:r>
      <w:r w:rsidR="00C32284">
        <w:t>it would like the Law Commission to take forward work (its reform programme permitting) on reviewing the law of deeds</w:t>
      </w:r>
      <w:r w:rsidR="00C25FD8">
        <w:t xml:space="preserve"> and whether these can be concluded electronically</w:t>
      </w:r>
      <w:r w:rsidR="00C32284">
        <w:t>.</w:t>
      </w:r>
      <w:r w:rsidR="00C32284">
        <w:rPr>
          <w:rStyle w:val="FootnoteReference"/>
        </w:rPr>
        <w:footnoteReference w:id="46"/>
      </w:r>
      <w:r w:rsidR="00C32284">
        <w:t xml:space="preserve"> This in turn raises questions about whether the provisionally-accepted electronic signature on a deed can be valid if witnessed remotely</w:t>
      </w:r>
      <w:r w:rsidR="00865839">
        <w:t>.</w:t>
      </w:r>
      <w:r w:rsidR="00C25FD8">
        <w:rPr>
          <w:rStyle w:val="FootnoteReference"/>
        </w:rPr>
        <w:footnoteReference w:id="47"/>
      </w:r>
      <w:r w:rsidR="003F6167">
        <w:t xml:space="preserve"> </w:t>
      </w:r>
      <w:r w:rsidR="00855F29">
        <w:t>C</w:t>
      </w:r>
      <w:r w:rsidR="00C32284">
        <w:t>oncerns remain</w:t>
      </w:r>
      <w:r w:rsidR="00855F29">
        <w:t>, however,</w:t>
      </w:r>
      <w:r w:rsidR="00C32284">
        <w:t xml:space="preserve"> as to what</w:t>
      </w:r>
      <w:r w:rsidR="00101F9D">
        <w:t xml:space="preserve"> form</w:t>
      </w:r>
      <w:r w:rsidR="00C32284">
        <w:t xml:space="preserve"> best practice</w:t>
      </w:r>
      <w:r w:rsidR="00101F9D">
        <w:t xml:space="preserve"> takes</w:t>
      </w:r>
      <w:r w:rsidR="00C32284">
        <w:t xml:space="preserve"> </w:t>
      </w:r>
      <w:r w:rsidR="003F6167">
        <w:t xml:space="preserve">to </w:t>
      </w:r>
      <w:r w:rsidR="00C519AC">
        <w:t>ensure</w:t>
      </w:r>
      <w:r w:rsidR="003F6167">
        <w:t xml:space="preserve"> confidence and security </w:t>
      </w:r>
      <w:r w:rsidR="00C519AC">
        <w:t>is</w:t>
      </w:r>
      <w:r w:rsidR="00101F9D">
        <w:t xml:space="preserve"> preserved</w:t>
      </w:r>
      <w:r w:rsidR="00C519AC">
        <w:t xml:space="preserve"> so</w:t>
      </w:r>
      <w:r w:rsidR="003F6167">
        <w:t xml:space="preserve"> </w:t>
      </w:r>
      <w:r w:rsidR="001458E5">
        <w:t xml:space="preserve">(a) </w:t>
      </w:r>
      <w:r w:rsidR="003F6167">
        <w:t>the document remains confidential, and</w:t>
      </w:r>
      <w:r w:rsidR="001458E5">
        <w:t xml:space="preserve"> (b)</w:t>
      </w:r>
      <w:r w:rsidR="003F6167">
        <w:t xml:space="preserve"> in attesting, is congruent with </w:t>
      </w:r>
      <w:r w:rsidR="00553E2C">
        <w:t xml:space="preserve">that </w:t>
      </w:r>
      <w:r w:rsidR="003F6167">
        <w:t>ha</w:t>
      </w:r>
      <w:r w:rsidR="00553E2C">
        <w:t>ving</w:t>
      </w:r>
      <w:r w:rsidR="003F6167">
        <w:t xml:space="preserve"> been witnessed (only witness</w:t>
      </w:r>
      <w:r w:rsidR="00553E2C">
        <w:t>ing</w:t>
      </w:r>
      <w:r w:rsidR="003F6167">
        <w:t xml:space="preserve"> the </w:t>
      </w:r>
      <w:r w:rsidR="00C519AC">
        <w:t>e-</w:t>
      </w:r>
      <w:r w:rsidR="003F6167">
        <w:t>signature to the document)</w:t>
      </w:r>
      <w:r w:rsidR="00C32284">
        <w:t xml:space="preserve">. It is noteworthy that from the responses to the Law Commission’s consultation, there is an emergent consensus that email alone should not be the platform for the attesting of </w:t>
      </w:r>
      <w:r w:rsidR="00B2381F">
        <w:t>a</w:t>
      </w:r>
      <w:r w:rsidR="00C32284">
        <w:t xml:space="preserve"> deed</w:t>
      </w:r>
      <w:r w:rsidR="000B1C39">
        <w:t>;</w:t>
      </w:r>
      <w:r w:rsidR="008632D3">
        <w:t xml:space="preserve"> the not unsubstantial security concerns need</w:t>
      </w:r>
      <w:r w:rsidR="00BD091E">
        <w:t xml:space="preserve"> </w:t>
      </w:r>
      <w:r w:rsidR="008632D3">
        <w:t>ironing out given such a dematerialised form of dealing has</w:t>
      </w:r>
      <w:r w:rsidR="000B1C39">
        <w:t xml:space="preserve"> clearly</w:t>
      </w:r>
      <w:r w:rsidR="008632D3">
        <w:t xml:space="preserve"> far-reaching effects</w:t>
      </w:r>
      <w:r w:rsidR="00C32284">
        <w:t>.</w:t>
      </w:r>
      <w:r w:rsidR="00553E2C">
        <w:rPr>
          <w:rStyle w:val="FootnoteReference"/>
        </w:rPr>
        <w:footnoteReference w:id="48"/>
      </w:r>
      <w:r w:rsidR="00C32284">
        <w:t xml:space="preserve"> </w:t>
      </w:r>
      <w:r w:rsidR="001B06A0">
        <w:t xml:space="preserve">Nevertheless, </w:t>
      </w:r>
      <w:r w:rsidR="00822644">
        <w:t>HM</w:t>
      </w:r>
      <w:r w:rsidR="00294EEF">
        <w:t xml:space="preserve"> Land Registry</w:t>
      </w:r>
      <w:r>
        <w:t xml:space="preserve"> has intimated that blockchain provides a future blueprint for property transactions having trialled this in its ‘Digital Street’ initiative.</w:t>
      </w:r>
      <w:r w:rsidR="00B83C75">
        <w:t xml:space="preserve"> </w:t>
      </w:r>
      <w:r w:rsidR="00494F90">
        <w:t xml:space="preserve">If </w:t>
      </w:r>
      <w:r w:rsidR="00B83C75">
        <w:t>such contemplations are adopted</w:t>
      </w:r>
      <w:r w:rsidR="00B76C2B">
        <w:t xml:space="preserve"> however</w:t>
      </w:r>
      <w:r w:rsidR="00B83C75">
        <w:t xml:space="preserve">, and with </w:t>
      </w:r>
      <w:proofErr w:type="spellStart"/>
      <w:r w:rsidR="009A0ADD">
        <w:rPr>
          <w:i/>
        </w:rPr>
        <w:t>Neocleous</w:t>
      </w:r>
      <w:proofErr w:type="spellEnd"/>
      <w:r w:rsidR="009A0ADD">
        <w:rPr>
          <w:i/>
        </w:rPr>
        <w:t xml:space="preserve"> </w:t>
      </w:r>
      <w:r w:rsidR="009A0ADD">
        <w:t xml:space="preserve">indicating that </w:t>
      </w:r>
      <w:r w:rsidR="00494F90">
        <w:t>email</w:t>
      </w:r>
      <w:r w:rsidR="00B52308">
        <w:t xml:space="preserve">, and automatic signatures at that, are capable of forming binding contracts </w:t>
      </w:r>
      <w:r w:rsidR="00EC726E">
        <w:t xml:space="preserve">for </w:t>
      </w:r>
      <w:r w:rsidR="003C2C19">
        <w:t>the</w:t>
      </w:r>
      <w:r w:rsidR="00EC726E">
        <w:t xml:space="preserve"> </w:t>
      </w:r>
      <w:r w:rsidR="00165053">
        <w:t>sale</w:t>
      </w:r>
      <w:r w:rsidR="00EC726E">
        <w:t xml:space="preserve"> of</w:t>
      </w:r>
      <w:r w:rsidR="003C2C19">
        <w:t xml:space="preserve"> land/</w:t>
      </w:r>
      <w:r w:rsidR="00165053">
        <w:t xml:space="preserve">disposition of </w:t>
      </w:r>
      <w:r w:rsidR="003C2C19">
        <w:t xml:space="preserve">interests therein, </w:t>
      </w:r>
      <w:r w:rsidR="000C4101">
        <w:t xml:space="preserve">then </w:t>
      </w:r>
      <w:r w:rsidR="00AE298E">
        <w:t xml:space="preserve">a more integrated approach may be required so </w:t>
      </w:r>
      <w:r w:rsidR="000E1E35">
        <w:t xml:space="preserve">all </w:t>
      </w:r>
      <w:r w:rsidR="00AE298E">
        <w:t>these component-</w:t>
      </w:r>
      <w:r w:rsidR="009A0ADD">
        <w:t>parts in property transactions</w:t>
      </w:r>
      <w:r w:rsidR="00AE298E">
        <w:t xml:space="preserve"> can be </w:t>
      </w:r>
      <w:r>
        <w:t>added to the ledger to ensure the continued efficiency of the property market</w:t>
      </w:r>
      <w:r w:rsidR="000E1E35">
        <w:t xml:space="preserve"> </w:t>
      </w:r>
      <w:r w:rsidR="00431EA9">
        <w:t xml:space="preserve">functions </w:t>
      </w:r>
      <w:r w:rsidR="000E1E35">
        <w:t>securely</w:t>
      </w:r>
      <w:r w:rsidR="00431EA9">
        <w:t xml:space="preserve"> and does not undermine confidence</w:t>
      </w:r>
      <w:r>
        <w:t>.</w:t>
      </w:r>
      <w:r w:rsidR="007F639F">
        <w:t xml:space="preserve"> </w:t>
      </w:r>
      <w:r w:rsidR="00011D2A">
        <w:t>However</w:t>
      </w:r>
      <w:r w:rsidR="00AE298E">
        <w:t>,</w:t>
      </w:r>
      <w:r w:rsidR="00011D2A">
        <w:t xml:space="preserve"> </w:t>
      </w:r>
      <w:r w:rsidR="008632D3">
        <w:t xml:space="preserve">the </w:t>
      </w:r>
      <w:r w:rsidR="00011D2A">
        <w:t>much</w:t>
      </w:r>
      <w:r w:rsidR="008632D3">
        <w:t>-vaunted opportunities offered by technology</w:t>
      </w:r>
      <w:r w:rsidR="00011D2A">
        <w:t xml:space="preserve"> </w:t>
      </w:r>
      <w:r w:rsidR="00431EA9">
        <w:t xml:space="preserve">do </w:t>
      </w:r>
      <w:r w:rsidR="00011D2A">
        <w:t xml:space="preserve">need to be set against a backdrop of </w:t>
      </w:r>
      <w:r w:rsidR="00A53DC0">
        <w:t xml:space="preserve">the LRA 2002 containing provisions </w:t>
      </w:r>
      <w:r w:rsidR="00AE298E">
        <w:t xml:space="preserve">ushering in an era of </w:t>
      </w:r>
      <w:r w:rsidR="00011D2A">
        <w:t xml:space="preserve">e-conveyancing </w:t>
      </w:r>
      <w:r w:rsidR="00725FC5">
        <w:t>which ha</w:t>
      </w:r>
      <w:r w:rsidR="00AE298E">
        <w:t>s</w:t>
      </w:r>
      <w:r w:rsidR="00725FC5">
        <w:t xml:space="preserve"> not been wholly embraced</w:t>
      </w:r>
      <w:r w:rsidR="00AE298E">
        <w:t xml:space="preserve"> in its eighteen years since</w:t>
      </w:r>
      <w:r w:rsidR="00A0108B">
        <w:t xml:space="preserve"> passage.</w:t>
      </w:r>
    </w:p>
    <w:p w14:paraId="3FCEFC67" w14:textId="61799D27" w:rsidR="001309DE" w:rsidRDefault="00AE7D13" w:rsidP="00BE6174">
      <w:pPr>
        <w:ind w:firstLine="720"/>
        <w:jc w:val="both"/>
      </w:pPr>
      <w:r>
        <w:t>T</w:t>
      </w:r>
      <w:r w:rsidR="00CB46EE">
        <w:t xml:space="preserve">he </w:t>
      </w:r>
      <w:r w:rsidR="00B412FE">
        <w:t xml:space="preserve">consequences </w:t>
      </w:r>
      <w:r w:rsidR="00CB46EE">
        <w:t xml:space="preserve">of </w:t>
      </w:r>
      <w:proofErr w:type="spellStart"/>
      <w:r w:rsidR="00CB46EE">
        <w:rPr>
          <w:i/>
          <w:iCs/>
        </w:rPr>
        <w:t>Neocleous</w:t>
      </w:r>
      <w:proofErr w:type="spellEnd"/>
      <w:r w:rsidR="00CB46EE">
        <w:rPr>
          <w:i/>
          <w:iCs/>
        </w:rPr>
        <w:t xml:space="preserve"> </w:t>
      </w:r>
      <w:r w:rsidR="00B412FE">
        <w:t>are yet to be seen</w:t>
      </w:r>
      <w:r w:rsidR="003F1762">
        <w:t xml:space="preserve"> and felt</w:t>
      </w:r>
      <w:r w:rsidR="00850BFF">
        <w:t>,</w:t>
      </w:r>
      <w:r w:rsidR="00850BFF" w:rsidRPr="00850BFF">
        <w:t xml:space="preserve"> </w:t>
      </w:r>
      <w:r w:rsidR="00850BFF">
        <w:t>and as a County Court decision is clearly not binding.</w:t>
      </w:r>
      <w:r w:rsidR="00B412FE">
        <w:t xml:space="preserve"> </w:t>
      </w:r>
      <w:r w:rsidR="0015310D">
        <w:t xml:space="preserve">The case itself </w:t>
      </w:r>
      <w:r w:rsidR="00354530">
        <w:t xml:space="preserve">maintains fidelity to the underlying </w:t>
      </w:r>
      <w:r w:rsidR="000137E5">
        <w:t xml:space="preserve">functionalist </w:t>
      </w:r>
      <w:r w:rsidR="00354530">
        <w:t xml:space="preserve">policy </w:t>
      </w:r>
      <w:r w:rsidR="00E94B7F">
        <w:t xml:space="preserve">objectives </w:t>
      </w:r>
      <w:r w:rsidR="00354530">
        <w:t>of the law</w:t>
      </w:r>
      <w:r w:rsidR="00726C66">
        <w:t xml:space="preserve"> and </w:t>
      </w:r>
      <w:r w:rsidR="00E94B7F">
        <w:t xml:space="preserve">the flexibility shown in </w:t>
      </w:r>
      <w:r w:rsidR="00726C66">
        <w:t>earlier precedents</w:t>
      </w:r>
      <w:r w:rsidR="00354530">
        <w:t xml:space="preserve">. </w:t>
      </w:r>
      <w:r w:rsidR="00776D9B">
        <w:t xml:space="preserve">While it is </w:t>
      </w:r>
      <w:r w:rsidR="007E2FE5">
        <w:t>n</w:t>
      </w:r>
      <w:r w:rsidR="00776D9B">
        <w:t xml:space="preserve">o argument that the </w:t>
      </w:r>
      <w:r w:rsidR="00CA421A">
        <w:t>agreement</w:t>
      </w:r>
      <w:r w:rsidR="007E2FE5">
        <w:t xml:space="preserve"> entered was too </w:t>
      </w:r>
      <w:r w:rsidR="00CA421A">
        <w:t>prematur</w:t>
      </w:r>
      <w:r w:rsidR="00FD2325">
        <w:t>e</w:t>
      </w:r>
      <w:r w:rsidR="00CA421A">
        <w:t xml:space="preserve"> than that envisaged</w:t>
      </w:r>
      <w:r w:rsidR="007E2FE5">
        <w:t>,</w:t>
      </w:r>
      <w:r w:rsidR="007E2FE5">
        <w:rPr>
          <w:rStyle w:val="FootnoteReference"/>
        </w:rPr>
        <w:footnoteReference w:id="49"/>
      </w:r>
      <w:r w:rsidR="007E2FE5">
        <w:t xml:space="preserve"> </w:t>
      </w:r>
      <w:r w:rsidR="009147C7">
        <w:t>parties should be</w:t>
      </w:r>
      <w:r w:rsidR="00211EBF">
        <w:t xml:space="preserve"> </w:t>
      </w:r>
      <w:r w:rsidR="007E2FE5">
        <w:t>vigilan</w:t>
      </w:r>
      <w:r w:rsidR="009147C7">
        <w:t>t</w:t>
      </w:r>
      <w:r w:rsidR="007E2FE5">
        <w:t xml:space="preserve"> that </w:t>
      </w:r>
      <w:r w:rsidR="0049084D">
        <w:t>they</w:t>
      </w:r>
      <w:r w:rsidR="00211EBF">
        <w:t xml:space="preserve"> do not </w:t>
      </w:r>
      <w:r w:rsidR="00C43F45">
        <w:t>find themselves locked into an arrangement creating rights and corresponding obligations/remedies</w:t>
      </w:r>
      <w:r w:rsidR="00FD2325">
        <w:t xml:space="preserve"> ahead of time. </w:t>
      </w:r>
      <w:r w:rsidR="00695E48">
        <w:t>C</w:t>
      </w:r>
      <w:r w:rsidR="00BF6B29">
        <w:t>learly labelling the correspondence</w:t>
      </w:r>
      <w:r w:rsidR="00E741D4">
        <w:t xml:space="preserve"> from the outset</w:t>
      </w:r>
      <w:r w:rsidR="00BF6B29">
        <w:t xml:space="preserve"> with the proviso “subject to contract” may give a strong enough indication that th</w:t>
      </w:r>
      <w:r w:rsidR="00650F7B">
        <w:t xml:space="preserve">e emails – </w:t>
      </w:r>
      <w:r w:rsidR="00650F7B">
        <w:lastRenderedPageBreak/>
        <w:t xml:space="preserve">automatically signed off or otherwise - are not </w:t>
      </w:r>
      <w:r w:rsidR="0013556D">
        <w:t>final</w:t>
      </w:r>
      <w:r w:rsidR="003A54C0">
        <w:t xml:space="preserve"> in communicating the dispositive purpose</w:t>
      </w:r>
      <w:r w:rsidR="00650F7B">
        <w:t>.</w:t>
      </w:r>
      <w:r w:rsidR="003E3222">
        <w:rPr>
          <w:rStyle w:val="FootnoteReference"/>
        </w:rPr>
        <w:footnoteReference w:id="50"/>
      </w:r>
      <w:r w:rsidR="005A4BCD">
        <w:t xml:space="preserve"> </w:t>
      </w:r>
      <w:r w:rsidR="003838F7">
        <w:t xml:space="preserve">If the </w:t>
      </w:r>
      <w:r w:rsidR="00243A78">
        <w:t xml:space="preserve">email exchange (beyond the context of compromise in </w:t>
      </w:r>
      <w:proofErr w:type="spellStart"/>
      <w:r w:rsidR="00243A78" w:rsidRPr="001A1BA1">
        <w:rPr>
          <w:i/>
          <w:iCs/>
        </w:rPr>
        <w:t>Neocleou</w:t>
      </w:r>
      <w:r w:rsidR="001A1BA1">
        <w:rPr>
          <w:i/>
          <w:iCs/>
        </w:rPr>
        <w:t>s</w:t>
      </w:r>
      <w:proofErr w:type="spellEnd"/>
      <w:r w:rsidR="00243A78">
        <w:t>)</w:t>
      </w:r>
      <w:r w:rsidR="001A1BA1">
        <w:t xml:space="preserve"> </w:t>
      </w:r>
      <w:r w:rsidR="00243A78" w:rsidRPr="00243A78">
        <w:t>is</w:t>
      </w:r>
      <w:r w:rsidR="00243A78">
        <w:t xml:space="preserve"> composite</w:t>
      </w:r>
      <w:r w:rsidR="004D2DE2">
        <w:t xml:space="preserve">, incorporating </w:t>
      </w:r>
      <w:r w:rsidR="00243A78">
        <w:t>all the terms</w:t>
      </w:r>
      <w:r w:rsidR="004D2DE2">
        <w:t xml:space="preserve"> which have been agreed</w:t>
      </w:r>
      <w:r w:rsidR="00AE5B10">
        <w:t>,</w:t>
      </w:r>
      <w:r w:rsidR="004D2DE2">
        <w:t xml:space="preserve"> then this will militate towards there being a signed contract between the parties</w:t>
      </w:r>
      <w:r w:rsidR="0045550D">
        <w:t>,</w:t>
      </w:r>
      <w:r w:rsidR="004D2DE2">
        <w:rPr>
          <w:rStyle w:val="FootnoteReference"/>
        </w:rPr>
        <w:footnoteReference w:id="51"/>
      </w:r>
      <w:r w:rsidR="00243A78">
        <w:t xml:space="preserve"> </w:t>
      </w:r>
      <w:r w:rsidR="0045550D">
        <w:t>t</w:t>
      </w:r>
      <w:r w:rsidR="001E599D">
        <w:t>hereby</w:t>
      </w:r>
      <w:r w:rsidR="001309DE">
        <w:t xml:space="preserve"> </w:t>
      </w:r>
      <w:r w:rsidR="001E599D">
        <w:t xml:space="preserve">taking </w:t>
      </w:r>
      <w:r w:rsidR="001309DE">
        <w:t>one step closer to</w:t>
      </w:r>
      <w:r w:rsidR="009D7F0B">
        <w:t xml:space="preserve"> </w:t>
      </w:r>
      <w:r w:rsidR="001309DE">
        <w:t>the conveyancing process being done from a computer.</w:t>
      </w:r>
      <w:r w:rsidR="001309DE">
        <w:rPr>
          <w:rStyle w:val="FootnoteReference"/>
        </w:rPr>
        <w:footnoteReference w:id="52"/>
      </w:r>
      <w:r w:rsidR="001309DE">
        <w:t xml:space="preserve"> </w:t>
      </w:r>
    </w:p>
    <w:p w14:paraId="2F6BBB23" w14:textId="02B5E333" w:rsidR="007F5878" w:rsidRDefault="007F5878" w:rsidP="001309DE">
      <w:pPr>
        <w:ind w:firstLine="720"/>
        <w:jc w:val="both"/>
      </w:pPr>
    </w:p>
    <w:p w14:paraId="15C1F020" w14:textId="382F29B1" w:rsidR="009A5CDF" w:rsidRPr="009468FD" w:rsidRDefault="009A5CDF" w:rsidP="00A25C35">
      <w:pPr>
        <w:rPr>
          <w:sz w:val="28"/>
          <w:szCs w:val="24"/>
        </w:rPr>
      </w:pPr>
      <w:r w:rsidRPr="009468FD">
        <w:rPr>
          <w:sz w:val="28"/>
          <w:szCs w:val="24"/>
        </w:rPr>
        <w:t>Conclusion</w:t>
      </w:r>
    </w:p>
    <w:p w14:paraId="4A7F7C8D" w14:textId="1CEFEAA1" w:rsidR="00477E8F" w:rsidRDefault="00932E19" w:rsidP="001C47A3">
      <w:pPr>
        <w:jc w:val="both"/>
      </w:pPr>
      <w:proofErr w:type="spellStart"/>
      <w:r>
        <w:rPr>
          <w:i/>
          <w:iCs/>
        </w:rPr>
        <w:t>Neocleous</w:t>
      </w:r>
      <w:proofErr w:type="spellEnd"/>
      <w:r w:rsidR="005147C8">
        <w:rPr>
          <w:i/>
        </w:rPr>
        <w:t xml:space="preserve"> </w:t>
      </w:r>
      <w:r w:rsidR="00A419C6">
        <w:rPr>
          <w:i/>
          <w:iCs/>
        </w:rPr>
        <w:t>v Rees</w:t>
      </w:r>
      <w:r w:rsidR="00C71BE2">
        <w:rPr>
          <w:i/>
          <w:iCs/>
        </w:rPr>
        <w:t xml:space="preserve"> </w:t>
      </w:r>
      <w:r w:rsidR="005147C8">
        <w:t xml:space="preserve">is a salutary reminder of the need for </w:t>
      </w:r>
      <w:r w:rsidR="00F469B6">
        <w:t xml:space="preserve">vigilance lest that quick-fire dispatch </w:t>
      </w:r>
      <w:r w:rsidR="00AA105E">
        <w:t>creates a contract</w:t>
      </w:r>
      <w:r w:rsidR="007D3496">
        <w:t xml:space="preserve"> for the sale of </w:t>
      </w:r>
      <w:r w:rsidR="00F469B6">
        <w:t xml:space="preserve">land at a price </w:t>
      </w:r>
      <w:r w:rsidR="00D5476F">
        <w:t xml:space="preserve">later </w:t>
      </w:r>
      <w:r w:rsidR="005147C8">
        <w:t>evok</w:t>
      </w:r>
      <w:r w:rsidR="007D3496">
        <w:t>ing</w:t>
      </w:r>
      <w:r w:rsidR="005147C8">
        <w:t xml:space="preserve"> seller’s remorse. </w:t>
      </w:r>
      <w:proofErr w:type="spellStart"/>
      <w:r w:rsidR="00433D38">
        <w:rPr>
          <w:i/>
          <w:iCs/>
        </w:rPr>
        <w:t>Neocleous</w:t>
      </w:r>
      <w:proofErr w:type="spellEnd"/>
      <w:r w:rsidR="005147C8">
        <w:t xml:space="preserve"> speaks to the potential </w:t>
      </w:r>
      <w:r w:rsidR="00D72FA8">
        <w:t xml:space="preserve">of the unwary falling into a trap </w:t>
      </w:r>
      <w:r w:rsidR="00515ABD">
        <w:t xml:space="preserve">leading to </w:t>
      </w:r>
      <w:r w:rsidR="005147C8">
        <w:t>disputes aris</w:t>
      </w:r>
      <w:r w:rsidR="00515ABD">
        <w:t>ing</w:t>
      </w:r>
      <w:r w:rsidR="005147C8">
        <w:t xml:space="preserve"> from the seemingly trivial occurrence of an automatic email footer</w:t>
      </w:r>
      <w:r w:rsidR="00515ABD">
        <w:t>. Therefore, p</w:t>
      </w:r>
      <w:r w:rsidR="005147C8">
        <w:t>ractitioners will need to be alive to the risk attached to exchanges by email</w:t>
      </w:r>
      <w:r w:rsidR="00137FDC">
        <w:t xml:space="preserve"> which may be better kept</w:t>
      </w:r>
      <w:r w:rsidR="005147C8">
        <w:t xml:space="preserve"> in </w:t>
      </w:r>
      <w:r w:rsidR="00137FDC">
        <w:t>the</w:t>
      </w:r>
      <w:r w:rsidR="005147C8">
        <w:t xml:space="preserve"> drafts</w:t>
      </w:r>
      <w:r w:rsidR="00137FDC">
        <w:t xml:space="preserve"> folder</w:t>
      </w:r>
      <w:r w:rsidR="006E2270" w:rsidRPr="006E2270">
        <w:t xml:space="preserve"> </w:t>
      </w:r>
      <w:r w:rsidR="00C51377">
        <w:t>lest send</w:t>
      </w:r>
      <w:r w:rsidR="00137FDC">
        <w:t>ing</w:t>
      </w:r>
      <w:r w:rsidR="00C51377">
        <w:t xml:space="preserve"> in haste, </w:t>
      </w:r>
      <w:r w:rsidR="00F7379C">
        <w:t xml:space="preserve">then </w:t>
      </w:r>
      <w:r w:rsidR="006E2270">
        <w:t>repent</w:t>
      </w:r>
      <w:r w:rsidR="00137FDC">
        <w:t>ing</w:t>
      </w:r>
      <w:r w:rsidR="006E2270">
        <w:t xml:space="preserve"> in leisure.</w:t>
      </w:r>
    </w:p>
    <w:sectPr w:rsidR="00477E8F">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A72D0" w14:textId="77777777" w:rsidR="00086A2F" w:rsidRDefault="00086A2F" w:rsidP="009F5A9E">
      <w:pPr>
        <w:spacing w:line="240" w:lineRule="auto"/>
      </w:pPr>
      <w:r>
        <w:separator/>
      </w:r>
    </w:p>
  </w:endnote>
  <w:endnote w:type="continuationSeparator" w:id="0">
    <w:p w14:paraId="0116A7CF" w14:textId="77777777" w:rsidR="00086A2F" w:rsidRDefault="00086A2F" w:rsidP="009F5A9E">
      <w:pPr>
        <w:spacing w:line="240" w:lineRule="auto"/>
      </w:pPr>
      <w:r>
        <w:continuationSeparator/>
      </w:r>
    </w:p>
  </w:endnote>
  <w:endnote w:type="continuationNotice" w:id="1">
    <w:p w14:paraId="233083C0" w14:textId="77777777" w:rsidR="00086A2F" w:rsidRDefault="00086A2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9"/>
      <w:gridCol w:w="3009"/>
      <w:gridCol w:w="3009"/>
    </w:tblGrid>
    <w:tr w:rsidR="552AAD88" w14:paraId="2958510A" w14:textId="77777777" w:rsidTr="552AAD88">
      <w:tc>
        <w:tcPr>
          <w:tcW w:w="3009" w:type="dxa"/>
        </w:tcPr>
        <w:p w14:paraId="76986B2C" w14:textId="5880ED94" w:rsidR="552AAD88" w:rsidRDefault="552AAD88" w:rsidP="552AAD88">
          <w:pPr>
            <w:pStyle w:val="Header"/>
            <w:ind w:left="-115"/>
          </w:pPr>
        </w:p>
      </w:tc>
      <w:tc>
        <w:tcPr>
          <w:tcW w:w="3009" w:type="dxa"/>
        </w:tcPr>
        <w:p w14:paraId="657C146B" w14:textId="5CAE20EF" w:rsidR="552AAD88" w:rsidRDefault="552AAD88" w:rsidP="552AAD88">
          <w:pPr>
            <w:pStyle w:val="Header"/>
            <w:jc w:val="center"/>
          </w:pPr>
        </w:p>
      </w:tc>
      <w:tc>
        <w:tcPr>
          <w:tcW w:w="3009" w:type="dxa"/>
        </w:tcPr>
        <w:p w14:paraId="61BF030D" w14:textId="134819BA" w:rsidR="552AAD88" w:rsidRDefault="552AAD88" w:rsidP="552AAD88">
          <w:pPr>
            <w:pStyle w:val="Header"/>
            <w:ind w:right="-115"/>
            <w:jc w:val="right"/>
          </w:pPr>
        </w:p>
      </w:tc>
    </w:tr>
  </w:tbl>
  <w:p w14:paraId="3A88E9B6" w14:textId="4FB6CEB8" w:rsidR="552AAD88" w:rsidRDefault="552AAD88" w:rsidP="552AAD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08F6AA" w14:textId="77777777" w:rsidR="00086A2F" w:rsidRDefault="00086A2F" w:rsidP="009F5A9E">
      <w:pPr>
        <w:spacing w:line="240" w:lineRule="auto"/>
      </w:pPr>
    </w:p>
  </w:footnote>
  <w:footnote w:type="continuationSeparator" w:id="0">
    <w:p w14:paraId="3A7EE6F4" w14:textId="77777777" w:rsidR="00086A2F" w:rsidRDefault="00086A2F" w:rsidP="009F5A9E">
      <w:pPr>
        <w:spacing w:line="240" w:lineRule="auto"/>
      </w:pPr>
      <w:r>
        <w:continuationSeparator/>
      </w:r>
    </w:p>
  </w:footnote>
  <w:footnote w:type="continuationNotice" w:id="1">
    <w:p w14:paraId="06DB13E8" w14:textId="77777777" w:rsidR="00086A2F" w:rsidRDefault="00086A2F">
      <w:pPr>
        <w:spacing w:line="240" w:lineRule="auto"/>
      </w:pPr>
    </w:p>
  </w:footnote>
  <w:footnote w:id="2">
    <w:p w14:paraId="45D1F8DC" w14:textId="3C4D5B4D" w:rsidR="000574A7" w:rsidRDefault="000574A7" w:rsidP="000148D6">
      <w:pPr>
        <w:pStyle w:val="FootnoteText"/>
      </w:pPr>
      <w:r>
        <w:t xml:space="preserve">* </w:t>
      </w:r>
      <w:r w:rsidR="00841F88">
        <w:t xml:space="preserve">Lecturer in Equity, University of Hertfordshire. Email address for correspondence: </w:t>
      </w:r>
      <w:hyperlink r:id="rId1" w:history="1">
        <w:r w:rsidR="00841F88" w:rsidRPr="006239E0">
          <w:rPr>
            <w:rStyle w:val="Hyperlink"/>
          </w:rPr>
          <w:t>d.taylor5@herts.ac.uk</w:t>
        </w:r>
      </w:hyperlink>
      <w:r w:rsidR="00841F88">
        <w:t>. I am grateful to the anonymous reviewer for their comments.</w:t>
      </w:r>
      <w:r w:rsidR="00947E73">
        <w:t xml:space="preserve"> The usual caveat applies</w:t>
      </w:r>
      <w:r w:rsidR="00DC2D04">
        <w:t xml:space="preserve">: </w:t>
      </w:r>
      <w:r w:rsidR="00947E73">
        <w:t>any errata are the responsibility of the author.</w:t>
      </w:r>
    </w:p>
    <w:p w14:paraId="6CA0D7D4" w14:textId="581F5A24" w:rsidR="000148D6" w:rsidRDefault="000148D6" w:rsidP="000148D6">
      <w:pPr>
        <w:pStyle w:val="FootnoteText"/>
      </w:pPr>
      <w:r>
        <w:rPr>
          <w:rStyle w:val="FootnoteReference"/>
        </w:rPr>
        <w:footnoteRef/>
      </w:r>
      <w:r>
        <w:t xml:space="preserve"> P Birks </w:t>
      </w:r>
      <w:r>
        <w:rPr>
          <w:i/>
        </w:rPr>
        <w:t xml:space="preserve">Before </w:t>
      </w:r>
      <w:proofErr w:type="gramStart"/>
      <w:r>
        <w:rPr>
          <w:i/>
        </w:rPr>
        <w:t>we</w:t>
      </w:r>
      <w:proofErr w:type="gramEnd"/>
      <w:r>
        <w:rPr>
          <w:i/>
        </w:rPr>
        <w:t xml:space="preserve"> Begin: Five Keys to Land Law </w:t>
      </w:r>
      <w:r>
        <w:t xml:space="preserve">in S Bright &amp; J Dewar (eds) </w:t>
      </w:r>
      <w:r>
        <w:rPr>
          <w:i/>
        </w:rPr>
        <w:t>Land Law: Themes and Perspectives</w:t>
      </w:r>
      <w:r>
        <w:t xml:space="preserve"> (</w:t>
      </w:r>
      <w:r w:rsidR="00786891">
        <w:t>OUP</w:t>
      </w:r>
      <w:r>
        <w:t xml:space="preserve"> 1998), </w:t>
      </w:r>
      <w:r w:rsidR="00786891" w:rsidRPr="00786891">
        <w:t>457</w:t>
      </w:r>
      <w:r>
        <w:t>; P Critchley</w:t>
      </w:r>
      <w:r>
        <w:rPr>
          <w:i/>
        </w:rPr>
        <w:t xml:space="preserve"> </w:t>
      </w:r>
      <w:r w:rsidRPr="0000029B">
        <w:rPr>
          <w:i/>
        </w:rPr>
        <w:t>Taking Formalities Seriously</w:t>
      </w:r>
      <w:r>
        <w:rPr>
          <w:i/>
        </w:rPr>
        <w:t xml:space="preserve"> </w:t>
      </w:r>
      <w:r>
        <w:t xml:space="preserve">in S Bright &amp; J Dewar (eds) </w:t>
      </w:r>
      <w:r>
        <w:rPr>
          <w:i/>
        </w:rPr>
        <w:t>Land Law: Themes and Perspectives</w:t>
      </w:r>
      <w:r>
        <w:t xml:space="preserve"> (</w:t>
      </w:r>
      <w:r w:rsidR="00786891">
        <w:t>OUP</w:t>
      </w:r>
      <w:r>
        <w:t xml:space="preserve"> 1998), </w:t>
      </w:r>
      <w:r w:rsidR="00645820" w:rsidRPr="00645820">
        <w:t>507</w:t>
      </w:r>
      <w:r>
        <w:t xml:space="preserve">; </w:t>
      </w:r>
      <w:r w:rsidRPr="006351B4">
        <w:rPr>
          <w:i/>
          <w:iCs/>
        </w:rPr>
        <w:t>Electronic Execution of Documents</w:t>
      </w:r>
      <w:r>
        <w:rPr>
          <w:i/>
          <w:iCs/>
        </w:rPr>
        <w:t xml:space="preserve"> </w:t>
      </w:r>
      <w:r>
        <w:t>(2019)</w:t>
      </w:r>
      <w:r w:rsidRPr="006351B4">
        <w:rPr>
          <w:i/>
          <w:iCs/>
        </w:rPr>
        <w:t xml:space="preserve"> </w:t>
      </w:r>
      <w:r w:rsidRPr="006351B4">
        <w:t>Law Com No.836</w:t>
      </w:r>
      <w:r>
        <w:t>, [2.5]</w:t>
      </w:r>
    </w:p>
  </w:footnote>
  <w:footnote w:id="3">
    <w:p w14:paraId="7C897D49" w14:textId="77777777" w:rsidR="0098240C" w:rsidRDefault="0098240C" w:rsidP="00DE2213">
      <w:pPr>
        <w:pStyle w:val="FootnoteText"/>
      </w:pPr>
      <w:r>
        <w:rPr>
          <w:rStyle w:val="FootnoteReference"/>
        </w:rPr>
        <w:footnoteRef/>
      </w:r>
      <w:r>
        <w:t xml:space="preserve"> </w:t>
      </w:r>
      <w:r w:rsidRPr="009F5A9E">
        <w:t>[2019] EWHC 2462 (Ch)</w:t>
      </w:r>
    </w:p>
  </w:footnote>
  <w:footnote w:id="4">
    <w:p w14:paraId="2965910B" w14:textId="0D4DCA1C" w:rsidR="00077762" w:rsidRDefault="00077762" w:rsidP="00077762">
      <w:pPr>
        <w:pStyle w:val="FootnoteText"/>
      </w:pPr>
      <w:r>
        <w:rPr>
          <w:rStyle w:val="FootnoteReference"/>
        </w:rPr>
        <w:footnoteRef/>
      </w:r>
      <w:r>
        <w:t xml:space="preserve"> Law of Property (Miscellaneous Provisions) Act 1989 section 2(1) and (3)</w:t>
      </w:r>
      <w:r w:rsidR="00556AF6">
        <w:t xml:space="preserve"> (‘LP(MP)A 1989’ hereafter)</w:t>
      </w:r>
    </w:p>
  </w:footnote>
  <w:footnote w:id="5">
    <w:p w14:paraId="2E64D856" w14:textId="1895161F" w:rsidR="005F495E" w:rsidRDefault="005F495E" w:rsidP="005F495E">
      <w:pPr>
        <w:pStyle w:val="FootnoteText"/>
      </w:pPr>
      <w:r>
        <w:rPr>
          <w:rStyle w:val="FootnoteReference"/>
        </w:rPr>
        <w:footnoteRef/>
      </w:r>
      <w:r w:rsidR="00933D59">
        <w:t xml:space="preserve"> while</w:t>
      </w:r>
      <w:r>
        <w:t xml:space="preserve"> LP(MP)A 1989 </w:t>
      </w:r>
      <w:r>
        <w:t>s</w:t>
      </w:r>
      <w:r w:rsidR="0031708C">
        <w:t>ection</w:t>
      </w:r>
      <w:bookmarkStart w:id="0" w:name="_GoBack"/>
      <w:bookmarkEnd w:id="0"/>
      <w:r>
        <w:t xml:space="preserve"> 2</w:t>
      </w:r>
      <w:r w:rsidR="00CC2FA6">
        <w:t>(1)</w:t>
      </w:r>
      <w:r>
        <w:t xml:space="preserve"> refers to the contract for the sale or </w:t>
      </w:r>
      <w:r w:rsidR="005D4E8A">
        <w:t xml:space="preserve">other </w:t>
      </w:r>
      <w:r>
        <w:t>disposition of an interest in land, it will not apply to the disposition itself:</w:t>
      </w:r>
      <w:r w:rsidRPr="00791074">
        <w:rPr>
          <w:i/>
          <w:iCs/>
        </w:rPr>
        <w:t xml:space="preserve"> </w:t>
      </w:r>
      <w:proofErr w:type="spellStart"/>
      <w:r w:rsidR="000A6B80" w:rsidRPr="000A6B80">
        <w:rPr>
          <w:i/>
          <w:iCs/>
        </w:rPr>
        <w:t>Helden</w:t>
      </w:r>
      <w:proofErr w:type="spellEnd"/>
      <w:r w:rsidR="000A6B80" w:rsidRPr="000A6B80">
        <w:rPr>
          <w:i/>
          <w:iCs/>
        </w:rPr>
        <w:t xml:space="preserve"> v Strathmore</w:t>
      </w:r>
      <w:r w:rsidR="000A6B80" w:rsidRPr="000A6B80">
        <w:t xml:space="preserve"> [2011]</w:t>
      </w:r>
      <w:r>
        <w:t xml:space="preserve"> E</w:t>
      </w:r>
      <w:r>
        <w:rPr>
          <w:rStyle w:val="st"/>
        </w:rPr>
        <w:t xml:space="preserve">WCA </w:t>
      </w:r>
      <w:proofErr w:type="spellStart"/>
      <w:r>
        <w:rPr>
          <w:rStyle w:val="st"/>
        </w:rPr>
        <w:t>Civ</w:t>
      </w:r>
      <w:proofErr w:type="spellEnd"/>
      <w:r>
        <w:rPr>
          <w:rStyle w:val="st"/>
        </w:rPr>
        <w:t xml:space="preserve"> 542</w:t>
      </w:r>
      <w:r w:rsidR="000A6B80" w:rsidRPr="000A6B80">
        <w:t xml:space="preserve">; </w:t>
      </w:r>
      <w:proofErr w:type="spellStart"/>
      <w:r w:rsidR="00392C16">
        <w:rPr>
          <w:i/>
          <w:iCs/>
        </w:rPr>
        <w:t>Yeates</w:t>
      </w:r>
      <w:proofErr w:type="spellEnd"/>
      <w:r w:rsidR="00392C16">
        <w:rPr>
          <w:i/>
          <w:iCs/>
        </w:rPr>
        <w:t xml:space="preserve"> v </w:t>
      </w:r>
      <w:r w:rsidR="00392C16" w:rsidRPr="00136613">
        <w:rPr>
          <w:i/>
          <w:iCs/>
        </w:rPr>
        <w:t>Line</w:t>
      </w:r>
      <w:r w:rsidR="00392C16">
        <w:t xml:space="preserve"> </w:t>
      </w:r>
      <w:r w:rsidR="00392C16">
        <w:rPr>
          <w:rStyle w:val="st"/>
        </w:rPr>
        <w:t>[2012] EWHC 3085 (Ch)</w:t>
      </w:r>
      <w:r w:rsidR="00136613">
        <w:rPr>
          <w:rStyle w:val="st"/>
        </w:rPr>
        <w:t xml:space="preserve">; </w:t>
      </w:r>
      <w:proofErr w:type="spellStart"/>
      <w:r w:rsidR="000A6B80" w:rsidRPr="000A6B80">
        <w:rPr>
          <w:i/>
          <w:iCs/>
        </w:rPr>
        <w:t>Rollerteam</w:t>
      </w:r>
      <w:proofErr w:type="spellEnd"/>
      <w:r w:rsidR="000A6B80" w:rsidRPr="000A6B80">
        <w:rPr>
          <w:i/>
          <w:iCs/>
        </w:rPr>
        <w:t xml:space="preserve"> v Riley</w:t>
      </w:r>
      <w:r w:rsidR="000A6B80" w:rsidRPr="000A6B80">
        <w:t xml:space="preserve"> [201</w:t>
      </w:r>
      <w:r>
        <w:t>6</w:t>
      </w:r>
      <w:r w:rsidR="000A6B80" w:rsidRPr="000A6B80">
        <w:t>]</w:t>
      </w:r>
      <w:r>
        <w:t xml:space="preserve"> </w:t>
      </w:r>
      <w:r>
        <w:rPr>
          <w:rStyle w:val="st"/>
        </w:rPr>
        <w:t xml:space="preserve">EWCA </w:t>
      </w:r>
      <w:proofErr w:type="spellStart"/>
      <w:r>
        <w:rPr>
          <w:rStyle w:val="st"/>
        </w:rPr>
        <w:t>Civ</w:t>
      </w:r>
      <w:proofErr w:type="spellEnd"/>
      <w:r>
        <w:rPr>
          <w:rStyle w:val="st"/>
        </w:rPr>
        <w:t xml:space="preserve"> 1291</w:t>
      </w:r>
    </w:p>
  </w:footnote>
  <w:footnote w:id="6">
    <w:p w14:paraId="77C97ED5" w14:textId="020DC88A" w:rsidR="00AD24B4" w:rsidRDefault="00AD24B4">
      <w:pPr>
        <w:pStyle w:val="FootnoteText"/>
      </w:pPr>
      <w:r>
        <w:rPr>
          <w:rStyle w:val="FootnoteReference"/>
        </w:rPr>
        <w:footnoteRef/>
      </w:r>
      <w:r>
        <w:t xml:space="preserve"> cf. </w:t>
      </w:r>
      <w:r w:rsidRPr="00AD24B4">
        <w:rPr>
          <w:i/>
          <w:iCs/>
        </w:rPr>
        <w:t xml:space="preserve">Goodman v J </w:t>
      </w:r>
      <w:proofErr w:type="spellStart"/>
      <w:r w:rsidRPr="00AD24B4">
        <w:rPr>
          <w:i/>
          <w:iCs/>
        </w:rPr>
        <w:t>Eban</w:t>
      </w:r>
      <w:proofErr w:type="spellEnd"/>
      <w:r w:rsidRPr="00AD24B4">
        <w:rPr>
          <w:i/>
          <w:iCs/>
        </w:rPr>
        <w:t xml:space="preserve"> Ltd</w:t>
      </w:r>
      <w:r>
        <w:t xml:space="preserve"> [1954] 1 QB 550</w:t>
      </w:r>
    </w:p>
  </w:footnote>
  <w:footnote w:id="7">
    <w:p w14:paraId="697DBFC9" w14:textId="5F63A02C" w:rsidR="00692A9F" w:rsidRPr="00692A9F" w:rsidRDefault="00692A9F">
      <w:pPr>
        <w:pStyle w:val="FootnoteText"/>
      </w:pPr>
      <w:r>
        <w:rPr>
          <w:rStyle w:val="FootnoteReference"/>
        </w:rPr>
        <w:footnoteRef/>
      </w:r>
      <w:r>
        <w:t xml:space="preserve"> </w:t>
      </w:r>
      <w:proofErr w:type="spellStart"/>
      <w:r>
        <w:rPr>
          <w:i/>
          <w:iCs/>
        </w:rPr>
        <w:t>Neocleous</w:t>
      </w:r>
      <w:proofErr w:type="spellEnd"/>
      <w:r>
        <w:rPr>
          <w:i/>
          <w:iCs/>
        </w:rPr>
        <w:t xml:space="preserve"> v Rees</w:t>
      </w:r>
      <w:r>
        <w:t xml:space="preserve"> (n 2), [51]</w:t>
      </w:r>
    </w:p>
  </w:footnote>
  <w:footnote w:id="8">
    <w:p w14:paraId="54E67B74" w14:textId="122F6503" w:rsidR="00C4191B" w:rsidRDefault="00C4191B">
      <w:pPr>
        <w:pStyle w:val="FootnoteText"/>
      </w:pPr>
      <w:r>
        <w:rPr>
          <w:rStyle w:val="FootnoteReference"/>
        </w:rPr>
        <w:footnoteRef/>
      </w:r>
      <w:r>
        <w:t xml:space="preserve"> </w:t>
      </w:r>
      <w:r w:rsidR="00764006">
        <w:t>ibid</w:t>
      </w:r>
      <w:r>
        <w:t>., [57]</w:t>
      </w:r>
    </w:p>
  </w:footnote>
  <w:footnote w:id="9">
    <w:p w14:paraId="356A78E1" w14:textId="5996672B" w:rsidR="0030478D" w:rsidRDefault="0030478D">
      <w:pPr>
        <w:pStyle w:val="FootnoteText"/>
      </w:pPr>
      <w:r>
        <w:rPr>
          <w:rStyle w:val="FootnoteReference"/>
        </w:rPr>
        <w:footnoteRef/>
      </w:r>
      <w:r>
        <w:t xml:space="preserve"> </w:t>
      </w:r>
      <w:r w:rsidR="00133DD2">
        <w:t>ibid., [29]</w:t>
      </w:r>
    </w:p>
  </w:footnote>
  <w:footnote w:id="10">
    <w:p w14:paraId="56ACB523" w14:textId="23395FED" w:rsidR="0098240C" w:rsidRPr="003B10CE" w:rsidRDefault="0098240C">
      <w:pPr>
        <w:pStyle w:val="FootnoteText"/>
      </w:pPr>
      <w:r>
        <w:rPr>
          <w:rStyle w:val="FootnoteReference"/>
        </w:rPr>
        <w:footnoteRef/>
      </w:r>
      <w:r>
        <w:t xml:space="preserve"> </w:t>
      </w:r>
      <w:r>
        <w:rPr>
          <w:i/>
        </w:rPr>
        <w:t xml:space="preserve">Transfer of Land: Formalities for Contracts for Sale etc of Land </w:t>
      </w:r>
      <w:r>
        <w:t>(1987)</w:t>
      </w:r>
      <w:r w:rsidR="008538FB">
        <w:t xml:space="preserve"> </w:t>
      </w:r>
      <w:r w:rsidR="008538FB" w:rsidRPr="008538FB">
        <w:t>L</w:t>
      </w:r>
      <w:r w:rsidR="008538FB">
        <w:t>aw</w:t>
      </w:r>
      <w:r w:rsidR="008538FB" w:rsidRPr="008538FB">
        <w:t xml:space="preserve"> C</w:t>
      </w:r>
      <w:r w:rsidR="008538FB">
        <w:t>om</w:t>
      </w:r>
      <w:r w:rsidR="008538FB" w:rsidRPr="008538FB">
        <w:t xml:space="preserve"> No.164</w:t>
      </w:r>
      <w:r w:rsidR="0055306A">
        <w:t xml:space="preserve">; </w:t>
      </w:r>
      <w:r w:rsidR="0055306A" w:rsidRPr="000230B9">
        <w:rPr>
          <w:i/>
          <w:iCs/>
        </w:rPr>
        <w:t>Yaxley v Gotts</w:t>
      </w:r>
      <w:r w:rsidR="0055306A">
        <w:t xml:space="preserve"> [2000] 1 Ch 162; </w:t>
      </w:r>
      <w:r w:rsidR="0055306A" w:rsidRPr="000230B9">
        <w:rPr>
          <w:i/>
          <w:iCs/>
        </w:rPr>
        <w:t>Kinane v Mackie-Conteh</w:t>
      </w:r>
      <w:r w:rsidR="0055306A">
        <w:t xml:space="preserve"> [2005] EWCA </w:t>
      </w:r>
      <w:proofErr w:type="spellStart"/>
      <w:r w:rsidR="0055306A">
        <w:t>Civ</w:t>
      </w:r>
      <w:proofErr w:type="spellEnd"/>
      <w:r w:rsidR="0055306A">
        <w:t xml:space="preserve"> 45, [32]; </w:t>
      </w:r>
      <w:r w:rsidR="0055306A">
        <w:rPr>
          <w:i/>
          <w:iCs/>
        </w:rPr>
        <w:t xml:space="preserve">Herbert </w:t>
      </w:r>
      <w:r w:rsidR="0055306A" w:rsidRPr="00A61411">
        <w:rPr>
          <w:i/>
          <w:iCs/>
        </w:rPr>
        <w:t>v</w:t>
      </w:r>
      <w:r w:rsidR="0055306A">
        <w:t xml:space="preserve"> </w:t>
      </w:r>
      <w:r w:rsidR="0055306A">
        <w:rPr>
          <w:i/>
          <w:iCs/>
        </w:rPr>
        <w:t xml:space="preserve">Doyle </w:t>
      </w:r>
      <w:r w:rsidR="0055306A">
        <w:t xml:space="preserve">[2010] </w:t>
      </w:r>
      <w:proofErr w:type="spellStart"/>
      <w:r w:rsidR="0055306A">
        <w:t>Civ</w:t>
      </w:r>
      <w:proofErr w:type="spellEnd"/>
      <w:r w:rsidR="0055306A">
        <w:t xml:space="preserve"> 1095, [10]; </w:t>
      </w:r>
      <w:r w:rsidR="0055306A" w:rsidRPr="00163AA4">
        <w:rPr>
          <w:i/>
        </w:rPr>
        <w:t>North Eastern Properties</w:t>
      </w:r>
      <w:r w:rsidR="0055306A">
        <w:rPr>
          <w:i/>
        </w:rPr>
        <w:t xml:space="preserve"> </w:t>
      </w:r>
      <w:r w:rsidR="0055306A" w:rsidRPr="0087380C">
        <w:rPr>
          <w:i/>
        </w:rPr>
        <w:t>v Coleman</w:t>
      </w:r>
      <w:r w:rsidR="0055306A" w:rsidRPr="0087380C">
        <w:t xml:space="preserve"> </w:t>
      </w:r>
      <w:r w:rsidR="0055306A" w:rsidRPr="00533B71">
        <w:t xml:space="preserve">[2010] EWCA </w:t>
      </w:r>
      <w:proofErr w:type="spellStart"/>
      <w:r w:rsidR="0055306A" w:rsidRPr="00533B71">
        <w:t>Civ</w:t>
      </w:r>
      <w:proofErr w:type="spellEnd"/>
      <w:r w:rsidR="0055306A" w:rsidRPr="00533B71">
        <w:t xml:space="preserve"> 277</w:t>
      </w:r>
      <w:r w:rsidR="0055306A" w:rsidRPr="00163AA4">
        <w:t>, [40]</w:t>
      </w:r>
    </w:p>
  </w:footnote>
  <w:footnote w:id="11">
    <w:p w14:paraId="0D9B16CB" w14:textId="46A422E9" w:rsidR="005D5E34" w:rsidRPr="00CA324A" w:rsidRDefault="005D5E34" w:rsidP="005D5E34">
      <w:pPr>
        <w:pStyle w:val="FootnoteText"/>
      </w:pPr>
      <w:r>
        <w:rPr>
          <w:rStyle w:val="FootnoteReference"/>
        </w:rPr>
        <w:footnoteRef/>
      </w:r>
      <w:r>
        <w:t xml:space="preserve"> </w:t>
      </w:r>
      <w:r w:rsidR="00A76534" w:rsidRPr="00A76534">
        <w:rPr>
          <w:i/>
          <w:iCs/>
        </w:rPr>
        <w:t>Law v Jones</w:t>
      </w:r>
      <w:r>
        <w:rPr>
          <w:i/>
          <w:iCs/>
        </w:rPr>
        <w:t xml:space="preserve"> </w:t>
      </w:r>
      <w:r w:rsidRPr="00D441D7">
        <w:t>[1974] Ch 112</w:t>
      </w:r>
      <w:r>
        <w:t xml:space="preserve">; </w:t>
      </w:r>
      <w:r w:rsidR="00A76534" w:rsidRPr="00A76534">
        <w:rPr>
          <w:i/>
          <w:iCs/>
        </w:rPr>
        <w:t>First National Securities v Jones</w:t>
      </w:r>
      <w:r>
        <w:rPr>
          <w:vertAlign w:val="superscript"/>
        </w:rPr>
        <w:t xml:space="preserve"> </w:t>
      </w:r>
      <w:r>
        <w:rPr>
          <w:rStyle w:val="ilfuvd"/>
        </w:rPr>
        <w:t>[1985] QB 850</w:t>
      </w:r>
    </w:p>
  </w:footnote>
  <w:footnote w:id="12">
    <w:p w14:paraId="7778CF8A" w14:textId="77777777" w:rsidR="00677941" w:rsidRDefault="00677941" w:rsidP="00677941">
      <w:pPr>
        <w:pStyle w:val="FootnoteText"/>
      </w:pPr>
      <w:r>
        <w:rPr>
          <w:rStyle w:val="FootnoteReference"/>
        </w:rPr>
        <w:footnoteRef/>
      </w:r>
      <w:r>
        <w:t xml:space="preserve"> K Gray and PD Symes </w:t>
      </w:r>
      <w:r>
        <w:rPr>
          <w:i/>
        </w:rPr>
        <w:t>Real Property and Real People Principles of Land Law</w:t>
      </w:r>
      <w:r>
        <w:t xml:space="preserve"> (London Butterworths 1981), 89</w:t>
      </w:r>
    </w:p>
  </w:footnote>
  <w:footnote w:id="13">
    <w:p w14:paraId="54987795" w14:textId="00C0C1E4" w:rsidR="0098240C" w:rsidRDefault="0098240C">
      <w:pPr>
        <w:pStyle w:val="FootnoteText"/>
      </w:pPr>
      <w:r>
        <w:rPr>
          <w:rStyle w:val="FootnoteReference"/>
        </w:rPr>
        <w:footnoteRef/>
      </w:r>
      <w:r>
        <w:t xml:space="preserve"> </w:t>
      </w:r>
      <w:r>
        <w:rPr>
          <w:i/>
        </w:rPr>
        <w:t>Transfer of Land</w:t>
      </w:r>
      <w:r>
        <w:t xml:space="preserve"> (n </w:t>
      </w:r>
      <w:r w:rsidR="002013DC">
        <w:t>9</w:t>
      </w:r>
      <w:r>
        <w:t>), [1.11]</w:t>
      </w:r>
      <w:r w:rsidR="00AF6601">
        <w:t xml:space="preserve">. </w:t>
      </w:r>
      <w:r w:rsidR="000A37E8">
        <w:rPr>
          <w:rStyle w:val="HTMLCite"/>
          <w:i w:val="0"/>
        </w:rPr>
        <w:t>S</w:t>
      </w:r>
      <w:r w:rsidR="00AF6601">
        <w:rPr>
          <w:rStyle w:val="HTMLCite"/>
          <w:i w:val="0"/>
        </w:rPr>
        <w:t xml:space="preserve">ee </w:t>
      </w:r>
      <w:r w:rsidR="000A37E8">
        <w:rPr>
          <w:rStyle w:val="HTMLCite"/>
          <w:i w:val="0"/>
        </w:rPr>
        <w:t xml:space="preserve">further </w:t>
      </w:r>
      <w:r w:rsidR="00AF6601">
        <w:t xml:space="preserve">Lord </w:t>
      </w:r>
      <w:r w:rsidR="00AF6601" w:rsidRPr="00C51377">
        <w:t xml:space="preserve">Neuberger </w:t>
      </w:r>
      <w:r w:rsidR="00AF6601" w:rsidRPr="00C51377">
        <w:rPr>
          <w:i/>
        </w:rPr>
        <w:t>Stuffing of Minerva’s Owl? Taxonomy and Taxidermy in Equity</w:t>
      </w:r>
      <w:r w:rsidR="00AF6601">
        <w:t xml:space="preserve"> (2009) 68(3) CLJ 537</w:t>
      </w:r>
    </w:p>
  </w:footnote>
  <w:footnote w:id="14">
    <w:p w14:paraId="14E43FF0" w14:textId="4944C979" w:rsidR="00744E94" w:rsidRPr="00DA4D45" w:rsidRDefault="00744E94">
      <w:pPr>
        <w:pStyle w:val="FootnoteText"/>
      </w:pPr>
      <w:r>
        <w:rPr>
          <w:rStyle w:val="FootnoteReference"/>
        </w:rPr>
        <w:footnoteRef/>
      </w:r>
      <w:r>
        <w:t xml:space="preserve"> </w:t>
      </w:r>
      <w:r w:rsidRPr="00337DE6">
        <w:t>see S Mason</w:t>
      </w:r>
      <w:r w:rsidR="00520E41">
        <w:t xml:space="preserve"> </w:t>
      </w:r>
      <w:r w:rsidR="00DA4D45" w:rsidRPr="00DA4D45">
        <w:rPr>
          <w:i/>
          <w:iCs/>
        </w:rPr>
        <w:t>Electronic Signatures in Law</w:t>
      </w:r>
      <w:r w:rsidR="00DA4D45">
        <w:t xml:space="preserve"> (</w:t>
      </w:r>
      <w:r w:rsidR="00337DE6">
        <w:t xml:space="preserve">Institute of Advanced Legal Studies, 2016 4th </w:t>
      </w:r>
      <w:proofErr w:type="spellStart"/>
      <w:r w:rsidR="00337DE6">
        <w:t>edn</w:t>
      </w:r>
      <w:proofErr w:type="spellEnd"/>
      <w:r w:rsidR="00337DE6">
        <w:t>)</w:t>
      </w:r>
    </w:p>
  </w:footnote>
  <w:footnote w:id="15">
    <w:p w14:paraId="3E0B21F3" w14:textId="6DA463DD" w:rsidR="00043CD0" w:rsidRDefault="00043CD0">
      <w:pPr>
        <w:pStyle w:val="FootnoteText"/>
      </w:pPr>
      <w:r>
        <w:rPr>
          <w:rStyle w:val="FootnoteReference"/>
        </w:rPr>
        <w:footnoteRef/>
      </w:r>
      <w:r>
        <w:t xml:space="preserve"> [2003] EWHC 2487 (Ch)</w:t>
      </w:r>
      <w:r w:rsidR="007130F6">
        <w:t>, [10]</w:t>
      </w:r>
    </w:p>
  </w:footnote>
  <w:footnote w:id="16">
    <w:p w14:paraId="4BAA4995" w14:textId="77777777" w:rsidR="00543539" w:rsidRDefault="00543539" w:rsidP="00543539">
      <w:pPr>
        <w:pStyle w:val="FootnoteText"/>
      </w:pPr>
      <w:r>
        <w:rPr>
          <w:rStyle w:val="FootnoteReference"/>
        </w:rPr>
        <w:footnoteRef/>
      </w:r>
      <w:r>
        <w:t xml:space="preserve"> [2006] EWHC 813 (Ch), </w:t>
      </w:r>
      <w:r w:rsidRPr="0036066B">
        <w:t xml:space="preserve">[2006] 1 WLR 1543 </w:t>
      </w:r>
    </w:p>
  </w:footnote>
  <w:footnote w:id="17">
    <w:p w14:paraId="2E79C13F" w14:textId="2AD88AC2" w:rsidR="00EA42F5" w:rsidRDefault="00EA42F5">
      <w:pPr>
        <w:pStyle w:val="FootnoteText"/>
      </w:pPr>
      <w:r>
        <w:rPr>
          <w:rStyle w:val="FootnoteReference"/>
        </w:rPr>
        <w:footnoteRef/>
      </w:r>
      <w:r>
        <w:t xml:space="preserve"> ibid., [28]</w:t>
      </w:r>
      <w:r w:rsidR="00314DEB">
        <w:t>; [30]</w:t>
      </w:r>
    </w:p>
  </w:footnote>
  <w:footnote w:id="18">
    <w:p w14:paraId="1225CCAF" w14:textId="23AC0783" w:rsidR="00AC0D86" w:rsidRDefault="00AC0D86">
      <w:pPr>
        <w:pStyle w:val="FootnoteText"/>
      </w:pPr>
      <w:r>
        <w:rPr>
          <w:rStyle w:val="FootnoteReference"/>
        </w:rPr>
        <w:footnoteRef/>
      </w:r>
      <w:r>
        <w:t xml:space="preserve"> ibid., </w:t>
      </w:r>
      <w:r w:rsidRPr="008430EE">
        <w:t>[</w:t>
      </w:r>
      <w:r w:rsidR="008430EE" w:rsidRPr="008430EE">
        <w:t>29</w:t>
      </w:r>
      <w:r w:rsidRPr="008430EE">
        <w:t>]</w:t>
      </w:r>
    </w:p>
  </w:footnote>
  <w:footnote w:id="19">
    <w:p w14:paraId="3DC0FB34" w14:textId="7D44171B" w:rsidR="00DF2F24" w:rsidRPr="00F679DB" w:rsidRDefault="00DF2F24" w:rsidP="00DF2F24">
      <w:pPr>
        <w:pStyle w:val="FootnoteText"/>
      </w:pPr>
      <w:r>
        <w:rPr>
          <w:rStyle w:val="FootnoteReference"/>
        </w:rPr>
        <w:footnoteRef/>
      </w:r>
      <w:r>
        <w:t xml:space="preserve"> </w:t>
      </w:r>
      <w:r>
        <w:rPr>
          <w:i/>
        </w:rPr>
        <w:t>Green v Ireland</w:t>
      </w:r>
      <w:r>
        <w:t xml:space="preserve"> [2011] EWHC 1305 (Ch), </w:t>
      </w:r>
      <w:r w:rsidR="00BE518A">
        <w:t>[42]-[50]</w:t>
      </w:r>
    </w:p>
  </w:footnote>
  <w:footnote w:id="20">
    <w:p w14:paraId="61B355F7" w14:textId="77777777" w:rsidR="00C745B2" w:rsidRDefault="00C745B2" w:rsidP="00C745B2">
      <w:pPr>
        <w:pStyle w:val="FootnoteText"/>
      </w:pPr>
      <w:r>
        <w:rPr>
          <w:rStyle w:val="FootnoteReference"/>
        </w:rPr>
        <w:footnoteRef/>
      </w:r>
      <w:r>
        <w:t xml:space="preserve"> [1995] 1 WLR 1567</w:t>
      </w:r>
    </w:p>
  </w:footnote>
  <w:footnote w:id="21">
    <w:p w14:paraId="0F13FFA7" w14:textId="77777777" w:rsidR="00C745B2" w:rsidRPr="00235324" w:rsidRDefault="00C745B2" w:rsidP="00C745B2">
      <w:pPr>
        <w:pStyle w:val="FootnoteText"/>
        <w:rPr>
          <w:i/>
        </w:rPr>
      </w:pPr>
      <w:r>
        <w:rPr>
          <w:rStyle w:val="FootnoteReference"/>
        </w:rPr>
        <w:footnoteRef/>
      </w:r>
      <w:r>
        <w:t xml:space="preserve"> ibid., 1574A-E (Peter Gibson LJ) </w:t>
      </w:r>
      <w:r>
        <w:rPr>
          <w:i/>
        </w:rPr>
        <w:t>passim</w:t>
      </w:r>
    </w:p>
  </w:footnote>
  <w:footnote w:id="22">
    <w:p w14:paraId="0D4357E7" w14:textId="77777777" w:rsidR="00C745B2" w:rsidRDefault="00C745B2" w:rsidP="00C745B2">
      <w:pPr>
        <w:pStyle w:val="FootnoteText"/>
      </w:pPr>
      <w:r>
        <w:rPr>
          <w:rStyle w:val="FootnoteReference"/>
        </w:rPr>
        <w:footnoteRef/>
      </w:r>
      <w:r>
        <w:t xml:space="preserve"> ibid., 1575F (Peter Gibson LJ)</w:t>
      </w:r>
    </w:p>
  </w:footnote>
  <w:footnote w:id="23">
    <w:p w14:paraId="6B8FEF2A" w14:textId="3BD83B91" w:rsidR="00C745B2" w:rsidRDefault="00C745B2" w:rsidP="00C745B2">
      <w:pPr>
        <w:pStyle w:val="FootnoteText"/>
      </w:pPr>
      <w:r>
        <w:rPr>
          <w:rStyle w:val="FootnoteReference"/>
        </w:rPr>
        <w:footnoteRef/>
      </w:r>
      <w:r>
        <w:t xml:space="preserve"> Law of Property (Miscellaneous Provisions) Act 1989 Long Title (</w:t>
      </w:r>
      <w:r w:rsidR="007F73E9">
        <w:t xml:space="preserve">my </w:t>
      </w:r>
      <w:r>
        <w:t>emphasis)</w:t>
      </w:r>
    </w:p>
  </w:footnote>
  <w:footnote w:id="24">
    <w:p w14:paraId="0BD70B95" w14:textId="27514C0F" w:rsidR="00C745B2" w:rsidRPr="002349E2" w:rsidRDefault="00C745B2" w:rsidP="00C745B2">
      <w:pPr>
        <w:pStyle w:val="FootnoteText"/>
      </w:pPr>
      <w:r>
        <w:rPr>
          <w:rStyle w:val="FootnoteReference"/>
        </w:rPr>
        <w:footnoteRef/>
      </w:r>
      <w:r>
        <w:t xml:space="preserve"> </w:t>
      </w:r>
      <w:proofErr w:type="spellStart"/>
      <w:r>
        <w:rPr>
          <w:i/>
        </w:rPr>
        <w:t>Firstpost</w:t>
      </w:r>
      <w:proofErr w:type="spellEnd"/>
      <w:r>
        <w:rPr>
          <w:i/>
        </w:rPr>
        <w:t xml:space="preserve"> Homes</w:t>
      </w:r>
      <w:r w:rsidR="007F73E9">
        <w:rPr>
          <w:i/>
        </w:rPr>
        <w:t xml:space="preserve"> Ltd v Johnson</w:t>
      </w:r>
      <w:r>
        <w:t xml:space="preserve"> (n </w:t>
      </w:r>
      <w:r w:rsidR="00F96368">
        <w:t>1</w:t>
      </w:r>
      <w:r w:rsidR="001226FE">
        <w:t>9</w:t>
      </w:r>
      <w:r>
        <w:t>), 1575G</w:t>
      </w:r>
    </w:p>
  </w:footnote>
  <w:footnote w:id="25">
    <w:p w14:paraId="22054483" w14:textId="678CDD85" w:rsidR="00DF2F24" w:rsidRPr="0047584C" w:rsidRDefault="00DF2F24" w:rsidP="00DF2F24">
      <w:pPr>
        <w:pStyle w:val="FootnoteText"/>
      </w:pPr>
      <w:r>
        <w:rPr>
          <w:rStyle w:val="FootnoteReference"/>
        </w:rPr>
        <w:footnoteRef/>
      </w:r>
      <w:r>
        <w:t xml:space="preserve"> </w:t>
      </w:r>
      <w:r w:rsidR="00220D20">
        <w:t xml:space="preserve">Law Commission </w:t>
      </w:r>
      <w:r w:rsidR="00220D20" w:rsidRPr="00220D20">
        <w:rPr>
          <w:i/>
          <w:iCs/>
        </w:rPr>
        <w:t>Electronic Commerce: Formal Requirements in Commercial Transactions Advice from the Law Commission</w:t>
      </w:r>
      <w:r w:rsidR="00220D20" w:rsidRPr="00220D20">
        <w:t xml:space="preserve"> (2001), [3.39]</w:t>
      </w:r>
      <w:r w:rsidR="00220D20">
        <w:t xml:space="preserve">; </w:t>
      </w:r>
      <w:r w:rsidR="005B3499">
        <w:rPr>
          <w:i/>
          <w:iCs/>
        </w:rPr>
        <w:t xml:space="preserve">Electronic Execution of Documents </w:t>
      </w:r>
      <w:r w:rsidR="005B3499">
        <w:t>(2019) Law Com No.836</w:t>
      </w:r>
      <w:r>
        <w:t xml:space="preserve">, </w:t>
      </w:r>
      <w:r w:rsidRPr="00850209">
        <w:t>[3.59]</w:t>
      </w:r>
      <w:r w:rsidR="004E05FD">
        <w:t>;</w:t>
      </w:r>
      <w:r>
        <w:t xml:space="preserve"> Dame Elizabeth </w:t>
      </w:r>
      <w:proofErr w:type="spellStart"/>
      <w:r>
        <w:t>Gloster</w:t>
      </w:r>
      <w:proofErr w:type="spellEnd"/>
      <w:r>
        <w:t xml:space="preserve"> </w:t>
      </w:r>
      <w:r w:rsidRPr="0047584C">
        <w:rPr>
          <w:i/>
          <w:iCs/>
        </w:rPr>
        <w:t>Technology in Property: Putting You All on Notice</w:t>
      </w:r>
      <w:r>
        <w:t xml:space="preserve"> in B McFarlane &amp; S Agnew (eds) </w:t>
      </w:r>
      <w:r w:rsidRPr="007252AD">
        <w:rPr>
          <w:i/>
          <w:iCs/>
        </w:rPr>
        <w:t>Modern Studies in Property Law Vol.10</w:t>
      </w:r>
      <w:r>
        <w:t xml:space="preserve"> (Hart 2019) 3, 16</w:t>
      </w:r>
    </w:p>
  </w:footnote>
  <w:footnote w:id="26">
    <w:p w14:paraId="3F22094A" w14:textId="77777777" w:rsidR="00DF2F24" w:rsidRDefault="00DF2F24" w:rsidP="00DF2F24">
      <w:pPr>
        <w:pStyle w:val="FootnoteText"/>
      </w:pPr>
      <w:r>
        <w:rPr>
          <w:rStyle w:val="FootnoteReference"/>
        </w:rPr>
        <w:footnoteRef/>
      </w:r>
      <w:r>
        <w:t xml:space="preserve"> </w:t>
      </w:r>
      <w:r>
        <w:rPr>
          <w:i/>
          <w:iCs/>
        </w:rPr>
        <w:t xml:space="preserve">Kleinwort Benson v Lincoln City Council </w:t>
      </w:r>
      <w:r>
        <w:t>[1999] 2 AC 249, 378 (Lord Goff)</w:t>
      </w:r>
    </w:p>
  </w:footnote>
  <w:footnote w:id="27">
    <w:p w14:paraId="17CB4276" w14:textId="43C3B2CB" w:rsidR="00DF2F24" w:rsidRDefault="00DF2F24" w:rsidP="00DF2F24">
      <w:pPr>
        <w:pStyle w:val="FootnoteText"/>
      </w:pPr>
      <w:r>
        <w:rPr>
          <w:rStyle w:val="FootnoteReference"/>
        </w:rPr>
        <w:footnoteRef/>
      </w:r>
      <w:r>
        <w:t xml:space="preserve"> </w:t>
      </w:r>
      <w:r w:rsidRPr="00A206DB">
        <w:rPr>
          <w:i/>
          <w:iCs/>
        </w:rPr>
        <w:t>Southern Pacific Co v Jenson</w:t>
      </w:r>
      <w:r w:rsidRPr="00A206DB">
        <w:t xml:space="preserve"> (1917) 244 US 205, 221</w:t>
      </w:r>
      <w:r>
        <w:t xml:space="preserve"> (</w:t>
      </w:r>
      <w:r w:rsidRPr="004E7476">
        <w:t>Holmes J</w:t>
      </w:r>
      <w:r>
        <w:t>)</w:t>
      </w:r>
    </w:p>
  </w:footnote>
  <w:footnote w:id="28">
    <w:p w14:paraId="6BC175E4" w14:textId="77777777" w:rsidR="00DF2F24" w:rsidRDefault="00DF2F24" w:rsidP="00DF2F24">
      <w:pPr>
        <w:pStyle w:val="FootnoteText"/>
      </w:pPr>
      <w:r>
        <w:rPr>
          <w:rStyle w:val="FootnoteReference"/>
        </w:rPr>
        <w:footnoteRef/>
      </w:r>
      <w:r>
        <w:t xml:space="preserve"> </w:t>
      </w:r>
      <w:r w:rsidRPr="00E810D2">
        <w:t xml:space="preserve">Lord Walker </w:t>
      </w:r>
      <w:r w:rsidRPr="00332C1D">
        <w:rPr>
          <w:i/>
          <w:iCs/>
        </w:rPr>
        <w:t>Developing the Common Law: How far is too far?</w:t>
      </w:r>
      <w:r w:rsidRPr="00332C1D">
        <w:t xml:space="preserve"> </w:t>
      </w:r>
      <w:r>
        <w:t>(</w:t>
      </w:r>
      <w:r w:rsidRPr="00332C1D">
        <w:t>September 2012</w:t>
      </w:r>
      <w:r>
        <w:t xml:space="preserve">), </w:t>
      </w:r>
      <w:r w:rsidRPr="00AD04E8">
        <w:t>30</w:t>
      </w:r>
      <w:r>
        <w:t>. Available at: &lt;</w:t>
      </w:r>
      <w:hyperlink r:id="rId2" w:history="1">
        <w:r w:rsidRPr="00DC4B3A">
          <w:rPr>
            <w:rStyle w:val="Hyperlink"/>
          </w:rPr>
          <w:t>https://www.supremecourt.uk/docs/speech-120901.pdf</w:t>
        </w:r>
      </w:hyperlink>
      <w:r>
        <w:t>&gt; (Accessed: 16 April 2020)</w:t>
      </w:r>
    </w:p>
  </w:footnote>
  <w:footnote w:id="29">
    <w:p w14:paraId="77D4A18A" w14:textId="77777777" w:rsidR="00DF2F24" w:rsidRDefault="00DF2F24" w:rsidP="00DF2F24">
      <w:pPr>
        <w:pStyle w:val="FootnoteText"/>
      </w:pPr>
      <w:r>
        <w:rPr>
          <w:rStyle w:val="FootnoteReference"/>
        </w:rPr>
        <w:footnoteRef/>
      </w:r>
      <w:r>
        <w:t xml:space="preserve"> </w:t>
      </w:r>
      <w:r w:rsidRPr="00B34298">
        <w:t xml:space="preserve">Lord Hodge </w:t>
      </w:r>
      <w:r w:rsidRPr="00B34298">
        <w:rPr>
          <w:i/>
          <w:iCs/>
        </w:rPr>
        <w:t>Technology and the Law</w:t>
      </w:r>
      <w:r w:rsidRPr="00B34298">
        <w:t xml:space="preserve"> </w:t>
      </w:r>
      <w:r>
        <w:t>(12 March 2020), 16. Available at:  &lt;</w:t>
      </w:r>
      <w:hyperlink r:id="rId3" w:history="1">
        <w:r w:rsidRPr="00DC4B3A">
          <w:rPr>
            <w:rStyle w:val="Hyperlink"/>
          </w:rPr>
          <w:t>https://www.supremecourt.uk/docs/speech-200310.pdf</w:t>
        </w:r>
      </w:hyperlink>
      <w:r>
        <w:t>&gt;</w:t>
      </w:r>
      <w:r w:rsidRPr="00B34298">
        <w:t xml:space="preserve"> </w:t>
      </w:r>
      <w:r>
        <w:t>(Accessed: 16 April 2020)</w:t>
      </w:r>
    </w:p>
  </w:footnote>
  <w:footnote w:id="30">
    <w:p w14:paraId="610FC453" w14:textId="77777777" w:rsidR="00760AF1" w:rsidRDefault="00760AF1" w:rsidP="00760AF1">
      <w:pPr>
        <w:pStyle w:val="FootnoteText"/>
      </w:pPr>
      <w:r>
        <w:rPr>
          <w:rStyle w:val="FootnoteReference"/>
        </w:rPr>
        <w:footnoteRef/>
      </w:r>
      <w:r>
        <w:t xml:space="preserve"> Regulation (EU) No 910/2014 (repealing Directive 1999/93/EC),</w:t>
      </w:r>
      <w:r w:rsidRPr="00760AF1">
        <w:t xml:space="preserve"> </w:t>
      </w:r>
      <w:r>
        <w:t>Article 25(1)</w:t>
      </w:r>
    </w:p>
  </w:footnote>
  <w:footnote w:id="31">
    <w:p w14:paraId="15838C40" w14:textId="37C054C5" w:rsidR="00157752" w:rsidRDefault="00157752">
      <w:pPr>
        <w:pStyle w:val="FootnoteText"/>
      </w:pPr>
      <w:r>
        <w:rPr>
          <w:rStyle w:val="FootnoteReference"/>
        </w:rPr>
        <w:footnoteRef/>
      </w:r>
      <w:r>
        <w:t xml:space="preserve"> Interpretation Act 1978 </w:t>
      </w:r>
      <w:r w:rsidR="00687217">
        <w:t>S</w:t>
      </w:r>
      <w:r>
        <w:t>chedule 1</w:t>
      </w:r>
    </w:p>
  </w:footnote>
  <w:footnote w:id="32">
    <w:p w14:paraId="1B08EEA8" w14:textId="77777777" w:rsidR="00A46552" w:rsidRPr="00E62185" w:rsidRDefault="00A46552" w:rsidP="00A46552">
      <w:pPr>
        <w:pStyle w:val="FootnoteText"/>
      </w:pPr>
      <w:r>
        <w:rPr>
          <w:rStyle w:val="FootnoteReference"/>
        </w:rPr>
        <w:footnoteRef/>
      </w:r>
      <w:r>
        <w:t xml:space="preserve"> </w:t>
      </w:r>
      <w:r w:rsidRPr="00FA5B33">
        <w:rPr>
          <w:i/>
          <w:iCs/>
        </w:rPr>
        <w:t>Orton v Collins</w:t>
      </w:r>
      <w:r w:rsidRPr="00FA5B33">
        <w:t xml:space="preserve"> [2007] 1 WLR 2953</w:t>
      </w:r>
      <w:r>
        <w:t xml:space="preserve">; </w:t>
      </w:r>
      <w:r w:rsidRPr="0031105B">
        <w:rPr>
          <w:i/>
        </w:rPr>
        <w:t>Nicholas Prestige Homes v Neal</w:t>
      </w:r>
      <w:r>
        <w:rPr>
          <w:i/>
        </w:rPr>
        <w:t xml:space="preserve"> </w:t>
      </w:r>
      <w:r w:rsidRPr="0031105B">
        <w:t xml:space="preserve">[2010] EWCA </w:t>
      </w:r>
      <w:proofErr w:type="spellStart"/>
      <w:r w:rsidRPr="0031105B">
        <w:t>Civ</w:t>
      </w:r>
      <w:proofErr w:type="spellEnd"/>
      <w:r w:rsidRPr="0031105B">
        <w:t xml:space="preserve"> 1552</w:t>
      </w:r>
      <w:r>
        <w:t>;</w:t>
      </w:r>
      <w:r w:rsidRPr="00FA5B33">
        <w:t xml:space="preserve"> </w:t>
      </w:r>
      <w:r w:rsidRPr="00FA5B33">
        <w:rPr>
          <w:i/>
          <w:iCs/>
        </w:rPr>
        <w:t xml:space="preserve">Lindsay v </w:t>
      </w:r>
      <w:proofErr w:type="spellStart"/>
      <w:r w:rsidRPr="00FA5B33">
        <w:rPr>
          <w:i/>
          <w:iCs/>
        </w:rPr>
        <w:t>O’Loughnne</w:t>
      </w:r>
      <w:proofErr w:type="spellEnd"/>
      <w:r w:rsidRPr="00FA5B33">
        <w:t xml:space="preserve"> [2010] EWHC 529 (QB)</w:t>
      </w:r>
      <w:r>
        <w:t xml:space="preserve">; </w:t>
      </w:r>
      <w:r w:rsidRPr="00E62185">
        <w:rPr>
          <w:i/>
        </w:rPr>
        <w:t>Immingham Storage Company Limited v Clear Plc</w:t>
      </w:r>
      <w:r>
        <w:rPr>
          <w:i/>
        </w:rPr>
        <w:t xml:space="preserve"> </w:t>
      </w:r>
      <w:r w:rsidRPr="00E62185">
        <w:t xml:space="preserve">[2011] EWCA </w:t>
      </w:r>
      <w:proofErr w:type="spellStart"/>
      <w:r w:rsidRPr="00E62185">
        <w:t>Civ</w:t>
      </w:r>
      <w:proofErr w:type="spellEnd"/>
      <w:r w:rsidRPr="00E62185">
        <w:t xml:space="preserve"> 89</w:t>
      </w:r>
      <w:r>
        <w:t xml:space="preserve">; </w:t>
      </w:r>
      <w:r>
        <w:rPr>
          <w:i/>
          <w:iCs/>
        </w:rPr>
        <w:t xml:space="preserve">Re Stealth Construction Ltd </w:t>
      </w:r>
      <w:r>
        <w:t xml:space="preserve">[2012] 1 BCLC 297; </w:t>
      </w:r>
      <w:r w:rsidRPr="00FA5B33">
        <w:rPr>
          <w:i/>
          <w:iCs/>
        </w:rPr>
        <w:t xml:space="preserve">Golden Ocean Group Ltd v </w:t>
      </w:r>
      <w:proofErr w:type="spellStart"/>
      <w:r w:rsidRPr="00FA5B33">
        <w:rPr>
          <w:i/>
          <w:iCs/>
        </w:rPr>
        <w:t>Salgaocar</w:t>
      </w:r>
      <w:proofErr w:type="spellEnd"/>
      <w:r w:rsidRPr="00FA5B33">
        <w:rPr>
          <w:i/>
          <w:iCs/>
        </w:rPr>
        <w:t xml:space="preserve"> Mining Industries PVT Ltd</w:t>
      </w:r>
      <w:r w:rsidRPr="00FA5B33">
        <w:t xml:space="preserve"> [2012] EWCA </w:t>
      </w:r>
      <w:proofErr w:type="spellStart"/>
      <w:r w:rsidRPr="00FA5B33">
        <w:t>Civ</w:t>
      </w:r>
      <w:proofErr w:type="spellEnd"/>
      <w:r w:rsidRPr="00FA5B33">
        <w:t xml:space="preserve"> 265</w:t>
      </w:r>
      <w:r>
        <w:t xml:space="preserve">; </w:t>
      </w:r>
      <w:r w:rsidRPr="00A7793B">
        <w:rPr>
          <w:i/>
          <w:iCs/>
        </w:rPr>
        <w:t>Athena Brands Ltd v Superdrug Stores plc</w:t>
      </w:r>
      <w:r>
        <w:t xml:space="preserve"> [2019] EWHC 3503 (Comm)</w:t>
      </w:r>
    </w:p>
  </w:footnote>
  <w:footnote w:id="33">
    <w:p w14:paraId="655BDEE5" w14:textId="638E615D" w:rsidR="001D6235" w:rsidRDefault="001D6235">
      <w:pPr>
        <w:pStyle w:val="FootnoteText"/>
      </w:pPr>
      <w:r>
        <w:rPr>
          <w:rStyle w:val="FootnoteReference"/>
        </w:rPr>
        <w:footnoteRef/>
      </w:r>
      <w:r>
        <w:t xml:space="preserve"> Electronic Communications Act 2000 s</w:t>
      </w:r>
      <w:r w:rsidR="004E19F2">
        <w:t>ection</w:t>
      </w:r>
      <w:r>
        <w:t xml:space="preserve"> 7</w:t>
      </w:r>
    </w:p>
  </w:footnote>
  <w:footnote w:id="34">
    <w:p w14:paraId="757545CF" w14:textId="5C0B6D9A" w:rsidR="002C5454" w:rsidRDefault="002C5454">
      <w:pPr>
        <w:pStyle w:val="FootnoteText"/>
      </w:pPr>
      <w:r>
        <w:rPr>
          <w:rStyle w:val="FootnoteReference"/>
        </w:rPr>
        <w:footnoteRef/>
      </w:r>
      <w:r>
        <w:t xml:space="preserve"> </w:t>
      </w:r>
      <w:r w:rsidR="000760E7">
        <w:rPr>
          <w:i/>
          <w:iCs/>
        </w:rPr>
        <w:t xml:space="preserve">Electronic Execution of Documents </w:t>
      </w:r>
      <w:r w:rsidR="000760E7">
        <w:t xml:space="preserve">(n </w:t>
      </w:r>
      <w:r w:rsidR="003A5D54">
        <w:t>24</w:t>
      </w:r>
      <w:r w:rsidR="000760E7">
        <w:t>)</w:t>
      </w:r>
      <w:r>
        <w:t xml:space="preserve">, </w:t>
      </w:r>
      <w:r w:rsidRPr="002C5454">
        <w:t>[4.33]</w:t>
      </w:r>
    </w:p>
  </w:footnote>
  <w:footnote w:id="35">
    <w:p w14:paraId="3C019FC3" w14:textId="77777777" w:rsidR="002E7045" w:rsidRPr="008E134C" w:rsidRDefault="002E7045" w:rsidP="002E7045">
      <w:pPr>
        <w:pStyle w:val="FootnoteText"/>
      </w:pPr>
      <w:r>
        <w:rPr>
          <w:rStyle w:val="FootnoteReference"/>
        </w:rPr>
        <w:footnoteRef/>
      </w:r>
      <w:r>
        <w:t xml:space="preserve"> AJ Oakley </w:t>
      </w:r>
      <w:r>
        <w:rPr>
          <w:i/>
        </w:rPr>
        <w:t>The Signature of Contracts for the Sale of Land</w:t>
      </w:r>
      <w:r>
        <w:t xml:space="preserve"> (1996) CLJ 192, 194</w:t>
      </w:r>
    </w:p>
  </w:footnote>
  <w:footnote w:id="36">
    <w:p w14:paraId="2F040FCF" w14:textId="08C881EF" w:rsidR="00524FD4" w:rsidRDefault="00524FD4">
      <w:pPr>
        <w:pStyle w:val="FootnoteText"/>
      </w:pPr>
      <w:r>
        <w:rPr>
          <w:rStyle w:val="FootnoteReference"/>
        </w:rPr>
        <w:footnoteRef/>
      </w:r>
      <w:r>
        <w:t xml:space="preserve"> </w:t>
      </w:r>
      <w:r w:rsidR="001D1CA0">
        <w:rPr>
          <w:i/>
          <w:iCs/>
        </w:rPr>
        <w:t xml:space="preserve">Electronic Execution of Documents </w:t>
      </w:r>
      <w:r w:rsidR="001D1CA0">
        <w:t xml:space="preserve">(n </w:t>
      </w:r>
      <w:r w:rsidR="003A5D54">
        <w:t>24</w:t>
      </w:r>
      <w:r w:rsidR="001D1CA0">
        <w:t>)</w:t>
      </w:r>
      <w:r>
        <w:t>, [2.20]</w:t>
      </w:r>
    </w:p>
  </w:footnote>
  <w:footnote w:id="37">
    <w:p w14:paraId="41086E2A" w14:textId="77777777" w:rsidR="000D0EE8" w:rsidRDefault="000D0EE8" w:rsidP="000D0EE8">
      <w:pPr>
        <w:pStyle w:val="FootnoteText"/>
      </w:pPr>
      <w:r>
        <w:rPr>
          <w:rStyle w:val="FootnoteReference"/>
        </w:rPr>
        <w:footnoteRef/>
      </w:r>
      <w:r>
        <w:t xml:space="preserve"> </w:t>
      </w:r>
      <w:r w:rsidRPr="00430313">
        <w:t>Lord Sales</w:t>
      </w:r>
      <w:r>
        <w:t xml:space="preserve"> </w:t>
      </w:r>
      <w:r w:rsidRPr="000F482A">
        <w:rPr>
          <w:i/>
          <w:iCs/>
        </w:rPr>
        <w:t>The Interface between Contract and Equity</w:t>
      </w:r>
      <w:r w:rsidRPr="000F482A">
        <w:rPr>
          <w:b/>
          <w:bCs/>
        </w:rPr>
        <w:t xml:space="preserve"> </w:t>
      </w:r>
      <w:r>
        <w:t>(</w:t>
      </w:r>
      <w:r w:rsidRPr="008B1E36">
        <w:t>August 2019</w:t>
      </w:r>
      <w:r>
        <w:t>), 5.</w:t>
      </w:r>
      <w:r w:rsidRPr="008B1E36">
        <w:t xml:space="preserve"> </w:t>
      </w:r>
      <w:r>
        <w:t>Available at: &lt;</w:t>
      </w:r>
      <w:hyperlink r:id="rId4" w:history="1">
        <w:r w:rsidRPr="00DC4B3A">
          <w:rPr>
            <w:rStyle w:val="Hyperlink"/>
          </w:rPr>
          <w:t>https://www.supremecourt.uk/docs/speech-190828.pdf</w:t>
        </w:r>
      </w:hyperlink>
      <w:r>
        <w:t>&gt; (Accessed: 16 April 2020)</w:t>
      </w:r>
    </w:p>
  </w:footnote>
  <w:footnote w:id="38">
    <w:p w14:paraId="7B77212A" w14:textId="77777777" w:rsidR="007F1A16" w:rsidRDefault="007F1A16" w:rsidP="007F1A16">
      <w:pPr>
        <w:pStyle w:val="FootnoteText"/>
      </w:pPr>
      <w:r>
        <w:rPr>
          <w:rStyle w:val="FootnoteReference"/>
        </w:rPr>
        <w:footnoteRef/>
      </w:r>
      <w:r>
        <w:t xml:space="preserve"> </w:t>
      </w:r>
      <w:r w:rsidRPr="007F1A16">
        <w:rPr>
          <w:i/>
          <w:iCs/>
        </w:rPr>
        <w:t>Re Nichol; Nichol v Nichol</w:t>
      </w:r>
      <w:r w:rsidRPr="007F1A16">
        <w:t xml:space="preserve"> </w:t>
      </w:r>
      <w:r w:rsidRPr="00F80C1F">
        <w:t>[2017] QSC 220</w:t>
      </w:r>
      <w:r>
        <w:t xml:space="preserve">, </w:t>
      </w:r>
      <w:r w:rsidRPr="00F80C1F">
        <w:t>[41]-[59]; [61]-[67] (Brown J)</w:t>
      </w:r>
    </w:p>
  </w:footnote>
  <w:footnote w:id="39">
    <w:p w14:paraId="43C8CFED" w14:textId="77777777" w:rsidR="00355912" w:rsidRDefault="00355912" w:rsidP="00355912">
      <w:pPr>
        <w:pStyle w:val="FootnoteText"/>
      </w:pPr>
      <w:r>
        <w:rPr>
          <w:rStyle w:val="FootnoteReference"/>
        </w:rPr>
        <w:footnoteRef/>
      </w:r>
      <w:r>
        <w:t xml:space="preserve"> J </w:t>
      </w:r>
      <w:proofErr w:type="spellStart"/>
      <w:r>
        <w:t>Pownall</w:t>
      </w:r>
      <w:proofErr w:type="spellEnd"/>
      <w:r>
        <w:t xml:space="preserve"> and R Hill </w:t>
      </w:r>
      <w:proofErr w:type="gramStart"/>
      <w:r w:rsidRPr="004E4807">
        <w:rPr>
          <w:i/>
          <w:iCs/>
        </w:rPr>
        <w:t>The</w:t>
      </w:r>
      <w:proofErr w:type="gramEnd"/>
      <w:r w:rsidRPr="004E4807">
        <w:rPr>
          <w:i/>
          <w:iCs/>
        </w:rPr>
        <w:t xml:space="preserve"> Land Registry’s Perspective: The Practical Challenges of Land Registration</w:t>
      </w:r>
      <w:r>
        <w:t xml:space="preserve"> in A </w:t>
      </w:r>
      <w:proofErr w:type="spellStart"/>
      <w:r>
        <w:t>Goymour</w:t>
      </w:r>
      <w:proofErr w:type="spellEnd"/>
      <w:r>
        <w:t xml:space="preserve">, S Watterson and M Dixon (eds) </w:t>
      </w:r>
      <w:r w:rsidRPr="004E4807">
        <w:rPr>
          <w:i/>
          <w:iCs/>
        </w:rPr>
        <w:t>New Perspectives on Land Registration: Contemporary Problems and Solutions</w:t>
      </w:r>
      <w:r>
        <w:t xml:space="preserve"> (Hart 2018) 7, 12</w:t>
      </w:r>
    </w:p>
  </w:footnote>
  <w:footnote w:id="40">
    <w:p w14:paraId="24403548" w14:textId="10839D56" w:rsidR="00FF5E67" w:rsidRDefault="00FF5E67">
      <w:pPr>
        <w:pStyle w:val="FootnoteText"/>
      </w:pPr>
      <w:r>
        <w:rPr>
          <w:rStyle w:val="FootnoteReference"/>
        </w:rPr>
        <w:footnoteRef/>
      </w:r>
      <w:r>
        <w:t xml:space="preserve"> </w:t>
      </w:r>
      <w:r w:rsidR="00F52583">
        <w:t>ibid</w:t>
      </w:r>
      <w:r w:rsidR="00326D33">
        <w:t>. S</w:t>
      </w:r>
      <w:r w:rsidR="002C1172">
        <w:t xml:space="preserve">ee </w:t>
      </w:r>
      <w:r w:rsidR="006A2862">
        <w:t xml:space="preserve">e.g. </w:t>
      </w:r>
      <w:r w:rsidR="006A2862" w:rsidRPr="006A2862">
        <w:rPr>
          <w:i/>
          <w:iCs/>
        </w:rPr>
        <w:t>Swift 1st Ltd v Chief Land Registrar</w:t>
      </w:r>
      <w:r w:rsidR="006A2862" w:rsidRPr="006A2862">
        <w:t xml:space="preserve"> </w:t>
      </w:r>
      <w:r w:rsidR="006D2E91" w:rsidRPr="006A2862">
        <w:t xml:space="preserve">[2015] EWCA </w:t>
      </w:r>
      <w:proofErr w:type="spellStart"/>
      <w:r w:rsidR="006D2E91" w:rsidRPr="006A2862">
        <w:t>Civ</w:t>
      </w:r>
      <w:proofErr w:type="spellEnd"/>
      <w:r w:rsidR="006D2E91" w:rsidRPr="006A2862">
        <w:t xml:space="preserve"> 330</w:t>
      </w:r>
      <w:r w:rsidR="006A2862">
        <w:t xml:space="preserve">, </w:t>
      </w:r>
      <w:r w:rsidR="00684D33">
        <w:t>and</w:t>
      </w:r>
      <w:r w:rsidR="002C1172">
        <w:t xml:space="preserve"> safeguards provided at</w:t>
      </w:r>
      <w:r>
        <w:t xml:space="preserve"> Land Registration Act 2002 </w:t>
      </w:r>
      <w:r w:rsidR="00183BA2">
        <w:t>Part 4</w:t>
      </w:r>
      <w:r w:rsidR="00814572">
        <w:t>,</w:t>
      </w:r>
      <w:r w:rsidR="00183BA2">
        <w:t xml:space="preserve"> and </w:t>
      </w:r>
      <w:r>
        <w:t>Schedule</w:t>
      </w:r>
      <w:r w:rsidR="00814572">
        <w:t>s 4 and</w:t>
      </w:r>
      <w:r>
        <w:t xml:space="preserve"> 8</w:t>
      </w:r>
    </w:p>
  </w:footnote>
  <w:footnote w:id="41">
    <w:p w14:paraId="4288430A" w14:textId="5F3917F4" w:rsidR="0005754E" w:rsidRDefault="0005754E">
      <w:pPr>
        <w:pStyle w:val="FootnoteText"/>
      </w:pPr>
      <w:r>
        <w:rPr>
          <w:rStyle w:val="FootnoteReference"/>
        </w:rPr>
        <w:footnoteRef/>
      </w:r>
      <w:r>
        <w:t xml:space="preserve"> </w:t>
      </w:r>
      <w:r w:rsidRPr="00B46136">
        <w:t>Regulation (EU) No 910/2014</w:t>
      </w:r>
      <w:r w:rsidR="00716000">
        <w:t xml:space="preserve">, </w:t>
      </w:r>
      <w:r>
        <w:t>Art</w:t>
      </w:r>
      <w:r w:rsidR="00716000">
        <w:t>icle 26</w:t>
      </w:r>
    </w:p>
  </w:footnote>
  <w:footnote w:id="42">
    <w:p w14:paraId="22596F2D" w14:textId="30933AF6" w:rsidR="0099248C" w:rsidRDefault="0099248C">
      <w:pPr>
        <w:pStyle w:val="FootnoteText"/>
      </w:pPr>
      <w:r>
        <w:rPr>
          <w:rStyle w:val="FootnoteReference"/>
        </w:rPr>
        <w:footnoteRef/>
      </w:r>
      <w:r>
        <w:t xml:space="preserve"> </w:t>
      </w:r>
      <w:r w:rsidRPr="0099248C">
        <w:t>Land Registration (Electronic Conveyancing) Rules 2008</w:t>
      </w:r>
      <w:r w:rsidR="004C2151" w:rsidRPr="004C2151">
        <w:t xml:space="preserve"> </w:t>
      </w:r>
      <w:r w:rsidR="004C2151">
        <w:t xml:space="preserve">SI </w:t>
      </w:r>
      <w:r w:rsidR="004C2151" w:rsidRPr="004C2151">
        <w:t>2008</w:t>
      </w:r>
      <w:r w:rsidR="004C2151">
        <w:t>/</w:t>
      </w:r>
      <w:r w:rsidR="004C2151" w:rsidRPr="004C2151">
        <w:t>1750</w:t>
      </w:r>
    </w:p>
  </w:footnote>
  <w:footnote w:id="43">
    <w:p w14:paraId="0C477219" w14:textId="4E4148C5" w:rsidR="00E0234C" w:rsidRPr="00523F97" w:rsidRDefault="00E0234C">
      <w:pPr>
        <w:pStyle w:val="FootnoteText"/>
      </w:pPr>
      <w:r>
        <w:rPr>
          <w:rStyle w:val="FootnoteReference"/>
        </w:rPr>
        <w:footnoteRef/>
      </w:r>
      <w:r>
        <w:t xml:space="preserve"> </w:t>
      </w:r>
      <w:r w:rsidR="00523F97">
        <w:rPr>
          <w:i/>
          <w:iCs/>
        </w:rPr>
        <w:t xml:space="preserve">Technology in Property </w:t>
      </w:r>
      <w:r w:rsidR="00523F97">
        <w:t xml:space="preserve">(n 24), </w:t>
      </w:r>
      <w:r w:rsidR="004B3E1F">
        <w:t>14</w:t>
      </w:r>
    </w:p>
  </w:footnote>
  <w:footnote w:id="44">
    <w:p w14:paraId="35BFABC3" w14:textId="77777777" w:rsidR="006F2DC4" w:rsidRDefault="006F2DC4" w:rsidP="006F2DC4">
      <w:pPr>
        <w:pStyle w:val="FootnoteText"/>
      </w:pPr>
      <w:r>
        <w:rPr>
          <w:rStyle w:val="FootnoteReference"/>
        </w:rPr>
        <w:footnoteRef/>
      </w:r>
      <w:r>
        <w:t xml:space="preserve"> C Clack, V </w:t>
      </w:r>
      <w:proofErr w:type="spellStart"/>
      <w:r>
        <w:t>Bakshi</w:t>
      </w:r>
      <w:proofErr w:type="spellEnd"/>
      <w:r>
        <w:t xml:space="preserve">, &amp; L Braine </w:t>
      </w:r>
      <w:r w:rsidRPr="00C13A65">
        <w:rPr>
          <w:i/>
          <w:iCs/>
        </w:rPr>
        <w:t>Smart Contract Templates: Foundations, Design Landscape and Research Directions</w:t>
      </w:r>
      <w:r>
        <w:t xml:space="preserve"> (rev. 2017) &lt;</w:t>
      </w:r>
      <w:hyperlink r:id="rId5" w:history="1">
        <w:r w:rsidRPr="004F4B4C">
          <w:rPr>
            <w:rStyle w:val="Hyperlink"/>
          </w:rPr>
          <w:t>https://arxiv.org/pdf/1608.00771v3.pdf</w:t>
        </w:r>
      </w:hyperlink>
      <w:r>
        <w:t>&gt; (Accessed: 23 April 2020)</w:t>
      </w:r>
    </w:p>
  </w:footnote>
  <w:footnote w:id="45">
    <w:p w14:paraId="4DF3F3A5" w14:textId="087C9DE2" w:rsidR="006B6E5E" w:rsidRDefault="006B6E5E">
      <w:pPr>
        <w:pStyle w:val="FootnoteText"/>
      </w:pPr>
      <w:r>
        <w:rPr>
          <w:rStyle w:val="FootnoteReference"/>
        </w:rPr>
        <w:footnoteRef/>
      </w:r>
      <w:r>
        <w:t xml:space="preserve"> HM Land Registry</w:t>
      </w:r>
      <w:r w:rsidR="00CD1463">
        <w:t xml:space="preserve"> has</w:t>
      </w:r>
      <w:r>
        <w:t xml:space="preserve"> temporar</w:t>
      </w:r>
      <w:r w:rsidR="00CD1463">
        <w:t>il</w:t>
      </w:r>
      <w:r>
        <w:t xml:space="preserve">y </w:t>
      </w:r>
      <w:r w:rsidR="00CD1463">
        <w:t>relaxed</w:t>
      </w:r>
      <w:r>
        <w:t xml:space="preserve"> rules for virtual witnessing of deeds: </w:t>
      </w:r>
      <w:r w:rsidRPr="0069711D">
        <w:rPr>
          <w:i/>
          <w:iCs/>
        </w:rPr>
        <w:t xml:space="preserve">Practice guide 67A: </w:t>
      </w:r>
      <w:r>
        <w:rPr>
          <w:i/>
          <w:iCs/>
        </w:rPr>
        <w:t>T</w:t>
      </w:r>
      <w:r w:rsidRPr="0069711D">
        <w:rPr>
          <w:i/>
          <w:iCs/>
        </w:rPr>
        <w:t xml:space="preserve">emporary </w:t>
      </w:r>
      <w:r>
        <w:rPr>
          <w:i/>
          <w:iCs/>
        </w:rPr>
        <w:t>C</w:t>
      </w:r>
      <w:r w:rsidRPr="0069711D">
        <w:rPr>
          <w:i/>
          <w:iCs/>
        </w:rPr>
        <w:t xml:space="preserve">hanges to HM Land Registry’s </w:t>
      </w:r>
      <w:r>
        <w:rPr>
          <w:i/>
          <w:iCs/>
        </w:rPr>
        <w:t>E</w:t>
      </w:r>
      <w:r w:rsidRPr="0069711D">
        <w:rPr>
          <w:i/>
          <w:iCs/>
        </w:rPr>
        <w:t xml:space="preserve">vidence of </w:t>
      </w:r>
      <w:r>
        <w:rPr>
          <w:i/>
          <w:iCs/>
        </w:rPr>
        <w:t>I</w:t>
      </w:r>
      <w:r w:rsidRPr="0069711D">
        <w:rPr>
          <w:i/>
          <w:iCs/>
        </w:rPr>
        <w:t xml:space="preserve">dentity </w:t>
      </w:r>
      <w:r>
        <w:rPr>
          <w:i/>
          <w:iCs/>
        </w:rPr>
        <w:t>R</w:t>
      </w:r>
      <w:r w:rsidRPr="0069711D">
        <w:rPr>
          <w:i/>
          <w:iCs/>
        </w:rPr>
        <w:t>equirement</w:t>
      </w:r>
      <w:r w:rsidRPr="00294EEF">
        <w:rPr>
          <w:i/>
          <w:iCs/>
        </w:rPr>
        <w:t>s</w:t>
      </w:r>
      <w:r w:rsidRPr="00294EEF">
        <w:t xml:space="preserve"> (4</w:t>
      </w:r>
      <w:r>
        <w:rPr>
          <w:vertAlign w:val="superscript"/>
        </w:rPr>
        <w:t xml:space="preserve"> </w:t>
      </w:r>
      <w:r w:rsidRPr="00294EEF">
        <w:t>May 2020)</w:t>
      </w:r>
    </w:p>
  </w:footnote>
  <w:footnote w:id="46">
    <w:p w14:paraId="63E387D1" w14:textId="77777777" w:rsidR="00C32284" w:rsidRPr="00201AB0" w:rsidRDefault="00C32284" w:rsidP="00C32284">
      <w:pPr>
        <w:pStyle w:val="NoSpacing"/>
        <w:rPr>
          <w:sz w:val="20"/>
        </w:rPr>
      </w:pPr>
      <w:r>
        <w:rPr>
          <w:rStyle w:val="FootnoteReference"/>
        </w:rPr>
        <w:footnoteRef/>
      </w:r>
      <w:r>
        <w:t xml:space="preserve"> </w:t>
      </w:r>
      <w:r w:rsidRPr="00080D85">
        <w:rPr>
          <w:i/>
          <w:sz w:val="20"/>
        </w:rPr>
        <w:t>Government response to the Law Commission report Electronic Execution of Deeds</w:t>
      </w:r>
      <w:r>
        <w:rPr>
          <w:sz w:val="20"/>
        </w:rPr>
        <w:t xml:space="preserve"> </w:t>
      </w:r>
      <w:r w:rsidRPr="003A4E11">
        <w:rPr>
          <w:sz w:val="20"/>
        </w:rPr>
        <w:t>Statement UIN HCWS143</w:t>
      </w:r>
      <w:r>
        <w:rPr>
          <w:sz w:val="20"/>
        </w:rPr>
        <w:t xml:space="preserve"> (3 March 2020) &lt;</w:t>
      </w:r>
      <w:hyperlink r:id="rId6" w:history="1">
        <w:r w:rsidRPr="006239E0">
          <w:rPr>
            <w:rStyle w:val="Hyperlink"/>
            <w:sz w:val="20"/>
          </w:rPr>
          <w:t>https://questions-statements.parliament.uk/written-statements/detail/2020-03-03/HCWS143</w:t>
        </w:r>
      </w:hyperlink>
      <w:r>
        <w:rPr>
          <w:sz w:val="20"/>
        </w:rPr>
        <w:t>&gt; (Accessed: 17 November 2020)</w:t>
      </w:r>
    </w:p>
  </w:footnote>
  <w:footnote w:id="47">
    <w:p w14:paraId="14603BB7" w14:textId="2E9946AF" w:rsidR="00C25FD8" w:rsidRDefault="00C25FD8">
      <w:pPr>
        <w:pStyle w:val="FootnoteText"/>
      </w:pPr>
      <w:r>
        <w:rPr>
          <w:rStyle w:val="FootnoteReference"/>
        </w:rPr>
        <w:footnoteRef/>
      </w:r>
      <w:r>
        <w:t xml:space="preserve"> see </w:t>
      </w:r>
      <w:r>
        <w:rPr>
          <w:i/>
          <w:iCs/>
        </w:rPr>
        <w:t xml:space="preserve">Electronic Execution of Documents </w:t>
      </w:r>
      <w:r>
        <w:t>(</w:t>
      </w:r>
      <w:r w:rsidR="006B1834">
        <w:t>n 24</w:t>
      </w:r>
      <w:r>
        <w:t>), chapter 5</w:t>
      </w:r>
    </w:p>
  </w:footnote>
  <w:footnote w:id="48">
    <w:p w14:paraId="79B74C4D" w14:textId="41C5CAAE" w:rsidR="00553E2C" w:rsidRPr="00553E2C" w:rsidRDefault="00553E2C">
      <w:pPr>
        <w:pStyle w:val="FootnoteText"/>
      </w:pPr>
      <w:r>
        <w:rPr>
          <w:rStyle w:val="FootnoteReference"/>
        </w:rPr>
        <w:footnoteRef/>
      </w:r>
      <w:r w:rsidR="00C25FD8">
        <w:t xml:space="preserve"> ibid.</w:t>
      </w:r>
      <w:r>
        <w:t xml:space="preserve">, </w:t>
      </w:r>
      <w:r w:rsidR="00C25FD8">
        <w:t>c</w:t>
      </w:r>
      <w:r>
        <w:t xml:space="preserve">hapter 6 </w:t>
      </w:r>
      <w:r>
        <w:rPr>
          <w:i/>
        </w:rPr>
        <w:t>passim</w:t>
      </w:r>
    </w:p>
  </w:footnote>
  <w:footnote w:id="49">
    <w:p w14:paraId="107D31C9" w14:textId="77777777" w:rsidR="007E2FE5" w:rsidRDefault="007E2FE5">
      <w:pPr>
        <w:pStyle w:val="FootnoteText"/>
      </w:pPr>
      <w:r>
        <w:rPr>
          <w:rStyle w:val="FootnoteReference"/>
        </w:rPr>
        <w:footnoteRef/>
      </w:r>
      <w:r>
        <w:t xml:space="preserve"> </w:t>
      </w:r>
      <w:r w:rsidRPr="002C5454">
        <w:rPr>
          <w:i/>
          <w:iCs/>
        </w:rPr>
        <w:t xml:space="preserve">Von </w:t>
      </w:r>
      <w:proofErr w:type="spellStart"/>
      <w:r w:rsidRPr="002C5454">
        <w:rPr>
          <w:i/>
          <w:iCs/>
        </w:rPr>
        <w:t>Hatzfeldt-Wildenburg</w:t>
      </w:r>
      <w:proofErr w:type="spellEnd"/>
      <w:r w:rsidRPr="002C5454">
        <w:rPr>
          <w:i/>
          <w:iCs/>
        </w:rPr>
        <w:t xml:space="preserve"> v Alexander</w:t>
      </w:r>
      <w:r w:rsidRPr="007E2FE5">
        <w:rPr>
          <w:b/>
          <w:bCs/>
        </w:rPr>
        <w:t xml:space="preserve"> </w:t>
      </w:r>
      <w:r w:rsidRPr="007E2FE5">
        <w:t>[1912] 1 Ch 284</w:t>
      </w:r>
      <w:r w:rsidR="000A68E5">
        <w:t>, 289</w:t>
      </w:r>
      <w:r w:rsidR="000A68E5" w:rsidRPr="007E2FE5">
        <w:t xml:space="preserve"> (Parker J)</w:t>
      </w:r>
    </w:p>
  </w:footnote>
  <w:footnote w:id="50">
    <w:p w14:paraId="2DEB995A" w14:textId="2458F9AE" w:rsidR="003E3222" w:rsidRPr="00DA65B3" w:rsidRDefault="003E3222">
      <w:pPr>
        <w:pStyle w:val="FootnoteText"/>
      </w:pPr>
      <w:r>
        <w:rPr>
          <w:rStyle w:val="FootnoteReference"/>
        </w:rPr>
        <w:footnoteRef/>
      </w:r>
      <w:r w:rsidR="0027649E">
        <w:t xml:space="preserve"> See </w:t>
      </w:r>
      <w:r w:rsidR="0027649E" w:rsidRPr="0027649E">
        <w:rPr>
          <w:i/>
        </w:rPr>
        <w:t xml:space="preserve">Tiverton Estates Ltd v </w:t>
      </w:r>
      <w:proofErr w:type="spellStart"/>
      <w:r w:rsidR="0027649E" w:rsidRPr="0027649E">
        <w:rPr>
          <w:i/>
        </w:rPr>
        <w:t>Wearwell</w:t>
      </w:r>
      <w:proofErr w:type="spellEnd"/>
      <w:r w:rsidR="0027649E" w:rsidRPr="0027649E">
        <w:t xml:space="preserve"> [1975] Ch 146</w:t>
      </w:r>
      <w:r w:rsidR="0027649E">
        <w:t xml:space="preserve">, 159 (Lord Denning MR); </w:t>
      </w:r>
      <w:r w:rsidR="00850B27" w:rsidRPr="00850B27">
        <w:rPr>
          <w:i/>
        </w:rPr>
        <w:t>Secretary of State for Transport v Christos</w:t>
      </w:r>
      <w:r w:rsidR="00850B27" w:rsidRPr="00850B27">
        <w:t xml:space="preserve"> [2003] EWCA </w:t>
      </w:r>
      <w:proofErr w:type="spellStart"/>
      <w:r w:rsidR="00850B27" w:rsidRPr="00850B27">
        <w:t>Civ</w:t>
      </w:r>
      <w:proofErr w:type="spellEnd"/>
      <w:r w:rsidR="00850B27" w:rsidRPr="00850B27">
        <w:t xml:space="preserve"> 1073</w:t>
      </w:r>
      <w:r w:rsidR="00850B27">
        <w:t>, [34] (</w:t>
      </w:r>
      <w:r w:rsidR="00850B27" w:rsidRPr="00850B27">
        <w:t>Mummery LJ</w:t>
      </w:r>
      <w:r w:rsidR="00850B27">
        <w:t>)</w:t>
      </w:r>
      <w:r w:rsidR="00905944">
        <w:t xml:space="preserve">; </w:t>
      </w:r>
      <w:r w:rsidR="00905944" w:rsidRPr="00905944">
        <w:rPr>
          <w:i/>
        </w:rPr>
        <w:t>Generator Developments Ltd v Lidl UK GmbH</w:t>
      </w:r>
      <w:r w:rsidR="00905944" w:rsidRPr="00905944">
        <w:t xml:space="preserve"> [2018] EWCA </w:t>
      </w:r>
      <w:proofErr w:type="spellStart"/>
      <w:r w:rsidR="00905944" w:rsidRPr="00905944">
        <w:t>Civ</w:t>
      </w:r>
      <w:proofErr w:type="spellEnd"/>
      <w:r w:rsidR="00905944" w:rsidRPr="00905944">
        <w:t xml:space="preserve"> 396</w:t>
      </w:r>
      <w:r w:rsidR="009439F9">
        <w:t>, [79] (Lewison LJ). I</w:t>
      </w:r>
      <w:r w:rsidRPr="003E3222">
        <w:t xml:space="preserve">n any event the </w:t>
      </w:r>
      <w:r w:rsidR="007513DD" w:rsidRPr="003E3222">
        <w:t xml:space="preserve">exigibility </w:t>
      </w:r>
      <w:r w:rsidR="007513DD">
        <w:t xml:space="preserve">of the </w:t>
      </w:r>
      <w:r w:rsidRPr="003E3222">
        <w:t>right</w:t>
      </w:r>
      <w:r w:rsidR="00B36FDE">
        <w:t>(s)</w:t>
      </w:r>
      <w:r w:rsidRPr="003E3222">
        <w:t xml:space="preserve"> generated by the contract will need </w:t>
      </w:r>
      <w:r w:rsidR="00BF3452">
        <w:t>registration</w:t>
      </w:r>
      <w:r>
        <w:t xml:space="preserve">: </w:t>
      </w:r>
      <w:r w:rsidRPr="00B656FE">
        <w:t xml:space="preserve">Land Registration Act 2002 </w:t>
      </w:r>
      <w:r w:rsidRPr="00254EEE">
        <w:t>s</w:t>
      </w:r>
      <w:r w:rsidR="004E19F2">
        <w:t>ection</w:t>
      </w:r>
      <w:r w:rsidR="00054D0C">
        <w:t>s</w:t>
      </w:r>
      <w:r w:rsidR="001C13E7" w:rsidRPr="00254EEE">
        <w:t xml:space="preserve"> 4(1)</w:t>
      </w:r>
      <w:r w:rsidR="00254EEE" w:rsidRPr="00254EEE">
        <w:t xml:space="preserve">(a) and </w:t>
      </w:r>
      <w:r w:rsidR="00872B5D" w:rsidRPr="00254EEE">
        <w:t>6</w:t>
      </w:r>
      <w:r w:rsidR="00F45E11">
        <w:t>.</w:t>
      </w:r>
      <w:r w:rsidR="00EC1F5B">
        <w:t xml:space="preserve"> Although see</w:t>
      </w:r>
      <w:r w:rsidR="006C3987">
        <w:t xml:space="preserve"> </w:t>
      </w:r>
      <w:r w:rsidR="006C3987" w:rsidRPr="006C3987">
        <w:rPr>
          <w:i/>
        </w:rPr>
        <w:t xml:space="preserve">Joanne Properties Ltd v </w:t>
      </w:r>
      <w:proofErr w:type="spellStart"/>
      <w:r w:rsidR="006C3987" w:rsidRPr="006C3987">
        <w:rPr>
          <w:i/>
        </w:rPr>
        <w:t>Moneything</w:t>
      </w:r>
      <w:proofErr w:type="spellEnd"/>
      <w:r w:rsidR="006C3987" w:rsidRPr="006C3987">
        <w:rPr>
          <w:i/>
        </w:rPr>
        <w:t xml:space="preserve"> Capital Ltd</w:t>
      </w:r>
      <w:r w:rsidR="00EC1F5B">
        <w:t xml:space="preserve"> </w:t>
      </w:r>
      <w:r w:rsidR="00EC1F5B" w:rsidRPr="00EC1F5B">
        <w:t xml:space="preserve">[2020] EWCA </w:t>
      </w:r>
      <w:proofErr w:type="spellStart"/>
      <w:r w:rsidR="00EC1F5B" w:rsidRPr="00EC1F5B">
        <w:t>Civ</w:t>
      </w:r>
      <w:proofErr w:type="spellEnd"/>
      <w:r w:rsidR="00EC1F5B" w:rsidRPr="00EC1F5B">
        <w:t xml:space="preserve"> 1541</w:t>
      </w:r>
      <w:r w:rsidR="006C3987">
        <w:t xml:space="preserve"> for how</w:t>
      </w:r>
      <w:r w:rsidR="00E4635C">
        <w:t>,</w:t>
      </w:r>
      <w:r w:rsidR="006C3987">
        <w:t xml:space="preserve"> at first instance</w:t>
      </w:r>
      <w:r w:rsidR="00E4635C">
        <w:t xml:space="preserve">, </w:t>
      </w:r>
      <w:r w:rsidR="006C3987">
        <w:t xml:space="preserve">“subject to contract” may yet </w:t>
      </w:r>
      <w:r w:rsidR="00D10014">
        <w:t>give rise to a binding contract</w:t>
      </w:r>
      <w:r w:rsidR="00646880">
        <w:t xml:space="preserve"> in the form of a consent order</w:t>
      </w:r>
      <w:r w:rsidR="00D10014">
        <w:t xml:space="preserve"> (reversed on appeal).</w:t>
      </w:r>
    </w:p>
  </w:footnote>
  <w:footnote w:id="51">
    <w:p w14:paraId="4266E76A" w14:textId="77777777" w:rsidR="004D2DE2" w:rsidRPr="004D2DE2" w:rsidRDefault="004D2DE2">
      <w:pPr>
        <w:pStyle w:val="FootnoteText"/>
      </w:pPr>
      <w:r>
        <w:rPr>
          <w:rStyle w:val="FootnoteReference"/>
        </w:rPr>
        <w:footnoteRef/>
      </w:r>
      <w:r>
        <w:t xml:space="preserve"> </w:t>
      </w:r>
      <w:r w:rsidR="00707BE8">
        <w:t>cf</w:t>
      </w:r>
      <w:r>
        <w:t xml:space="preserve">. </w:t>
      </w:r>
      <w:r>
        <w:rPr>
          <w:i/>
          <w:iCs/>
        </w:rPr>
        <w:t>Green v Ireland</w:t>
      </w:r>
      <w:r>
        <w:t xml:space="preserve"> (n </w:t>
      </w:r>
      <w:r w:rsidR="00707BE8">
        <w:t>1</w:t>
      </w:r>
      <w:r w:rsidR="003B7CB1">
        <w:t>8</w:t>
      </w:r>
      <w:r>
        <w:t xml:space="preserve">), </w:t>
      </w:r>
      <w:r w:rsidR="00707BE8">
        <w:t>[48]</w:t>
      </w:r>
    </w:p>
  </w:footnote>
  <w:footnote w:id="52">
    <w:p w14:paraId="16D9BE99" w14:textId="77777777" w:rsidR="001309DE" w:rsidRPr="00136DA2" w:rsidRDefault="001309DE" w:rsidP="00136DA2">
      <w:pPr>
        <w:pStyle w:val="FootnoteText"/>
        <w:rPr>
          <w:i/>
          <w:iCs/>
        </w:rPr>
      </w:pPr>
      <w:r>
        <w:rPr>
          <w:rStyle w:val="FootnoteReference"/>
        </w:rPr>
        <w:footnoteRef/>
      </w:r>
      <w:r>
        <w:t xml:space="preserve"> C </w:t>
      </w:r>
      <w:proofErr w:type="spellStart"/>
      <w:r w:rsidRPr="00136DA2">
        <w:t>Harpum</w:t>
      </w:r>
      <w:proofErr w:type="spellEnd"/>
      <w:r w:rsidRPr="00136DA2">
        <w:t xml:space="preserve"> </w:t>
      </w:r>
      <w:r w:rsidRPr="00136DA2">
        <w:rPr>
          <w:i/>
          <w:iCs/>
        </w:rPr>
        <w:t>Property in an Electronic Age</w:t>
      </w:r>
      <w:r>
        <w:t xml:space="preserve"> in E Cooke (ed)</w:t>
      </w:r>
      <w:r w:rsidRPr="00136DA2">
        <w:t xml:space="preserve"> </w:t>
      </w:r>
      <w:r w:rsidRPr="00136DA2">
        <w:rPr>
          <w:i/>
          <w:iCs/>
        </w:rPr>
        <w:t>Modern Studies in Property Law Vol</w:t>
      </w:r>
      <w:r>
        <w:rPr>
          <w:i/>
          <w:iCs/>
        </w:rPr>
        <w:t>.</w:t>
      </w:r>
    </w:p>
    <w:p w14:paraId="3A71A75C" w14:textId="5498BBB7" w:rsidR="001309DE" w:rsidRDefault="001309DE" w:rsidP="00136DA2">
      <w:pPr>
        <w:pStyle w:val="FootnoteText"/>
      </w:pPr>
      <w:r w:rsidRPr="00136DA2">
        <w:rPr>
          <w:i/>
          <w:iCs/>
        </w:rPr>
        <w:t>1</w:t>
      </w:r>
      <w:r w:rsidRPr="00136DA2">
        <w:t xml:space="preserve"> </w:t>
      </w:r>
      <w:r>
        <w:t>(</w:t>
      </w:r>
      <w:r w:rsidRPr="00136DA2">
        <w:t>Hart 2001</w:t>
      </w:r>
      <w:r>
        <w:t>)</w:t>
      </w:r>
      <w:r w:rsidRPr="00136DA2">
        <w:t xml:space="preserve">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9"/>
      <w:gridCol w:w="3009"/>
      <w:gridCol w:w="3009"/>
    </w:tblGrid>
    <w:tr w:rsidR="552AAD88" w14:paraId="4D8193BE" w14:textId="77777777" w:rsidTr="552AAD88">
      <w:tc>
        <w:tcPr>
          <w:tcW w:w="3009" w:type="dxa"/>
        </w:tcPr>
        <w:p w14:paraId="0F9DDB24" w14:textId="6480920F" w:rsidR="552AAD88" w:rsidRDefault="552AAD88" w:rsidP="552AAD88">
          <w:pPr>
            <w:pStyle w:val="Header"/>
            <w:ind w:left="-115"/>
          </w:pPr>
        </w:p>
      </w:tc>
      <w:tc>
        <w:tcPr>
          <w:tcW w:w="3009" w:type="dxa"/>
        </w:tcPr>
        <w:p w14:paraId="16C2EF85" w14:textId="7D8862FD" w:rsidR="552AAD88" w:rsidRDefault="552AAD88" w:rsidP="552AAD88">
          <w:pPr>
            <w:pStyle w:val="Header"/>
            <w:jc w:val="center"/>
          </w:pPr>
        </w:p>
      </w:tc>
      <w:tc>
        <w:tcPr>
          <w:tcW w:w="3009" w:type="dxa"/>
        </w:tcPr>
        <w:p w14:paraId="227F9CDF" w14:textId="6D6DE7F2" w:rsidR="552AAD88" w:rsidRDefault="552AAD88" w:rsidP="552AAD88">
          <w:pPr>
            <w:pStyle w:val="Header"/>
            <w:ind w:right="-115"/>
            <w:jc w:val="right"/>
          </w:pPr>
        </w:p>
      </w:tc>
    </w:tr>
  </w:tbl>
  <w:p w14:paraId="2E9B04B8" w14:textId="78C323AD" w:rsidR="552AAD88" w:rsidRDefault="552AAD88" w:rsidP="552AAD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83242"/>
    <w:multiLevelType w:val="hybridMultilevel"/>
    <w:tmpl w:val="938AB540"/>
    <w:lvl w:ilvl="0" w:tplc="E00A78A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C37A44"/>
    <w:multiLevelType w:val="hybridMultilevel"/>
    <w:tmpl w:val="0B8413FA"/>
    <w:lvl w:ilvl="0" w:tplc="B7F8408E">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382767"/>
    <w:multiLevelType w:val="hybridMultilevel"/>
    <w:tmpl w:val="7BCE2118"/>
    <w:lvl w:ilvl="0" w:tplc="B922D240">
      <w:start w:val="1"/>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6D6864"/>
    <w:multiLevelType w:val="hybridMultilevel"/>
    <w:tmpl w:val="5F383FA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0B07064"/>
    <w:multiLevelType w:val="hybridMultilevel"/>
    <w:tmpl w:val="56B86BE6"/>
    <w:lvl w:ilvl="0" w:tplc="7C8C84F0">
      <w:numFmt w:val="bullet"/>
      <w:lvlText w:val="-"/>
      <w:lvlJc w:val="left"/>
      <w:pPr>
        <w:ind w:left="720" w:hanging="360"/>
      </w:pPr>
      <w:rPr>
        <w:rFonts w:ascii="Book Antiqua" w:eastAsiaTheme="minorHAnsi" w:hAnsi="Book Antiqu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092B16"/>
    <w:multiLevelType w:val="hybridMultilevel"/>
    <w:tmpl w:val="3AF64CD4"/>
    <w:lvl w:ilvl="0" w:tplc="D706AE4C">
      <w:start w:val="1"/>
      <w:numFmt w:val="bullet"/>
      <w:lvlText w:val=""/>
      <w:lvlJc w:val="left"/>
      <w:pPr>
        <w:ind w:left="720" w:hanging="360"/>
      </w:pPr>
      <w:rPr>
        <w:rFonts w:ascii="Wingdings" w:eastAsiaTheme="minorHAnsi" w:hAnsi="Wingding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E98"/>
    <w:rsid w:val="0000029B"/>
    <w:rsid w:val="00000E36"/>
    <w:rsid w:val="00002D0A"/>
    <w:rsid w:val="00004B0C"/>
    <w:rsid w:val="00005CD8"/>
    <w:rsid w:val="00006B61"/>
    <w:rsid w:val="000104FE"/>
    <w:rsid w:val="000110DD"/>
    <w:rsid w:val="00011D2A"/>
    <w:rsid w:val="000137E5"/>
    <w:rsid w:val="000140D5"/>
    <w:rsid w:val="000148D6"/>
    <w:rsid w:val="0001521F"/>
    <w:rsid w:val="000161EC"/>
    <w:rsid w:val="00020375"/>
    <w:rsid w:val="000218E2"/>
    <w:rsid w:val="000230B9"/>
    <w:rsid w:val="00026E94"/>
    <w:rsid w:val="00027BDF"/>
    <w:rsid w:val="00032F5C"/>
    <w:rsid w:val="000332C7"/>
    <w:rsid w:val="00034457"/>
    <w:rsid w:val="00041348"/>
    <w:rsid w:val="0004246A"/>
    <w:rsid w:val="00043CD0"/>
    <w:rsid w:val="00045A3B"/>
    <w:rsid w:val="000524A1"/>
    <w:rsid w:val="000529A8"/>
    <w:rsid w:val="000546C8"/>
    <w:rsid w:val="00054D0C"/>
    <w:rsid w:val="00054EC0"/>
    <w:rsid w:val="000566BF"/>
    <w:rsid w:val="00056E18"/>
    <w:rsid w:val="000574A7"/>
    <w:rsid w:val="0005754E"/>
    <w:rsid w:val="00057FF7"/>
    <w:rsid w:val="0006092A"/>
    <w:rsid w:val="00061DAF"/>
    <w:rsid w:val="000630FC"/>
    <w:rsid w:val="000650BE"/>
    <w:rsid w:val="000652A3"/>
    <w:rsid w:val="00066160"/>
    <w:rsid w:val="00072F1F"/>
    <w:rsid w:val="000760E7"/>
    <w:rsid w:val="00077762"/>
    <w:rsid w:val="00080D85"/>
    <w:rsid w:val="00083C77"/>
    <w:rsid w:val="00084860"/>
    <w:rsid w:val="00086858"/>
    <w:rsid w:val="00086A2F"/>
    <w:rsid w:val="00093C58"/>
    <w:rsid w:val="00095896"/>
    <w:rsid w:val="0009683C"/>
    <w:rsid w:val="00097B44"/>
    <w:rsid w:val="000A37E8"/>
    <w:rsid w:val="000A4133"/>
    <w:rsid w:val="000A5FBA"/>
    <w:rsid w:val="000A68E5"/>
    <w:rsid w:val="000A6B80"/>
    <w:rsid w:val="000A7B6A"/>
    <w:rsid w:val="000B00EE"/>
    <w:rsid w:val="000B1C39"/>
    <w:rsid w:val="000B367B"/>
    <w:rsid w:val="000B70FD"/>
    <w:rsid w:val="000B7493"/>
    <w:rsid w:val="000B757C"/>
    <w:rsid w:val="000C3AF5"/>
    <w:rsid w:val="000C4101"/>
    <w:rsid w:val="000C4D98"/>
    <w:rsid w:val="000D05EA"/>
    <w:rsid w:val="000D0C0D"/>
    <w:rsid w:val="000D0EE8"/>
    <w:rsid w:val="000D4895"/>
    <w:rsid w:val="000D6C9C"/>
    <w:rsid w:val="000D7F30"/>
    <w:rsid w:val="000E1E35"/>
    <w:rsid w:val="000E3454"/>
    <w:rsid w:val="000E4268"/>
    <w:rsid w:val="000E4756"/>
    <w:rsid w:val="000E527B"/>
    <w:rsid w:val="000E64F5"/>
    <w:rsid w:val="000E7C68"/>
    <w:rsid w:val="000F374E"/>
    <w:rsid w:val="000F3CEE"/>
    <w:rsid w:val="000F482A"/>
    <w:rsid w:val="000F6B17"/>
    <w:rsid w:val="00101848"/>
    <w:rsid w:val="00101F9D"/>
    <w:rsid w:val="00102849"/>
    <w:rsid w:val="00103B66"/>
    <w:rsid w:val="00103DED"/>
    <w:rsid w:val="00104C0D"/>
    <w:rsid w:val="00107116"/>
    <w:rsid w:val="00110539"/>
    <w:rsid w:val="00111929"/>
    <w:rsid w:val="00112BBA"/>
    <w:rsid w:val="00113637"/>
    <w:rsid w:val="001174D6"/>
    <w:rsid w:val="00120579"/>
    <w:rsid w:val="001226FE"/>
    <w:rsid w:val="00124369"/>
    <w:rsid w:val="001261AF"/>
    <w:rsid w:val="00126D00"/>
    <w:rsid w:val="00130002"/>
    <w:rsid w:val="0013003D"/>
    <w:rsid w:val="001309DE"/>
    <w:rsid w:val="001311DC"/>
    <w:rsid w:val="00133348"/>
    <w:rsid w:val="00133DD2"/>
    <w:rsid w:val="0013556D"/>
    <w:rsid w:val="00136136"/>
    <w:rsid w:val="00136613"/>
    <w:rsid w:val="00136C53"/>
    <w:rsid w:val="00136DA2"/>
    <w:rsid w:val="00137FDC"/>
    <w:rsid w:val="00142011"/>
    <w:rsid w:val="001426AB"/>
    <w:rsid w:val="00144FE6"/>
    <w:rsid w:val="001458E5"/>
    <w:rsid w:val="001528A5"/>
    <w:rsid w:val="0015310D"/>
    <w:rsid w:val="00156085"/>
    <w:rsid w:val="00157752"/>
    <w:rsid w:val="001605A3"/>
    <w:rsid w:val="001609E6"/>
    <w:rsid w:val="00160FDF"/>
    <w:rsid w:val="001619CB"/>
    <w:rsid w:val="00161E8F"/>
    <w:rsid w:val="001627D9"/>
    <w:rsid w:val="001639AE"/>
    <w:rsid w:val="00163AA4"/>
    <w:rsid w:val="00163B11"/>
    <w:rsid w:val="00163B20"/>
    <w:rsid w:val="00165053"/>
    <w:rsid w:val="00170C6F"/>
    <w:rsid w:val="00172AC0"/>
    <w:rsid w:val="0017326A"/>
    <w:rsid w:val="0017342D"/>
    <w:rsid w:val="00173F9E"/>
    <w:rsid w:val="00174A77"/>
    <w:rsid w:val="00183BA2"/>
    <w:rsid w:val="001859BA"/>
    <w:rsid w:val="00185F39"/>
    <w:rsid w:val="00187AB0"/>
    <w:rsid w:val="00187B10"/>
    <w:rsid w:val="00190E02"/>
    <w:rsid w:val="00192495"/>
    <w:rsid w:val="0019453A"/>
    <w:rsid w:val="0019744F"/>
    <w:rsid w:val="00197710"/>
    <w:rsid w:val="00197712"/>
    <w:rsid w:val="001A0E8A"/>
    <w:rsid w:val="001A0F0C"/>
    <w:rsid w:val="001A1346"/>
    <w:rsid w:val="001A13A9"/>
    <w:rsid w:val="001A1BA1"/>
    <w:rsid w:val="001A42DA"/>
    <w:rsid w:val="001A44D5"/>
    <w:rsid w:val="001A4C12"/>
    <w:rsid w:val="001A4C3D"/>
    <w:rsid w:val="001B034C"/>
    <w:rsid w:val="001B068A"/>
    <w:rsid w:val="001B06A0"/>
    <w:rsid w:val="001B135B"/>
    <w:rsid w:val="001B1A4D"/>
    <w:rsid w:val="001B242C"/>
    <w:rsid w:val="001B41F9"/>
    <w:rsid w:val="001B5D5D"/>
    <w:rsid w:val="001B70C0"/>
    <w:rsid w:val="001C0817"/>
    <w:rsid w:val="001C1227"/>
    <w:rsid w:val="001C13E7"/>
    <w:rsid w:val="001C1F88"/>
    <w:rsid w:val="001C2B8F"/>
    <w:rsid w:val="001C44B0"/>
    <w:rsid w:val="001C478F"/>
    <w:rsid w:val="001C47A3"/>
    <w:rsid w:val="001C4F45"/>
    <w:rsid w:val="001C5DA3"/>
    <w:rsid w:val="001C6364"/>
    <w:rsid w:val="001C69E1"/>
    <w:rsid w:val="001D17DB"/>
    <w:rsid w:val="001D1CA0"/>
    <w:rsid w:val="001D3471"/>
    <w:rsid w:val="001D6235"/>
    <w:rsid w:val="001D71E9"/>
    <w:rsid w:val="001D795B"/>
    <w:rsid w:val="001E0F3D"/>
    <w:rsid w:val="001E2CE1"/>
    <w:rsid w:val="001E380A"/>
    <w:rsid w:val="001E3920"/>
    <w:rsid w:val="001E4286"/>
    <w:rsid w:val="001E599D"/>
    <w:rsid w:val="001E6D80"/>
    <w:rsid w:val="001E73C1"/>
    <w:rsid w:val="001E7B30"/>
    <w:rsid w:val="001F04CD"/>
    <w:rsid w:val="001F071F"/>
    <w:rsid w:val="001F08DC"/>
    <w:rsid w:val="001F0A0B"/>
    <w:rsid w:val="001F18BB"/>
    <w:rsid w:val="001F2635"/>
    <w:rsid w:val="001F2876"/>
    <w:rsid w:val="001F5321"/>
    <w:rsid w:val="001F5872"/>
    <w:rsid w:val="001F73FF"/>
    <w:rsid w:val="002011C9"/>
    <w:rsid w:val="002013DC"/>
    <w:rsid w:val="00201AB0"/>
    <w:rsid w:val="002023D1"/>
    <w:rsid w:val="00203987"/>
    <w:rsid w:val="00203E23"/>
    <w:rsid w:val="00205052"/>
    <w:rsid w:val="0020574D"/>
    <w:rsid w:val="00206CCD"/>
    <w:rsid w:val="00211EBF"/>
    <w:rsid w:val="00215F36"/>
    <w:rsid w:val="002162CB"/>
    <w:rsid w:val="0021650C"/>
    <w:rsid w:val="00220D20"/>
    <w:rsid w:val="00222667"/>
    <w:rsid w:val="00225A2E"/>
    <w:rsid w:val="002279C8"/>
    <w:rsid w:val="00230DD7"/>
    <w:rsid w:val="00232EEE"/>
    <w:rsid w:val="00233E09"/>
    <w:rsid w:val="002349E2"/>
    <w:rsid w:val="00234E6C"/>
    <w:rsid w:val="00235324"/>
    <w:rsid w:val="00240AA5"/>
    <w:rsid w:val="00240ECA"/>
    <w:rsid w:val="00243A78"/>
    <w:rsid w:val="00244C02"/>
    <w:rsid w:val="002451CF"/>
    <w:rsid w:val="00250132"/>
    <w:rsid w:val="00251CFF"/>
    <w:rsid w:val="0025224D"/>
    <w:rsid w:val="00254EEE"/>
    <w:rsid w:val="00255961"/>
    <w:rsid w:val="0025624D"/>
    <w:rsid w:val="00260CBB"/>
    <w:rsid w:val="00263F7B"/>
    <w:rsid w:val="00264AC3"/>
    <w:rsid w:val="00265E7E"/>
    <w:rsid w:val="0026636F"/>
    <w:rsid w:val="002670E2"/>
    <w:rsid w:val="00275714"/>
    <w:rsid w:val="002760AF"/>
    <w:rsid w:val="0027649E"/>
    <w:rsid w:val="00281A82"/>
    <w:rsid w:val="00286BA3"/>
    <w:rsid w:val="00287C7F"/>
    <w:rsid w:val="002902D0"/>
    <w:rsid w:val="0029031C"/>
    <w:rsid w:val="002905BD"/>
    <w:rsid w:val="00291C7E"/>
    <w:rsid w:val="00292460"/>
    <w:rsid w:val="0029477C"/>
    <w:rsid w:val="00294EEF"/>
    <w:rsid w:val="00297099"/>
    <w:rsid w:val="002A1CFF"/>
    <w:rsid w:val="002A330F"/>
    <w:rsid w:val="002A7068"/>
    <w:rsid w:val="002A7686"/>
    <w:rsid w:val="002B202F"/>
    <w:rsid w:val="002B3A02"/>
    <w:rsid w:val="002B5931"/>
    <w:rsid w:val="002B6C20"/>
    <w:rsid w:val="002C0F27"/>
    <w:rsid w:val="002C1172"/>
    <w:rsid w:val="002C4C1C"/>
    <w:rsid w:val="002C4E0C"/>
    <w:rsid w:val="002C5454"/>
    <w:rsid w:val="002C60A9"/>
    <w:rsid w:val="002D0CC4"/>
    <w:rsid w:val="002D2FF4"/>
    <w:rsid w:val="002D3D97"/>
    <w:rsid w:val="002D7722"/>
    <w:rsid w:val="002E24B6"/>
    <w:rsid w:val="002E528D"/>
    <w:rsid w:val="002E567E"/>
    <w:rsid w:val="002E7045"/>
    <w:rsid w:val="002F33F0"/>
    <w:rsid w:val="002F3DFD"/>
    <w:rsid w:val="002F4057"/>
    <w:rsid w:val="002F6A50"/>
    <w:rsid w:val="002F7DE7"/>
    <w:rsid w:val="00300379"/>
    <w:rsid w:val="0030143B"/>
    <w:rsid w:val="003031EB"/>
    <w:rsid w:val="00303EBA"/>
    <w:rsid w:val="003041D3"/>
    <w:rsid w:val="0030478D"/>
    <w:rsid w:val="00305290"/>
    <w:rsid w:val="003109C3"/>
    <w:rsid w:val="00310E2D"/>
    <w:rsid w:val="0031105B"/>
    <w:rsid w:val="0031233A"/>
    <w:rsid w:val="0031393E"/>
    <w:rsid w:val="00313E56"/>
    <w:rsid w:val="00314DEB"/>
    <w:rsid w:val="0031708C"/>
    <w:rsid w:val="00322390"/>
    <w:rsid w:val="00322D98"/>
    <w:rsid w:val="00323F13"/>
    <w:rsid w:val="00326AE8"/>
    <w:rsid w:val="00326CB4"/>
    <w:rsid w:val="00326D33"/>
    <w:rsid w:val="00332C1D"/>
    <w:rsid w:val="00337DC5"/>
    <w:rsid w:val="00337DE6"/>
    <w:rsid w:val="00340DB5"/>
    <w:rsid w:val="003447EA"/>
    <w:rsid w:val="00344F0D"/>
    <w:rsid w:val="00345B86"/>
    <w:rsid w:val="00346CAB"/>
    <w:rsid w:val="00351036"/>
    <w:rsid w:val="00353FFB"/>
    <w:rsid w:val="00354127"/>
    <w:rsid w:val="00354530"/>
    <w:rsid w:val="00355912"/>
    <w:rsid w:val="0036066B"/>
    <w:rsid w:val="003609CF"/>
    <w:rsid w:val="00363315"/>
    <w:rsid w:val="003640A9"/>
    <w:rsid w:val="0036562A"/>
    <w:rsid w:val="003658BD"/>
    <w:rsid w:val="0037032F"/>
    <w:rsid w:val="00373B5D"/>
    <w:rsid w:val="00374144"/>
    <w:rsid w:val="00374509"/>
    <w:rsid w:val="00376C02"/>
    <w:rsid w:val="00380C21"/>
    <w:rsid w:val="003812F6"/>
    <w:rsid w:val="003838F7"/>
    <w:rsid w:val="003842B2"/>
    <w:rsid w:val="00386854"/>
    <w:rsid w:val="00392B25"/>
    <w:rsid w:val="00392C16"/>
    <w:rsid w:val="003936F8"/>
    <w:rsid w:val="00396977"/>
    <w:rsid w:val="00396E2E"/>
    <w:rsid w:val="003A0EB1"/>
    <w:rsid w:val="003A2CEB"/>
    <w:rsid w:val="003A4545"/>
    <w:rsid w:val="003A4AE0"/>
    <w:rsid w:val="003A4E11"/>
    <w:rsid w:val="003A54C0"/>
    <w:rsid w:val="003A5820"/>
    <w:rsid w:val="003A5D54"/>
    <w:rsid w:val="003A6AD8"/>
    <w:rsid w:val="003A6D20"/>
    <w:rsid w:val="003B10CE"/>
    <w:rsid w:val="003B1EEC"/>
    <w:rsid w:val="003B266F"/>
    <w:rsid w:val="003B5B92"/>
    <w:rsid w:val="003B726F"/>
    <w:rsid w:val="003B7CB1"/>
    <w:rsid w:val="003C2C19"/>
    <w:rsid w:val="003C48F9"/>
    <w:rsid w:val="003C507A"/>
    <w:rsid w:val="003C569C"/>
    <w:rsid w:val="003C69FD"/>
    <w:rsid w:val="003D0A4C"/>
    <w:rsid w:val="003D4E75"/>
    <w:rsid w:val="003D58BD"/>
    <w:rsid w:val="003D5CAE"/>
    <w:rsid w:val="003E08A0"/>
    <w:rsid w:val="003E136D"/>
    <w:rsid w:val="003E285F"/>
    <w:rsid w:val="003E3222"/>
    <w:rsid w:val="003E3788"/>
    <w:rsid w:val="003E5E3E"/>
    <w:rsid w:val="003E6F81"/>
    <w:rsid w:val="003F0D0C"/>
    <w:rsid w:val="003F143B"/>
    <w:rsid w:val="003F1762"/>
    <w:rsid w:val="003F24B5"/>
    <w:rsid w:val="003F3414"/>
    <w:rsid w:val="003F5679"/>
    <w:rsid w:val="003F6167"/>
    <w:rsid w:val="00401C1E"/>
    <w:rsid w:val="004037DC"/>
    <w:rsid w:val="00412DB7"/>
    <w:rsid w:val="0041320C"/>
    <w:rsid w:val="00417300"/>
    <w:rsid w:val="004179FE"/>
    <w:rsid w:val="00417C31"/>
    <w:rsid w:val="00422646"/>
    <w:rsid w:val="00423D18"/>
    <w:rsid w:val="004241A1"/>
    <w:rsid w:val="0042519F"/>
    <w:rsid w:val="00426855"/>
    <w:rsid w:val="00430313"/>
    <w:rsid w:val="00430769"/>
    <w:rsid w:val="00431EA9"/>
    <w:rsid w:val="004322D6"/>
    <w:rsid w:val="00433D38"/>
    <w:rsid w:val="004434CE"/>
    <w:rsid w:val="00446D5D"/>
    <w:rsid w:val="00447AE1"/>
    <w:rsid w:val="0045550D"/>
    <w:rsid w:val="0045567D"/>
    <w:rsid w:val="00460210"/>
    <w:rsid w:val="004608F5"/>
    <w:rsid w:val="00462B1A"/>
    <w:rsid w:val="00463586"/>
    <w:rsid w:val="00465063"/>
    <w:rsid w:val="00465EC2"/>
    <w:rsid w:val="004703A3"/>
    <w:rsid w:val="00473B4C"/>
    <w:rsid w:val="00473EA0"/>
    <w:rsid w:val="0047584C"/>
    <w:rsid w:val="004764F4"/>
    <w:rsid w:val="00477873"/>
    <w:rsid w:val="00477E8F"/>
    <w:rsid w:val="004843D2"/>
    <w:rsid w:val="0048451F"/>
    <w:rsid w:val="004873B5"/>
    <w:rsid w:val="0049084D"/>
    <w:rsid w:val="00491386"/>
    <w:rsid w:val="004916D8"/>
    <w:rsid w:val="004925FC"/>
    <w:rsid w:val="00492A46"/>
    <w:rsid w:val="00494F90"/>
    <w:rsid w:val="004959B7"/>
    <w:rsid w:val="004959F9"/>
    <w:rsid w:val="00497BC7"/>
    <w:rsid w:val="004A2288"/>
    <w:rsid w:val="004A2DE9"/>
    <w:rsid w:val="004A33EF"/>
    <w:rsid w:val="004A448A"/>
    <w:rsid w:val="004B0B7B"/>
    <w:rsid w:val="004B223D"/>
    <w:rsid w:val="004B2692"/>
    <w:rsid w:val="004B3A21"/>
    <w:rsid w:val="004B3E1F"/>
    <w:rsid w:val="004B5506"/>
    <w:rsid w:val="004B5679"/>
    <w:rsid w:val="004B64A4"/>
    <w:rsid w:val="004B6A87"/>
    <w:rsid w:val="004B7598"/>
    <w:rsid w:val="004C2151"/>
    <w:rsid w:val="004C2FF5"/>
    <w:rsid w:val="004C46D1"/>
    <w:rsid w:val="004C5A3C"/>
    <w:rsid w:val="004D2DE2"/>
    <w:rsid w:val="004D6B4E"/>
    <w:rsid w:val="004E05FD"/>
    <w:rsid w:val="004E1006"/>
    <w:rsid w:val="004E181C"/>
    <w:rsid w:val="004E19F2"/>
    <w:rsid w:val="004E2B98"/>
    <w:rsid w:val="004E4807"/>
    <w:rsid w:val="004E68C3"/>
    <w:rsid w:val="004E68D4"/>
    <w:rsid w:val="004E7476"/>
    <w:rsid w:val="004F1A5D"/>
    <w:rsid w:val="004F2A30"/>
    <w:rsid w:val="004F5766"/>
    <w:rsid w:val="00501909"/>
    <w:rsid w:val="00501F67"/>
    <w:rsid w:val="0050365D"/>
    <w:rsid w:val="00506EAD"/>
    <w:rsid w:val="00510BC9"/>
    <w:rsid w:val="005147C8"/>
    <w:rsid w:val="00515ABD"/>
    <w:rsid w:val="005200CD"/>
    <w:rsid w:val="00520C46"/>
    <w:rsid w:val="00520E41"/>
    <w:rsid w:val="0052181C"/>
    <w:rsid w:val="00522FFB"/>
    <w:rsid w:val="00523F97"/>
    <w:rsid w:val="00524FD4"/>
    <w:rsid w:val="0052545B"/>
    <w:rsid w:val="00530AF2"/>
    <w:rsid w:val="00532508"/>
    <w:rsid w:val="00533B71"/>
    <w:rsid w:val="0054197C"/>
    <w:rsid w:val="00543539"/>
    <w:rsid w:val="005436E8"/>
    <w:rsid w:val="00544161"/>
    <w:rsid w:val="00545D32"/>
    <w:rsid w:val="00546353"/>
    <w:rsid w:val="0054757E"/>
    <w:rsid w:val="00551AB9"/>
    <w:rsid w:val="0055306A"/>
    <w:rsid w:val="00553709"/>
    <w:rsid w:val="00553E2C"/>
    <w:rsid w:val="00554950"/>
    <w:rsid w:val="0055594A"/>
    <w:rsid w:val="00555E59"/>
    <w:rsid w:val="005561F0"/>
    <w:rsid w:val="00556721"/>
    <w:rsid w:val="00556992"/>
    <w:rsid w:val="00556AF6"/>
    <w:rsid w:val="00556B33"/>
    <w:rsid w:val="005620EA"/>
    <w:rsid w:val="00564216"/>
    <w:rsid w:val="0057020C"/>
    <w:rsid w:val="005774B8"/>
    <w:rsid w:val="00577FD0"/>
    <w:rsid w:val="00581160"/>
    <w:rsid w:val="00582A9E"/>
    <w:rsid w:val="005838E8"/>
    <w:rsid w:val="00585DB2"/>
    <w:rsid w:val="005878BA"/>
    <w:rsid w:val="00590D79"/>
    <w:rsid w:val="00590F3B"/>
    <w:rsid w:val="005923D4"/>
    <w:rsid w:val="0059538D"/>
    <w:rsid w:val="00596D17"/>
    <w:rsid w:val="00597ED7"/>
    <w:rsid w:val="005A0ACF"/>
    <w:rsid w:val="005A1747"/>
    <w:rsid w:val="005A20C1"/>
    <w:rsid w:val="005A26FD"/>
    <w:rsid w:val="005A352A"/>
    <w:rsid w:val="005A4508"/>
    <w:rsid w:val="005A4BCD"/>
    <w:rsid w:val="005B18FF"/>
    <w:rsid w:val="005B2032"/>
    <w:rsid w:val="005B3499"/>
    <w:rsid w:val="005B3AE7"/>
    <w:rsid w:val="005B52AB"/>
    <w:rsid w:val="005B62D7"/>
    <w:rsid w:val="005B6AFA"/>
    <w:rsid w:val="005C09DC"/>
    <w:rsid w:val="005C338A"/>
    <w:rsid w:val="005C4B49"/>
    <w:rsid w:val="005C5D7A"/>
    <w:rsid w:val="005C6D2B"/>
    <w:rsid w:val="005C6ED7"/>
    <w:rsid w:val="005D0950"/>
    <w:rsid w:val="005D0BEA"/>
    <w:rsid w:val="005D3B04"/>
    <w:rsid w:val="005D4476"/>
    <w:rsid w:val="005D4E8A"/>
    <w:rsid w:val="005D5E34"/>
    <w:rsid w:val="005E1214"/>
    <w:rsid w:val="005E1695"/>
    <w:rsid w:val="005E31EC"/>
    <w:rsid w:val="005E79B5"/>
    <w:rsid w:val="005F1ACE"/>
    <w:rsid w:val="005F212A"/>
    <w:rsid w:val="005F348E"/>
    <w:rsid w:val="005F350D"/>
    <w:rsid w:val="005F495E"/>
    <w:rsid w:val="005F5080"/>
    <w:rsid w:val="005F5608"/>
    <w:rsid w:val="005F75BB"/>
    <w:rsid w:val="005F7AA4"/>
    <w:rsid w:val="00600C6D"/>
    <w:rsid w:val="00600D24"/>
    <w:rsid w:val="0060255E"/>
    <w:rsid w:val="006028BF"/>
    <w:rsid w:val="00602DAC"/>
    <w:rsid w:val="00606E17"/>
    <w:rsid w:val="00607EFE"/>
    <w:rsid w:val="006103FF"/>
    <w:rsid w:val="00613717"/>
    <w:rsid w:val="00613EA9"/>
    <w:rsid w:val="006145D0"/>
    <w:rsid w:val="00614C20"/>
    <w:rsid w:val="00615F82"/>
    <w:rsid w:val="00621A19"/>
    <w:rsid w:val="0062416B"/>
    <w:rsid w:val="00625553"/>
    <w:rsid w:val="006267BC"/>
    <w:rsid w:val="00631319"/>
    <w:rsid w:val="00631409"/>
    <w:rsid w:val="0063342E"/>
    <w:rsid w:val="00634094"/>
    <w:rsid w:val="006349AB"/>
    <w:rsid w:val="006351B4"/>
    <w:rsid w:val="0063727D"/>
    <w:rsid w:val="00641FDB"/>
    <w:rsid w:val="00643C12"/>
    <w:rsid w:val="00644838"/>
    <w:rsid w:val="00644E30"/>
    <w:rsid w:val="00645820"/>
    <w:rsid w:val="00646880"/>
    <w:rsid w:val="00647E53"/>
    <w:rsid w:val="00650F7B"/>
    <w:rsid w:val="0065318E"/>
    <w:rsid w:val="006536AB"/>
    <w:rsid w:val="006539DF"/>
    <w:rsid w:val="00656201"/>
    <w:rsid w:val="00660811"/>
    <w:rsid w:val="0066331E"/>
    <w:rsid w:val="00663915"/>
    <w:rsid w:val="00664467"/>
    <w:rsid w:val="00665B0B"/>
    <w:rsid w:val="006702B0"/>
    <w:rsid w:val="00671EDD"/>
    <w:rsid w:val="00676E80"/>
    <w:rsid w:val="00677065"/>
    <w:rsid w:val="00677941"/>
    <w:rsid w:val="00682042"/>
    <w:rsid w:val="00684D33"/>
    <w:rsid w:val="0068553F"/>
    <w:rsid w:val="006855BC"/>
    <w:rsid w:val="00687217"/>
    <w:rsid w:val="00691CCF"/>
    <w:rsid w:val="00692A9F"/>
    <w:rsid w:val="00693BCF"/>
    <w:rsid w:val="00695E48"/>
    <w:rsid w:val="00696AB9"/>
    <w:rsid w:val="0069711D"/>
    <w:rsid w:val="00697303"/>
    <w:rsid w:val="00697DA9"/>
    <w:rsid w:val="006A0BAA"/>
    <w:rsid w:val="006A112C"/>
    <w:rsid w:val="006A2862"/>
    <w:rsid w:val="006A40A2"/>
    <w:rsid w:val="006A4515"/>
    <w:rsid w:val="006A4A6B"/>
    <w:rsid w:val="006A772A"/>
    <w:rsid w:val="006A7F70"/>
    <w:rsid w:val="006B0EF0"/>
    <w:rsid w:val="006B1834"/>
    <w:rsid w:val="006B6E5E"/>
    <w:rsid w:val="006B7005"/>
    <w:rsid w:val="006C24A1"/>
    <w:rsid w:val="006C2CB6"/>
    <w:rsid w:val="006C3987"/>
    <w:rsid w:val="006C3D08"/>
    <w:rsid w:val="006C41A2"/>
    <w:rsid w:val="006C4E46"/>
    <w:rsid w:val="006C6CDE"/>
    <w:rsid w:val="006C6F8D"/>
    <w:rsid w:val="006D2E91"/>
    <w:rsid w:val="006D4A8B"/>
    <w:rsid w:val="006D7566"/>
    <w:rsid w:val="006E2270"/>
    <w:rsid w:val="006E36B0"/>
    <w:rsid w:val="006E440A"/>
    <w:rsid w:val="006E5553"/>
    <w:rsid w:val="006F1BE8"/>
    <w:rsid w:val="006F2DC4"/>
    <w:rsid w:val="006F2E97"/>
    <w:rsid w:val="006F61E8"/>
    <w:rsid w:val="00701163"/>
    <w:rsid w:val="00702742"/>
    <w:rsid w:val="007071A5"/>
    <w:rsid w:val="007075C7"/>
    <w:rsid w:val="00707BE8"/>
    <w:rsid w:val="00711516"/>
    <w:rsid w:val="007130F6"/>
    <w:rsid w:val="00715C0A"/>
    <w:rsid w:val="00716000"/>
    <w:rsid w:val="00722F10"/>
    <w:rsid w:val="00723591"/>
    <w:rsid w:val="007252AD"/>
    <w:rsid w:val="00725FC5"/>
    <w:rsid w:val="0072675B"/>
    <w:rsid w:val="00726C66"/>
    <w:rsid w:val="0072755F"/>
    <w:rsid w:val="0073061B"/>
    <w:rsid w:val="00730CEF"/>
    <w:rsid w:val="00731E5B"/>
    <w:rsid w:val="00733821"/>
    <w:rsid w:val="007367CB"/>
    <w:rsid w:val="0074498E"/>
    <w:rsid w:val="00744E94"/>
    <w:rsid w:val="00744FC2"/>
    <w:rsid w:val="00747253"/>
    <w:rsid w:val="007510C6"/>
    <w:rsid w:val="007513DD"/>
    <w:rsid w:val="007525A5"/>
    <w:rsid w:val="00752CE5"/>
    <w:rsid w:val="00754111"/>
    <w:rsid w:val="00756843"/>
    <w:rsid w:val="00760AF1"/>
    <w:rsid w:val="007622C6"/>
    <w:rsid w:val="00762432"/>
    <w:rsid w:val="007627AD"/>
    <w:rsid w:val="00762927"/>
    <w:rsid w:val="00764006"/>
    <w:rsid w:val="00764AA4"/>
    <w:rsid w:val="0076656E"/>
    <w:rsid w:val="00766E45"/>
    <w:rsid w:val="00767349"/>
    <w:rsid w:val="00771560"/>
    <w:rsid w:val="00772106"/>
    <w:rsid w:val="0077324B"/>
    <w:rsid w:val="00776D9B"/>
    <w:rsid w:val="007818AC"/>
    <w:rsid w:val="007831A7"/>
    <w:rsid w:val="00786891"/>
    <w:rsid w:val="00787DEC"/>
    <w:rsid w:val="00791074"/>
    <w:rsid w:val="00791D88"/>
    <w:rsid w:val="007929F5"/>
    <w:rsid w:val="007965AB"/>
    <w:rsid w:val="00797D1B"/>
    <w:rsid w:val="007A07A4"/>
    <w:rsid w:val="007A1979"/>
    <w:rsid w:val="007A5F0F"/>
    <w:rsid w:val="007A6DAF"/>
    <w:rsid w:val="007A7825"/>
    <w:rsid w:val="007A7C89"/>
    <w:rsid w:val="007B2CEB"/>
    <w:rsid w:val="007B4B67"/>
    <w:rsid w:val="007B5686"/>
    <w:rsid w:val="007C06BD"/>
    <w:rsid w:val="007C2F21"/>
    <w:rsid w:val="007C6AD5"/>
    <w:rsid w:val="007C7817"/>
    <w:rsid w:val="007D1764"/>
    <w:rsid w:val="007D24ED"/>
    <w:rsid w:val="007D3496"/>
    <w:rsid w:val="007D34B8"/>
    <w:rsid w:val="007D3A62"/>
    <w:rsid w:val="007D4960"/>
    <w:rsid w:val="007D4EDF"/>
    <w:rsid w:val="007D72C9"/>
    <w:rsid w:val="007D7411"/>
    <w:rsid w:val="007E19FB"/>
    <w:rsid w:val="007E2FE5"/>
    <w:rsid w:val="007E3066"/>
    <w:rsid w:val="007E50BB"/>
    <w:rsid w:val="007E5371"/>
    <w:rsid w:val="007F05C0"/>
    <w:rsid w:val="007F1A16"/>
    <w:rsid w:val="007F200A"/>
    <w:rsid w:val="007F3277"/>
    <w:rsid w:val="007F4190"/>
    <w:rsid w:val="007F4799"/>
    <w:rsid w:val="007F4B2D"/>
    <w:rsid w:val="007F5878"/>
    <w:rsid w:val="007F595C"/>
    <w:rsid w:val="007F5D47"/>
    <w:rsid w:val="007F639F"/>
    <w:rsid w:val="007F73E9"/>
    <w:rsid w:val="00801B39"/>
    <w:rsid w:val="00801E0C"/>
    <w:rsid w:val="00802636"/>
    <w:rsid w:val="008031EB"/>
    <w:rsid w:val="0080545F"/>
    <w:rsid w:val="0080770E"/>
    <w:rsid w:val="0081047A"/>
    <w:rsid w:val="0081195B"/>
    <w:rsid w:val="0081298B"/>
    <w:rsid w:val="00814572"/>
    <w:rsid w:val="00814B7F"/>
    <w:rsid w:val="00815051"/>
    <w:rsid w:val="00816983"/>
    <w:rsid w:val="00820252"/>
    <w:rsid w:val="00820342"/>
    <w:rsid w:val="00820598"/>
    <w:rsid w:val="00822644"/>
    <w:rsid w:val="00822E0C"/>
    <w:rsid w:val="0082587F"/>
    <w:rsid w:val="00825997"/>
    <w:rsid w:val="00826189"/>
    <w:rsid w:val="00827E68"/>
    <w:rsid w:val="008318B2"/>
    <w:rsid w:val="008321F5"/>
    <w:rsid w:val="0083641D"/>
    <w:rsid w:val="008368CB"/>
    <w:rsid w:val="008408B6"/>
    <w:rsid w:val="008417BF"/>
    <w:rsid w:val="00841F88"/>
    <w:rsid w:val="008430EE"/>
    <w:rsid w:val="00846B49"/>
    <w:rsid w:val="00847FBD"/>
    <w:rsid w:val="00850209"/>
    <w:rsid w:val="00850B27"/>
    <w:rsid w:val="00850BFF"/>
    <w:rsid w:val="0085218D"/>
    <w:rsid w:val="00853790"/>
    <w:rsid w:val="008538FB"/>
    <w:rsid w:val="008542D4"/>
    <w:rsid w:val="008557D4"/>
    <w:rsid w:val="00855F29"/>
    <w:rsid w:val="00856E8E"/>
    <w:rsid w:val="00856EA3"/>
    <w:rsid w:val="00857164"/>
    <w:rsid w:val="00860502"/>
    <w:rsid w:val="008610F7"/>
    <w:rsid w:val="008632D3"/>
    <w:rsid w:val="00864E6C"/>
    <w:rsid w:val="00865839"/>
    <w:rsid w:val="00867759"/>
    <w:rsid w:val="008702D2"/>
    <w:rsid w:val="00872B5D"/>
    <w:rsid w:val="0087380C"/>
    <w:rsid w:val="0087380D"/>
    <w:rsid w:val="00873EF3"/>
    <w:rsid w:val="0087470C"/>
    <w:rsid w:val="00876EAE"/>
    <w:rsid w:val="0087735B"/>
    <w:rsid w:val="0088400C"/>
    <w:rsid w:val="00884EDD"/>
    <w:rsid w:val="00886522"/>
    <w:rsid w:val="00886FD4"/>
    <w:rsid w:val="00890579"/>
    <w:rsid w:val="008919A2"/>
    <w:rsid w:val="00892D1F"/>
    <w:rsid w:val="008931D3"/>
    <w:rsid w:val="00897E12"/>
    <w:rsid w:val="008A75CE"/>
    <w:rsid w:val="008B1E36"/>
    <w:rsid w:val="008B27E2"/>
    <w:rsid w:val="008B390D"/>
    <w:rsid w:val="008B3CF6"/>
    <w:rsid w:val="008B3FF4"/>
    <w:rsid w:val="008B4509"/>
    <w:rsid w:val="008C10CD"/>
    <w:rsid w:val="008C145C"/>
    <w:rsid w:val="008C1A36"/>
    <w:rsid w:val="008C23C0"/>
    <w:rsid w:val="008C23EC"/>
    <w:rsid w:val="008C3A95"/>
    <w:rsid w:val="008C4CA7"/>
    <w:rsid w:val="008C5F18"/>
    <w:rsid w:val="008D32B1"/>
    <w:rsid w:val="008D4034"/>
    <w:rsid w:val="008D58FB"/>
    <w:rsid w:val="008D6FEB"/>
    <w:rsid w:val="008E134C"/>
    <w:rsid w:val="008E466B"/>
    <w:rsid w:val="008E6601"/>
    <w:rsid w:val="008F22D5"/>
    <w:rsid w:val="008F4AA2"/>
    <w:rsid w:val="008F5553"/>
    <w:rsid w:val="008F6590"/>
    <w:rsid w:val="008F76E8"/>
    <w:rsid w:val="00900C91"/>
    <w:rsid w:val="00900FB2"/>
    <w:rsid w:val="00901BA2"/>
    <w:rsid w:val="009027D6"/>
    <w:rsid w:val="00902C4B"/>
    <w:rsid w:val="0090344D"/>
    <w:rsid w:val="00904322"/>
    <w:rsid w:val="00905944"/>
    <w:rsid w:val="00905E57"/>
    <w:rsid w:val="009072CF"/>
    <w:rsid w:val="00913333"/>
    <w:rsid w:val="0091377E"/>
    <w:rsid w:val="00913FF9"/>
    <w:rsid w:val="009147C7"/>
    <w:rsid w:val="00915DA7"/>
    <w:rsid w:val="00916026"/>
    <w:rsid w:val="00917265"/>
    <w:rsid w:val="009177D7"/>
    <w:rsid w:val="009207E7"/>
    <w:rsid w:val="00921D39"/>
    <w:rsid w:val="009220AC"/>
    <w:rsid w:val="00925B00"/>
    <w:rsid w:val="00926863"/>
    <w:rsid w:val="00930224"/>
    <w:rsid w:val="00930DCD"/>
    <w:rsid w:val="00931E06"/>
    <w:rsid w:val="00932E19"/>
    <w:rsid w:val="00933D59"/>
    <w:rsid w:val="009355DD"/>
    <w:rsid w:val="009420C2"/>
    <w:rsid w:val="00942888"/>
    <w:rsid w:val="009439F9"/>
    <w:rsid w:val="009455DA"/>
    <w:rsid w:val="00946873"/>
    <w:rsid w:val="009468FD"/>
    <w:rsid w:val="00946A91"/>
    <w:rsid w:val="00947E73"/>
    <w:rsid w:val="00951404"/>
    <w:rsid w:val="009540A8"/>
    <w:rsid w:val="009555C3"/>
    <w:rsid w:val="009575E4"/>
    <w:rsid w:val="00961A81"/>
    <w:rsid w:val="00961EE7"/>
    <w:rsid w:val="00962543"/>
    <w:rsid w:val="009642A0"/>
    <w:rsid w:val="00964BCD"/>
    <w:rsid w:val="009652B9"/>
    <w:rsid w:val="009658D0"/>
    <w:rsid w:val="009660D7"/>
    <w:rsid w:val="009666A3"/>
    <w:rsid w:val="00971621"/>
    <w:rsid w:val="0097430C"/>
    <w:rsid w:val="00974678"/>
    <w:rsid w:val="00974FD3"/>
    <w:rsid w:val="00977FB4"/>
    <w:rsid w:val="0098054C"/>
    <w:rsid w:val="0098240C"/>
    <w:rsid w:val="009827B2"/>
    <w:rsid w:val="0098578C"/>
    <w:rsid w:val="009876AB"/>
    <w:rsid w:val="009904CD"/>
    <w:rsid w:val="00990CA4"/>
    <w:rsid w:val="00991DE5"/>
    <w:rsid w:val="0099248C"/>
    <w:rsid w:val="009962F2"/>
    <w:rsid w:val="009A0891"/>
    <w:rsid w:val="009A0ADD"/>
    <w:rsid w:val="009A5CDF"/>
    <w:rsid w:val="009A7F75"/>
    <w:rsid w:val="009B1F08"/>
    <w:rsid w:val="009B2DDC"/>
    <w:rsid w:val="009B35DD"/>
    <w:rsid w:val="009B511A"/>
    <w:rsid w:val="009B779D"/>
    <w:rsid w:val="009C252E"/>
    <w:rsid w:val="009C3A28"/>
    <w:rsid w:val="009C5FD4"/>
    <w:rsid w:val="009C6E04"/>
    <w:rsid w:val="009D046A"/>
    <w:rsid w:val="009D1339"/>
    <w:rsid w:val="009D1A52"/>
    <w:rsid w:val="009D3FA5"/>
    <w:rsid w:val="009D418D"/>
    <w:rsid w:val="009D4711"/>
    <w:rsid w:val="009D5E28"/>
    <w:rsid w:val="009D62B7"/>
    <w:rsid w:val="009D660D"/>
    <w:rsid w:val="009D72EB"/>
    <w:rsid w:val="009D7AB7"/>
    <w:rsid w:val="009D7F0B"/>
    <w:rsid w:val="009E18D4"/>
    <w:rsid w:val="009E2789"/>
    <w:rsid w:val="009E29AB"/>
    <w:rsid w:val="009E2E98"/>
    <w:rsid w:val="009E384A"/>
    <w:rsid w:val="009E6159"/>
    <w:rsid w:val="009E71DF"/>
    <w:rsid w:val="009F0902"/>
    <w:rsid w:val="009F4791"/>
    <w:rsid w:val="009F524C"/>
    <w:rsid w:val="009F54A9"/>
    <w:rsid w:val="009F5718"/>
    <w:rsid w:val="009F5A9E"/>
    <w:rsid w:val="009F6BAE"/>
    <w:rsid w:val="00A0108B"/>
    <w:rsid w:val="00A020CF"/>
    <w:rsid w:val="00A02BC8"/>
    <w:rsid w:val="00A0302B"/>
    <w:rsid w:val="00A03500"/>
    <w:rsid w:val="00A0541E"/>
    <w:rsid w:val="00A05A29"/>
    <w:rsid w:val="00A05AAB"/>
    <w:rsid w:val="00A125CD"/>
    <w:rsid w:val="00A12B92"/>
    <w:rsid w:val="00A15CEF"/>
    <w:rsid w:val="00A179F6"/>
    <w:rsid w:val="00A206DB"/>
    <w:rsid w:val="00A2140D"/>
    <w:rsid w:val="00A217FA"/>
    <w:rsid w:val="00A2582C"/>
    <w:rsid w:val="00A25C35"/>
    <w:rsid w:val="00A30922"/>
    <w:rsid w:val="00A3098D"/>
    <w:rsid w:val="00A30C31"/>
    <w:rsid w:val="00A3206E"/>
    <w:rsid w:val="00A33301"/>
    <w:rsid w:val="00A33330"/>
    <w:rsid w:val="00A33395"/>
    <w:rsid w:val="00A33472"/>
    <w:rsid w:val="00A3371E"/>
    <w:rsid w:val="00A3717A"/>
    <w:rsid w:val="00A37FD9"/>
    <w:rsid w:val="00A40BDD"/>
    <w:rsid w:val="00A419C6"/>
    <w:rsid w:val="00A44887"/>
    <w:rsid w:val="00A4514F"/>
    <w:rsid w:val="00A46552"/>
    <w:rsid w:val="00A4741E"/>
    <w:rsid w:val="00A51AA8"/>
    <w:rsid w:val="00A528DA"/>
    <w:rsid w:val="00A52DE4"/>
    <w:rsid w:val="00A52F6D"/>
    <w:rsid w:val="00A53DC0"/>
    <w:rsid w:val="00A5664A"/>
    <w:rsid w:val="00A56E2D"/>
    <w:rsid w:val="00A60C56"/>
    <w:rsid w:val="00A61411"/>
    <w:rsid w:val="00A619E5"/>
    <w:rsid w:val="00A61C80"/>
    <w:rsid w:val="00A62BAF"/>
    <w:rsid w:val="00A64FB5"/>
    <w:rsid w:val="00A6521F"/>
    <w:rsid w:val="00A6575C"/>
    <w:rsid w:val="00A65D8D"/>
    <w:rsid w:val="00A66E4F"/>
    <w:rsid w:val="00A6764E"/>
    <w:rsid w:val="00A74326"/>
    <w:rsid w:val="00A7505A"/>
    <w:rsid w:val="00A76534"/>
    <w:rsid w:val="00A7793B"/>
    <w:rsid w:val="00A77BA9"/>
    <w:rsid w:val="00A81F5C"/>
    <w:rsid w:val="00A82277"/>
    <w:rsid w:val="00A82AC6"/>
    <w:rsid w:val="00A84FDE"/>
    <w:rsid w:val="00A86296"/>
    <w:rsid w:val="00A87258"/>
    <w:rsid w:val="00A9156D"/>
    <w:rsid w:val="00A94F6B"/>
    <w:rsid w:val="00A97A1F"/>
    <w:rsid w:val="00AA05D5"/>
    <w:rsid w:val="00AA105E"/>
    <w:rsid w:val="00AA54B4"/>
    <w:rsid w:val="00AA5EBB"/>
    <w:rsid w:val="00AA76F6"/>
    <w:rsid w:val="00AA7960"/>
    <w:rsid w:val="00AB0E03"/>
    <w:rsid w:val="00AB25F1"/>
    <w:rsid w:val="00AB29DB"/>
    <w:rsid w:val="00AB3D01"/>
    <w:rsid w:val="00AB5280"/>
    <w:rsid w:val="00AB645E"/>
    <w:rsid w:val="00AC0BC6"/>
    <w:rsid w:val="00AC0D86"/>
    <w:rsid w:val="00AC1B13"/>
    <w:rsid w:val="00AC471B"/>
    <w:rsid w:val="00AC4BAC"/>
    <w:rsid w:val="00AC51BA"/>
    <w:rsid w:val="00AC6E07"/>
    <w:rsid w:val="00AC715A"/>
    <w:rsid w:val="00AD04E8"/>
    <w:rsid w:val="00AD231C"/>
    <w:rsid w:val="00AD24B4"/>
    <w:rsid w:val="00AD2693"/>
    <w:rsid w:val="00AD2FB1"/>
    <w:rsid w:val="00AD60DC"/>
    <w:rsid w:val="00AD643D"/>
    <w:rsid w:val="00AD73C6"/>
    <w:rsid w:val="00AD7CDF"/>
    <w:rsid w:val="00AD7E42"/>
    <w:rsid w:val="00AE298E"/>
    <w:rsid w:val="00AE44B6"/>
    <w:rsid w:val="00AE4D7F"/>
    <w:rsid w:val="00AE5B10"/>
    <w:rsid w:val="00AE5CF5"/>
    <w:rsid w:val="00AE7D13"/>
    <w:rsid w:val="00AF0C6B"/>
    <w:rsid w:val="00AF1899"/>
    <w:rsid w:val="00AF20CC"/>
    <w:rsid w:val="00AF26F0"/>
    <w:rsid w:val="00AF32E3"/>
    <w:rsid w:val="00AF3F36"/>
    <w:rsid w:val="00AF5473"/>
    <w:rsid w:val="00AF6601"/>
    <w:rsid w:val="00AF6D46"/>
    <w:rsid w:val="00AF7925"/>
    <w:rsid w:val="00B016CA"/>
    <w:rsid w:val="00B022AC"/>
    <w:rsid w:val="00B0260D"/>
    <w:rsid w:val="00B02A33"/>
    <w:rsid w:val="00B03D71"/>
    <w:rsid w:val="00B0525B"/>
    <w:rsid w:val="00B0580D"/>
    <w:rsid w:val="00B11530"/>
    <w:rsid w:val="00B135D9"/>
    <w:rsid w:val="00B2381F"/>
    <w:rsid w:val="00B24EEF"/>
    <w:rsid w:val="00B25DDE"/>
    <w:rsid w:val="00B32318"/>
    <w:rsid w:val="00B34298"/>
    <w:rsid w:val="00B342E9"/>
    <w:rsid w:val="00B3653A"/>
    <w:rsid w:val="00B36FDE"/>
    <w:rsid w:val="00B412FE"/>
    <w:rsid w:val="00B42BD1"/>
    <w:rsid w:val="00B43050"/>
    <w:rsid w:val="00B43F1B"/>
    <w:rsid w:val="00B46136"/>
    <w:rsid w:val="00B50A3B"/>
    <w:rsid w:val="00B51385"/>
    <w:rsid w:val="00B519F8"/>
    <w:rsid w:val="00B52308"/>
    <w:rsid w:val="00B56196"/>
    <w:rsid w:val="00B60000"/>
    <w:rsid w:val="00B64AAE"/>
    <w:rsid w:val="00B64E2D"/>
    <w:rsid w:val="00B656FE"/>
    <w:rsid w:val="00B675BE"/>
    <w:rsid w:val="00B718A5"/>
    <w:rsid w:val="00B73652"/>
    <w:rsid w:val="00B766AF"/>
    <w:rsid w:val="00B76C2B"/>
    <w:rsid w:val="00B772F4"/>
    <w:rsid w:val="00B804B1"/>
    <w:rsid w:val="00B82C76"/>
    <w:rsid w:val="00B83C75"/>
    <w:rsid w:val="00B85CB2"/>
    <w:rsid w:val="00B874AC"/>
    <w:rsid w:val="00B926FE"/>
    <w:rsid w:val="00B92E3A"/>
    <w:rsid w:val="00B93799"/>
    <w:rsid w:val="00B94AB2"/>
    <w:rsid w:val="00B975AA"/>
    <w:rsid w:val="00BA2A02"/>
    <w:rsid w:val="00BA2B57"/>
    <w:rsid w:val="00BA3103"/>
    <w:rsid w:val="00BA339D"/>
    <w:rsid w:val="00BA3508"/>
    <w:rsid w:val="00BA3852"/>
    <w:rsid w:val="00BA4D00"/>
    <w:rsid w:val="00BA5477"/>
    <w:rsid w:val="00BB0732"/>
    <w:rsid w:val="00BB1A26"/>
    <w:rsid w:val="00BB4B29"/>
    <w:rsid w:val="00BB5A14"/>
    <w:rsid w:val="00BB66A4"/>
    <w:rsid w:val="00BB6D30"/>
    <w:rsid w:val="00BB7605"/>
    <w:rsid w:val="00BC0786"/>
    <w:rsid w:val="00BC27C4"/>
    <w:rsid w:val="00BC2AA8"/>
    <w:rsid w:val="00BC61EC"/>
    <w:rsid w:val="00BD091E"/>
    <w:rsid w:val="00BD0E52"/>
    <w:rsid w:val="00BD1AB0"/>
    <w:rsid w:val="00BD314D"/>
    <w:rsid w:val="00BD3F35"/>
    <w:rsid w:val="00BD4F7B"/>
    <w:rsid w:val="00BD6D7F"/>
    <w:rsid w:val="00BD70AB"/>
    <w:rsid w:val="00BE518A"/>
    <w:rsid w:val="00BE563F"/>
    <w:rsid w:val="00BE593C"/>
    <w:rsid w:val="00BF217F"/>
    <w:rsid w:val="00BF3452"/>
    <w:rsid w:val="00BF6713"/>
    <w:rsid w:val="00BF6B29"/>
    <w:rsid w:val="00C007CE"/>
    <w:rsid w:val="00C0412C"/>
    <w:rsid w:val="00C042C5"/>
    <w:rsid w:val="00C07334"/>
    <w:rsid w:val="00C13A65"/>
    <w:rsid w:val="00C16237"/>
    <w:rsid w:val="00C16646"/>
    <w:rsid w:val="00C17578"/>
    <w:rsid w:val="00C1784A"/>
    <w:rsid w:val="00C20DCA"/>
    <w:rsid w:val="00C256D8"/>
    <w:rsid w:val="00C25E20"/>
    <w:rsid w:val="00C25FD8"/>
    <w:rsid w:val="00C26429"/>
    <w:rsid w:val="00C26F0B"/>
    <w:rsid w:val="00C2792E"/>
    <w:rsid w:val="00C30E74"/>
    <w:rsid w:val="00C3173B"/>
    <w:rsid w:val="00C318FF"/>
    <w:rsid w:val="00C31CA5"/>
    <w:rsid w:val="00C32284"/>
    <w:rsid w:val="00C343FA"/>
    <w:rsid w:val="00C4119A"/>
    <w:rsid w:val="00C4191B"/>
    <w:rsid w:val="00C43389"/>
    <w:rsid w:val="00C43F45"/>
    <w:rsid w:val="00C44D10"/>
    <w:rsid w:val="00C456F7"/>
    <w:rsid w:val="00C47743"/>
    <w:rsid w:val="00C47834"/>
    <w:rsid w:val="00C51377"/>
    <w:rsid w:val="00C519AC"/>
    <w:rsid w:val="00C534D4"/>
    <w:rsid w:val="00C53C87"/>
    <w:rsid w:val="00C54803"/>
    <w:rsid w:val="00C54928"/>
    <w:rsid w:val="00C57C5B"/>
    <w:rsid w:val="00C604B6"/>
    <w:rsid w:val="00C61E13"/>
    <w:rsid w:val="00C63492"/>
    <w:rsid w:val="00C643D0"/>
    <w:rsid w:val="00C667B2"/>
    <w:rsid w:val="00C7001F"/>
    <w:rsid w:val="00C7045E"/>
    <w:rsid w:val="00C7095B"/>
    <w:rsid w:val="00C710B3"/>
    <w:rsid w:val="00C71A3F"/>
    <w:rsid w:val="00C71BE2"/>
    <w:rsid w:val="00C745B2"/>
    <w:rsid w:val="00C76063"/>
    <w:rsid w:val="00C80BF5"/>
    <w:rsid w:val="00C81062"/>
    <w:rsid w:val="00C81AF0"/>
    <w:rsid w:val="00C81E31"/>
    <w:rsid w:val="00C82B4D"/>
    <w:rsid w:val="00C84181"/>
    <w:rsid w:val="00C87588"/>
    <w:rsid w:val="00C90D5D"/>
    <w:rsid w:val="00C910D0"/>
    <w:rsid w:val="00C9242C"/>
    <w:rsid w:val="00C92D43"/>
    <w:rsid w:val="00C9797B"/>
    <w:rsid w:val="00CA324A"/>
    <w:rsid w:val="00CA3EDE"/>
    <w:rsid w:val="00CA421A"/>
    <w:rsid w:val="00CA4A95"/>
    <w:rsid w:val="00CA4E8A"/>
    <w:rsid w:val="00CA5496"/>
    <w:rsid w:val="00CA7C06"/>
    <w:rsid w:val="00CB0B4B"/>
    <w:rsid w:val="00CB0BAB"/>
    <w:rsid w:val="00CB0D03"/>
    <w:rsid w:val="00CB3340"/>
    <w:rsid w:val="00CB3C53"/>
    <w:rsid w:val="00CB44A3"/>
    <w:rsid w:val="00CB46EE"/>
    <w:rsid w:val="00CC149B"/>
    <w:rsid w:val="00CC247A"/>
    <w:rsid w:val="00CC28A4"/>
    <w:rsid w:val="00CC2FA6"/>
    <w:rsid w:val="00CC3F29"/>
    <w:rsid w:val="00CC4C45"/>
    <w:rsid w:val="00CC65D7"/>
    <w:rsid w:val="00CC67A3"/>
    <w:rsid w:val="00CC7582"/>
    <w:rsid w:val="00CD1463"/>
    <w:rsid w:val="00CD35D2"/>
    <w:rsid w:val="00CD3C71"/>
    <w:rsid w:val="00CE57C6"/>
    <w:rsid w:val="00CF07D8"/>
    <w:rsid w:val="00CF0F7B"/>
    <w:rsid w:val="00CF2029"/>
    <w:rsid w:val="00CF2BB0"/>
    <w:rsid w:val="00CF464B"/>
    <w:rsid w:val="00CF5818"/>
    <w:rsid w:val="00CF5C61"/>
    <w:rsid w:val="00CF5D40"/>
    <w:rsid w:val="00D00847"/>
    <w:rsid w:val="00D01A1A"/>
    <w:rsid w:val="00D068FD"/>
    <w:rsid w:val="00D07037"/>
    <w:rsid w:val="00D072C8"/>
    <w:rsid w:val="00D07B26"/>
    <w:rsid w:val="00D10014"/>
    <w:rsid w:val="00D10AD4"/>
    <w:rsid w:val="00D12C97"/>
    <w:rsid w:val="00D13102"/>
    <w:rsid w:val="00D14262"/>
    <w:rsid w:val="00D14CF8"/>
    <w:rsid w:val="00D15AA7"/>
    <w:rsid w:val="00D16102"/>
    <w:rsid w:val="00D2146F"/>
    <w:rsid w:val="00D32DAB"/>
    <w:rsid w:val="00D32E76"/>
    <w:rsid w:val="00D33180"/>
    <w:rsid w:val="00D3398E"/>
    <w:rsid w:val="00D33BD9"/>
    <w:rsid w:val="00D346AD"/>
    <w:rsid w:val="00D34E40"/>
    <w:rsid w:val="00D35533"/>
    <w:rsid w:val="00D35A9D"/>
    <w:rsid w:val="00D37979"/>
    <w:rsid w:val="00D422CF"/>
    <w:rsid w:val="00D441D7"/>
    <w:rsid w:val="00D45766"/>
    <w:rsid w:val="00D46AB0"/>
    <w:rsid w:val="00D502E6"/>
    <w:rsid w:val="00D507ED"/>
    <w:rsid w:val="00D53700"/>
    <w:rsid w:val="00D5476F"/>
    <w:rsid w:val="00D560A7"/>
    <w:rsid w:val="00D604CF"/>
    <w:rsid w:val="00D60555"/>
    <w:rsid w:val="00D61388"/>
    <w:rsid w:val="00D617D4"/>
    <w:rsid w:val="00D62B11"/>
    <w:rsid w:val="00D656F7"/>
    <w:rsid w:val="00D65A1C"/>
    <w:rsid w:val="00D72410"/>
    <w:rsid w:val="00D72FA8"/>
    <w:rsid w:val="00D73216"/>
    <w:rsid w:val="00D736C5"/>
    <w:rsid w:val="00D80CF5"/>
    <w:rsid w:val="00D84168"/>
    <w:rsid w:val="00D861C9"/>
    <w:rsid w:val="00D91346"/>
    <w:rsid w:val="00D929A1"/>
    <w:rsid w:val="00D9496D"/>
    <w:rsid w:val="00DA02E4"/>
    <w:rsid w:val="00DA1B11"/>
    <w:rsid w:val="00DA4D45"/>
    <w:rsid w:val="00DA4D91"/>
    <w:rsid w:val="00DA579B"/>
    <w:rsid w:val="00DA65B3"/>
    <w:rsid w:val="00DA6A00"/>
    <w:rsid w:val="00DB0B68"/>
    <w:rsid w:val="00DB25B4"/>
    <w:rsid w:val="00DB42F9"/>
    <w:rsid w:val="00DC1C61"/>
    <w:rsid w:val="00DC2D04"/>
    <w:rsid w:val="00DC3AB2"/>
    <w:rsid w:val="00DD0AF0"/>
    <w:rsid w:val="00DD7843"/>
    <w:rsid w:val="00DE0C90"/>
    <w:rsid w:val="00DE1A12"/>
    <w:rsid w:val="00DE2213"/>
    <w:rsid w:val="00DE23EA"/>
    <w:rsid w:val="00DE2452"/>
    <w:rsid w:val="00DE5BFC"/>
    <w:rsid w:val="00DE77F4"/>
    <w:rsid w:val="00DF133D"/>
    <w:rsid w:val="00DF1C79"/>
    <w:rsid w:val="00DF2F24"/>
    <w:rsid w:val="00DF3CFF"/>
    <w:rsid w:val="00DF48E4"/>
    <w:rsid w:val="00DF53F5"/>
    <w:rsid w:val="00DF67D9"/>
    <w:rsid w:val="00DF6EBA"/>
    <w:rsid w:val="00E00004"/>
    <w:rsid w:val="00E0134C"/>
    <w:rsid w:val="00E021E7"/>
    <w:rsid w:val="00E0234C"/>
    <w:rsid w:val="00E03663"/>
    <w:rsid w:val="00E0482A"/>
    <w:rsid w:val="00E06092"/>
    <w:rsid w:val="00E06BC5"/>
    <w:rsid w:val="00E06EFC"/>
    <w:rsid w:val="00E10158"/>
    <w:rsid w:val="00E10679"/>
    <w:rsid w:val="00E11DF7"/>
    <w:rsid w:val="00E173E2"/>
    <w:rsid w:val="00E20011"/>
    <w:rsid w:val="00E230F0"/>
    <w:rsid w:val="00E25042"/>
    <w:rsid w:val="00E26324"/>
    <w:rsid w:val="00E30968"/>
    <w:rsid w:val="00E31244"/>
    <w:rsid w:val="00E313D7"/>
    <w:rsid w:val="00E31EF9"/>
    <w:rsid w:val="00E358BD"/>
    <w:rsid w:val="00E3664B"/>
    <w:rsid w:val="00E376E9"/>
    <w:rsid w:val="00E41FF3"/>
    <w:rsid w:val="00E44F5D"/>
    <w:rsid w:val="00E451CC"/>
    <w:rsid w:val="00E4635C"/>
    <w:rsid w:val="00E473E5"/>
    <w:rsid w:val="00E47A26"/>
    <w:rsid w:val="00E519B6"/>
    <w:rsid w:val="00E51D3C"/>
    <w:rsid w:val="00E55BD1"/>
    <w:rsid w:val="00E616F7"/>
    <w:rsid w:val="00E62185"/>
    <w:rsid w:val="00E630F0"/>
    <w:rsid w:val="00E6339D"/>
    <w:rsid w:val="00E63D08"/>
    <w:rsid w:val="00E652BE"/>
    <w:rsid w:val="00E669EC"/>
    <w:rsid w:val="00E67011"/>
    <w:rsid w:val="00E67175"/>
    <w:rsid w:val="00E71CE9"/>
    <w:rsid w:val="00E740E8"/>
    <w:rsid w:val="00E741D4"/>
    <w:rsid w:val="00E77FE3"/>
    <w:rsid w:val="00E810D2"/>
    <w:rsid w:val="00E81F84"/>
    <w:rsid w:val="00E82D8F"/>
    <w:rsid w:val="00E83710"/>
    <w:rsid w:val="00E83B55"/>
    <w:rsid w:val="00E843CF"/>
    <w:rsid w:val="00E853B3"/>
    <w:rsid w:val="00E87E35"/>
    <w:rsid w:val="00E907D6"/>
    <w:rsid w:val="00E91686"/>
    <w:rsid w:val="00E920D9"/>
    <w:rsid w:val="00E941CB"/>
    <w:rsid w:val="00E94B7F"/>
    <w:rsid w:val="00E967B9"/>
    <w:rsid w:val="00E97C03"/>
    <w:rsid w:val="00EA0F54"/>
    <w:rsid w:val="00EA2F9D"/>
    <w:rsid w:val="00EA42F5"/>
    <w:rsid w:val="00EB0D78"/>
    <w:rsid w:val="00EB1C29"/>
    <w:rsid w:val="00EB3B9C"/>
    <w:rsid w:val="00EB3F2B"/>
    <w:rsid w:val="00EB71EE"/>
    <w:rsid w:val="00EC0514"/>
    <w:rsid w:val="00EC1BDB"/>
    <w:rsid w:val="00EC1E0A"/>
    <w:rsid w:val="00EC1F5B"/>
    <w:rsid w:val="00EC22B6"/>
    <w:rsid w:val="00EC2D6F"/>
    <w:rsid w:val="00EC2F7A"/>
    <w:rsid w:val="00EC6CD8"/>
    <w:rsid w:val="00EC726E"/>
    <w:rsid w:val="00EC77A3"/>
    <w:rsid w:val="00ED0335"/>
    <w:rsid w:val="00ED13A0"/>
    <w:rsid w:val="00ED238A"/>
    <w:rsid w:val="00ED3C46"/>
    <w:rsid w:val="00ED4A7F"/>
    <w:rsid w:val="00ED4F37"/>
    <w:rsid w:val="00ED6A2C"/>
    <w:rsid w:val="00EE0020"/>
    <w:rsid w:val="00EE1721"/>
    <w:rsid w:val="00EE6147"/>
    <w:rsid w:val="00EE765E"/>
    <w:rsid w:val="00EE7963"/>
    <w:rsid w:val="00EF3B2F"/>
    <w:rsid w:val="00F01FC2"/>
    <w:rsid w:val="00F036A4"/>
    <w:rsid w:val="00F05388"/>
    <w:rsid w:val="00F12E7C"/>
    <w:rsid w:val="00F12FE4"/>
    <w:rsid w:val="00F13290"/>
    <w:rsid w:val="00F145C4"/>
    <w:rsid w:val="00F15699"/>
    <w:rsid w:val="00F22165"/>
    <w:rsid w:val="00F22220"/>
    <w:rsid w:val="00F22D76"/>
    <w:rsid w:val="00F23CA6"/>
    <w:rsid w:val="00F35416"/>
    <w:rsid w:val="00F370E3"/>
    <w:rsid w:val="00F379C7"/>
    <w:rsid w:val="00F4127A"/>
    <w:rsid w:val="00F431BF"/>
    <w:rsid w:val="00F45033"/>
    <w:rsid w:val="00F45E11"/>
    <w:rsid w:val="00F469B6"/>
    <w:rsid w:val="00F51055"/>
    <w:rsid w:val="00F52565"/>
    <w:rsid w:val="00F52583"/>
    <w:rsid w:val="00F52E5D"/>
    <w:rsid w:val="00F54DBD"/>
    <w:rsid w:val="00F61709"/>
    <w:rsid w:val="00F627A9"/>
    <w:rsid w:val="00F63734"/>
    <w:rsid w:val="00F679DB"/>
    <w:rsid w:val="00F67D0D"/>
    <w:rsid w:val="00F70DDE"/>
    <w:rsid w:val="00F72BED"/>
    <w:rsid w:val="00F73331"/>
    <w:rsid w:val="00F7379C"/>
    <w:rsid w:val="00F758D2"/>
    <w:rsid w:val="00F76842"/>
    <w:rsid w:val="00F80C1F"/>
    <w:rsid w:val="00F80C9D"/>
    <w:rsid w:val="00F8282D"/>
    <w:rsid w:val="00F83630"/>
    <w:rsid w:val="00F87EAF"/>
    <w:rsid w:val="00F90D1D"/>
    <w:rsid w:val="00F92BB8"/>
    <w:rsid w:val="00F95A09"/>
    <w:rsid w:val="00F96368"/>
    <w:rsid w:val="00F9706D"/>
    <w:rsid w:val="00F97F68"/>
    <w:rsid w:val="00FA0428"/>
    <w:rsid w:val="00FA441B"/>
    <w:rsid w:val="00FA53D6"/>
    <w:rsid w:val="00FA5B33"/>
    <w:rsid w:val="00FA5F8D"/>
    <w:rsid w:val="00FA78FA"/>
    <w:rsid w:val="00FB10CA"/>
    <w:rsid w:val="00FB1C08"/>
    <w:rsid w:val="00FB614A"/>
    <w:rsid w:val="00FB65A2"/>
    <w:rsid w:val="00FB7882"/>
    <w:rsid w:val="00FB7952"/>
    <w:rsid w:val="00FB796D"/>
    <w:rsid w:val="00FC26E3"/>
    <w:rsid w:val="00FC63D4"/>
    <w:rsid w:val="00FC6D49"/>
    <w:rsid w:val="00FC7BE2"/>
    <w:rsid w:val="00FD2325"/>
    <w:rsid w:val="00FD235C"/>
    <w:rsid w:val="00FD254A"/>
    <w:rsid w:val="00FD2F4C"/>
    <w:rsid w:val="00FD7AA7"/>
    <w:rsid w:val="00FD7F83"/>
    <w:rsid w:val="00FE0BEE"/>
    <w:rsid w:val="00FE5B64"/>
    <w:rsid w:val="00FE5EC9"/>
    <w:rsid w:val="00FE6409"/>
    <w:rsid w:val="00FE7660"/>
    <w:rsid w:val="00FF1782"/>
    <w:rsid w:val="00FF26A4"/>
    <w:rsid w:val="00FF3265"/>
    <w:rsid w:val="00FF5E67"/>
    <w:rsid w:val="00FF6143"/>
    <w:rsid w:val="00FF6870"/>
    <w:rsid w:val="552AAD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AE370"/>
  <w15:chartTrackingRefBased/>
  <w15:docId w15:val="{62C85125-45E4-428B-AF36-1E206A145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ook Antiqua" w:eastAsiaTheme="minorHAnsi" w:hAnsi="Book Antiqua" w:cstheme="minorBidi"/>
        <w:sz w:val="24"/>
        <w:szCs w:val="22"/>
        <w:lang w:val="en-GB"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6CD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F5A9E"/>
    <w:pPr>
      <w:spacing w:line="240" w:lineRule="auto"/>
    </w:pPr>
    <w:rPr>
      <w:sz w:val="20"/>
      <w:szCs w:val="20"/>
    </w:rPr>
  </w:style>
  <w:style w:type="character" w:customStyle="1" w:styleId="FootnoteTextChar">
    <w:name w:val="Footnote Text Char"/>
    <w:basedOn w:val="DefaultParagraphFont"/>
    <w:link w:val="FootnoteText"/>
    <w:uiPriority w:val="99"/>
    <w:rsid w:val="009F5A9E"/>
    <w:rPr>
      <w:sz w:val="20"/>
      <w:szCs w:val="20"/>
    </w:rPr>
  </w:style>
  <w:style w:type="character" w:styleId="FootnoteReference">
    <w:name w:val="footnote reference"/>
    <w:basedOn w:val="DefaultParagraphFont"/>
    <w:uiPriority w:val="99"/>
    <w:semiHidden/>
    <w:unhideWhenUsed/>
    <w:rsid w:val="009F5A9E"/>
    <w:rPr>
      <w:vertAlign w:val="superscript"/>
    </w:rPr>
  </w:style>
  <w:style w:type="paragraph" w:styleId="ListParagraph">
    <w:name w:val="List Paragraph"/>
    <w:basedOn w:val="Normal"/>
    <w:uiPriority w:val="34"/>
    <w:qFormat/>
    <w:rsid w:val="007F3277"/>
    <w:pPr>
      <w:ind w:left="720"/>
      <w:contextualSpacing/>
    </w:pPr>
  </w:style>
  <w:style w:type="character" w:styleId="Hyperlink">
    <w:name w:val="Hyperlink"/>
    <w:basedOn w:val="DefaultParagraphFont"/>
    <w:uiPriority w:val="99"/>
    <w:unhideWhenUsed/>
    <w:rsid w:val="0009683C"/>
    <w:rPr>
      <w:color w:val="0563C1" w:themeColor="hyperlink"/>
      <w:u w:val="single"/>
    </w:rPr>
  </w:style>
  <w:style w:type="character" w:styleId="FollowedHyperlink">
    <w:name w:val="FollowedHyperlink"/>
    <w:basedOn w:val="DefaultParagraphFont"/>
    <w:uiPriority w:val="99"/>
    <w:semiHidden/>
    <w:unhideWhenUsed/>
    <w:rsid w:val="005C4B49"/>
    <w:rPr>
      <w:color w:val="954F72" w:themeColor="followedHyperlink"/>
      <w:u w:val="single"/>
    </w:rPr>
  </w:style>
  <w:style w:type="paragraph" w:styleId="Header">
    <w:name w:val="header"/>
    <w:basedOn w:val="Normal"/>
    <w:link w:val="HeaderChar"/>
    <w:uiPriority w:val="99"/>
    <w:semiHidden/>
    <w:unhideWhenUsed/>
    <w:rsid w:val="00160FDF"/>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160FDF"/>
  </w:style>
  <w:style w:type="paragraph" w:styleId="Footer">
    <w:name w:val="footer"/>
    <w:basedOn w:val="Normal"/>
    <w:link w:val="FooterChar"/>
    <w:uiPriority w:val="99"/>
    <w:semiHidden/>
    <w:unhideWhenUsed/>
    <w:rsid w:val="00160FDF"/>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160FDF"/>
  </w:style>
  <w:style w:type="character" w:styleId="HTMLCite">
    <w:name w:val="HTML Cite"/>
    <w:basedOn w:val="DefaultParagraphFont"/>
    <w:uiPriority w:val="99"/>
    <w:semiHidden/>
    <w:unhideWhenUsed/>
    <w:rsid w:val="00697303"/>
    <w:rPr>
      <w:i/>
      <w:iCs/>
    </w:rPr>
  </w:style>
  <w:style w:type="paragraph" w:styleId="BalloonText">
    <w:name w:val="Balloon Text"/>
    <w:basedOn w:val="Normal"/>
    <w:link w:val="BalloonTextChar"/>
    <w:uiPriority w:val="99"/>
    <w:semiHidden/>
    <w:unhideWhenUsed/>
    <w:rsid w:val="0020574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74D"/>
    <w:rPr>
      <w:rFonts w:ascii="Segoe UI" w:hAnsi="Segoe UI" w:cs="Segoe UI"/>
      <w:sz w:val="18"/>
      <w:szCs w:val="18"/>
    </w:r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136C53"/>
    <w:rPr>
      <w:color w:val="605E5C"/>
      <w:shd w:val="clear" w:color="auto" w:fill="E1DFDD"/>
    </w:rPr>
  </w:style>
  <w:style w:type="character" w:styleId="CommentReference">
    <w:name w:val="annotation reference"/>
    <w:basedOn w:val="DefaultParagraphFont"/>
    <w:uiPriority w:val="99"/>
    <w:semiHidden/>
    <w:unhideWhenUsed/>
    <w:rsid w:val="007E2FE5"/>
    <w:rPr>
      <w:sz w:val="16"/>
      <w:szCs w:val="16"/>
    </w:rPr>
  </w:style>
  <w:style w:type="paragraph" w:styleId="CommentText">
    <w:name w:val="annotation text"/>
    <w:basedOn w:val="Normal"/>
    <w:link w:val="CommentTextChar"/>
    <w:uiPriority w:val="99"/>
    <w:semiHidden/>
    <w:unhideWhenUsed/>
    <w:rsid w:val="007E2FE5"/>
    <w:pPr>
      <w:spacing w:line="240" w:lineRule="auto"/>
    </w:pPr>
    <w:rPr>
      <w:sz w:val="20"/>
      <w:szCs w:val="20"/>
    </w:rPr>
  </w:style>
  <w:style w:type="character" w:customStyle="1" w:styleId="CommentTextChar">
    <w:name w:val="Comment Text Char"/>
    <w:basedOn w:val="DefaultParagraphFont"/>
    <w:link w:val="CommentText"/>
    <w:uiPriority w:val="99"/>
    <w:semiHidden/>
    <w:rsid w:val="007E2FE5"/>
    <w:rPr>
      <w:sz w:val="20"/>
      <w:szCs w:val="20"/>
    </w:rPr>
  </w:style>
  <w:style w:type="paragraph" w:styleId="CommentSubject">
    <w:name w:val="annotation subject"/>
    <w:basedOn w:val="CommentText"/>
    <w:next w:val="CommentText"/>
    <w:link w:val="CommentSubjectChar"/>
    <w:uiPriority w:val="99"/>
    <w:semiHidden/>
    <w:unhideWhenUsed/>
    <w:rsid w:val="007E2FE5"/>
    <w:rPr>
      <w:b/>
      <w:bCs/>
    </w:rPr>
  </w:style>
  <w:style w:type="character" w:customStyle="1" w:styleId="CommentSubjectChar">
    <w:name w:val="Comment Subject Char"/>
    <w:basedOn w:val="CommentTextChar"/>
    <w:link w:val="CommentSubject"/>
    <w:uiPriority w:val="99"/>
    <w:semiHidden/>
    <w:rsid w:val="007E2FE5"/>
    <w:rPr>
      <w:b/>
      <w:bCs/>
      <w:sz w:val="20"/>
      <w:szCs w:val="20"/>
    </w:rPr>
  </w:style>
  <w:style w:type="character" w:customStyle="1" w:styleId="st">
    <w:name w:val="st"/>
    <w:basedOn w:val="DefaultParagraphFont"/>
    <w:rsid w:val="001C478F"/>
  </w:style>
  <w:style w:type="character" w:customStyle="1" w:styleId="ilfuvd">
    <w:name w:val="ilfuvd"/>
    <w:basedOn w:val="DefaultParagraphFont"/>
    <w:rsid w:val="00170C6F"/>
  </w:style>
  <w:style w:type="character" w:customStyle="1" w:styleId="Heading1Char">
    <w:name w:val="Heading 1 Char"/>
    <w:basedOn w:val="DefaultParagraphFont"/>
    <w:link w:val="Heading1"/>
    <w:uiPriority w:val="9"/>
    <w:rsid w:val="00EC6CD8"/>
    <w:rPr>
      <w:rFonts w:asciiTheme="majorHAnsi" w:eastAsiaTheme="majorEastAsia" w:hAnsiTheme="majorHAnsi" w:cstheme="majorBidi"/>
      <w:color w:val="2E74B5" w:themeColor="accent1" w:themeShade="BF"/>
      <w:sz w:val="32"/>
      <w:szCs w:val="32"/>
    </w:rPr>
  </w:style>
  <w:style w:type="paragraph" w:customStyle="1" w:styleId="Normal1">
    <w:name w:val="Normal1"/>
    <w:basedOn w:val="Normal"/>
    <w:rsid w:val="00696AB9"/>
    <w:pPr>
      <w:spacing w:before="100" w:beforeAutospacing="1" w:after="100" w:afterAutospacing="1" w:line="240" w:lineRule="auto"/>
    </w:pPr>
    <w:rPr>
      <w:rFonts w:ascii="Times New Roman" w:eastAsia="Times New Roman" w:hAnsi="Times New Roman" w:cs="Times New Roman"/>
      <w:szCs w:val="24"/>
      <w:lang w:eastAsia="en-GB"/>
    </w:rPr>
  </w:style>
  <w:style w:type="paragraph" w:styleId="NoSpacing">
    <w:name w:val="No Spacing"/>
    <w:uiPriority w:val="1"/>
    <w:qFormat/>
    <w:rsid w:val="00201AB0"/>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035378">
      <w:bodyDiv w:val="1"/>
      <w:marLeft w:val="0"/>
      <w:marRight w:val="0"/>
      <w:marTop w:val="0"/>
      <w:marBottom w:val="0"/>
      <w:divBdr>
        <w:top w:val="none" w:sz="0" w:space="0" w:color="auto"/>
        <w:left w:val="none" w:sz="0" w:space="0" w:color="auto"/>
        <w:bottom w:val="none" w:sz="0" w:space="0" w:color="auto"/>
        <w:right w:val="none" w:sz="0" w:space="0" w:color="auto"/>
      </w:divBdr>
      <w:divsChild>
        <w:div w:id="561059165">
          <w:marLeft w:val="0"/>
          <w:marRight w:val="0"/>
          <w:marTop w:val="0"/>
          <w:marBottom w:val="0"/>
          <w:divBdr>
            <w:top w:val="none" w:sz="0" w:space="0" w:color="auto"/>
            <w:left w:val="none" w:sz="0" w:space="0" w:color="auto"/>
            <w:bottom w:val="none" w:sz="0" w:space="0" w:color="auto"/>
            <w:right w:val="none" w:sz="0" w:space="0" w:color="auto"/>
          </w:divBdr>
        </w:div>
        <w:div w:id="634024958">
          <w:marLeft w:val="0"/>
          <w:marRight w:val="0"/>
          <w:marTop w:val="0"/>
          <w:marBottom w:val="0"/>
          <w:divBdr>
            <w:top w:val="none" w:sz="0" w:space="0" w:color="auto"/>
            <w:left w:val="none" w:sz="0" w:space="0" w:color="auto"/>
            <w:bottom w:val="none" w:sz="0" w:space="0" w:color="auto"/>
            <w:right w:val="none" w:sz="0" w:space="0" w:color="auto"/>
          </w:divBdr>
        </w:div>
      </w:divsChild>
    </w:div>
    <w:div w:id="743457545">
      <w:bodyDiv w:val="1"/>
      <w:marLeft w:val="0"/>
      <w:marRight w:val="0"/>
      <w:marTop w:val="0"/>
      <w:marBottom w:val="0"/>
      <w:divBdr>
        <w:top w:val="none" w:sz="0" w:space="0" w:color="auto"/>
        <w:left w:val="none" w:sz="0" w:space="0" w:color="auto"/>
        <w:bottom w:val="none" w:sz="0" w:space="0" w:color="auto"/>
        <w:right w:val="none" w:sz="0" w:space="0" w:color="auto"/>
      </w:divBdr>
    </w:div>
    <w:div w:id="795148344">
      <w:bodyDiv w:val="1"/>
      <w:marLeft w:val="0"/>
      <w:marRight w:val="0"/>
      <w:marTop w:val="0"/>
      <w:marBottom w:val="0"/>
      <w:divBdr>
        <w:top w:val="none" w:sz="0" w:space="0" w:color="auto"/>
        <w:left w:val="none" w:sz="0" w:space="0" w:color="auto"/>
        <w:bottom w:val="none" w:sz="0" w:space="0" w:color="auto"/>
        <w:right w:val="none" w:sz="0" w:space="0" w:color="auto"/>
      </w:divBdr>
    </w:div>
    <w:div w:id="1404448921">
      <w:bodyDiv w:val="1"/>
      <w:marLeft w:val="0"/>
      <w:marRight w:val="0"/>
      <w:marTop w:val="0"/>
      <w:marBottom w:val="0"/>
      <w:divBdr>
        <w:top w:val="none" w:sz="0" w:space="0" w:color="auto"/>
        <w:left w:val="none" w:sz="0" w:space="0" w:color="auto"/>
        <w:bottom w:val="none" w:sz="0" w:space="0" w:color="auto"/>
        <w:right w:val="none" w:sz="0" w:space="0" w:color="auto"/>
      </w:divBdr>
      <w:divsChild>
        <w:div w:id="591816486">
          <w:marLeft w:val="0"/>
          <w:marRight w:val="0"/>
          <w:marTop w:val="0"/>
          <w:marBottom w:val="0"/>
          <w:divBdr>
            <w:top w:val="none" w:sz="0" w:space="0" w:color="auto"/>
            <w:left w:val="none" w:sz="0" w:space="0" w:color="auto"/>
            <w:bottom w:val="none" w:sz="0" w:space="0" w:color="auto"/>
            <w:right w:val="none" w:sz="0" w:space="0" w:color="auto"/>
          </w:divBdr>
        </w:div>
      </w:divsChild>
    </w:div>
    <w:div w:id="1686395762">
      <w:bodyDiv w:val="1"/>
      <w:marLeft w:val="0"/>
      <w:marRight w:val="0"/>
      <w:marTop w:val="0"/>
      <w:marBottom w:val="0"/>
      <w:divBdr>
        <w:top w:val="none" w:sz="0" w:space="0" w:color="auto"/>
        <w:left w:val="none" w:sz="0" w:space="0" w:color="auto"/>
        <w:bottom w:val="none" w:sz="0" w:space="0" w:color="auto"/>
        <w:right w:val="none" w:sz="0" w:space="0" w:color="auto"/>
      </w:divBdr>
    </w:div>
    <w:div w:id="1988511979">
      <w:bodyDiv w:val="1"/>
      <w:marLeft w:val="0"/>
      <w:marRight w:val="0"/>
      <w:marTop w:val="0"/>
      <w:marBottom w:val="0"/>
      <w:divBdr>
        <w:top w:val="none" w:sz="0" w:space="0" w:color="auto"/>
        <w:left w:val="none" w:sz="0" w:space="0" w:color="auto"/>
        <w:bottom w:val="none" w:sz="0" w:space="0" w:color="auto"/>
        <w:right w:val="none" w:sz="0" w:space="0" w:color="auto"/>
      </w:divBdr>
    </w:div>
    <w:div w:id="2109427196">
      <w:bodyDiv w:val="1"/>
      <w:marLeft w:val="0"/>
      <w:marRight w:val="0"/>
      <w:marTop w:val="0"/>
      <w:marBottom w:val="0"/>
      <w:divBdr>
        <w:top w:val="none" w:sz="0" w:space="0" w:color="auto"/>
        <w:left w:val="none" w:sz="0" w:space="0" w:color="auto"/>
        <w:bottom w:val="none" w:sz="0" w:space="0" w:color="auto"/>
        <w:right w:val="none" w:sz="0" w:space="0" w:color="auto"/>
      </w:divBdr>
    </w:div>
    <w:div w:id="213643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supremecourt.uk/docs/speech-200310.pdf" TargetMode="External"/><Relationship Id="rId2" Type="http://schemas.openxmlformats.org/officeDocument/2006/relationships/hyperlink" Target="https://www.supremecourt.uk/docs/speech-120901.pdf" TargetMode="External"/><Relationship Id="rId1" Type="http://schemas.openxmlformats.org/officeDocument/2006/relationships/hyperlink" Target="mailto:d.taylor5@herts.ac.uk" TargetMode="External"/><Relationship Id="rId6" Type="http://schemas.openxmlformats.org/officeDocument/2006/relationships/hyperlink" Target="https://questions-statements.parliament.uk/written-statements/detail/2020-03-03/HCWS143" TargetMode="External"/><Relationship Id="rId5" Type="http://schemas.openxmlformats.org/officeDocument/2006/relationships/hyperlink" Target="https://arxiv.org/pdf/1608.00771v3.pdf" TargetMode="External"/><Relationship Id="rId4" Type="http://schemas.openxmlformats.org/officeDocument/2006/relationships/hyperlink" Target="https://www.supremecourt.uk/docs/speech-19082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9E796-FC93-442D-BD10-739941D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18657</TotalTime>
  <Pages>8</Pages>
  <Words>2735</Words>
  <Characters>15595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University of Westminster</Company>
  <LinksUpToDate>false</LinksUpToDate>
  <CharactersWithSpaces>18294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Taylor</dc:creator>
  <cp:keywords/>
  <dc:description/>
  <cp:lastModifiedBy>Dean Taylor</cp:lastModifiedBy>
  <cp:revision>1287</cp:revision>
  <cp:lastPrinted>2019-11-03T15:50:00Z</cp:lastPrinted>
  <dcterms:created xsi:type="dcterms:W3CDTF">2019-09-25T10:15:00Z</dcterms:created>
  <dcterms:modified xsi:type="dcterms:W3CDTF">2020-11-20T10:50:00Z</dcterms:modified>
</cp:coreProperties>
</file>