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C0D9D" w14:textId="77777777" w:rsidR="001C4D21" w:rsidRPr="00BD57E5" w:rsidRDefault="001C4D21" w:rsidP="00BD57E5">
      <w:pPr>
        <w:pStyle w:val="Articletitle"/>
        <w:spacing w:after="0" w:line="480" w:lineRule="auto"/>
        <w:jc w:val="center"/>
        <w:rPr>
          <w:sz w:val="24"/>
        </w:rPr>
      </w:pPr>
    </w:p>
    <w:p w14:paraId="7831CFFC" w14:textId="77777777" w:rsidR="001C4D21" w:rsidRPr="00BD57E5" w:rsidRDefault="001C4D21" w:rsidP="00BD57E5">
      <w:pPr>
        <w:pStyle w:val="Articletitle"/>
        <w:spacing w:after="0" w:line="480" w:lineRule="auto"/>
        <w:jc w:val="center"/>
        <w:rPr>
          <w:sz w:val="24"/>
        </w:rPr>
      </w:pPr>
    </w:p>
    <w:p w14:paraId="1BAEB32C" w14:textId="77777777" w:rsidR="001C4D21" w:rsidRPr="00BD57E5" w:rsidRDefault="001C4D21" w:rsidP="00BD57E5">
      <w:pPr>
        <w:pStyle w:val="Articletitle"/>
        <w:spacing w:after="0" w:line="480" w:lineRule="auto"/>
        <w:jc w:val="center"/>
        <w:rPr>
          <w:sz w:val="24"/>
        </w:rPr>
      </w:pPr>
    </w:p>
    <w:p w14:paraId="12F01AE5" w14:textId="77777777" w:rsidR="001C4D21" w:rsidRPr="00BD57E5" w:rsidRDefault="001C4D21" w:rsidP="00BD57E5">
      <w:pPr>
        <w:pStyle w:val="Articletitle"/>
        <w:spacing w:after="0" w:line="480" w:lineRule="auto"/>
        <w:jc w:val="center"/>
        <w:rPr>
          <w:sz w:val="24"/>
        </w:rPr>
      </w:pPr>
    </w:p>
    <w:p w14:paraId="7D7AF070" w14:textId="77777777" w:rsidR="001C4D21" w:rsidRPr="00BD57E5" w:rsidRDefault="001C4D21" w:rsidP="00BD57E5">
      <w:pPr>
        <w:pStyle w:val="Articletitle"/>
        <w:spacing w:after="0" w:line="480" w:lineRule="auto"/>
        <w:jc w:val="center"/>
        <w:rPr>
          <w:sz w:val="24"/>
        </w:rPr>
      </w:pPr>
    </w:p>
    <w:p w14:paraId="36AC93ED" w14:textId="77777777" w:rsidR="001C4D21" w:rsidRPr="00BD57E5" w:rsidRDefault="001C4D21" w:rsidP="00BD57E5">
      <w:pPr>
        <w:pStyle w:val="Articletitle"/>
        <w:spacing w:after="0" w:line="480" w:lineRule="auto"/>
        <w:jc w:val="center"/>
        <w:rPr>
          <w:sz w:val="24"/>
        </w:rPr>
      </w:pPr>
    </w:p>
    <w:p w14:paraId="2D20F6A7" w14:textId="77777777" w:rsidR="001C4D21" w:rsidRPr="00BD57E5" w:rsidRDefault="001C4D21" w:rsidP="00BD57E5">
      <w:pPr>
        <w:pStyle w:val="Articletitle"/>
        <w:spacing w:after="0" w:line="480" w:lineRule="auto"/>
        <w:jc w:val="center"/>
        <w:rPr>
          <w:sz w:val="24"/>
        </w:rPr>
      </w:pPr>
    </w:p>
    <w:p w14:paraId="7167F5B1" w14:textId="372D15CD" w:rsidR="00F20579" w:rsidRPr="004E72EE" w:rsidRDefault="00F20579" w:rsidP="00BD57E5">
      <w:pPr>
        <w:pStyle w:val="Articletitle"/>
        <w:spacing w:after="0" w:line="480" w:lineRule="auto"/>
        <w:jc w:val="center"/>
        <w:rPr>
          <w:b w:val="0"/>
          <w:bCs/>
          <w:sz w:val="24"/>
        </w:rPr>
      </w:pPr>
      <w:r w:rsidRPr="004E72EE">
        <w:rPr>
          <w:b w:val="0"/>
          <w:bCs/>
          <w:sz w:val="24"/>
        </w:rPr>
        <w:t xml:space="preserve">Exploring the </w:t>
      </w:r>
      <w:r w:rsidR="001A42D5">
        <w:rPr>
          <w:b w:val="0"/>
          <w:bCs/>
          <w:sz w:val="24"/>
        </w:rPr>
        <w:t>a</w:t>
      </w:r>
      <w:r w:rsidRPr="004E72EE">
        <w:rPr>
          <w:b w:val="0"/>
          <w:bCs/>
          <w:sz w:val="24"/>
        </w:rPr>
        <w:t xml:space="preserve">ssociation between </w:t>
      </w:r>
      <w:r w:rsidR="001A42D5">
        <w:rPr>
          <w:b w:val="0"/>
          <w:bCs/>
          <w:sz w:val="24"/>
        </w:rPr>
        <w:t>s</w:t>
      </w:r>
      <w:r w:rsidRPr="004E72EE">
        <w:rPr>
          <w:b w:val="0"/>
          <w:bCs/>
          <w:sz w:val="24"/>
        </w:rPr>
        <w:t xml:space="preserve">exual </w:t>
      </w:r>
      <w:r w:rsidR="001A42D5">
        <w:rPr>
          <w:b w:val="0"/>
          <w:bCs/>
          <w:sz w:val="24"/>
        </w:rPr>
        <w:t>m</w:t>
      </w:r>
      <w:r w:rsidRPr="004E72EE">
        <w:rPr>
          <w:b w:val="0"/>
          <w:bCs/>
          <w:sz w:val="24"/>
        </w:rPr>
        <w:t xml:space="preserve">otivation and </w:t>
      </w:r>
      <w:r w:rsidR="001A42D5">
        <w:rPr>
          <w:b w:val="0"/>
          <w:bCs/>
          <w:sz w:val="24"/>
        </w:rPr>
        <w:t>q</w:t>
      </w:r>
      <w:r w:rsidRPr="004E72EE">
        <w:rPr>
          <w:b w:val="0"/>
          <w:bCs/>
          <w:sz w:val="24"/>
        </w:rPr>
        <w:t xml:space="preserve">uality of </w:t>
      </w:r>
      <w:r w:rsidR="001A42D5">
        <w:rPr>
          <w:b w:val="0"/>
          <w:bCs/>
          <w:sz w:val="24"/>
        </w:rPr>
        <w:t>l</w:t>
      </w:r>
      <w:r w:rsidRPr="004E72EE">
        <w:rPr>
          <w:b w:val="0"/>
          <w:bCs/>
          <w:sz w:val="24"/>
        </w:rPr>
        <w:t>ife in China and the United Kingdom</w:t>
      </w:r>
    </w:p>
    <w:p w14:paraId="5C90AB64" w14:textId="77777777" w:rsidR="001C4D21" w:rsidRPr="00BD57E5" w:rsidRDefault="001C4D21" w:rsidP="00BD57E5"/>
    <w:p w14:paraId="6986BE24" w14:textId="77777777" w:rsidR="001C4D21" w:rsidRPr="00BD57E5" w:rsidRDefault="001C4D21" w:rsidP="00BD57E5"/>
    <w:p w14:paraId="67A7623C" w14:textId="54F48915" w:rsidR="00F20579" w:rsidRPr="00BD57E5" w:rsidRDefault="00F20579" w:rsidP="004E72EE">
      <w:pPr>
        <w:pStyle w:val="Authornames"/>
        <w:spacing w:before="0" w:line="480" w:lineRule="auto"/>
        <w:rPr>
          <w:sz w:val="24"/>
        </w:rPr>
      </w:pPr>
      <w:r w:rsidRPr="00BD57E5">
        <w:rPr>
          <w:sz w:val="24"/>
        </w:rPr>
        <w:t>Shijun Zheng</w:t>
      </w:r>
      <w:r w:rsidR="001A42D5">
        <w:rPr>
          <w:sz w:val="24"/>
          <w:vertAlign w:val="superscript"/>
        </w:rPr>
        <w:t>1</w:t>
      </w:r>
      <w:r w:rsidRPr="00BD57E5">
        <w:rPr>
          <w:sz w:val="24"/>
        </w:rPr>
        <w:t xml:space="preserve"> and Heather L. Armstrong</w:t>
      </w:r>
      <w:r w:rsidR="001A42D5">
        <w:rPr>
          <w:sz w:val="24"/>
          <w:vertAlign w:val="superscript"/>
        </w:rPr>
        <w:t>1</w:t>
      </w:r>
      <w:r w:rsidR="00D10E7C" w:rsidRPr="00BD57E5">
        <w:rPr>
          <w:sz w:val="24"/>
        </w:rPr>
        <w:t>*</w:t>
      </w:r>
    </w:p>
    <w:p w14:paraId="1B708725" w14:textId="443BD82D" w:rsidR="00F20579" w:rsidRPr="004E72EE" w:rsidRDefault="001A42D5" w:rsidP="00BD57E5">
      <w:pPr>
        <w:pStyle w:val="Affiliation"/>
        <w:spacing w:before="0" w:line="480" w:lineRule="auto"/>
        <w:rPr>
          <w:i w:val="0"/>
          <w:iCs/>
        </w:rPr>
      </w:pPr>
      <w:r w:rsidRPr="004E72EE">
        <w:rPr>
          <w:i w:val="0"/>
          <w:iCs/>
          <w:vertAlign w:val="superscript"/>
        </w:rPr>
        <w:t>1</w:t>
      </w:r>
      <w:r>
        <w:rPr>
          <w:i w:val="0"/>
          <w:iCs/>
          <w:vertAlign w:val="superscript"/>
        </w:rPr>
        <w:t xml:space="preserve"> </w:t>
      </w:r>
      <w:r w:rsidR="00F20579" w:rsidRPr="004E72EE">
        <w:rPr>
          <w:i w:val="0"/>
          <w:iCs/>
        </w:rPr>
        <w:t>School of Psychology, University of Southampton, Southampton, United Kingdom</w:t>
      </w:r>
    </w:p>
    <w:p w14:paraId="0B34BC04" w14:textId="77777777" w:rsidR="001C4D21" w:rsidRPr="00BD57E5" w:rsidRDefault="001C4D21" w:rsidP="00BD57E5">
      <w:pPr>
        <w:pStyle w:val="Correspondencedetails"/>
        <w:spacing w:before="0" w:line="480" w:lineRule="auto"/>
      </w:pPr>
    </w:p>
    <w:p w14:paraId="0D54CA49" w14:textId="77777777" w:rsidR="006A1563" w:rsidRDefault="006A1563" w:rsidP="00BD57E5">
      <w:pPr>
        <w:pStyle w:val="Correspondencedetails"/>
        <w:spacing w:before="0" w:line="276" w:lineRule="auto"/>
      </w:pPr>
      <w:r>
        <w:t xml:space="preserve">* </w:t>
      </w:r>
      <w:r w:rsidR="00F20579" w:rsidRPr="00BD57E5">
        <w:t>Corresponding author</w:t>
      </w:r>
    </w:p>
    <w:p w14:paraId="0E5B6763" w14:textId="34B0DEDE" w:rsidR="00F20579" w:rsidRDefault="00F20579" w:rsidP="00BD57E5">
      <w:pPr>
        <w:pStyle w:val="Correspondencedetails"/>
        <w:spacing w:before="0" w:line="276" w:lineRule="auto"/>
      </w:pPr>
      <w:r w:rsidRPr="00BD57E5">
        <w:t>E</w:t>
      </w:r>
      <w:r w:rsidR="006A1563">
        <w:t>-</w:t>
      </w:r>
      <w:r w:rsidRPr="00BD57E5">
        <w:t xml:space="preserve">mail: </w:t>
      </w:r>
      <w:hyperlink r:id="rId8" w:history="1">
        <w:r w:rsidR="006F2797" w:rsidRPr="00F1402C">
          <w:rPr>
            <w:rStyle w:val="Hyperlink"/>
          </w:rPr>
          <w:t>h.armstrong@soton.ac.uk</w:t>
        </w:r>
      </w:hyperlink>
      <w:r w:rsidR="006A1563">
        <w:rPr>
          <w:rStyle w:val="Hyperlink"/>
        </w:rPr>
        <w:t xml:space="preserve"> (HA)</w:t>
      </w:r>
    </w:p>
    <w:p w14:paraId="3CCA56D7" w14:textId="176620C7" w:rsidR="006F2797" w:rsidRPr="00BD57E5" w:rsidRDefault="006F2797" w:rsidP="00BD57E5">
      <w:pPr>
        <w:pStyle w:val="Correspondencedetails"/>
        <w:spacing w:before="0" w:line="276" w:lineRule="auto"/>
      </w:pPr>
    </w:p>
    <w:p w14:paraId="20DF1383" w14:textId="72ECE3EC" w:rsidR="00BD57E5" w:rsidRDefault="00BD57E5">
      <w:pPr>
        <w:spacing w:line="240" w:lineRule="auto"/>
        <w:rPr>
          <w:b/>
        </w:rPr>
      </w:pPr>
      <w:r>
        <w:br w:type="page"/>
      </w:r>
    </w:p>
    <w:p w14:paraId="4ED8CCD1" w14:textId="77EA9466" w:rsidR="00D10E7C" w:rsidRPr="004E72EE" w:rsidRDefault="00A9057C" w:rsidP="004E72EE">
      <w:pPr>
        <w:pStyle w:val="Articletitle"/>
        <w:spacing w:after="0" w:line="480" w:lineRule="auto"/>
        <w:rPr>
          <w:sz w:val="36"/>
          <w:szCs w:val="36"/>
        </w:rPr>
      </w:pPr>
      <w:r w:rsidRPr="004E72EE">
        <w:rPr>
          <w:sz w:val="36"/>
          <w:szCs w:val="36"/>
        </w:rPr>
        <w:lastRenderedPageBreak/>
        <w:t>Abstract</w:t>
      </w:r>
    </w:p>
    <w:p w14:paraId="691856E0" w14:textId="0E6B3F51" w:rsidR="00C34F26" w:rsidRPr="00BD57E5" w:rsidRDefault="00C34F26" w:rsidP="004E72EE">
      <w:pPr>
        <w:pStyle w:val="Keywords"/>
        <w:spacing w:before="0" w:after="0" w:line="480" w:lineRule="auto"/>
        <w:ind w:left="0" w:firstLine="420"/>
        <w:rPr>
          <w:sz w:val="24"/>
        </w:rPr>
      </w:pPr>
      <w:r w:rsidRPr="00BD57E5">
        <w:rPr>
          <w:sz w:val="24"/>
        </w:rPr>
        <w:t>Previous research suggests that different sexual motivations m</w:t>
      </w:r>
      <w:r w:rsidR="00BE0720">
        <w:rPr>
          <w:sz w:val="24"/>
        </w:rPr>
        <w:t>ay</w:t>
      </w:r>
      <w:r w:rsidRPr="00BD57E5">
        <w:rPr>
          <w:sz w:val="24"/>
        </w:rPr>
        <w:t xml:space="preserve"> be associated with different sexual behaviours and levels of sexual satisfaction</w:t>
      </w:r>
      <w:r w:rsidR="00BE0720">
        <w:rPr>
          <w:sz w:val="24"/>
        </w:rPr>
        <w:t xml:space="preserve">, and these may vary </w:t>
      </w:r>
      <w:r w:rsidR="00D90AF4">
        <w:rPr>
          <w:sz w:val="24"/>
        </w:rPr>
        <w:t>with</w:t>
      </w:r>
      <w:r w:rsidRPr="00BD57E5">
        <w:rPr>
          <w:sz w:val="24"/>
        </w:rPr>
        <w:t xml:space="preserve"> cultural differences. As such, sexual motivations and cultural factors might also be associated with quality of life (QoL); however, this has not yet been explored. Using a biopsychosocial approach, this study aimed to explore associations between sexual motivation and quality of life between participants in the United Kingdom and China. 276 participants (143 British, 133 Chinese, </w:t>
      </w:r>
      <w:r w:rsidR="00BD57E5">
        <w:rPr>
          <w:sz w:val="24"/>
        </w:rPr>
        <w:t>mean age</w:t>
      </w:r>
      <w:r w:rsidRPr="00BD57E5">
        <w:rPr>
          <w:sz w:val="24"/>
        </w:rPr>
        <w:t xml:space="preserve">=21.5 years) completed </w:t>
      </w:r>
      <w:r w:rsidR="00BD57E5">
        <w:rPr>
          <w:sz w:val="24"/>
        </w:rPr>
        <w:t>an anonymous online</w:t>
      </w:r>
      <w:r w:rsidRPr="00BD57E5">
        <w:rPr>
          <w:sz w:val="24"/>
        </w:rPr>
        <w:t xml:space="preserve"> survey includ</w:t>
      </w:r>
      <w:r w:rsidR="00D90AF4">
        <w:rPr>
          <w:sz w:val="24"/>
        </w:rPr>
        <w:t>ing</w:t>
      </w:r>
      <w:r w:rsidRPr="00BD57E5">
        <w:rPr>
          <w:sz w:val="24"/>
        </w:rPr>
        <w:t xml:space="preserve"> validated measures for sexual motivation (YSEX?-SF) and QoL (WHOQOL-BREF). </w:t>
      </w:r>
      <w:r w:rsidR="00D90AF4">
        <w:rPr>
          <w:sz w:val="24"/>
        </w:rPr>
        <w:t>In m</w:t>
      </w:r>
      <w:r w:rsidRPr="00BD57E5">
        <w:rPr>
          <w:sz w:val="24"/>
        </w:rPr>
        <w:t>ultivariable linear regressions</w:t>
      </w:r>
      <w:r w:rsidR="00D90AF4">
        <w:rPr>
          <w:sz w:val="24"/>
        </w:rPr>
        <w:t>,</w:t>
      </w:r>
      <w:r w:rsidRPr="00BD57E5">
        <w:rPr>
          <w:sz w:val="24"/>
        </w:rPr>
        <w:t xml:space="preserve"> pleasure motivations for sex were associated with increased physical health QoL</w:t>
      </w:r>
      <w:r w:rsidR="008000DB">
        <w:rPr>
          <w:sz w:val="24"/>
        </w:rPr>
        <w:t xml:space="preserve"> (aOR=0.20, 95%CI:.15-.65)</w:t>
      </w:r>
      <w:r w:rsidRPr="00BD57E5">
        <w:rPr>
          <w:sz w:val="24"/>
        </w:rPr>
        <w:t>, while love and commitment motivations were associated with increased psychological health QoL</w:t>
      </w:r>
      <w:r w:rsidR="008000DB">
        <w:rPr>
          <w:sz w:val="24"/>
        </w:rPr>
        <w:t xml:space="preserve"> (aOR=0.13, 95%CI:.01-.43)</w:t>
      </w:r>
      <w:r w:rsidRPr="00BD57E5">
        <w:rPr>
          <w:sz w:val="24"/>
        </w:rPr>
        <w:t xml:space="preserve">. Both love and commitment motivations </w:t>
      </w:r>
      <w:r w:rsidR="008000DB">
        <w:rPr>
          <w:sz w:val="24"/>
        </w:rPr>
        <w:t>(aOR=0.2</w:t>
      </w:r>
      <w:r w:rsidR="007B6E79">
        <w:rPr>
          <w:sz w:val="24"/>
        </w:rPr>
        <w:t>1</w:t>
      </w:r>
      <w:r w:rsidR="008000DB">
        <w:rPr>
          <w:sz w:val="24"/>
        </w:rPr>
        <w:t>, 95%CI:.</w:t>
      </w:r>
      <w:r w:rsidR="007B6E79">
        <w:rPr>
          <w:sz w:val="24"/>
        </w:rPr>
        <w:t>09</w:t>
      </w:r>
      <w:r w:rsidR="008000DB">
        <w:rPr>
          <w:sz w:val="24"/>
        </w:rPr>
        <w:t>-.</w:t>
      </w:r>
      <w:r w:rsidR="007B6E79">
        <w:rPr>
          <w:sz w:val="24"/>
        </w:rPr>
        <w:t>3</w:t>
      </w:r>
      <w:r w:rsidR="008000DB">
        <w:rPr>
          <w:sz w:val="24"/>
        </w:rPr>
        <w:t>5)</w:t>
      </w:r>
      <w:r w:rsidR="008000DB" w:rsidRPr="00BD57E5">
        <w:rPr>
          <w:sz w:val="24"/>
        </w:rPr>
        <w:t xml:space="preserve"> </w:t>
      </w:r>
      <w:r w:rsidRPr="00BD57E5">
        <w:rPr>
          <w:sz w:val="24"/>
        </w:rPr>
        <w:t xml:space="preserve">and pleasure motivations </w:t>
      </w:r>
      <w:r w:rsidR="007B6E79">
        <w:rPr>
          <w:sz w:val="24"/>
        </w:rPr>
        <w:t>(aOR=0.20, 95%CI:.08-.36)</w:t>
      </w:r>
      <w:r w:rsidR="007B6E79" w:rsidRPr="00BD57E5">
        <w:rPr>
          <w:sz w:val="24"/>
        </w:rPr>
        <w:t xml:space="preserve"> </w:t>
      </w:r>
      <w:r w:rsidRPr="00BD57E5">
        <w:rPr>
          <w:sz w:val="24"/>
        </w:rPr>
        <w:t xml:space="preserve">were associated with </w:t>
      </w:r>
      <w:r w:rsidR="00D90AF4">
        <w:rPr>
          <w:sz w:val="24"/>
        </w:rPr>
        <w:t xml:space="preserve">increased </w:t>
      </w:r>
      <w:r w:rsidRPr="00BD57E5">
        <w:rPr>
          <w:sz w:val="24"/>
        </w:rPr>
        <w:t>social support QoL. A</w:t>
      </w:r>
      <w:r w:rsidR="007B6E79">
        <w:rPr>
          <w:sz w:val="24"/>
        </w:rPr>
        <w:t xml:space="preserve"> significant interaction was found between emotional motivations and culture (</w:t>
      </w:r>
      <w:r w:rsidR="007B6E79">
        <w:rPr>
          <w:i/>
          <w:iCs/>
          <w:sz w:val="24"/>
        </w:rPr>
        <w:t>p</w:t>
      </w:r>
      <w:r w:rsidR="007B6E79">
        <w:rPr>
          <w:sz w:val="24"/>
        </w:rPr>
        <w:t xml:space="preserve">=0.037) </w:t>
      </w:r>
      <w:r w:rsidR="002A25FA">
        <w:rPr>
          <w:sz w:val="24"/>
        </w:rPr>
        <w:t>such that a</w:t>
      </w:r>
      <w:r w:rsidRPr="007B6E79">
        <w:rPr>
          <w:sz w:val="24"/>
        </w:rPr>
        <w:t>mong</w:t>
      </w:r>
      <w:r w:rsidRPr="00BD57E5">
        <w:rPr>
          <w:sz w:val="24"/>
        </w:rPr>
        <w:t xml:space="preserve"> individuals from China, emotional motivations (i.e., love and commitment and expression) </w:t>
      </w:r>
      <w:r w:rsidR="002A25FA">
        <w:rPr>
          <w:sz w:val="24"/>
        </w:rPr>
        <w:t xml:space="preserve">were positively associated with </w:t>
      </w:r>
      <w:r w:rsidRPr="00BD57E5">
        <w:rPr>
          <w:sz w:val="24"/>
        </w:rPr>
        <w:t>psychological QoL</w:t>
      </w:r>
      <w:r w:rsidR="002A25FA">
        <w:rPr>
          <w:sz w:val="24"/>
        </w:rPr>
        <w:t>.</w:t>
      </w:r>
      <w:r w:rsidRPr="00BD57E5">
        <w:rPr>
          <w:sz w:val="24"/>
        </w:rPr>
        <w:t xml:space="preserve"> </w:t>
      </w:r>
      <w:r w:rsidR="002A25FA">
        <w:rPr>
          <w:sz w:val="24"/>
        </w:rPr>
        <w:t xml:space="preserve">This </w:t>
      </w:r>
      <w:r w:rsidRPr="00BD57E5">
        <w:rPr>
          <w:sz w:val="24"/>
        </w:rPr>
        <w:t>suggest</w:t>
      </w:r>
      <w:r w:rsidR="002A25FA">
        <w:rPr>
          <w:sz w:val="24"/>
        </w:rPr>
        <w:t>s</w:t>
      </w:r>
      <w:r w:rsidRPr="00BD57E5">
        <w:rPr>
          <w:sz w:val="24"/>
        </w:rPr>
        <w:t xml:space="preserve"> culture may differentially affect how sexual motivations are associated with QoL</w:t>
      </w:r>
      <w:r w:rsidR="00496E3F">
        <w:rPr>
          <w:sz w:val="24"/>
        </w:rPr>
        <w:t xml:space="preserve"> and warrants</w:t>
      </w:r>
      <w:r w:rsidRPr="00BD57E5">
        <w:rPr>
          <w:sz w:val="24"/>
        </w:rPr>
        <w:t xml:space="preserve"> </w:t>
      </w:r>
      <w:r w:rsidR="00496E3F">
        <w:rPr>
          <w:sz w:val="24"/>
        </w:rPr>
        <w:t>f</w:t>
      </w:r>
      <w:r w:rsidRPr="00BD57E5">
        <w:rPr>
          <w:sz w:val="24"/>
        </w:rPr>
        <w:t>u</w:t>
      </w:r>
      <w:r w:rsidR="00496E3F">
        <w:rPr>
          <w:sz w:val="24"/>
        </w:rPr>
        <w:t>rther</w:t>
      </w:r>
      <w:r w:rsidRPr="00BD57E5">
        <w:rPr>
          <w:sz w:val="24"/>
        </w:rPr>
        <w:t xml:space="preserve"> </w:t>
      </w:r>
      <w:r w:rsidR="00496E3F">
        <w:rPr>
          <w:sz w:val="24"/>
        </w:rPr>
        <w:t xml:space="preserve">consideration in future </w:t>
      </w:r>
      <w:r w:rsidRPr="00BD57E5">
        <w:rPr>
          <w:sz w:val="24"/>
        </w:rPr>
        <w:t>research</w:t>
      </w:r>
      <w:r w:rsidR="00496E3F">
        <w:rPr>
          <w:sz w:val="24"/>
        </w:rPr>
        <w:t>.</w:t>
      </w:r>
      <w:r w:rsidRPr="00BD57E5">
        <w:rPr>
          <w:sz w:val="24"/>
        </w:rPr>
        <w:t xml:space="preserve"> </w:t>
      </w:r>
    </w:p>
    <w:p w14:paraId="65C9BCB2" w14:textId="77777777" w:rsidR="00C34F26" w:rsidRPr="00BD57E5" w:rsidRDefault="00C34F26" w:rsidP="00BD57E5">
      <w:pPr>
        <w:pStyle w:val="Keywords"/>
        <w:spacing w:before="0" w:after="0" w:line="480" w:lineRule="auto"/>
        <w:ind w:left="0"/>
        <w:rPr>
          <w:sz w:val="24"/>
        </w:rPr>
      </w:pPr>
      <w:r w:rsidRPr="00504AE6">
        <w:rPr>
          <w:b/>
          <w:bCs/>
          <w:sz w:val="24"/>
        </w:rPr>
        <w:t>Keywords:</w:t>
      </w:r>
      <w:r w:rsidRPr="00BD57E5">
        <w:rPr>
          <w:sz w:val="24"/>
        </w:rPr>
        <w:t xml:space="preserve"> sexual motivation; quality of life; cultural differences</w:t>
      </w:r>
    </w:p>
    <w:p w14:paraId="6E68B870" w14:textId="0F0E9FA7" w:rsidR="00131830" w:rsidRPr="004E72EE" w:rsidRDefault="00131830" w:rsidP="004E72EE">
      <w:pPr>
        <w:pStyle w:val="Newparagraph"/>
        <w:ind w:firstLine="0"/>
        <w:rPr>
          <w:b/>
          <w:bCs/>
          <w:color w:val="000000" w:themeColor="text1"/>
          <w:sz w:val="36"/>
          <w:szCs w:val="36"/>
        </w:rPr>
      </w:pPr>
      <w:r w:rsidRPr="004E72EE">
        <w:rPr>
          <w:b/>
          <w:bCs/>
          <w:color w:val="000000" w:themeColor="text1"/>
          <w:sz w:val="36"/>
          <w:szCs w:val="36"/>
        </w:rPr>
        <w:lastRenderedPageBreak/>
        <w:t>Introduction</w:t>
      </w:r>
    </w:p>
    <w:p w14:paraId="0758D308" w14:textId="3BF984CE" w:rsidR="004C5DC0" w:rsidRPr="00BD57E5" w:rsidRDefault="004C5DC0" w:rsidP="00BD57E5">
      <w:pPr>
        <w:pStyle w:val="Newparagraph"/>
      </w:pPr>
      <w:r w:rsidRPr="00BD57E5">
        <w:rPr>
          <w:color w:val="000000" w:themeColor="text1"/>
        </w:rPr>
        <w:t>S</w:t>
      </w:r>
      <w:r w:rsidRPr="00BD57E5">
        <w:t xml:space="preserve">exual motivation is a psychological concept that considers the driving forces behind sexual </w:t>
      </w:r>
      <w:r w:rsidRPr="00BD57E5">
        <w:rPr>
          <w:color w:val="000000" w:themeColor="text1"/>
        </w:rPr>
        <w:t>activity</w:t>
      </w:r>
      <w:r w:rsidRPr="00BD57E5">
        <w:t xml:space="preserve"> </w:t>
      </w:r>
      <w:r w:rsidR="0007672E">
        <w:t>[1]</w:t>
      </w:r>
      <w:r w:rsidRPr="00BD57E5">
        <w:t xml:space="preserve">. In other words, it is the reasons or purposes </w:t>
      </w:r>
      <w:r w:rsidR="00BD57E5">
        <w:t>that</w:t>
      </w:r>
      <w:r w:rsidRPr="00BD57E5">
        <w:t xml:space="preserve"> individuals engage in sexual behaviours </w:t>
      </w:r>
      <w:r w:rsidR="000A331C">
        <w:t>[</w:t>
      </w:r>
      <w:r w:rsidRPr="00BD57E5">
        <w:t>2</w:t>
      </w:r>
      <w:r w:rsidR="000A331C">
        <w:t>]</w:t>
      </w:r>
      <w:r w:rsidRPr="00BD57E5">
        <w:t>.</w:t>
      </w:r>
    </w:p>
    <w:p w14:paraId="75A48FA0" w14:textId="53923879" w:rsidR="004C5DC0" w:rsidRPr="00BD57E5" w:rsidRDefault="004C5DC0" w:rsidP="00BD57E5">
      <w:pPr>
        <w:pStyle w:val="Newparagraph"/>
        <w:rPr>
          <w:color w:val="000000" w:themeColor="text1"/>
        </w:rPr>
      </w:pPr>
      <w:r w:rsidRPr="00BD57E5">
        <w:rPr>
          <w:color w:val="000000" w:themeColor="text1"/>
        </w:rPr>
        <w:t xml:space="preserve">Using self-determination theory, sexual motivation has been divided into intrinsic and extrinsic aspects </w:t>
      </w:r>
      <w:r w:rsidR="003B28D3">
        <w:rPr>
          <w:color w:val="000000" w:themeColor="text1"/>
        </w:rPr>
        <w:t xml:space="preserve">[3]. </w:t>
      </w:r>
      <w:r w:rsidRPr="00BD57E5">
        <w:rPr>
          <w:color w:val="000000" w:themeColor="text1"/>
        </w:rPr>
        <w:t>Intrinsic motivation occurs when individuals are self-motivated to engage in pleasurable activities, while extrinsic motivation is driven by external factors such as want</w:t>
      </w:r>
      <w:r w:rsidR="00114449">
        <w:rPr>
          <w:color w:val="000000" w:themeColor="text1"/>
        </w:rPr>
        <w:t>ing</w:t>
      </w:r>
      <w:r w:rsidRPr="00BD57E5">
        <w:rPr>
          <w:color w:val="000000" w:themeColor="text1"/>
        </w:rPr>
        <w:t xml:space="preserve"> to please a partner. </w:t>
      </w:r>
      <w:r w:rsidR="00114449">
        <w:rPr>
          <w:color w:val="000000" w:themeColor="text1"/>
        </w:rPr>
        <w:t>E</w:t>
      </w:r>
      <w:r w:rsidRPr="00BD57E5">
        <w:rPr>
          <w:color w:val="000000" w:themeColor="text1"/>
        </w:rPr>
        <w:t>ngag</w:t>
      </w:r>
      <w:r w:rsidR="00114449">
        <w:rPr>
          <w:color w:val="000000" w:themeColor="text1"/>
        </w:rPr>
        <w:t>ing</w:t>
      </w:r>
      <w:r w:rsidRPr="00BD57E5">
        <w:rPr>
          <w:color w:val="000000" w:themeColor="text1"/>
        </w:rPr>
        <w:t xml:space="preserve"> in sexual behaviour without any personal intrinsic or extrinsic motivation is referred to as amotivation. The Sexual Motivation scale</w:t>
      </w:r>
      <w:r w:rsidR="00114449">
        <w:rPr>
          <w:color w:val="000000" w:themeColor="text1"/>
        </w:rPr>
        <w:t>,</w:t>
      </w:r>
      <w:r w:rsidRPr="00BD57E5">
        <w:rPr>
          <w:color w:val="000000" w:themeColor="text1"/>
        </w:rPr>
        <w:t xml:space="preserve"> developed by Gravel, </w:t>
      </w:r>
      <w:r w:rsidRPr="00BD57E5">
        <w:t>Pelletier, and Reissing</w:t>
      </w:r>
      <w:r w:rsidRPr="00BD57E5">
        <w:rPr>
          <w:color w:val="000000" w:themeColor="text1"/>
        </w:rPr>
        <w:t xml:space="preserve"> </w:t>
      </w:r>
      <w:r w:rsidR="003B28D3">
        <w:rPr>
          <w:color w:val="000000" w:themeColor="text1"/>
        </w:rPr>
        <w:t>[4]</w:t>
      </w:r>
      <w:r w:rsidR="00114449">
        <w:rPr>
          <w:color w:val="000000" w:themeColor="text1"/>
        </w:rPr>
        <w:t>,</w:t>
      </w:r>
      <w:r w:rsidRPr="00BD57E5">
        <w:rPr>
          <w:color w:val="000000" w:themeColor="text1"/>
        </w:rPr>
        <w:t xml:space="preserve"> includes these factors and found that self-determined sexual motivation positively correlates with sexual quality of life and overall well-being.</w:t>
      </w:r>
    </w:p>
    <w:p w14:paraId="4526F665" w14:textId="34381E94" w:rsidR="004C5DC0" w:rsidRPr="00BD57E5" w:rsidRDefault="00544444" w:rsidP="00BD57E5">
      <w:pPr>
        <w:pStyle w:val="Newparagraph"/>
      </w:pPr>
      <w:r>
        <w:rPr>
          <w:color w:val="000000" w:themeColor="text1"/>
        </w:rPr>
        <w:t xml:space="preserve">On the other hand, </w:t>
      </w:r>
      <w:r w:rsidR="004C5DC0" w:rsidRPr="00BD57E5">
        <w:rPr>
          <w:color w:val="000000" w:themeColor="text1"/>
        </w:rPr>
        <w:t>categorizing sexual motivation into only two or three aspects</w:t>
      </w:r>
      <w:r>
        <w:rPr>
          <w:color w:val="000000" w:themeColor="text1"/>
        </w:rPr>
        <w:t>,</w:t>
      </w:r>
      <w:r w:rsidR="004C5DC0" w:rsidRPr="00BD57E5">
        <w:rPr>
          <w:color w:val="000000" w:themeColor="text1"/>
        </w:rPr>
        <w:t xml:space="preserve"> </w:t>
      </w:r>
      <w:r>
        <w:rPr>
          <w:color w:val="000000" w:themeColor="text1"/>
        </w:rPr>
        <w:t xml:space="preserve">as per self-determination theory, </w:t>
      </w:r>
      <w:r w:rsidR="004C5DC0" w:rsidRPr="00BD57E5">
        <w:rPr>
          <w:color w:val="000000" w:themeColor="text1"/>
        </w:rPr>
        <w:t xml:space="preserve">may </w:t>
      </w:r>
      <w:r w:rsidR="00114449">
        <w:rPr>
          <w:color w:val="000000" w:themeColor="text1"/>
        </w:rPr>
        <w:t>over</w:t>
      </w:r>
      <w:r w:rsidR="00F55A8D">
        <w:rPr>
          <w:color w:val="000000" w:themeColor="text1"/>
        </w:rPr>
        <w:t>ly simplify</w:t>
      </w:r>
      <w:r w:rsidR="00114449">
        <w:rPr>
          <w:color w:val="000000" w:themeColor="text1"/>
        </w:rPr>
        <w:t xml:space="preserve"> the wide variety of reasons for which people have sex</w:t>
      </w:r>
      <w:r w:rsidR="004C5DC0" w:rsidRPr="00BD57E5">
        <w:rPr>
          <w:color w:val="000000" w:themeColor="text1"/>
        </w:rPr>
        <w:t xml:space="preserve">. </w:t>
      </w:r>
      <w:r w:rsidR="00EA3067">
        <w:rPr>
          <w:color w:val="000000" w:themeColor="text1"/>
        </w:rPr>
        <w:t xml:space="preserve">In their seminal paper, </w:t>
      </w:r>
      <w:r w:rsidR="004C5DC0" w:rsidRPr="00BD57E5">
        <w:rPr>
          <w:color w:val="000000" w:themeColor="text1"/>
        </w:rPr>
        <w:t xml:space="preserve">Meston and Buss </w:t>
      </w:r>
      <w:r w:rsidR="00FD018F">
        <w:rPr>
          <w:color w:val="000000" w:themeColor="text1"/>
        </w:rPr>
        <w:t>[5]</w:t>
      </w:r>
      <w:r w:rsidR="004C5DC0" w:rsidRPr="00BD57E5">
        <w:rPr>
          <w:color w:val="000000" w:themeColor="text1"/>
        </w:rPr>
        <w:t xml:space="preserve"> identified 237 di</w:t>
      </w:r>
      <w:r w:rsidR="00EA3067">
        <w:rPr>
          <w:color w:val="000000" w:themeColor="text1"/>
        </w:rPr>
        <w:t>stinct</w:t>
      </w:r>
      <w:r w:rsidR="004C5DC0" w:rsidRPr="00BD57E5">
        <w:rPr>
          <w:color w:val="000000" w:themeColor="text1"/>
        </w:rPr>
        <w:t xml:space="preserve"> sexual motivations, which </w:t>
      </w:r>
      <w:r w:rsidR="00EA3067">
        <w:rPr>
          <w:color w:val="000000" w:themeColor="text1"/>
        </w:rPr>
        <w:t xml:space="preserve">could be </w:t>
      </w:r>
      <w:r w:rsidR="004C5DC0" w:rsidRPr="00BD57E5">
        <w:rPr>
          <w:color w:val="000000" w:themeColor="text1"/>
        </w:rPr>
        <w:t xml:space="preserve">grouped into four categories: physical, </w:t>
      </w:r>
      <w:r w:rsidR="00EA3067">
        <w:rPr>
          <w:color w:val="000000" w:themeColor="text1"/>
        </w:rPr>
        <w:t xml:space="preserve">emotional, </w:t>
      </w:r>
      <w:r w:rsidR="004C5DC0" w:rsidRPr="00BD57E5">
        <w:rPr>
          <w:color w:val="000000" w:themeColor="text1"/>
        </w:rPr>
        <w:t xml:space="preserve">goal attainment, and insecurity reasons. Using </w:t>
      </w:r>
      <w:r w:rsidR="00F55A8D">
        <w:rPr>
          <w:color w:val="000000" w:themeColor="text1"/>
        </w:rPr>
        <w:t xml:space="preserve">Meston and Buss’s </w:t>
      </w:r>
      <w:r w:rsidR="004C5DC0" w:rsidRPr="00BD57E5">
        <w:rPr>
          <w:color w:val="000000" w:themeColor="text1"/>
        </w:rPr>
        <w:t xml:space="preserve">YSEX? </w:t>
      </w:r>
      <w:r w:rsidR="00FD018F" w:rsidRPr="00BD57E5">
        <w:rPr>
          <w:color w:val="000000" w:themeColor="text1"/>
        </w:rPr>
        <w:t>S</w:t>
      </w:r>
      <w:r w:rsidR="004C5DC0" w:rsidRPr="00BD57E5">
        <w:rPr>
          <w:color w:val="000000" w:themeColor="text1"/>
        </w:rPr>
        <w:t>cale</w:t>
      </w:r>
      <w:r w:rsidR="00FD018F">
        <w:rPr>
          <w:color w:val="000000" w:themeColor="text1"/>
        </w:rPr>
        <w:t xml:space="preserve"> [5]</w:t>
      </w:r>
      <w:r w:rsidR="004C5DC0" w:rsidRPr="00BD57E5">
        <w:rPr>
          <w:color w:val="000000" w:themeColor="text1"/>
        </w:rPr>
        <w:t xml:space="preserve"> </w:t>
      </w:r>
      <w:r w:rsidR="00EA3067">
        <w:rPr>
          <w:color w:val="000000" w:themeColor="text1"/>
        </w:rPr>
        <w:t>may</w:t>
      </w:r>
      <w:r w:rsidR="004C5DC0" w:rsidRPr="00BD57E5">
        <w:rPr>
          <w:color w:val="000000" w:themeColor="text1"/>
        </w:rPr>
        <w:t xml:space="preserve"> provide a more </w:t>
      </w:r>
      <w:r w:rsidR="00F55A8D">
        <w:rPr>
          <w:color w:val="000000" w:themeColor="text1"/>
        </w:rPr>
        <w:t xml:space="preserve">nuanced </w:t>
      </w:r>
      <w:r w:rsidR="004C5DC0" w:rsidRPr="00BD57E5">
        <w:rPr>
          <w:color w:val="000000" w:themeColor="text1"/>
        </w:rPr>
        <w:t xml:space="preserve">understanding of how sexual behaviour </w:t>
      </w:r>
      <w:r w:rsidR="00EA3067">
        <w:rPr>
          <w:color w:val="000000" w:themeColor="text1"/>
        </w:rPr>
        <w:t>are</w:t>
      </w:r>
      <w:r w:rsidR="004C5DC0" w:rsidRPr="00BD57E5">
        <w:rPr>
          <w:color w:val="000000" w:themeColor="text1"/>
        </w:rPr>
        <w:t xml:space="preserve"> associated with overall well-being </w:t>
      </w:r>
      <w:r w:rsidR="00B62F90">
        <w:rPr>
          <w:color w:val="000000" w:themeColor="text1"/>
        </w:rPr>
        <w:t>[6,</w:t>
      </w:r>
      <w:r w:rsidR="00B72E9B">
        <w:rPr>
          <w:color w:val="000000" w:themeColor="text1"/>
        </w:rPr>
        <w:t xml:space="preserve"> </w:t>
      </w:r>
      <w:r w:rsidR="00B62F90">
        <w:rPr>
          <w:color w:val="000000" w:themeColor="text1"/>
        </w:rPr>
        <w:t>7</w:t>
      </w:r>
      <w:r w:rsidR="00CE3BC6">
        <w:rPr>
          <w:color w:val="000000" w:themeColor="text1"/>
        </w:rPr>
        <w:t>].</w:t>
      </w:r>
      <w:r w:rsidR="004C5DC0" w:rsidRPr="00BD57E5">
        <w:rPr>
          <w:color w:val="000000" w:themeColor="text1"/>
        </w:rPr>
        <w:t xml:space="preserve"> </w:t>
      </w:r>
    </w:p>
    <w:p w14:paraId="02C7518B" w14:textId="0C8C9D2C" w:rsidR="004C5DC0" w:rsidRPr="004E72EE" w:rsidRDefault="004C5DC0" w:rsidP="00BD57E5">
      <w:pPr>
        <w:rPr>
          <w:b/>
          <w:bCs/>
          <w:color w:val="000000" w:themeColor="text1"/>
          <w:sz w:val="32"/>
          <w:szCs w:val="32"/>
        </w:rPr>
      </w:pPr>
      <w:bookmarkStart w:id="0" w:name="quality_of_life"/>
      <w:r w:rsidRPr="004E72EE">
        <w:rPr>
          <w:b/>
          <w:bCs/>
          <w:color w:val="000000" w:themeColor="text1"/>
          <w:sz w:val="32"/>
          <w:szCs w:val="32"/>
        </w:rPr>
        <w:t xml:space="preserve">Quality of </w:t>
      </w:r>
      <w:r w:rsidR="001D54E9">
        <w:rPr>
          <w:b/>
          <w:bCs/>
          <w:color w:val="000000" w:themeColor="text1"/>
          <w:sz w:val="32"/>
          <w:szCs w:val="32"/>
        </w:rPr>
        <w:t>l</w:t>
      </w:r>
      <w:r w:rsidRPr="004E72EE">
        <w:rPr>
          <w:b/>
          <w:bCs/>
          <w:color w:val="000000" w:themeColor="text1"/>
          <w:sz w:val="32"/>
          <w:szCs w:val="32"/>
        </w:rPr>
        <w:t>ife</w:t>
      </w:r>
      <w:bookmarkEnd w:id="0"/>
      <w:r w:rsidRPr="004E72EE">
        <w:rPr>
          <w:b/>
          <w:bCs/>
          <w:color w:val="000000" w:themeColor="text1"/>
          <w:sz w:val="32"/>
          <w:szCs w:val="32"/>
        </w:rPr>
        <w:t xml:space="preserve"> (QoL) </w:t>
      </w:r>
    </w:p>
    <w:p w14:paraId="34A766C7" w14:textId="56B67BD9" w:rsidR="004C5DC0" w:rsidRPr="00BD57E5" w:rsidRDefault="004C5DC0" w:rsidP="00500173">
      <w:pPr>
        <w:ind w:firstLine="720"/>
        <w:rPr>
          <w:color w:val="000000" w:themeColor="text1"/>
        </w:rPr>
      </w:pPr>
      <w:r w:rsidRPr="00BD57E5">
        <w:rPr>
          <w:color w:val="000000" w:themeColor="text1"/>
        </w:rPr>
        <w:t>The World Health Organization</w:t>
      </w:r>
      <w:r w:rsidR="00F360A9">
        <w:rPr>
          <w:color w:val="000000" w:themeColor="text1"/>
        </w:rPr>
        <w:t xml:space="preserve"> [8]</w:t>
      </w:r>
      <w:r w:rsidRPr="00BD57E5">
        <w:rPr>
          <w:color w:val="000000" w:themeColor="text1"/>
        </w:rPr>
        <w:t xml:space="preserve"> defines QoL as an individual's thoughts or perspectives of </w:t>
      </w:r>
      <w:r w:rsidR="00F55A8D">
        <w:rPr>
          <w:color w:val="000000" w:themeColor="text1"/>
        </w:rPr>
        <w:t>their</w:t>
      </w:r>
      <w:r w:rsidRPr="00BD57E5">
        <w:rPr>
          <w:color w:val="000000" w:themeColor="text1"/>
        </w:rPr>
        <w:t xml:space="preserve"> position in life in relation to the culture and value system in which </w:t>
      </w:r>
      <w:r w:rsidR="00F55A8D">
        <w:rPr>
          <w:color w:val="000000" w:themeColor="text1"/>
        </w:rPr>
        <w:t>they</w:t>
      </w:r>
      <w:r w:rsidRPr="00BD57E5">
        <w:rPr>
          <w:color w:val="000000" w:themeColor="text1"/>
        </w:rPr>
        <w:t xml:space="preserve"> </w:t>
      </w:r>
      <w:r w:rsidRPr="00BD57E5">
        <w:rPr>
          <w:color w:val="000000" w:themeColor="text1"/>
        </w:rPr>
        <w:lastRenderedPageBreak/>
        <w:t>reside, as well as one's own desires, expectations, standards</w:t>
      </w:r>
      <w:r w:rsidR="009C1A61">
        <w:rPr>
          <w:color w:val="000000" w:themeColor="text1"/>
        </w:rPr>
        <w:t>,</w:t>
      </w:r>
      <w:r w:rsidRPr="00BD57E5">
        <w:rPr>
          <w:color w:val="000000" w:themeColor="text1"/>
        </w:rPr>
        <w:t xml:space="preserve"> and worries. QoL has been studied extensively in health psychology, particularly in relation to conditions such as breast cancer and autism spectrum disorder</w:t>
      </w:r>
      <w:r w:rsidR="00736446">
        <w:rPr>
          <w:color w:val="000000" w:themeColor="text1"/>
        </w:rPr>
        <w:t xml:space="preserve"> [9,10]</w:t>
      </w:r>
      <w:r w:rsidRPr="00BD57E5">
        <w:rPr>
          <w:color w:val="000000" w:themeColor="text1"/>
        </w:rPr>
        <w:t xml:space="preserve">. Studies have also shown that sexual function is associated with QoL in people with these conditions </w:t>
      </w:r>
      <w:r w:rsidR="00500173">
        <w:rPr>
          <w:color w:val="000000" w:themeColor="text1"/>
        </w:rPr>
        <w:t>[11, 12]</w:t>
      </w:r>
      <w:r w:rsidRPr="00BD57E5">
        <w:rPr>
          <w:color w:val="000000" w:themeColor="text1"/>
        </w:rPr>
        <w:t xml:space="preserve">, with Carreira et al. </w:t>
      </w:r>
      <w:r w:rsidR="00500173">
        <w:rPr>
          <w:color w:val="000000" w:themeColor="text1"/>
        </w:rPr>
        <w:t>[13]</w:t>
      </w:r>
      <w:r w:rsidRPr="00BD57E5">
        <w:rPr>
          <w:color w:val="000000" w:themeColor="text1"/>
        </w:rPr>
        <w:t xml:space="preserve"> finding that women with breast cancer had both low sexual function and lower QoL. </w:t>
      </w:r>
    </w:p>
    <w:p w14:paraId="151EBEEE" w14:textId="27BD810D" w:rsidR="004C5DC0" w:rsidRPr="00BD57E5" w:rsidRDefault="00F55A8D" w:rsidP="00BD57E5">
      <w:pPr>
        <w:ind w:firstLine="720"/>
        <w:rPr>
          <w:color w:val="000000" w:themeColor="text1"/>
        </w:rPr>
      </w:pPr>
      <w:r>
        <w:rPr>
          <w:color w:val="000000" w:themeColor="text1"/>
        </w:rPr>
        <w:t>Additionally</w:t>
      </w:r>
      <w:r w:rsidR="004C5DC0" w:rsidRPr="00BD57E5">
        <w:rPr>
          <w:color w:val="000000" w:themeColor="text1"/>
        </w:rPr>
        <w:t xml:space="preserve">, mindfulness-based stress reduction (MBSR), a psychological intervention designed to improve QoL, has shown promise in </w:t>
      </w:r>
      <w:r w:rsidR="00321549">
        <w:rPr>
          <w:color w:val="000000" w:themeColor="text1"/>
        </w:rPr>
        <w:t xml:space="preserve">improving sexual QoL among menopausal </w:t>
      </w:r>
      <w:r w:rsidR="004C5DC0" w:rsidRPr="00BD57E5">
        <w:rPr>
          <w:color w:val="000000" w:themeColor="text1"/>
        </w:rPr>
        <w:t xml:space="preserve">women </w:t>
      </w:r>
      <w:r w:rsidR="000A33B9">
        <w:rPr>
          <w:color w:val="000000" w:themeColor="text1"/>
        </w:rPr>
        <w:t>[14]</w:t>
      </w:r>
      <w:r w:rsidR="004C5DC0" w:rsidRPr="00BD57E5">
        <w:rPr>
          <w:color w:val="000000" w:themeColor="text1"/>
        </w:rPr>
        <w:t xml:space="preserve">. MBSR has </w:t>
      </w:r>
      <w:r w:rsidR="00321549">
        <w:rPr>
          <w:color w:val="000000" w:themeColor="text1"/>
        </w:rPr>
        <w:t xml:space="preserve">also </w:t>
      </w:r>
      <w:r w:rsidR="004C5DC0" w:rsidRPr="00BD57E5">
        <w:rPr>
          <w:color w:val="000000" w:themeColor="text1"/>
        </w:rPr>
        <w:t xml:space="preserve">been associated with reduced sexual distress among women with low sexual desire </w:t>
      </w:r>
      <w:r w:rsidR="00C353C9">
        <w:rPr>
          <w:color w:val="000000" w:themeColor="text1"/>
        </w:rPr>
        <w:t>[15]</w:t>
      </w:r>
      <w:r w:rsidR="004C5DC0" w:rsidRPr="00BD57E5">
        <w:rPr>
          <w:color w:val="000000" w:themeColor="text1"/>
        </w:rPr>
        <w:t xml:space="preserve">. Finally, it has been suggested that </w:t>
      </w:r>
      <w:r w:rsidR="007169FD">
        <w:rPr>
          <w:color w:val="000000" w:themeColor="text1"/>
        </w:rPr>
        <w:t>using</w:t>
      </w:r>
      <w:r w:rsidR="004C5DC0" w:rsidRPr="00BD57E5">
        <w:rPr>
          <w:color w:val="000000" w:themeColor="text1"/>
        </w:rPr>
        <w:t xml:space="preserve"> </w:t>
      </w:r>
      <w:r w:rsidR="00321549">
        <w:rPr>
          <w:color w:val="000000" w:themeColor="text1"/>
        </w:rPr>
        <w:t xml:space="preserve">a </w:t>
      </w:r>
      <w:r w:rsidR="004C5DC0" w:rsidRPr="00BD57E5">
        <w:rPr>
          <w:color w:val="000000" w:themeColor="text1"/>
        </w:rPr>
        <w:t xml:space="preserve">biopsychosocial approach </w:t>
      </w:r>
      <w:r w:rsidR="007169FD">
        <w:rPr>
          <w:color w:val="000000" w:themeColor="text1"/>
        </w:rPr>
        <w:t>is</w:t>
      </w:r>
      <w:r w:rsidR="004C5DC0" w:rsidRPr="00BD57E5">
        <w:rPr>
          <w:color w:val="000000" w:themeColor="text1"/>
        </w:rPr>
        <w:t xml:space="preserve"> beneficial when </w:t>
      </w:r>
      <w:r w:rsidR="007169FD">
        <w:rPr>
          <w:color w:val="000000" w:themeColor="text1"/>
        </w:rPr>
        <w:t xml:space="preserve">considering and studying </w:t>
      </w:r>
      <w:r w:rsidR="004C5DC0" w:rsidRPr="00BD57E5">
        <w:rPr>
          <w:color w:val="000000" w:themeColor="text1"/>
        </w:rPr>
        <w:t xml:space="preserve">QoL </w:t>
      </w:r>
      <w:r w:rsidR="00104CC2" w:rsidRPr="00BD57E5">
        <w:rPr>
          <w:color w:val="000000" w:themeColor="text1"/>
        </w:rPr>
        <w:t>to</w:t>
      </w:r>
      <w:r w:rsidR="004C5DC0" w:rsidRPr="00BD57E5">
        <w:rPr>
          <w:color w:val="000000" w:themeColor="text1"/>
        </w:rPr>
        <w:t xml:space="preserve"> </w:t>
      </w:r>
      <w:r w:rsidR="007169FD">
        <w:rPr>
          <w:color w:val="000000" w:themeColor="text1"/>
        </w:rPr>
        <w:t>better understand</w:t>
      </w:r>
      <w:r w:rsidR="007169FD" w:rsidRPr="00BD57E5">
        <w:rPr>
          <w:color w:val="000000" w:themeColor="text1"/>
        </w:rPr>
        <w:t xml:space="preserve"> </w:t>
      </w:r>
      <w:r w:rsidR="004C5DC0" w:rsidRPr="00BD57E5">
        <w:rPr>
          <w:color w:val="000000" w:themeColor="text1"/>
        </w:rPr>
        <w:t>the subjective experience of individuals</w:t>
      </w:r>
      <w:r w:rsidR="007169FD">
        <w:rPr>
          <w:color w:val="000000" w:themeColor="text1"/>
        </w:rPr>
        <w:t>’</w:t>
      </w:r>
      <w:r w:rsidR="004C5DC0" w:rsidRPr="00BD57E5">
        <w:rPr>
          <w:color w:val="000000" w:themeColor="text1"/>
        </w:rPr>
        <w:t xml:space="preserve"> overall well-being </w:t>
      </w:r>
      <w:r w:rsidR="00C353C9">
        <w:rPr>
          <w:color w:val="000000" w:themeColor="text1"/>
        </w:rPr>
        <w:t>[16]</w:t>
      </w:r>
      <w:r w:rsidR="004C5DC0" w:rsidRPr="00BD57E5">
        <w:rPr>
          <w:color w:val="000000" w:themeColor="text1"/>
        </w:rPr>
        <w:t xml:space="preserve">. </w:t>
      </w:r>
      <w:bookmarkStart w:id="1" w:name="love_pleasure_reproduction"/>
      <w:r w:rsidR="004C5DC0" w:rsidRPr="00BD57E5">
        <w:rPr>
          <w:b/>
          <w:bCs/>
          <w:color w:val="000000" w:themeColor="text1"/>
        </w:rPr>
        <w:t xml:space="preserve"> </w:t>
      </w:r>
    </w:p>
    <w:p w14:paraId="578F73BF" w14:textId="6E8FA7CD" w:rsidR="004C5DC0" w:rsidRPr="004E72EE" w:rsidRDefault="004C5DC0" w:rsidP="00BD57E5">
      <w:pPr>
        <w:rPr>
          <w:b/>
          <w:bCs/>
          <w:color w:val="000000" w:themeColor="text1"/>
          <w:sz w:val="32"/>
          <w:szCs w:val="32"/>
        </w:rPr>
      </w:pPr>
      <w:r w:rsidRPr="004E72EE">
        <w:rPr>
          <w:b/>
          <w:bCs/>
          <w:color w:val="000000" w:themeColor="text1"/>
          <w:sz w:val="32"/>
          <w:szCs w:val="32"/>
        </w:rPr>
        <w:t>Love, pleasure</w:t>
      </w:r>
      <w:r w:rsidR="007169FD" w:rsidRPr="004E72EE">
        <w:rPr>
          <w:b/>
          <w:bCs/>
          <w:color w:val="000000" w:themeColor="text1"/>
          <w:sz w:val="32"/>
          <w:szCs w:val="32"/>
        </w:rPr>
        <w:t>,</w:t>
      </w:r>
      <w:r w:rsidRPr="004E72EE">
        <w:rPr>
          <w:b/>
          <w:bCs/>
          <w:color w:val="000000" w:themeColor="text1"/>
          <w:sz w:val="32"/>
          <w:szCs w:val="32"/>
        </w:rPr>
        <w:t xml:space="preserve"> and reproduction motivations</w:t>
      </w:r>
      <w:bookmarkEnd w:id="1"/>
      <w:r w:rsidRPr="004E72EE">
        <w:rPr>
          <w:b/>
          <w:bCs/>
          <w:color w:val="000000" w:themeColor="text1"/>
          <w:sz w:val="32"/>
          <w:szCs w:val="32"/>
        </w:rPr>
        <w:t xml:space="preserve"> for sex</w:t>
      </w:r>
    </w:p>
    <w:p w14:paraId="19D04555" w14:textId="56C37411" w:rsidR="00B30432" w:rsidRPr="00BD57E5" w:rsidRDefault="005044A3" w:rsidP="00BD57E5">
      <w:pPr>
        <w:ind w:firstLine="720"/>
        <w:rPr>
          <w:color w:val="000000" w:themeColor="text1"/>
          <w:lang w:eastAsia="zh-CN"/>
        </w:rPr>
      </w:pPr>
      <w:r>
        <w:rPr>
          <w:color w:val="000000" w:themeColor="text1"/>
        </w:rPr>
        <w:t>W</w:t>
      </w:r>
      <w:r w:rsidR="0011736D">
        <w:rPr>
          <w:color w:val="000000" w:themeColor="text1"/>
        </w:rPr>
        <w:t>hile</w:t>
      </w:r>
      <w:r w:rsidR="004C5DC0" w:rsidRPr="00BD57E5">
        <w:rPr>
          <w:color w:val="000000" w:themeColor="text1"/>
        </w:rPr>
        <w:t xml:space="preserve"> Meston and Buss</w:t>
      </w:r>
      <w:r w:rsidR="0011736D">
        <w:rPr>
          <w:color w:val="000000" w:themeColor="text1"/>
        </w:rPr>
        <w:t xml:space="preserve"> found</w:t>
      </w:r>
      <w:r w:rsidR="004C5DC0" w:rsidRPr="00BD57E5">
        <w:rPr>
          <w:color w:val="000000" w:themeColor="text1"/>
        </w:rPr>
        <w:t xml:space="preserve"> 237</w:t>
      </w:r>
      <w:r w:rsidR="0011736D">
        <w:rPr>
          <w:color w:val="000000" w:themeColor="text1"/>
        </w:rPr>
        <w:t xml:space="preserve"> different</w:t>
      </w:r>
      <w:r w:rsidR="004C5DC0" w:rsidRPr="00BD57E5">
        <w:rPr>
          <w:color w:val="000000" w:themeColor="text1"/>
        </w:rPr>
        <w:t xml:space="preserve"> reasons for hav</w:t>
      </w:r>
      <w:r w:rsidR="0011736D">
        <w:rPr>
          <w:color w:val="000000" w:themeColor="text1"/>
        </w:rPr>
        <w:t>ing</w:t>
      </w:r>
      <w:r w:rsidR="004C5DC0" w:rsidRPr="00BD57E5">
        <w:rPr>
          <w:color w:val="000000" w:themeColor="text1"/>
        </w:rPr>
        <w:t xml:space="preserve"> sex</w:t>
      </w:r>
      <w:r w:rsidR="0011736D">
        <w:rPr>
          <w:color w:val="000000" w:themeColor="text1"/>
        </w:rPr>
        <w:t xml:space="preserve">, the most commonly reported </w:t>
      </w:r>
      <w:r>
        <w:rPr>
          <w:color w:val="000000" w:themeColor="text1"/>
        </w:rPr>
        <w:t xml:space="preserve">motivations </w:t>
      </w:r>
      <w:r w:rsidR="0011736D">
        <w:rPr>
          <w:color w:val="000000" w:themeColor="text1"/>
        </w:rPr>
        <w:t xml:space="preserve">were </w:t>
      </w:r>
      <w:r w:rsidR="00104CC2">
        <w:rPr>
          <w:color w:val="000000" w:themeColor="text1"/>
        </w:rPr>
        <w:t xml:space="preserve">for </w:t>
      </w:r>
      <w:r>
        <w:rPr>
          <w:color w:val="000000" w:themeColor="text1"/>
        </w:rPr>
        <w:t xml:space="preserve">emotional/love </w:t>
      </w:r>
      <w:r w:rsidR="00104CC2">
        <w:rPr>
          <w:color w:val="000000" w:themeColor="text1"/>
        </w:rPr>
        <w:t xml:space="preserve">reasons </w:t>
      </w:r>
      <w:r>
        <w:rPr>
          <w:color w:val="000000" w:themeColor="text1"/>
        </w:rPr>
        <w:t xml:space="preserve">and </w:t>
      </w:r>
      <w:r w:rsidR="0011736D">
        <w:rPr>
          <w:color w:val="000000" w:themeColor="text1"/>
        </w:rPr>
        <w:t xml:space="preserve">for </w:t>
      </w:r>
      <w:r>
        <w:rPr>
          <w:color w:val="000000" w:themeColor="text1"/>
        </w:rPr>
        <w:t xml:space="preserve">pleasure </w:t>
      </w:r>
      <w:r w:rsidR="00A4078D">
        <w:rPr>
          <w:color w:val="000000" w:themeColor="text1"/>
        </w:rPr>
        <w:t>[5, 17]</w:t>
      </w:r>
      <w:r w:rsidR="004C5DC0" w:rsidRPr="00BD57E5">
        <w:rPr>
          <w:color w:val="000000" w:themeColor="text1"/>
        </w:rPr>
        <w:t xml:space="preserve">. </w:t>
      </w:r>
      <w:r w:rsidR="007E4591">
        <w:rPr>
          <w:color w:val="000000" w:themeColor="text1"/>
        </w:rPr>
        <w:t>Sex for reproduction</w:t>
      </w:r>
      <w:r w:rsidR="00B1363E">
        <w:rPr>
          <w:color w:val="000000" w:themeColor="text1"/>
        </w:rPr>
        <w:t xml:space="preserve">, while not as commonly reported, is also a significant driver of human sexual behaviour </w:t>
      </w:r>
      <w:r w:rsidR="00A4078D">
        <w:rPr>
          <w:color w:val="000000" w:themeColor="text1"/>
        </w:rPr>
        <w:t>[17]</w:t>
      </w:r>
      <w:r w:rsidR="00B1363E">
        <w:rPr>
          <w:color w:val="000000" w:themeColor="text1"/>
        </w:rPr>
        <w:t xml:space="preserve">.  </w:t>
      </w:r>
    </w:p>
    <w:p w14:paraId="164B7B3E" w14:textId="5FBB0DE8" w:rsidR="004C5DC0" w:rsidRPr="004746B1" w:rsidRDefault="005044A3" w:rsidP="00B30432">
      <w:pPr>
        <w:ind w:firstLine="720"/>
        <w:rPr>
          <w:color w:val="000000" w:themeColor="text1"/>
          <w:highlight w:val="yellow"/>
          <w:lang w:val="en-US" w:eastAsia="zh-CN"/>
        </w:rPr>
      </w:pPr>
      <w:r w:rsidRPr="0051440E">
        <w:rPr>
          <w:color w:val="000000" w:themeColor="text1"/>
          <w:lang w:val="en-US" w:eastAsia="zh-CN"/>
        </w:rPr>
        <w:t>L</w:t>
      </w:r>
      <w:r w:rsidR="004C5DC0" w:rsidRPr="0051440E">
        <w:rPr>
          <w:color w:val="000000" w:themeColor="text1"/>
          <w:lang w:val="en-US" w:eastAsia="zh-CN"/>
        </w:rPr>
        <w:t>ove and commitment</w:t>
      </w:r>
      <w:r w:rsidRPr="0051440E">
        <w:rPr>
          <w:color w:val="000000" w:themeColor="text1"/>
          <w:lang w:val="en-US" w:eastAsia="zh-CN"/>
        </w:rPr>
        <w:t xml:space="preserve"> motivations for sex </w:t>
      </w:r>
      <w:r w:rsidR="00747046" w:rsidRPr="004746B1">
        <w:rPr>
          <w:color w:val="000000" w:themeColor="text1"/>
          <w:lang w:val="en-US" w:eastAsia="zh-CN"/>
        </w:rPr>
        <w:t xml:space="preserve">may lead to increased QoL in several ways. </w:t>
      </w:r>
      <w:r w:rsidR="00C23685" w:rsidRPr="004746B1">
        <w:rPr>
          <w:color w:val="000000" w:themeColor="text1"/>
          <w:lang w:val="en-US" w:eastAsia="zh-CN"/>
        </w:rPr>
        <w:t>For example, among a sample of 128 Israeli couples,</w:t>
      </w:r>
      <w:r w:rsidR="006418AE" w:rsidRPr="004746B1">
        <w:rPr>
          <w:color w:val="000000" w:themeColor="text1"/>
          <w:lang w:val="en-US" w:eastAsia="zh-CN"/>
        </w:rPr>
        <w:t xml:space="preserve"> having intimacy motivations for sex was associated with sexual satisfaction and sexual intimacy among both men and women, and with orgasmic responsivity for women </w:t>
      </w:r>
      <w:r w:rsidR="007D5F90">
        <w:rPr>
          <w:color w:val="000000" w:themeColor="text1"/>
          <w:lang w:val="en-US" w:eastAsia="zh-CN"/>
        </w:rPr>
        <w:t>[18]</w:t>
      </w:r>
      <w:r w:rsidR="004C5DC0" w:rsidRPr="0051440E">
        <w:rPr>
          <w:color w:val="000000" w:themeColor="text1"/>
        </w:rPr>
        <w:t>.</w:t>
      </w:r>
      <w:r w:rsidR="0051440E">
        <w:rPr>
          <w:color w:val="000000" w:themeColor="text1"/>
        </w:rPr>
        <w:t xml:space="preserve"> Likewise, in a series of studies by Muise and colleagues </w:t>
      </w:r>
      <w:r w:rsidR="007D5F90">
        <w:rPr>
          <w:color w:val="000000" w:themeColor="text1"/>
        </w:rPr>
        <w:t>[19]</w:t>
      </w:r>
      <w:r w:rsidR="0051440E">
        <w:rPr>
          <w:color w:val="000000" w:themeColor="text1"/>
        </w:rPr>
        <w:t xml:space="preserve">, pursuing sex for approach goals such as to enhance intimacy was associated </w:t>
      </w:r>
      <w:r w:rsidR="0051440E">
        <w:rPr>
          <w:color w:val="000000" w:themeColor="text1"/>
        </w:rPr>
        <w:lastRenderedPageBreak/>
        <w:t xml:space="preserve">with increased sexual and relationship satisfaction both in the short and longer terms. </w:t>
      </w:r>
      <w:r w:rsidR="004C5DC0" w:rsidRPr="00BD57E5">
        <w:rPr>
          <w:color w:val="000000" w:themeColor="text1"/>
        </w:rPr>
        <w:t xml:space="preserve">Engaging in a romantic relationship and spending time with a partner </w:t>
      </w:r>
      <w:r w:rsidR="00CE0C86">
        <w:rPr>
          <w:color w:val="000000" w:themeColor="text1"/>
        </w:rPr>
        <w:t xml:space="preserve">can also </w:t>
      </w:r>
      <w:r w:rsidR="004C5DC0" w:rsidRPr="00BD57E5">
        <w:rPr>
          <w:color w:val="000000" w:themeColor="text1"/>
        </w:rPr>
        <w:t xml:space="preserve">increase the sense of love and well-being </w:t>
      </w:r>
      <w:r w:rsidR="00233630">
        <w:rPr>
          <w:color w:val="000000" w:themeColor="text1"/>
        </w:rPr>
        <w:t>[20, 21]</w:t>
      </w:r>
      <w:r w:rsidR="00CE0C86">
        <w:rPr>
          <w:color w:val="000000" w:themeColor="text1"/>
        </w:rPr>
        <w:t xml:space="preserve"> and</w:t>
      </w:r>
      <w:r w:rsidR="004C5DC0" w:rsidRPr="00BD57E5">
        <w:rPr>
          <w:color w:val="000000" w:themeColor="text1"/>
        </w:rPr>
        <w:t xml:space="preserve"> feeling loved is a form of social support </w:t>
      </w:r>
      <w:r w:rsidR="00CE0C86">
        <w:rPr>
          <w:color w:val="000000" w:themeColor="text1"/>
        </w:rPr>
        <w:t xml:space="preserve">which </w:t>
      </w:r>
      <w:r w:rsidR="004C5DC0" w:rsidRPr="00BD57E5">
        <w:rPr>
          <w:color w:val="000000" w:themeColor="text1"/>
        </w:rPr>
        <w:t xml:space="preserve">contributes to </w:t>
      </w:r>
      <w:r w:rsidR="00CE0C86">
        <w:rPr>
          <w:color w:val="000000" w:themeColor="text1"/>
        </w:rPr>
        <w:t>maintain</w:t>
      </w:r>
      <w:r w:rsidR="00B30432">
        <w:rPr>
          <w:color w:val="000000" w:themeColor="text1"/>
        </w:rPr>
        <w:t>ing</w:t>
      </w:r>
      <w:r w:rsidR="00CE0C86" w:rsidRPr="00BD57E5">
        <w:rPr>
          <w:color w:val="000000" w:themeColor="text1"/>
        </w:rPr>
        <w:t xml:space="preserve"> </w:t>
      </w:r>
      <w:r w:rsidR="004C5DC0" w:rsidRPr="00BD57E5">
        <w:rPr>
          <w:color w:val="000000" w:themeColor="text1"/>
        </w:rPr>
        <w:t xml:space="preserve">a romantic relationship </w:t>
      </w:r>
      <w:r w:rsidR="00233630">
        <w:rPr>
          <w:color w:val="000000" w:themeColor="text1"/>
        </w:rPr>
        <w:t>[22]</w:t>
      </w:r>
      <w:r w:rsidR="004C5DC0" w:rsidRPr="00BD57E5">
        <w:rPr>
          <w:color w:val="000000" w:themeColor="text1"/>
          <w:lang w:val="en-US" w:eastAsia="zh-CN"/>
        </w:rPr>
        <w:t>.</w:t>
      </w:r>
      <w:r w:rsidR="00CE0C86">
        <w:rPr>
          <w:color w:val="000000" w:themeColor="text1"/>
        </w:rPr>
        <w:t xml:space="preserve"> As such, love and commitment motivations may be positively associated with several aspects of QoL including physical, emotional, and social </w:t>
      </w:r>
      <w:r w:rsidR="00B30432">
        <w:rPr>
          <w:color w:val="000000" w:themeColor="text1"/>
        </w:rPr>
        <w:t>well-being.</w:t>
      </w:r>
      <w:r w:rsidR="00CE0C86">
        <w:rPr>
          <w:color w:val="000000" w:themeColor="text1"/>
        </w:rPr>
        <w:t xml:space="preserve"> </w:t>
      </w:r>
      <w:r w:rsidR="004C5DC0" w:rsidRPr="00BD57E5">
        <w:rPr>
          <w:color w:val="000000" w:themeColor="text1"/>
        </w:rPr>
        <w:t xml:space="preserve"> </w:t>
      </w:r>
    </w:p>
    <w:p w14:paraId="68C3CA12" w14:textId="1F3DDD50" w:rsidR="004C5DC0" w:rsidRPr="00BD57E5" w:rsidRDefault="004C5DC0" w:rsidP="00BD57E5">
      <w:pPr>
        <w:ind w:firstLine="720"/>
        <w:rPr>
          <w:lang w:eastAsia="zh-CN"/>
        </w:rPr>
      </w:pPr>
      <w:r w:rsidRPr="00BD57E5">
        <w:rPr>
          <w:color w:val="000000" w:themeColor="text1"/>
        </w:rPr>
        <w:t xml:space="preserve">Secondly, sexual pleasure is </w:t>
      </w:r>
      <w:r w:rsidR="001E0BB9">
        <w:rPr>
          <w:color w:val="000000" w:themeColor="text1"/>
        </w:rPr>
        <w:t>important for</w:t>
      </w:r>
      <w:r w:rsidRPr="00BD57E5">
        <w:rPr>
          <w:color w:val="000000" w:themeColor="text1"/>
        </w:rPr>
        <w:t xml:space="preserve"> </w:t>
      </w:r>
      <w:r w:rsidR="002070AB">
        <w:rPr>
          <w:color w:val="000000" w:themeColor="text1"/>
        </w:rPr>
        <w:t>most</w:t>
      </w:r>
      <w:r w:rsidR="001E0BB9">
        <w:rPr>
          <w:color w:val="000000" w:themeColor="text1"/>
        </w:rPr>
        <w:t xml:space="preserve"> people</w:t>
      </w:r>
      <w:r w:rsidRPr="00BD57E5">
        <w:rPr>
          <w:color w:val="000000" w:themeColor="text1"/>
        </w:rPr>
        <w:t xml:space="preserve"> and understanding it is essential for sexual</w:t>
      </w:r>
      <w:r w:rsidR="00342E1B">
        <w:rPr>
          <w:color w:val="000000" w:themeColor="text1"/>
        </w:rPr>
        <w:t xml:space="preserve"> well-being</w:t>
      </w:r>
      <w:r w:rsidRPr="00BD57E5">
        <w:rPr>
          <w:color w:val="000000" w:themeColor="text1"/>
        </w:rPr>
        <w:t xml:space="preserve"> </w:t>
      </w:r>
      <w:r w:rsidR="00B66F0C">
        <w:rPr>
          <w:color w:val="000000" w:themeColor="text1"/>
        </w:rPr>
        <w:t>[23, 24]</w:t>
      </w:r>
      <w:r w:rsidRPr="00BD57E5">
        <w:rPr>
          <w:color w:val="000000" w:themeColor="text1"/>
        </w:rPr>
        <w:t xml:space="preserve">. Sexual pleasure during sex </w:t>
      </w:r>
      <w:r w:rsidR="001E0BB9">
        <w:rPr>
          <w:color w:val="000000" w:themeColor="text1"/>
        </w:rPr>
        <w:t xml:space="preserve">is well established to </w:t>
      </w:r>
      <w:r w:rsidRPr="00BD57E5">
        <w:rPr>
          <w:color w:val="000000" w:themeColor="text1"/>
        </w:rPr>
        <w:t xml:space="preserve">lead to higher sexual satisfaction and </w:t>
      </w:r>
      <w:r w:rsidR="001E0BB9">
        <w:rPr>
          <w:color w:val="000000" w:themeColor="text1"/>
        </w:rPr>
        <w:t>may also be</w:t>
      </w:r>
      <w:r w:rsidRPr="00BD57E5">
        <w:rPr>
          <w:color w:val="000000" w:themeColor="text1"/>
        </w:rPr>
        <w:t xml:space="preserve"> associated with </w:t>
      </w:r>
      <w:r w:rsidR="001E0BB9">
        <w:rPr>
          <w:color w:val="000000" w:themeColor="text1"/>
        </w:rPr>
        <w:t xml:space="preserve">improved </w:t>
      </w:r>
      <w:r w:rsidRPr="00BD57E5">
        <w:rPr>
          <w:color w:val="000000" w:themeColor="text1"/>
        </w:rPr>
        <w:t xml:space="preserve">quality of life </w:t>
      </w:r>
      <w:r w:rsidR="00C105EF">
        <w:rPr>
          <w:color w:val="000000" w:themeColor="text1"/>
        </w:rPr>
        <w:t>[25, 26]</w:t>
      </w:r>
      <w:r w:rsidRPr="00BD57E5">
        <w:rPr>
          <w:color w:val="000000" w:themeColor="text1"/>
        </w:rPr>
        <w:t xml:space="preserve">. However, </w:t>
      </w:r>
      <w:r w:rsidR="001E0BB9">
        <w:rPr>
          <w:color w:val="000000" w:themeColor="text1"/>
        </w:rPr>
        <w:t xml:space="preserve">others have suggested that focusing only on having sex for pleasure </w:t>
      </w:r>
      <w:r w:rsidRPr="00BD57E5">
        <w:rPr>
          <w:color w:val="000000" w:themeColor="text1"/>
        </w:rPr>
        <w:t xml:space="preserve">might lead to </w:t>
      </w:r>
      <w:r w:rsidRPr="00BD57E5">
        <w:rPr>
          <w:color w:val="000000" w:themeColor="text1"/>
          <w:lang w:eastAsia="zh-CN"/>
        </w:rPr>
        <w:t xml:space="preserve">individuals </w:t>
      </w:r>
      <w:r w:rsidR="001E0BB9">
        <w:rPr>
          <w:color w:val="000000" w:themeColor="text1"/>
          <w:lang w:eastAsia="zh-CN"/>
        </w:rPr>
        <w:t xml:space="preserve">deprioritising or </w:t>
      </w:r>
      <w:r w:rsidRPr="00BD57E5">
        <w:rPr>
          <w:color w:val="000000" w:themeColor="text1"/>
          <w:lang w:eastAsia="zh-CN"/>
        </w:rPr>
        <w:t xml:space="preserve">neglecting </w:t>
      </w:r>
      <w:r w:rsidR="001E0BB9">
        <w:rPr>
          <w:color w:val="000000" w:themeColor="text1"/>
          <w:lang w:eastAsia="zh-CN"/>
        </w:rPr>
        <w:t>other aspects of sexual</w:t>
      </w:r>
      <w:r w:rsidR="001E0BB9" w:rsidRPr="00BD57E5">
        <w:rPr>
          <w:color w:val="000000" w:themeColor="text1"/>
          <w:lang w:eastAsia="zh-CN"/>
        </w:rPr>
        <w:t xml:space="preserve"> </w:t>
      </w:r>
      <w:r w:rsidRPr="00BD57E5">
        <w:rPr>
          <w:color w:val="000000" w:themeColor="text1"/>
          <w:lang w:eastAsia="zh-CN"/>
        </w:rPr>
        <w:t xml:space="preserve">health, </w:t>
      </w:r>
      <w:r w:rsidR="001E0BB9">
        <w:rPr>
          <w:color w:val="000000" w:themeColor="text1"/>
          <w:lang w:eastAsia="zh-CN"/>
        </w:rPr>
        <w:t>perhaps leading to things like</w:t>
      </w:r>
      <w:r w:rsidRPr="00BD57E5">
        <w:rPr>
          <w:color w:val="000000" w:themeColor="text1"/>
          <w:lang w:eastAsia="zh-CN"/>
        </w:rPr>
        <w:t xml:space="preserve"> </w:t>
      </w:r>
      <w:r w:rsidR="001E0BB9">
        <w:rPr>
          <w:color w:val="000000" w:themeColor="text1"/>
          <w:lang w:eastAsia="zh-CN"/>
        </w:rPr>
        <w:t xml:space="preserve">reduced </w:t>
      </w:r>
      <w:r w:rsidRPr="00BD57E5">
        <w:rPr>
          <w:color w:val="000000" w:themeColor="text1"/>
          <w:lang w:eastAsia="zh-CN"/>
        </w:rPr>
        <w:t xml:space="preserve">condom </w:t>
      </w:r>
      <w:r w:rsidR="001E0BB9">
        <w:rPr>
          <w:color w:val="000000" w:themeColor="text1"/>
          <w:lang w:eastAsia="zh-CN"/>
        </w:rPr>
        <w:t xml:space="preserve">use </w:t>
      </w:r>
      <w:r w:rsidR="00C105EF">
        <w:rPr>
          <w:color w:val="000000" w:themeColor="text1"/>
          <w:lang w:eastAsia="zh-CN"/>
        </w:rPr>
        <w:t>[27]</w:t>
      </w:r>
      <w:r w:rsidR="002070AB">
        <w:rPr>
          <w:color w:val="000000" w:themeColor="text1"/>
        </w:rPr>
        <w:t xml:space="preserve"> which could lead to decreased well-being</w:t>
      </w:r>
      <w:r w:rsidR="006369AE">
        <w:rPr>
          <w:color w:val="000000" w:themeColor="text1"/>
        </w:rPr>
        <w:t xml:space="preserve"> for some</w:t>
      </w:r>
      <w:r w:rsidRPr="00BD57E5">
        <w:rPr>
          <w:color w:val="000000" w:themeColor="text1"/>
          <w:lang w:eastAsia="zh-CN"/>
        </w:rPr>
        <w:t xml:space="preserve">. </w:t>
      </w:r>
      <w:r w:rsidR="008534D3">
        <w:rPr>
          <w:color w:val="000000" w:themeColor="text1"/>
          <w:lang w:eastAsia="zh-CN"/>
        </w:rPr>
        <w:t>As such, the association between</w:t>
      </w:r>
      <w:r w:rsidRPr="00BD57E5">
        <w:rPr>
          <w:color w:val="000000" w:themeColor="text1"/>
          <w:lang w:eastAsia="zh-CN"/>
        </w:rPr>
        <w:t xml:space="preserve"> pleasure as </w:t>
      </w:r>
      <w:r w:rsidR="005847B2">
        <w:rPr>
          <w:color w:val="000000" w:themeColor="text1"/>
          <w:lang w:eastAsia="zh-CN"/>
        </w:rPr>
        <w:t xml:space="preserve">a </w:t>
      </w:r>
      <w:r w:rsidRPr="00BD57E5">
        <w:rPr>
          <w:color w:val="000000" w:themeColor="text1"/>
          <w:lang w:eastAsia="zh-CN"/>
        </w:rPr>
        <w:t xml:space="preserve">sexual motivation </w:t>
      </w:r>
      <w:r w:rsidR="005847B2">
        <w:rPr>
          <w:color w:val="000000" w:themeColor="text1"/>
          <w:lang w:eastAsia="zh-CN"/>
        </w:rPr>
        <w:t xml:space="preserve">and </w:t>
      </w:r>
      <w:r w:rsidRPr="00BD57E5">
        <w:rPr>
          <w:color w:val="000000" w:themeColor="text1"/>
          <w:lang w:eastAsia="zh-CN"/>
        </w:rPr>
        <w:t>physical QoL</w:t>
      </w:r>
      <w:r w:rsidR="008534D3">
        <w:rPr>
          <w:color w:val="000000" w:themeColor="text1"/>
          <w:lang w:eastAsia="zh-CN"/>
        </w:rPr>
        <w:t xml:space="preserve"> </w:t>
      </w:r>
      <w:r w:rsidR="005847B2">
        <w:rPr>
          <w:color w:val="000000" w:themeColor="text1"/>
          <w:lang w:eastAsia="zh-CN"/>
        </w:rPr>
        <w:t>needs further exploration</w:t>
      </w:r>
      <w:r w:rsidRPr="00BD57E5">
        <w:rPr>
          <w:color w:val="000000" w:themeColor="text1"/>
          <w:lang w:eastAsia="zh-CN"/>
        </w:rPr>
        <w:t xml:space="preserve">.  </w:t>
      </w:r>
    </w:p>
    <w:p w14:paraId="3A2BF87E" w14:textId="3DB6EEA7" w:rsidR="004C5DC0" w:rsidRPr="00BD57E5" w:rsidRDefault="004C5DC0" w:rsidP="00BD57E5">
      <w:pPr>
        <w:ind w:firstLine="720"/>
        <w:rPr>
          <w:color w:val="000000" w:themeColor="text1"/>
        </w:rPr>
      </w:pPr>
      <w:r w:rsidRPr="00BD57E5">
        <w:rPr>
          <w:color w:val="000000" w:themeColor="text1"/>
        </w:rPr>
        <w:t xml:space="preserve">Finally, people who have sex for reproduction </w:t>
      </w:r>
      <w:r w:rsidR="00EA712C">
        <w:rPr>
          <w:color w:val="000000" w:themeColor="text1"/>
        </w:rPr>
        <w:t xml:space="preserve">proposes </w:t>
      </w:r>
      <w:r w:rsidRPr="00BD57E5">
        <w:rPr>
          <w:color w:val="000000" w:themeColor="text1"/>
        </w:rPr>
        <w:t>m</w:t>
      </w:r>
      <w:r w:rsidR="00EA712C">
        <w:rPr>
          <w:color w:val="000000" w:themeColor="text1"/>
        </w:rPr>
        <w:t>ay</w:t>
      </w:r>
      <w:r w:rsidRPr="00BD57E5">
        <w:rPr>
          <w:color w:val="000000" w:themeColor="text1"/>
        </w:rPr>
        <w:t xml:space="preserve"> also </w:t>
      </w:r>
      <w:r w:rsidR="00EA712C">
        <w:rPr>
          <w:color w:val="000000" w:themeColor="text1"/>
        </w:rPr>
        <w:t>experience</w:t>
      </w:r>
      <w:r w:rsidRPr="00BD57E5">
        <w:rPr>
          <w:color w:val="000000" w:themeColor="text1"/>
        </w:rPr>
        <w:t xml:space="preserve"> different level</w:t>
      </w:r>
      <w:r w:rsidR="00EA712C">
        <w:rPr>
          <w:color w:val="000000" w:themeColor="text1"/>
        </w:rPr>
        <w:t>s</w:t>
      </w:r>
      <w:r w:rsidRPr="00BD57E5">
        <w:rPr>
          <w:color w:val="000000" w:themeColor="text1"/>
        </w:rPr>
        <w:t xml:space="preserve"> of QoL. </w:t>
      </w:r>
      <w:r w:rsidR="00EA712C">
        <w:rPr>
          <w:color w:val="000000" w:themeColor="text1"/>
        </w:rPr>
        <w:t>For example</w:t>
      </w:r>
      <w:r w:rsidRPr="00BD57E5">
        <w:rPr>
          <w:color w:val="000000" w:themeColor="text1"/>
        </w:rPr>
        <w:t xml:space="preserve">, </w:t>
      </w:r>
      <w:r w:rsidRPr="00BD57E5">
        <w:rPr>
          <w:color w:val="000000" w:themeColor="text1"/>
          <w:lang w:eastAsia="zh-CN"/>
        </w:rPr>
        <w:t xml:space="preserve">couples who </w:t>
      </w:r>
      <w:r w:rsidR="00EA712C">
        <w:rPr>
          <w:color w:val="000000" w:themeColor="text1"/>
          <w:lang w:eastAsia="zh-CN"/>
        </w:rPr>
        <w:t xml:space="preserve">are planning for pregnancy may make other healthier behaviour choices such as </w:t>
      </w:r>
      <w:r w:rsidR="00FA271C" w:rsidRPr="00BD57E5">
        <w:rPr>
          <w:color w:val="000000" w:themeColor="text1"/>
          <w:lang w:eastAsia="zh-CN"/>
        </w:rPr>
        <w:t>quit</w:t>
      </w:r>
      <w:r w:rsidR="00FA271C">
        <w:rPr>
          <w:color w:val="000000" w:themeColor="text1"/>
          <w:lang w:eastAsia="zh-CN"/>
        </w:rPr>
        <w:t>ting or reducing</w:t>
      </w:r>
      <w:r w:rsidRPr="00BD57E5">
        <w:rPr>
          <w:color w:val="000000" w:themeColor="text1"/>
          <w:lang w:eastAsia="zh-CN"/>
        </w:rPr>
        <w:t xml:space="preserve"> alcohol and smok</w:t>
      </w:r>
      <w:r w:rsidR="00FA271C">
        <w:rPr>
          <w:color w:val="000000" w:themeColor="text1"/>
          <w:lang w:eastAsia="zh-CN"/>
        </w:rPr>
        <w:t>ing</w:t>
      </w:r>
      <w:r w:rsidRPr="00BD57E5">
        <w:rPr>
          <w:color w:val="000000" w:themeColor="text1"/>
          <w:lang w:eastAsia="zh-CN"/>
        </w:rPr>
        <w:t xml:space="preserve"> </w:t>
      </w:r>
      <w:r w:rsidR="00C105EF">
        <w:rPr>
          <w:color w:val="000000" w:themeColor="text1"/>
          <w:lang w:eastAsia="zh-CN"/>
        </w:rPr>
        <w:t xml:space="preserve">[28] </w:t>
      </w:r>
      <w:r w:rsidR="00C51317">
        <w:rPr>
          <w:color w:val="000000" w:themeColor="text1"/>
          <w:lang w:eastAsia="zh-CN"/>
        </w:rPr>
        <w:t>a</w:t>
      </w:r>
      <w:r w:rsidR="00FA271C">
        <w:rPr>
          <w:color w:val="000000" w:themeColor="text1"/>
          <w:lang w:eastAsia="zh-CN"/>
        </w:rPr>
        <w:t>s pre-pregnancy</w:t>
      </w:r>
      <w:r w:rsidRPr="00BD57E5">
        <w:rPr>
          <w:color w:val="000000" w:themeColor="text1"/>
          <w:lang w:eastAsia="zh-CN"/>
        </w:rPr>
        <w:t xml:space="preserve"> preparation </w:t>
      </w:r>
      <w:r w:rsidR="00FA271C">
        <w:rPr>
          <w:color w:val="000000" w:themeColor="text1"/>
          <w:lang w:eastAsia="zh-CN"/>
        </w:rPr>
        <w:t xml:space="preserve">can lead to improvement in parental health as well as infant </w:t>
      </w:r>
      <w:r w:rsidRPr="00BD57E5">
        <w:rPr>
          <w:color w:val="000000" w:themeColor="text1"/>
          <w:lang w:eastAsia="zh-CN"/>
        </w:rPr>
        <w:t xml:space="preserve">health </w:t>
      </w:r>
      <w:r w:rsidR="00FA271C">
        <w:rPr>
          <w:color w:val="000000" w:themeColor="text1"/>
          <w:lang w:eastAsia="zh-CN"/>
        </w:rPr>
        <w:t>and reduced</w:t>
      </w:r>
      <w:r w:rsidRPr="00BD57E5">
        <w:rPr>
          <w:color w:val="000000" w:themeColor="text1"/>
          <w:lang w:eastAsia="zh-CN"/>
        </w:rPr>
        <w:t xml:space="preserve"> chance </w:t>
      </w:r>
      <w:r w:rsidR="00FA271C">
        <w:rPr>
          <w:color w:val="000000" w:themeColor="text1"/>
          <w:lang w:eastAsia="zh-CN"/>
        </w:rPr>
        <w:t>of</w:t>
      </w:r>
      <w:r w:rsidRPr="00BD57E5">
        <w:rPr>
          <w:color w:val="000000" w:themeColor="text1"/>
          <w:lang w:eastAsia="zh-CN"/>
        </w:rPr>
        <w:t xml:space="preserve"> pregnancy loss</w:t>
      </w:r>
      <w:r w:rsidR="00FA271C">
        <w:rPr>
          <w:color w:val="000000" w:themeColor="text1"/>
          <w:lang w:eastAsia="zh-CN"/>
        </w:rPr>
        <w:t xml:space="preserve"> </w:t>
      </w:r>
      <w:r w:rsidR="00831E71">
        <w:rPr>
          <w:color w:val="000000" w:themeColor="text1"/>
          <w:lang w:eastAsia="zh-CN"/>
        </w:rPr>
        <w:t>[29]</w:t>
      </w:r>
      <w:r w:rsidRPr="00BD57E5">
        <w:rPr>
          <w:color w:val="000000" w:themeColor="text1"/>
          <w:lang w:eastAsia="zh-CN"/>
        </w:rPr>
        <w:t>.</w:t>
      </w:r>
      <w:r w:rsidR="00E81862">
        <w:rPr>
          <w:color w:val="000000" w:themeColor="text1"/>
          <w:lang w:eastAsia="zh-CN"/>
        </w:rPr>
        <w:t xml:space="preserve"> This may lead to overall improved physical health QoL.</w:t>
      </w:r>
      <w:r w:rsidRPr="00BD57E5">
        <w:rPr>
          <w:color w:val="000000" w:themeColor="text1"/>
          <w:lang w:eastAsia="zh-CN"/>
        </w:rPr>
        <w:t xml:space="preserve"> </w:t>
      </w:r>
      <w:r w:rsidR="00E81862">
        <w:rPr>
          <w:color w:val="000000" w:themeColor="text1"/>
        </w:rPr>
        <w:t>Additionally</w:t>
      </w:r>
      <w:r w:rsidRPr="00BD57E5">
        <w:rPr>
          <w:color w:val="000000" w:themeColor="text1"/>
        </w:rPr>
        <w:t>,</w:t>
      </w:r>
      <w:r w:rsidR="005A58CF">
        <w:rPr>
          <w:color w:val="000000" w:themeColor="text1"/>
        </w:rPr>
        <w:t xml:space="preserve"> when both members of a couple have shared </w:t>
      </w:r>
      <w:r w:rsidR="00D25968">
        <w:rPr>
          <w:color w:val="000000" w:themeColor="text1"/>
        </w:rPr>
        <w:t xml:space="preserve">reproductive </w:t>
      </w:r>
      <w:r w:rsidRPr="00BD57E5">
        <w:rPr>
          <w:color w:val="000000" w:themeColor="text1"/>
        </w:rPr>
        <w:t>motivation</w:t>
      </w:r>
      <w:r w:rsidR="00D25968">
        <w:rPr>
          <w:color w:val="000000" w:themeColor="text1"/>
        </w:rPr>
        <w:t>s, this</w:t>
      </w:r>
      <w:r w:rsidRPr="00BD57E5">
        <w:rPr>
          <w:color w:val="000000" w:themeColor="text1"/>
        </w:rPr>
        <w:t xml:space="preserve"> can lead to </w:t>
      </w:r>
      <w:r w:rsidR="00D25968">
        <w:rPr>
          <w:color w:val="000000" w:themeColor="text1"/>
        </w:rPr>
        <w:t>improved relationship outcomes</w:t>
      </w:r>
      <w:r w:rsidR="00D25968" w:rsidRPr="00BD57E5">
        <w:rPr>
          <w:color w:val="000000" w:themeColor="text1"/>
        </w:rPr>
        <w:t xml:space="preserve"> </w:t>
      </w:r>
      <w:r w:rsidRPr="00BD57E5">
        <w:rPr>
          <w:color w:val="000000" w:themeColor="text1"/>
        </w:rPr>
        <w:t xml:space="preserve">and </w:t>
      </w:r>
      <w:r w:rsidR="00D25968">
        <w:rPr>
          <w:color w:val="000000" w:themeColor="text1"/>
        </w:rPr>
        <w:t>better</w:t>
      </w:r>
      <w:r w:rsidR="00D25968" w:rsidRPr="00BD57E5">
        <w:rPr>
          <w:color w:val="000000" w:themeColor="text1"/>
        </w:rPr>
        <w:t xml:space="preserve"> </w:t>
      </w:r>
      <w:r w:rsidRPr="00BD57E5">
        <w:rPr>
          <w:color w:val="000000" w:themeColor="text1"/>
        </w:rPr>
        <w:t xml:space="preserve">psychological well-being </w:t>
      </w:r>
      <w:r w:rsidR="00831E71">
        <w:rPr>
          <w:color w:val="000000" w:themeColor="text1"/>
        </w:rPr>
        <w:t>[30, 31]</w:t>
      </w:r>
      <w:r w:rsidRPr="00BD57E5">
        <w:rPr>
          <w:color w:val="000000" w:themeColor="text1"/>
        </w:rPr>
        <w:t xml:space="preserve">. </w:t>
      </w:r>
      <w:r w:rsidRPr="00BD57E5">
        <w:rPr>
          <w:color w:val="000000" w:themeColor="text1"/>
        </w:rPr>
        <w:lastRenderedPageBreak/>
        <w:t>Therefore, studying reproduction as one aspect of sexual motivation can</w:t>
      </w:r>
      <w:r w:rsidR="006369AE">
        <w:rPr>
          <w:color w:val="000000" w:themeColor="text1"/>
        </w:rPr>
        <w:t xml:space="preserve"> also</w:t>
      </w:r>
      <w:r w:rsidRPr="00BD57E5">
        <w:rPr>
          <w:color w:val="000000" w:themeColor="text1"/>
        </w:rPr>
        <w:t xml:space="preserve"> contribute to increased understanding of QoL.</w:t>
      </w:r>
    </w:p>
    <w:p w14:paraId="43E8DF74" w14:textId="77777777" w:rsidR="004C5DC0" w:rsidRPr="004E72EE" w:rsidRDefault="004C5DC0" w:rsidP="00BD57E5">
      <w:pPr>
        <w:rPr>
          <w:b/>
          <w:bCs/>
          <w:color w:val="000000" w:themeColor="text1"/>
          <w:sz w:val="32"/>
          <w:szCs w:val="32"/>
        </w:rPr>
      </w:pPr>
      <w:bookmarkStart w:id="2" w:name="cultural_difference"/>
      <w:r w:rsidRPr="004E72EE">
        <w:rPr>
          <w:b/>
          <w:bCs/>
          <w:color w:val="000000" w:themeColor="text1"/>
          <w:sz w:val="32"/>
          <w:szCs w:val="32"/>
        </w:rPr>
        <w:t>Cultural differences</w:t>
      </w:r>
      <w:bookmarkEnd w:id="2"/>
    </w:p>
    <w:p w14:paraId="57D12B46" w14:textId="331EB126" w:rsidR="004C5DC0" w:rsidRPr="00BD57E5" w:rsidRDefault="004C5DC0" w:rsidP="00BD57E5">
      <w:pPr>
        <w:ind w:firstLine="720"/>
        <w:rPr>
          <w:b/>
          <w:bCs/>
          <w:color w:val="000000" w:themeColor="text1"/>
        </w:rPr>
      </w:pPr>
      <w:r w:rsidRPr="00BD57E5">
        <w:rPr>
          <w:color w:val="000000" w:themeColor="text1"/>
        </w:rPr>
        <w:t xml:space="preserve">To better understand sexual motivation, cultural differences must </w:t>
      </w:r>
      <w:r w:rsidR="005044A3">
        <w:rPr>
          <w:color w:val="000000" w:themeColor="text1"/>
        </w:rPr>
        <w:t xml:space="preserve">also </w:t>
      </w:r>
      <w:r w:rsidRPr="00BD57E5">
        <w:rPr>
          <w:color w:val="000000" w:themeColor="text1"/>
        </w:rPr>
        <w:t xml:space="preserve">be considered. Laan et al. </w:t>
      </w:r>
      <w:r w:rsidR="003673FB">
        <w:rPr>
          <w:color w:val="000000" w:themeColor="text1"/>
        </w:rPr>
        <w:t>[3</w:t>
      </w:r>
      <w:r w:rsidRPr="00BD57E5">
        <w:rPr>
          <w:color w:val="000000" w:themeColor="text1"/>
        </w:rPr>
        <w:t>2</w:t>
      </w:r>
      <w:r w:rsidR="003673FB">
        <w:rPr>
          <w:color w:val="000000" w:themeColor="text1"/>
        </w:rPr>
        <w:t>]</w:t>
      </w:r>
      <w:r w:rsidRPr="00BD57E5">
        <w:rPr>
          <w:color w:val="000000" w:themeColor="text1"/>
        </w:rPr>
        <w:t xml:space="preserve"> highlighted significant differences in the way people from different cultures express their views and opinions about sexuality. For example, sexual attitudes and education are substantially different in China and the UK. In China, sex education mostly focuses on preventing HIV, STIs, and casual sex, while sexual pleasure and expression are not discussed </w:t>
      </w:r>
      <w:r w:rsidR="003673FB">
        <w:rPr>
          <w:color w:val="000000" w:themeColor="text1"/>
        </w:rPr>
        <w:t>[33]</w:t>
      </w:r>
      <w:r w:rsidRPr="00BD57E5">
        <w:rPr>
          <w:color w:val="000000" w:themeColor="text1"/>
        </w:rPr>
        <w:t xml:space="preserve">. While Chinese parents generally support teaching children about sexuality, very few actually have "the talk" with their children </w:t>
      </w:r>
      <w:r w:rsidR="00EB04A7">
        <w:rPr>
          <w:color w:val="000000" w:themeColor="text1"/>
        </w:rPr>
        <w:t>[34]</w:t>
      </w:r>
      <w:r w:rsidRPr="00BD57E5">
        <w:rPr>
          <w:color w:val="000000" w:themeColor="text1"/>
        </w:rPr>
        <w:t xml:space="preserve">. In contrast, sexual health educators in the United Kingdom are more likely to share more comprehensive knowledge with students including issues of gender equality and sexual safety online </w:t>
      </w:r>
      <w:r w:rsidR="00EB04A7">
        <w:rPr>
          <w:color w:val="000000" w:themeColor="text1"/>
        </w:rPr>
        <w:t>[35]</w:t>
      </w:r>
      <w:r w:rsidRPr="00BD57E5">
        <w:rPr>
          <w:color w:val="000000" w:themeColor="text1"/>
        </w:rPr>
        <w:t xml:space="preserve">. Thus, cultural differences might influence individuals' sexual </w:t>
      </w:r>
      <w:r w:rsidR="00232092">
        <w:rPr>
          <w:color w:val="000000" w:themeColor="text1"/>
        </w:rPr>
        <w:t>motivation</w:t>
      </w:r>
      <w:r w:rsidRPr="00BD57E5">
        <w:rPr>
          <w:color w:val="000000" w:themeColor="text1"/>
        </w:rPr>
        <w:t xml:space="preserve"> and well-being.</w:t>
      </w:r>
    </w:p>
    <w:p w14:paraId="0E75F6DF" w14:textId="77777777" w:rsidR="004C5DC0" w:rsidRPr="004E72EE" w:rsidRDefault="004C5DC0" w:rsidP="00BD57E5">
      <w:pPr>
        <w:rPr>
          <w:b/>
          <w:bCs/>
          <w:color w:val="000000" w:themeColor="text1"/>
          <w:sz w:val="32"/>
          <w:szCs w:val="32"/>
        </w:rPr>
      </w:pPr>
      <w:bookmarkStart w:id="3" w:name="current_study"/>
      <w:r w:rsidRPr="004E72EE">
        <w:rPr>
          <w:b/>
          <w:bCs/>
          <w:color w:val="000000" w:themeColor="text1"/>
          <w:sz w:val="32"/>
          <w:szCs w:val="32"/>
        </w:rPr>
        <w:t>Current study</w:t>
      </w:r>
      <w:bookmarkEnd w:id="3"/>
    </w:p>
    <w:p w14:paraId="5E8C85B4" w14:textId="4E14A273" w:rsidR="004C5DC0" w:rsidRPr="00BD57E5" w:rsidRDefault="004C5DC0" w:rsidP="00BD57E5">
      <w:pPr>
        <w:ind w:firstLine="720"/>
        <w:rPr>
          <w:b/>
          <w:bCs/>
          <w:color w:val="000000" w:themeColor="text1"/>
        </w:rPr>
      </w:pPr>
      <w:r w:rsidRPr="00BD57E5">
        <w:rPr>
          <w:color w:val="000000" w:themeColor="text1"/>
        </w:rPr>
        <w:t>This study aims to investigate the relationship between sexual motivation and QoL from a biopsychosocial perspective</w:t>
      </w:r>
      <w:r w:rsidR="0010038F">
        <w:rPr>
          <w:color w:val="000000" w:themeColor="text1"/>
        </w:rPr>
        <w:t>, and to explore cultural differences in motivation and QoL between China and the UK</w:t>
      </w:r>
      <w:r w:rsidRPr="00BD57E5">
        <w:rPr>
          <w:color w:val="000000" w:themeColor="text1"/>
        </w:rPr>
        <w:t xml:space="preserve">. Previous research has not </w:t>
      </w:r>
      <w:r w:rsidR="005044A3">
        <w:rPr>
          <w:color w:val="000000" w:themeColor="text1"/>
        </w:rPr>
        <w:t xml:space="preserve">yet </w:t>
      </w:r>
      <w:r w:rsidRPr="00BD57E5">
        <w:rPr>
          <w:color w:val="000000" w:themeColor="text1"/>
        </w:rPr>
        <w:t xml:space="preserve">examined the correlation between sexual motivation and QoL. Additionally, it is unclear whether cultural </w:t>
      </w:r>
      <w:r w:rsidR="00232092">
        <w:rPr>
          <w:color w:val="000000" w:themeColor="text1"/>
        </w:rPr>
        <w:t xml:space="preserve">factors </w:t>
      </w:r>
      <w:r w:rsidRPr="00BD57E5">
        <w:rPr>
          <w:color w:val="000000" w:themeColor="text1"/>
        </w:rPr>
        <w:t>are differentially related to the association between sexual motivation and QoL. The study proposes two hypotheses based on this information.</w:t>
      </w:r>
    </w:p>
    <w:p w14:paraId="4FF2292D" w14:textId="77777777" w:rsidR="004C5DC0" w:rsidRPr="00BD57E5" w:rsidRDefault="004C5DC0" w:rsidP="00BD57E5">
      <w:pPr>
        <w:ind w:firstLine="720"/>
        <w:rPr>
          <w:color w:val="000000" w:themeColor="text1"/>
        </w:rPr>
      </w:pPr>
      <w:r w:rsidRPr="00BD57E5">
        <w:rPr>
          <w:color w:val="000000" w:themeColor="text1"/>
        </w:rPr>
        <w:lastRenderedPageBreak/>
        <w:t>The ﬁrst hypothesis is that higher scores on "love and commitment", "reproduction", and "pleasure" motivations will be associated with higher scores on physical health, psychological health, and social support quality of life.</w:t>
      </w:r>
    </w:p>
    <w:p w14:paraId="18227493" w14:textId="76B096C7" w:rsidR="004C5DC0" w:rsidRPr="00BD57E5" w:rsidRDefault="004C5DC0" w:rsidP="00BD57E5">
      <w:pPr>
        <w:ind w:firstLine="720"/>
        <w:rPr>
          <w:color w:val="000000" w:themeColor="text1"/>
        </w:rPr>
      </w:pPr>
      <w:r w:rsidRPr="00BD57E5">
        <w:rPr>
          <w:color w:val="000000" w:themeColor="text1"/>
        </w:rPr>
        <w:t>The second hypothesis is that country of residence and birth will moderate the associations between "emotional motivation" and physical health, psychological health</w:t>
      </w:r>
      <w:r w:rsidR="00232092">
        <w:rPr>
          <w:color w:val="000000" w:themeColor="text1"/>
        </w:rPr>
        <w:t>,</w:t>
      </w:r>
      <w:r w:rsidRPr="00BD57E5">
        <w:rPr>
          <w:color w:val="000000" w:themeColor="text1"/>
        </w:rPr>
        <w:t xml:space="preserve"> and social support quality of life scores. </w:t>
      </w:r>
    </w:p>
    <w:p w14:paraId="7CDEDAFA" w14:textId="77777777" w:rsidR="004C5DC0" w:rsidRPr="004E72EE" w:rsidRDefault="004C5DC0" w:rsidP="004E72EE">
      <w:pPr>
        <w:rPr>
          <w:b/>
          <w:bCs/>
          <w:color w:val="000000" w:themeColor="text1"/>
          <w:sz w:val="36"/>
          <w:szCs w:val="36"/>
        </w:rPr>
      </w:pPr>
      <w:r w:rsidRPr="004E72EE">
        <w:rPr>
          <w:b/>
          <w:bCs/>
          <w:color w:val="000000" w:themeColor="text1"/>
          <w:sz w:val="36"/>
          <w:szCs w:val="36"/>
        </w:rPr>
        <w:t>Methods</w:t>
      </w:r>
    </w:p>
    <w:p w14:paraId="0C83B623" w14:textId="2C7E774B" w:rsidR="004C5DC0" w:rsidRPr="004E72EE" w:rsidRDefault="004C5DC0" w:rsidP="00BD57E5">
      <w:pPr>
        <w:rPr>
          <w:b/>
          <w:bCs/>
          <w:color w:val="000000" w:themeColor="text1"/>
          <w:sz w:val="32"/>
          <w:szCs w:val="32"/>
        </w:rPr>
      </w:pPr>
      <w:r w:rsidRPr="004E72EE">
        <w:rPr>
          <w:b/>
          <w:bCs/>
          <w:color w:val="000000" w:themeColor="text1"/>
          <w:sz w:val="32"/>
          <w:szCs w:val="32"/>
        </w:rPr>
        <w:t xml:space="preserve">Sample and </w:t>
      </w:r>
      <w:r w:rsidR="001D54E9">
        <w:rPr>
          <w:b/>
          <w:bCs/>
          <w:color w:val="000000" w:themeColor="text1"/>
          <w:sz w:val="32"/>
          <w:szCs w:val="32"/>
        </w:rPr>
        <w:t>r</w:t>
      </w:r>
      <w:r w:rsidRPr="004E72EE">
        <w:rPr>
          <w:b/>
          <w:bCs/>
          <w:color w:val="000000" w:themeColor="text1"/>
          <w:sz w:val="32"/>
          <w:szCs w:val="32"/>
        </w:rPr>
        <w:t>ecruitment</w:t>
      </w:r>
    </w:p>
    <w:p w14:paraId="33EF2638" w14:textId="0AB35131" w:rsidR="004C5DC0" w:rsidRPr="00BD57E5" w:rsidRDefault="004C5DC0" w:rsidP="00BD57E5">
      <w:pPr>
        <w:rPr>
          <w:color w:val="000000" w:themeColor="text1"/>
        </w:rPr>
      </w:pPr>
      <w:r w:rsidRPr="00BD57E5">
        <w:rPr>
          <w:color w:val="000000" w:themeColor="text1"/>
        </w:rPr>
        <w:tab/>
        <w:t>Inclusion criteria for th</w:t>
      </w:r>
      <w:r w:rsidR="00D463A5">
        <w:rPr>
          <w:color w:val="000000" w:themeColor="text1"/>
        </w:rPr>
        <w:t>is anonymous, online survey</w:t>
      </w:r>
      <w:r w:rsidRPr="00BD57E5">
        <w:rPr>
          <w:color w:val="000000" w:themeColor="text1"/>
        </w:rPr>
        <w:t xml:space="preserve"> included living in China or the UK, being aged 18 and above, and being able to complete the questionnaire in English. Participants were recruited via social media: Twitter for UK residents and WeChat, Weibo, and Xiaohongshu for Chinese residents. Additionally, an advertisement was placed on the undergraduate student subject pool at the University </w:t>
      </w:r>
      <w:r w:rsidR="006C4AF4">
        <w:rPr>
          <w:color w:val="000000" w:themeColor="text1"/>
        </w:rPr>
        <w:t>{blinded}</w:t>
      </w:r>
      <w:r w:rsidRPr="00BD57E5">
        <w:rPr>
          <w:color w:val="000000" w:themeColor="text1"/>
        </w:rPr>
        <w:t xml:space="preserve">. Students who completed the study via the subject pool received two course credits; no other compensation was offered. </w:t>
      </w:r>
    </w:p>
    <w:p w14:paraId="789A1373" w14:textId="77777777" w:rsidR="004C5DC0" w:rsidRPr="004E72EE" w:rsidRDefault="004C5DC0" w:rsidP="00BD57E5">
      <w:pPr>
        <w:rPr>
          <w:b/>
          <w:bCs/>
          <w:color w:val="000000" w:themeColor="text1"/>
          <w:sz w:val="32"/>
          <w:szCs w:val="32"/>
        </w:rPr>
      </w:pPr>
      <w:bookmarkStart w:id="4" w:name="Procedure"/>
      <w:r w:rsidRPr="004E72EE">
        <w:rPr>
          <w:b/>
          <w:bCs/>
          <w:color w:val="000000" w:themeColor="text1"/>
          <w:sz w:val="32"/>
          <w:szCs w:val="32"/>
        </w:rPr>
        <w:t>Procedure</w:t>
      </w:r>
    </w:p>
    <w:bookmarkEnd w:id="4"/>
    <w:p w14:paraId="49E90C34" w14:textId="25F52C5A" w:rsidR="004C5DC0" w:rsidRPr="00BD57E5" w:rsidRDefault="004C5DC0" w:rsidP="00BD57E5">
      <w:pPr>
        <w:rPr>
          <w:color w:val="000000" w:themeColor="text1"/>
        </w:rPr>
      </w:pPr>
      <w:r w:rsidRPr="00BD57E5">
        <w:rPr>
          <w:b/>
          <w:bCs/>
          <w:color w:val="000000" w:themeColor="text1"/>
        </w:rPr>
        <w:tab/>
      </w:r>
      <w:r w:rsidRPr="00BD57E5">
        <w:rPr>
          <w:color w:val="000000" w:themeColor="text1"/>
        </w:rPr>
        <w:t>Data was collected from March 14 to June 3, 2022. Interested individuals clicked on the survey link in the advertisement and were taken to the survey</w:t>
      </w:r>
      <w:r w:rsidR="002B4ED8">
        <w:rPr>
          <w:color w:val="000000" w:themeColor="text1"/>
        </w:rPr>
        <w:t xml:space="preserve"> which was</w:t>
      </w:r>
      <w:r w:rsidRPr="00BD57E5">
        <w:rPr>
          <w:color w:val="000000" w:themeColor="text1"/>
        </w:rPr>
        <w:t xml:space="preserve"> hosted on iSurvey for UK participants and Wengjuanxing for Chinese participants. After reading the participant information sheet, participants gave informed consent by checking a box at the bottom of the page. They were then presented with demographic questions and validated measures for sexual motivation and quality of life. A debrief form with research</w:t>
      </w:r>
      <w:r w:rsidR="002B4ED8">
        <w:rPr>
          <w:color w:val="000000" w:themeColor="text1"/>
        </w:rPr>
        <w:t>er</w:t>
      </w:r>
      <w:r w:rsidRPr="00BD57E5">
        <w:rPr>
          <w:color w:val="000000" w:themeColor="text1"/>
        </w:rPr>
        <w:t xml:space="preserve"> contact information was </w:t>
      </w:r>
      <w:r w:rsidRPr="00BD57E5">
        <w:rPr>
          <w:color w:val="000000" w:themeColor="text1"/>
        </w:rPr>
        <w:lastRenderedPageBreak/>
        <w:t xml:space="preserve">provided at the end of the survey. All study procedures were approved by the University </w:t>
      </w:r>
      <w:r w:rsidR="002B4ED8">
        <w:rPr>
          <w:color w:val="000000" w:themeColor="text1"/>
        </w:rPr>
        <w:t>{blinded}</w:t>
      </w:r>
      <w:r w:rsidRPr="00BD57E5">
        <w:rPr>
          <w:color w:val="000000" w:themeColor="text1"/>
        </w:rPr>
        <w:t xml:space="preserve"> Research Ethics Board (ERGO: 70350). </w:t>
      </w:r>
    </w:p>
    <w:p w14:paraId="0C85F040" w14:textId="77777777" w:rsidR="004C5DC0" w:rsidRPr="004E72EE" w:rsidRDefault="004C5DC0" w:rsidP="00BD57E5">
      <w:pPr>
        <w:rPr>
          <w:b/>
          <w:bCs/>
          <w:color w:val="000000" w:themeColor="text1"/>
          <w:sz w:val="32"/>
          <w:szCs w:val="32"/>
        </w:rPr>
      </w:pPr>
      <w:bookmarkStart w:id="5" w:name="Measures"/>
      <w:r w:rsidRPr="004E72EE">
        <w:rPr>
          <w:b/>
          <w:bCs/>
          <w:color w:val="000000" w:themeColor="text1"/>
          <w:sz w:val="32"/>
          <w:szCs w:val="32"/>
        </w:rPr>
        <w:t>Measures</w:t>
      </w:r>
    </w:p>
    <w:p w14:paraId="095E7410" w14:textId="77777777" w:rsidR="004C5DC0" w:rsidRPr="004E72EE" w:rsidRDefault="004C5DC0" w:rsidP="00BD57E5">
      <w:pPr>
        <w:rPr>
          <w:b/>
          <w:bCs/>
          <w:sz w:val="28"/>
          <w:szCs w:val="28"/>
        </w:rPr>
      </w:pPr>
      <w:bookmarkStart w:id="6" w:name="Demographics"/>
      <w:bookmarkEnd w:id="5"/>
      <w:r w:rsidRPr="004E72EE">
        <w:rPr>
          <w:b/>
          <w:bCs/>
          <w:sz w:val="28"/>
          <w:szCs w:val="28"/>
        </w:rPr>
        <w:t>Demographics</w:t>
      </w:r>
    </w:p>
    <w:bookmarkEnd w:id="6"/>
    <w:p w14:paraId="07972EC2" w14:textId="6F1518D1" w:rsidR="004C5DC0" w:rsidRPr="00BD57E5" w:rsidRDefault="004C5DC0" w:rsidP="00BD57E5">
      <w:pPr>
        <w:rPr>
          <w:color w:val="000000" w:themeColor="text1"/>
        </w:rPr>
      </w:pPr>
      <w:r w:rsidRPr="00BD57E5">
        <w:rPr>
          <w:color w:val="000000" w:themeColor="text1"/>
        </w:rPr>
        <w:tab/>
        <w:t xml:space="preserve">Demographic questions included age, gender, sexual orientation, ethnicity, education, employment, country of birth, and country of current residence. Only participants born and living in the same country were included in the analytic sample, to minimise additional influences on cultural attitudes or values </w:t>
      </w:r>
      <w:r w:rsidR="00604C40">
        <w:rPr>
          <w:color w:val="000000" w:themeColor="text1"/>
        </w:rPr>
        <w:t>[36]</w:t>
      </w:r>
      <w:r w:rsidRPr="00BD57E5">
        <w:rPr>
          <w:color w:val="000000" w:themeColor="text1"/>
        </w:rPr>
        <w:t>.</w:t>
      </w:r>
    </w:p>
    <w:p w14:paraId="4DE96AA5" w14:textId="77777777" w:rsidR="004C5DC0" w:rsidRPr="004E72EE" w:rsidRDefault="004C5DC0" w:rsidP="00BD57E5">
      <w:pPr>
        <w:rPr>
          <w:b/>
          <w:bCs/>
          <w:color w:val="000000" w:themeColor="text1"/>
          <w:sz w:val="28"/>
          <w:szCs w:val="28"/>
        </w:rPr>
      </w:pPr>
      <w:bookmarkStart w:id="7" w:name="YSEX_SF"/>
      <w:r w:rsidRPr="004E72EE">
        <w:rPr>
          <w:b/>
          <w:bCs/>
          <w:sz w:val="28"/>
          <w:szCs w:val="28"/>
        </w:rPr>
        <w:t>Sexual motivation</w:t>
      </w:r>
    </w:p>
    <w:bookmarkEnd w:id="7"/>
    <w:p w14:paraId="0EAD0F31" w14:textId="645F2FD7" w:rsidR="004C5DC0" w:rsidRPr="00BD57E5" w:rsidRDefault="004C5DC0" w:rsidP="00BD57E5">
      <w:pPr>
        <w:rPr>
          <w:color w:val="000000" w:themeColor="text1"/>
        </w:rPr>
      </w:pPr>
      <w:r w:rsidRPr="00BD57E5">
        <w:rPr>
          <w:b/>
          <w:bCs/>
          <w:color w:val="000000" w:themeColor="text1"/>
        </w:rPr>
        <w:tab/>
      </w:r>
      <w:r w:rsidRPr="00BD57E5">
        <w:rPr>
          <w:color w:val="000000" w:themeColor="text1"/>
        </w:rPr>
        <w:t>The Why Have Sex Short-Form Questionnaire (YSEX?-SF</w:t>
      </w:r>
      <w:r w:rsidR="003E5DE4">
        <w:rPr>
          <w:color w:val="000000" w:themeColor="text1"/>
        </w:rPr>
        <w:t>) [17]</w:t>
      </w:r>
      <w:r w:rsidRPr="00BD57E5">
        <w:rPr>
          <w:color w:val="000000" w:themeColor="text1"/>
        </w:rPr>
        <w:t xml:space="preserve"> was used to measured sexual motivation. The scale includes 28 items and participants rate their level of motivation for each item on a 5-point Likert scale. The 28 items are grouped into</w:t>
      </w:r>
      <w:r w:rsidR="005044A3">
        <w:rPr>
          <w:color w:val="000000" w:themeColor="text1"/>
        </w:rPr>
        <w:t xml:space="preserve"> </w:t>
      </w:r>
      <w:r w:rsidRPr="00BD57E5">
        <w:rPr>
          <w:color w:val="000000" w:themeColor="text1"/>
        </w:rPr>
        <w:t>14 factors</w:t>
      </w:r>
      <w:r w:rsidR="002B4ED8">
        <w:rPr>
          <w:color w:val="000000" w:themeColor="text1"/>
        </w:rPr>
        <w:t>, 3 of which are considered in this analysis</w:t>
      </w:r>
      <w:r w:rsidRPr="00BD57E5">
        <w:rPr>
          <w:color w:val="000000" w:themeColor="text1"/>
        </w:rPr>
        <w:t xml:space="preserve"> (</w:t>
      </w:r>
      <w:r w:rsidR="006C6C39">
        <w:rPr>
          <w:color w:val="000000" w:themeColor="text1"/>
        </w:rPr>
        <w:t>i.e</w:t>
      </w:r>
      <w:r w:rsidRPr="00BD57E5">
        <w:rPr>
          <w:color w:val="000000" w:themeColor="text1"/>
        </w:rPr>
        <w:t xml:space="preserve">., pleasure, reproduction, </w:t>
      </w:r>
      <w:r w:rsidRPr="00BD57E5">
        <w:rPr>
          <w:color w:val="000000" w:themeColor="text1"/>
          <w:lang w:eastAsia="zh-CN"/>
        </w:rPr>
        <w:t>and</w:t>
      </w:r>
      <w:r w:rsidRPr="00BD57E5">
        <w:rPr>
          <w:color w:val="000000" w:themeColor="text1"/>
        </w:rPr>
        <w:t xml:space="preserve"> love &amp; commitment). An additional factor, "emotional motivation” comprised of “love and commitment” and “expression” motivations </w:t>
      </w:r>
      <w:r w:rsidR="003E5DE4">
        <w:rPr>
          <w:color w:val="000000" w:themeColor="text1"/>
        </w:rPr>
        <w:t xml:space="preserve">[5] </w:t>
      </w:r>
      <w:r w:rsidRPr="00BD57E5">
        <w:rPr>
          <w:color w:val="000000" w:themeColor="text1"/>
        </w:rPr>
        <w:t xml:space="preserve">was also included in the analysis.  </w:t>
      </w:r>
    </w:p>
    <w:p w14:paraId="202C76B6" w14:textId="77777777" w:rsidR="004C5DC0" w:rsidRPr="004E72EE" w:rsidRDefault="004C5DC0" w:rsidP="00BD57E5">
      <w:pPr>
        <w:rPr>
          <w:b/>
          <w:bCs/>
          <w:color w:val="000000" w:themeColor="text1"/>
          <w:sz w:val="28"/>
          <w:szCs w:val="28"/>
        </w:rPr>
      </w:pPr>
      <w:bookmarkStart w:id="8" w:name="WHOQOL_BREF"/>
      <w:r w:rsidRPr="004E72EE">
        <w:rPr>
          <w:b/>
          <w:bCs/>
          <w:sz w:val="28"/>
          <w:szCs w:val="28"/>
        </w:rPr>
        <w:t>Quality of life</w:t>
      </w:r>
    </w:p>
    <w:bookmarkEnd w:id="8"/>
    <w:p w14:paraId="64D2E886" w14:textId="1AA7FA40" w:rsidR="004C5DC0" w:rsidRPr="00BD57E5" w:rsidRDefault="004C5DC0" w:rsidP="00BD57E5">
      <w:pPr>
        <w:ind w:firstLine="720"/>
        <w:rPr>
          <w:color w:val="000000" w:themeColor="text1"/>
        </w:rPr>
      </w:pPr>
      <w:r w:rsidRPr="00BD57E5">
        <w:rPr>
          <w:color w:val="000000" w:themeColor="text1"/>
        </w:rPr>
        <w:t>To assess quality of life, the WHO Quality of Life BREF (WHOQOL-BREF</w:t>
      </w:r>
      <w:r w:rsidR="003E5DE4">
        <w:rPr>
          <w:color w:val="000000" w:themeColor="text1"/>
        </w:rPr>
        <w:t>) [</w:t>
      </w:r>
      <w:r w:rsidR="00E72744">
        <w:rPr>
          <w:color w:val="000000" w:themeColor="text1"/>
        </w:rPr>
        <w:t>37]</w:t>
      </w:r>
      <w:r w:rsidRPr="00BD57E5">
        <w:rPr>
          <w:color w:val="000000" w:themeColor="text1"/>
        </w:rPr>
        <w:t xml:space="preserve"> was used. The WHOQOL-BREF is a 26-item scale which has been validated cross culturally </w:t>
      </w:r>
      <w:r w:rsidR="00E72744">
        <w:rPr>
          <w:color w:val="000000" w:themeColor="text1"/>
        </w:rPr>
        <w:t>[38]</w:t>
      </w:r>
      <w:r w:rsidRPr="00BD57E5">
        <w:rPr>
          <w:color w:val="000000" w:themeColor="text1"/>
        </w:rPr>
        <w:t xml:space="preserve"> and </w:t>
      </w:r>
      <w:r w:rsidR="006C6C39">
        <w:rPr>
          <w:color w:val="000000" w:themeColor="text1"/>
        </w:rPr>
        <w:t xml:space="preserve">is </w:t>
      </w:r>
      <w:r w:rsidRPr="00BD57E5">
        <w:rPr>
          <w:color w:val="000000" w:themeColor="text1"/>
        </w:rPr>
        <w:t xml:space="preserve">divided into four subdomains: physical health, mental health, social support, and environment-related health quality of life. Xia et al. and Skevington et al. found good internal consistency (Cronbach's α = .89 and .88, respectively) for Chinese and United Kingdom </w:t>
      </w:r>
      <w:r w:rsidRPr="00BD57E5">
        <w:rPr>
          <w:color w:val="000000" w:themeColor="text1"/>
        </w:rPr>
        <w:lastRenderedPageBreak/>
        <w:t>samples</w:t>
      </w:r>
      <w:r w:rsidR="00520DBA">
        <w:rPr>
          <w:color w:val="000000" w:themeColor="text1"/>
        </w:rPr>
        <w:t xml:space="preserve"> [39, 40]</w:t>
      </w:r>
      <w:r w:rsidRPr="00BD57E5">
        <w:rPr>
          <w:color w:val="000000" w:themeColor="text1"/>
        </w:rPr>
        <w:t xml:space="preserve">. </w:t>
      </w:r>
      <w:r w:rsidR="006C6C39">
        <w:rPr>
          <w:color w:val="000000" w:themeColor="text1"/>
        </w:rPr>
        <w:t>For this analysis, i</w:t>
      </w:r>
      <w:r w:rsidRPr="00BD57E5">
        <w:rPr>
          <w:color w:val="000000" w:themeColor="text1"/>
        </w:rPr>
        <w:t>n line with the biopsychosocial model, only the physical, psychological, and social health QoL scores were used.</w:t>
      </w:r>
    </w:p>
    <w:p w14:paraId="0A2F56AB" w14:textId="77777777" w:rsidR="004C5DC0" w:rsidRPr="004E72EE" w:rsidRDefault="004C5DC0" w:rsidP="00BD57E5">
      <w:pPr>
        <w:rPr>
          <w:b/>
          <w:bCs/>
          <w:color w:val="000000" w:themeColor="text1"/>
          <w:sz w:val="32"/>
          <w:szCs w:val="32"/>
        </w:rPr>
      </w:pPr>
      <w:bookmarkStart w:id="9" w:name="data_analysis"/>
      <w:r w:rsidRPr="004E72EE">
        <w:rPr>
          <w:b/>
          <w:bCs/>
          <w:color w:val="000000" w:themeColor="text1"/>
          <w:sz w:val="32"/>
          <w:szCs w:val="32"/>
        </w:rPr>
        <w:t>Data analysis</w:t>
      </w:r>
    </w:p>
    <w:bookmarkEnd w:id="9"/>
    <w:p w14:paraId="551C8682" w14:textId="7EF924CD" w:rsidR="004C5DC0" w:rsidRPr="00BD57E5" w:rsidRDefault="004C5DC0" w:rsidP="00BD57E5">
      <w:pPr>
        <w:rPr>
          <w:color w:val="000000" w:themeColor="text1"/>
        </w:rPr>
      </w:pPr>
      <w:r w:rsidRPr="00BD57E5">
        <w:rPr>
          <w:color w:val="000000" w:themeColor="text1"/>
        </w:rPr>
        <w:tab/>
        <w:t>Data were cleaned and validated before analysis in SPSS version 28, 2022. Poor quality data were deleted (i.e., where participants selected the same answer to each question). To address Hypothesis 1, univariable linear regressions were used to test the association between each independent variable (i.e., love &amp; commitment, pleasure, and reproduction motivations) and each dependent variable (i.e., physical, psychological, and social health QoL). Independent variables which were significantly (p&lt;.05) or potentially significantly (p&lt;.20</w:t>
      </w:r>
      <w:r w:rsidR="00520DBA">
        <w:rPr>
          <w:color w:val="000000" w:themeColor="text1"/>
        </w:rPr>
        <w:t>) [</w:t>
      </w:r>
      <w:r w:rsidR="00CA15C3">
        <w:rPr>
          <w:color w:val="000000" w:themeColor="text1"/>
        </w:rPr>
        <w:t>41]</w:t>
      </w:r>
      <w:r w:rsidRPr="00BD57E5">
        <w:rPr>
          <w:color w:val="000000" w:themeColor="text1"/>
        </w:rPr>
        <w:t xml:space="preserve"> associated with each DV were retained for testing in multivariable linear analysis. </w:t>
      </w:r>
      <w:r w:rsidR="00EF5E44">
        <w:rPr>
          <w:color w:val="000000" w:themeColor="text1"/>
        </w:rPr>
        <w:t>In order to detect an effect size of f</w:t>
      </w:r>
      <w:r w:rsidR="00EF5E44" w:rsidRPr="004E72EE">
        <w:rPr>
          <w:color w:val="000000" w:themeColor="text1"/>
          <w:vertAlign w:val="superscript"/>
        </w:rPr>
        <w:t>2</w:t>
      </w:r>
      <w:r w:rsidR="00EF5E44">
        <w:rPr>
          <w:color w:val="000000" w:themeColor="text1"/>
        </w:rPr>
        <w:t xml:space="preserve">≥0.05, with </w:t>
      </w:r>
      <w:r w:rsidR="00EF5E44">
        <w:rPr>
          <w:color w:val="000000" w:themeColor="text1"/>
        </w:rPr>
        <w:sym w:font="Symbol" w:char="F061"/>
      </w:r>
      <w:r w:rsidR="00EF5E44">
        <w:rPr>
          <w:color w:val="000000" w:themeColor="text1"/>
        </w:rPr>
        <w:t xml:space="preserve">=0.05 and </w:t>
      </w:r>
      <w:r w:rsidR="00EF5E44">
        <w:rPr>
          <w:color w:val="000000" w:themeColor="text1"/>
        </w:rPr>
        <w:sym w:font="Symbol" w:char="F062"/>
      </w:r>
      <w:r w:rsidR="00EF5E44">
        <w:rPr>
          <w:color w:val="000000" w:themeColor="text1"/>
        </w:rPr>
        <w:t>=0.80, in a multivariable linear regression with three independent variables, a minimum sample size of 222</w:t>
      </w:r>
      <w:r w:rsidR="007F1722">
        <w:rPr>
          <w:color w:val="000000" w:themeColor="text1"/>
        </w:rPr>
        <w:t xml:space="preserve"> is needed.</w:t>
      </w:r>
      <w:r w:rsidR="00EF5E44">
        <w:rPr>
          <w:color w:val="000000" w:themeColor="text1"/>
        </w:rPr>
        <w:t xml:space="preserve"> </w:t>
      </w:r>
      <w:r w:rsidRPr="00BD57E5">
        <w:rPr>
          <w:color w:val="000000" w:themeColor="text1"/>
        </w:rPr>
        <w:t xml:space="preserve">To examine Hypothesis 2, three moderation analyses were run in SPSS PROCESS Marco version 4. Emotional motivation score was considered as the independent variable, physical, psychological and social health QoL were considered </w:t>
      </w:r>
      <w:r w:rsidR="002976E2">
        <w:rPr>
          <w:color w:val="000000" w:themeColor="text1"/>
        </w:rPr>
        <w:t xml:space="preserve">in separate analyses </w:t>
      </w:r>
      <w:r w:rsidRPr="00BD57E5">
        <w:rPr>
          <w:color w:val="000000" w:themeColor="text1"/>
        </w:rPr>
        <w:t xml:space="preserve">as dependent variables, and country of birth and residence (i.e., China or the UK) was considered as the moderator. Significance was considered at </w:t>
      </w:r>
      <w:r w:rsidRPr="00BD57E5">
        <w:rPr>
          <w:i/>
          <w:iCs/>
          <w:color w:val="000000" w:themeColor="text1"/>
        </w:rPr>
        <w:t>p</w:t>
      </w:r>
      <w:r w:rsidRPr="00BD57E5">
        <w:rPr>
          <w:color w:val="000000" w:themeColor="text1"/>
        </w:rPr>
        <w:t xml:space="preserve"> &lt; .05.</w:t>
      </w:r>
    </w:p>
    <w:p w14:paraId="4260FF65" w14:textId="77777777" w:rsidR="004C5DC0" w:rsidRPr="004E72EE" w:rsidRDefault="004C5DC0" w:rsidP="004E72EE">
      <w:pPr>
        <w:rPr>
          <w:b/>
          <w:bCs/>
          <w:color w:val="000000" w:themeColor="text1"/>
          <w:sz w:val="36"/>
          <w:szCs w:val="36"/>
        </w:rPr>
      </w:pPr>
      <w:bookmarkStart w:id="10" w:name="results"/>
      <w:r w:rsidRPr="004E72EE">
        <w:rPr>
          <w:b/>
          <w:bCs/>
          <w:color w:val="000000" w:themeColor="text1"/>
          <w:sz w:val="36"/>
          <w:szCs w:val="36"/>
        </w:rPr>
        <w:t>Results</w:t>
      </w:r>
    </w:p>
    <w:p w14:paraId="1E329B30" w14:textId="19B834C0" w:rsidR="004C5DC0" w:rsidRPr="004E72EE" w:rsidRDefault="004C5DC0" w:rsidP="00BD57E5">
      <w:pPr>
        <w:rPr>
          <w:b/>
          <w:bCs/>
          <w:color w:val="000000" w:themeColor="text1"/>
          <w:sz w:val="32"/>
          <w:szCs w:val="32"/>
        </w:rPr>
      </w:pPr>
      <w:bookmarkStart w:id="11" w:name="dc_results"/>
      <w:r w:rsidRPr="004E72EE">
        <w:rPr>
          <w:b/>
          <w:bCs/>
          <w:color w:val="000000" w:themeColor="text1"/>
          <w:sz w:val="32"/>
          <w:szCs w:val="32"/>
        </w:rPr>
        <w:t xml:space="preserve">Demographic </w:t>
      </w:r>
      <w:r w:rsidR="001D54E9">
        <w:rPr>
          <w:b/>
          <w:bCs/>
          <w:color w:val="000000" w:themeColor="text1"/>
          <w:sz w:val="32"/>
          <w:szCs w:val="32"/>
        </w:rPr>
        <w:t>c</w:t>
      </w:r>
      <w:r w:rsidRPr="004E72EE">
        <w:rPr>
          <w:b/>
          <w:bCs/>
          <w:color w:val="000000" w:themeColor="text1"/>
          <w:sz w:val="32"/>
          <w:szCs w:val="32"/>
        </w:rPr>
        <w:t>haracteris</w:t>
      </w:r>
      <w:r w:rsidR="001D54E9">
        <w:rPr>
          <w:b/>
          <w:bCs/>
          <w:color w:val="000000" w:themeColor="text1"/>
          <w:sz w:val="32"/>
          <w:szCs w:val="32"/>
        </w:rPr>
        <w:t>tic</w:t>
      </w:r>
      <w:r w:rsidRPr="004E72EE">
        <w:rPr>
          <w:b/>
          <w:bCs/>
          <w:color w:val="000000" w:themeColor="text1"/>
          <w:sz w:val="32"/>
          <w:szCs w:val="32"/>
        </w:rPr>
        <w:t>s</w:t>
      </w:r>
    </w:p>
    <w:bookmarkEnd w:id="10"/>
    <w:bookmarkEnd w:id="11"/>
    <w:p w14:paraId="16783D95" w14:textId="5D0F2E00" w:rsidR="004C5DC0" w:rsidRDefault="004C5DC0" w:rsidP="00BD57E5">
      <w:pPr>
        <w:rPr>
          <w:color w:val="000000" w:themeColor="text1"/>
        </w:rPr>
      </w:pPr>
      <w:r w:rsidRPr="00BD57E5">
        <w:rPr>
          <w:color w:val="000000" w:themeColor="text1"/>
        </w:rPr>
        <w:tab/>
        <w:t xml:space="preserve">276 participants completed the survey and are included in the analysis. Most were female (76.8%) and age ranged from 18 to 48 years (M=21.5, SD=3.39). Participants were roughly </w:t>
      </w:r>
      <w:r w:rsidRPr="00BD57E5">
        <w:rPr>
          <w:color w:val="000000" w:themeColor="text1"/>
        </w:rPr>
        <w:lastRenderedPageBreak/>
        <w:t>split between the United Kingdom (</w:t>
      </w:r>
      <w:r w:rsidR="002976E2">
        <w:rPr>
          <w:color w:val="000000" w:themeColor="text1"/>
        </w:rPr>
        <w:t>n=</w:t>
      </w:r>
      <w:r w:rsidRPr="00BD57E5">
        <w:rPr>
          <w:color w:val="000000" w:themeColor="text1"/>
        </w:rPr>
        <w:t>143, 51.8%) and China (</w:t>
      </w:r>
      <w:r w:rsidR="002976E2">
        <w:rPr>
          <w:color w:val="000000" w:themeColor="text1"/>
        </w:rPr>
        <w:t>n=</w:t>
      </w:r>
      <w:r w:rsidRPr="00BD57E5">
        <w:rPr>
          <w:color w:val="000000" w:themeColor="text1"/>
        </w:rPr>
        <w:t>133, 48.2%). Likewise, most participants identified as White (44.9%) or Asian (50%). Most participants (75.7%) were full-time students and most (68.8%) identified as straight</w:t>
      </w:r>
      <w:r w:rsidRPr="00BD57E5">
        <w:rPr>
          <w:color w:val="000000" w:themeColor="text1"/>
          <w:lang w:eastAsia="zh-CN"/>
        </w:rPr>
        <w:t xml:space="preserve">. </w:t>
      </w:r>
      <w:r w:rsidRPr="00BD57E5">
        <w:rPr>
          <w:color w:val="000000" w:themeColor="text1"/>
        </w:rPr>
        <w:t>Full demographics are presented in Table 1.</w:t>
      </w:r>
    </w:p>
    <w:p w14:paraId="75E2F7C0" w14:textId="3ADEAFEF" w:rsidR="00424DD1" w:rsidRPr="004E72EE" w:rsidRDefault="00424DD1" w:rsidP="00424DD1">
      <w:pPr>
        <w:rPr>
          <w:b/>
          <w:bCs/>
        </w:rPr>
      </w:pPr>
      <w:r w:rsidRPr="004E72EE">
        <w:rPr>
          <w:b/>
          <w:bCs/>
        </w:rPr>
        <w:t>Table 1. Demographic Characteristics of Participants (n=276)</w:t>
      </w:r>
      <w:r w:rsidR="00913F70">
        <w:rPr>
          <w:b/>
          <w:bCs/>
        </w:rPr>
        <w:t>.</w:t>
      </w:r>
    </w:p>
    <w:tbl>
      <w:tblPr>
        <w:tblStyle w:val="TableGrid"/>
        <w:tblW w:w="0" w:type="auto"/>
        <w:tblLook w:val="04A0" w:firstRow="1" w:lastRow="0" w:firstColumn="1" w:lastColumn="0" w:noHBand="0" w:noVBand="1"/>
      </w:tblPr>
      <w:tblGrid>
        <w:gridCol w:w="4536"/>
        <w:gridCol w:w="1686"/>
        <w:gridCol w:w="2074"/>
      </w:tblGrid>
      <w:tr w:rsidR="00424DD1" w:rsidRPr="00BD57E5" w14:paraId="23D117BB" w14:textId="77777777" w:rsidTr="000A35A8">
        <w:tc>
          <w:tcPr>
            <w:tcW w:w="4536" w:type="dxa"/>
            <w:tcBorders>
              <w:left w:val="nil"/>
              <w:bottom w:val="single" w:sz="4" w:space="0" w:color="auto"/>
              <w:right w:val="nil"/>
            </w:tcBorders>
          </w:tcPr>
          <w:p w14:paraId="4A27C9BE" w14:textId="77777777" w:rsidR="00424DD1" w:rsidRPr="00BD57E5" w:rsidRDefault="00424DD1" w:rsidP="000A35A8">
            <w:r w:rsidRPr="00BD57E5">
              <w:t>Characteristic</w:t>
            </w:r>
          </w:p>
        </w:tc>
        <w:tc>
          <w:tcPr>
            <w:tcW w:w="1686" w:type="dxa"/>
            <w:tcBorders>
              <w:left w:val="nil"/>
              <w:bottom w:val="single" w:sz="4" w:space="0" w:color="auto"/>
              <w:right w:val="nil"/>
            </w:tcBorders>
          </w:tcPr>
          <w:p w14:paraId="73735024" w14:textId="77777777" w:rsidR="00424DD1" w:rsidRPr="00BD57E5" w:rsidRDefault="00424DD1" w:rsidP="000A35A8">
            <w:pPr>
              <w:rPr>
                <w:i/>
                <w:iCs/>
              </w:rPr>
            </w:pPr>
            <w:r w:rsidRPr="00BD57E5">
              <w:rPr>
                <w:i/>
                <w:iCs/>
              </w:rPr>
              <w:t>n</w:t>
            </w:r>
          </w:p>
        </w:tc>
        <w:tc>
          <w:tcPr>
            <w:tcW w:w="2074" w:type="dxa"/>
            <w:tcBorders>
              <w:left w:val="nil"/>
              <w:bottom w:val="single" w:sz="4" w:space="0" w:color="auto"/>
              <w:right w:val="nil"/>
            </w:tcBorders>
          </w:tcPr>
          <w:p w14:paraId="29D67847" w14:textId="77777777" w:rsidR="00424DD1" w:rsidRPr="00BD57E5" w:rsidRDefault="00424DD1" w:rsidP="000A35A8">
            <w:r w:rsidRPr="00BD57E5">
              <w:t>%</w:t>
            </w:r>
          </w:p>
        </w:tc>
      </w:tr>
      <w:tr w:rsidR="00424DD1" w:rsidRPr="00BD57E5" w14:paraId="6C92B449" w14:textId="77777777" w:rsidTr="000A35A8">
        <w:tc>
          <w:tcPr>
            <w:tcW w:w="4536" w:type="dxa"/>
            <w:tcBorders>
              <w:top w:val="single" w:sz="4" w:space="0" w:color="auto"/>
              <w:left w:val="nil"/>
              <w:bottom w:val="nil"/>
              <w:right w:val="nil"/>
            </w:tcBorders>
          </w:tcPr>
          <w:p w14:paraId="278835E7" w14:textId="77777777" w:rsidR="00424DD1" w:rsidRPr="00BD57E5" w:rsidRDefault="00424DD1" w:rsidP="000A35A8">
            <w:r w:rsidRPr="00BD57E5">
              <w:t>Country of birth and residence</w:t>
            </w:r>
          </w:p>
        </w:tc>
        <w:tc>
          <w:tcPr>
            <w:tcW w:w="1686" w:type="dxa"/>
            <w:tcBorders>
              <w:top w:val="single" w:sz="4" w:space="0" w:color="auto"/>
              <w:left w:val="nil"/>
              <w:bottom w:val="nil"/>
              <w:right w:val="nil"/>
            </w:tcBorders>
          </w:tcPr>
          <w:p w14:paraId="2F88B802" w14:textId="77777777" w:rsidR="00424DD1" w:rsidRPr="00BD57E5" w:rsidRDefault="00424DD1" w:rsidP="000A35A8"/>
        </w:tc>
        <w:tc>
          <w:tcPr>
            <w:tcW w:w="2074" w:type="dxa"/>
            <w:tcBorders>
              <w:top w:val="single" w:sz="4" w:space="0" w:color="auto"/>
              <w:left w:val="nil"/>
              <w:bottom w:val="nil"/>
              <w:right w:val="nil"/>
            </w:tcBorders>
          </w:tcPr>
          <w:p w14:paraId="2B07FD71" w14:textId="77777777" w:rsidR="00424DD1" w:rsidRPr="00BD57E5" w:rsidRDefault="00424DD1" w:rsidP="000A35A8"/>
        </w:tc>
      </w:tr>
      <w:tr w:rsidR="00424DD1" w:rsidRPr="00BD57E5" w14:paraId="2C4531A6" w14:textId="77777777" w:rsidTr="000A35A8">
        <w:tc>
          <w:tcPr>
            <w:tcW w:w="4536" w:type="dxa"/>
            <w:tcBorders>
              <w:top w:val="nil"/>
              <w:left w:val="nil"/>
              <w:bottom w:val="nil"/>
              <w:right w:val="nil"/>
            </w:tcBorders>
          </w:tcPr>
          <w:p w14:paraId="531B455C" w14:textId="77777777" w:rsidR="00424DD1" w:rsidRPr="00BD57E5" w:rsidRDefault="00424DD1" w:rsidP="000A35A8">
            <w:pPr>
              <w:ind w:firstLineChars="100" w:firstLine="240"/>
            </w:pPr>
            <w:r w:rsidRPr="00BD57E5">
              <w:t>United Kingdom</w:t>
            </w:r>
          </w:p>
        </w:tc>
        <w:tc>
          <w:tcPr>
            <w:tcW w:w="1686" w:type="dxa"/>
            <w:tcBorders>
              <w:top w:val="nil"/>
              <w:left w:val="nil"/>
              <w:bottom w:val="nil"/>
              <w:right w:val="nil"/>
            </w:tcBorders>
          </w:tcPr>
          <w:p w14:paraId="5840C964" w14:textId="77777777" w:rsidR="00424DD1" w:rsidRPr="00BD57E5" w:rsidRDefault="00424DD1" w:rsidP="000A35A8">
            <w:r w:rsidRPr="00BD57E5">
              <w:t>143</w:t>
            </w:r>
          </w:p>
        </w:tc>
        <w:tc>
          <w:tcPr>
            <w:tcW w:w="2074" w:type="dxa"/>
            <w:tcBorders>
              <w:top w:val="nil"/>
              <w:left w:val="nil"/>
              <w:bottom w:val="nil"/>
              <w:right w:val="nil"/>
            </w:tcBorders>
          </w:tcPr>
          <w:p w14:paraId="487ADB8B" w14:textId="77777777" w:rsidR="00424DD1" w:rsidRPr="00BD57E5" w:rsidRDefault="00424DD1" w:rsidP="000A35A8">
            <w:r w:rsidRPr="00BD57E5">
              <w:t>51.8</w:t>
            </w:r>
          </w:p>
        </w:tc>
      </w:tr>
      <w:tr w:rsidR="00424DD1" w:rsidRPr="00BD57E5" w14:paraId="7C489E4A" w14:textId="77777777" w:rsidTr="000A35A8">
        <w:tc>
          <w:tcPr>
            <w:tcW w:w="4536" w:type="dxa"/>
            <w:tcBorders>
              <w:top w:val="nil"/>
              <w:left w:val="nil"/>
              <w:bottom w:val="nil"/>
              <w:right w:val="nil"/>
            </w:tcBorders>
          </w:tcPr>
          <w:p w14:paraId="758E7216" w14:textId="77777777" w:rsidR="00424DD1" w:rsidRPr="00BD57E5" w:rsidRDefault="00424DD1" w:rsidP="000A35A8">
            <w:pPr>
              <w:ind w:firstLineChars="100" w:firstLine="240"/>
            </w:pPr>
            <w:r w:rsidRPr="00BD57E5">
              <w:t>China</w:t>
            </w:r>
          </w:p>
        </w:tc>
        <w:tc>
          <w:tcPr>
            <w:tcW w:w="1686" w:type="dxa"/>
            <w:tcBorders>
              <w:top w:val="nil"/>
              <w:left w:val="nil"/>
              <w:bottom w:val="nil"/>
              <w:right w:val="nil"/>
            </w:tcBorders>
          </w:tcPr>
          <w:p w14:paraId="74BBAC73" w14:textId="77777777" w:rsidR="00424DD1" w:rsidRPr="00BD57E5" w:rsidRDefault="00424DD1" w:rsidP="000A35A8">
            <w:r w:rsidRPr="00BD57E5">
              <w:t>133</w:t>
            </w:r>
          </w:p>
        </w:tc>
        <w:tc>
          <w:tcPr>
            <w:tcW w:w="2074" w:type="dxa"/>
            <w:tcBorders>
              <w:top w:val="nil"/>
              <w:left w:val="nil"/>
              <w:bottom w:val="nil"/>
              <w:right w:val="nil"/>
            </w:tcBorders>
          </w:tcPr>
          <w:p w14:paraId="5ED3BEB9" w14:textId="77777777" w:rsidR="00424DD1" w:rsidRPr="00BD57E5" w:rsidRDefault="00424DD1" w:rsidP="000A35A8">
            <w:r w:rsidRPr="00BD57E5">
              <w:t>48.2</w:t>
            </w:r>
          </w:p>
        </w:tc>
      </w:tr>
      <w:tr w:rsidR="00424DD1" w:rsidRPr="00BD57E5" w14:paraId="64A7F953" w14:textId="77777777" w:rsidTr="000A35A8">
        <w:tc>
          <w:tcPr>
            <w:tcW w:w="4536" w:type="dxa"/>
            <w:tcBorders>
              <w:top w:val="nil"/>
              <w:left w:val="nil"/>
              <w:bottom w:val="nil"/>
              <w:right w:val="nil"/>
            </w:tcBorders>
          </w:tcPr>
          <w:p w14:paraId="08ED69FB" w14:textId="77777777" w:rsidR="00424DD1" w:rsidRPr="00BD57E5" w:rsidRDefault="00424DD1" w:rsidP="000A35A8">
            <w:r w:rsidRPr="00BD57E5">
              <w:t>Ethnicity</w:t>
            </w:r>
          </w:p>
        </w:tc>
        <w:tc>
          <w:tcPr>
            <w:tcW w:w="1686" w:type="dxa"/>
            <w:tcBorders>
              <w:top w:val="nil"/>
              <w:left w:val="nil"/>
              <w:bottom w:val="nil"/>
              <w:right w:val="nil"/>
            </w:tcBorders>
          </w:tcPr>
          <w:p w14:paraId="170787A5" w14:textId="77777777" w:rsidR="00424DD1" w:rsidRPr="00BD57E5" w:rsidRDefault="00424DD1" w:rsidP="000A35A8"/>
        </w:tc>
        <w:tc>
          <w:tcPr>
            <w:tcW w:w="2074" w:type="dxa"/>
            <w:tcBorders>
              <w:top w:val="nil"/>
              <w:left w:val="nil"/>
              <w:bottom w:val="nil"/>
              <w:right w:val="nil"/>
            </w:tcBorders>
          </w:tcPr>
          <w:p w14:paraId="16EB8708" w14:textId="77777777" w:rsidR="00424DD1" w:rsidRPr="00BD57E5" w:rsidRDefault="00424DD1" w:rsidP="000A35A8"/>
        </w:tc>
      </w:tr>
      <w:tr w:rsidR="00424DD1" w:rsidRPr="00BD57E5" w14:paraId="2B67FAD2" w14:textId="77777777" w:rsidTr="000A35A8">
        <w:tc>
          <w:tcPr>
            <w:tcW w:w="4536" w:type="dxa"/>
            <w:tcBorders>
              <w:top w:val="nil"/>
              <w:left w:val="nil"/>
              <w:bottom w:val="nil"/>
              <w:right w:val="nil"/>
            </w:tcBorders>
          </w:tcPr>
          <w:p w14:paraId="1B14C091" w14:textId="77777777" w:rsidR="00424DD1" w:rsidRPr="00BD57E5" w:rsidRDefault="00424DD1" w:rsidP="000A35A8">
            <w:r w:rsidRPr="00BD57E5">
              <w:t xml:space="preserve">  White </w:t>
            </w:r>
          </w:p>
        </w:tc>
        <w:tc>
          <w:tcPr>
            <w:tcW w:w="1686" w:type="dxa"/>
            <w:tcBorders>
              <w:top w:val="nil"/>
              <w:left w:val="nil"/>
              <w:bottom w:val="nil"/>
              <w:right w:val="nil"/>
            </w:tcBorders>
          </w:tcPr>
          <w:p w14:paraId="062C453C" w14:textId="77777777" w:rsidR="00424DD1" w:rsidRPr="00BD57E5" w:rsidRDefault="00424DD1" w:rsidP="000A35A8">
            <w:r w:rsidRPr="00BD57E5">
              <w:t>124</w:t>
            </w:r>
          </w:p>
        </w:tc>
        <w:tc>
          <w:tcPr>
            <w:tcW w:w="2074" w:type="dxa"/>
            <w:tcBorders>
              <w:top w:val="nil"/>
              <w:left w:val="nil"/>
              <w:bottom w:val="nil"/>
              <w:right w:val="nil"/>
            </w:tcBorders>
          </w:tcPr>
          <w:p w14:paraId="6B68B801" w14:textId="77777777" w:rsidR="00424DD1" w:rsidRPr="00BD57E5" w:rsidRDefault="00424DD1" w:rsidP="000A35A8">
            <w:r w:rsidRPr="00BD57E5">
              <w:t>44.9</w:t>
            </w:r>
          </w:p>
        </w:tc>
      </w:tr>
      <w:tr w:rsidR="00424DD1" w:rsidRPr="00BD57E5" w14:paraId="5229B9E7" w14:textId="77777777" w:rsidTr="000A35A8">
        <w:tc>
          <w:tcPr>
            <w:tcW w:w="4536" w:type="dxa"/>
            <w:tcBorders>
              <w:top w:val="nil"/>
              <w:left w:val="nil"/>
              <w:bottom w:val="nil"/>
              <w:right w:val="nil"/>
            </w:tcBorders>
          </w:tcPr>
          <w:p w14:paraId="4F0E18E3" w14:textId="77777777" w:rsidR="00424DD1" w:rsidRPr="00BD57E5" w:rsidRDefault="00424DD1" w:rsidP="000A35A8">
            <w:r w:rsidRPr="00BD57E5">
              <w:t xml:space="preserve">  Black or Black British</w:t>
            </w:r>
          </w:p>
        </w:tc>
        <w:tc>
          <w:tcPr>
            <w:tcW w:w="1686" w:type="dxa"/>
            <w:tcBorders>
              <w:top w:val="nil"/>
              <w:left w:val="nil"/>
              <w:bottom w:val="nil"/>
              <w:right w:val="nil"/>
            </w:tcBorders>
          </w:tcPr>
          <w:p w14:paraId="6ADDAB0F" w14:textId="77777777" w:rsidR="00424DD1" w:rsidRPr="00BD57E5" w:rsidRDefault="00424DD1" w:rsidP="000A35A8">
            <w:r w:rsidRPr="00BD57E5">
              <w:t>5</w:t>
            </w:r>
          </w:p>
        </w:tc>
        <w:tc>
          <w:tcPr>
            <w:tcW w:w="2074" w:type="dxa"/>
            <w:tcBorders>
              <w:top w:val="nil"/>
              <w:left w:val="nil"/>
              <w:bottom w:val="nil"/>
              <w:right w:val="nil"/>
            </w:tcBorders>
          </w:tcPr>
          <w:p w14:paraId="54F83C2F" w14:textId="77777777" w:rsidR="00424DD1" w:rsidRPr="00BD57E5" w:rsidRDefault="00424DD1" w:rsidP="000A35A8">
            <w:r w:rsidRPr="00BD57E5">
              <w:t>1.8</w:t>
            </w:r>
          </w:p>
        </w:tc>
      </w:tr>
      <w:tr w:rsidR="00424DD1" w:rsidRPr="00BD57E5" w14:paraId="1830D805" w14:textId="77777777" w:rsidTr="000A35A8">
        <w:tc>
          <w:tcPr>
            <w:tcW w:w="4536" w:type="dxa"/>
            <w:tcBorders>
              <w:top w:val="nil"/>
              <w:left w:val="nil"/>
              <w:bottom w:val="nil"/>
              <w:right w:val="nil"/>
            </w:tcBorders>
          </w:tcPr>
          <w:p w14:paraId="25CDC32A" w14:textId="77777777" w:rsidR="00424DD1" w:rsidRPr="00BD57E5" w:rsidRDefault="00424DD1" w:rsidP="000A35A8">
            <w:r w:rsidRPr="00BD57E5">
              <w:t xml:space="preserve">  Asian</w:t>
            </w:r>
          </w:p>
        </w:tc>
        <w:tc>
          <w:tcPr>
            <w:tcW w:w="1686" w:type="dxa"/>
            <w:tcBorders>
              <w:top w:val="nil"/>
              <w:left w:val="nil"/>
              <w:bottom w:val="nil"/>
              <w:right w:val="nil"/>
            </w:tcBorders>
          </w:tcPr>
          <w:p w14:paraId="61C4D97A" w14:textId="77777777" w:rsidR="00424DD1" w:rsidRPr="00BD57E5" w:rsidRDefault="00424DD1" w:rsidP="000A35A8">
            <w:r w:rsidRPr="00BD57E5">
              <w:t>138</w:t>
            </w:r>
          </w:p>
        </w:tc>
        <w:tc>
          <w:tcPr>
            <w:tcW w:w="2074" w:type="dxa"/>
            <w:tcBorders>
              <w:top w:val="nil"/>
              <w:left w:val="nil"/>
              <w:bottom w:val="nil"/>
              <w:right w:val="nil"/>
            </w:tcBorders>
          </w:tcPr>
          <w:p w14:paraId="57D81880" w14:textId="77777777" w:rsidR="00424DD1" w:rsidRPr="00BD57E5" w:rsidRDefault="00424DD1" w:rsidP="000A35A8">
            <w:r w:rsidRPr="00BD57E5">
              <w:t>50</w:t>
            </w:r>
          </w:p>
        </w:tc>
      </w:tr>
      <w:tr w:rsidR="00424DD1" w:rsidRPr="00BD57E5" w14:paraId="0A6E2F55" w14:textId="77777777" w:rsidTr="000A35A8">
        <w:tc>
          <w:tcPr>
            <w:tcW w:w="4536" w:type="dxa"/>
            <w:tcBorders>
              <w:top w:val="nil"/>
              <w:left w:val="nil"/>
              <w:bottom w:val="nil"/>
              <w:right w:val="nil"/>
            </w:tcBorders>
          </w:tcPr>
          <w:p w14:paraId="24DBF26A" w14:textId="77777777" w:rsidR="00424DD1" w:rsidRPr="00BD57E5" w:rsidRDefault="00424DD1" w:rsidP="000A35A8">
            <w:r w:rsidRPr="00BD57E5">
              <w:t xml:space="preserve">  Middle Eastern or North African</w:t>
            </w:r>
          </w:p>
        </w:tc>
        <w:tc>
          <w:tcPr>
            <w:tcW w:w="1686" w:type="dxa"/>
            <w:tcBorders>
              <w:top w:val="nil"/>
              <w:left w:val="nil"/>
              <w:bottom w:val="nil"/>
              <w:right w:val="nil"/>
            </w:tcBorders>
          </w:tcPr>
          <w:p w14:paraId="24EF81A2" w14:textId="77777777" w:rsidR="00424DD1" w:rsidRPr="00BD57E5" w:rsidRDefault="00424DD1" w:rsidP="000A35A8">
            <w:r w:rsidRPr="00BD57E5">
              <w:t>1</w:t>
            </w:r>
          </w:p>
        </w:tc>
        <w:tc>
          <w:tcPr>
            <w:tcW w:w="2074" w:type="dxa"/>
            <w:tcBorders>
              <w:top w:val="nil"/>
              <w:left w:val="nil"/>
              <w:bottom w:val="nil"/>
              <w:right w:val="nil"/>
            </w:tcBorders>
          </w:tcPr>
          <w:p w14:paraId="134CF560" w14:textId="77777777" w:rsidR="00424DD1" w:rsidRPr="00BD57E5" w:rsidRDefault="00424DD1" w:rsidP="000A35A8">
            <w:r w:rsidRPr="00BD57E5">
              <w:t>0.4</w:t>
            </w:r>
          </w:p>
        </w:tc>
      </w:tr>
      <w:tr w:rsidR="00424DD1" w:rsidRPr="00BD57E5" w14:paraId="40E7CB41" w14:textId="77777777" w:rsidTr="000A35A8">
        <w:tc>
          <w:tcPr>
            <w:tcW w:w="4536" w:type="dxa"/>
            <w:tcBorders>
              <w:top w:val="nil"/>
              <w:left w:val="nil"/>
              <w:bottom w:val="nil"/>
              <w:right w:val="nil"/>
            </w:tcBorders>
          </w:tcPr>
          <w:p w14:paraId="401A7FFC" w14:textId="77777777" w:rsidR="00424DD1" w:rsidRPr="00BD57E5" w:rsidRDefault="00424DD1" w:rsidP="000A35A8">
            <w:r w:rsidRPr="00BD57E5">
              <w:t xml:space="preserve">  Some other race</w:t>
            </w:r>
            <w:r>
              <w:t>/</w:t>
            </w:r>
            <w:r w:rsidRPr="00BD57E5">
              <w:t>ethnicity</w:t>
            </w:r>
          </w:p>
        </w:tc>
        <w:tc>
          <w:tcPr>
            <w:tcW w:w="1686" w:type="dxa"/>
            <w:tcBorders>
              <w:top w:val="nil"/>
              <w:left w:val="nil"/>
              <w:bottom w:val="nil"/>
              <w:right w:val="nil"/>
            </w:tcBorders>
          </w:tcPr>
          <w:p w14:paraId="53ACB18D" w14:textId="77777777" w:rsidR="00424DD1" w:rsidRPr="00BD57E5" w:rsidRDefault="00424DD1" w:rsidP="000A35A8">
            <w:r w:rsidRPr="00BD57E5">
              <w:t>8</w:t>
            </w:r>
          </w:p>
        </w:tc>
        <w:tc>
          <w:tcPr>
            <w:tcW w:w="2074" w:type="dxa"/>
            <w:tcBorders>
              <w:top w:val="nil"/>
              <w:left w:val="nil"/>
              <w:bottom w:val="nil"/>
              <w:right w:val="nil"/>
            </w:tcBorders>
          </w:tcPr>
          <w:p w14:paraId="2324413F" w14:textId="77777777" w:rsidR="00424DD1" w:rsidRPr="00BD57E5" w:rsidRDefault="00424DD1" w:rsidP="000A35A8">
            <w:r w:rsidRPr="00BD57E5">
              <w:t>2.9</w:t>
            </w:r>
          </w:p>
        </w:tc>
      </w:tr>
      <w:tr w:rsidR="00424DD1" w:rsidRPr="00BD57E5" w14:paraId="5964A354" w14:textId="77777777" w:rsidTr="000A35A8">
        <w:tc>
          <w:tcPr>
            <w:tcW w:w="4536" w:type="dxa"/>
            <w:tcBorders>
              <w:top w:val="nil"/>
              <w:left w:val="nil"/>
              <w:bottom w:val="nil"/>
              <w:right w:val="nil"/>
            </w:tcBorders>
          </w:tcPr>
          <w:p w14:paraId="176D4D64" w14:textId="77777777" w:rsidR="00424DD1" w:rsidRPr="00BD57E5" w:rsidRDefault="00424DD1" w:rsidP="000A35A8">
            <w:r w:rsidRPr="00BD57E5">
              <w:t>Gender</w:t>
            </w:r>
          </w:p>
        </w:tc>
        <w:tc>
          <w:tcPr>
            <w:tcW w:w="1686" w:type="dxa"/>
            <w:tcBorders>
              <w:top w:val="nil"/>
              <w:left w:val="nil"/>
              <w:bottom w:val="nil"/>
              <w:right w:val="nil"/>
            </w:tcBorders>
          </w:tcPr>
          <w:p w14:paraId="573EA176" w14:textId="77777777" w:rsidR="00424DD1" w:rsidRPr="00BD57E5" w:rsidRDefault="00424DD1" w:rsidP="000A35A8"/>
        </w:tc>
        <w:tc>
          <w:tcPr>
            <w:tcW w:w="2074" w:type="dxa"/>
            <w:tcBorders>
              <w:top w:val="nil"/>
              <w:left w:val="nil"/>
              <w:bottom w:val="nil"/>
              <w:right w:val="nil"/>
            </w:tcBorders>
          </w:tcPr>
          <w:p w14:paraId="18C5052F" w14:textId="77777777" w:rsidR="00424DD1" w:rsidRPr="00BD57E5" w:rsidRDefault="00424DD1" w:rsidP="000A35A8"/>
        </w:tc>
      </w:tr>
      <w:tr w:rsidR="00424DD1" w:rsidRPr="00BD57E5" w14:paraId="572D553A" w14:textId="77777777" w:rsidTr="000A35A8">
        <w:tc>
          <w:tcPr>
            <w:tcW w:w="4536" w:type="dxa"/>
            <w:tcBorders>
              <w:top w:val="nil"/>
              <w:left w:val="nil"/>
              <w:bottom w:val="nil"/>
              <w:right w:val="nil"/>
            </w:tcBorders>
          </w:tcPr>
          <w:p w14:paraId="04DAC3C2" w14:textId="77777777" w:rsidR="00424DD1" w:rsidRPr="00BD57E5" w:rsidRDefault="00424DD1" w:rsidP="000A35A8">
            <w:r w:rsidRPr="00BD57E5">
              <w:t xml:space="preserve">  Female </w:t>
            </w:r>
          </w:p>
        </w:tc>
        <w:tc>
          <w:tcPr>
            <w:tcW w:w="1686" w:type="dxa"/>
            <w:tcBorders>
              <w:top w:val="nil"/>
              <w:left w:val="nil"/>
              <w:bottom w:val="nil"/>
              <w:right w:val="nil"/>
            </w:tcBorders>
          </w:tcPr>
          <w:p w14:paraId="57948EB7" w14:textId="77777777" w:rsidR="00424DD1" w:rsidRPr="00BD57E5" w:rsidRDefault="00424DD1" w:rsidP="000A35A8">
            <w:r w:rsidRPr="00BD57E5">
              <w:t>212</w:t>
            </w:r>
          </w:p>
        </w:tc>
        <w:tc>
          <w:tcPr>
            <w:tcW w:w="2074" w:type="dxa"/>
            <w:tcBorders>
              <w:top w:val="nil"/>
              <w:left w:val="nil"/>
              <w:bottom w:val="nil"/>
              <w:right w:val="nil"/>
            </w:tcBorders>
          </w:tcPr>
          <w:p w14:paraId="7933E6E2" w14:textId="77777777" w:rsidR="00424DD1" w:rsidRPr="00BD57E5" w:rsidRDefault="00424DD1" w:rsidP="000A35A8">
            <w:r w:rsidRPr="00BD57E5">
              <w:t>76.8</w:t>
            </w:r>
          </w:p>
        </w:tc>
      </w:tr>
      <w:tr w:rsidR="00424DD1" w:rsidRPr="00BD57E5" w14:paraId="1D865A65" w14:textId="77777777" w:rsidTr="000A35A8">
        <w:tc>
          <w:tcPr>
            <w:tcW w:w="4536" w:type="dxa"/>
            <w:tcBorders>
              <w:top w:val="nil"/>
              <w:left w:val="nil"/>
              <w:bottom w:val="nil"/>
              <w:right w:val="nil"/>
            </w:tcBorders>
          </w:tcPr>
          <w:p w14:paraId="012B65EB" w14:textId="77777777" w:rsidR="00424DD1" w:rsidRPr="00BD57E5" w:rsidRDefault="00424DD1" w:rsidP="000A35A8">
            <w:r w:rsidRPr="00BD57E5">
              <w:t xml:space="preserve">  Male </w:t>
            </w:r>
          </w:p>
        </w:tc>
        <w:tc>
          <w:tcPr>
            <w:tcW w:w="1686" w:type="dxa"/>
            <w:tcBorders>
              <w:top w:val="nil"/>
              <w:left w:val="nil"/>
              <w:bottom w:val="nil"/>
              <w:right w:val="nil"/>
            </w:tcBorders>
          </w:tcPr>
          <w:p w14:paraId="78F1A5A9" w14:textId="77777777" w:rsidR="00424DD1" w:rsidRPr="00BD57E5" w:rsidRDefault="00424DD1" w:rsidP="000A35A8">
            <w:r w:rsidRPr="00BD57E5">
              <w:t>60</w:t>
            </w:r>
          </w:p>
        </w:tc>
        <w:tc>
          <w:tcPr>
            <w:tcW w:w="2074" w:type="dxa"/>
            <w:tcBorders>
              <w:top w:val="nil"/>
              <w:left w:val="nil"/>
              <w:bottom w:val="nil"/>
              <w:right w:val="nil"/>
            </w:tcBorders>
          </w:tcPr>
          <w:p w14:paraId="696D3490" w14:textId="77777777" w:rsidR="00424DD1" w:rsidRPr="00BD57E5" w:rsidRDefault="00424DD1" w:rsidP="000A35A8">
            <w:r w:rsidRPr="00BD57E5">
              <w:t>21.7</w:t>
            </w:r>
          </w:p>
        </w:tc>
      </w:tr>
      <w:tr w:rsidR="00424DD1" w:rsidRPr="00BD57E5" w14:paraId="1F879C21" w14:textId="77777777" w:rsidTr="000A35A8">
        <w:tc>
          <w:tcPr>
            <w:tcW w:w="4536" w:type="dxa"/>
            <w:tcBorders>
              <w:top w:val="nil"/>
              <w:left w:val="nil"/>
              <w:bottom w:val="nil"/>
              <w:right w:val="nil"/>
            </w:tcBorders>
          </w:tcPr>
          <w:p w14:paraId="4646A59D" w14:textId="77777777" w:rsidR="00424DD1" w:rsidRPr="00BD57E5" w:rsidRDefault="00424DD1" w:rsidP="000A35A8">
            <w:r w:rsidRPr="00BD57E5">
              <w:t xml:space="preserve">  I use something else for my gender </w:t>
            </w:r>
          </w:p>
        </w:tc>
        <w:tc>
          <w:tcPr>
            <w:tcW w:w="1686" w:type="dxa"/>
            <w:tcBorders>
              <w:top w:val="nil"/>
              <w:left w:val="nil"/>
              <w:bottom w:val="nil"/>
              <w:right w:val="nil"/>
            </w:tcBorders>
          </w:tcPr>
          <w:p w14:paraId="1F4C5878" w14:textId="77777777" w:rsidR="00424DD1" w:rsidRPr="00BD57E5" w:rsidRDefault="00424DD1" w:rsidP="000A35A8">
            <w:r w:rsidRPr="00BD57E5">
              <w:t>4</w:t>
            </w:r>
          </w:p>
        </w:tc>
        <w:tc>
          <w:tcPr>
            <w:tcW w:w="2074" w:type="dxa"/>
            <w:tcBorders>
              <w:top w:val="nil"/>
              <w:left w:val="nil"/>
              <w:bottom w:val="nil"/>
              <w:right w:val="nil"/>
            </w:tcBorders>
          </w:tcPr>
          <w:p w14:paraId="4EEAC4AA" w14:textId="77777777" w:rsidR="00424DD1" w:rsidRPr="00BD57E5" w:rsidRDefault="00424DD1" w:rsidP="000A35A8">
            <w:r w:rsidRPr="00BD57E5">
              <w:t>1.4</w:t>
            </w:r>
          </w:p>
        </w:tc>
      </w:tr>
      <w:tr w:rsidR="00424DD1" w:rsidRPr="00BD57E5" w14:paraId="154F14B7" w14:textId="77777777" w:rsidTr="000A35A8">
        <w:tc>
          <w:tcPr>
            <w:tcW w:w="4536" w:type="dxa"/>
            <w:tcBorders>
              <w:top w:val="nil"/>
              <w:left w:val="nil"/>
              <w:bottom w:val="nil"/>
              <w:right w:val="nil"/>
            </w:tcBorders>
          </w:tcPr>
          <w:p w14:paraId="307D66D2" w14:textId="77777777" w:rsidR="00424DD1" w:rsidRPr="00BD57E5" w:rsidRDefault="00424DD1" w:rsidP="000A35A8">
            <w:r w:rsidRPr="00BD57E5">
              <w:t>Work Status</w:t>
            </w:r>
          </w:p>
        </w:tc>
        <w:tc>
          <w:tcPr>
            <w:tcW w:w="1686" w:type="dxa"/>
            <w:tcBorders>
              <w:top w:val="nil"/>
              <w:left w:val="nil"/>
              <w:bottom w:val="nil"/>
              <w:right w:val="nil"/>
            </w:tcBorders>
          </w:tcPr>
          <w:p w14:paraId="55DE4F0B" w14:textId="77777777" w:rsidR="00424DD1" w:rsidRPr="00BD57E5" w:rsidRDefault="00424DD1" w:rsidP="000A35A8"/>
        </w:tc>
        <w:tc>
          <w:tcPr>
            <w:tcW w:w="2074" w:type="dxa"/>
            <w:tcBorders>
              <w:top w:val="nil"/>
              <w:left w:val="nil"/>
              <w:bottom w:val="nil"/>
              <w:right w:val="nil"/>
            </w:tcBorders>
          </w:tcPr>
          <w:p w14:paraId="4C8B4125" w14:textId="77777777" w:rsidR="00424DD1" w:rsidRPr="00BD57E5" w:rsidRDefault="00424DD1" w:rsidP="000A35A8"/>
        </w:tc>
      </w:tr>
      <w:tr w:rsidR="00424DD1" w:rsidRPr="00BD57E5" w14:paraId="5B4F1840" w14:textId="77777777" w:rsidTr="000A35A8">
        <w:tc>
          <w:tcPr>
            <w:tcW w:w="4536" w:type="dxa"/>
            <w:tcBorders>
              <w:top w:val="nil"/>
              <w:left w:val="nil"/>
              <w:bottom w:val="nil"/>
              <w:right w:val="nil"/>
            </w:tcBorders>
          </w:tcPr>
          <w:p w14:paraId="15DA7604" w14:textId="77777777" w:rsidR="00424DD1" w:rsidRPr="00BD57E5" w:rsidRDefault="00424DD1" w:rsidP="000A35A8">
            <w:r w:rsidRPr="00BD57E5">
              <w:t xml:space="preserve">  Employed </w:t>
            </w:r>
          </w:p>
        </w:tc>
        <w:tc>
          <w:tcPr>
            <w:tcW w:w="1686" w:type="dxa"/>
            <w:tcBorders>
              <w:top w:val="nil"/>
              <w:left w:val="nil"/>
              <w:bottom w:val="nil"/>
              <w:right w:val="nil"/>
            </w:tcBorders>
          </w:tcPr>
          <w:p w14:paraId="78EE4081" w14:textId="77777777" w:rsidR="00424DD1" w:rsidRPr="00BD57E5" w:rsidRDefault="00424DD1" w:rsidP="000A35A8">
            <w:r w:rsidRPr="00BD57E5">
              <w:t>53</w:t>
            </w:r>
          </w:p>
        </w:tc>
        <w:tc>
          <w:tcPr>
            <w:tcW w:w="2074" w:type="dxa"/>
            <w:tcBorders>
              <w:top w:val="nil"/>
              <w:left w:val="nil"/>
              <w:bottom w:val="nil"/>
              <w:right w:val="nil"/>
            </w:tcBorders>
          </w:tcPr>
          <w:p w14:paraId="672D98E3" w14:textId="77777777" w:rsidR="00424DD1" w:rsidRPr="00BD57E5" w:rsidRDefault="00424DD1" w:rsidP="000A35A8">
            <w:r w:rsidRPr="00BD57E5">
              <w:t>19.2</w:t>
            </w:r>
          </w:p>
        </w:tc>
      </w:tr>
      <w:tr w:rsidR="00424DD1" w:rsidRPr="00BD57E5" w14:paraId="6AF4C5F8" w14:textId="77777777" w:rsidTr="000A35A8">
        <w:tc>
          <w:tcPr>
            <w:tcW w:w="4536" w:type="dxa"/>
            <w:tcBorders>
              <w:top w:val="nil"/>
              <w:left w:val="nil"/>
              <w:bottom w:val="nil"/>
              <w:right w:val="nil"/>
            </w:tcBorders>
          </w:tcPr>
          <w:p w14:paraId="04623CA6" w14:textId="77777777" w:rsidR="00424DD1" w:rsidRPr="00BD57E5" w:rsidRDefault="00424DD1" w:rsidP="000A35A8">
            <w:r w:rsidRPr="00BD57E5">
              <w:lastRenderedPageBreak/>
              <w:t xml:space="preserve">  Out of work and looking for work </w:t>
            </w:r>
          </w:p>
        </w:tc>
        <w:tc>
          <w:tcPr>
            <w:tcW w:w="1686" w:type="dxa"/>
            <w:tcBorders>
              <w:top w:val="nil"/>
              <w:left w:val="nil"/>
              <w:bottom w:val="nil"/>
              <w:right w:val="nil"/>
            </w:tcBorders>
          </w:tcPr>
          <w:p w14:paraId="47BD6746" w14:textId="77777777" w:rsidR="00424DD1" w:rsidRPr="00BD57E5" w:rsidRDefault="00424DD1" w:rsidP="000A35A8">
            <w:r w:rsidRPr="00BD57E5">
              <w:t>6</w:t>
            </w:r>
          </w:p>
        </w:tc>
        <w:tc>
          <w:tcPr>
            <w:tcW w:w="2074" w:type="dxa"/>
            <w:tcBorders>
              <w:top w:val="nil"/>
              <w:left w:val="nil"/>
              <w:bottom w:val="nil"/>
              <w:right w:val="nil"/>
            </w:tcBorders>
          </w:tcPr>
          <w:p w14:paraId="482FC065" w14:textId="77777777" w:rsidR="00424DD1" w:rsidRPr="00BD57E5" w:rsidRDefault="00424DD1" w:rsidP="000A35A8">
            <w:r w:rsidRPr="00BD57E5">
              <w:t>2.2</w:t>
            </w:r>
          </w:p>
        </w:tc>
      </w:tr>
      <w:tr w:rsidR="00424DD1" w:rsidRPr="00BD57E5" w14:paraId="4226F239" w14:textId="77777777" w:rsidTr="000A35A8">
        <w:tc>
          <w:tcPr>
            <w:tcW w:w="4536" w:type="dxa"/>
            <w:tcBorders>
              <w:top w:val="nil"/>
              <w:left w:val="nil"/>
              <w:bottom w:val="nil"/>
              <w:right w:val="nil"/>
            </w:tcBorders>
          </w:tcPr>
          <w:p w14:paraId="4B5BAEC8" w14:textId="77777777" w:rsidR="00424DD1" w:rsidRPr="00BD57E5" w:rsidRDefault="00424DD1" w:rsidP="000A35A8">
            <w:r w:rsidRPr="00BD57E5">
              <w:t xml:space="preserve">  A homemaker</w:t>
            </w:r>
          </w:p>
        </w:tc>
        <w:tc>
          <w:tcPr>
            <w:tcW w:w="1686" w:type="dxa"/>
            <w:tcBorders>
              <w:top w:val="nil"/>
              <w:left w:val="nil"/>
              <w:bottom w:val="nil"/>
              <w:right w:val="nil"/>
            </w:tcBorders>
          </w:tcPr>
          <w:p w14:paraId="174D19E2" w14:textId="77777777" w:rsidR="00424DD1" w:rsidRPr="00BD57E5" w:rsidRDefault="00424DD1" w:rsidP="000A35A8">
            <w:r w:rsidRPr="00BD57E5">
              <w:t>5</w:t>
            </w:r>
          </w:p>
        </w:tc>
        <w:tc>
          <w:tcPr>
            <w:tcW w:w="2074" w:type="dxa"/>
            <w:tcBorders>
              <w:top w:val="nil"/>
              <w:left w:val="nil"/>
              <w:bottom w:val="nil"/>
              <w:right w:val="nil"/>
            </w:tcBorders>
          </w:tcPr>
          <w:p w14:paraId="03E6A3CF" w14:textId="77777777" w:rsidR="00424DD1" w:rsidRPr="00BD57E5" w:rsidRDefault="00424DD1" w:rsidP="000A35A8">
            <w:r w:rsidRPr="00BD57E5">
              <w:t>1.8</w:t>
            </w:r>
          </w:p>
        </w:tc>
      </w:tr>
      <w:tr w:rsidR="00424DD1" w:rsidRPr="00BD57E5" w14:paraId="320C105B" w14:textId="77777777" w:rsidTr="000A35A8">
        <w:tc>
          <w:tcPr>
            <w:tcW w:w="4536" w:type="dxa"/>
            <w:tcBorders>
              <w:top w:val="nil"/>
              <w:left w:val="nil"/>
              <w:bottom w:val="nil"/>
              <w:right w:val="nil"/>
            </w:tcBorders>
          </w:tcPr>
          <w:p w14:paraId="6B274D1F" w14:textId="77777777" w:rsidR="00424DD1" w:rsidRPr="00BD57E5" w:rsidRDefault="00424DD1" w:rsidP="000A35A8">
            <w:r w:rsidRPr="00BD57E5">
              <w:t xml:space="preserve">  A student and not looking for work</w:t>
            </w:r>
          </w:p>
        </w:tc>
        <w:tc>
          <w:tcPr>
            <w:tcW w:w="1686" w:type="dxa"/>
            <w:tcBorders>
              <w:top w:val="nil"/>
              <w:left w:val="nil"/>
              <w:bottom w:val="nil"/>
              <w:right w:val="nil"/>
            </w:tcBorders>
          </w:tcPr>
          <w:p w14:paraId="5DC684FD" w14:textId="77777777" w:rsidR="00424DD1" w:rsidRPr="00BD57E5" w:rsidRDefault="00424DD1" w:rsidP="000A35A8">
            <w:r w:rsidRPr="00BD57E5">
              <w:t>209</w:t>
            </w:r>
          </w:p>
        </w:tc>
        <w:tc>
          <w:tcPr>
            <w:tcW w:w="2074" w:type="dxa"/>
            <w:tcBorders>
              <w:top w:val="nil"/>
              <w:left w:val="nil"/>
              <w:bottom w:val="nil"/>
              <w:right w:val="nil"/>
            </w:tcBorders>
          </w:tcPr>
          <w:p w14:paraId="23E8B8F3" w14:textId="77777777" w:rsidR="00424DD1" w:rsidRPr="00BD57E5" w:rsidRDefault="00424DD1" w:rsidP="000A35A8">
            <w:r w:rsidRPr="00BD57E5">
              <w:t>75.7</w:t>
            </w:r>
          </w:p>
        </w:tc>
      </w:tr>
      <w:tr w:rsidR="00424DD1" w:rsidRPr="00BD57E5" w14:paraId="2DA34043" w14:textId="77777777" w:rsidTr="000A35A8">
        <w:tc>
          <w:tcPr>
            <w:tcW w:w="4536" w:type="dxa"/>
            <w:tcBorders>
              <w:top w:val="nil"/>
              <w:left w:val="nil"/>
              <w:bottom w:val="nil"/>
              <w:right w:val="nil"/>
            </w:tcBorders>
          </w:tcPr>
          <w:p w14:paraId="13DC30E1" w14:textId="77777777" w:rsidR="00424DD1" w:rsidRPr="00BD57E5" w:rsidRDefault="00424DD1" w:rsidP="000A35A8">
            <w:r w:rsidRPr="00BD57E5">
              <w:t xml:space="preserve">  Unable to work</w:t>
            </w:r>
          </w:p>
        </w:tc>
        <w:tc>
          <w:tcPr>
            <w:tcW w:w="1686" w:type="dxa"/>
            <w:tcBorders>
              <w:top w:val="nil"/>
              <w:left w:val="nil"/>
              <w:bottom w:val="nil"/>
              <w:right w:val="nil"/>
            </w:tcBorders>
          </w:tcPr>
          <w:p w14:paraId="014BD599" w14:textId="77777777" w:rsidR="00424DD1" w:rsidRPr="00BD57E5" w:rsidRDefault="00424DD1" w:rsidP="000A35A8">
            <w:r w:rsidRPr="00BD57E5">
              <w:t>3</w:t>
            </w:r>
          </w:p>
        </w:tc>
        <w:tc>
          <w:tcPr>
            <w:tcW w:w="2074" w:type="dxa"/>
            <w:tcBorders>
              <w:top w:val="nil"/>
              <w:left w:val="nil"/>
              <w:bottom w:val="nil"/>
              <w:right w:val="nil"/>
            </w:tcBorders>
          </w:tcPr>
          <w:p w14:paraId="554E085A" w14:textId="77777777" w:rsidR="00424DD1" w:rsidRPr="00BD57E5" w:rsidRDefault="00424DD1" w:rsidP="000A35A8">
            <w:r w:rsidRPr="00BD57E5">
              <w:t>1.1</w:t>
            </w:r>
          </w:p>
        </w:tc>
      </w:tr>
      <w:tr w:rsidR="00424DD1" w:rsidRPr="00BD57E5" w14:paraId="0F75A401" w14:textId="77777777" w:rsidTr="000A35A8">
        <w:tc>
          <w:tcPr>
            <w:tcW w:w="4536" w:type="dxa"/>
            <w:tcBorders>
              <w:top w:val="nil"/>
              <w:left w:val="nil"/>
              <w:bottom w:val="nil"/>
              <w:right w:val="nil"/>
            </w:tcBorders>
          </w:tcPr>
          <w:p w14:paraId="6AE507EE" w14:textId="77777777" w:rsidR="00424DD1" w:rsidRPr="00BD57E5" w:rsidRDefault="00424DD1" w:rsidP="000A35A8">
            <w:r w:rsidRPr="00BD57E5">
              <w:t xml:space="preserve">Education </w:t>
            </w:r>
          </w:p>
        </w:tc>
        <w:tc>
          <w:tcPr>
            <w:tcW w:w="1686" w:type="dxa"/>
            <w:tcBorders>
              <w:top w:val="nil"/>
              <w:left w:val="nil"/>
              <w:bottom w:val="nil"/>
              <w:right w:val="nil"/>
            </w:tcBorders>
          </w:tcPr>
          <w:p w14:paraId="6F6E1B23" w14:textId="77777777" w:rsidR="00424DD1" w:rsidRPr="00BD57E5" w:rsidRDefault="00424DD1" w:rsidP="000A35A8"/>
        </w:tc>
        <w:tc>
          <w:tcPr>
            <w:tcW w:w="2074" w:type="dxa"/>
            <w:tcBorders>
              <w:top w:val="nil"/>
              <w:left w:val="nil"/>
              <w:bottom w:val="nil"/>
              <w:right w:val="nil"/>
            </w:tcBorders>
          </w:tcPr>
          <w:p w14:paraId="6E13FA49" w14:textId="77777777" w:rsidR="00424DD1" w:rsidRPr="00BD57E5" w:rsidRDefault="00424DD1" w:rsidP="000A35A8"/>
        </w:tc>
      </w:tr>
      <w:tr w:rsidR="00424DD1" w:rsidRPr="00BD57E5" w14:paraId="122419A7" w14:textId="77777777" w:rsidTr="000A35A8">
        <w:tc>
          <w:tcPr>
            <w:tcW w:w="4536" w:type="dxa"/>
            <w:tcBorders>
              <w:top w:val="nil"/>
              <w:left w:val="nil"/>
              <w:bottom w:val="nil"/>
              <w:right w:val="nil"/>
            </w:tcBorders>
          </w:tcPr>
          <w:p w14:paraId="2F2179FB" w14:textId="77777777" w:rsidR="00424DD1" w:rsidRPr="00BD57E5" w:rsidRDefault="00424DD1" w:rsidP="000A35A8">
            <w:r w:rsidRPr="00BD57E5">
              <w:t xml:space="preserve">  No schooling completed </w:t>
            </w:r>
          </w:p>
        </w:tc>
        <w:tc>
          <w:tcPr>
            <w:tcW w:w="1686" w:type="dxa"/>
            <w:tcBorders>
              <w:top w:val="nil"/>
              <w:left w:val="nil"/>
              <w:bottom w:val="nil"/>
              <w:right w:val="nil"/>
            </w:tcBorders>
          </w:tcPr>
          <w:p w14:paraId="32514DD4" w14:textId="77777777" w:rsidR="00424DD1" w:rsidRPr="00BD57E5" w:rsidRDefault="00424DD1" w:rsidP="000A35A8">
            <w:r w:rsidRPr="00BD57E5">
              <w:t>16</w:t>
            </w:r>
          </w:p>
        </w:tc>
        <w:tc>
          <w:tcPr>
            <w:tcW w:w="2074" w:type="dxa"/>
            <w:tcBorders>
              <w:top w:val="nil"/>
              <w:left w:val="nil"/>
              <w:bottom w:val="nil"/>
              <w:right w:val="nil"/>
            </w:tcBorders>
          </w:tcPr>
          <w:p w14:paraId="742387F8" w14:textId="77777777" w:rsidR="00424DD1" w:rsidRPr="00BD57E5" w:rsidRDefault="00424DD1" w:rsidP="000A35A8">
            <w:r w:rsidRPr="00BD57E5">
              <w:t>5.8</w:t>
            </w:r>
          </w:p>
        </w:tc>
      </w:tr>
      <w:tr w:rsidR="00424DD1" w:rsidRPr="00BD57E5" w14:paraId="62FEF695" w14:textId="77777777" w:rsidTr="000A35A8">
        <w:tc>
          <w:tcPr>
            <w:tcW w:w="4536" w:type="dxa"/>
            <w:tcBorders>
              <w:top w:val="nil"/>
              <w:left w:val="nil"/>
              <w:bottom w:val="nil"/>
              <w:right w:val="nil"/>
            </w:tcBorders>
          </w:tcPr>
          <w:p w14:paraId="0DF8C601" w14:textId="77777777" w:rsidR="00424DD1" w:rsidRPr="00BD57E5" w:rsidRDefault="00424DD1" w:rsidP="000A35A8">
            <w:pPr>
              <w:ind w:left="480" w:hangingChars="200" w:hanging="480"/>
            </w:pPr>
            <w:r w:rsidRPr="00BD57E5">
              <w:t xml:space="preserve">  High school graduate diploma or the equivalent </w:t>
            </w:r>
          </w:p>
        </w:tc>
        <w:tc>
          <w:tcPr>
            <w:tcW w:w="1686" w:type="dxa"/>
            <w:tcBorders>
              <w:top w:val="nil"/>
              <w:left w:val="nil"/>
              <w:bottom w:val="nil"/>
              <w:right w:val="nil"/>
            </w:tcBorders>
          </w:tcPr>
          <w:p w14:paraId="1BD0DFE5" w14:textId="77777777" w:rsidR="00424DD1" w:rsidRPr="00BD57E5" w:rsidRDefault="00424DD1" w:rsidP="000A35A8">
            <w:r w:rsidRPr="00BD57E5">
              <w:t>155</w:t>
            </w:r>
          </w:p>
        </w:tc>
        <w:tc>
          <w:tcPr>
            <w:tcW w:w="2074" w:type="dxa"/>
            <w:tcBorders>
              <w:top w:val="nil"/>
              <w:left w:val="nil"/>
              <w:bottom w:val="nil"/>
              <w:right w:val="nil"/>
            </w:tcBorders>
          </w:tcPr>
          <w:p w14:paraId="372A0B44" w14:textId="77777777" w:rsidR="00424DD1" w:rsidRPr="00BD57E5" w:rsidRDefault="00424DD1" w:rsidP="000A35A8">
            <w:r w:rsidRPr="00BD57E5">
              <w:t>56.2</w:t>
            </w:r>
          </w:p>
        </w:tc>
      </w:tr>
      <w:tr w:rsidR="00424DD1" w:rsidRPr="00BD57E5" w14:paraId="014D2DD4" w14:textId="77777777" w:rsidTr="000A35A8">
        <w:tc>
          <w:tcPr>
            <w:tcW w:w="4536" w:type="dxa"/>
            <w:tcBorders>
              <w:top w:val="nil"/>
              <w:left w:val="nil"/>
              <w:bottom w:val="nil"/>
              <w:right w:val="nil"/>
            </w:tcBorders>
          </w:tcPr>
          <w:p w14:paraId="6A46ABE3" w14:textId="77777777" w:rsidR="00424DD1" w:rsidRPr="00BD57E5" w:rsidRDefault="00424DD1" w:rsidP="000A35A8">
            <w:r w:rsidRPr="00BD57E5">
              <w:t xml:space="preserve">  Bachelor's degree </w:t>
            </w:r>
          </w:p>
        </w:tc>
        <w:tc>
          <w:tcPr>
            <w:tcW w:w="1686" w:type="dxa"/>
            <w:tcBorders>
              <w:top w:val="nil"/>
              <w:left w:val="nil"/>
              <w:bottom w:val="nil"/>
              <w:right w:val="nil"/>
            </w:tcBorders>
          </w:tcPr>
          <w:p w14:paraId="343D03AC" w14:textId="77777777" w:rsidR="00424DD1" w:rsidRPr="00BD57E5" w:rsidRDefault="00424DD1" w:rsidP="000A35A8">
            <w:r w:rsidRPr="00BD57E5">
              <w:t>74</w:t>
            </w:r>
          </w:p>
        </w:tc>
        <w:tc>
          <w:tcPr>
            <w:tcW w:w="2074" w:type="dxa"/>
            <w:tcBorders>
              <w:top w:val="nil"/>
              <w:left w:val="nil"/>
              <w:bottom w:val="nil"/>
              <w:right w:val="nil"/>
            </w:tcBorders>
          </w:tcPr>
          <w:p w14:paraId="23C2C004" w14:textId="77777777" w:rsidR="00424DD1" w:rsidRPr="00BD57E5" w:rsidRDefault="00424DD1" w:rsidP="000A35A8">
            <w:r w:rsidRPr="00BD57E5">
              <w:t>26.8</w:t>
            </w:r>
          </w:p>
        </w:tc>
      </w:tr>
      <w:tr w:rsidR="00424DD1" w:rsidRPr="00BD57E5" w14:paraId="74BA2E23" w14:textId="77777777" w:rsidTr="000A35A8">
        <w:tc>
          <w:tcPr>
            <w:tcW w:w="4536" w:type="dxa"/>
            <w:tcBorders>
              <w:top w:val="nil"/>
              <w:left w:val="nil"/>
              <w:bottom w:val="nil"/>
              <w:right w:val="nil"/>
            </w:tcBorders>
          </w:tcPr>
          <w:p w14:paraId="08E3BF5D" w14:textId="77777777" w:rsidR="00424DD1" w:rsidRPr="00BD57E5" w:rsidRDefault="00424DD1" w:rsidP="000A35A8">
            <w:r w:rsidRPr="00BD57E5">
              <w:t xml:space="preserve">  Master's degree</w:t>
            </w:r>
          </w:p>
        </w:tc>
        <w:tc>
          <w:tcPr>
            <w:tcW w:w="1686" w:type="dxa"/>
            <w:tcBorders>
              <w:top w:val="nil"/>
              <w:left w:val="nil"/>
              <w:bottom w:val="nil"/>
              <w:right w:val="nil"/>
            </w:tcBorders>
          </w:tcPr>
          <w:p w14:paraId="2430FFBF" w14:textId="77777777" w:rsidR="00424DD1" w:rsidRPr="00BD57E5" w:rsidRDefault="00424DD1" w:rsidP="000A35A8">
            <w:r w:rsidRPr="00BD57E5">
              <w:t>31</w:t>
            </w:r>
          </w:p>
        </w:tc>
        <w:tc>
          <w:tcPr>
            <w:tcW w:w="2074" w:type="dxa"/>
            <w:tcBorders>
              <w:top w:val="nil"/>
              <w:left w:val="nil"/>
              <w:bottom w:val="nil"/>
              <w:right w:val="nil"/>
            </w:tcBorders>
          </w:tcPr>
          <w:p w14:paraId="06D000C5" w14:textId="77777777" w:rsidR="00424DD1" w:rsidRPr="00BD57E5" w:rsidRDefault="00424DD1" w:rsidP="000A35A8">
            <w:r w:rsidRPr="00BD57E5">
              <w:t>11.2</w:t>
            </w:r>
          </w:p>
        </w:tc>
      </w:tr>
      <w:tr w:rsidR="00424DD1" w:rsidRPr="00BD57E5" w14:paraId="0CA2B08C" w14:textId="77777777" w:rsidTr="000A35A8">
        <w:tc>
          <w:tcPr>
            <w:tcW w:w="4536" w:type="dxa"/>
            <w:tcBorders>
              <w:top w:val="nil"/>
              <w:left w:val="nil"/>
              <w:bottom w:val="nil"/>
              <w:right w:val="nil"/>
            </w:tcBorders>
          </w:tcPr>
          <w:p w14:paraId="2588EF7D" w14:textId="77777777" w:rsidR="00424DD1" w:rsidRPr="00BD57E5" w:rsidRDefault="00424DD1" w:rsidP="000A35A8">
            <w:r w:rsidRPr="00BD57E5">
              <w:t>Sexual Orientation</w:t>
            </w:r>
          </w:p>
        </w:tc>
        <w:tc>
          <w:tcPr>
            <w:tcW w:w="1686" w:type="dxa"/>
            <w:tcBorders>
              <w:top w:val="nil"/>
              <w:left w:val="nil"/>
              <w:bottom w:val="nil"/>
              <w:right w:val="nil"/>
            </w:tcBorders>
          </w:tcPr>
          <w:p w14:paraId="11584663" w14:textId="77777777" w:rsidR="00424DD1" w:rsidRPr="00BD57E5" w:rsidRDefault="00424DD1" w:rsidP="000A35A8"/>
        </w:tc>
        <w:tc>
          <w:tcPr>
            <w:tcW w:w="2074" w:type="dxa"/>
            <w:tcBorders>
              <w:top w:val="nil"/>
              <w:left w:val="nil"/>
              <w:bottom w:val="nil"/>
              <w:right w:val="nil"/>
            </w:tcBorders>
          </w:tcPr>
          <w:p w14:paraId="0290EB62" w14:textId="77777777" w:rsidR="00424DD1" w:rsidRPr="00BD57E5" w:rsidRDefault="00424DD1" w:rsidP="000A35A8"/>
        </w:tc>
      </w:tr>
      <w:tr w:rsidR="00424DD1" w:rsidRPr="00BD57E5" w14:paraId="3B6D0BED" w14:textId="77777777" w:rsidTr="000A35A8">
        <w:tc>
          <w:tcPr>
            <w:tcW w:w="4536" w:type="dxa"/>
            <w:tcBorders>
              <w:top w:val="nil"/>
              <w:left w:val="nil"/>
              <w:bottom w:val="nil"/>
              <w:right w:val="nil"/>
            </w:tcBorders>
          </w:tcPr>
          <w:p w14:paraId="585BA933" w14:textId="77777777" w:rsidR="00424DD1" w:rsidRPr="00BD57E5" w:rsidRDefault="00424DD1" w:rsidP="000A35A8">
            <w:r w:rsidRPr="00BD57E5">
              <w:t xml:space="preserve">  Heterosexual </w:t>
            </w:r>
          </w:p>
        </w:tc>
        <w:tc>
          <w:tcPr>
            <w:tcW w:w="1686" w:type="dxa"/>
            <w:tcBorders>
              <w:top w:val="nil"/>
              <w:left w:val="nil"/>
              <w:bottom w:val="nil"/>
              <w:right w:val="nil"/>
            </w:tcBorders>
          </w:tcPr>
          <w:p w14:paraId="4F76FF28" w14:textId="77777777" w:rsidR="00424DD1" w:rsidRPr="00BD57E5" w:rsidRDefault="00424DD1" w:rsidP="000A35A8">
            <w:r w:rsidRPr="00BD57E5">
              <w:t>190</w:t>
            </w:r>
          </w:p>
        </w:tc>
        <w:tc>
          <w:tcPr>
            <w:tcW w:w="2074" w:type="dxa"/>
            <w:tcBorders>
              <w:top w:val="nil"/>
              <w:left w:val="nil"/>
              <w:bottom w:val="nil"/>
              <w:right w:val="nil"/>
            </w:tcBorders>
          </w:tcPr>
          <w:p w14:paraId="232772D5" w14:textId="77777777" w:rsidR="00424DD1" w:rsidRPr="00BD57E5" w:rsidRDefault="00424DD1" w:rsidP="000A35A8">
            <w:r w:rsidRPr="00BD57E5">
              <w:t>68.8</w:t>
            </w:r>
          </w:p>
        </w:tc>
      </w:tr>
      <w:tr w:rsidR="00424DD1" w:rsidRPr="00BD57E5" w14:paraId="238B249F" w14:textId="77777777" w:rsidTr="000A35A8">
        <w:tc>
          <w:tcPr>
            <w:tcW w:w="4536" w:type="dxa"/>
            <w:tcBorders>
              <w:top w:val="nil"/>
              <w:left w:val="nil"/>
              <w:bottom w:val="nil"/>
              <w:right w:val="nil"/>
            </w:tcBorders>
          </w:tcPr>
          <w:p w14:paraId="616F65ED" w14:textId="77777777" w:rsidR="00424DD1" w:rsidRPr="00BD57E5" w:rsidRDefault="00424DD1" w:rsidP="000A35A8">
            <w:r w:rsidRPr="00BD57E5">
              <w:t xml:space="preserve">  Gay/Lesbian </w:t>
            </w:r>
          </w:p>
        </w:tc>
        <w:tc>
          <w:tcPr>
            <w:tcW w:w="1686" w:type="dxa"/>
            <w:tcBorders>
              <w:top w:val="nil"/>
              <w:left w:val="nil"/>
              <w:bottom w:val="nil"/>
              <w:right w:val="nil"/>
            </w:tcBorders>
          </w:tcPr>
          <w:p w14:paraId="09A62558" w14:textId="77777777" w:rsidR="00424DD1" w:rsidRPr="00BD57E5" w:rsidRDefault="00424DD1" w:rsidP="000A35A8">
            <w:r w:rsidRPr="00BD57E5">
              <w:t>15</w:t>
            </w:r>
          </w:p>
        </w:tc>
        <w:tc>
          <w:tcPr>
            <w:tcW w:w="2074" w:type="dxa"/>
            <w:tcBorders>
              <w:top w:val="nil"/>
              <w:left w:val="nil"/>
              <w:bottom w:val="nil"/>
              <w:right w:val="nil"/>
            </w:tcBorders>
          </w:tcPr>
          <w:p w14:paraId="45F35831" w14:textId="77777777" w:rsidR="00424DD1" w:rsidRPr="00BD57E5" w:rsidRDefault="00424DD1" w:rsidP="000A35A8">
            <w:r w:rsidRPr="00BD57E5">
              <w:t>5.4</w:t>
            </w:r>
          </w:p>
        </w:tc>
      </w:tr>
      <w:tr w:rsidR="00424DD1" w:rsidRPr="00BD57E5" w14:paraId="4D19EBDE" w14:textId="77777777" w:rsidTr="000A35A8">
        <w:tc>
          <w:tcPr>
            <w:tcW w:w="4536" w:type="dxa"/>
            <w:tcBorders>
              <w:top w:val="nil"/>
              <w:left w:val="nil"/>
              <w:bottom w:val="nil"/>
              <w:right w:val="nil"/>
            </w:tcBorders>
          </w:tcPr>
          <w:p w14:paraId="2C08B2EB" w14:textId="77777777" w:rsidR="00424DD1" w:rsidRPr="00BD57E5" w:rsidRDefault="00424DD1" w:rsidP="000A35A8">
            <w:r w:rsidRPr="00BD57E5">
              <w:t xml:space="preserve">  Bisexual </w:t>
            </w:r>
          </w:p>
        </w:tc>
        <w:tc>
          <w:tcPr>
            <w:tcW w:w="1686" w:type="dxa"/>
            <w:tcBorders>
              <w:top w:val="nil"/>
              <w:left w:val="nil"/>
              <w:bottom w:val="nil"/>
              <w:right w:val="nil"/>
            </w:tcBorders>
          </w:tcPr>
          <w:p w14:paraId="64C49BF7" w14:textId="77777777" w:rsidR="00424DD1" w:rsidRPr="00BD57E5" w:rsidRDefault="00424DD1" w:rsidP="000A35A8">
            <w:r w:rsidRPr="00BD57E5">
              <w:t>55</w:t>
            </w:r>
          </w:p>
        </w:tc>
        <w:tc>
          <w:tcPr>
            <w:tcW w:w="2074" w:type="dxa"/>
            <w:tcBorders>
              <w:top w:val="nil"/>
              <w:left w:val="nil"/>
              <w:bottom w:val="nil"/>
              <w:right w:val="nil"/>
            </w:tcBorders>
          </w:tcPr>
          <w:p w14:paraId="65A02E37" w14:textId="77777777" w:rsidR="00424DD1" w:rsidRPr="00BD57E5" w:rsidRDefault="00424DD1" w:rsidP="000A35A8">
            <w:r w:rsidRPr="00BD57E5">
              <w:t>19.9</w:t>
            </w:r>
          </w:p>
        </w:tc>
      </w:tr>
      <w:tr w:rsidR="00424DD1" w:rsidRPr="00BD57E5" w14:paraId="2966301D" w14:textId="77777777" w:rsidTr="000A35A8">
        <w:tc>
          <w:tcPr>
            <w:tcW w:w="4536" w:type="dxa"/>
            <w:tcBorders>
              <w:top w:val="nil"/>
              <w:left w:val="nil"/>
              <w:bottom w:val="nil"/>
              <w:right w:val="nil"/>
            </w:tcBorders>
          </w:tcPr>
          <w:p w14:paraId="767A6F19" w14:textId="77777777" w:rsidR="00424DD1" w:rsidRPr="00BD57E5" w:rsidRDefault="00424DD1" w:rsidP="000A35A8">
            <w:r w:rsidRPr="00BD57E5">
              <w:t xml:space="preserve">  Pansexual </w:t>
            </w:r>
          </w:p>
        </w:tc>
        <w:tc>
          <w:tcPr>
            <w:tcW w:w="1686" w:type="dxa"/>
            <w:tcBorders>
              <w:top w:val="nil"/>
              <w:left w:val="nil"/>
              <w:bottom w:val="nil"/>
              <w:right w:val="nil"/>
            </w:tcBorders>
          </w:tcPr>
          <w:p w14:paraId="52050EE9" w14:textId="77777777" w:rsidR="00424DD1" w:rsidRPr="00BD57E5" w:rsidRDefault="00424DD1" w:rsidP="000A35A8">
            <w:r w:rsidRPr="00BD57E5">
              <w:t>7</w:t>
            </w:r>
          </w:p>
        </w:tc>
        <w:tc>
          <w:tcPr>
            <w:tcW w:w="2074" w:type="dxa"/>
            <w:tcBorders>
              <w:top w:val="nil"/>
              <w:left w:val="nil"/>
              <w:bottom w:val="nil"/>
              <w:right w:val="nil"/>
            </w:tcBorders>
          </w:tcPr>
          <w:p w14:paraId="2719F203" w14:textId="77777777" w:rsidR="00424DD1" w:rsidRPr="00BD57E5" w:rsidRDefault="00424DD1" w:rsidP="000A35A8">
            <w:r w:rsidRPr="00BD57E5">
              <w:t>2.5</w:t>
            </w:r>
          </w:p>
        </w:tc>
      </w:tr>
      <w:tr w:rsidR="00424DD1" w:rsidRPr="00BD57E5" w14:paraId="56745A6C" w14:textId="77777777" w:rsidTr="000A35A8">
        <w:tc>
          <w:tcPr>
            <w:tcW w:w="4536" w:type="dxa"/>
            <w:tcBorders>
              <w:top w:val="nil"/>
              <w:left w:val="nil"/>
              <w:bottom w:val="nil"/>
              <w:right w:val="nil"/>
            </w:tcBorders>
          </w:tcPr>
          <w:p w14:paraId="505085E7" w14:textId="77777777" w:rsidR="00424DD1" w:rsidRPr="00BD57E5" w:rsidRDefault="00424DD1" w:rsidP="000A35A8">
            <w:r w:rsidRPr="00BD57E5">
              <w:t xml:space="preserve">  Asexual</w:t>
            </w:r>
          </w:p>
        </w:tc>
        <w:tc>
          <w:tcPr>
            <w:tcW w:w="1686" w:type="dxa"/>
            <w:tcBorders>
              <w:top w:val="nil"/>
              <w:left w:val="nil"/>
              <w:bottom w:val="nil"/>
              <w:right w:val="nil"/>
            </w:tcBorders>
          </w:tcPr>
          <w:p w14:paraId="3C2DBFB1" w14:textId="77777777" w:rsidR="00424DD1" w:rsidRPr="00BD57E5" w:rsidRDefault="00424DD1" w:rsidP="000A35A8">
            <w:r w:rsidRPr="00BD57E5">
              <w:t>3</w:t>
            </w:r>
          </w:p>
        </w:tc>
        <w:tc>
          <w:tcPr>
            <w:tcW w:w="2074" w:type="dxa"/>
            <w:tcBorders>
              <w:top w:val="nil"/>
              <w:left w:val="nil"/>
              <w:bottom w:val="nil"/>
              <w:right w:val="nil"/>
            </w:tcBorders>
          </w:tcPr>
          <w:p w14:paraId="421FBBCC" w14:textId="77777777" w:rsidR="00424DD1" w:rsidRPr="00BD57E5" w:rsidRDefault="00424DD1" w:rsidP="000A35A8">
            <w:r w:rsidRPr="00BD57E5">
              <w:t>1.1</w:t>
            </w:r>
          </w:p>
        </w:tc>
      </w:tr>
      <w:tr w:rsidR="00424DD1" w:rsidRPr="00BD57E5" w14:paraId="77647080" w14:textId="77777777" w:rsidTr="000A35A8">
        <w:tc>
          <w:tcPr>
            <w:tcW w:w="4536" w:type="dxa"/>
            <w:tcBorders>
              <w:top w:val="nil"/>
              <w:left w:val="nil"/>
              <w:bottom w:val="single" w:sz="4" w:space="0" w:color="auto"/>
              <w:right w:val="nil"/>
            </w:tcBorders>
          </w:tcPr>
          <w:p w14:paraId="48BDCEDB" w14:textId="77777777" w:rsidR="00424DD1" w:rsidRPr="00BD57E5" w:rsidRDefault="00424DD1" w:rsidP="000A35A8">
            <w:r w:rsidRPr="00BD57E5">
              <w:t xml:space="preserve">  Rather not say </w:t>
            </w:r>
          </w:p>
        </w:tc>
        <w:tc>
          <w:tcPr>
            <w:tcW w:w="1686" w:type="dxa"/>
            <w:tcBorders>
              <w:top w:val="nil"/>
              <w:left w:val="nil"/>
              <w:bottom w:val="single" w:sz="4" w:space="0" w:color="auto"/>
              <w:right w:val="nil"/>
            </w:tcBorders>
          </w:tcPr>
          <w:p w14:paraId="34B5776F" w14:textId="77777777" w:rsidR="00424DD1" w:rsidRPr="00BD57E5" w:rsidRDefault="00424DD1" w:rsidP="000A35A8">
            <w:r w:rsidRPr="00BD57E5">
              <w:t>6</w:t>
            </w:r>
          </w:p>
        </w:tc>
        <w:tc>
          <w:tcPr>
            <w:tcW w:w="2074" w:type="dxa"/>
            <w:tcBorders>
              <w:top w:val="nil"/>
              <w:left w:val="nil"/>
              <w:bottom w:val="single" w:sz="4" w:space="0" w:color="auto"/>
              <w:right w:val="nil"/>
            </w:tcBorders>
          </w:tcPr>
          <w:p w14:paraId="30B3A8EE" w14:textId="77777777" w:rsidR="00424DD1" w:rsidRPr="00BD57E5" w:rsidRDefault="00424DD1" w:rsidP="000A35A8">
            <w:r w:rsidRPr="00BD57E5">
              <w:t>2.2</w:t>
            </w:r>
          </w:p>
        </w:tc>
      </w:tr>
      <w:tr w:rsidR="00424DD1" w:rsidRPr="00BD57E5" w14:paraId="2DC318F9" w14:textId="77777777" w:rsidTr="000A35A8">
        <w:tc>
          <w:tcPr>
            <w:tcW w:w="8296" w:type="dxa"/>
            <w:gridSpan w:val="3"/>
            <w:tcBorders>
              <w:top w:val="single" w:sz="4" w:space="0" w:color="auto"/>
              <w:left w:val="nil"/>
              <w:bottom w:val="nil"/>
              <w:right w:val="nil"/>
            </w:tcBorders>
          </w:tcPr>
          <w:p w14:paraId="633CC79F" w14:textId="77777777" w:rsidR="00424DD1" w:rsidRPr="00BD57E5" w:rsidRDefault="00424DD1" w:rsidP="000A35A8"/>
        </w:tc>
      </w:tr>
    </w:tbl>
    <w:p w14:paraId="1DDF3900" w14:textId="77777777" w:rsidR="004C5DC0" w:rsidRPr="004E72EE" w:rsidRDefault="004C5DC0" w:rsidP="00BD57E5">
      <w:pPr>
        <w:rPr>
          <w:b/>
          <w:bCs/>
          <w:color w:val="000000" w:themeColor="text1"/>
          <w:sz w:val="32"/>
          <w:szCs w:val="32"/>
        </w:rPr>
      </w:pPr>
      <w:bookmarkStart w:id="12" w:name="hypothesis1"/>
      <w:r w:rsidRPr="004E72EE">
        <w:rPr>
          <w:b/>
          <w:bCs/>
          <w:color w:val="000000" w:themeColor="text1"/>
          <w:sz w:val="32"/>
          <w:szCs w:val="32"/>
        </w:rPr>
        <w:t xml:space="preserve">Hypothesis 1 </w:t>
      </w:r>
      <w:bookmarkEnd w:id="12"/>
    </w:p>
    <w:p w14:paraId="179A6D80" w14:textId="519B4583" w:rsidR="004C5DC0" w:rsidRDefault="004C5DC0" w:rsidP="00BD57E5">
      <w:pPr>
        <w:ind w:firstLine="720"/>
        <w:rPr>
          <w:color w:val="000000" w:themeColor="text1"/>
        </w:rPr>
      </w:pPr>
      <w:r w:rsidRPr="00BD57E5">
        <w:rPr>
          <w:color w:val="000000" w:themeColor="text1"/>
        </w:rPr>
        <w:t xml:space="preserve">A histogram indicated normal distribution for physical and psychological health QoL, and slightly negative skewness for social support QoL, which was acceptable based on the </w:t>
      </w:r>
      <w:r w:rsidRPr="00BD57E5">
        <w:rPr>
          <w:color w:val="000000" w:themeColor="text1"/>
        </w:rPr>
        <w:lastRenderedPageBreak/>
        <w:t>residual plots (see Appendix A</w:t>
      </w:r>
      <w:r w:rsidR="00CA15C3">
        <w:rPr>
          <w:color w:val="000000" w:themeColor="text1"/>
        </w:rPr>
        <w:t>)</w:t>
      </w:r>
      <w:r w:rsidRPr="00BD57E5">
        <w:rPr>
          <w:color w:val="000000" w:themeColor="text1"/>
        </w:rPr>
        <w:t xml:space="preserve"> </w:t>
      </w:r>
      <w:r w:rsidR="00CA15C3">
        <w:rPr>
          <w:color w:val="000000" w:themeColor="text1"/>
        </w:rPr>
        <w:t>[42]</w:t>
      </w:r>
      <w:r w:rsidRPr="00BD57E5">
        <w:rPr>
          <w:color w:val="000000" w:themeColor="text1"/>
        </w:rPr>
        <w:t>.</w:t>
      </w:r>
      <w:r w:rsidR="00FA4504">
        <w:rPr>
          <w:color w:val="000000" w:themeColor="text1"/>
        </w:rPr>
        <w:t xml:space="preserve"> T</w:t>
      </w:r>
      <w:r w:rsidRPr="00BD57E5">
        <w:rPr>
          <w:color w:val="000000" w:themeColor="text1"/>
        </w:rPr>
        <w:t>he mean and standard deviations of all study variables</w:t>
      </w:r>
      <w:r w:rsidR="00FA4504">
        <w:rPr>
          <w:color w:val="000000" w:themeColor="text1"/>
        </w:rPr>
        <w:t xml:space="preserve"> are reported in Table 2</w:t>
      </w:r>
      <w:r w:rsidRPr="00BD57E5">
        <w:rPr>
          <w:color w:val="000000" w:themeColor="text1"/>
        </w:rPr>
        <w:t>.</w:t>
      </w:r>
    </w:p>
    <w:p w14:paraId="526E3165" w14:textId="4C082E30" w:rsidR="005A517F" w:rsidRPr="004E72EE" w:rsidRDefault="005A517F" w:rsidP="005A517F">
      <w:pPr>
        <w:rPr>
          <w:b/>
          <w:bCs/>
        </w:rPr>
      </w:pPr>
      <w:r w:rsidRPr="004E72EE">
        <w:rPr>
          <w:b/>
          <w:bCs/>
        </w:rPr>
        <w:t xml:space="preserve">Table 2. Descriptive Statistics for all </w:t>
      </w:r>
      <w:r w:rsidR="00913F70">
        <w:rPr>
          <w:b/>
          <w:bCs/>
        </w:rPr>
        <w:t>S</w:t>
      </w:r>
      <w:r w:rsidRPr="004E72EE">
        <w:rPr>
          <w:b/>
          <w:bCs/>
        </w:rPr>
        <w:t xml:space="preserve">tudy </w:t>
      </w:r>
      <w:r w:rsidR="00913F70">
        <w:rPr>
          <w:b/>
          <w:bCs/>
        </w:rPr>
        <w:t>V</w:t>
      </w:r>
      <w:r w:rsidRPr="004E72EE">
        <w:rPr>
          <w:b/>
          <w:bCs/>
        </w:rPr>
        <w:t xml:space="preserve">ariables for the </w:t>
      </w:r>
      <w:r w:rsidR="00913F70">
        <w:rPr>
          <w:b/>
          <w:bCs/>
        </w:rPr>
        <w:t>W</w:t>
      </w:r>
      <w:r w:rsidRPr="004E72EE">
        <w:rPr>
          <w:b/>
          <w:bCs/>
        </w:rPr>
        <w:t xml:space="preserve">hole </w:t>
      </w:r>
      <w:r w:rsidR="00913F70">
        <w:rPr>
          <w:b/>
          <w:bCs/>
        </w:rPr>
        <w:t>S</w:t>
      </w:r>
      <w:r w:rsidRPr="004E72EE">
        <w:rPr>
          <w:b/>
          <w:bCs/>
        </w:rPr>
        <w:t xml:space="preserve">ample and by </w:t>
      </w:r>
      <w:r w:rsidR="00913F70">
        <w:rPr>
          <w:b/>
          <w:bCs/>
        </w:rPr>
        <w:t>C</w:t>
      </w:r>
      <w:r w:rsidRPr="004E72EE">
        <w:rPr>
          <w:b/>
          <w:bCs/>
        </w:rPr>
        <w:t>ountry</w:t>
      </w:r>
      <w:r w:rsidR="00913F70">
        <w:rPr>
          <w:b/>
          <w:bCs/>
        </w:rPr>
        <w:t>.</w:t>
      </w:r>
    </w:p>
    <w:tbl>
      <w:tblPr>
        <w:tblStyle w:val="TableGrid"/>
        <w:tblW w:w="0" w:type="auto"/>
        <w:tblLook w:val="04A0" w:firstRow="1" w:lastRow="0" w:firstColumn="1" w:lastColumn="0" w:noHBand="0" w:noVBand="1"/>
      </w:tblPr>
      <w:tblGrid>
        <w:gridCol w:w="2903"/>
        <w:gridCol w:w="1018"/>
        <w:gridCol w:w="1019"/>
        <w:gridCol w:w="1019"/>
        <w:gridCol w:w="1018"/>
        <w:gridCol w:w="1019"/>
        <w:gridCol w:w="1019"/>
      </w:tblGrid>
      <w:tr w:rsidR="00FC2171" w:rsidRPr="00BD57E5" w14:paraId="201B2500" w14:textId="77777777" w:rsidTr="000A35A8">
        <w:tc>
          <w:tcPr>
            <w:tcW w:w="2903" w:type="dxa"/>
            <w:tcBorders>
              <w:left w:val="nil"/>
              <w:bottom w:val="nil"/>
              <w:right w:val="nil"/>
            </w:tcBorders>
          </w:tcPr>
          <w:p w14:paraId="0C1D6208" w14:textId="77777777" w:rsidR="00FC2171" w:rsidRPr="00BD57E5" w:rsidRDefault="00FC2171" w:rsidP="000A35A8">
            <w:r w:rsidRPr="00BD57E5">
              <w:t>Variable</w:t>
            </w:r>
          </w:p>
        </w:tc>
        <w:tc>
          <w:tcPr>
            <w:tcW w:w="2037" w:type="dxa"/>
            <w:gridSpan w:val="2"/>
            <w:tcBorders>
              <w:left w:val="nil"/>
              <w:bottom w:val="single" w:sz="4" w:space="0" w:color="auto"/>
              <w:right w:val="nil"/>
            </w:tcBorders>
          </w:tcPr>
          <w:p w14:paraId="5E467D3C" w14:textId="77777777" w:rsidR="00FC2171" w:rsidRPr="00BD57E5" w:rsidRDefault="00FC2171" w:rsidP="000A35A8">
            <w:pPr>
              <w:jc w:val="center"/>
            </w:pPr>
            <w:r>
              <w:t>Total (n=276)</w:t>
            </w:r>
          </w:p>
        </w:tc>
        <w:tc>
          <w:tcPr>
            <w:tcW w:w="2037" w:type="dxa"/>
            <w:gridSpan w:val="2"/>
            <w:tcBorders>
              <w:left w:val="nil"/>
              <w:bottom w:val="single" w:sz="4" w:space="0" w:color="auto"/>
              <w:right w:val="nil"/>
            </w:tcBorders>
          </w:tcPr>
          <w:p w14:paraId="513F46B4" w14:textId="77777777" w:rsidR="00FC2171" w:rsidRPr="00BD57E5" w:rsidRDefault="00FC2171" w:rsidP="000A35A8">
            <w:pPr>
              <w:jc w:val="center"/>
            </w:pPr>
            <w:r w:rsidRPr="00BD57E5">
              <w:t>United Kingdom</w:t>
            </w:r>
            <w:r>
              <w:t xml:space="preserve"> (n=143)</w:t>
            </w:r>
          </w:p>
        </w:tc>
        <w:tc>
          <w:tcPr>
            <w:tcW w:w="2038" w:type="dxa"/>
            <w:gridSpan w:val="2"/>
            <w:tcBorders>
              <w:left w:val="nil"/>
              <w:bottom w:val="single" w:sz="4" w:space="0" w:color="auto"/>
              <w:right w:val="nil"/>
            </w:tcBorders>
          </w:tcPr>
          <w:p w14:paraId="0388546A" w14:textId="77777777" w:rsidR="00FC2171" w:rsidRPr="00BD57E5" w:rsidRDefault="00FC2171" w:rsidP="000A35A8">
            <w:pPr>
              <w:jc w:val="center"/>
            </w:pPr>
            <w:r w:rsidRPr="00BD57E5">
              <w:t>China</w:t>
            </w:r>
            <w:r>
              <w:t xml:space="preserve"> (n=133)</w:t>
            </w:r>
          </w:p>
        </w:tc>
      </w:tr>
      <w:tr w:rsidR="00FC2171" w:rsidRPr="00BD57E5" w14:paraId="06F6B031" w14:textId="77777777" w:rsidTr="000A35A8">
        <w:trPr>
          <w:trHeight w:val="652"/>
        </w:trPr>
        <w:tc>
          <w:tcPr>
            <w:tcW w:w="2903" w:type="dxa"/>
            <w:tcBorders>
              <w:top w:val="nil"/>
              <w:left w:val="nil"/>
              <w:bottom w:val="single" w:sz="4" w:space="0" w:color="auto"/>
              <w:right w:val="nil"/>
            </w:tcBorders>
          </w:tcPr>
          <w:p w14:paraId="4C673735" w14:textId="77777777" w:rsidR="00FC2171" w:rsidRPr="00BD57E5" w:rsidRDefault="00FC2171" w:rsidP="000A35A8"/>
        </w:tc>
        <w:tc>
          <w:tcPr>
            <w:tcW w:w="1018" w:type="dxa"/>
            <w:tcBorders>
              <w:left w:val="nil"/>
              <w:bottom w:val="single" w:sz="4" w:space="0" w:color="auto"/>
              <w:right w:val="nil"/>
            </w:tcBorders>
          </w:tcPr>
          <w:p w14:paraId="2EBDCDA9" w14:textId="77777777" w:rsidR="00FC2171" w:rsidRPr="00BD57E5" w:rsidRDefault="00FC2171" w:rsidP="000A35A8">
            <w:pPr>
              <w:jc w:val="center"/>
              <w:rPr>
                <w:i/>
                <w:iCs/>
              </w:rPr>
            </w:pPr>
            <w:r w:rsidRPr="00BD57E5">
              <w:rPr>
                <w:i/>
                <w:iCs/>
              </w:rPr>
              <w:t>M</w:t>
            </w:r>
          </w:p>
        </w:tc>
        <w:tc>
          <w:tcPr>
            <w:tcW w:w="1019" w:type="dxa"/>
            <w:tcBorders>
              <w:left w:val="nil"/>
              <w:bottom w:val="single" w:sz="4" w:space="0" w:color="auto"/>
              <w:right w:val="nil"/>
            </w:tcBorders>
          </w:tcPr>
          <w:p w14:paraId="4287AB54" w14:textId="77777777" w:rsidR="00FC2171" w:rsidRPr="00BD57E5" w:rsidRDefault="00FC2171" w:rsidP="000A35A8">
            <w:pPr>
              <w:jc w:val="center"/>
              <w:rPr>
                <w:i/>
                <w:iCs/>
              </w:rPr>
            </w:pPr>
            <w:r w:rsidRPr="00BD57E5">
              <w:rPr>
                <w:i/>
                <w:iCs/>
              </w:rPr>
              <w:t>SD</w:t>
            </w:r>
          </w:p>
        </w:tc>
        <w:tc>
          <w:tcPr>
            <w:tcW w:w="1019" w:type="dxa"/>
            <w:tcBorders>
              <w:left w:val="nil"/>
              <w:bottom w:val="single" w:sz="4" w:space="0" w:color="auto"/>
              <w:right w:val="nil"/>
            </w:tcBorders>
          </w:tcPr>
          <w:p w14:paraId="69C494AC" w14:textId="77777777" w:rsidR="00FC2171" w:rsidRPr="00BD57E5" w:rsidRDefault="00FC2171" w:rsidP="000A35A8">
            <w:pPr>
              <w:jc w:val="center"/>
              <w:rPr>
                <w:i/>
                <w:iCs/>
              </w:rPr>
            </w:pPr>
            <w:r w:rsidRPr="00BD57E5">
              <w:rPr>
                <w:i/>
                <w:iCs/>
              </w:rPr>
              <w:t>M</w:t>
            </w:r>
          </w:p>
        </w:tc>
        <w:tc>
          <w:tcPr>
            <w:tcW w:w="1018" w:type="dxa"/>
            <w:tcBorders>
              <w:left w:val="nil"/>
              <w:bottom w:val="single" w:sz="4" w:space="0" w:color="auto"/>
              <w:right w:val="nil"/>
            </w:tcBorders>
          </w:tcPr>
          <w:p w14:paraId="35887E8D" w14:textId="77777777" w:rsidR="00FC2171" w:rsidRPr="00BD57E5" w:rsidRDefault="00FC2171" w:rsidP="000A35A8">
            <w:pPr>
              <w:jc w:val="center"/>
              <w:rPr>
                <w:i/>
                <w:iCs/>
              </w:rPr>
            </w:pPr>
            <w:r w:rsidRPr="00BD57E5">
              <w:rPr>
                <w:i/>
                <w:iCs/>
              </w:rPr>
              <w:t>SD</w:t>
            </w:r>
          </w:p>
        </w:tc>
        <w:tc>
          <w:tcPr>
            <w:tcW w:w="1019" w:type="dxa"/>
            <w:tcBorders>
              <w:left w:val="nil"/>
              <w:bottom w:val="single" w:sz="4" w:space="0" w:color="auto"/>
              <w:right w:val="nil"/>
            </w:tcBorders>
          </w:tcPr>
          <w:p w14:paraId="506BA88F" w14:textId="77777777" w:rsidR="00FC2171" w:rsidRPr="00BD57E5" w:rsidRDefault="00FC2171" w:rsidP="000A35A8">
            <w:pPr>
              <w:jc w:val="center"/>
              <w:rPr>
                <w:i/>
                <w:iCs/>
              </w:rPr>
            </w:pPr>
            <w:r w:rsidRPr="00BD57E5">
              <w:rPr>
                <w:i/>
                <w:iCs/>
              </w:rPr>
              <w:t>M</w:t>
            </w:r>
          </w:p>
        </w:tc>
        <w:tc>
          <w:tcPr>
            <w:tcW w:w="1019" w:type="dxa"/>
            <w:tcBorders>
              <w:left w:val="nil"/>
              <w:bottom w:val="single" w:sz="4" w:space="0" w:color="auto"/>
              <w:right w:val="nil"/>
            </w:tcBorders>
          </w:tcPr>
          <w:p w14:paraId="4D2E5EC6" w14:textId="77777777" w:rsidR="00FC2171" w:rsidRPr="00BD57E5" w:rsidRDefault="00FC2171" w:rsidP="000A35A8">
            <w:pPr>
              <w:jc w:val="center"/>
              <w:rPr>
                <w:i/>
                <w:iCs/>
              </w:rPr>
            </w:pPr>
            <w:r w:rsidRPr="00BD57E5">
              <w:rPr>
                <w:i/>
                <w:iCs/>
              </w:rPr>
              <w:t>SD</w:t>
            </w:r>
          </w:p>
        </w:tc>
      </w:tr>
      <w:tr w:rsidR="00FC2171" w:rsidRPr="00BD57E5" w14:paraId="2000F965" w14:textId="77777777" w:rsidTr="000A35A8">
        <w:trPr>
          <w:trHeight w:val="652"/>
        </w:trPr>
        <w:tc>
          <w:tcPr>
            <w:tcW w:w="2903" w:type="dxa"/>
            <w:tcBorders>
              <w:top w:val="single" w:sz="4" w:space="0" w:color="auto"/>
              <w:left w:val="nil"/>
              <w:bottom w:val="nil"/>
              <w:right w:val="nil"/>
            </w:tcBorders>
          </w:tcPr>
          <w:p w14:paraId="40D20E9C" w14:textId="77777777" w:rsidR="00FC2171" w:rsidRPr="00BD57E5" w:rsidRDefault="00FC2171" w:rsidP="000A35A8">
            <w:r w:rsidRPr="00BD57E5">
              <w:t>Physical health QoL</w:t>
            </w:r>
          </w:p>
        </w:tc>
        <w:tc>
          <w:tcPr>
            <w:tcW w:w="1018" w:type="dxa"/>
            <w:tcBorders>
              <w:top w:val="single" w:sz="4" w:space="0" w:color="auto"/>
              <w:left w:val="nil"/>
              <w:bottom w:val="nil"/>
              <w:right w:val="nil"/>
            </w:tcBorders>
          </w:tcPr>
          <w:p w14:paraId="55874319" w14:textId="77777777" w:rsidR="00FC2171" w:rsidRPr="00BD57E5" w:rsidRDefault="00FC2171" w:rsidP="000A35A8">
            <w:r w:rsidRPr="00BD57E5">
              <w:t>25.13</w:t>
            </w:r>
          </w:p>
        </w:tc>
        <w:tc>
          <w:tcPr>
            <w:tcW w:w="1019" w:type="dxa"/>
            <w:tcBorders>
              <w:top w:val="single" w:sz="4" w:space="0" w:color="auto"/>
              <w:left w:val="nil"/>
              <w:bottom w:val="nil"/>
              <w:right w:val="nil"/>
            </w:tcBorders>
          </w:tcPr>
          <w:p w14:paraId="4125FA69" w14:textId="77777777" w:rsidR="00FC2171" w:rsidRPr="00BD57E5" w:rsidRDefault="00FC2171" w:rsidP="000A35A8">
            <w:r w:rsidRPr="00BD57E5">
              <w:t>4.04</w:t>
            </w:r>
          </w:p>
        </w:tc>
        <w:tc>
          <w:tcPr>
            <w:tcW w:w="1019" w:type="dxa"/>
            <w:tcBorders>
              <w:top w:val="single" w:sz="4" w:space="0" w:color="auto"/>
              <w:left w:val="nil"/>
              <w:bottom w:val="nil"/>
              <w:right w:val="nil"/>
            </w:tcBorders>
          </w:tcPr>
          <w:p w14:paraId="6904704C" w14:textId="77777777" w:rsidR="00FC2171" w:rsidRPr="00BD57E5" w:rsidRDefault="00FC2171" w:rsidP="000A35A8">
            <w:r w:rsidRPr="00BD57E5">
              <w:t>26.10</w:t>
            </w:r>
          </w:p>
        </w:tc>
        <w:tc>
          <w:tcPr>
            <w:tcW w:w="1018" w:type="dxa"/>
            <w:tcBorders>
              <w:top w:val="single" w:sz="4" w:space="0" w:color="auto"/>
              <w:left w:val="nil"/>
              <w:bottom w:val="nil"/>
              <w:right w:val="nil"/>
            </w:tcBorders>
          </w:tcPr>
          <w:p w14:paraId="6A5511DC" w14:textId="77777777" w:rsidR="00FC2171" w:rsidRPr="00BD57E5" w:rsidRDefault="00FC2171" w:rsidP="000A35A8">
            <w:r w:rsidRPr="00BD57E5">
              <w:t>4.13</w:t>
            </w:r>
          </w:p>
        </w:tc>
        <w:tc>
          <w:tcPr>
            <w:tcW w:w="1019" w:type="dxa"/>
            <w:tcBorders>
              <w:top w:val="single" w:sz="4" w:space="0" w:color="auto"/>
              <w:left w:val="nil"/>
              <w:bottom w:val="nil"/>
              <w:right w:val="nil"/>
            </w:tcBorders>
          </w:tcPr>
          <w:p w14:paraId="5C9B2798" w14:textId="77777777" w:rsidR="00FC2171" w:rsidRPr="00BD57E5" w:rsidRDefault="00FC2171" w:rsidP="000A35A8">
            <w:r w:rsidRPr="00BD57E5">
              <w:t>24.10</w:t>
            </w:r>
          </w:p>
        </w:tc>
        <w:tc>
          <w:tcPr>
            <w:tcW w:w="1019" w:type="dxa"/>
            <w:tcBorders>
              <w:top w:val="single" w:sz="4" w:space="0" w:color="auto"/>
              <w:left w:val="nil"/>
              <w:bottom w:val="nil"/>
              <w:right w:val="nil"/>
            </w:tcBorders>
          </w:tcPr>
          <w:p w14:paraId="474AEA07" w14:textId="77777777" w:rsidR="00FC2171" w:rsidRPr="00BD57E5" w:rsidRDefault="00FC2171" w:rsidP="000A35A8">
            <w:r w:rsidRPr="00BD57E5">
              <w:t>3.67</w:t>
            </w:r>
          </w:p>
        </w:tc>
      </w:tr>
      <w:tr w:rsidR="00FC2171" w:rsidRPr="00BD57E5" w14:paraId="0367C80F" w14:textId="77777777" w:rsidTr="000A35A8">
        <w:trPr>
          <w:trHeight w:val="652"/>
        </w:trPr>
        <w:tc>
          <w:tcPr>
            <w:tcW w:w="2903" w:type="dxa"/>
            <w:tcBorders>
              <w:top w:val="nil"/>
              <w:left w:val="nil"/>
              <w:bottom w:val="nil"/>
              <w:right w:val="nil"/>
            </w:tcBorders>
          </w:tcPr>
          <w:p w14:paraId="606C4BEA" w14:textId="77777777" w:rsidR="00FC2171" w:rsidRPr="00BD57E5" w:rsidRDefault="00FC2171" w:rsidP="000A35A8">
            <w:r w:rsidRPr="00BD57E5">
              <w:t>Psychological health QoL</w:t>
            </w:r>
          </w:p>
        </w:tc>
        <w:tc>
          <w:tcPr>
            <w:tcW w:w="1018" w:type="dxa"/>
            <w:tcBorders>
              <w:top w:val="nil"/>
              <w:left w:val="nil"/>
              <w:bottom w:val="nil"/>
              <w:right w:val="nil"/>
            </w:tcBorders>
          </w:tcPr>
          <w:p w14:paraId="35A94100" w14:textId="77777777" w:rsidR="00FC2171" w:rsidRPr="00BD57E5" w:rsidRDefault="00FC2171" w:rsidP="000A35A8">
            <w:r w:rsidRPr="00BD57E5">
              <w:t>19.24</w:t>
            </w:r>
          </w:p>
        </w:tc>
        <w:tc>
          <w:tcPr>
            <w:tcW w:w="1019" w:type="dxa"/>
            <w:tcBorders>
              <w:top w:val="nil"/>
              <w:left w:val="nil"/>
              <w:bottom w:val="nil"/>
              <w:right w:val="nil"/>
            </w:tcBorders>
          </w:tcPr>
          <w:p w14:paraId="392F738B" w14:textId="77777777" w:rsidR="00FC2171" w:rsidRPr="00BD57E5" w:rsidRDefault="00FC2171" w:rsidP="000A35A8">
            <w:r w:rsidRPr="00BD57E5">
              <w:t>4.01</w:t>
            </w:r>
          </w:p>
        </w:tc>
        <w:tc>
          <w:tcPr>
            <w:tcW w:w="1019" w:type="dxa"/>
            <w:tcBorders>
              <w:top w:val="nil"/>
              <w:left w:val="nil"/>
              <w:bottom w:val="nil"/>
              <w:right w:val="nil"/>
            </w:tcBorders>
          </w:tcPr>
          <w:p w14:paraId="6C706D77" w14:textId="77777777" w:rsidR="00FC2171" w:rsidRPr="00BD57E5" w:rsidRDefault="00FC2171" w:rsidP="000A35A8">
            <w:r w:rsidRPr="00BD57E5">
              <w:t>18.98</w:t>
            </w:r>
          </w:p>
        </w:tc>
        <w:tc>
          <w:tcPr>
            <w:tcW w:w="1018" w:type="dxa"/>
            <w:tcBorders>
              <w:top w:val="nil"/>
              <w:left w:val="nil"/>
              <w:bottom w:val="nil"/>
              <w:right w:val="nil"/>
            </w:tcBorders>
          </w:tcPr>
          <w:p w14:paraId="3024637F" w14:textId="77777777" w:rsidR="00FC2171" w:rsidRPr="00BD57E5" w:rsidRDefault="00FC2171" w:rsidP="000A35A8">
            <w:r w:rsidRPr="00BD57E5">
              <w:t>4.31</w:t>
            </w:r>
          </w:p>
        </w:tc>
        <w:tc>
          <w:tcPr>
            <w:tcW w:w="1019" w:type="dxa"/>
            <w:tcBorders>
              <w:top w:val="nil"/>
              <w:left w:val="nil"/>
              <w:bottom w:val="nil"/>
              <w:right w:val="nil"/>
            </w:tcBorders>
          </w:tcPr>
          <w:p w14:paraId="7F09BCF3" w14:textId="77777777" w:rsidR="00FC2171" w:rsidRPr="00BD57E5" w:rsidRDefault="00FC2171" w:rsidP="000A35A8">
            <w:r w:rsidRPr="00BD57E5">
              <w:t>19.52</w:t>
            </w:r>
          </w:p>
        </w:tc>
        <w:tc>
          <w:tcPr>
            <w:tcW w:w="1019" w:type="dxa"/>
            <w:tcBorders>
              <w:top w:val="nil"/>
              <w:left w:val="nil"/>
              <w:bottom w:val="nil"/>
              <w:right w:val="nil"/>
            </w:tcBorders>
          </w:tcPr>
          <w:p w14:paraId="33A2B0DC" w14:textId="77777777" w:rsidR="00FC2171" w:rsidRPr="00BD57E5" w:rsidRDefault="00FC2171" w:rsidP="000A35A8">
            <w:r w:rsidRPr="00BD57E5">
              <w:t>3.65</w:t>
            </w:r>
          </w:p>
        </w:tc>
      </w:tr>
      <w:tr w:rsidR="00FC2171" w:rsidRPr="00BD57E5" w14:paraId="160E8F15" w14:textId="77777777" w:rsidTr="000A35A8">
        <w:trPr>
          <w:trHeight w:val="652"/>
        </w:trPr>
        <w:tc>
          <w:tcPr>
            <w:tcW w:w="2903" w:type="dxa"/>
            <w:tcBorders>
              <w:top w:val="nil"/>
              <w:left w:val="nil"/>
              <w:bottom w:val="nil"/>
              <w:right w:val="nil"/>
            </w:tcBorders>
          </w:tcPr>
          <w:p w14:paraId="3F729CA6" w14:textId="77777777" w:rsidR="00FC2171" w:rsidRPr="00BD57E5" w:rsidRDefault="00FC2171" w:rsidP="000A35A8">
            <w:r w:rsidRPr="00BD57E5">
              <w:t>Social support QoL</w:t>
            </w:r>
          </w:p>
        </w:tc>
        <w:tc>
          <w:tcPr>
            <w:tcW w:w="1018" w:type="dxa"/>
            <w:tcBorders>
              <w:top w:val="nil"/>
              <w:left w:val="nil"/>
              <w:bottom w:val="nil"/>
              <w:right w:val="nil"/>
            </w:tcBorders>
          </w:tcPr>
          <w:p w14:paraId="2AF064CC" w14:textId="77777777" w:rsidR="00FC2171" w:rsidRPr="00BD57E5" w:rsidRDefault="00FC2171" w:rsidP="000A35A8">
            <w:r w:rsidRPr="00BD57E5">
              <w:t>10.67</w:t>
            </w:r>
          </w:p>
        </w:tc>
        <w:tc>
          <w:tcPr>
            <w:tcW w:w="1019" w:type="dxa"/>
            <w:tcBorders>
              <w:top w:val="nil"/>
              <w:left w:val="nil"/>
              <w:bottom w:val="nil"/>
              <w:right w:val="nil"/>
            </w:tcBorders>
          </w:tcPr>
          <w:p w14:paraId="6357AD70" w14:textId="77777777" w:rsidR="00FC2171" w:rsidRPr="00BD57E5" w:rsidRDefault="00FC2171" w:rsidP="000A35A8">
            <w:r w:rsidRPr="00BD57E5">
              <w:t>2.32</w:t>
            </w:r>
          </w:p>
        </w:tc>
        <w:tc>
          <w:tcPr>
            <w:tcW w:w="1019" w:type="dxa"/>
            <w:tcBorders>
              <w:top w:val="nil"/>
              <w:left w:val="nil"/>
              <w:bottom w:val="nil"/>
              <w:right w:val="nil"/>
            </w:tcBorders>
          </w:tcPr>
          <w:p w14:paraId="35A59EE5" w14:textId="77777777" w:rsidR="00FC2171" w:rsidRPr="00BD57E5" w:rsidRDefault="00FC2171" w:rsidP="000A35A8">
            <w:r w:rsidRPr="00BD57E5">
              <w:t>11.20</w:t>
            </w:r>
          </w:p>
        </w:tc>
        <w:tc>
          <w:tcPr>
            <w:tcW w:w="1018" w:type="dxa"/>
            <w:tcBorders>
              <w:top w:val="nil"/>
              <w:left w:val="nil"/>
              <w:bottom w:val="nil"/>
              <w:right w:val="nil"/>
            </w:tcBorders>
          </w:tcPr>
          <w:p w14:paraId="2DCD7EAD" w14:textId="77777777" w:rsidR="00FC2171" w:rsidRPr="00BD57E5" w:rsidRDefault="00FC2171" w:rsidP="000A35A8">
            <w:r w:rsidRPr="00BD57E5">
              <w:t>2.28</w:t>
            </w:r>
          </w:p>
        </w:tc>
        <w:tc>
          <w:tcPr>
            <w:tcW w:w="1019" w:type="dxa"/>
            <w:tcBorders>
              <w:top w:val="nil"/>
              <w:left w:val="nil"/>
              <w:bottom w:val="nil"/>
              <w:right w:val="nil"/>
            </w:tcBorders>
          </w:tcPr>
          <w:p w14:paraId="3F817143" w14:textId="77777777" w:rsidR="00FC2171" w:rsidRPr="00BD57E5" w:rsidRDefault="00FC2171" w:rsidP="000A35A8">
            <w:r w:rsidRPr="00BD57E5">
              <w:t>10.10</w:t>
            </w:r>
          </w:p>
        </w:tc>
        <w:tc>
          <w:tcPr>
            <w:tcW w:w="1019" w:type="dxa"/>
            <w:tcBorders>
              <w:top w:val="nil"/>
              <w:left w:val="nil"/>
              <w:bottom w:val="nil"/>
              <w:right w:val="nil"/>
            </w:tcBorders>
          </w:tcPr>
          <w:p w14:paraId="63E2FCF1" w14:textId="77777777" w:rsidR="00FC2171" w:rsidRPr="00BD57E5" w:rsidRDefault="00FC2171" w:rsidP="000A35A8">
            <w:r w:rsidRPr="00BD57E5">
              <w:t>2.23</w:t>
            </w:r>
          </w:p>
        </w:tc>
      </w:tr>
      <w:tr w:rsidR="00FC2171" w:rsidRPr="00BD57E5" w14:paraId="301F9AFE" w14:textId="77777777" w:rsidTr="000A35A8">
        <w:trPr>
          <w:trHeight w:val="652"/>
        </w:trPr>
        <w:tc>
          <w:tcPr>
            <w:tcW w:w="2903" w:type="dxa"/>
            <w:tcBorders>
              <w:top w:val="nil"/>
              <w:left w:val="nil"/>
              <w:bottom w:val="nil"/>
              <w:right w:val="nil"/>
            </w:tcBorders>
          </w:tcPr>
          <w:p w14:paraId="4793D0D3" w14:textId="77777777" w:rsidR="00FC2171" w:rsidRPr="00BD57E5" w:rsidRDefault="00FC2171" w:rsidP="000A35A8">
            <w:r w:rsidRPr="00BD57E5">
              <w:t>Love and commitment</w:t>
            </w:r>
          </w:p>
        </w:tc>
        <w:tc>
          <w:tcPr>
            <w:tcW w:w="1018" w:type="dxa"/>
            <w:tcBorders>
              <w:top w:val="nil"/>
              <w:left w:val="nil"/>
              <w:bottom w:val="nil"/>
              <w:right w:val="nil"/>
            </w:tcBorders>
          </w:tcPr>
          <w:p w14:paraId="0CBF1156" w14:textId="77777777" w:rsidR="00FC2171" w:rsidRPr="00BD57E5" w:rsidRDefault="00FC2171" w:rsidP="000A35A8">
            <w:r w:rsidRPr="00BD57E5">
              <w:t>6.78</w:t>
            </w:r>
          </w:p>
        </w:tc>
        <w:tc>
          <w:tcPr>
            <w:tcW w:w="1019" w:type="dxa"/>
            <w:tcBorders>
              <w:top w:val="nil"/>
              <w:left w:val="nil"/>
              <w:bottom w:val="nil"/>
              <w:right w:val="nil"/>
            </w:tcBorders>
          </w:tcPr>
          <w:p w14:paraId="1908CC30" w14:textId="77777777" w:rsidR="00FC2171" w:rsidRPr="00BD57E5" w:rsidRDefault="00FC2171" w:rsidP="000A35A8">
            <w:r w:rsidRPr="00BD57E5">
              <w:t>2.25</w:t>
            </w:r>
          </w:p>
        </w:tc>
        <w:tc>
          <w:tcPr>
            <w:tcW w:w="1019" w:type="dxa"/>
            <w:tcBorders>
              <w:top w:val="nil"/>
              <w:left w:val="nil"/>
              <w:bottom w:val="nil"/>
              <w:right w:val="nil"/>
            </w:tcBorders>
          </w:tcPr>
          <w:p w14:paraId="018E0CE8" w14:textId="77777777" w:rsidR="00FC2171" w:rsidRPr="00BD57E5" w:rsidRDefault="00FC2171" w:rsidP="000A35A8">
            <w:r w:rsidRPr="00BD57E5">
              <w:t>6.97</w:t>
            </w:r>
          </w:p>
        </w:tc>
        <w:tc>
          <w:tcPr>
            <w:tcW w:w="1018" w:type="dxa"/>
            <w:tcBorders>
              <w:top w:val="nil"/>
              <w:left w:val="nil"/>
              <w:bottom w:val="nil"/>
              <w:right w:val="nil"/>
            </w:tcBorders>
          </w:tcPr>
          <w:p w14:paraId="4191CDFD" w14:textId="77777777" w:rsidR="00FC2171" w:rsidRPr="00BD57E5" w:rsidRDefault="00FC2171" w:rsidP="000A35A8">
            <w:r w:rsidRPr="00BD57E5">
              <w:t>2.18</w:t>
            </w:r>
          </w:p>
        </w:tc>
        <w:tc>
          <w:tcPr>
            <w:tcW w:w="1019" w:type="dxa"/>
            <w:tcBorders>
              <w:top w:val="nil"/>
              <w:left w:val="nil"/>
              <w:bottom w:val="nil"/>
              <w:right w:val="nil"/>
            </w:tcBorders>
          </w:tcPr>
          <w:p w14:paraId="1198351C" w14:textId="77777777" w:rsidR="00FC2171" w:rsidRPr="00BD57E5" w:rsidRDefault="00FC2171" w:rsidP="000A35A8">
            <w:r w:rsidRPr="00BD57E5">
              <w:t>6.56</w:t>
            </w:r>
          </w:p>
        </w:tc>
        <w:tc>
          <w:tcPr>
            <w:tcW w:w="1019" w:type="dxa"/>
            <w:tcBorders>
              <w:top w:val="nil"/>
              <w:left w:val="nil"/>
              <w:bottom w:val="nil"/>
              <w:right w:val="nil"/>
            </w:tcBorders>
          </w:tcPr>
          <w:p w14:paraId="173A3C14" w14:textId="77777777" w:rsidR="00FC2171" w:rsidRPr="00BD57E5" w:rsidRDefault="00FC2171" w:rsidP="000A35A8">
            <w:r w:rsidRPr="00BD57E5">
              <w:t>2.31</w:t>
            </w:r>
          </w:p>
        </w:tc>
      </w:tr>
      <w:tr w:rsidR="00FC2171" w:rsidRPr="00BD57E5" w14:paraId="37A633C6" w14:textId="77777777" w:rsidTr="000A35A8">
        <w:trPr>
          <w:trHeight w:val="652"/>
        </w:trPr>
        <w:tc>
          <w:tcPr>
            <w:tcW w:w="2903" w:type="dxa"/>
            <w:tcBorders>
              <w:top w:val="nil"/>
              <w:left w:val="nil"/>
              <w:bottom w:val="nil"/>
              <w:right w:val="nil"/>
            </w:tcBorders>
          </w:tcPr>
          <w:p w14:paraId="4789BFF0" w14:textId="77777777" w:rsidR="00FC2171" w:rsidRPr="00BD57E5" w:rsidRDefault="00FC2171" w:rsidP="000A35A8">
            <w:r w:rsidRPr="00BD57E5">
              <w:t>Pleasure</w:t>
            </w:r>
          </w:p>
        </w:tc>
        <w:tc>
          <w:tcPr>
            <w:tcW w:w="1018" w:type="dxa"/>
            <w:tcBorders>
              <w:top w:val="nil"/>
              <w:left w:val="nil"/>
              <w:bottom w:val="nil"/>
              <w:right w:val="nil"/>
            </w:tcBorders>
          </w:tcPr>
          <w:p w14:paraId="0A9546D6" w14:textId="77777777" w:rsidR="00FC2171" w:rsidRPr="00BD57E5" w:rsidRDefault="00FC2171" w:rsidP="000A35A8">
            <w:r w:rsidRPr="00BD57E5">
              <w:t>6.75</w:t>
            </w:r>
          </w:p>
        </w:tc>
        <w:tc>
          <w:tcPr>
            <w:tcW w:w="1019" w:type="dxa"/>
            <w:tcBorders>
              <w:top w:val="nil"/>
              <w:left w:val="nil"/>
              <w:bottom w:val="nil"/>
              <w:right w:val="nil"/>
            </w:tcBorders>
          </w:tcPr>
          <w:p w14:paraId="1BCB41C2" w14:textId="77777777" w:rsidR="00FC2171" w:rsidRPr="00BD57E5" w:rsidRDefault="00FC2171" w:rsidP="000A35A8">
            <w:r w:rsidRPr="00BD57E5">
              <w:t>2.05</w:t>
            </w:r>
          </w:p>
        </w:tc>
        <w:tc>
          <w:tcPr>
            <w:tcW w:w="1019" w:type="dxa"/>
            <w:tcBorders>
              <w:top w:val="nil"/>
              <w:left w:val="nil"/>
              <w:bottom w:val="nil"/>
              <w:right w:val="nil"/>
            </w:tcBorders>
          </w:tcPr>
          <w:p w14:paraId="5FA663ED" w14:textId="77777777" w:rsidR="00FC2171" w:rsidRPr="00BD57E5" w:rsidRDefault="00FC2171" w:rsidP="000A35A8">
            <w:r w:rsidRPr="00BD57E5">
              <w:t>7.69</w:t>
            </w:r>
          </w:p>
        </w:tc>
        <w:tc>
          <w:tcPr>
            <w:tcW w:w="1018" w:type="dxa"/>
            <w:tcBorders>
              <w:top w:val="nil"/>
              <w:left w:val="nil"/>
              <w:bottom w:val="nil"/>
              <w:right w:val="nil"/>
            </w:tcBorders>
          </w:tcPr>
          <w:p w14:paraId="0D545AA2" w14:textId="77777777" w:rsidR="00FC2171" w:rsidRPr="00BD57E5" w:rsidRDefault="00FC2171" w:rsidP="000A35A8">
            <w:r w:rsidRPr="00BD57E5">
              <w:t>1.54</w:t>
            </w:r>
          </w:p>
        </w:tc>
        <w:tc>
          <w:tcPr>
            <w:tcW w:w="1019" w:type="dxa"/>
            <w:tcBorders>
              <w:top w:val="nil"/>
              <w:left w:val="nil"/>
              <w:bottom w:val="nil"/>
              <w:right w:val="nil"/>
            </w:tcBorders>
          </w:tcPr>
          <w:p w14:paraId="7825C307" w14:textId="77777777" w:rsidR="00FC2171" w:rsidRPr="00BD57E5" w:rsidRDefault="00FC2171" w:rsidP="000A35A8">
            <w:r w:rsidRPr="00BD57E5">
              <w:t>5.75</w:t>
            </w:r>
          </w:p>
        </w:tc>
        <w:tc>
          <w:tcPr>
            <w:tcW w:w="1019" w:type="dxa"/>
            <w:tcBorders>
              <w:top w:val="nil"/>
              <w:left w:val="nil"/>
              <w:bottom w:val="nil"/>
              <w:right w:val="nil"/>
            </w:tcBorders>
          </w:tcPr>
          <w:p w14:paraId="5BB7DD00" w14:textId="77777777" w:rsidR="00FC2171" w:rsidRPr="00BD57E5" w:rsidRDefault="00FC2171" w:rsidP="000A35A8">
            <w:r w:rsidRPr="00BD57E5">
              <w:t>2.06</w:t>
            </w:r>
          </w:p>
        </w:tc>
      </w:tr>
      <w:tr w:rsidR="00FC2171" w:rsidRPr="00BD57E5" w14:paraId="0B14425C" w14:textId="77777777" w:rsidTr="000A35A8">
        <w:trPr>
          <w:trHeight w:val="652"/>
        </w:trPr>
        <w:tc>
          <w:tcPr>
            <w:tcW w:w="2903" w:type="dxa"/>
            <w:tcBorders>
              <w:top w:val="nil"/>
              <w:left w:val="nil"/>
              <w:bottom w:val="nil"/>
              <w:right w:val="nil"/>
            </w:tcBorders>
          </w:tcPr>
          <w:p w14:paraId="7E1D068C" w14:textId="77777777" w:rsidR="00FC2171" w:rsidRPr="00BD57E5" w:rsidRDefault="00FC2171" w:rsidP="000A35A8">
            <w:r w:rsidRPr="00BD57E5">
              <w:t>Reproduction</w:t>
            </w:r>
          </w:p>
        </w:tc>
        <w:tc>
          <w:tcPr>
            <w:tcW w:w="1018" w:type="dxa"/>
            <w:tcBorders>
              <w:top w:val="nil"/>
              <w:left w:val="nil"/>
              <w:bottom w:val="nil"/>
              <w:right w:val="nil"/>
            </w:tcBorders>
          </w:tcPr>
          <w:p w14:paraId="3A911DF9" w14:textId="77777777" w:rsidR="00FC2171" w:rsidRPr="00BD57E5" w:rsidRDefault="00FC2171" w:rsidP="000A35A8">
            <w:r w:rsidRPr="00BD57E5">
              <w:t>2.69</w:t>
            </w:r>
          </w:p>
        </w:tc>
        <w:tc>
          <w:tcPr>
            <w:tcW w:w="1019" w:type="dxa"/>
            <w:tcBorders>
              <w:top w:val="nil"/>
              <w:left w:val="nil"/>
              <w:bottom w:val="nil"/>
              <w:right w:val="nil"/>
            </w:tcBorders>
          </w:tcPr>
          <w:p w14:paraId="6C37AFB2" w14:textId="77777777" w:rsidR="00FC2171" w:rsidRPr="00BD57E5" w:rsidRDefault="00FC2171" w:rsidP="000A35A8">
            <w:r w:rsidRPr="00BD57E5">
              <w:t>1.45</w:t>
            </w:r>
          </w:p>
        </w:tc>
        <w:tc>
          <w:tcPr>
            <w:tcW w:w="1019" w:type="dxa"/>
            <w:tcBorders>
              <w:top w:val="nil"/>
              <w:left w:val="nil"/>
              <w:bottom w:val="nil"/>
              <w:right w:val="nil"/>
            </w:tcBorders>
          </w:tcPr>
          <w:p w14:paraId="2F5C427D" w14:textId="77777777" w:rsidR="00FC2171" w:rsidRPr="00BD57E5" w:rsidRDefault="00FC2171" w:rsidP="000A35A8">
            <w:r w:rsidRPr="00BD57E5">
              <w:t>2.12</w:t>
            </w:r>
          </w:p>
        </w:tc>
        <w:tc>
          <w:tcPr>
            <w:tcW w:w="1018" w:type="dxa"/>
            <w:tcBorders>
              <w:top w:val="nil"/>
              <w:left w:val="nil"/>
              <w:bottom w:val="nil"/>
              <w:right w:val="nil"/>
            </w:tcBorders>
          </w:tcPr>
          <w:p w14:paraId="016F94CC" w14:textId="77777777" w:rsidR="00FC2171" w:rsidRPr="00BD57E5" w:rsidRDefault="00FC2171" w:rsidP="000A35A8">
            <w:r w:rsidRPr="00BD57E5">
              <w:t>0.61</w:t>
            </w:r>
          </w:p>
        </w:tc>
        <w:tc>
          <w:tcPr>
            <w:tcW w:w="1019" w:type="dxa"/>
            <w:tcBorders>
              <w:top w:val="nil"/>
              <w:left w:val="nil"/>
              <w:bottom w:val="nil"/>
              <w:right w:val="nil"/>
            </w:tcBorders>
          </w:tcPr>
          <w:p w14:paraId="30AC125A" w14:textId="77777777" w:rsidR="00FC2171" w:rsidRPr="00BD57E5" w:rsidRDefault="00FC2171" w:rsidP="000A35A8">
            <w:r w:rsidRPr="00BD57E5">
              <w:t>3.31</w:t>
            </w:r>
          </w:p>
        </w:tc>
        <w:tc>
          <w:tcPr>
            <w:tcW w:w="1019" w:type="dxa"/>
            <w:tcBorders>
              <w:top w:val="nil"/>
              <w:left w:val="nil"/>
              <w:bottom w:val="nil"/>
              <w:right w:val="nil"/>
            </w:tcBorders>
          </w:tcPr>
          <w:p w14:paraId="5448E208" w14:textId="77777777" w:rsidR="00FC2171" w:rsidRPr="00BD57E5" w:rsidRDefault="00FC2171" w:rsidP="000A35A8">
            <w:r w:rsidRPr="00BD57E5">
              <w:t>1.80</w:t>
            </w:r>
          </w:p>
        </w:tc>
      </w:tr>
      <w:tr w:rsidR="00FC2171" w:rsidRPr="00BD57E5" w14:paraId="770FE981" w14:textId="77777777" w:rsidTr="000A35A8">
        <w:trPr>
          <w:trHeight w:val="652"/>
        </w:trPr>
        <w:tc>
          <w:tcPr>
            <w:tcW w:w="2903" w:type="dxa"/>
            <w:tcBorders>
              <w:top w:val="nil"/>
              <w:left w:val="nil"/>
              <w:bottom w:val="nil"/>
              <w:right w:val="nil"/>
            </w:tcBorders>
          </w:tcPr>
          <w:p w14:paraId="23427F71" w14:textId="77777777" w:rsidR="00FC2171" w:rsidRPr="00BD57E5" w:rsidRDefault="00FC2171" w:rsidP="000A35A8">
            <w:r w:rsidRPr="00BD57E5">
              <w:t xml:space="preserve">Emotional </w:t>
            </w:r>
          </w:p>
        </w:tc>
        <w:tc>
          <w:tcPr>
            <w:tcW w:w="1018" w:type="dxa"/>
            <w:tcBorders>
              <w:top w:val="nil"/>
              <w:left w:val="nil"/>
              <w:bottom w:val="nil"/>
              <w:right w:val="nil"/>
            </w:tcBorders>
          </w:tcPr>
          <w:p w14:paraId="491FD87C" w14:textId="77777777" w:rsidR="00FC2171" w:rsidRPr="00BD57E5" w:rsidRDefault="00FC2171" w:rsidP="000A35A8">
            <w:r w:rsidRPr="00BD57E5">
              <w:t>11.42</w:t>
            </w:r>
          </w:p>
        </w:tc>
        <w:tc>
          <w:tcPr>
            <w:tcW w:w="1019" w:type="dxa"/>
            <w:tcBorders>
              <w:top w:val="nil"/>
              <w:left w:val="nil"/>
              <w:bottom w:val="nil"/>
              <w:right w:val="nil"/>
            </w:tcBorders>
          </w:tcPr>
          <w:p w14:paraId="65C0DCFE" w14:textId="77777777" w:rsidR="00FC2171" w:rsidRPr="00BD57E5" w:rsidRDefault="00FC2171" w:rsidP="000A35A8">
            <w:r w:rsidRPr="00BD57E5">
              <w:t>3.61</w:t>
            </w:r>
          </w:p>
        </w:tc>
        <w:tc>
          <w:tcPr>
            <w:tcW w:w="1019" w:type="dxa"/>
            <w:tcBorders>
              <w:top w:val="nil"/>
              <w:left w:val="nil"/>
              <w:bottom w:val="nil"/>
              <w:right w:val="nil"/>
            </w:tcBorders>
          </w:tcPr>
          <w:p w14:paraId="32EAF535" w14:textId="77777777" w:rsidR="00FC2171" w:rsidRPr="00BD57E5" w:rsidRDefault="00FC2171" w:rsidP="000A35A8">
            <w:r w:rsidRPr="00BD57E5">
              <w:t>11.38</w:t>
            </w:r>
          </w:p>
        </w:tc>
        <w:tc>
          <w:tcPr>
            <w:tcW w:w="1018" w:type="dxa"/>
            <w:tcBorders>
              <w:top w:val="nil"/>
              <w:left w:val="nil"/>
              <w:bottom w:val="nil"/>
              <w:right w:val="nil"/>
            </w:tcBorders>
          </w:tcPr>
          <w:p w14:paraId="7ACDD289" w14:textId="77777777" w:rsidR="00FC2171" w:rsidRPr="00BD57E5" w:rsidRDefault="00FC2171" w:rsidP="000A35A8">
            <w:r w:rsidRPr="00BD57E5">
              <w:t>3.43</w:t>
            </w:r>
          </w:p>
        </w:tc>
        <w:tc>
          <w:tcPr>
            <w:tcW w:w="1019" w:type="dxa"/>
            <w:tcBorders>
              <w:top w:val="nil"/>
              <w:left w:val="nil"/>
              <w:bottom w:val="nil"/>
              <w:right w:val="nil"/>
            </w:tcBorders>
          </w:tcPr>
          <w:p w14:paraId="4512BB45" w14:textId="77777777" w:rsidR="00FC2171" w:rsidRPr="00BD57E5" w:rsidRDefault="00FC2171" w:rsidP="000A35A8">
            <w:r w:rsidRPr="00BD57E5">
              <w:t>11.46</w:t>
            </w:r>
          </w:p>
        </w:tc>
        <w:tc>
          <w:tcPr>
            <w:tcW w:w="1019" w:type="dxa"/>
            <w:tcBorders>
              <w:top w:val="nil"/>
              <w:left w:val="nil"/>
              <w:bottom w:val="nil"/>
              <w:right w:val="nil"/>
            </w:tcBorders>
          </w:tcPr>
          <w:p w14:paraId="7AA71650" w14:textId="77777777" w:rsidR="00FC2171" w:rsidRPr="00BD57E5" w:rsidRDefault="00FC2171" w:rsidP="000A35A8">
            <w:r w:rsidRPr="00BD57E5">
              <w:t>3.81</w:t>
            </w:r>
          </w:p>
        </w:tc>
      </w:tr>
      <w:tr w:rsidR="00FC2171" w:rsidRPr="00BD57E5" w14:paraId="526E0140" w14:textId="77777777" w:rsidTr="000A35A8">
        <w:tc>
          <w:tcPr>
            <w:tcW w:w="9015" w:type="dxa"/>
            <w:gridSpan w:val="7"/>
            <w:tcBorders>
              <w:top w:val="single" w:sz="4" w:space="0" w:color="auto"/>
              <w:left w:val="nil"/>
              <w:bottom w:val="nil"/>
              <w:right w:val="nil"/>
            </w:tcBorders>
          </w:tcPr>
          <w:p w14:paraId="387DF007" w14:textId="77777777" w:rsidR="00FC2171" w:rsidRPr="00BD57E5" w:rsidRDefault="00FC2171" w:rsidP="000A35A8"/>
        </w:tc>
      </w:tr>
    </w:tbl>
    <w:p w14:paraId="1A677954" w14:textId="2654279B" w:rsidR="004C5DC0" w:rsidRDefault="00FC2171" w:rsidP="00FC2171">
      <w:pPr>
        <w:rPr>
          <w:color w:val="000000" w:themeColor="text1"/>
        </w:rPr>
      </w:pPr>
      <w:r>
        <w:rPr>
          <w:color w:val="000000" w:themeColor="text1"/>
        </w:rPr>
        <w:tab/>
      </w:r>
      <w:r w:rsidR="004C5DC0" w:rsidRPr="00BD57E5">
        <w:rPr>
          <w:color w:val="000000" w:themeColor="text1"/>
        </w:rPr>
        <w:t xml:space="preserve">Table 3 displays the results of nine simple linear regression tests, indicating the linear relationships between the independent (love and commitment motivation, pleasure motivation, and reproduction motivation) and dependent variables (physical health QoL, psychological health QoL, and social support QoL). Results showed that love and commitment motivation and pleasure motivation were significantly positively associated with </w:t>
      </w:r>
      <w:r w:rsidR="004C5DC0" w:rsidRPr="00BD57E5">
        <w:rPr>
          <w:color w:val="000000" w:themeColor="text1"/>
        </w:rPr>
        <w:lastRenderedPageBreak/>
        <w:t xml:space="preserve">physical health QoL and social support QoL while love and commitment motivation was significantly positively associated with psychological health QoL. </w:t>
      </w:r>
    </w:p>
    <w:p w14:paraId="27BB3737" w14:textId="77777777" w:rsidR="009B7606" w:rsidRDefault="009B7606" w:rsidP="00FC2171">
      <w:pPr>
        <w:rPr>
          <w:color w:val="000000" w:themeColor="text1"/>
        </w:rPr>
      </w:pPr>
    </w:p>
    <w:p w14:paraId="5D4A45E7" w14:textId="77777777" w:rsidR="009B7606" w:rsidRDefault="009B7606" w:rsidP="00FC2171">
      <w:pPr>
        <w:rPr>
          <w:color w:val="000000" w:themeColor="text1"/>
        </w:rPr>
      </w:pPr>
    </w:p>
    <w:p w14:paraId="30E7D891" w14:textId="77777777" w:rsidR="00827AAB" w:rsidRPr="004E72EE" w:rsidRDefault="00827AAB" w:rsidP="00827AAB">
      <w:pPr>
        <w:rPr>
          <w:b/>
          <w:bCs/>
          <w:color w:val="000000" w:themeColor="text1"/>
        </w:rPr>
      </w:pPr>
      <w:r w:rsidRPr="004E72EE">
        <w:rPr>
          <w:b/>
          <w:bCs/>
        </w:rPr>
        <w:t xml:space="preserve">Table 3. </w:t>
      </w:r>
      <w:r w:rsidRPr="004E72EE">
        <w:rPr>
          <w:b/>
          <w:bCs/>
          <w:color w:val="000000" w:themeColor="text1"/>
        </w:rPr>
        <w:t xml:space="preserve">Simple Linear Regressions Between Independent and Dependent Variables.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24"/>
        <w:gridCol w:w="1248"/>
        <w:gridCol w:w="1247"/>
        <w:gridCol w:w="1259"/>
        <w:gridCol w:w="1254"/>
        <w:gridCol w:w="1247"/>
        <w:gridCol w:w="1247"/>
      </w:tblGrid>
      <w:tr w:rsidR="001738F8" w14:paraId="2F56C5D3" w14:textId="77777777" w:rsidTr="000A35A8">
        <w:tc>
          <w:tcPr>
            <w:tcW w:w="1288" w:type="dxa"/>
          </w:tcPr>
          <w:p w14:paraId="14E5F75E" w14:textId="77777777" w:rsidR="001738F8" w:rsidRDefault="001738F8" w:rsidP="000A35A8">
            <w:pPr>
              <w:rPr>
                <w:color w:val="000000" w:themeColor="text1"/>
              </w:rPr>
            </w:pPr>
          </w:p>
        </w:tc>
        <w:tc>
          <w:tcPr>
            <w:tcW w:w="2576" w:type="dxa"/>
            <w:gridSpan w:val="2"/>
          </w:tcPr>
          <w:p w14:paraId="554F9781" w14:textId="77777777" w:rsidR="001738F8" w:rsidRDefault="001738F8" w:rsidP="000A35A8">
            <w:pPr>
              <w:jc w:val="center"/>
              <w:rPr>
                <w:color w:val="000000" w:themeColor="text1"/>
              </w:rPr>
            </w:pPr>
            <w:r>
              <w:rPr>
                <w:color w:val="000000" w:themeColor="text1"/>
              </w:rPr>
              <w:t>Physical Health QoL</w:t>
            </w:r>
          </w:p>
        </w:tc>
        <w:tc>
          <w:tcPr>
            <w:tcW w:w="2576" w:type="dxa"/>
            <w:gridSpan w:val="2"/>
          </w:tcPr>
          <w:p w14:paraId="69741F34" w14:textId="77777777" w:rsidR="001738F8" w:rsidRDefault="001738F8" w:rsidP="000A35A8">
            <w:pPr>
              <w:jc w:val="center"/>
              <w:rPr>
                <w:color w:val="000000" w:themeColor="text1"/>
              </w:rPr>
            </w:pPr>
            <w:r>
              <w:rPr>
                <w:color w:val="000000" w:themeColor="text1"/>
              </w:rPr>
              <w:t>Psychological Health QoL</w:t>
            </w:r>
          </w:p>
        </w:tc>
        <w:tc>
          <w:tcPr>
            <w:tcW w:w="2576" w:type="dxa"/>
            <w:gridSpan w:val="2"/>
          </w:tcPr>
          <w:p w14:paraId="26DE0AF3" w14:textId="77777777" w:rsidR="001738F8" w:rsidRDefault="001738F8" w:rsidP="000A35A8">
            <w:pPr>
              <w:jc w:val="center"/>
              <w:rPr>
                <w:color w:val="000000" w:themeColor="text1"/>
              </w:rPr>
            </w:pPr>
            <w:r>
              <w:rPr>
                <w:color w:val="000000" w:themeColor="text1"/>
              </w:rPr>
              <w:t>Social Support QoL</w:t>
            </w:r>
          </w:p>
        </w:tc>
      </w:tr>
      <w:tr w:rsidR="001738F8" w14:paraId="23E1EA6E" w14:textId="77777777" w:rsidTr="000A35A8">
        <w:tc>
          <w:tcPr>
            <w:tcW w:w="1288" w:type="dxa"/>
          </w:tcPr>
          <w:p w14:paraId="2EEFF650" w14:textId="77777777" w:rsidR="001738F8" w:rsidRDefault="001738F8" w:rsidP="000A35A8">
            <w:pPr>
              <w:rPr>
                <w:color w:val="000000" w:themeColor="text1"/>
              </w:rPr>
            </w:pPr>
          </w:p>
        </w:tc>
        <w:tc>
          <w:tcPr>
            <w:tcW w:w="1288" w:type="dxa"/>
          </w:tcPr>
          <w:p w14:paraId="46C9198D" w14:textId="77777777" w:rsidR="001738F8" w:rsidRDefault="001738F8" w:rsidP="000A35A8">
            <w:pPr>
              <w:jc w:val="center"/>
              <w:rPr>
                <w:color w:val="000000" w:themeColor="text1"/>
              </w:rPr>
            </w:pPr>
            <w:r>
              <w:rPr>
                <w:color w:val="000000" w:themeColor="text1"/>
              </w:rPr>
              <w:t>OR</w:t>
            </w:r>
          </w:p>
        </w:tc>
        <w:tc>
          <w:tcPr>
            <w:tcW w:w="1288" w:type="dxa"/>
          </w:tcPr>
          <w:p w14:paraId="2BE622CC" w14:textId="77777777" w:rsidR="001738F8" w:rsidRPr="0025501D" w:rsidRDefault="001738F8" w:rsidP="000A35A8">
            <w:pPr>
              <w:jc w:val="center"/>
              <w:rPr>
                <w:i/>
                <w:iCs/>
                <w:color w:val="000000" w:themeColor="text1"/>
              </w:rPr>
            </w:pPr>
            <w:r w:rsidRPr="0025501D">
              <w:rPr>
                <w:i/>
                <w:iCs/>
                <w:color w:val="000000" w:themeColor="text1"/>
              </w:rPr>
              <w:t>p</w:t>
            </w:r>
          </w:p>
        </w:tc>
        <w:tc>
          <w:tcPr>
            <w:tcW w:w="1288" w:type="dxa"/>
          </w:tcPr>
          <w:p w14:paraId="36D1A727" w14:textId="77777777" w:rsidR="001738F8" w:rsidRDefault="001738F8" w:rsidP="000A35A8">
            <w:pPr>
              <w:jc w:val="center"/>
              <w:rPr>
                <w:color w:val="000000" w:themeColor="text1"/>
              </w:rPr>
            </w:pPr>
            <w:r>
              <w:rPr>
                <w:color w:val="000000" w:themeColor="text1"/>
              </w:rPr>
              <w:t>OR</w:t>
            </w:r>
          </w:p>
        </w:tc>
        <w:tc>
          <w:tcPr>
            <w:tcW w:w="1288" w:type="dxa"/>
          </w:tcPr>
          <w:p w14:paraId="2406621B" w14:textId="77777777" w:rsidR="001738F8" w:rsidRDefault="001738F8" w:rsidP="000A35A8">
            <w:pPr>
              <w:jc w:val="center"/>
              <w:rPr>
                <w:color w:val="000000" w:themeColor="text1"/>
              </w:rPr>
            </w:pPr>
            <w:r w:rsidRPr="0025501D">
              <w:rPr>
                <w:i/>
                <w:iCs/>
                <w:color w:val="000000" w:themeColor="text1"/>
              </w:rPr>
              <w:t>p</w:t>
            </w:r>
          </w:p>
        </w:tc>
        <w:tc>
          <w:tcPr>
            <w:tcW w:w="1288" w:type="dxa"/>
          </w:tcPr>
          <w:p w14:paraId="23EE5E9B" w14:textId="77777777" w:rsidR="001738F8" w:rsidRDefault="001738F8" w:rsidP="000A35A8">
            <w:pPr>
              <w:jc w:val="center"/>
              <w:rPr>
                <w:color w:val="000000" w:themeColor="text1"/>
              </w:rPr>
            </w:pPr>
            <w:r>
              <w:rPr>
                <w:color w:val="000000" w:themeColor="text1"/>
              </w:rPr>
              <w:t>OR</w:t>
            </w:r>
          </w:p>
        </w:tc>
        <w:tc>
          <w:tcPr>
            <w:tcW w:w="1288" w:type="dxa"/>
          </w:tcPr>
          <w:p w14:paraId="0AB02E03" w14:textId="77777777" w:rsidR="001738F8" w:rsidRDefault="001738F8" w:rsidP="000A35A8">
            <w:pPr>
              <w:jc w:val="center"/>
              <w:rPr>
                <w:color w:val="000000" w:themeColor="text1"/>
              </w:rPr>
            </w:pPr>
            <w:r w:rsidRPr="0025501D">
              <w:rPr>
                <w:i/>
                <w:iCs/>
                <w:color w:val="000000" w:themeColor="text1"/>
              </w:rPr>
              <w:t>p</w:t>
            </w:r>
          </w:p>
        </w:tc>
      </w:tr>
      <w:tr w:rsidR="001738F8" w14:paraId="69BBEFAD" w14:textId="77777777" w:rsidTr="000A35A8">
        <w:tc>
          <w:tcPr>
            <w:tcW w:w="1288" w:type="dxa"/>
          </w:tcPr>
          <w:p w14:paraId="2CEB406C" w14:textId="77777777" w:rsidR="001738F8" w:rsidRDefault="001738F8" w:rsidP="000A35A8">
            <w:pPr>
              <w:rPr>
                <w:color w:val="000000" w:themeColor="text1"/>
              </w:rPr>
            </w:pPr>
            <w:r>
              <w:rPr>
                <w:color w:val="000000" w:themeColor="text1"/>
              </w:rPr>
              <w:t>Love and Commitment</w:t>
            </w:r>
          </w:p>
        </w:tc>
        <w:tc>
          <w:tcPr>
            <w:tcW w:w="1288" w:type="dxa"/>
          </w:tcPr>
          <w:p w14:paraId="58134D7E" w14:textId="77777777" w:rsidR="001738F8" w:rsidRDefault="001738F8" w:rsidP="000A35A8">
            <w:pPr>
              <w:rPr>
                <w:color w:val="000000" w:themeColor="text1"/>
              </w:rPr>
            </w:pPr>
            <w:r>
              <w:rPr>
                <w:color w:val="000000" w:themeColor="text1"/>
              </w:rPr>
              <w:t>0.12</w:t>
            </w:r>
          </w:p>
        </w:tc>
        <w:tc>
          <w:tcPr>
            <w:tcW w:w="1288" w:type="dxa"/>
          </w:tcPr>
          <w:p w14:paraId="7790C7F1" w14:textId="77777777" w:rsidR="001738F8" w:rsidRPr="009E4405" w:rsidRDefault="001738F8" w:rsidP="000A35A8">
            <w:pPr>
              <w:rPr>
                <w:b/>
                <w:bCs/>
                <w:color w:val="000000" w:themeColor="text1"/>
              </w:rPr>
            </w:pPr>
            <w:r w:rsidRPr="009E4405">
              <w:rPr>
                <w:b/>
                <w:bCs/>
                <w:color w:val="000000" w:themeColor="text1"/>
              </w:rPr>
              <w:t>.043</w:t>
            </w:r>
          </w:p>
        </w:tc>
        <w:tc>
          <w:tcPr>
            <w:tcW w:w="1288" w:type="dxa"/>
          </w:tcPr>
          <w:p w14:paraId="08535B58" w14:textId="77777777" w:rsidR="001738F8" w:rsidRDefault="001738F8" w:rsidP="000A35A8">
            <w:pPr>
              <w:rPr>
                <w:color w:val="000000" w:themeColor="text1"/>
              </w:rPr>
            </w:pPr>
            <w:r>
              <w:rPr>
                <w:color w:val="000000" w:themeColor="text1"/>
              </w:rPr>
              <w:t>0.13</w:t>
            </w:r>
          </w:p>
        </w:tc>
        <w:tc>
          <w:tcPr>
            <w:tcW w:w="1288" w:type="dxa"/>
          </w:tcPr>
          <w:p w14:paraId="00E3FCF0" w14:textId="77777777" w:rsidR="001738F8" w:rsidRPr="009E4405" w:rsidRDefault="001738F8" w:rsidP="000A35A8">
            <w:pPr>
              <w:rPr>
                <w:b/>
                <w:bCs/>
                <w:color w:val="000000" w:themeColor="text1"/>
              </w:rPr>
            </w:pPr>
            <w:r w:rsidRPr="009E4405">
              <w:rPr>
                <w:b/>
                <w:bCs/>
                <w:color w:val="000000" w:themeColor="text1"/>
              </w:rPr>
              <w:t>.027</w:t>
            </w:r>
          </w:p>
        </w:tc>
        <w:tc>
          <w:tcPr>
            <w:tcW w:w="1288" w:type="dxa"/>
          </w:tcPr>
          <w:p w14:paraId="456B3EFB" w14:textId="77777777" w:rsidR="001738F8" w:rsidRDefault="001738F8" w:rsidP="000A35A8">
            <w:pPr>
              <w:rPr>
                <w:color w:val="000000" w:themeColor="text1"/>
              </w:rPr>
            </w:pPr>
            <w:r>
              <w:rPr>
                <w:color w:val="000000" w:themeColor="text1"/>
              </w:rPr>
              <w:t>0.28</w:t>
            </w:r>
          </w:p>
        </w:tc>
        <w:tc>
          <w:tcPr>
            <w:tcW w:w="1288" w:type="dxa"/>
          </w:tcPr>
          <w:p w14:paraId="3E5BFB13" w14:textId="77777777" w:rsidR="001738F8" w:rsidRPr="009E4405" w:rsidRDefault="001738F8" w:rsidP="000A35A8">
            <w:pPr>
              <w:rPr>
                <w:b/>
                <w:bCs/>
                <w:color w:val="000000" w:themeColor="text1"/>
              </w:rPr>
            </w:pPr>
            <w:r w:rsidRPr="009E4405">
              <w:rPr>
                <w:b/>
                <w:bCs/>
                <w:color w:val="000000" w:themeColor="text1"/>
              </w:rPr>
              <w:t>&lt; .001</w:t>
            </w:r>
          </w:p>
        </w:tc>
      </w:tr>
      <w:tr w:rsidR="001738F8" w14:paraId="24390EC7" w14:textId="77777777" w:rsidTr="000A35A8">
        <w:tc>
          <w:tcPr>
            <w:tcW w:w="1288" w:type="dxa"/>
          </w:tcPr>
          <w:p w14:paraId="69E6AFA3" w14:textId="77777777" w:rsidR="001738F8" w:rsidRDefault="001738F8" w:rsidP="000A35A8">
            <w:pPr>
              <w:rPr>
                <w:color w:val="000000" w:themeColor="text1"/>
              </w:rPr>
            </w:pPr>
            <w:r>
              <w:rPr>
                <w:color w:val="000000" w:themeColor="text1"/>
              </w:rPr>
              <w:t>Pleasure</w:t>
            </w:r>
          </w:p>
        </w:tc>
        <w:tc>
          <w:tcPr>
            <w:tcW w:w="1288" w:type="dxa"/>
          </w:tcPr>
          <w:p w14:paraId="51ED00B7" w14:textId="77777777" w:rsidR="001738F8" w:rsidRDefault="001738F8" w:rsidP="000A35A8">
            <w:pPr>
              <w:rPr>
                <w:color w:val="000000" w:themeColor="text1"/>
              </w:rPr>
            </w:pPr>
            <w:r>
              <w:rPr>
                <w:color w:val="000000" w:themeColor="text1"/>
              </w:rPr>
              <w:t>0.22</w:t>
            </w:r>
          </w:p>
        </w:tc>
        <w:tc>
          <w:tcPr>
            <w:tcW w:w="1288" w:type="dxa"/>
          </w:tcPr>
          <w:p w14:paraId="0C415A07" w14:textId="77777777" w:rsidR="001738F8" w:rsidRPr="009E4405" w:rsidRDefault="001738F8" w:rsidP="000A35A8">
            <w:pPr>
              <w:rPr>
                <w:b/>
                <w:bCs/>
                <w:color w:val="000000" w:themeColor="text1"/>
              </w:rPr>
            </w:pPr>
            <w:r w:rsidRPr="009E4405">
              <w:rPr>
                <w:b/>
                <w:bCs/>
                <w:color w:val="000000" w:themeColor="text1"/>
              </w:rPr>
              <w:t>&lt; .001</w:t>
            </w:r>
          </w:p>
        </w:tc>
        <w:tc>
          <w:tcPr>
            <w:tcW w:w="1288" w:type="dxa"/>
          </w:tcPr>
          <w:p w14:paraId="42278773" w14:textId="77777777" w:rsidR="001738F8" w:rsidRDefault="001738F8" w:rsidP="000A35A8">
            <w:pPr>
              <w:rPr>
                <w:color w:val="000000" w:themeColor="text1"/>
              </w:rPr>
            </w:pPr>
            <w:r>
              <w:rPr>
                <w:color w:val="000000" w:themeColor="text1"/>
              </w:rPr>
              <w:t>0.05</w:t>
            </w:r>
          </w:p>
        </w:tc>
        <w:tc>
          <w:tcPr>
            <w:tcW w:w="1288" w:type="dxa"/>
          </w:tcPr>
          <w:p w14:paraId="01841681" w14:textId="77777777" w:rsidR="001738F8" w:rsidRDefault="001738F8" w:rsidP="000A35A8">
            <w:pPr>
              <w:rPr>
                <w:color w:val="000000" w:themeColor="text1"/>
              </w:rPr>
            </w:pPr>
            <w:r>
              <w:rPr>
                <w:color w:val="000000" w:themeColor="text1"/>
              </w:rPr>
              <w:t>.42</w:t>
            </w:r>
          </w:p>
        </w:tc>
        <w:tc>
          <w:tcPr>
            <w:tcW w:w="1288" w:type="dxa"/>
          </w:tcPr>
          <w:p w14:paraId="43601088" w14:textId="77777777" w:rsidR="001738F8" w:rsidRDefault="001738F8" w:rsidP="000A35A8">
            <w:pPr>
              <w:rPr>
                <w:color w:val="000000" w:themeColor="text1"/>
              </w:rPr>
            </w:pPr>
            <w:r>
              <w:rPr>
                <w:color w:val="000000" w:themeColor="text1"/>
              </w:rPr>
              <w:t>.029</w:t>
            </w:r>
          </w:p>
        </w:tc>
        <w:tc>
          <w:tcPr>
            <w:tcW w:w="1288" w:type="dxa"/>
          </w:tcPr>
          <w:p w14:paraId="5766F7B0" w14:textId="77777777" w:rsidR="001738F8" w:rsidRPr="009E4405" w:rsidRDefault="001738F8" w:rsidP="000A35A8">
            <w:pPr>
              <w:rPr>
                <w:b/>
                <w:bCs/>
                <w:color w:val="000000" w:themeColor="text1"/>
              </w:rPr>
            </w:pPr>
            <w:r w:rsidRPr="009E4405">
              <w:rPr>
                <w:b/>
                <w:bCs/>
                <w:color w:val="000000" w:themeColor="text1"/>
              </w:rPr>
              <w:t>&lt; .001</w:t>
            </w:r>
          </w:p>
        </w:tc>
      </w:tr>
      <w:tr w:rsidR="001738F8" w14:paraId="7C7F196B" w14:textId="77777777" w:rsidTr="000A35A8">
        <w:tc>
          <w:tcPr>
            <w:tcW w:w="1288" w:type="dxa"/>
          </w:tcPr>
          <w:p w14:paraId="3BF8BB17" w14:textId="77777777" w:rsidR="001738F8" w:rsidRDefault="001738F8" w:rsidP="000A35A8">
            <w:pPr>
              <w:rPr>
                <w:color w:val="000000" w:themeColor="text1"/>
              </w:rPr>
            </w:pPr>
            <w:r>
              <w:rPr>
                <w:color w:val="000000" w:themeColor="text1"/>
              </w:rPr>
              <w:t>Reproduction</w:t>
            </w:r>
          </w:p>
        </w:tc>
        <w:tc>
          <w:tcPr>
            <w:tcW w:w="1288" w:type="dxa"/>
          </w:tcPr>
          <w:p w14:paraId="502E302E" w14:textId="77777777" w:rsidR="001738F8" w:rsidRDefault="001738F8" w:rsidP="000A35A8">
            <w:pPr>
              <w:rPr>
                <w:color w:val="000000" w:themeColor="text1"/>
              </w:rPr>
            </w:pPr>
            <w:r>
              <w:rPr>
                <w:color w:val="000000" w:themeColor="text1"/>
              </w:rPr>
              <w:t>-0.08</w:t>
            </w:r>
          </w:p>
        </w:tc>
        <w:tc>
          <w:tcPr>
            <w:tcW w:w="1288" w:type="dxa"/>
          </w:tcPr>
          <w:p w14:paraId="16FB31DA" w14:textId="77777777" w:rsidR="001738F8" w:rsidRDefault="001738F8" w:rsidP="000A35A8">
            <w:pPr>
              <w:rPr>
                <w:color w:val="000000" w:themeColor="text1"/>
              </w:rPr>
            </w:pPr>
            <w:r w:rsidRPr="00BD57E5">
              <w:rPr>
                <w:color w:val="000000" w:themeColor="text1"/>
              </w:rPr>
              <w:t>.207</w:t>
            </w:r>
          </w:p>
        </w:tc>
        <w:tc>
          <w:tcPr>
            <w:tcW w:w="1288" w:type="dxa"/>
          </w:tcPr>
          <w:p w14:paraId="3DB42334" w14:textId="77777777" w:rsidR="001738F8" w:rsidRDefault="001738F8" w:rsidP="000A35A8">
            <w:pPr>
              <w:rPr>
                <w:color w:val="000000" w:themeColor="text1"/>
              </w:rPr>
            </w:pPr>
            <w:r>
              <w:rPr>
                <w:color w:val="000000" w:themeColor="text1"/>
              </w:rPr>
              <w:t>0.09</w:t>
            </w:r>
          </w:p>
        </w:tc>
        <w:tc>
          <w:tcPr>
            <w:tcW w:w="1288" w:type="dxa"/>
          </w:tcPr>
          <w:p w14:paraId="42B765C5" w14:textId="77777777" w:rsidR="001738F8" w:rsidRDefault="001738F8" w:rsidP="000A35A8">
            <w:pPr>
              <w:rPr>
                <w:color w:val="000000" w:themeColor="text1"/>
              </w:rPr>
            </w:pPr>
            <w:r w:rsidRPr="00BD57E5">
              <w:rPr>
                <w:color w:val="000000" w:themeColor="text1"/>
              </w:rPr>
              <w:t>.145</w:t>
            </w:r>
          </w:p>
        </w:tc>
        <w:tc>
          <w:tcPr>
            <w:tcW w:w="1288" w:type="dxa"/>
          </w:tcPr>
          <w:p w14:paraId="10C81547" w14:textId="77777777" w:rsidR="001738F8" w:rsidRDefault="001738F8" w:rsidP="000A35A8">
            <w:pPr>
              <w:rPr>
                <w:color w:val="000000" w:themeColor="text1"/>
              </w:rPr>
            </w:pPr>
            <w:r>
              <w:rPr>
                <w:color w:val="000000" w:themeColor="text1"/>
              </w:rPr>
              <w:t>-0.10</w:t>
            </w:r>
          </w:p>
        </w:tc>
        <w:tc>
          <w:tcPr>
            <w:tcW w:w="1288" w:type="dxa"/>
          </w:tcPr>
          <w:p w14:paraId="66E50F0B" w14:textId="77777777" w:rsidR="001738F8" w:rsidRDefault="001738F8" w:rsidP="000A35A8">
            <w:pPr>
              <w:rPr>
                <w:color w:val="000000" w:themeColor="text1"/>
              </w:rPr>
            </w:pPr>
            <w:r>
              <w:rPr>
                <w:color w:val="000000" w:themeColor="text1"/>
              </w:rPr>
              <w:t>0.98</w:t>
            </w:r>
          </w:p>
        </w:tc>
      </w:tr>
    </w:tbl>
    <w:p w14:paraId="68FB34A7" w14:textId="77777777" w:rsidR="009B7606" w:rsidRDefault="009B7606" w:rsidP="001738F8">
      <w:pPr>
        <w:ind w:firstLine="420"/>
        <w:rPr>
          <w:color w:val="000000" w:themeColor="text1"/>
        </w:rPr>
      </w:pPr>
    </w:p>
    <w:p w14:paraId="0EA65D57" w14:textId="6BC468F3" w:rsidR="004C5DC0" w:rsidRDefault="004C5DC0" w:rsidP="001738F8">
      <w:pPr>
        <w:ind w:firstLine="420"/>
        <w:rPr>
          <w:color w:val="000000" w:themeColor="text1"/>
        </w:rPr>
      </w:pPr>
      <w:r w:rsidRPr="00BD57E5">
        <w:rPr>
          <w:color w:val="000000" w:themeColor="text1"/>
        </w:rPr>
        <w:t xml:space="preserve">Table 4 shows the results of </w:t>
      </w:r>
      <w:r w:rsidR="00B10C6C">
        <w:rPr>
          <w:color w:val="000000" w:themeColor="text1"/>
        </w:rPr>
        <w:t xml:space="preserve">three </w:t>
      </w:r>
      <w:r w:rsidRPr="00BD57E5">
        <w:rPr>
          <w:color w:val="000000" w:themeColor="text1"/>
        </w:rPr>
        <w:t xml:space="preserve">multiple linear regressions. Greater pleasure motivation scores </w:t>
      </w:r>
      <w:r w:rsidRPr="00B10C6C">
        <w:rPr>
          <w:color w:val="000000" w:themeColor="text1"/>
        </w:rPr>
        <w:t>(</w:t>
      </w:r>
      <w:r w:rsidR="00B10C6C" w:rsidRPr="00B10C6C">
        <w:rPr>
          <w:color w:val="000000" w:themeColor="text1"/>
        </w:rPr>
        <w:t>aOR</w:t>
      </w:r>
      <w:r w:rsidRPr="00B10C6C">
        <w:rPr>
          <w:color w:val="000000" w:themeColor="text1"/>
        </w:rPr>
        <w:t xml:space="preserve"> = 0.20, </w:t>
      </w:r>
      <w:r w:rsidR="00B10C6C" w:rsidRPr="00B10C6C">
        <w:rPr>
          <w:color w:val="000000" w:themeColor="text1"/>
        </w:rPr>
        <w:t>95% confidence interval (CI): .15-.65</w:t>
      </w:r>
      <w:r w:rsidRPr="00B10C6C">
        <w:rPr>
          <w:color w:val="000000" w:themeColor="text1"/>
        </w:rPr>
        <w:t xml:space="preserve">, </w:t>
      </w:r>
      <w:r w:rsidRPr="00B10C6C">
        <w:rPr>
          <w:i/>
          <w:iCs/>
          <w:color w:val="000000" w:themeColor="text1"/>
        </w:rPr>
        <w:t>p</w:t>
      </w:r>
      <w:r w:rsidRPr="00B10C6C">
        <w:rPr>
          <w:color w:val="000000" w:themeColor="text1"/>
        </w:rPr>
        <w:t xml:space="preserve"> = .002)</w:t>
      </w:r>
      <w:r w:rsidRPr="00BD57E5">
        <w:rPr>
          <w:color w:val="000000" w:themeColor="text1"/>
        </w:rPr>
        <w:t xml:space="preserve"> were independently associated with better physical health QoL, </w:t>
      </w:r>
      <w:r w:rsidRPr="00BD57E5">
        <w:rPr>
          <w:i/>
          <w:iCs/>
          <w:color w:val="000000" w:themeColor="text1"/>
        </w:rPr>
        <w:t>F</w:t>
      </w:r>
      <w:r w:rsidRPr="00BD57E5">
        <w:rPr>
          <w:color w:val="000000" w:themeColor="text1"/>
        </w:rPr>
        <w:t xml:space="preserve">(2, 273) = 7.08, </w:t>
      </w:r>
      <w:r w:rsidRPr="00BD57E5">
        <w:rPr>
          <w:i/>
          <w:iCs/>
          <w:color w:val="000000" w:themeColor="text1"/>
        </w:rPr>
        <w:t>p</w:t>
      </w:r>
      <w:r w:rsidRPr="00BD57E5">
        <w:rPr>
          <w:color w:val="000000" w:themeColor="text1"/>
        </w:rPr>
        <w:t xml:space="preserve"> = .001, </w:t>
      </w:r>
      <w:r w:rsidRPr="00BD57E5">
        <w:rPr>
          <w:i/>
          <w:iCs/>
          <w:color w:val="000000" w:themeColor="text1"/>
        </w:rPr>
        <w:t>R</w:t>
      </w:r>
      <w:r w:rsidRPr="00BD57E5">
        <w:rPr>
          <w:color w:val="000000" w:themeColor="text1"/>
          <w:vertAlign w:val="superscript"/>
        </w:rPr>
        <w:t xml:space="preserve">2 </w:t>
      </w:r>
      <w:r w:rsidRPr="00BD57E5">
        <w:rPr>
          <w:color w:val="000000" w:themeColor="text1"/>
        </w:rPr>
        <w:t xml:space="preserve">= .05, </w:t>
      </w:r>
      <w:r w:rsidRPr="00BD57E5">
        <w:rPr>
          <w:i/>
          <w:iCs/>
          <w:color w:val="000000" w:themeColor="text1"/>
        </w:rPr>
        <w:t>R</w:t>
      </w:r>
      <w:r w:rsidRPr="00BD57E5">
        <w:rPr>
          <w:color w:val="000000" w:themeColor="text1"/>
          <w:vertAlign w:val="superscript"/>
        </w:rPr>
        <w:t>2</w:t>
      </w:r>
      <w:r w:rsidRPr="00BD57E5">
        <w:rPr>
          <w:color w:val="000000" w:themeColor="text1"/>
          <w:vertAlign w:val="subscript"/>
        </w:rPr>
        <w:t xml:space="preserve">adjusted </w:t>
      </w:r>
      <w:r w:rsidRPr="00BD57E5">
        <w:rPr>
          <w:color w:val="000000" w:themeColor="text1"/>
        </w:rPr>
        <w:t>= .04. Higher love and commitment motivation scores (</w:t>
      </w:r>
      <w:r w:rsidR="00B10C6C">
        <w:rPr>
          <w:color w:val="000000" w:themeColor="text1"/>
        </w:rPr>
        <w:t>aOR</w:t>
      </w:r>
      <w:r w:rsidRPr="00BD57E5">
        <w:rPr>
          <w:color w:val="000000" w:themeColor="text1"/>
        </w:rPr>
        <w:t xml:space="preserve"> = 0.13, </w:t>
      </w:r>
      <w:r w:rsidR="00B10C6C" w:rsidRPr="00B10C6C">
        <w:rPr>
          <w:color w:val="000000" w:themeColor="text1"/>
        </w:rPr>
        <w:t>95%C</w:t>
      </w:r>
      <w:r w:rsidR="00B10C6C">
        <w:rPr>
          <w:color w:val="000000" w:themeColor="text1"/>
        </w:rPr>
        <w:t>I</w:t>
      </w:r>
      <w:r w:rsidR="00B10C6C" w:rsidRPr="00B10C6C">
        <w:rPr>
          <w:color w:val="000000" w:themeColor="text1"/>
        </w:rPr>
        <w:t>:</w:t>
      </w:r>
      <w:r w:rsidR="00B10C6C">
        <w:rPr>
          <w:color w:val="000000" w:themeColor="text1"/>
        </w:rPr>
        <w:t xml:space="preserve">.01-.43, </w:t>
      </w:r>
      <w:r w:rsidRPr="00BD57E5">
        <w:rPr>
          <w:i/>
          <w:iCs/>
          <w:color w:val="000000" w:themeColor="text1"/>
        </w:rPr>
        <w:t>p</w:t>
      </w:r>
      <w:r w:rsidRPr="00BD57E5">
        <w:rPr>
          <w:color w:val="000000" w:themeColor="text1"/>
        </w:rPr>
        <w:t xml:space="preserve"> = .038) were independently associated with increased psychological health QoL</w:t>
      </w:r>
      <w:r w:rsidRPr="00BD57E5">
        <w:rPr>
          <w:i/>
          <w:iCs/>
          <w:color w:val="000000" w:themeColor="text1"/>
        </w:rPr>
        <w:t>, F</w:t>
      </w:r>
      <w:r w:rsidRPr="00BD57E5">
        <w:rPr>
          <w:color w:val="000000" w:themeColor="text1"/>
        </w:rPr>
        <w:t xml:space="preserve">(2, 273) = 3.26, </w:t>
      </w:r>
      <w:r w:rsidRPr="00BD57E5">
        <w:rPr>
          <w:i/>
          <w:iCs/>
          <w:color w:val="000000" w:themeColor="text1"/>
        </w:rPr>
        <w:t>p</w:t>
      </w:r>
      <w:r w:rsidRPr="00BD57E5">
        <w:rPr>
          <w:color w:val="000000" w:themeColor="text1"/>
        </w:rPr>
        <w:t xml:space="preserve"> = .04, </w:t>
      </w:r>
      <w:r w:rsidRPr="00BD57E5">
        <w:rPr>
          <w:i/>
          <w:iCs/>
          <w:color w:val="000000" w:themeColor="text1"/>
        </w:rPr>
        <w:t>R</w:t>
      </w:r>
      <w:r w:rsidRPr="00BD57E5">
        <w:rPr>
          <w:color w:val="000000" w:themeColor="text1"/>
          <w:vertAlign w:val="superscript"/>
        </w:rPr>
        <w:t xml:space="preserve">2 </w:t>
      </w:r>
      <w:r w:rsidRPr="00BD57E5">
        <w:rPr>
          <w:color w:val="000000" w:themeColor="text1"/>
        </w:rPr>
        <w:t xml:space="preserve">= .02, </w:t>
      </w:r>
      <w:r w:rsidRPr="00BD57E5">
        <w:rPr>
          <w:i/>
          <w:iCs/>
          <w:color w:val="000000" w:themeColor="text1"/>
        </w:rPr>
        <w:t>R</w:t>
      </w:r>
      <w:r w:rsidRPr="00BD57E5">
        <w:rPr>
          <w:color w:val="000000" w:themeColor="text1"/>
          <w:vertAlign w:val="superscript"/>
        </w:rPr>
        <w:t>2</w:t>
      </w:r>
      <w:r w:rsidRPr="00BD57E5">
        <w:rPr>
          <w:color w:val="000000" w:themeColor="text1"/>
          <w:vertAlign w:val="subscript"/>
        </w:rPr>
        <w:t xml:space="preserve">adjusted </w:t>
      </w:r>
      <w:r w:rsidRPr="00BD57E5">
        <w:rPr>
          <w:color w:val="000000" w:themeColor="text1"/>
        </w:rPr>
        <w:t>= .02. Finally, higher love and commitment motivation (</w:t>
      </w:r>
      <w:r w:rsidR="00106AB5">
        <w:rPr>
          <w:color w:val="000000" w:themeColor="text1"/>
        </w:rPr>
        <w:t>aOR</w:t>
      </w:r>
      <w:r w:rsidRPr="00BD57E5">
        <w:rPr>
          <w:color w:val="000000" w:themeColor="text1"/>
        </w:rPr>
        <w:t xml:space="preserve"> = 0.21,</w:t>
      </w:r>
      <w:r w:rsidR="00106AB5" w:rsidRPr="00106AB5">
        <w:rPr>
          <w:color w:val="000000" w:themeColor="text1"/>
        </w:rPr>
        <w:t xml:space="preserve"> </w:t>
      </w:r>
      <w:r w:rsidR="00106AB5" w:rsidRPr="00B10C6C">
        <w:rPr>
          <w:color w:val="000000" w:themeColor="text1"/>
        </w:rPr>
        <w:t>95%C</w:t>
      </w:r>
      <w:r w:rsidR="00106AB5">
        <w:rPr>
          <w:color w:val="000000" w:themeColor="text1"/>
        </w:rPr>
        <w:t>I</w:t>
      </w:r>
      <w:r w:rsidR="00106AB5" w:rsidRPr="00B10C6C">
        <w:rPr>
          <w:color w:val="000000" w:themeColor="text1"/>
        </w:rPr>
        <w:t>:</w:t>
      </w:r>
      <w:r w:rsidR="00106AB5">
        <w:rPr>
          <w:color w:val="000000" w:themeColor="text1"/>
        </w:rPr>
        <w:t>.09-.35</w:t>
      </w:r>
      <w:r w:rsidRPr="00BD57E5">
        <w:rPr>
          <w:color w:val="000000" w:themeColor="text1"/>
        </w:rPr>
        <w:t xml:space="preserve">, </w:t>
      </w:r>
      <w:r w:rsidRPr="00BD57E5">
        <w:rPr>
          <w:i/>
          <w:iCs/>
          <w:color w:val="000000" w:themeColor="text1"/>
        </w:rPr>
        <w:t>p</w:t>
      </w:r>
      <w:r w:rsidRPr="00BD57E5">
        <w:rPr>
          <w:color w:val="000000" w:themeColor="text1"/>
        </w:rPr>
        <w:t xml:space="preserve"> &lt; .001) and higher pleasure motivation (</w:t>
      </w:r>
      <w:r w:rsidR="00106AB5">
        <w:rPr>
          <w:color w:val="000000" w:themeColor="text1"/>
        </w:rPr>
        <w:t>aOR</w:t>
      </w:r>
      <w:r w:rsidRPr="00BD57E5">
        <w:rPr>
          <w:color w:val="000000" w:themeColor="text1"/>
        </w:rPr>
        <w:t xml:space="preserve"> = 0.20, </w:t>
      </w:r>
      <w:r w:rsidR="00106AB5" w:rsidRPr="00B10C6C">
        <w:rPr>
          <w:color w:val="000000" w:themeColor="text1"/>
        </w:rPr>
        <w:lastRenderedPageBreak/>
        <w:t>95%C</w:t>
      </w:r>
      <w:r w:rsidR="00106AB5">
        <w:rPr>
          <w:color w:val="000000" w:themeColor="text1"/>
        </w:rPr>
        <w:t>I</w:t>
      </w:r>
      <w:r w:rsidR="00106AB5" w:rsidRPr="00B10C6C">
        <w:rPr>
          <w:color w:val="000000" w:themeColor="text1"/>
        </w:rPr>
        <w:t>:</w:t>
      </w:r>
      <w:r w:rsidR="00106AB5">
        <w:rPr>
          <w:color w:val="000000" w:themeColor="text1"/>
        </w:rPr>
        <w:t>.08-.36,</w:t>
      </w:r>
      <w:r w:rsidRPr="00BD57E5">
        <w:rPr>
          <w:color w:val="000000" w:themeColor="text1"/>
        </w:rPr>
        <w:t xml:space="preserve"> </w:t>
      </w:r>
      <w:r w:rsidRPr="00BD57E5">
        <w:rPr>
          <w:i/>
          <w:iCs/>
          <w:color w:val="000000" w:themeColor="text1"/>
        </w:rPr>
        <w:t>p</w:t>
      </w:r>
      <w:r w:rsidRPr="00BD57E5">
        <w:rPr>
          <w:color w:val="000000" w:themeColor="text1"/>
        </w:rPr>
        <w:t xml:space="preserve"> = .002) scores were each positively associated with social support QoL,</w:t>
      </w:r>
      <w:r w:rsidRPr="00BD57E5">
        <w:rPr>
          <w:i/>
          <w:iCs/>
          <w:color w:val="000000" w:themeColor="text1"/>
        </w:rPr>
        <w:t xml:space="preserve"> F</w:t>
      </w:r>
      <w:r w:rsidRPr="00BD57E5">
        <w:rPr>
          <w:color w:val="000000" w:themeColor="text1"/>
        </w:rPr>
        <w:t xml:space="preserve">(3, 272) = 13.14, </w:t>
      </w:r>
      <w:r w:rsidRPr="00BD57E5">
        <w:rPr>
          <w:i/>
          <w:iCs/>
          <w:color w:val="000000" w:themeColor="text1"/>
        </w:rPr>
        <w:t>p</w:t>
      </w:r>
      <w:r w:rsidRPr="00BD57E5">
        <w:rPr>
          <w:color w:val="000000" w:themeColor="text1"/>
        </w:rPr>
        <w:t xml:space="preserve"> &lt; .001, </w:t>
      </w:r>
      <w:r w:rsidRPr="00BD57E5">
        <w:rPr>
          <w:i/>
          <w:iCs/>
          <w:color w:val="000000" w:themeColor="text1"/>
        </w:rPr>
        <w:t>R</w:t>
      </w:r>
      <w:r w:rsidRPr="00BD57E5">
        <w:rPr>
          <w:color w:val="000000" w:themeColor="text1"/>
          <w:vertAlign w:val="superscript"/>
        </w:rPr>
        <w:t xml:space="preserve">2 </w:t>
      </w:r>
      <w:r w:rsidRPr="00BD57E5">
        <w:rPr>
          <w:color w:val="000000" w:themeColor="text1"/>
        </w:rPr>
        <w:t xml:space="preserve">= .13, </w:t>
      </w:r>
      <w:r w:rsidRPr="00BD57E5">
        <w:rPr>
          <w:i/>
          <w:iCs/>
          <w:color w:val="000000" w:themeColor="text1"/>
        </w:rPr>
        <w:t>R</w:t>
      </w:r>
      <w:r w:rsidRPr="00BD57E5">
        <w:rPr>
          <w:color w:val="000000" w:themeColor="text1"/>
          <w:vertAlign w:val="superscript"/>
        </w:rPr>
        <w:t>2</w:t>
      </w:r>
      <w:r w:rsidRPr="00BD57E5">
        <w:rPr>
          <w:color w:val="000000" w:themeColor="text1"/>
          <w:vertAlign w:val="subscript"/>
        </w:rPr>
        <w:t xml:space="preserve">adjusted </w:t>
      </w:r>
      <w:r w:rsidRPr="00BD57E5">
        <w:rPr>
          <w:color w:val="000000" w:themeColor="text1"/>
        </w:rPr>
        <w:t xml:space="preserve">= .12. </w:t>
      </w:r>
    </w:p>
    <w:p w14:paraId="3DD8A26C" w14:textId="77777777" w:rsidR="001738F8" w:rsidRDefault="001738F8" w:rsidP="001738F8">
      <w:pPr>
        <w:ind w:firstLine="420"/>
        <w:rPr>
          <w:color w:val="000000" w:themeColor="text1"/>
        </w:rPr>
      </w:pPr>
    </w:p>
    <w:p w14:paraId="2D9B9855" w14:textId="77777777" w:rsidR="001738F8" w:rsidRDefault="001738F8" w:rsidP="001738F8">
      <w:pPr>
        <w:ind w:firstLine="420"/>
        <w:rPr>
          <w:color w:val="000000" w:themeColor="text1"/>
        </w:rPr>
      </w:pPr>
    </w:p>
    <w:p w14:paraId="4DA41703" w14:textId="77777777" w:rsidR="001738F8" w:rsidRDefault="001738F8" w:rsidP="001738F8">
      <w:pPr>
        <w:ind w:firstLine="420"/>
        <w:rPr>
          <w:color w:val="000000" w:themeColor="text1"/>
        </w:rPr>
      </w:pPr>
    </w:p>
    <w:p w14:paraId="02B944E4" w14:textId="21597DE2" w:rsidR="001738F8" w:rsidRPr="004E72EE" w:rsidRDefault="001738F8" w:rsidP="001738F8">
      <w:pPr>
        <w:rPr>
          <w:b/>
          <w:bCs/>
          <w:color w:val="000000" w:themeColor="text1"/>
        </w:rPr>
      </w:pPr>
      <w:bookmarkStart w:id="13" w:name="hypothesis2"/>
      <w:r w:rsidRPr="004E72EE">
        <w:rPr>
          <w:b/>
          <w:bCs/>
        </w:rPr>
        <w:t xml:space="preserve">Table 4. </w:t>
      </w:r>
      <w:r w:rsidRPr="004E72EE">
        <w:rPr>
          <w:b/>
          <w:bCs/>
          <w:color w:val="000000" w:themeColor="text1"/>
        </w:rPr>
        <w:t xml:space="preserve">Multiple Linear </w:t>
      </w:r>
      <w:r w:rsidR="006F5B23" w:rsidRPr="004E72EE">
        <w:rPr>
          <w:b/>
          <w:bCs/>
          <w:color w:val="000000" w:themeColor="text1"/>
        </w:rPr>
        <w:t>Regression</w:t>
      </w:r>
      <w:r w:rsidR="002D0D8E" w:rsidRPr="004E72EE">
        <w:rPr>
          <w:b/>
          <w:bCs/>
          <w:color w:val="000000" w:themeColor="text1"/>
        </w:rPr>
        <w:t>s</w:t>
      </w:r>
      <w:r w:rsidR="006F5B23" w:rsidRPr="004E72EE">
        <w:rPr>
          <w:b/>
          <w:bCs/>
          <w:color w:val="000000" w:themeColor="text1"/>
        </w:rPr>
        <w:t xml:space="preserve"> </w:t>
      </w:r>
      <w:r w:rsidRPr="004E72EE">
        <w:rPr>
          <w:b/>
          <w:bCs/>
          <w:color w:val="000000" w:themeColor="text1"/>
        </w:rPr>
        <w:t>Between Independent and Dependent Variables.</w:t>
      </w:r>
    </w:p>
    <w:tbl>
      <w:tblPr>
        <w:tblStyle w:val="TableGrid"/>
        <w:tblW w:w="0" w:type="auto"/>
        <w:tblLook w:val="04A0" w:firstRow="1" w:lastRow="0" w:firstColumn="1" w:lastColumn="0" w:noHBand="0" w:noVBand="1"/>
      </w:tblPr>
      <w:tblGrid>
        <w:gridCol w:w="1305"/>
        <w:gridCol w:w="903"/>
        <w:gridCol w:w="865"/>
        <w:gridCol w:w="780"/>
        <w:gridCol w:w="897"/>
        <w:gridCol w:w="955"/>
        <w:gridCol w:w="783"/>
        <w:gridCol w:w="868"/>
        <w:gridCol w:w="990"/>
        <w:gridCol w:w="680"/>
      </w:tblGrid>
      <w:tr w:rsidR="001738F8" w14:paraId="5A96CD95" w14:textId="77777777" w:rsidTr="000A35A8">
        <w:tc>
          <w:tcPr>
            <w:tcW w:w="1305" w:type="dxa"/>
            <w:tcBorders>
              <w:left w:val="nil"/>
              <w:right w:val="nil"/>
            </w:tcBorders>
          </w:tcPr>
          <w:p w14:paraId="3151096A" w14:textId="77777777" w:rsidR="001738F8" w:rsidRDefault="001738F8" w:rsidP="000A35A8">
            <w:pPr>
              <w:rPr>
                <w:color w:val="000000" w:themeColor="text1"/>
              </w:rPr>
            </w:pPr>
          </w:p>
        </w:tc>
        <w:tc>
          <w:tcPr>
            <w:tcW w:w="2553" w:type="dxa"/>
            <w:gridSpan w:val="3"/>
            <w:tcBorders>
              <w:left w:val="nil"/>
              <w:right w:val="nil"/>
            </w:tcBorders>
          </w:tcPr>
          <w:p w14:paraId="0CE2EADF" w14:textId="77777777" w:rsidR="001738F8" w:rsidRPr="0048752B" w:rsidRDefault="001738F8" w:rsidP="000A35A8">
            <w:pPr>
              <w:jc w:val="center"/>
              <w:rPr>
                <w:color w:val="000000" w:themeColor="text1"/>
                <w:sz w:val="20"/>
                <w:szCs w:val="20"/>
              </w:rPr>
            </w:pPr>
            <w:r w:rsidRPr="0048752B">
              <w:rPr>
                <w:color w:val="000000" w:themeColor="text1"/>
                <w:sz w:val="20"/>
                <w:szCs w:val="20"/>
              </w:rPr>
              <w:t>Physical Health QoL</w:t>
            </w:r>
          </w:p>
        </w:tc>
        <w:tc>
          <w:tcPr>
            <w:tcW w:w="2640" w:type="dxa"/>
            <w:gridSpan w:val="3"/>
            <w:tcBorders>
              <w:left w:val="nil"/>
              <w:right w:val="nil"/>
            </w:tcBorders>
          </w:tcPr>
          <w:p w14:paraId="78592BCC" w14:textId="77777777" w:rsidR="001738F8" w:rsidRPr="0048752B" w:rsidRDefault="001738F8" w:rsidP="000A35A8">
            <w:pPr>
              <w:jc w:val="center"/>
              <w:rPr>
                <w:color w:val="000000" w:themeColor="text1"/>
                <w:sz w:val="20"/>
                <w:szCs w:val="20"/>
              </w:rPr>
            </w:pPr>
            <w:r w:rsidRPr="0048752B">
              <w:rPr>
                <w:color w:val="000000" w:themeColor="text1"/>
                <w:sz w:val="20"/>
                <w:szCs w:val="20"/>
              </w:rPr>
              <w:t>Psychological Health QoL</w:t>
            </w:r>
          </w:p>
        </w:tc>
        <w:tc>
          <w:tcPr>
            <w:tcW w:w="2518" w:type="dxa"/>
            <w:gridSpan w:val="3"/>
            <w:tcBorders>
              <w:left w:val="nil"/>
              <w:right w:val="nil"/>
            </w:tcBorders>
          </w:tcPr>
          <w:p w14:paraId="0FF2398F" w14:textId="77777777" w:rsidR="001738F8" w:rsidRPr="0048752B" w:rsidRDefault="001738F8" w:rsidP="000A35A8">
            <w:pPr>
              <w:jc w:val="center"/>
              <w:rPr>
                <w:color w:val="000000" w:themeColor="text1"/>
                <w:sz w:val="20"/>
                <w:szCs w:val="20"/>
              </w:rPr>
            </w:pPr>
            <w:r w:rsidRPr="0048752B">
              <w:rPr>
                <w:color w:val="000000" w:themeColor="text1"/>
                <w:sz w:val="20"/>
                <w:szCs w:val="20"/>
              </w:rPr>
              <w:t>Social Support QoL</w:t>
            </w:r>
          </w:p>
        </w:tc>
      </w:tr>
      <w:tr w:rsidR="001738F8" w14:paraId="13741CAC" w14:textId="77777777" w:rsidTr="000A35A8">
        <w:tc>
          <w:tcPr>
            <w:tcW w:w="1305" w:type="dxa"/>
            <w:tcBorders>
              <w:left w:val="nil"/>
              <w:right w:val="nil"/>
            </w:tcBorders>
          </w:tcPr>
          <w:p w14:paraId="6659B487" w14:textId="77777777" w:rsidR="001738F8" w:rsidRPr="0048752B" w:rsidRDefault="001738F8" w:rsidP="000A35A8">
            <w:pPr>
              <w:rPr>
                <w:color w:val="000000" w:themeColor="text1"/>
                <w:sz w:val="20"/>
                <w:szCs w:val="20"/>
              </w:rPr>
            </w:pPr>
          </w:p>
        </w:tc>
        <w:tc>
          <w:tcPr>
            <w:tcW w:w="905" w:type="dxa"/>
            <w:tcBorders>
              <w:left w:val="nil"/>
              <w:right w:val="nil"/>
            </w:tcBorders>
          </w:tcPr>
          <w:p w14:paraId="1A6F925C" w14:textId="77777777" w:rsidR="001738F8" w:rsidRPr="0048752B" w:rsidRDefault="001738F8" w:rsidP="000A35A8">
            <w:pPr>
              <w:jc w:val="center"/>
              <w:rPr>
                <w:color w:val="000000" w:themeColor="text1"/>
                <w:sz w:val="20"/>
                <w:szCs w:val="20"/>
              </w:rPr>
            </w:pPr>
            <w:r w:rsidRPr="0048752B">
              <w:rPr>
                <w:color w:val="000000" w:themeColor="text1"/>
                <w:sz w:val="20"/>
                <w:szCs w:val="20"/>
              </w:rPr>
              <w:t>aOR</w:t>
            </w:r>
          </w:p>
        </w:tc>
        <w:tc>
          <w:tcPr>
            <w:tcW w:w="866" w:type="dxa"/>
            <w:tcBorders>
              <w:left w:val="nil"/>
              <w:right w:val="nil"/>
            </w:tcBorders>
          </w:tcPr>
          <w:p w14:paraId="454E9BCD" w14:textId="77777777" w:rsidR="001738F8" w:rsidRPr="0048752B" w:rsidRDefault="001738F8" w:rsidP="000A35A8">
            <w:pPr>
              <w:jc w:val="center"/>
              <w:rPr>
                <w:iCs/>
                <w:color w:val="000000" w:themeColor="text1"/>
                <w:sz w:val="20"/>
                <w:szCs w:val="20"/>
              </w:rPr>
            </w:pPr>
            <w:r w:rsidRPr="0048752B">
              <w:rPr>
                <w:color w:val="000000" w:themeColor="text1"/>
                <w:sz w:val="20"/>
                <w:szCs w:val="20"/>
              </w:rPr>
              <w:t>95%</w:t>
            </w:r>
            <w:r w:rsidRPr="0048752B">
              <w:rPr>
                <w:iCs/>
                <w:color w:val="000000" w:themeColor="text1"/>
                <w:sz w:val="20"/>
                <w:szCs w:val="20"/>
              </w:rPr>
              <w:t>CI</w:t>
            </w:r>
          </w:p>
        </w:tc>
        <w:tc>
          <w:tcPr>
            <w:tcW w:w="782" w:type="dxa"/>
            <w:tcBorders>
              <w:left w:val="nil"/>
              <w:right w:val="nil"/>
            </w:tcBorders>
          </w:tcPr>
          <w:p w14:paraId="73BBF324" w14:textId="77777777" w:rsidR="001738F8" w:rsidRPr="0048752B" w:rsidRDefault="001738F8" w:rsidP="000A35A8">
            <w:pPr>
              <w:jc w:val="center"/>
              <w:rPr>
                <w:i/>
                <w:iCs/>
                <w:color w:val="000000" w:themeColor="text1"/>
                <w:sz w:val="20"/>
                <w:szCs w:val="20"/>
              </w:rPr>
            </w:pPr>
            <w:r w:rsidRPr="0048752B">
              <w:rPr>
                <w:i/>
                <w:iCs/>
                <w:color w:val="000000" w:themeColor="text1"/>
                <w:sz w:val="20"/>
                <w:szCs w:val="20"/>
              </w:rPr>
              <w:t>p</w:t>
            </w:r>
          </w:p>
        </w:tc>
        <w:tc>
          <w:tcPr>
            <w:tcW w:w="899" w:type="dxa"/>
            <w:tcBorders>
              <w:left w:val="nil"/>
              <w:right w:val="nil"/>
            </w:tcBorders>
          </w:tcPr>
          <w:p w14:paraId="0C6BACF5" w14:textId="77777777" w:rsidR="001738F8" w:rsidRPr="0048752B" w:rsidRDefault="001738F8" w:rsidP="000A35A8">
            <w:pPr>
              <w:jc w:val="center"/>
              <w:rPr>
                <w:color w:val="000000" w:themeColor="text1"/>
                <w:sz w:val="20"/>
                <w:szCs w:val="20"/>
              </w:rPr>
            </w:pPr>
            <w:r w:rsidRPr="0048752B">
              <w:rPr>
                <w:color w:val="000000" w:themeColor="text1"/>
                <w:sz w:val="20"/>
                <w:szCs w:val="20"/>
              </w:rPr>
              <w:t>aOR</w:t>
            </w:r>
          </w:p>
        </w:tc>
        <w:tc>
          <w:tcPr>
            <w:tcW w:w="956" w:type="dxa"/>
            <w:tcBorders>
              <w:left w:val="nil"/>
              <w:right w:val="nil"/>
            </w:tcBorders>
          </w:tcPr>
          <w:p w14:paraId="19D6F6AB" w14:textId="77777777" w:rsidR="001738F8" w:rsidRPr="0048752B" w:rsidRDefault="001738F8" w:rsidP="000A35A8">
            <w:pPr>
              <w:jc w:val="center"/>
              <w:rPr>
                <w:color w:val="000000" w:themeColor="text1"/>
                <w:sz w:val="20"/>
                <w:szCs w:val="20"/>
              </w:rPr>
            </w:pPr>
            <w:r w:rsidRPr="0048752B">
              <w:rPr>
                <w:color w:val="000000" w:themeColor="text1"/>
                <w:sz w:val="20"/>
                <w:szCs w:val="20"/>
              </w:rPr>
              <w:t>95%</w:t>
            </w:r>
            <w:r w:rsidRPr="0048752B">
              <w:rPr>
                <w:iCs/>
                <w:color w:val="000000" w:themeColor="text1"/>
                <w:sz w:val="20"/>
                <w:szCs w:val="20"/>
              </w:rPr>
              <w:t>CI</w:t>
            </w:r>
          </w:p>
        </w:tc>
        <w:tc>
          <w:tcPr>
            <w:tcW w:w="785" w:type="dxa"/>
            <w:tcBorders>
              <w:left w:val="nil"/>
              <w:right w:val="nil"/>
            </w:tcBorders>
          </w:tcPr>
          <w:p w14:paraId="66C1B26B" w14:textId="77777777" w:rsidR="001738F8" w:rsidRPr="0048752B" w:rsidRDefault="001738F8" w:rsidP="000A35A8">
            <w:pPr>
              <w:jc w:val="center"/>
              <w:rPr>
                <w:color w:val="000000" w:themeColor="text1"/>
                <w:sz w:val="20"/>
                <w:szCs w:val="20"/>
              </w:rPr>
            </w:pPr>
            <w:r w:rsidRPr="0048752B">
              <w:rPr>
                <w:i/>
                <w:iCs/>
                <w:color w:val="000000" w:themeColor="text1"/>
                <w:sz w:val="20"/>
                <w:szCs w:val="20"/>
              </w:rPr>
              <w:t>p</w:t>
            </w:r>
          </w:p>
        </w:tc>
        <w:tc>
          <w:tcPr>
            <w:tcW w:w="870" w:type="dxa"/>
            <w:tcBorders>
              <w:left w:val="nil"/>
              <w:right w:val="nil"/>
            </w:tcBorders>
          </w:tcPr>
          <w:p w14:paraId="2FE6AAD5" w14:textId="77777777" w:rsidR="001738F8" w:rsidRPr="0048752B" w:rsidRDefault="001738F8" w:rsidP="000A35A8">
            <w:pPr>
              <w:jc w:val="center"/>
              <w:rPr>
                <w:color w:val="000000" w:themeColor="text1"/>
                <w:sz w:val="20"/>
                <w:szCs w:val="20"/>
              </w:rPr>
            </w:pPr>
            <w:r w:rsidRPr="0048752B">
              <w:rPr>
                <w:color w:val="000000" w:themeColor="text1"/>
                <w:sz w:val="20"/>
                <w:szCs w:val="20"/>
              </w:rPr>
              <w:t>aOR</w:t>
            </w:r>
          </w:p>
        </w:tc>
        <w:tc>
          <w:tcPr>
            <w:tcW w:w="991" w:type="dxa"/>
            <w:tcBorders>
              <w:left w:val="nil"/>
              <w:right w:val="nil"/>
            </w:tcBorders>
          </w:tcPr>
          <w:p w14:paraId="3F347FCD" w14:textId="77777777" w:rsidR="001738F8" w:rsidRPr="0048752B" w:rsidRDefault="001738F8" w:rsidP="000A35A8">
            <w:pPr>
              <w:jc w:val="center"/>
              <w:rPr>
                <w:color w:val="000000" w:themeColor="text1"/>
                <w:sz w:val="20"/>
                <w:szCs w:val="20"/>
              </w:rPr>
            </w:pPr>
            <w:r w:rsidRPr="0048752B">
              <w:rPr>
                <w:color w:val="000000" w:themeColor="text1"/>
                <w:sz w:val="20"/>
                <w:szCs w:val="20"/>
              </w:rPr>
              <w:t>95%</w:t>
            </w:r>
            <w:r w:rsidRPr="0048752B">
              <w:rPr>
                <w:iCs/>
                <w:color w:val="000000" w:themeColor="text1"/>
                <w:sz w:val="20"/>
                <w:szCs w:val="20"/>
              </w:rPr>
              <w:t>CI</w:t>
            </w:r>
          </w:p>
        </w:tc>
        <w:tc>
          <w:tcPr>
            <w:tcW w:w="657" w:type="dxa"/>
            <w:tcBorders>
              <w:left w:val="nil"/>
              <w:right w:val="nil"/>
            </w:tcBorders>
          </w:tcPr>
          <w:p w14:paraId="5C17ADD1" w14:textId="77777777" w:rsidR="001738F8" w:rsidRPr="0048752B" w:rsidRDefault="001738F8" w:rsidP="000A35A8">
            <w:pPr>
              <w:jc w:val="center"/>
              <w:rPr>
                <w:color w:val="000000" w:themeColor="text1"/>
                <w:sz w:val="20"/>
                <w:szCs w:val="20"/>
              </w:rPr>
            </w:pPr>
            <w:r w:rsidRPr="0048752B">
              <w:rPr>
                <w:i/>
                <w:iCs/>
                <w:color w:val="000000" w:themeColor="text1"/>
                <w:sz w:val="20"/>
                <w:szCs w:val="20"/>
              </w:rPr>
              <w:t>p</w:t>
            </w:r>
          </w:p>
        </w:tc>
      </w:tr>
      <w:tr w:rsidR="001738F8" w14:paraId="4BADE3E3" w14:textId="77777777" w:rsidTr="000A35A8">
        <w:tc>
          <w:tcPr>
            <w:tcW w:w="1305" w:type="dxa"/>
            <w:tcBorders>
              <w:left w:val="nil"/>
              <w:right w:val="nil"/>
            </w:tcBorders>
          </w:tcPr>
          <w:p w14:paraId="687C9B9E" w14:textId="77777777" w:rsidR="001738F8" w:rsidRPr="0048752B" w:rsidRDefault="001738F8" w:rsidP="000A35A8">
            <w:pPr>
              <w:rPr>
                <w:color w:val="000000" w:themeColor="text1"/>
                <w:sz w:val="20"/>
                <w:szCs w:val="20"/>
              </w:rPr>
            </w:pPr>
            <w:r w:rsidRPr="0048752B">
              <w:rPr>
                <w:color w:val="000000" w:themeColor="text1"/>
                <w:sz w:val="20"/>
                <w:szCs w:val="20"/>
              </w:rPr>
              <w:t>Love and Commitment</w:t>
            </w:r>
          </w:p>
        </w:tc>
        <w:tc>
          <w:tcPr>
            <w:tcW w:w="905" w:type="dxa"/>
            <w:tcBorders>
              <w:left w:val="nil"/>
              <w:right w:val="nil"/>
            </w:tcBorders>
          </w:tcPr>
          <w:p w14:paraId="0F6AF1E4" w14:textId="77777777" w:rsidR="001738F8" w:rsidRPr="0048752B" w:rsidRDefault="001738F8" w:rsidP="000A35A8">
            <w:pPr>
              <w:rPr>
                <w:color w:val="000000" w:themeColor="text1"/>
                <w:sz w:val="20"/>
                <w:szCs w:val="20"/>
              </w:rPr>
            </w:pPr>
            <w:r w:rsidRPr="0048752B">
              <w:rPr>
                <w:color w:val="000000" w:themeColor="text1"/>
                <w:sz w:val="20"/>
                <w:szCs w:val="20"/>
              </w:rPr>
              <w:t>0.04</w:t>
            </w:r>
          </w:p>
        </w:tc>
        <w:tc>
          <w:tcPr>
            <w:tcW w:w="866" w:type="dxa"/>
            <w:tcBorders>
              <w:left w:val="nil"/>
              <w:right w:val="nil"/>
            </w:tcBorders>
          </w:tcPr>
          <w:p w14:paraId="14CE641D" w14:textId="77777777" w:rsidR="001738F8" w:rsidRPr="0048752B" w:rsidRDefault="001738F8" w:rsidP="000A35A8">
            <w:pPr>
              <w:rPr>
                <w:color w:val="000000" w:themeColor="text1"/>
                <w:sz w:val="20"/>
                <w:szCs w:val="20"/>
              </w:rPr>
            </w:pPr>
            <w:r w:rsidRPr="0048752B">
              <w:rPr>
                <w:color w:val="000000" w:themeColor="text1"/>
                <w:sz w:val="20"/>
                <w:szCs w:val="20"/>
              </w:rPr>
              <w:t>-.15,.30</w:t>
            </w:r>
          </w:p>
        </w:tc>
        <w:tc>
          <w:tcPr>
            <w:tcW w:w="782" w:type="dxa"/>
            <w:tcBorders>
              <w:left w:val="nil"/>
              <w:right w:val="nil"/>
            </w:tcBorders>
          </w:tcPr>
          <w:p w14:paraId="4CE36D6C" w14:textId="77777777" w:rsidR="001738F8" w:rsidRPr="0048752B" w:rsidRDefault="001738F8" w:rsidP="000A35A8">
            <w:pPr>
              <w:rPr>
                <w:color w:val="000000" w:themeColor="text1"/>
                <w:sz w:val="20"/>
                <w:szCs w:val="20"/>
              </w:rPr>
            </w:pPr>
            <w:r w:rsidRPr="0048752B">
              <w:rPr>
                <w:color w:val="000000" w:themeColor="text1"/>
                <w:sz w:val="20"/>
                <w:szCs w:val="20"/>
              </w:rPr>
              <w:t>.502</w:t>
            </w:r>
          </w:p>
        </w:tc>
        <w:tc>
          <w:tcPr>
            <w:tcW w:w="899" w:type="dxa"/>
            <w:tcBorders>
              <w:left w:val="nil"/>
              <w:right w:val="nil"/>
            </w:tcBorders>
          </w:tcPr>
          <w:p w14:paraId="4BE9AD9D" w14:textId="77777777" w:rsidR="001738F8" w:rsidRPr="0048752B" w:rsidRDefault="001738F8" w:rsidP="000A35A8">
            <w:pPr>
              <w:rPr>
                <w:color w:val="000000" w:themeColor="text1"/>
                <w:sz w:val="20"/>
                <w:szCs w:val="20"/>
              </w:rPr>
            </w:pPr>
            <w:r w:rsidRPr="0048752B">
              <w:rPr>
                <w:color w:val="000000" w:themeColor="text1"/>
                <w:sz w:val="20"/>
                <w:szCs w:val="20"/>
              </w:rPr>
              <w:t>0.13</w:t>
            </w:r>
          </w:p>
        </w:tc>
        <w:tc>
          <w:tcPr>
            <w:tcW w:w="956" w:type="dxa"/>
            <w:tcBorders>
              <w:left w:val="nil"/>
              <w:right w:val="nil"/>
            </w:tcBorders>
          </w:tcPr>
          <w:p w14:paraId="5EB630A8" w14:textId="77777777" w:rsidR="001738F8" w:rsidRPr="0048752B" w:rsidRDefault="001738F8" w:rsidP="000A35A8">
            <w:pPr>
              <w:rPr>
                <w:color w:val="000000" w:themeColor="text1"/>
                <w:sz w:val="20"/>
                <w:szCs w:val="20"/>
              </w:rPr>
            </w:pPr>
            <w:r w:rsidRPr="0048752B">
              <w:rPr>
                <w:color w:val="000000" w:themeColor="text1"/>
                <w:sz w:val="20"/>
                <w:szCs w:val="20"/>
              </w:rPr>
              <w:t>.01, .43</w:t>
            </w:r>
          </w:p>
        </w:tc>
        <w:tc>
          <w:tcPr>
            <w:tcW w:w="785" w:type="dxa"/>
            <w:tcBorders>
              <w:left w:val="nil"/>
              <w:right w:val="nil"/>
            </w:tcBorders>
          </w:tcPr>
          <w:p w14:paraId="0E7587F5" w14:textId="77777777" w:rsidR="001738F8" w:rsidRPr="008136F9" w:rsidRDefault="001738F8" w:rsidP="000A35A8">
            <w:pPr>
              <w:rPr>
                <w:b/>
                <w:bCs/>
                <w:color w:val="000000" w:themeColor="text1"/>
                <w:sz w:val="20"/>
                <w:szCs w:val="20"/>
              </w:rPr>
            </w:pPr>
            <w:r w:rsidRPr="008136F9">
              <w:rPr>
                <w:b/>
                <w:bCs/>
                <w:color w:val="000000" w:themeColor="text1"/>
                <w:sz w:val="20"/>
                <w:szCs w:val="20"/>
              </w:rPr>
              <w:t>.038</w:t>
            </w:r>
          </w:p>
        </w:tc>
        <w:tc>
          <w:tcPr>
            <w:tcW w:w="870" w:type="dxa"/>
            <w:tcBorders>
              <w:left w:val="nil"/>
              <w:right w:val="nil"/>
            </w:tcBorders>
          </w:tcPr>
          <w:p w14:paraId="4DED7D32" w14:textId="77777777" w:rsidR="001738F8" w:rsidRPr="0048752B" w:rsidRDefault="001738F8" w:rsidP="000A35A8">
            <w:pPr>
              <w:rPr>
                <w:color w:val="000000" w:themeColor="text1"/>
                <w:sz w:val="20"/>
                <w:szCs w:val="20"/>
              </w:rPr>
            </w:pPr>
            <w:r w:rsidRPr="0048752B">
              <w:rPr>
                <w:color w:val="000000" w:themeColor="text1"/>
                <w:sz w:val="20"/>
                <w:szCs w:val="20"/>
              </w:rPr>
              <w:t>.21</w:t>
            </w:r>
          </w:p>
        </w:tc>
        <w:tc>
          <w:tcPr>
            <w:tcW w:w="991" w:type="dxa"/>
            <w:tcBorders>
              <w:left w:val="nil"/>
              <w:right w:val="nil"/>
            </w:tcBorders>
          </w:tcPr>
          <w:p w14:paraId="2AE8D409" w14:textId="77777777" w:rsidR="001738F8" w:rsidRPr="0048752B" w:rsidRDefault="001738F8" w:rsidP="000A35A8">
            <w:pPr>
              <w:rPr>
                <w:color w:val="000000" w:themeColor="text1"/>
                <w:sz w:val="20"/>
                <w:szCs w:val="20"/>
              </w:rPr>
            </w:pPr>
            <w:r w:rsidRPr="0048752B">
              <w:rPr>
                <w:color w:val="000000" w:themeColor="text1"/>
                <w:sz w:val="20"/>
                <w:szCs w:val="20"/>
              </w:rPr>
              <w:t>.09, .35</w:t>
            </w:r>
          </w:p>
        </w:tc>
        <w:tc>
          <w:tcPr>
            <w:tcW w:w="657" w:type="dxa"/>
            <w:tcBorders>
              <w:left w:val="nil"/>
              <w:right w:val="nil"/>
            </w:tcBorders>
          </w:tcPr>
          <w:p w14:paraId="411B3430" w14:textId="77777777" w:rsidR="001738F8" w:rsidRPr="008136F9" w:rsidRDefault="001738F8" w:rsidP="000A35A8">
            <w:pPr>
              <w:rPr>
                <w:b/>
                <w:bCs/>
                <w:color w:val="000000" w:themeColor="text1"/>
                <w:sz w:val="20"/>
                <w:szCs w:val="20"/>
              </w:rPr>
            </w:pPr>
            <w:r w:rsidRPr="008136F9">
              <w:rPr>
                <w:b/>
                <w:bCs/>
                <w:color w:val="000000" w:themeColor="text1"/>
                <w:sz w:val="20"/>
                <w:szCs w:val="20"/>
              </w:rPr>
              <w:t>&lt;.001</w:t>
            </w:r>
          </w:p>
        </w:tc>
      </w:tr>
      <w:tr w:rsidR="001738F8" w14:paraId="29E9EA15" w14:textId="77777777" w:rsidTr="000A35A8">
        <w:tc>
          <w:tcPr>
            <w:tcW w:w="1305" w:type="dxa"/>
            <w:tcBorders>
              <w:left w:val="nil"/>
              <w:right w:val="nil"/>
            </w:tcBorders>
          </w:tcPr>
          <w:p w14:paraId="690C5C1F" w14:textId="77777777" w:rsidR="001738F8" w:rsidRPr="0048752B" w:rsidRDefault="001738F8" w:rsidP="000A35A8">
            <w:pPr>
              <w:rPr>
                <w:color w:val="000000" w:themeColor="text1"/>
                <w:sz w:val="20"/>
                <w:szCs w:val="20"/>
              </w:rPr>
            </w:pPr>
            <w:r w:rsidRPr="0048752B">
              <w:rPr>
                <w:color w:val="000000" w:themeColor="text1"/>
                <w:sz w:val="20"/>
                <w:szCs w:val="20"/>
              </w:rPr>
              <w:t>Pleasure</w:t>
            </w:r>
          </w:p>
        </w:tc>
        <w:tc>
          <w:tcPr>
            <w:tcW w:w="905" w:type="dxa"/>
            <w:tcBorders>
              <w:left w:val="nil"/>
              <w:right w:val="nil"/>
            </w:tcBorders>
          </w:tcPr>
          <w:p w14:paraId="1A36F73E" w14:textId="77777777" w:rsidR="001738F8" w:rsidRPr="0048752B" w:rsidRDefault="001738F8" w:rsidP="000A35A8">
            <w:pPr>
              <w:rPr>
                <w:color w:val="000000" w:themeColor="text1"/>
                <w:sz w:val="20"/>
                <w:szCs w:val="20"/>
              </w:rPr>
            </w:pPr>
            <w:r>
              <w:rPr>
                <w:color w:val="000000" w:themeColor="text1"/>
                <w:sz w:val="20"/>
                <w:szCs w:val="20"/>
              </w:rPr>
              <w:t>0.20</w:t>
            </w:r>
          </w:p>
        </w:tc>
        <w:tc>
          <w:tcPr>
            <w:tcW w:w="866" w:type="dxa"/>
            <w:tcBorders>
              <w:left w:val="nil"/>
              <w:right w:val="nil"/>
            </w:tcBorders>
          </w:tcPr>
          <w:p w14:paraId="49B7C12B" w14:textId="77777777" w:rsidR="001738F8" w:rsidRPr="0048752B" w:rsidRDefault="001738F8" w:rsidP="000A35A8">
            <w:pPr>
              <w:rPr>
                <w:color w:val="000000" w:themeColor="text1"/>
                <w:sz w:val="20"/>
                <w:szCs w:val="20"/>
              </w:rPr>
            </w:pPr>
            <w:r>
              <w:rPr>
                <w:color w:val="000000" w:themeColor="text1"/>
                <w:sz w:val="20"/>
                <w:szCs w:val="20"/>
              </w:rPr>
              <w:t>.15, .65</w:t>
            </w:r>
          </w:p>
        </w:tc>
        <w:tc>
          <w:tcPr>
            <w:tcW w:w="782" w:type="dxa"/>
            <w:tcBorders>
              <w:left w:val="nil"/>
              <w:right w:val="nil"/>
            </w:tcBorders>
          </w:tcPr>
          <w:p w14:paraId="297A5894" w14:textId="77777777" w:rsidR="001738F8" w:rsidRPr="0048752B" w:rsidRDefault="001738F8" w:rsidP="000A35A8">
            <w:pPr>
              <w:rPr>
                <w:b/>
                <w:bCs/>
                <w:color w:val="000000" w:themeColor="text1"/>
                <w:sz w:val="20"/>
                <w:szCs w:val="20"/>
              </w:rPr>
            </w:pPr>
            <w:r w:rsidRPr="0048752B">
              <w:rPr>
                <w:b/>
                <w:bCs/>
                <w:color w:val="000000" w:themeColor="text1"/>
                <w:sz w:val="20"/>
                <w:szCs w:val="20"/>
              </w:rPr>
              <w:t>.002</w:t>
            </w:r>
          </w:p>
        </w:tc>
        <w:tc>
          <w:tcPr>
            <w:tcW w:w="2640" w:type="dxa"/>
            <w:gridSpan w:val="3"/>
            <w:tcBorders>
              <w:left w:val="nil"/>
              <w:right w:val="nil"/>
            </w:tcBorders>
          </w:tcPr>
          <w:p w14:paraId="55A4E3F5" w14:textId="77777777" w:rsidR="001738F8" w:rsidRPr="0048752B" w:rsidRDefault="001738F8" w:rsidP="000A35A8">
            <w:pPr>
              <w:rPr>
                <w:color w:val="000000" w:themeColor="text1"/>
                <w:sz w:val="20"/>
                <w:szCs w:val="20"/>
              </w:rPr>
            </w:pPr>
            <w:r>
              <w:rPr>
                <w:color w:val="000000" w:themeColor="text1"/>
                <w:sz w:val="20"/>
                <w:szCs w:val="20"/>
              </w:rPr>
              <w:t>not included</w:t>
            </w:r>
          </w:p>
        </w:tc>
        <w:tc>
          <w:tcPr>
            <w:tcW w:w="870" w:type="dxa"/>
            <w:tcBorders>
              <w:left w:val="nil"/>
              <w:right w:val="nil"/>
            </w:tcBorders>
          </w:tcPr>
          <w:p w14:paraId="31C9FEB4" w14:textId="77777777" w:rsidR="001738F8" w:rsidRPr="0048752B" w:rsidRDefault="001738F8" w:rsidP="000A35A8">
            <w:pPr>
              <w:rPr>
                <w:color w:val="000000" w:themeColor="text1"/>
                <w:sz w:val="20"/>
                <w:szCs w:val="20"/>
              </w:rPr>
            </w:pPr>
            <w:r>
              <w:rPr>
                <w:color w:val="000000" w:themeColor="text1"/>
                <w:sz w:val="20"/>
                <w:szCs w:val="20"/>
              </w:rPr>
              <w:t>0.20</w:t>
            </w:r>
          </w:p>
        </w:tc>
        <w:tc>
          <w:tcPr>
            <w:tcW w:w="991" w:type="dxa"/>
            <w:tcBorders>
              <w:left w:val="nil"/>
              <w:right w:val="nil"/>
            </w:tcBorders>
          </w:tcPr>
          <w:p w14:paraId="2D3D0AEB" w14:textId="77777777" w:rsidR="001738F8" w:rsidRPr="0048752B" w:rsidRDefault="001738F8" w:rsidP="000A35A8">
            <w:pPr>
              <w:rPr>
                <w:color w:val="000000" w:themeColor="text1"/>
                <w:sz w:val="20"/>
                <w:szCs w:val="20"/>
              </w:rPr>
            </w:pPr>
            <w:r>
              <w:rPr>
                <w:color w:val="000000" w:themeColor="text1"/>
                <w:sz w:val="20"/>
                <w:szCs w:val="20"/>
              </w:rPr>
              <w:t>.08, .36</w:t>
            </w:r>
          </w:p>
        </w:tc>
        <w:tc>
          <w:tcPr>
            <w:tcW w:w="657" w:type="dxa"/>
            <w:tcBorders>
              <w:left w:val="nil"/>
              <w:right w:val="nil"/>
            </w:tcBorders>
          </w:tcPr>
          <w:p w14:paraId="19D8B6CF" w14:textId="77777777" w:rsidR="001738F8" w:rsidRPr="008136F9" w:rsidRDefault="001738F8" w:rsidP="000A35A8">
            <w:pPr>
              <w:rPr>
                <w:b/>
                <w:bCs/>
                <w:color w:val="000000" w:themeColor="text1"/>
                <w:sz w:val="20"/>
                <w:szCs w:val="20"/>
              </w:rPr>
            </w:pPr>
            <w:r w:rsidRPr="008136F9">
              <w:rPr>
                <w:b/>
                <w:bCs/>
                <w:color w:val="000000" w:themeColor="text1"/>
                <w:sz w:val="20"/>
                <w:szCs w:val="20"/>
              </w:rPr>
              <w:t>.002</w:t>
            </w:r>
          </w:p>
        </w:tc>
      </w:tr>
      <w:tr w:rsidR="001738F8" w14:paraId="3AFE6B14" w14:textId="77777777" w:rsidTr="000A35A8">
        <w:tc>
          <w:tcPr>
            <w:tcW w:w="1305" w:type="dxa"/>
            <w:tcBorders>
              <w:left w:val="nil"/>
              <w:right w:val="nil"/>
            </w:tcBorders>
          </w:tcPr>
          <w:p w14:paraId="0DC5FB07" w14:textId="77777777" w:rsidR="001738F8" w:rsidRPr="0048752B" w:rsidRDefault="001738F8" w:rsidP="000A35A8">
            <w:pPr>
              <w:rPr>
                <w:color w:val="000000" w:themeColor="text1"/>
                <w:sz w:val="20"/>
                <w:szCs w:val="20"/>
              </w:rPr>
            </w:pPr>
            <w:r w:rsidRPr="0048752B">
              <w:rPr>
                <w:color w:val="000000" w:themeColor="text1"/>
                <w:sz w:val="20"/>
                <w:szCs w:val="20"/>
              </w:rPr>
              <w:t>Reproduction</w:t>
            </w:r>
          </w:p>
        </w:tc>
        <w:tc>
          <w:tcPr>
            <w:tcW w:w="2553" w:type="dxa"/>
            <w:gridSpan w:val="3"/>
            <w:tcBorders>
              <w:left w:val="nil"/>
              <w:right w:val="nil"/>
            </w:tcBorders>
          </w:tcPr>
          <w:p w14:paraId="7F3BF562" w14:textId="77777777" w:rsidR="001738F8" w:rsidRPr="0048752B" w:rsidRDefault="001738F8" w:rsidP="000A35A8">
            <w:pPr>
              <w:rPr>
                <w:color w:val="000000" w:themeColor="text1"/>
                <w:sz w:val="20"/>
                <w:szCs w:val="20"/>
              </w:rPr>
            </w:pPr>
            <w:r>
              <w:rPr>
                <w:color w:val="000000" w:themeColor="text1"/>
                <w:sz w:val="20"/>
                <w:szCs w:val="20"/>
              </w:rPr>
              <w:t>not included</w:t>
            </w:r>
          </w:p>
        </w:tc>
        <w:tc>
          <w:tcPr>
            <w:tcW w:w="899" w:type="dxa"/>
            <w:tcBorders>
              <w:left w:val="nil"/>
              <w:right w:val="nil"/>
            </w:tcBorders>
          </w:tcPr>
          <w:p w14:paraId="3A41B97F" w14:textId="77777777" w:rsidR="001738F8" w:rsidRPr="0048752B" w:rsidRDefault="001738F8" w:rsidP="000A35A8">
            <w:pPr>
              <w:rPr>
                <w:color w:val="000000" w:themeColor="text1"/>
                <w:sz w:val="20"/>
                <w:szCs w:val="20"/>
              </w:rPr>
            </w:pPr>
            <w:r>
              <w:rPr>
                <w:color w:val="000000" w:themeColor="text1"/>
                <w:sz w:val="20"/>
                <w:szCs w:val="20"/>
              </w:rPr>
              <w:t>0.08</w:t>
            </w:r>
          </w:p>
        </w:tc>
        <w:tc>
          <w:tcPr>
            <w:tcW w:w="956" w:type="dxa"/>
            <w:tcBorders>
              <w:left w:val="nil"/>
              <w:right w:val="nil"/>
            </w:tcBorders>
          </w:tcPr>
          <w:p w14:paraId="06761196" w14:textId="77777777" w:rsidR="001738F8" w:rsidRPr="0048752B" w:rsidRDefault="001738F8" w:rsidP="000A35A8">
            <w:pPr>
              <w:rPr>
                <w:color w:val="000000" w:themeColor="text1"/>
                <w:sz w:val="20"/>
                <w:szCs w:val="20"/>
              </w:rPr>
            </w:pPr>
            <w:r>
              <w:rPr>
                <w:color w:val="000000" w:themeColor="text1"/>
                <w:sz w:val="20"/>
                <w:szCs w:val="20"/>
              </w:rPr>
              <w:t>-.12, .54</w:t>
            </w:r>
          </w:p>
        </w:tc>
        <w:tc>
          <w:tcPr>
            <w:tcW w:w="785" w:type="dxa"/>
            <w:tcBorders>
              <w:left w:val="nil"/>
              <w:right w:val="nil"/>
            </w:tcBorders>
          </w:tcPr>
          <w:p w14:paraId="7A8D4FCD" w14:textId="77777777" w:rsidR="001738F8" w:rsidRPr="0048752B" w:rsidRDefault="001738F8" w:rsidP="000A35A8">
            <w:pPr>
              <w:rPr>
                <w:color w:val="000000" w:themeColor="text1"/>
                <w:sz w:val="20"/>
                <w:szCs w:val="20"/>
              </w:rPr>
            </w:pPr>
            <w:r>
              <w:rPr>
                <w:color w:val="000000" w:themeColor="text1"/>
                <w:sz w:val="20"/>
                <w:szCs w:val="20"/>
              </w:rPr>
              <w:t>.213</w:t>
            </w:r>
          </w:p>
        </w:tc>
        <w:tc>
          <w:tcPr>
            <w:tcW w:w="870" w:type="dxa"/>
            <w:tcBorders>
              <w:left w:val="nil"/>
              <w:right w:val="nil"/>
            </w:tcBorders>
          </w:tcPr>
          <w:p w14:paraId="1A3B610A" w14:textId="77777777" w:rsidR="001738F8" w:rsidRPr="0048752B" w:rsidRDefault="001738F8" w:rsidP="000A35A8">
            <w:pPr>
              <w:rPr>
                <w:color w:val="000000" w:themeColor="text1"/>
                <w:sz w:val="20"/>
                <w:szCs w:val="20"/>
              </w:rPr>
            </w:pPr>
            <w:r>
              <w:rPr>
                <w:color w:val="000000" w:themeColor="text1"/>
                <w:sz w:val="20"/>
                <w:szCs w:val="20"/>
              </w:rPr>
              <w:t>-.10</w:t>
            </w:r>
          </w:p>
        </w:tc>
        <w:tc>
          <w:tcPr>
            <w:tcW w:w="991" w:type="dxa"/>
            <w:tcBorders>
              <w:left w:val="nil"/>
              <w:right w:val="nil"/>
            </w:tcBorders>
          </w:tcPr>
          <w:p w14:paraId="73066FF5" w14:textId="77777777" w:rsidR="001738F8" w:rsidRPr="0048752B" w:rsidRDefault="001738F8" w:rsidP="000A35A8">
            <w:pPr>
              <w:rPr>
                <w:color w:val="000000" w:themeColor="text1"/>
                <w:sz w:val="20"/>
                <w:szCs w:val="20"/>
              </w:rPr>
            </w:pPr>
            <w:r>
              <w:rPr>
                <w:color w:val="000000" w:themeColor="text1"/>
                <w:sz w:val="20"/>
                <w:szCs w:val="20"/>
              </w:rPr>
              <w:t>-.34, .02</w:t>
            </w:r>
          </w:p>
        </w:tc>
        <w:tc>
          <w:tcPr>
            <w:tcW w:w="657" w:type="dxa"/>
            <w:tcBorders>
              <w:left w:val="nil"/>
              <w:right w:val="nil"/>
            </w:tcBorders>
          </w:tcPr>
          <w:p w14:paraId="5901F41A" w14:textId="77777777" w:rsidR="001738F8" w:rsidRPr="0048752B" w:rsidRDefault="001738F8" w:rsidP="000A35A8">
            <w:pPr>
              <w:rPr>
                <w:color w:val="000000" w:themeColor="text1"/>
                <w:sz w:val="20"/>
                <w:szCs w:val="20"/>
              </w:rPr>
            </w:pPr>
            <w:r>
              <w:rPr>
                <w:color w:val="000000" w:themeColor="text1"/>
                <w:sz w:val="20"/>
                <w:szCs w:val="20"/>
              </w:rPr>
              <w:t>.088</w:t>
            </w:r>
          </w:p>
        </w:tc>
      </w:tr>
    </w:tbl>
    <w:p w14:paraId="52713ED3" w14:textId="77777777" w:rsidR="009B7606" w:rsidRDefault="009B7606" w:rsidP="00BD57E5">
      <w:pPr>
        <w:rPr>
          <w:b/>
          <w:bCs/>
          <w:color w:val="000000" w:themeColor="text1"/>
        </w:rPr>
      </w:pPr>
    </w:p>
    <w:p w14:paraId="1F579392" w14:textId="7D80D4D1" w:rsidR="004C5DC0" w:rsidRPr="004E72EE" w:rsidRDefault="004C5DC0" w:rsidP="00BD57E5">
      <w:pPr>
        <w:rPr>
          <w:b/>
          <w:bCs/>
          <w:color w:val="000000" w:themeColor="text1"/>
          <w:sz w:val="32"/>
          <w:szCs w:val="32"/>
        </w:rPr>
      </w:pPr>
      <w:r w:rsidRPr="004E72EE">
        <w:rPr>
          <w:b/>
          <w:bCs/>
          <w:color w:val="000000" w:themeColor="text1"/>
          <w:sz w:val="32"/>
          <w:szCs w:val="32"/>
        </w:rPr>
        <w:t>Hypothesis 2</w:t>
      </w:r>
    </w:p>
    <w:bookmarkEnd w:id="13"/>
    <w:p w14:paraId="7DC50E05" w14:textId="4B91A210" w:rsidR="004C5DC0" w:rsidRPr="00BD57E5" w:rsidRDefault="004C5DC0" w:rsidP="00BD57E5">
      <w:pPr>
        <w:ind w:firstLine="720"/>
        <w:rPr>
          <w:color w:val="000000" w:themeColor="text1"/>
        </w:rPr>
      </w:pPr>
      <w:r w:rsidRPr="00BD57E5">
        <w:rPr>
          <w:color w:val="000000" w:themeColor="text1"/>
        </w:rPr>
        <w:t>Using the PROCESS macro version 4, a moderation analysis showed</w:t>
      </w:r>
      <w:r w:rsidR="00142D31">
        <w:rPr>
          <w:color w:val="000000" w:themeColor="text1"/>
        </w:rPr>
        <w:t xml:space="preserve"> an interaction of cultural background and emotional motivation on psychological health QoL which explained 3% of the total variability (Table 5). </w:t>
      </w:r>
      <w:r w:rsidRPr="00BD57E5">
        <w:rPr>
          <w:color w:val="000000" w:themeColor="text1"/>
        </w:rPr>
        <w:t xml:space="preserve">Chinese cultural background significantly moderated the relationship between emotional motivation and psychological health QoL </w:t>
      </w:r>
      <w:r w:rsidR="00142D31">
        <w:rPr>
          <w:color w:val="000000" w:themeColor="text1"/>
        </w:rPr>
        <w:t>(Fig 1)</w:t>
      </w:r>
      <w:r w:rsidRPr="00BD57E5">
        <w:rPr>
          <w:color w:val="000000" w:themeColor="text1"/>
        </w:rPr>
        <w:t xml:space="preserve">. </w:t>
      </w:r>
      <w:r w:rsidR="00605398">
        <w:rPr>
          <w:color w:val="000000" w:themeColor="text1"/>
        </w:rPr>
        <w:t>I</w:t>
      </w:r>
      <w:r w:rsidRPr="00BD57E5">
        <w:rPr>
          <w:color w:val="000000" w:themeColor="text1"/>
        </w:rPr>
        <w:t>ndividuals from China with higher emotional motivation had higher psychological health QoL</w:t>
      </w:r>
      <w:r w:rsidR="00605398">
        <w:rPr>
          <w:color w:val="000000" w:themeColor="text1"/>
        </w:rPr>
        <w:t xml:space="preserve"> </w:t>
      </w:r>
      <w:r w:rsidR="00605398" w:rsidRPr="00BD57E5">
        <w:rPr>
          <w:color w:val="000000" w:themeColor="text1"/>
        </w:rPr>
        <w:t>(b = .25, 95%CI</w:t>
      </w:r>
      <w:r w:rsidR="00605398">
        <w:rPr>
          <w:color w:val="000000" w:themeColor="text1"/>
        </w:rPr>
        <w:t xml:space="preserve">: </w:t>
      </w:r>
      <w:r w:rsidR="00605398" w:rsidRPr="00BD57E5">
        <w:rPr>
          <w:color w:val="000000" w:themeColor="text1"/>
        </w:rPr>
        <w:t>.07</w:t>
      </w:r>
      <w:r w:rsidR="00605398">
        <w:rPr>
          <w:color w:val="000000" w:themeColor="text1"/>
        </w:rPr>
        <w:t>-</w:t>
      </w:r>
      <w:r w:rsidR="00605398" w:rsidRPr="00BD57E5">
        <w:rPr>
          <w:color w:val="000000" w:themeColor="text1"/>
        </w:rPr>
        <w:t>.43</w:t>
      </w:r>
      <w:r w:rsidR="00605398">
        <w:rPr>
          <w:color w:val="000000" w:themeColor="text1"/>
        </w:rPr>
        <w:t xml:space="preserve">, </w:t>
      </w:r>
      <w:r w:rsidR="00605398" w:rsidRPr="0048496B">
        <w:rPr>
          <w:i/>
          <w:iCs/>
          <w:color w:val="000000" w:themeColor="text1"/>
        </w:rPr>
        <w:t>p</w:t>
      </w:r>
      <w:r w:rsidR="00605398" w:rsidRPr="00BD57E5">
        <w:rPr>
          <w:color w:val="000000" w:themeColor="text1"/>
        </w:rPr>
        <w:t xml:space="preserve"> = .006)</w:t>
      </w:r>
      <w:r w:rsidRPr="00BD57E5">
        <w:rPr>
          <w:color w:val="000000" w:themeColor="text1"/>
        </w:rPr>
        <w:t>. However, no significant moderation was found for individuals from the United Kingdom (b = -.03, 95%CI</w:t>
      </w:r>
      <w:r w:rsidR="00BB3BD6">
        <w:rPr>
          <w:color w:val="000000" w:themeColor="text1"/>
        </w:rPr>
        <w:t>:</w:t>
      </w:r>
      <w:r w:rsidRPr="00BD57E5">
        <w:rPr>
          <w:color w:val="000000" w:themeColor="text1"/>
        </w:rPr>
        <w:t xml:space="preserve"> -.22</w:t>
      </w:r>
      <w:r w:rsidR="00BB3BD6">
        <w:rPr>
          <w:color w:val="000000" w:themeColor="text1"/>
        </w:rPr>
        <w:t>-</w:t>
      </w:r>
      <w:r w:rsidRPr="00BD57E5">
        <w:rPr>
          <w:color w:val="000000" w:themeColor="text1"/>
        </w:rPr>
        <w:t>.16</w:t>
      </w:r>
      <w:r w:rsidR="00BB3BD6">
        <w:rPr>
          <w:color w:val="000000" w:themeColor="text1"/>
        </w:rPr>
        <w:t xml:space="preserve">, </w:t>
      </w:r>
      <w:r w:rsidR="00BB3BD6" w:rsidRPr="00BB3BD6">
        <w:rPr>
          <w:i/>
          <w:iCs/>
          <w:color w:val="000000" w:themeColor="text1"/>
        </w:rPr>
        <w:t>p</w:t>
      </w:r>
      <w:r w:rsidR="00BB3BD6" w:rsidRPr="00BD57E5">
        <w:rPr>
          <w:color w:val="000000" w:themeColor="text1"/>
        </w:rPr>
        <w:t xml:space="preserve"> = .778</w:t>
      </w:r>
      <w:r w:rsidRPr="00BD57E5">
        <w:rPr>
          <w:color w:val="000000" w:themeColor="text1"/>
        </w:rPr>
        <w:t>).</w:t>
      </w:r>
    </w:p>
    <w:p w14:paraId="0BB7C8AF" w14:textId="49D641D0" w:rsidR="004C5DC0" w:rsidRDefault="004C5DC0" w:rsidP="00BD57E5">
      <w:pPr>
        <w:ind w:firstLine="420"/>
        <w:rPr>
          <w:color w:val="000000" w:themeColor="text1"/>
        </w:rPr>
      </w:pPr>
      <w:r w:rsidRPr="00BD57E5">
        <w:rPr>
          <w:color w:val="000000" w:themeColor="text1"/>
        </w:rPr>
        <w:lastRenderedPageBreak/>
        <w:t>The moderation analysis did not find significant interactions between cultural background and emotional motivation for social support QoL (b = .06, 95%CI</w:t>
      </w:r>
      <w:r w:rsidR="00DD06AF">
        <w:rPr>
          <w:color w:val="000000" w:themeColor="text1"/>
        </w:rPr>
        <w:t>:</w:t>
      </w:r>
      <w:r w:rsidRPr="00BD57E5">
        <w:rPr>
          <w:color w:val="000000" w:themeColor="text1"/>
        </w:rPr>
        <w:t xml:space="preserve"> -.08</w:t>
      </w:r>
      <w:r w:rsidR="00DD06AF">
        <w:rPr>
          <w:color w:val="000000" w:themeColor="text1"/>
        </w:rPr>
        <w:t>-</w:t>
      </w:r>
      <w:r w:rsidRPr="00BD57E5">
        <w:rPr>
          <w:color w:val="000000" w:themeColor="text1"/>
        </w:rPr>
        <w:t>.21</w:t>
      </w:r>
      <w:r w:rsidR="00DD06AF">
        <w:rPr>
          <w:color w:val="000000" w:themeColor="text1"/>
        </w:rPr>
        <w:t>,</w:t>
      </w:r>
      <w:r w:rsidR="00DD06AF" w:rsidRPr="00DD06AF">
        <w:rPr>
          <w:color w:val="000000" w:themeColor="text1"/>
        </w:rPr>
        <w:t xml:space="preserve"> </w:t>
      </w:r>
      <w:r w:rsidR="00DD06AF" w:rsidRPr="00DD06AF">
        <w:rPr>
          <w:i/>
          <w:iCs/>
          <w:color w:val="000000" w:themeColor="text1"/>
        </w:rPr>
        <w:t>p</w:t>
      </w:r>
      <w:r w:rsidR="00DD06AF" w:rsidRPr="00BD57E5">
        <w:rPr>
          <w:color w:val="000000" w:themeColor="text1"/>
        </w:rPr>
        <w:t xml:space="preserve"> = .402</w:t>
      </w:r>
      <w:r w:rsidRPr="00BD57E5">
        <w:rPr>
          <w:color w:val="000000" w:themeColor="text1"/>
        </w:rPr>
        <w:t>) or for physical health QoL (b = .22, 95%CI</w:t>
      </w:r>
      <w:r w:rsidR="00DD06AF">
        <w:rPr>
          <w:color w:val="000000" w:themeColor="text1"/>
        </w:rPr>
        <w:t>:</w:t>
      </w:r>
      <w:r w:rsidRPr="00BD57E5">
        <w:rPr>
          <w:color w:val="000000" w:themeColor="text1"/>
        </w:rPr>
        <w:t xml:space="preserve"> -.03</w:t>
      </w:r>
      <w:r w:rsidR="00DD06AF">
        <w:rPr>
          <w:color w:val="000000" w:themeColor="text1"/>
        </w:rPr>
        <w:t>-</w:t>
      </w:r>
      <w:r w:rsidRPr="00BD57E5">
        <w:rPr>
          <w:color w:val="000000" w:themeColor="text1"/>
        </w:rPr>
        <w:t>.48</w:t>
      </w:r>
      <w:r w:rsidR="00DD06AF">
        <w:rPr>
          <w:color w:val="000000" w:themeColor="text1"/>
        </w:rPr>
        <w:t xml:space="preserve">, </w:t>
      </w:r>
      <w:r w:rsidR="00DD06AF" w:rsidRPr="00DD06AF">
        <w:rPr>
          <w:i/>
          <w:iCs/>
          <w:color w:val="000000" w:themeColor="text1"/>
        </w:rPr>
        <w:t>p</w:t>
      </w:r>
      <w:r w:rsidR="00DD06AF" w:rsidRPr="00BD57E5">
        <w:rPr>
          <w:color w:val="000000" w:themeColor="text1"/>
        </w:rPr>
        <w:t xml:space="preserve"> = .090</w:t>
      </w:r>
      <w:r w:rsidRPr="00BD57E5">
        <w:rPr>
          <w:color w:val="000000" w:themeColor="text1"/>
        </w:rPr>
        <w:t>).</w:t>
      </w:r>
    </w:p>
    <w:p w14:paraId="0170E415" w14:textId="77777777" w:rsidR="009B7606" w:rsidRDefault="009B7606" w:rsidP="009B7606"/>
    <w:p w14:paraId="5C7C8611" w14:textId="77777777" w:rsidR="009B7606" w:rsidRDefault="009B7606" w:rsidP="009B7606"/>
    <w:p w14:paraId="25456BFB" w14:textId="42D0BA01" w:rsidR="009B7606" w:rsidRPr="004E72EE" w:rsidRDefault="009B7606" w:rsidP="009B7606">
      <w:pPr>
        <w:rPr>
          <w:b/>
          <w:bCs/>
          <w:color w:val="000000" w:themeColor="text1"/>
        </w:rPr>
      </w:pPr>
      <w:r w:rsidRPr="004E72EE">
        <w:rPr>
          <w:b/>
          <w:bCs/>
        </w:rPr>
        <w:t xml:space="preserve">Table 5. </w:t>
      </w:r>
      <w:r w:rsidRPr="004E72EE">
        <w:rPr>
          <w:b/>
          <w:bCs/>
          <w:color w:val="000000" w:themeColor="text1"/>
        </w:rPr>
        <w:t>Moderation Analysis of Predictors of Psychological Health QoL.</w:t>
      </w:r>
    </w:p>
    <w:tbl>
      <w:tblPr>
        <w:tblStyle w:val="TableGrid"/>
        <w:tblW w:w="9498" w:type="dxa"/>
        <w:tblInd w:w="-142" w:type="dxa"/>
        <w:tblLook w:val="04A0" w:firstRow="1" w:lastRow="0" w:firstColumn="1" w:lastColumn="0" w:noHBand="0" w:noVBand="1"/>
      </w:tblPr>
      <w:tblGrid>
        <w:gridCol w:w="2547"/>
        <w:gridCol w:w="1423"/>
        <w:gridCol w:w="1559"/>
        <w:gridCol w:w="1276"/>
        <w:gridCol w:w="1275"/>
        <w:gridCol w:w="1418"/>
      </w:tblGrid>
      <w:tr w:rsidR="009B7606" w:rsidRPr="00BD57E5" w14:paraId="4A87B4AC" w14:textId="77777777" w:rsidTr="000A35A8">
        <w:tc>
          <w:tcPr>
            <w:tcW w:w="2547" w:type="dxa"/>
            <w:tcBorders>
              <w:top w:val="single" w:sz="4" w:space="0" w:color="auto"/>
              <w:left w:val="nil"/>
              <w:bottom w:val="single" w:sz="4" w:space="0" w:color="auto"/>
              <w:right w:val="nil"/>
            </w:tcBorders>
          </w:tcPr>
          <w:p w14:paraId="2429646C" w14:textId="77777777" w:rsidR="009B7606" w:rsidRPr="00BD57E5" w:rsidRDefault="009B7606" w:rsidP="000A35A8">
            <w:pPr>
              <w:rPr>
                <w:color w:val="000000" w:themeColor="text1"/>
              </w:rPr>
            </w:pPr>
          </w:p>
        </w:tc>
        <w:tc>
          <w:tcPr>
            <w:tcW w:w="1423" w:type="dxa"/>
            <w:tcBorders>
              <w:top w:val="single" w:sz="4" w:space="0" w:color="auto"/>
              <w:left w:val="nil"/>
              <w:bottom w:val="single" w:sz="4" w:space="0" w:color="auto"/>
              <w:right w:val="nil"/>
            </w:tcBorders>
          </w:tcPr>
          <w:p w14:paraId="62FE3E93" w14:textId="77777777" w:rsidR="009B7606" w:rsidRPr="00BD57E5" w:rsidRDefault="009B7606" w:rsidP="000A35A8">
            <w:pPr>
              <w:rPr>
                <w:i/>
                <w:iCs/>
                <w:color w:val="000000" w:themeColor="text1"/>
              </w:rPr>
            </w:pPr>
            <w:r w:rsidRPr="00BD57E5">
              <w:rPr>
                <w:i/>
                <w:iCs/>
                <w:color w:val="000000" w:themeColor="text1"/>
              </w:rPr>
              <w:t>b</w:t>
            </w:r>
          </w:p>
        </w:tc>
        <w:tc>
          <w:tcPr>
            <w:tcW w:w="1559" w:type="dxa"/>
            <w:tcBorders>
              <w:top w:val="single" w:sz="4" w:space="0" w:color="auto"/>
              <w:left w:val="nil"/>
              <w:bottom w:val="single" w:sz="4" w:space="0" w:color="auto"/>
              <w:right w:val="nil"/>
            </w:tcBorders>
          </w:tcPr>
          <w:p w14:paraId="4EB38836" w14:textId="77777777" w:rsidR="009B7606" w:rsidRPr="00BD57E5" w:rsidRDefault="009B7606" w:rsidP="000A35A8">
            <w:pPr>
              <w:rPr>
                <w:i/>
                <w:iCs/>
                <w:color w:val="000000" w:themeColor="text1"/>
              </w:rPr>
            </w:pPr>
            <w:r w:rsidRPr="00BD57E5">
              <w:rPr>
                <w:i/>
                <w:iCs/>
                <w:color w:val="000000" w:themeColor="text1"/>
              </w:rPr>
              <w:t>SE B</w:t>
            </w:r>
          </w:p>
        </w:tc>
        <w:tc>
          <w:tcPr>
            <w:tcW w:w="1276" w:type="dxa"/>
            <w:tcBorders>
              <w:top w:val="single" w:sz="4" w:space="0" w:color="auto"/>
              <w:left w:val="nil"/>
              <w:bottom w:val="single" w:sz="4" w:space="0" w:color="auto"/>
              <w:right w:val="nil"/>
            </w:tcBorders>
          </w:tcPr>
          <w:p w14:paraId="587D4E4A" w14:textId="77777777" w:rsidR="009B7606" w:rsidRPr="00BD57E5" w:rsidRDefault="009B7606" w:rsidP="000A35A8">
            <w:pPr>
              <w:rPr>
                <w:i/>
                <w:iCs/>
                <w:color w:val="000000" w:themeColor="text1"/>
              </w:rPr>
            </w:pPr>
            <w:r w:rsidRPr="00BD57E5">
              <w:rPr>
                <w:i/>
                <w:iCs/>
                <w:color w:val="000000" w:themeColor="text1"/>
              </w:rPr>
              <w:t>t</w:t>
            </w:r>
          </w:p>
        </w:tc>
        <w:tc>
          <w:tcPr>
            <w:tcW w:w="1275" w:type="dxa"/>
            <w:tcBorders>
              <w:top w:val="single" w:sz="4" w:space="0" w:color="auto"/>
              <w:left w:val="nil"/>
              <w:bottom w:val="single" w:sz="4" w:space="0" w:color="auto"/>
              <w:right w:val="nil"/>
            </w:tcBorders>
          </w:tcPr>
          <w:p w14:paraId="5A316272" w14:textId="77777777" w:rsidR="009B7606" w:rsidRPr="00BD57E5" w:rsidRDefault="009B7606" w:rsidP="000A35A8">
            <w:pPr>
              <w:rPr>
                <w:color w:val="000000" w:themeColor="text1"/>
              </w:rPr>
            </w:pPr>
            <w:r w:rsidRPr="00BD57E5">
              <w:rPr>
                <w:i/>
                <w:iCs/>
                <w:color w:val="000000" w:themeColor="text1"/>
              </w:rPr>
              <w:t>p</w:t>
            </w:r>
          </w:p>
        </w:tc>
        <w:tc>
          <w:tcPr>
            <w:tcW w:w="1418" w:type="dxa"/>
            <w:tcBorders>
              <w:top w:val="single" w:sz="4" w:space="0" w:color="auto"/>
              <w:left w:val="nil"/>
              <w:bottom w:val="single" w:sz="4" w:space="0" w:color="auto"/>
              <w:right w:val="nil"/>
            </w:tcBorders>
          </w:tcPr>
          <w:p w14:paraId="339A8908" w14:textId="77777777" w:rsidR="009B7606" w:rsidRPr="00BD57E5" w:rsidRDefault="009B7606" w:rsidP="000A35A8">
            <w:pPr>
              <w:rPr>
                <w:i/>
                <w:iCs/>
                <w:color w:val="000000" w:themeColor="text1"/>
                <w:vertAlign w:val="superscript"/>
              </w:rPr>
            </w:pPr>
            <w:r w:rsidRPr="00BD57E5">
              <w:rPr>
                <w:i/>
                <w:iCs/>
                <w:color w:val="000000" w:themeColor="text1"/>
              </w:rPr>
              <w:t>R</w:t>
            </w:r>
            <w:r w:rsidRPr="00BD57E5">
              <w:rPr>
                <w:i/>
                <w:iCs/>
                <w:color w:val="000000" w:themeColor="text1"/>
                <w:vertAlign w:val="superscript"/>
              </w:rPr>
              <w:t>2</w:t>
            </w:r>
          </w:p>
        </w:tc>
      </w:tr>
      <w:tr w:rsidR="009B7606" w:rsidRPr="00BD57E5" w14:paraId="138C3CFD" w14:textId="77777777" w:rsidTr="000A35A8">
        <w:tc>
          <w:tcPr>
            <w:tcW w:w="2547" w:type="dxa"/>
            <w:tcBorders>
              <w:top w:val="single" w:sz="4" w:space="0" w:color="auto"/>
              <w:left w:val="nil"/>
              <w:bottom w:val="nil"/>
              <w:right w:val="nil"/>
            </w:tcBorders>
          </w:tcPr>
          <w:p w14:paraId="532B103C" w14:textId="77777777" w:rsidR="009B7606" w:rsidRPr="00BD57E5" w:rsidRDefault="009B7606" w:rsidP="000A35A8">
            <w:pPr>
              <w:rPr>
                <w:color w:val="000000" w:themeColor="text1"/>
              </w:rPr>
            </w:pPr>
            <w:r w:rsidRPr="00BD57E5">
              <w:rPr>
                <w:color w:val="000000" w:themeColor="text1"/>
              </w:rPr>
              <w:t>Emotional Motivation</w:t>
            </w:r>
          </w:p>
        </w:tc>
        <w:tc>
          <w:tcPr>
            <w:tcW w:w="1423" w:type="dxa"/>
            <w:tcBorders>
              <w:top w:val="single" w:sz="4" w:space="0" w:color="auto"/>
              <w:left w:val="nil"/>
              <w:bottom w:val="nil"/>
              <w:right w:val="nil"/>
            </w:tcBorders>
          </w:tcPr>
          <w:p w14:paraId="361AC143" w14:textId="77777777" w:rsidR="009B7606" w:rsidRPr="00BD57E5" w:rsidRDefault="009B7606" w:rsidP="000A35A8">
            <w:pPr>
              <w:rPr>
                <w:color w:val="000000" w:themeColor="text1"/>
              </w:rPr>
            </w:pPr>
            <w:r w:rsidRPr="00BD57E5">
              <w:rPr>
                <w:color w:val="000000" w:themeColor="text1"/>
              </w:rPr>
              <w:t>-0.31</w:t>
            </w:r>
          </w:p>
        </w:tc>
        <w:tc>
          <w:tcPr>
            <w:tcW w:w="1559" w:type="dxa"/>
            <w:tcBorders>
              <w:top w:val="single" w:sz="4" w:space="0" w:color="auto"/>
              <w:left w:val="nil"/>
              <w:bottom w:val="nil"/>
              <w:right w:val="nil"/>
            </w:tcBorders>
          </w:tcPr>
          <w:p w14:paraId="3B74FDA8" w14:textId="77777777" w:rsidR="009B7606" w:rsidRPr="00BD57E5" w:rsidRDefault="009B7606" w:rsidP="000A35A8">
            <w:pPr>
              <w:rPr>
                <w:color w:val="000000" w:themeColor="text1"/>
              </w:rPr>
            </w:pPr>
            <w:r w:rsidRPr="00BD57E5">
              <w:rPr>
                <w:color w:val="000000" w:themeColor="text1"/>
              </w:rPr>
              <w:t>0.21</w:t>
            </w:r>
          </w:p>
        </w:tc>
        <w:tc>
          <w:tcPr>
            <w:tcW w:w="1276" w:type="dxa"/>
            <w:tcBorders>
              <w:top w:val="single" w:sz="4" w:space="0" w:color="auto"/>
              <w:left w:val="nil"/>
              <w:bottom w:val="nil"/>
              <w:right w:val="nil"/>
            </w:tcBorders>
          </w:tcPr>
          <w:p w14:paraId="1233F977" w14:textId="77777777" w:rsidR="009B7606" w:rsidRPr="00BD57E5" w:rsidRDefault="009B7606" w:rsidP="000A35A8">
            <w:pPr>
              <w:rPr>
                <w:color w:val="000000" w:themeColor="text1"/>
              </w:rPr>
            </w:pPr>
            <w:r w:rsidRPr="00BD57E5">
              <w:rPr>
                <w:color w:val="000000" w:themeColor="text1"/>
              </w:rPr>
              <w:t>-1.43</w:t>
            </w:r>
          </w:p>
        </w:tc>
        <w:tc>
          <w:tcPr>
            <w:tcW w:w="1275" w:type="dxa"/>
            <w:tcBorders>
              <w:top w:val="single" w:sz="4" w:space="0" w:color="auto"/>
              <w:left w:val="nil"/>
              <w:bottom w:val="nil"/>
              <w:right w:val="nil"/>
            </w:tcBorders>
          </w:tcPr>
          <w:p w14:paraId="6EF5FF21" w14:textId="77777777" w:rsidR="009B7606" w:rsidRPr="00BD57E5" w:rsidRDefault="009B7606" w:rsidP="000A35A8">
            <w:pPr>
              <w:rPr>
                <w:color w:val="000000" w:themeColor="text1"/>
              </w:rPr>
            </w:pPr>
            <w:r w:rsidRPr="00BD57E5">
              <w:rPr>
                <w:color w:val="000000" w:themeColor="text1"/>
              </w:rPr>
              <w:t>.155</w:t>
            </w:r>
          </w:p>
        </w:tc>
        <w:tc>
          <w:tcPr>
            <w:tcW w:w="1418" w:type="dxa"/>
            <w:tcBorders>
              <w:top w:val="single" w:sz="4" w:space="0" w:color="auto"/>
              <w:left w:val="nil"/>
              <w:bottom w:val="nil"/>
              <w:right w:val="nil"/>
            </w:tcBorders>
          </w:tcPr>
          <w:p w14:paraId="6E4977F7" w14:textId="77777777" w:rsidR="009B7606" w:rsidRPr="00BD57E5" w:rsidRDefault="009B7606" w:rsidP="000A35A8">
            <w:pPr>
              <w:rPr>
                <w:i/>
                <w:iCs/>
                <w:color w:val="000000" w:themeColor="text1"/>
              </w:rPr>
            </w:pPr>
          </w:p>
        </w:tc>
      </w:tr>
      <w:tr w:rsidR="009B7606" w:rsidRPr="00BD57E5" w14:paraId="55DA482A" w14:textId="77777777" w:rsidTr="000A35A8">
        <w:tc>
          <w:tcPr>
            <w:tcW w:w="2547" w:type="dxa"/>
            <w:tcBorders>
              <w:top w:val="nil"/>
              <w:left w:val="nil"/>
              <w:bottom w:val="nil"/>
              <w:right w:val="nil"/>
            </w:tcBorders>
          </w:tcPr>
          <w:p w14:paraId="060C6BF0" w14:textId="77777777" w:rsidR="009B7606" w:rsidRPr="00BD57E5" w:rsidRDefault="009B7606" w:rsidP="000A35A8">
            <w:pPr>
              <w:rPr>
                <w:color w:val="000000" w:themeColor="text1"/>
              </w:rPr>
            </w:pPr>
            <w:r w:rsidRPr="00BD57E5">
              <w:rPr>
                <w:color w:val="000000" w:themeColor="text1"/>
              </w:rPr>
              <w:t>Culture</w:t>
            </w:r>
          </w:p>
        </w:tc>
        <w:tc>
          <w:tcPr>
            <w:tcW w:w="1423" w:type="dxa"/>
            <w:tcBorders>
              <w:top w:val="nil"/>
              <w:left w:val="nil"/>
              <w:bottom w:val="nil"/>
              <w:right w:val="nil"/>
            </w:tcBorders>
          </w:tcPr>
          <w:p w14:paraId="2595883E" w14:textId="77777777" w:rsidR="009B7606" w:rsidRPr="00BD57E5" w:rsidRDefault="009B7606" w:rsidP="000A35A8">
            <w:pPr>
              <w:rPr>
                <w:color w:val="000000" w:themeColor="text1"/>
              </w:rPr>
            </w:pPr>
            <w:r w:rsidRPr="00BD57E5">
              <w:rPr>
                <w:color w:val="000000" w:themeColor="text1"/>
              </w:rPr>
              <w:t>0.53</w:t>
            </w:r>
          </w:p>
        </w:tc>
        <w:tc>
          <w:tcPr>
            <w:tcW w:w="1559" w:type="dxa"/>
            <w:tcBorders>
              <w:top w:val="nil"/>
              <w:left w:val="nil"/>
              <w:bottom w:val="nil"/>
              <w:right w:val="nil"/>
            </w:tcBorders>
          </w:tcPr>
          <w:p w14:paraId="749872E2" w14:textId="77777777" w:rsidR="009B7606" w:rsidRPr="00BD57E5" w:rsidRDefault="009B7606" w:rsidP="000A35A8">
            <w:pPr>
              <w:rPr>
                <w:color w:val="000000" w:themeColor="text1"/>
              </w:rPr>
            </w:pPr>
            <w:r w:rsidRPr="00BD57E5">
              <w:rPr>
                <w:color w:val="000000" w:themeColor="text1"/>
              </w:rPr>
              <w:t>0.48</w:t>
            </w:r>
          </w:p>
        </w:tc>
        <w:tc>
          <w:tcPr>
            <w:tcW w:w="1276" w:type="dxa"/>
            <w:tcBorders>
              <w:top w:val="nil"/>
              <w:left w:val="nil"/>
              <w:bottom w:val="nil"/>
              <w:right w:val="nil"/>
            </w:tcBorders>
          </w:tcPr>
          <w:p w14:paraId="177C496E" w14:textId="77777777" w:rsidR="009B7606" w:rsidRPr="00BD57E5" w:rsidRDefault="009B7606" w:rsidP="000A35A8">
            <w:pPr>
              <w:rPr>
                <w:color w:val="000000" w:themeColor="text1"/>
              </w:rPr>
            </w:pPr>
            <w:r w:rsidRPr="00BD57E5">
              <w:rPr>
                <w:color w:val="000000" w:themeColor="text1"/>
              </w:rPr>
              <w:t>1.11</w:t>
            </w:r>
          </w:p>
        </w:tc>
        <w:tc>
          <w:tcPr>
            <w:tcW w:w="1275" w:type="dxa"/>
            <w:tcBorders>
              <w:top w:val="nil"/>
              <w:left w:val="nil"/>
              <w:bottom w:val="nil"/>
              <w:right w:val="nil"/>
            </w:tcBorders>
          </w:tcPr>
          <w:p w14:paraId="1619C812" w14:textId="77777777" w:rsidR="009B7606" w:rsidRPr="00B0665A" w:rsidRDefault="009B7606" w:rsidP="000A35A8">
            <w:pPr>
              <w:rPr>
                <w:color w:val="000000" w:themeColor="text1"/>
              </w:rPr>
            </w:pPr>
            <w:r w:rsidRPr="00B0665A">
              <w:rPr>
                <w:color w:val="000000" w:themeColor="text1"/>
              </w:rPr>
              <w:t>.267</w:t>
            </w:r>
          </w:p>
        </w:tc>
        <w:tc>
          <w:tcPr>
            <w:tcW w:w="1418" w:type="dxa"/>
            <w:tcBorders>
              <w:top w:val="nil"/>
              <w:left w:val="nil"/>
              <w:bottom w:val="nil"/>
              <w:right w:val="nil"/>
            </w:tcBorders>
          </w:tcPr>
          <w:p w14:paraId="761D1C79" w14:textId="77777777" w:rsidR="009B7606" w:rsidRPr="00B0665A" w:rsidRDefault="009B7606" w:rsidP="000A35A8">
            <w:pPr>
              <w:rPr>
                <w:color w:val="000000" w:themeColor="text1"/>
              </w:rPr>
            </w:pPr>
          </w:p>
        </w:tc>
      </w:tr>
      <w:tr w:rsidR="009B7606" w:rsidRPr="00BD57E5" w14:paraId="6EA5F413" w14:textId="77777777" w:rsidTr="000A35A8">
        <w:tc>
          <w:tcPr>
            <w:tcW w:w="2547" w:type="dxa"/>
            <w:tcBorders>
              <w:top w:val="nil"/>
              <w:left w:val="nil"/>
              <w:bottom w:val="single" w:sz="4" w:space="0" w:color="auto"/>
              <w:right w:val="nil"/>
            </w:tcBorders>
          </w:tcPr>
          <w:p w14:paraId="320F56FD" w14:textId="77777777" w:rsidR="009B7606" w:rsidRPr="00BD57E5" w:rsidRDefault="009B7606" w:rsidP="000A35A8">
            <w:pPr>
              <w:rPr>
                <w:color w:val="000000" w:themeColor="text1"/>
              </w:rPr>
            </w:pPr>
            <w:r w:rsidRPr="00BD57E5">
              <w:rPr>
                <w:color w:val="000000" w:themeColor="text1"/>
              </w:rPr>
              <w:t xml:space="preserve">Emotional </w:t>
            </w:r>
            <w:r>
              <w:rPr>
                <w:color w:val="000000" w:themeColor="text1"/>
              </w:rPr>
              <w:t>M</w:t>
            </w:r>
            <w:r w:rsidRPr="00BD57E5">
              <w:rPr>
                <w:color w:val="000000" w:themeColor="text1"/>
              </w:rPr>
              <w:t>otivation x Culture</w:t>
            </w:r>
          </w:p>
        </w:tc>
        <w:tc>
          <w:tcPr>
            <w:tcW w:w="1423" w:type="dxa"/>
            <w:tcBorders>
              <w:top w:val="nil"/>
              <w:left w:val="nil"/>
              <w:bottom w:val="single" w:sz="4" w:space="0" w:color="auto"/>
              <w:right w:val="nil"/>
            </w:tcBorders>
          </w:tcPr>
          <w:p w14:paraId="1188F8B0" w14:textId="77777777" w:rsidR="009B7606" w:rsidRPr="00BD57E5" w:rsidRDefault="009B7606" w:rsidP="000A35A8">
            <w:pPr>
              <w:rPr>
                <w:color w:val="000000" w:themeColor="text1"/>
              </w:rPr>
            </w:pPr>
            <w:r w:rsidRPr="00BD57E5">
              <w:rPr>
                <w:color w:val="000000" w:themeColor="text1"/>
              </w:rPr>
              <w:t>0.28</w:t>
            </w:r>
          </w:p>
        </w:tc>
        <w:tc>
          <w:tcPr>
            <w:tcW w:w="1559" w:type="dxa"/>
            <w:tcBorders>
              <w:top w:val="nil"/>
              <w:left w:val="nil"/>
              <w:bottom w:val="single" w:sz="4" w:space="0" w:color="auto"/>
              <w:right w:val="nil"/>
            </w:tcBorders>
          </w:tcPr>
          <w:p w14:paraId="4EB92412" w14:textId="77777777" w:rsidR="009B7606" w:rsidRPr="00BD57E5" w:rsidRDefault="009B7606" w:rsidP="000A35A8">
            <w:pPr>
              <w:rPr>
                <w:color w:val="000000" w:themeColor="text1"/>
              </w:rPr>
            </w:pPr>
            <w:r w:rsidRPr="00BD57E5">
              <w:rPr>
                <w:color w:val="000000" w:themeColor="text1"/>
              </w:rPr>
              <w:t>0.13</w:t>
            </w:r>
          </w:p>
        </w:tc>
        <w:tc>
          <w:tcPr>
            <w:tcW w:w="1276" w:type="dxa"/>
            <w:tcBorders>
              <w:top w:val="nil"/>
              <w:left w:val="nil"/>
              <w:bottom w:val="single" w:sz="4" w:space="0" w:color="auto"/>
              <w:right w:val="nil"/>
            </w:tcBorders>
          </w:tcPr>
          <w:p w14:paraId="2FA99FDB" w14:textId="77777777" w:rsidR="009B7606" w:rsidRPr="00BD57E5" w:rsidRDefault="009B7606" w:rsidP="000A35A8">
            <w:pPr>
              <w:rPr>
                <w:color w:val="000000" w:themeColor="text1"/>
              </w:rPr>
            </w:pPr>
            <w:r w:rsidRPr="00BD57E5">
              <w:rPr>
                <w:color w:val="000000" w:themeColor="text1"/>
              </w:rPr>
              <w:t>2.09</w:t>
            </w:r>
          </w:p>
        </w:tc>
        <w:tc>
          <w:tcPr>
            <w:tcW w:w="1275" w:type="dxa"/>
            <w:tcBorders>
              <w:top w:val="nil"/>
              <w:left w:val="nil"/>
              <w:bottom w:val="single" w:sz="4" w:space="0" w:color="auto"/>
              <w:right w:val="nil"/>
            </w:tcBorders>
          </w:tcPr>
          <w:p w14:paraId="19665BD1" w14:textId="77777777" w:rsidR="009B7606" w:rsidRPr="00B0665A" w:rsidRDefault="009B7606" w:rsidP="000A35A8">
            <w:pPr>
              <w:rPr>
                <w:b/>
                <w:bCs/>
                <w:color w:val="000000" w:themeColor="text1"/>
              </w:rPr>
            </w:pPr>
            <w:r w:rsidRPr="00B0665A">
              <w:rPr>
                <w:b/>
                <w:bCs/>
                <w:color w:val="000000" w:themeColor="text1"/>
              </w:rPr>
              <w:t>.037</w:t>
            </w:r>
          </w:p>
        </w:tc>
        <w:tc>
          <w:tcPr>
            <w:tcW w:w="1418" w:type="dxa"/>
            <w:tcBorders>
              <w:top w:val="nil"/>
              <w:left w:val="nil"/>
              <w:bottom w:val="single" w:sz="4" w:space="0" w:color="auto"/>
              <w:right w:val="nil"/>
            </w:tcBorders>
          </w:tcPr>
          <w:p w14:paraId="06DD30CE" w14:textId="77777777" w:rsidR="009B7606" w:rsidRPr="00B0665A" w:rsidRDefault="009B7606" w:rsidP="000A35A8">
            <w:pPr>
              <w:rPr>
                <w:color w:val="000000" w:themeColor="text1"/>
              </w:rPr>
            </w:pPr>
            <w:r w:rsidRPr="00B0665A">
              <w:rPr>
                <w:color w:val="000000" w:themeColor="text1"/>
              </w:rPr>
              <w:t>.03</w:t>
            </w:r>
          </w:p>
        </w:tc>
      </w:tr>
      <w:tr w:rsidR="009B7606" w:rsidRPr="00BD57E5" w14:paraId="668640B6" w14:textId="77777777" w:rsidTr="000A35A8">
        <w:tc>
          <w:tcPr>
            <w:tcW w:w="8080" w:type="dxa"/>
            <w:gridSpan w:val="5"/>
            <w:tcBorders>
              <w:top w:val="single" w:sz="4" w:space="0" w:color="auto"/>
              <w:left w:val="nil"/>
              <w:bottom w:val="nil"/>
              <w:right w:val="nil"/>
            </w:tcBorders>
          </w:tcPr>
          <w:p w14:paraId="6F91614E" w14:textId="77777777" w:rsidR="009B7606" w:rsidRPr="00BD57E5" w:rsidRDefault="009B7606" w:rsidP="000A35A8">
            <w:pPr>
              <w:rPr>
                <w:color w:val="000000" w:themeColor="text1"/>
              </w:rPr>
            </w:pPr>
          </w:p>
        </w:tc>
        <w:tc>
          <w:tcPr>
            <w:tcW w:w="1418" w:type="dxa"/>
            <w:tcBorders>
              <w:top w:val="single" w:sz="4" w:space="0" w:color="auto"/>
              <w:left w:val="nil"/>
              <w:bottom w:val="nil"/>
              <w:right w:val="nil"/>
            </w:tcBorders>
          </w:tcPr>
          <w:p w14:paraId="374ED676" w14:textId="77777777" w:rsidR="009B7606" w:rsidRPr="00BD57E5" w:rsidRDefault="009B7606" w:rsidP="000A35A8">
            <w:pPr>
              <w:rPr>
                <w:color w:val="000000" w:themeColor="text1"/>
              </w:rPr>
            </w:pPr>
          </w:p>
        </w:tc>
      </w:tr>
    </w:tbl>
    <w:p w14:paraId="564F62C2" w14:textId="2D031156" w:rsidR="00424DD1" w:rsidRPr="004E72EE" w:rsidRDefault="00424DD1" w:rsidP="00424DD1">
      <w:pPr>
        <w:pStyle w:val="Figurecaption"/>
        <w:spacing w:before="0" w:line="480" w:lineRule="auto"/>
        <w:rPr>
          <w:b/>
          <w:bCs/>
          <w:noProof/>
          <w:color w:val="000000" w:themeColor="text1"/>
        </w:rPr>
      </w:pPr>
      <w:r w:rsidRPr="004E72EE">
        <w:rPr>
          <w:b/>
          <w:bCs/>
        </w:rPr>
        <w:t xml:space="preserve">Fig 1. </w:t>
      </w:r>
      <w:r w:rsidRPr="004E72EE">
        <w:rPr>
          <w:b/>
          <w:bCs/>
          <w:noProof/>
          <w:color w:val="000000" w:themeColor="text1"/>
        </w:rPr>
        <w:t>Cultural Differences in the Effect of Emotional Motivation on Psychological Health QoL.</w:t>
      </w:r>
    </w:p>
    <w:p w14:paraId="0F2E5996" w14:textId="77777777" w:rsidR="00424DD1" w:rsidRPr="00BD57E5" w:rsidRDefault="00424DD1" w:rsidP="00BD57E5">
      <w:pPr>
        <w:ind w:firstLine="420"/>
      </w:pPr>
    </w:p>
    <w:p w14:paraId="249AA696" w14:textId="77777777" w:rsidR="004C5DC0" w:rsidRPr="004E72EE" w:rsidRDefault="004C5DC0" w:rsidP="004E72EE">
      <w:pPr>
        <w:rPr>
          <w:b/>
          <w:bCs/>
          <w:color w:val="000000" w:themeColor="text1"/>
          <w:sz w:val="36"/>
          <w:szCs w:val="36"/>
        </w:rPr>
      </w:pPr>
      <w:bookmarkStart w:id="14" w:name="discussion"/>
      <w:r w:rsidRPr="004E72EE">
        <w:rPr>
          <w:b/>
          <w:bCs/>
          <w:color w:val="000000" w:themeColor="text1"/>
          <w:sz w:val="36"/>
          <w:szCs w:val="36"/>
        </w:rPr>
        <w:t>Discussion</w:t>
      </w:r>
    </w:p>
    <w:bookmarkEnd w:id="14"/>
    <w:p w14:paraId="5BF58722" w14:textId="29FFBACC" w:rsidR="004C5DC0" w:rsidRPr="00BD57E5" w:rsidRDefault="004C5DC0" w:rsidP="00BD57E5">
      <w:pPr>
        <w:rPr>
          <w:color w:val="000000" w:themeColor="text1"/>
        </w:rPr>
      </w:pPr>
      <w:r w:rsidRPr="00BD57E5">
        <w:rPr>
          <w:color w:val="000000" w:themeColor="text1"/>
        </w:rPr>
        <w:tab/>
        <w:t>Th</w:t>
      </w:r>
      <w:r w:rsidR="004C2E52">
        <w:rPr>
          <w:color w:val="000000" w:themeColor="text1"/>
        </w:rPr>
        <w:t>is</w:t>
      </w:r>
      <w:r w:rsidRPr="00BD57E5">
        <w:rPr>
          <w:color w:val="000000" w:themeColor="text1"/>
        </w:rPr>
        <w:t xml:space="preserve"> research investigated the relationships between sexual motivation and three different types of QoL; it further explored cultural background as a moderator for the association between emotional motivations and psychological health QoL. Key findings include positive associations between pleasure motivation and physical health QoL, and love and commitment motivation </w:t>
      </w:r>
      <w:r w:rsidR="004C2E52">
        <w:rPr>
          <w:color w:val="000000" w:themeColor="text1"/>
        </w:rPr>
        <w:t>and</w:t>
      </w:r>
      <w:r w:rsidRPr="00BD57E5">
        <w:rPr>
          <w:color w:val="000000" w:themeColor="text1"/>
        </w:rPr>
        <w:t xml:space="preserve"> psychological health. Thirdly, pleasure motivation and love </w:t>
      </w:r>
      <w:r w:rsidRPr="00BD57E5">
        <w:rPr>
          <w:color w:val="000000" w:themeColor="text1"/>
        </w:rPr>
        <w:lastRenderedPageBreak/>
        <w:t xml:space="preserve">and commitment motivation were positively associated with social support QoL. Chinese cultural </w:t>
      </w:r>
      <w:bookmarkStart w:id="15" w:name="OLE_LINK13"/>
      <w:bookmarkStart w:id="16" w:name="OLE_LINK14"/>
      <w:r w:rsidRPr="00BD57E5">
        <w:rPr>
          <w:color w:val="000000" w:themeColor="text1"/>
        </w:rPr>
        <w:t xml:space="preserve">heritage </w:t>
      </w:r>
      <w:bookmarkEnd w:id="15"/>
      <w:bookmarkEnd w:id="16"/>
      <w:r w:rsidRPr="00BD57E5">
        <w:rPr>
          <w:color w:val="000000" w:themeColor="text1"/>
        </w:rPr>
        <w:t xml:space="preserve">moderated the association between psychological health QoL and emotional motivation such that individuals from China with higher emotional motivation </w:t>
      </w:r>
      <w:r w:rsidR="004C2E52">
        <w:rPr>
          <w:color w:val="000000" w:themeColor="text1"/>
        </w:rPr>
        <w:t xml:space="preserve">for sex </w:t>
      </w:r>
      <w:r w:rsidRPr="00BD57E5">
        <w:rPr>
          <w:color w:val="000000" w:themeColor="text1"/>
        </w:rPr>
        <w:t xml:space="preserve">had higher psychological health QoL whereas no difference was found among those from the UK. </w:t>
      </w:r>
    </w:p>
    <w:p w14:paraId="754DF77E" w14:textId="77777777" w:rsidR="004C5DC0" w:rsidRPr="004E72EE" w:rsidRDefault="004C5DC0" w:rsidP="00BD57E5">
      <w:pPr>
        <w:rPr>
          <w:b/>
          <w:bCs/>
          <w:color w:val="000000" w:themeColor="text1"/>
          <w:sz w:val="32"/>
          <w:szCs w:val="32"/>
        </w:rPr>
      </w:pPr>
      <w:bookmarkStart w:id="17" w:name="pleasure_love_qol"/>
      <w:r w:rsidRPr="004E72EE">
        <w:rPr>
          <w:b/>
          <w:bCs/>
          <w:color w:val="000000" w:themeColor="text1"/>
          <w:sz w:val="32"/>
          <w:szCs w:val="32"/>
        </w:rPr>
        <w:t xml:space="preserve">Sexual motivation &amp; QoL </w:t>
      </w:r>
    </w:p>
    <w:bookmarkEnd w:id="17"/>
    <w:p w14:paraId="4B1C9C4D" w14:textId="04538EF7" w:rsidR="004C5DC0" w:rsidRPr="00BD57E5" w:rsidRDefault="004C5DC0" w:rsidP="00BD57E5">
      <w:pPr>
        <w:rPr>
          <w:color w:val="000000" w:themeColor="text1"/>
        </w:rPr>
      </w:pPr>
      <w:r w:rsidRPr="00BD57E5">
        <w:rPr>
          <w:color w:val="000000" w:themeColor="text1"/>
        </w:rPr>
        <w:tab/>
        <w:t xml:space="preserve">The current study found that having sex for pleasure purposes was positively associated with physical health QoL. </w:t>
      </w:r>
      <w:r w:rsidRPr="00BD57E5">
        <w:rPr>
          <w:color w:val="000000" w:themeColor="text1"/>
          <w:lang w:eastAsia="zh-CN"/>
        </w:rPr>
        <w:t xml:space="preserve">A possible explanation </w:t>
      </w:r>
      <w:r w:rsidR="006D0B26">
        <w:rPr>
          <w:color w:val="000000" w:themeColor="text1"/>
          <w:lang w:eastAsia="zh-CN"/>
        </w:rPr>
        <w:t xml:space="preserve">may </w:t>
      </w:r>
      <w:r w:rsidRPr="00BD57E5">
        <w:rPr>
          <w:color w:val="000000" w:themeColor="text1"/>
          <w:lang w:eastAsia="zh-CN"/>
        </w:rPr>
        <w:t xml:space="preserve">be that </w:t>
      </w:r>
      <w:r w:rsidR="006D0B26">
        <w:rPr>
          <w:color w:val="000000" w:themeColor="text1"/>
          <w:lang w:eastAsia="zh-CN"/>
        </w:rPr>
        <w:t xml:space="preserve">individuals who value physical pleasure, and are therefore more likely to </w:t>
      </w:r>
      <w:r w:rsidR="006C6568">
        <w:rPr>
          <w:color w:val="000000" w:themeColor="text1"/>
          <w:lang w:eastAsia="zh-CN"/>
        </w:rPr>
        <w:t>pursue</w:t>
      </w:r>
      <w:r w:rsidR="006D0B26">
        <w:rPr>
          <w:color w:val="000000" w:themeColor="text1"/>
          <w:lang w:eastAsia="zh-CN"/>
        </w:rPr>
        <w:t xml:space="preserve"> sex for pleasure reasons, may also place more value on their physical health and</w:t>
      </w:r>
      <w:r w:rsidRPr="00BD57E5">
        <w:rPr>
          <w:color w:val="000000" w:themeColor="text1"/>
          <w:lang w:eastAsia="zh-CN"/>
        </w:rPr>
        <w:t xml:space="preserve"> </w:t>
      </w:r>
      <w:r w:rsidRPr="00BD57E5">
        <w:rPr>
          <w:color w:val="000000" w:themeColor="text1"/>
        </w:rPr>
        <w:t xml:space="preserve">body image. </w:t>
      </w:r>
      <w:r w:rsidR="006C6568">
        <w:rPr>
          <w:color w:val="000000" w:themeColor="text1"/>
        </w:rPr>
        <w:t>Additionally, p</w:t>
      </w:r>
      <w:r w:rsidRPr="00BD57E5">
        <w:rPr>
          <w:color w:val="000000" w:themeColor="text1"/>
        </w:rPr>
        <w:t xml:space="preserve">ast </w:t>
      </w:r>
      <w:r w:rsidR="006C6568">
        <w:rPr>
          <w:color w:val="000000" w:themeColor="text1"/>
        </w:rPr>
        <w:t>research also suggests association</w:t>
      </w:r>
      <w:r w:rsidR="00365174">
        <w:rPr>
          <w:color w:val="000000" w:themeColor="text1"/>
        </w:rPr>
        <w:t>s</w:t>
      </w:r>
      <w:r w:rsidR="006C6568">
        <w:rPr>
          <w:color w:val="000000" w:themeColor="text1"/>
        </w:rPr>
        <w:t xml:space="preserve"> between increased</w:t>
      </w:r>
      <w:r w:rsidRPr="00BD57E5">
        <w:rPr>
          <w:color w:val="000000" w:themeColor="text1"/>
        </w:rPr>
        <w:t xml:space="preserve"> sexual pleasure</w:t>
      </w:r>
      <w:r w:rsidR="006C6568">
        <w:rPr>
          <w:color w:val="000000" w:themeColor="text1"/>
        </w:rPr>
        <w:t>,</w:t>
      </w:r>
      <w:r w:rsidRPr="00BD57E5">
        <w:rPr>
          <w:color w:val="000000" w:themeColor="text1"/>
        </w:rPr>
        <w:t xml:space="preserve"> </w:t>
      </w:r>
      <w:r w:rsidR="00307C2D">
        <w:rPr>
          <w:color w:val="000000" w:themeColor="text1"/>
        </w:rPr>
        <w:t xml:space="preserve">physical health, </w:t>
      </w:r>
      <w:r w:rsidRPr="00BD57E5">
        <w:rPr>
          <w:color w:val="000000" w:themeColor="text1"/>
        </w:rPr>
        <w:t xml:space="preserve">and body image </w:t>
      </w:r>
      <w:r w:rsidR="002C1778">
        <w:rPr>
          <w:color w:val="000000" w:themeColor="text1"/>
        </w:rPr>
        <w:t>[43-45]</w:t>
      </w:r>
      <w:r w:rsidR="006C6568" w:rsidRPr="00BD57E5">
        <w:rPr>
          <w:color w:val="000000" w:themeColor="text1"/>
        </w:rPr>
        <w:t xml:space="preserve">. </w:t>
      </w:r>
      <w:r w:rsidR="00492474">
        <w:rPr>
          <w:color w:val="000000" w:themeColor="text1"/>
        </w:rPr>
        <w:t xml:space="preserve">Further, evidence suggests that physical activity and exercise may improve erectile </w:t>
      </w:r>
      <w:r w:rsidR="00B469DA">
        <w:rPr>
          <w:color w:val="000000" w:themeColor="text1"/>
        </w:rPr>
        <w:t>function</w:t>
      </w:r>
      <w:r w:rsidR="00492474">
        <w:rPr>
          <w:color w:val="000000" w:themeColor="text1"/>
        </w:rPr>
        <w:t xml:space="preserve"> </w:t>
      </w:r>
      <w:r w:rsidR="00481907">
        <w:rPr>
          <w:color w:val="000000" w:themeColor="text1"/>
        </w:rPr>
        <w:t>[46]</w:t>
      </w:r>
      <w:r w:rsidR="00492474">
        <w:rPr>
          <w:color w:val="000000" w:themeColor="text1"/>
        </w:rPr>
        <w:t xml:space="preserve"> which could also lead to improved sexual pleasure and satisfaction</w:t>
      </w:r>
      <w:r w:rsidR="00636B0B">
        <w:rPr>
          <w:color w:val="000000" w:themeColor="text1"/>
        </w:rPr>
        <w:t xml:space="preserve"> and</w:t>
      </w:r>
      <w:r w:rsidR="00492474">
        <w:rPr>
          <w:color w:val="000000" w:themeColor="text1"/>
        </w:rPr>
        <w:t xml:space="preserve"> </w:t>
      </w:r>
      <w:r w:rsidR="00663092">
        <w:rPr>
          <w:color w:val="000000" w:themeColor="text1"/>
        </w:rPr>
        <w:t>s</w:t>
      </w:r>
      <w:r w:rsidR="00663092" w:rsidRPr="00BD57E5">
        <w:rPr>
          <w:color w:val="000000" w:themeColor="text1"/>
        </w:rPr>
        <w:t>exual intercourse itself may be considered a</w:t>
      </w:r>
      <w:r w:rsidR="00663092">
        <w:rPr>
          <w:color w:val="000000" w:themeColor="text1"/>
        </w:rPr>
        <w:t>s</w:t>
      </w:r>
      <w:r w:rsidR="00663092" w:rsidRPr="00BD57E5">
        <w:rPr>
          <w:color w:val="000000" w:themeColor="text1"/>
        </w:rPr>
        <w:t xml:space="preserve"> good exercise</w:t>
      </w:r>
      <w:r w:rsidR="00481907">
        <w:rPr>
          <w:color w:val="000000" w:themeColor="text1"/>
        </w:rPr>
        <w:t xml:space="preserve"> [47]</w:t>
      </w:r>
      <w:r w:rsidR="00663092" w:rsidRPr="00BD57E5">
        <w:rPr>
          <w:color w:val="000000" w:themeColor="text1"/>
        </w:rPr>
        <w:t>.</w:t>
      </w:r>
      <w:r w:rsidR="00636B0B">
        <w:rPr>
          <w:color w:val="000000" w:themeColor="text1"/>
        </w:rPr>
        <w:t xml:space="preserve"> </w:t>
      </w:r>
      <w:r w:rsidRPr="00BD57E5">
        <w:rPr>
          <w:color w:val="000000" w:themeColor="text1"/>
        </w:rPr>
        <w:t xml:space="preserve">Overall, </w:t>
      </w:r>
      <w:r w:rsidR="00636B0B">
        <w:rPr>
          <w:color w:val="000000" w:themeColor="text1"/>
        </w:rPr>
        <w:t xml:space="preserve">the relationship between </w:t>
      </w:r>
      <w:r w:rsidRPr="00BD57E5">
        <w:rPr>
          <w:color w:val="000000" w:themeColor="text1"/>
        </w:rPr>
        <w:t>having sex for pleasure</w:t>
      </w:r>
      <w:r w:rsidR="00636B0B">
        <w:rPr>
          <w:color w:val="000000" w:themeColor="text1"/>
        </w:rPr>
        <w:t xml:space="preserve"> and improved physical health QoL is likely to be bidirectional and may also be associated with improved physical health and body image, although the nature of any such relationship remains to be explored.</w:t>
      </w:r>
      <w:r w:rsidRPr="00BD57E5">
        <w:rPr>
          <w:color w:val="000000" w:themeColor="text1"/>
        </w:rPr>
        <w:t xml:space="preserve"> </w:t>
      </w:r>
    </w:p>
    <w:p w14:paraId="23A515A8" w14:textId="056AC1D3" w:rsidR="004C5DC0" w:rsidRPr="00BD57E5" w:rsidRDefault="004C5DC0" w:rsidP="00BD57E5">
      <w:pPr>
        <w:ind w:firstLine="720"/>
        <w:rPr>
          <w:color w:val="000000" w:themeColor="text1"/>
        </w:rPr>
      </w:pPr>
      <w:bookmarkStart w:id="18" w:name="OLE_LINK15"/>
      <w:bookmarkStart w:id="19" w:name="OLE_LINK16"/>
      <w:r w:rsidRPr="00BD57E5">
        <w:rPr>
          <w:color w:val="000000" w:themeColor="text1"/>
        </w:rPr>
        <w:t xml:space="preserve">Secondly, having sex for love and commitment reasons was associated with better psychological health QoL, which is in line with studies by Brunell and Webster </w:t>
      </w:r>
      <w:r w:rsidR="00CC0AB8">
        <w:rPr>
          <w:color w:val="000000" w:themeColor="text1"/>
        </w:rPr>
        <w:t>[48]</w:t>
      </w:r>
      <w:r w:rsidRPr="00BD57E5">
        <w:rPr>
          <w:color w:val="000000" w:themeColor="text1"/>
        </w:rPr>
        <w:t xml:space="preserve"> who found that love and commitment in romantic relationships are linked to better sexual satisfaction and psychological health. Accordingly, Mostova, </w:t>
      </w:r>
      <w:r w:rsidRPr="00BD57E5">
        <w:rPr>
          <w:rFonts w:eastAsia="SimSun"/>
          <w:lang w:val="it-IT"/>
        </w:rPr>
        <w:t>Stolarski</w:t>
      </w:r>
      <w:r w:rsidRPr="00BD57E5">
        <w:rPr>
          <w:color w:val="000000" w:themeColor="text1"/>
        </w:rPr>
        <w:t xml:space="preserve">, and </w:t>
      </w:r>
      <w:r w:rsidRPr="00BD57E5">
        <w:rPr>
          <w:rFonts w:eastAsia="SimSun"/>
          <w:lang w:val="it-IT"/>
        </w:rPr>
        <w:t>Matthews</w:t>
      </w:r>
      <w:r w:rsidRPr="00BD57E5">
        <w:rPr>
          <w:color w:val="000000" w:themeColor="text1"/>
        </w:rPr>
        <w:t xml:space="preserve"> </w:t>
      </w:r>
      <w:r w:rsidR="00CC0AB8">
        <w:rPr>
          <w:color w:val="000000" w:themeColor="text1"/>
        </w:rPr>
        <w:t>[49]</w:t>
      </w:r>
      <w:r w:rsidRPr="00BD57E5">
        <w:rPr>
          <w:color w:val="000000" w:themeColor="text1"/>
        </w:rPr>
        <w:t xml:space="preserve"> found that expressing and receiving love in preferred ways, such as physical touch, can </w:t>
      </w:r>
      <w:r w:rsidRPr="00BD57E5">
        <w:rPr>
          <w:color w:val="000000" w:themeColor="text1"/>
        </w:rPr>
        <w:lastRenderedPageBreak/>
        <w:t>increase sexual satisfaction and overall psychological well-being</w:t>
      </w:r>
      <w:r w:rsidR="00051CAD">
        <w:rPr>
          <w:color w:val="000000" w:themeColor="text1"/>
        </w:rPr>
        <w:t xml:space="preserve"> [50]</w:t>
      </w:r>
      <w:r w:rsidRPr="00BD57E5">
        <w:rPr>
          <w:color w:val="000000" w:themeColor="text1"/>
        </w:rPr>
        <w:t xml:space="preserve">. Muise and Impett also found that those with higher communal </w:t>
      </w:r>
      <w:r w:rsidR="002352F2" w:rsidRPr="00BD57E5">
        <w:rPr>
          <w:color w:val="000000" w:themeColor="text1"/>
        </w:rPr>
        <w:t>strength,</w:t>
      </w:r>
      <w:r w:rsidRPr="00BD57E5">
        <w:rPr>
          <w:color w:val="000000" w:themeColor="text1"/>
          <w:lang w:eastAsia="zh-CN"/>
        </w:rPr>
        <w:t xml:space="preserve"> </w:t>
      </w:r>
      <w:r w:rsidR="0055525E">
        <w:rPr>
          <w:color w:val="000000" w:themeColor="text1"/>
          <w:lang w:eastAsia="zh-CN"/>
        </w:rPr>
        <w:t xml:space="preserve">that is </w:t>
      </w:r>
      <w:r w:rsidRPr="00BD57E5">
        <w:rPr>
          <w:color w:val="000000" w:themeColor="text1"/>
          <w:lang w:eastAsia="zh-CN"/>
        </w:rPr>
        <w:t xml:space="preserve">people who are motivated to respond unconditionally to their partners’ sexual requirement, </w:t>
      </w:r>
      <w:r w:rsidRPr="00BD57E5">
        <w:rPr>
          <w:color w:val="000000" w:themeColor="text1"/>
        </w:rPr>
        <w:t>are more likely to satisfy their partner's sexual needs, leading to increased relationship and psychological well-being</w:t>
      </w:r>
      <w:r w:rsidR="0029682B">
        <w:rPr>
          <w:color w:val="000000" w:themeColor="text1"/>
        </w:rPr>
        <w:t xml:space="preserve"> [51]</w:t>
      </w:r>
      <w:r w:rsidRPr="00BD57E5">
        <w:rPr>
          <w:color w:val="000000" w:themeColor="text1"/>
        </w:rPr>
        <w:t xml:space="preserve">. Therefore, having sex for love and commitment </w:t>
      </w:r>
      <w:r w:rsidR="004A0509">
        <w:rPr>
          <w:color w:val="000000" w:themeColor="text1"/>
        </w:rPr>
        <w:t xml:space="preserve">motivations </w:t>
      </w:r>
      <w:r w:rsidRPr="00BD57E5">
        <w:rPr>
          <w:color w:val="000000" w:themeColor="text1"/>
        </w:rPr>
        <w:t xml:space="preserve">can improve psychological health QoL by allowing people to </w:t>
      </w:r>
      <w:r w:rsidR="004A0509">
        <w:rPr>
          <w:color w:val="000000" w:themeColor="text1"/>
        </w:rPr>
        <w:t>meet their own and their partner’s</w:t>
      </w:r>
      <w:r w:rsidRPr="00BD57E5">
        <w:rPr>
          <w:color w:val="000000" w:themeColor="text1"/>
        </w:rPr>
        <w:t xml:space="preserve"> sexual needs</w:t>
      </w:r>
      <w:r w:rsidR="004A0509">
        <w:rPr>
          <w:color w:val="000000" w:themeColor="text1"/>
        </w:rPr>
        <w:t>, leading to better overall psychological well-being</w:t>
      </w:r>
      <w:r w:rsidRPr="00BD57E5">
        <w:rPr>
          <w:color w:val="000000" w:themeColor="text1"/>
        </w:rPr>
        <w:t xml:space="preserve">. </w:t>
      </w:r>
    </w:p>
    <w:p w14:paraId="0F3CA626" w14:textId="076B6D13" w:rsidR="004C5DC0" w:rsidRPr="00BD57E5" w:rsidRDefault="004C5DC0" w:rsidP="00E87A6B">
      <w:pPr>
        <w:ind w:firstLine="720"/>
        <w:rPr>
          <w:color w:val="000000" w:themeColor="text1"/>
        </w:rPr>
      </w:pPr>
      <w:bookmarkStart w:id="20" w:name="culture_emotion_qol"/>
      <w:bookmarkEnd w:id="18"/>
      <w:bookmarkEnd w:id="19"/>
      <w:r w:rsidRPr="00BD57E5">
        <w:rPr>
          <w:color w:val="000000" w:themeColor="text1"/>
        </w:rPr>
        <w:t>Finally, love</w:t>
      </w:r>
      <w:r w:rsidR="004A0509">
        <w:rPr>
          <w:color w:val="000000" w:themeColor="text1"/>
        </w:rPr>
        <w:t xml:space="preserve"> and</w:t>
      </w:r>
      <w:r w:rsidRPr="00BD57E5">
        <w:rPr>
          <w:color w:val="000000" w:themeColor="text1"/>
        </w:rPr>
        <w:t xml:space="preserve"> commitment </w:t>
      </w:r>
      <w:r w:rsidR="004A0509">
        <w:rPr>
          <w:color w:val="000000" w:themeColor="text1"/>
        </w:rPr>
        <w:t xml:space="preserve">motivations </w:t>
      </w:r>
      <w:r w:rsidRPr="00BD57E5">
        <w:rPr>
          <w:color w:val="000000" w:themeColor="text1"/>
        </w:rPr>
        <w:t xml:space="preserve">and pleasure </w:t>
      </w:r>
      <w:r w:rsidR="004A0509">
        <w:rPr>
          <w:color w:val="000000" w:themeColor="text1"/>
        </w:rPr>
        <w:t>motivations for sex</w:t>
      </w:r>
      <w:r w:rsidR="004A0509" w:rsidRPr="00BD57E5">
        <w:rPr>
          <w:color w:val="000000" w:themeColor="text1"/>
        </w:rPr>
        <w:t xml:space="preserve"> </w:t>
      </w:r>
      <w:r w:rsidRPr="00BD57E5">
        <w:rPr>
          <w:color w:val="000000" w:themeColor="text1"/>
        </w:rPr>
        <w:t>w</w:t>
      </w:r>
      <w:r w:rsidR="004A0509">
        <w:rPr>
          <w:color w:val="000000" w:themeColor="text1"/>
        </w:rPr>
        <w:t>ere</w:t>
      </w:r>
      <w:r w:rsidRPr="00BD57E5">
        <w:rPr>
          <w:color w:val="000000" w:themeColor="text1"/>
        </w:rPr>
        <w:t xml:space="preserve"> associated with improved social support QoL. There are at least two possible explanations. First, sex may enhance the bond between partners and increase satisfaction with social interactions, which can lead to stronger social support. For example, Kapsaridi and Charvoz's review found that men in strong romantic relationships had stronger social support, helping them manage stress and other relationships</w:t>
      </w:r>
      <w:r w:rsidR="009C498A">
        <w:rPr>
          <w:color w:val="000000" w:themeColor="text1"/>
        </w:rPr>
        <w:t xml:space="preserve"> [52]</w:t>
      </w:r>
      <w:r w:rsidRPr="00BD57E5">
        <w:rPr>
          <w:color w:val="000000" w:themeColor="text1"/>
        </w:rPr>
        <w:t xml:space="preserve">. Second, according to self-determination theory, engaging in sex for pleasure is an intrinsic motivation that satisfies individual needs and increases relationship well-being </w:t>
      </w:r>
      <w:r w:rsidR="009C498A">
        <w:rPr>
          <w:color w:val="000000" w:themeColor="text1"/>
        </w:rPr>
        <w:t>[53]</w:t>
      </w:r>
      <w:r w:rsidRPr="00BD57E5">
        <w:rPr>
          <w:color w:val="000000" w:themeColor="text1"/>
        </w:rPr>
        <w:t xml:space="preserve">. Romantic partners may have sex for different reasons, such as fulfilling sexual needs and enhancing relationship satisfaction. Self-determined individuals are more likely to be attached to their partners and fulfil their sexual needs, while those motivated by love and commitment may prioritize relationship satisfaction </w:t>
      </w:r>
      <w:r w:rsidR="00380068">
        <w:rPr>
          <w:color w:val="000000" w:themeColor="text1"/>
        </w:rPr>
        <w:t>[54, 55]</w:t>
      </w:r>
      <w:r w:rsidRPr="00BD57E5">
        <w:rPr>
          <w:color w:val="000000" w:themeColor="text1"/>
        </w:rPr>
        <w:t>. Overall, individuals with love</w:t>
      </w:r>
      <w:r w:rsidR="00E87A6B">
        <w:rPr>
          <w:color w:val="000000" w:themeColor="text1"/>
        </w:rPr>
        <w:t xml:space="preserve"> and</w:t>
      </w:r>
      <w:r w:rsidRPr="00BD57E5">
        <w:rPr>
          <w:color w:val="000000" w:themeColor="text1"/>
        </w:rPr>
        <w:t xml:space="preserve"> commitment</w:t>
      </w:r>
      <w:r w:rsidR="00E87A6B">
        <w:rPr>
          <w:color w:val="000000" w:themeColor="text1"/>
        </w:rPr>
        <w:t xml:space="preserve"> motivations</w:t>
      </w:r>
      <w:r w:rsidRPr="00BD57E5">
        <w:rPr>
          <w:color w:val="000000" w:themeColor="text1"/>
        </w:rPr>
        <w:t xml:space="preserve"> and pleasure motivations </w:t>
      </w:r>
      <w:r w:rsidR="00E87A6B">
        <w:rPr>
          <w:color w:val="000000" w:themeColor="text1"/>
        </w:rPr>
        <w:t>may</w:t>
      </w:r>
      <w:r w:rsidRPr="00BD57E5">
        <w:rPr>
          <w:color w:val="000000" w:themeColor="text1"/>
        </w:rPr>
        <w:t xml:space="preserve"> improve their social well-being through sexual fulfilment and enhanced relationship satisfaction, leading to better social relationships.</w:t>
      </w:r>
    </w:p>
    <w:p w14:paraId="24BECAA9" w14:textId="77777777" w:rsidR="004C5DC0" w:rsidRPr="004E72EE" w:rsidRDefault="004C5DC0" w:rsidP="00BD57E5">
      <w:pPr>
        <w:rPr>
          <w:b/>
          <w:bCs/>
          <w:color w:val="000000" w:themeColor="text1"/>
          <w:sz w:val="32"/>
          <w:szCs w:val="32"/>
        </w:rPr>
      </w:pPr>
      <w:r w:rsidRPr="004E72EE">
        <w:rPr>
          <w:b/>
          <w:bCs/>
          <w:color w:val="000000" w:themeColor="text1"/>
          <w:sz w:val="32"/>
          <w:szCs w:val="32"/>
        </w:rPr>
        <w:lastRenderedPageBreak/>
        <w:t xml:space="preserve">Culture as a moderator of emotional motivation and psychological health QoL </w:t>
      </w:r>
      <w:bookmarkEnd w:id="20"/>
    </w:p>
    <w:p w14:paraId="46717A7A" w14:textId="78151836" w:rsidR="004C5DC0" w:rsidRPr="00BD57E5" w:rsidRDefault="004C5DC0" w:rsidP="00BD57E5">
      <w:pPr>
        <w:ind w:firstLine="720"/>
        <w:rPr>
          <w:color w:val="000000" w:themeColor="text1"/>
        </w:rPr>
      </w:pPr>
      <w:r w:rsidRPr="00BD57E5">
        <w:rPr>
          <w:color w:val="000000" w:themeColor="text1"/>
        </w:rPr>
        <w:t xml:space="preserve">Our study found a moderating effect of culture such that Chinese participants showed a significant positive association between emotional motivation and psychological health QoL, while participants from the United Kingdom did not. </w:t>
      </w:r>
      <w:r w:rsidR="00DA248F">
        <w:rPr>
          <w:color w:val="000000" w:themeColor="text1"/>
        </w:rPr>
        <w:t xml:space="preserve">While past research has </w:t>
      </w:r>
      <w:r w:rsidRPr="00BD57E5">
        <w:rPr>
          <w:color w:val="000000" w:themeColor="text1"/>
        </w:rPr>
        <w:t>found no difference in sexual motivation between Chinese and Western participants</w:t>
      </w:r>
      <w:r w:rsidR="00DA248F">
        <w:rPr>
          <w:color w:val="000000" w:themeColor="text1"/>
        </w:rPr>
        <w:t xml:space="preserve"> </w:t>
      </w:r>
      <w:r w:rsidR="00CC7C36">
        <w:rPr>
          <w:color w:val="000000" w:themeColor="text1"/>
        </w:rPr>
        <w:t>[56]</w:t>
      </w:r>
      <w:r w:rsidR="00DA248F">
        <w:rPr>
          <w:color w:val="000000" w:themeColor="text1"/>
        </w:rPr>
        <w:t>,</w:t>
      </w:r>
      <w:r w:rsidRPr="00BD57E5">
        <w:rPr>
          <w:color w:val="000000" w:themeColor="text1"/>
        </w:rPr>
        <w:t xml:space="preserve"> </w:t>
      </w:r>
      <w:r w:rsidR="00DA248F">
        <w:rPr>
          <w:color w:val="000000" w:themeColor="text1"/>
        </w:rPr>
        <w:t>c</w:t>
      </w:r>
      <w:r w:rsidRPr="00BD57E5">
        <w:rPr>
          <w:color w:val="000000" w:themeColor="text1"/>
        </w:rPr>
        <w:t>ultural barriers experienced by Chinese individuals may explain the stronger association between emotion</w:t>
      </w:r>
      <w:r w:rsidR="007C572D">
        <w:rPr>
          <w:color w:val="000000" w:themeColor="text1"/>
        </w:rPr>
        <w:t>al motivation for sex</w:t>
      </w:r>
      <w:r w:rsidRPr="00BD57E5">
        <w:rPr>
          <w:color w:val="000000" w:themeColor="text1"/>
        </w:rPr>
        <w:t xml:space="preserve"> and psychological health, since individuals in China may have less opportunity to engage with formal sexual education programmes </w:t>
      </w:r>
      <w:r w:rsidR="00123428">
        <w:rPr>
          <w:color w:val="000000" w:themeColor="text1"/>
        </w:rPr>
        <w:t>[57]</w:t>
      </w:r>
      <w:r w:rsidRPr="00BD57E5">
        <w:rPr>
          <w:color w:val="000000" w:themeColor="text1"/>
        </w:rPr>
        <w:t xml:space="preserve"> and may have restricted access to certain literature and other education resources. Consequently, Chinese individuals may rely on family or cultural sources to learn about sexuality</w:t>
      </w:r>
      <w:r w:rsidR="00732DC2">
        <w:rPr>
          <w:color w:val="000000" w:themeColor="text1"/>
        </w:rPr>
        <w:t xml:space="preserve"> which</w:t>
      </w:r>
      <w:r w:rsidRPr="00BD57E5">
        <w:rPr>
          <w:color w:val="000000" w:themeColor="text1"/>
        </w:rPr>
        <w:t xml:space="preserve"> may result in a greater emphasis on emotional factors, such as love and connection, as motivators for sexual activity </w:t>
      </w:r>
      <w:r w:rsidR="00123428">
        <w:rPr>
          <w:color w:val="000000" w:themeColor="text1"/>
        </w:rPr>
        <w:t>[58]</w:t>
      </w:r>
      <w:r w:rsidRPr="00BD57E5">
        <w:rPr>
          <w:color w:val="000000" w:themeColor="text1"/>
        </w:rPr>
        <w:t>.</w:t>
      </w:r>
    </w:p>
    <w:p w14:paraId="0A74864C" w14:textId="0877254D" w:rsidR="004C5DC0" w:rsidRPr="00BD57E5" w:rsidRDefault="004C5DC0" w:rsidP="00BD57E5">
      <w:pPr>
        <w:ind w:firstLine="720"/>
        <w:rPr>
          <w:color w:val="000000" w:themeColor="text1"/>
        </w:rPr>
      </w:pPr>
      <w:r w:rsidRPr="00BD57E5">
        <w:rPr>
          <w:color w:val="000000" w:themeColor="text1"/>
        </w:rPr>
        <w:t>In contrast, participants from the United Kingdom did not demonstrate a relationship between emotional motivation and QoL. This is consistent with work by Higgins et al. which found</w:t>
      </w:r>
      <w:r w:rsidRPr="00BD57E5">
        <w:t xml:space="preserve"> </w:t>
      </w:r>
      <w:r w:rsidR="007C572D">
        <w:t xml:space="preserve">that </w:t>
      </w:r>
      <w:r w:rsidRPr="00BD57E5">
        <w:t>although some of the socio-historical changes are similar, the fundamental attitudes toward sexuality in the Chinese and United Kingdom samples have significantly different emphasis and preferences</w:t>
      </w:r>
      <w:r w:rsidR="00123428">
        <w:t xml:space="preserve"> [59]</w:t>
      </w:r>
      <w:r w:rsidRPr="00BD57E5">
        <w:t xml:space="preserve">. </w:t>
      </w:r>
      <w:r w:rsidRPr="00BD57E5">
        <w:rPr>
          <w:color w:val="000000" w:themeColor="text1"/>
        </w:rPr>
        <w:t xml:space="preserve">Additionally, people from the UK may not consider having sex for emotional purposes as a primary way to regulate their psychological well-being </w:t>
      </w:r>
      <w:r w:rsidR="00915949">
        <w:rPr>
          <w:color w:val="000000" w:themeColor="text1"/>
        </w:rPr>
        <w:t>[60, 61]</w:t>
      </w:r>
      <w:r w:rsidRPr="00BD57E5">
        <w:rPr>
          <w:color w:val="000000" w:themeColor="text1"/>
        </w:rPr>
        <w:t xml:space="preserve">. </w:t>
      </w:r>
      <w:r w:rsidRPr="00BD57E5">
        <w:t xml:space="preserve">For instance, </w:t>
      </w:r>
      <w:r w:rsidR="00005A99">
        <w:t xml:space="preserve">compared to sex education in China, </w:t>
      </w:r>
      <w:r w:rsidRPr="00BD57E5">
        <w:t>sex education in the United Kingdom teaches more about seeking sexual pleasure and satisfaction</w:t>
      </w:r>
      <w:r w:rsidR="00005A99">
        <w:t>, rather</w:t>
      </w:r>
      <w:r w:rsidRPr="00BD57E5">
        <w:t xml:space="preserve"> than only an </w:t>
      </w:r>
      <w:r w:rsidRPr="00BD57E5">
        <w:lastRenderedPageBreak/>
        <w:t xml:space="preserve">emotion-based approach to sex, which may lead to a positive association between mental health and physical pleasure </w:t>
      </w:r>
      <w:r w:rsidR="00046D34">
        <w:t>[62]</w:t>
      </w:r>
      <w:r w:rsidRPr="00BD57E5">
        <w:t xml:space="preserve">. </w:t>
      </w:r>
      <w:r w:rsidRPr="00BD57E5">
        <w:rPr>
          <w:color w:val="000000" w:themeColor="text1"/>
        </w:rPr>
        <w:t>Therefore, the significant association between emotional motivation and psychological QoL in the Chinese participants may be due to cultural differences, differences in sexual education, and different attitudes towards sexual health.</w:t>
      </w:r>
    </w:p>
    <w:p w14:paraId="3350BB45" w14:textId="77777777" w:rsidR="004C5DC0" w:rsidRPr="004E72EE" w:rsidRDefault="004C5DC0" w:rsidP="00BD57E5">
      <w:pPr>
        <w:rPr>
          <w:b/>
          <w:bCs/>
          <w:color w:val="000000" w:themeColor="text1"/>
          <w:sz w:val="32"/>
          <w:szCs w:val="32"/>
        </w:rPr>
      </w:pPr>
      <w:bookmarkStart w:id="21" w:name="reproduction"/>
      <w:r w:rsidRPr="004E72EE">
        <w:rPr>
          <w:b/>
          <w:bCs/>
          <w:color w:val="000000" w:themeColor="text1"/>
          <w:sz w:val="32"/>
          <w:szCs w:val="32"/>
        </w:rPr>
        <w:t>Reproduction motivations and QoL</w:t>
      </w:r>
    </w:p>
    <w:bookmarkEnd w:id="21"/>
    <w:p w14:paraId="3B2D1F9B" w14:textId="0081F4EB" w:rsidR="004C5DC0" w:rsidRPr="00BD57E5" w:rsidRDefault="004C5DC0" w:rsidP="00BD57E5">
      <w:pPr>
        <w:ind w:firstLine="720"/>
        <w:rPr>
          <w:color w:val="000000" w:themeColor="text1"/>
        </w:rPr>
      </w:pPr>
      <w:r w:rsidRPr="00BD57E5">
        <w:rPr>
          <w:color w:val="000000" w:themeColor="text1"/>
        </w:rPr>
        <w:t xml:space="preserve">Unexpectedly, reproduction motivation was not associated with physical, psychological, or social QoL. This may be because our participants were mainly young university students who may not prioritize or want to have children, or who may fear childbirth leading to declined motivation to have sex for reproductive purposes </w:t>
      </w:r>
      <w:r w:rsidR="00046D34">
        <w:rPr>
          <w:color w:val="000000" w:themeColor="text1"/>
        </w:rPr>
        <w:t>[63]</w:t>
      </w:r>
      <w:r w:rsidRPr="00BD57E5">
        <w:rPr>
          <w:color w:val="000000" w:themeColor="text1"/>
        </w:rPr>
        <w:t xml:space="preserve">. Additionally, university students often experience high levels of stress, which could further discourage sexual activity for reproduction </w:t>
      </w:r>
      <w:r w:rsidR="00046D34">
        <w:rPr>
          <w:color w:val="000000" w:themeColor="text1"/>
        </w:rPr>
        <w:t>[64]</w:t>
      </w:r>
      <w:r w:rsidRPr="00BD57E5">
        <w:rPr>
          <w:color w:val="000000" w:themeColor="text1"/>
        </w:rPr>
        <w:t>. Therefore, our findings suggest that reproduction motivation may not be significantly associated with biopsychosocial quality of life in young university students; however, this should be further explored in older and more diverse samples.</w:t>
      </w:r>
    </w:p>
    <w:p w14:paraId="4D225978" w14:textId="77777777" w:rsidR="004C5DC0" w:rsidRPr="004E72EE" w:rsidRDefault="004C5DC0" w:rsidP="00BD57E5">
      <w:pPr>
        <w:rPr>
          <w:b/>
          <w:bCs/>
          <w:color w:val="000000" w:themeColor="text1"/>
          <w:sz w:val="32"/>
          <w:szCs w:val="32"/>
        </w:rPr>
      </w:pPr>
      <w:bookmarkStart w:id="22" w:name="strength_limitation"/>
      <w:r w:rsidRPr="004E72EE">
        <w:rPr>
          <w:b/>
          <w:bCs/>
          <w:color w:val="000000" w:themeColor="text1"/>
          <w:sz w:val="32"/>
          <w:szCs w:val="32"/>
        </w:rPr>
        <w:t>Strengths and limitations</w:t>
      </w:r>
      <w:bookmarkEnd w:id="22"/>
    </w:p>
    <w:p w14:paraId="39CF3A78" w14:textId="4272956B" w:rsidR="004C5DC0" w:rsidRPr="00BD57E5" w:rsidRDefault="004C5DC0" w:rsidP="00BD57E5">
      <w:pPr>
        <w:ind w:firstLine="720"/>
        <w:rPr>
          <w:color w:val="000000" w:themeColor="text1"/>
        </w:rPr>
      </w:pPr>
      <w:r w:rsidRPr="00BD57E5">
        <w:rPr>
          <w:color w:val="000000" w:themeColor="text1"/>
        </w:rPr>
        <w:t xml:space="preserve">The present study compares Chinese and United Kingdom samples, considers cultural factors, and provides a diverse viewpoint beyond solely a Western focus which may make it relevant to a wider range of people. As Chinese immigrants are one of the fastest-growing groups in the United Kingdom </w:t>
      </w:r>
      <w:r w:rsidR="001D47C4">
        <w:rPr>
          <w:color w:val="000000" w:themeColor="text1"/>
        </w:rPr>
        <w:t>[65]</w:t>
      </w:r>
      <w:r w:rsidRPr="00BD57E5">
        <w:rPr>
          <w:color w:val="000000" w:themeColor="text1"/>
        </w:rPr>
        <w:t xml:space="preserve">, these findings may help sexual health clinicians working in the UK to better understand the association between sexual motivation and QoL among </w:t>
      </w:r>
      <w:r w:rsidRPr="00BD57E5">
        <w:rPr>
          <w:color w:val="000000" w:themeColor="text1"/>
        </w:rPr>
        <w:lastRenderedPageBreak/>
        <w:t>cultures, leading to more appropriate sexual health interventions for diverse cultural communities.</w:t>
      </w:r>
    </w:p>
    <w:p w14:paraId="5E02DA52" w14:textId="09507A38" w:rsidR="004C5DC0" w:rsidRPr="00BD57E5" w:rsidRDefault="004C5DC0" w:rsidP="00BD57E5">
      <w:pPr>
        <w:ind w:firstLine="720"/>
        <w:rPr>
          <w:color w:val="000000" w:themeColor="text1"/>
        </w:rPr>
      </w:pPr>
      <w:r w:rsidRPr="00BD57E5">
        <w:rPr>
          <w:color w:val="000000" w:themeColor="text1"/>
        </w:rPr>
        <w:t>This study also had several limitations. Firstly, the questionnaire for the Chinese sample was also in English, which may have led to misunderstanding</w:t>
      </w:r>
      <w:r w:rsidR="00FD5C70">
        <w:rPr>
          <w:color w:val="000000" w:themeColor="text1"/>
        </w:rPr>
        <w:t>s</w:t>
      </w:r>
      <w:r w:rsidRPr="00BD57E5">
        <w:rPr>
          <w:color w:val="000000" w:themeColor="text1"/>
        </w:rPr>
        <w:t xml:space="preserve"> and may have influenced the findings. </w:t>
      </w:r>
      <w:r w:rsidR="00973513">
        <w:rPr>
          <w:color w:val="000000" w:themeColor="text1"/>
        </w:rPr>
        <w:t>Additionally</w:t>
      </w:r>
      <w:r w:rsidRPr="00BD57E5">
        <w:rPr>
          <w:color w:val="000000" w:themeColor="text1"/>
        </w:rPr>
        <w:t>, while the sample was balanced between participants from the UK and China, the sample was predominantly made of young university students. As such, their motivations for sex may differ from peers not in university and from older adults, particular with respect to reproductive motivations.</w:t>
      </w:r>
    </w:p>
    <w:p w14:paraId="2E7E55A1" w14:textId="77777777" w:rsidR="004C5DC0" w:rsidRPr="004E72EE" w:rsidRDefault="004C5DC0" w:rsidP="00BD57E5">
      <w:pPr>
        <w:rPr>
          <w:b/>
          <w:bCs/>
          <w:color w:val="000000" w:themeColor="text1"/>
          <w:sz w:val="32"/>
          <w:szCs w:val="32"/>
        </w:rPr>
      </w:pPr>
      <w:bookmarkStart w:id="23" w:name="future_implication"/>
      <w:r w:rsidRPr="004E72EE">
        <w:rPr>
          <w:b/>
          <w:bCs/>
          <w:color w:val="000000" w:themeColor="text1"/>
          <w:sz w:val="32"/>
          <w:szCs w:val="32"/>
        </w:rPr>
        <w:t>Future research</w:t>
      </w:r>
      <w:bookmarkEnd w:id="23"/>
    </w:p>
    <w:p w14:paraId="3FA7D329" w14:textId="6F6D676B" w:rsidR="004C5DC0" w:rsidRPr="00BD57E5" w:rsidRDefault="004C5DC0" w:rsidP="00BD57E5">
      <w:pPr>
        <w:ind w:firstLine="720"/>
        <w:rPr>
          <w:color w:val="000000" w:themeColor="text1"/>
        </w:rPr>
      </w:pPr>
      <w:r w:rsidRPr="00BD57E5">
        <w:rPr>
          <w:color w:val="000000" w:themeColor="text1"/>
        </w:rPr>
        <w:t>Results of this study suggest several directions for future research. Firstly, including participants from different age groups may provide a more comprehensive understanding of how sexual behaviours vary across different ages and across the lifespan. Secondly, developing or validating a YSEX? Questionnaire specific to the Chinese population could shed light on the reasons behind sexual behaviours under strict sexual policies, particularly among different subgroups such as men and women of different ages.</w:t>
      </w:r>
    </w:p>
    <w:p w14:paraId="245CA549" w14:textId="3308A4CD" w:rsidR="004C5DC0" w:rsidRPr="00BD57E5" w:rsidRDefault="004C5DC0" w:rsidP="00BD57E5">
      <w:pPr>
        <w:ind w:firstLine="720"/>
        <w:rPr>
          <w:b/>
          <w:bCs/>
          <w:color w:val="000000" w:themeColor="text1"/>
        </w:rPr>
      </w:pPr>
      <w:r w:rsidRPr="00BD57E5">
        <w:rPr>
          <w:color w:val="000000" w:themeColor="text1"/>
        </w:rPr>
        <w:t xml:space="preserve">Additionally, future studies could benefit from studying other countries with significant immigrant populations, such as Australia, Canada, and the United States. Comparing findings across these diverse cultural contexts could help to better understand how cultural differences impact sexual motivation and quality of life, and how the interactions between immigrants and non-immigrants shape sexual attitudes and behaviours </w:t>
      </w:r>
      <w:r w:rsidR="009366F6">
        <w:rPr>
          <w:color w:val="000000" w:themeColor="text1"/>
        </w:rPr>
        <w:t>[66]</w:t>
      </w:r>
      <w:r w:rsidRPr="00BD57E5">
        <w:rPr>
          <w:color w:val="000000" w:themeColor="text1"/>
        </w:rPr>
        <w:t xml:space="preserve">. For example, investigating the effects of policy transitions, such as the shift from a </w:t>
      </w:r>
      <w:r w:rsidRPr="00BD57E5">
        <w:rPr>
          <w:color w:val="000000" w:themeColor="text1"/>
        </w:rPr>
        <w:lastRenderedPageBreak/>
        <w:t xml:space="preserve">White Australia policy to multiculturalism, could provide valuable insights into the impact of policy changes on sexual health </w:t>
      </w:r>
      <w:r w:rsidR="00813F6A">
        <w:rPr>
          <w:color w:val="000000" w:themeColor="text1"/>
        </w:rPr>
        <w:t>[67, 68]</w:t>
      </w:r>
      <w:r w:rsidRPr="00BD57E5">
        <w:rPr>
          <w:color w:val="000000" w:themeColor="text1"/>
        </w:rPr>
        <w:t>.</w:t>
      </w:r>
    </w:p>
    <w:p w14:paraId="113DAFBF" w14:textId="77777777" w:rsidR="004C5DC0" w:rsidRPr="004E72EE" w:rsidRDefault="004C5DC0" w:rsidP="00BD57E5">
      <w:pPr>
        <w:rPr>
          <w:b/>
          <w:bCs/>
          <w:color w:val="000000" w:themeColor="text1"/>
          <w:sz w:val="32"/>
          <w:szCs w:val="32"/>
        </w:rPr>
      </w:pPr>
      <w:bookmarkStart w:id="24" w:name="conclusion"/>
      <w:r w:rsidRPr="004E72EE">
        <w:rPr>
          <w:b/>
          <w:bCs/>
          <w:color w:val="000000" w:themeColor="text1"/>
          <w:sz w:val="32"/>
          <w:szCs w:val="32"/>
        </w:rPr>
        <w:t>Conclusion</w:t>
      </w:r>
      <w:bookmarkStart w:id="25" w:name="OLE_LINK25"/>
      <w:bookmarkStart w:id="26" w:name="OLE_LINK26"/>
      <w:bookmarkEnd w:id="24"/>
    </w:p>
    <w:p w14:paraId="068BFE25" w14:textId="770F9635" w:rsidR="004C5DC0" w:rsidRPr="00BD57E5" w:rsidRDefault="004C5DC0" w:rsidP="00BD57E5">
      <w:pPr>
        <w:ind w:firstLine="420"/>
      </w:pPr>
      <w:r w:rsidRPr="00BD57E5">
        <w:rPr>
          <w:color w:val="000000" w:themeColor="text1"/>
        </w:rPr>
        <w:t xml:space="preserve">This is the first research to examine the associations between sexual motivation and QoL from a biopsychosocial viewpoint, as well as </w:t>
      </w:r>
      <w:bookmarkEnd w:id="25"/>
      <w:bookmarkEnd w:id="26"/>
      <w:r w:rsidR="00FD5C70">
        <w:rPr>
          <w:color w:val="000000" w:themeColor="text1"/>
        </w:rPr>
        <w:t xml:space="preserve">to </w:t>
      </w:r>
      <w:r w:rsidRPr="00BD57E5">
        <w:rPr>
          <w:color w:val="000000" w:themeColor="text1"/>
        </w:rPr>
        <w:t>consider how these relationships are influenced by cultural background. Findings suggest that sexual motivations for love and pleasure are positively associated with mental and physical health QoL,</w:t>
      </w:r>
      <w:r w:rsidR="00DA0436">
        <w:rPr>
          <w:color w:val="000000" w:themeColor="text1"/>
        </w:rPr>
        <w:t xml:space="preserve"> respectively,</w:t>
      </w:r>
      <w:r w:rsidRPr="00BD57E5">
        <w:rPr>
          <w:color w:val="000000" w:themeColor="text1"/>
        </w:rPr>
        <w:t xml:space="preserve"> and both motivations are linked to higher social support QoL. Notably, emotional motivation was positively associated with psychological health QoL in the Chinese sample only. These results may have implications for sex education programmes and sexual health interventions and provides an initial understanding of the associations between sexual motivation and QoL.</w:t>
      </w:r>
    </w:p>
    <w:p w14:paraId="43A1770E" w14:textId="77777777" w:rsidR="004C5DC0" w:rsidRPr="00BD57E5" w:rsidRDefault="004C5DC0" w:rsidP="00BD57E5"/>
    <w:p w14:paraId="246134F8" w14:textId="77777777" w:rsidR="004C5DC0" w:rsidRPr="00BD57E5" w:rsidRDefault="004C5DC0" w:rsidP="00BD57E5"/>
    <w:p w14:paraId="5EFBBFA1" w14:textId="77777777" w:rsidR="002352F2" w:rsidRPr="00BD57E5" w:rsidRDefault="002352F2" w:rsidP="00BD57E5"/>
    <w:p w14:paraId="7AF2AD6B" w14:textId="0FC8ADA3" w:rsidR="006C1C2C" w:rsidRDefault="00A9057C" w:rsidP="00BD57E5">
      <w:r w:rsidRPr="00BD57E5">
        <w:rPr>
          <w:b/>
          <w:bCs/>
        </w:rPr>
        <w:t xml:space="preserve">Declaration of Interest: </w:t>
      </w:r>
      <w:r w:rsidRPr="00BD57E5">
        <w:t xml:space="preserve">The authors have no conflicts of interest to declare. </w:t>
      </w:r>
    </w:p>
    <w:p w14:paraId="1FF186AF" w14:textId="5CCB89F4" w:rsidR="00A9057C" w:rsidRPr="006C1C2C" w:rsidRDefault="006C1C2C" w:rsidP="006C1C2C">
      <w:pPr>
        <w:spacing w:line="240" w:lineRule="auto"/>
      </w:pPr>
      <w:r>
        <w:br w:type="page"/>
      </w:r>
    </w:p>
    <w:p w14:paraId="16CD5199" w14:textId="2361D344" w:rsidR="00F20579" w:rsidRPr="004E72EE" w:rsidRDefault="00F20579" w:rsidP="004E72EE">
      <w:pPr>
        <w:rPr>
          <w:rFonts w:eastAsia="SimSun"/>
          <w:b/>
          <w:bCs/>
          <w:color w:val="000000" w:themeColor="text1"/>
          <w:sz w:val="36"/>
          <w:szCs w:val="36"/>
        </w:rPr>
      </w:pPr>
      <w:r w:rsidRPr="004E72EE">
        <w:rPr>
          <w:rFonts w:eastAsia="SimSun"/>
          <w:b/>
          <w:bCs/>
          <w:color w:val="000000" w:themeColor="text1"/>
          <w:sz w:val="36"/>
          <w:szCs w:val="36"/>
        </w:rPr>
        <w:lastRenderedPageBreak/>
        <w:t>References</w:t>
      </w:r>
    </w:p>
    <w:p w14:paraId="0D9DB661"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Stark R, Kagerer S, Walter B, Vaitl D, Klucken T, Wehrum‐Osinsky S. Trait sexual motivation questionnaire: Concept and validation. </w:t>
      </w:r>
      <w:r w:rsidRPr="00D10898">
        <w:rPr>
          <w:rFonts w:ascii="Times New Roman" w:hAnsi="Times New Roman" w:cs="Times New Roman"/>
          <w:i/>
          <w:iCs/>
          <w:sz w:val="24"/>
        </w:rPr>
        <w:t>The Journal of Sexual Medicine</w:t>
      </w:r>
      <w:r w:rsidRPr="00D10898">
        <w:rPr>
          <w:rFonts w:ascii="Times New Roman" w:hAnsi="Times New Roman" w:cs="Times New Roman"/>
          <w:sz w:val="24"/>
        </w:rPr>
        <w:t xml:space="preserve"> 2015; 12(4): 1080-1091. http://dx.doi.org/10.1111/jsm.12843.</w:t>
      </w:r>
    </w:p>
    <w:p w14:paraId="766A4DC0"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Meskó N, Zsidó AN, Birkás B, Meston CM, Buss DM. Why Hungarians Have Sex: Development and Validation of a Brief 15-Item Instrument (YSEX?-15H). </w:t>
      </w:r>
      <w:r w:rsidRPr="00D10898">
        <w:rPr>
          <w:rFonts w:ascii="Times New Roman" w:eastAsia="SimSun" w:hAnsi="Times New Roman" w:cs="Times New Roman"/>
          <w:i/>
          <w:iCs/>
          <w:sz w:val="24"/>
        </w:rPr>
        <w:t>Archives of Sexual Behavior</w:t>
      </w:r>
      <w:r w:rsidRPr="00D10898">
        <w:rPr>
          <w:rFonts w:ascii="Times New Roman" w:eastAsia="SimSun" w:hAnsi="Times New Roman" w:cs="Times New Roman"/>
          <w:sz w:val="24"/>
        </w:rPr>
        <w:t xml:space="preserve"> 2022; 51(1): 1-16.</w:t>
      </w:r>
      <w:r w:rsidRPr="00D10898">
        <w:rPr>
          <w:rFonts w:ascii="Times New Roman" w:hAnsi="Times New Roman" w:cs="Times New Roman"/>
          <w:sz w:val="24"/>
        </w:rPr>
        <w:t xml:space="preserve"> </w:t>
      </w:r>
      <w:hyperlink r:id="rId9" w:history="1">
        <w:r w:rsidRPr="00D10898">
          <w:rPr>
            <w:rStyle w:val="Hyperlink"/>
            <w:rFonts w:ascii="Times New Roman" w:eastAsia="SimSun" w:hAnsi="Times New Roman" w:cs="Times New Roman"/>
            <w:sz w:val="24"/>
          </w:rPr>
          <w:t>https://doi.org/10.1007/s10508-022-02380-x</w:t>
        </w:r>
      </w:hyperlink>
      <w:r w:rsidRPr="00D10898">
        <w:rPr>
          <w:rFonts w:ascii="Times New Roman" w:eastAsia="SimSun" w:hAnsi="Times New Roman" w:cs="Times New Roman"/>
          <w:sz w:val="24"/>
        </w:rPr>
        <w:t>.</w:t>
      </w:r>
    </w:p>
    <w:p w14:paraId="6735A686"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hAnsi="Times New Roman" w:cs="Times New Roman"/>
          <w:sz w:val="24"/>
        </w:rPr>
        <w:t xml:space="preserve">Tóth-Király I, Vallerand RJ, Bőthe B, Rigó A, Orosz G. Examining sexual motivation profiles and their correlates using latent profile analysis. </w:t>
      </w:r>
      <w:r w:rsidRPr="00D10898">
        <w:rPr>
          <w:rFonts w:ascii="Times New Roman" w:hAnsi="Times New Roman" w:cs="Times New Roman"/>
          <w:i/>
          <w:iCs/>
          <w:sz w:val="24"/>
        </w:rPr>
        <w:t>Personality and Individual Differences</w:t>
      </w:r>
      <w:r w:rsidRPr="00D10898">
        <w:rPr>
          <w:rFonts w:ascii="Times New Roman" w:hAnsi="Times New Roman" w:cs="Times New Roman"/>
          <w:sz w:val="24"/>
        </w:rPr>
        <w:t xml:space="preserve"> 2019; 146(1): 76-86. </w:t>
      </w:r>
      <w:hyperlink r:id="rId10" w:history="1">
        <w:r w:rsidRPr="00D10898">
          <w:rPr>
            <w:rStyle w:val="Hyperlink"/>
            <w:rFonts w:ascii="Times New Roman" w:hAnsi="Times New Roman" w:cs="Times New Roman"/>
            <w:color w:val="000000" w:themeColor="text1"/>
            <w:sz w:val="24"/>
          </w:rPr>
          <w:t>https://doi.org/10.1016/j.paid.2019.04.002</w:t>
        </w:r>
      </w:hyperlink>
      <w:r w:rsidRPr="00D10898">
        <w:rPr>
          <w:rFonts w:ascii="Times New Roman" w:hAnsi="Times New Roman" w:cs="Times New Roman"/>
          <w:sz w:val="24"/>
        </w:rPr>
        <w:t>.</w:t>
      </w:r>
    </w:p>
    <w:p w14:paraId="1042528D"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Gravel EE, Pelletier LG, Reissing ED. “Doing it” for the right reasons: Validation of a measurement of intrinsic motivation, extrinsic motivation, and amotivation for sexual relationships. </w:t>
      </w:r>
      <w:r w:rsidRPr="00D10898">
        <w:rPr>
          <w:rFonts w:ascii="Times New Roman" w:hAnsi="Times New Roman" w:cs="Times New Roman"/>
          <w:i/>
          <w:iCs/>
          <w:sz w:val="24"/>
        </w:rPr>
        <w:t>Personality and Individual Differences</w:t>
      </w:r>
      <w:r w:rsidRPr="00D10898">
        <w:rPr>
          <w:rFonts w:ascii="Times New Roman" w:hAnsi="Times New Roman" w:cs="Times New Roman"/>
          <w:sz w:val="24"/>
        </w:rPr>
        <w:t xml:space="preserve"> 2016; 92(1): 164-173. doi:10.1016/j.paid.2015.12.015.</w:t>
      </w:r>
    </w:p>
    <w:p w14:paraId="5B65A5F7" w14:textId="77777777" w:rsidR="00D01674" w:rsidRPr="00D10898" w:rsidRDefault="00D01674" w:rsidP="00D01674">
      <w:pPr>
        <w:pStyle w:val="ListParagraph"/>
        <w:numPr>
          <w:ilvl w:val="0"/>
          <w:numId w:val="27"/>
        </w:numPr>
        <w:spacing w:line="480" w:lineRule="auto"/>
        <w:ind w:firstLineChars="0"/>
        <w:jc w:val="left"/>
        <w:rPr>
          <w:rStyle w:val="c-bibliographic-informationvalue"/>
          <w:rFonts w:ascii="Times New Roman" w:hAnsi="Times New Roman" w:cs="Times New Roman"/>
          <w:i/>
          <w:iCs/>
          <w:sz w:val="24"/>
        </w:rPr>
      </w:pPr>
      <w:r w:rsidRPr="00D10898">
        <w:rPr>
          <w:rFonts w:ascii="Times New Roman" w:hAnsi="Times New Roman" w:cs="Times New Roman"/>
          <w:sz w:val="24"/>
        </w:rPr>
        <w:t xml:space="preserve">Meston CM, Buss DM. Why humans have sex. </w:t>
      </w:r>
      <w:r w:rsidRPr="00D10898">
        <w:rPr>
          <w:rFonts w:ascii="Times New Roman" w:hAnsi="Times New Roman" w:cs="Times New Roman"/>
          <w:i/>
          <w:iCs/>
          <w:sz w:val="24"/>
        </w:rPr>
        <w:t>Archives of Sexual Behavior</w:t>
      </w:r>
      <w:r w:rsidRPr="00D10898">
        <w:rPr>
          <w:rFonts w:ascii="Times New Roman" w:hAnsi="Times New Roman" w:cs="Times New Roman"/>
          <w:sz w:val="24"/>
        </w:rPr>
        <w:t xml:space="preserve"> 2007; 36(4): 477-507. </w:t>
      </w:r>
      <w:hyperlink r:id="rId11" w:history="1">
        <w:r w:rsidRPr="00D10898">
          <w:rPr>
            <w:rFonts w:ascii="Times New Roman" w:hAnsi="Times New Roman" w:cs="Times New Roman"/>
            <w:sz w:val="24"/>
          </w:rPr>
          <w:t>https://doi.org/10.1007/s10508-007-9175-2</w:t>
        </w:r>
      </w:hyperlink>
      <w:r w:rsidRPr="00D10898">
        <w:rPr>
          <w:rFonts w:ascii="Times New Roman" w:hAnsi="Times New Roman" w:cs="Times New Roman"/>
          <w:sz w:val="24"/>
        </w:rPr>
        <w:t>.</w:t>
      </w:r>
    </w:p>
    <w:p w14:paraId="659CDE27"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hAnsi="Times New Roman" w:cs="Times New Roman"/>
          <w:sz w:val="24"/>
          <w:shd w:val="clear" w:color="auto" w:fill="FFFFFF"/>
        </w:rPr>
        <w:t>Flynn TJ, Gow AJ. Examining associations between sexual behaviours and quality of life in older adults.</w:t>
      </w:r>
      <w:r w:rsidRPr="00D10898">
        <w:rPr>
          <w:rStyle w:val="apple-converted-space"/>
          <w:rFonts w:ascii="Times New Roman" w:hAnsi="Times New Roman" w:cs="Times New Roman"/>
          <w:sz w:val="24"/>
          <w:shd w:val="clear" w:color="auto" w:fill="FFFFFF"/>
        </w:rPr>
        <w:t> </w:t>
      </w:r>
      <w:r w:rsidRPr="00D10898">
        <w:rPr>
          <w:rFonts w:ascii="Times New Roman" w:hAnsi="Times New Roman" w:cs="Times New Roman"/>
          <w:i/>
          <w:iCs/>
          <w:sz w:val="24"/>
        </w:rPr>
        <w:t>Age and ageing</w:t>
      </w:r>
      <w:r w:rsidRPr="00D10898">
        <w:rPr>
          <w:rStyle w:val="apple-converted-space"/>
          <w:rFonts w:ascii="Times New Roman" w:hAnsi="Times New Roman" w:cs="Times New Roman"/>
          <w:sz w:val="24"/>
          <w:shd w:val="clear" w:color="auto" w:fill="FFFFFF"/>
        </w:rPr>
        <w:t xml:space="preserve"> 2015; </w:t>
      </w:r>
      <w:r w:rsidRPr="00D10898">
        <w:rPr>
          <w:rFonts w:ascii="Times New Roman" w:hAnsi="Times New Roman" w:cs="Times New Roman"/>
          <w:sz w:val="24"/>
        </w:rPr>
        <w:t>44</w:t>
      </w:r>
      <w:r w:rsidRPr="00D10898">
        <w:rPr>
          <w:rFonts w:ascii="Times New Roman" w:hAnsi="Times New Roman" w:cs="Times New Roman"/>
          <w:sz w:val="24"/>
          <w:shd w:val="clear" w:color="auto" w:fill="FFFFFF"/>
        </w:rPr>
        <w:t>(5): 823-828. doi: 10.1093/ageing/afv083.</w:t>
      </w:r>
    </w:p>
    <w:p w14:paraId="4E036DD0"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hAnsi="Times New Roman" w:cs="Times New Roman"/>
          <w:sz w:val="24"/>
          <w:lang w:val="de-DE"/>
        </w:rPr>
        <w:t xml:space="preserve">Wyverkens E, Corneillie J, Van der Bracht L , Van Regenmortel D, Van </w:t>
      </w:r>
      <w:r w:rsidRPr="00D10898">
        <w:rPr>
          <w:rFonts w:ascii="Times New Roman" w:hAnsi="Times New Roman" w:cs="Times New Roman"/>
          <w:sz w:val="24"/>
        </w:rPr>
        <w:t xml:space="preserve">Cleempoel K, De Boose N, et al. YSEX? A Replication Study in Different Age Groups. </w:t>
      </w:r>
      <w:r w:rsidRPr="00D10898">
        <w:rPr>
          <w:rFonts w:ascii="Times New Roman" w:hAnsi="Times New Roman" w:cs="Times New Roman"/>
          <w:i/>
          <w:iCs/>
          <w:sz w:val="24"/>
        </w:rPr>
        <w:t>Journal of Sexual Medicine</w:t>
      </w:r>
      <w:r w:rsidRPr="00D10898">
        <w:rPr>
          <w:rFonts w:ascii="Times New Roman" w:hAnsi="Times New Roman" w:cs="Times New Roman"/>
          <w:sz w:val="24"/>
        </w:rPr>
        <w:t xml:space="preserve"> 2018; 15(4): 492–501. doi: 10.1016/j.jsxm.2018.02.012.</w:t>
      </w:r>
    </w:p>
    <w:p w14:paraId="749890C3"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hAnsi="Times New Roman" w:cs="Times New Roman"/>
          <w:sz w:val="24"/>
        </w:rPr>
        <w:lastRenderedPageBreak/>
        <w:t xml:space="preserve">Whoqol Group. The World Health Organization quality of life assessment (WHOQOL): Position paper from the World Health Organization. </w:t>
      </w:r>
      <w:r w:rsidRPr="00D10898">
        <w:rPr>
          <w:rFonts w:ascii="Times New Roman" w:hAnsi="Times New Roman" w:cs="Times New Roman"/>
          <w:i/>
          <w:iCs/>
          <w:sz w:val="24"/>
        </w:rPr>
        <w:t>Social Science and Medicine</w:t>
      </w:r>
      <w:r w:rsidRPr="00D10898">
        <w:rPr>
          <w:rFonts w:ascii="Times New Roman" w:hAnsi="Times New Roman" w:cs="Times New Roman"/>
          <w:sz w:val="24"/>
        </w:rPr>
        <w:t xml:space="preserve"> 1995; 41(10): 1403–1409. </w:t>
      </w:r>
      <w:hyperlink r:id="rId12" w:history="1">
        <w:r w:rsidRPr="00D10898">
          <w:rPr>
            <w:rFonts w:ascii="Times New Roman" w:hAnsi="Times New Roman" w:cs="Times New Roman"/>
            <w:sz w:val="24"/>
          </w:rPr>
          <w:t>https://doi.org/10.1016/0277-9536(95)00112-K</w:t>
        </w:r>
      </w:hyperlink>
      <w:r w:rsidRPr="00D10898">
        <w:rPr>
          <w:rFonts w:ascii="Times New Roman" w:hAnsi="Times New Roman" w:cs="Times New Roman"/>
          <w:sz w:val="24"/>
        </w:rPr>
        <w:t>.</w:t>
      </w:r>
    </w:p>
    <w:p w14:paraId="1BF67EA1"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Chezan LC, Liu J, Cholewicki JM, Drasgow E, Ding R, Warman A. A psychometric evaluation of the quality of life for children with autism spectrum disorder scale. </w:t>
      </w:r>
      <w:r w:rsidRPr="00D10898">
        <w:rPr>
          <w:rFonts w:ascii="Times New Roman" w:hAnsi="Times New Roman" w:cs="Times New Roman"/>
          <w:i/>
          <w:iCs/>
          <w:sz w:val="24"/>
        </w:rPr>
        <w:t>Journal of Autism and Developmental Disorders</w:t>
      </w:r>
      <w:r w:rsidRPr="00D10898">
        <w:rPr>
          <w:rFonts w:ascii="Times New Roman" w:hAnsi="Times New Roman" w:cs="Times New Roman"/>
          <w:sz w:val="24"/>
        </w:rPr>
        <w:t xml:space="preserve"> 2022; 52(4): 1536-1552.</w:t>
      </w:r>
      <w:r w:rsidRPr="00D10898">
        <w:rPr>
          <w:rStyle w:val="c-bibliographic-informationvalue"/>
          <w:rFonts w:ascii="Times New Roman" w:hAnsi="Times New Roman" w:cs="Times New Roman"/>
          <w:sz w:val="24"/>
        </w:rPr>
        <w:t xml:space="preserve"> doi:10.1007/s10803-021-05048-y.</w:t>
      </w:r>
    </w:p>
    <w:p w14:paraId="5A64AEA5"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Triberti S, Savioni L, Sebri V, Pravettoni G. eHealth for improving quality of life in breast cancer patients: a systematic review. </w:t>
      </w:r>
      <w:r w:rsidRPr="00D10898">
        <w:rPr>
          <w:rFonts w:ascii="Times New Roman" w:hAnsi="Times New Roman" w:cs="Times New Roman"/>
          <w:i/>
          <w:iCs/>
          <w:sz w:val="24"/>
        </w:rPr>
        <w:t>Cancer Treatment Reviews</w:t>
      </w:r>
      <w:r w:rsidRPr="00D10898">
        <w:rPr>
          <w:rFonts w:ascii="Times New Roman" w:hAnsi="Times New Roman" w:cs="Times New Roman"/>
          <w:sz w:val="24"/>
        </w:rPr>
        <w:t xml:space="preserve"> 2019; 74(1): 1-14. </w:t>
      </w:r>
      <w:hyperlink r:id="rId13" w:history="1">
        <w:r w:rsidRPr="00D10898">
          <w:rPr>
            <w:rStyle w:val="Hyperlink"/>
            <w:rFonts w:ascii="Times New Roman" w:hAnsi="Times New Roman" w:cs="Times New Roman"/>
            <w:sz w:val="24"/>
          </w:rPr>
          <w:t>https://doi.org/10.1016/j.ctrv.2019.01.003</w:t>
        </w:r>
      </w:hyperlink>
      <w:r w:rsidRPr="00D10898">
        <w:rPr>
          <w:rFonts w:ascii="Times New Roman" w:hAnsi="Times New Roman" w:cs="Times New Roman"/>
          <w:sz w:val="24"/>
        </w:rPr>
        <w:t>.</w:t>
      </w:r>
    </w:p>
    <w:p w14:paraId="638CC6B5"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Brajkovic L, Sladic P, Kopilaš V. Sexual Quality of Life in Women with Breast Cancer. </w:t>
      </w:r>
      <w:r w:rsidRPr="00D10898">
        <w:rPr>
          <w:rFonts w:ascii="Times New Roman" w:eastAsia="SimSun" w:hAnsi="Times New Roman" w:cs="Times New Roman"/>
          <w:i/>
          <w:iCs/>
          <w:sz w:val="24"/>
        </w:rPr>
        <w:t>Health Psychology Research</w:t>
      </w:r>
      <w:r w:rsidRPr="00D10898">
        <w:rPr>
          <w:rFonts w:ascii="Times New Roman" w:eastAsia="SimSun" w:hAnsi="Times New Roman" w:cs="Times New Roman"/>
          <w:sz w:val="24"/>
        </w:rPr>
        <w:t xml:space="preserve"> 2021; 9(1): 1-14. doi:10.52965/001c.24512.</w:t>
      </w:r>
    </w:p>
    <w:p w14:paraId="2AAFF4A2"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Hidalgo PM, Martinez MM, Gonzalez AG, Petisco LG, Forcadell CA, D’Agostino CI, et al. Self-Perceived Quality of Life in Spanish-Speaking Women with Autism Spectrum Disorders. </w:t>
      </w:r>
      <w:r w:rsidRPr="00D10898">
        <w:rPr>
          <w:rFonts w:ascii="Times New Roman" w:eastAsia="SimSun" w:hAnsi="Times New Roman" w:cs="Times New Roman"/>
          <w:i/>
          <w:iCs/>
          <w:sz w:val="24"/>
        </w:rPr>
        <w:t xml:space="preserve">Journal of Autism and Developmental Disorders </w:t>
      </w:r>
      <w:r w:rsidRPr="00D10898">
        <w:rPr>
          <w:rFonts w:ascii="Times New Roman" w:eastAsia="SimSun" w:hAnsi="Times New Roman" w:cs="Times New Roman"/>
          <w:sz w:val="24"/>
        </w:rPr>
        <w:t>2021; 52(1): 1-12. doi:10.1007/s10803-021-05400-2.</w:t>
      </w:r>
    </w:p>
    <w:p w14:paraId="3B48AD63"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Carreira H, Williams R, Dempsey H, Stanway S, Smeeth L, Bhaskaran K. Quality of life and mental health in breast cancer survivors compared with non-cancer controls: a study of patient-reported outcomes in the United Kingdom. </w:t>
      </w:r>
      <w:r w:rsidRPr="00D10898">
        <w:rPr>
          <w:rFonts w:ascii="Times New Roman" w:eastAsia="SimSun" w:hAnsi="Times New Roman" w:cs="Times New Roman"/>
          <w:i/>
          <w:iCs/>
          <w:sz w:val="24"/>
        </w:rPr>
        <w:t>Journal of Cancer Survivorship : Research and Practice</w:t>
      </w:r>
      <w:r w:rsidRPr="00D10898">
        <w:rPr>
          <w:rFonts w:ascii="Times New Roman" w:eastAsia="SimSun" w:hAnsi="Times New Roman" w:cs="Times New Roman"/>
          <w:sz w:val="24"/>
        </w:rPr>
        <w:t xml:space="preserve"> 2021; 15(4): 564–575. </w:t>
      </w:r>
      <w:hyperlink r:id="rId14" w:history="1">
        <w:r w:rsidRPr="00D10898">
          <w:rPr>
            <w:rFonts w:ascii="Times New Roman" w:hAnsi="Times New Roman" w:cs="Times New Roman"/>
            <w:sz w:val="24"/>
          </w:rPr>
          <w:t>doi:10.1007/s11764-020-00950-3</w:t>
        </w:r>
      </w:hyperlink>
      <w:r w:rsidRPr="00D10898">
        <w:rPr>
          <w:rFonts w:ascii="Times New Roman" w:hAnsi="Times New Roman" w:cs="Times New Roman"/>
          <w:sz w:val="24"/>
        </w:rPr>
        <w:t>.</w:t>
      </w:r>
    </w:p>
    <w:p w14:paraId="6E309431"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Aliabadi MY, Javadnoori M, Malehi AS, Aslani K. A study of mindfulness-based stress-</w:t>
      </w:r>
      <w:r w:rsidRPr="00D10898">
        <w:rPr>
          <w:rFonts w:ascii="Times New Roman" w:hAnsi="Times New Roman" w:cs="Times New Roman"/>
          <w:sz w:val="24"/>
        </w:rPr>
        <w:lastRenderedPageBreak/>
        <w:t xml:space="preserve">reduction training effects on menopause-specific quality of life in postmenopausal women: A randomized controlled trial. </w:t>
      </w:r>
      <w:r w:rsidRPr="00D10898">
        <w:rPr>
          <w:rFonts w:ascii="Times New Roman" w:hAnsi="Times New Roman" w:cs="Times New Roman"/>
          <w:i/>
          <w:iCs/>
          <w:sz w:val="24"/>
        </w:rPr>
        <w:t>Complementary Therapies in Clinical Practice</w:t>
      </w:r>
      <w:r w:rsidRPr="00D10898">
        <w:rPr>
          <w:rFonts w:ascii="Times New Roman" w:hAnsi="Times New Roman" w:cs="Times New Roman"/>
          <w:sz w:val="24"/>
        </w:rPr>
        <w:t xml:space="preserve"> 2021; 44(1): 1-7. doi:10.1016/j.ctcp.2021.101398.</w:t>
      </w:r>
    </w:p>
    <w:p w14:paraId="4070EBFF"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Gunst A, Ventus D, Arver S, Dhejne C, Görts-Öberg K, Zamore-Söderström E, et al. A randomized, waiting-list-controlled study shows that brief, mindfulness-based psychological interventions are effective for treatment of women’s low sexual desire. </w:t>
      </w:r>
      <w:r w:rsidRPr="00D10898">
        <w:rPr>
          <w:rFonts w:ascii="Times New Roman" w:hAnsi="Times New Roman" w:cs="Times New Roman"/>
          <w:i/>
          <w:iCs/>
          <w:sz w:val="24"/>
        </w:rPr>
        <w:t>The Journal of Sex Research</w:t>
      </w:r>
      <w:r w:rsidRPr="00D10898">
        <w:rPr>
          <w:rFonts w:ascii="Times New Roman" w:hAnsi="Times New Roman" w:cs="Times New Roman"/>
          <w:sz w:val="24"/>
        </w:rPr>
        <w:t xml:space="preserve"> 2018; </w:t>
      </w:r>
      <w:r w:rsidRPr="00D10898">
        <w:rPr>
          <w:rStyle w:val="volumeissue"/>
          <w:rFonts w:ascii="Times New Roman" w:hAnsi="Times New Roman" w:cs="Times New Roman"/>
          <w:sz w:val="24"/>
        </w:rPr>
        <w:t>56(7):</w:t>
      </w:r>
      <w:r w:rsidRPr="00D10898">
        <w:rPr>
          <w:rFonts w:ascii="Times New Roman" w:hAnsi="Times New Roman" w:cs="Times New Roman"/>
          <w:sz w:val="24"/>
        </w:rPr>
        <w:t xml:space="preserve"> </w:t>
      </w:r>
      <w:r w:rsidRPr="00D10898">
        <w:rPr>
          <w:rStyle w:val="pagerange"/>
          <w:rFonts w:ascii="Times New Roman" w:hAnsi="Times New Roman" w:cs="Times New Roman"/>
          <w:sz w:val="24"/>
        </w:rPr>
        <w:t>913-929.</w:t>
      </w:r>
      <w:r w:rsidRPr="00D10898">
        <w:rPr>
          <w:rFonts w:ascii="Times New Roman" w:hAnsi="Times New Roman" w:cs="Times New Roman"/>
          <w:sz w:val="24"/>
        </w:rPr>
        <w:t xml:space="preserve"> doi:10.1080/00224499.2018.1539463.</w:t>
      </w:r>
    </w:p>
    <w:p w14:paraId="471A7672"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shd w:val="clear" w:color="auto" w:fill="FFFFFF"/>
        </w:rPr>
      </w:pPr>
      <w:r w:rsidRPr="00D10898">
        <w:rPr>
          <w:rFonts w:ascii="Times New Roman" w:hAnsi="Times New Roman" w:cs="Times New Roman"/>
          <w:sz w:val="24"/>
          <w:shd w:val="clear" w:color="auto" w:fill="FFFFFF"/>
        </w:rPr>
        <w:t>Strober LB. Quality of life and psychological well-being in the early stages of multiple sclerosis (MS): Importance of adopting a biopsychosocial model.</w:t>
      </w:r>
      <w:r w:rsidRPr="00D10898">
        <w:rPr>
          <w:rStyle w:val="apple-converted-space"/>
          <w:rFonts w:ascii="Times New Roman" w:hAnsi="Times New Roman" w:cs="Times New Roman"/>
          <w:sz w:val="24"/>
          <w:shd w:val="clear" w:color="auto" w:fill="FFFFFF"/>
        </w:rPr>
        <w:t> </w:t>
      </w:r>
      <w:r w:rsidRPr="00D10898">
        <w:rPr>
          <w:rFonts w:ascii="Times New Roman" w:hAnsi="Times New Roman" w:cs="Times New Roman"/>
          <w:i/>
          <w:iCs/>
          <w:sz w:val="24"/>
        </w:rPr>
        <w:t>Disability and health journal</w:t>
      </w:r>
      <w:r w:rsidRPr="00D10898">
        <w:rPr>
          <w:rFonts w:ascii="Times New Roman" w:hAnsi="Times New Roman" w:cs="Times New Roman"/>
          <w:sz w:val="24"/>
          <w:shd w:val="clear" w:color="auto" w:fill="FFFFFF"/>
        </w:rPr>
        <w:t xml:space="preserve"> 2018; </w:t>
      </w:r>
      <w:r w:rsidRPr="00D10898">
        <w:rPr>
          <w:rFonts w:ascii="Times New Roman" w:hAnsi="Times New Roman" w:cs="Times New Roman"/>
          <w:sz w:val="24"/>
        </w:rPr>
        <w:t>11</w:t>
      </w:r>
      <w:r w:rsidRPr="00D10898">
        <w:rPr>
          <w:rFonts w:ascii="Times New Roman" w:hAnsi="Times New Roman" w:cs="Times New Roman"/>
          <w:sz w:val="24"/>
          <w:shd w:val="clear" w:color="auto" w:fill="FFFFFF"/>
        </w:rPr>
        <w:t>(4): 555–561. doi: 10.1016/j.dhjo.2018.05.003.</w:t>
      </w:r>
    </w:p>
    <w:p w14:paraId="5D3EC0F7"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Meston CM, Kilimnik CD, Freihart BK, Buss DM. Why humans have sex: development and psychometric assessment of a short-form version of the YSEX? Instrument. </w:t>
      </w:r>
      <w:r w:rsidRPr="00D10898">
        <w:rPr>
          <w:rFonts w:ascii="Times New Roman" w:hAnsi="Times New Roman" w:cs="Times New Roman"/>
          <w:i/>
          <w:iCs/>
          <w:sz w:val="24"/>
        </w:rPr>
        <w:t>Journal of Sex &amp; Marital Therapy</w:t>
      </w:r>
      <w:r w:rsidRPr="00D10898">
        <w:rPr>
          <w:rFonts w:ascii="Times New Roman" w:hAnsi="Times New Roman" w:cs="Times New Roman"/>
          <w:sz w:val="24"/>
        </w:rPr>
        <w:t xml:space="preserve"> 2020; 46(2): 141-159. https://doi.org/10.1080/0092623X.2019.1654581.</w:t>
      </w:r>
    </w:p>
    <w:p w14:paraId="4B7D9D7F"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shd w:val="clear" w:color="auto" w:fill="FFFFFF"/>
        </w:rPr>
      </w:pPr>
      <w:r w:rsidRPr="00D10898">
        <w:rPr>
          <w:rFonts w:ascii="Times New Roman" w:hAnsi="Times New Roman" w:cs="Times New Roman"/>
          <w:sz w:val="24"/>
          <w:shd w:val="clear" w:color="auto" w:fill="FFFFFF"/>
        </w:rPr>
        <w:t>Gewirtz-Meydan A, Finzi-Dottan R. Sexual satisfaction among couples: The role of attachment orientation and sexual motives.</w:t>
      </w:r>
      <w:r w:rsidRPr="00D10898">
        <w:rPr>
          <w:rStyle w:val="apple-converted-space"/>
          <w:rFonts w:ascii="Times New Roman" w:hAnsi="Times New Roman" w:cs="Times New Roman"/>
          <w:sz w:val="24"/>
          <w:shd w:val="clear" w:color="auto" w:fill="FFFFFF"/>
        </w:rPr>
        <w:t> </w:t>
      </w:r>
      <w:r w:rsidRPr="00D10898">
        <w:rPr>
          <w:rFonts w:ascii="Times New Roman" w:hAnsi="Times New Roman" w:cs="Times New Roman"/>
          <w:i/>
          <w:iCs/>
          <w:sz w:val="24"/>
        </w:rPr>
        <w:t>The Journal of Sex Research</w:t>
      </w:r>
      <w:r w:rsidRPr="00D10898">
        <w:rPr>
          <w:rFonts w:ascii="Times New Roman" w:hAnsi="Times New Roman" w:cs="Times New Roman"/>
          <w:sz w:val="24"/>
          <w:shd w:val="clear" w:color="auto" w:fill="FFFFFF"/>
        </w:rPr>
        <w:t xml:space="preserve"> 2018; </w:t>
      </w:r>
      <w:r w:rsidRPr="00D10898">
        <w:rPr>
          <w:rFonts w:ascii="Times New Roman" w:hAnsi="Times New Roman" w:cs="Times New Roman"/>
          <w:sz w:val="24"/>
        </w:rPr>
        <w:t>55</w:t>
      </w:r>
      <w:r w:rsidRPr="00D10898">
        <w:rPr>
          <w:rFonts w:ascii="Times New Roman" w:hAnsi="Times New Roman" w:cs="Times New Roman"/>
          <w:sz w:val="24"/>
          <w:shd w:val="clear" w:color="auto" w:fill="FFFFFF"/>
        </w:rPr>
        <w:t>(2): 178-190.</w:t>
      </w:r>
      <w:r w:rsidRPr="00D10898">
        <w:rPr>
          <w:rFonts w:ascii="Times New Roman" w:hAnsi="Times New Roman" w:cs="Times New Roman"/>
          <w:sz w:val="24"/>
        </w:rPr>
        <w:t xml:space="preserve"> </w:t>
      </w:r>
      <w:r w:rsidRPr="00D10898">
        <w:rPr>
          <w:rFonts w:ascii="Times New Roman" w:hAnsi="Times New Roman" w:cs="Times New Roman"/>
          <w:sz w:val="24"/>
          <w:shd w:val="clear" w:color="auto" w:fill="FFFFFF"/>
        </w:rPr>
        <w:t>doi: 10.1080/00224499.2016.1276880.</w:t>
      </w:r>
    </w:p>
    <w:p w14:paraId="2D0FDBD7"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Muise A, Impett EA, Desmarais S. Getting It On Versus Getting It Over With: Sexual Motivation, Desire, and Satisfaction in Intimate Bonds. </w:t>
      </w:r>
      <w:r w:rsidRPr="00D10898">
        <w:rPr>
          <w:rFonts w:ascii="Times New Roman" w:hAnsi="Times New Roman" w:cs="Times New Roman"/>
          <w:i/>
          <w:iCs/>
          <w:sz w:val="24"/>
        </w:rPr>
        <w:t>Personality and Social Psychology Bulletin</w:t>
      </w:r>
      <w:r w:rsidRPr="00D10898">
        <w:rPr>
          <w:rFonts w:ascii="Times New Roman" w:hAnsi="Times New Roman" w:cs="Times New Roman"/>
          <w:sz w:val="24"/>
        </w:rPr>
        <w:t xml:space="preserve"> 2013; 39(10): 1320–1332. doi: 10.1177/0146167213490963.</w:t>
      </w:r>
    </w:p>
    <w:p w14:paraId="5471A49D"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lastRenderedPageBreak/>
        <w:t xml:space="preserve">Gómez-López M, Viejo C, Ortega-Ruiz R. Well-being and romantic relationships: a systematic review in adolescence and emerging adulthood. </w:t>
      </w:r>
      <w:r w:rsidRPr="00D10898">
        <w:rPr>
          <w:rFonts w:ascii="Times New Roman" w:hAnsi="Times New Roman" w:cs="Times New Roman"/>
          <w:i/>
          <w:iCs/>
          <w:sz w:val="24"/>
        </w:rPr>
        <w:t>International Journal of Environmental Research and Public Health</w:t>
      </w:r>
      <w:r w:rsidRPr="00D10898">
        <w:rPr>
          <w:rFonts w:ascii="Times New Roman" w:hAnsi="Times New Roman" w:cs="Times New Roman"/>
          <w:sz w:val="24"/>
        </w:rPr>
        <w:t xml:space="preserve"> 2019; 16(13): 1-31. </w:t>
      </w:r>
      <w:hyperlink r:id="rId15" w:history="1">
        <w:r w:rsidRPr="00D10898">
          <w:rPr>
            <w:rStyle w:val="Hyperlink"/>
            <w:rFonts w:ascii="Times New Roman" w:hAnsi="Times New Roman" w:cs="Times New Roman"/>
            <w:color w:val="000000" w:themeColor="text1"/>
            <w:sz w:val="24"/>
          </w:rPr>
          <w:t>doi:10.3390/ijerph16132415</w:t>
        </w:r>
      </w:hyperlink>
      <w:r w:rsidRPr="00D10898">
        <w:rPr>
          <w:rStyle w:val="Hyperlink"/>
          <w:rFonts w:ascii="Times New Roman" w:hAnsi="Times New Roman" w:cs="Times New Roman"/>
          <w:color w:val="000000" w:themeColor="text1"/>
          <w:sz w:val="24"/>
        </w:rPr>
        <w:t>.</w:t>
      </w:r>
    </w:p>
    <w:p w14:paraId="26C50F40"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Hudson NW, Lucas RE, Donnellan MB. The highs and lows of love: romantic relationship quality moderates whether spending time with one's partner predicts gains or losses in well-being. </w:t>
      </w:r>
      <w:r w:rsidRPr="00D10898">
        <w:rPr>
          <w:rFonts w:ascii="Times New Roman" w:hAnsi="Times New Roman" w:cs="Times New Roman"/>
          <w:i/>
          <w:iCs/>
          <w:sz w:val="24"/>
        </w:rPr>
        <w:t>Personality &amp; Social Psychology Bulletin</w:t>
      </w:r>
      <w:r w:rsidRPr="00D10898">
        <w:rPr>
          <w:rFonts w:ascii="Times New Roman" w:hAnsi="Times New Roman" w:cs="Times New Roman"/>
          <w:sz w:val="24"/>
        </w:rPr>
        <w:t xml:space="preserve"> 2020; 46(4): 572–589. doi:10.1177/0146167219867960.</w:t>
      </w:r>
    </w:p>
    <w:p w14:paraId="70E6D985"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Mizrahi M, Lemay Jr EP, Maniaci MR, Reis HT. Seeds of love: Positivity bias mediates between passionate love and prorelationship behavior in romantic couples. </w:t>
      </w:r>
      <w:r w:rsidRPr="00D10898">
        <w:rPr>
          <w:rFonts w:ascii="Times New Roman" w:eastAsia="SimSun" w:hAnsi="Times New Roman" w:cs="Times New Roman"/>
          <w:i/>
          <w:iCs/>
          <w:sz w:val="24"/>
        </w:rPr>
        <w:t>Journal of Social and Personal Relationships</w:t>
      </w:r>
      <w:r w:rsidRPr="00D10898">
        <w:rPr>
          <w:rFonts w:ascii="Times New Roman" w:eastAsia="SimSun" w:hAnsi="Times New Roman" w:cs="Times New Roman"/>
          <w:sz w:val="24"/>
        </w:rPr>
        <w:t xml:space="preserve"> 2022; 39(7): 2207–2227. </w:t>
      </w:r>
      <w:r w:rsidRPr="00D10898">
        <w:rPr>
          <w:rFonts w:ascii="Times New Roman" w:hAnsi="Times New Roman" w:cs="Times New Roman"/>
          <w:sz w:val="24"/>
        </w:rPr>
        <w:t>https://doi.org/</w:t>
      </w:r>
      <w:r w:rsidRPr="00D10898">
        <w:rPr>
          <w:rFonts w:ascii="Times New Roman" w:eastAsia="SimSun" w:hAnsi="Times New Roman" w:cs="Times New Roman"/>
          <w:sz w:val="24"/>
        </w:rPr>
        <w:t>10.1177/02654075221076002.</w:t>
      </w:r>
    </w:p>
    <w:p w14:paraId="6333CA43"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Grubbs JB, Wright PJ, Braden AL, Wilt JA, Kraus SW. Internet pornography use and sexual motivation: A systematic review and integration. </w:t>
      </w:r>
      <w:r w:rsidRPr="00D10898">
        <w:rPr>
          <w:rFonts w:ascii="Times New Roman" w:eastAsia="SimSun" w:hAnsi="Times New Roman" w:cs="Times New Roman"/>
          <w:i/>
          <w:iCs/>
          <w:sz w:val="24"/>
        </w:rPr>
        <w:t>Annals of the International Communication Association</w:t>
      </w:r>
      <w:r w:rsidRPr="00D10898">
        <w:rPr>
          <w:rFonts w:ascii="Times New Roman" w:eastAsia="SimSun" w:hAnsi="Times New Roman" w:cs="Times New Roman"/>
          <w:sz w:val="24"/>
        </w:rPr>
        <w:t xml:space="preserve"> 2019; 43(2): 117-155.</w:t>
      </w:r>
      <w:r w:rsidRPr="00D10898">
        <w:rPr>
          <w:rFonts w:ascii="Times New Roman" w:hAnsi="Times New Roman" w:cs="Times New Roman"/>
          <w:sz w:val="24"/>
        </w:rPr>
        <w:t xml:space="preserve"> </w:t>
      </w:r>
      <w:hyperlink r:id="rId16" w:history="1">
        <w:r w:rsidRPr="00D10898">
          <w:rPr>
            <w:rFonts w:ascii="Times New Roman" w:hAnsi="Times New Roman" w:cs="Times New Roman"/>
            <w:sz w:val="24"/>
          </w:rPr>
          <w:t>doi:10.1080/23808985.2019.1584045</w:t>
        </w:r>
      </w:hyperlink>
      <w:r w:rsidRPr="00D10898">
        <w:rPr>
          <w:rFonts w:ascii="Times New Roman" w:hAnsi="Times New Roman" w:cs="Times New Roman"/>
          <w:sz w:val="24"/>
        </w:rPr>
        <w:t>.</w:t>
      </w:r>
    </w:p>
    <w:p w14:paraId="54E34B6C"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Boydell V, Wright KQ, Smith RD. A rapid review of sexual pleasure in first sexual experience(s). </w:t>
      </w:r>
      <w:r w:rsidRPr="00D10898">
        <w:rPr>
          <w:rFonts w:ascii="Times New Roman" w:eastAsia="SimSun" w:hAnsi="Times New Roman" w:cs="Times New Roman"/>
          <w:i/>
          <w:iCs/>
          <w:sz w:val="24"/>
        </w:rPr>
        <w:t>Journal of Sex Research</w:t>
      </w:r>
      <w:r w:rsidRPr="00D10898">
        <w:rPr>
          <w:rFonts w:ascii="Times New Roman" w:eastAsia="SimSun" w:hAnsi="Times New Roman" w:cs="Times New Roman"/>
          <w:sz w:val="24"/>
        </w:rPr>
        <w:t xml:space="preserve"> 2021; 58(7): 850–862. </w:t>
      </w:r>
      <w:hyperlink r:id="rId17" w:history="1">
        <w:r w:rsidRPr="00D10898">
          <w:rPr>
            <w:rFonts w:ascii="Times New Roman" w:hAnsi="Times New Roman" w:cs="Times New Roman"/>
            <w:sz w:val="24"/>
          </w:rPr>
          <w:t>doi:10.1080/00224499.2021.1904810</w:t>
        </w:r>
      </w:hyperlink>
      <w:r w:rsidRPr="00D10898">
        <w:rPr>
          <w:rFonts w:ascii="Times New Roman" w:hAnsi="Times New Roman" w:cs="Times New Roman"/>
          <w:sz w:val="24"/>
        </w:rPr>
        <w:t>.</w:t>
      </w:r>
    </w:p>
    <w:p w14:paraId="2ED15B55"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Pascoal PM, Narciso IDSB, Pereira NM. What is sexual satisfaction? thematic analysis of lay people's definitions. </w:t>
      </w:r>
      <w:r w:rsidRPr="00D10898">
        <w:rPr>
          <w:rFonts w:ascii="Times New Roman" w:hAnsi="Times New Roman" w:cs="Times New Roman"/>
          <w:i/>
          <w:iCs/>
          <w:sz w:val="24"/>
        </w:rPr>
        <w:t>Journal of Sex Research</w:t>
      </w:r>
      <w:r w:rsidRPr="00D10898">
        <w:rPr>
          <w:rFonts w:ascii="Times New Roman" w:hAnsi="Times New Roman" w:cs="Times New Roman"/>
          <w:sz w:val="24"/>
        </w:rPr>
        <w:t xml:space="preserve"> 2014; 51(1): 22–30. </w:t>
      </w:r>
      <w:hyperlink r:id="rId18" w:history="1">
        <w:r w:rsidRPr="00D10898">
          <w:rPr>
            <w:rFonts w:ascii="Times New Roman" w:hAnsi="Times New Roman" w:cs="Times New Roman"/>
            <w:sz w:val="24"/>
          </w:rPr>
          <w:t>https://doi.org/10.1080/00224499.2013.815149</w:t>
        </w:r>
      </w:hyperlink>
      <w:r w:rsidRPr="00D10898">
        <w:rPr>
          <w:rFonts w:ascii="Times New Roman" w:hAnsi="Times New Roman" w:cs="Times New Roman"/>
          <w:sz w:val="24"/>
        </w:rPr>
        <w:t xml:space="preserve">. </w:t>
      </w:r>
    </w:p>
    <w:p w14:paraId="30A99157"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Stephenson KR, Pickworth C, Jones PS. Gender differences in the association between sexual satisfaction and quality of life. </w:t>
      </w:r>
      <w:r w:rsidRPr="00D10898">
        <w:rPr>
          <w:rFonts w:ascii="Times New Roman" w:hAnsi="Times New Roman" w:cs="Times New Roman"/>
          <w:i/>
          <w:iCs/>
          <w:sz w:val="24"/>
        </w:rPr>
        <w:t>Sexual and Relationship Therapy</w:t>
      </w:r>
      <w:r w:rsidRPr="00D10898">
        <w:rPr>
          <w:rFonts w:ascii="Times New Roman" w:hAnsi="Times New Roman" w:cs="Times New Roman"/>
          <w:sz w:val="24"/>
        </w:rPr>
        <w:t xml:space="preserve"> 2021; 1–22. </w:t>
      </w:r>
      <w:hyperlink r:id="rId19" w:history="1">
        <w:r w:rsidRPr="00D10898">
          <w:rPr>
            <w:rFonts w:ascii="Times New Roman" w:hAnsi="Times New Roman" w:cs="Times New Roman"/>
            <w:sz w:val="24"/>
          </w:rPr>
          <w:t>https://doi.org/10.1080/14681994.2021.2004309</w:t>
        </w:r>
      </w:hyperlink>
      <w:r w:rsidRPr="00D10898">
        <w:rPr>
          <w:rFonts w:ascii="Times New Roman" w:hAnsi="Times New Roman" w:cs="Times New Roman"/>
          <w:sz w:val="24"/>
        </w:rPr>
        <w:t xml:space="preserve">. </w:t>
      </w:r>
    </w:p>
    <w:p w14:paraId="743978B0"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shd w:val="clear" w:color="auto" w:fill="FFFFFF"/>
        </w:rPr>
      </w:pPr>
      <w:r w:rsidRPr="00D10898">
        <w:rPr>
          <w:rFonts w:ascii="Times New Roman" w:hAnsi="Times New Roman" w:cs="Times New Roman"/>
          <w:sz w:val="24"/>
          <w:shd w:val="clear" w:color="auto" w:fill="FFFFFF"/>
        </w:rPr>
        <w:t>Rodrigues DL. Focusing on Safety or Pleasure Determine Condom Use Intentions Differently Depending on Condom Availability and STI Risk.</w:t>
      </w:r>
      <w:r w:rsidRPr="00D10898">
        <w:rPr>
          <w:rStyle w:val="apple-converted-space"/>
          <w:rFonts w:ascii="Times New Roman" w:hAnsi="Times New Roman" w:cs="Times New Roman"/>
          <w:sz w:val="24"/>
          <w:shd w:val="clear" w:color="auto" w:fill="FFFFFF"/>
        </w:rPr>
        <w:t> </w:t>
      </w:r>
      <w:r w:rsidRPr="00D10898">
        <w:rPr>
          <w:rFonts w:ascii="Times New Roman" w:hAnsi="Times New Roman" w:cs="Times New Roman"/>
          <w:i/>
          <w:iCs/>
          <w:sz w:val="24"/>
        </w:rPr>
        <w:t>International Journal of Sexual Health</w:t>
      </w:r>
      <w:r w:rsidRPr="00D10898">
        <w:rPr>
          <w:rFonts w:ascii="Times New Roman" w:hAnsi="Times New Roman" w:cs="Times New Roman"/>
          <w:sz w:val="24"/>
          <w:shd w:val="clear" w:color="auto" w:fill="FFFFFF"/>
        </w:rPr>
        <w:t xml:space="preserve"> 2023; 1(1): 1-11.</w:t>
      </w:r>
      <w:r w:rsidRPr="00D10898">
        <w:rPr>
          <w:rFonts w:ascii="Times New Roman" w:hAnsi="Times New Roman" w:cs="Times New Roman"/>
          <w:sz w:val="24"/>
        </w:rPr>
        <w:t xml:space="preserve"> </w:t>
      </w:r>
      <w:r w:rsidRPr="00D10898">
        <w:rPr>
          <w:rFonts w:ascii="Times New Roman" w:hAnsi="Times New Roman" w:cs="Times New Roman"/>
          <w:sz w:val="24"/>
          <w:shd w:val="clear" w:color="auto" w:fill="FFFFFF"/>
        </w:rPr>
        <w:t>doi: 10.1080/19317611.2023.2212651.</w:t>
      </w:r>
    </w:p>
    <w:p w14:paraId="5BD80015"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shd w:val="clear" w:color="auto" w:fill="FFFFFF"/>
        </w:rPr>
      </w:pPr>
      <w:r w:rsidRPr="00D10898">
        <w:rPr>
          <w:rFonts w:ascii="Times New Roman" w:hAnsi="Times New Roman" w:cs="Times New Roman"/>
          <w:sz w:val="24"/>
          <w:shd w:val="clear" w:color="auto" w:fill="FFFFFF"/>
        </w:rPr>
        <w:t>Xia W, Li HCW, Song P, Ho KY, Luo Y, Liang T, et al. Perceptions, behaviours and attitudes towards smoking held by the male partners of Chinese pregnant women: a qualitative study.</w:t>
      </w:r>
      <w:r w:rsidRPr="00D10898">
        <w:rPr>
          <w:rStyle w:val="apple-converted-space"/>
          <w:rFonts w:ascii="Times New Roman" w:hAnsi="Times New Roman" w:cs="Times New Roman"/>
          <w:sz w:val="24"/>
          <w:shd w:val="clear" w:color="auto" w:fill="FFFFFF"/>
        </w:rPr>
        <w:t> </w:t>
      </w:r>
      <w:r w:rsidRPr="00D10898">
        <w:rPr>
          <w:rFonts w:ascii="Times New Roman" w:hAnsi="Times New Roman" w:cs="Times New Roman"/>
          <w:i/>
          <w:iCs/>
          <w:sz w:val="24"/>
        </w:rPr>
        <w:t>BMC public health</w:t>
      </w:r>
      <w:r w:rsidRPr="00D10898">
        <w:rPr>
          <w:rStyle w:val="apple-converted-space"/>
          <w:rFonts w:ascii="Times New Roman" w:hAnsi="Times New Roman" w:cs="Times New Roman"/>
          <w:sz w:val="24"/>
          <w:shd w:val="clear" w:color="auto" w:fill="FFFFFF"/>
        </w:rPr>
        <w:t xml:space="preserve"> 2021; </w:t>
      </w:r>
      <w:r w:rsidRPr="00D10898">
        <w:rPr>
          <w:rFonts w:ascii="Times New Roman" w:hAnsi="Times New Roman" w:cs="Times New Roman"/>
          <w:sz w:val="24"/>
        </w:rPr>
        <w:t>21</w:t>
      </w:r>
      <w:r w:rsidRPr="00D10898">
        <w:rPr>
          <w:rFonts w:ascii="Times New Roman" w:hAnsi="Times New Roman" w:cs="Times New Roman"/>
          <w:sz w:val="24"/>
          <w:shd w:val="clear" w:color="auto" w:fill="FFFFFF"/>
        </w:rPr>
        <w:t>(1): 1-10. https://doi.org/10.1186/s12889-021-11966-4.</w:t>
      </w:r>
    </w:p>
    <w:p w14:paraId="0888011F"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shd w:val="clear" w:color="auto" w:fill="FFFFFF"/>
        </w:rPr>
      </w:pPr>
      <w:r w:rsidRPr="00D10898">
        <w:rPr>
          <w:rFonts w:ascii="Times New Roman" w:hAnsi="Times New Roman" w:cs="Times New Roman"/>
          <w:sz w:val="24"/>
          <w:shd w:val="clear" w:color="auto" w:fill="FFFFFF"/>
        </w:rPr>
        <w:t>Stephenson J, Heslehurst N, Hall J, Schoenaker DAJM, Hutchinson J, Cade J, et al. Before the beginning: nutrition and lifestyle in the preconception period and its importance for future health.</w:t>
      </w:r>
      <w:r w:rsidRPr="00D10898">
        <w:rPr>
          <w:rStyle w:val="apple-converted-space"/>
          <w:rFonts w:ascii="Times New Roman" w:hAnsi="Times New Roman" w:cs="Times New Roman"/>
          <w:sz w:val="24"/>
          <w:shd w:val="clear" w:color="auto" w:fill="FFFFFF"/>
        </w:rPr>
        <w:t> </w:t>
      </w:r>
      <w:r w:rsidRPr="00D10898">
        <w:rPr>
          <w:rFonts w:ascii="Times New Roman" w:hAnsi="Times New Roman" w:cs="Times New Roman"/>
          <w:i/>
          <w:iCs/>
          <w:sz w:val="24"/>
        </w:rPr>
        <w:t>The Lancet</w:t>
      </w:r>
      <w:r w:rsidRPr="00D10898">
        <w:rPr>
          <w:rStyle w:val="apple-converted-space"/>
          <w:rFonts w:ascii="Times New Roman" w:hAnsi="Times New Roman" w:cs="Times New Roman"/>
          <w:sz w:val="24"/>
          <w:shd w:val="clear" w:color="auto" w:fill="FFFFFF"/>
        </w:rPr>
        <w:t xml:space="preserve"> 2018; </w:t>
      </w:r>
      <w:r w:rsidRPr="00D10898">
        <w:rPr>
          <w:rFonts w:ascii="Times New Roman" w:hAnsi="Times New Roman" w:cs="Times New Roman"/>
          <w:sz w:val="24"/>
        </w:rPr>
        <w:t>391</w:t>
      </w:r>
      <w:r w:rsidRPr="00D10898">
        <w:rPr>
          <w:rFonts w:ascii="Times New Roman" w:hAnsi="Times New Roman" w:cs="Times New Roman"/>
          <w:sz w:val="24"/>
          <w:shd w:val="clear" w:color="auto" w:fill="FFFFFF"/>
        </w:rPr>
        <w:t xml:space="preserve">(10132): 1830-1841. </w:t>
      </w:r>
      <w:r w:rsidRPr="00D10898">
        <w:rPr>
          <w:rFonts w:ascii="Times New Roman" w:hAnsi="Times New Roman" w:cs="Times New Roman"/>
          <w:sz w:val="24"/>
        </w:rPr>
        <w:t>doi: </w:t>
      </w:r>
      <w:hyperlink r:id="rId20" w:tgtFrame="_blank" w:history="1">
        <w:r w:rsidRPr="00D10898">
          <w:rPr>
            <w:rStyle w:val="Hyperlink"/>
            <w:rFonts w:ascii="Times New Roman" w:hAnsi="Times New Roman" w:cs="Times New Roman"/>
            <w:color w:val="000000" w:themeColor="text1"/>
            <w:sz w:val="24"/>
          </w:rPr>
          <w:t>10.1016/S0140-6736(18)30311-8</w:t>
        </w:r>
      </w:hyperlink>
      <w:r w:rsidRPr="00D10898">
        <w:rPr>
          <w:rFonts w:ascii="Times New Roman" w:hAnsi="Times New Roman" w:cs="Times New Roman"/>
          <w:sz w:val="24"/>
        </w:rPr>
        <w:t>.</w:t>
      </w:r>
    </w:p>
    <w:p w14:paraId="649FAD6B"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McNulty JK, Maxwell JA, Meltzer AL, Baumeister RF. Sex-differentiated changes in sexual desire predict marital dissatisfaction. </w:t>
      </w:r>
      <w:r w:rsidRPr="00D10898">
        <w:rPr>
          <w:rFonts w:ascii="Times New Roman" w:hAnsi="Times New Roman" w:cs="Times New Roman"/>
          <w:i/>
          <w:iCs/>
          <w:sz w:val="24"/>
        </w:rPr>
        <w:t>Archives of Sexual Behavior</w:t>
      </w:r>
      <w:r w:rsidRPr="00D10898">
        <w:rPr>
          <w:rFonts w:ascii="Times New Roman" w:hAnsi="Times New Roman" w:cs="Times New Roman"/>
          <w:sz w:val="24"/>
        </w:rPr>
        <w:t xml:space="preserve"> 2019; 48(8): 2473–2489. </w:t>
      </w:r>
      <w:hyperlink r:id="rId21" w:history="1">
        <w:r w:rsidRPr="00D10898">
          <w:rPr>
            <w:rFonts w:ascii="Times New Roman" w:hAnsi="Times New Roman" w:cs="Times New Roman"/>
            <w:sz w:val="24"/>
          </w:rPr>
          <w:t>https://doi.org/10.1007/s10508-019-01471-6</w:t>
        </w:r>
      </w:hyperlink>
      <w:r w:rsidRPr="00D10898">
        <w:rPr>
          <w:rFonts w:ascii="Times New Roman" w:hAnsi="Times New Roman" w:cs="Times New Roman"/>
          <w:sz w:val="24"/>
        </w:rPr>
        <w:t>.</w:t>
      </w:r>
    </w:p>
    <w:p w14:paraId="5CCCD3B0"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Radetzki PA, Deleurme KA, Rogers SM. The implications of high-conflict divorce on adult-children: five factors related to well-being. </w:t>
      </w:r>
      <w:r w:rsidRPr="00D10898">
        <w:rPr>
          <w:rFonts w:ascii="Times New Roman" w:hAnsi="Times New Roman" w:cs="Times New Roman"/>
          <w:i/>
          <w:iCs/>
          <w:sz w:val="24"/>
        </w:rPr>
        <w:t>Journal of Family Studies</w:t>
      </w:r>
      <w:r w:rsidRPr="00D10898">
        <w:rPr>
          <w:rFonts w:ascii="Times New Roman" w:hAnsi="Times New Roman" w:cs="Times New Roman"/>
          <w:sz w:val="24"/>
        </w:rPr>
        <w:t xml:space="preserve"> 2022; 28(3): 801–821. </w:t>
      </w:r>
      <w:hyperlink r:id="rId22" w:history="1">
        <w:r w:rsidRPr="00D10898">
          <w:rPr>
            <w:rFonts w:ascii="Times New Roman" w:hAnsi="Times New Roman" w:cs="Times New Roman"/>
            <w:sz w:val="24"/>
          </w:rPr>
          <w:t>https://doi.org/10.1080/13229400.2020.1754277f</w:t>
        </w:r>
      </w:hyperlink>
      <w:r w:rsidRPr="00D10898">
        <w:rPr>
          <w:rFonts w:ascii="Times New Roman" w:hAnsi="Times New Roman" w:cs="Times New Roman"/>
          <w:sz w:val="24"/>
        </w:rPr>
        <w:t>.</w:t>
      </w:r>
    </w:p>
    <w:p w14:paraId="38E1DD68"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lastRenderedPageBreak/>
        <w:t xml:space="preserve">Laan ETM, Klein V, Werner MA, van Lunsen RHW, Janssen E. In pursuit of pleasure: a biopsychosocial perspective on sexual pleasure and gender. </w:t>
      </w:r>
      <w:r w:rsidRPr="00D10898">
        <w:rPr>
          <w:rFonts w:ascii="Times New Roman" w:hAnsi="Times New Roman" w:cs="Times New Roman"/>
          <w:i/>
          <w:iCs/>
          <w:sz w:val="24"/>
        </w:rPr>
        <w:t>International Journal of Sexual Health</w:t>
      </w:r>
      <w:r w:rsidRPr="00D10898">
        <w:rPr>
          <w:rFonts w:ascii="Times New Roman" w:hAnsi="Times New Roman" w:cs="Times New Roman"/>
          <w:sz w:val="24"/>
        </w:rPr>
        <w:t xml:space="preserve"> 2021; 33(4): 516-536. </w:t>
      </w:r>
      <w:hyperlink r:id="rId23" w:history="1">
        <w:r w:rsidRPr="00D10898">
          <w:rPr>
            <w:rFonts w:ascii="Times New Roman" w:hAnsi="Times New Roman" w:cs="Times New Roman"/>
            <w:sz w:val="24"/>
          </w:rPr>
          <w:t>https://doi.org/10.1080/19317611.2021.1965689</w:t>
        </w:r>
      </w:hyperlink>
      <w:r w:rsidRPr="00D10898">
        <w:rPr>
          <w:rFonts w:ascii="Times New Roman" w:hAnsi="Times New Roman" w:cs="Times New Roman"/>
          <w:sz w:val="24"/>
        </w:rPr>
        <w:t>.</w:t>
      </w:r>
    </w:p>
    <w:p w14:paraId="4BF7A9C9"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Huang Y, Pan S, Peng T, Gao Y. Teaching sexualities at chinese universities: context, experience, and challenges. </w:t>
      </w:r>
      <w:r w:rsidRPr="00D10898">
        <w:rPr>
          <w:rFonts w:ascii="Times New Roman" w:hAnsi="Times New Roman" w:cs="Times New Roman"/>
          <w:i/>
          <w:iCs/>
          <w:sz w:val="24"/>
        </w:rPr>
        <w:t>International Journal of Sexual Health</w:t>
      </w:r>
      <w:r w:rsidRPr="00D10898">
        <w:rPr>
          <w:rFonts w:ascii="Times New Roman" w:hAnsi="Times New Roman" w:cs="Times New Roman"/>
          <w:sz w:val="24"/>
        </w:rPr>
        <w:t xml:space="preserve"> 2009; 21(4): 282–295. </w:t>
      </w:r>
      <w:hyperlink r:id="rId24" w:history="1">
        <w:r w:rsidRPr="00D10898">
          <w:rPr>
            <w:rFonts w:ascii="Times New Roman" w:hAnsi="Times New Roman" w:cs="Times New Roman"/>
            <w:sz w:val="24"/>
          </w:rPr>
          <w:t>doi:10.1080/19317610903307696</w:t>
        </w:r>
      </w:hyperlink>
      <w:r w:rsidRPr="00D10898">
        <w:rPr>
          <w:rFonts w:ascii="Times New Roman" w:hAnsi="Times New Roman" w:cs="Times New Roman"/>
          <w:sz w:val="24"/>
        </w:rPr>
        <w:t>.</w:t>
      </w:r>
    </w:p>
    <w:p w14:paraId="77395709"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Liu W, Van Campen KS, Edwards CP, Russell ST. Chinese parents’ perspectives on adolescent sexuality education. </w:t>
      </w:r>
      <w:r w:rsidRPr="00D10898">
        <w:rPr>
          <w:rFonts w:ascii="Times New Roman" w:hAnsi="Times New Roman" w:cs="Times New Roman"/>
          <w:i/>
          <w:iCs/>
          <w:sz w:val="24"/>
        </w:rPr>
        <w:t>International Journal of Sexual Health</w:t>
      </w:r>
      <w:r w:rsidRPr="00D10898">
        <w:rPr>
          <w:rFonts w:ascii="Times New Roman" w:hAnsi="Times New Roman" w:cs="Times New Roman"/>
          <w:sz w:val="24"/>
        </w:rPr>
        <w:t xml:space="preserve"> 2011; 23(3): 224–236. </w:t>
      </w:r>
      <w:hyperlink r:id="rId25" w:history="1">
        <w:r w:rsidRPr="00D10898">
          <w:rPr>
            <w:rFonts w:ascii="Times New Roman" w:hAnsi="Times New Roman" w:cs="Times New Roman"/>
            <w:sz w:val="24"/>
          </w:rPr>
          <w:t>https://doi.org/10.1080/19317611.2011.596256</w:t>
        </w:r>
      </w:hyperlink>
      <w:r w:rsidRPr="00D10898">
        <w:rPr>
          <w:rFonts w:ascii="Times New Roman" w:hAnsi="Times New Roman" w:cs="Times New Roman"/>
          <w:sz w:val="24"/>
        </w:rPr>
        <w:t>.</w:t>
      </w:r>
    </w:p>
    <w:p w14:paraId="6DCCFE5C"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Dobson AS, Ringrose J. Sext education: pedagogies of sex, gender and shame in the schoolyards of tagged and exposed. </w:t>
      </w:r>
      <w:r w:rsidRPr="00D10898">
        <w:rPr>
          <w:rFonts w:ascii="Times New Roman" w:hAnsi="Times New Roman" w:cs="Times New Roman"/>
          <w:i/>
          <w:iCs/>
          <w:sz w:val="24"/>
        </w:rPr>
        <w:t>Sex Education</w:t>
      </w:r>
      <w:r w:rsidRPr="00D10898">
        <w:rPr>
          <w:rFonts w:ascii="Times New Roman" w:hAnsi="Times New Roman" w:cs="Times New Roman"/>
          <w:sz w:val="24"/>
        </w:rPr>
        <w:t xml:space="preserve"> 2016; 16(1): 8–21. </w:t>
      </w:r>
      <w:hyperlink r:id="rId26" w:history="1">
        <w:r w:rsidRPr="00D10898">
          <w:rPr>
            <w:rFonts w:ascii="Times New Roman" w:hAnsi="Times New Roman" w:cs="Times New Roman"/>
            <w:sz w:val="24"/>
          </w:rPr>
          <w:t>doi:10.1080/14681811.2015.1050486</w:t>
        </w:r>
      </w:hyperlink>
      <w:r w:rsidRPr="00D10898">
        <w:rPr>
          <w:rFonts w:ascii="Times New Roman" w:hAnsi="Times New Roman" w:cs="Times New Roman"/>
          <w:sz w:val="24"/>
        </w:rPr>
        <w:t>.</w:t>
      </w:r>
    </w:p>
    <w:p w14:paraId="6C4706A1"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Brown M, Boateng EA, Evans C. Should I stay or should I go? A systematic review of factors that influence healthcare students' decisions around study abroad programmes. </w:t>
      </w:r>
      <w:r w:rsidRPr="00D10898">
        <w:rPr>
          <w:rFonts w:ascii="Times New Roman" w:hAnsi="Times New Roman" w:cs="Times New Roman"/>
          <w:i/>
          <w:iCs/>
          <w:sz w:val="24"/>
        </w:rPr>
        <w:t>Nurse Education Today</w:t>
      </w:r>
      <w:r w:rsidRPr="00D10898">
        <w:rPr>
          <w:rFonts w:ascii="Times New Roman" w:hAnsi="Times New Roman" w:cs="Times New Roman"/>
          <w:sz w:val="24"/>
        </w:rPr>
        <w:t xml:space="preserve"> 2016; 39(1): 63-71. </w:t>
      </w:r>
      <w:hyperlink r:id="rId27" w:history="1">
        <w:r w:rsidRPr="00D10898">
          <w:rPr>
            <w:rFonts w:ascii="Times New Roman" w:hAnsi="Times New Roman" w:cs="Times New Roman"/>
            <w:sz w:val="24"/>
          </w:rPr>
          <w:t>doi:10.1016/j.nedt.2015.12.024</w:t>
        </w:r>
      </w:hyperlink>
      <w:r w:rsidRPr="00D10898">
        <w:rPr>
          <w:rFonts w:ascii="Times New Roman" w:hAnsi="Times New Roman" w:cs="Times New Roman"/>
          <w:sz w:val="24"/>
        </w:rPr>
        <w:t>.</w:t>
      </w:r>
    </w:p>
    <w:p w14:paraId="7BD64E63"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kern w:val="36"/>
          <w:sz w:val="24"/>
        </w:rPr>
      </w:pPr>
      <w:r w:rsidRPr="00D10898">
        <w:rPr>
          <w:rFonts w:ascii="Times New Roman" w:hAnsi="Times New Roman" w:cs="Times New Roman"/>
          <w:kern w:val="36"/>
          <w:sz w:val="24"/>
        </w:rPr>
        <w:t xml:space="preserve">The WHOQOL GROUP. Group development of the World Health Organization WHOQOL-BREF quality of life assessment. </w:t>
      </w:r>
      <w:r w:rsidRPr="00D10898">
        <w:rPr>
          <w:rStyle w:val="Emphasis"/>
          <w:rFonts w:ascii="Times New Roman" w:hAnsi="Times New Roman" w:cs="Times New Roman"/>
          <w:sz w:val="24"/>
        </w:rPr>
        <w:t>Psychological Medicine 1998; 28</w:t>
      </w:r>
      <w:r w:rsidRPr="00D10898">
        <w:rPr>
          <w:rFonts w:ascii="Times New Roman" w:hAnsi="Times New Roman" w:cs="Times New Roman"/>
          <w:sz w:val="24"/>
        </w:rPr>
        <w:t xml:space="preserve">(3): 551–558. </w:t>
      </w:r>
      <w:hyperlink r:id="rId28" w:tgtFrame="_blank" w:history="1">
        <w:r w:rsidRPr="00D10898">
          <w:rPr>
            <w:rFonts w:ascii="Times New Roman" w:hAnsi="Times New Roman" w:cs="Times New Roman"/>
            <w:sz w:val="24"/>
          </w:rPr>
          <w:t>doi:10.1017/S0033291798006667</w:t>
        </w:r>
      </w:hyperlink>
      <w:r w:rsidRPr="00D10898">
        <w:rPr>
          <w:rFonts w:ascii="Times New Roman" w:hAnsi="Times New Roman" w:cs="Times New Roman"/>
          <w:sz w:val="24"/>
        </w:rPr>
        <w:t>.</w:t>
      </w:r>
    </w:p>
    <w:p w14:paraId="678A2E90"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Skevington SM, Epton T. How will the sustainable development goals deliver changes in well-being? A systematic review and meta-analysis to investigate whether WHOQOL-BREF scores respond to change. </w:t>
      </w:r>
      <w:r w:rsidRPr="00D10898">
        <w:rPr>
          <w:rFonts w:ascii="Times New Roman" w:eastAsia="SimSun" w:hAnsi="Times New Roman" w:cs="Times New Roman"/>
          <w:i/>
          <w:iCs/>
          <w:sz w:val="24"/>
        </w:rPr>
        <w:t>BMJ Global Health</w:t>
      </w:r>
      <w:r w:rsidRPr="00D10898">
        <w:rPr>
          <w:rFonts w:ascii="Times New Roman" w:eastAsia="SimSun" w:hAnsi="Times New Roman" w:cs="Times New Roman"/>
          <w:sz w:val="24"/>
        </w:rPr>
        <w:t xml:space="preserve"> 2018; 3(1): 1-13.</w:t>
      </w:r>
      <w:r w:rsidRPr="00D10898">
        <w:rPr>
          <w:rFonts w:ascii="Times New Roman" w:hAnsi="Times New Roman" w:cs="Times New Roman"/>
          <w:sz w:val="24"/>
        </w:rPr>
        <w:t xml:space="preserve"> </w:t>
      </w:r>
      <w:hyperlink r:id="rId29" w:history="1">
        <w:r w:rsidRPr="00D10898">
          <w:rPr>
            <w:rStyle w:val="Hyperlink"/>
            <w:rFonts w:ascii="Times New Roman" w:eastAsia="SimSun" w:hAnsi="Times New Roman" w:cs="Times New Roman"/>
            <w:color w:val="000000" w:themeColor="text1"/>
            <w:sz w:val="24"/>
          </w:rPr>
          <w:t>https://doi.org/10.1136/bmjgh-2017-000609</w:t>
        </w:r>
      </w:hyperlink>
      <w:r w:rsidRPr="00D10898">
        <w:rPr>
          <w:rFonts w:ascii="Times New Roman" w:eastAsia="SimSun" w:hAnsi="Times New Roman" w:cs="Times New Roman"/>
          <w:sz w:val="24"/>
        </w:rPr>
        <w:t xml:space="preserve">. </w:t>
      </w:r>
    </w:p>
    <w:p w14:paraId="3B293B3B"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Xia P, Li N, Hau KT, Liu C, Lu Y. Quality of life of Chinese urban community residents: a psychometric study of the mainland Chinese version of the WHOQOL-BREF. </w:t>
      </w:r>
      <w:r w:rsidRPr="00D10898">
        <w:rPr>
          <w:rFonts w:ascii="Times New Roman" w:eastAsia="SimSun" w:hAnsi="Times New Roman" w:cs="Times New Roman"/>
          <w:i/>
          <w:iCs/>
          <w:sz w:val="24"/>
        </w:rPr>
        <w:t>BMC Medical Research Methodology</w:t>
      </w:r>
      <w:r w:rsidRPr="00D10898">
        <w:rPr>
          <w:rFonts w:ascii="Times New Roman" w:eastAsia="SimSun" w:hAnsi="Times New Roman" w:cs="Times New Roman"/>
          <w:sz w:val="24"/>
        </w:rPr>
        <w:t xml:space="preserve"> 2012; 12(1): 1-11.</w:t>
      </w:r>
      <w:r w:rsidRPr="00D10898">
        <w:rPr>
          <w:rStyle w:val="Emphasis"/>
          <w:rFonts w:ascii="Times New Roman" w:hAnsi="Times New Roman" w:cs="Times New Roman"/>
          <w:sz w:val="24"/>
        </w:rPr>
        <w:t xml:space="preserve"> </w:t>
      </w:r>
      <w:r w:rsidRPr="00D10898">
        <w:rPr>
          <w:rFonts w:ascii="Times New Roman" w:eastAsia="SimSun" w:hAnsi="Times New Roman" w:cs="Times New Roman"/>
          <w:sz w:val="24"/>
        </w:rPr>
        <w:t>https://doi.org/10.1186/1471-2288-12-37.</w:t>
      </w:r>
    </w:p>
    <w:p w14:paraId="37D21602"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Skevington SM, Dehner S, Gillison FB, McGrath EJ, Lovell CR. How appropriate is the WHOQOL-BREF for assessing the quality of life of adolescents?. </w:t>
      </w:r>
      <w:r w:rsidRPr="00D10898">
        <w:rPr>
          <w:rFonts w:ascii="Times New Roman" w:eastAsia="SimSun" w:hAnsi="Times New Roman" w:cs="Times New Roman"/>
          <w:i/>
          <w:iCs/>
          <w:sz w:val="24"/>
        </w:rPr>
        <w:t>Psychology &amp; Health</w:t>
      </w:r>
      <w:r w:rsidRPr="00D10898">
        <w:rPr>
          <w:rFonts w:ascii="Times New Roman" w:eastAsia="SimSun" w:hAnsi="Times New Roman" w:cs="Times New Roman"/>
          <w:sz w:val="24"/>
        </w:rPr>
        <w:t xml:space="preserve"> 2014; 29(3): 297-317.</w:t>
      </w:r>
      <w:r w:rsidRPr="00D10898">
        <w:rPr>
          <w:rFonts w:ascii="Times New Roman" w:hAnsi="Times New Roman" w:cs="Times New Roman"/>
          <w:sz w:val="24"/>
        </w:rPr>
        <w:t xml:space="preserve"> </w:t>
      </w:r>
      <w:hyperlink r:id="rId30" w:history="1">
        <w:r w:rsidRPr="00D10898">
          <w:rPr>
            <w:rFonts w:ascii="Times New Roman" w:hAnsi="Times New Roman" w:cs="Times New Roman"/>
            <w:sz w:val="24"/>
          </w:rPr>
          <w:t>https://doi.org/10.1080/08870446.2013.845668</w:t>
        </w:r>
      </w:hyperlink>
      <w:r w:rsidRPr="00D10898">
        <w:rPr>
          <w:rFonts w:ascii="Times New Roman" w:hAnsi="Times New Roman" w:cs="Times New Roman"/>
          <w:sz w:val="24"/>
        </w:rPr>
        <w:t>.</w:t>
      </w:r>
    </w:p>
    <w:p w14:paraId="11A320D3"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Mickey RM, Greenland S. The impact of confounder selection criteria on effect estimation. </w:t>
      </w:r>
      <w:r w:rsidRPr="00D10898">
        <w:rPr>
          <w:rFonts w:ascii="Times New Roman" w:hAnsi="Times New Roman" w:cs="Times New Roman"/>
          <w:i/>
          <w:iCs/>
          <w:sz w:val="24"/>
        </w:rPr>
        <w:t>American Journal of Epidemiology</w:t>
      </w:r>
      <w:r w:rsidRPr="00D10898">
        <w:rPr>
          <w:rFonts w:ascii="Times New Roman" w:hAnsi="Times New Roman" w:cs="Times New Roman"/>
          <w:sz w:val="24"/>
        </w:rPr>
        <w:t xml:space="preserve"> 1989; 129(1): 125-137. https://doi.org/10.1093/oxfordjournals.aje.a115101.</w:t>
      </w:r>
    </w:p>
    <w:p w14:paraId="3A2EE6D1"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Yang H. Visual assessment of residual plots in multiple linear regression: A model-based simulation perspective. </w:t>
      </w:r>
      <w:r w:rsidRPr="00D10898">
        <w:rPr>
          <w:rFonts w:ascii="Times New Roman" w:eastAsia="SimSun" w:hAnsi="Times New Roman" w:cs="Times New Roman"/>
          <w:i/>
          <w:iCs/>
          <w:sz w:val="24"/>
        </w:rPr>
        <w:t>Multiple Linear Regression Viewpoints</w:t>
      </w:r>
      <w:r w:rsidRPr="00D10898">
        <w:rPr>
          <w:rFonts w:ascii="Times New Roman" w:eastAsia="SimSun" w:hAnsi="Times New Roman" w:cs="Times New Roman"/>
          <w:sz w:val="24"/>
        </w:rPr>
        <w:t xml:space="preserve"> 2012; 38(2): 24-37.</w:t>
      </w:r>
      <w:r w:rsidRPr="00D10898">
        <w:rPr>
          <w:rFonts w:ascii="Times New Roman" w:hAnsi="Times New Roman" w:cs="Times New Roman"/>
          <w:sz w:val="24"/>
        </w:rPr>
        <w:t xml:space="preserve"> </w:t>
      </w:r>
      <w:r w:rsidRPr="00D10898">
        <w:rPr>
          <w:rFonts w:ascii="Times New Roman" w:eastAsia="SimSun" w:hAnsi="Times New Roman" w:cs="Times New Roman"/>
          <w:sz w:val="24"/>
        </w:rPr>
        <w:t>https://www.academia.edu/download/38092206/3._Assumption_Simulation.pdf.</w:t>
      </w:r>
    </w:p>
    <w:p w14:paraId="3459A130"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Mollaioli D, Ciocca G, Limoncin E, Di Sante S, Gravina GL, Carosa E, et al. Lifestyles and sexuality in men and women: the gender perspective in sexual medicine. </w:t>
      </w:r>
      <w:r w:rsidRPr="00D10898">
        <w:rPr>
          <w:rFonts w:ascii="Times New Roman" w:eastAsia="SimSun" w:hAnsi="Times New Roman" w:cs="Times New Roman"/>
          <w:i/>
          <w:iCs/>
          <w:sz w:val="24"/>
        </w:rPr>
        <w:t>Reproductive Biology and Endocrinology</w:t>
      </w:r>
      <w:r w:rsidRPr="00D10898">
        <w:rPr>
          <w:rFonts w:ascii="Times New Roman" w:eastAsia="SimSun" w:hAnsi="Times New Roman" w:cs="Times New Roman"/>
          <w:sz w:val="24"/>
        </w:rPr>
        <w:t xml:space="preserve"> 2020; 18(1): 1-11. https://doi.org/10.1186/s12958-019-0557-9.</w:t>
      </w:r>
    </w:p>
    <w:p w14:paraId="6D89904B"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shd w:val="clear" w:color="auto" w:fill="FFFFFF"/>
        </w:rPr>
      </w:pPr>
      <w:r w:rsidRPr="00D10898">
        <w:rPr>
          <w:rFonts w:ascii="Times New Roman" w:hAnsi="Times New Roman" w:cs="Times New Roman"/>
          <w:sz w:val="24"/>
          <w:shd w:val="clear" w:color="auto" w:fill="FFFFFF"/>
        </w:rPr>
        <w:t>Quinn-Nilas C, Benson L, Milhausen RR, Buchholz AC, Goncalves M. The Relationship Between Body Image and Domains of Sexual Functioning Among Heterosexual, Emerging Adult Women.</w:t>
      </w:r>
      <w:r w:rsidRPr="00D10898">
        <w:rPr>
          <w:rStyle w:val="apple-converted-space"/>
          <w:rFonts w:ascii="Times New Roman" w:hAnsi="Times New Roman" w:cs="Times New Roman"/>
          <w:sz w:val="24"/>
          <w:shd w:val="clear" w:color="auto" w:fill="FFFFFF"/>
        </w:rPr>
        <w:t> </w:t>
      </w:r>
      <w:r w:rsidRPr="00D10898">
        <w:rPr>
          <w:rStyle w:val="Emphasis"/>
          <w:rFonts w:ascii="Times New Roman" w:hAnsi="Times New Roman" w:cs="Times New Roman"/>
          <w:sz w:val="24"/>
          <w:bdr w:val="none" w:sz="0" w:space="0" w:color="auto" w:frame="1"/>
        </w:rPr>
        <w:t>Sexual Medicine</w:t>
      </w:r>
      <w:r w:rsidRPr="00D10898">
        <w:rPr>
          <w:rFonts w:ascii="Times New Roman" w:hAnsi="Times New Roman" w:cs="Times New Roman"/>
          <w:sz w:val="24"/>
          <w:shd w:val="clear" w:color="auto" w:fill="FFFFFF"/>
        </w:rPr>
        <w:t xml:space="preserve"> 2016; 4(3): 182–</w:t>
      </w:r>
      <w:r w:rsidRPr="00D10898">
        <w:rPr>
          <w:rFonts w:ascii="Times New Roman" w:hAnsi="Times New Roman" w:cs="Times New Roman"/>
          <w:sz w:val="24"/>
          <w:shd w:val="clear" w:color="auto" w:fill="FFFFFF"/>
        </w:rPr>
        <w:lastRenderedPageBreak/>
        <w:t>189.</w:t>
      </w:r>
      <w:r w:rsidRPr="00D10898">
        <w:rPr>
          <w:rStyle w:val="apple-converted-space"/>
          <w:rFonts w:ascii="Times New Roman" w:hAnsi="Times New Roman" w:cs="Times New Roman"/>
          <w:sz w:val="24"/>
          <w:shd w:val="clear" w:color="auto" w:fill="FFFFFF"/>
        </w:rPr>
        <w:t> </w:t>
      </w:r>
      <w:hyperlink r:id="rId31" w:history="1">
        <w:r w:rsidRPr="00D10898">
          <w:rPr>
            <w:rStyle w:val="Hyperlink"/>
            <w:rFonts w:ascii="Times New Roman" w:hAnsi="Times New Roman" w:cs="Times New Roman"/>
            <w:color w:val="000000" w:themeColor="text1"/>
            <w:sz w:val="24"/>
            <w:bdr w:val="none" w:sz="0" w:space="0" w:color="auto" w:frame="1"/>
          </w:rPr>
          <w:t>doi:10.1016/j.esxm.2016.02.004</w:t>
        </w:r>
      </w:hyperlink>
      <w:r w:rsidRPr="00D10898">
        <w:rPr>
          <w:rFonts w:ascii="Times New Roman" w:hAnsi="Times New Roman" w:cs="Times New Roman"/>
          <w:sz w:val="24"/>
        </w:rPr>
        <w:t>.</w:t>
      </w:r>
    </w:p>
    <w:p w14:paraId="51716FA0"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von Humboldt S, Leal I, Monteiro A. Are Older Adults Well Sexually: Sexual Well-Being among a Cross-National Sample of Older Adults. </w:t>
      </w:r>
      <w:r w:rsidRPr="00D10898">
        <w:rPr>
          <w:rFonts w:ascii="Times New Roman" w:eastAsia="SimSun" w:hAnsi="Times New Roman" w:cs="Times New Roman"/>
          <w:i/>
          <w:iCs/>
          <w:sz w:val="24"/>
        </w:rPr>
        <w:t>Review of European Studies</w:t>
      </w:r>
      <w:r w:rsidRPr="00D10898">
        <w:rPr>
          <w:rFonts w:ascii="Times New Roman" w:eastAsia="SimSun" w:hAnsi="Times New Roman" w:cs="Times New Roman"/>
          <w:sz w:val="24"/>
        </w:rPr>
        <w:t xml:space="preserve"> 2016; 8(1): 134–144. </w:t>
      </w:r>
      <w:hyperlink r:id="rId32" w:history="1">
        <w:r w:rsidRPr="00D10898">
          <w:rPr>
            <w:rFonts w:ascii="Times New Roman" w:hAnsi="Times New Roman" w:cs="Times New Roman"/>
            <w:sz w:val="24"/>
          </w:rPr>
          <w:t>http://dx.doi.org/10.5539/res.v8nlp134</w:t>
        </w:r>
      </w:hyperlink>
      <w:r w:rsidRPr="00D10898">
        <w:rPr>
          <w:rFonts w:ascii="Times New Roman" w:hAnsi="Times New Roman" w:cs="Times New Roman"/>
          <w:sz w:val="24"/>
        </w:rPr>
        <w:t xml:space="preserve">. </w:t>
      </w:r>
    </w:p>
    <w:p w14:paraId="07D43A00"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hAnsi="Times New Roman" w:cs="Times New Roman"/>
          <w:color w:val="222222"/>
          <w:sz w:val="24"/>
          <w:shd w:val="clear" w:color="auto" w:fill="FFFFFF"/>
        </w:rPr>
        <w:t>Silva AB, Sousa N, Azevedo LF, Martins C, Physical activity and exercise for erectile dysfunction: systematic review and meta-analysis.</w:t>
      </w:r>
      <w:r w:rsidRPr="00D10898">
        <w:rPr>
          <w:rStyle w:val="apple-converted-space"/>
          <w:rFonts w:ascii="Times New Roman" w:hAnsi="Times New Roman" w:cs="Times New Roman"/>
          <w:color w:val="222222"/>
          <w:sz w:val="24"/>
          <w:shd w:val="clear" w:color="auto" w:fill="FFFFFF"/>
        </w:rPr>
        <w:t> </w:t>
      </w:r>
      <w:r w:rsidRPr="00D10898">
        <w:rPr>
          <w:rFonts w:ascii="Times New Roman" w:hAnsi="Times New Roman" w:cs="Times New Roman"/>
          <w:i/>
          <w:iCs/>
          <w:color w:val="222222"/>
          <w:sz w:val="24"/>
        </w:rPr>
        <w:t>British Journal of Sports Medicine</w:t>
      </w:r>
      <w:r w:rsidRPr="00D10898">
        <w:rPr>
          <w:rStyle w:val="apple-converted-space"/>
          <w:rFonts w:ascii="Times New Roman" w:hAnsi="Times New Roman" w:cs="Times New Roman"/>
          <w:color w:val="222222"/>
          <w:sz w:val="24"/>
          <w:shd w:val="clear" w:color="auto" w:fill="FFFFFF"/>
        </w:rPr>
        <w:t xml:space="preserve"> 2017; </w:t>
      </w:r>
      <w:r w:rsidRPr="00D10898">
        <w:rPr>
          <w:rFonts w:ascii="Times New Roman" w:hAnsi="Times New Roman" w:cs="Times New Roman"/>
          <w:color w:val="222222"/>
          <w:sz w:val="24"/>
        </w:rPr>
        <w:t>51</w:t>
      </w:r>
      <w:r w:rsidRPr="00D10898">
        <w:rPr>
          <w:rFonts w:ascii="Times New Roman" w:hAnsi="Times New Roman" w:cs="Times New Roman"/>
          <w:color w:val="222222"/>
          <w:sz w:val="24"/>
          <w:shd w:val="clear" w:color="auto" w:fill="FFFFFF"/>
        </w:rPr>
        <w:t xml:space="preserve">(19), pp.1419-1424. </w:t>
      </w:r>
      <w:r w:rsidRPr="00D10898">
        <w:rPr>
          <w:rFonts w:ascii="Times New Roman" w:hAnsi="Times New Roman" w:cs="Times New Roman"/>
          <w:sz w:val="24"/>
        </w:rPr>
        <w:t xml:space="preserve">doi:10.1136/ bjsports-2016-096418 </w:t>
      </w:r>
    </w:p>
    <w:p w14:paraId="73C1C28D" w14:textId="77777777" w:rsidR="00D01674" w:rsidRPr="006C1AC4" w:rsidRDefault="00D01674" w:rsidP="00D01674">
      <w:pPr>
        <w:pStyle w:val="ListParagraph"/>
        <w:numPr>
          <w:ilvl w:val="0"/>
          <w:numId w:val="27"/>
        </w:numPr>
        <w:spacing w:line="480" w:lineRule="auto"/>
        <w:ind w:firstLineChars="0"/>
        <w:jc w:val="left"/>
        <w:rPr>
          <w:rFonts w:ascii="Times New Roman" w:hAnsi="Times New Roman" w:cs="Times New Roman"/>
          <w:sz w:val="24"/>
          <w:shd w:val="clear" w:color="auto" w:fill="FFFFFF"/>
        </w:rPr>
      </w:pPr>
      <w:r w:rsidRPr="006C1AC4">
        <w:rPr>
          <w:rFonts w:ascii="Times New Roman" w:hAnsi="Times New Roman" w:cs="Times New Roman"/>
          <w:sz w:val="24"/>
          <w:shd w:val="clear" w:color="auto" w:fill="FFFFFF"/>
        </w:rPr>
        <w:t xml:space="preserve">Frappier J, Toupin I, Levy JJ, Aubertin-Leheudre M, Karells AD. </w:t>
      </w:r>
      <w:r w:rsidRPr="006C1AC4">
        <w:rPr>
          <w:rFonts w:ascii="Times New Roman" w:hAnsi="Times New Roman" w:cs="Times New Roman"/>
          <w:sz w:val="24"/>
        </w:rPr>
        <w:t>Energy Expenditure during Sexual Activity in Young Healthy Couples.</w:t>
      </w:r>
      <w:r w:rsidRPr="006C1AC4">
        <w:rPr>
          <w:rFonts w:ascii="Times New Roman" w:hAnsi="Times New Roman" w:cs="Times New Roman"/>
          <w:sz w:val="24"/>
          <w:shd w:val="clear" w:color="auto" w:fill="FFFFFF"/>
        </w:rPr>
        <w:t xml:space="preserve"> </w:t>
      </w:r>
      <w:r w:rsidRPr="006C1AC4">
        <w:rPr>
          <w:rFonts w:ascii="Times New Roman" w:eastAsia="SimSun" w:hAnsi="Times New Roman" w:cs="Times New Roman"/>
          <w:i/>
          <w:iCs/>
          <w:sz w:val="24"/>
        </w:rPr>
        <w:t xml:space="preserve">PLoS ONE </w:t>
      </w:r>
      <w:r w:rsidRPr="006C1AC4">
        <w:rPr>
          <w:rFonts w:ascii="Times New Roman" w:eastAsia="SimSun" w:hAnsi="Times New Roman" w:cs="Times New Roman"/>
          <w:sz w:val="24"/>
        </w:rPr>
        <w:t>2013; 8(10): 1-8. https://doi.org/10.1371/journal.pone.0079342.</w:t>
      </w:r>
    </w:p>
    <w:p w14:paraId="6B519009"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Brunell AB, Webster GD. Self-determination and sexual experience in dating relationships. </w:t>
      </w:r>
      <w:r w:rsidRPr="00D10898">
        <w:rPr>
          <w:rFonts w:ascii="Times New Roman" w:eastAsia="SimSun" w:hAnsi="Times New Roman" w:cs="Times New Roman"/>
          <w:i/>
          <w:iCs/>
          <w:sz w:val="24"/>
        </w:rPr>
        <w:t>Personality and Social Psychology Bulletin</w:t>
      </w:r>
      <w:r w:rsidRPr="00D10898">
        <w:rPr>
          <w:rFonts w:ascii="Times New Roman" w:eastAsia="SimSun" w:hAnsi="Times New Roman" w:cs="Times New Roman"/>
          <w:sz w:val="24"/>
        </w:rPr>
        <w:t xml:space="preserve"> 2013; 39(7): 970-987.</w:t>
      </w:r>
      <w:r w:rsidRPr="00D10898">
        <w:rPr>
          <w:rFonts w:ascii="Times New Roman" w:hAnsi="Times New Roman" w:cs="Times New Roman"/>
          <w:sz w:val="24"/>
        </w:rPr>
        <w:t xml:space="preserve"> </w:t>
      </w:r>
      <w:r w:rsidRPr="00D10898">
        <w:rPr>
          <w:rFonts w:ascii="Times New Roman" w:eastAsia="SimSun" w:hAnsi="Times New Roman" w:cs="Times New Roman"/>
          <w:sz w:val="24"/>
        </w:rPr>
        <w:t>doi:10.1177%2F0146167213485442.</w:t>
      </w:r>
    </w:p>
    <w:p w14:paraId="330F8A01"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Mostova O, Stolarski M, Matthews G. I love the way you love me: Responding to partner’s love language preferences boosts satisfaction in romantic heterosexual couples. </w:t>
      </w:r>
      <w:r w:rsidRPr="00D10898">
        <w:rPr>
          <w:rFonts w:ascii="Times New Roman" w:eastAsia="SimSun" w:hAnsi="Times New Roman" w:cs="Times New Roman"/>
          <w:i/>
          <w:iCs/>
          <w:sz w:val="24"/>
        </w:rPr>
        <w:t>PLoS ONE</w:t>
      </w:r>
      <w:r w:rsidRPr="00D10898">
        <w:rPr>
          <w:rFonts w:ascii="Times New Roman" w:eastAsia="SimSun" w:hAnsi="Times New Roman" w:cs="Times New Roman"/>
          <w:sz w:val="24"/>
        </w:rPr>
        <w:t xml:space="preserve"> 2022; 17(6): 1-18.</w:t>
      </w:r>
      <w:r w:rsidRPr="00D10898">
        <w:rPr>
          <w:rFonts w:ascii="Times New Roman" w:hAnsi="Times New Roman" w:cs="Times New Roman"/>
          <w:sz w:val="24"/>
        </w:rPr>
        <w:t xml:space="preserve"> </w:t>
      </w:r>
      <w:r w:rsidRPr="00D10898">
        <w:rPr>
          <w:rFonts w:ascii="Times New Roman" w:eastAsia="SimSun" w:hAnsi="Times New Roman" w:cs="Times New Roman"/>
          <w:sz w:val="24"/>
        </w:rPr>
        <w:t>https://doi.org/10.1371/journal.pone.0269429.</w:t>
      </w:r>
    </w:p>
    <w:p w14:paraId="762E0F05"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Peixoto MM, Lopes J. Quality of life and emotional well-being during COVID-19 as mediators in the relationship between sexual functioning and satisfaction in Portuguese women. </w:t>
      </w:r>
      <w:r w:rsidRPr="00D10898">
        <w:rPr>
          <w:rFonts w:ascii="Times New Roman" w:eastAsia="SimSun" w:hAnsi="Times New Roman" w:cs="Times New Roman"/>
          <w:i/>
          <w:iCs/>
          <w:sz w:val="24"/>
        </w:rPr>
        <w:t>Women &amp; Health</w:t>
      </w:r>
      <w:r w:rsidRPr="00D10898">
        <w:rPr>
          <w:rFonts w:ascii="Times New Roman" w:eastAsia="SimSun" w:hAnsi="Times New Roman" w:cs="Times New Roman"/>
          <w:sz w:val="24"/>
        </w:rPr>
        <w:t xml:space="preserve"> 2022; 62(4): 358–368. https://doi.org/10.1080/03630242.2022.2074609. </w:t>
      </w:r>
    </w:p>
    <w:p w14:paraId="600317AB"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Muise A, Impett EA. Applying theories of communal motivation to sexuality. </w:t>
      </w:r>
      <w:r w:rsidRPr="00D10898">
        <w:rPr>
          <w:rFonts w:ascii="Times New Roman" w:eastAsia="SimSun" w:hAnsi="Times New Roman" w:cs="Times New Roman"/>
          <w:i/>
          <w:iCs/>
          <w:sz w:val="24"/>
        </w:rPr>
        <w:t xml:space="preserve">Social and </w:t>
      </w:r>
      <w:r w:rsidRPr="00D10898">
        <w:rPr>
          <w:rFonts w:ascii="Times New Roman" w:eastAsia="SimSun" w:hAnsi="Times New Roman" w:cs="Times New Roman"/>
          <w:i/>
          <w:iCs/>
          <w:sz w:val="24"/>
        </w:rPr>
        <w:lastRenderedPageBreak/>
        <w:t>Personality Psychology Compass</w:t>
      </w:r>
      <w:r w:rsidRPr="00D10898">
        <w:rPr>
          <w:rFonts w:ascii="Times New Roman" w:eastAsia="SimSun" w:hAnsi="Times New Roman" w:cs="Times New Roman"/>
          <w:sz w:val="24"/>
        </w:rPr>
        <w:t xml:space="preserve"> 2016; 10(8): 455–467. </w:t>
      </w:r>
      <w:hyperlink r:id="rId33" w:history="1">
        <w:r w:rsidRPr="00D10898">
          <w:rPr>
            <w:rStyle w:val="Hyperlink"/>
            <w:rFonts w:ascii="Times New Roman" w:eastAsia="SimSun" w:hAnsi="Times New Roman" w:cs="Times New Roman"/>
            <w:color w:val="000000" w:themeColor="text1"/>
            <w:sz w:val="24"/>
          </w:rPr>
          <w:t>https://doi.org/10.1111/spc3.12261</w:t>
        </w:r>
      </w:hyperlink>
      <w:r w:rsidRPr="00D10898">
        <w:rPr>
          <w:rFonts w:ascii="Times New Roman" w:eastAsia="SimSun" w:hAnsi="Times New Roman" w:cs="Times New Roman"/>
          <w:sz w:val="24"/>
        </w:rPr>
        <w:t xml:space="preserve">. </w:t>
      </w:r>
    </w:p>
    <w:p w14:paraId="71AFE7B1"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Kapsaridi A, Charvoz L. Men’s stress expression and perception of partner’s support within the romantic relationships: A systematic review. </w:t>
      </w:r>
      <w:r w:rsidRPr="00D10898">
        <w:rPr>
          <w:rFonts w:ascii="Times New Roman" w:eastAsia="SimSun" w:hAnsi="Times New Roman" w:cs="Times New Roman"/>
          <w:i/>
          <w:iCs/>
          <w:sz w:val="24"/>
        </w:rPr>
        <w:t>Psychology of Men &amp; Masculinities</w:t>
      </w:r>
      <w:r w:rsidRPr="00D10898">
        <w:rPr>
          <w:rFonts w:ascii="Times New Roman" w:eastAsia="SimSun" w:hAnsi="Times New Roman" w:cs="Times New Roman"/>
          <w:sz w:val="24"/>
        </w:rPr>
        <w:t xml:space="preserve"> 2021; 22(2): </w:t>
      </w:r>
      <w:r w:rsidRPr="00D10898">
        <w:rPr>
          <w:rFonts w:ascii="Times New Roman" w:hAnsi="Times New Roman" w:cs="Times New Roman"/>
          <w:sz w:val="24"/>
        </w:rPr>
        <w:t xml:space="preserve">375–390. </w:t>
      </w:r>
      <w:hyperlink r:id="rId34" w:tgtFrame="_blank" w:history="1">
        <w:r w:rsidRPr="00D10898">
          <w:rPr>
            <w:rFonts w:ascii="Times New Roman" w:hAnsi="Times New Roman" w:cs="Times New Roman"/>
            <w:sz w:val="24"/>
          </w:rPr>
          <w:t>doi:10.1037/men0000276</w:t>
        </w:r>
      </w:hyperlink>
      <w:r w:rsidRPr="00D10898">
        <w:rPr>
          <w:rFonts w:ascii="Times New Roman" w:hAnsi="Times New Roman" w:cs="Times New Roman"/>
          <w:sz w:val="24"/>
        </w:rPr>
        <w:t>.</w:t>
      </w:r>
    </w:p>
    <w:p w14:paraId="045852B6"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Wongsomboon V, Webster GD, Burleson MH. It’s The “Why”: Links between (Non) autonomous Sexual Motives, Sexual Assertiveness, and Women’s Orgasm in Casual Sex. </w:t>
      </w:r>
      <w:r w:rsidRPr="00D10898">
        <w:rPr>
          <w:rFonts w:ascii="Times New Roman" w:eastAsia="SimSun" w:hAnsi="Times New Roman" w:cs="Times New Roman"/>
          <w:i/>
          <w:iCs/>
          <w:sz w:val="24"/>
        </w:rPr>
        <w:t>Archives of Sexual Behavior</w:t>
      </w:r>
      <w:r w:rsidRPr="00D10898">
        <w:rPr>
          <w:rFonts w:ascii="Times New Roman" w:eastAsia="SimSun" w:hAnsi="Times New Roman" w:cs="Times New Roman"/>
          <w:sz w:val="24"/>
        </w:rPr>
        <w:t xml:space="preserve"> 2022; 51(1): 621-632.</w:t>
      </w:r>
      <w:r w:rsidRPr="00D10898">
        <w:rPr>
          <w:rFonts w:ascii="Times New Roman" w:hAnsi="Times New Roman" w:cs="Times New Roman"/>
          <w:sz w:val="24"/>
        </w:rPr>
        <w:t xml:space="preserve"> </w:t>
      </w:r>
      <w:r w:rsidRPr="00D10898">
        <w:rPr>
          <w:rFonts w:ascii="Times New Roman" w:eastAsia="SimSun" w:hAnsi="Times New Roman" w:cs="Times New Roman"/>
          <w:sz w:val="24"/>
        </w:rPr>
        <w:t>https://doi.org/10.1007/s10508-021-02103-8.</w:t>
      </w:r>
    </w:p>
    <w:p w14:paraId="4B69C8B0"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Weinstein N, Rodriguez LM, Knee CR, Kumashiro M. Self-determined self-other overlap: Interacting effects on partners’ perceptions of support and well-being in close relationships. </w:t>
      </w:r>
      <w:r w:rsidRPr="00D10898">
        <w:rPr>
          <w:rFonts w:ascii="Times New Roman" w:eastAsia="SimSun" w:hAnsi="Times New Roman" w:cs="Times New Roman"/>
          <w:i/>
          <w:iCs/>
          <w:sz w:val="24"/>
        </w:rPr>
        <w:t>Journal of Research in Personality</w:t>
      </w:r>
      <w:r w:rsidRPr="00D10898">
        <w:rPr>
          <w:rFonts w:ascii="Times New Roman" w:eastAsia="SimSun" w:hAnsi="Times New Roman" w:cs="Times New Roman"/>
          <w:sz w:val="24"/>
        </w:rPr>
        <w:t xml:space="preserve"> 2016; 65(1): 130–139. https://doi.org/10.1016/j.jrp.2016.10.011.</w:t>
      </w:r>
    </w:p>
    <w:p w14:paraId="3444E719"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Wood J, Quinn-Nilas C, Milhausen R, Desmarais S, Muise A, Sakaluk J. A dyadic examination of self-determined sexual motives, need fulfillment, and relational outcomes among consensually non-monogamous partners. </w:t>
      </w:r>
      <w:r w:rsidRPr="00D10898">
        <w:rPr>
          <w:rFonts w:ascii="Times New Roman" w:eastAsia="SimSun" w:hAnsi="Times New Roman" w:cs="Times New Roman"/>
          <w:i/>
          <w:iCs/>
          <w:sz w:val="24"/>
        </w:rPr>
        <w:t>PLoS ONE</w:t>
      </w:r>
      <w:r w:rsidRPr="00D10898">
        <w:rPr>
          <w:rFonts w:ascii="Times New Roman" w:eastAsia="SimSun" w:hAnsi="Times New Roman" w:cs="Times New Roman"/>
          <w:sz w:val="24"/>
        </w:rPr>
        <w:t xml:space="preserve"> 2021; 16(2): 1-27. https://doi.org/10.1371/journal.pone.0247001.</w:t>
      </w:r>
    </w:p>
    <w:p w14:paraId="526277C8"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Tang N, Bensman L, Hatfield E. The impact of culture and gender on sexual motives: Differences between Chinese and North Americans. </w:t>
      </w:r>
      <w:r w:rsidRPr="00D10898">
        <w:rPr>
          <w:rFonts w:ascii="Times New Roman" w:eastAsia="SimSun" w:hAnsi="Times New Roman" w:cs="Times New Roman"/>
          <w:i/>
          <w:iCs/>
          <w:sz w:val="24"/>
        </w:rPr>
        <w:t>International Journal of Intercultural Relations</w:t>
      </w:r>
      <w:r w:rsidRPr="00D10898">
        <w:rPr>
          <w:rFonts w:ascii="Times New Roman" w:eastAsia="SimSun" w:hAnsi="Times New Roman" w:cs="Times New Roman"/>
          <w:sz w:val="24"/>
        </w:rPr>
        <w:t xml:space="preserve"> 2012; 36(2): 286-294.</w:t>
      </w:r>
      <w:r w:rsidRPr="00D10898">
        <w:rPr>
          <w:rFonts w:ascii="Times New Roman" w:hAnsi="Times New Roman" w:cs="Times New Roman"/>
          <w:sz w:val="24"/>
        </w:rPr>
        <w:t xml:space="preserve"> </w:t>
      </w:r>
      <w:hyperlink r:id="rId35" w:history="1">
        <w:r w:rsidRPr="00D10898">
          <w:rPr>
            <w:rStyle w:val="Hyperlink"/>
            <w:rFonts w:ascii="Times New Roman" w:eastAsia="SimSun" w:hAnsi="Times New Roman" w:cs="Times New Roman"/>
            <w:color w:val="000000" w:themeColor="text1"/>
            <w:sz w:val="24"/>
          </w:rPr>
          <w:t>https://doi.org/10.1016/j.ijintrel.2011.12.013</w:t>
        </w:r>
      </w:hyperlink>
      <w:r w:rsidRPr="00D10898">
        <w:rPr>
          <w:rFonts w:ascii="Times New Roman" w:eastAsia="SimSun" w:hAnsi="Times New Roman" w:cs="Times New Roman"/>
          <w:sz w:val="24"/>
        </w:rPr>
        <w:t xml:space="preserve">. </w:t>
      </w:r>
    </w:p>
    <w:p w14:paraId="269A1B5C"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lastRenderedPageBreak/>
        <w:t xml:space="preserve">Mahmodi Y, Valiee S. A clinical trial of the effect of sexual health education on the quality of life of married Muslim women in Iran. </w:t>
      </w:r>
      <w:r w:rsidRPr="00D10898">
        <w:rPr>
          <w:rFonts w:ascii="Times New Roman" w:eastAsia="SimSun" w:hAnsi="Times New Roman" w:cs="Times New Roman"/>
          <w:i/>
          <w:iCs/>
          <w:sz w:val="24"/>
        </w:rPr>
        <w:t>Women and Birth</w:t>
      </w:r>
      <w:r w:rsidRPr="00D10898">
        <w:rPr>
          <w:rFonts w:ascii="Times New Roman" w:eastAsia="SimSun" w:hAnsi="Times New Roman" w:cs="Times New Roman"/>
          <w:sz w:val="24"/>
        </w:rPr>
        <w:t xml:space="preserve"> 2016; 29(1): 18-22.</w:t>
      </w:r>
      <w:r w:rsidRPr="00D10898">
        <w:rPr>
          <w:rFonts w:ascii="Times New Roman" w:hAnsi="Times New Roman" w:cs="Times New Roman"/>
          <w:sz w:val="24"/>
        </w:rPr>
        <w:t xml:space="preserve"> </w:t>
      </w:r>
      <w:r w:rsidRPr="00D10898">
        <w:rPr>
          <w:rFonts w:ascii="Times New Roman" w:eastAsia="SimSun" w:hAnsi="Times New Roman" w:cs="Times New Roman"/>
          <w:sz w:val="24"/>
        </w:rPr>
        <w:t>https://doi.org/10.1016/j.wombi.2015.08.001.</w:t>
      </w:r>
    </w:p>
    <w:p w14:paraId="01185AE3"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t xml:space="preserve">Dang SS, Gorzalka BB, Brotto LA. Dual Control Model in a Cross-Cultural Context: Role of Sexual Excitation in Sexual Response and Behavior Differences Between Chinese and Euro-Caucasian Women in Canada. </w:t>
      </w:r>
      <w:r w:rsidRPr="00D10898">
        <w:rPr>
          <w:rFonts w:ascii="Times New Roman" w:eastAsia="SimSun" w:hAnsi="Times New Roman" w:cs="Times New Roman"/>
          <w:i/>
          <w:iCs/>
          <w:sz w:val="24"/>
        </w:rPr>
        <w:t>Archives of Sexual Behavior</w:t>
      </w:r>
      <w:r w:rsidRPr="00D10898">
        <w:rPr>
          <w:rFonts w:ascii="Times New Roman" w:eastAsia="SimSun" w:hAnsi="Times New Roman" w:cs="Times New Roman"/>
          <w:sz w:val="24"/>
        </w:rPr>
        <w:t xml:space="preserve"> 2019; 48(8): 2519–2535. doi:10.1007/s10508-019-01535-7.</w:t>
      </w:r>
    </w:p>
    <w:p w14:paraId="1E636E5D"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Higgins LT, Zheng M, Liu Y, Sun CH. Attitudes to marriage and sexual behaviors: A survey of gender and culture differences in China and United Kingdom. </w:t>
      </w:r>
      <w:r w:rsidRPr="00D10898">
        <w:rPr>
          <w:rFonts w:ascii="Times New Roman" w:hAnsi="Times New Roman" w:cs="Times New Roman"/>
          <w:i/>
          <w:iCs/>
          <w:sz w:val="24"/>
        </w:rPr>
        <w:t>Sex Roles</w:t>
      </w:r>
      <w:r w:rsidRPr="00D10898">
        <w:rPr>
          <w:rFonts w:ascii="Times New Roman" w:hAnsi="Times New Roman" w:cs="Times New Roman"/>
          <w:sz w:val="24"/>
        </w:rPr>
        <w:t xml:space="preserve"> 2002; 46(3): 75-89. </w:t>
      </w:r>
      <w:r w:rsidRPr="00D10898">
        <w:rPr>
          <w:rStyle w:val="c-bibliographic-informationvalue"/>
          <w:rFonts w:ascii="Times New Roman" w:hAnsi="Times New Roman" w:cs="Times New Roman"/>
          <w:sz w:val="24"/>
        </w:rPr>
        <w:t>doi:10.1023/A:1016565426011.</w:t>
      </w:r>
    </w:p>
    <w:p w14:paraId="678DAC97"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Dai Z. What have we missed?: the knowledge of and access to the HPV vaccine and sex education in China. </w:t>
      </w:r>
      <w:r w:rsidRPr="00D10898">
        <w:rPr>
          <w:rFonts w:ascii="Times New Roman" w:hAnsi="Times New Roman" w:cs="Times New Roman"/>
          <w:i/>
          <w:iCs/>
          <w:sz w:val="24"/>
        </w:rPr>
        <w:t>Health Communication</w:t>
      </w:r>
      <w:r w:rsidRPr="00D10898">
        <w:rPr>
          <w:rFonts w:ascii="Times New Roman" w:hAnsi="Times New Roman" w:cs="Times New Roman"/>
          <w:sz w:val="24"/>
        </w:rPr>
        <w:t xml:space="preserve"> 2020; 35(1): 96-98. doi:10.1080/10410236.2018.1545168.</w:t>
      </w:r>
    </w:p>
    <w:p w14:paraId="41231B26"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Style w:val="cls-response"/>
          <w:rFonts w:ascii="Times New Roman" w:hAnsi="Times New Roman" w:cs="Times New Roman"/>
          <w:sz w:val="24"/>
        </w:rPr>
        <w:t xml:space="preserve">Epps B, Markowski M, Cleaver K. A Rapid Review and Narrative Synthesis of the Consequences of Non-Inclusive Sex Education in UK Schools on Lesbian, Gay, Bisexual, Transgender and Questioning Young People. </w:t>
      </w:r>
      <w:r w:rsidRPr="00D10898">
        <w:rPr>
          <w:rStyle w:val="cls-response"/>
          <w:rFonts w:ascii="Times New Roman" w:hAnsi="Times New Roman" w:cs="Times New Roman"/>
          <w:i/>
          <w:iCs/>
          <w:sz w:val="24"/>
        </w:rPr>
        <w:t>The Journal of School Nursing</w:t>
      </w:r>
      <w:r w:rsidRPr="00D10898">
        <w:rPr>
          <w:rStyle w:val="cls-response"/>
          <w:rFonts w:ascii="Times New Roman" w:hAnsi="Times New Roman" w:cs="Times New Roman"/>
          <w:sz w:val="24"/>
        </w:rPr>
        <w:t xml:space="preserve"> 2021; 39(1): 1-11. </w:t>
      </w:r>
      <w:hyperlink r:id="rId36" w:history="1">
        <w:r w:rsidRPr="00D10898">
          <w:rPr>
            <w:rStyle w:val="Hyperlink"/>
            <w:rFonts w:ascii="Times New Roman" w:hAnsi="Times New Roman" w:cs="Times New Roman"/>
            <w:color w:val="000000" w:themeColor="text1"/>
            <w:sz w:val="24"/>
          </w:rPr>
          <w:t>doi:10.1177/10598405211043394</w:t>
        </w:r>
      </w:hyperlink>
      <w:r w:rsidRPr="00D10898">
        <w:rPr>
          <w:rFonts w:ascii="Times New Roman" w:hAnsi="Times New Roman" w:cs="Times New Roman"/>
          <w:sz w:val="24"/>
        </w:rPr>
        <w:t>.</w:t>
      </w:r>
    </w:p>
    <w:p w14:paraId="7AD54D74"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Castellanos-Usigli A, Braeken-van Schaik D. The Pleasuremeter: exploring the links between sexual health, sexual rights and sexual pleasure in sexual history-taking, SRHR counselling and education. </w:t>
      </w:r>
      <w:r w:rsidRPr="00D10898">
        <w:rPr>
          <w:rFonts w:ascii="Times New Roman" w:hAnsi="Times New Roman" w:cs="Times New Roman"/>
          <w:i/>
          <w:iCs/>
          <w:sz w:val="24"/>
        </w:rPr>
        <w:t>Sexual and Reproductive Health Matters</w:t>
      </w:r>
      <w:r w:rsidRPr="00D10898">
        <w:rPr>
          <w:rFonts w:ascii="Times New Roman" w:hAnsi="Times New Roman" w:cs="Times New Roman"/>
          <w:sz w:val="24"/>
        </w:rPr>
        <w:t> 2019; 27(1): 313-315. doi: </w:t>
      </w:r>
      <w:hyperlink r:id="rId37" w:history="1">
        <w:r w:rsidRPr="00D10898">
          <w:rPr>
            <w:rStyle w:val="Hyperlink"/>
            <w:rFonts w:ascii="Times New Roman" w:hAnsi="Times New Roman" w:cs="Times New Roman"/>
            <w:color w:val="000000" w:themeColor="text1"/>
            <w:sz w:val="24"/>
          </w:rPr>
          <w:t>10.1080/26410397.2019.1690334</w:t>
        </w:r>
      </w:hyperlink>
      <w:r w:rsidRPr="00D10898">
        <w:rPr>
          <w:rFonts w:ascii="Times New Roman" w:hAnsi="Times New Roman" w:cs="Times New Roman"/>
          <w:sz w:val="24"/>
        </w:rPr>
        <w:t>.</w:t>
      </w:r>
    </w:p>
    <w:p w14:paraId="6409545F" w14:textId="77777777" w:rsidR="00D01674" w:rsidRPr="00D10898" w:rsidRDefault="00D01674" w:rsidP="00D01674">
      <w:pPr>
        <w:pStyle w:val="ListParagraph"/>
        <w:numPr>
          <w:ilvl w:val="0"/>
          <w:numId w:val="27"/>
        </w:numPr>
        <w:spacing w:line="480" w:lineRule="auto"/>
        <w:ind w:firstLineChars="0"/>
        <w:jc w:val="left"/>
        <w:rPr>
          <w:rFonts w:ascii="Times New Roman" w:eastAsia="SimSun" w:hAnsi="Times New Roman" w:cs="Times New Roman"/>
          <w:sz w:val="24"/>
        </w:rPr>
      </w:pPr>
      <w:r w:rsidRPr="00D10898">
        <w:rPr>
          <w:rFonts w:ascii="Times New Roman" w:eastAsia="SimSun" w:hAnsi="Times New Roman" w:cs="Times New Roman"/>
          <w:sz w:val="24"/>
        </w:rPr>
        <w:lastRenderedPageBreak/>
        <w:t xml:space="preserve">De Silva T, Tenreyro S. The fall in global fertility: A quantitative model. </w:t>
      </w:r>
      <w:r w:rsidRPr="00D10898">
        <w:rPr>
          <w:rFonts w:ascii="Times New Roman" w:eastAsia="SimSun" w:hAnsi="Times New Roman" w:cs="Times New Roman"/>
          <w:i/>
          <w:iCs/>
          <w:sz w:val="24"/>
        </w:rPr>
        <w:t>American Economic Journal: Macroeconomics</w:t>
      </w:r>
      <w:r w:rsidRPr="00D10898">
        <w:rPr>
          <w:rFonts w:ascii="Times New Roman" w:eastAsia="SimSun" w:hAnsi="Times New Roman" w:cs="Times New Roman"/>
          <w:sz w:val="24"/>
        </w:rPr>
        <w:t xml:space="preserve"> 2020; 12(3): 77-109.</w:t>
      </w:r>
      <w:r w:rsidRPr="00D10898">
        <w:rPr>
          <w:rFonts w:ascii="Times New Roman" w:hAnsi="Times New Roman" w:cs="Times New Roman"/>
          <w:sz w:val="24"/>
        </w:rPr>
        <w:t xml:space="preserve"> doi:</w:t>
      </w:r>
      <w:r w:rsidRPr="00D10898">
        <w:rPr>
          <w:rFonts w:ascii="Times New Roman" w:eastAsia="SimSun" w:hAnsi="Times New Roman" w:cs="Times New Roman"/>
          <w:sz w:val="24"/>
        </w:rPr>
        <w:t>10.1257/mac.20180296.</w:t>
      </w:r>
    </w:p>
    <w:p w14:paraId="54F6BCAB"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Style w:val="author"/>
          <w:rFonts w:ascii="Times New Roman" w:hAnsi="Times New Roman" w:cs="Times New Roman"/>
          <w:sz w:val="24"/>
        </w:rPr>
        <w:t>von Keyserlingk L</w:t>
      </w:r>
      <w:r w:rsidRPr="00D10898">
        <w:rPr>
          <w:rFonts w:ascii="Times New Roman" w:hAnsi="Times New Roman" w:cs="Times New Roman"/>
          <w:sz w:val="24"/>
        </w:rPr>
        <w:t xml:space="preserve">, </w:t>
      </w:r>
      <w:r w:rsidRPr="00D10898">
        <w:rPr>
          <w:rStyle w:val="author"/>
          <w:rFonts w:ascii="Times New Roman" w:hAnsi="Times New Roman" w:cs="Times New Roman"/>
          <w:sz w:val="24"/>
        </w:rPr>
        <w:t>Yamaguchi-Pedroza K, Arum R, Eccles JS.</w:t>
      </w:r>
      <w:r w:rsidRPr="00D10898">
        <w:rPr>
          <w:rFonts w:ascii="Times New Roman" w:hAnsi="Times New Roman" w:cs="Times New Roman"/>
          <w:sz w:val="24"/>
        </w:rPr>
        <w:t xml:space="preserve"> </w:t>
      </w:r>
      <w:r w:rsidRPr="00D10898">
        <w:rPr>
          <w:rStyle w:val="articletitle0"/>
          <w:rFonts w:ascii="Times New Roman" w:hAnsi="Times New Roman" w:cs="Times New Roman"/>
          <w:sz w:val="24"/>
        </w:rPr>
        <w:t>Stress of university students before and after campus closure in response to COVID-19</w:t>
      </w:r>
      <w:r w:rsidRPr="00D10898">
        <w:rPr>
          <w:rFonts w:ascii="Times New Roman" w:hAnsi="Times New Roman" w:cs="Times New Roman"/>
          <w:sz w:val="24"/>
        </w:rPr>
        <w:t xml:space="preserve">. </w:t>
      </w:r>
      <w:r w:rsidRPr="00D10898">
        <w:rPr>
          <w:rFonts w:ascii="Times New Roman" w:hAnsi="Times New Roman" w:cs="Times New Roman"/>
          <w:i/>
          <w:iCs/>
          <w:sz w:val="24"/>
        </w:rPr>
        <w:t xml:space="preserve">Journal of Community Psychology </w:t>
      </w:r>
      <w:r w:rsidRPr="00D10898">
        <w:rPr>
          <w:rFonts w:ascii="Times New Roman" w:hAnsi="Times New Roman" w:cs="Times New Roman"/>
          <w:sz w:val="24"/>
        </w:rPr>
        <w:t xml:space="preserve">2022; </w:t>
      </w:r>
      <w:r w:rsidRPr="00D10898">
        <w:rPr>
          <w:rStyle w:val="vol"/>
          <w:rFonts w:ascii="Times New Roman" w:hAnsi="Times New Roman" w:cs="Times New Roman"/>
          <w:sz w:val="24"/>
        </w:rPr>
        <w:t>50</w:t>
      </w:r>
      <w:r w:rsidRPr="00D10898">
        <w:rPr>
          <w:rFonts w:ascii="Times New Roman" w:hAnsi="Times New Roman" w:cs="Times New Roman"/>
          <w:sz w:val="24"/>
        </w:rPr>
        <w:t xml:space="preserve">(1): </w:t>
      </w:r>
      <w:r w:rsidRPr="00D10898">
        <w:rPr>
          <w:rStyle w:val="pagefirst"/>
          <w:rFonts w:ascii="Times New Roman" w:hAnsi="Times New Roman" w:cs="Times New Roman"/>
          <w:sz w:val="24"/>
        </w:rPr>
        <w:t>285</w:t>
      </w:r>
      <w:r w:rsidRPr="00D10898">
        <w:rPr>
          <w:rFonts w:ascii="Times New Roman" w:hAnsi="Times New Roman" w:cs="Times New Roman"/>
          <w:sz w:val="24"/>
        </w:rPr>
        <w:t xml:space="preserve">– </w:t>
      </w:r>
      <w:r w:rsidRPr="00D10898">
        <w:rPr>
          <w:rStyle w:val="pagelast"/>
          <w:rFonts w:ascii="Times New Roman" w:hAnsi="Times New Roman" w:cs="Times New Roman"/>
          <w:sz w:val="24"/>
        </w:rPr>
        <w:t>301</w:t>
      </w:r>
      <w:r w:rsidRPr="00D10898">
        <w:rPr>
          <w:rFonts w:ascii="Times New Roman" w:hAnsi="Times New Roman" w:cs="Times New Roman"/>
          <w:sz w:val="24"/>
        </w:rPr>
        <w:t xml:space="preserve">. </w:t>
      </w:r>
      <w:hyperlink r:id="rId38" w:history="1">
        <w:r w:rsidRPr="00D10898">
          <w:rPr>
            <w:rFonts w:ascii="Times New Roman" w:hAnsi="Times New Roman" w:cs="Times New Roman"/>
            <w:sz w:val="24"/>
          </w:rPr>
          <w:t>https://doi.org/10.1002/jcop.22561</w:t>
        </w:r>
      </w:hyperlink>
      <w:r w:rsidRPr="00D10898">
        <w:rPr>
          <w:rFonts w:ascii="Times New Roman" w:hAnsi="Times New Roman" w:cs="Times New Roman"/>
          <w:sz w:val="24"/>
        </w:rPr>
        <w:t>.</w:t>
      </w:r>
    </w:p>
    <w:p w14:paraId="18B0C523"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Curdt-Christiansen X. Huang J. “Pride” and “profit”: a sociolinguistic profile of the Chinese communities in Britain. </w:t>
      </w:r>
      <w:r w:rsidRPr="00D10898">
        <w:rPr>
          <w:rFonts w:ascii="Times New Roman" w:hAnsi="Times New Roman" w:cs="Times New Roman"/>
          <w:i/>
          <w:iCs/>
          <w:sz w:val="24"/>
        </w:rPr>
        <w:t>International Journal of the Sociology of Language</w:t>
      </w:r>
      <w:r w:rsidRPr="00D10898">
        <w:rPr>
          <w:rFonts w:ascii="Times New Roman" w:hAnsi="Times New Roman" w:cs="Times New Roman"/>
          <w:sz w:val="24"/>
        </w:rPr>
        <w:t xml:space="preserve"> 2021; 2021(269): 47-72. </w:t>
      </w:r>
      <w:hyperlink r:id="rId39" w:history="1">
        <w:r w:rsidRPr="00D10898">
          <w:rPr>
            <w:rFonts w:ascii="Times New Roman" w:hAnsi="Times New Roman" w:cs="Times New Roman"/>
            <w:sz w:val="24"/>
          </w:rPr>
          <w:t>doi:10.1515/ijsl-2020-0005</w:t>
        </w:r>
      </w:hyperlink>
      <w:r w:rsidRPr="00D10898">
        <w:rPr>
          <w:rFonts w:ascii="Times New Roman" w:hAnsi="Times New Roman" w:cs="Times New Roman"/>
          <w:sz w:val="24"/>
        </w:rPr>
        <w:t>.</w:t>
      </w:r>
    </w:p>
    <w:p w14:paraId="5087A176"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Silva T, Evans CR. Sexual Identification in the United States at the Intersections of Gender, Race/Ethnicity, Immigration, and Education. </w:t>
      </w:r>
      <w:r w:rsidRPr="00D10898">
        <w:rPr>
          <w:rFonts w:ascii="Times New Roman" w:hAnsi="Times New Roman" w:cs="Times New Roman"/>
          <w:i/>
          <w:iCs/>
          <w:sz w:val="24"/>
        </w:rPr>
        <w:t>Sex Roles</w:t>
      </w:r>
      <w:r w:rsidRPr="00D10898">
        <w:rPr>
          <w:rFonts w:ascii="Times New Roman" w:hAnsi="Times New Roman" w:cs="Times New Roman"/>
          <w:sz w:val="24"/>
        </w:rPr>
        <w:t xml:space="preserve"> 2020; 83(11–12): 722–738. </w:t>
      </w:r>
      <w:hyperlink r:id="rId40" w:history="1">
        <w:r w:rsidRPr="00D10898">
          <w:rPr>
            <w:rStyle w:val="Hyperlink"/>
            <w:rFonts w:ascii="Times New Roman" w:hAnsi="Times New Roman" w:cs="Times New Roman"/>
            <w:color w:val="000000" w:themeColor="text1"/>
            <w:sz w:val="24"/>
          </w:rPr>
          <w:t>https://doi.org/10.1007/s11199-020-01145-x</w:t>
        </w:r>
      </w:hyperlink>
      <w:r w:rsidRPr="00D10898">
        <w:rPr>
          <w:rFonts w:ascii="Times New Roman" w:hAnsi="Times New Roman" w:cs="Times New Roman"/>
          <w:sz w:val="24"/>
        </w:rPr>
        <w:t xml:space="preserve">. </w:t>
      </w:r>
    </w:p>
    <w:p w14:paraId="7E4A0C39" w14:textId="77777777" w:rsidR="00D01674" w:rsidRPr="00D10898" w:rsidRDefault="00D01674" w:rsidP="00D01674">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Jung YM. Pathways of aging in migration and their association with the quality of life. </w:t>
      </w:r>
      <w:r w:rsidRPr="00D10898">
        <w:rPr>
          <w:rFonts w:ascii="Times New Roman" w:hAnsi="Times New Roman" w:cs="Times New Roman"/>
          <w:i/>
          <w:iCs/>
          <w:sz w:val="24"/>
        </w:rPr>
        <w:t>Asian and Pacific Migration Journal</w:t>
      </w:r>
      <w:r w:rsidRPr="00D10898">
        <w:rPr>
          <w:rFonts w:ascii="Times New Roman" w:hAnsi="Times New Roman" w:cs="Times New Roman"/>
          <w:sz w:val="24"/>
        </w:rPr>
        <w:t xml:space="preserve"> 2022; 31(2): 1-19. doi:10.1177/01171968221109038.</w:t>
      </w:r>
    </w:p>
    <w:p w14:paraId="2877BA3E" w14:textId="4FE37012" w:rsidR="002352F2" w:rsidRDefault="00D01674" w:rsidP="00C9522E">
      <w:pPr>
        <w:pStyle w:val="ListParagraph"/>
        <w:numPr>
          <w:ilvl w:val="0"/>
          <w:numId w:val="27"/>
        </w:numPr>
        <w:spacing w:line="480" w:lineRule="auto"/>
        <w:ind w:firstLineChars="0"/>
        <w:jc w:val="left"/>
        <w:rPr>
          <w:rFonts w:ascii="Times New Roman" w:hAnsi="Times New Roman" w:cs="Times New Roman"/>
          <w:sz w:val="24"/>
        </w:rPr>
      </w:pPr>
      <w:r w:rsidRPr="00D10898">
        <w:rPr>
          <w:rFonts w:ascii="Times New Roman" w:hAnsi="Times New Roman" w:cs="Times New Roman"/>
          <w:sz w:val="24"/>
        </w:rPr>
        <w:t xml:space="preserve">Wright HK, Xiao Y. “We’ve worn out the use of that word”: Australian New Youth on Multiculturalism, And the Politics of Identity, Difference and Belonging. </w:t>
      </w:r>
      <w:r w:rsidRPr="00D10898">
        <w:rPr>
          <w:rFonts w:ascii="Times New Roman" w:hAnsi="Times New Roman" w:cs="Times New Roman"/>
          <w:i/>
          <w:iCs/>
          <w:sz w:val="24"/>
        </w:rPr>
        <w:t>Diaspora, Indigenous, and Minority Education</w:t>
      </w:r>
      <w:r w:rsidRPr="00D10898">
        <w:rPr>
          <w:rFonts w:ascii="Times New Roman" w:hAnsi="Times New Roman" w:cs="Times New Roman"/>
          <w:sz w:val="24"/>
        </w:rPr>
        <w:t xml:space="preserve"> 2022; 17(1): 8-24. </w:t>
      </w:r>
      <w:hyperlink r:id="rId41" w:history="1">
        <w:r w:rsidR="006F701F" w:rsidRPr="00C05681">
          <w:rPr>
            <w:rStyle w:val="Hyperlink"/>
            <w:rFonts w:ascii="Times New Roman" w:hAnsi="Times New Roman" w:cs="Times New Roman"/>
            <w:sz w:val="24"/>
          </w:rPr>
          <w:t>https://doi.org/10.1080/15595692.2022.2028136</w:t>
        </w:r>
      </w:hyperlink>
      <w:r w:rsidRPr="00D10898">
        <w:rPr>
          <w:rFonts w:ascii="Times New Roman" w:hAnsi="Times New Roman" w:cs="Times New Roman"/>
          <w:sz w:val="24"/>
        </w:rPr>
        <w:t>.</w:t>
      </w:r>
    </w:p>
    <w:p w14:paraId="2C0A0842" w14:textId="77777777" w:rsidR="006F701F" w:rsidRDefault="006F701F" w:rsidP="006F701F"/>
    <w:p w14:paraId="56B97BE4" w14:textId="5D54453A" w:rsidR="00CF7182" w:rsidRPr="00BD57E5" w:rsidRDefault="006F701F" w:rsidP="00CF7182">
      <w:pPr>
        <w:rPr>
          <w:b/>
          <w:bCs/>
          <w:color w:val="000000" w:themeColor="text1"/>
        </w:rPr>
      </w:pPr>
      <w:r>
        <w:t xml:space="preserve">Supporting Information: </w:t>
      </w:r>
      <w:r w:rsidR="00CF7182" w:rsidRPr="00CF7182">
        <w:rPr>
          <w:color w:val="000000" w:themeColor="text1"/>
        </w:rPr>
        <w:t>S1: Appendix A. Histograms and Residual Plot</w:t>
      </w:r>
    </w:p>
    <w:p w14:paraId="6DF7C20B" w14:textId="24D2B864" w:rsidR="006F701F" w:rsidRPr="006F701F" w:rsidRDefault="006F701F" w:rsidP="006F701F"/>
    <w:sectPr w:rsidR="006F701F" w:rsidRPr="006F701F" w:rsidSect="003B43E2">
      <w:headerReference w:type="even" r:id="rId42"/>
      <w:headerReference w:type="default" r:id="rId43"/>
      <w:pgSz w:w="11906" w:h="16838"/>
      <w:pgMar w:top="1440" w:right="1440" w:bottom="1440" w:left="144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7DDAF" w14:textId="77777777" w:rsidR="004136FE" w:rsidRDefault="004136FE" w:rsidP="00D10E7C">
      <w:pPr>
        <w:spacing w:line="240" w:lineRule="auto"/>
      </w:pPr>
      <w:r>
        <w:separator/>
      </w:r>
    </w:p>
  </w:endnote>
  <w:endnote w:type="continuationSeparator" w:id="0">
    <w:p w14:paraId="086567BE" w14:textId="77777777" w:rsidR="004136FE" w:rsidRDefault="004136FE" w:rsidP="00D10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正文 CS 字体)">
    <w:altName w:val="宋体"/>
    <w:panose1 w:val="020B0604020202020204"/>
    <w:charset w:val="86"/>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3959B" w14:textId="77777777" w:rsidR="004136FE" w:rsidRDefault="004136FE" w:rsidP="00D10E7C">
      <w:pPr>
        <w:spacing w:line="240" w:lineRule="auto"/>
      </w:pPr>
      <w:r>
        <w:separator/>
      </w:r>
    </w:p>
  </w:footnote>
  <w:footnote w:type="continuationSeparator" w:id="0">
    <w:p w14:paraId="555C1CB8" w14:textId="77777777" w:rsidR="004136FE" w:rsidRDefault="004136FE" w:rsidP="00D10E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6908858"/>
      <w:docPartObj>
        <w:docPartGallery w:val="Page Numbers (Top of Page)"/>
        <w:docPartUnique/>
      </w:docPartObj>
    </w:sdtPr>
    <w:sdtEndPr>
      <w:rPr>
        <w:rStyle w:val="PageNumber"/>
      </w:rPr>
    </w:sdtEndPr>
    <w:sdtContent>
      <w:p w14:paraId="45F78E2A" w14:textId="0016B75C" w:rsidR="009279C9" w:rsidRDefault="009279C9" w:rsidP="00C0568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5BB33A" w14:textId="77777777" w:rsidR="009279C9" w:rsidRDefault="009279C9" w:rsidP="009279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909615"/>
      <w:docPartObj>
        <w:docPartGallery w:val="Page Numbers (Top of Page)"/>
        <w:docPartUnique/>
      </w:docPartObj>
    </w:sdtPr>
    <w:sdtEndPr>
      <w:rPr>
        <w:rStyle w:val="PageNumber"/>
      </w:rPr>
    </w:sdtEndPr>
    <w:sdtContent>
      <w:p w14:paraId="241A1464" w14:textId="29B44EA1" w:rsidR="009279C9" w:rsidRDefault="009279C9" w:rsidP="00C0568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3EDD4C4" w14:textId="200AA62A" w:rsidR="00D10E7C" w:rsidRPr="00D10E7C" w:rsidRDefault="00D10E7C" w:rsidP="009279C9">
    <w:pPr>
      <w:pStyle w:val="Articletitle"/>
      <w:ind w:right="360"/>
      <w:rPr>
        <w:b w:val="0"/>
        <w:bCs/>
        <w:sz w:val="24"/>
      </w:rPr>
    </w:pPr>
    <w:r w:rsidRPr="004013E8">
      <w:rPr>
        <w:b w:val="0"/>
        <w:bCs/>
        <w:sz w:val="24"/>
      </w:rPr>
      <w:t>Running Head: Sexual motivation and quality of life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E3D6295"/>
    <w:multiLevelType w:val="hybridMultilevel"/>
    <w:tmpl w:val="5BA0623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6F370D"/>
    <w:multiLevelType w:val="hybridMultilevel"/>
    <w:tmpl w:val="40BCF916"/>
    <w:lvl w:ilvl="0" w:tplc="071A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BE59C7"/>
    <w:multiLevelType w:val="multilevel"/>
    <w:tmpl w:val="06CE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2074605">
    <w:abstractNumId w:val="15"/>
  </w:num>
  <w:num w:numId="2" w16cid:durableId="652179477">
    <w:abstractNumId w:val="20"/>
  </w:num>
  <w:num w:numId="3" w16cid:durableId="232594246">
    <w:abstractNumId w:val="1"/>
  </w:num>
  <w:num w:numId="4" w16cid:durableId="1877505915">
    <w:abstractNumId w:val="2"/>
  </w:num>
  <w:num w:numId="5" w16cid:durableId="1896315310">
    <w:abstractNumId w:val="3"/>
  </w:num>
  <w:num w:numId="6" w16cid:durableId="1681663456">
    <w:abstractNumId w:val="4"/>
  </w:num>
  <w:num w:numId="7" w16cid:durableId="1019625208">
    <w:abstractNumId w:val="9"/>
  </w:num>
  <w:num w:numId="8" w16cid:durableId="1837528110">
    <w:abstractNumId w:val="5"/>
  </w:num>
  <w:num w:numId="9" w16cid:durableId="1435400307">
    <w:abstractNumId w:val="7"/>
  </w:num>
  <w:num w:numId="10" w16cid:durableId="821845780">
    <w:abstractNumId w:val="6"/>
  </w:num>
  <w:num w:numId="11" w16cid:durableId="1321738217">
    <w:abstractNumId w:val="10"/>
  </w:num>
  <w:num w:numId="12" w16cid:durableId="1554542509">
    <w:abstractNumId w:val="8"/>
  </w:num>
  <w:num w:numId="13" w16cid:durableId="323899573">
    <w:abstractNumId w:val="17"/>
  </w:num>
  <w:num w:numId="14" w16cid:durableId="1899390070">
    <w:abstractNumId w:val="22"/>
  </w:num>
  <w:num w:numId="15" w16cid:durableId="1046682999">
    <w:abstractNumId w:val="14"/>
  </w:num>
  <w:num w:numId="16" w16cid:durableId="472799649">
    <w:abstractNumId w:val="16"/>
  </w:num>
  <w:num w:numId="17" w16cid:durableId="764688050">
    <w:abstractNumId w:val="11"/>
  </w:num>
  <w:num w:numId="18" w16cid:durableId="2108191459">
    <w:abstractNumId w:val="0"/>
  </w:num>
  <w:num w:numId="19" w16cid:durableId="1303148898">
    <w:abstractNumId w:val="12"/>
  </w:num>
  <w:num w:numId="20" w16cid:durableId="2071077406">
    <w:abstractNumId w:val="18"/>
  </w:num>
  <w:num w:numId="21" w16cid:durableId="73750211">
    <w:abstractNumId w:val="23"/>
  </w:num>
  <w:num w:numId="22" w16cid:durableId="787314837">
    <w:abstractNumId w:val="24"/>
  </w:num>
  <w:num w:numId="23" w16cid:durableId="1211529645">
    <w:abstractNumId w:val="13"/>
  </w:num>
  <w:num w:numId="24" w16cid:durableId="976302369">
    <w:abstractNumId w:val="25"/>
  </w:num>
  <w:num w:numId="25" w16cid:durableId="2091778826">
    <w:abstractNumId w:val="21"/>
  </w:num>
  <w:num w:numId="26" w16cid:durableId="1372221427">
    <w:abstractNumId w:val="26"/>
  </w:num>
  <w:num w:numId="27" w16cid:durableId="10464895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C0"/>
    <w:rsid w:val="00005A99"/>
    <w:rsid w:val="00010F25"/>
    <w:rsid w:val="00012F86"/>
    <w:rsid w:val="00035C4D"/>
    <w:rsid w:val="00046D34"/>
    <w:rsid w:val="00051CAD"/>
    <w:rsid w:val="0007672E"/>
    <w:rsid w:val="000A331C"/>
    <w:rsid w:val="000A33B9"/>
    <w:rsid w:val="000A4DFD"/>
    <w:rsid w:val="000B6B62"/>
    <w:rsid w:val="000C15FA"/>
    <w:rsid w:val="0010038F"/>
    <w:rsid w:val="00104CC2"/>
    <w:rsid w:val="00106AB5"/>
    <w:rsid w:val="00114449"/>
    <w:rsid w:val="0011736D"/>
    <w:rsid w:val="00123428"/>
    <w:rsid w:val="00131830"/>
    <w:rsid w:val="00142D31"/>
    <w:rsid w:val="001738F8"/>
    <w:rsid w:val="00182616"/>
    <w:rsid w:val="001A42D5"/>
    <w:rsid w:val="001B4343"/>
    <w:rsid w:val="001C438A"/>
    <w:rsid w:val="001C4D21"/>
    <w:rsid w:val="001D47C4"/>
    <w:rsid w:val="001D54E9"/>
    <w:rsid w:val="001E0AEB"/>
    <w:rsid w:val="001E0BB9"/>
    <w:rsid w:val="002070AB"/>
    <w:rsid w:val="0023178A"/>
    <w:rsid w:val="00232092"/>
    <w:rsid w:val="00233630"/>
    <w:rsid w:val="002352F2"/>
    <w:rsid w:val="0025501D"/>
    <w:rsid w:val="00262887"/>
    <w:rsid w:val="0029682B"/>
    <w:rsid w:val="002976E2"/>
    <w:rsid w:val="002A25FA"/>
    <w:rsid w:val="002B4ED8"/>
    <w:rsid w:val="002C1778"/>
    <w:rsid w:val="002D0D8E"/>
    <w:rsid w:val="002D110C"/>
    <w:rsid w:val="002E3A7D"/>
    <w:rsid w:val="00307C2D"/>
    <w:rsid w:val="00321549"/>
    <w:rsid w:val="00342E1B"/>
    <w:rsid w:val="00365174"/>
    <w:rsid w:val="003673FB"/>
    <w:rsid w:val="00380068"/>
    <w:rsid w:val="003B28D3"/>
    <w:rsid w:val="003B43E2"/>
    <w:rsid w:val="003C1929"/>
    <w:rsid w:val="003C1FBE"/>
    <w:rsid w:val="003E5DE4"/>
    <w:rsid w:val="003F50A9"/>
    <w:rsid w:val="004136FE"/>
    <w:rsid w:val="004224D3"/>
    <w:rsid w:val="00424DD1"/>
    <w:rsid w:val="004675D7"/>
    <w:rsid w:val="004746B1"/>
    <w:rsid w:val="00481907"/>
    <w:rsid w:val="0048496B"/>
    <w:rsid w:val="0048523A"/>
    <w:rsid w:val="0048752B"/>
    <w:rsid w:val="004876D6"/>
    <w:rsid w:val="00492474"/>
    <w:rsid w:val="00496E3F"/>
    <w:rsid w:val="004A0509"/>
    <w:rsid w:val="004C2E52"/>
    <w:rsid w:val="004C5DC0"/>
    <w:rsid w:val="004E72EE"/>
    <w:rsid w:val="00500173"/>
    <w:rsid w:val="005044A3"/>
    <w:rsid w:val="00504AE6"/>
    <w:rsid w:val="0051440E"/>
    <w:rsid w:val="00520DBA"/>
    <w:rsid w:val="00544444"/>
    <w:rsid w:val="0055525E"/>
    <w:rsid w:val="005847B2"/>
    <w:rsid w:val="005A517F"/>
    <w:rsid w:val="005A58CF"/>
    <w:rsid w:val="005C4BE5"/>
    <w:rsid w:val="005C6604"/>
    <w:rsid w:val="00604C40"/>
    <w:rsid w:val="00605398"/>
    <w:rsid w:val="006369AE"/>
    <w:rsid w:val="00636B0B"/>
    <w:rsid w:val="006418AE"/>
    <w:rsid w:val="00643EF4"/>
    <w:rsid w:val="00663092"/>
    <w:rsid w:val="006A1563"/>
    <w:rsid w:val="006C1C2C"/>
    <w:rsid w:val="006C4AF4"/>
    <w:rsid w:val="006C6568"/>
    <w:rsid w:val="006C6C39"/>
    <w:rsid w:val="006D0B26"/>
    <w:rsid w:val="006F2797"/>
    <w:rsid w:val="006F5B23"/>
    <w:rsid w:val="006F701F"/>
    <w:rsid w:val="007169FD"/>
    <w:rsid w:val="00732DC2"/>
    <w:rsid w:val="00736446"/>
    <w:rsid w:val="00747046"/>
    <w:rsid w:val="007B6E79"/>
    <w:rsid w:val="007C572D"/>
    <w:rsid w:val="007D5F90"/>
    <w:rsid w:val="007E4591"/>
    <w:rsid w:val="007F1722"/>
    <w:rsid w:val="008000DB"/>
    <w:rsid w:val="0081198A"/>
    <w:rsid w:val="008136F9"/>
    <w:rsid w:val="00813F6A"/>
    <w:rsid w:val="00827AAB"/>
    <w:rsid w:val="00831E71"/>
    <w:rsid w:val="008534D3"/>
    <w:rsid w:val="00890F9A"/>
    <w:rsid w:val="008E3EC8"/>
    <w:rsid w:val="00913F70"/>
    <w:rsid w:val="00915651"/>
    <w:rsid w:val="00915949"/>
    <w:rsid w:val="009279C9"/>
    <w:rsid w:val="00927AEF"/>
    <w:rsid w:val="009366F6"/>
    <w:rsid w:val="0095075C"/>
    <w:rsid w:val="00973513"/>
    <w:rsid w:val="009B7606"/>
    <w:rsid w:val="009C1A61"/>
    <w:rsid w:val="009C498A"/>
    <w:rsid w:val="009E4405"/>
    <w:rsid w:val="00A4078D"/>
    <w:rsid w:val="00A7213F"/>
    <w:rsid w:val="00A8540B"/>
    <w:rsid w:val="00A9057C"/>
    <w:rsid w:val="00AE324D"/>
    <w:rsid w:val="00B0665A"/>
    <w:rsid w:val="00B10C6C"/>
    <w:rsid w:val="00B1363E"/>
    <w:rsid w:val="00B15B2C"/>
    <w:rsid w:val="00B30432"/>
    <w:rsid w:val="00B43F6F"/>
    <w:rsid w:val="00B469DA"/>
    <w:rsid w:val="00B62F90"/>
    <w:rsid w:val="00B66F0C"/>
    <w:rsid w:val="00B72E9B"/>
    <w:rsid w:val="00B91FC1"/>
    <w:rsid w:val="00B971E6"/>
    <w:rsid w:val="00BB3BD6"/>
    <w:rsid w:val="00BD57E5"/>
    <w:rsid w:val="00BE0720"/>
    <w:rsid w:val="00C105EF"/>
    <w:rsid w:val="00C23685"/>
    <w:rsid w:val="00C34F26"/>
    <w:rsid w:val="00C353C9"/>
    <w:rsid w:val="00C51317"/>
    <w:rsid w:val="00C56976"/>
    <w:rsid w:val="00C9522E"/>
    <w:rsid w:val="00CA15C3"/>
    <w:rsid w:val="00CC0AB8"/>
    <w:rsid w:val="00CC376B"/>
    <w:rsid w:val="00CC7AC6"/>
    <w:rsid w:val="00CC7C36"/>
    <w:rsid w:val="00CE0C86"/>
    <w:rsid w:val="00CE3BC6"/>
    <w:rsid w:val="00CF7182"/>
    <w:rsid w:val="00D01674"/>
    <w:rsid w:val="00D10E7C"/>
    <w:rsid w:val="00D25968"/>
    <w:rsid w:val="00D463A5"/>
    <w:rsid w:val="00D63A79"/>
    <w:rsid w:val="00D81E9C"/>
    <w:rsid w:val="00D85E56"/>
    <w:rsid w:val="00D90AF4"/>
    <w:rsid w:val="00DA0436"/>
    <w:rsid w:val="00DA248F"/>
    <w:rsid w:val="00DD06AF"/>
    <w:rsid w:val="00E72744"/>
    <w:rsid w:val="00E81862"/>
    <w:rsid w:val="00E87A6B"/>
    <w:rsid w:val="00EA3067"/>
    <w:rsid w:val="00EA712C"/>
    <w:rsid w:val="00EB04A7"/>
    <w:rsid w:val="00EC4FFB"/>
    <w:rsid w:val="00EF5E44"/>
    <w:rsid w:val="00F03645"/>
    <w:rsid w:val="00F065F4"/>
    <w:rsid w:val="00F20579"/>
    <w:rsid w:val="00F360A9"/>
    <w:rsid w:val="00F55A8D"/>
    <w:rsid w:val="00FA271C"/>
    <w:rsid w:val="00FA4504"/>
    <w:rsid w:val="00FA6976"/>
    <w:rsid w:val="00FC2171"/>
    <w:rsid w:val="00FD018F"/>
    <w:rsid w:val="00FD2B53"/>
    <w:rsid w:val="00FD5C70"/>
    <w:rsid w:val="00FF2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6A3A"/>
  <w15:chartTrackingRefBased/>
  <w15:docId w15:val="{A96B94F6-9966-524C-9DD6-F515079C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DC0"/>
    <w:pPr>
      <w:spacing w:line="480" w:lineRule="auto"/>
    </w:pPr>
    <w:rPr>
      <w:rFonts w:ascii="Times New Roman" w:hAnsi="Times New Roman" w:cs="Times New Roman"/>
      <w:kern w:val="0"/>
      <w:sz w:val="24"/>
      <w:lang w:val="en-GB" w:eastAsia="en-GB"/>
      <w14:ligatures w14:val="none"/>
    </w:rPr>
  </w:style>
  <w:style w:type="paragraph" w:styleId="Heading1">
    <w:name w:val="heading 1"/>
    <w:basedOn w:val="Normal"/>
    <w:next w:val="Paragraph"/>
    <w:link w:val="Heading1Char"/>
    <w:uiPriority w:val="9"/>
    <w:qFormat/>
    <w:rsid w:val="00F20579"/>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F20579"/>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F20579"/>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20579"/>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paragraph">
    <w:name w:val="New paragraph"/>
    <w:basedOn w:val="Normal"/>
    <w:qFormat/>
    <w:rsid w:val="004C5DC0"/>
    <w:pPr>
      <w:ind w:firstLine="720"/>
    </w:pPr>
  </w:style>
  <w:style w:type="character" w:customStyle="1" w:styleId="cls-response">
    <w:name w:val="cls-response"/>
    <w:basedOn w:val="DefaultParagraphFont"/>
    <w:rsid w:val="004C5DC0"/>
  </w:style>
  <w:style w:type="paragraph" w:customStyle="1" w:styleId="Articletitle">
    <w:name w:val="Article title"/>
    <w:basedOn w:val="Normal"/>
    <w:next w:val="Normal"/>
    <w:qFormat/>
    <w:rsid w:val="00C34F26"/>
    <w:pPr>
      <w:spacing w:after="120" w:line="360" w:lineRule="auto"/>
    </w:pPr>
    <w:rPr>
      <w:b/>
      <w:sz w:val="28"/>
    </w:rPr>
  </w:style>
  <w:style w:type="paragraph" w:customStyle="1" w:styleId="Keywords">
    <w:name w:val="Keywords"/>
    <w:basedOn w:val="Normal"/>
    <w:next w:val="Normal"/>
    <w:qFormat/>
    <w:rsid w:val="00C34F26"/>
    <w:pPr>
      <w:spacing w:before="240" w:after="240" w:line="360" w:lineRule="auto"/>
      <w:ind w:left="720" w:right="567"/>
    </w:pPr>
    <w:rPr>
      <w:sz w:val="22"/>
    </w:rPr>
  </w:style>
  <w:style w:type="character" w:styleId="CommentReference">
    <w:name w:val="annotation reference"/>
    <w:basedOn w:val="DefaultParagraphFont"/>
    <w:uiPriority w:val="99"/>
    <w:semiHidden/>
    <w:unhideWhenUsed/>
    <w:rsid w:val="00C34F26"/>
    <w:rPr>
      <w:sz w:val="16"/>
      <w:szCs w:val="16"/>
    </w:rPr>
  </w:style>
  <w:style w:type="paragraph" w:styleId="CommentText">
    <w:name w:val="annotation text"/>
    <w:basedOn w:val="Normal"/>
    <w:link w:val="CommentTextChar"/>
    <w:uiPriority w:val="99"/>
    <w:semiHidden/>
    <w:unhideWhenUsed/>
    <w:rsid w:val="00C34F26"/>
    <w:pPr>
      <w:spacing w:line="240" w:lineRule="auto"/>
    </w:pPr>
    <w:rPr>
      <w:rFonts w:ascii="SimSun" w:eastAsia="SimSun" w:hAnsi="SimSun" w:cs="SimSun"/>
      <w:color w:val="000000" w:themeColor="text1"/>
      <w:sz w:val="20"/>
      <w:szCs w:val="20"/>
      <w:lang w:val="en-US" w:eastAsia="zh-CN"/>
    </w:rPr>
  </w:style>
  <w:style w:type="character" w:customStyle="1" w:styleId="CommentTextChar">
    <w:name w:val="Comment Text Char"/>
    <w:basedOn w:val="DefaultParagraphFont"/>
    <w:link w:val="CommentText"/>
    <w:uiPriority w:val="99"/>
    <w:semiHidden/>
    <w:rsid w:val="00C34F26"/>
    <w:rPr>
      <w:rFonts w:ascii="SimSun" w:eastAsia="SimSun" w:hAnsi="SimSun" w:cs="SimSun"/>
      <w:color w:val="000000" w:themeColor="text1"/>
      <w:kern w:val="0"/>
      <w:sz w:val="20"/>
      <w:szCs w:val="20"/>
      <w14:ligatures w14:val="none"/>
    </w:rPr>
  </w:style>
  <w:style w:type="table" w:styleId="TableGrid">
    <w:name w:val="Table Grid"/>
    <w:basedOn w:val="TableNormal"/>
    <w:uiPriority w:val="39"/>
    <w:rsid w:val="002352F2"/>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2352F2"/>
    <w:pPr>
      <w:spacing w:before="240" w:line="360" w:lineRule="auto"/>
    </w:pPr>
  </w:style>
  <w:style w:type="character" w:customStyle="1" w:styleId="Heading1Char">
    <w:name w:val="Heading 1 Char"/>
    <w:basedOn w:val="DefaultParagraphFont"/>
    <w:link w:val="Heading1"/>
    <w:uiPriority w:val="9"/>
    <w:rsid w:val="00F20579"/>
    <w:rPr>
      <w:rFonts w:ascii="Times New Roman" w:hAnsi="Times New Roman" w:cs="Arial"/>
      <w:b/>
      <w:bCs/>
      <w:kern w:val="32"/>
      <w:sz w:val="24"/>
      <w:szCs w:val="32"/>
      <w:lang w:val="en-GB" w:eastAsia="en-GB"/>
      <w14:ligatures w14:val="none"/>
    </w:rPr>
  </w:style>
  <w:style w:type="character" w:customStyle="1" w:styleId="Heading2Char">
    <w:name w:val="Heading 2 Char"/>
    <w:basedOn w:val="DefaultParagraphFont"/>
    <w:link w:val="Heading2"/>
    <w:rsid w:val="00F20579"/>
    <w:rPr>
      <w:rFonts w:ascii="Times New Roman" w:hAnsi="Times New Roman" w:cs="Arial"/>
      <w:b/>
      <w:bCs/>
      <w:i/>
      <w:iCs/>
      <w:kern w:val="0"/>
      <w:sz w:val="24"/>
      <w:szCs w:val="28"/>
      <w:lang w:val="en-GB" w:eastAsia="en-GB"/>
      <w14:ligatures w14:val="none"/>
    </w:rPr>
  </w:style>
  <w:style w:type="character" w:customStyle="1" w:styleId="Heading3Char">
    <w:name w:val="Heading 3 Char"/>
    <w:basedOn w:val="DefaultParagraphFont"/>
    <w:link w:val="Heading3"/>
    <w:rsid w:val="00F20579"/>
    <w:rPr>
      <w:rFonts w:ascii="Times New Roman" w:hAnsi="Times New Roman" w:cs="Arial"/>
      <w:bCs/>
      <w:i/>
      <w:kern w:val="0"/>
      <w:sz w:val="24"/>
      <w:szCs w:val="26"/>
      <w:lang w:val="en-GB" w:eastAsia="en-GB"/>
      <w14:ligatures w14:val="none"/>
    </w:rPr>
  </w:style>
  <w:style w:type="character" w:customStyle="1" w:styleId="Heading4Char">
    <w:name w:val="Heading 4 Char"/>
    <w:basedOn w:val="DefaultParagraphFont"/>
    <w:link w:val="Heading4"/>
    <w:rsid w:val="00F20579"/>
    <w:rPr>
      <w:rFonts w:ascii="Times New Roman" w:hAnsi="Times New Roman" w:cs="Times New Roman"/>
      <w:bCs/>
      <w:kern w:val="0"/>
      <w:sz w:val="24"/>
      <w:szCs w:val="28"/>
      <w:lang w:val="en-GB" w:eastAsia="en-GB"/>
      <w14:ligatures w14:val="none"/>
    </w:rPr>
  </w:style>
  <w:style w:type="paragraph" w:customStyle="1" w:styleId="Authornames">
    <w:name w:val="Author names"/>
    <w:basedOn w:val="Normal"/>
    <w:next w:val="Normal"/>
    <w:qFormat/>
    <w:rsid w:val="00F20579"/>
    <w:pPr>
      <w:spacing w:before="240" w:line="360" w:lineRule="auto"/>
    </w:pPr>
    <w:rPr>
      <w:sz w:val="28"/>
    </w:rPr>
  </w:style>
  <w:style w:type="paragraph" w:customStyle="1" w:styleId="Affiliation">
    <w:name w:val="Affiliation"/>
    <w:basedOn w:val="Normal"/>
    <w:qFormat/>
    <w:rsid w:val="00F20579"/>
    <w:pPr>
      <w:spacing w:before="240" w:line="360" w:lineRule="auto"/>
    </w:pPr>
    <w:rPr>
      <w:i/>
    </w:rPr>
  </w:style>
  <w:style w:type="paragraph" w:customStyle="1" w:styleId="Receiveddates">
    <w:name w:val="Received dates"/>
    <w:basedOn w:val="Affiliation"/>
    <w:next w:val="Normal"/>
    <w:qFormat/>
    <w:rsid w:val="00F20579"/>
  </w:style>
  <w:style w:type="paragraph" w:customStyle="1" w:styleId="Abstract">
    <w:name w:val="Abstract"/>
    <w:basedOn w:val="Normal"/>
    <w:next w:val="Keywords"/>
    <w:qFormat/>
    <w:rsid w:val="00F20579"/>
    <w:pPr>
      <w:spacing w:before="360" w:after="300" w:line="360" w:lineRule="auto"/>
      <w:ind w:left="720" w:right="567"/>
    </w:pPr>
    <w:rPr>
      <w:sz w:val="22"/>
    </w:rPr>
  </w:style>
  <w:style w:type="paragraph" w:customStyle="1" w:styleId="Correspondencedetails">
    <w:name w:val="Correspondence details"/>
    <w:basedOn w:val="Normal"/>
    <w:qFormat/>
    <w:rsid w:val="00F20579"/>
    <w:pPr>
      <w:spacing w:before="240" w:line="360" w:lineRule="auto"/>
    </w:pPr>
  </w:style>
  <w:style w:type="paragraph" w:customStyle="1" w:styleId="Displayedquotation">
    <w:name w:val="Displayed quotation"/>
    <w:basedOn w:val="Normal"/>
    <w:qFormat/>
    <w:rsid w:val="00F20579"/>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F20579"/>
    <w:pPr>
      <w:widowControl/>
      <w:numPr>
        <w:numId w:val="13"/>
      </w:numPr>
      <w:spacing w:after="240"/>
      <w:contextualSpacing/>
    </w:pPr>
  </w:style>
  <w:style w:type="paragraph" w:customStyle="1" w:styleId="Displayedequation">
    <w:name w:val="Displayed equation"/>
    <w:basedOn w:val="Normal"/>
    <w:next w:val="Paragraph"/>
    <w:qFormat/>
    <w:rsid w:val="00F20579"/>
    <w:pPr>
      <w:tabs>
        <w:tab w:val="center" w:pos="4253"/>
        <w:tab w:val="right" w:pos="8222"/>
      </w:tabs>
      <w:spacing w:before="240" w:after="240"/>
      <w:jc w:val="center"/>
    </w:pPr>
  </w:style>
  <w:style w:type="paragraph" w:customStyle="1" w:styleId="Acknowledgements">
    <w:name w:val="Acknowledgements"/>
    <w:basedOn w:val="Normal"/>
    <w:next w:val="Normal"/>
    <w:qFormat/>
    <w:rsid w:val="00F20579"/>
    <w:pPr>
      <w:spacing w:before="120" w:line="360" w:lineRule="auto"/>
    </w:pPr>
    <w:rPr>
      <w:sz w:val="22"/>
    </w:rPr>
  </w:style>
  <w:style w:type="paragraph" w:customStyle="1" w:styleId="Tabletitle">
    <w:name w:val="Table title"/>
    <w:basedOn w:val="Normal"/>
    <w:next w:val="Normal"/>
    <w:qFormat/>
    <w:rsid w:val="00F20579"/>
    <w:pPr>
      <w:spacing w:before="240" w:line="360" w:lineRule="auto"/>
    </w:pPr>
  </w:style>
  <w:style w:type="paragraph" w:customStyle="1" w:styleId="Footnotes">
    <w:name w:val="Footnotes"/>
    <w:basedOn w:val="Normal"/>
    <w:qFormat/>
    <w:rsid w:val="00F20579"/>
    <w:pPr>
      <w:spacing w:before="120" w:line="360" w:lineRule="auto"/>
      <w:ind w:left="482" w:hanging="482"/>
      <w:contextualSpacing/>
    </w:pPr>
    <w:rPr>
      <w:sz w:val="22"/>
    </w:rPr>
  </w:style>
  <w:style w:type="paragraph" w:customStyle="1" w:styleId="Notesoncontributors">
    <w:name w:val="Notes on contributors"/>
    <w:basedOn w:val="Normal"/>
    <w:qFormat/>
    <w:rsid w:val="00F20579"/>
    <w:pPr>
      <w:spacing w:before="240" w:line="360" w:lineRule="auto"/>
    </w:pPr>
    <w:rPr>
      <w:sz w:val="22"/>
    </w:rPr>
  </w:style>
  <w:style w:type="paragraph" w:customStyle="1" w:styleId="Normalparagraphstyle">
    <w:name w:val="Normal paragraph style"/>
    <w:basedOn w:val="Normal"/>
    <w:next w:val="Normal"/>
    <w:rsid w:val="00F20579"/>
  </w:style>
  <w:style w:type="paragraph" w:customStyle="1" w:styleId="Paragraph">
    <w:name w:val="Paragraph"/>
    <w:basedOn w:val="Normal"/>
    <w:next w:val="Newparagraph"/>
    <w:qFormat/>
    <w:rsid w:val="00F20579"/>
    <w:pPr>
      <w:widowControl w:val="0"/>
      <w:spacing w:before="240"/>
    </w:pPr>
  </w:style>
  <w:style w:type="paragraph" w:styleId="NormalIndent">
    <w:name w:val="Normal Indent"/>
    <w:basedOn w:val="Normal"/>
    <w:rsid w:val="00F20579"/>
    <w:pPr>
      <w:ind w:left="720"/>
    </w:pPr>
  </w:style>
  <w:style w:type="paragraph" w:customStyle="1" w:styleId="References">
    <w:name w:val="References"/>
    <w:basedOn w:val="Normal"/>
    <w:qFormat/>
    <w:rsid w:val="00F20579"/>
    <w:pPr>
      <w:spacing w:before="120" w:line="360" w:lineRule="auto"/>
      <w:ind w:left="720" w:hanging="720"/>
      <w:contextualSpacing/>
    </w:pPr>
  </w:style>
  <w:style w:type="paragraph" w:customStyle="1" w:styleId="Subjectcodes">
    <w:name w:val="Subject codes"/>
    <w:basedOn w:val="Keywords"/>
    <w:next w:val="Paragraph"/>
    <w:qFormat/>
    <w:rsid w:val="00F20579"/>
  </w:style>
  <w:style w:type="paragraph" w:customStyle="1" w:styleId="Bulletedlist">
    <w:name w:val="Bulleted list"/>
    <w:basedOn w:val="Paragraph"/>
    <w:next w:val="Paragraph"/>
    <w:qFormat/>
    <w:rsid w:val="00F20579"/>
    <w:pPr>
      <w:widowControl/>
      <w:numPr>
        <w:numId w:val="14"/>
      </w:numPr>
      <w:spacing w:after="240"/>
      <w:contextualSpacing/>
    </w:pPr>
  </w:style>
  <w:style w:type="paragraph" w:styleId="FootnoteText">
    <w:name w:val="footnote text"/>
    <w:basedOn w:val="Normal"/>
    <w:link w:val="FootnoteTextChar"/>
    <w:autoRedefine/>
    <w:rsid w:val="00F20579"/>
    <w:pPr>
      <w:ind w:left="284" w:hanging="284"/>
    </w:pPr>
    <w:rPr>
      <w:sz w:val="22"/>
      <w:szCs w:val="20"/>
    </w:rPr>
  </w:style>
  <w:style w:type="character" w:customStyle="1" w:styleId="FootnoteTextChar">
    <w:name w:val="Footnote Text Char"/>
    <w:basedOn w:val="DefaultParagraphFont"/>
    <w:link w:val="FootnoteText"/>
    <w:rsid w:val="00F20579"/>
    <w:rPr>
      <w:rFonts w:ascii="Times New Roman" w:hAnsi="Times New Roman" w:cs="Times New Roman"/>
      <w:kern w:val="0"/>
      <w:sz w:val="22"/>
      <w:szCs w:val="20"/>
      <w:lang w:val="en-GB" w:eastAsia="en-GB"/>
      <w14:ligatures w14:val="none"/>
    </w:rPr>
  </w:style>
  <w:style w:type="character" w:styleId="FootnoteReference">
    <w:name w:val="footnote reference"/>
    <w:basedOn w:val="DefaultParagraphFont"/>
    <w:rsid w:val="00F20579"/>
    <w:rPr>
      <w:vertAlign w:val="superscript"/>
    </w:rPr>
  </w:style>
  <w:style w:type="paragraph" w:styleId="EndnoteText">
    <w:name w:val="endnote text"/>
    <w:basedOn w:val="Normal"/>
    <w:link w:val="EndnoteTextChar"/>
    <w:autoRedefine/>
    <w:rsid w:val="00F20579"/>
    <w:pPr>
      <w:ind w:left="284" w:hanging="284"/>
    </w:pPr>
    <w:rPr>
      <w:sz w:val="22"/>
      <w:szCs w:val="20"/>
    </w:rPr>
  </w:style>
  <w:style w:type="character" w:customStyle="1" w:styleId="EndnoteTextChar">
    <w:name w:val="Endnote Text Char"/>
    <w:basedOn w:val="DefaultParagraphFont"/>
    <w:link w:val="EndnoteText"/>
    <w:rsid w:val="00F20579"/>
    <w:rPr>
      <w:rFonts w:ascii="Times New Roman" w:hAnsi="Times New Roman" w:cs="Times New Roman"/>
      <w:kern w:val="0"/>
      <w:sz w:val="22"/>
      <w:szCs w:val="20"/>
      <w:lang w:val="en-GB" w:eastAsia="en-GB"/>
      <w14:ligatures w14:val="none"/>
    </w:rPr>
  </w:style>
  <w:style w:type="character" w:styleId="EndnoteReference">
    <w:name w:val="endnote reference"/>
    <w:basedOn w:val="DefaultParagraphFont"/>
    <w:rsid w:val="00F20579"/>
    <w:rPr>
      <w:vertAlign w:val="superscript"/>
    </w:rPr>
  </w:style>
  <w:style w:type="paragraph" w:styleId="Header">
    <w:name w:val="header"/>
    <w:basedOn w:val="Normal"/>
    <w:link w:val="HeaderChar"/>
    <w:uiPriority w:val="99"/>
    <w:rsid w:val="00F20579"/>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F20579"/>
    <w:rPr>
      <w:rFonts w:ascii="Times New Roman" w:hAnsi="Times New Roman" w:cs="Times New Roman"/>
      <w:kern w:val="0"/>
      <w:sz w:val="24"/>
      <w:lang w:val="en-GB" w:eastAsia="en-GB"/>
      <w14:ligatures w14:val="none"/>
    </w:rPr>
  </w:style>
  <w:style w:type="paragraph" w:styleId="Footer">
    <w:name w:val="footer"/>
    <w:basedOn w:val="Normal"/>
    <w:link w:val="FooterChar"/>
    <w:uiPriority w:val="99"/>
    <w:rsid w:val="00F20579"/>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F20579"/>
    <w:rPr>
      <w:rFonts w:ascii="Times New Roman" w:hAnsi="Times New Roman" w:cs="Times New Roman"/>
      <w:kern w:val="0"/>
      <w:sz w:val="24"/>
      <w:lang w:val="en-GB" w:eastAsia="en-GB"/>
      <w14:ligatures w14:val="none"/>
    </w:rPr>
  </w:style>
  <w:style w:type="paragraph" w:customStyle="1" w:styleId="Heading4Paragraph">
    <w:name w:val="Heading 4 + Paragraph"/>
    <w:basedOn w:val="Paragraph"/>
    <w:next w:val="Newparagraph"/>
    <w:qFormat/>
    <w:rsid w:val="00F20579"/>
    <w:pPr>
      <w:widowControl/>
      <w:spacing w:before="360"/>
    </w:pPr>
  </w:style>
  <w:style w:type="character" w:styleId="Hyperlink">
    <w:name w:val="Hyperlink"/>
    <w:basedOn w:val="DefaultParagraphFont"/>
    <w:uiPriority w:val="99"/>
    <w:unhideWhenUsed/>
    <w:rsid w:val="00F20579"/>
    <w:rPr>
      <w:color w:val="0563C1" w:themeColor="hyperlink"/>
      <w:u w:val="single"/>
    </w:rPr>
  </w:style>
  <w:style w:type="character" w:styleId="UnresolvedMention">
    <w:name w:val="Unresolved Mention"/>
    <w:basedOn w:val="DefaultParagraphFont"/>
    <w:uiPriority w:val="99"/>
    <w:semiHidden/>
    <w:unhideWhenUsed/>
    <w:rsid w:val="00F20579"/>
    <w:rPr>
      <w:color w:val="605E5C"/>
      <w:shd w:val="clear" w:color="auto" w:fill="E1DFDD"/>
    </w:rPr>
  </w:style>
  <w:style w:type="character" w:styleId="Emphasis">
    <w:name w:val="Emphasis"/>
    <w:basedOn w:val="DefaultParagraphFont"/>
    <w:uiPriority w:val="20"/>
    <w:qFormat/>
    <w:rsid w:val="00F20579"/>
    <w:rPr>
      <w:i/>
      <w:iCs/>
    </w:rPr>
  </w:style>
  <w:style w:type="character" w:customStyle="1" w:styleId="c-bibliographic-informationvalue">
    <w:name w:val="c-bibliographic-information__value"/>
    <w:basedOn w:val="DefaultParagraphFont"/>
    <w:rsid w:val="00F20579"/>
  </w:style>
  <w:style w:type="character" w:customStyle="1" w:styleId="volumeissue">
    <w:name w:val="volume_issue"/>
    <w:basedOn w:val="DefaultParagraphFont"/>
    <w:rsid w:val="00F20579"/>
  </w:style>
  <w:style w:type="character" w:customStyle="1" w:styleId="pagerange">
    <w:name w:val="page_range"/>
    <w:basedOn w:val="DefaultParagraphFont"/>
    <w:rsid w:val="00F20579"/>
  </w:style>
  <w:style w:type="character" w:customStyle="1" w:styleId="author">
    <w:name w:val="author"/>
    <w:basedOn w:val="DefaultParagraphFont"/>
    <w:rsid w:val="00F20579"/>
  </w:style>
  <w:style w:type="character" w:customStyle="1" w:styleId="pubyear">
    <w:name w:val="pubyear"/>
    <w:basedOn w:val="DefaultParagraphFont"/>
    <w:rsid w:val="00F20579"/>
  </w:style>
  <w:style w:type="character" w:customStyle="1" w:styleId="articletitle0">
    <w:name w:val="articletitle"/>
    <w:basedOn w:val="DefaultParagraphFont"/>
    <w:rsid w:val="00F20579"/>
  </w:style>
  <w:style w:type="character" w:customStyle="1" w:styleId="vol">
    <w:name w:val="vol"/>
    <w:basedOn w:val="DefaultParagraphFont"/>
    <w:rsid w:val="00F20579"/>
  </w:style>
  <w:style w:type="character" w:customStyle="1" w:styleId="pagefirst">
    <w:name w:val="pagefirst"/>
    <w:basedOn w:val="DefaultParagraphFont"/>
    <w:rsid w:val="00F20579"/>
  </w:style>
  <w:style w:type="character" w:customStyle="1" w:styleId="pagelast">
    <w:name w:val="pagelast"/>
    <w:basedOn w:val="DefaultParagraphFont"/>
    <w:rsid w:val="00F20579"/>
  </w:style>
  <w:style w:type="character" w:customStyle="1" w:styleId="citation">
    <w:name w:val="citation"/>
    <w:basedOn w:val="DefaultParagraphFont"/>
    <w:rsid w:val="00F20579"/>
  </w:style>
  <w:style w:type="character" w:styleId="PageNumber">
    <w:name w:val="page number"/>
    <w:basedOn w:val="DefaultParagraphFont"/>
    <w:uiPriority w:val="99"/>
    <w:semiHidden/>
    <w:unhideWhenUsed/>
    <w:rsid w:val="00F20579"/>
  </w:style>
  <w:style w:type="character" w:styleId="FollowedHyperlink">
    <w:name w:val="FollowedHyperlink"/>
    <w:basedOn w:val="DefaultParagraphFont"/>
    <w:uiPriority w:val="99"/>
    <w:semiHidden/>
    <w:unhideWhenUsed/>
    <w:rsid w:val="00F20579"/>
    <w:rPr>
      <w:color w:val="954F72" w:themeColor="followedHyperlink"/>
      <w:u w:val="single"/>
    </w:rPr>
  </w:style>
  <w:style w:type="paragraph" w:styleId="TOCHeading">
    <w:name w:val="TOC Heading"/>
    <w:basedOn w:val="Heading1"/>
    <w:next w:val="Normal"/>
    <w:uiPriority w:val="39"/>
    <w:unhideWhenUsed/>
    <w:qFormat/>
    <w:rsid w:val="00F20579"/>
    <w:pPr>
      <w:keepLines/>
      <w:spacing w:before="480" w:after="0" w:line="480" w:lineRule="auto"/>
      <w:ind w:right="0"/>
      <w:contextualSpacing w:val="0"/>
      <w:outlineLvl w:val="9"/>
    </w:pPr>
    <w:rPr>
      <w:rFonts w:cs="Times New Roman"/>
      <w:bCs w:val="0"/>
      <w:iCs/>
      <w:color w:val="000000" w:themeColor="text1"/>
      <w:kern w:val="2"/>
      <w:szCs w:val="24"/>
      <w:lang w:eastAsia="zh-CN"/>
    </w:rPr>
  </w:style>
  <w:style w:type="paragraph" w:styleId="TOC1">
    <w:name w:val="toc 1"/>
    <w:basedOn w:val="Normal"/>
    <w:next w:val="Normal"/>
    <w:autoRedefine/>
    <w:uiPriority w:val="39"/>
    <w:unhideWhenUsed/>
    <w:rsid w:val="00F20579"/>
    <w:pPr>
      <w:widowControl w:val="0"/>
      <w:spacing w:before="120"/>
    </w:pPr>
    <w:rPr>
      <w:rFonts w:eastAsia="Times New Roman"/>
      <w:b/>
      <w:color w:val="000000" w:themeColor="text1"/>
      <w:kern w:val="2"/>
      <w:lang w:eastAsia="zh-CN"/>
    </w:rPr>
  </w:style>
  <w:style w:type="paragraph" w:styleId="TOC2">
    <w:name w:val="toc 2"/>
    <w:basedOn w:val="Normal"/>
    <w:next w:val="Normal"/>
    <w:link w:val="TOC2Char"/>
    <w:autoRedefine/>
    <w:uiPriority w:val="39"/>
    <w:unhideWhenUsed/>
    <w:rsid w:val="00F20579"/>
    <w:pPr>
      <w:widowControl w:val="0"/>
      <w:spacing w:before="120"/>
      <w:ind w:left="210"/>
    </w:pPr>
    <w:rPr>
      <w:rFonts w:eastAsiaTheme="minorHAnsi" w:hAnsiTheme="minorHAnsi" w:cs="Times New Roman (正文 CS 字体)"/>
      <w:b/>
      <w:bCs/>
      <w:color w:val="000000" w:themeColor="text1"/>
      <w:kern w:val="2"/>
      <w:lang w:eastAsia="zh-CN"/>
    </w:rPr>
  </w:style>
  <w:style w:type="paragraph" w:styleId="TOC3">
    <w:name w:val="toc 3"/>
    <w:basedOn w:val="Normal"/>
    <w:next w:val="Normal"/>
    <w:autoRedefine/>
    <w:uiPriority w:val="39"/>
    <w:unhideWhenUsed/>
    <w:rsid w:val="00F20579"/>
    <w:pPr>
      <w:widowControl w:val="0"/>
      <w:ind w:left="420"/>
    </w:pPr>
    <w:rPr>
      <w:rFonts w:eastAsia="Times New Roman"/>
      <w:b/>
      <w:i/>
      <w:iCs/>
      <w:color w:val="000000" w:themeColor="text1"/>
      <w:kern w:val="2"/>
      <w:lang w:eastAsia="zh-CN"/>
    </w:rPr>
  </w:style>
  <w:style w:type="paragraph" w:styleId="TOC4">
    <w:name w:val="toc 4"/>
    <w:basedOn w:val="Normal"/>
    <w:next w:val="Normal"/>
    <w:autoRedefine/>
    <w:uiPriority w:val="39"/>
    <w:semiHidden/>
    <w:unhideWhenUsed/>
    <w:rsid w:val="00F20579"/>
    <w:pPr>
      <w:widowControl w:val="0"/>
      <w:spacing w:line="240" w:lineRule="auto"/>
      <w:ind w:left="630"/>
    </w:pPr>
    <w:rPr>
      <w:rFonts w:asciiTheme="minorHAnsi" w:eastAsiaTheme="minorHAnsi" w:hAnsiTheme="minorHAnsi" w:cstheme="minorBidi"/>
      <w:color w:val="000000" w:themeColor="text1"/>
      <w:kern w:val="2"/>
      <w:sz w:val="20"/>
      <w:szCs w:val="20"/>
      <w:lang w:val="en-US" w:eastAsia="zh-CN"/>
    </w:rPr>
  </w:style>
  <w:style w:type="paragraph" w:styleId="TOC5">
    <w:name w:val="toc 5"/>
    <w:basedOn w:val="Normal"/>
    <w:next w:val="Normal"/>
    <w:autoRedefine/>
    <w:uiPriority w:val="39"/>
    <w:semiHidden/>
    <w:unhideWhenUsed/>
    <w:rsid w:val="00F20579"/>
    <w:pPr>
      <w:widowControl w:val="0"/>
      <w:spacing w:line="240" w:lineRule="auto"/>
      <w:ind w:left="840"/>
    </w:pPr>
    <w:rPr>
      <w:rFonts w:asciiTheme="minorHAnsi" w:eastAsiaTheme="minorHAnsi" w:hAnsiTheme="minorHAnsi" w:cstheme="minorBidi"/>
      <w:color w:val="000000" w:themeColor="text1"/>
      <w:kern w:val="2"/>
      <w:sz w:val="20"/>
      <w:szCs w:val="20"/>
      <w:lang w:val="en-US" w:eastAsia="zh-CN"/>
    </w:rPr>
  </w:style>
  <w:style w:type="paragraph" w:styleId="TOC6">
    <w:name w:val="toc 6"/>
    <w:basedOn w:val="Normal"/>
    <w:next w:val="Normal"/>
    <w:autoRedefine/>
    <w:uiPriority w:val="39"/>
    <w:semiHidden/>
    <w:unhideWhenUsed/>
    <w:rsid w:val="00F20579"/>
    <w:pPr>
      <w:widowControl w:val="0"/>
      <w:spacing w:line="240" w:lineRule="auto"/>
      <w:ind w:left="1050"/>
    </w:pPr>
    <w:rPr>
      <w:rFonts w:asciiTheme="minorHAnsi" w:eastAsiaTheme="minorHAnsi" w:hAnsiTheme="minorHAnsi" w:cstheme="minorBidi"/>
      <w:color w:val="000000" w:themeColor="text1"/>
      <w:kern w:val="2"/>
      <w:sz w:val="20"/>
      <w:szCs w:val="20"/>
      <w:lang w:val="en-US" w:eastAsia="zh-CN"/>
    </w:rPr>
  </w:style>
  <w:style w:type="paragraph" w:styleId="TOC7">
    <w:name w:val="toc 7"/>
    <w:basedOn w:val="Normal"/>
    <w:next w:val="Normal"/>
    <w:autoRedefine/>
    <w:uiPriority w:val="39"/>
    <w:semiHidden/>
    <w:unhideWhenUsed/>
    <w:rsid w:val="00F20579"/>
    <w:pPr>
      <w:widowControl w:val="0"/>
      <w:spacing w:line="240" w:lineRule="auto"/>
      <w:ind w:left="1260"/>
    </w:pPr>
    <w:rPr>
      <w:rFonts w:asciiTheme="minorHAnsi" w:eastAsiaTheme="minorHAnsi" w:hAnsiTheme="minorHAnsi" w:cstheme="minorBidi"/>
      <w:color w:val="000000" w:themeColor="text1"/>
      <w:kern w:val="2"/>
      <w:sz w:val="20"/>
      <w:szCs w:val="20"/>
      <w:lang w:val="en-US" w:eastAsia="zh-CN"/>
    </w:rPr>
  </w:style>
  <w:style w:type="paragraph" w:styleId="TOC8">
    <w:name w:val="toc 8"/>
    <w:basedOn w:val="Normal"/>
    <w:next w:val="Normal"/>
    <w:autoRedefine/>
    <w:uiPriority w:val="39"/>
    <w:semiHidden/>
    <w:unhideWhenUsed/>
    <w:rsid w:val="00F20579"/>
    <w:pPr>
      <w:widowControl w:val="0"/>
      <w:spacing w:line="240" w:lineRule="auto"/>
      <w:ind w:left="1470"/>
    </w:pPr>
    <w:rPr>
      <w:rFonts w:asciiTheme="minorHAnsi" w:eastAsiaTheme="minorHAnsi" w:hAnsiTheme="minorHAnsi" w:cstheme="minorBidi"/>
      <w:color w:val="000000" w:themeColor="text1"/>
      <w:kern w:val="2"/>
      <w:sz w:val="20"/>
      <w:szCs w:val="20"/>
      <w:lang w:val="en-US" w:eastAsia="zh-CN"/>
    </w:rPr>
  </w:style>
  <w:style w:type="paragraph" w:styleId="TOC9">
    <w:name w:val="toc 9"/>
    <w:basedOn w:val="Normal"/>
    <w:next w:val="Normal"/>
    <w:autoRedefine/>
    <w:uiPriority w:val="39"/>
    <w:semiHidden/>
    <w:unhideWhenUsed/>
    <w:rsid w:val="00F20579"/>
    <w:pPr>
      <w:widowControl w:val="0"/>
      <w:spacing w:line="240" w:lineRule="auto"/>
      <w:ind w:left="1680"/>
    </w:pPr>
    <w:rPr>
      <w:rFonts w:asciiTheme="minorHAnsi" w:eastAsiaTheme="minorHAnsi" w:hAnsiTheme="minorHAnsi" w:cstheme="minorBidi"/>
      <w:color w:val="000000" w:themeColor="text1"/>
      <w:kern w:val="2"/>
      <w:sz w:val="20"/>
      <w:szCs w:val="20"/>
      <w:lang w:val="en-US" w:eastAsia="zh-CN"/>
    </w:rPr>
  </w:style>
  <w:style w:type="character" w:styleId="SmartHyperlink">
    <w:name w:val="Smart Hyperlink"/>
    <w:basedOn w:val="DefaultParagraphFont"/>
    <w:uiPriority w:val="99"/>
    <w:semiHidden/>
    <w:unhideWhenUsed/>
    <w:rsid w:val="00F20579"/>
    <w:rPr>
      <w:u w:val="dotted"/>
    </w:rPr>
  </w:style>
  <w:style w:type="character" w:customStyle="1" w:styleId="TOC2Char">
    <w:name w:val="TOC 2 Char"/>
    <w:basedOn w:val="DefaultParagraphFont"/>
    <w:link w:val="TOC2"/>
    <w:uiPriority w:val="39"/>
    <w:rsid w:val="00F20579"/>
    <w:rPr>
      <w:rFonts w:ascii="Times New Roman" w:eastAsiaTheme="minorHAnsi" w:cs="Times New Roman (正文 CS 字体)"/>
      <w:b/>
      <w:bCs/>
      <w:color w:val="000000" w:themeColor="text1"/>
      <w:sz w:val="24"/>
      <w:lang w:val="en-GB"/>
      <w14:ligatures w14:val="none"/>
    </w:rPr>
  </w:style>
  <w:style w:type="paragraph" w:customStyle="1" w:styleId="muitypography-root">
    <w:name w:val="muitypography-root"/>
    <w:basedOn w:val="Normal"/>
    <w:rsid w:val="00F20579"/>
    <w:pPr>
      <w:spacing w:before="100" w:beforeAutospacing="1" w:after="100" w:afterAutospacing="1" w:line="240" w:lineRule="auto"/>
    </w:pPr>
    <w:rPr>
      <w:rFonts w:ascii="SimSun" w:eastAsia="SimSun" w:hAnsi="SimSun" w:cs="SimSun"/>
      <w:lang w:val="en-US" w:eastAsia="zh-CN"/>
    </w:rPr>
  </w:style>
  <w:style w:type="paragraph" w:styleId="ListParagraph">
    <w:name w:val="List Paragraph"/>
    <w:basedOn w:val="Normal"/>
    <w:uiPriority w:val="34"/>
    <w:qFormat/>
    <w:rsid w:val="00F20579"/>
    <w:pPr>
      <w:widowControl w:val="0"/>
      <w:spacing w:line="240" w:lineRule="auto"/>
      <w:ind w:firstLineChars="200" w:firstLine="420"/>
      <w:jc w:val="both"/>
    </w:pPr>
    <w:rPr>
      <w:rFonts w:asciiTheme="minorHAnsi" w:hAnsiTheme="minorHAnsi" w:cstheme="minorBidi"/>
      <w:color w:val="000000" w:themeColor="text1"/>
      <w:kern w:val="2"/>
      <w:sz w:val="21"/>
      <w:lang w:val="en-US" w:eastAsia="zh-CN"/>
    </w:rPr>
  </w:style>
  <w:style w:type="paragraph" w:styleId="CommentSubject">
    <w:name w:val="annotation subject"/>
    <w:basedOn w:val="CommentText"/>
    <w:next w:val="CommentText"/>
    <w:link w:val="CommentSubjectChar"/>
    <w:uiPriority w:val="99"/>
    <w:semiHidden/>
    <w:unhideWhenUsed/>
    <w:rsid w:val="00F20579"/>
    <w:pPr>
      <w:widowControl w:val="0"/>
      <w:jc w:val="both"/>
    </w:pPr>
    <w:rPr>
      <w:rFonts w:asciiTheme="minorHAnsi" w:eastAsiaTheme="minorEastAsia" w:hAnsiTheme="minorHAnsi" w:cstheme="minorBidi"/>
      <w:b/>
      <w:bCs/>
      <w:kern w:val="2"/>
    </w:rPr>
  </w:style>
  <w:style w:type="character" w:customStyle="1" w:styleId="CommentSubjectChar">
    <w:name w:val="Comment Subject Char"/>
    <w:basedOn w:val="CommentTextChar"/>
    <w:link w:val="CommentSubject"/>
    <w:uiPriority w:val="99"/>
    <w:semiHidden/>
    <w:rsid w:val="00F20579"/>
    <w:rPr>
      <w:rFonts w:ascii="SimSun" w:eastAsia="SimSun" w:hAnsi="SimSun" w:cs="SimSun"/>
      <w:b/>
      <w:bCs/>
      <w:color w:val="000000" w:themeColor="text1"/>
      <w:kern w:val="0"/>
      <w:sz w:val="20"/>
      <w:szCs w:val="20"/>
      <w14:ligatures w14:val="none"/>
    </w:rPr>
  </w:style>
  <w:style w:type="paragraph" w:styleId="Revision">
    <w:name w:val="Revision"/>
    <w:hidden/>
    <w:uiPriority w:val="99"/>
    <w:semiHidden/>
    <w:rsid w:val="00F20579"/>
    <w:rPr>
      <w:color w:val="000000" w:themeColor="text1"/>
      <w14:ligatures w14:val="none"/>
    </w:rPr>
  </w:style>
  <w:style w:type="character" w:customStyle="1" w:styleId="apple-converted-space">
    <w:name w:val="apple-converted-space"/>
    <w:basedOn w:val="DefaultParagraphFont"/>
    <w:rsid w:val="00F20579"/>
  </w:style>
  <w:style w:type="character" w:customStyle="1" w:styleId="al-author-delim">
    <w:name w:val="al-author-delim"/>
    <w:basedOn w:val="DefaultParagraphFont"/>
    <w:rsid w:val="00F20579"/>
  </w:style>
  <w:style w:type="paragraph" w:customStyle="1" w:styleId="c-bibliographic-informationcitation">
    <w:name w:val="c-bibliographic-information__citation"/>
    <w:basedOn w:val="Normal"/>
    <w:rsid w:val="00F20579"/>
    <w:pPr>
      <w:spacing w:before="100" w:beforeAutospacing="1" w:after="100" w:afterAutospacing="1" w:line="240" w:lineRule="auto"/>
    </w:pPr>
    <w:rPr>
      <w:rFonts w:ascii="SimSun" w:eastAsia="SimSun" w:hAnsi="SimSun" w:cs="SimSun"/>
      <w:lang w:val="en-US" w:eastAsia="zh-CN"/>
    </w:rPr>
  </w:style>
  <w:style w:type="character" w:customStyle="1" w:styleId="authors">
    <w:name w:val="authors"/>
    <w:basedOn w:val="DefaultParagraphFont"/>
    <w:rsid w:val="00F20579"/>
  </w:style>
  <w:style w:type="character" w:customStyle="1" w:styleId="Date1">
    <w:name w:val="Date1"/>
    <w:basedOn w:val="DefaultParagraphFont"/>
    <w:rsid w:val="00F20579"/>
  </w:style>
  <w:style w:type="character" w:customStyle="1" w:styleId="arttitle">
    <w:name w:val="art_title"/>
    <w:basedOn w:val="DefaultParagraphFont"/>
    <w:rsid w:val="00F20579"/>
  </w:style>
  <w:style w:type="character" w:customStyle="1" w:styleId="serialtitle">
    <w:name w:val="serial_title"/>
    <w:basedOn w:val="DefaultParagraphFont"/>
    <w:rsid w:val="00F20579"/>
  </w:style>
  <w:style w:type="character" w:customStyle="1" w:styleId="doilink">
    <w:name w:val="doi_link"/>
    <w:basedOn w:val="DefaultParagraphFont"/>
    <w:rsid w:val="00F20579"/>
  </w:style>
  <w:style w:type="character" w:styleId="LineNumber">
    <w:name w:val="line number"/>
    <w:basedOn w:val="DefaultParagraphFont"/>
    <w:uiPriority w:val="99"/>
    <w:semiHidden/>
    <w:unhideWhenUsed/>
    <w:rsid w:val="003B4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trv.2019.01.003" TargetMode="External"/><Relationship Id="rId18" Type="http://schemas.openxmlformats.org/officeDocument/2006/relationships/hyperlink" Target="https://doi.org/10.1080/00224499.2013.815149" TargetMode="External"/><Relationship Id="rId26" Type="http://schemas.openxmlformats.org/officeDocument/2006/relationships/hyperlink" Target="https://doi.org/10.1080/14681811.2015.1050486" TargetMode="External"/><Relationship Id="rId39" Type="http://schemas.openxmlformats.org/officeDocument/2006/relationships/hyperlink" Target="https://doi.org/10.1515/ijsl-2020-0005" TargetMode="External"/><Relationship Id="rId21" Type="http://schemas.openxmlformats.org/officeDocument/2006/relationships/hyperlink" Target="https://doi.org/10.1007/s10508-019-01471-6" TargetMode="External"/><Relationship Id="rId34" Type="http://schemas.openxmlformats.org/officeDocument/2006/relationships/hyperlink" Target="https://psycnet.apa.org/doi/10.1037/men0000276"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23808985.2019.1584045" TargetMode="External"/><Relationship Id="rId29" Type="http://schemas.openxmlformats.org/officeDocument/2006/relationships/hyperlink" Target="https://doi.org/10.1136/bmjgh-2017-0006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508-007-9175-2" TargetMode="External"/><Relationship Id="rId24" Type="http://schemas.openxmlformats.org/officeDocument/2006/relationships/hyperlink" Target="https://doi.org/10.1080/19317610903307696" TargetMode="External"/><Relationship Id="rId32" Type="http://schemas.openxmlformats.org/officeDocument/2006/relationships/hyperlink" Target="http://dx.doi.org/10.5539/res.v8nlp134" TargetMode="External"/><Relationship Id="rId37" Type="http://schemas.openxmlformats.org/officeDocument/2006/relationships/hyperlink" Target="https://doi.org/10.1080/26410397.2019.1690334" TargetMode="External"/><Relationship Id="rId40" Type="http://schemas.openxmlformats.org/officeDocument/2006/relationships/hyperlink" Target="https://doi.org/10.1007/s11199-020-01145-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ijerph16132415" TargetMode="External"/><Relationship Id="rId23" Type="http://schemas.openxmlformats.org/officeDocument/2006/relationships/hyperlink" Target="https://doi.org/10.1080/19317611.2021.1965689" TargetMode="External"/><Relationship Id="rId28" Type="http://schemas.openxmlformats.org/officeDocument/2006/relationships/hyperlink" Target="https://psycnet.apa.org/doi/10.1017/S0033291798006667" TargetMode="External"/><Relationship Id="rId36" Type="http://schemas.openxmlformats.org/officeDocument/2006/relationships/hyperlink" Target="https://doi.org/10.1177/10598405211043394" TargetMode="External"/><Relationship Id="rId10" Type="http://schemas.openxmlformats.org/officeDocument/2006/relationships/hyperlink" Target="https://doi.org/10.1016/j.paid.2019.04.002" TargetMode="External"/><Relationship Id="rId19" Type="http://schemas.openxmlformats.org/officeDocument/2006/relationships/hyperlink" Target="https://doi.org/10.1080/14681994.2021.2004309" TargetMode="External"/><Relationship Id="rId31" Type="http://schemas.openxmlformats.org/officeDocument/2006/relationships/hyperlink" Target="https://doi.org/10.1016/j.esxm.2016.02.00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10508-022-02380-x" TargetMode="External"/><Relationship Id="rId14" Type="http://schemas.openxmlformats.org/officeDocument/2006/relationships/hyperlink" Target="https://doi.org/10.1007/s11764-020-00950-3" TargetMode="External"/><Relationship Id="rId22" Type="http://schemas.openxmlformats.org/officeDocument/2006/relationships/hyperlink" Target="https://doi.org/10.1080/13229400.2020.1754277f" TargetMode="External"/><Relationship Id="rId27" Type="http://schemas.openxmlformats.org/officeDocument/2006/relationships/hyperlink" Target="https://doi.org/10.1016/j.nedt.2015.12.024" TargetMode="External"/><Relationship Id="rId30" Type="http://schemas.openxmlformats.org/officeDocument/2006/relationships/hyperlink" Target="https://doi.org/10.1080/08870446.2013.845668" TargetMode="External"/><Relationship Id="rId35" Type="http://schemas.openxmlformats.org/officeDocument/2006/relationships/hyperlink" Target="https://doi.org/10.1016/j.ijintrel.2011.12.013" TargetMode="External"/><Relationship Id="rId43" Type="http://schemas.openxmlformats.org/officeDocument/2006/relationships/header" Target="header2.xml"/><Relationship Id="rId8" Type="http://schemas.openxmlformats.org/officeDocument/2006/relationships/hyperlink" Target="mailto:h.armstrong@soton.ac.uk" TargetMode="External"/><Relationship Id="rId3" Type="http://schemas.openxmlformats.org/officeDocument/2006/relationships/styles" Target="styles.xml"/><Relationship Id="rId12" Type="http://schemas.openxmlformats.org/officeDocument/2006/relationships/hyperlink" Target="https://doi.org/10.1016/0277-9536(95)00112-K" TargetMode="External"/><Relationship Id="rId17" Type="http://schemas.openxmlformats.org/officeDocument/2006/relationships/hyperlink" Target="https://doi.org/10.1080/00224499.2021.1904810" TargetMode="External"/><Relationship Id="rId25" Type="http://schemas.openxmlformats.org/officeDocument/2006/relationships/hyperlink" Target="https://doi.org/10.1080/19317611.2011.596256" TargetMode="External"/><Relationship Id="rId33" Type="http://schemas.openxmlformats.org/officeDocument/2006/relationships/hyperlink" Target="https://doi.org/10.1111/spc3.12261" TargetMode="External"/><Relationship Id="rId38" Type="http://schemas.openxmlformats.org/officeDocument/2006/relationships/hyperlink" Target="https://doi.org/10.1002/jcop.22561" TargetMode="External"/><Relationship Id="rId20" Type="http://schemas.openxmlformats.org/officeDocument/2006/relationships/hyperlink" Target="https://doi.org/10.1016%2FS0140-6736(18)30311-8" TargetMode="External"/><Relationship Id="rId41" Type="http://schemas.openxmlformats.org/officeDocument/2006/relationships/hyperlink" Target="https://doi.org/10.1080/15595692.2022.202813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746FC-46D7-D740-8630-70A68631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6914</Words>
  <Characters>39411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Shijun Zheng</dc:creator>
  <cp:keywords/>
  <dc:description/>
  <cp:lastModifiedBy>Reviewer</cp:lastModifiedBy>
  <cp:revision>3</cp:revision>
  <dcterms:created xsi:type="dcterms:W3CDTF">2023-10-04T13:37:00Z</dcterms:created>
  <dcterms:modified xsi:type="dcterms:W3CDTF">2023-10-04T13:38:00Z</dcterms:modified>
</cp:coreProperties>
</file>